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ascii="黑体" w:hAnsi="黑体" w:eastAsia="黑体"/>
          <w:sz w:val="36"/>
          <w:szCs w:val="36"/>
        </w:rPr>
      </w:pPr>
      <w:r>
        <w:rPr>
          <w:rFonts w:hint="eastAsia" w:ascii="黑体" w:hAnsi="黑体" w:eastAsia="黑体"/>
          <w:sz w:val="36"/>
          <w:szCs w:val="36"/>
        </w:rPr>
        <w:t xml:space="preserve">                     </w:t>
      </w:r>
    </w:p>
    <w:p>
      <w:pPr>
        <w:snapToGrid w:val="0"/>
        <w:spacing w:line="360" w:lineRule="auto"/>
        <w:jc w:val="center"/>
        <w:rPr>
          <w:rFonts w:ascii="黑体" w:hAnsi="黑体" w:eastAsia="黑体"/>
          <w:sz w:val="40"/>
          <w:szCs w:val="40"/>
        </w:rPr>
      </w:pPr>
      <w:r>
        <w:rPr>
          <w:rFonts w:hint="eastAsia" w:ascii="黑体" w:hAnsi="黑体" w:eastAsia="黑体"/>
          <w:sz w:val="40"/>
          <w:szCs w:val="40"/>
        </w:rPr>
        <w:t>长沙集星集装箱码头有限公司</w:t>
      </w:r>
    </w:p>
    <w:p>
      <w:pPr>
        <w:snapToGrid w:val="0"/>
        <w:spacing w:line="360" w:lineRule="auto"/>
        <w:jc w:val="center"/>
        <w:rPr>
          <w:rFonts w:ascii="黑体" w:hAnsi="黑体" w:eastAsia="黑体"/>
          <w:sz w:val="40"/>
          <w:szCs w:val="40"/>
        </w:rPr>
      </w:pPr>
      <w:r>
        <w:rPr>
          <w:rFonts w:hint="eastAsia" w:ascii="黑体" w:hAnsi="黑体" w:eastAsia="黑体"/>
          <w:sz w:val="40"/>
          <w:szCs w:val="40"/>
        </w:rPr>
        <w:t>网络边界加固项目</w:t>
      </w:r>
    </w:p>
    <w:p>
      <w:pPr>
        <w:snapToGrid w:val="0"/>
        <w:spacing w:line="360" w:lineRule="auto"/>
        <w:jc w:val="both"/>
        <w:rPr>
          <w:rFonts w:ascii="黑体" w:hAnsi="黑体" w:eastAsia="黑体"/>
          <w:sz w:val="36"/>
          <w:szCs w:val="36"/>
        </w:rPr>
      </w:pPr>
    </w:p>
    <w:p>
      <w:pPr>
        <w:pStyle w:val="40"/>
      </w:pPr>
    </w:p>
    <w:p>
      <w:pPr>
        <w:pStyle w:val="40"/>
        <w:spacing w:line="360" w:lineRule="auto"/>
        <w:ind w:firstLine="0"/>
        <w:rPr>
          <w:rFonts w:ascii="黑体" w:hAnsi="黑体" w:eastAsia="黑体"/>
          <w:sz w:val="36"/>
          <w:szCs w:val="36"/>
        </w:rPr>
      </w:pPr>
    </w:p>
    <w:p>
      <w:pPr>
        <w:pStyle w:val="40"/>
        <w:spacing w:line="360" w:lineRule="auto"/>
        <w:rPr>
          <w:rFonts w:ascii="黑体" w:hAnsi="黑体" w:eastAsia="黑体"/>
          <w:sz w:val="36"/>
          <w:szCs w:val="36"/>
        </w:rPr>
      </w:pPr>
    </w:p>
    <w:p>
      <w:pPr>
        <w:pStyle w:val="40"/>
        <w:spacing w:line="360" w:lineRule="auto"/>
        <w:rPr>
          <w:rFonts w:ascii="黑体" w:hAnsi="黑体" w:eastAsia="黑体"/>
          <w:sz w:val="36"/>
          <w:szCs w:val="36"/>
        </w:rPr>
      </w:pPr>
    </w:p>
    <w:p>
      <w:pPr>
        <w:snapToGrid w:val="0"/>
        <w:spacing w:line="360" w:lineRule="auto"/>
        <w:jc w:val="center"/>
        <w:rPr>
          <w:sz w:val="72"/>
          <w:szCs w:val="72"/>
        </w:rPr>
      </w:pPr>
      <w:r>
        <w:rPr>
          <w:rFonts w:hint="eastAsia" w:ascii="黑体" w:hAnsi="黑体" w:eastAsia="黑体" w:cs="宋体"/>
          <w:b/>
          <w:color w:val="000000"/>
          <w:kern w:val="0"/>
          <w:sz w:val="72"/>
          <w:szCs w:val="72"/>
        </w:rPr>
        <w:t>询价文件</w:t>
      </w:r>
    </w:p>
    <w:p>
      <w:pPr>
        <w:spacing w:line="360" w:lineRule="auto"/>
        <w:jc w:val="center"/>
        <w:rPr>
          <w:rFonts w:ascii="宋体" w:hAnsi="宋体" w:cs="宋体"/>
          <w:b/>
          <w:color w:val="000000"/>
          <w:kern w:val="0"/>
          <w:sz w:val="28"/>
          <w:szCs w:val="28"/>
        </w:rPr>
      </w:pPr>
      <w:r>
        <w:rPr>
          <w:rFonts w:hint="eastAsia"/>
        </w:rPr>
        <w:t xml:space="preserve"> </w:t>
      </w:r>
      <w:r>
        <w:rPr>
          <w:rFonts w:hint="eastAsia" w:ascii="宋体" w:hAnsi="宋体" w:cs="宋体"/>
          <w:b/>
          <w:color w:val="000000"/>
          <w:kern w:val="0"/>
          <w:sz w:val="28"/>
          <w:szCs w:val="28"/>
        </w:rPr>
        <w:t>省港货（2024）年询第  号[集星]</w:t>
      </w:r>
    </w:p>
    <w:p>
      <w:pPr>
        <w:spacing w:line="360" w:lineRule="auto"/>
      </w:pPr>
    </w:p>
    <w:p>
      <w:pPr>
        <w:pStyle w:val="40"/>
        <w:spacing w:line="360" w:lineRule="auto"/>
        <w:ind w:firstLine="0"/>
      </w:pPr>
    </w:p>
    <w:p>
      <w:pPr>
        <w:pStyle w:val="40"/>
        <w:spacing w:line="360" w:lineRule="auto"/>
      </w:pPr>
    </w:p>
    <w:p>
      <w:pPr>
        <w:pStyle w:val="40"/>
        <w:spacing w:line="360" w:lineRule="auto"/>
        <w:ind w:firstLine="0"/>
      </w:pPr>
    </w:p>
    <w:p>
      <w:pPr>
        <w:pStyle w:val="40"/>
        <w:spacing w:line="360" w:lineRule="auto"/>
        <w:ind w:firstLine="0"/>
      </w:pPr>
    </w:p>
    <w:p>
      <w:pPr>
        <w:snapToGrid w:val="0"/>
        <w:spacing w:line="360" w:lineRule="auto"/>
        <w:jc w:val="center"/>
        <w:rPr>
          <w:rFonts w:ascii="黑体" w:hAnsi="黑体" w:eastAsia="黑体"/>
          <w:bCs/>
          <w:sz w:val="40"/>
          <w:szCs w:val="40"/>
        </w:rPr>
      </w:pPr>
      <w:r>
        <w:rPr>
          <w:rFonts w:hint="eastAsia" w:ascii="黑体" w:hAnsi="黑体" w:eastAsia="黑体"/>
          <w:bCs/>
          <w:sz w:val="40"/>
          <w:szCs w:val="40"/>
        </w:rPr>
        <w:t>长沙集星集装箱码头有限公司</w:t>
      </w:r>
    </w:p>
    <w:p>
      <w:pPr>
        <w:tabs>
          <w:tab w:val="left" w:pos="0"/>
          <w:tab w:val="left" w:pos="4185"/>
        </w:tabs>
        <w:spacing w:line="360" w:lineRule="auto"/>
        <w:ind w:right="-6"/>
        <w:jc w:val="center"/>
        <w:rPr>
          <w:rFonts w:ascii="方正小标宋简体" w:hAnsi="黑体" w:eastAsia="方正小标宋简体"/>
          <w:sz w:val="28"/>
          <w:szCs w:val="28"/>
        </w:rPr>
      </w:pPr>
      <w:r>
        <w:rPr>
          <w:rFonts w:hint="eastAsia" w:ascii="黑体" w:hAnsi="黑体" w:eastAsia="黑体"/>
          <w:bCs/>
          <w:sz w:val="40"/>
          <w:szCs w:val="40"/>
        </w:rPr>
        <w:t>二О二四年六月</w:t>
      </w:r>
    </w:p>
    <w:p>
      <w:pPr>
        <w:spacing w:line="360" w:lineRule="auto"/>
        <w:rPr>
          <w:rFonts w:ascii="黑体" w:hAnsi="黑体" w:eastAsia="黑体"/>
          <w:sz w:val="44"/>
          <w:szCs w:val="44"/>
          <w:lang w:val="zh-CN"/>
        </w:rPr>
      </w:pPr>
    </w:p>
    <w:p>
      <w:pPr>
        <w:pStyle w:val="191"/>
        <w:keepNext w:val="0"/>
        <w:keepLines w:val="0"/>
        <w:widowControl w:val="0"/>
        <w:spacing w:before="0" w:line="360" w:lineRule="auto"/>
        <w:ind w:left="440"/>
        <w:jc w:val="center"/>
        <w:rPr>
          <w:rFonts w:ascii="黑体" w:hAnsi="黑体" w:eastAsia="黑体"/>
          <w:b w:val="0"/>
          <w:color w:val="auto"/>
          <w:sz w:val="44"/>
          <w:szCs w:val="44"/>
          <w:lang w:val="zh-CN"/>
        </w:rPr>
      </w:pPr>
      <w:r>
        <w:rPr>
          <w:rFonts w:ascii="黑体" w:hAnsi="黑体" w:eastAsia="黑体"/>
          <w:b w:val="0"/>
          <w:color w:val="auto"/>
          <w:sz w:val="44"/>
          <w:szCs w:val="44"/>
          <w:lang w:val="zh-CN"/>
        </w:rPr>
        <w:t>目    录</w:t>
      </w:r>
    </w:p>
    <w:p>
      <w:pPr>
        <w:spacing w:line="360" w:lineRule="auto"/>
        <w:jc w:val="center"/>
        <w:rPr>
          <w:rFonts w:eastAsia="华文楷体"/>
          <w:sz w:val="28"/>
          <w:szCs w:val="28"/>
          <w:lang w:val="zh-CN"/>
        </w:rPr>
      </w:pPr>
    </w:p>
    <w:p>
      <w:pPr>
        <w:pStyle w:val="27"/>
        <w:tabs>
          <w:tab w:val="left" w:pos="1050"/>
          <w:tab w:val="right" w:leader="dot" w:pos="9660"/>
          <w:tab w:val="clear" w:pos="9242"/>
        </w:tabs>
        <w:spacing w:before="60" w:after="60" w:line="360" w:lineRule="auto"/>
        <w:rPr>
          <w:rFonts w:hAnsi="宋体" w:cs="宋体"/>
          <w:sz w:val="24"/>
          <w:szCs w:val="24"/>
        </w:rPr>
      </w:pPr>
      <w:r>
        <w:rPr>
          <w:rFonts w:hint="eastAsia" w:hAnsi="宋体" w:cs="宋体"/>
          <w:sz w:val="24"/>
          <w:szCs w:val="24"/>
        </w:rPr>
        <w:fldChar w:fldCharType="begin"/>
      </w:r>
      <w:r>
        <w:rPr>
          <w:rFonts w:hint="eastAsia" w:hAnsi="宋体" w:cs="宋体"/>
          <w:sz w:val="24"/>
          <w:szCs w:val="24"/>
        </w:rPr>
        <w:instrText xml:space="preserve"> TOC \o "1-3" \h \z \u </w:instrText>
      </w:r>
      <w:r>
        <w:rPr>
          <w:rFonts w:hint="eastAsia" w:hAnsi="宋体" w:cs="宋体"/>
          <w:sz w:val="24"/>
          <w:szCs w:val="24"/>
        </w:rPr>
        <w:fldChar w:fldCharType="separate"/>
      </w:r>
      <w:r>
        <w:fldChar w:fldCharType="begin"/>
      </w:r>
      <w:r>
        <w:instrText xml:space="preserve"> HYPERLINK \l "_Toc106039321" </w:instrText>
      </w:r>
      <w:r>
        <w:fldChar w:fldCharType="separate"/>
      </w:r>
      <w:r>
        <w:rPr>
          <w:rStyle w:val="48"/>
          <w:rFonts w:hint="eastAsia" w:hAnsi="宋体" w:cs="宋体"/>
          <w:sz w:val="24"/>
          <w:szCs w:val="24"/>
        </w:rPr>
        <w:t>第一章  采购公告</w:t>
      </w:r>
      <w:r>
        <w:rPr>
          <w:rFonts w:hint="eastAsia" w:hAnsi="宋体" w:cs="宋体"/>
          <w:sz w:val="24"/>
          <w:szCs w:val="24"/>
        </w:rPr>
        <w:tab/>
      </w:r>
      <w:r>
        <w:rPr>
          <w:rFonts w:hint="eastAsia" w:hAnsi="宋体" w:cs="宋体"/>
          <w:sz w:val="24"/>
          <w:szCs w:val="24"/>
        </w:rPr>
        <w:fldChar w:fldCharType="begin"/>
      </w:r>
      <w:r>
        <w:rPr>
          <w:rFonts w:hint="eastAsia" w:hAnsi="宋体" w:cs="宋体"/>
          <w:sz w:val="24"/>
          <w:szCs w:val="24"/>
        </w:rPr>
        <w:instrText xml:space="preserve"> PAGEREF _Toc106039321 \h </w:instrText>
      </w:r>
      <w:r>
        <w:rPr>
          <w:rFonts w:hint="eastAsia" w:hAnsi="宋体" w:cs="宋体"/>
          <w:sz w:val="24"/>
          <w:szCs w:val="24"/>
        </w:rPr>
        <w:fldChar w:fldCharType="separate"/>
      </w:r>
      <w:r>
        <w:rPr>
          <w:rFonts w:hint="eastAsia" w:hAnsi="宋体" w:cs="宋体"/>
          <w:sz w:val="24"/>
          <w:szCs w:val="24"/>
        </w:rPr>
        <w:t>3</w:t>
      </w:r>
      <w:r>
        <w:rPr>
          <w:rFonts w:hint="eastAsia" w:hAnsi="宋体" w:cs="宋体"/>
          <w:sz w:val="24"/>
          <w:szCs w:val="24"/>
        </w:rPr>
        <w:fldChar w:fldCharType="end"/>
      </w:r>
      <w:r>
        <w:rPr>
          <w:rFonts w:hint="eastAsia" w:hAnsi="宋体" w:cs="宋体"/>
          <w:sz w:val="24"/>
          <w:szCs w:val="24"/>
        </w:rPr>
        <w:fldChar w:fldCharType="end"/>
      </w:r>
    </w:p>
    <w:p>
      <w:pPr>
        <w:pStyle w:val="27"/>
        <w:tabs>
          <w:tab w:val="right" w:leader="dot" w:pos="9660"/>
          <w:tab w:val="clear" w:pos="9242"/>
        </w:tabs>
        <w:spacing w:before="60" w:after="60" w:line="360" w:lineRule="auto"/>
        <w:rPr>
          <w:rFonts w:hAnsi="宋体" w:cs="宋体"/>
          <w:sz w:val="24"/>
          <w:szCs w:val="24"/>
        </w:rPr>
      </w:pPr>
      <w:r>
        <w:fldChar w:fldCharType="begin"/>
      </w:r>
      <w:r>
        <w:instrText xml:space="preserve"> HYPERLINK \l "_Toc106039332" </w:instrText>
      </w:r>
      <w:r>
        <w:fldChar w:fldCharType="separate"/>
      </w:r>
      <w:r>
        <w:rPr>
          <w:rStyle w:val="48"/>
          <w:rFonts w:hint="eastAsia" w:hAnsi="宋体" w:cs="宋体"/>
          <w:sz w:val="24"/>
          <w:szCs w:val="24"/>
        </w:rPr>
        <w:t>第二章  供应商须知</w:t>
      </w:r>
      <w:r>
        <w:rPr>
          <w:rFonts w:hint="eastAsia" w:hAnsi="宋体" w:cs="宋体"/>
          <w:sz w:val="24"/>
          <w:szCs w:val="24"/>
        </w:rPr>
        <w:tab/>
      </w:r>
      <w:r>
        <w:rPr>
          <w:rFonts w:hint="eastAsia" w:hAnsi="宋体" w:cs="宋体"/>
          <w:sz w:val="24"/>
          <w:szCs w:val="24"/>
        </w:rPr>
        <w:fldChar w:fldCharType="begin"/>
      </w:r>
      <w:r>
        <w:rPr>
          <w:rFonts w:hint="eastAsia" w:hAnsi="宋体" w:cs="宋体"/>
          <w:sz w:val="24"/>
          <w:szCs w:val="24"/>
        </w:rPr>
        <w:instrText xml:space="preserve"> PAGEREF _Toc106039332 \h </w:instrText>
      </w:r>
      <w:r>
        <w:rPr>
          <w:rFonts w:hint="eastAsia" w:hAnsi="宋体" w:cs="宋体"/>
          <w:sz w:val="24"/>
          <w:szCs w:val="24"/>
        </w:rPr>
        <w:fldChar w:fldCharType="separate"/>
      </w:r>
      <w:r>
        <w:rPr>
          <w:rFonts w:hint="eastAsia" w:hAnsi="宋体" w:cs="宋体"/>
          <w:sz w:val="24"/>
          <w:szCs w:val="24"/>
        </w:rPr>
        <w:t>6</w:t>
      </w:r>
      <w:r>
        <w:rPr>
          <w:rFonts w:hint="eastAsia" w:hAnsi="宋体" w:cs="宋体"/>
          <w:sz w:val="24"/>
          <w:szCs w:val="24"/>
        </w:rPr>
        <w:fldChar w:fldCharType="end"/>
      </w:r>
      <w:r>
        <w:rPr>
          <w:rFonts w:hint="eastAsia" w:hAnsi="宋体" w:cs="宋体"/>
          <w:sz w:val="24"/>
          <w:szCs w:val="24"/>
        </w:rPr>
        <w:fldChar w:fldCharType="end"/>
      </w:r>
    </w:p>
    <w:p>
      <w:pPr>
        <w:pStyle w:val="27"/>
        <w:tabs>
          <w:tab w:val="right" w:leader="dot" w:pos="9660"/>
          <w:tab w:val="clear" w:pos="9242"/>
        </w:tabs>
        <w:spacing w:before="60" w:after="60" w:line="360" w:lineRule="auto"/>
        <w:rPr>
          <w:rFonts w:hAnsi="宋体" w:cs="宋体"/>
          <w:sz w:val="24"/>
          <w:szCs w:val="24"/>
        </w:rPr>
      </w:pPr>
      <w:r>
        <w:fldChar w:fldCharType="begin"/>
      </w:r>
      <w:r>
        <w:instrText xml:space="preserve"> HYPERLINK \l "_Toc106039350" </w:instrText>
      </w:r>
      <w:r>
        <w:fldChar w:fldCharType="separate"/>
      </w:r>
      <w:r>
        <w:rPr>
          <w:rStyle w:val="48"/>
          <w:rFonts w:hint="eastAsia" w:hAnsi="宋体" w:cs="宋体"/>
          <w:sz w:val="24"/>
          <w:szCs w:val="24"/>
        </w:rPr>
        <w:t>第三章 评审办法</w:t>
      </w:r>
      <w:r>
        <w:rPr>
          <w:rFonts w:hint="eastAsia" w:hAnsi="宋体" w:cs="宋体"/>
          <w:sz w:val="24"/>
          <w:szCs w:val="24"/>
        </w:rPr>
        <w:tab/>
      </w:r>
      <w:r>
        <w:rPr>
          <w:rFonts w:hint="eastAsia" w:hAnsi="宋体" w:cs="宋体"/>
          <w:sz w:val="24"/>
          <w:szCs w:val="24"/>
        </w:rPr>
        <w:fldChar w:fldCharType="begin"/>
      </w:r>
      <w:r>
        <w:rPr>
          <w:rFonts w:hint="eastAsia" w:hAnsi="宋体" w:cs="宋体"/>
          <w:sz w:val="24"/>
          <w:szCs w:val="24"/>
        </w:rPr>
        <w:instrText xml:space="preserve"> PAGEREF _Toc106039350 \h </w:instrText>
      </w:r>
      <w:r>
        <w:rPr>
          <w:rFonts w:hint="eastAsia" w:hAnsi="宋体" w:cs="宋体"/>
          <w:sz w:val="24"/>
          <w:szCs w:val="24"/>
        </w:rPr>
        <w:fldChar w:fldCharType="separate"/>
      </w:r>
      <w:r>
        <w:rPr>
          <w:rFonts w:hint="eastAsia" w:hAnsi="宋体" w:cs="宋体"/>
          <w:sz w:val="24"/>
          <w:szCs w:val="24"/>
        </w:rPr>
        <w:t>23</w:t>
      </w:r>
      <w:r>
        <w:rPr>
          <w:rFonts w:hint="eastAsia" w:hAnsi="宋体" w:cs="宋体"/>
          <w:sz w:val="24"/>
          <w:szCs w:val="24"/>
        </w:rPr>
        <w:fldChar w:fldCharType="end"/>
      </w:r>
      <w:r>
        <w:rPr>
          <w:rFonts w:hint="eastAsia" w:hAnsi="宋体" w:cs="宋体"/>
          <w:sz w:val="24"/>
          <w:szCs w:val="24"/>
        </w:rPr>
        <w:fldChar w:fldCharType="end"/>
      </w:r>
    </w:p>
    <w:p>
      <w:pPr>
        <w:pStyle w:val="27"/>
        <w:tabs>
          <w:tab w:val="right" w:leader="dot" w:pos="9660"/>
          <w:tab w:val="clear" w:pos="9242"/>
        </w:tabs>
        <w:spacing w:before="60" w:after="60" w:line="360" w:lineRule="auto"/>
        <w:rPr>
          <w:rFonts w:hAnsi="宋体" w:cs="宋体"/>
          <w:sz w:val="24"/>
          <w:szCs w:val="24"/>
        </w:rPr>
      </w:pPr>
      <w:r>
        <w:fldChar w:fldCharType="begin"/>
      </w:r>
      <w:r>
        <w:instrText xml:space="preserve"> HYPERLINK \l "_Toc106039357" </w:instrText>
      </w:r>
      <w:r>
        <w:fldChar w:fldCharType="separate"/>
      </w:r>
      <w:r>
        <w:rPr>
          <w:rStyle w:val="48"/>
          <w:rFonts w:hint="eastAsia" w:hAnsi="宋体" w:cs="宋体"/>
          <w:sz w:val="24"/>
          <w:szCs w:val="24"/>
        </w:rPr>
        <w:t>第四章  合同条款及格式</w:t>
      </w:r>
      <w:r>
        <w:rPr>
          <w:rFonts w:hint="eastAsia" w:hAnsi="宋体" w:cs="宋体"/>
          <w:sz w:val="24"/>
          <w:szCs w:val="24"/>
        </w:rPr>
        <w:tab/>
      </w:r>
      <w:r>
        <w:rPr>
          <w:rFonts w:hint="eastAsia" w:hAnsi="宋体" w:cs="宋体"/>
          <w:sz w:val="24"/>
          <w:szCs w:val="24"/>
        </w:rPr>
        <w:fldChar w:fldCharType="begin"/>
      </w:r>
      <w:r>
        <w:rPr>
          <w:rFonts w:hint="eastAsia" w:hAnsi="宋体" w:cs="宋体"/>
          <w:sz w:val="24"/>
          <w:szCs w:val="24"/>
        </w:rPr>
        <w:instrText xml:space="preserve"> PAGEREF _Toc106039357 \h </w:instrText>
      </w:r>
      <w:r>
        <w:rPr>
          <w:rFonts w:hint="eastAsia" w:hAnsi="宋体" w:cs="宋体"/>
          <w:sz w:val="24"/>
          <w:szCs w:val="24"/>
        </w:rPr>
        <w:fldChar w:fldCharType="separate"/>
      </w:r>
      <w:r>
        <w:rPr>
          <w:rFonts w:hint="eastAsia" w:hAnsi="宋体" w:cs="宋体"/>
          <w:sz w:val="24"/>
          <w:szCs w:val="24"/>
        </w:rPr>
        <w:t>26</w:t>
      </w:r>
      <w:r>
        <w:rPr>
          <w:rFonts w:hint="eastAsia" w:hAnsi="宋体" w:cs="宋体"/>
          <w:sz w:val="24"/>
          <w:szCs w:val="24"/>
        </w:rPr>
        <w:fldChar w:fldCharType="end"/>
      </w:r>
      <w:r>
        <w:rPr>
          <w:rFonts w:hint="eastAsia" w:hAnsi="宋体" w:cs="宋体"/>
          <w:sz w:val="24"/>
          <w:szCs w:val="24"/>
        </w:rPr>
        <w:fldChar w:fldCharType="end"/>
      </w:r>
    </w:p>
    <w:p>
      <w:pPr>
        <w:pStyle w:val="27"/>
        <w:tabs>
          <w:tab w:val="right" w:leader="dot" w:pos="9660"/>
          <w:tab w:val="clear" w:pos="9242"/>
        </w:tabs>
        <w:spacing w:before="60" w:after="60" w:line="360" w:lineRule="auto"/>
        <w:rPr>
          <w:rFonts w:hAnsi="宋体" w:cs="宋体"/>
          <w:sz w:val="24"/>
          <w:szCs w:val="24"/>
        </w:rPr>
      </w:pPr>
      <w:r>
        <w:fldChar w:fldCharType="begin"/>
      </w:r>
      <w:r>
        <w:instrText xml:space="preserve"> HYPERLINK \l "_Toc106039362" </w:instrText>
      </w:r>
      <w:r>
        <w:fldChar w:fldCharType="separate"/>
      </w:r>
      <w:r>
        <w:rPr>
          <w:rStyle w:val="48"/>
          <w:rFonts w:hint="eastAsia" w:hAnsi="宋体" w:cs="宋体"/>
          <w:sz w:val="24"/>
          <w:szCs w:val="24"/>
        </w:rPr>
        <w:t>第五章  采购需求</w:t>
      </w:r>
      <w:r>
        <w:rPr>
          <w:rFonts w:hint="eastAsia" w:hAnsi="宋体" w:cs="宋体"/>
          <w:sz w:val="24"/>
          <w:szCs w:val="24"/>
        </w:rPr>
        <w:tab/>
      </w:r>
      <w:r>
        <w:rPr>
          <w:rFonts w:hint="eastAsia" w:hAnsi="宋体" w:cs="宋体"/>
          <w:sz w:val="24"/>
          <w:szCs w:val="24"/>
        </w:rPr>
        <w:fldChar w:fldCharType="begin"/>
      </w:r>
      <w:r>
        <w:rPr>
          <w:rFonts w:hint="eastAsia" w:hAnsi="宋体" w:cs="宋体"/>
          <w:sz w:val="24"/>
          <w:szCs w:val="24"/>
        </w:rPr>
        <w:instrText xml:space="preserve"> PAGEREF _Toc106039362 \h </w:instrText>
      </w:r>
      <w:r>
        <w:rPr>
          <w:rFonts w:hint="eastAsia" w:hAnsi="宋体" w:cs="宋体"/>
          <w:sz w:val="24"/>
          <w:szCs w:val="24"/>
        </w:rPr>
        <w:fldChar w:fldCharType="separate"/>
      </w:r>
      <w:r>
        <w:rPr>
          <w:rFonts w:hint="eastAsia" w:hAnsi="宋体" w:cs="宋体"/>
          <w:sz w:val="24"/>
          <w:szCs w:val="24"/>
        </w:rPr>
        <w:t>35</w:t>
      </w:r>
      <w:r>
        <w:rPr>
          <w:rFonts w:hint="eastAsia" w:hAnsi="宋体" w:cs="宋体"/>
          <w:sz w:val="24"/>
          <w:szCs w:val="24"/>
        </w:rPr>
        <w:fldChar w:fldCharType="end"/>
      </w:r>
      <w:r>
        <w:rPr>
          <w:rFonts w:hint="eastAsia" w:hAnsi="宋体" w:cs="宋体"/>
          <w:sz w:val="24"/>
          <w:szCs w:val="24"/>
        </w:rPr>
        <w:fldChar w:fldCharType="end"/>
      </w:r>
    </w:p>
    <w:p>
      <w:pPr>
        <w:pStyle w:val="27"/>
        <w:tabs>
          <w:tab w:val="right" w:leader="dot" w:pos="9660"/>
          <w:tab w:val="clear" w:pos="9242"/>
        </w:tabs>
        <w:spacing w:before="60" w:after="60" w:line="360" w:lineRule="auto"/>
        <w:rPr>
          <w:rFonts w:hAnsi="宋体" w:cs="宋体"/>
          <w:sz w:val="24"/>
          <w:szCs w:val="24"/>
        </w:rPr>
      </w:pPr>
      <w:r>
        <w:fldChar w:fldCharType="begin"/>
      </w:r>
      <w:r>
        <w:instrText xml:space="preserve"> HYPERLINK \l "_Toc106039363" </w:instrText>
      </w:r>
      <w:r>
        <w:fldChar w:fldCharType="separate"/>
      </w:r>
      <w:r>
        <w:rPr>
          <w:rStyle w:val="48"/>
          <w:rFonts w:hint="eastAsia" w:hAnsi="宋体" w:cs="宋体"/>
          <w:sz w:val="24"/>
          <w:szCs w:val="24"/>
        </w:rPr>
        <w:t>第六章  响应文件格式</w:t>
      </w:r>
      <w:r>
        <w:rPr>
          <w:rFonts w:hint="eastAsia" w:hAnsi="宋体" w:cs="宋体"/>
          <w:sz w:val="24"/>
          <w:szCs w:val="24"/>
        </w:rPr>
        <w:tab/>
      </w:r>
      <w:r>
        <w:rPr>
          <w:rFonts w:hint="eastAsia" w:hAnsi="宋体" w:cs="宋体"/>
          <w:sz w:val="24"/>
          <w:szCs w:val="24"/>
        </w:rPr>
        <w:fldChar w:fldCharType="begin"/>
      </w:r>
      <w:r>
        <w:rPr>
          <w:rFonts w:hint="eastAsia" w:hAnsi="宋体" w:cs="宋体"/>
          <w:sz w:val="24"/>
          <w:szCs w:val="24"/>
        </w:rPr>
        <w:instrText xml:space="preserve"> PAGEREF _Toc106039363 \h </w:instrText>
      </w:r>
      <w:r>
        <w:rPr>
          <w:rFonts w:hint="eastAsia" w:hAnsi="宋体" w:cs="宋体"/>
          <w:sz w:val="24"/>
          <w:szCs w:val="24"/>
        </w:rPr>
        <w:fldChar w:fldCharType="separate"/>
      </w:r>
      <w:r>
        <w:rPr>
          <w:rFonts w:hint="eastAsia" w:hAnsi="宋体" w:cs="宋体"/>
          <w:sz w:val="24"/>
          <w:szCs w:val="24"/>
        </w:rPr>
        <w:t>37</w:t>
      </w:r>
      <w:r>
        <w:rPr>
          <w:rFonts w:hint="eastAsia" w:hAnsi="宋体" w:cs="宋体"/>
          <w:sz w:val="24"/>
          <w:szCs w:val="24"/>
        </w:rPr>
        <w:fldChar w:fldCharType="end"/>
      </w:r>
      <w:r>
        <w:rPr>
          <w:rFonts w:hint="eastAsia" w:hAnsi="宋体" w:cs="宋体"/>
          <w:sz w:val="24"/>
          <w:szCs w:val="24"/>
        </w:rPr>
        <w:fldChar w:fldCharType="end"/>
      </w:r>
    </w:p>
    <w:p>
      <w:pPr>
        <w:pStyle w:val="33"/>
        <w:tabs>
          <w:tab w:val="right" w:leader="dot" w:pos="9736"/>
        </w:tabs>
        <w:spacing w:line="360" w:lineRule="auto"/>
        <w:rPr>
          <w:rFonts w:ascii="宋体" w:hAnsi="宋体" w:eastAsia="宋体" w:cs="宋体"/>
          <w:color w:val="auto"/>
          <w:sz w:val="24"/>
          <w:szCs w:val="24"/>
        </w:rPr>
      </w:pPr>
      <w:r>
        <w:fldChar w:fldCharType="begin"/>
      </w:r>
      <w:r>
        <w:instrText xml:space="preserve"> HYPERLINK \l "_Toc106039364" </w:instrText>
      </w:r>
      <w:r>
        <w:fldChar w:fldCharType="separate"/>
      </w:r>
      <w:r>
        <w:rPr>
          <w:rStyle w:val="48"/>
          <w:rFonts w:hint="eastAsia" w:ascii="宋体" w:hAnsi="宋体" w:eastAsia="宋体" w:cs="宋体"/>
          <w:sz w:val="24"/>
          <w:szCs w:val="24"/>
        </w:rPr>
        <w:t>一、响应函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_Toc106039364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3"/>
        <w:tabs>
          <w:tab w:val="right" w:leader="dot" w:pos="9736"/>
        </w:tabs>
        <w:spacing w:line="360" w:lineRule="auto"/>
        <w:rPr>
          <w:rFonts w:ascii="宋体" w:hAnsi="宋体" w:eastAsia="宋体" w:cs="宋体"/>
          <w:color w:val="auto"/>
          <w:sz w:val="24"/>
          <w:szCs w:val="24"/>
        </w:rPr>
      </w:pPr>
      <w:r>
        <w:fldChar w:fldCharType="begin"/>
      </w:r>
      <w:r>
        <w:instrText xml:space="preserve"> HYPERLINK \l "_Toc106039365" </w:instrText>
      </w:r>
      <w:r>
        <w:fldChar w:fldCharType="separate"/>
      </w:r>
      <w:r>
        <w:rPr>
          <w:rStyle w:val="48"/>
          <w:rFonts w:hint="eastAsia" w:ascii="宋体" w:hAnsi="宋体" w:eastAsia="宋体" w:cs="宋体"/>
          <w:sz w:val="24"/>
          <w:szCs w:val="24"/>
        </w:rPr>
        <w:t>二、授权委托书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_Toc106039365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3"/>
        <w:tabs>
          <w:tab w:val="right" w:leader="dot" w:pos="9736"/>
        </w:tabs>
        <w:spacing w:line="360" w:lineRule="auto"/>
        <w:rPr>
          <w:rFonts w:ascii="宋体" w:hAnsi="宋体" w:eastAsia="宋体" w:cs="宋体"/>
          <w:color w:val="auto"/>
          <w:sz w:val="24"/>
          <w:szCs w:val="24"/>
        </w:rPr>
      </w:pPr>
      <w:r>
        <w:fldChar w:fldCharType="begin"/>
      </w:r>
      <w:r>
        <w:instrText xml:space="preserve"> HYPERLINK \l "_Toc106039366" </w:instrText>
      </w:r>
      <w:r>
        <w:fldChar w:fldCharType="separate"/>
      </w:r>
      <w:r>
        <w:rPr>
          <w:rStyle w:val="48"/>
          <w:rFonts w:hint="eastAsia" w:ascii="宋体" w:hAnsi="宋体" w:eastAsia="宋体" w:cs="宋体"/>
          <w:sz w:val="24"/>
          <w:szCs w:val="24"/>
        </w:rPr>
        <w:t>三、商务和技术偏差表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_Toc106039366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3"/>
        <w:tabs>
          <w:tab w:val="right" w:leader="dot" w:pos="9736"/>
        </w:tabs>
        <w:spacing w:line="360" w:lineRule="auto"/>
        <w:rPr>
          <w:rFonts w:ascii="宋体" w:hAnsi="宋体" w:eastAsia="宋体" w:cs="宋体"/>
          <w:sz w:val="24"/>
          <w:szCs w:val="24"/>
        </w:rPr>
      </w:pPr>
      <w:r>
        <w:fldChar w:fldCharType="begin"/>
      </w:r>
      <w:r>
        <w:instrText xml:space="preserve"> HYPERLINK \l "_Toc106039367" </w:instrText>
      </w:r>
      <w:r>
        <w:fldChar w:fldCharType="separate"/>
      </w:r>
      <w:r>
        <w:rPr>
          <w:rStyle w:val="48"/>
          <w:rFonts w:hint="eastAsia" w:ascii="宋体" w:hAnsi="宋体" w:eastAsia="宋体" w:cs="宋体"/>
          <w:sz w:val="24"/>
          <w:szCs w:val="24"/>
        </w:rPr>
        <w:t>四、报价表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_Toc106039367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3"/>
        <w:tabs>
          <w:tab w:val="right" w:leader="dot" w:pos="9736"/>
        </w:tabs>
        <w:spacing w:line="360" w:lineRule="auto"/>
        <w:rPr>
          <w:rFonts w:ascii="宋体" w:hAnsi="宋体" w:eastAsia="宋体" w:cs="宋体"/>
          <w:color w:val="auto"/>
          <w:sz w:val="24"/>
          <w:szCs w:val="24"/>
        </w:rPr>
      </w:pPr>
      <w:r>
        <w:fldChar w:fldCharType="begin"/>
      </w:r>
      <w:r>
        <w:instrText xml:space="preserve"> HYPERLINK \l "_Toc106039369" </w:instrText>
      </w:r>
      <w:r>
        <w:fldChar w:fldCharType="separate"/>
      </w:r>
      <w:r>
        <w:rPr>
          <w:rStyle w:val="48"/>
          <w:rFonts w:hint="eastAsia" w:ascii="宋体" w:hAnsi="宋体" w:eastAsia="宋体" w:cs="宋体"/>
          <w:sz w:val="24"/>
          <w:szCs w:val="24"/>
        </w:rPr>
        <w:t>五、资格审查资料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_Toc106039369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3"/>
        <w:tabs>
          <w:tab w:val="right" w:leader="dot" w:pos="9736"/>
        </w:tabs>
        <w:spacing w:line="360" w:lineRule="auto"/>
        <w:rPr>
          <w:rFonts w:ascii="宋体" w:hAnsi="宋体" w:eastAsia="宋体" w:cs="宋体"/>
          <w:color w:val="auto"/>
          <w:sz w:val="24"/>
          <w:szCs w:val="24"/>
        </w:rPr>
      </w:pPr>
      <w:r>
        <w:fldChar w:fldCharType="begin"/>
      </w:r>
      <w:r>
        <w:instrText xml:space="preserve"> HYPERLINK \l "_Toc106039375" </w:instrText>
      </w:r>
      <w:r>
        <w:fldChar w:fldCharType="separate"/>
      </w:r>
      <w:r>
        <w:rPr>
          <w:rStyle w:val="48"/>
          <w:rFonts w:hint="eastAsia" w:ascii="宋体" w:hAnsi="宋体" w:eastAsia="宋体" w:cs="宋体"/>
          <w:sz w:val="24"/>
          <w:szCs w:val="24"/>
        </w:rPr>
        <w:t>六、响应方案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_Toc106039375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3"/>
        <w:tabs>
          <w:tab w:val="right" w:leader="dot" w:pos="9736"/>
        </w:tabs>
        <w:spacing w:line="360" w:lineRule="auto"/>
        <w:rPr>
          <w:rFonts w:ascii="宋体" w:hAnsi="宋体" w:eastAsia="宋体" w:cs="宋体"/>
          <w:color w:val="auto"/>
          <w:sz w:val="24"/>
          <w:szCs w:val="24"/>
        </w:rPr>
      </w:pPr>
      <w:r>
        <w:fldChar w:fldCharType="begin"/>
      </w:r>
      <w:r>
        <w:instrText xml:space="preserve"> HYPERLINK \l "_Toc106039376" </w:instrText>
      </w:r>
      <w:r>
        <w:fldChar w:fldCharType="separate"/>
      </w:r>
      <w:r>
        <w:rPr>
          <w:rStyle w:val="48"/>
          <w:rFonts w:hint="eastAsia" w:ascii="宋体" w:hAnsi="宋体" w:eastAsia="宋体" w:cs="宋体"/>
          <w:sz w:val="24"/>
          <w:szCs w:val="24"/>
        </w:rPr>
        <w:t>七、其他资料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_Toc106039376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widowControl w:val="0"/>
        <w:tabs>
          <w:tab w:val="right" w:leader="dot" w:pos="8948"/>
          <w:tab w:val="clear" w:pos="9242"/>
        </w:tabs>
        <w:adjustRightInd w:val="0"/>
        <w:snapToGrid w:val="0"/>
        <w:spacing w:before="60" w:after="60" w:line="360" w:lineRule="auto"/>
        <w:rPr>
          <w:rFonts w:hAnsi="宋体" w:cs="宋体"/>
          <w:sz w:val="24"/>
          <w:szCs w:val="24"/>
          <w:lang w:val="zh-CN"/>
        </w:rPr>
      </w:pPr>
      <w:r>
        <w:rPr>
          <w:rFonts w:hint="eastAsia" w:hAnsi="宋体" w:cs="宋体"/>
          <w:sz w:val="24"/>
          <w:szCs w:val="24"/>
          <w:lang w:val="zh-CN"/>
        </w:rPr>
        <w:fldChar w:fldCharType="end"/>
      </w:r>
    </w:p>
    <w:p>
      <w:pPr>
        <w:pStyle w:val="5"/>
        <w:spacing w:line="360" w:lineRule="auto"/>
        <w:rPr>
          <w:lang w:val="zh-CN"/>
        </w:rPr>
      </w:pPr>
      <w:r>
        <w:rPr>
          <w:lang w:val="zh-CN"/>
        </w:rPr>
        <w:br w:type="page"/>
      </w:r>
    </w:p>
    <w:p>
      <w:pPr>
        <w:pStyle w:val="81"/>
        <w:numPr>
          <w:ilvl w:val="0"/>
          <w:numId w:val="1"/>
        </w:numPr>
        <w:spacing w:line="360" w:lineRule="auto"/>
        <w:ind w:left="0" w:firstLine="0" w:firstLineChars="0"/>
        <w:jc w:val="center"/>
        <w:outlineLvl w:val="0"/>
        <w:rPr>
          <w:rFonts w:ascii="黑体" w:hAnsi="黑体" w:eastAsia="黑体" w:cs="仿宋"/>
          <w:b/>
          <w:color w:val="000000"/>
          <w:sz w:val="44"/>
          <w:szCs w:val="44"/>
        </w:rPr>
      </w:pPr>
      <w:bookmarkStart w:id="0" w:name="_Toc106039321"/>
      <w:r>
        <w:rPr>
          <w:rFonts w:hint="eastAsia" w:ascii="黑体" w:hAnsi="黑体" w:eastAsia="黑体" w:cs="仿宋"/>
          <w:b/>
          <w:color w:val="000000"/>
          <w:sz w:val="44"/>
          <w:szCs w:val="44"/>
        </w:rPr>
        <w:t>采购公告</w:t>
      </w:r>
      <w:bookmarkEnd w:id="0"/>
    </w:p>
    <w:p>
      <w:pPr>
        <w:pStyle w:val="36"/>
        <w:spacing w:before="0" w:beforeAutospacing="0" w:after="0" w:afterAutospacing="0" w:line="360" w:lineRule="auto"/>
        <w:jc w:val="center"/>
        <w:rPr>
          <w:rFonts w:ascii="黑体" w:hAnsi="黑体" w:eastAsia="黑体"/>
          <w:sz w:val="32"/>
          <w:szCs w:val="32"/>
        </w:rPr>
      </w:pPr>
      <w:r>
        <w:rPr>
          <w:rFonts w:hint="eastAsia" w:ascii="黑体" w:hAnsi="黑体" w:eastAsia="黑体"/>
          <w:sz w:val="32"/>
          <w:szCs w:val="32"/>
        </w:rPr>
        <w:t>长沙集星集装箱码头有限公司网络边界加固项目采购询价采购公告</w:t>
      </w:r>
    </w:p>
    <w:p>
      <w:pPr>
        <w:pStyle w:val="36"/>
        <w:spacing w:before="0" w:beforeAutospacing="0" w:after="0" w:afterAutospacing="0" w:line="360" w:lineRule="auto"/>
        <w:ind w:firstLine="2880" w:firstLineChars="1200"/>
        <w:jc w:val="both"/>
        <w:rPr>
          <w:rFonts w:cs="Times New Roman"/>
          <w:kern w:val="2"/>
        </w:rPr>
      </w:pPr>
      <w:r>
        <w:rPr>
          <w:rFonts w:hint="eastAsia" w:cs="Times New Roman"/>
          <w:kern w:val="2"/>
        </w:rPr>
        <w:t xml:space="preserve"> </w:t>
      </w:r>
    </w:p>
    <w:p>
      <w:pPr>
        <w:pStyle w:val="36"/>
        <w:spacing w:before="0" w:beforeAutospacing="0" w:after="0" w:afterAutospacing="0" w:line="360" w:lineRule="auto"/>
        <w:ind w:firstLine="480" w:firstLineChars="200"/>
        <w:jc w:val="both"/>
        <w:rPr>
          <w:rFonts w:cs="Times New Roman"/>
          <w:kern w:val="2"/>
        </w:rPr>
      </w:pPr>
      <w:r>
        <w:rPr>
          <w:rFonts w:hint="eastAsia" w:cs="Times New Roman"/>
          <w:kern w:val="2"/>
        </w:rPr>
        <w:t xml:space="preserve">长沙集星集装箱码头有限公司网络边界加固项目已具备采购条件，现公开邀请供应商参加采购活动。 </w:t>
      </w:r>
    </w:p>
    <w:p>
      <w:pPr>
        <w:pStyle w:val="4"/>
        <w:spacing w:line="360" w:lineRule="auto"/>
        <w:rPr>
          <w:rFonts w:ascii="Arial" w:hAnsi="Arial"/>
        </w:rPr>
      </w:pPr>
      <w:bookmarkStart w:id="1" w:name="_Toc106039322"/>
      <w:r>
        <w:rPr>
          <w:rFonts w:hint="eastAsia"/>
        </w:rPr>
        <w:t xml:space="preserve">1 </w:t>
      </w:r>
      <w:r>
        <w:rPr>
          <w:rFonts w:hint="eastAsia" w:ascii="黑体" w:hAnsi="黑体"/>
        </w:rPr>
        <w:t>采购项目简介</w:t>
      </w:r>
      <w:bookmarkEnd w:id="1"/>
      <w:r>
        <w:rPr>
          <w:rFonts w:hint="eastAsia" w:ascii="黑体" w:hAnsi="黑体"/>
        </w:rPr>
        <w:t xml:space="preserve"> </w:t>
      </w:r>
    </w:p>
    <w:p>
      <w:pPr>
        <w:autoSpaceDE w:val="0"/>
        <w:spacing w:line="360" w:lineRule="auto"/>
        <w:jc w:val="both"/>
        <w:rPr>
          <w:rFonts w:ascii="宋体" w:hAnsi="宋体"/>
          <w:sz w:val="24"/>
        </w:rPr>
      </w:pPr>
      <w:r>
        <w:rPr>
          <w:rFonts w:hint="eastAsia" w:ascii="宋体" w:hAnsi="宋体"/>
          <w:b/>
          <w:bCs/>
          <w:sz w:val="24"/>
        </w:rPr>
        <w:t>1.1</w:t>
      </w:r>
      <w:r>
        <w:rPr>
          <w:rFonts w:hint="eastAsia" w:ascii="宋体" w:hAnsi="宋体"/>
          <w:sz w:val="24"/>
        </w:rPr>
        <w:t xml:space="preserve"> 采购项目名称:长沙集星集装箱码头有限公司网络边界加固项目采购</w:t>
      </w:r>
    </w:p>
    <w:p>
      <w:pPr>
        <w:autoSpaceDE w:val="0"/>
        <w:spacing w:line="360" w:lineRule="auto"/>
        <w:rPr>
          <w:rFonts w:ascii="宋体" w:hAnsi="宋体"/>
          <w:sz w:val="24"/>
        </w:rPr>
      </w:pPr>
      <w:r>
        <w:rPr>
          <w:rFonts w:hint="eastAsia" w:ascii="宋体" w:hAnsi="宋体"/>
          <w:b/>
          <w:bCs/>
          <w:sz w:val="24"/>
        </w:rPr>
        <w:t>1.2</w:t>
      </w:r>
      <w:r>
        <w:rPr>
          <w:rFonts w:hint="eastAsia" w:ascii="宋体" w:hAnsi="宋体"/>
          <w:sz w:val="24"/>
        </w:rPr>
        <w:t xml:space="preserve"> 采购人: 长沙集星集装箱码头有限公司</w:t>
      </w:r>
    </w:p>
    <w:p>
      <w:pPr>
        <w:autoSpaceDE w:val="0"/>
        <w:spacing w:line="360" w:lineRule="auto"/>
        <w:rPr>
          <w:rFonts w:ascii="宋体" w:hAnsi="宋体"/>
          <w:sz w:val="24"/>
        </w:rPr>
      </w:pPr>
      <w:r>
        <w:rPr>
          <w:rFonts w:hint="eastAsia" w:ascii="宋体" w:hAnsi="宋体"/>
          <w:b/>
          <w:bCs/>
          <w:sz w:val="24"/>
        </w:rPr>
        <w:t>1.3</w:t>
      </w:r>
      <w:r>
        <w:rPr>
          <w:rFonts w:hint="eastAsia" w:ascii="宋体" w:hAnsi="宋体"/>
          <w:sz w:val="24"/>
        </w:rPr>
        <w:t xml:space="preserve"> 采购代理机构:无</w:t>
      </w:r>
    </w:p>
    <w:p>
      <w:pPr>
        <w:autoSpaceDE w:val="0"/>
        <w:spacing w:line="360" w:lineRule="auto"/>
        <w:rPr>
          <w:rFonts w:ascii="宋体" w:hAnsi="宋体"/>
          <w:sz w:val="24"/>
        </w:rPr>
      </w:pPr>
      <w:r>
        <w:rPr>
          <w:rFonts w:hint="eastAsia" w:ascii="宋体" w:hAnsi="宋体"/>
          <w:b/>
          <w:bCs/>
          <w:sz w:val="24"/>
        </w:rPr>
        <w:t xml:space="preserve">1.4 </w:t>
      </w:r>
      <w:r>
        <w:rPr>
          <w:rFonts w:hint="eastAsia" w:ascii="宋体" w:hAnsi="宋体"/>
          <w:sz w:val="24"/>
        </w:rPr>
        <w:t>采购项目资金落实情况:已落实</w:t>
      </w:r>
    </w:p>
    <w:p>
      <w:pPr>
        <w:widowControl w:val="0"/>
        <w:adjustRightInd w:val="0"/>
        <w:snapToGrid w:val="0"/>
        <w:spacing w:line="360" w:lineRule="auto"/>
        <w:jc w:val="both"/>
        <w:rPr>
          <w:rFonts w:ascii="宋体" w:hAnsi="宋体" w:eastAsiaTheme="minorEastAsia"/>
          <w:sz w:val="24"/>
        </w:rPr>
      </w:pPr>
      <w:r>
        <w:rPr>
          <w:rFonts w:hint="eastAsia" w:ascii="宋体" w:hAnsi="宋体"/>
          <w:b/>
          <w:bCs/>
          <w:sz w:val="24"/>
        </w:rPr>
        <w:t xml:space="preserve">1.5 </w:t>
      </w:r>
      <w:r>
        <w:rPr>
          <w:rFonts w:hint="eastAsia" w:ascii="宋体" w:hAnsi="宋体"/>
          <w:sz w:val="24"/>
        </w:rPr>
        <w:t>采购项目概况:</w:t>
      </w:r>
      <w:r>
        <w:rPr>
          <w:rFonts w:hint="eastAsia" w:eastAsiaTheme="minorEastAsia"/>
          <w:sz w:val="24"/>
        </w:rPr>
        <w:t>本项目需采购用于</w:t>
      </w:r>
      <w:r>
        <w:rPr>
          <w:rFonts w:hint="eastAsia" w:ascii="宋体" w:hAnsi="宋体" w:eastAsiaTheme="minorEastAsia"/>
          <w:sz w:val="24"/>
        </w:rPr>
        <w:t>长沙集星集装箱码头有限公司</w:t>
      </w:r>
      <w:r>
        <w:rPr>
          <w:rFonts w:hint="eastAsia" w:ascii="宋体" w:hAnsi="宋体" w:cs="宋体"/>
          <w:color w:val="000000"/>
          <w:sz w:val="24"/>
        </w:rPr>
        <w:t>机房网络边界老旧安全设备替换</w:t>
      </w:r>
      <w:r>
        <w:rPr>
          <w:rFonts w:hint="eastAsia" w:eastAsiaTheme="minorEastAsia"/>
          <w:sz w:val="24"/>
        </w:rPr>
        <w:t>。</w:t>
      </w:r>
    </w:p>
    <w:p>
      <w:pPr>
        <w:pStyle w:val="4"/>
        <w:spacing w:line="360" w:lineRule="auto"/>
        <w:rPr>
          <w:rFonts w:ascii="Arial" w:hAnsi="Arial"/>
        </w:rPr>
      </w:pPr>
      <w:bookmarkStart w:id="2" w:name="_Toc106039323"/>
      <w:r>
        <w:rPr>
          <w:rFonts w:hint="eastAsia"/>
        </w:rPr>
        <w:t>2．</w:t>
      </w:r>
      <w:r>
        <w:rPr>
          <w:rFonts w:hint="eastAsia" w:ascii="黑体" w:hAnsi="黑体"/>
        </w:rPr>
        <w:t>采购范围及相关要求</w:t>
      </w:r>
      <w:bookmarkEnd w:id="2"/>
    </w:p>
    <w:p>
      <w:pPr>
        <w:spacing w:line="360" w:lineRule="auto"/>
        <w:jc w:val="both"/>
        <w:rPr>
          <w:rFonts w:ascii="宋体" w:hAnsi="宋体"/>
          <w:sz w:val="24"/>
        </w:rPr>
      </w:pPr>
      <w:r>
        <w:rPr>
          <w:rFonts w:hint="eastAsia" w:ascii="宋体" w:hAnsi="宋体"/>
          <w:b/>
          <w:bCs/>
          <w:sz w:val="24"/>
        </w:rPr>
        <w:t xml:space="preserve">2.1 </w:t>
      </w:r>
      <w:r>
        <w:rPr>
          <w:rFonts w:hint="eastAsia" w:ascii="宋体" w:hAnsi="宋体"/>
          <w:sz w:val="24"/>
        </w:rPr>
        <w:t>采购范围: 长沙集星集装箱码头有限公司</w:t>
      </w:r>
      <w:r>
        <w:rPr>
          <w:rFonts w:hint="eastAsia" w:ascii="宋体" w:hAnsi="宋体" w:cs="宋体"/>
          <w:color w:val="000000"/>
          <w:sz w:val="24"/>
        </w:rPr>
        <w:t>机房网络边界安全</w:t>
      </w:r>
      <w:r>
        <w:rPr>
          <w:rFonts w:hint="eastAsia" w:ascii="宋体" w:hAnsi="宋体"/>
          <w:sz w:val="24"/>
        </w:rPr>
        <w:t>设备采购、设备安装、系统调试、技术服务及相应的售后服务，包括防火墙、IPS、VPN设备各一台。</w:t>
      </w:r>
    </w:p>
    <w:p>
      <w:pPr>
        <w:spacing w:line="360" w:lineRule="auto"/>
        <w:jc w:val="both"/>
        <w:rPr>
          <w:color w:val="000000" w:themeColor="text1"/>
          <w:sz w:val="24"/>
          <w14:textFill>
            <w14:solidFill>
              <w14:schemeClr w14:val="tx1"/>
            </w14:solidFill>
          </w14:textFill>
        </w:rPr>
      </w:pPr>
      <w:r>
        <w:rPr>
          <w:rFonts w:hint="eastAsia" w:ascii="宋体" w:hAnsi="宋体"/>
          <w:b/>
          <w:bCs/>
          <w:sz w:val="24"/>
        </w:rPr>
        <w:t xml:space="preserve">2.2 </w:t>
      </w:r>
      <w:r>
        <w:rPr>
          <w:rFonts w:hint="eastAsia" w:ascii="宋体" w:hAnsi="宋体"/>
          <w:sz w:val="24"/>
        </w:rPr>
        <w:t>交货期限: 合同签订后30个日历日内向采购人提供设备完成安装调试。</w:t>
      </w:r>
    </w:p>
    <w:p>
      <w:pPr>
        <w:spacing w:line="360" w:lineRule="auto"/>
        <w:rPr>
          <w:rFonts w:ascii="宋体" w:hAnsi="宋体" w:cs="宋体"/>
          <w:b/>
          <w:bCs/>
          <w:sz w:val="28"/>
          <w:szCs w:val="28"/>
        </w:rPr>
      </w:pPr>
      <w:r>
        <w:rPr>
          <w:rFonts w:hint="eastAsia" w:ascii="宋体" w:hAnsi="宋体"/>
          <w:b/>
          <w:bCs/>
          <w:sz w:val="24"/>
        </w:rPr>
        <w:t xml:space="preserve">2.3 </w:t>
      </w:r>
      <w:r>
        <w:rPr>
          <w:rFonts w:hint="eastAsia" w:ascii="宋体" w:hAnsi="宋体"/>
          <w:sz w:val="24"/>
        </w:rPr>
        <w:t>交货地点及方式:</w:t>
      </w:r>
      <w:r>
        <w:rPr>
          <w:rFonts w:hint="eastAsia" w:ascii="宋体" w:hAnsi="宋体"/>
          <w:color w:val="000000"/>
          <w:sz w:val="24"/>
        </w:rPr>
        <w:t>由供应商负责运输至长沙集星集装箱码头有限公司交货，运费由供应商承担。</w:t>
      </w:r>
    </w:p>
    <w:p>
      <w:pPr>
        <w:autoSpaceDE w:val="0"/>
        <w:spacing w:line="360" w:lineRule="auto"/>
        <w:rPr>
          <w:rFonts w:ascii="宋体" w:hAnsi="宋体"/>
          <w:b/>
          <w:bCs/>
          <w:sz w:val="24"/>
        </w:rPr>
      </w:pPr>
      <w:r>
        <w:rPr>
          <w:rFonts w:ascii="宋体" w:hAnsi="宋体"/>
          <w:b/>
          <w:bCs/>
          <w:sz w:val="24"/>
        </w:rPr>
        <w:t xml:space="preserve">2.4 </w:t>
      </w:r>
      <w:r>
        <w:rPr>
          <w:rFonts w:hint="eastAsia" w:ascii="宋体" w:hAnsi="宋体"/>
          <w:bCs/>
          <w:sz w:val="24"/>
        </w:rPr>
        <w:t>质保期：</w:t>
      </w:r>
      <w:r>
        <w:rPr>
          <w:rFonts w:hint="eastAsia" w:ascii="宋体" w:hAnsi="宋体" w:cs="宋体"/>
          <w:color w:val="000000"/>
          <w:sz w:val="24"/>
          <w:szCs w:val="22"/>
        </w:rPr>
        <w:t>质保期从验收合格签字之日算起，</w:t>
      </w:r>
      <w:r>
        <w:rPr>
          <w:rFonts w:hint="eastAsia" w:hAnsi="宋体" w:cs="宋体"/>
          <w:color w:val="000000"/>
          <w:sz w:val="24"/>
          <w:szCs w:val="22"/>
        </w:rPr>
        <w:t>期限为3年</w:t>
      </w:r>
      <w:r>
        <w:rPr>
          <w:rFonts w:hint="eastAsia" w:ascii="宋体" w:hAnsi="宋体" w:cs="宋体"/>
          <w:color w:val="000000"/>
          <w:sz w:val="24"/>
          <w:szCs w:val="22"/>
        </w:rPr>
        <w:t xml:space="preserve">。  </w:t>
      </w:r>
    </w:p>
    <w:p>
      <w:pPr>
        <w:autoSpaceDE w:val="0"/>
        <w:spacing w:line="360" w:lineRule="auto"/>
        <w:rPr>
          <w:rFonts w:ascii="宋体" w:hAnsi="宋体"/>
          <w:sz w:val="24"/>
        </w:rPr>
      </w:pPr>
      <w:r>
        <w:rPr>
          <w:rFonts w:hint="eastAsia" w:ascii="宋体" w:hAnsi="宋体"/>
          <w:b/>
          <w:bCs/>
          <w:sz w:val="24"/>
        </w:rPr>
        <w:t xml:space="preserve">2.4 </w:t>
      </w:r>
      <w:r>
        <w:rPr>
          <w:rFonts w:hint="eastAsia" w:ascii="宋体" w:hAnsi="宋体"/>
          <w:sz w:val="24"/>
        </w:rPr>
        <w:t>相关要求: 详见“第五章 采购要求”</w:t>
      </w:r>
    </w:p>
    <w:p>
      <w:pPr>
        <w:pStyle w:val="4"/>
        <w:spacing w:line="360" w:lineRule="auto"/>
        <w:rPr>
          <w:rFonts w:ascii="Arial" w:hAnsi="Arial"/>
        </w:rPr>
      </w:pPr>
      <w:bookmarkStart w:id="3" w:name="_Toc106039324"/>
      <w:r>
        <w:rPr>
          <w:rFonts w:hint="eastAsia"/>
        </w:rPr>
        <w:t xml:space="preserve">3 </w:t>
      </w:r>
      <w:r>
        <w:rPr>
          <w:rFonts w:hint="eastAsia" w:ascii="黑体" w:hAnsi="黑体"/>
        </w:rPr>
        <w:t>供应商资格要求</w:t>
      </w:r>
      <w:bookmarkEnd w:id="3"/>
    </w:p>
    <w:p>
      <w:pPr>
        <w:autoSpaceDE w:val="0"/>
        <w:spacing w:line="360" w:lineRule="auto"/>
        <w:jc w:val="both"/>
        <w:rPr>
          <w:rFonts w:ascii="宋体" w:hAnsi="宋体"/>
          <w:sz w:val="24"/>
        </w:rPr>
      </w:pPr>
      <w:r>
        <w:rPr>
          <w:rFonts w:hint="eastAsia" w:ascii="宋体" w:hAnsi="宋体"/>
          <w:b/>
          <w:bCs/>
          <w:sz w:val="24"/>
        </w:rPr>
        <w:t>3.1</w:t>
      </w:r>
      <w:r>
        <w:rPr>
          <w:rFonts w:hint="eastAsia" w:ascii="宋体" w:hAnsi="宋体"/>
          <w:sz w:val="24"/>
        </w:rPr>
        <w:t>供应商不得存在下列情形之一:</w:t>
      </w:r>
    </w:p>
    <w:p>
      <w:pPr>
        <w:autoSpaceDE w:val="0"/>
        <w:spacing w:line="360" w:lineRule="auto"/>
        <w:ind w:firstLine="240" w:firstLineChars="100"/>
        <w:jc w:val="both"/>
        <w:rPr>
          <w:rFonts w:ascii="宋体" w:hAnsi="宋体"/>
          <w:sz w:val="24"/>
        </w:rPr>
      </w:pPr>
      <w:r>
        <w:rPr>
          <w:rFonts w:hint="eastAsia" w:ascii="宋体" w:hAnsi="宋体"/>
          <w:sz w:val="24"/>
        </w:rPr>
        <w:t>（1）处于被责令停产停业、暂扣或者吊销执照、暂扣或者吊销许可证、吊销资质证书状态;</w:t>
      </w:r>
    </w:p>
    <w:p>
      <w:pPr>
        <w:autoSpaceDE w:val="0"/>
        <w:spacing w:line="360" w:lineRule="auto"/>
        <w:ind w:firstLine="240" w:firstLineChars="100"/>
        <w:jc w:val="both"/>
        <w:rPr>
          <w:rFonts w:ascii="宋体" w:hAnsi="宋体"/>
          <w:sz w:val="24"/>
        </w:rPr>
      </w:pPr>
      <w:r>
        <w:rPr>
          <w:rFonts w:hint="eastAsia" w:ascii="宋体" w:hAnsi="宋体"/>
          <w:sz w:val="24"/>
        </w:rPr>
        <w:t>（2）进入清算程序，或被宣告破产，或其他丧失履约能力的情形;</w:t>
      </w:r>
    </w:p>
    <w:p>
      <w:pPr>
        <w:autoSpaceDE w:val="0"/>
        <w:spacing w:line="360" w:lineRule="auto"/>
        <w:ind w:firstLine="240" w:firstLineChars="100"/>
        <w:jc w:val="both"/>
        <w:rPr>
          <w:rFonts w:ascii="宋体" w:hAnsi="宋体"/>
          <w:sz w:val="24"/>
        </w:rPr>
      </w:pPr>
      <w:r>
        <w:rPr>
          <w:rFonts w:hint="eastAsia" w:ascii="宋体" w:hAnsi="宋体"/>
          <w:sz w:val="24"/>
        </w:rPr>
        <w:t>（3）被采购人或采购人上级单位纳入黑名单；</w:t>
      </w:r>
    </w:p>
    <w:p>
      <w:pPr>
        <w:autoSpaceDE w:val="0"/>
        <w:spacing w:line="360" w:lineRule="auto"/>
        <w:ind w:firstLine="240" w:firstLineChars="100"/>
        <w:jc w:val="both"/>
        <w:rPr>
          <w:rFonts w:ascii="宋体" w:hAnsi="宋体"/>
          <w:sz w:val="24"/>
        </w:rPr>
      </w:pPr>
      <w:r>
        <w:rPr>
          <w:rFonts w:hint="eastAsia" w:ascii="宋体" w:hAnsi="宋体"/>
          <w:sz w:val="24"/>
        </w:rPr>
        <w:t>（4）为投资参股本项目的法人单位；</w:t>
      </w:r>
    </w:p>
    <w:p>
      <w:pPr>
        <w:autoSpaceDE w:val="0"/>
        <w:spacing w:line="360" w:lineRule="auto"/>
        <w:ind w:firstLine="240" w:firstLineChars="100"/>
        <w:jc w:val="both"/>
        <w:rPr>
          <w:rFonts w:ascii="宋体" w:hAnsi="宋体"/>
          <w:sz w:val="24"/>
        </w:rPr>
      </w:pPr>
      <w:r>
        <w:rPr>
          <w:rFonts w:hint="eastAsia" w:ascii="宋体" w:hAnsi="宋体"/>
          <w:sz w:val="24"/>
        </w:rPr>
        <w:t>（5）具有直接管理和被管理关系的母子(分)公司，或同一母公司的子(分)公司，或法定代表人为同一人的两个或两个以上法人，同时投同一标段。</w:t>
      </w:r>
    </w:p>
    <w:p>
      <w:pPr>
        <w:autoSpaceDE w:val="0"/>
        <w:spacing w:line="360" w:lineRule="auto"/>
        <w:jc w:val="both"/>
        <w:rPr>
          <w:rFonts w:ascii="宋体" w:hAnsi="宋体"/>
          <w:sz w:val="24"/>
        </w:rPr>
      </w:pPr>
      <w:r>
        <w:rPr>
          <w:rFonts w:hint="eastAsia" w:ascii="宋体" w:hAnsi="宋体"/>
          <w:sz w:val="24"/>
        </w:rPr>
        <w:t>3.2供应商应满足如下要求:</w:t>
      </w:r>
    </w:p>
    <w:tbl>
      <w:tblPr>
        <w:tblStyle w:val="4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8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60" w:lineRule="auto"/>
              <w:jc w:val="center"/>
              <w:rPr>
                <w:rFonts w:ascii="宋体" w:hAnsi="宋体"/>
                <w:sz w:val="24"/>
              </w:rPr>
            </w:pPr>
            <w:r>
              <w:rPr>
                <w:rFonts w:hint="eastAsia" w:ascii="宋体" w:hAnsi="宋体"/>
                <w:sz w:val="24"/>
              </w:rPr>
              <w:t>资格条件</w:t>
            </w:r>
          </w:p>
        </w:tc>
        <w:tc>
          <w:tcPr>
            <w:tcW w:w="1786" w:type="dxa"/>
          </w:tcPr>
          <w:p>
            <w:pPr>
              <w:widowControl w:val="0"/>
              <w:spacing w:line="360" w:lineRule="auto"/>
              <w:jc w:val="center"/>
              <w:rPr>
                <w:rFonts w:ascii="宋体" w:hAnsi="宋体"/>
                <w:sz w:val="24"/>
              </w:rPr>
            </w:pPr>
            <w:r>
              <w:rPr>
                <w:rFonts w:hint="eastAsia" w:ascii="宋体" w:hAnsi="宋体"/>
                <w:sz w:val="24"/>
              </w:rPr>
              <w:t>对供应商要求</w:t>
            </w:r>
          </w:p>
        </w:tc>
        <w:tc>
          <w:tcPr>
            <w:tcW w:w="5443" w:type="dxa"/>
          </w:tcPr>
          <w:p>
            <w:pPr>
              <w:widowControl w:val="0"/>
              <w:spacing w:line="360" w:lineRule="auto"/>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660" w:type="dxa"/>
            <w:vAlign w:val="center"/>
          </w:tcPr>
          <w:p>
            <w:pPr>
              <w:widowControl w:val="0"/>
              <w:spacing w:line="360" w:lineRule="auto"/>
              <w:jc w:val="both"/>
              <w:rPr>
                <w:rFonts w:ascii="宋体" w:hAnsi="宋体"/>
                <w:sz w:val="24"/>
              </w:rPr>
            </w:pPr>
            <w:r>
              <w:rPr>
                <w:rFonts w:hint="eastAsia" w:ascii="宋体" w:hAnsi="宋体"/>
                <w:sz w:val="24"/>
              </w:rPr>
              <w:t>（1）依法设立</w:t>
            </w:r>
          </w:p>
        </w:tc>
        <w:tc>
          <w:tcPr>
            <w:tcW w:w="1786" w:type="dxa"/>
            <w:vAlign w:val="center"/>
          </w:tcPr>
          <w:p>
            <w:pPr>
              <w:widowControl w:val="0"/>
              <w:spacing w:line="360" w:lineRule="auto"/>
              <w:jc w:val="both"/>
              <w:rPr>
                <w:rFonts w:ascii="宋体" w:hAnsi="宋体"/>
                <w:sz w:val="24"/>
              </w:rPr>
            </w:pPr>
            <w:r>
              <w:rPr>
                <w:rStyle w:val="44"/>
                <w:rFonts w:hint="eastAsia"/>
                <w:b w:val="0"/>
                <w:bCs w:val="0"/>
              </w:rPr>
              <w:sym w:font="Wingdings 2" w:char="0052"/>
            </w:r>
            <w:r>
              <w:rPr>
                <w:rStyle w:val="44"/>
                <w:rFonts w:hint="eastAsia"/>
                <w:b w:val="0"/>
                <w:bCs w:val="0"/>
              </w:rPr>
              <w:t>适用</w:t>
            </w:r>
          </w:p>
        </w:tc>
        <w:tc>
          <w:tcPr>
            <w:tcW w:w="5443" w:type="dxa"/>
            <w:vAlign w:val="center"/>
          </w:tcPr>
          <w:p>
            <w:pPr>
              <w:widowControl w:val="0"/>
              <w:spacing w:line="360" w:lineRule="auto"/>
              <w:jc w:val="both"/>
              <w:rPr>
                <w:rFonts w:ascii="宋体" w:hAnsi="宋体"/>
                <w:sz w:val="24"/>
              </w:rPr>
            </w:pPr>
            <w:r>
              <w:rPr>
                <w:rStyle w:val="44"/>
                <w:rFonts w:hint="eastAsia"/>
                <w:b w:val="0"/>
                <w:bCs w:val="0"/>
              </w:rPr>
              <w:sym w:font="Wingdings 2" w:char="0052"/>
            </w:r>
            <w:r>
              <w:rPr>
                <w:rStyle w:val="44"/>
                <w:rFonts w:hint="eastAsia"/>
                <w:b w:val="0"/>
                <w:bCs w:val="0"/>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660" w:type="dxa"/>
            <w:vAlign w:val="center"/>
          </w:tcPr>
          <w:p>
            <w:pPr>
              <w:widowControl w:val="0"/>
              <w:spacing w:line="360" w:lineRule="auto"/>
              <w:jc w:val="both"/>
              <w:rPr>
                <w:rFonts w:ascii="宋体" w:hAnsi="宋体"/>
                <w:sz w:val="24"/>
              </w:rPr>
            </w:pPr>
            <w:r>
              <w:rPr>
                <w:rFonts w:hint="eastAsia" w:ascii="宋体" w:hAnsi="宋体"/>
                <w:sz w:val="24"/>
              </w:rPr>
              <w:t>（2）资质要求</w:t>
            </w:r>
          </w:p>
        </w:tc>
        <w:tc>
          <w:tcPr>
            <w:tcW w:w="1786" w:type="dxa"/>
            <w:vAlign w:val="center"/>
          </w:tcPr>
          <w:p>
            <w:pPr>
              <w:widowControl w:val="0"/>
              <w:spacing w:line="360" w:lineRule="auto"/>
              <w:jc w:val="both"/>
              <w:rPr>
                <w:rFonts w:ascii="宋体" w:hAnsi="宋体"/>
                <w:sz w:val="24"/>
              </w:rPr>
            </w:pPr>
            <w:r>
              <w:rPr>
                <w:rStyle w:val="44"/>
                <w:rFonts w:hint="eastAsia"/>
                <w:b w:val="0"/>
                <w:bCs w:val="0"/>
              </w:rPr>
              <w:sym w:font="Wingdings 2" w:char="0052"/>
            </w:r>
            <w:r>
              <w:rPr>
                <w:rStyle w:val="44"/>
                <w:rFonts w:hint="eastAsia"/>
                <w:b w:val="0"/>
                <w:bCs w:val="0"/>
              </w:rPr>
              <w:t xml:space="preserve">不适用  </w:t>
            </w:r>
          </w:p>
        </w:tc>
        <w:tc>
          <w:tcPr>
            <w:tcW w:w="5443" w:type="dxa"/>
            <w:vAlign w:val="center"/>
          </w:tcPr>
          <w:p>
            <w:pPr>
              <w:widowControl w:val="0"/>
              <w:spacing w:line="360" w:lineRule="auto"/>
              <w:jc w:val="both"/>
              <w:rPr>
                <w:rFonts w:ascii="宋体" w:hAnsi="宋体"/>
                <w:sz w:val="24"/>
              </w:rPr>
            </w:pPr>
            <w:r>
              <w:rPr>
                <w:rStyle w:val="44"/>
                <w:rFonts w:hint="eastAsia"/>
                <w:b w:val="0"/>
                <w:bCs w:val="0"/>
              </w:rPr>
              <w:sym w:font="Wingdings 2" w:char="0052"/>
            </w:r>
            <w:r>
              <w:rPr>
                <w:rStyle w:val="44"/>
                <w:rFonts w:hint="eastAsia"/>
                <w:b w:val="0"/>
                <w:bCs w:val="0"/>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660" w:type="dxa"/>
            <w:vAlign w:val="center"/>
          </w:tcPr>
          <w:p>
            <w:pPr>
              <w:widowControl w:val="0"/>
              <w:spacing w:line="360" w:lineRule="auto"/>
              <w:jc w:val="both"/>
              <w:rPr>
                <w:rFonts w:ascii="宋体" w:hAnsi="宋体"/>
                <w:sz w:val="24"/>
              </w:rPr>
            </w:pPr>
            <w:r>
              <w:rPr>
                <w:rFonts w:hint="eastAsia" w:ascii="宋体" w:hAnsi="宋体"/>
                <w:sz w:val="24"/>
              </w:rPr>
              <w:t>（3）财务要求</w:t>
            </w:r>
          </w:p>
        </w:tc>
        <w:tc>
          <w:tcPr>
            <w:tcW w:w="1786" w:type="dxa"/>
            <w:vAlign w:val="center"/>
          </w:tcPr>
          <w:p>
            <w:pPr>
              <w:widowControl w:val="0"/>
              <w:spacing w:line="360" w:lineRule="auto"/>
              <w:jc w:val="both"/>
              <w:rPr>
                <w:rFonts w:ascii="宋体" w:hAnsi="宋体"/>
                <w:sz w:val="24"/>
              </w:rPr>
            </w:pPr>
            <w:r>
              <w:rPr>
                <w:rStyle w:val="44"/>
                <w:rFonts w:hint="eastAsia"/>
                <w:b w:val="0"/>
                <w:bCs w:val="0"/>
              </w:rPr>
              <w:sym w:font="Wingdings 2" w:char="0052"/>
            </w:r>
            <w:r>
              <w:rPr>
                <w:rStyle w:val="44"/>
                <w:rFonts w:hint="eastAsia"/>
                <w:b w:val="0"/>
                <w:bCs w:val="0"/>
              </w:rPr>
              <w:t xml:space="preserve">不适用 </w:t>
            </w:r>
          </w:p>
        </w:tc>
        <w:tc>
          <w:tcPr>
            <w:tcW w:w="5443" w:type="dxa"/>
            <w:vAlign w:val="center"/>
          </w:tcPr>
          <w:p>
            <w:pPr>
              <w:widowControl w:val="0"/>
              <w:spacing w:line="360" w:lineRule="auto"/>
              <w:jc w:val="both"/>
              <w:rPr>
                <w:rFonts w:ascii="宋体" w:hAnsi="宋体"/>
                <w:sz w:val="24"/>
              </w:rPr>
            </w:pPr>
            <w:r>
              <w:rPr>
                <w:rStyle w:val="44"/>
                <w:rFonts w:hint="eastAsia"/>
                <w:b w:val="0"/>
                <w:bCs w:val="0"/>
              </w:rPr>
              <w:sym w:font="Wingdings 2" w:char="0052"/>
            </w:r>
            <w:r>
              <w:rPr>
                <w:rStyle w:val="44"/>
                <w:rFonts w:hint="eastAsia"/>
                <w:b w:val="0"/>
                <w:bCs w:val="0"/>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660" w:type="dxa"/>
            <w:vAlign w:val="center"/>
          </w:tcPr>
          <w:p>
            <w:pPr>
              <w:widowControl w:val="0"/>
              <w:spacing w:line="360" w:lineRule="auto"/>
              <w:jc w:val="both"/>
              <w:rPr>
                <w:rFonts w:ascii="宋体" w:hAnsi="宋体"/>
                <w:sz w:val="24"/>
              </w:rPr>
            </w:pPr>
            <w:r>
              <w:rPr>
                <w:rFonts w:hint="eastAsia" w:ascii="宋体" w:hAnsi="宋体"/>
                <w:sz w:val="24"/>
              </w:rPr>
              <w:t>（4）业绩要求</w:t>
            </w:r>
          </w:p>
        </w:tc>
        <w:tc>
          <w:tcPr>
            <w:tcW w:w="1786" w:type="dxa"/>
            <w:vAlign w:val="center"/>
          </w:tcPr>
          <w:p>
            <w:pPr>
              <w:widowControl w:val="0"/>
              <w:spacing w:line="360" w:lineRule="auto"/>
              <w:jc w:val="both"/>
              <w:rPr>
                <w:rFonts w:ascii="宋体" w:hAnsi="宋体"/>
                <w:sz w:val="24"/>
              </w:rPr>
            </w:pPr>
            <w:r>
              <w:rPr>
                <w:rStyle w:val="44"/>
                <w:rFonts w:hint="eastAsia"/>
                <w:b w:val="0"/>
                <w:bCs w:val="0"/>
              </w:rPr>
              <w:sym w:font="Wingdings 2" w:char="0052"/>
            </w:r>
            <w:r>
              <w:rPr>
                <w:rStyle w:val="44"/>
                <w:rFonts w:hint="eastAsia"/>
                <w:b w:val="0"/>
                <w:bCs w:val="0"/>
              </w:rPr>
              <w:t>适用</w:t>
            </w:r>
          </w:p>
        </w:tc>
        <w:tc>
          <w:tcPr>
            <w:tcW w:w="5443" w:type="dxa"/>
            <w:vAlign w:val="center"/>
          </w:tcPr>
          <w:p>
            <w:pPr>
              <w:widowControl w:val="0"/>
              <w:spacing w:line="360" w:lineRule="auto"/>
              <w:jc w:val="both"/>
              <w:rPr>
                <w:rFonts w:ascii="宋体" w:hAnsi="宋体"/>
                <w:sz w:val="24"/>
              </w:rPr>
            </w:pPr>
            <w:r>
              <w:rPr>
                <w:rStyle w:val="44"/>
                <w:rFonts w:hint="eastAsia"/>
                <w:b w:val="0"/>
                <w:bCs w:val="0"/>
              </w:rPr>
              <w:sym w:font="Wingdings 2" w:char="0052"/>
            </w:r>
            <w:r>
              <w:rPr>
                <w:rStyle w:val="44"/>
                <w:rFonts w:hint="eastAsia"/>
                <w:b w:val="0"/>
                <w:bCs w:val="0"/>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660" w:type="dxa"/>
            <w:vAlign w:val="center"/>
          </w:tcPr>
          <w:p>
            <w:pPr>
              <w:widowControl w:val="0"/>
              <w:spacing w:line="360" w:lineRule="auto"/>
              <w:jc w:val="both"/>
              <w:rPr>
                <w:rFonts w:ascii="宋体" w:hAnsi="宋体"/>
                <w:sz w:val="24"/>
              </w:rPr>
            </w:pPr>
            <w:r>
              <w:rPr>
                <w:rFonts w:hint="eastAsia" w:ascii="宋体" w:hAnsi="宋体"/>
                <w:sz w:val="24"/>
              </w:rPr>
              <w:t>（5）信誉要求</w:t>
            </w:r>
          </w:p>
        </w:tc>
        <w:tc>
          <w:tcPr>
            <w:tcW w:w="1786" w:type="dxa"/>
            <w:vAlign w:val="center"/>
          </w:tcPr>
          <w:p>
            <w:pPr>
              <w:widowControl w:val="0"/>
              <w:spacing w:line="360" w:lineRule="auto"/>
              <w:jc w:val="both"/>
              <w:rPr>
                <w:rFonts w:ascii="宋体" w:hAnsi="宋体"/>
                <w:sz w:val="24"/>
              </w:rPr>
            </w:pPr>
            <w:r>
              <w:rPr>
                <w:rStyle w:val="44"/>
                <w:rFonts w:hint="eastAsia"/>
                <w:b w:val="0"/>
                <w:bCs w:val="0"/>
              </w:rPr>
              <w:sym w:font="Wingdings 2" w:char="0052"/>
            </w:r>
            <w:r>
              <w:rPr>
                <w:rStyle w:val="44"/>
                <w:rFonts w:hint="eastAsia"/>
                <w:b w:val="0"/>
                <w:bCs w:val="0"/>
              </w:rPr>
              <w:t>适用</w:t>
            </w:r>
          </w:p>
        </w:tc>
        <w:tc>
          <w:tcPr>
            <w:tcW w:w="5443" w:type="dxa"/>
            <w:vAlign w:val="center"/>
          </w:tcPr>
          <w:p>
            <w:pPr>
              <w:widowControl w:val="0"/>
              <w:spacing w:line="360" w:lineRule="auto"/>
              <w:jc w:val="both"/>
              <w:rPr>
                <w:rFonts w:ascii="宋体" w:hAnsi="宋体"/>
                <w:sz w:val="24"/>
              </w:rPr>
            </w:pPr>
            <w:r>
              <w:rPr>
                <w:rStyle w:val="44"/>
                <w:rFonts w:hint="eastAsia"/>
                <w:b w:val="0"/>
                <w:bCs w:val="0"/>
              </w:rPr>
              <w:sym w:font="Wingdings 2" w:char="0052"/>
            </w:r>
            <w:r>
              <w:rPr>
                <w:rStyle w:val="44"/>
                <w:rFonts w:hint="eastAsia"/>
                <w:b w:val="0"/>
                <w:bCs w:val="0"/>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widowControl w:val="0"/>
              <w:spacing w:line="360" w:lineRule="auto"/>
              <w:jc w:val="both"/>
              <w:rPr>
                <w:rFonts w:ascii="宋体" w:hAnsi="宋体"/>
                <w:sz w:val="24"/>
              </w:rPr>
            </w:pPr>
            <w:r>
              <w:rPr>
                <w:rFonts w:hint="eastAsia" w:ascii="宋体" w:hAnsi="宋体"/>
                <w:sz w:val="24"/>
              </w:rPr>
              <w:t>（6）承担本项目的主要人员要求</w:t>
            </w:r>
          </w:p>
        </w:tc>
        <w:tc>
          <w:tcPr>
            <w:tcW w:w="1786" w:type="dxa"/>
            <w:vAlign w:val="center"/>
          </w:tcPr>
          <w:p>
            <w:pPr>
              <w:widowControl w:val="0"/>
              <w:spacing w:line="360" w:lineRule="auto"/>
              <w:jc w:val="both"/>
              <w:rPr>
                <w:rFonts w:ascii="宋体" w:hAnsi="宋体"/>
                <w:sz w:val="24"/>
              </w:rPr>
            </w:pPr>
            <w:r>
              <w:rPr>
                <w:rStyle w:val="44"/>
                <w:rFonts w:hint="eastAsia"/>
                <w:b w:val="0"/>
                <w:bCs w:val="0"/>
              </w:rPr>
              <w:sym w:font="Wingdings 2" w:char="0052"/>
            </w:r>
            <w:r>
              <w:rPr>
                <w:rStyle w:val="44"/>
                <w:rFonts w:hint="eastAsia"/>
                <w:b w:val="0"/>
                <w:bCs w:val="0"/>
              </w:rPr>
              <w:t xml:space="preserve">不适用  </w:t>
            </w:r>
          </w:p>
        </w:tc>
        <w:tc>
          <w:tcPr>
            <w:tcW w:w="5443" w:type="dxa"/>
            <w:vAlign w:val="center"/>
          </w:tcPr>
          <w:p>
            <w:pPr>
              <w:widowControl w:val="0"/>
              <w:spacing w:line="360" w:lineRule="auto"/>
              <w:jc w:val="both"/>
              <w:rPr>
                <w:rFonts w:ascii="宋体" w:hAnsi="宋体"/>
                <w:sz w:val="24"/>
              </w:rPr>
            </w:pPr>
            <w:r>
              <w:rPr>
                <w:rStyle w:val="44"/>
                <w:rFonts w:hint="eastAsia"/>
                <w:b w:val="0"/>
                <w:bCs w:val="0"/>
              </w:rPr>
              <w:sym w:font="Wingdings 2" w:char="0052"/>
            </w:r>
            <w:r>
              <w:rPr>
                <w:rStyle w:val="44"/>
                <w:rFonts w:hint="eastAsia"/>
                <w:b w:val="0"/>
                <w:bCs w:val="0"/>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660" w:type="dxa"/>
            <w:vAlign w:val="center"/>
          </w:tcPr>
          <w:p>
            <w:pPr>
              <w:widowControl w:val="0"/>
              <w:spacing w:line="360" w:lineRule="auto"/>
              <w:jc w:val="both"/>
              <w:rPr>
                <w:rFonts w:ascii="宋体" w:hAnsi="宋体"/>
                <w:sz w:val="24"/>
              </w:rPr>
            </w:pPr>
            <w:r>
              <w:rPr>
                <w:rFonts w:hint="eastAsia" w:ascii="宋体" w:hAnsi="宋体"/>
                <w:sz w:val="24"/>
              </w:rPr>
              <w:t>（7）其他要求</w:t>
            </w:r>
          </w:p>
        </w:tc>
        <w:tc>
          <w:tcPr>
            <w:tcW w:w="1786" w:type="dxa"/>
            <w:vAlign w:val="center"/>
          </w:tcPr>
          <w:p>
            <w:pPr>
              <w:widowControl w:val="0"/>
              <w:spacing w:line="360" w:lineRule="auto"/>
              <w:jc w:val="both"/>
              <w:rPr>
                <w:rFonts w:ascii="宋体" w:hAnsi="宋体"/>
                <w:sz w:val="24"/>
              </w:rPr>
            </w:pPr>
            <w:r>
              <w:rPr>
                <w:rStyle w:val="44"/>
                <w:rFonts w:hint="eastAsia"/>
                <w:b w:val="0"/>
                <w:bCs w:val="0"/>
              </w:rPr>
              <w:sym w:font="Wingdings 2" w:char="0052"/>
            </w:r>
            <w:r>
              <w:rPr>
                <w:rStyle w:val="44"/>
                <w:rFonts w:hint="eastAsia"/>
                <w:b w:val="0"/>
                <w:bCs w:val="0"/>
              </w:rPr>
              <w:t xml:space="preserve">不适用  </w:t>
            </w:r>
          </w:p>
        </w:tc>
        <w:tc>
          <w:tcPr>
            <w:tcW w:w="5443" w:type="dxa"/>
            <w:vAlign w:val="center"/>
          </w:tcPr>
          <w:p>
            <w:pPr>
              <w:widowControl w:val="0"/>
              <w:spacing w:line="360" w:lineRule="auto"/>
              <w:jc w:val="both"/>
              <w:rPr>
                <w:rFonts w:ascii="宋体" w:hAnsi="宋体"/>
                <w:sz w:val="24"/>
              </w:rPr>
            </w:pPr>
            <w:r>
              <w:rPr>
                <w:rStyle w:val="44"/>
                <w:rFonts w:hint="eastAsia"/>
                <w:b w:val="0"/>
                <w:bCs w:val="0"/>
              </w:rPr>
              <w:sym w:font="Wingdings 2" w:char="0052"/>
            </w:r>
            <w:r>
              <w:rPr>
                <w:rStyle w:val="44"/>
                <w:rFonts w:hint="eastAsia"/>
                <w:b w:val="0"/>
                <w:bCs w:val="0"/>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widowControl w:val="0"/>
              <w:spacing w:line="360" w:lineRule="auto"/>
              <w:jc w:val="both"/>
              <w:rPr>
                <w:rFonts w:ascii="宋体" w:hAnsi="宋体"/>
                <w:sz w:val="24"/>
              </w:rPr>
            </w:pPr>
            <w:r>
              <w:rPr>
                <w:rFonts w:hint="eastAsia" w:ascii="宋体" w:hAnsi="宋体"/>
                <w:sz w:val="24"/>
              </w:rPr>
              <w:t>（8）供应商不存在第一章3.1款情形的证明材料</w:t>
            </w:r>
          </w:p>
        </w:tc>
        <w:tc>
          <w:tcPr>
            <w:tcW w:w="1786" w:type="dxa"/>
            <w:vAlign w:val="center"/>
          </w:tcPr>
          <w:p>
            <w:pPr>
              <w:widowControl w:val="0"/>
              <w:spacing w:line="360" w:lineRule="auto"/>
              <w:jc w:val="both"/>
              <w:rPr>
                <w:rFonts w:ascii="宋体" w:hAnsi="宋体"/>
                <w:sz w:val="24"/>
              </w:rPr>
            </w:pPr>
            <w:r>
              <w:rPr>
                <w:rStyle w:val="44"/>
                <w:rFonts w:hint="eastAsia"/>
                <w:b w:val="0"/>
                <w:bCs w:val="0"/>
              </w:rPr>
              <w:sym w:font="Wingdings 2" w:char="0052"/>
            </w:r>
            <w:r>
              <w:rPr>
                <w:rStyle w:val="44"/>
                <w:rFonts w:hint="eastAsia"/>
                <w:b w:val="0"/>
                <w:bCs w:val="0"/>
              </w:rPr>
              <w:t>适用</w:t>
            </w:r>
          </w:p>
        </w:tc>
        <w:tc>
          <w:tcPr>
            <w:tcW w:w="5443" w:type="dxa"/>
            <w:vAlign w:val="center"/>
          </w:tcPr>
          <w:p>
            <w:pPr>
              <w:widowControl w:val="0"/>
              <w:spacing w:line="360" w:lineRule="auto"/>
              <w:jc w:val="both"/>
              <w:rPr>
                <w:rFonts w:ascii="宋体" w:hAnsi="宋体"/>
                <w:sz w:val="24"/>
              </w:rPr>
            </w:pPr>
            <w:r>
              <w:rPr>
                <w:rStyle w:val="44"/>
                <w:rFonts w:hint="eastAsia"/>
                <w:b w:val="0"/>
                <w:bCs w:val="0"/>
              </w:rPr>
              <w:sym w:font="Wingdings 2" w:char="0052"/>
            </w:r>
            <w:r>
              <w:rPr>
                <w:rStyle w:val="44"/>
                <w:rFonts w:hint="eastAsia"/>
                <w:b w:val="0"/>
                <w:bCs w:val="0"/>
              </w:rPr>
              <w:t>适用,见采购文件供应商须知前附表3.5（8）。</w:t>
            </w:r>
          </w:p>
        </w:tc>
      </w:tr>
    </w:tbl>
    <w:p>
      <w:pPr>
        <w:pStyle w:val="4"/>
        <w:spacing w:line="360" w:lineRule="auto"/>
        <w:rPr>
          <w:rFonts w:ascii="Arial" w:hAnsi="Arial"/>
        </w:rPr>
      </w:pPr>
      <w:bookmarkStart w:id="4" w:name="_Toc106039325"/>
      <w:r>
        <w:rPr>
          <w:rFonts w:hint="eastAsia"/>
        </w:rPr>
        <w:t xml:space="preserve">4 </w:t>
      </w:r>
      <w:r>
        <w:rPr>
          <w:rFonts w:hint="eastAsia" w:ascii="黑体" w:hAnsi="黑体"/>
        </w:rPr>
        <w:t>响应保证金</w:t>
      </w:r>
      <w:bookmarkEnd w:id="4"/>
    </w:p>
    <w:p>
      <w:bookmarkStart w:id="5" w:name="_Toc106039326"/>
      <w:r>
        <w:rPr>
          <w:rFonts w:hint="eastAsia"/>
        </w:rPr>
        <w:t>无</w:t>
      </w:r>
    </w:p>
    <w:p>
      <w:pPr>
        <w:pStyle w:val="4"/>
        <w:spacing w:line="360" w:lineRule="auto"/>
        <w:rPr>
          <w:rFonts w:ascii="Arial" w:hAnsi="Arial"/>
        </w:rPr>
      </w:pPr>
      <w:r>
        <w:rPr>
          <w:rFonts w:hint="eastAsia"/>
        </w:rPr>
        <w:t>5</w:t>
      </w:r>
      <w:r>
        <w:t xml:space="preserve"> </w:t>
      </w:r>
      <w:r>
        <w:rPr>
          <w:rFonts w:hint="eastAsia" w:ascii="黑体" w:hAnsi="黑体"/>
        </w:rPr>
        <w:t>确定成交供应商的方法</w:t>
      </w:r>
      <w:bookmarkEnd w:id="5"/>
    </w:p>
    <w:p>
      <w:pPr>
        <w:autoSpaceDE w:val="0"/>
        <w:spacing w:line="360" w:lineRule="auto"/>
        <w:ind w:firstLine="482" w:firstLineChars="200"/>
        <w:jc w:val="both"/>
        <w:rPr>
          <w:rFonts w:ascii="宋体" w:hAnsi="宋体"/>
          <w:sz w:val="24"/>
        </w:rPr>
      </w:pPr>
      <w:r>
        <w:rPr>
          <w:rFonts w:hint="eastAsia" w:ascii="宋体" w:hAnsi="宋体"/>
          <w:b/>
          <w:bCs/>
          <w:sz w:val="24"/>
        </w:rPr>
        <w:t>5.1</w:t>
      </w:r>
      <w:r>
        <w:rPr>
          <w:rFonts w:hint="eastAsia" w:ascii="宋体" w:hAnsi="宋体"/>
          <w:sz w:val="24"/>
        </w:rPr>
        <w:t>综合评标法</w:t>
      </w:r>
    </w:p>
    <w:p>
      <w:pPr>
        <w:autoSpaceDE w:val="0"/>
        <w:spacing w:line="360" w:lineRule="auto"/>
        <w:ind w:firstLine="482" w:firstLineChars="200"/>
        <w:jc w:val="both"/>
        <w:rPr>
          <w:rFonts w:ascii="宋体" w:hAnsi="宋体"/>
          <w:sz w:val="24"/>
        </w:rPr>
      </w:pPr>
      <w:r>
        <w:rPr>
          <w:rFonts w:hint="eastAsia" w:ascii="宋体" w:hAnsi="宋体"/>
          <w:b/>
          <w:bCs/>
          <w:sz w:val="24"/>
        </w:rPr>
        <w:t>5.2</w:t>
      </w:r>
      <w:r>
        <w:rPr>
          <w:rFonts w:hint="eastAsia" w:ascii="宋体" w:hAnsi="宋体"/>
          <w:sz w:val="24"/>
        </w:rPr>
        <w:t xml:space="preserve"> 采购人将确定排名第一的成交候选供应商为成交供应商。若排名第一的成交候选供应商未通过履约能力和报价核查，采购人应按推荐的名单排序依次确定其他成交候选供应商为成交供应商。</w:t>
      </w:r>
    </w:p>
    <w:p>
      <w:pPr>
        <w:pStyle w:val="4"/>
        <w:spacing w:line="360" w:lineRule="auto"/>
      </w:pPr>
      <w:bookmarkStart w:id="6" w:name="_Toc106039327"/>
      <w:r>
        <w:rPr>
          <w:rFonts w:hint="eastAsia"/>
        </w:rPr>
        <w:t>6</w:t>
      </w:r>
      <w:r>
        <w:rPr>
          <w:rFonts w:hint="eastAsia"/>
          <w:color w:val="000000"/>
        </w:rPr>
        <w:t>.最高限价</w:t>
      </w:r>
      <w:bookmarkEnd w:id="6"/>
    </w:p>
    <w:p>
      <w:pPr>
        <w:autoSpaceDE w:val="0"/>
        <w:spacing w:line="360" w:lineRule="auto"/>
        <w:ind w:firstLine="482" w:firstLineChars="200"/>
        <w:jc w:val="both"/>
        <w:rPr>
          <w:rFonts w:ascii="宋体" w:hAnsi="宋体"/>
          <w:sz w:val="24"/>
        </w:rPr>
      </w:pPr>
      <w:bookmarkStart w:id="7" w:name="_Toc38287094"/>
      <w:bookmarkStart w:id="8" w:name="_Toc40274970"/>
      <w:r>
        <w:rPr>
          <w:rFonts w:hint="eastAsia" w:ascii="宋体" w:hAnsi="宋体"/>
          <w:b/>
          <w:bCs/>
          <w:sz w:val="24"/>
        </w:rPr>
        <w:t>6.1</w:t>
      </w:r>
      <w:r>
        <w:rPr>
          <w:rFonts w:hint="eastAsia" w:ascii="宋体" w:hAnsi="宋体"/>
          <w:sz w:val="24"/>
        </w:rPr>
        <w:t>询价人为本次采购编制了最高限价，最高限价：￥195000，含13%的增值税和运费等。</w:t>
      </w:r>
    </w:p>
    <w:p>
      <w:pPr>
        <w:autoSpaceDE w:val="0"/>
        <w:spacing w:line="360" w:lineRule="auto"/>
        <w:ind w:firstLine="482" w:firstLineChars="200"/>
        <w:jc w:val="both"/>
        <w:rPr>
          <w:rFonts w:ascii="宋体" w:hAnsi="宋体"/>
          <w:sz w:val="24"/>
        </w:rPr>
      </w:pPr>
      <w:r>
        <w:rPr>
          <w:rFonts w:hint="eastAsia" w:ascii="宋体" w:hAnsi="宋体"/>
          <w:b/>
          <w:bCs/>
          <w:sz w:val="24"/>
        </w:rPr>
        <w:t>6.2</w:t>
      </w:r>
      <w:r>
        <w:rPr>
          <w:rFonts w:hint="eastAsia" w:ascii="宋体" w:hAnsi="宋体"/>
          <w:sz w:val="24"/>
        </w:rPr>
        <w:t>报价人报价应不高于最高限价，否则其报价将被否决。</w:t>
      </w:r>
      <w:bookmarkEnd w:id="7"/>
      <w:bookmarkEnd w:id="8"/>
    </w:p>
    <w:p>
      <w:pPr>
        <w:pStyle w:val="4"/>
        <w:spacing w:line="360" w:lineRule="auto"/>
        <w:rPr>
          <w:rFonts w:ascii="Arial" w:hAnsi="Arial"/>
        </w:rPr>
      </w:pPr>
      <w:bookmarkStart w:id="9" w:name="_Toc106039328"/>
      <w:r>
        <w:rPr>
          <w:rFonts w:hint="eastAsia"/>
        </w:rPr>
        <w:t>7.</w:t>
      </w:r>
      <w:r>
        <w:rPr>
          <w:rFonts w:hint="eastAsia" w:ascii="黑体" w:hAnsi="黑体"/>
        </w:rPr>
        <w:t>采购文件获取</w:t>
      </w:r>
      <w:bookmarkEnd w:id="9"/>
    </w:p>
    <w:p>
      <w:pPr>
        <w:autoSpaceDE w:val="0"/>
        <w:spacing w:line="360" w:lineRule="auto"/>
        <w:ind w:firstLine="482" w:firstLineChars="200"/>
        <w:jc w:val="both"/>
        <w:rPr>
          <w:rFonts w:ascii="宋体" w:hAnsi="宋体"/>
          <w:sz w:val="24"/>
        </w:rPr>
      </w:pPr>
      <w:r>
        <w:rPr>
          <w:rFonts w:hint="eastAsia" w:ascii="宋体" w:hAnsi="宋体"/>
          <w:b/>
          <w:bCs/>
          <w:sz w:val="24"/>
        </w:rPr>
        <w:t>7.1</w:t>
      </w:r>
      <w:r>
        <w:rPr>
          <w:rFonts w:hint="eastAsia" w:ascii="宋体" w:hAnsi="宋体"/>
          <w:sz w:val="24"/>
        </w:rPr>
        <w:t xml:space="preserve"> 供应商应当于</w:t>
      </w:r>
      <w:r>
        <w:rPr>
          <w:rFonts w:hint="eastAsia" w:ascii="宋体" w:hAnsi="宋体"/>
          <w:sz w:val="24"/>
          <w:u w:val="single"/>
        </w:rPr>
        <w:t>2024</w:t>
      </w:r>
      <w:r>
        <w:rPr>
          <w:rFonts w:hint="eastAsia" w:ascii="宋体" w:hAnsi="宋体"/>
          <w:sz w:val="24"/>
        </w:rPr>
        <w:t>年</w:t>
      </w:r>
      <w:r>
        <w:rPr>
          <w:rFonts w:ascii="宋体" w:hAnsi="宋体"/>
          <w:sz w:val="24"/>
          <w:u w:val="single"/>
        </w:rPr>
        <w:t xml:space="preserve"> </w:t>
      </w:r>
      <w:r>
        <w:rPr>
          <w:rFonts w:hint="eastAsia" w:ascii="宋体" w:hAnsi="宋体"/>
          <w:sz w:val="24"/>
          <w:u w:val="single"/>
        </w:rPr>
        <w:t>6</w:t>
      </w:r>
      <w:r>
        <w:rPr>
          <w:rFonts w:hint="eastAsia" w:ascii="宋体" w:hAnsi="宋体"/>
          <w:sz w:val="24"/>
        </w:rPr>
        <w:t>月</w:t>
      </w:r>
      <w:r>
        <w:rPr>
          <w:rFonts w:ascii="宋体" w:hAnsi="宋体"/>
          <w:sz w:val="24"/>
          <w:u w:val="single"/>
        </w:rPr>
        <w:t xml:space="preserve"> </w:t>
      </w:r>
      <w:r>
        <w:rPr>
          <w:rFonts w:hint="eastAsia" w:ascii="宋体" w:hAnsi="宋体"/>
          <w:sz w:val="24"/>
          <w:u w:val="single"/>
          <w:lang w:val="en-US" w:eastAsia="zh-CN"/>
        </w:rPr>
        <w:t>25</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8</w:t>
      </w:r>
      <w:r>
        <w:rPr>
          <w:rFonts w:hint="eastAsia" w:ascii="宋体" w:hAnsi="宋体"/>
          <w:sz w:val="24"/>
        </w:rPr>
        <w:t>时</w:t>
      </w:r>
      <w:r>
        <w:rPr>
          <w:rFonts w:hint="eastAsia" w:ascii="宋体" w:hAnsi="宋体"/>
          <w:sz w:val="24"/>
          <w:u w:val="single"/>
        </w:rPr>
        <w:t>30</w:t>
      </w:r>
      <w:r>
        <w:rPr>
          <w:rFonts w:hint="eastAsia" w:ascii="宋体" w:hAnsi="宋体"/>
          <w:sz w:val="24"/>
        </w:rPr>
        <w:t>分至</w:t>
      </w:r>
      <w:r>
        <w:rPr>
          <w:rFonts w:hint="eastAsia" w:ascii="宋体" w:hAnsi="宋体"/>
          <w:sz w:val="24"/>
          <w:u w:val="single"/>
        </w:rPr>
        <w:t>2024</w:t>
      </w:r>
      <w:r>
        <w:rPr>
          <w:rFonts w:hint="eastAsia" w:ascii="宋体" w:hAnsi="宋体"/>
          <w:sz w:val="24"/>
        </w:rPr>
        <w:t>年</w:t>
      </w:r>
      <w:r>
        <w:rPr>
          <w:rFonts w:ascii="宋体" w:hAnsi="宋体"/>
          <w:sz w:val="24"/>
          <w:u w:val="single"/>
        </w:rPr>
        <w:t xml:space="preserve"> </w:t>
      </w:r>
      <w:r>
        <w:rPr>
          <w:rFonts w:hint="eastAsia" w:ascii="宋体" w:hAnsi="宋体"/>
          <w:sz w:val="24"/>
          <w:u w:val="single"/>
        </w:rPr>
        <w:t>6</w:t>
      </w:r>
      <w:r>
        <w:rPr>
          <w:rFonts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29</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17 </w:t>
      </w:r>
      <w:r>
        <w:rPr>
          <w:rFonts w:hint="eastAsia" w:ascii="宋体" w:hAnsi="宋体"/>
          <w:sz w:val="24"/>
        </w:rPr>
        <w:t>时</w:t>
      </w:r>
      <w:r>
        <w:rPr>
          <w:rFonts w:hint="eastAsia" w:ascii="宋体" w:hAnsi="宋体"/>
          <w:sz w:val="24"/>
          <w:u w:val="single"/>
        </w:rPr>
        <w:t xml:space="preserve"> 00 </w:t>
      </w:r>
      <w:r>
        <w:rPr>
          <w:rFonts w:hint="eastAsia" w:ascii="宋体" w:hAnsi="宋体"/>
          <w:sz w:val="24"/>
        </w:rPr>
        <w:t>分，前往长沙集星集装箱码头有限公司办公楼319室获取采购文件，报价文件最迟应于</w:t>
      </w:r>
      <w:r>
        <w:rPr>
          <w:rFonts w:hint="eastAsia" w:ascii="宋体" w:hAnsi="宋体"/>
          <w:sz w:val="24"/>
          <w:u w:val="single"/>
        </w:rPr>
        <w:t>2024</w:t>
      </w:r>
      <w:r>
        <w:rPr>
          <w:rFonts w:hint="eastAsia" w:ascii="宋体" w:hAnsi="宋体"/>
          <w:sz w:val="24"/>
        </w:rPr>
        <w:t>年</w:t>
      </w:r>
      <w:r>
        <w:rPr>
          <w:rFonts w:ascii="宋体" w:hAnsi="宋体"/>
          <w:sz w:val="24"/>
          <w:u w:val="single"/>
        </w:rPr>
        <w:t xml:space="preserve"> </w:t>
      </w:r>
      <w:r>
        <w:rPr>
          <w:rFonts w:hint="eastAsia" w:ascii="宋体" w:hAnsi="宋体"/>
          <w:sz w:val="24"/>
          <w:u w:val="single"/>
          <w:lang w:val="en-US" w:eastAsia="zh-CN"/>
        </w:rPr>
        <w:t>7</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w:t>
      </w:r>
      <w:r>
        <w:rPr>
          <w:rFonts w:hint="eastAsia" w:ascii="宋体" w:hAnsi="宋体"/>
          <w:sz w:val="24"/>
          <w:u w:val="single"/>
        </w:rPr>
        <w:t>1</w:t>
      </w:r>
      <w:r>
        <w:rPr>
          <w:rFonts w:hint="eastAsia" w:ascii="宋体" w:hAnsi="宋体"/>
          <w:sz w:val="24"/>
          <w:u w:val="single"/>
          <w:lang w:val="en-US" w:eastAsia="zh-CN"/>
        </w:rPr>
        <w:t>4</w:t>
      </w:r>
      <w:r>
        <w:rPr>
          <w:rFonts w:hint="eastAsia" w:ascii="宋体" w:hAnsi="宋体"/>
          <w:sz w:val="24"/>
        </w:rPr>
        <w:t>时</w:t>
      </w:r>
      <w:r>
        <w:rPr>
          <w:rFonts w:hint="eastAsia" w:ascii="宋体" w:hAnsi="宋体"/>
          <w:sz w:val="24"/>
          <w:lang w:val="en-US" w:eastAsia="zh-CN"/>
        </w:rPr>
        <w:t>3</w:t>
      </w:r>
      <w:r>
        <w:rPr>
          <w:rFonts w:hint="eastAsia" w:ascii="宋体" w:hAnsi="宋体"/>
          <w:sz w:val="24"/>
          <w:u w:val="single"/>
        </w:rPr>
        <w:t>0</w:t>
      </w:r>
      <w:r>
        <w:rPr>
          <w:rFonts w:hint="eastAsia" w:ascii="宋体" w:hAnsi="宋体"/>
          <w:sz w:val="24"/>
        </w:rPr>
        <w:t>分送达</w:t>
      </w:r>
      <w:r>
        <w:rPr>
          <w:rFonts w:hint="eastAsia" w:ascii="宋体" w:hAnsi="宋体"/>
          <w:sz w:val="24"/>
          <w:u w:val="single"/>
        </w:rPr>
        <w:t>湖南省城陵矶港口集团有限公司六楼602开标室</w:t>
      </w:r>
      <w:r>
        <w:rPr>
          <w:rFonts w:hint="eastAsia" w:ascii="宋体" w:hAnsi="宋体"/>
          <w:sz w:val="24"/>
        </w:rPr>
        <w:t>，逾期送达的或者未送达指定地点的文件，不予受理。</w:t>
      </w:r>
    </w:p>
    <w:p>
      <w:pPr>
        <w:widowControl w:val="0"/>
        <w:spacing w:line="360" w:lineRule="auto"/>
        <w:ind w:firstLine="482" w:firstLineChars="200"/>
        <w:jc w:val="both"/>
        <w:rPr>
          <w:rFonts w:ascii="宋体" w:hAnsi="宋体"/>
          <w:sz w:val="24"/>
        </w:rPr>
      </w:pPr>
      <w:r>
        <w:rPr>
          <w:rFonts w:hint="eastAsia" w:ascii="宋体" w:hAnsi="宋体"/>
          <w:b/>
          <w:bCs/>
          <w:sz w:val="24"/>
        </w:rPr>
        <w:t xml:space="preserve">7.2 </w:t>
      </w:r>
      <w:r>
        <w:rPr>
          <w:rFonts w:hint="eastAsia" w:ascii="宋体" w:hAnsi="宋体"/>
          <w:sz w:val="24"/>
        </w:rPr>
        <w:t>供应商若对本项目采购需求、资格要求等有疑问的，应当于</w:t>
      </w:r>
      <w:r>
        <w:rPr>
          <w:rFonts w:hint="eastAsia" w:ascii="宋体" w:hAnsi="宋体"/>
          <w:sz w:val="24"/>
          <w:u w:val="single"/>
        </w:rPr>
        <w:t>2024年 6 月</w:t>
      </w:r>
      <w:r>
        <w:rPr>
          <w:rFonts w:hint="eastAsia" w:ascii="宋体" w:hAnsi="宋体"/>
          <w:sz w:val="24"/>
          <w:u w:val="single"/>
          <w:lang w:val="en-US" w:eastAsia="zh-CN"/>
        </w:rPr>
        <w:t>29</w:t>
      </w:r>
      <w:r>
        <w:rPr>
          <w:rFonts w:hint="eastAsia" w:ascii="宋体" w:hAnsi="宋体"/>
          <w:sz w:val="24"/>
          <w:u w:val="single"/>
        </w:rPr>
        <w:t xml:space="preserve">  日14时30分</w:t>
      </w:r>
      <w:r>
        <w:rPr>
          <w:rFonts w:hint="eastAsia" w:ascii="宋体" w:hAnsi="宋体"/>
          <w:sz w:val="24"/>
        </w:rPr>
        <w:t>前向采购人提出澄清要求（</w:t>
      </w:r>
      <w:r>
        <w:rPr>
          <w:rFonts w:hint="eastAsia" w:ascii="宋体" w:hAnsi="宋体"/>
          <w:bCs/>
          <w:sz w:val="24"/>
        </w:rPr>
        <w:t>公休日除外</w:t>
      </w:r>
      <w:r>
        <w:rPr>
          <w:rFonts w:hint="eastAsia" w:ascii="宋体" w:hAnsi="宋体"/>
          <w:sz w:val="24"/>
        </w:rPr>
        <w:t>）。</w:t>
      </w:r>
    </w:p>
    <w:p>
      <w:pPr>
        <w:widowControl w:val="0"/>
        <w:spacing w:line="360" w:lineRule="auto"/>
        <w:ind w:firstLine="482" w:firstLineChars="200"/>
        <w:jc w:val="both"/>
        <w:rPr>
          <w:rFonts w:ascii="宋体" w:hAnsi="宋体"/>
          <w:sz w:val="24"/>
        </w:rPr>
      </w:pPr>
      <w:r>
        <w:rPr>
          <w:rFonts w:hint="eastAsia" w:ascii="宋体" w:hAnsi="宋体"/>
          <w:b/>
          <w:bCs/>
          <w:sz w:val="24"/>
        </w:rPr>
        <w:t xml:space="preserve">7.3 </w:t>
      </w:r>
      <w:r>
        <w:rPr>
          <w:rFonts w:hint="eastAsia" w:ascii="宋体" w:hAnsi="宋体"/>
          <w:sz w:val="24"/>
        </w:rPr>
        <w:t>本次询价不接受联合体报价。</w:t>
      </w:r>
    </w:p>
    <w:p>
      <w:pPr>
        <w:pStyle w:val="4"/>
        <w:spacing w:line="360" w:lineRule="auto"/>
      </w:pPr>
      <w:bookmarkStart w:id="10" w:name="_Toc106039329"/>
      <w:r>
        <w:rPr>
          <w:rFonts w:hint="eastAsia"/>
        </w:rPr>
        <w:t>8.发布</w:t>
      </w:r>
      <w:r>
        <w:rPr>
          <w:rFonts w:hint="eastAsia" w:ascii="黑体" w:hAnsi="黑体"/>
        </w:rPr>
        <w:t>公告的</w:t>
      </w:r>
      <w:r>
        <w:rPr>
          <w:rFonts w:hint="eastAsia"/>
        </w:rPr>
        <w:t>媒介</w:t>
      </w:r>
      <w:bookmarkEnd w:id="10"/>
    </w:p>
    <w:p>
      <w:pPr>
        <w:widowControl w:val="0"/>
        <w:spacing w:line="360" w:lineRule="auto"/>
        <w:ind w:firstLine="480" w:firstLineChars="200"/>
        <w:rPr>
          <w:rFonts w:ascii="宋体" w:hAnsi="宋体" w:cs="宋体"/>
          <w:sz w:val="24"/>
        </w:rPr>
      </w:pPr>
      <w:r>
        <w:rPr>
          <w:rFonts w:hint="eastAsia" w:ascii="宋体" w:hAnsi="宋体"/>
          <w:bCs/>
          <w:sz w:val="24"/>
        </w:rPr>
        <w:t>本次采购公告</w:t>
      </w:r>
      <w:r>
        <w:rPr>
          <w:rFonts w:hint="eastAsia" w:ascii="宋体" w:hAnsi="宋体"/>
          <w:sz w:val="24"/>
        </w:rPr>
        <w:t>发布的媒介:</w:t>
      </w:r>
      <w:r>
        <w:rPr>
          <w:rFonts w:hint="eastAsia" w:ascii="宋体" w:hAnsi="宋体" w:cs="宋体"/>
          <w:sz w:val="24"/>
        </w:rPr>
        <w:t xml:space="preserve"> 中国招标投标公共服务平台（http：//www.cebpubservice.com）、湖南省港航水利集团有限公司（http://www.hnsghsljt.com/）、湖南省城陵矶港口集团有限公司（http://www.hnsgwjt.com）上发布。</w:t>
      </w:r>
    </w:p>
    <w:p>
      <w:pPr>
        <w:pStyle w:val="4"/>
        <w:spacing w:line="360" w:lineRule="auto"/>
      </w:pPr>
      <w:bookmarkStart w:id="11" w:name="_Toc76635692"/>
      <w:bookmarkStart w:id="12" w:name="_Toc512257471"/>
      <w:bookmarkStart w:id="13" w:name="_Toc77254104"/>
      <w:bookmarkStart w:id="14" w:name="_Toc79596547"/>
      <w:bookmarkStart w:id="15" w:name="_Toc106039330"/>
      <w:r>
        <w:rPr>
          <w:rFonts w:hint="eastAsia"/>
        </w:rPr>
        <w:t>9.</w:t>
      </w:r>
      <w:r>
        <w:t>监督</w:t>
      </w:r>
      <w:bookmarkEnd w:id="11"/>
      <w:bookmarkEnd w:id="12"/>
      <w:bookmarkEnd w:id="13"/>
      <w:r>
        <w:rPr>
          <w:rFonts w:hint="eastAsia"/>
        </w:rPr>
        <w:t>部门</w:t>
      </w:r>
      <w:bookmarkEnd w:id="14"/>
      <w:bookmarkEnd w:id="15"/>
    </w:p>
    <w:p>
      <w:pPr>
        <w:pStyle w:val="36"/>
        <w:widowControl w:val="0"/>
        <w:adjustRightInd w:val="0"/>
        <w:snapToGrid w:val="0"/>
        <w:spacing w:before="0" w:beforeAutospacing="0" w:after="0" w:afterAutospacing="0" w:line="360" w:lineRule="auto"/>
        <w:ind w:firstLine="240" w:firstLineChars="100"/>
        <w:jc w:val="both"/>
        <w:rPr>
          <w:bCs/>
        </w:rPr>
      </w:pPr>
      <w:r>
        <w:rPr>
          <w:rFonts w:hint="eastAsia"/>
          <w:bCs/>
        </w:rPr>
        <w:t>本次采购监督部门为长沙集星集装箱码头有限公司党群综合部，电话：</w:t>
      </w:r>
      <w:r>
        <w:rPr>
          <w:rFonts w:hint="eastAsia" w:cs="Times New Roman"/>
        </w:rPr>
        <w:t>13507318311</w:t>
      </w:r>
      <w:r>
        <w:rPr>
          <w:rFonts w:hint="eastAsia"/>
          <w:bCs/>
        </w:rPr>
        <w:t>。</w:t>
      </w:r>
    </w:p>
    <w:p>
      <w:pPr>
        <w:pStyle w:val="4"/>
        <w:spacing w:line="360" w:lineRule="auto"/>
        <w:rPr>
          <w:rFonts w:ascii="Arial" w:hAnsi="Arial"/>
        </w:rPr>
      </w:pPr>
      <w:bookmarkStart w:id="16" w:name="_Toc106039331"/>
      <w:r>
        <w:rPr>
          <w:rFonts w:hint="eastAsia"/>
        </w:rPr>
        <w:t>10.</w:t>
      </w:r>
      <w:r>
        <w:rPr>
          <w:rFonts w:hint="eastAsia" w:ascii="黑体" w:hAnsi="黑体"/>
        </w:rPr>
        <w:t>联系方式</w:t>
      </w:r>
      <w:bookmarkEnd w:id="16"/>
    </w:p>
    <w:p>
      <w:pPr>
        <w:autoSpaceDE w:val="0"/>
        <w:spacing w:line="360" w:lineRule="auto"/>
        <w:ind w:firstLine="240" w:firstLineChars="100"/>
        <w:rPr>
          <w:rFonts w:ascii="宋体" w:hAnsi="宋体"/>
          <w:sz w:val="24"/>
        </w:rPr>
      </w:pPr>
      <w:r>
        <w:rPr>
          <w:rFonts w:hint="eastAsia" w:ascii="宋体" w:hAnsi="宋体"/>
          <w:sz w:val="24"/>
        </w:rPr>
        <w:t xml:space="preserve">采 购 人: </w:t>
      </w:r>
      <w:r>
        <w:rPr>
          <w:rFonts w:hint="eastAsia" w:ascii="宋体" w:hAnsi="宋体"/>
          <w:sz w:val="24"/>
          <w:u w:val="single"/>
        </w:rPr>
        <w:t>长沙集星集装箱码头有限公司</w:t>
      </w:r>
    </w:p>
    <w:p>
      <w:pPr>
        <w:autoSpaceDE w:val="0"/>
        <w:spacing w:line="360" w:lineRule="auto"/>
        <w:ind w:firstLine="240" w:firstLineChars="100"/>
        <w:rPr>
          <w:rFonts w:ascii="宋体" w:hAnsi="宋体"/>
          <w:sz w:val="24"/>
        </w:rPr>
      </w:pPr>
      <w:r>
        <w:rPr>
          <w:rFonts w:hint="eastAsia" w:ascii="宋体" w:hAnsi="宋体"/>
          <w:sz w:val="24"/>
        </w:rPr>
        <w:t xml:space="preserve">地    址: </w:t>
      </w:r>
      <w:r>
        <w:rPr>
          <w:rFonts w:hint="eastAsia" w:ascii="宋体" w:hAnsi="宋体"/>
          <w:sz w:val="24"/>
          <w:u w:val="single"/>
        </w:rPr>
        <w:t>长沙市开福区新港镇新港路80号</w:t>
      </w:r>
    </w:p>
    <w:p>
      <w:pPr>
        <w:autoSpaceDE w:val="0"/>
        <w:spacing w:line="360" w:lineRule="auto"/>
        <w:ind w:firstLine="240" w:firstLineChars="1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联 系 人: </w:t>
      </w:r>
      <w:r>
        <w:rPr>
          <w:rFonts w:hint="eastAsia" w:ascii="宋体" w:hAnsi="宋体" w:cs="宋体"/>
          <w:color w:val="000000" w:themeColor="text1"/>
          <w:sz w:val="24"/>
          <w:u w:val="single"/>
          <w14:textFill>
            <w14:solidFill>
              <w14:schemeClr w14:val="tx1"/>
            </w14:solidFill>
          </w14:textFill>
        </w:rPr>
        <w:t>唐先生</w:t>
      </w:r>
    </w:p>
    <w:p>
      <w:pPr>
        <w:spacing w:line="360" w:lineRule="auto"/>
        <w:ind w:firstLine="240" w:firstLineChars="1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电    话: </w:t>
      </w:r>
      <w:r>
        <w:rPr>
          <w:rFonts w:hint="eastAsia" w:ascii="宋体" w:hAnsi="宋体" w:cs="宋体"/>
          <w:color w:val="000000" w:themeColor="text1"/>
          <w:sz w:val="24"/>
          <w:u w:val="single"/>
          <w14:textFill>
            <w14:solidFill>
              <w14:schemeClr w14:val="tx1"/>
            </w14:solidFill>
          </w14:textFill>
        </w:rPr>
        <w:t>13637494623</w:t>
      </w:r>
    </w:p>
    <w:p>
      <w:pPr>
        <w:spacing w:line="360" w:lineRule="auto"/>
        <w:ind w:firstLine="240" w:firstLineChars="100"/>
        <w:rPr>
          <w:rFonts w:ascii="宋体" w:hAnsi="宋体" w:cs="宋体"/>
          <w:color w:val="000000" w:themeColor="text1"/>
          <w:sz w:val="24"/>
          <w:u w:val="single"/>
          <w14:textFill>
            <w14:solidFill>
              <w14:schemeClr w14:val="tx1"/>
            </w14:solidFill>
          </w14:textFill>
        </w:rPr>
      </w:pPr>
      <w:bookmarkStart w:id="17" w:name="_Toc234832861"/>
      <w:bookmarkStart w:id="18" w:name="_Toc517787494"/>
      <w:r>
        <w:rPr>
          <w:rFonts w:hint="eastAsia" w:ascii="宋体" w:hAnsi="宋体" w:cs="宋体"/>
          <w:color w:val="000000" w:themeColor="text1"/>
          <w:sz w:val="24"/>
          <w14:textFill>
            <w14:solidFill>
              <w14:schemeClr w14:val="tx1"/>
            </w14:solidFill>
          </w14:textFill>
        </w:rPr>
        <w:t>邮    箱：</w:t>
      </w:r>
      <w:r>
        <w:rPr>
          <w:rFonts w:hint="eastAsia" w:ascii="宋体" w:hAnsi="宋体" w:cs="宋体"/>
          <w:color w:val="000000" w:themeColor="text1"/>
          <w:sz w:val="24"/>
          <w:u w:val="single"/>
          <w14:textFill>
            <w14:solidFill>
              <w14:schemeClr w14:val="tx1"/>
            </w14:solidFill>
          </w14:textFill>
        </w:rPr>
        <w:t>1520088637@qq.com</w:t>
      </w:r>
    </w:p>
    <w:p>
      <w:pPr>
        <w:spacing w:line="360" w:lineRule="auto"/>
        <w:jc w:val="center"/>
        <w:rPr>
          <w:rFonts w:ascii="黑体" w:hAnsi="黑体" w:eastAsia="黑体"/>
          <w:sz w:val="32"/>
          <w:szCs w:val="32"/>
        </w:rPr>
      </w:pPr>
    </w:p>
    <w:p>
      <w:pPr>
        <w:spacing w:line="360" w:lineRule="auto"/>
        <w:jc w:val="both"/>
        <w:rPr>
          <w:rFonts w:ascii="黑体" w:hAnsi="黑体" w:eastAsia="黑体"/>
          <w:sz w:val="32"/>
          <w:szCs w:val="32"/>
        </w:rPr>
      </w:pPr>
    </w:p>
    <w:p>
      <w:pPr>
        <w:spacing w:line="360" w:lineRule="auto"/>
        <w:rPr>
          <w:rFonts w:ascii="黑体" w:hAnsi="黑体" w:eastAsia="黑体"/>
          <w:sz w:val="32"/>
          <w:szCs w:val="32"/>
        </w:rPr>
      </w:pPr>
      <w:bookmarkStart w:id="19" w:name="_Toc106039332"/>
      <w:r>
        <w:rPr>
          <w:rFonts w:hint="eastAsia" w:ascii="黑体" w:hAnsi="黑体" w:eastAsia="黑体"/>
          <w:sz w:val="32"/>
          <w:szCs w:val="32"/>
        </w:rPr>
        <w:br w:type="page"/>
      </w:r>
    </w:p>
    <w:p>
      <w:pPr>
        <w:pStyle w:val="3"/>
        <w:spacing w:before="40" w:after="40" w:line="360" w:lineRule="auto"/>
        <w:jc w:val="center"/>
        <w:rPr>
          <w:rFonts w:ascii="黑体" w:hAnsi="黑体" w:eastAsia="黑体"/>
          <w:sz w:val="36"/>
          <w:szCs w:val="36"/>
        </w:rPr>
      </w:pPr>
      <w:r>
        <w:rPr>
          <w:rFonts w:hint="eastAsia" w:ascii="黑体" w:hAnsi="黑体" w:eastAsia="黑体"/>
          <w:sz w:val="36"/>
          <w:szCs w:val="36"/>
        </w:rPr>
        <w:t>第二章  供应商须知</w:t>
      </w:r>
      <w:bookmarkEnd w:id="17"/>
      <w:bookmarkEnd w:id="18"/>
      <w:bookmarkEnd w:id="19"/>
    </w:p>
    <w:p>
      <w:pPr>
        <w:pStyle w:val="4"/>
        <w:spacing w:line="360" w:lineRule="auto"/>
        <w:jc w:val="center"/>
        <w:rPr>
          <w:rFonts w:cs="仿宋" w:asciiTheme="minorEastAsia" w:hAnsiTheme="minorEastAsia" w:eastAsiaTheme="minorEastAsia"/>
          <w:sz w:val="30"/>
          <w:szCs w:val="30"/>
        </w:rPr>
      </w:pPr>
      <w:bookmarkStart w:id="20" w:name="_Toc106039333"/>
      <w:bookmarkStart w:id="21" w:name="_Toc234832862"/>
      <w:bookmarkStart w:id="22" w:name="_Toc517787495"/>
      <w:r>
        <w:rPr>
          <w:rFonts w:hint="eastAsia" w:cs="仿宋" w:asciiTheme="minorEastAsia" w:hAnsiTheme="minorEastAsia" w:eastAsiaTheme="minorEastAsia"/>
          <w:sz w:val="30"/>
          <w:szCs w:val="30"/>
        </w:rPr>
        <w:t>供应商须知前附表</w:t>
      </w:r>
      <w:bookmarkEnd w:id="20"/>
      <w:bookmarkEnd w:id="21"/>
      <w:bookmarkEnd w:id="22"/>
    </w:p>
    <w:tbl>
      <w:tblPr>
        <w:tblStyle w:val="41"/>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询价</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综合评标法</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 xml:space="preserve">不组织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 xml:space="preserve">不召开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不得分包的内容：不允许分包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允许偏差的范围：不允许重大偏差，允许细微偏差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截止时间：2024年 </w:t>
            </w:r>
            <w:r>
              <w:rPr>
                <w:rFonts w:hint="eastAsia" w:cs="仿宋" w:asciiTheme="minorEastAsia" w:hAnsiTheme="minorEastAsia" w:eastAsiaTheme="minorEastAsia"/>
                <w:sz w:val="24"/>
                <w:lang w:val="en-US" w:eastAsia="zh-CN"/>
              </w:rPr>
              <w:t>6</w:t>
            </w:r>
            <w:r>
              <w:rPr>
                <w:rFonts w:hint="eastAsia" w:cs="仿宋" w:asciiTheme="minorEastAsia" w:hAnsiTheme="minorEastAsia" w:eastAsiaTheme="minorEastAsia"/>
                <w:sz w:val="24"/>
              </w:rPr>
              <w:t xml:space="preserve"> 月 </w:t>
            </w:r>
            <w:r>
              <w:rPr>
                <w:rFonts w:hint="eastAsia" w:cs="仿宋" w:asciiTheme="minorEastAsia" w:hAnsiTheme="minorEastAsia" w:eastAsiaTheme="minorEastAsia"/>
                <w:sz w:val="24"/>
                <w:lang w:val="en-US" w:eastAsia="zh-CN"/>
              </w:rPr>
              <w:t>29</w:t>
            </w:r>
            <w:r>
              <w:rPr>
                <w:rFonts w:hint="eastAsia" w:cs="仿宋" w:asciiTheme="minorEastAsia" w:hAnsiTheme="minorEastAsia" w:eastAsiaTheme="minorEastAsia"/>
                <w:sz w:val="24"/>
              </w:rPr>
              <w:t xml:space="preserve">  日14时30分前。</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确认的最晚时间：收到补充文件的24小时内</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确定的方式：收到纸质版文件为准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有，￥195000</w:t>
            </w:r>
            <w:r>
              <w:rPr>
                <w:rFonts w:hint="eastAsia" w:ascii="宋体" w:hAnsi="宋体"/>
                <w:sz w:val="24"/>
              </w:rPr>
              <w:t>，含13%的增值税和运费等</w:t>
            </w:r>
          </w:p>
        </w:tc>
      </w:tr>
      <w:tr>
        <w:tblPrEx>
          <w:tblCellMar>
            <w:top w:w="0" w:type="dxa"/>
            <w:left w:w="108" w:type="dxa"/>
            <w:bottom w:w="0" w:type="dxa"/>
            <w:right w:w="108" w:type="dxa"/>
          </w:tblCellMar>
        </w:tblPrEx>
        <w:trPr>
          <w:trHeight w:val="7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报价唯一，报价需包含税金。</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递交响应文件截止之日起90日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 xml:space="preserve">不要求递交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Style w:val="44"/>
                <w:rFonts w:asciiTheme="minorEastAsia" w:hAnsiTheme="minorEastAsia" w:eastAsiaTheme="minorEastAsia"/>
                <w:b w:val="0"/>
                <w:color w:val="000000"/>
                <w:sz w:val="24"/>
              </w:rPr>
            </w:pPr>
            <w:r>
              <w:rPr>
                <w:rStyle w:val="44"/>
                <w:rFonts w:hint="eastAsia" w:asciiTheme="minorEastAsia" w:hAnsiTheme="minorEastAsia" w:eastAsiaTheme="minorEastAsia"/>
                <w:b w:val="0"/>
                <w:color w:val="000000"/>
                <w:sz w:val="24"/>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b/>
                <w:bCs/>
                <w:sz w:val="24"/>
              </w:rPr>
              <w:sym w:font="Wingdings 2" w:char="0052"/>
            </w:r>
            <w:r>
              <w:rPr>
                <w:rFonts w:hint="eastAsia"/>
                <w:b/>
                <w:bCs/>
                <w:sz w:val="24"/>
              </w:rPr>
              <w:t>适用。</w:t>
            </w:r>
            <w:r>
              <w:rPr>
                <w:rFonts w:hint="eastAsia"/>
                <w:sz w:val="24"/>
              </w:rPr>
              <w:t>在中华人民共和国合法注册、具有独立法人资格，具有有效的营业执照，符合本次采购项目的营业范围，有能力完成本次采购项目；需提供法人营业执照(或事业单位法人证书)副本（全本）的复印件（并加盖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Style w:val="44"/>
                <w:rFonts w:hint="eastAsia" w:asciiTheme="minorEastAsia" w:hAnsiTheme="minorEastAsia" w:eastAsiaTheme="minorEastAsia"/>
                <w:b w:val="0"/>
                <w:color w:val="000000"/>
                <w:sz w:val="24"/>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360" w:lineRule="auto"/>
              <w:jc w:val="both"/>
              <w:rPr>
                <w:rFonts w:cs="宋体" w:asciiTheme="minorEastAsia" w:hAnsi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不适用</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Style w:val="44"/>
                <w:rFonts w:asciiTheme="minorEastAsia" w:hAnsiTheme="minorEastAsia" w:eastAsiaTheme="minorEastAsia"/>
                <w:b w:val="0"/>
                <w:color w:val="000000"/>
                <w:sz w:val="24"/>
              </w:rPr>
            </w:pPr>
            <w:r>
              <w:rPr>
                <w:rStyle w:val="44"/>
                <w:rFonts w:hint="eastAsia" w:asciiTheme="minorEastAsia" w:hAnsiTheme="minorEastAsia" w:eastAsiaTheme="minorEastAsia"/>
                <w:b w:val="0"/>
                <w:color w:val="000000"/>
                <w:sz w:val="24"/>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360" w:lineRule="auto"/>
              <w:jc w:val="both"/>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不适用</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sz w:val="24"/>
              </w:rPr>
            </w:pPr>
            <w:r>
              <w:rPr>
                <w:rFonts w:hint="eastAsia" w:cs="宋体" w:asciiTheme="minorEastAsia" w:hAnsiTheme="minorEastAsia" w:eastAsiaTheme="minorEastAsia"/>
                <w:b/>
                <w:bCs/>
                <w:color w:val="000000"/>
                <w:sz w:val="24"/>
              </w:rPr>
              <w:sym w:font="Wingdings 2" w:char="0052"/>
            </w:r>
            <w:r>
              <w:rPr>
                <w:rFonts w:hint="eastAsia" w:cs="宋体" w:asciiTheme="minorEastAsia" w:hAnsiTheme="minorEastAsia" w:eastAsiaTheme="minorEastAsia"/>
                <w:b/>
                <w:bCs/>
                <w:color w:val="000000"/>
                <w:sz w:val="24"/>
              </w:rPr>
              <w:t>适用。</w:t>
            </w:r>
            <w:r>
              <w:rPr>
                <w:rFonts w:hint="eastAsia" w:ascii="宋体" w:hAnsi="宋体" w:cs="宋体"/>
                <w:color w:val="000000"/>
                <w:sz w:val="24"/>
              </w:rPr>
              <w:t>供应商需提供近3年完成过2个及以上同类型销售合同，合同单价为10万元及以上。提供近年的类似项目情况表,（格式见第六章“响应文件格式”七、资格审查资料（三）近年的类似项目情况表），</w:t>
            </w:r>
            <w:r>
              <w:rPr>
                <w:rFonts w:hint="eastAsia" w:ascii="宋体" w:hAnsi="宋体" w:cs="宋体"/>
                <w:sz w:val="24"/>
              </w:rPr>
              <w:t>以证明供应商具有承担本项目的能力。近年是指</w:t>
            </w:r>
            <w:r>
              <w:rPr>
                <w:rFonts w:hint="eastAsia" w:ascii="宋体" w:hAnsi="宋体" w:cs="宋体"/>
                <w:sz w:val="24"/>
                <w:u w:val="single"/>
              </w:rPr>
              <w:t>2021年6月至2024年6月</w:t>
            </w:r>
            <w:r>
              <w:rPr>
                <w:rFonts w:hint="eastAsia" w:ascii="宋体" w:hAnsi="宋体" w:cs="宋体"/>
                <w:sz w:val="24"/>
              </w:rPr>
              <w:t>。</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业绩证明材料：</w:t>
            </w:r>
          </w:p>
          <w:p>
            <w:pPr>
              <w:spacing w:line="360"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 xml:space="preserve">合同复印件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highlight w:val="yellow"/>
              </w:rPr>
            </w:pPr>
            <w:r>
              <w:rPr>
                <w:rFonts w:hint="eastAsia" w:cs="宋体" w:asciiTheme="minorEastAsia" w:hAnsiTheme="minorEastAsia" w:eastAsiaTheme="minorEastAsia"/>
                <w:color w:val="000000"/>
                <w:sz w:val="24"/>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pStyle w:val="16"/>
              <w:spacing w:after="0" w:line="360" w:lineRule="auto"/>
              <w:ind w:left="0" w:leftChars="0"/>
              <w:rPr>
                <w:rFonts w:cs="宋体" w:asciiTheme="minorEastAsia" w:hAnsiTheme="minorEastAsia" w:eastAsiaTheme="minorEastAsia"/>
                <w:color w:val="000000"/>
                <w:sz w:val="24"/>
              </w:rPr>
            </w:pPr>
            <w:r>
              <w:rPr>
                <w:rFonts w:hint="eastAsia" w:cs="宋体" w:asciiTheme="minorEastAsia" w:hAnsiTheme="minorEastAsia" w:eastAsiaTheme="minorEastAsia"/>
                <w:b/>
                <w:bCs/>
                <w:color w:val="000000"/>
                <w:sz w:val="24"/>
              </w:rPr>
              <w:sym w:font="Wingdings 2" w:char="0052"/>
            </w:r>
            <w:r>
              <w:rPr>
                <w:rFonts w:cs="宋体" w:asciiTheme="minorEastAsia" w:hAnsiTheme="minorEastAsia" w:eastAsiaTheme="minorEastAsia"/>
                <w:b/>
                <w:bCs/>
                <w:color w:val="000000"/>
                <w:sz w:val="24"/>
              </w:rPr>
              <w:t xml:space="preserve"> </w:t>
            </w:r>
            <w:r>
              <w:rPr>
                <w:rFonts w:hint="eastAsia" w:cs="宋体" w:asciiTheme="minorEastAsia" w:hAnsiTheme="minorEastAsia" w:eastAsiaTheme="minorEastAsia"/>
                <w:b/>
                <w:bCs/>
                <w:color w:val="000000"/>
                <w:sz w:val="24"/>
              </w:rPr>
              <w:t>适用。</w:t>
            </w:r>
            <w:r>
              <w:rPr>
                <w:rFonts w:hint="eastAsia" w:cs="宋体" w:asciiTheme="minorEastAsia" w:hAnsiTheme="minorEastAsia" w:eastAsiaTheme="minorEastAsia"/>
                <w:color w:val="000000"/>
                <w:sz w:val="24"/>
              </w:rPr>
              <w:t>供应商应提供相关信誉情况的证明材料，包括：1．全国企业信用信息公示系统中未列入严重违法失信企业名单的网页截图，加盖公章。</w:t>
            </w:r>
          </w:p>
          <w:p>
            <w:pPr>
              <w:spacing w:line="360"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t>2．被最高人民法院在“信用中国”网站（www.creditchina.gov.cn）中未列入失信被执行人名单的网页截图，加盖公章。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 xml:space="preserve">不适用。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b/>
                <w:bCs/>
                <w:color w:val="000000"/>
                <w:sz w:val="24"/>
              </w:rPr>
              <w:sym w:font="Wingdings 2" w:char="0052"/>
            </w:r>
            <w:r>
              <w:rPr>
                <w:rFonts w:hint="eastAsia" w:cs="宋体" w:asciiTheme="minorEastAsia" w:hAnsiTheme="minorEastAsia" w:eastAsiaTheme="minorEastAsia"/>
                <w:b/>
                <w:bCs/>
                <w:color w:val="000000"/>
                <w:sz w:val="24"/>
              </w:rPr>
              <w:t>需要提供证明材料</w:t>
            </w:r>
            <w:r>
              <w:rPr>
                <w:rFonts w:hint="eastAsia" w:cs="宋体" w:asciiTheme="minorEastAsia" w:hAnsiTheme="minorEastAsia" w:eastAsiaTheme="minorEastAsia"/>
                <w:color w:val="000000"/>
                <w:sz w:val="24"/>
              </w:rPr>
              <w:t>，包括：</w:t>
            </w:r>
            <w:r>
              <w:rPr>
                <w:rFonts w:hint="eastAsia" w:cs="宋体" w:asciiTheme="minorEastAsia" w:hAnsiTheme="minorEastAsia" w:eastAsiaTheme="minorEastAsia"/>
                <w:color w:val="000000"/>
                <w:sz w:val="24"/>
                <w:u w:val="single"/>
              </w:rPr>
              <w:t xml:space="preserve">  提供承诺函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供应商只能提出唯一响应方案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提供纸质版响应文件三份：</w:t>
            </w:r>
            <w:r>
              <w:rPr>
                <w:rFonts w:hint="eastAsia" w:cs="宋体" w:asciiTheme="minorEastAsia" w:hAnsiTheme="minorEastAsia" w:eastAsiaTheme="minorEastAsia"/>
                <w:b/>
                <w:bCs/>
                <w:color w:val="000000"/>
                <w:sz w:val="24"/>
              </w:rPr>
              <w:t>一正两副</w:t>
            </w:r>
            <w:r>
              <w:rPr>
                <w:rFonts w:hint="eastAsia" w:cs="宋体" w:asciiTheme="minorEastAsia" w:hAnsiTheme="minorEastAsia" w:eastAsiaTheme="minorEastAsia"/>
                <w:color w:val="000000"/>
                <w:sz w:val="24"/>
              </w:rPr>
              <w:t xml:space="preserve">          是否要求提供电子版响应文件：</w:t>
            </w:r>
          </w:p>
          <w:p>
            <w:pPr>
              <w:spacing w:line="360"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不要求</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响应文件须密封包装，并在封套的封口处加盖供应商单位章。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适用，供应商名称、</w:t>
            </w:r>
            <w:r>
              <w:rPr>
                <w:rFonts w:hint="eastAsia" w:cs="宋体" w:asciiTheme="minorEastAsia" w:hAnsiTheme="minorEastAsia" w:eastAsiaTheme="minorEastAsia"/>
                <w:color w:val="000000"/>
                <w:sz w:val="24"/>
                <w:u w:val="single"/>
              </w:rPr>
              <w:t xml:space="preserve">（项目名称）响应文件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截止</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2024年</w:t>
            </w:r>
            <w:r>
              <w:rPr>
                <w:rFonts w:hint="eastAsia" w:cs="宋体" w:asciiTheme="minorEastAsia" w:hAnsiTheme="minorEastAsia" w:eastAsiaTheme="minorEastAsia"/>
                <w:sz w:val="24"/>
                <w:u w:val="single"/>
                <w:lang w:val="en-US" w:eastAsia="zh-CN"/>
              </w:rPr>
              <w:t>7</w:t>
            </w:r>
            <w:r>
              <w:rPr>
                <w:rFonts w:hint="eastAsia" w:cs="宋体" w:asciiTheme="minorEastAsia" w:hAnsiTheme="minorEastAsia" w:eastAsiaTheme="minorEastAsia"/>
                <w:sz w:val="24"/>
                <w:u w:val="single"/>
              </w:rPr>
              <w:t xml:space="preserve">月 </w:t>
            </w:r>
            <w:r>
              <w:rPr>
                <w:rFonts w:hint="eastAsia" w:cs="宋体" w:asciiTheme="minorEastAsia" w:hAnsiTheme="minorEastAsia" w:eastAsiaTheme="minorEastAsia"/>
                <w:sz w:val="24"/>
                <w:u w:val="single"/>
                <w:lang w:val="en-US" w:eastAsia="zh-CN"/>
              </w:rPr>
              <w:t>2</w:t>
            </w:r>
            <w:r>
              <w:rPr>
                <w:rFonts w:hint="eastAsia" w:cs="宋体" w:asciiTheme="minorEastAsia" w:hAnsiTheme="minorEastAsia" w:eastAsiaTheme="minorEastAsia"/>
                <w:sz w:val="24"/>
                <w:u w:val="single"/>
              </w:rPr>
              <w:t xml:space="preserve"> 日1</w:t>
            </w:r>
            <w:r>
              <w:rPr>
                <w:rFonts w:hint="eastAsia" w:cs="宋体" w:asciiTheme="minorEastAsia" w:hAnsiTheme="minorEastAsia" w:eastAsiaTheme="minorEastAsia"/>
                <w:sz w:val="24"/>
                <w:u w:val="single"/>
                <w:lang w:val="en-US" w:eastAsia="zh-CN"/>
              </w:rPr>
              <w:t>4</w:t>
            </w:r>
            <w:r>
              <w:rPr>
                <w:rFonts w:hint="eastAsia" w:cs="宋体" w:asciiTheme="minorEastAsia" w:hAnsiTheme="minorEastAsia" w:eastAsiaTheme="minorEastAsia"/>
                <w:sz w:val="24"/>
                <w:u w:val="single"/>
              </w:rPr>
              <w:t>时</w:t>
            </w:r>
            <w:r>
              <w:rPr>
                <w:rFonts w:hint="eastAsia" w:cs="宋体" w:asciiTheme="minorEastAsia" w:hAnsiTheme="minorEastAsia" w:eastAsiaTheme="minorEastAsia"/>
                <w:sz w:val="24"/>
                <w:u w:val="single"/>
                <w:lang w:val="en-US" w:eastAsia="zh-CN"/>
              </w:rPr>
              <w:t>3</w:t>
            </w:r>
            <w:bookmarkStart w:id="82" w:name="_GoBack"/>
            <w:bookmarkEnd w:id="82"/>
            <w:r>
              <w:rPr>
                <w:rFonts w:hint="eastAsia" w:cs="宋体" w:asciiTheme="minorEastAsia" w:hAnsiTheme="minorEastAsia" w:eastAsiaTheme="minorEastAsia"/>
                <w:sz w:val="24"/>
                <w:u w:val="single"/>
              </w:rPr>
              <w:t xml:space="preserve">0分        </w:t>
            </w:r>
            <w:r>
              <w:rPr>
                <w:rFonts w:hint="eastAsia" w:cs="宋体" w:asciiTheme="minorEastAsia" w:hAnsiTheme="minorEastAsia" w:eastAsiaTheme="minorEastAsia"/>
                <w:color w:val="000000"/>
                <w:sz w:val="24"/>
                <w:u w:val="single"/>
              </w:rPr>
              <w:t xml:space="preserve">          </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递交响应文件的地点：</w:t>
            </w:r>
            <w:r>
              <w:rPr>
                <w:rFonts w:hint="eastAsia" w:ascii="宋体" w:hAnsi="宋体"/>
                <w:sz w:val="24"/>
                <w:u w:val="single"/>
              </w:rPr>
              <w:t>湖南省城陵矶港口集团有限公司六楼602开标室</w:t>
            </w:r>
            <w:r>
              <w:rPr>
                <w:rFonts w:hint="eastAsia" w:ascii="宋体" w:hAnsi="宋体"/>
                <w:sz w:val="24"/>
              </w:rPr>
              <w:t>。</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湖南省城陵矶港口集团有限公司602开标室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开启顺序：</w:t>
            </w:r>
            <w:r>
              <w:rPr>
                <w:rFonts w:hint="eastAsia" w:cs="宋体" w:asciiTheme="minorEastAsia" w:hAnsiTheme="minorEastAsia" w:eastAsiaTheme="minorEastAsia"/>
                <w:color w:val="000000"/>
                <w:sz w:val="24"/>
                <w:u w:val="single"/>
              </w:rPr>
              <w:t xml:space="preserve">   随机 </w:t>
            </w:r>
            <w:r>
              <w:rPr>
                <w:rFonts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评审小组的组建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评标小组构成：3人。</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评审专家确定方式：采购代表1人，在湖南省城陵矶港口集团有限公司综合评标专家库中随机抽取2人。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是否排序：</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排序</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数量：</w:t>
            </w:r>
            <w:r>
              <w:rPr>
                <w:rFonts w:hint="eastAsia" w:cs="宋体" w:asciiTheme="minorEastAsia" w:hAnsiTheme="minorEastAsia" w:eastAsiaTheme="minorEastAsia"/>
                <w:color w:val="000000"/>
                <w:sz w:val="24"/>
                <w:u w:val="single"/>
              </w:rPr>
              <w:t xml:space="preserve"> 2-3 家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公示媒介：</w:t>
            </w:r>
            <w:r>
              <w:rPr>
                <w:rFonts w:hint="eastAsia" w:ascii="宋体" w:hAnsi="宋体" w:cs="宋体"/>
                <w:sz w:val="24"/>
              </w:rPr>
              <w:t>中国招标投标公共服务平台（http：//www.cebpubservice.com）、湖南省港航水利集团有限公司网站（http：//www.hnsghsljt.com）、</w:t>
            </w:r>
            <w:r>
              <w:rPr>
                <w:rFonts w:hint="eastAsia" w:ascii="宋体" w:hAnsi="宋体" w:cs="宋体"/>
                <w:sz w:val="24"/>
                <w:u w:val="single"/>
              </w:rPr>
              <w:t xml:space="preserve">                                   湖南省城陵矶港口集团有限公司</w:t>
            </w:r>
            <w:r>
              <w:rPr>
                <w:rFonts w:hint="eastAsia" w:ascii="宋体" w:hAnsi="宋体" w:cs="宋体"/>
                <w:sz w:val="24"/>
              </w:rPr>
              <w:t>（http://www.hnsgwjt.com）上发布。</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公示期限：</w:t>
            </w:r>
            <w:r>
              <w:rPr>
                <w:rFonts w:hint="eastAsia" w:cs="宋体" w:asciiTheme="minorEastAsia" w:hAnsiTheme="minorEastAsia" w:eastAsiaTheme="minorEastAsia"/>
                <w:color w:val="000000"/>
                <w:sz w:val="24"/>
                <w:u w:val="single"/>
              </w:rPr>
              <w:t xml:space="preserve"> 3个工作日</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不要求提交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FF0000"/>
                <w:sz w:val="24"/>
                <w:highlight w:val="yellow"/>
              </w:rPr>
            </w:pPr>
            <w:r>
              <w:rPr>
                <w:rFonts w:hint="eastAsia" w:cs="宋体" w:asciiTheme="minorEastAsia" w:hAnsiTheme="minorEastAsia" w:eastAsiaTheme="minorEastAsia"/>
                <w:color w:val="000000"/>
                <w:sz w:val="24"/>
              </w:rPr>
              <w:t>联系人：</w:t>
            </w:r>
            <w:r>
              <w:rPr>
                <w:rFonts w:hint="eastAsia" w:cs="宋体" w:asciiTheme="minorEastAsia" w:hAnsiTheme="minorEastAsia" w:eastAsiaTheme="minorEastAsia"/>
                <w:color w:val="000000"/>
                <w:sz w:val="24"/>
                <w:u w:val="single"/>
              </w:rPr>
              <w:t xml:space="preserve"> 长沙集星集装箱码头有限公司党群综合部   </w:t>
            </w:r>
          </w:p>
          <w:p>
            <w:pPr>
              <w:spacing w:line="360" w:lineRule="auto"/>
              <w:jc w:val="both"/>
              <w:rPr>
                <w:highlight w:val="yellow"/>
                <w:lang w:val="zh-CN"/>
              </w:rPr>
            </w:pPr>
            <w:r>
              <w:rPr>
                <w:rFonts w:hint="eastAsia" w:cs="宋体" w:asciiTheme="minorEastAsia" w:hAnsiTheme="minorEastAsia" w:eastAsiaTheme="minorEastAsia"/>
                <w:color w:val="000000"/>
                <w:sz w:val="24"/>
              </w:rPr>
              <w:t>联系电话：</w:t>
            </w:r>
            <w:r>
              <w:rPr>
                <w:rFonts w:hint="eastAsia" w:cs="宋体" w:asciiTheme="minorEastAsia" w:hAnsiTheme="minorEastAsia" w:eastAsiaTheme="minorEastAsia"/>
                <w:color w:val="000000"/>
                <w:sz w:val="24"/>
                <w:u w:val="single"/>
              </w:rPr>
              <w:t xml:space="preserve"> </w:t>
            </w:r>
            <w:r>
              <w:rPr>
                <w:rFonts w:cs="宋体" w:asciiTheme="minorEastAsia" w:hAnsiTheme="minorEastAsia" w:eastAsiaTheme="minorEastAsia"/>
                <w:color w:val="000000"/>
                <w:sz w:val="24"/>
                <w:u w:val="single"/>
                <w:lang w:val="zh-CN"/>
              </w:rPr>
              <w:t>13507318311</w:t>
            </w:r>
          </w:p>
          <w:p>
            <w:pPr>
              <w:spacing w:line="360"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通信地址：</w:t>
            </w:r>
            <w:r>
              <w:rPr>
                <w:rFonts w:hint="eastAsia" w:cs="宋体" w:asciiTheme="minorEastAsia" w:hAnsiTheme="minorEastAsia" w:eastAsiaTheme="minorEastAsia"/>
                <w:color w:val="000000"/>
                <w:sz w:val="24"/>
                <w:u w:val="single"/>
              </w:rPr>
              <w:t>湖南省长沙市开福区新港路8</w:t>
            </w:r>
            <w:r>
              <w:rPr>
                <w:rFonts w:cs="宋体" w:asciiTheme="minorEastAsia" w:hAnsiTheme="minorEastAsia" w:eastAsiaTheme="minorEastAsia"/>
                <w:color w:val="000000"/>
                <w:sz w:val="24"/>
                <w:u w:val="single"/>
              </w:rPr>
              <w:t>0</w:t>
            </w:r>
            <w:r>
              <w:rPr>
                <w:rFonts w:hint="eastAsia" w:cs="宋体" w:asciiTheme="minorEastAsia" w:hAnsiTheme="minorEastAsia" w:eastAsiaTheme="minorEastAsia"/>
                <w:color w:val="000000"/>
                <w:sz w:val="24"/>
                <w:u w:val="single"/>
              </w:rPr>
              <w:t xml:space="preserve">号  </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10.1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采购代理服务费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不要求承担</w:t>
            </w:r>
          </w:p>
        </w:tc>
      </w:tr>
    </w:tbl>
    <w:p>
      <w:pPr>
        <w:spacing w:line="360" w:lineRule="auto"/>
        <w:jc w:val="center"/>
        <w:rPr>
          <w:rFonts w:ascii="仿宋" w:hAnsi="仿宋" w:eastAsia="仿宋" w:cs="仿宋"/>
          <w:sz w:val="30"/>
          <w:szCs w:val="30"/>
        </w:rPr>
      </w:pPr>
      <w:r>
        <w:rPr>
          <w:rFonts w:ascii="仿宋" w:hAnsi="仿宋" w:eastAsia="仿宋" w:cs="仿宋"/>
          <w:b/>
          <w:bCs/>
          <w:sz w:val="30"/>
          <w:szCs w:val="30"/>
        </w:rPr>
        <w:br w:type="page"/>
      </w:r>
      <w:r>
        <w:rPr>
          <w:rFonts w:hint="eastAsia" w:ascii="华文中宋" w:hAnsi="华文中宋" w:eastAsia="华文中宋" w:cs="仿宋"/>
          <w:b/>
          <w:bCs/>
          <w:sz w:val="30"/>
          <w:szCs w:val="30"/>
        </w:rPr>
        <w:t>第二章 供应商须知正文</w:t>
      </w:r>
    </w:p>
    <w:p>
      <w:pPr>
        <w:pStyle w:val="4"/>
        <w:spacing w:before="0" w:beforeAutospacing="0" w:after="0" w:afterAutospacing="0" w:line="360" w:lineRule="auto"/>
        <w:rPr>
          <w:rFonts w:cs="仿宋"/>
          <w:bCs w:val="0"/>
          <w:sz w:val="24"/>
        </w:rPr>
      </w:pPr>
      <w:bookmarkStart w:id="23" w:name="_Toc106039335"/>
      <w:r>
        <w:rPr>
          <w:rFonts w:hint="eastAsia" w:cs="仿宋"/>
          <w:bCs w:val="0"/>
          <w:sz w:val="24"/>
        </w:rPr>
        <w:t>1 总则</w:t>
      </w:r>
      <w:bookmarkEnd w:id="23"/>
    </w:p>
    <w:p>
      <w:pPr>
        <w:adjustRightInd w:val="0"/>
        <w:snapToGrid w:val="0"/>
        <w:spacing w:line="360" w:lineRule="auto"/>
        <w:jc w:val="both"/>
        <w:rPr>
          <w:rFonts w:ascii="宋体" w:hAnsi="宋体" w:cs="仿宋"/>
          <w:b/>
          <w:bCs/>
          <w:sz w:val="24"/>
        </w:rPr>
      </w:pPr>
      <w:r>
        <w:rPr>
          <w:rFonts w:hint="eastAsia" w:ascii="宋体" w:hAnsi="宋体" w:cs="仿宋"/>
          <w:b/>
          <w:bCs/>
          <w:sz w:val="24"/>
        </w:rPr>
        <w:t>1.1采购方法和评审办法</w:t>
      </w:r>
    </w:p>
    <w:p>
      <w:pPr>
        <w:pStyle w:val="76"/>
        <w:spacing w:beforeLines="0" w:afterLines="0" w:line="360" w:lineRule="auto"/>
        <w:ind w:left="426" w:firstLine="48" w:firstLineChars="20"/>
        <w:jc w:val="both"/>
        <w:outlineLvl w:val="9"/>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70"/>
        <w:spacing w:line="360" w:lineRule="auto"/>
        <w:ind w:firstLine="0" w:firstLineChars="0"/>
        <w:rPr>
          <w:rFonts w:hAnsi="宋体" w:eastAsia="宋体" w:cs="仿宋"/>
          <w:sz w:val="24"/>
          <w:szCs w:val="24"/>
        </w:rPr>
      </w:pPr>
      <w:r>
        <w:rPr>
          <w:rFonts w:hint="eastAsia" w:hAnsi="宋体" w:eastAsia="宋体" w:cs="仿宋"/>
          <w:sz w:val="24"/>
          <w:szCs w:val="24"/>
        </w:rPr>
        <w:t>1.1.1采购方法</w:t>
      </w:r>
    </w:p>
    <w:p>
      <w:pPr>
        <w:pStyle w:val="70"/>
        <w:spacing w:line="360"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70"/>
        <w:spacing w:line="360" w:lineRule="auto"/>
        <w:ind w:firstLine="0" w:firstLineChars="0"/>
        <w:rPr>
          <w:rFonts w:hAnsi="宋体" w:eastAsia="宋体" w:cs="仿宋"/>
          <w:sz w:val="24"/>
          <w:szCs w:val="24"/>
        </w:rPr>
      </w:pPr>
      <w:r>
        <w:rPr>
          <w:rFonts w:hint="eastAsia" w:hAnsi="宋体" w:eastAsia="宋体" w:cs="仿宋"/>
          <w:sz w:val="24"/>
          <w:szCs w:val="24"/>
        </w:rPr>
        <w:t>1.1.2评审办法</w:t>
      </w:r>
    </w:p>
    <w:p>
      <w:pPr>
        <w:pStyle w:val="70"/>
        <w:spacing w:line="360" w:lineRule="auto"/>
        <w:ind w:firstLine="453" w:firstLineChars="189"/>
        <w:rPr>
          <w:rFonts w:hAnsi="宋体" w:eastAsia="宋体" w:cs="Times New Roman"/>
          <w:sz w:val="24"/>
          <w:szCs w:val="24"/>
        </w:rPr>
      </w:pPr>
      <w:r>
        <w:rPr>
          <w:rFonts w:hint="eastAsia" w:hAnsi="宋体" w:eastAsia="宋体" w:cs="仿宋"/>
          <w:sz w:val="24"/>
          <w:szCs w:val="24"/>
        </w:rPr>
        <w:t>综合评标法，</w:t>
      </w:r>
      <w:r>
        <w:rPr>
          <w:rFonts w:hint="eastAsia" w:hAnsi="宋体" w:eastAsia="宋体" w:cs="Times New Roman"/>
          <w:sz w:val="24"/>
          <w:szCs w:val="24"/>
        </w:rPr>
        <w:t>评标委员会对满足询价文件实质性要求的投标文件，按照第三章规定的评分标准进行打分，并按得分由高到低顺序推荐中标候选人，但投标报价低于其成本的除外。综合评分相等时，以投标报价低的优先；投标报价也相等的，以技术部分得分高的优先；如果技术部分得分也相等，</w:t>
      </w:r>
      <w:r>
        <w:rPr>
          <w:rFonts w:hAnsi="宋体" w:eastAsia="宋体" w:cs="Times New Roman"/>
          <w:sz w:val="24"/>
          <w:szCs w:val="24"/>
        </w:rPr>
        <w:t>由招标人或者经招标人授权评标委员会自行确定。</w:t>
      </w:r>
    </w:p>
    <w:p>
      <w:pPr>
        <w:pStyle w:val="70"/>
        <w:spacing w:line="360" w:lineRule="auto"/>
        <w:ind w:firstLine="0" w:firstLineChars="0"/>
        <w:rPr>
          <w:rFonts w:hAnsi="宋体" w:cs="仿宋"/>
          <w:b/>
          <w:bCs/>
          <w:sz w:val="24"/>
        </w:rPr>
      </w:pPr>
      <w:r>
        <w:rPr>
          <w:rFonts w:hint="eastAsia" w:hAnsi="宋体" w:cs="仿宋"/>
          <w:b/>
          <w:bCs/>
          <w:sz w:val="24"/>
        </w:rPr>
        <w:t>1.2采购项目概况和供应商资格要求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60"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60" w:lineRule="auto"/>
        <w:jc w:val="both"/>
        <w:rPr>
          <w:rFonts w:ascii="宋体" w:hAnsi="宋体" w:cs="仿宋"/>
          <w:b/>
          <w:bCs/>
          <w:sz w:val="24"/>
        </w:rPr>
      </w:pPr>
      <w:r>
        <w:rPr>
          <w:rFonts w:hint="eastAsia" w:ascii="宋体" w:hAnsi="宋体" w:cs="仿宋"/>
          <w:b/>
          <w:bCs/>
          <w:sz w:val="24"/>
        </w:rPr>
        <w:t>1.4保密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60"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60"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60" w:lineRule="auto"/>
        <w:jc w:val="both"/>
        <w:rPr>
          <w:rFonts w:ascii="宋体" w:hAnsi="宋体" w:cs="仿宋"/>
          <w:b/>
          <w:bCs/>
          <w:sz w:val="24"/>
        </w:rPr>
      </w:pPr>
      <w:r>
        <w:rPr>
          <w:rFonts w:hint="eastAsia" w:ascii="宋体" w:hAnsi="宋体" w:cs="仿宋"/>
          <w:b/>
          <w:bCs/>
          <w:sz w:val="24"/>
        </w:rPr>
        <w:t>1.7踏勘现场</w:t>
      </w:r>
    </w:p>
    <w:p>
      <w:pPr>
        <w:adjustRightInd w:val="0"/>
        <w:snapToGrid w:val="0"/>
        <w:spacing w:line="360"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60" w:lineRule="auto"/>
        <w:jc w:val="both"/>
        <w:rPr>
          <w:rFonts w:ascii="宋体" w:hAnsi="宋体" w:cs="仿宋"/>
          <w:sz w:val="24"/>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60"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60" w:lineRule="auto"/>
        <w:jc w:val="both"/>
        <w:rPr>
          <w:rFonts w:ascii="宋体" w:hAnsi="宋体" w:cs="仿宋"/>
          <w:b/>
          <w:bCs/>
          <w:sz w:val="24"/>
        </w:rPr>
      </w:pPr>
      <w:r>
        <w:rPr>
          <w:rFonts w:hint="eastAsia" w:ascii="宋体" w:hAnsi="宋体" w:cs="仿宋"/>
          <w:b/>
          <w:bCs/>
          <w:sz w:val="24"/>
        </w:rPr>
        <w:t>1.8采购预备会</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60" w:lineRule="auto"/>
        <w:jc w:val="both"/>
        <w:rPr>
          <w:rFonts w:ascii="宋体" w:hAnsi="宋体" w:cs="仿宋"/>
          <w:b/>
          <w:bCs/>
          <w:sz w:val="24"/>
        </w:rPr>
      </w:pPr>
      <w:r>
        <w:rPr>
          <w:rFonts w:hint="eastAsia" w:ascii="宋体" w:hAnsi="宋体" w:cs="仿宋"/>
          <w:b/>
          <w:bCs/>
          <w:sz w:val="24"/>
        </w:rPr>
        <w:t>1.9分包(A、C)</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供应商拟在成交后将成交项目的部分工作进行分包的，应符合供应商须知前附表的规定，并在响应文件中作出说明。</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分包供应商不得将分包项目再次分包。成交供应商就应当就分包项目向采购人负责，分包供应商就分包项目承担连带责任。</w:t>
      </w:r>
    </w:p>
    <w:p>
      <w:pPr>
        <w:adjustRightInd w:val="0"/>
        <w:snapToGrid w:val="0"/>
        <w:spacing w:line="360"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60"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60"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pStyle w:val="4"/>
        <w:spacing w:before="0" w:beforeAutospacing="0" w:after="0" w:afterAutospacing="0" w:line="360" w:lineRule="auto"/>
        <w:rPr>
          <w:rFonts w:cs="仿宋"/>
          <w:bCs w:val="0"/>
          <w:sz w:val="24"/>
        </w:rPr>
      </w:pPr>
      <w:bookmarkStart w:id="24" w:name="_Toc106039336"/>
      <w:r>
        <w:rPr>
          <w:rFonts w:hint="eastAsia" w:cs="仿宋"/>
          <w:bCs w:val="0"/>
          <w:sz w:val="24"/>
        </w:rPr>
        <w:t>2采购文件</w:t>
      </w:r>
      <w:bookmarkEnd w:id="24"/>
    </w:p>
    <w:p>
      <w:pPr>
        <w:adjustRightInd w:val="0"/>
        <w:snapToGrid w:val="0"/>
        <w:spacing w:line="360"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60"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60"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60"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pStyle w:val="4"/>
        <w:spacing w:before="0" w:beforeAutospacing="0" w:after="0" w:afterAutospacing="0" w:line="360" w:lineRule="auto"/>
        <w:rPr>
          <w:rFonts w:cs="仿宋"/>
          <w:bCs w:val="0"/>
          <w:sz w:val="24"/>
        </w:rPr>
      </w:pPr>
      <w:bookmarkStart w:id="25" w:name="_Toc106039337"/>
      <w:r>
        <w:rPr>
          <w:rFonts w:hint="eastAsia" w:cs="仿宋"/>
          <w:bCs w:val="0"/>
          <w:sz w:val="24"/>
        </w:rPr>
        <w:t>3响应文件</w:t>
      </w:r>
      <w:bookmarkEnd w:id="25"/>
    </w:p>
    <w:p>
      <w:pPr>
        <w:adjustRightInd w:val="0"/>
        <w:snapToGrid w:val="0"/>
        <w:spacing w:line="360"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60"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(1)响应函;</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(2)授权委托书(如有);</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(3)联合体协议书(如有);</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(4)响应保证金(如有);</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(5)商务和技术偏差表;</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(6)报价表;</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(7)资格审查资料;</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(8)响应方案;</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(9)供应商须知前附表规定的其他资料。</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60"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jc w:val="both"/>
        <w:rPr>
          <w:rFonts w:ascii="宋体" w:hAnsi="宋体" w:cs="仿宋"/>
          <w:b/>
          <w:bCs/>
          <w:sz w:val="24"/>
        </w:rPr>
      </w:pPr>
      <w:r>
        <w:rPr>
          <w:rFonts w:hint="eastAsia" w:ascii="宋体" w:hAnsi="宋体" w:cs="仿宋"/>
          <w:b/>
          <w:bCs/>
          <w:sz w:val="24"/>
        </w:rPr>
        <w:t>3.2报价</w:t>
      </w:r>
    </w:p>
    <w:p>
      <w:pPr>
        <w:adjustRightInd w:val="0"/>
        <w:snapToGrid w:val="0"/>
        <w:spacing w:line="360"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60"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60"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60"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60"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60" w:lineRule="auto"/>
        <w:jc w:val="both"/>
        <w:rPr>
          <w:rFonts w:ascii="宋体" w:hAnsi="宋体" w:cs="仿宋"/>
          <w:b/>
          <w:bCs/>
          <w:sz w:val="24"/>
        </w:rPr>
      </w:pPr>
      <w:r>
        <w:rPr>
          <w:rFonts w:hint="eastAsia" w:ascii="宋体" w:hAnsi="宋体" w:cs="仿宋"/>
          <w:b/>
          <w:bCs/>
          <w:sz w:val="24"/>
        </w:rPr>
        <w:t>3.4响应保证金</w:t>
      </w:r>
    </w:p>
    <w:p>
      <w:pPr>
        <w:adjustRightInd w:val="0"/>
        <w:snapToGrid w:val="0"/>
        <w:spacing w:line="360" w:lineRule="auto"/>
        <w:jc w:val="both"/>
        <w:rPr>
          <w:rFonts w:ascii="宋体" w:hAnsi="宋体" w:cs="仿宋"/>
          <w:sz w:val="24"/>
        </w:rPr>
      </w:pPr>
      <w:r>
        <w:rPr>
          <w:rFonts w:hint="eastAsia" w:ascii="宋体" w:hAnsi="宋体" w:cs="仿宋"/>
          <w:sz w:val="24"/>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pPr>
        <w:adjustRightInd w:val="0"/>
        <w:snapToGrid w:val="0"/>
        <w:spacing w:line="360" w:lineRule="auto"/>
        <w:jc w:val="both"/>
        <w:rPr>
          <w:rFonts w:ascii="宋体" w:hAnsi="宋体" w:cs="仿宋"/>
          <w:sz w:val="24"/>
        </w:rPr>
      </w:pPr>
      <w:r>
        <w:rPr>
          <w:rFonts w:hint="eastAsia" w:ascii="宋体" w:hAnsi="宋体" w:cs="仿宋"/>
          <w:sz w:val="24"/>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pPr>
        <w:adjustRightInd w:val="0"/>
        <w:snapToGrid w:val="0"/>
        <w:spacing w:line="360" w:lineRule="auto"/>
        <w:jc w:val="both"/>
        <w:rPr>
          <w:rFonts w:ascii="宋体" w:hAnsi="宋体" w:cs="仿宋"/>
          <w:sz w:val="24"/>
        </w:rPr>
      </w:pPr>
      <w:r>
        <w:rPr>
          <w:rFonts w:hint="eastAsia" w:ascii="宋体" w:hAnsi="宋体" w:cs="仿宋"/>
          <w:sz w:val="24"/>
        </w:rPr>
        <w:t>3.4.3有下列情形之一的，响应保证金将不予退还:</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(1)供应商在响应文件有效期内撤销响应文件；</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(2)成交供应商在收到成交通知书后，无正当理由不与采购人订立合同，在签订合同时向采购人提出附加条件，或者不按照采购文件要求递交履约保证金；</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(3)发生供应商须知前附表规定的其他不予退还响应保证金的情形。</w:t>
      </w:r>
    </w:p>
    <w:p>
      <w:pPr>
        <w:adjustRightInd w:val="0"/>
        <w:snapToGrid w:val="0"/>
        <w:spacing w:line="360"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60"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60"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60"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60"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60"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60"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60"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60"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60"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60"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60"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60"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pStyle w:val="4"/>
        <w:spacing w:before="0" w:beforeAutospacing="0" w:after="0" w:afterAutospacing="0" w:line="360" w:lineRule="auto"/>
        <w:rPr>
          <w:rFonts w:cs="仿宋"/>
          <w:bCs w:val="0"/>
          <w:sz w:val="24"/>
        </w:rPr>
      </w:pPr>
      <w:bookmarkStart w:id="26" w:name="_Toc106039338"/>
      <w:r>
        <w:rPr>
          <w:rFonts w:hint="eastAsia" w:cs="仿宋"/>
          <w:bCs w:val="0"/>
          <w:sz w:val="24"/>
        </w:rPr>
        <w:t>4响应文件的递交</w:t>
      </w:r>
      <w:bookmarkEnd w:id="26"/>
    </w:p>
    <w:p>
      <w:pPr>
        <w:adjustRightInd w:val="0"/>
        <w:snapToGrid w:val="0"/>
        <w:spacing w:line="360"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60"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60"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60"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60"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60"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60"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60"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60"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pStyle w:val="4"/>
        <w:spacing w:before="0" w:beforeAutospacing="0" w:after="0" w:afterAutospacing="0" w:line="360" w:lineRule="auto"/>
        <w:rPr>
          <w:rFonts w:cs="仿宋"/>
          <w:bCs w:val="0"/>
          <w:sz w:val="24"/>
        </w:rPr>
      </w:pPr>
      <w:bookmarkStart w:id="27" w:name="_Toc106039339"/>
      <w:r>
        <w:rPr>
          <w:rFonts w:hint="eastAsia" w:cs="仿宋"/>
          <w:bCs w:val="0"/>
          <w:sz w:val="24"/>
        </w:rPr>
        <w:t>5开启响应文件</w:t>
      </w:r>
      <w:bookmarkEnd w:id="27"/>
    </w:p>
    <w:p>
      <w:pPr>
        <w:adjustRightInd w:val="0"/>
        <w:snapToGrid w:val="0"/>
        <w:spacing w:line="360" w:lineRule="auto"/>
        <w:ind w:firstLine="455" w:firstLineChars="189"/>
        <w:jc w:val="both"/>
        <w:rPr>
          <w:rFonts w:ascii="宋体" w:hAnsi="宋体" w:cs="仿宋"/>
          <w:sz w:val="24"/>
        </w:rPr>
      </w:pPr>
      <w:r>
        <w:rPr>
          <w:rFonts w:hint="eastAsia" w:ascii="宋体" w:hAnsi="宋体" w:cs="仿宋"/>
          <w:b/>
          <w:sz w:val="24"/>
        </w:rPr>
        <w:t>采购人一般不公开开启响应文件。</w:t>
      </w:r>
      <w:r>
        <w:rPr>
          <w:rFonts w:hint="eastAsia" w:ascii="宋体" w:hAnsi="宋体" w:cs="仿宋"/>
          <w:bCs/>
          <w:sz w:val="24"/>
        </w:rPr>
        <w:t>如</w:t>
      </w:r>
      <w:r>
        <w:rPr>
          <w:rFonts w:hint="eastAsia" w:ascii="宋体" w:hAnsi="宋体" w:cs="仿宋"/>
          <w:sz w:val="24"/>
        </w:rPr>
        <w:t>供应商须知前附表规定公开开启响应文件的，开启活动应按本条规定执行。</w:t>
      </w:r>
    </w:p>
    <w:p>
      <w:pPr>
        <w:adjustRightInd w:val="0"/>
        <w:snapToGrid w:val="0"/>
        <w:spacing w:line="360"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60"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(2)开启会议结束。</w:t>
      </w:r>
    </w:p>
    <w:p>
      <w:pPr>
        <w:adjustRightInd w:val="0"/>
        <w:snapToGrid w:val="0"/>
        <w:spacing w:line="360"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pStyle w:val="4"/>
        <w:spacing w:before="0" w:beforeAutospacing="0" w:after="0" w:afterAutospacing="0" w:line="360" w:lineRule="auto"/>
        <w:rPr>
          <w:rFonts w:cs="仿宋"/>
          <w:bCs w:val="0"/>
          <w:sz w:val="24"/>
        </w:rPr>
      </w:pPr>
      <w:bookmarkStart w:id="28" w:name="_Toc106039340"/>
      <w:r>
        <w:rPr>
          <w:rFonts w:hint="eastAsia" w:cs="仿宋"/>
          <w:bCs w:val="0"/>
          <w:sz w:val="24"/>
        </w:rPr>
        <w:t>6评审（适用于询价采购）</w:t>
      </w:r>
      <w:bookmarkEnd w:id="28"/>
    </w:p>
    <w:p>
      <w:pPr>
        <w:adjustRightInd w:val="0"/>
        <w:snapToGrid w:val="0"/>
        <w:spacing w:line="360"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60"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60"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60" w:lineRule="auto"/>
        <w:ind w:left="716" w:leftChars="284" w:hanging="120" w:hangingChars="50"/>
        <w:jc w:val="both"/>
        <w:rPr>
          <w:rFonts w:ascii="宋体" w:hAnsi="宋体" w:cs="仿宋"/>
          <w:sz w:val="24"/>
        </w:rPr>
      </w:pPr>
      <w:r>
        <w:rPr>
          <w:rFonts w:hint="eastAsia" w:ascii="宋体" w:hAnsi="宋体" w:cs="仿宋"/>
          <w:sz w:val="24"/>
        </w:rPr>
        <w:t>（1）供应商主要负责人或供应商主要负责人的近亲属;</w:t>
      </w:r>
    </w:p>
    <w:p>
      <w:pPr>
        <w:adjustRightInd w:val="0"/>
        <w:snapToGrid w:val="0"/>
        <w:spacing w:line="360"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60"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60"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60" w:lineRule="auto"/>
        <w:jc w:val="both"/>
        <w:rPr>
          <w:rFonts w:ascii="宋体" w:hAnsi="宋体" w:cs="仿宋"/>
          <w:b/>
          <w:bCs/>
          <w:sz w:val="24"/>
        </w:rPr>
      </w:pPr>
      <w:r>
        <w:rPr>
          <w:rFonts w:hint="eastAsia" w:ascii="宋体" w:hAnsi="宋体" w:cs="仿宋"/>
          <w:b/>
          <w:bCs/>
          <w:sz w:val="24"/>
        </w:rPr>
        <w:t>6.2评审</w:t>
      </w:r>
    </w:p>
    <w:p>
      <w:pPr>
        <w:adjustRightInd w:val="0"/>
        <w:snapToGrid w:val="0"/>
        <w:spacing w:line="360"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60"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pStyle w:val="4"/>
        <w:spacing w:before="0" w:beforeAutospacing="0" w:after="0" w:afterAutospacing="0" w:line="360" w:lineRule="auto"/>
        <w:rPr>
          <w:rFonts w:cs="仿宋"/>
          <w:bCs w:val="0"/>
          <w:sz w:val="24"/>
        </w:rPr>
      </w:pPr>
      <w:bookmarkStart w:id="29" w:name="_Toc106039341"/>
      <w:r>
        <w:rPr>
          <w:rFonts w:hint="eastAsia" w:cs="仿宋"/>
          <w:bCs w:val="0"/>
          <w:sz w:val="24"/>
        </w:rPr>
        <w:t>7合同授予</w:t>
      </w:r>
      <w:bookmarkEnd w:id="29"/>
    </w:p>
    <w:p>
      <w:pPr>
        <w:adjustRightInd w:val="0"/>
        <w:snapToGrid w:val="0"/>
        <w:spacing w:line="360" w:lineRule="auto"/>
        <w:jc w:val="both"/>
        <w:rPr>
          <w:rFonts w:ascii="宋体" w:hAnsi="宋体" w:cs="仿宋"/>
          <w:b/>
          <w:bCs/>
          <w:sz w:val="24"/>
        </w:rPr>
      </w:pPr>
      <w:r>
        <w:rPr>
          <w:rFonts w:hint="eastAsia" w:ascii="宋体" w:hAnsi="宋体" w:cs="仿宋"/>
          <w:b/>
          <w:bCs/>
          <w:sz w:val="24"/>
        </w:rPr>
        <w:t>7.1成交候选供应商报价核查(B)</w:t>
      </w:r>
    </w:p>
    <w:p>
      <w:pPr>
        <w:widowControl w:val="0"/>
        <w:adjustRightInd w:val="0"/>
        <w:snapToGrid w:val="0"/>
        <w:spacing w:line="360"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60"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60"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60" w:lineRule="auto"/>
        <w:jc w:val="both"/>
        <w:rPr>
          <w:rFonts w:ascii="宋体" w:hAnsi="宋体" w:cs="宋体"/>
          <w:b/>
          <w:bCs/>
          <w:sz w:val="24"/>
        </w:rPr>
      </w:pPr>
      <w:bookmarkStart w:id="30" w:name="_Toc24135"/>
      <w:r>
        <w:rPr>
          <w:rFonts w:hint="eastAsia" w:ascii="宋体" w:hAnsi="宋体" w:cs="宋体"/>
          <w:b/>
          <w:bCs/>
          <w:sz w:val="24"/>
        </w:rPr>
        <w:t>7.3成交结果异议</w:t>
      </w:r>
      <w:bookmarkEnd w:id="30"/>
      <w:r>
        <w:rPr>
          <w:rFonts w:hint="eastAsia" w:ascii="宋体" w:hAnsi="宋体" w:cs="宋体"/>
          <w:b/>
          <w:bCs/>
          <w:sz w:val="24"/>
        </w:rPr>
        <w:t xml:space="preserve"> </w:t>
      </w:r>
    </w:p>
    <w:p>
      <w:pPr>
        <w:adjustRightInd w:val="0"/>
        <w:snapToGrid w:val="0"/>
        <w:spacing w:line="360"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60" w:lineRule="auto"/>
        <w:jc w:val="both"/>
        <w:rPr>
          <w:rFonts w:ascii="宋体" w:hAnsi="宋体" w:cs="仿宋"/>
          <w:b/>
          <w:bCs/>
          <w:sz w:val="24"/>
        </w:rPr>
      </w:pPr>
      <w:r>
        <w:rPr>
          <w:rFonts w:hint="eastAsia" w:ascii="宋体" w:hAnsi="宋体" w:cs="仿宋"/>
          <w:b/>
          <w:bCs/>
          <w:sz w:val="24"/>
        </w:rPr>
        <w:t>7.4成交候选供应商履约能力核查</w:t>
      </w:r>
    </w:p>
    <w:p>
      <w:pPr>
        <w:spacing w:line="360"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60"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60"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60"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60"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60"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60"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60"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pStyle w:val="4"/>
        <w:spacing w:before="0" w:beforeAutospacing="0" w:after="0" w:afterAutospacing="0" w:line="360" w:lineRule="auto"/>
        <w:rPr>
          <w:rFonts w:cs="仿宋"/>
          <w:bCs w:val="0"/>
          <w:sz w:val="24"/>
        </w:rPr>
      </w:pPr>
      <w:bookmarkStart w:id="31" w:name="_Toc106039342"/>
      <w:r>
        <w:rPr>
          <w:rFonts w:hint="eastAsia" w:cs="仿宋"/>
          <w:bCs w:val="0"/>
          <w:sz w:val="24"/>
        </w:rPr>
        <w:t>8异议</w:t>
      </w:r>
      <w:bookmarkEnd w:id="31"/>
    </w:p>
    <w:p>
      <w:pPr>
        <w:adjustRightInd w:val="0"/>
        <w:snapToGrid w:val="0"/>
        <w:spacing w:line="360"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60"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pStyle w:val="4"/>
        <w:spacing w:before="0" w:beforeAutospacing="0" w:after="0" w:afterAutospacing="0" w:line="360" w:lineRule="auto"/>
        <w:rPr>
          <w:rFonts w:cs="仿宋"/>
          <w:bCs w:val="0"/>
          <w:sz w:val="24"/>
        </w:rPr>
      </w:pPr>
      <w:bookmarkStart w:id="32" w:name="_Toc106039343"/>
      <w:r>
        <w:rPr>
          <w:rFonts w:hint="eastAsia" w:cs="仿宋"/>
          <w:bCs w:val="0"/>
          <w:sz w:val="24"/>
        </w:rPr>
        <w:t>9纪律要求</w:t>
      </w:r>
      <w:bookmarkEnd w:id="32"/>
    </w:p>
    <w:p>
      <w:pPr>
        <w:adjustRightInd w:val="0"/>
        <w:snapToGrid w:val="0"/>
        <w:spacing w:line="360"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60"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60"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60"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pStyle w:val="4"/>
        <w:spacing w:before="0" w:beforeAutospacing="0" w:after="0" w:afterAutospacing="0" w:line="360" w:lineRule="auto"/>
        <w:rPr>
          <w:rFonts w:cs="仿宋"/>
          <w:bCs w:val="0"/>
          <w:sz w:val="24"/>
        </w:rPr>
      </w:pPr>
      <w:bookmarkStart w:id="33" w:name="_Toc106039344"/>
      <w:r>
        <w:rPr>
          <w:rFonts w:hint="eastAsia" w:cs="仿宋"/>
          <w:bCs w:val="0"/>
          <w:sz w:val="24"/>
        </w:rPr>
        <w:t>10</w:t>
      </w:r>
      <w:r>
        <w:rPr>
          <w:rFonts w:cs="仿宋"/>
          <w:bCs w:val="0"/>
          <w:sz w:val="24"/>
        </w:rPr>
        <w:t xml:space="preserve"> </w:t>
      </w:r>
      <w:r>
        <w:rPr>
          <w:rFonts w:hint="eastAsia" w:cs="仿宋"/>
          <w:bCs w:val="0"/>
          <w:sz w:val="24"/>
        </w:rPr>
        <w:t>需要补充的其他内容</w:t>
      </w:r>
      <w:bookmarkEnd w:id="33"/>
    </w:p>
    <w:p>
      <w:pPr>
        <w:adjustRightInd w:val="0"/>
        <w:snapToGrid w:val="0"/>
        <w:spacing w:line="360" w:lineRule="auto"/>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60" w:lineRule="auto"/>
        <w:jc w:val="both"/>
        <w:rPr>
          <w:rFonts w:ascii="宋体" w:hAnsi="宋体" w:cs="仿宋"/>
          <w:b/>
          <w:bCs/>
          <w:sz w:val="24"/>
        </w:rPr>
      </w:pPr>
      <w:r>
        <w:rPr>
          <w:rFonts w:hint="eastAsia" w:ascii="宋体" w:hAnsi="宋体" w:cs="仿宋"/>
          <w:b/>
          <w:bCs/>
          <w:sz w:val="24"/>
        </w:rPr>
        <w:t>10.2其他</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spacing w:line="360" w:lineRule="auto"/>
        <w:jc w:val="both"/>
        <w:rPr>
          <w:rFonts w:ascii="宋体" w:hAnsi="宋体" w:cs="仿宋"/>
          <w:sz w:val="24"/>
        </w:rPr>
      </w:pPr>
    </w:p>
    <w:p>
      <w:pPr>
        <w:pStyle w:val="4"/>
        <w:spacing w:line="360" w:lineRule="auto"/>
        <w:rPr>
          <w:rFonts w:cs="仿宋"/>
          <w:sz w:val="30"/>
          <w:szCs w:val="30"/>
        </w:rPr>
      </w:pPr>
      <w:bookmarkStart w:id="34" w:name="_Toc106039345"/>
    </w:p>
    <w:p>
      <w:pPr>
        <w:pStyle w:val="4"/>
        <w:spacing w:line="360" w:lineRule="auto"/>
        <w:rPr>
          <w:rFonts w:cs="仿宋"/>
          <w:sz w:val="30"/>
          <w:szCs w:val="30"/>
        </w:rPr>
      </w:pPr>
    </w:p>
    <w:p>
      <w:pPr>
        <w:pStyle w:val="4"/>
        <w:spacing w:line="360" w:lineRule="auto"/>
        <w:rPr>
          <w:rFonts w:cs="仿宋"/>
          <w:sz w:val="30"/>
          <w:szCs w:val="30"/>
        </w:rPr>
      </w:pPr>
    </w:p>
    <w:p>
      <w:pPr>
        <w:pStyle w:val="4"/>
        <w:spacing w:line="360" w:lineRule="auto"/>
        <w:rPr>
          <w:rFonts w:cs="仿宋"/>
          <w:sz w:val="30"/>
          <w:szCs w:val="30"/>
        </w:rPr>
      </w:pPr>
      <w:r>
        <w:rPr>
          <w:rFonts w:hint="eastAsia" w:cs="仿宋"/>
          <w:sz w:val="30"/>
          <w:szCs w:val="30"/>
        </w:rPr>
        <w:t>附件1  开启记录表</w:t>
      </w:r>
      <w:bookmarkEnd w:id="34"/>
    </w:p>
    <w:p>
      <w:pPr>
        <w:adjustRightInd w:val="0"/>
        <w:snapToGrid w:val="0"/>
        <w:spacing w:line="360" w:lineRule="auto"/>
        <w:ind w:firstLine="723" w:firstLineChars="200"/>
        <w:jc w:val="center"/>
        <w:rPr>
          <w:rFonts w:ascii="华文中宋" w:hAnsi="华文中宋" w:eastAsia="华文中宋" w:cs="仿宋"/>
          <w:b/>
          <w:bCs/>
          <w:sz w:val="36"/>
          <w:szCs w:val="36"/>
        </w:rPr>
      </w:pPr>
    </w:p>
    <w:p>
      <w:pPr>
        <w:adjustRightInd w:val="0"/>
        <w:snapToGrid w:val="0"/>
        <w:spacing w:line="360" w:lineRule="auto"/>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360" w:lineRule="auto"/>
        <w:ind w:firstLine="723" w:firstLineChars="200"/>
        <w:jc w:val="center"/>
        <w:rPr>
          <w:rFonts w:ascii="华文中宋" w:hAnsi="华文中宋" w:eastAsia="华文中宋" w:cs="仿宋"/>
          <w:b/>
          <w:bCs/>
          <w:sz w:val="36"/>
          <w:szCs w:val="36"/>
        </w:rPr>
      </w:pPr>
    </w:p>
    <w:p>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2"/>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2327"/>
        <w:gridCol w:w="1934"/>
        <w:gridCol w:w="1934"/>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密封情况</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bl>
    <w:p>
      <w:pPr>
        <w:spacing w:line="360" w:lineRule="auto"/>
        <w:jc w:val="both"/>
        <w:rPr>
          <w:rFonts w:cs="仿宋" w:asciiTheme="minorEastAsia" w:hAnsiTheme="minorEastAsia" w:eastAsiaTheme="minorEastAsia"/>
          <w:sz w:val="24"/>
        </w:rPr>
      </w:pPr>
    </w:p>
    <w:p>
      <w:pPr>
        <w:spacing w:line="36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360" w:lineRule="auto"/>
        <w:jc w:val="both"/>
        <w:rPr>
          <w:rFonts w:cs="仿宋" w:asciiTheme="minorEastAsia" w:hAnsiTheme="minorEastAsia" w:eastAsiaTheme="minorEastAsia"/>
          <w:sz w:val="24"/>
        </w:rPr>
      </w:pPr>
    </w:p>
    <w:p>
      <w:pPr>
        <w:spacing w:line="360" w:lineRule="auto"/>
        <w:jc w:val="both"/>
        <w:rPr>
          <w:rFonts w:ascii="仿宋" w:hAnsi="仿宋" w:eastAsia="仿宋" w:cs="仿宋"/>
          <w:sz w:val="30"/>
          <w:szCs w:val="30"/>
        </w:rPr>
      </w:pPr>
    </w:p>
    <w:p>
      <w:pPr>
        <w:spacing w:line="360" w:lineRule="auto"/>
        <w:jc w:val="both"/>
        <w:rPr>
          <w:rFonts w:ascii="仿宋" w:hAnsi="仿宋" w:eastAsia="仿宋" w:cs="仿宋"/>
          <w:sz w:val="30"/>
          <w:szCs w:val="30"/>
        </w:rPr>
      </w:pPr>
      <w:r>
        <w:rPr>
          <w:rFonts w:ascii="仿宋" w:hAnsi="仿宋" w:eastAsia="仿宋" w:cs="仿宋"/>
          <w:sz w:val="30"/>
          <w:szCs w:val="30"/>
        </w:rPr>
        <w:br w:type="page"/>
      </w:r>
    </w:p>
    <w:p>
      <w:pPr>
        <w:pStyle w:val="4"/>
        <w:spacing w:line="360" w:lineRule="auto"/>
        <w:rPr>
          <w:rFonts w:cs="仿宋"/>
          <w:sz w:val="30"/>
          <w:szCs w:val="30"/>
        </w:rPr>
      </w:pPr>
      <w:bookmarkStart w:id="35" w:name="_Toc106039346"/>
      <w:r>
        <w:rPr>
          <w:rFonts w:hint="eastAsia" w:cs="仿宋"/>
          <w:sz w:val="30"/>
          <w:szCs w:val="30"/>
        </w:rPr>
        <w:t>附件2  问题澄清通知</w:t>
      </w:r>
      <w:bookmarkEnd w:id="35"/>
    </w:p>
    <w:p>
      <w:pPr>
        <w:adjustRightInd w:val="0"/>
        <w:snapToGrid w:val="0"/>
        <w:spacing w:line="360" w:lineRule="auto"/>
        <w:ind w:firstLine="723" w:firstLineChars="200"/>
        <w:jc w:val="center"/>
        <w:rPr>
          <w:rFonts w:ascii="华文中宋" w:hAnsi="华文中宋" w:eastAsia="华文中宋" w:cs="仿宋"/>
          <w:b/>
          <w:bCs/>
          <w:sz w:val="36"/>
          <w:szCs w:val="36"/>
        </w:rPr>
      </w:pPr>
    </w:p>
    <w:p>
      <w:pPr>
        <w:adjustRightInd w:val="0"/>
        <w:snapToGrid w:val="0"/>
        <w:spacing w:line="360" w:lineRule="auto"/>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360" w:lineRule="auto"/>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360" w:lineRule="auto"/>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360" w:lineRule="auto"/>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360" w:lineRule="auto"/>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360" w:lineRule="auto"/>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360" w:lineRule="auto"/>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360" w:lineRule="auto"/>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360" w:lineRule="auto"/>
        <w:ind w:left="141" w:leftChars="67" w:firstLine="566" w:firstLineChars="236"/>
        <w:jc w:val="both"/>
        <w:rPr>
          <w:rFonts w:ascii="宋体" w:hAnsi="宋体" w:cs="仿宋"/>
          <w:sz w:val="24"/>
        </w:rPr>
      </w:pPr>
    </w:p>
    <w:p>
      <w:pPr>
        <w:adjustRightInd w:val="0"/>
        <w:snapToGrid w:val="0"/>
        <w:spacing w:line="360" w:lineRule="auto"/>
        <w:ind w:left="210" w:leftChars="100" w:firstLine="240" w:firstLineChars="100"/>
        <w:jc w:val="both"/>
        <w:rPr>
          <w:rFonts w:ascii="宋体" w:hAnsi="宋体" w:cs="仿宋"/>
          <w:sz w:val="24"/>
        </w:rPr>
      </w:pPr>
    </w:p>
    <w:p>
      <w:pPr>
        <w:adjustRightInd w:val="0"/>
        <w:snapToGrid w:val="0"/>
        <w:spacing w:line="360" w:lineRule="auto"/>
        <w:ind w:left="210" w:leftChars="100" w:firstLine="240" w:firstLineChars="100"/>
        <w:jc w:val="both"/>
        <w:rPr>
          <w:rFonts w:ascii="宋体" w:hAnsi="宋体" w:cs="仿宋"/>
          <w:sz w:val="24"/>
        </w:rPr>
      </w:pPr>
    </w:p>
    <w:p>
      <w:pPr>
        <w:adjustRightInd w:val="0"/>
        <w:snapToGrid w:val="0"/>
        <w:spacing w:line="360" w:lineRule="auto"/>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360" w:lineRule="auto"/>
        <w:ind w:firstLine="6480" w:firstLineChars="27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pStyle w:val="4"/>
        <w:spacing w:line="360" w:lineRule="auto"/>
        <w:rPr>
          <w:rFonts w:cs="仿宋"/>
          <w:sz w:val="30"/>
          <w:szCs w:val="30"/>
        </w:rPr>
      </w:pPr>
      <w:bookmarkStart w:id="36" w:name="_Toc106039347"/>
      <w:r>
        <w:rPr>
          <w:rFonts w:hint="eastAsia" w:cs="仿宋"/>
          <w:sz w:val="30"/>
          <w:szCs w:val="30"/>
        </w:rPr>
        <w:t>附件3  问题的澄清</w:t>
      </w:r>
      <w:bookmarkEnd w:id="36"/>
    </w:p>
    <w:p>
      <w:pPr>
        <w:adjustRightInd w:val="0"/>
        <w:snapToGrid w:val="0"/>
        <w:spacing w:line="360" w:lineRule="auto"/>
        <w:jc w:val="center"/>
        <w:rPr>
          <w:rFonts w:ascii="华文中宋" w:hAnsi="华文中宋" w:eastAsia="华文中宋" w:cs="仿宋"/>
          <w:b/>
          <w:bCs/>
          <w:sz w:val="36"/>
          <w:szCs w:val="36"/>
        </w:rPr>
      </w:pPr>
    </w:p>
    <w:p>
      <w:pPr>
        <w:adjustRightInd w:val="0"/>
        <w:snapToGrid w:val="0"/>
        <w:spacing w:line="360" w:lineRule="auto"/>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360" w:lineRule="auto"/>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360" w:lineRule="auto"/>
        <w:jc w:val="both"/>
        <w:rPr>
          <w:rFonts w:ascii="宋体" w:hAnsi="宋体" w:cs="仿宋"/>
          <w:sz w:val="24"/>
        </w:rPr>
      </w:pPr>
      <w:r>
        <w:rPr>
          <w:rFonts w:hint="eastAsia" w:ascii="宋体" w:hAnsi="宋体" w:cs="仿宋"/>
          <w:sz w:val="24"/>
        </w:rPr>
        <w:t>评审小组:</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1.</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2.</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360" w:lineRule="auto"/>
        <w:ind w:firstLine="530" w:firstLineChars="221"/>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360" w:lineRule="auto"/>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360" w:lineRule="auto"/>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pStyle w:val="4"/>
        <w:spacing w:line="360" w:lineRule="auto"/>
        <w:rPr>
          <w:rFonts w:cs="仿宋"/>
          <w:sz w:val="30"/>
          <w:szCs w:val="30"/>
        </w:rPr>
      </w:pPr>
      <w:bookmarkStart w:id="37" w:name="_Toc106039348"/>
      <w:r>
        <w:rPr>
          <w:rFonts w:hint="eastAsia" w:cs="仿宋"/>
          <w:sz w:val="30"/>
          <w:szCs w:val="30"/>
        </w:rPr>
        <w:t>附件4  成交通知书</w:t>
      </w:r>
      <w:bookmarkEnd w:id="37"/>
    </w:p>
    <w:p>
      <w:pPr>
        <w:adjustRightInd w:val="0"/>
        <w:snapToGrid w:val="0"/>
        <w:spacing w:line="360" w:lineRule="auto"/>
        <w:jc w:val="center"/>
        <w:rPr>
          <w:rFonts w:ascii="华文中宋" w:hAnsi="华文中宋" w:eastAsia="华文中宋" w:cs="仿宋"/>
          <w:b/>
          <w:bCs/>
          <w:sz w:val="36"/>
          <w:szCs w:val="36"/>
        </w:rPr>
      </w:pPr>
    </w:p>
    <w:p>
      <w:pPr>
        <w:adjustRightInd w:val="0"/>
        <w:snapToGrid w:val="0"/>
        <w:spacing w:line="360" w:lineRule="auto"/>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360" w:lineRule="auto"/>
        <w:ind w:firstLine="723" w:firstLineChars="200"/>
        <w:jc w:val="both"/>
        <w:rPr>
          <w:rFonts w:ascii="华文中宋" w:hAnsi="华文中宋" w:eastAsia="华文中宋" w:cs="仿宋"/>
          <w:b/>
          <w:bCs/>
          <w:sz w:val="36"/>
          <w:szCs w:val="36"/>
        </w:rPr>
      </w:pP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360" w:lineRule="auto"/>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360" w:lineRule="auto"/>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pStyle w:val="4"/>
        <w:spacing w:line="360" w:lineRule="auto"/>
        <w:rPr>
          <w:rFonts w:cs="仿宋"/>
          <w:sz w:val="30"/>
          <w:szCs w:val="30"/>
        </w:rPr>
      </w:pPr>
      <w:bookmarkStart w:id="38" w:name="_Toc106039349"/>
      <w:r>
        <w:rPr>
          <w:rFonts w:hint="eastAsia" w:cs="仿宋"/>
          <w:sz w:val="30"/>
          <w:szCs w:val="30"/>
        </w:rPr>
        <w:t>附件5  确认通知</w:t>
      </w:r>
      <w:bookmarkEnd w:id="38"/>
    </w:p>
    <w:p>
      <w:pPr>
        <w:adjustRightInd w:val="0"/>
        <w:snapToGrid w:val="0"/>
        <w:spacing w:line="360" w:lineRule="auto"/>
        <w:ind w:firstLine="723" w:firstLineChars="200"/>
        <w:jc w:val="both"/>
        <w:rPr>
          <w:rFonts w:ascii="华文中宋" w:hAnsi="华文中宋" w:eastAsia="华文中宋" w:cs="仿宋"/>
          <w:b/>
          <w:bCs/>
          <w:sz w:val="36"/>
          <w:szCs w:val="36"/>
        </w:rPr>
      </w:pPr>
    </w:p>
    <w:p>
      <w:pPr>
        <w:adjustRightInd w:val="0"/>
        <w:snapToGrid w:val="0"/>
        <w:spacing w:line="360" w:lineRule="auto"/>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360" w:lineRule="auto"/>
        <w:ind w:firstLine="723" w:firstLineChars="200"/>
        <w:jc w:val="both"/>
        <w:rPr>
          <w:rFonts w:ascii="华文中宋" w:hAnsi="华文中宋" w:eastAsia="华文中宋" w:cs="仿宋"/>
          <w:b/>
          <w:bCs/>
          <w:sz w:val="36"/>
          <w:szCs w:val="36"/>
        </w:rPr>
      </w:pPr>
    </w:p>
    <w:p>
      <w:pPr>
        <w:adjustRightInd w:val="0"/>
        <w:snapToGrid w:val="0"/>
        <w:spacing w:line="360" w:lineRule="auto"/>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81"/>
        <w:spacing w:line="360" w:lineRule="auto"/>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360" w:lineRule="auto"/>
        <w:jc w:val="both"/>
        <w:rPr>
          <w:rFonts w:ascii="宋体" w:hAnsi="宋体" w:cs="仿宋"/>
          <w:b/>
          <w:color w:val="000000"/>
          <w:kern w:val="0"/>
          <w:sz w:val="24"/>
        </w:rPr>
      </w:pPr>
      <w:r>
        <w:rPr>
          <w:rFonts w:ascii="宋体" w:hAnsi="宋体" w:cs="仿宋"/>
          <w:b/>
          <w:color w:val="000000"/>
          <w:sz w:val="24"/>
        </w:rPr>
        <w:br w:type="page"/>
      </w:r>
    </w:p>
    <w:p>
      <w:pPr>
        <w:pStyle w:val="3"/>
        <w:spacing w:before="0" w:after="0" w:line="360" w:lineRule="auto"/>
        <w:jc w:val="center"/>
        <w:rPr>
          <w:rFonts w:ascii="黑体" w:hAnsi="黑体" w:eastAsia="黑体" w:cs="仿宋"/>
          <w:bCs w:val="0"/>
          <w:sz w:val="36"/>
          <w:szCs w:val="36"/>
        </w:rPr>
      </w:pPr>
      <w:bookmarkStart w:id="39" w:name="_Toc106039350"/>
      <w:bookmarkStart w:id="40" w:name="_Toc77254130"/>
      <w:bookmarkStart w:id="41" w:name="_Toc76635709"/>
      <w:r>
        <w:rPr>
          <w:rFonts w:hint="eastAsia" w:ascii="黑体" w:hAnsi="黑体" w:eastAsia="黑体" w:cs="仿宋"/>
          <w:bCs w:val="0"/>
          <w:sz w:val="36"/>
          <w:szCs w:val="36"/>
        </w:rPr>
        <w:t>第三章 评审办法</w:t>
      </w:r>
      <w:bookmarkEnd w:id="39"/>
    </w:p>
    <w:p>
      <w:pPr>
        <w:pStyle w:val="4"/>
        <w:spacing w:before="0" w:beforeAutospacing="0" w:after="0" w:afterAutospacing="0" w:line="360" w:lineRule="auto"/>
        <w:jc w:val="center"/>
        <w:rPr>
          <w:rFonts w:ascii="黑体" w:hAnsi="黑体" w:eastAsia="黑体" w:cs="仿宋"/>
          <w:bCs w:val="0"/>
          <w:sz w:val="32"/>
          <w:szCs w:val="32"/>
        </w:rPr>
      </w:pPr>
      <w:bookmarkStart w:id="42" w:name="_Toc106039351"/>
      <w:r>
        <w:rPr>
          <w:rFonts w:hint="eastAsia" w:ascii="黑体" w:hAnsi="黑体" w:eastAsia="黑体" w:cs="仿宋"/>
          <w:bCs w:val="0"/>
          <w:sz w:val="32"/>
          <w:szCs w:val="32"/>
        </w:rPr>
        <w:t>评审办法前附表</w:t>
      </w:r>
      <w:bookmarkEnd w:id="42"/>
    </w:p>
    <w:tbl>
      <w:tblPr>
        <w:tblStyle w:val="42"/>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573"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676"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252"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综合评标法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252" w:type="dxa"/>
            <w:vMerge w:val="restart"/>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ascii="宋体" w:hAnsi="宋体"/>
                <w:szCs w:val="21"/>
              </w:rPr>
              <w:t>与</w:t>
            </w:r>
            <w:r>
              <w:rPr>
                <w:rFonts w:ascii="宋体" w:hAnsi="宋体"/>
                <w:szCs w:val="21"/>
              </w:rPr>
              <w:t>营业执照</w:t>
            </w:r>
            <w:r>
              <w:rPr>
                <w:rFonts w:hint="eastAsia" w:ascii="宋体" w:hAnsi="宋体"/>
                <w:szCs w:val="21"/>
              </w:rPr>
              <w:t>或事业单位法人证书</w:t>
            </w:r>
            <w:r>
              <w:rPr>
                <w:rFonts w:ascii="宋体" w:hAnsi="宋体"/>
                <w:szCs w:val="21"/>
              </w:rPr>
              <w:t>、资质证书一致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vAlign w:val="center"/>
          </w:tcPr>
          <w:p>
            <w:pPr>
              <w:widowControl w:val="0"/>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响应文件格式</w:t>
            </w:r>
          </w:p>
        </w:tc>
        <w:tc>
          <w:tcPr>
            <w:tcW w:w="5676" w:type="dxa"/>
            <w:vAlign w:val="center"/>
          </w:tcPr>
          <w:p>
            <w:pPr>
              <w:widowControl w:val="0"/>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报价唯一</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ascii="宋体" w:hAnsi="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252" w:type="dxa"/>
            <w:vMerge w:val="restart"/>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信誉要求</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不存在第一章第3.2款情形</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252" w:type="dxa"/>
            <w:vMerge w:val="restart"/>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采购要求</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ascii="宋体" w:hAnsi="宋体"/>
                <w:szCs w:val="21"/>
              </w:rPr>
              <w:t>权利义务</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ascii="宋体" w:hAnsi="宋体"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252" w:type="dxa"/>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4"/>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详细评审标准和程序（综合评标法）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2825" w:type="dxa"/>
            <w:gridSpan w:val="2"/>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条款内容</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exact"/>
        </w:trPr>
        <w:tc>
          <w:tcPr>
            <w:tcW w:w="1270" w:type="dxa"/>
          </w:tcPr>
          <w:p>
            <w:pPr>
              <w:widowControl w:val="0"/>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3.1.1</w:t>
            </w:r>
          </w:p>
        </w:tc>
        <w:tc>
          <w:tcPr>
            <w:tcW w:w="2825" w:type="dxa"/>
            <w:gridSpan w:val="2"/>
            <w:vAlign w:val="center"/>
          </w:tcPr>
          <w:p>
            <w:pPr>
              <w:widowControl w:val="0"/>
              <w:autoSpaceDE w:val="0"/>
              <w:autoSpaceDN w:val="0"/>
              <w:adjustRightInd w:val="0"/>
              <w:snapToGrid w:val="0"/>
              <w:spacing w:line="288" w:lineRule="auto"/>
              <w:jc w:val="center"/>
              <w:rPr>
                <w:rFonts w:ascii="宋体" w:hAnsi="宋体"/>
                <w:color w:val="000000"/>
                <w:kern w:val="0"/>
                <w:szCs w:val="21"/>
              </w:rPr>
            </w:pPr>
            <w:r>
              <w:rPr>
                <w:rFonts w:hint="eastAsia" w:ascii="宋体" w:hAnsi="宋体"/>
                <w:color w:val="000000"/>
                <w:kern w:val="0"/>
                <w:szCs w:val="21"/>
              </w:rPr>
              <w:t>分值构成</w:t>
            </w:r>
          </w:p>
          <w:p>
            <w:pPr>
              <w:widowControl w:val="0"/>
              <w:adjustRightInd w:val="0"/>
              <w:snapToGrid w:val="0"/>
              <w:spacing w:line="288" w:lineRule="auto"/>
              <w:ind w:left="1"/>
              <w:jc w:val="center"/>
              <w:rPr>
                <w:rFonts w:ascii="宋体" w:hAnsi="宋体"/>
                <w:color w:val="000000"/>
                <w:szCs w:val="21"/>
              </w:rPr>
            </w:pPr>
            <w:r>
              <w:rPr>
                <w:rFonts w:hint="eastAsia" w:ascii="宋体" w:hAnsi="宋体"/>
                <w:color w:val="000000"/>
                <w:szCs w:val="21"/>
              </w:rPr>
              <w:t>（总分100分）</w:t>
            </w:r>
          </w:p>
        </w:tc>
        <w:tc>
          <w:tcPr>
            <w:tcW w:w="5676" w:type="dxa"/>
            <w:vAlign w:val="center"/>
          </w:tcPr>
          <w:p>
            <w:pPr>
              <w:widowControl w:val="0"/>
              <w:adjustRightInd w:val="0"/>
              <w:snapToGrid w:val="0"/>
              <w:spacing w:line="288" w:lineRule="auto"/>
              <w:jc w:val="both"/>
              <w:rPr>
                <w:rFonts w:ascii="宋体" w:hAnsi="宋体"/>
                <w:color w:val="000000"/>
                <w:szCs w:val="21"/>
              </w:rPr>
            </w:pPr>
            <w:r>
              <w:rPr>
                <w:rFonts w:hint="eastAsia" w:ascii="宋体" w:hAnsi="宋体"/>
                <w:color w:val="000000"/>
                <w:szCs w:val="21"/>
              </w:rPr>
              <w:t>（1）商务部分：</w:t>
            </w:r>
            <w:r>
              <w:rPr>
                <w:rFonts w:hint="eastAsia" w:ascii="宋体" w:hAnsi="宋体"/>
                <w:color w:val="000000"/>
                <w:szCs w:val="21"/>
                <w:u w:val="single"/>
              </w:rPr>
              <w:t xml:space="preserve"> 20 </w:t>
            </w:r>
            <w:r>
              <w:rPr>
                <w:rFonts w:hint="eastAsia" w:ascii="宋体" w:hAnsi="宋体"/>
                <w:color w:val="000000"/>
                <w:szCs w:val="21"/>
              </w:rPr>
              <w:t>分</w:t>
            </w:r>
          </w:p>
          <w:p>
            <w:pPr>
              <w:widowControl w:val="0"/>
              <w:adjustRightInd w:val="0"/>
              <w:snapToGrid w:val="0"/>
              <w:spacing w:line="288" w:lineRule="auto"/>
              <w:jc w:val="both"/>
              <w:rPr>
                <w:rFonts w:ascii="宋体" w:hAnsi="宋体"/>
                <w:color w:val="000000"/>
                <w:szCs w:val="21"/>
              </w:rPr>
            </w:pPr>
            <w:r>
              <w:rPr>
                <w:rFonts w:hint="eastAsia" w:ascii="宋体" w:hAnsi="宋体"/>
                <w:color w:val="000000"/>
                <w:szCs w:val="21"/>
              </w:rPr>
              <w:t>（2）技术部分：</w:t>
            </w:r>
            <w:r>
              <w:rPr>
                <w:rFonts w:hint="eastAsia" w:ascii="宋体" w:hAnsi="宋体"/>
                <w:color w:val="000000"/>
                <w:szCs w:val="21"/>
                <w:u w:val="single"/>
              </w:rPr>
              <w:t xml:space="preserve"> 40 </w:t>
            </w:r>
            <w:r>
              <w:rPr>
                <w:rFonts w:hint="eastAsia" w:ascii="宋体" w:hAnsi="宋体"/>
                <w:color w:val="000000"/>
                <w:szCs w:val="21"/>
              </w:rPr>
              <w:t>分</w:t>
            </w:r>
          </w:p>
          <w:p>
            <w:pPr>
              <w:widowControl w:val="0"/>
              <w:adjustRightInd w:val="0"/>
              <w:snapToGrid w:val="0"/>
              <w:spacing w:line="288" w:lineRule="auto"/>
              <w:jc w:val="both"/>
              <w:rPr>
                <w:rFonts w:ascii="宋体" w:hAnsi="宋体"/>
                <w:color w:val="000000"/>
                <w:szCs w:val="21"/>
              </w:rPr>
            </w:pPr>
            <w:r>
              <w:rPr>
                <w:rFonts w:hint="eastAsia" w:ascii="宋体" w:hAnsi="宋体"/>
                <w:color w:val="000000"/>
                <w:szCs w:val="21"/>
              </w:rPr>
              <w:t>（3）投标报价：</w:t>
            </w:r>
            <w:r>
              <w:rPr>
                <w:rFonts w:hint="eastAsia" w:ascii="宋体" w:hAnsi="宋体"/>
                <w:color w:val="000000"/>
                <w:szCs w:val="21"/>
                <w:u w:val="single"/>
              </w:rPr>
              <w:t xml:space="preserve"> 40</w:t>
            </w:r>
            <w:r>
              <w:rPr>
                <w:rFonts w:hint="eastAsia" w:ascii="宋体" w:hAnsi="宋体"/>
                <w:color w:val="000000"/>
                <w:szCs w:val="21"/>
              </w:rPr>
              <w:t>分</w:t>
            </w:r>
          </w:p>
          <w:p>
            <w:pPr>
              <w:pStyle w:val="2"/>
              <w:widowControl w:val="0"/>
              <w:jc w:val="both"/>
            </w:pPr>
            <w:r>
              <w:rPr>
                <w:rFonts w:hint="eastAsia" w:ascii="宋体" w:hAnsi="宋体"/>
                <w:color w:val="000000"/>
                <w:szCs w:val="21"/>
              </w:rPr>
              <w:t>详见本章附表1</w:t>
            </w:r>
          </w:p>
        </w:tc>
      </w:tr>
    </w:tbl>
    <w:p>
      <w:pPr>
        <w:spacing w:line="360" w:lineRule="auto"/>
        <w:rPr>
          <w:rFonts w:ascii="宋体" w:hAnsi="宋体" w:cs="仿宋"/>
          <w:sz w:val="24"/>
        </w:rPr>
      </w:pPr>
      <w:r>
        <w:rPr>
          <w:rFonts w:hint="eastAsia" w:ascii="宋体" w:hAnsi="宋体" w:cs="仿宋"/>
          <w:sz w:val="24"/>
        </w:rPr>
        <w:br w:type="page"/>
      </w:r>
    </w:p>
    <w:p>
      <w:pPr>
        <w:pStyle w:val="4"/>
        <w:spacing w:before="0" w:beforeAutospacing="0" w:after="0" w:afterAutospacing="0" w:line="360" w:lineRule="auto"/>
        <w:jc w:val="center"/>
        <w:rPr>
          <w:rFonts w:cs="仿宋"/>
          <w:bCs w:val="0"/>
        </w:rPr>
      </w:pPr>
      <w:bookmarkStart w:id="43" w:name="_Toc106039352"/>
      <w:r>
        <w:rPr>
          <w:rFonts w:hint="eastAsia" w:cs="仿宋"/>
          <w:bCs w:val="0"/>
        </w:rPr>
        <w:t>评审办法正文</w:t>
      </w:r>
      <w:bookmarkEnd w:id="43"/>
    </w:p>
    <w:p>
      <w:pPr>
        <w:pStyle w:val="4"/>
        <w:spacing w:before="0" w:beforeAutospacing="0" w:after="0" w:afterAutospacing="0" w:line="360" w:lineRule="auto"/>
        <w:rPr>
          <w:rFonts w:cs="仿宋"/>
          <w:bCs w:val="0"/>
          <w:sz w:val="24"/>
        </w:rPr>
      </w:pPr>
      <w:bookmarkStart w:id="44" w:name="_Toc106039353"/>
      <w:r>
        <w:rPr>
          <w:rFonts w:hint="eastAsia" w:cs="仿宋"/>
          <w:bCs w:val="0"/>
          <w:sz w:val="24"/>
        </w:rPr>
        <w:t>1评审方法(综合评标法)</w:t>
      </w:r>
      <w:bookmarkEnd w:id="44"/>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本次评审采用综合评标法。评审小组对满足采购文件实质性要求的响应文件按照本章第2.2.2项规定的方法确定供应商响应报价的评审价格，并按照评审价格由低到高的顺序推荐成交候选供应商，评标价低于理论成本价视为废标。</w:t>
      </w:r>
    </w:p>
    <w:p>
      <w:pPr>
        <w:pStyle w:val="4"/>
        <w:spacing w:before="0" w:beforeAutospacing="0" w:after="0" w:afterAutospacing="0" w:line="360" w:lineRule="auto"/>
        <w:rPr>
          <w:rFonts w:cs="仿宋"/>
          <w:bCs w:val="0"/>
          <w:sz w:val="24"/>
        </w:rPr>
      </w:pPr>
      <w:bookmarkStart w:id="45" w:name="_Toc106039354"/>
      <w:r>
        <w:rPr>
          <w:rFonts w:hint="eastAsia" w:cs="仿宋"/>
          <w:bCs w:val="0"/>
          <w:sz w:val="24"/>
        </w:rPr>
        <w:t>2初步评审标准和程序</w:t>
      </w:r>
      <w:bookmarkEnd w:id="45"/>
    </w:p>
    <w:p>
      <w:pPr>
        <w:adjustRightInd w:val="0"/>
        <w:snapToGrid w:val="0"/>
        <w:spacing w:line="360"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pStyle w:val="4"/>
        <w:spacing w:before="0" w:beforeAutospacing="0" w:after="0" w:afterAutospacing="0" w:line="360" w:lineRule="auto"/>
        <w:rPr>
          <w:rFonts w:cs="仿宋"/>
          <w:bCs w:val="0"/>
          <w:sz w:val="24"/>
        </w:rPr>
      </w:pPr>
      <w:bookmarkStart w:id="46" w:name="_Toc106039355"/>
      <w:r>
        <w:rPr>
          <w:rFonts w:hint="eastAsia" w:cs="仿宋"/>
          <w:bCs w:val="0"/>
          <w:sz w:val="24"/>
        </w:rPr>
        <w:t>3详细评审标准和程序(合理低价法)</w:t>
      </w:r>
      <w:bookmarkEnd w:id="46"/>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定标：评审小组对评审价格进行比较后，按照评审价格由低到高的顺序对供应商排序。供应商评审价格相等时，按照评审办法前附表的规定确定供应商优先顺序，评标价低于理论成本价视为废标。</w:t>
      </w:r>
    </w:p>
    <w:p>
      <w:pPr>
        <w:pStyle w:val="4"/>
        <w:spacing w:before="0" w:beforeAutospacing="0" w:after="0" w:afterAutospacing="0" w:line="360" w:lineRule="auto"/>
        <w:rPr>
          <w:rFonts w:cs="仿宋"/>
          <w:bCs w:val="0"/>
          <w:sz w:val="24"/>
        </w:rPr>
      </w:pPr>
      <w:bookmarkStart w:id="47" w:name="_Toc106039356"/>
      <w:r>
        <w:rPr>
          <w:rFonts w:hint="eastAsia" w:cs="仿宋"/>
          <w:bCs w:val="0"/>
          <w:sz w:val="24"/>
        </w:rPr>
        <w:t>4评审结果</w:t>
      </w:r>
      <w:bookmarkEnd w:id="47"/>
    </w:p>
    <w:p>
      <w:pPr>
        <w:adjustRightInd w:val="0"/>
        <w:snapToGrid w:val="0"/>
        <w:spacing w:line="360"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60"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bookmarkEnd w:id="40"/>
    <w:bookmarkEnd w:id="41"/>
    <w:p>
      <w:pPr>
        <w:spacing w:line="240" w:lineRule="auto"/>
        <w:jc w:val="center"/>
        <w:rPr>
          <w:rFonts w:ascii="黑体" w:hAnsi="黑体" w:eastAsia="黑体" w:cs="仿宋"/>
          <w:b/>
          <w:color w:val="000000"/>
          <w:sz w:val="36"/>
          <w:szCs w:val="36"/>
        </w:rPr>
      </w:pPr>
      <w:r>
        <w:rPr>
          <w:rFonts w:ascii="黑体" w:hAnsi="黑体" w:eastAsia="黑体" w:cs="仿宋"/>
          <w:b/>
          <w:color w:val="000000"/>
          <w:sz w:val="36"/>
          <w:szCs w:val="36"/>
        </w:rPr>
        <w:br w:type="page"/>
      </w:r>
      <w:r>
        <w:rPr>
          <w:rFonts w:cs="仿宋" w:asciiTheme="minorEastAsia" w:hAnsiTheme="minorEastAsia" w:eastAsiaTheme="minorEastAsia"/>
          <w:b/>
          <w:color w:val="000000"/>
          <w:sz w:val="28"/>
          <w:szCs w:val="28"/>
        </w:rPr>
        <w:t>附表</w:t>
      </w:r>
      <w:r>
        <w:rPr>
          <w:rFonts w:hint="eastAsia" w:cs="仿宋" w:asciiTheme="minorEastAsia" w:hAnsiTheme="minorEastAsia" w:eastAsiaTheme="minorEastAsia"/>
          <w:b/>
          <w:color w:val="000000"/>
          <w:sz w:val="28"/>
          <w:szCs w:val="28"/>
        </w:rPr>
        <w:t>1</w:t>
      </w:r>
      <w:r>
        <w:rPr>
          <w:rFonts w:cs="仿宋" w:asciiTheme="minorEastAsia" w:hAnsiTheme="minorEastAsia" w:eastAsiaTheme="minorEastAsia"/>
          <w:b/>
          <w:color w:val="000000"/>
          <w:sz w:val="28"/>
          <w:szCs w:val="28"/>
        </w:rPr>
        <w:t>评分表</w:t>
      </w:r>
    </w:p>
    <w:tbl>
      <w:tblPr>
        <w:tblStyle w:val="41"/>
        <w:tblW w:w="9375"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058"/>
        <w:gridCol w:w="750"/>
        <w:gridCol w:w="671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27" w:hRule="atLeast"/>
          <w:tblHeader/>
          <w:jc w:val="center"/>
        </w:trPr>
        <w:tc>
          <w:tcPr>
            <w:tcW w:w="850" w:type="dxa"/>
            <w:tcBorders>
              <w:tl2br w:val="nil"/>
              <w:tr2bl w:val="nil"/>
            </w:tcBorders>
            <w:vAlign w:val="center"/>
          </w:tcPr>
          <w:p>
            <w:pPr>
              <w:jc w:val="center"/>
              <w:rPr>
                <w:rFonts w:ascii="宋体" w:hAnsi="宋体" w:cs="宋体"/>
                <w:b/>
                <w:szCs w:val="21"/>
              </w:rPr>
            </w:pPr>
            <w:r>
              <w:rPr>
                <w:rFonts w:hint="eastAsia" w:ascii="宋体" w:hAnsi="宋体" w:cs="宋体"/>
                <w:b/>
                <w:szCs w:val="21"/>
              </w:rPr>
              <w:t>评审</w:t>
            </w:r>
          </w:p>
          <w:p>
            <w:pPr>
              <w:jc w:val="center"/>
              <w:rPr>
                <w:rFonts w:ascii="宋体" w:hAnsi="宋体" w:cs="宋体"/>
                <w:b/>
                <w:szCs w:val="21"/>
              </w:rPr>
            </w:pPr>
            <w:r>
              <w:rPr>
                <w:rFonts w:hint="eastAsia" w:ascii="宋体" w:hAnsi="宋体" w:cs="宋体"/>
                <w:b/>
                <w:szCs w:val="21"/>
              </w:rPr>
              <w:t>因素</w:t>
            </w:r>
          </w:p>
        </w:tc>
        <w:tc>
          <w:tcPr>
            <w:tcW w:w="1058" w:type="dxa"/>
            <w:tcBorders>
              <w:tl2br w:val="nil"/>
              <w:tr2bl w:val="nil"/>
            </w:tcBorders>
            <w:vAlign w:val="center"/>
          </w:tcPr>
          <w:p>
            <w:pPr>
              <w:jc w:val="center"/>
              <w:rPr>
                <w:rFonts w:ascii="宋体" w:hAnsi="宋体" w:cs="宋体"/>
                <w:b/>
                <w:szCs w:val="21"/>
              </w:rPr>
            </w:pPr>
            <w:r>
              <w:rPr>
                <w:rFonts w:hint="eastAsia" w:ascii="宋体" w:hAnsi="宋体" w:cs="宋体"/>
                <w:b/>
                <w:szCs w:val="21"/>
              </w:rPr>
              <w:t>计分</w:t>
            </w:r>
          </w:p>
          <w:p>
            <w:pPr>
              <w:jc w:val="center"/>
              <w:rPr>
                <w:rFonts w:ascii="宋体" w:hAnsi="宋体" w:cs="宋体"/>
                <w:b/>
                <w:szCs w:val="21"/>
              </w:rPr>
            </w:pPr>
            <w:r>
              <w:rPr>
                <w:rFonts w:hint="eastAsia" w:ascii="宋体" w:hAnsi="宋体" w:cs="宋体"/>
                <w:b/>
                <w:szCs w:val="21"/>
              </w:rPr>
              <w:t>内容</w:t>
            </w:r>
          </w:p>
        </w:tc>
        <w:tc>
          <w:tcPr>
            <w:tcW w:w="750" w:type="dxa"/>
            <w:tcBorders>
              <w:tl2br w:val="nil"/>
              <w:tr2bl w:val="nil"/>
            </w:tcBorders>
            <w:vAlign w:val="center"/>
          </w:tcPr>
          <w:p>
            <w:pPr>
              <w:jc w:val="center"/>
              <w:rPr>
                <w:rFonts w:ascii="宋体" w:hAnsi="宋体" w:cs="宋体"/>
                <w:b/>
                <w:szCs w:val="21"/>
              </w:rPr>
            </w:pPr>
            <w:r>
              <w:rPr>
                <w:rFonts w:hint="eastAsia" w:ascii="宋体" w:hAnsi="宋体" w:cs="宋体"/>
                <w:b/>
                <w:szCs w:val="21"/>
              </w:rPr>
              <w:t>分值</w:t>
            </w:r>
          </w:p>
        </w:tc>
        <w:tc>
          <w:tcPr>
            <w:tcW w:w="6717" w:type="dxa"/>
            <w:tcBorders>
              <w:tl2br w:val="nil"/>
              <w:tr2bl w:val="nil"/>
            </w:tcBorders>
            <w:vAlign w:val="center"/>
          </w:tcPr>
          <w:p>
            <w:pPr>
              <w:ind w:right="485" w:rightChars="231"/>
              <w:jc w:val="center"/>
              <w:rPr>
                <w:rFonts w:ascii="宋体" w:hAnsi="宋体" w:cs="宋体"/>
                <w:b/>
                <w:szCs w:val="21"/>
              </w:rPr>
            </w:pPr>
            <w:r>
              <w:rPr>
                <w:rFonts w:hint="eastAsia" w:ascii="宋体" w:hAnsi="宋体" w:cs="宋体"/>
                <w:b/>
                <w:szCs w:val="21"/>
              </w:rPr>
              <w:t>评分标准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tcBorders>
              <w:tl2br w:val="nil"/>
              <w:tr2bl w:val="nil"/>
            </w:tcBorders>
            <w:vAlign w:val="center"/>
          </w:tcPr>
          <w:p>
            <w:pPr>
              <w:adjustRightInd w:val="0"/>
              <w:snapToGrid w:val="0"/>
              <w:jc w:val="center"/>
              <w:rPr>
                <w:rFonts w:ascii="宋体" w:hAnsi="宋体" w:cs="宋体"/>
                <w:szCs w:val="21"/>
              </w:rPr>
            </w:pPr>
            <w:r>
              <w:rPr>
                <w:rFonts w:hint="eastAsia" w:ascii="宋体" w:hAnsi="宋体" w:cs="宋体"/>
                <w:szCs w:val="21"/>
              </w:rPr>
              <w:t>报价</w:t>
            </w:r>
          </w:p>
          <w:p>
            <w:pPr>
              <w:adjustRightInd w:val="0"/>
              <w:snapToGrid w:val="0"/>
              <w:jc w:val="center"/>
              <w:rPr>
                <w:rFonts w:ascii="宋体" w:hAnsi="宋体" w:cs="宋体"/>
                <w:szCs w:val="21"/>
              </w:rPr>
            </w:pPr>
            <w:r>
              <w:rPr>
                <w:rFonts w:hint="eastAsia" w:ascii="宋体" w:hAnsi="宋体" w:cs="宋体"/>
                <w:szCs w:val="21"/>
              </w:rPr>
              <w:t>部分</w:t>
            </w:r>
          </w:p>
          <w:p>
            <w:pPr>
              <w:adjustRightInd w:val="0"/>
              <w:snapToGrid w:val="0"/>
              <w:jc w:val="center"/>
              <w:rPr>
                <w:rFonts w:ascii="宋体" w:hAnsi="宋体" w:cs="宋体"/>
                <w:szCs w:val="21"/>
              </w:rPr>
            </w:pPr>
            <w:r>
              <w:rPr>
                <w:rFonts w:hint="eastAsia" w:ascii="宋体" w:hAnsi="宋体" w:cs="宋体"/>
                <w:szCs w:val="21"/>
              </w:rPr>
              <w:t>（40分）</w:t>
            </w:r>
          </w:p>
        </w:tc>
        <w:tc>
          <w:tcPr>
            <w:tcW w:w="1058" w:type="dxa"/>
            <w:tcBorders>
              <w:tl2br w:val="nil"/>
              <w:tr2bl w:val="nil"/>
            </w:tcBorders>
            <w:vAlign w:val="center"/>
          </w:tcPr>
          <w:p>
            <w:pPr>
              <w:adjustRightInd w:val="0"/>
              <w:snapToGrid w:val="0"/>
              <w:jc w:val="center"/>
              <w:rPr>
                <w:rFonts w:ascii="宋体" w:hAnsi="宋体" w:cs="宋体"/>
                <w:szCs w:val="21"/>
              </w:rPr>
            </w:pPr>
            <w:r>
              <w:rPr>
                <w:rFonts w:hint="eastAsia" w:ascii="宋体" w:hAnsi="宋体" w:cs="宋体"/>
                <w:szCs w:val="21"/>
              </w:rPr>
              <w:t>报价</w:t>
            </w:r>
          </w:p>
        </w:tc>
        <w:tc>
          <w:tcPr>
            <w:tcW w:w="750" w:type="dxa"/>
            <w:tcBorders>
              <w:tl2br w:val="nil"/>
              <w:tr2bl w:val="nil"/>
            </w:tcBorders>
            <w:vAlign w:val="center"/>
          </w:tcPr>
          <w:p>
            <w:pPr>
              <w:adjustRightInd w:val="0"/>
              <w:snapToGrid w:val="0"/>
              <w:jc w:val="center"/>
              <w:rPr>
                <w:rFonts w:ascii="宋体" w:hAnsi="宋体" w:cs="宋体"/>
                <w:szCs w:val="21"/>
              </w:rPr>
            </w:pPr>
            <w:r>
              <w:rPr>
                <w:rFonts w:hint="eastAsia" w:ascii="宋体" w:hAnsi="宋体" w:cs="宋体"/>
                <w:szCs w:val="21"/>
              </w:rPr>
              <w:t>40分</w:t>
            </w:r>
          </w:p>
        </w:tc>
        <w:tc>
          <w:tcPr>
            <w:tcW w:w="6717" w:type="dxa"/>
            <w:tcBorders>
              <w:tl2br w:val="nil"/>
              <w:tr2bl w:val="nil"/>
            </w:tcBorders>
            <w:vAlign w:val="center"/>
          </w:tcPr>
          <w:p>
            <w:pPr>
              <w:widowControl w:val="0"/>
              <w:adjustRightInd w:val="0"/>
              <w:snapToGrid w:val="0"/>
              <w:spacing w:line="288" w:lineRule="auto"/>
              <w:rPr>
                <w:rFonts w:ascii="宋体" w:hAnsi="宋体"/>
                <w:szCs w:val="21"/>
              </w:rPr>
            </w:pPr>
            <w:r>
              <w:rPr>
                <w:rFonts w:hint="eastAsia" w:ascii="宋体" w:hAnsi="宋体"/>
                <w:bCs/>
                <w:szCs w:val="21"/>
              </w:rPr>
              <w:t>评标基准价计算方法</w:t>
            </w:r>
            <w:r>
              <w:rPr>
                <w:rFonts w:hint="eastAsia" w:ascii="宋体" w:hAnsi="宋体"/>
                <w:szCs w:val="21"/>
              </w:rPr>
              <w:t>：</w:t>
            </w:r>
          </w:p>
          <w:p>
            <w:pPr>
              <w:widowControl w:val="0"/>
              <w:adjustRightInd w:val="0"/>
              <w:snapToGrid w:val="0"/>
              <w:spacing w:line="288" w:lineRule="auto"/>
              <w:rPr>
                <w:rFonts w:ascii="宋体" w:hAnsi="宋体"/>
                <w:szCs w:val="21"/>
              </w:rPr>
            </w:pPr>
            <w:r>
              <w:rPr>
                <w:rFonts w:hint="eastAsia" w:ascii="宋体" w:hAnsi="宋体"/>
                <w:bCs/>
                <w:szCs w:val="21"/>
              </w:rPr>
              <w:t>评分计算方式一：</w:t>
            </w:r>
            <w:r>
              <w:rPr>
                <w:rFonts w:hint="eastAsia" w:ascii="宋体" w:hAnsi="宋体"/>
                <w:szCs w:val="21"/>
              </w:rPr>
              <w:t>（低于5家合格投标人，不包含5家），取所有合格投标人报价平均价为基准价，</w:t>
            </w:r>
          </w:p>
          <w:p>
            <w:pPr>
              <w:widowControl w:val="0"/>
              <w:adjustRightInd w:val="0"/>
              <w:snapToGrid w:val="0"/>
              <w:spacing w:line="288" w:lineRule="auto"/>
              <w:rPr>
                <w:rFonts w:ascii="宋体" w:hAnsi="宋体"/>
                <w:szCs w:val="21"/>
              </w:rPr>
            </w:pPr>
            <w:r>
              <w:rPr>
                <w:rFonts w:hint="eastAsia" w:ascii="宋体" w:hAnsi="宋体"/>
                <w:szCs w:val="21"/>
              </w:rPr>
              <w:t>投标人报价在基准价±10%（含）以内，得满分；在基准价±10%范围外，±20%（含）内，得满分的90%；在基准价±20%范围外，±30%（含）内，得满分的75%；在基准价±30%范围外，±40%（含）内，得满分的60%；在基准价±40%范围外，得10分。</w:t>
            </w:r>
          </w:p>
          <w:p>
            <w:pPr>
              <w:widowControl w:val="0"/>
              <w:adjustRightInd w:val="0"/>
              <w:snapToGrid w:val="0"/>
              <w:spacing w:line="288" w:lineRule="auto"/>
              <w:rPr>
                <w:rFonts w:ascii="宋体" w:hAnsi="宋体"/>
                <w:szCs w:val="21"/>
              </w:rPr>
            </w:pPr>
          </w:p>
          <w:p>
            <w:pPr>
              <w:adjustRightInd w:val="0"/>
              <w:snapToGrid w:val="0"/>
              <w:rPr>
                <w:rFonts w:ascii="宋体" w:hAnsi="宋体" w:cs="宋体"/>
                <w:szCs w:val="21"/>
              </w:rPr>
            </w:pPr>
            <w:r>
              <w:rPr>
                <w:rFonts w:hint="eastAsia" w:ascii="宋体" w:hAnsi="宋体"/>
                <w:bCs/>
                <w:szCs w:val="21"/>
              </w:rPr>
              <w:t>评分计算方式二：</w:t>
            </w:r>
            <w:r>
              <w:rPr>
                <w:rFonts w:hint="eastAsia" w:ascii="宋体" w:hAnsi="宋体"/>
                <w:szCs w:val="21"/>
              </w:rPr>
              <w:t>（高于5家合格投标人，含5家）去掉一个最高评标价、去掉一个最低评标价，取其余评标价的平均价为基准价。投标人报价在基准价±10%（含）以内，得满分；在基准价±10%范围外，±20%（含）内，得满分的90%；在基准价±20%范围外，±30%（含）内，得满分的75%；在基准价±30%范围外，±40%（含）内，得满分的60%；在基准价±40%范围外，得10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850" w:type="dxa"/>
            <w:tcBorders>
              <w:tl2br w:val="nil"/>
              <w:tr2bl w:val="nil"/>
            </w:tcBorders>
            <w:vAlign w:val="center"/>
          </w:tcPr>
          <w:p>
            <w:pPr>
              <w:adjustRightInd w:val="0"/>
              <w:snapToGrid w:val="0"/>
              <w:jc w:val="center"/>
              <w:rPr>
                <w:rFonts w:ascii="宋体" w:hAnsi="宋体" w:cs="宋体"/>
                <w:szCs w:val="21"/>
              </w:rPr>
            </w:pPr>
            <w:r>
              <w:rPr>
                <w:rFonts w:hint="eastAsia" w:ascii="宋体" w:hAnsi="宋体" w:cs="宋体"/>
                <w:szCs w:val="21"/>
              </w:rPr>
              <w:t>商务部分（20分）</w:t>
            </w:r>
          </w:p>
        </w:tc>
        <w:tc>
          <w:tcPr>
            <w:tcW w:w="1058" w:type="dxa"/>
            <w:tcBorders>
              <w:tl2br w:val="nil"/>
              <w:tr2bl w:val="nil"/>
            </w:tcBorders>
            <w:vAlign w:val="center"/>
          </w:tcPr>
          <w:p>
            <w:pPr>
              <w:adjustRightInd w:val="0"/>
              <w:snapToGrid w:val="0"/>
              <w:jc w:val="center"/>
              <w:rPr>
                <w:rFonts w:ascii="宋体" w:hAnsi="宋体" w:cs="宋体"/>
                <w:szCs w:val="21"/>
              </w:rPr>
            </w:pPr>
            <w:r>
              <w:rPr>
                <w:rFonts w:hint="eastAsia" w:ascii="宋体" w:hAnsi="宋体" w:cs="宋体"/>
                <w:szCs w:val="21"/>
              </w:rPr>
              <w:t>类似项目业绩</w:t>
            </w:r>
          </w:p>
          <w:p>
            <w:pPr>
              <w:adjustRightInd w:val="0"/>
              <w:snapToGrid w:val="0"/>
              <w:jc w:val="center"/>
              <w:rPr>
                <w:rFonts w:ascii="宋体" w:hAnsi="宋体" w:cs="宋体"/>
                <w:szCs w:val="21"/>
              </w:rPr>
            </w:pPr>
          </w:p>
        </w:tc>
        <w:tc>
          <w:tcPr>
            <w:tcW w:w="750" w:type="dxa"/>
            <w:tcBorders>
              <w:tl2br w:val="nil"/>
              <w:tr2bl w:val="nil"/>
            </w:tcBorders>
            <w:vAlign w:val="center"/>
          </w:tcPr>
          <w:p>
            <w:pPr>
              <w:adjustRightInd w:val="0"/>
              <w:snapToGrid w:val="0"/>
              <w:jc w:val="center"/>
              <w:rPr>
                <w:rFonts w:ascii="宋体" w:hAnsi="宋体" w:cs="宋体"/>
                <w:szCs w:val="21"/>
              </w:rPr>
            </w:pPr>
            <w:r>
              <w:rPr>
                <w:rFonts w:hint="eastAsia" w:ascii="宋体" w:hAnsi="宋体" w:cs="宋体"/>
                <w:szCs w:val="21"/>
              </w:rPr>
              <w:t>20分</w:t>
            </w:r>
          </w:p>
          <w:p>
            <w:pPr>
              <w:adjustRightInd w:val="0"/>
              <w:snapToGrid w:val="0"/>
              <w:jc w:val="center"/>
              <w:rPr>
                <w:rFonts w:ascii="宋体" w:hAnsi="宋体" w:cs="宋体"/>
                <w:szCs w:val="21"/>
              </w:rPr>
            </w:pPr>
          </w:p>
        </w:tc>
        <w:tc>
          <w:tcPr>
            <w:tcW w:w="6717" w:type="dxa"/>
            <w:tcBorders>
              <w:tl2br w:val="nil"/>
              <w:tr2bl w:val="nil"/>
            </w:tcBorders>
            <w:vAlign w:val="center"/>
          </w:tcPr>
          <w:p>
            <w:pPr>
              <w:adjustRightInd w:val="0"/>
              <w:snapToGrid w:val="0"/>
            </w:pPr>
            <w:r>
              <w:rPr>
                <w:rFonts w:hint="eastAsia"/>
              </w:rPr>
              <w:t>供应商自2021年6月至2024年6月（以合同签订时间为准），具有类似项目业绩的，每个业绩计7分，最高计20分。</w:t>
            </w:r>
          </w:p>
          <w:p>
            <w:pPr>
              <w:adjustRightInd w:val="0"/>
              <w:snapToGrid w:val="0"/>
              <w:rPr>
                <w:rFonts w:ascii="宋体" w:hAnsi="宋体" w:cs="宋体"/>
                <w:kern w:val="0"/>
                <w:szCs w:val="21"/>
              </w:rPr>
            </w:pPr>
            <w:r>
              <w:rPr>
                <w:rFonts w:hint="eastAsia" w:ascii="宋体" w:hAnsi="宋体"/>
                <w:bCs/>
                <w:szCs w:val="21"/>
              </w:rPr>
              <w:t>注：提供合同复印件（至少包含：封面页、标的内容、合同签字盖章页）并加盖</w:t>
            </w:r>
            <w:r>
              <w:rPr>
                <w:rFonts w:hint="eastAsia" w:ascii="宋体" w:hAnsi="宋体" w:cs="宋体"/>
                <w:bCs/>
                <w:szCs w:val="21"/>
              </w:rPr>
              <w:t>供应商</w:t>
            </w:r>
            <w:r>
              <w:rPr>
                <w:rFonts w:hint="eastAsia" w:ascii="宋体" w:hAnsi="宋体"/>
                <w:bCs/>
                <w:szCs w:val="21"/>
              </w:rPr>
              <w:t>公章，否则不计分。）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vMerge w:val="restart"/>
            <w:tcBorders>
              <w:tl2br w:val="nil"/>
              <w:tr2bl w:val="nil"/>
            </w:tcBorders>
            <w:vAlign w:val="center"/>
          </w:tcPr>
          <w:p>
            <w:pPr>
              <w:adjustRightInd w:val="0"/>
              <w:snapToGrid w:val="0"/>
              <w:jc w:val="center"/>
              <w:rPr>
                <w:rFonts w:ascii="宋体" w:hAnsi="宋体" w:cs="宋体"/>
                <w:szCs w:val="21"/>
              </w:rPr>
            </w:pPr>
            <w:r>
              <w:rPr>
                <w:rFonts w:hint="eastAsia" w:ascii="宋体" w:hAnsi="宋体" w:cs="宋体"/>
                <w:szCs w:val="21"/>
              </w:rPr>
              <w:t>技术部分（40分）</w:t>
            </w:r>
          </w:p>
        </w:tc>
        <w:tc>
          <w:tcPr>
            <w:tcW w:w="1058" w:type="dxa"/>
            <w:tcBorders>
              <w:tl2br w:val="nil"/>
              <w:tr2bl w:val="nil"/>
            </w:tcBorders>
            <w:vAlign w:val="center"/>
          </w:tcPr>
          <w:p>
            <w:pPr>
              <w:adjustRightInd w:val="0"/>
              <w:snapToGrid w:val="0"/>
              <w:jc w:val="center"/>
              <w:rPr>
                <w:rFonts w:ascii="宋体" w:hAnsi="宋体" w:cs="宋体"/>
                <w:szCs w:val="21"/>
              </w:rPr>
            </w:pPr>
            <w:r>
              <w:rPr>
                <w:rFonts w:hint="eastAsia" w:ascii="宋体" w:hAnsi="宋体" w:cs="宋体"/>
                <w:szCs w:val="21"/>
              </w:rPr>
              <w:t>实施</w:t>
            </w:r>
          </w:p>
          <w:p>
            <w:pPr>
              <w:adjustRightInd w:val="0"/>
              <w:snapToGrid w:val="0"/>
              <w:jc w:val="center"/>
              <w:rPr>
                <w:rFonts w:ascii="宋体" w:hAnsi="宋体" w:cs="宋体"/>
                <w:szCs w:val="21"/>
              </w:rPr>
            </w:pPr>
            <w:r>
              <w:rPr>
                <w:rFonts w:hint="eastAsia" w:ascii="宋体" w:hAnsi="宋体" w:cs="宋体"/>
                <w:szCs w:val="21"/>
              </w:rPr>
              <w:t>方案</w:t>
            </w:r>
          </w:p>
        </w:tc>
        <w:tc>
          <w:tcPr>
            <w:tcW w:w="750" w:type="dxa"/>
            <w:tcBorders>
              <w:tl2br w:val="nil"/>
              <w:tr2bl w:val="nil"/>
            </w:tcBorders>
            <w:vAlign w:val="center"/>
          </w:tcPr>
          <w:p>
            <w:pPr>
              <w:adjustRightInd w:val="0"/>
              <w:snapToGrid w:val="0"/>
              <w:jc w:val="center"/>
              <w:rPr>
                <w:rFonts w:ascii="宋体" w:hAnsi="宋体" w:cs="宋体"/>
                <w:kern w:val="0"/>
                <w:szCs w:val="21"/>
              </w:rPr>
            </w:pPr>
            <w:r>
              <w:rPr>
                <w:rFonts w:hint="eastAsia" w:ascii="宋体" w:hAnsi="宋体" w:cs="宋体"/>
                <w:kern w:val="0"/>
                <w:szCs w:val="21"/>
              </w:rPr>
              <w:t>10分</w:t>
            </w:r>
          </w:p>
        </w:tc>
        <w:tc>
          <w:tcPr>
            <w:tcW w:w="6717" w:type="dxa"/>
            <w:tcBorders>
              <w:tl2br w:val="nil"/>
              <w:tr2bl w:val="nil"/>
            </w:tcBorders>
            <w:vAlign w:val="center"/>
          </w:tcPr>
          <w:p>
            <w:pPr>
              <w:rPr>
                <w:rFonts w:ascii="宋体" w:hAnsi="宋体" w:cs="宋体"/>
                <w:kern w:val="0"/>
                <w:szCs w:val="21"/>
              </w:rPr>
            </w:pPr>
            <w:r>
              <w:rPr>
                <w:rFonts w:hint="eastAsia" w:ascii="宋体" w:hAnsi="宋体" w:cs="宋体"/>
                <w:kern w:val="0"/>
                <w:szCs w:val="21"/>
              </w:rPr>
              <w:t>供应商对本项目的采购需求理解充分，制定完整细致的实施方案（包括但不限于重点难点分析与应对措施，进度计划与保证措施，质量管理体系与保证措施，安全管理体系与保证措施，人员配置，网络问题应急处理方案等）。</w:t>
            </w:r>
          </w:p>
          <w:p>
            <w:pPr>
              <w:rPr>
                <w:rFonts w:ascii="宋体" w:hAnsi="宋体" w:cs="宋体"/>
                <w:kern w:val="0"/>
                <w:szCs w:val="21"/>
              </w:rPr>
            </w:pPr>
            <w:r>
              <w:rPr>
                <w:rFonts w:hint="eastAsia" w:ascii="宋体" w:hAnsi="宋体" w:cs="宋体"/>
                <w:kern w:val="0"/>
                <w:szCs w:val="21"/>
              </w:rPr>
              <w:t>完全满足采购需求，方案内容完善、科学、合理、可行的计10分，缺漏项的每处扣5，欠合理或不完善的每项扣3分，扣完为止；未提供方案的不计分。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vMerge w:val="continue"/>
            <w:tcBorders>
              <w:tl2br w:val="nil"/>
              <w:tr2bl w:val="nil"/>
            </w:tcBorders>
            <w:vAlign w:val="center"/>
          </w:tcPr>
          <w:p>
            <w:pPr>
              <w:adjustRightInd w:val="0"/>
              <w:snapToGrid w:val="0"/>
              <w:jc w:val="center"/>
              <w:rPr>
                <w:rFonts w:ascii="宋体" w:hAnsi="宋体" w:cs="宋体"/>
                <w:szCs w:val="21"/>
              </w:rPr>
            </w:pPr>
          </w:p>
        </w:tc>
        <w:tc>
          <w:tcPr>
            <w:tcW w:w="1058" w:type="dxa"/>
            <w:tcBorders>
              <w:tl2br w:val="nil"/>
              <w:tr2bl w:val="nil"/>
            </w:tcBorders>
            <w:vAlign w:val="center"/>
          </w:tcPr>
          <w:p>
            <w:pPr>
              <w:adjustRightInd w:val="0"/>
              <w:snapToGrid w:val="0"/>
              <w:jc w:val="center"/>
              <w:rPr>
                <w:rFonts w:ascii="宋体" w:hAnsi="宋体" w:cs="宋体"/>
                <w:szCs w:val="21"/>
              </w:rPr>
            </w:pPr>
            <w:r>
              <w:rPr>
                <w:rFonts w:hint="eastAsia" w:ascii="宋体" w:hAnsi="宋体" w:cs="宋体"/>
                <w:szCs w:val="21"/>
              </w:rPr>
              <w:t>产品配置及技术参数</w:t>
            </w:r>
          </w:p>
        </w:tc>
        <w:tc>
          <w:tcPr>
            <w:tcW w:w="750" w:type="dxa"/>
            <w:tcBorders>
              <w:tl2br w:val="nil"/>
              <w:tr2bl w:val="nil"/>
            </w:tcBorders>
            <w:vAlign w:val="center"/>
          </w:tcPr>
          <w:p>
            <w:pPr>
              <w:adjustRightInd w:val="0"/>
              <w:snapToGrid w:val="0"/>
              <w:jc w:val="center"/>
              <w:rPr>
                <w:rFonts w:ascii="宋体" w:hAnsi="宋体" w:cs="宋体"/>
                <w:kern w:val="0"/>
                <w:szCs w:val="21"/>
              </w:rPr>
            </w:pPr>
            <w:r>
              <w:rPr>
                <w:rFonts w:hint="eastAsia" w:ascii="宋体" w:hAnsi="宋体" w:cs="宋体"/>
                <w:kern w:val="0"/>
                <w:szCs w:val="21"/>
              </w:rPr>
              <w:t>25分</w:t>
            </w:r>
          </w:p>
        </w:tc>
        <w:tc>
          <w:tcPr>
            <w:tcW w:w="6717" w:type="dxa"/>
            <w:tcBorders>
              <w:tl2br w:val="nil"/>
              <w:tr2bl w:val="nil"/>
            </w:tcBorders>
            <w:vAlign w:val="center"/>
          </w:tcPr>
          <w:p>
            <w:pPr>
              <w:tabs>
                <w:tab w:val="left" w:pos="312"/>
              </w:tabs>
              <w:rPr>
                <w:rFonts w:ascii="宋体" w:hAnsi="宋体" w:cs="宋体"/>
                <w:kern w:val="0"/>
                <w:szCs w:val="21"/>
              </w:rPr>
            </w:pPr>
            <w:r>
              <w:rPr>
                <w:rFonts w:hint="eastAsia" w:ascii="宋体" w:hAnsi="宋体" w:cs="宋体"/>
                <w:kern w:val="0"/>
                <w:szCs w:val="21"/>
              </w:rPr>
              <w:t>供应商所投产品</w:t>
            </w:r>
            <w:r>
              <w:rPr>
                <w:rFonts w:hint="eastAsia" w:ascii="宋体" w:hAnsi="宋体" w:cs="宋体"/>
                <w:kern w:val="0"/>
              </w:rPr>
              <w:t>以询价</w:t>
            </w:r>
            <w:r>
              <w:rPr>
                <w:rFonts w:ascii="宋体" w:hAnsi="宋体" w:cs="宋体"/>
                <w:kern w:val="0"/>
              </w:rPr>
              <w:t>文件</w:t>
            </w:r>
            <w:r>
              <w:rPr>
                <w:rFonts w:hint="eastAsia" w:ascii="宋体" w:hAnsi="宋体" w:cs="宋体"/>
                <w:kern w:val="0"/>
              </w:rPr>
              <w:t>第五章供货要求中的产品技术指标</w:t>
            </w:r>
            <w:r>
              <w:rPr>
                <w:rFonts w:ascii="宋体" w:hAnsi="宋体" w:cs="宋体"/>
                <w:kern w:val="0"/>
              </w:rPr>
              <w:t>为基准，</w:t>
            </w:r>
            <w:r>
              <w:rPr>
                <w:rFonts w:hint="eastAsia" w:ascii="宋体" w:hAnsi="宋体" w:cs="宋体"/>
                <w:kern w:val="0"/>
                <w:szCs w:val="21"/>
              </w:rPr>
              <w:t>配置完全符合或者优于采购需求要求的，计25分；配置不详，技术参数不清，缺漏项的，每处扣5分，扣完为止；有负偏离的，每项扣3分，扣完为止。</w:t>
            </w:r>
          </w:p>
          <w:p>
            <w:pPr>
              <w:rPr>
                <w:rFonts w:ascii="宋体" w:hAnsi="宋体" w:cs="宋体"/>
                <w:kern w:val="0"/>
                <w:szCs w:val="21"/>
              </w:rPr>
            </w:pPr>
            <w:r>
              <w:rPr>
                <w:rFonts w:hint="eastAsia" w:ascii="宋体" w:hAnsi="宋体" w:cs="宋体"/>
                <w:bCs/>
                <w:kern w:val="0"/>
                <w:szCs w:val="21"/>
              </w:rPr>
              <w:t>注：提供相应的证明材料，例如产品检测报告、功能截图、产品彩页和产品说明书等，并加盖供应商公章，未提供的不计分。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850" w:type="dxa"/>
            <w:vMerge w:val="continue"/>
            <w:tcBorders>
              <w:tl2br w:val="nil"/>
              <w:tr2bl w:val="nil"/>
            </w:tcBorders>
            <w:vAlign w:val="center"/>
          </w:tcPr>
          <w:p>
            <w:pPr>
              <w:adjustRightInd w:val="0"/>
              <w:snapToGrid w:val="0"/>
              <w:jc w:val="center"/>
              <w:rPr>
                <w:rFonts w:ascii="宋体" w:hAnsi="宋体" w:cs="宋体"/>
                <w:szCs w:val="21"/>
              </w:rPr>
            </w:pPr>
          </w:p>
        </w:tc>
        <w:tc>
          <w:tcPr>
            <w:tcW w:w="1058" w:type="dxa"/>
            <w:tcBorders>
              <w:tl2br w:val="nil"/>
              <w:tr2bl w:val="nil"/>
            </w:tcBorders>
            <w:vAlign w:val="center"/>
          </w:tcPr>
          <w:p>
            <w:pPr>
              <w:adjustRightInd w:val="0"/>
              <w:snapToGrid w:val="0"/>
              <w:jc w:val="center"/>
              <w:rPr>
                <w:rFonts w:ascii="宋体" w:hAnsi="宋体" w:cs="宋体"/>
                <w:szCs w:val="21"/>
              </w:rPr>
            </w:pPr>
            <w:r>
              <w:rPr>
                <w:rFonts w:hint="eastAsia" w:ascii="宋体" w:hAnsi="宋体" w:cs="宋体"/>
                <w:szCs w:val="21"/>
              </w:rPr>
              <w:t>售后服务</w:t>
            </w:r>
          </w:p>
        </w:tc>
        <w:tc>
          <w:tcPr>
            <w:tcW w:w="750" w:type="dxa"/>
            <w:tcBorders>
              <w:tl2br w:val="nil"/>
              <w:tr2bl w:val="nil"/>
            </w:tcBorders>
            <w:vAlign w:val="center"/>
          </w:tcPr>
          <w:p>
            <w:pPr>
              <w:adjustRightInd w:val="0"/>
              <w:snapToGrid w:val="0"/>
              <w:jc w:val="center"/>
              <w:rPr>
                <w:rFonts w:ascii="宋体" w:hAnsi="宋体" w:cs="宋体"/>
                <w:kern w:val="0"/>
                <w:szCs w:val="21"/>
              </w:rPr>
            </w:pPr>
            <w:r>
              <w:rPr>
                <w:rFonts w:hint="eastAsia" w:ascii="宋体" w:hAnsi="宋体" w:cs="宋体"/>
                <w:kern w:val="0"/>
                <w:szCs w:val="21"/>
              </w:rPr>
              <w:t>5分</w:t>
            </w:r>
          </w:p>
        </w:tc>
        <w:tc>
          <w:tcPr>
            <w:tcW w:w="6717" w:type="dxa"/>
            <w:tcBorders>
              <w:tl2br w:val="nil"/>
              <w:tr2bl w:val="nil"/>
            </w:tcBorders>
            <w:vAlign w:val="center"/>
          </w:tcPr>
          <w:p>
            <w:pPr>
              <w:rPr>
                <w:rFonts w:ascii="宋体" w:hAnsi="宋体" w:cs="宋体"/>
                <w:szCs w:val="21"/>
              </w:rPr>
            </w:pPr>
            <w:r>
              <w:rPr>
                <w:rFonts w:hint="eastAsia" w:ascii="宋体" w:hAnsi="宋体" w:cs="宋体"/>
                <w:kern w:val="0"/>
                <w:szCs w:val="21"/>
              </w:rPr>
              <w:t>供应商针对本项目制定售后服务方案，至少包含：服务内容、服务流程、响应时间等方面进行综合评分。方案合理可行、具有针对性及可操作性的计5分；缺漏项或不合理的每处扣1分，扣完为止；未提供方案的，不计分。</w:t>
            </w:r>
            <w:r>
              <w:rPr>
                <w:rFonts w:hint="eastAsia" w:ascii="宋体" w:hAnsi="宋体" w:cs="宋体"/>
                <w:color w:val="000000"/>
                <w:kern w:val="0"/>
              </w:rPr>
              <w:t>提供制造厂商售后服务承诺函(加盖制造商有效印章</w:t>
            </w:r>
            <w:r>
              <w:rPr>
                <w:rFonts w:ascii="宋体" w:hAnsi="宋体" w:cs="宋体"/>
                <w:color w:val="000000"/>
                <w:kern w:val="0"/>
              </w:rPr>
              <w:t>)</w:t>
            </w:r>
            <w:r>
              <w:rPr>
                <w:rFonts w:hint="eastAsia" w:ascii="宋体" w:hAnsi="宋体" w:cs="宋体"/>
                <w:kern w:val="0"/>
                <w:szCs w:val="21"/>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50" w:type="dxa"/>
            <w:tcBorders>
              <w:tl2br w:val="nil"/>
              <w:tr2bl w:val="nil"/>
            </w:tcBorders>
            <w:vAlign w:val="center"/>
          </w:tcPr>
          <w:p>
            <w:pPr>
              <w:jc w:val="center"/>
              <w:rPr>
                <w:rFonts w:ascii="宋体" w:hAnsi="宋体" w:cs="宋体"/>
                <w:szCs w:val="21"/>
              </w:rPr>
            </w:pPr>
            <w:r>
              <w:rPr>
                <w:rFonts w:hint="eastAsia" w:ascii="宋体" w:hAnsi="宋体" w:cs="宋体"/>
                <w:szCs w:val="21"/>
              </w:rPr>
              <w:t>合计</w:t>
            </w:r>
          </w:p>
        </w:tc>
        <w:tc>
          <w:tcPr>
            <w:tcW w:w="1808" w:type="dxa"/>
            <w:gridSpan w:val="2"/>
            <w:tcBorders>
              <w:tl2br w:val="nil"/>
              <w:tr2bl w:val="nil"/>
            </w:tcBorders>
          </w:tcPr>
          <w:p>
            <w:pPr>
              <w:jc w:val="center"/>
              <w:rPr>
                <w:rFonts w:ascii="宋体" w:hAnsi="宋体" w:cs="宋体"/>
                <w:szCs w:val="21"/>
              </w:rPr>
            </w:pPr>
            <w:r>
              <w:rPr>
                <w:rFonts w:hint="eastAsia" w:ascii="宋体" w:hAnsi="宋体" w:cs="宋体"/>
                <w:szCs w:val="21"/>
              </w:rPr>
              <w:t>100分</w:t>
            </w:r>
          </w:p>
        </w:tc>
        <w:tc>
          <w:tcPr>
            <w:tcW w:w="6717" w:type="dxa"/>
            <w:tcBorders>
              <w:tl2br w:val="nil"/>
              <w:tr2bl w:val="nil"/>
            </w:tcBorders>
            <w:vAlign w:val="center"/>
          </w:tcPr>
          <w:p>
            <w:pPr>
              <w:rPr>
                <w:rFonts w:ascii="宋体" w:hAnsi="宋体" w:cs="宋体"/>
                <w:szCs w:val="21"/>
              </w:rPr>
            </w:pPr>
          </w:p>
        </w:tc>
      </w:tr>
    </w:tbl>
    <w:p>
      <w:pPr>
        <w:spacing w:line="360" w:lineRule="auto"/>
        <w:rPr>
          <w:rFonts w:ascii="黑体" w:hAnsi="黑体" w:eastAsia="黑体" w:cs="仿宋"/>
          <w:b/>
          <w:color w:val="000000"/>
          <w:kern w:val="0"/>
          <w:sz w:val="36"/>
          <w:szCs w:val="36"/>
        </w:rPr>
      </w:pPr>
    </w:p>
    <w:p>
      <w:pPr>
        <w:pStyle w:val="81"/>
        <w:spacing w:line="360" w:lineRule="auto"/>
        <w:ind w:left="420" w:firstLine="0" w:firstLineChars="0"/>
        <w:jc w:val="center"/>
        <w:outlineLvl w:val="0"/>
        <w:rPr>
          <w:rFonts w:ascii="黑体" w:hAnsi="黑体" w:eastAsia="黑体" w:cs="仿宋"/>
          <w:b/>
          <w:color w:val="000000"/>
          <w:sz w:val="36"/>
          <w:szCs w:val="36"/>
        </w:rPr>
      </w:pPr>
      <w:bookmarkStart w:id="48" w:name="_Toc106039357"/>
      <w:r>
        <w:rPr>
          <w:rFonts w:hint="eastAsia" w:ascii="黑体" w:hAnsi="黑体" w:eastAsia="黑体" w:cs="仿宋"/>
          <w:b/>
          <w:color w:val="000000"/>
          <w:sz w:val="36"/>
          <w:szCs w:val="36"/>
        </w:rPr>
        <w:t>第四章  合同条款及格式</w:t>
      </w:r>
      <w:bookmarkEnd w:id="48"/>
    </w:p>
    <w:p>
      <w:pPr>
        <w:spacing w:line="360" w:lineRule="auto"/>
        <w:ind w:firstLine="544" w:firstLineChars="227"/>
        <w:jc w:val="both"/>
        <w:rPr>
          <w:rFonts w:cs="仿宋" w:asciiTheme="minorEastAsia" w:hAnsiTheme="minorEastAsia" w:eastAsiaTheme="minorEastAsia"/>
          <w:sz w:val="24"/>
        </w:rPr>
      </w:pPr>
    </w:p>
    <w:p>
      <w:pPr>
        <w:pStyle w:val="4"/>
        <w:spacing w:line="360" w:lineRule="auto"/>
        <w:jc w:val="center"/>
      </w:pPr>
      <w:bookmarkStart w:id="49" w:name="_Toc32056"/>
      <w:bookmarkStart w:id="50" w:name="_Toc246997080"/>
      <w:bookmarkStart w:id="51" w:name="_Toc152045768"/>
      <w:bookmarkStart w:id="52" w:name="_Toc247085852"/>
      <w:bookmarkStart w:id="53" w:name="_Toc144974827"/>
      <w:bookmarkStart w:id="54" w:name="_Toc152042547"/>
      <w:bookmarkStart w:id="55" w:name="_Toc179632786"/>
      <w:bookmarkStart w:id="56" w:name="_Toc246996337"/>
      <w:r>
        <w:rPr>
          <w:rFonts w:hint="eastAsia"/>
        </w:rPr>
        <w:t>一、正  文</w:t>
      </w:r>
    </w:p>
    <w:p>
      <w:pPr>
        <w:spacing w:line="360" w:lineRule="auto"/>
        <w:ind w:firstLine="482" w:firstLineChars="200"/>
        <w:jc w:val="both"/>
        <w:rPr>
          <w:rFonts w:ascii="宋体" w:hAnsi="宋体"/>
          <w:b/>
          <w:sz w:val="24"/>
        </w:rPr>
      </w:pPr>
      <w:r>
        <w:rPr>
          <w:rFonts w:hint="eastAsia" w:ascii="宋体" w:hAnsi="宋体"/>
          <w:b/>
          <w:sz w:val="24"/>
        </w:rPr>
        <w:t xml:space="preserve">第一条 </w:t>
      </w:r>
      <w:r>
        <w:rPr>
          <w:rFonts w:ascii="宋体" w:hAnsi="宋体"/>
          <w:b/>
          <w:sz w:val="24"/>
        </w:rPr>
        <w:t xml:space="preserve"> </w:t>
      </w:r>
      <w:r>
        <w:rPr>
          <w:rFonts w:hint="eastAsia" w:ascii="宋体" w:hAnsi="宋体"/>
          <w:b/>
          <w:sz w:val="24"/>
        </w:rPr>
        <w:t>采购产品清单</w:t>
      </w:r>
    </w:p>
    <w:p>
      <w:pPr>
        <w:spacing w:line="360" w:lineRule="auto"/>
        <w:ind w:firstLine="480" w:firstLineChars="200"/>
        <w:jc w:val="both"/>
        <w:rPr>
          <w:rFonts w:ascii="宋体" w:hAnsi="宋体"/>
          <w:sz w:val="24"/>
        </w:rPr>
      </w:pPr>
      <w:r>
        <w:rPr>
          <w:rFonts w:hint="eastAsia" w:ascii="宋体" w:hAnsi="宋体"/>
          <w:sz w:val="24"/>
        </w:rPr>
        <w:t>详见第六章“四、报价表”</w:t>
      </w:r>
    </w:p>
    <w:p>
      <w:pPr>
        <w:spacing w:line="360" w:lineRule="auto"/>
        <w:ind w:firstLine="482" w:firstLineChars="200"/>
        <w:jc w:val="both"/>
        <w:rPr>
          <w:rFonts w:ascii="宋体" w:hAnsi="宋体"/>
          <w:b/>
          <w:sz w:val="24"/>
        </w:rPr>
      </w:pPr>
      <w:r>
        <w:rPr>
          <w:rFonts w:hint="eastAsia" w:ascii="宋体" w:hAnsi="宋体"/>
          <w:b/>
          <w:sz w:val="24"/>
        </w:rPr>
        <w:t>第二条  产品交付</w:t>
      </w:r>
    </w:p>
    <w:p>
      <w:pPr>
        <w:spacing w:line="360" w:lineRule="auto"/>
        <w:ind w:firstLine="480" w:firstLineChars="200"/>
        <w:jc w:val="both"/>
        <w:rPr>
          <w:rFonts w:ascii="宋体" w:hAnsi="宋体"/>
          <w:sz w:val="24"/>
        </w:rPr>
      </w:pPr>
      <w:r>
        <w:rPr>
          <w:rFonts w:hint="eastAsia" w:ascii="宋体" w:hAnsi="宋体"/>
          <w:sz w:val="24"/>
        </w:rPr>
        <w:t>1.合同交货期为合同签订后30个日历日内到，由卖方将货物运至买方指定地点。</w:t>
      </w:r>
    </w:p>
    <w:p>
      <w:pPr>
        <w:spacing w:line="360" w:lineRule="auto"/>
        <w:ind w:firstLine="480" w:firstLineChars="200"/>
        <w:jc w:val="both"/>
        <w:rPr>
          <w:rFonts w:ascii="宋体" w:hAnsi="宋体"/>
          <w:sz w:val="24"/>
        </w:rPr>
      </w:pPr>
      <w:r>
        <w:rPr>
          <w:rFonts w:hint="eastAsia" w:ascii="宋体" w:hAnsi="宋体"/>
          <w:sz w:val="24"/>
        </w:rPr>
        <w:t>2.交货地点：长沙集星集装箱码头有限公司</w:t>
      </w:r>
    </w:p>
    <w:p>
      <w:pPr>
        <w:spacing w:line="360" w:lineRule="auto"/>
        <w:ind w:firstLine="480" w:firstLineChars="200"/>
        <w:jc w:val="both"/>
        <w:rPr>
          <w:rFonts w:ascii="宋体" w:hAnsi="宋体"/>
          <w:sz w:val="24"/>
        </w:rPr>
      </w:pPr>
      <w:r>
        <w:rPr>
          <w:rFonts w:hint="eastAsia" w:ascii="宋体" w:hAnsi="宋体"/>
          <w:sz w:val="24"/>
        </w:rPr>
        <w:t>3.包装方式：卖方应当严格执行现行包装标准,确保设备无任何损毁瑕疵，包装费用由卖方承担。</w:t>
      </w:r>
    </w:p>
    <w:p>
      <w:pPr>
        <w:spacing w:line="360" w:lineRule="auto"/>
        <w:ind w:firstLine="480" w:firstLineChars="200"/>
        <w:jc w:val="both"/>
        <w:rPr>
          <w:rFonts w:ascii="宋体" w:hAnsi="宋体"/>
          <w:sz w:val="24"/>
        </w:rPr>
      </w:pPr>
      <w:r>
        <w:rPr>
          <w:rFonts w:hint="eastAsia" w:ascii="宋体" w:hAnsi="宋体"/>
          <w:sz w:val="24"/>
        </w:rPr>
        <w:t xml:space="preserve">4.产品在运送至买方指定地点并经买方验收合格之前的毁损、灭失的风险由卖方承担。   </w:t>
      </w:r>
    </w:p>
    <w:p>
      <w:pPr>
        <w:spacing w:line="360" w:lineRule="auto"/>
        <w:ind w:firstLine="480" w:firstLineChars="200"/>
        <w:jc w:val="both"/>
        <w:rPr>
          <w:rFonts w:ascii="宋体" w:hAnsi="宋体"/>
          <w:sz w:val="24"/>
        </w:rPr>
      </w:pPr>
      <w:r>
        <w:rPr>
          <w:rFonts w:hint="eastAsia" w:ascii="宋体" w:hAnsi="宋体"/>
          <w:sz w:val="24"/>
        </w:rPr>
        <w:t>5.交付:产品运送至买方指定地点，买方接收后并经买方查验合格，视为卖方已交付。</w:t>
      </w:r>
    </w:p>
    <w:p>
      <w:pPr>
        <w:spacing w:line="360" w:lineRule="auto"/>
        <w:ind w:firstLine="482" w:firstLineChars="200"/>
        <w:jc w:val="both"/>
        <w:rPr>
          <w:rFonts w:ascii="宋体" w:hAnsi="宋体"/>
          <w:b/>
          <w:sz w:val="24"/>
        </w:rPr>
      </w:pPr>
      <w:r>
        <w:rPr>
          <w:rFonts w:hint="eastAsia" w:ascii="宋体" w:hAnsi="宋体"/>
          <w:b/>
          <w:sz w:val="24"/>
        </w:rPr>
        <w:t>第三条  产品质量异议及保修</w:t>
      </w:r>
    </w:p>
    <w:p>
      <w:pPr>
        <w:spacing w:line="360" w:lineRule="auto"/>
        <w:ind w:firstLine="480" w:firstLineChars="200"/>
        <w:jc w:val="both"/>
        <w:rPr>
          <w:rFonts w:ascii="宋体" w:hAnsi="宋体"/>
          <w:sz w:val="24"/>
        </w:rPr>
      </w:pPr>
      <w:r>
        <w:rPr>
          <w:rFonts w:hint="eastAsia" w:ascii="宋体" w:hAnsi="宋体"/>
          <w:sz w:val="24"/>
        </w:rPr>
        <w:t>1.卖方应保证合同项下所供货物是合同签订之后生产的、全新、未使用过的；</w:t>
      </w:r>
    </w:p>
    <w:p>
      <w:pPr>
        <w:spacing w:line="360" w:lineRule="auto"/>
        <w:ind w:firstLine="480" w:firstLineChars="200"/>
        <w:jc w:val="both"/>
        <w:rPr>
          <w:rFonts w:ascii="宋体" w:hAnsi="宋体"/>
          <w:sz w:val="24"/>
        </w:rPr>
      </w:pPr>
      <w:r>
        <w:rPr>
          <w:rFonts w:hint="eastAsia" w:ascii="宋体" w:hAnsi="宋体"/>
          <w:sz w:val="24"/>
        </w:rPr>
        <w:t>2.对除上述货品表面情况及数量外的其他质量异议，买方应在产品验收合格之日起7日内以书面形式向卖方提出，经卖方查验属实的，负担退换货责任。</w:t>
      </w:r>
    </w:p>
    <w:p>
      <w:pPr>
        <w:spacing w:line="360" w:lineRule="auto"/>
        <w:ind w:firstLine="480" w:firstLineChars="200"/>
        <w:jc w:val="both"/>
        <w:rPr>
          <w:rFonts w:ascii="宋体" w:hAnsi="宋体"/>
          <w:sz w:val="24"/>
        </w:rPr>
      </w:pPr>
      <w:r>
        <w:rPr>
          <w:rFonts w:hint="eastAsia" w:ascii="宋体" w:hAnsi="宋体"/>
          <w:sz w:val="24"/>
        </w:rPr>
        <w:t>3.卖方承诺，自买方验收产品合格后的一年内，除使用不当所造成的损坏以外的影响产品正常使用的质量问题，卖方应在收到买方通知后_2_日内免费负责修复或更换，所造成的损失由卖方承担。</w:t>
      </w:r>
    </w:p>
    <w:p>
      <w:pPr>
        <w:spacing w:line="360" w:lineRule="auto"/>
        <w:ind w:firstLine="482" w:firstLineChars="200"/>
        <w:jc w:val="both"/>
        <w:rPr>
          <w:rFonts w:ascii="宋体" w:hAnsi="宋体"/>
          <w:b/>
          <w:sz w:val="24"/>
        </w:rPr>
      </w:pPr>
      <w:r>
        <w:rPr>
          <w:rFonts w:hint="eastAsia" w:ascii="宋体" w:hAnsi="宋体"/>
          <w:b/>
          <w:sz w:val="24"/>
        </w:rPr>
        <w:t>第四条  支付</w:t>
      </w:r>
    </w:p>
    <w:p>
      <w:pPr>
        <w:spacing w:line="360" w:lineRule="auto"/>
        <w:ind w:firstLine="480" w:firstLineChars="200"/>
        <w:rPr>
          <w:rFonts w:ascii="宋体" w:hAnsi="宋体"/>
          <w:sz w:val="24"/>
          <w:u w:val="single"/>
        </w:rPr>
      </w:pPr>
      <w:r>
        <w:rPr>
          <w:rFonts w:ascii="宋体" w:hAnsi="宋体"/>
          <w:sz w:val="24"/>
        </w:rPr>
        <w:t>1.支付方式：</w:t>
      </w:r>
      <w:r>
        <w:rPr>
          <w:rFonts w:hint="eastAsia" w:ascii="宋体" w:hAnsi="宋体"/>
          <w:sz w:val="24"/>
          <w:u w:val="single"/>
        </w:rPr>
        <w:t>采购人分阶段支付。</w:t>
      </w:r>
    </w:p>
    <w:p>
      <w:pPr>
        <w:spacing w:line="360" w:lineRule="auto"/>
        <w:ind w:firstLine="480" w:firstLineChars="200"/>
        <w:rPr>
          <w:rFonts w:ascii="宋体" w:hAnsi="宋体"/>
          <w:sz w:val="24"/>
          <w:u w:val="single"/>
        </w:rPr>
      </w:pPr>
      <w:r>
        <w:rPr>
          <w:rFonts w:hint="eastAsia" w:ascii="宋体" w:hAnsi="宋体"/>
          <w:sz w:val="24"/>
          <w:u w:val="single"/>
        </w:rPr>
        <w:t>a、签订合同后，预付30%预付款，到货并验收合格后支付65%验收款。</w:t>
      </w:r>
    </w:p>
    <w:p>
      <w:pPr>
        <w:spacing w:line="360" w:lineRule="auto"/>
        <w:ind w:firstLine="480" w:firstLineChars="200"/>
        <w:rPr>
          <w:rFonts w:ascii="宋体" w:hAnsi="宋体"/>
          <w:sz w:val="24"/>
          <w:u w:val="single"/>
        </w:rPr>
      </w:pPr>
      <w:r>
        <w:rPr>
          <w:rFonts w:hint="eastAsia" w:ascii="宋体" w:hAnsi="宋体"/>
          <w:sz w:val="24"/>
          <w:u w:val="single"/>
        </w:rPr>
        <w:t>b、产品验收合格后满一年后支付合同总价的5%质保金。</w:t>
      </w:r>
    </w:p>
    <w:p>
      <w:pPr>
        <w:spacing w:line="360" w:lineRule="auto"/>
        <w:ind w:firstLine="480" w:firstLineChars="200"/>
        <w:rPr>
          <w:rFonts w:ascii="宋体" w:hAnsi="宋体"/>
          <w:sz w:val="24"/>
        </w:rPr>
      </w:pPr>
      <w:r>
        <w:rPr>
          <w:rFonts w:hint="eastAsia" w:ascii="宋体" w:hAnsi="宋体"/>
          <w:sz w:val="24"/>
          <w:u w:val="single"/>
        </w:rPr>
        <w:t>支付前，供应商需向采购人提供等额增值税（专用）发票，否则采购人有权拒绝支付。</w:t>
      </w:r>
    </w:p>
    <w:p>
      <w:pPr>
        <w:spacing w:line="360" w:lineRule="auto"/>
        <w:ind w:firstLine="482" w:firstLineChars="200"/>
        <w:jc w:val="both"/>
        <w:rPr>
          <w:rFonts w:ascii="宋体" w:hAnsi="宋体"/>
          <w:b/>
          <w:sz w:val="24"/>
        </w:rPr>
      </w:pPr>
      <w:r>
        <w:rPr>
          <w:rFonts w:hint="eastAsia" w:ascii="宋体" w:hAnsi="宋体"/>
          <w:b/>
          <w:sz w:val="24"/>
        </w:rPr>
        <w:t>第五条  违约责任</w:t>
      </w:r>
    </w:p>
    <w:p>
      <w:pPr>
        <w:spacing w:line="360" w:lineRule="auto"/>
        <w:ind w:firstLine="480" w:firstLineChars="200"/>
        <w:jc w:val="both"/>
        <w:rPr>
          <w:rFonts w:ascii="宋体" w:hAnsi="宋体"/>
          <w:sz w:val="24"/>
        </w:rPr>
      </w:pPr>
      <w:r>
        <w:rPr>
          <w:rFonts w:hint="eastAsia" w:ascii="宋体" w:hAnsi="宋体"/>
          <w:sz w:val="24"/>
        </w:rPr>
        <w:t>1.供应商超过合同约定交货日期按逾期交货处理，违约金按逾期交货部分货款的</w:t>
      </w:r>
      <w:r>
        <w:rPr>
          <w:rFonts w:hint="eastAsia" w:ascii="宋体" w:hAnsi="宋体"/>
          <w:sz w:val="24"/>
          <w:u w:val="single"/>
        </w:rPr>
        <w:t xml:space="preserve">  1 %</w:t>
      </w:r>
      <w:r>
        <w:rPr>
          <w:rFonts w:hint="eastAsia" w:ascii="宋体" w:hAnsi="宋体"/>
          <w:sz w:val="24"/>
        </w:rPr>
        <w:t>/日向买方赔付。逾期交货超过10日的，采购人有权解除合同，采购人已付款项，供应商予以退还，并按合同总额的20%向买方承担违约金，违约金不足以弥补买方损失的，采购人有权继续追偿。</w:t>
      </w:r>
    </w:p>
    <w:p>
      <w:pPr>
        <w:spacing w:line="360" w:lineRule="auto"/>
        <w:ind w:firstLine="480" w:firstLineChars="200"/>
        <w:jc w:val="both"/>
        <w:rPr>
          <w:rFonts w:ascii="宋体" w:hAnsi="宋体"/>
          <w:sz w:val="24"/>
        </w:rPr>
      </w:pPr>
      <w:r>
        <w:rPr>
          <w:rFonts w:hint="eastAsia" w:ascii="宋体" w:hAnsi="宋体"/>
          <w:sz w:val="24"/>
        </w:rPr>
        <w:t>2.供应商明确表示或者以自己的行为表明不能交货的，违约金按不能交货部分货款的</w:t>
      </w:r>
      <w:r>
        <w:rPr>
          <w:rFonts w:hint="eastAsia" w:ascii="宋体" w:hAnsi="宋体"/>
          <w:sz w:val="24"/>
          <w:u w:val="single"/>
        </w:rPr>
        <w:t xml:space="preserve"> 5 </w:t>
      </w:r>
      <w:r>
        <w:rPr>
          <w:rFonts w:hint="eastAsia" w:ascii="宋体" w:hAnsi="宋体"/>
          <w:sz w:val="24"/>
        </w:rPr>
        <w:t>%向买方赔付，并承担采购人因此所受的损失费用。</w:t>
      </w:r>
    </w:p>
    <w:p>
      <w:pPr>
        <w:spacing w:line="360" w:lineRule="auto"/>
        <w:ind w:firstLine="480" w:firstLineChars="200"/>
        <w:jc w:val="both"/>
        <w:rPr>
          <w:rFonts w:ascii="宋体" w:hAnsi="宋体"/>
          <w:sz w:val="24"/>
        </w:rPr>
      </w:pPr>
      <w:r>
        <w:rPr>
          <w:rFonts w:hint="eastAsia" w:ascii="宋体" w:hAnsi="宋体"/>
          <w:sz w:val="24"/>
        </w:rPr>
        <w:t>3.供应商所交产品不符合合同规定的，由供应商按照采购人要求负责包换或维修，并承担调换或退货支付的实际费用，供应商不能修理或调换，按不能交货处理。采购人另行向第三方购买产品所导致的损失由卖方承担。</w:t>
      </w:r>
    </w:p>
    <w:p>
      <w:pPr>
        <w:spacing w:line="360" w:lineRule="auto"/>
        <w:ind w:firstLine="480" w:firstLineChars="200"/>
        <w:jc w:val="both"/>
        <w:rPr>
          <w:rFonts w:ascii="宋体" w:hAnsi="宋体"/>
          <w:sz w:val="24"/>
        </w:rPr>
      </w:pPr>
      <w:r>
        <w:rPr>
          <w:rFonts w:hint="eastAsia" w:ascii="宋体" w:hAnsi="宋体"/>
          <w:sz w:val="24"/>
        </w:rPr>
        <w:t>4.供应商如提供冒牌产品，一经确认，采购人有权取消卖方供货资格，供应商按照合同总价的3倍向采购人赔偿，并承担采购人因此遭受的所有损失。同时追究供应商相关法律责任。</w:t>
      </w:r>
    </w:p>
    <w:p>
      <w:pPr>
        <w:spacing w:line="360" w:lineRule="auto"/>
        <w:ind w:firstLine="482" w:firstLineChars="200"/>
        <w:jc w:val="both"/>
        <w:rPr>
          <w:rFonts w:ascii="宋体" w:hAnsi="宋体"/>
          <w:b/>
          <w:sz w:val="24"/>
        </w:rPr>
      </w:pPr>
      <w:r>
        <w:rPr>
          <w:rFonts w:hint="eastAsia" w:ascii="宋体" w:hAnsi="宋体"/>
          <w:b/>
          <w:sz w:val="24"/>
        </w:rPr>
        <w:t>第六条  争议解决</w:t>
      </w:r>
    </w:p>
    <w:p>
      <w:pPr>
        <w:spacing w:line="360" w:lineRule="auto"/>
        <w:ind w:firstLine="480" w:firstLineChars="200"/>
        <w:rPr>
          <w:rFonts w:ascii="宋体" w:hAnsi="宋体"/>
          <w:sz w:val="24"/>
        </w:rPr>
      </w:pPr>
      <w:r>
        <w:rPr>
          <w:rFonts w:hint="eastAsia" w:ascii="宋体" w:hAnsi="宋体"/>
          <w:sz w:val="24"/>
        </w:rPr>
        <w:t>本款约定为：争议的最终解决方式：</w:t>
      </w:r>
      <w:r>
        <w:rPr>
          <w:rFonts w:hint="eastAsia" w:ascii="MS Mincho" w:hAnsi="MS Mincho" w:cs="MS Mincho"/>
          <w:sz w:val="24"/>
          <w:u w:val="single"/>
        </w:rPr>
        <w:t>□</w:t>
      </w:r>
      <w:r>
        <w:rPr>
          <w:rFonts w:hint="eastAsia" w:ascii="宋体" w:hAnsi="宋体"/>
          <w:sz w:val="24"/>
          <w:u w:val="single"/>
        </w:rPr>
        <w:t>仲裁/</w:t>
      </w:r>
      <w:r>
        <w:rPr>
          <w:rFonts w:hint="eastAsia" w:ascii="宋体" w:hAnsi="宋体"/>
          <w:sz w:val="24"/>
          <w:u w:val="single"/>
        </w:rPr>
        <w:sym w:font="Wingdings 2" w:char="0052"/>
      </w:r>
      <w:r>
        <w:rPr>
          <w:rFonts w:hint="eastAsia" w:ascii="宋体" w:hAnsi="宋体"/>
          <w:sz w:val="24"/>
          <w:u w:val="single"/>
        </w:rPr>
        <w:t>诉讼</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如采用仲裁，仲裁机构名称：</w:t>
      </w:r>
      <w:r>
        <w:rPr>
          <w:rFonts w:hint="eastAsia" w:ascii="宋体" w:hAnsi="宋体"/>
          <w:sz w:val="24"/>
          <w:u w:val="single"/>
        </w:rPr>
        <w:t>长沙市仲裁委员会</w:t>
      </w:r>
      <w:r>
        <w:rPr>
          <w:rFonts w:hint="eastAsia" w:ascii="宋体" w:hAnsi="宋体"/>
          <w:sz w:val="24"/>
        </w:rPr>
        <w:t>。</w:t>
      </w:r>
    </w:p>
    <w:p>
      <w:pPr>
        <w:spacing w:line="360" w:lineRule="auto"/>
        <w:ind w:firstLine="480" w:firstLineChars="200"/>
        <w:rPr>
          <w:sz w:val="24"/>
        </w:rPr>
      </w:pPr>
      <w:r>
        <w:rPr>
          <w:rFonts w:hint="eastAsia" w:ascii="宋体" w:hAnsi="宋体"/>
          <w:sz w:val="24"/>
        </w:rPr>
        <w:t>如果用诉讼，诉讼机构名称：</w:t>
      </w:r>
      <w:r>
        <w:rPr>
          <w:rFonts w:hint="eastAsia" w:ascii="宋体" w:hAnsi="宋体"/>
          <w:sz w:val="24"/>
          <w:u w:val="single"/>
        </w:rPr>
        <w:t xml:space="preserve"> 长沙市开福区 </w:t>
      </w:r>
      <w:r>
        <w:rPr>
          <w:rFonts w:hint="eastAsia" w:ascii="宋体" w:hAnsi="宋体"/>
          <w:sz w:val="24"/>
        </w:rPr>
        <w:t>人民法院。</w:t>
      </w:r>
    </w:p>
    <w:p>
      <w:pPr>
        <w:spacing w:line="360" w:lineRule="auto"/>
        <w:rPr>
          <w:rFonts w:ascii="宋体" w:hAnsi="宋体"/>
          <w:b/>
          <w:bCs/>
          <w:kern w:val="0"/>
          <w:sz w:val="24"/>
        </w:rPr>
      </w:pPr>
      <w:r>
        <w:rPr>
          <w:sz w:val="24"/>
        </w:rPr>
        <w:br w:type="page"/>
      </w:r>
    </w:p>
    <w:p>
      <w:pPr>
        <w:pStyle w:val="4"/>
        <w:spacing w:line="360" w:lineRule="auto"/>
      </w:pPr>
      <w:bookmarkStart w:id="57" w:name="_Toc106039358"/>
      <w:r>
        <w:rPr>
          <w:rFonts w:hint="eastAsia"/>
        </w:rPr>
        <w:t>二、附件（中标后填写）</w:t>
      </w:r>
      <w:bookmarkEnd w:id="49"/>
      <w:bookmarkEnd w:id="57"/>
    </w:p>
    <w:p>
      <w:pPr>
        <w:pStyle w:val="5"/>
        <w:spacing w:line="360" w:lineRule="auto"/>
      </w:pPr>
      <w:bookmarkStart w:id="58" w:name="_Toc4098"/>
      <w:bookmarkStart w:id="59" w:name="_Toc106039359"/>
      <w:r>
        <w:rPr>
          <w:rFonts w:hint="eastAsia"/>
        </w:rPr>
        <w:t>附件一：合同协议书</w:t>
      </w:r>
      <w:bookmarkEnd w:id="50"/>
      <w:bookmarkEnd w:id="51"/>
      <w:bookmarkEnd w:id="52"/>
      <w:bookmarkEnd w:id="53"/>
      <w:bookmarkEnd w:id="54"/>
      <w:bookmarkEnd w:id="55"/>
      <w:bookmarkEnd w:id="56"/>
      <w:bookmarkEnd w:id="58"/>
      <w:bookmarkEnd w:id="59"/>
    </w:p>
    <w:p>
      <w:pPr>
        <w:spacing w:line="360" w:lineRule="auto"/>
        <w:jc w:val="center"/>
        <w:rPr>
          <w:rFonts w:ascii="黑体" w:hAnsi="黑体" w:eastAsia="黑体"/>
          <w:b/>
          <w:color w:val="000000"/>
          <w:kern w:val="0"/>
          <w:sz w:val="32"/>
          <w:szCs w:val="32"/>
        </w:rPr>
      </w:pPr>
      <w:r>
        <w:rPr>
          <w:rFonts w:ascii="黑体" w:hAnsi="黑体" w:eastAsia="黑体"/>
          <w:b/>
          <w:color w:val="000000"/>
          <w:kern w:val="0"/>
          <w:sz w:val="32"/>
          <w:szCs w:val="32"/>
        </w:rPr>
        <w:t>合同协议书</w:t>
      </w:r>
    </w:p>
    <w:p>
      <w:pPr>
        <w:spacing w:line="360" w:lineRule="auto"/>
        <w:ind w:firstLine="480" w:firstLineChars="200"/>
        <w:rPr>
          <w:sz w:val="24"/>
        </w:rPr>
      </w:pPr>
    </w:p>
    <w:p>
      <w:pPr>
        <w:spacing w:line="360" w:lineRule="auto"/>
        <w:ind w:firstLine="480" w:firstLineChars="200"/>
        <w:rPr>
          <w:sz w:val="24"/>
        </w:rPr>
      </w:pPr>
      <w:r>
        <w:rPr>
          <w:sz w:val="24"/>
        </w:rPr>
        <w:t>（</w:t>
      </w:r>
      <w:r>
        <w:rPr>
          <w:rFonts w:hint="eastAsia"/>
          <w:sz w:val="24"/>
        </w:rPr>
        <w:t>采购人</w:t>
      </w:r>
      <w:r>
        <w:rPr>
          <w:sz w:val="24"/>
        </w:rPr>
        <w:t>名称，以下简称“发包人”）为实施（项目名称）</w:t>
      </w:r>
      <w:r>
        <w:rPr>
          <w:rFonts w:hint="eastAsia" w:ascii="宋体" w:hAnsi="宋体"/>
          <w:sz w:val="24"/>
          <w:u w:val="single"/>
        </w:rPr>
        <w:t>长沙集星集装箱码头有限公司网络边界加固项目采购</w:t>
      </w:r>
      <w:r>
        <w:rPr>
          <w:sz w:val="24"/>
        </w:rPr>
        <w:t>，已接受（</w:t>
      </w:r>
      <w:r>
        <w:rPr>
          <w:rFonts w:hint="eastAsia"/>
          <w:sz w:val="24"/>
        </w:rPr>
        <w:t>供应商</w:t>
      </w:r>
      <w:r>
        <w:rPr>
          <w:sz w:val="24"/>
        </w:rPr>
        <w:t>名称，以下简称“</w:t>
      </w:r>
      <w:r>
        <w:rPr>
          <w:rFonts w:hint="eastAsia"/>
          <w:sz w:val="24"/>
        </w:rPr>
        <w:t>供应商</w:t>
      </w:r>
      <w:r>
        <w:rPr>
          <w:sz w:val="24"/>
        </w:rPr>
        <w:t>”）对该项目</w:t>
      </w:r>
      <w:r>
        <w:rPr>
          <w:rFonts w:hint="eastAsia"/>
          <w:sz w:val="24"/>
        </w:rPr>
        <w:t>的</w:t>
      </w:r>
      <w:r>
        <w:rPr>
          <w:sz w:val="24"/>
        </w:rPr>
        <w:t>投标。</w:t>
      </w:r>
      <w:r>
        <w:rPr>
          <w:rFonts w:hint="eastAsia"/>
          <w:sz w:val="24"/>
        </w:rPr>
        <w:t>采购人</w:t>
      </w:r>
      <w:r>
        <w:rPr>
          <w:sz w:val="24"/>
        </w:rPr>
        <w:t>和</w:t>
      </w:r>
      <w:r>
        <w:rPr>
          <w:rFonts w:hint="eastAsia"/>
          <w:sz w:val="24"/>
        </w:rPr>
        <w:t>供应商</w:t>
      </w:r>
      <w:r>
        <w:rPr>
          <w:sz w:val="24"/>
        </w:rPr>
        <w:t>共同达成如下协议。</w:t>
      </w:r>
    </w:p>
    <w:p>
      <w:pPr>
        <w:spacing w:line="360" w:lineRule="auto"/>
        <w:ind w:firstLine="480" w:firstLineChars="200"/>
        <w:rPr>
          <w:sz w:val="24"/>
        </w:rPr>
      </w:pPr>
      <w:bookmarkStart w:id="60" w:name="_Toc144974828"/>
      <w:bookmarkStart w:id="61" w:name="_Toc152042548"/>
      <w:r>
        <w:rPr>
          <w:sz w:val="24"/>
        </w:rPr>
        <w:t>1</w:t>
      </w:r>
      <w:r>
        <w:rPr>
          <w:rFonts w:hint="eastAsia"/>
          <w:sz w:val="24"/>
        </w:rPr>
        <w:t>．下列文件应被视为构成并作为阅读和理解本协议书的组成部分，即</w:t>
      </w:r>
      <w:r>
        <w:rPr>
          <w:sz w:val="24"/>
        </w:rPr>
        <w:t>：</w:t>
      </w:r>
      <w:bookmarkEnd w:id="60"/>
      <w:bookmarkEnd w:id="61"/>
    </w:p>
    <w:p>
      <w:pPr>
        <w:spacing w:line="360" w:lineRule="auto"/>
        <w:ind w:firstLine="480" w:firstLineChars="200"/>
        <w:rPr>
          <w:sz w:val="24"/>
        </w:rPr>
      </w:pPr>
      <w:bookmarkStart w:id="62" w:name="_Toc1224"/>
      <w:bookmarkStart w:id="63" w:name="_Toc1556"/>
      <w:r>
        <w:rPr>
          <w:rFonts w:hint="eastAsia"/>
          <w:sz w:val="24"/>
        </w:rPr>
        <w:t>（</w:t>
      </w:r>
      <w:r>
        <w:rPr>
          <w:sz w:val="24"/>
        </w:rPr>
        <w:t>1</w:t>
      </w:r>
      <w:r>
        <w:rPr>
          <w:rFonts w:hint="eastAsia"/>
          <w:sz w:val="24"/>
        </w:rPr>
        <w:t>）在合同履行期间，采购人</w:t>
      </w:r>
      <w:r>
        <w:rPr>
          <w:sz w:val="24"/>
        </w:rPr>
        <w:t>和</w:t>
      </w:r>
      <w:r>
        <w:rPr>
          <w:rFonts w:hint="eastAsia"/>
          <w:sz w:val="24"/>
        </w:rPr>
        <w:t>供应商签订的补充协议（如果有）；</w:t>
      </w:r>
      <w:bookmarkEnd w:id="62"/>
      <w:bookmarkEnd w:id="63"/>
    </w:p>
    <w:p>
      <w:pPr>
        <w:spacing w:line="360" w:lineRule="auto"/>
        <w:ind w:firstLine="480" w:firstLineChars="200"/>
        <w:rPr>
          <w:sz w:val="24"/>
        </w:rPr>
      </w:pPr>
      <w:r>
        <w:rPr>
          <w:rFonts w:hint="eastAsia"/>
          <w:sz w:val="24"/>
        </w:rPr>
        <w:t>（2）本合同协议书及合同附件（含合同谈判中澄清文件，如果有）；</w:t>
      </w:r>
    </w:p>
    <w:p>
      <w:pPr>
        <w:spacing w:line="360" w:lineRule="auto"/>
        <w:ind w:firstLine="480" w:firstLineChars="200"/>
        <w:rPr>
          <w:sz w:val="24"/>
        </w:rPr>
      </w:pPr>
      <w:r>
        <w:rPr>
          <w:rFonts w:hint="eastAsia"/>
          <w:sz w:val="24"/>
        </w:rPr>
        <w:t>（3）成交</w:t>
      </w:r>
      <w:r>
        <w:rPr>
          <w:sz w:val="24"/>
        </w:rPr>
        <w:t>通知书；</w:t>
      </w:r>
    </w:p>
    <w:p>
      <w:pPr>
        <w:spacing w:line="360" w:lineRule="auto"/>
        <w:ind w:firstLine="480" w:firstLineChars="200"/>
        <w:rPr>
          <w:sz w:val="24"/>
        </w:rPr>
      </w:pPr>
      <w:r>
        <w:rPr>
          <w:rFonts w:hint="eastAsia"/>
          <w:sz w:val="24"/>
        </w:rPr>
        <w:t>（4）响应文件；</w:t>
      </w:r>
    </w:p>
    <w:p>
      <w:pPr>
        <w:spacing w:line="360" w:lineRule="auto"/>
        <w:ind w:firstLine="480" w:firstLineChars="200"/>
        <w:rPr>
          <w:sz w:val="24"/>
        </w:rPr>
      </w:pPr>
      <w:r>
        <w:rPr>
          <w:rFonts w:hint="eastAsia"/>
          <w:sz w:val="24"/>
        </w:rPr>
        <w:t>（5）采购人要求</w:t>
      </w:r>
      <w:r>
        <w:rPr>
          <w:sz w:val="24"/>
        </w:rPr>
        <w:t>；</w:t>
      </w:r>
    </w:p>
    <w:p>
      <w:pPr>
        <w:spacing w:line="360" w:lineRule="auto"/>
        <w:ind w:firstLine="480" w:firstLineChars="200"/>
        <w:rPr>
          <w:sz w:val="24"/>
        </w:rPr>
      </w:pPr>
      <w:r>
        <w:rPr>
          <w:rFonts w:hint="eastAsia"/>
          <w:sz w:val="24"/>
        </w:rPr>
        <w:t>（6）其他合同文件；</w:t>
      </w:r>
    </w:p>
    <w:p>
      <w:pPr>
        <w:spacing w:line="360" w:lineRule="auto"/>
        <w:ind w:firstLine="480" w:firstLineChars="200"/>
        <w:rPr>
          <w:sz w:val="24"/>
        </w:rPr>
      </w:pPr>
      <w:bookmarkStart w:id="64" w:name="_Toc144974829"/>
      <w:bookmarkStart w:id="65" w:name="_Toc152042549"/>
      <w:r>
        <w:rPr>
          <w:rFonts w:hint="eastAsia"/>
          <w:sz w:val="24"/>
        </w:rPr>
        <w:t>上述文件互相补充和解释，如有不明确或不一致之处，按时间顺序以最新文件为准。</w:t>
      </w:r>
      <w:bookmarkEnd w:id="64"/>
      <w:bookmarkEnd w:id="65"/>
    </w:p>
    <w:p>
      <w:pPr>
        <w:spacing w:line="360" w:lineRule="auto"/>
        <w:ind w:firstLine="480" w:firstLineChars="200"/>
        <w:rPr>
          <w:sz w:val="24"/>
        </w:rPr>
      </w:pPr>
      <w:r>
        <w:rPr>
          <w:rFonts w:hint="eastAsia"/>
          <w:sz w:val="24"/>
        </w:rPr>
        <w:t>2．签约合同价：人民币（大写）（   ¥），已含13%增值税、运输及相应的售后服务费用。</w:t>
      </w:r>
    </w:p>
    <w:p>
      <w:pPr>
        <w:spacing w:line="360" w:lineRule="auto"/>
        <w:ind w:firstLine="480" w:firstLineChars="200"/>
        <w:rPr>
          <w:sz w:val="24"/>
        </w:rPr>
      </w:pPr>
      <w:r>
        <w:rPr>
          <w:rFonts w:hint="eastAsia"/>
          <w:sz w:val="24"/>
        </w:rPr>
        <w:t>3．供应商在此立约：保证在所有方面按合同文件的规定，承担本合同项目的实施和完成工作。</w:t>
      </w:r>
    </w:p>
    <w:p>
      <w:pPr>
        <w:spacing w:line="360" w:lineRule="auto"/>
        <w:ind w:firstLine="480" w:firstLineChars="200"/>
        <w:rPr>
          <w:sz w:val="24"/>
        </w:rPr>
      </w:pPr>
      <w:r>
        <w:rPr>
          <w:rFonts w:hint="eastAsia"/>
          <w:sz w:val="24"/>
        </w:rPr>
        <w:t>4．供货时间：同签订后20个日历日内向采购人提交货物。</w:t>
      </w:r>
    </w:p>
    <w:p>
      <w:pPr>
        <w:spacing w:line="360" w:lineRule="auto"/>
        <w:ind w:firstLine="480" w:firstLineChars="200"/>
        <w:rPr>
          <w:sz w:val="24"/>
        </w:rPr>
      </w:pPr>
      <w:r>
        <w:rPr>
          <w:rFonts w:hint="eastAsia"/>
          <w:sz w:val="24"/>
        </w:rPr>
        <w:t>5．采购人承诺按合同条款规定的时间和方式向供应商人支付合同价款。</w:t>
      </w:r>
    </w:p>
    <w:p>
      <w:pPr>
        <w:spacing w:line="360" w:lineRule="auto"/>
        <w:ind w:firstLine="480" w:firstLineChars="200"/>
        <w:rPr>
          <w:sz w:val="24"/>
        </w:rPr>
      </w:pPr>
      <w:r>
        <w:rPr>
          <w:rFonts w:hint="eastAsia"/>
          <w:sz w:val="24"/>
        </w:rPr>
        <w:t>6．违约金或赔偿损失的方式</w:t>
      </w:r>
    </w:p>
    <w:p>
      <w:pPr>
        <w:spacing w:line="360" w:lineRule="auto"/>
        <w:ind w:firstLine="480" w:firstLineChars="200"/>
        <w:rPr>
          <w:sz w:val="24"/>
        </w:rPr>
      </w:pPr>
      <w:r>
        <w:rPr>
          <w:rFonts w:hint="eastAsia"/>
          <w:sz w:val="24"/>
        </w:rPr>
        <w:t>6.1违反本合同约定，违约方应当承担违约责任。</w:t>
      </w:r>
    </w:p>
    <w:p>
      <w:pPr>
        <w:spacing w:line="360" w:lineRule="auto"/>
        <w:ind w:firstLine="480" w:firstLineChars="200"/>
        <w:rPr>
          <w:sz w:val="24"/>
        </w:rPr>
      </w:pPr>
      <w:r>
        <w:rPr>
          <w:rFonts w:hint="eastAsia"/>
          <w:sz w:val="24"/>
        </w:rPr>
        <w:t>7</w:t>
      </w:r>
      <w:r>
        <w:rPr>
          <w:sz w:val="24"/>
        </w:rPr>
        <w:t>.本协议书一式</w:t>
      </w:r>
      <w:r>
        <w:rPr>
          <w:rFonts w:hint="eastAsia"/>
          <w:sz w:val="24"/>
          <w:u w:val="single"/>
        </w:rPr>
        <w:t xml:space="preserve"> 陆 </w:t>
      </w:r>
      <w:r>
        <w:rPr>
          <w:sz w:val="24"/>
        </w:rPr>
        <w:t>份，合同双方各执</w:t>
      </w:r>
      <w:r>
        <w:rPr>
          <w:rFonts w:hint="eastAsia"/>
          <w:sz w:val="24"/>
          <w:u w:val="single"/>
        </w:rPr>
        <w:t xml:space="preserve"> 叁 </w:t>
      </w:r>
      <w:r>
        <w:rPr>
          <w:sz w:val="24"/>
        </w:rPr>
        <w:t>份。</w:t>
      </w:r>
    </w:p>
    <w:p>
      <w:pPr>
        <w:spacing w:line="360" w:lineRule="auto"/>
        <w:ind w:firstLine="480" w:firstLineChars="200"/>
        <w:rPr>
          <w:sz w:val="24"/>
        </w:rPr>
      </w:pPr>
      <w:bookmarkStart w:id="66" w:name="_Toc152042550"/>
      <w:bookmarkStart w:id="67" w:name="_Toc144974830"/>
      <w:r>
        <w:rPr>
          <w:rFonts w:hint="eastAsia"/>
          <w:sz w:val="24"/>
        </w:rPr>
        <w:t>8</w:t>
      </w:r>
      <w:r>
        <w:rPr>
          <w:sz w:val="24"/>
        </w:rPr>
        <w:t>. 合同未尽事宜，双方另行签订补充协议。补充协议是合同的组成部分。</w:t>
      </w:r>
      <w:bookmarkEnd w:id="66"/>
      <w:bookmarkEnd w:id="67"/>
    </w:p>
    <w:p>
      <w:pPr>
        <w:spacing w:line="360" w:lineRule="auto"/>
        <w:ind w:firstLine="480" w:firstLineChars="200"/>
        <w:rPr>
          <w:sz w:val="24"/>
        </w:rPr>
      </w:pPr>
    </w:p>
    <w:p>
      <w:pPr>
        <w:spacing w:line="360" w:lineRule="auto"/>
        <w:ind w:firstLine="480" w:firstLineChars="200"/>
        <w:rPr>
          <w:sz w:val="24"/>
        </w:rPr>
      </w:pPr>
      <w:r>
        <w:rPr>
          <w:rFonts w:hint="eastAsia"/>
          <w:sz w:val="24"/>
        </w:rPr>
        <w:t>采购人</w:t>
      </w:r>
      <w:r>
        <w:rPr>
          <w:sz w:val="24"/>
        </w:rPr>
        <w:t>：（盖单位章）</w:t>
      </w:r>
      <w:r>
        <w:rPr>
          <w:rFonts w:hint="eastAsia"/>
          <w:sz w:val="24"/>
        </w:rPr>
        <w:t xml:space="preserve">                      供应商</w:t>
      </w:r>
      <w:r>
        <w:rPr>
          <w:sz w:val="24"/>
        </w:rPr>
        <w:t>：（盖单位章）</w:t>
      </w:r>
    </w:p>
    <w:p>
      <w:pPr>
        <w:spacing w:line="360" w:lineRule="auto"/>
        <w:ind w:firstLine="480" w:firstLineChars="200"/>
        <w:rPr>
          <w:sz w:val="24"/>
        </w:rPr>
      </w:pPr>
    </w:p>
    <w:p>
      <w:pPr>
        <w:spacing w:line="360" w:lineRule="auto"/>
        <w:ind w:firstLine="480" w:firstLineChars="200"/>
        <w:rPr>
          <w:sz w:val="24"/>
        </w:rPr>
      </w:pPr>
      <w:r>
        <w:rPr>
          <w:sz w:val="24"/>
        </w:rPr>
        <w:t>法定代表人或其委托代理人：（签字）</w:t>
      </w:r>
      <w:r>
        <w:rPr>
          <w:rFonts w:hint="eastAsia"/>
          <w:sz w:val="24"/>
        </w:rPr>
        <w:t xml:space="preserve">         </w:t>
      </w:r>
      <w:r>
        <w:rPr>
          <w:sz w:val="24"/>
        </w:rPr>
        <w:t>法定代表人或其委托代理人：（签字）</w:t>
      </w:r>
    </w:p>
    <w:p>
      <w:pPr>
        <w:spacing w:line="360" w:lineRule="auto"/>
        <w:ind w:firstLine="720" w:firstLineChars="300"/>
        <w:rPr>
          <w:sz w:val="24"/>
        </w:rPr>
      </w:pPr>
    </w:p>
    <w:p>
      <w:pPr>
        <w:spacing w:line="360" w:lineRule="auto"/>
        <w:ind w:firstLine="1200" w:firstLineChars="500"/>
        <w:rPr>
          <w:sz w:val="24"/>
        </w:rPr>
      </w:pPr>
      <w:r>
        <w:rPr>
          <w:sz w:val="24"/>
        </w:rPr>
        <w:t>年</w:t>
      </w:r>
      <w:r>
        <w:rPr>
          <w:rFonts w:hint="eastAsia"/>
          <w:sz w:val="24"/>
        </w:rPr>
        <w:t xml:space="preserve">   </w:t>
      </w:r>
      <w:r>
        <w:rPr>
          <w:sz w:val="24"/>
        </w:rPr>
        <w:t>月</w:t>
      </w:r>
      <w:r>
        <w:rPr>
          <w:rFonts w:hint="eastAsia"/>
          <w:sz w:val="24"/>
        </w:rPr>
        <w:t xml:space="preserve">   </w:t>
      </w:r>
      <w:r>
        <w:rPr>
          <w:sz w:val="24"/>
        </w:rPr>
        <w:t>日</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pPr>
        <w:spacing w:line="360" w:lineRule="auto"/>
        <w:ind w:firstLine="480" w:firstLineChars="200"/>
        <w:rPr>
          <w:sz w:val="24"/>
        </w:rPr>
      </w:pPr>
      <w:r>
        <w:rPr>
          <w:rFonts w:hint="eastAsia"/>
          <w:sz w:val="24"/>
        </w:rPr>
        <w:br w:type="page"/>
      </w:r>
    </w:p>
    <w:p>
      <w:pPr>
        <w:pStyle w:val="5"/>
        <w:spacing w:line="360" w:lineRule="auto"/>
      </w:pPr>
      <w:bookmarkStart w:id="68" w:name="_Toc106039360"/>
      <w:bookmarkStart w:id="69" w:name="_Hlk79957878"/>
      <w:r>
        <w:rPr>
          <w:rFonts w:hint="eastAsia"/>
        </w:rPr>
        <w:t>附件二：廉政责任书</w:t>
      </w:r>
      <w:bookmarkEnd w:id="68"/>
    </w:p>
    <w:p>
      <w:pPr>
        <w:pStyle w:val="194"/>
        <w:autoSpaceDE/>
        <w:autoSpaceDN/>
        <w:adjustRightInd/>
        <w:spacing w:before="240" w:after="240" w:line="360" w:lineRule="auto"/>
        <w:jc w:val="center"/>
        <w:rPr>
          <w:rFonts w:cs="Times New Roman"/>
          <w:b/>
          <w:color w:val="000000"/>
          <w:sz w:val="32"/>
          <w:szCs w:val="32"/>
        </w:rPr>
      </w:pPr>
      <w:r>
        <w:rPr>
          <w:rFonts w:cs="Times New Roman"/>
          <w:b/>
          <w:color w:val="000000"/>
          <w:sz w:val="32"/>
          <w:szCs w:val="32"/>
        </w:rPr>
        <w:t>廉政责任书（格式）</w:t>
      </w:r>
    </w:p>
    <w:p>
      <w:pPr>
        <w:spacing w:line="360" w:lineRule="auto"/>
        <w:ind w:firstLine="480" w:firstLineChars="200"/>
        <w:rPr>
          <w:rFonts w:ascii="宋体" w:hAnsi="宋体"/>
          <w:color w:val="000000"/>
          <w:sz w:val="24"/>
          <w:u w:val="single"/>
        </w:rPr>
      </w:pPr>
      <w:r>
        <w:rPr>
          <w:rFonts w:hint="eastAsia" w:ascii="宋体" w:hAnsi="宋体"/>
          <w:color w:val="000000"/>
          <w:sz w:val="24"/>
        </w:rPr>
        <w:t>采购</w:t>
      </w:r>
      <w:r>
        <w:rPr>
          <w:rFonts w:ascii="宋体" w:hAnsi="宋体"/>
          <w:color w:val="000000"/>
          <w:sz w:val="24"/>
        </w:rPr>
        <w:t>项目名称：</w:t>
      </w:r>
      <w:r>
        <w:rPr>
          <w:rFonts w:ascii="宋体" w:hAnsi="宋体"/>
          <w:color w:val="000000"/>
          <w:sz w:val="24"/>
          <w:u w:val="single"/>
        </w:rPr>
        <w:t xml:space="preserve">                                        </w:t>
      </w:r>
    </w:p>
    <w:p>
      <w:pPr>
        <w:spacing w:line="360" w:lineRule="auto"/>
        <w:ind w:firstLine="480" w:firstLineChars="200"/>
        <w:rPr>
          <w:rFonts w:ascii="宋体" w:hAnsi="宋体"/>
          <w:color w:val="000000"/>
          <w:sz w:val="24"/>
          <w:u w:val="single"/>
        </w:rPr>
      </w:pPr>
      <w:r>
        <w:rPr>
          <w:rFonts w:hint="eastAsia" w:ascii="宋体" w:hAnsi="宋体"/>
          <w:color w:val="000000"/>
          <w:sz w:val="24"/>
        </w:rPr>
        <w:t>采购</w:t>
      </w:r>
      <w:r>
        <w:rPr>
          <w:rFonts w:ascii="宋体" w:hAnsi="宋体"/>
          <w:color w:val="000000"/>
          <w:sz w:val="24"/>
        </w:rPr>
        <w:t>项目地址：</w:t>
      </w:r>
      <w:r>
        <w:rPr>
          <w:rFonts w:ascii="宋体" w:hAnsi="宋体"/>
          <w:color w:val="000000"/>
          <w:sz w:val="24"/>
          <w:u w:val="single"/>
        </w:rPr>
        <w:t xml:space="preserve">                                        </w:t>
      </w:r>
    </w:p>
    <w:p>
      <w:pPr>
        <w:spacing w:line="360" w:lineRule="auto"/>
        <w:ind w:firstLine="480" w:firstLineChars="200"/>
        <w:rPr>
          <w:rFonts w:ascii="宋体" w:hAnsi="宋体"/>
          <w:color w:val="000000"/>
          <w:sz w:val="24"/>
          <w:u w:val="single"/>
        </w:rPr>
      </w:pPr>
      <w:r>
        <w:rPr>
          <w:rFonts w:hint="eastAsia" w:ascii="宋体" w:hAnsi="宋体"/>
          <w:color w:val="000000"/>
          <w:sz w:val="24"/>
        </w:rPr>
        <w:t>采购</w:t>
      </w:r>
      <w:r>
        <w:rPr>
          <w:rFonts w:ascii="宋体" w:hAnsi="宋体"/>
          <w:color w:val="000000"/>
          <w:sz w:val="24"/>
        </w:rPr>
        <w:t>人（甲方）：</w:t>
      </w:r>
      <w:r>
        <w:rPr>
          <w:rFonts w:ascii="宋体" w:hAnsi="宋体"/>
          <w:color w:val="000000"/>
          <w:sz w:val="24"/>
          <w:u w:val="single"/>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供应商</w:t>
      </w:r>
      <w:r>
        <w:rPr>
          <w:rFonts w:ascii="宋体" w:hAnsi="宋体"/>
          <w:color w:val="000000"/>
          <w:sz w:val="24"/>
        </w:rPr>
        <w:t>（乙方）：</w:t>
      </w:r>
      <w:r>
        <w:rPr>
          <w:rFonts w:ascii="宋体" w:hAnsi="宋体"/>
          <w:color w:val="000000"/>
          <w:sz w:val="24"/>
          <w:u w:val="single"/>
        </w:rPr>
        <w:t xml:space="preserve">                                       </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ascii="宋体" w:hAnsi="宋体"/>
          <w:color w:val="000000"/>
          <w:sz w:val="24"/>
        </w:rPr>
        <w:t>为加强</w:t>
      </w:r>
      <w:r>
        <w:rPr>
          <w:rFonts w:hint="eastAsia" w:ascii="宋体" w:hAnsi="宋体"/>
          <w:color w:val="000000"/>
          <w:sz w:val="24"/>
        </w:rPr>
        <w:t>项目实施过程中</w:t>
      </w:r>
      <w:r>
        <w:rPr>
          <w:rFonts w:ascii="宋体" w:hAnsi="宋体"/>
          <w:color w:val="000000"/>
          <w:sz w:val="24"/>
        </w:rPr>
        <w:t>的廉政建设，规范承发包双方的各项活动，防止发生各种谋取不正当利益的违法违纪行为，保护国家、集体和当事人的合法权益，根据国家有关法律法规和廉政建设责任制规定，特订立本廉政责任书。</w:t>
      </w:r>
    </w:p>
    <w:p>
      <w:pPr>
        <w:spacing w:line="360" w:lineRule="auto"/>
        <w:ind w:firstLine="480" w:firstLineChars="200"/>
        <w:rPr>
          <w:rFonts w:ascii="宋体" w:hAnsi="宋体"/>
          <w:color w:val="000000"/>
          <w:sz w:val="24"/>
        </w:rPr>
      </w:pPr>
      <w:r>
        <w:rPr>
          <w:rFonts w:ascii="宋体" w:hAnsi="宋体"/>
          <w:color w:val="000000"/>
          <w:sz w:val="24"/>
        </w:rPr>
        <w:t>第一条  甲乙双方的责任</w:t>
      </w:r>
    </w:p>
    <w:p>
      <w:pPr>
        <w:spacing w:line="360" w:lineRule="auto"/>
        <w:ind w:firstLine="480" w:firstLineChars="200"/>
        <w:rPr>
          <w:rFonts w:ascii="宋体" w:hAnsi="宋体"/>
          <w:color w:val="000000"/>
          <w:sz w:val="24"/>
        </w:rPr>
      </w:pPr>
      <w:r>
        <w:rPr>
          <w:rFonts w:ascii="宋体" w:hAnsi="宋体"/>
          <w:color w:val="000000"/>
          <w:sz w:val="24"/>
        </w:rPr>
        <w:t>（一）应严格遵守国家关于市场准入、项目招标投标、工程建设、施工安装和市场活动等有关法律、法规，相关政策，以及廉政建设的各项规定。</w:t>
      </w:r>
    </w:p>
    <w:p>
      <w:pPr>
        <w:spacing w:line="360" w:lineRule="auto"/>
        <w:ind w:firstLine="480" w:firstLineChars="200"/>
        <w:rPr>
          <w:rFonts w:ascii="宋体" w:hAnsi="宋体"/>
          <w:color w:val="000000"/>
          <w:sz w:val="24"/>
        </w:rPr>
      </w:pPr>
      <w:r>
        <w:rPr>
          <w:rFonts w:ascii="宋体" w:hAnsi="宋体"/>
          <w:color w:val="000000"/>
          <w:sz w:val="24"/>
        </w:rPr>
        <w:t>（二）严格执行项目承发包合同文件，自觉按合同办事。</w:t>
      </w:r>
    </w:p>
    <w:p>
      <w:pPr>
        <w:spacing w:line="360" w:lineRule="auto"/>
        <w:ind w:firstLine="480" w:firstLineChars="200"/>
        <w:rPr>
          <w:rFonts w:ascii="宋体" w:hAnsi="宋体"/>
          <w:color w:val="000000"/>
          <w:sz w:val="24"/>
        </w:rPr>
      </w:pPr>
      <w:r>
        <w:rPr>
          <w:rFonts w:ascii="宋体" w:hAnsi="宋体"/>
          <w:color w:val="000000"/>
          <w:sz w:val="24"/>
        </w:rPr>
        <w:t>（三）业务活动必须坚持公开、公平、公正、诚信、透明的原则（除法律法规另有规定者外）。不得为获取不正当的利益，损害国家、集体和对方利益，不得违反工程建设管理、施工安装的规章制度。</w:t>
      </w:r>
    </w:p>
    <w:p>
      <w:pPr>
        <w:spacing w:line="360" w:lineRule="auto"/>
        <w:ind w:firstLine="480" w:firstLineChars="200"/>
        <w:rPr>
          <w:rFonts w:ascii="宋体" w:hAnsi="宋体"/>
          <w:color w:val="000000"/>
          <w:sz w:val="24"/>
        </w:rPr>
      </w:pPr>
      <w:r>
        <w:rPr>
          <w:rFonts w:ascii="宋体" w:hAnsi="宋体"/>
          <w:color w:val="000000"/>
          <w:sz w:val="24"/>
        </w:rPr>
        <w:t>（四）发现对方在业务活动中有违规、违纪、违法行为的，应及时提醒对方，情节严重的，应向其上级主管部门或纪检监察、司法等有关机关举报。</w:t>
      </w:r>
    </w:p>
    <w:p>
      <w:pPr>
        <w:spacing w:line="360" w:lineRule="auto"/>
        <w:ind w:firstLine="480" w:firstLineChars="200"/>
        <w:rPr>
          <w:rFonts w:ascii="宋体" w:hAnsi="宋体"/>
          <w:color w:val="000000"/>
          <w:sz w:val="24"/>
        </w:rPr>
      </w:pPr>
      <w:r>
        <w:rPr>
          <w:rFonts w:ascii="宋体" w:hAnsi="宋体"/>
          <w:color w:val="000000"/>
          <w:sz w:val="24"/>
        </w:rPr>
        <w:t>第二条  甲方的责任</w:t>
      </w:r>
    </w:p>
    <w:p>
      <w:pPr>
        <w:spacing w:line="360" w:lineRule="auto"/>
        <w:ind w:firstLine="480" w:firstLineChars="200"/>
        <w:rPr>
          <w:rFonts w:ascii="宋体" w:hAnsi="宋体"/>
          <w:color w:val="000000"/>
          <w:sz w:val="24"/>
        </w:rPr>
      </w:pPr>
      <w:r>
        <w:rPr>
          <w:rFonts w:ascii="宋体" w:hAnsi="宋体"/>
          <w:color w:val="000000"/>
          <w:sz w:val="24"/>
        </w:rPr>
        <w:t>甲方</w:t>
      </w:r>
      <w:r>
        <w:rPr>
          <w:rFonts w:hint="eastAsia" w:ascii="宋体" w:hAnsi="宋体"/>
          <w:color w:val="000000"/>
          <w:sz w:val="24"/>
        </w:rPr>
        <w:t>及其</w:t>
      </w:r>
      <w:r>
        <w:rPr>
          <w:rFonts w:ascii="宋体" w:hAnsi="宋体"/>
          <w:color w:val="000000"/>
          <w:sz w:val="24"/>
        </w:rPr>
        <w:t>工作人员，在</w:t>
      </w:r>
      <w:r>
        <w:rPr>
          <w:rFonts w:hint="eastAsia" w:ascii="宋体" w:hAnsi="宋体"/>
          <w:color w:val="000000"/>
          <w:sz w:val="24"/>
        </w:rPr>
        <w:t>项目执行过程中</w:t>
      </w:r>
      <w:r>
        <w:rPr>
          <w:rFonts w:ascii="宋体" w:hAnsi="宋体"/>
          <w:color w:val="000000"/>
          <w:sz w:val="24"/>
        </w:rPr>
        <w:t>应遵守以下规定：</w:t>
      </w:r>
    </w:p>
    <w:p>
      <w:pPr>
        <w:spacing w:line="360" w:lineRule="auto"/>
        <w:ind w:firstLine="480" w:firstLineChars="200"/>
        <w:rPr>
          <w:rFonts w:ascii="宋体" w:hAnsi="宋体"/>
          <w:color w:val="000000"/>
          <w:sz w:val="24"/>
        </w:rPr>
      </w:pPr>
      <w:r>
        <w:rPr>
          <w:rFonts w:ascii="宋体" w:hAnsi="宋体"/>
          <w:color w:val="000000"/>
          <w:sz w:val="24"/>
        </w:rPr>
        <w:t>（一）不准向乙方和相关单位索要或接受回扣、礼金、有价证券、贵重物品和好处费、感谢费等。</w:t>
      </w:r>
    </w:p>
    <w:p>
      <w:pPr>
        <w:spacing w:line="360" w:lineRule="auto"/>
        <w:ind w:firstLine="480" w:firstLineChars="200"/>
        <w:rPr>
          <w:rFonts w:ascii="宋体" w:hAnsi="宋体"/>
          <w:color w:val="000000"/>
          <w:sz w:val="24"/>
        </w:rPr>
      </w:pPr>
      <w:r>
        <w:rPr>
          <w:rFonts w:ascii="宋体" w:hAnsi="宋体"/>
          <w:color w:val="000000"/>
          <w:sz w:val="24"/>
        </w:rPr>
        <w:t>（二）不准在乙方和相关单位报销任何应由甲方或个人支付的费人。</w:t>
      </w:r>
    </w:p>
    <w:p>
      <w:pPr>
        <w:spacing w:line="360" w:lineRule="auto"/>
        <w:ind w:firstLine="480" w:firstLineChars="200"/>
        <w:rPr>
          <w:rFonts w:ascii="宋体" w:hAnsi="宋体"/>
          <w:color w:val="000000"/>
          <w:sz w:val="24"/>
        </w:rPr>
      </w:pPr>
      <w:r>
        <w:rPr>
          <w:rFonts w:ascii="宋体" w:hAnsi="宋体"/>
          <w:color w:val="000000"/>
          <w:sz w:val="24"/>
        </w:rPr>
        <w:t>（三）不准要求、暗示或接受乙方和相关单位为个人装修住房、婚丧嫁娶、配偶子女的工作安排以及出国（境）、旅游等提供方便。</w:t>
      </w:r>
    </w:p>
    <w:p>
      <w:pPr>
        <w:spacing w:line="360" w:lineRule="auto"/>
        <w:ind w:firstLine="480" w:firstLineChars="200"/>
        <w:rPr>
          <w:rFonts w:ascii="宋体" w:hAnsi="宋体"/>
          <w:color w:val="000000"/>
          <w:sz w:val="24"/>
        </w:rPr>
      </w:pPr>
      <w:r>
        <w:rPr>
          <w:rFonts w:ascii="宋体" w:hAnsi="宋体"/>
          <w:color w:val="000000"/>
          <w:sz w:val="24"/>
        </w:rPr>
        <w:t>（四）不准参加有可能影响公正执行公务的乙方和相关单位的宴请和健身、娱乐等活动。</w:t>
      </w:r>
    </w:p>
    <w:p>
      <w:pPr>
        <w:spacing w:line="360" w:lineRule="auto"/>
        <w:ind w:firstLine="480" w:firstLineChars="200"/>
        <w:rPr>
          <w:rFonts w:ascii="宋体" w:hAnsi="宋体"/>
          <w:color w:val="000000"/>
          <w:sz w:val="24"/>
        </w:rPr>
      </w:pPr>
      <w:r>
        <w:rPr>
          <w:rFonts w:ascii="宋体" w:hAnsi="宋体"/>
          <w:color w:val="000000"/>
          <w:sz w:val="24"/>
        </w:rPr>
        <w:t>（五）不准向乙方介绍或为配偶、子女、亲属参与同甲方项目合同有关的设备、材料、工程分包、劳务等经济活动。不得以任何理由向乙方和相关单位推荐分包单位和要求乙方购买项目合同规定以外的材料、设备等。</w:t>
      </w:r>
    </w:p>
    <w:p>
      <w:pPr>
        <w:spacing w:line="360" w:lineRule="auto"/>
        <w:ind w:firstLine="480" w:firstLineChars="200"/>
        <w:rPr>
          <w:rFonts w:ascii="宋体" w:hAnsi="宋体"/>
          <w:color w:val="000000"/>
          <w:sz w:val="24"/>
        </w:rPr>
      </w:pPr>
      <w:r>
        <w:rPr>
          <w:rFonts w:ascii="宋体" w:hAnsi="宋体"/>
          <w:color w:val="000000"/>
          <w:sz w:val="24"/>
        </w:rPr>
        <w:t>第三条  乙方的责任</w:t>
      </w:r>
    </w:p>
    <w:p>
      <w:pPr>
        <w:spacing w:line="360" w:lineRule="auto"/>
        <w:ind w:firstLine="480" w:firstLineChars="200"/>
        <w:rPr>
          <w:rFonts w:ascii="宋体" w:hAnsi="宋体"/>
          <w:color w:val="000000"/>
          <w:sz w:val="24"/>
        </w:rPr>
      </w:pPr>
      <w:r>
        <w:rPr>
          <w:rFonts w:ascii="宋体" w:hAnsi="宋体"/>
          <w:color w:val="000000"/>
          <w:sz w:val="24"/>
        </w:rPr>
        <w:t>应与甲方保持正常的业务交往，按照有关法律法规和程序开展业务工作，</w:t>
      </w:r>
      <w:r>
        <w:rPr>
          <w:rFonts w:hint="eastAsia" w:ascii="宋体" w:hAnsi="宋体"/>
          <w:color w:val="000000"/>
          <w:sz w:val="24"/>
        </w:rPr>
        <w:t>并</w:t>
      </w:r>
      <w:r>
        <w:rPr>
          <w:rFonts w:ascii="宋体" w:hAnsi="宋体"/>
          <w:color w:val="000000"/>
          <w:sz w:val="24"/>
        </w:rPr>
        <w:t>遵守以下规定：</w:t>
      </w:r>
    </w:p>
    <w:p>
      <w:pPr>
        <w:spacing w:line="360" w:lineRule="auto"/>
        <w:ind w:firstLine="480" w:firstLineChars="200"/>
        <w:rPr>
          <w:rFonts w:ascii="宋体" w:hAnsi="宋体"/>
          <w:color w:val="000000"/>
          <w:sz w:val="24"/>
        </w:rPr>
      </w:pPr>
      <w:r>
        <w:rPr>
          <w:rFonts w:ascii="宋体" w:hAnsi="宋体"/>
          <w:color w:val="000000"/>
          <w:sz w:val="24"/>
        </w:rPr>
        <w:t>（一）不准以任何理由向甲方、相关单位及其工作人员索要、接受或赠送礼、有价证券、贵重物品和回扣、好处费、感谢费等。</w:t>
      </w:r>
    </w:p>
    <w:p>
      <w:pPr>
        <w:spacing w:line="360" w:lineRule="auto"/>
        <w:ind w:firstLine="480" w:firstLineChars="200"/>
        <w:rPr>
          <w:rFonts w:ascii="宋体" w:hAnsi="宋体"/>
          <w:color w:val="000000"/>
          <w:sz w:val="24"/>
        </w:rPr>
      </w:pPr>
      <w:r>
        <w:rPr>
          <w:rFonts w:ascii="宋体" w:hAnsi="宋体"/>
          <w:color w:val="000000"/>
          <w:sz w:val="24"/>
        </w:rPr>
        <w:t>（二）不准以任何理由为甲方和相关单位报销应由对方或个人支付的费用。</w:t>
      </w:r>
    </w:p>
    <w:p>
      <w:pPr>
        <w:spacing w:line="360" w:lineRule="auto"/>
        <w:ind w:firstLine="480" w:firstLineChars="200"/>
        <w:rPr>
          <w:rFonts w:ascii="宋体" w:hAnsi="宋体"/>
          <w:color w:val="000000"/>
          <w:sz w:val="24"/>
        </w:rPr>
      </w:pPr>
      <w:r>
        <w:rPr>
          <w:rFonts w:ascii="宋体" w:hAnsi="宋体"/>
          <w:color w:val="000000"/>
          <w:sz w:val="24"/>
        </w:rPr>
        <w:t>（三）不准接受或暗示为甲方、相关单位或个人装修住房、婚丧嫁娶、配偶子女的工作安排以及出国（境）、旅游等提供方便。</w:t>
      </w:r>
    </w:p>
    <w:p>
      <w:pPr>
        <w:spacing w:line="360" w:lineRule="auto"/>
        <w:ind w:firstLine="480" w:firstLineChars="200"/>
        <w:rPr>
          <w:rFonts w:ascii="宋体" w:hAnsi="宋体"/>
          <w:color w:val="000000"/>
          <w:sz w:val="24"/>
        </w:rPr>
      </w:pPr>
      <w:r>
        <w:rPr>
          <w:rFonts w:ascii="宋体" w:hAnsi="宋体"/>
          <w:color w:val="000000"/>
          <w:sz w:val="24"/>
        </w:rPr>
        <w:t>（四）不准以任何理由为甲方、相关单位或个人、组织提供有可能影响公正执行公务的宴请、健身、娱乐等活动。</w:t>
      </w:r>
    </w:p>
    <w:p>
      <w:pPr>
        <w:spacing w:line="360" w:lineRule="auto"/>
        <w:ind w:firstLine="480" w:firstLineChars="200"/>
        <w:rPr>
          <w:rFonts w:ascii="宋体" w:hAnsi="宋体"/>
          <w:color w:val="000000"/>
          <w:sz w:val="24"/>
        </w:rPr>
      </w:pPr>
      <w:r>
        <w:rPr>
          <w:rFonts w:ascii="宋体" w:hAnsi="宋体"/>
          <w:color w:val="000000"/>
          <w:sz w:val="24"/>
        </w:rPr>
        <w:t>第四条  违约责任</w:t>
      </w:r>
    </w:p>
    <w:p>
      <w:pPr>
        <w:spacing w:line="360" w:lineRule="auto"/>
        <w:ind w:firstLine="480" w:firstLineChars="200"/>
        <w:rPr>
          <w:rFonts w:ascii="宋体" w:hAnsi="宋体"/>
          <w:color w:val="000000"/>
          <w:sz w:val="24"/>
        </w:rPr>
      </w:pPr>
      <w:r>
        <w:rPr>
          <w:rFonts w:ascii="宋体" w:hAnsi="宋体"/>
          <w:color w:val="000000"/>
          <w:sz w:val="24"/>
        </w:rPr>
        <w:t>（一）甲方工作人员有违反责任书第一、二条责任行为的，按照管理权限，依据有关法律法规和规定给予党纪、政纪处分或组织处理；涉嫌犯罪，移交司法机关追究刑事责任；给乙方单位造成经济损失的，应予以赔偿。</w:t>
      </w:r>
    </w:p>
    <w:p>
      <w:pPr>
        <w:spacing w:line="360" w:lineRule="auto"/>
        <w:ind w:firstLine="480" w:firstLineChars="200"/>
        <w:rPr>
          <w:rFonts w:ascii="宋体" w:hAnsi="宋体"/>
          <w:color w:val="000000"/>
          <w:sz w:val="24"/>
        </w:rPr>
      </w:pPr>
      <w:r>
        <w:rPr>
          <w:rFonts w:ascii="宋体" w:hAnsi="宋体"/>
          <w:color w:val="000000"/>
          <w:sz w:val="24"/>
        </w:rPr>
        <w:t>（二）乙方工作人员有违反本责任书第一、三条责任行为的，按照管理权限，依据有关法律法规和规定给予党纪、政纪处分或组织处理；涉嫌犯罪，移交司法机关追究刑事责任；给甲方单位造成经济损失的，应予以赔偿。</w:t>
      </w:r>
    </w:p>
    <w:p>
      <w:pPr>
        <w:spacing w:line="360" w:lineRule="auto"/>
        <w:ind w:firstLine="480" w:firstLineChars="200"/>
        <w:rPr>
          <w:rFonts w:ascii="宋体" w:hAnsi="宋体"/>
          <w:color w:val="000000"/>
          <w:sz w:val="24"/>
        </w:rPr>
      </w:pPr>
      <w:r>
        <w:rPr>
          <w:rFonts w:ascii="宋体" w:hAnsi="宋体"/>
          <w:color w:val="000000"/>
          <w:sz w:val="24"/>
        </w:rPr>
        <w:t>第五条  本责任书作为</w:t>
      </w:r>
      <w:r>
        <w:rPr>
          <w:rFonts w:hint="eastAsia" w:ascii="宋体" w:hAnsi="宋体"/>
          <w:color w:val="000000"/>
          <w:sz w:val="24"/>
        </w:rPr>
        <w:t>项目</w:t>
      </w:r>
      <w:r>
        <w:rPr>
          <w:rFonts w:ascii="宋体" w:hAnsi="宋体"/>
          <w:color w:val="000000"/>
          <w:sz w:val="24"/>
        </w:rPr>
        <w:t>合同的附件，与</w:t>
      </w:r>
      <w:r>
        <w:rPr>
          <w:rFonts w:hint="eastAsia" w:ascii="宋体" w:hAnsi="宋体"/>
          <w:color w:val="000000"/>
          <w:sz w:val="24"/>
        </w:rPr>
        <w:t>项目</w:t>
      </w:r>
      <w:r>
        <w:rPr>
          <w:rFonts w:ascii="宋体" w:hAnsi="宋体"/>
          <w:color w:val="000000"/>
          <w:sz w:val="24"/>
        </w:rPr>
        <w:t>合同具有同等法律效力。经双方签署后生效。</w:t>
      </w:r>
    </w:p>
    <w:p>
      <w:pPr>
        <w:spacing w:line="360" w:lineRule="auto"/>
        <w:ind w:firstLine="480" w:firstLineChars="200"/>
        <w:rPr>
          <w:rFonts w:ascii="宋体" w:hAnsi="宋体"/>
          <w:color w:val="000000"/>
          <w:sz w:val="24"/>
        </w:rPr>
      </w:pPr>
      <w:r>
        <w:rPr>
          <w:rFonts w:ascii="宋体" w:hAnsi="宋体"/>
          <w:color w:val="000000"/>
          <w:sz w:val="24"/>
        </w:rPr>
        <w:t>第六条  本责任书的有效期为双方签署之日至该工程项目竣工验收合格时止。</w:t>
      </w:r>
    </w:p>
    <w:p>
      <w:pPr>
        <w:spacing w:line="360" w:lineRule="auto"/>
        <w:ind w:firstLine="480" w:firstLineChars="200"/>
        <w:rPr>
          <w:rFonts w:ascii="宋体" w:hAnsi="宋体"/>
          <w:color w:val="000000"/>
          <w:sz w:val="24"/>
        </w:rPr>
      </w:pPr>
      <w:r>
        <w:rPr>
          <w:rFonts w:ascii="宋体" w:hAnsi="宋体"/>
          <w:color w:val="000000"/>
          <w:sz w:val="24"/>
        </w:rPr>
        <w:t>第七条  本责任和本</w:t>
      </w:r>
      <w:r>
        <w:rPr>
          <w:rFonts w:hint="eastAsia" w:ascii="宋体" w:hAnsi="宋体"/>
          <w:color w:val="000000"/>
          <w:sz w:val="24"/>
        </w:rPr>
        <w:t>项目</w:t>
      </w:r>
      <w:r>
        <w:rPr>
          <w:rFonts w:ascii="宋体" w:hAnsi="宋体"/>
          <w:color w:val="000000"/>
          <w:sz w:val="24"/>
        </w:rPr>
        <w:t>合同同时使用，由双方法定代表人或其授权的代理人签署与加盖公章后生效，</w:t>
      </w:r>
      <w:r>
        <w:rPr>
          <w:rFonts w:hint="eastAsia" w:ascii="宋体" w:hAnsi="宋体"/>
          <w:color w:val="000000"/>
          <w:sz w:val="24"/>
        </w:rPr>
        <w:t>项目完成</w:t>
      </w:r>
      <w:r>
        <w:rPr>
          <w:rFonts w:ascii="宋体" w:hAnsi="宋体"/>
          <w:color w:val="000000"/>
          <w:sz w:val="24"/>
        </w:rPr>
        <w:t>验收后失效。</w:t>
      </w:r>
    </w:p>
    <w:p>
      <w:pPr>
        <w:spacing w:line="360" w:lineRule="auto"/>
        <w:ind w:firstLine="480" w:firstLineChars="200"/>
        <w:rPr>
          <w:rFonts w:ascii="宋体" w:hAnsi="宋体"/>
          <w:color w:val="000000"/>
          <w:sz w:val="24"/>
        </w:rPr>
      </w:pPr>
    </w:p>
    <w:p>
      <w:pPr>
        <w:pStyle w:val="195"/>
        <w:autoSpaceDE/>
        <w:autoSpaceDN/>
        <w:adjustRightInd/>
        <w:spacing w:line="360" w:lineRule="auto"/>
        <w:jc w:val="both"/>
        <w:rPr>
          <w:rFonts w:hAnsi="宋体" w:cs="Times New Roman"/>
          <w:color w:val="000000"/>
        </w:rPr>
      </w:pPr>
      <w:r>
        <w:rPr>
          <w:rFonts w:hint="eastAsia" w:hAnsi="宋体" w:cs="Times New Roman"/>
          <w:color w:val="000000"/>
        </w:rPr>
        <w:t>采购</w:t>
      </w:r>
      <w:r>
        <w:rPr>
          <w:rFonts w:hAnsi="宋体" w:cs="Times New Roman"/>
          <w:color w:val="000000"/>
        </w:rPr>
        <w:t>人：</w:t>
      </w:r>
      <w:r>
        <w:rPr>
          <w:rFonts w:hAnsi="宋体" w:cs="Times New Roman"/>
          <w:color w:val="000000"/>
          <w:u w:val="single"/>
        </w:rPr>
        <w:t xml:space="preserve">      （盖单位公章）  </w:t>
      </w:r>
      <w:r>
        <w:rPr>
          <w:rFonts w:hAnsi="宋体" w:cs="Times New Roman"/>
          <w:color w:val="000000"/>
        </w:rPr>
        <w:t xml:space="preserve"> </w:t>
      </w:r>
      <w:r>
        <w:rPr>
          <w:rFonts w:hint="eastAsia" w:hAnsi="宋体" w:cs="Times New Roman"/>
          <w:color w:val="000000"/>
        </w:rPr>
        <w:t xml:space="preserve">       </w:t>
      </w:r>
      <w:r>
        <w:rPr>
          <w:rFonts w:hAnsi="宋体" w:cs="Times New Roman"/>
          <w:color w:val="000000"/>
        </w:rPr>
        <w:t xml:space="preserve">  </w:t>
      </w:r>
      <w:r>
        <w:rPr>
          <w:rFonts w:hint="eastAsia" w:hAnsi="宋体" w:cs="Times New Roman"/>
          <w:color w:val="000000"/>
        </w:rPr>
        <w:t>供应商</w:t>
      </w:r>
      <w:r>
        <w:rPr>
          <w:rFonts w:hAnsi="宋体" w:cs="Times New Roman"/>
          <w:color w:val="000000"/>
        </w:rPr>
        <w:t>：</w:t>
      </w:r>
      <w:r>
        <w:rPr>
          <w:rFonts w:hAnsi="宋体" w:cs="Times New Roman"/>
          <w:color w:val="000000"/>
          <w:u w:val="single"/>
        </w:rPr>
        <w:t xml:space="preserve">    （盖单位公章）   </w:t>
      </w:r>
    </w:p>
    <w:p>
      <w:pPr>
        <w:pStyle w:val="195"/>
        <w:autoSpaceDE/>
        <w:autoSpaceDN/>
        <w:adjustRightInd/>
        <w:spacing w:line="360" w:lineRule="auto"/>
        <w:jc w:val="both"/>
        <w:rPr>
          <w:rFonts w:hAnsi="宋体" w:cs="Times New Roman"/>
          <w:color w:val="000000"/>
        </w:rPr>
      </w:pPr>
    </w:p>
    <w:p>
      <w:pPr>
        <w:pStyle w:val="195"/>
        <w:autoSpaceDE/>
        <w:autoSpaceDN/>
        <w:adjustRightInd/>
        <w:spacing w:line="360" w:lineRule="auto"/>
        <w:jc w:val="both"/>
        <w:rPr>
          <w:rFonts w:hAnsi="宋体" w:cs="Times New Roman"/>
          <w:color w:val="000000"/>
        </w:rPr>
      </w:pPr>
    </w:p>
    <w:p>
      <w:pPr>
        <w:pStyle w:val="195"/>
        <w:autoSpaceDE/>
        <w:autoSpaceDN/>
        <w:adjustRightInd/>
        <w:spacing w:line="360" w:lineRule="auto"/>
        <w:jc w:val="both"/>
        <w:rPr>
          <w:rFonts w:hAnsi="宋体" w:cs="Times New Roman"/>
          <w:color w:val="000000"/>
        </w:rPr>
      </w:pPr>
      <w:r>
        <w:rPr>
          <w:rFonts w:hAnsi="宋体" w:cs="Times New Roman"/>
          <w:color w:val="000000"/>
        </w:rPr>
        <w:t>法定代表人或其委托代理人</w:t>
      </w:r>
      <w:r>
        <w:rPr>
          <w:rFonts w:hint="eastAsia" w:hAnsi="宋体" w:cs="Times New Roman"/>
          <w:color w:val="000000"/>
        </w:rPr>
        <w:t>:</w:t>
      </w:r>
      <w:r>
        <w:rPr>
          <w:rFonts w:hAnsi="宋体" w:cs="Times New Roman"/>
          <w:color w:val="000000"/>
          <w:u w:val="single"/>
        </w:rPr>
        <w:t xml:space="preserve">（签字） </w:t>
      </w:r>
      <w:r>
        <w:rPr>
          <w:rFonts w:hint="eastAsia" w:hAnsi="宋体" w:cs="Times New Roman"/>
          <w:color w:val="000000"/>
          <w:u w:val="single"/>
        </w:rPr>
        <w:t xml:space="preserve"> </w:t>
      </w:r>
      <w:r>
        <w:rPr>
          <w:rFonts w:hint="eastAsia" w:hAnsi="宋体" w:cs="Times New Roman"/>
          <w:color w:val="000000"/>
        </w:rPr>
        <w:t xml:space="preserve">  法</w:t>
      </w:r>
      <w:r>
        <w:rPr>
          <w:rFonts w:hAnsi="宋体" w:cs="Times New Roman"/>
          <w:color w:val="000000"/>
        </w:rPr>
        <w:t>定代表人或其委托代理人：</w:t>
      </w:r>
      <w:r>
        <w:rPr>
          <w:rFonts w:hAnsi="宋体" w:cs="Times New Roman"/>
          <w:color w:val="000000"/>
          <w:u w:val="single"/>
        </w:rPr>
        <w:t xml:space="preserve">  （签字）  </w:t>
      </w:r>
      <w:bookmarkEnd w:id="69"/>
      <w:r>
        <w:rPr>
          <w:rFonts w:hAnsi="宋体" w:cs="Times New Roman"/>
          <w:color w:val="000000"/>
          <w:u w:val="single"/>
        </w:rPr>
        <w:t xml:space="preserve">  </w:t>
      </w:r>
    </w:p>
    <w:p>
      <w:pPr>
        <w:pStyle w:val="195"/>
        <w:autoSpaceDE/>
        <w:autoSpaceDN/>
        <w:adjustRightInd/>
        <w:spacing w:line="360" w:lineRule="auto"/>
        <w:ind w:firstLine="480" w:firstLineChars="200"/>
        <w:jc w:val="both"/>
        <w:rPr>
          <w:rFonts w:hAnsi="宋体" w:cs="Times New Roman"/>
          <w:color w:val="000000"/>
        </w:rPr>
      </w:pPr>
    </w:p>
    <w:p>
      <w:pPr>
        <w:pStyle w:val="40"/>
        <w:spacing w:line="360" w:lineRule="auto"/>
        <w:rPr>
          <w:rFonts w:ascii="黑体" w:hAnsi="黑体" w:eastAsia="黑体" w:cs="仿宋"/>
          <w:b/>
          <w:color w:val="000000"/>
          <w:sz w:val="36"/>
          <w:szCs w:val="36"/>
        </w:rPr>
      </w:pPr>
    </w:p>
    <w:p>
      <w:bookmarkStart w:id="70" w:name="_Toc106039361"/>
      <w:r>
        <w:rPr>
          <w:rFonts w:hint="eastAsia"/>
        </w:rPr>
        <w:br w:type="page"/>
      </w:r>
    </w:p>
    <w:p>
      <w:pPr>
        <w:pStyle w:val="5"/>
        <w:spacing w:line="360" w:lineRule="auto"/>
      </w:pPr>
      <w:r>
        <w:rPr>
          <w:rFonts w:hint="eastAsia"/>
        </w:rPr>
        <w:t>附件三：安全协议</w:t>
      </w:r>
      <w:bookmarkEnd w:id="70"/>
    </w:p>
    <w:p>
      <w:pPr>
        <w:pStyle w:val="194"/>
        <w:autoSpaceDE/>
        <w:autoSpaceDN/>
        <w:adjustRightInd/>
        <w:spacing w:before="240" w:after="240" w:line="360" w:lineRule="auto"/>
        <w:jc w:val="center"/>
        <w:rPr>
          <w:rFonts w:cs="Times New Roman"/>
          <w:b/>
          <w:color w:val="000000"/>
          <w:sz w:val="32"/>
          <w:szCs w:val="32"/>
        </w:rPr>
      </w:pPr>
      <w:r>
        <w:rPr>
          <w:rFonts w:hint="eastAsia" w:cs="Times New Roman"/>
          <w:b/>
          <w:color w:val="000000"/>
          <w:sz w:val="32"/>
          <w:szCs w:val="32"/>
        </w:rPr>
        <w:t>安全协议（格式）</w:t>
      </w:r>
    </w:p>
    <w:p>
      <w:pPr>
        <w:spacing w:line="360" w:lineRule="auto"/>
        <w:ind w:firstLine="480" w:firstLineChars="200"/>
        <w:rPr>
          <w:rFonts w:ascii="宋体" w:hAnsi="宋体"/>
          <w:color w:val="000000"/>
          <w:sz w:val="24"/>
        </w:rPr>
      </w:pPr>
      <w:r>
        <w:rPr>
          <w:rFonts w:hint="eastAsia" w:ascii="宋体" w:hAnsi="宋体"/>
          <w:color w:val="000000"/>
          <w:sz w:val="24"/>
        </w:rPr>
        <w:t>采购人：</w:t>
      </w:r>
      <w:r>
        <w:rPr>
          <w:rFonts w:ascii="宋体" w:hAnsi="宋体"/>
          <w:color w:val="000000"/>
          <w:sz w:val="24"/>
        </w:rPr>
        <w:t>（以下简称</w:t>
      </w:r>
      <w:r>
        <w:rPr>
          <w:rFonts w:hint="eastAsia" w:ascii="宋体" w:hAnsi="宋体"/>
          <w:color w:val="000000"/>
          <w:sz w:val="24"/>
        </w:rPr>
        <w:t>甲方</w:t>
      </w:r>
      <w:r>
        <w:rPr>
          <w:rFonts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供应商：</w:t>
      </w:r>
      <w:r>
        <w:rPr>
          <w:rFonts w:ascii="宋体" w:hAnsi="宋体"/>
          <w:color w:val="000000"/>
          <w:sz w:val="24"/>
        </w:rPr>
        <w:t>（以下简称</w:t>
      </w:r>
      <w:r>
        <w:rPr>
          <w:rFonts w:hint="eastAsia" w:ascii="宋体" w:hAnsi="宋体"/>
          <w:color w:val="000000"/>
          <w:sz w:val="24"/>
        </w:rPr>
        <w:t>乙方</w:t>
      </w:r>
      <w:r>
        <w:rPr>
          <w:rFonts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为了切实做好安全生产工作，依据《中华人民共和国安全生产法》、《中华人民共和国民法典》以及国家有关安全生产管理的法律、法规、标准，按照“安全第一、预防为主、综合治理”的原则，明确甲乙双方责任，就甲乙双方在本项目中的安全生产事项，经协商一致，签订本合同。</w:t>
      </w:r>
    </w:p>
    <w:p>
      <w:pPr>
        <w:spacing w:line="360" w:lineRule="auto"/>
        <w:ind w:firstLine="480" w:firstLineChars="200"/>
        <w:rPr>
          <w:rFonts w:ascii="宋体" w:hAnsi="宋体"/>
          <w:color w:val="000000"/>
          <w:sz w:val="24"/>
          <w:u w:val="single"/>
        </w:rPr>
      </w:pPr>
      <w:r>
        <w:rPr>
          <w:rFonts w:hint="eastAsia" w:ascii="宋体" w:hAnsi="宋体"/>
          <w:color w:val="000000"/>
          <w:sz w:val="24"/>
        </w:rPr>
        <w:t>第一条　项目名称：</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第二条　本合同内容只涉及甲乙双方在本项目中关于安全生产的权利和责任。</w:t>
      </w:r>
    </w:p>
    <w:p>
      <w:pPr>
        <w:spacing w:line="360" w:lineRule="auto"/>
        <w:ind w:firstLine="480" w:firstLineChars="200"/>
        <w:rPr>
          <w:rFonts w:ascii="宋体" w:hAnsi="宋体"/>
          <w:color w:val="000000"/>
          <w:sz w:val="24"/>
        </w:rPr>
      </w:pPr>
      <w:r>
        <w:rPr>
          <w:rFonts w:hint="eastAsia" w:ascii="宋体" w:hAnsi="宋体"/>
          <w:color w:val="000000"/>
          <w:sz w:val="24"/>
        </w:rPr>
        <w:t>第三条　甲方的权利：</w:t>
      </w:r>
    </w:p>
    <w:p>
      <w:pPr>
        <w:spacing w:line="360" w:lineRule="auto"/>
        <w:ind w:firstLine="480" w:firstLineChars="200"/>
        <w:rPr>
          <w:rFonts w:ascii="宋体" w:hAnsi="宋体"/>
          <w:color w:val="000000"/>
          <w:sz w:val="24"/>
        </w:rPr>
      </w:pPr>
      <w:r>
        <w:rPr>
          <w:rFonts w:hint="eastAsia" w:ascii="宋体" w:hAnsi="宋体"/>
          <w:color w:val="000000"/>
          <w:sz w:val="24"/>
        </w:rPr>
        <w:t>（一）有权要求乙方建立安全组织机构或指定专人，负责现场安全监护。严格执行安全生产法律、法规、条例、标准，遵守甲方的安全生产规章制度等。</w:t>
      </w:r>
    </w:p>
    <w:p>
      <w:pPr>
        <w:spacing w:line="360" w:lineRule="auto"/>
        <w:ind w:firstLine="480" w:firstLineChars="200"/>
        <w:rPr>
          <w:rFonts w:ascii="宋体" w:hAnsi="宋体"/>
          <w:color w:val="000000"/>
          <w:sz w:val="24"/>
        </w:rPr>
      </w:pPr>
      <w:r>
        <w:rPr>
          <w:rFonts w:hint="eastAsia" w:ascii="宋体" w:hAnsi="宋体"/>
          <w:color w:val="000000"/>
          <w:sz w:val="24"/>
        </w:rPr>
        <w:t>（二）有权按规定对乙方安全业绩、资质进行审查，对乙方针对作业项目制定的职业健康安全、环境项目进行审查。</w:t>
      </w:r>
    </w:p>
    <w:p>
      <w:pPr>
        <w:spacing w:line="360" w:lineRule="auto"/>
        <w:ind w:firstLine="480" w:firstLineChars="200"/>
        <w:rPr>
          <w:rFonts w:ascii="宋体" w:hAnsi="宋体"/>
          <w:color w:val="000000"/>
          <w:sz w:val="24"/>
        </w:rPr>
      </w:pPr>
      <w:r>
        <w:rPr>
          <w:rFonts w:hint="eastAsia" w:ascii="宋体" w:hAnsi="宋体"/>
          <w:color w:val="000000"/>
          <w:sz w:val="24"/>
        </w:rPr>
        <w:t>（三）有权要求乙方维护好相关的甲方的安全生产设施、设备和器材。</w:t>
      </w:r>
    </w:p>
    <w:p>
      <w:pPr>
        <w:spacing w:line="360" w:lineRule="auto"/>
        <w:ind w:firstLine="480" w:firstLineChars="200"/>
        <w:rPr>
          <w:rFonts w:ascii="宋体" w:hAnsi="宋体"/>
          <w:color w:val="000000"/>
          <w:sz w:val="24"/>
        </w:rPr>
      </w:pPr>
      <w:r>
        <w:rPr>
          <w:rFonts w:hint="eastAsia" w:ascii="宋体" w:hAnsi="宋体"/>
          <w:color w:val="000000"/>
          <w:sz w:val="24"/>
        </w:rPr>
        <w:t>（四）有权要求乙方对进入甲方现场作业前所有作业人员进行安全培训与教育。</w:t>
      </w:r>
    </w:p>
    <w:p>
      <w:pPr>
        <w:spacing w:line="360" w:lineRule="auto"/>
        <w:ind w:firstLine="480" w:firstLineChars="200"/>
        <w:rPr>
          <w:rFonts w:ascii="宋体" w:hAnsi="宋体"/>
          <w:color w:val="000000"/>
          <w:sz w:val="24"/>
        </w:rPr>
      </w:pPr>
      <w:r>
        <w:rPr>
          <w:rFonts w:hint="eastAsia" w:ascii="宋体" w:hAnsi="宋体"/>
          <w:color w:val="000000"/>
          <w:sz w:val="24"/>
        </w:rPr>
        <w:t>（五）有权对乙方的作业现场的安全作业情况进行监督检查，有权对乙方不符合安全生产要求的行为进行纠正、处罚、制止、停止作业、直至清退出场。</w:t>
      </w:r>
    </w:p>
    <w:p>
      <w:pPr>
        <w:spacing w:line="360" w:lineRule="auto"/>
        <w:ind w:firstLine="480" w:firstLineChars="200"/>
        <w:rPr>
          <w:rFonts w:ascii="宋体" w:hAnsi="宋体"/>
          <w:color w:val="000000"/>
          <w:sz w:val="24"/>
        </w:rPr>
      </w:pPr>
      <w:r>
        <w:rPr>
          <w:rFonts w:hint="eastAsia" w:ascii="宋体" w:hAnsi="宋体"/>
          <w:color w:val="000000"/>
          <w:sz w:val="24"/>
        </w:rPr>
        <w:t>（六）有权要求乙方对其所有作业人员进行购买工伤保险和意外伤害保险。</w:t>
      </w:r>
    </w:p>
    <w:p>
      <w:pPr>
        <w:spacing w:line="360" w:lineRule="auto"/>
        <w:ind w:firstLine="480" w:firstLineChars="200"/>
        <w:rPr>
          <w:rFonts w:ascii="宋体" w:hAnsi="宋体"/>
          <w:color w:val="000000"/>
          <w:sz w:val="24"/>
        </w:rPr>
      </w:pPr>
      <w:r>
        <w:rPr>
          <w:rFonts w:hint="eastAsia" w:ascii="宋体" w:hAnsi="宋体"/>
          <w:color w:val="000000"/>
          <w:sz w:val="24"/>
        </w:rPr>
        <w:t>（七）乙方在作业中如发生国务院《生产安全事故报告和调查处理条例》所规定的伤亡事故，甲方有权督促乙方立即通知乙方上级主管部门和当地政府安全生产监督管理部门，要求派人保护现场，并有权要求乙方提供事故调查书面结论及处理意见。发生事故后、有权根据有关规定参与事故的调查。</w:t>
      </w:r>
    </w:p>
    <w:p>
      <w:pPr>
        <w:spacing w:line="360" w:lineRule="auto"/>
        <w:ind w:firstLine="480" w:firstLineChars="200"/>
        <w:rPr>
          <w:rFonts w:ascii="宋体" w:hAnsi="宋体"/>
          <w:color w:val="000000"/>
          <w:sz w:val="24"/>
        </w:rPr>
      </w:pPr>
      <w:r>
        <w:rPr>
          <w:rFonts w:hint="eastAsia" w:ascii="宋体" w:hAnsi="宋体"/>
          <w:color w:val="000000"/>
          <w:sz w:val="24"/>
        </w:rPr>
        <w:t>第四条　甲方的责任</w:t>
      </w:r>
    </w:p>
    <w:p>
      <w:pPr>
        <w:spacing w:line="360" w:lineRule="auto"/>
        <w:ind w:firstLine="480" w:firstLineChars="200"/>
        <w:rPr>
          <w:rFonts w:ascii="宋体" w:hAnsi="宋体"/>
          <w:color w:val="000000"/>
          <w:sz w:val="24"/>
        </w:rPr>
      </w:pPr>
      <w:r>
        <w:rPr>
          <w:rFonts w:hint="eastAsia" w:ascii="宋体" w:hAnsi="宋体"/>
          <w:color w:val="000000"/>
          <w:sz w:val="24"/>
        </w:rPr>
        <w:t>（一）认真贯彻落实国家有关法律、法规、标准及甲方公司安全生产规章制度。</w:t>
      </w:r>
    </w:p>
    <w:p>
      <w:pPr>
        <w:spacing w:line="360" w:lineRule="auto"/>
        <w:ind w:firstLine="480" w:firstLineChars="200"/>
        <w:rPr>
          <w:rFonts w:ascii="宋体" w:hAnsi="宋体"/>
          <w:color w:val="000000"/>
          <w:sz w:val="24"/>
        </w:rPr>
      </w:pPr>
      <w:r>
        <w:rPr>
          <w:rFonts w:hint="eastAsia" w:ascii="宋体" w:hAnsi="宋体"/>
          <w:color w:val="000000"/>
          <w:sz w:val="24"/>
        </w:rPr>
        <w:t>（二）向乙方明确作业区的范围、危险源。</w:t>
      </w:r>
    </w:p>
    <w:p>
      <w:pPr>
        <w:spacing w:line="360" w:lineRule="auto"/>
        <w:ind w:firstLine="480" w:firstLineChars="200"/>
        <w:rPr>
          <w:rFonts w:ascii="宋体" w:hAnsi="宋体"/>
          <w:color w:val="000000"/>
          <w:sz w:val="24"/>
        </w:rPr>
      </w:pPr>
      <w:r>
        <w:rPr>
          <w:rFonts w:hint="eastAsia" w:ascii="宋体" w:hAnsi="宋体"/>
          <w:color w:val="000000"/>
          <w:sz w:val="24"/>
        </w:rPr>
        <w:t>（三）为乙方提供项目合同中规定的安全作业条件。</w:t>
      </w:r>
    </w:p>
    <w:p>
      <w:pPr>
        <w:spacing w:line="360" w:lineRule="auto"/>
        <w:ind w:firstLine="480" w:firstLineChars="200"/>
        <w:rPr>
          <w:rFonts w:ascii="宋体" w:hAnsi="宋体"/>
          <w:color w:val="000000"/>
          <w:sz w:val="24"/>
        </w:rPr>
      </w:pPr>
      <w:r>
        <w:rPr>
          <w:rFonts w:hint="eastAsia" w:ascii="宋体" w:hAnsi="宋体"/>
          <w:color w:val="000000"/>
          <w:sz w:val="24"/>
        </w:rPr>
        <w:t>（四）发生事故后积极协助抢险，防止事故扩大，并按照甲方公司有关规定进行报告。</w:t>
      </w:r>
    </w:p>
    <w:p>
      <w:pPr>
        <w:spacing w:line="360" w:lineRule="auto"/>
        <w:ind w:firstLine="480" w:firstLineChars="200"/>
        <w:rPr>
          <w:rFonts w:ascii="宋体" w:hAnsi="宋体"/>
          <w:color w:val="000000"/>
          <w:sz w:val="24"/>
        </w:rPr>
      </w:pPr>
      <w:r>
        <w:rPr>
          <w:rFonts w:hint="eastAsia" w:ascii="宋体" w:hAnsi="宋体"/>
          <w:color w:val="000000"/>
          <w:sz w:val="24"/>
        </w:rPr>
        <w:t>第五条　乙方的权利</w:t>
      </w:r>
    </w:p>
    <w:p>
      <w:pPr>
        <w:spacing w:line="360" w:lineRule="auto"/>
        <w:ind w:firstLine="480" w:firstLineChars="200"/>
        <w:rPr>
          <w:rFonts w:ascii="宋体" w:hAnsi="宋体"/>
          <w:color w:val="000000"/>
          <w:sz w:val="24"/>
        </w:rPr>
      </w:pPr>
      <w:r>
        <w:rPr>
          <w:rFonts w:hint="eastAsia" w:ascii="宋体" w:hAnsi="宋体"/>
          <w:color w:val="000000"/>
          <w:sz w:val="24"/>
        </w:rPr>
        <w:t>（一）有权对甲方的安全工作提出合理化建议和改进意见。</w:t>
      </w:r>
    </w:p>
    <w:p>
      <w:pPr>
        <w:spacing w:line="360" w:lineRule="auto"/>
        <w:ind w:firstLine="480" w:firstLineChars="200"/>
        <w:rPr>
          <w:rFonts w:ascii="宋体" w:hAnsi="宋体"/>
          <w:color w:val="000000"/>
          <w:sz w:val="24"/>
        </w:rPr>
      </w:pPr>
      <w:r>
        <w:rPr>
          <w:rFonts w:hint="eastAsia" w:ascii="宋体" w:hAnsi="宋体"/>
          <w:color w:val="000000"/>
          <w:sz w:val="24"/>
        </w:rPr>
        <w:t>（二）日常作业中，若甲方违章指挥、强令乙方冒险作业，有权拒绝执行。</w:t>
      </w:r>
    </w:p>
    <w:p>
      <w:pPr>
        <w:spacing w:line="360" w:lineRule="auto"/>
        <w:ind w:firstLine="480" w:firstLineChars="200"/>
        <w:rPr>
          <w:rFonts w:ascii="宋体" w:hAnsi="宋体"/>
          <w:color w:val="000000"/>
          <w:sz w:val="24"/>
        </w:rPr>
      </w:pPr>
      <w:r>
        <w:rPr>
          <w:rFonts w:hint="eastAsia" w:ascii="宋体" w:hAnsi="宋体"/>
          <w:color w:val="000000"/>
          <w:sz w:val="24"/>
        </w:rPr>
        <w:t>（三）有权要求甲方提供符合安全作业的工艺条件和环境。</w:t>
      </w:r>
    </w:p>
    <w:p>
      <w:pPr>
        <w:spacing w:line="360" w:lineRule="auto"/>
        <w:ind w:firstLine="480" w:firstLineChars="200"/>
        <w:rPr>
          <w:rFonts w:ascii="宋体" w:hAnsi="宋体"/>
          <w:color w:val="000000"/>
          <w:sz w:val="24"/>
        </w:rPr>
      </w:pPr>
      <w:r>
        <w:rPr>
          <w:rFonts w:hint="eastAsia" w:ascii="宋体" w:hAnsi="宋体"/>
          <w:color w:val="000000"/>
          <w:sz w:val="24"/>
        </w:rPr>
        <w:t>（四）发生严重危及乙方生命安全的紧急情况时，乙方有权采取必要的避险措施。</w:t>
      </w:r>
    </w:p>
    <w:p>
      <w:pPr>
        <w:spacing w:line="360" w:lineRule="auto"/>
        <w:ind w:firstLine="480" w:firstLineChars="200"/>
        <w:rPr>
          <w:rFonts w:ascii="宋体" w:hAnsi="宋体"/>
          <w:color w:val="000000"/>
          <w:sz w:val="24"/>
        </w:rPr>
      </w:pPr>
      <w:r>
        <w:rPr>
          <w:rFonts w:hint="eastAsia" w:ascii="宋体" w:hAnsi="宋体"/>
          <w:color w:val="000000"/>
          <w:sz w:val="24"/>
        </w:rPr>
        <w:t>第六条　乙方的责任</w:t>
      </w:r>
    </w:p>
    <w:p>
      <w:pPr>
        <w:spacing w:line="360" w:lineRule="auto"/>
        <w:ind w:firstLine="480" w:firstLineChars="200"/>
        <w:rPr>
          <w:rFonts w:ascii="宋体" w:hAnsi="宋体"/>
          <w:color w:val="000000"/>
          <w:sz w:val="24"/>
        </w:rPr>
      </w:pPr>
      <w:r>
        <w:rPr>
          <w:rFonts w:hint="eastAsia" w:ascii="宋体" w:hAnsi="宋体"/>
          <w:color w:val="000000"/>
          <w:sz w:val="24"/>
        </w:rPr>
        <w:t>（一）乙方是本项目的安全生产责任主体，对本项目的安全生产工作全面负责。乙方应根据国家法律法规及行业安全规范，加强安全管理，如乙方在实施本项目过程中造成甲方、乙方或第三方人员、财产损害的，由乙方承担全部责任。</w:t>
      </w:r>
    </w:p>
    <w:p>
      <w:pPr>
        <w:spacing w:line="360" w:lineRule="auto"/>
        <w:ind w:firstLine="480" w:firstLineChars="200"/>
        <w:rPr>
          <w:rFonts w:ascii="宋体" w:hAnsi="宋体"/>
          <w:color w:val="000000"/>
          <w:sz w:val="24"/>
        </w:rPr>
      </w:pPr>
      <w:r>
        <w:rPr>
          <w:rFonts w:hint="eastAsia" w:ascii="宋体" w:hAnsi="宋体"/>
          <w:color w:val="000000"/>
          <w:sz w:val="24"/>
        </w:rPr>
        <w:t>（二）健全安全组织机构，建立安全生产责任制，制定健全的安全生产规章制度，制定生产安全事故应急求援预案，配备必要的安全生产管理人员和劳动保护用品，严格执行甲方相关的规章制度。</w:t>
      </w:r>
    </w:p>
    <w:p>
      <w:pPr>
        <w:spacing w:line="360" w:lineRule="auto"/>
        <w:ind w:firstLine="480" w:firstLineChars="200"/>
        <w:rPr>
          <w:rFonts w:ascii="宋体" w:hAnsi="宋体"/>
          <w:color w:val="000000"/>
          <w:sz w:val="24"/>
        </w:rPr>
      </w:pPr>
      <w:r>
        <w:rPr>
          <w:rFonts w:hint="eastAsia" w:ascii="宋体" w:hAnsi="宋体"/>
          <w:color w:val="000000"/>
          <w:sz w:val="24"/>
        </w:rPr>
        <w:t>（三）应对作业人员进行作业前安全教育培训，使其具备相应的安全意识和安全技能；特种作业人员应具有相应的资格证书。</w:t>
      </w:r>
    </w:p>
    <w:p>
      <w:pPr>
        <w:spacing w:line="360" w:lineRule="auto"/>
        <w:ind w:firstLine="480" w:firstLineChars="200"/>
        <w:rPr>
          <w:rFonts w:ascii="宋体" w:hAnsi="宋体"/>
          <w:color w:val="000000"/>
          <w:sz w:val="24"/>
        </w:rPr>
      </w:pPr>
      <w:r>
        <w:rPr>
          <w:rFonts w:hint="eastAsia" w:ascii="宋体" w:hAnsi="宋体"/>
          <w:color w:val="000000"/>
          <w:sz w:val="24"/>
        </w:rPr>
        <w:t>（四）不得使用不符合国家、行业标准和甲方规定的原材料、设备、装置、防护用品、器材、安全检测仪器等。所使用的特种设备，必须经具有专业资质的检验检测机构检测。经检测不合格的，不得继续使用。</w:t>
      </w:r>
    </w:p>
    <w:p>
      <w:pPr>
        <w:spacing w:line="360" w:lineRule="auto"/>
        <w:ind w:firstLine="480" w:firstLineChars="200"/>
        <w:rPr>
          <w:rFonts w:ascii="宋体" w:hAnsi="宋体"/>
          <w:color w:val="000000"/>
          <w:sz w:val="24"/>
        </w:rPr>
      </w:pPr>
      <w:r>
        <w:rPr>
          <w:rFonts w:hint="eastAsia" w:ascii="宋体" w:hAnsi="宋体"/>
          <w:color w:val="000000"/>
          <w:sz w:val="24"/>
        </w:rPr>
        <w:t>（五）指定专人负责现场安全监督检查工作，认真开展安全检查，发现作业过程中不安全行为和隐患、应采取有效措施积极处理。</w:t>
      </w:r>
    </w:p>
    <w:p>
      <w:pPr>
        <w:spacing w:line="360" w:lineRule="auto"/>
        <w:ind w:firstLine="480" w:firstLineChars="200"/>
        <w:rPr>
          <w:rFonts w:ascii="宋体" w:hAnsi="宋体"/>
          <w:color w:val="000000"/>
          <w:sz w:val="24"/>
        </w:rPr>
      </w:pPr>
      <w:r>
        <w:rPr>
          <w:rFonts w:hint="eastAsia" w:ascii="宋体" w:hAnsi="宋体"/>
          <w:color w:val="000000"/>
          <w:sz w:val="24"/>
        </w:rPr>
        <w:t>（六）乙方有责任对作业区域的安全生产条件进行详细了解。</w:t>
      </w:r>
    </w:p>
    <w:p>
      <w:pPr>
        <w:spacing w:line="360" w:lineRule="auto"/>
        <w:ind w:firstLine="480" w:firstLineChars="200"/>
        <w:rPr>
          <w:rFonts w:ascii="宋体" w:hAnsi="宋体"/>
          <w:color w:val="000000"/>
          <w:sz w:val="24"/>
        </w:rPr>
      </w:pPr>
      <w:r>
        <w:rPr>
          <w:rFonts w:hint="eastAsia" w:ascii="宋体" w:hAnsi="宋体"/>
          <w:color w:val="000000"/>
          <w:sz w:val="24"/>
        </w:rPr>
        <w:t>（七）乙方在作业过程中有属于危及安全生产的关键作业时，应提出切实可行的方案，经甲方同意后，方可实施。</w:t>
      </w:r>
    </w:p>
    <w:p>
      <w:pPr>
        <w:spacing w:line="360" w:lineRule="auto"/>
        <w:ind w:firstLine="480" w:firstLineChars="200"/>
        <w:rPr>
          <w:rFonts w:ascii="宋体" w:hAnsi="宋体"/>
          <w:color w:val="000000"/>
          <w:sz w:val="24"/>
        </w:rPr>
      </w:pPr>
      <w:r>
        <w:rPr>
          <w:rFonts w:hint="eastAsia" w:ascii="宋体" w:hAnsi="宋体"/>
          <w:color w:val="000000"/>
          <w:sz w:val="24"/>
        </w:rPr>
        <w:t>（八）乙方不能将项目转包给第三方。</w:t>
      </w:r>
    </w:p>
    <w:p>
      <w:pPr>
        <w:spacing w:line="360" w:lineRule="auto"/>
        <w:ind w:firstLine="480" w:firstLineChars="200"/>
        <w:rPr>
          <w:rFonts w:ascii="宋体" w:hAnsi="宋体"/>
          <w:color w:val="000000"/>
          <w:sz w:val="24"/>
        </w:rPr>
      </w:pPr>
      <w:r>
        <w:rPr>
          <w:rFonts w:hint="eastAsia" w:ascii="宋体" w:hAnsi="宋体"/>
          <w:color w:val="000000"/>
          <w:sz w:val="24"/>
        </w:rPr>
        <w:t>（九）乙方在施工期间只能在甲方规定的路线进出公司，只能在规定的施工区域内作业，禁止私自进入甲方其它生产区域。</w:t>
      </w:r>
    </w:p>
    <w:p>
      <w:pPr>
        <w:spacing w:line="360" w:lineRule="auto"/>
        <w:ind w:firstLine="480" w:firstLineChars="200"/>
        <w:rPr>
          <w:rFonts w:ascii="宋体" w:hAnsi="宋体"/>
          <w:color w:val="000000"/>
          <w:sz w:val="24"/>
        </w:rPr>
      </w:pPr>
      <w:r>
        <w:rPr>
          <w:rFonts w:hint="eastAsia" w:ascii="宋体" w:hAnsi="宋体"/>
          <w:color w:val="000000"/>
          <w:sz w:val="24"/>
        </w:rPr>
        <w:t>（十）乙方应服从甲方单位的安全管理。</w:t>
      </w:r>
    </w:p>
    <w:p>
      <w:pPr>
        <w:spacing w:line="360" w:lineRule="auto"/>
        <w:ind w:firstLine="480" w:firstLineChars="200"/>
        <w:rPr>
          <w:rFonts w:ascii="宋体" w:hAnsi="宋体"/>
          <w:color w:val="000000"/>
          <w:sz w:val="24"/>
        </w:rPr>
      </w:pPr>
      <w:r>
        <w:rPr>
          <w:rFonts w:hint="eastAsia" w:ascii="宋体" w:hAnsi="宋体"/>
          <w:color w:val="000000"/>
          <w:sz w:val="24"/>
        </w:rPr>
        <w:t>（十一）发生事故时，应积极抢险，避免事故的进一步扩大，并按照国家相关要求报告事故。</w:t>
      </w:r>
    </w:p>
    <w:p>
      <w:pPr>
        <w:spacing w:line="360" w:lineRule="auto"/>
        <w:ind w:firstLine="480" w:firstLineChars="200"/>
        <w:rPr>
          <w:rFonts w:ascii="宋体" w:hAnsi="宋体"/>
          <w:color w:val="000000"/>
          <w:sz w:val="24"/>
        </w:rPr>
      </w:pPr>
      <w:r>
        <w:rPr>
          <w:rFonts w:hint="eastAsia" w:ascii="宋体" w:hAnsi="宋体"/>
          <w:color w:val="000000"/>
          <w:sz w:val="24"/>
        </w:rPr>
        <w:t>（十二）当乙方在施工过程中发生伤亡事故时，乙方作为工程项目的承包单位，对发生的人身伤害、设备损坏事故及其他安全事故承担全部安全责任。由乙方向自己的主管上级部门及当地政府的安全生产监督管理部门、公安部门报告，并自行承担相应的责任。</w:t>
      </w:r>
    </w:p>
    <w:p>
      <w:pPr>
        <w:spacing w:line="360" w:lineRule="auto"/>
        <w:ind w:firstLine="480" w:firstLineChars="200"/>
        <w:rPr>
          <w:rFonts w:ascii="宋体" w:hAnsi="宋体"/>
          <w:color w:val="000000"/>
          <w:sz w:val="24"/>
        </w:rPr>
      </w:pPr>
      <w:r>
        <w:rPr>
          <w:rFonts w:hint="eastAsia" w:ascii="宋体" w:hAnsi="宋体"/>
          <w:color w:val="000000"/>
          <w:sz w:val="24"/>
        </w:rPr>
        <w:t>第七条  违约责任及处理</w:t>
      </w:r>
    </w:p>
    <w:p>
      <w:pPr>
        <w:spacing w:line="360" w:lineRule="auto"/>
        <w:ind w:firstLine="480" w:firstLineChars="200"/>
        <w:rPr>
          <w:rFonts w:ascii="宋体" w:hAnsi="宋体"/>
          <w:color w:val="000000"/>
          <w:sz w:val="24"/>
        </w:rPr>
      </w:pPr>
      <w:r>
        <w:rPr>
          <w:rFonts w:hint="eastAsia" w:ascii="宋体" w:hAnsi="宋体"/>
          <w:color w:val="000000"/>
          <w:sz w:val="24"/>
        </w:rPr>
        <w:t>（一）甲乙双方违反本合同要求，未造成事故时，依据相关合同对违约者进行处理（包括但不限于支付违约金、赔偿损失等）。</w:t>
      </w:r>
    </w:p>
    <w:p>
      <w:pPr>
        <w:spacing w:line="360" w:lineRule="auto"/>
        <w:ind w:firstLine="480" w:firstLineChars="200"/>
        <w:rPr>
          <w:rFonts w:ascii="宋体" w:hAnsi="宋体"/>
          <w:color w:val="000000"/>
          <w:sz w:val="24"/>
        </w:rPr>
      </w:pPr>
      <w:r>
        <w:rPr>
          <w:rFonts w:hint="eastAsia" w:ascii="宋体" w:hAnsi="宋体"/>
          <w:color w:val="000000"/>
          <w:sz w:val="24"/>
        </w:rPr>
        <w:t>（二）发生事故时，甲、乙双方有抢险、救灾的责任，所发生的费用由责任方承担。</w:t>
      </w:r>
    </w:p>
    <w:p>
      <w:pPr>
        <w:spacing w:line="360" w:lineRule="auto"/>
        <w:ind w:firstLine="480" w:firstLineChars="200"/>
        <w:rPr>
          <w:rFonts w:ascii="宋体" w:hAnsi="宋体"/>
          <w:color w:val="000000"/>
          <w:sz w:val="24"/>
        </w:rPr>
      </w:pPr>
      <w:r>
        <w:rPr>
          <w:rFonts w:hint="eastAsia" w:ascii="宋体" w:hAnsi="宋体"/>
          <w:color w:val="000000"/>
          <w:sz w:val="24"/>
        </w:rPr>
        <w:t xml:space="preserve">（三）发生的事故，应经事故调查确认责任；事故报告和调查应按照国家和甲方有关规定进行。           </w:t>
      </w:r>
    </w:p>
    <w:p>
      <w:pPr>
        <w:spacing w:line="360" w:lineRule="auto"/>
        <w:ind w:firstLine="480" w:firstLineChars="200"/>
        <w:rPr>
          <w:rFonts w:ascii="宋体" w:hAnsi="宋体"/>
          <w:color w:val="000000"/>
          <w:sz w:val="24"/>
        </w:rPr>
      </w:pPr>
      <w:r>
        <w:rPr>
          <w:rFonts w:hint="eastAsia" w:ascii="宋体" w:hAnsi="宋体"/>
          <w:color w:val="000000"/>
          <w:sz w:val="24"/>
        </w:rPr>
        <w:t>（四）甲方违约造成的事故，甲方承担全部责任，并按规定追究有关人员责任及上报。</w:t>
      </w:r>
    </w:p>
    <w:p>
      <w:pPr>
        <w:spacing w:line="360" w:lineRule="auto"/>
        <w:ind w:firstLine="480" w:firstLineChars="200"/>
        <w:rPr>
          <w:rFonts w:ascii="宋体" w:hAnsi="宋体"/>
          <w:color w:val="000000"/>
          <w:sz w:val="24"/>
        </w:rPr>
      </w:pPr>
      <w:r>
        <w:rPr>
          <w:rFonts w:hint="eastAsia" w:ascii="宋体" w:hAnsi="宋体"/>
          <w:color w:val="000000"/>
          <w:sz w:val="24"/>
        </w:rPr>
        <w:t>（五）乙方违约造成的事故，乙方承担全部责任，并按规定追究有关人员责任并报告甲方；由于乙方工程质量、检修质量及购买的原材料导致的事故，由乙方承担全部责任。</w:t>
      </w:r>
    </w:p>
    <w:p>
      <w:pPr>
        <w:spacing w:line="360" w:lineRule="auto"/>
        <w:ind w:firstLine="480" w:firstLineChars="200"/>
        <w:rPr>
          <w:rFonts w:ascii="宋体" w:hAnsi="宋体"/>
          <w:color w:val="000000"/>
          <w:sz w:val="24"/>
        </w:rPr>
      </w:pPr>
      <w:r>
        <w:rPr>
          <w:rFonts w:hint="eastAsia" w:ascii="宋体" w:hAnsi="宋体"/>
          <w:color w:val="000000"/>
          <w:sz w:val="24"/>
        </w:rPr>
        <w:t>（六）甲、乙双方共同造成的事故，按双方责任大小承担相应责任，并按规定追究有关人员责任。</w:t>
      </w:r>
    </w:p>
    <w:p>
      <w:pPr>
        <w:spacing w:line="360" w:lineRule="auto"/>
        <w:ind w:firstLine="480" w:firstLineChars="200"/>
        <w:rPr>
          <w:rFonts w:ascii="宋体" w:hAnsi="宋体"/>
          <w:color w:val="000000"/>
          <w:sz w:val="24"/>
        </w:rPr>
      </w:pPr>
      <w:r>
        <w:rPr>
          <w:rFonts w:hint="eastAsia" w:ascii="宋体" w:hAnsi="宋体"/>
          <w:color w:val="000000"/>
          <w:sz w:val="24"/>
        </w:rPr>
        <w:t>（七）对乙方发生事故后弄虚作假、隐瞒不报、迟报或谎报，一经查出，按有关规定从重处罚，情节严重的，甲方有权向当地政府安全生产监督管理部门报告，并取消其进入甲方市场资格。</w:t>
      </w:r>
    </w:p>
    <w:p>
      <w:pPr>
        <w:spacing w:line="360" w:lineRule="auto"/>
        <w:ind w:firstLine="480" w:firstLineChars="200"/>
        <w:rPr>
          <w:rFonts w:ascii="宋体" w:hAnsi="宋体"/>
          <w:color w:val="000000"/>
          <w:sz w:val="24"/>
        </w:rPr>
      </w:pPr>
      <w:r>
        <w:rPr>
          <w:rFonts w:hint="eastAsia" w:ascii="宋体" w:hAnsi="宋体"/>
          <w:color w:val="000000"/>
          <w:sz w:val="24"/>
        </w:rPr>
        <w:t>（八）施工期间，需要办理的有关安全的批文或其它手续，乙方必须办理齐全，否则发生安全事故由乙方承担全部责任。</w:t>
      </w:r>
    </w:p>
    <w:p>
      <w:pPr>
        <w:spacing w:line="360" w:lineRule="auto"/>
        <w:ind w:firstLine="480" w:firstLineChars="200"/>
        <w:rPr>
          <w:rFonts w:ascii="宋体" w:hAnsi="宋体"/>
          <w:color w:val="000000"/>
          <w:sz w:val="24"/>
        </w:rPr>
      </w:pPr>
      <w:r>
        <w:rPr>
          <w:rFonts w:hint="eastAsia" w:ascii="宋体" w:hAnsi="宋体"/>
          <w:color w:val="000000"/>
          <w:sz w:val="24"/>
        </w:rPr>
        <w:t>第八条　由于不可抗力造成合同项目施工作业事故及生产的损失，当事人双方各自承担相应的损失。</w:t>
      </w:r>
    </w:p>
    <w:p>
      <w:pPr>
        <w:spacing w:line="360" w:lineRule="auto"/>
        <w:ind w:firstLine="480" w:firstLineChars="200"/>
        <w:rPr>
          <w:rFonts w:ascii="宋体" w:hAnsi="宋体"/>
          <w:color w:val="000000"/>
          <w:sz w:val="24"/>
        </w:rPr>
      </w:pPr>
      <w:r>
        <w:rPr>
          <w:rFonts w:hint="eastAsia" w:ascii="宋体" w:hAnsi="宋体"/>
          <w:color w:val="000000"/>
          <w:sz w:val="24"/>
        </w:rPr>
        <w:t>第九条　甲乙双方的施工作业人员和机具设备的保险，由甲乙双方依据国家相关规定或约定各自承担。</w:t>
      </w:r>
    </w:p>
    <w:p>
      <w:pPr>
        <w:spacing w:line="360" w:lineRule="auto"/>
        <w:ind w:firstLine="480" w:firstLineChars="200"/>
        <w:rPr>
          <w:rFonts w:ascii="宋体" w:hAnsi="宋体"/>
          <w:color w:val="000000"/>
          <w:sz w:val="24"/>
        </w:rPr>
      </w:pPr>
      <w:r>
        <w:rPr>
          <w:rFonts w:hint="eastAsia" w:ascii="宋体" w:hAnsi="宋体"/>
          <w:color w:val="000000"/>
          <w:sz w:val="24"/>
        </w:rPr>
        <w:t>第十条  本合同履行过程中发生争议纠纷，应通过友好协商方式解决，如协商不成，按双方在项目合同中约定的管辖地和纠纷解决的方式执行。</w:t>
      </w:r>
    </w:p>
    <w:p>
      <w:pPr>
        <w:spacing w:line="360" w:lineRule="auto"/>
        <w:ind w:firstLine="480" w:firstLineChars="200"/>
        <w:rPr>
          <w:rFonts w:ascii="宋体" w:hAnsi="宋体"/>
          <w:color w:val="000000"/>
          <w:sz w:val="24"/>
        </w:rPr>
      </w:pPr>
      <w:r>
        <w:rPr>
          <w:rFonts w:hint="eastAsia" w:ascii="宋体" w:hAnsi="宋体"/>
          <w:color w:val="000000"/>
          <w:sz w:val="24"/>
        </w:rPr>
        <w:t>第十一条　本合同是项目经济合同的附件，与项目经济合同具有同等法律效力。本合同与项目经济合同同时生效、终止。</w:t>
      </w:r>
    </w:p>
    <w:p>
      <w:pPr>
        <w:spacing w:line="360" w:lineRule="auto"/>
        <w:ind w:firstLine="480" w:firstLineChars="200"/>
        <w:rPr>
          <w:rFonts w:ascii="宋体" w:hAnsi="宋体"/>
          <w:color w:val="000000"/>
          <w:sz w:val="24"/>
        </w:rPr>
      </w:pPr>
      <w:r>
        <w:rPr>
          <w:rFonts w:hint="eastAsia" w:ascii="宋体" w:hAnsi="宋体"/>
          <w:color w:val="000000"/>
          <w:sz w:val="24"/>
        </w:rPr>
        <w:t>第十二条  乙方施工期间指定现场安全监护人员，并书面告知甲方。乙方的现场施工项目经理同时兼任现场安全总负责人。</w:t>
      </w:r>
    </w:p>
    <w:p>
      <w:pPr>
        <w:spacing w:line="360" w:lineRule="auto"/>
        <w:ind w:firstLine="480" w:firstLineChars="200"/>
        <w:rPr>
          <w:rFonts w:ascii="宋体" w:hAnsi="宋体"/>
          <w:color w:val="000000"/>
          <w:sz w:val="24"/>
        </w:rPr>
      </w:pPr>
      <w:r>
        <w:rPr>
          <w:rFonts w:hint="eastAsia" w:ascii="宋体" w:hAnsi="宋体"/>
          <w:color w:val="000000"/>
          <w:sz w:val="24"/>
        </w:rPr>
        <w:t>第十三条　本合同经双方签字或盖章后生效。本合同一式捌份，双方各持肆份。</w:t>
      </w:r>
    </w:p>
    <w:p>
      <w:pPr>
        <w:pStyle w:val="40"/>
        <w:spacing w:line="360" w:lineRule="auto"/>
      </w:pPr>
    </w:p>
    <w:p>
      <w:pPr>
        <w:spacing w:line="360" w:lineRule="auto"/>
        <w:ind w:left="5999" w:leftChars="114" w:hanging="5760" w:hangingChars="2400"/>
        <w:rPr>
          <w:rFonts w:ascii="宋体" w:hAnsi="宋体"/>
          <w:bCs/>
          <w:sz w:val="24"/>
        </w:rPr>
      </w:pPr>
      <w:r>
        <w:rPr>
          <w:rFonts w:hint="eastAsia" w:ascii="宋体" w:hAnsi="宋体"/>
          <w:bCs/>
          <w:sz w:val="24"/>
        </w:rPr>
        <w:t xml:space="preserve">甲方（盖章）：                      乙方（盖章）： </w:t>
      </w:r>
    </w:p>
    <w:p>
      <w:pPr>
        <w:spacing w:line="360" w:lineRule="auto"/>
        <w:rPr>
          <w:rFonts w:ascii="宋体" w:hAnsi="宋体"/>
          <w:bCs/>
          <w:sz w:val="24"/>
        </w:rPr>
      </w:pPr>
    </w:p>
    <w:p>
      <w:pPr>
        <w:spacing w:line="360" w:lineRule="auto"/>
        <w:ind w:firstLine="240" w:firstLineChars="100"/>
        <w:rPr>
          <w:rFonts w:ascii="宋体" w:hAnsi="宋体"/>
          <w:bCs/>
          <w:sz w:val="24"/>
        </w:rPr>
      </w:pPr>
      <w:r>
        <w:rPr>
          <w:rFonts w:hint="eastAsia" w:ascii="宋体" w:hAnsi="宋体"/>
          <w:bCs/>
          <w:sz w:val="24"/>
        </w:rPr>
        <w:t>甲方法定代表人：                    甲方法定代表人：</w:t>
      </w:r>
    </w:p>
    <w:p>
      <w:pPr>
        <w:spacing w:line="360" w:lineRule="auto"/>
        <w:ind w:firstLine="240" w:firstLineChars="100"/>
        <w:rPr>
          <w:rFonts w:ascii="宋体" w:hAnsi="宋体"/>
          <w:bCs/>
          <w:sz w:val="24"/>
        </w:rPr>
      </w:pPr>
      <w:r>
        <w:rPr>
          <w:rFonts w:hint="eastAsia" w:ascii="宋体" w:hAnsi="宋体"/>
          <w:bCs/>
          <w:sz w:val="24"/>
        </w:rPr>
        <w:t xml:space="preserve">或其委托代理人 ：                   或其委托代理人 ：          </w:t>
      </w:r>
    </w:p>
    <w:p>
      <w:pPr>
        <w:wordWrap w:val="0"/>
        <w:spacing w:line="360" w:lineRule="auto"/>
        <w:ind w:firstLine="240" w:firstLineChars="100"/>
        <w:jc w:val="both"/>
        <w:textAlignment w:val="center"/>
        <w:rPr>
          <w:rFonts w:ascii="黑体" w:hAnsi="黑体" w:eastAsia="黑体" w:cs="仿宋"/>
          <w:b/>
          <w:color w:val="000000"/>
          <w:sz w:val="36"/>
          <w:szCs w:val="36"/>
        </w:rPr>
      </w:pPr>
      <w:r>
        <w:rPr>
          <w:rFonts w:hint="eastAsia" w:ascii="宋体" w:hAnsi="宋体"/>
          <w:bCs/>
          <w:sz w:val="24"/>
        </w:rPr>
        <w:t>会签地址：                          日期：   年  月  日</w:t>
      </w:r>
    </w:p>
    <w:p>
      <w:pPr>
        <w:spacing w:line="360" w:lineRule="auto"/>
        <w:rPr>
          <w:rFonts w:ascii="黑体" w:hAnsi="黑体" w:eastAsia="黑体" w:cs="仿宋"/>
          <w:b/>
          <w:color w:val="000000"/>
          <w:sz w:val="36"/>
          <w:szCs w:val="36"/>
        </w:rPr>
      </w:pPr>
      <w:r>
        <w:rPr>
          <w:rFonts w:ascii="黑体" w:hAnsi="黑体" w:eastAsia="黑体" w:cs="仿宋"/>
          <w:b/>
          <w:color w:val="000000"/>
          <w:sz w:val="36"/>
          <w:szCs w:val="36"/>
        </w:rPr>
        <w:br w:type="page"/>
      </w:r>
    </w:p>
    <w:p>
      <w:pPr>
        <w:pStyle w:val="3"/>
        <w:spacing w:before="0" w:after="0" w:line="360" w:lineRule="auto"/>
        <w:jc w:val="center"/>
        <w:rPr>
          <w:rFonts w:ascii="黑体" w:hAnsi="黑体" w:eastAsia="黑体" w:cs="仿宋"/>
          <w:b w:val="0"/>
          <w:color w:val="000000"/>
          <w:sz w:val="36"/>
          <w:szCs w:val="36"/>
        </w:rPr>
      </w:pPr>
      <w:bookmarkStart w:id="71" w:name="_Toc106039362"/>
      <w:r>
        <w:rPr>
          <w:rFonts w:hint="eastAsia" w:ascii="黑体" w:hAnsi="黑体" w:eastAsia="黑体" w:cs="仿宋"/>
          <w:b w:val="0"/>
          <w:color w:val="000000"/>
          <w:sz w:val="36"/>
          <w:szCs w:val="36"/>
        </w:rPr>
        <w:t>第五章  采购需求</w:t>
      </w:r>
      <w:bookmarkEnd w:id="71"/>
    </w:p>
    <w:p>
      <w:pPr>
        <w:spacing w:line="360" w:lineRule="auto"/>
        <w:ind w:firstLine="562" w:firstLineChars="200"/>
        <w:rPr>
          <w:rFonts w:ascii="宋体" w:hAnsi="宋体" w:cs="宋体"/>
          <w:b/>
          <w:bCs/>
          <w:sz w:val="28"/>
          <w:szCs w:val="28"/>
        </w:rPr>
      </w:pPr>
    </w:p>
    <w:p>
      <w:pPr>
        <w:numPr>
          <w:ilvl w:val="0"/>
          <w:numId w:val="2"/>
        </w:numPr>
        <w:spacing w:line="360" w:lineRule="auto"/>
        <w:ind w:firstLine="482" w:firstLineChars="200"/>
        <w:rPr>
          <w:rFonts w:ascii="宋体" w:hAnsi="宋体" w:cs="宋体"/>
          <w:b/>
          <w:bCs/>
          <w:sz w:val="24"/>
        </w:rPr>
      </w:pPr>
      <w:r>
        <w:rPr>
          <w:rFonts w:hint="eastAsia" w:ascii="宋体" w:hAnsi="宋体" w:cs="宋体"/>
          <w:b/>
          <w:bCs/>
          <w:sz w:val="24"/>
        </w:rPr>
        <w:t>采购范围:</w:t>
      </w:r>
      <w:r>
        <w:rPr>
          <w:rFonts w:hint="eastAsia" w:ascii="宋体" w:hAnsi="宋体"/>
          <w:sz w:val="24"/>
        </w:rPr>
        <w:t>长沙集星集装箱码头有限公司网络边界加固项目采购。</w:t>
      </w:r>
    </w:p>
    <w:p>
      <w:pPr>
        <w:spacing w:line="360" w:lineRule="auto"/>
        <w:ind w:firstLine="482" w:firstLineChars="200"/>
        <w:rPr>
          <w:rFonts w:ascii="宋体" w:hAnsi="宋体" w:cs="宋体"/>
          <w:b/>
          <w:bCs/>
          <w:sz w:val="24"/>
        </w:rPr>
      </w:pPr>
      <w:r>
        <w:rPr>
          <w:rFonts w:hint="eastAsia" w:ascii="宋体" w:hAnsi="宋体" w:cs="宋体"/>
          <w:b/>
          <w:bCs/>
          <w:sz w:val="24"/>
        </w:rPr>
        <w:t>二、交货期限:</w:t>
      </w:r>
      <w:r>
        <w:rPr>
          <w:rFonts w:hint="eastAsia" w:ascii="宋体" w:hAnsi="宋体" w:cs="宋体"/>
          <w:sz w:val="24"/>
        </w:rPr>
        <w:t>签订合同后30个日历日完成交货。</w:t>
      </w:r>
    </w:p>
    <w:p>
      <w:pPr>
        <w:spacing w:line="360" w:lineRule="auto"/>
        <w:ind w:left="479" w:leftChars="228"/>
        <w:rPr>
          <w:rFonts w:ascii="宋体" w:hAnsi="宋体" w:cs="宋体"/>
          <w:bCs/>
          <w:sz w:val="24"/>
        </w:rPr>
      </w:pPr>
      <w:r>
        <w:rPr>
          <w:rFonts w:hint="eastAsia" w:ascii="宋体" w:hAnsi="宋体" w:cs="宋体"/>
          <w:b/>
          <w:bCs/>
          <w:sz w:val="24"/>
        </w:rPr>
        <w:t>三、交货地点及方式:</w:t>
      </w:r>
      <w:r>
        <w:rPr>
          <w:rFonts w:hint="eastAsia" w:ascii="宋体" w:hAnsi="宋体" w:cs="宋体"/>
          <w:bCs/>
          <w:sz w:val="24"/>
        </w:rPr>
        <w:t>由供应商负责运输至长沙集星集装箱码头有限公司交货，运费由供应商承担。</w:t>
      </w:r>
    </w:p>
    <w:p>
      <w:pPr>
        <w:spacing w:line="360" w:lineRule="auto"/>
        <w:ind w:firstLine="482" w:firstLineChars="200"/>
        <w:rPr>
          <w:rFonts w:ascii="宋体" w:hAnsi="宋体" w:cs="宋体"/>
          <w:bCs/>
          <w:sz w:val="24"/>
        </w:rPr>
      </w:pPr>
      <w:r>
        <w:rPr>
          <w:rFonts w:hint="eastAsia" w:ascii="宋体" w:hAnsi="宋体" w:cs="宋体"/>
          <w:b/>
          <w:bCs/>
          <w:sz w:val="24"/>
        </w:rPr>
        <w:t>四、售后：</w:t>
      </w:r>
      <w:r>
        <w:rPr>
          <w:rFonts w:hint="eastAsia" w:ascii="宋体" w:hAnsi="宋体" w:cs="宋体"/>
          <w:sz w:val="24"/>
        </w:rPr>
        <w:t>验收合格后</w:t>
      </w:r>
      <w:r>
        <w:rPr>
          <w:rFonts w:hint="eastAsia" w:ascii="宋体" w:hAnsi="宋体" w:cs="宋体"/>
          <w:bCs/>
          <w:sz w:val="24"/>
        </w:rPr>
        <w:t>3年内上门售后服务。</w:t>
      </w:r>
    </w:p>
    <w:p>
      <w:pPr>
        <w:spacing w:line="360" w:lineRule="auto"/>
        <w:ind w:firstLine="482" w:firstLineChars="200"/>
        <w:rPr>
          <w:rFonts w:ascii="宋体" w:hAnsi="宋体" w:cs="宋体"/>
          <w:b/>
          <w:sz w:val="24"/>
        </w:rPr>
      </w:pPr>
      <w:r>
        <w:rPr>
          <w:rFonts w:hint="eastAsia" w:ascii="宋体" w:hAnsi="宋体" w:cs="宋体"/>
          <w:b/>
          <w:sz w:val="24"/>
        </w:rPr>
        <w:t>五、技术要求：</w:t>
      </w:r>
    </w:p>
    <w:tbl>
      <w:tblPr>
        <w:tblStyle w:val="41"/>
        <w:tblW w:w="48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7702"/>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561" w:type="pct"/>
            <w:shd w:val="clear" w:color="auto" w:fill="F2F2F2"/>
            <w:noWrap/>
            <w:vAlign w:val="center"/>
          </w:tcPr>
          <w:p>
            <w:pPr>
              <w:spacing w:line="360" w:lineRule="auto"/>
              <w:jc w:val="center"/>
              <w:rPr>
                <w:rFonts w:ascii="宋体" w:hAnsi="宋体" w:cs="宋体"/>
                <w:b/>
                <w:bCs/>
                <w:kern w:val="0"/>
              </w:rPr>
            </w:pPr>
            <w:r>
              <w:rPr>
                <w:rFonts w:ascii="宋体" w:hAnsi="宋体" w:cs="宋体"/>
                <w:b/>
                <w:bCs/>
                <w:kern w:val="0"/>
              </w:rPr>
              <w:t>产品名称</w:t>
            </w:r>
          </w:p>
        </w:tc>
        <w:tc>
          <w:tcPr>
            <w:tcW w:w="4075" w:type="pct"/>
            <w:shd w:val="clear" w:color="auto" w:fill="F2F2F2"/>
            <w:noWrap/>
            <w:vAlign w:val="center"/>
          </w:tcPr>
          <w:p>
            <w:pPr>
              <w:spacing w:line="360" w:lineRule="auto"/>
              <w:jc w:val="center"/>
              <w:rPr>
                <w:rFonts w:ascii="宋体" w:hAnsi="宋体" w:cs="宋体"/>
                <w:b/>
                <w:bCs/>
                <w:kern w:val="0"/>
              </w:rPr>
            </w:pPr>
            <w:r>
              <w:rPr>
                <w:rFonts w:ascii="宋体" w:hAnsi="宋体" w:cs="宋体"/>
                <w:b/>
                <w:bCs/>
                <w:kern w:val="0"/>
              </w:rPr>
              <w:t>产品技术</w:t>
            </w:r>
            <w:r>
              <w:rPr>
                <w:rFonts w:hint="eastAsia" w:ascii="宋体" w:hAnsi="宋体" w:cs="宋体"/>
                <w:b/>
                <w:bCs/>
                <w:kern w:val="0"/>
              </w:rPr>
              <w:t>指标</w:t>
            </w:r>
          </w:p>
        </w:tc>
        <w:tc>
          <w:tcPr>
            <w:tcW w:w="364" w:type="pct"/>
            <w:shd w:val="clear" w:color="auto" w:fill="F2F2F2"/>
            <w:vAlign w:val="center"/>
          </w:tcPr>
          <w:p>
            <w:pPr>
              <w:spacing w:line="360" w:lineRule="auto"/>
              <w:jc w:val="center"/>
              <w:rPr>
                <w:rFonts w:ascii="宋体" w:hAnsi="宋体" w:cs="宋体"/>
                <w:b/>
                <w:bCs/>
                <w:kern w:val="0"/>
              </w:rPr>
            </w:pPr>
            <w:r>
              <w:rPr>
                <w:rFonts w:hint="eastAsia" w:ascii="宋体" w:hAnsi="宋体" w:cs="宋体"/>
                <w:b/>
                <w:bCs/>
                <w:kern w:val="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61" w:type="pct"/>
            <w:vAlign w:val="center"/>
          </w:tcPr>
          <w:p>
            <w:pPr>
              <w:spacing w:line="360" w:lineRule="auto"/>
              <w:jc w:val="center"/>
              <w:rPr>
                <w:rFonts w:ascii="宋体" w:hAnsi="宋体" w:cs="宋体"/>
                <w:kern w:val="0"/>
                <w:szCs w:val="21"/>
              </w:rPr>
            </w:pPr>
            <w:r>
              <w:rPr>
                <w:rFonts w:hint="eastAsia" w:ascii="宋体" w:hAnsi="宋体" w:cs="宋体"/>
                <w:kern w:val="0"/>
                <w:szCs w:val="21"/>
              </w:rPr>
              <w:t>防火墙</w:t>
            </w:r>
          </w:p>
        </w:tc>
        <w:tc>
          <w:tcPr>
            <w:tcW w:w="4075" w:type="pct"/>
            <w:vAlign w:val="center"/>
          </w:tcPr>
          <w:p>
            <w:pPr>
              <w:spacing w:line="360" w:lineRule="auto"/>
            </w:pPr>
            <w:r>
              <w:rPr>
                <w:rFonts w:hint="eastAsia"/>
              </w:rPr>
              <w:t>1、网络吞吐≥4</w:t>
            </w:r>
            <w:r>
              <w:t>G</w:t>
            </w:r>
            <w:r>
              <w:rPr>
                <w:rFonts w:hint="eastAsia"/>
              </w:rPr>
              <w:t xml:space="preserve">，并发连接数≥180万，新建连接速率≥6万/秒，千兆电口≥12个，三年质保服务； </w:t>
            </w:r>
          </w:p>
          <w:p>
            <w:pPr>
              <w:spacing w:line="360" w:lineRule="auto"/>
            </w:pPr>
            <w:r>
              <w:rPr>
                <w:rFonts w:hint="eastAsia"/>
              </w:rPr>
              <w:t>2</w:t>
            </w:r>
            <w:r>
              <w:t>、支持路由模式、透明模式的HA高可靠性部署，可工作于主备、主主模式，会话、用户、配置可实时同步；HA高可靠性部署支持接口联动，某个端口失效（DOWN），属于同一接口组中其他端口都会进入失效状态（DOWN）；HA高可靠性部署支持配置接口权重；支持链路探测；</w:t>
            </w:r>
          </w:p>
          <w:p>
            <w:pPr>
              <w:spacing w:line="360" w:lineRule="auto"/>
            </w:pPr>
            <w:r>
              <w:rPr>
                <w:rFonts w:hint="eastAsia"/>
              </w:rPr>
              <w:t>3</w:t>
            </w:r>
            <w:r>
              <w:t>、支持针对IPv6流量通过HTTP、HTTPS实现Web认证，用户身份信息可存储在本地或Active Directory\Radius\TACACS+\POP3等第三方服务器；通过HTTPS实现Web认证必须支持使用本地CA颁发的证书同时使用证书验证客户端身份；</w:t>
            </w:r>
          </w:p>
          <w:p>
            <w:pPr>
              <w:spacing w:line="360" w:lineRule="auto"/>
            </w:pPr>
            <w:r>
              <w:rPr>
                <w:rFonts w:hint="eastAsia"/>
              </w:rPr>
              <w:t>4</w:t>
            </w:r>
            <w:r>
              <w:t>、够对HTTP/FTP/POP3/SMTP/IMAP/SMB六种协议进行病毒查杀；本地病毒库规模大于3000万；</w:t>
            </w:r>
          </w:p>
          <w:p>
            <w:pPr>
              <w:spacing w:line="360" w:lineRule="auto"/>
            </w:pPr>
            <w:r>
              <w:rPr>
                <w:rFonts w:hint="eastAsia"/>
              </w:rPr>
              <w:t>5</w:t>
            </w:r>
            <w:r>
              <w:t>、支持虚拟防火墙功能：支持将物理防火墙资源，如会话数、安全策略数、源NAT数、目的NAT数，日志存储数量以保留值及最大值的形式自动分配。</w:t>
            </w:r>
          </w:p>
          <w:p>
            <w:pPr>
              <w:spacing w:line="360" w:lineRule="auto"/>
            </w:pPr>
            <w:r>
              <w:rPr>
                <w:rFonts w:hint="eastAsia"/>
              </w:rPr>
              <w:t>6</w:t>
            </w:r>
            <w:r>
              <w:t>、支持共享上网检测功能，支持共享接入检测和共享接入管控功能，可以通过设置管控地址和例外地址优化管控功能，同时支持阻断或告警动作（投标文件需要提供能够体现上述功能及配置选项的截图）</w:t>
            </w:r>
          </w:p>
          <w:p>
            <w:pPr>
              <w:spacing w:line="360" w:lineRule="auto"/>
            </w:pPr>
            <w:r>
              <w:rPr>
                <w:rFonts w:hint="eastAsia"/>
              </w:rPr>
              <w:t>7</w:t>
            </w:r>
            <w:r>
              <w:t>、支持将其他硬件安全设备（包括但不限于防火墙、IPS、IDS、WAF、行为管理、流量探针等）加入网元组，并接受流量编排；支持对网元进行健康检查，及故障bypass能力，健康检查至少包括链路探测、回环探测、接口探测能力（投标文件需要提供能够体现上述功能及配置选项的截图）</w:t>
            </w:r>
          </w:p>
          <w:p>
            <w:pPr>
              <w:spacing w:line="360" w:lineRule="auto"/>
            </w:pPr>
            <w:r>
              <w:rPr>
                <w:rFonts w:hint="eastAsia"/>
              </w:rPr>
              <w:t>8、防火墙产品符合《信息技术产品自主原创测评准则》，具备国家信息安全测评自主原创产品证书（</w:t>
            </w:r>
            <w:r>
              <w:t>提供证书复印件并加盖厂商公章</w:t>
            </w:r>
            <w:r>
              <w:rPr>
                <w:rFonts w:hint="eastAsia"/>
              </w:rPr>
              <w:t>）</w:t>
            </w:r>
          </w:p>
          <w:p>
            <w:pPr>
              <w:spacing w:line="360" w:lineRule="auto"/>
            </w:pPr>
            <w:r>
              <w:rPr>
                <w:rFonts w:hint="eastAsia"/>
              </w:rPr>
              <w:t>9、防火墙产品具备</w:t>
            </w:r>
            <w:r>
              <w:t>IPv6 Enabled Logo认证</w:t>
            </w:r>
            <w:r>
              <w:rPr>
                <w:rFonts w:hint="eastAsia"/>
              </w:rPr>
              <w:t>。（</w:t>
            </w:r>
            <w:r>
              <w:t>提供证书复印件并加盖厂商公章</w:t>
            </w:r>
            <w:r>
              <w:rPr>
                <w:rFonts w:hint="eastAsia"/>
              </w:rPr>
              <w:t>）</w:t>
            </w:r>
          </w:p>
          <w:p>
            <w:pPr>
              <w:pStyle w:val="2"/>
            </w:pPr>
            <w:r>
              <w:rPr>
                <w:rFonts w:hint="eastAsia" w:ascii="宋体" w:hAnsi="宋体" w:cs="仿宋"/>
                <w:sz w:val="24"/>
              </w:rPr>
              <w:t>*</w:t>
            </w:r>
            <w:r>
              <w:rPr>
                <w:rFonts w:hint="eastAsia" w:ascii="宋体" w:hAnsi="宋体"/>
                <w:bCs/>
                <w:szCs w:val="21"/>
              </w:rPr>
              <w:t>10、设备日志需要接入到现有日志审计设备，实现集中管理。</w:t>
            </w:r>
          </w:p>
        </w:tc>
        <w:tc>
          <w:tcPr>
            <w:tcW w:w="364" w:type="pct"/>
            <w:vAlign w:val="center"/>
          </w:tcPr>
          <w:p>
            <w:pPr>
              <w:spacing w:line="360" w:lineRule="auto"/>
              <w:jc w:val="center"/>
              <w:rPr>
                <w:rFonts w:ascii="宋体" w:hAnsi="宋体" w:cs="宋体"/>
                <w:kern w:val="0"/>
                <w:sz w:val="20"/>
                <w:szCs w:val="20"/>
              </w:rPr>
            </w:pPr>
            <w:r>
              <w:rPr>
                <w:rFonts w:hint="eastAsia" w:ascii="宋体" w:hAnsi="宋体" w:cs="宋体"/>
                <w:kern w:val="0"/>
                <w:sz w:val="20"/>
                <w:szCs w:val="20"/>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pct"/>
            <w:vAlign w:val="center"/>
          </w:tcPr>
          <w:p>
            <w:pPr>
              <w:spacing w:line="360" w:lineRule="auto"/>
              <w:jc w:val="center"/>
              <w:rPr>
                <w:rFonts w:ascii="宋体" w:hAnsi="宋体" w:cs="宋体"/>
                <w:kern w:val="0"/>
                <w:szCs w:val="21"/>
              </w:rPr>
            </w:pPr>
            <w:r>
              <w:rPr>
                <w:rFonts w:hint="eastAsia" w:ascii="宋体" w:hAnsi="宋体" w:cs="宋体"/>
                <w:kern w:val="0"/>
                <w:szCs w:val="21"/>
              </w:rPr>
              <w:t>IPS</w:t>
            </w:r>
          </w:p>
        </w:tc>
        <w:tc>
          <w:tcPr>
            <w:tcW w:w="4075" w:type="pct"/>
            <w:vAlign w:val="center"/>
          </w:tcPr>
          <w:p>
            <w:pPr>
              <w:spacing w:line="360" w:lineRule="auto"/>
            </w:pPr>
            <w:r>
              <w:rPr>
                <w:rFonts w:hint="eastAsia"/>
              </w:rPr>
              <w:t>1、网络层吞吐≥</w:t>
            </w:r>
            <w:r>
              <w:t>3Gbps，IPS吞吐</w:t>
            </w:r>
            <w:r>
              <w:rPr>
                <w:rFonts w:hint="eastAsia"/>
              </w:rPr>
              <w:t>≥</w:t>
            </w:r>
            <w:r>
              <w:t>800Mbps，最大并发连接数</w:t>
            </w:r>
            <w:r>
              <w:rPr>
                <w:rFonts w:hint="eastAsia"/>
              </w:rPr>
              <w:t>≥</w:t>
            </w:r>
            <w:r>
              <w:t>100万，每秒最大新建连接</w:t>
            </w:r>
            <w:r>
              <w:rPr>
                <w:rFonts w:hint="eastAsia"/>
              </w:rPr>
              <w:t>≥</w:t>
            </w:r>
            <w:r>
              <w:t>3万/秒，</w:t>
            </w:r>
            <w:r>
              <w:rPr>
                <w:rFonts w:hint="eastAsia"/>
              </w:rPr>
              <w:t>≥</w:t>
            </w:r>
            <w:r>
              <w:t xml:space="preserve"> 4TB硬盘； </w:t>
            </w:r>
            <w:r>
              <w:rPr>
                <w:rFonts w:hint="eastAsia"/>
              </w:rPr>
              <w:t>≥</w:t>
            </w:r>
            <w:r>
              <w:t>6个10/100/1000Base-T电</w:t>
            </w:r>
            <w:r>
              <w:rPr>
                <w:rFonts w:hint="eastAsia"/>
              </w:rPr>
              <w:t>，</w:t>
            </w:r>
            <w:r>
              <w:t>口</w:t>
            </w:r>
            <w:r>
              <w:rPr>
                <w:rFonts w:hint="eastAsia"/>
              </w:rPr>
              <w:t>≥</w:t>
            </w:r>
            <w:r>
              <w:t>1个扩展板卡插槽</w:t>
            </w:r>
            <w:r>
              <w:rPr>
                <w:rFonts w:hint="eastAsia"/>
              </w:rPr>
              <w:t>，三年质保。</w:t>
            </w:r>
          </w:p>
          <w:p>
            <w:pPr>
              <w:spacing w:line="360" w:lineRule="auto"/>
            </w:pPr>
            <w:r>
              <w:rPr>
                <w:rFonts w:hint="eastAsia"/>
              </w:rPr>
              <w:t>2、支持基于关键字的接收、发送或双向</w:t>
            </w:r>
            <w:r>
              <w:t>Email发件人、收件人过滤，并支持自定义RLB服务器地址配置，并可结合IP黑名单或白名单</w:t>
            </w:r>
            <w:r>
              <w:rPr>
                <w:rFonts w:hint="eastAsia"/>
              </w:rPr>
              <w:t>；</w:t>
            </w:r>
          </w:p>
          <w:p>
            <w:pPr>
              <w:spacing w:line="360" w:lineRule="auto"/>
            </w:pPr>
            <w:r>
              <w:rPr>
                <w:rFonts w:hint="eastAsia"/>
              </w:rPr>
              <w:t>3、支持对应用的文件传输行为进行上传、下载、双向的文件类型过滤，应用至少包含即时通讯、常用协议、文件共享、论坛、博客、网页邮件、微博七种分类；</w:t>
            </w:r>
          </w:p>
          <w:p>
            <w:pPr>
              <w:spacing w:line="360" w:lineRule="auto"/>
            </w:pPr>
            <w:r>
              <w:rPr>
                <w:rFonts w:hint="eastAsia"/>
              </w:rPr>
              <w:t>4、支持漏洞防护功能，同时将漏洞防护特征库分类，至少包括缓冲区溢出、跨站脚本、拒绝服务、恶意扫描、</w:t>
            </w:r>
            <w:r>
              <w:t>SQL注入、WEB攻击等六种分类；漏洞防护支持日志、阻断、放行、重置等执行动作,可批量设置针对某一分类或全部攻击签名的执行动作；支持基于FTP、HTTP、IMAP、OTHER_APP、POP3、SMB、SMTP等应用协议的漏洞防护（提供能够体现漏洞防护特征库分类信息、支持的执行动作以及支持的应用协议的截图）</w:t>
            </w:r>
          </w:p>
          <w:p>
            <w:pPr>
              <w:spacing w:line="360" w:lineRule="auto"/>
            </w:pPr>
            <w:r>
              <w:rPr>
                <w:rFonts w:hint="eastAsia"/>
              </w:rPr>
              <w:t>5、支持暴力破解能力，至少支持</w:t>
            </w:r>
            <w:r>
              <w:t>FTP、IMAP、WEBLOGIC、VNC、Telnet、RLOGIN、RDP等14种协议，且可手动设置攻击频率、持续检测时间，并支持日志、阻断、放行、重置和加入动态黑名单的处置动作。（提供设备包含上述所有高危漏洞攻击的特征及对应详细信息的截图）</w:t>
            </w:r>
          </w:p>
          <w:p>
            <w:pPr>
              <w:spacing w:line="360" w:lineRule="auto"/>
            </w:pPr>
            <w:r>
              <w:rPr>
                <w:rFonts w:hint="eastAsia"/>
              </w:rPr>
              <w:t>6、支持间谍软件防护功能，同时将间谍软件特征库分类，至少包括木马后门、病毒蠕虫、僵尸网络等三种分类</w:t>
            </w:r>
            <w:r>
              <w:t>;支持在间谍软件签名库直接查阅攻击的名称、严重性、描述等信息；间谍软件防护支持日志、阻断、放行、重置等执行动作,可批量设置针对某一分类或全部攻击签名的执行动作；支持基于FTP、HTTP、IMAP、OTHER_APP、POP3、SMB、SMTP等应用协议的间谍软件防护</w:t>
            </w:r>
            <w:r>
              <w:rPr>
                <w:rFonts w:hint="eastAsia"/>
              </w:rPr>
              <w:t>；</w:t>
            </w:r>
          </w:p>
          <w:p>
            <w:pPr>
              <w:spacing w:line="360" w:lineRule="auto"/>
            </w:pPr>
            <w:r>
              <w:rPr>
                <w:rFonts w:hint="eastAsia"/>
              </w:rPr>
              <w:t>7、产品具备国家信息安全测评中心颁发的“国家信息安全测评信息技术产品安全测评证书”，证书级别为</w:t>
            </w:r>
            <w:r>
              <w:t>EAL4+</w:t>
            </w:r>
            <w:r>
              <w:rPr>
                <w:rFonts w:hint="eastAsia"/>
              </w:rPr>
              <w:t>；（</w:t>
            </w:r>
            <w:r>
              <w:t>提供证书复印件并加盖厂商公章</w:t>
            </w:r>
            <w:r>
              <w:rPr>
                <w:rFonts w:hint="eastAsia"/>
              </w:rPr>
              <w:t>）</w:t>
            </w:r>
          </w:p>
          <w:p>
            <w:pPr>
              <w:spacing w:line="360" w:lineRule="auto"/>
            </w:pPr>
            <w:r>
              <w:rPr>
                <w:rFonts w:hint="eastAsia"/>
              </w:rPr>
              <w:t>8、具备中国信息安全测评中心颁发的“</w:t>
            </w:r>
            <w:r>
              <w:t>CNNVD兼容性认证”</w:t>
            </w:r>
            <w:r>
              <w:rPr>
                <w:rFonts w:hint="eastAsia"/>
              </w:rPr>
              <w:t xml:space="preserve"> 。（</w:t>
            </w:r>
            <w:r>
              <w:t>提供证书复印件并加盖厂商公章</w:t>
            </w:r>
            <w:r>
              <w:rPr>
                <w:rFonts w:hint="eastAsia"/>
              </w:rPr>
              <w:t>）</w:t>
            </w:r>
          </w:p>
          <w:p>
            <w:pPr>
              <w:pStyle w:val="2"/>
            </w:pPr>
            <w:r>
              <w:rPr>
                <w:rFonts w:hint="eastAsia" w:ascii="宋体" w:hAnsi="宋体" w:cs="仿宋"/>
                <w:sz w:val="24"/>
              </w:rPr>
              <w:t>*</w:t>
            </w:r>
            <w:r>
              <w:rPr>
                <w:rFonts w:hint="eastAsia" w:ascii="宋体" w:hAnsi="宋体"/>
                <w:bCs/>
                <w:szCs w:val="21"/>
              </w:rPr>
              <w:t>9、设备日志需要接入到现有日志审计设备，实现集中管理。</w:t>
            </w:r>
          </w:p>
        </w:tc>
        <w:tc>
          <w:tcPr>
            <w:tcW w:w="364" w:type="pct"/>
            <w:vAlign w:val="center"/>
          </w:tcPr>
          <w:p>
            <w:pPr>
              <w:spacing w:line="360" w:lineRule="auto"/>
              <w:jc w:val="center"/>
              <w:rPr>
                <w:rFonts w:ascii="宋体" w:hAnsi="宋体" w:cs="宋体"/>
                <w:kern w:val="0"/>
                <w:sz w:val="20"/>
                <w:szCs w:val="20"/>
              </w:rPr>
            </w:pPr>
            <w:r>
              <w:rPr>
                <w:rFonts w:hint="eastAsia" w:ascii="宋体" w:hAnsi="宋体" w:cs="宋体"/>
                <w:kern w:val="0"/>
                <w:sz w:val="20"/>
                <w:szCs w:val="20"/>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561" w:type="pct"/>
            <w:vAlign w:val="center"/>
          </w:tcPr>
          <w:p>
            <w:pPr>
              <w:spacing w:line="360" w:lineRule="auto"/>
              <w:jc w:val="center"/>
              <w:rPr>
                <w:rFonts w:ascii="宋体" w:hAnsi="宋体" w:cs="宋体"/>
                <w:kern w:val="0"/>
                <w:szCs w:val="21"/>
              </w:rPr>
            </w:pPr>
            <w:r>
              <w:rPr>
                <w:rFonts w:hint="eastAsia" w:ascii="宋体" w:hAnsi="宋体" w:cs="宋体"/>
                <w:kern w:val="0"/>
                <w:szCs w:val="21"/>
              </w:rPr>
              <w:t>VPN</w:t>
            </w:r>
          </w:p>
        </w:tc>
        <w:tc>
          <w:tcPr>
            <w:tcW w:w="4075" w:type="pct"/>
            <w:vAlign w:val="center"/>
          </w:tcPr>
          <w:p>
            <w:pPr>
              <w:spacing w:line="360" w:lineRule="auto"/>
              <w:rPr>
                <w:rFonts w:ascii="宋体" w:hAnsi="宋体"/>
                <w:szCs w:val="21"/>
              </w:rPr>
            </w:pPr>
            <w:r>
              <w:rPr>
                <w:rFonts w:hint="eastAsia" w:ascii="宋体" w:hAnsi="宋体"/>
                <w:szCs w:val="21"/>
              </w:rPr>
              <w:t>1、</w:t>
            </w:r>
            <w:r>
              <w:rPr>
                <w:rFonts w:ascii="宋体" w:hAnsi="宋体"/>
                <w:szCs w:val="21"/>
              </w:rPr>
              <w:t xml:space="preserve">1U机箱， </w:t>
            </w:r>
            <w:r>
              <w:rPr>
                <w:rFonts w:hint="eastAsia" w:ascii="宋体" w:hAnsi="宋体"/>
                <w:szCs w:val="21"/>
              </w:rPr>
              <w:t>≥</w:t>
            </w:r>
            <w:r>
              <w:rPr>
                <w:rFonts w:ascii="宋体" w:hAnsi="宋体"/>
                <w:szCs w:val="21"/>
              </w:rPr>
              <w:t>6*10/100/1000电口，最大并发用户数</w:t>
            </w:r>
            <w:r>
              <w:rPr>
                <w:rFonts w:hint="eastAsia" w:ascii="宋体" w:hAnsi="宋体"/>
                <w:szCs w:val="21"/>
              </w:rPr>
              <w:t>≥</w:t>
            </w:r>
            <w:r>
              <w:rPr>
                <w:rFonts w:ascii="宋体" w:hAnsi="宋体"/>
                <w:szCs w:val="21"/>
              </w:rPr>
              <w:t>300，</w:t>
            </w:r>
            <w:r>
              <w:rPr>
                <w:rFonts w:hint="eastAsia" w:ascii="宋体" w:hAnsi="宋体"/>
                <w:szCs w:val="21"/>
              </w:rPr>
              <w:t>配备30个</w:t>
            </w:r>
            <w:r>
              <w:rPr>
                <w:rFonts w:ascii="宋体" w:hAnsi="宋体"/>
                <w:szCs w:val="21"/>
              </w:rPr>
              <w:t>用户授权，含三年硬件质保服务</w:t>
            </w:r>
            <w:r>
              <w:rPr>
                <w:rFonts w:hint="eastAsia" w:ascii="宋体" w:hAnsi="宋体"/>
                <w:szCs w:val="21"/>
              </w:rPr>
              <w:t>；</w:t>
            </w:r>
          </w:p>
          <w:p>
            <w:pPr>
              <w:spacing w:line="360" w:lineRule="auto"/>
              <w:rPr>
                <w:rFonts w:ascii="宋体" w:hAnsi="宋体" w:cs="宋体"/>
                <w:color w:val="000000"/>
                <w:kern w:val="0"/>
                <w:szCs w:val="21"/>
              </w:rPr>
            </w:pPr>
            <w:r>
              <w:rPr>
                <w:rFonts w:hint="eastAsia" w:ascii="宋体" w:hAnsi="宋体" w:cs="宋体"/>
                <w:color w:val="000000"/>
                <w:kern w:val="0"/>
                <w:szCs w:val="21"/>
              </w:rPr>
              <w:t>2、认证方式支持15种，本地认证、USBKey、短信认证、数据库认证、蓝信认证、邮箱认证、证书认证、动态令牌认证、LDAP认证、windows AD认证、RADIUS认证，并且支持支持本地用户名密码、证书认证、第三方证书、LDAP、短信验证码、邮箱验证码、动态令牌之间的“与”的认证。可实现USBKey认证、LDAP认证、硬件特征码等多种因子绑定认证。</w:t>
            </w:r>
          </w:p>
          <w:p>
            <w:pPr>
              <w:spacing w:line="360" w:lineRule="auto"/>
              <w:rPr>
                <w:rFonts w:ascii="宋体" w:hAnsi="宋体" w:cs="宋体"/>
                <w:color w:val="000000"/>
                <w:kern w:val="0"/>
                <w:szCs w:val="21"/>
              </w:rPr>
            </w:pPr>
            <w:r>
              <w:rPr>
                <w:rFonts w:hint="eastAsia" w:ascii="宋体" w:hAnsi="宋体" w:cs="宋体"/>
                <w:color w:val="000000"/>
                <w:kern w:val="0"/>
                <w:szCs w:val="21"/>
              </w:rPr>
              <w:t>3、支持客户端安全性检查，可以检测客户端进程、文件、注册表、服务、模块、端口、mac地址、系统补丁、操作系统等信息，并且能够检查用户是否安装杀毒软件和防火墙，凡是不符合检查规则的，均不允许用户登录访问。</w:t>
            </w:r>
          </w:p>
          <w:p>
            <w:pPr>
              <w:spacing w:line="360" w:lineRule="auto"/>
              <w:rPr>
                <w:rFonts w:ascii="宋体" w:hAnsi="宋体" w:cs="宋体"/>
                <w:color w:val="000000"/>
                <w:kern w:val="0"/>
                <w:szCs w:val="21"/>
              </w:rPr>
            </w:pPr>
            <w:r>
              <w:rPr>
                <w:rFonts w:hint="eastAsia" w:ascii="宋体" w:hAnsi="宋体" w:cs="宋体"/>
                <w:color w:val="000000"/>
                <w:kern w:val="0"/>
                <w:szCs w:val="21"/>
              </w:rPr>
              <w:t>4、支持用户登录使用验证码，支持软键盘认证，支持用户登录防暴力破解，能够设置用户登录失败次数，用户登录失败会自动锁定，管理员可设定锁定时间，管理员也可手动设置用户被锁定，可设置锁定时间周期。</w:t>
            </w:r>
          </w:p>
          <w:p>
            <w:pPr>
              <w:spacing w:line="360" w:lineRule="auto"/>
              <w:rPr>
                <w:rFonts w:ascii="宋体" w:hAnsi="宋体"/>
                <w:szCs w:val="21"/>
              </w:rPr>
            </w:pPr>
            <w:r>
              <w:rPr>
                <w:rFonts w:hint="eastAsia" w:ascii="宋体" w:hAnsi="宋体" w:cs="宋体"/>
                <w:color w:val="000000"/>
                <w:kern w:val="0"/>
                <w:szCs w:val="21"/>
              </w:rPr>
              <w:t>5、支持虚拟门户功能，能够按照不同的用户组来定义不同的虚拟门户，不同的虚拟门户登录界面、访问地址均可以不同。用户通过不同URL登入会获取不同的登入界面，并且每个登入界面可定制。</w:t>
            </w:r>
          </w:p>
          <w:p>
            <w:pPr>
              <w:spacing w:line="360" w:lineRule="auto"/>
              <w:rPr>
                <w:rFonts w:ascii="宋体" w:hAnsi="宋体"/>
                <w:szCs w:val="21"/>
              </w:rPr>
            </w:pPr>
            <w:r>
              <w:rPr>
                <w:rFonts w:hint="eastAsia" w:ascii="宋体" w:hAnsi="宋体"/>
                <w:bCs/>
                <w:szCs w:val="21"/>
              </w:rPr>
              <w:t>6、产品具备中国网络安全审查技术与认证中心</w:t>
            </w:r>
            <w:r>
              <w:rPr>
                <w:rFonts w:ascii="宋体" w:hAnsi="宋体"/>
                <w:bCs/>
                <w:szCs w:val="21"/>
              </w:rPr>
              <w:t>IT产品信息安全认证EAL3增强级</w:t>
            </w:r>
            <w:r>
              <w:rPr>
                <w:rFonts w:hint="eastAsia" w:ascii="宋体" w:hAnsi="宋体"/>
                <w:bCs/>
                <w:szCs w:val="21"/>
              </w:rPr>
              <w:t>（含）以上证书；（</w:t>
            </w:r>
            <w:r>
              <w:rPr>
                <w:rFonts w:ascii="宋体" w:hAnsi="宋体"/>
                <w:bCs/>
                <w:szCs w:val="21"/>
              </w:rPr>
              <w:t>提供证书复印件并加盖厂商公章</w:t>
            </w:r>
            <w:r>
              <w:rPr>
                <w:rFonts w:hint="eastAsia" w:ascii="宋体" w:hAnsi="宋体"/>
                <w:bCs/>
                <w:szCs w:val="21"/>
              </w:rPr>
              <w:t>）</w:t>
            </w:r>
          </w:p>
          <w:p>
            <w:pPr>
              <w:spacing w:line="360" w:lineRule="auto"/>
              <w:rPr>
                <w:rFonts w:ascii="宋体" w:hAnsi="宋体" w:cs="宋体"/>
                <w:kern w:val="0"/>
                <w:szCs w:val="21"/>
              </w:rPr>
            </w:pPr>
            <w:r>
              <w:rPr>
                <w:rFonts w:hint="eastAsia" w:ascii="宋体" w:hAnsi="宋体"/>
                <w:bCs/>
                <w:szCs w:val="21"/>
              </w:rPr>
              <w:t>7、产品支持I</w:t>
            </w:r>
            <w:r>
              <w:rPr>
                <w:rFonts w:ascii="宋体" w:hAnsi="宋体"/>
                <w:bCs/>
                <w:szCs w:val="21"/>
              </w:rPr>
              <w:t>pv</w:t>
            </w:r>
            <w:r>
              <w:rPr>
                <w:rFonts w:hint="eastAsia" w:ascii="宋体" w:hAnsi="宋体"/>
                <w:bCs/>
                <w:szCs w:val="21"/>
              </w:rPr>
              <w:t>6，具备</w:t>
            </w:r>
            <w:r>
              <w:rPr>
                <w:rFonts w:ascii="宋体" w:hAnsi="宋体"/>
                <w:bCs/>
                <w:szCs w:val="21"/>
              </w:rPr>
              <w:t>IPv6 Ready Logo</w:t>
            </w:r>
            <w:r>
              <w:rPr>
                <w:rFonts w:hint="eastAsia" w:ascii="宋体" w:hAnsi="宋体"/>
                <w:bCs/>
                <w:szCs w:val="21"/>
              </w:rPr>
              <w:t>证书。（</w:t>
            </w:r>
            <w:r>
              <w:rPr>
                <w:rFonts w:ascii="宋体" w:hAnsi="宋体"/>
                <w:bCs/>
                <w:szCs w:val="21"/>
              </w:rPr>
              <w:t>提供证书复印件并加盖厂商公章</w:t>
            </w:r>
            <w:r>
              <w:rPr>
                <w:rFonts w:hint="eastAsia" w:ascii="宋体" w:hAnsi="宋体"/>
                <w:bCs/>
                <w:szCs w:val="21"/>
              </w:rPr>
              <w:t>）</w:t>
            </w:r>
          </w:p>
        </w:tc>
        <w:tc>
          <w:tcPr>
            <w:tcW w:w="364" w:type="pct"/>
            <w:vAlign w:val="center"/>
          </w:tcPr>
          <w:p>
            <w:pPr>
              <w:spacing w:line="360" w:lineRule="auto"/>
              <w:jc w:val="center"/>
              <w:rPr>
                <w:rFonts w:ascii="宋体" w:hAnsi="宋体" w:cs="宋体"/>
                <w:kern w:val="0"/>
                <w:sz w:val="20"/>
                <w:szCs w:val="20"/>
              </w:rPr>
            </w:pPr>
            <w:r>
              <w:rPr>
                <w:rFonts w:hint="eastAsia" w:ascii="宋体" w:hAnsi="宋体" w:cs="宋体"/>
                <w:kern w:val="0"/>
                <w:sz w:val="20"/>
                <w:szCs w:val="20"/>
              </w:rPr>
              <w:t>1台</w:t>
            </w:r>
          </w:p>
        </w:tc>
      </w:tr>
    </w:tbl>
    <w:p>
      <w:pPr>
        <w:pStyle w:val="2"/>
        <w:spacing w:line="360" w:lineRule="auto"/>
        <w:ind w:left="479" w:leftChars="228"/>
        <w:rPr>
          <w:sz w:val="24"/>
        </w:rPr>
      </w:pPr>
    </w:p>
    <w:p>
      <w:pPr>
        <w:spacing w:line="360" w:lineRule="auto"/>
        <w:ind w:firstLine="482" w:firstLineChars="200"/>
      </w:pPr>
      <w:r>
        <w:rPr>
          <w:rFonts w:hint="eastAsia" w:ascii="宋体" w:hAnsi="宋体" w:cs="宋体"/>
          <w:b/>
          <w:bCs/>
          <w:sz w:val="24"/>
        </w:rPr>
        <w:t>六、采购清单：</w:t>
      </w:r>
      <w:r>
        <w:rPr>
          <w:rFonts w:ascii="宋体" w:hAnsi="宋体" w:cs="宋体"/>
          <w:b/>
          <w:bCs/>
          <w:sz w:val="24"/>
        </w:rPr>
        <w:t xml:space="preserve"> </w:t>
      </w:r>
    </w:p>
    <w:tbl>
      <w:tblPr>
        <w:tblStyle w:val="42"/>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835"/>
        <w:gridCol w:w="269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8" w:type="dxa"/>
            <w:vAlign w:val="center"/>
          </w:tcPr>
          <w:p>
            <w:pPr>
              <w:widowControl w:val="0"/>
              <w:adjustRightInd w:val="0"/>
              <w:snapToGrid w:val="0"/>
              <w:jc w:val="center"/>
              <w:rPr>
                <w:rFonts w:ascii="宋体" w:hAnsi="宋体"/>
                <w:color w:val="000000"/>
                <w:sz w:val="20"/>
                <w:szCs w:val="20"/>
              </w:rPr>
            </w:pPr>
            <w:r>
              <w:rPr>
                <w:rFonts w:ascii="宋体" w:hAnsi="宋体"/>
                <w:color w:val="000000"/>
                <w:sz w:val="20"/>
                <w:szCs w:val="20"/>
              </w:rPr>
              <w:t>序号</w:t>
            </w:r>
          </w:p>
        </w:tc>
        <w:tc>
          <w:tcPr>
            <w:tcW w:w="2835" w:type="dxa"/>
            <w:vAlign w:val="center"/>
          </w:tcPr>
          <w:p>
            <w:pPr>
              <w:widowControl w:val="0"/>
              <w:adjustRightInd w:val="0"/>
              <w:snapToGrid w:val="0"/>
              <w:jc w:val="center"/>
              <w:rPr>
                <w:rFonts w:ascii="宋体" w:hAnsi="宋体"/>
                <w:color w:val="000000"/>
                <w:sz w:val="20"/>
                <w:szCs w:val="20"/>
              </w:rPr>
            </w:pPr>
            <w:r>
              <w:rPr>
                <w:rFonts w:hint="eastAsia" w:ascii="宋体" w:hAnsi="宋体"/>
                <w:color w:val="000000"/>
                <w:sz w:val="20"/>
                <w:szCs w:val="20"/>
              </w:rPr>
              <w:t>产品</w:t>
            </w:r>
            <w:r>
              <w:rPr>
                <w:rFonts w:ascii="宋体" w:hAnsi="宋体"/>
                <w:color w:val="000000"/>
                <w:sz w:val="20"/>
                <w:szCs w:val="20"/>
              </w:rPr>
              <w:t>名称</w:t>
            </w:r>
          </w:p>
        </w:tc>
        <w:tc>
          <w:tcPr>
            <w:tcW w:w="2693" w:type="dxa"/>
            <w:vAlign w:val="center"/>
          </w:tcPr>
          <w:p>
            <w:pPr>
              <w:widowControl w:val="0"/>
              <w:adjustRightInd w:val="0"/>
              <w:snapToGrid w:val="0"/>
              <w:jc w:val="center"/>
              <w:rPr>
                <w:rFonts w:ascii="宋体" w:hAnsi="宋体"/>
                <w:color w:val="000000"/>
                <w:sz w:val="20"/>
                <w:szCs w:val="20"/>
              </w:rPr>
            </w:pPr>
            <w:r>
              <w:rPr>
                <w:rFonts w:hint="eastAsia" w:ascii="宋体" w:hAnsi="宋体"/>
                <w:color w:val="000000"/>
                <w:sz w:val="20"/>
                <w:szCs w:val="20"/>
              </w:rPr>
              <w:t>数量（台）</w:t>
            </w:r>
          </w:p>
        </w:tc>
        <w:tc>
          <w:tcPr>
            <w:tcW w:w="1701" w:type="dxa"/>
            <w:vAlign w:val="center"/>
          </w:tcPr>
          <w:p>
            <w:pPr>
              <w:widowControl w:val="0"/>
              <w:adjustRightInd w:val="0"/>
              <w:snapToGrid w:val="0"/>
              <w:jc w:val="center"/>
              <w:rPr>
                <w:rFonts w:ascii="宋体" w:hAnsi="宋体"/>
                <w:color w:val="000000"/>
                <w:sz w:val="20"/>
                <w:szCs w:val="20"/>
              </w:rPr>
            </w:pPr>
            <w:r>
              <w:rPr>
                <w:rFonts w:hint="eastAsia" w:ascii="宋体" w:hAnsi="宋体"/>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8" w:type="dxa"/>
            <w:vAlign w:val="center"/>
          </w:tcPr>
          <w:p>
            <w:pPr>
              <w:widowControl w:val="0"/>
              <w:adjustRightInd w:val="0"/>
              <w:snapToGrid w:val="0"/>
              <w:jc w:val="center"/>
              <w:rPr>
                <w:rFonts w:ascii="宋体" w:hAnsi="宋体"/>
                <w:color w:val="000000"/>
                <w:sz w:val="20"/>
                <w:szCs w:val="20"/>
              </w:rPr>
            </w:pPr>
            <w:r>
              <w:rPr>
                <w:rFonts w:hint="eastAsia" w:ascii="宋体" w:hAnsi="宋体"/>
                <w:color w:val="000000"/>
                <w:sz w:val="20"/>
                <w:szCs w:val="20"/>
              </w:rPr>
              <w:t>1</w:t>
            </w:r>
          </w:p>
        </w:tc>
        <w:tc>
          <w:tcPr>
            <w:tcW w:w="2835" w:type="dxa"/>
            <w:vAlign w:val="center"/>
          </w:tcPr>
          <w:p>
            <w:pPr>
              <w:widowControl w:val="0"/>
              <w:adjustRightInd w:val="0"/>
              <w:snapToGrid w:val="0"/>
              <w:jc w:val="center"/>
              <w:rPr>
                <w:rFonts w:ascii="宋体" w:hAnsi="宋体"/>
                <w:color w:val="000000"/>
                <w:sz w:val="20"/>
                <w:szCs w:val="20"/>
              </w:rPr>
            </w:pPr>
            <w:r>
              <w:rPr>
                <w:rFonts w:hint="eastAsia" w:ascii="宋体" w:hAnsi="宋体"/>
                <w:color w:val="000000"/>
                <w:sz w:val="20"/>
                <w:szCs w:val="20"/>
              </w:rPr>
              <w:t>防火墙</w:t>
            </w:r>
          </w:p>
        </w:tc>
        <w:tc>
          <w:tcPr>
            <w:tcW w:w="2693" w:type="dxa"/>
            <w:vAlign w:val="center"/>
          </w:tcPr>
          <w:p>
            <w:pPr>
              <w:widowControl w:val="0"/>
              <w:adjustRightInd w:val="0"/>
              <w:snapToGrid w:val="0"/>
              <w:jc w:val="center"/>
              <w:rPr>
                <w:rFonts w:ascii="宋体" w:hAnsi="宋体"/>
                <w:color w:val="000000"/>
                <w:sz w:val="20"/>
                <w:szCs w:val="20"/>
              </w:rPr>
            </w:pPr>
            <w:r>
              <w:rPr>
                <w:rFonts w:hint="eastAsia" w:ascii="宋体" w:hAnsi="宋体"/>
                <w:color w:val="000000"/>
                <w:sz w:val="20"/>
                <w:szCs w:val="20"/>
              </w:rPr>
              <w:t>1</w:t>
            </w:r>
          </w:p>
        </w:tc>
        <w:tc>
          <w:tcPr>
            <w:tcW w:w="1701" w:type="dxa"/>
            <w:vMerge w:val="restart"/>
            <w:vAlign w:val="center"/>
          </w:tcPr>
          <w:p>
            <w:pPr>
              <w:widowControl w:val="0"/>
              <w:adjustRightInd w:val="0"/>
              <w:snapToGrid w:val="0"/>
              <w:jc w:val="center"/>
              <w:rPr>
                <w:rFonts w:ascii="宋体" w:hAnsi="宋体"/>
                <w:color w:val="000000"/>
                <w:sz w:val="20"/>
                <w:szCs w:val="20"/>
              </w:rPr>
            </w:pPr>
            <w:r>
              <w:rPr>
                <w:rFonts w:ascii="宋体" w:hAnsi="宋体"/>
                <w:color w:val="000000"/>
                <w:sz w:val="20"/>
                <w:szCs w:val="20"/>
              </w:rPr>
              <w:t>三年服务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8" w:type="dxa"/>
            <w:vAlign w:val="center"/>
          </w:tcPr>
          <w:p>
            <w:pPr>
              <w:widowControl w:val="0"/>
              <w:adjustRightInd w:val="0"/>
              <w:snapToGrid w:val="0"/>
              <w:jc w:val="center"/>
              <w:rPr>
                <w:rFonts w:ascii="宋体" w:hAnsi="宋体"/>
                <w:color w:val="000000"/>
                <w:sz w:val="20"/>
                <w:szCs w:val="20"/>
              </w:rPr>
            </w:pPr>
            <w:r>
              <w:rPr>
                <w:rFonts w:hint="eastAsia" w:ascii="宋体" w:hAnsi="宋体"/>
                <w:color w:val="000000"/>
                <w:sz w:val="20"/>
                <w:szCs w:val="20"/>
              </w:rPr>
              <w:t>2</w:t>
            </w:r>
          </w:p>
        </w:tc>
        <w:tc>
          <w:tcPr>
            <w:tcW w:w="2835" w:type="dxa"/>
            <w:vAlign w:val="center"/>
          </w:tcPr>
          <w:p>
            <w:pPr>
              <w:widowControl w:val="0"/>
              <w:adjustRightInd w:val="0"/>
              <w:snapToGrid w:val="0"/>
              <w:jc w:val="center"/>
              <w:rPr>
                <w:rFonts w:ascii="宋体" w:hAnsi="宋体"/>
                <w:color w:val="000000"/>
                <w:sz w:val="20"/>
                <w:szCs w:val="20"/>
              </w:rPr>
            </w:pPr>
            <w:r>
              <w:rPr>
                <w:rFonts w:hint="eastAsia" w:ascii="宋体" w:hAnsi="宋体"/>
                <w:color w:val="000000"/>
                <w:sz w:val="20"/>
                <w:szCs w:val="20"/>
              </w:rPr>
              <w:t>IPS</w:t>
            </w:r>
          </w:p>
        </w:tc>
        <w:tc>
          <w:tcPr>
            <w:tcW w:w="2693" w:type="dxa"/>
            <w:vAlign w:val="center"/>
          </w:tcPr>
          <w:p>
            <w:pPr>
              <w:widowControl w:val="0"/>
              <w:adjustRightInd w:val="0"/>
              <w:snapToGrid w:val="0"/>
              <w:jc w:val="center"/>
              <w:rPr>
                <w:rFonts w:ascii="宋体" w:hAnsi="宋体"/>
                <w:color w:val="000000"/>
                <w:sz w:val="20"/>
                <w:szCs w:val="20"/>
              </w:rPr>
            </w:pPr>
            <w:r>
              <w:rPr>
                <w:rFonts w:hint="eastAsia" w:ascii="宋体" w:hAnsi="宋体"/>
                <w:color w:val="000000"/>
                <w:sz w:val="20"/>
                <w:szCs w:val="20"/>
              </w:rPr>
              <w:t>1</w:t>
            </w:r>
          </w:p>
        </w:tc>
        <w:tc>
          <w:tcPr>
            <w:tcW w:w="1701" w:type="dxa"/>
            <w:vMerge w:val="continue"/>
            <w:vAlign w:val="center"/>
          </w:tcPr>
          <w:p>
            <w:pPr>
              <w:widowControl w:val="0"/>
              <w:adjustRightInd w:val="0"/>
              <w:snapToGrid w:val="0"/>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8" w:type="dxa"/>
            <w:vAlign w:val="center"/>
          </w:tcPr>
          <w:p>
            <w:pPr>
              <w:widowControl w:val="0"/>
              <w:adjustRightInd w:val="0"/>
              <w:snapToGrid w:val="0"/>
              <w:jc w:val="center"/>
              <w:rPr>
                <w:rFonts w:ascii="宋体" w:hAnsi="宋体"/>
                <w:color w:val="000000"/>
                <w:sz w:val="20"/>
                <w:szCs w:val="20"/>
              </w:rPr>
            </w:pPr>
            <w:r>
              <w:rPr>
                <w:rFonts w:hint="eastAsia" w:ascii="宋体" w:hAnsi="宋体"/>
                <w:color w:val="000000"/>
                <w:sz w:val="20"/>
                <w:szCs w:val="20"/>
              </w:rPr>
              <w:t>3</w:t>
            </w:r>
          </w:p>
        </w:tc>
        <w:tc>
          <w:tcPr>
            <w:tcW w:w="2835" w:type="dxa"/>
            <w:vAlign w:val="center"/>
          </w:tcPr>
          <w:p>
            <w:pPr>
              <w:widowControl w:val="0"/>
              <w:adjustRightInd w:val="0"/>
              <w:snapToGrid w:val="0"/>
              <w:jc w:val="center"/>
              <w:rPr>
                <w:rFonts w:ascii="宋体" w:hAnsi="宋体"/>
                <w:color w:val="000000"/>
                <w:sz w:val="20"/>
                <w:szCs w:val="20"/>
              </w:rPr>
            </w:pPr>
            <w:r>
              <w:rPr>
                <w:rFonts w:hint="eastAsia" w:ascii="宋体" w:hAnsi="宋体"/>
                <w:color w:val="000000"/>
                <w:sz w:val="20"/>
                <w:szCs w:val="20"/>
              </w:rPr>
              <w:t>VPN</w:t>
            </w:r>
          </w:p>
        </w:tc>
        <w:tc>
          <w:tcPr>
            <w:tcW w:w="2693" w:type="dxa"/>
            <w:vAlign w:val="center"/>
          </w:tcPr>
          <w:p>
            <w:pPr>
              <w:widowControl w:val="0"/>
              <w:adjustRightInd w:val="0"/>
              <w:snapToGrid w:val="0"/>
              <w:jc w:val="center"/>
              <w:rPr>
                <w:rFonts w:ascii="宋体" w:hAnsi="宋体"/>
                <w:color w:val="000000"/>
                <w:sz w:val="20"/>
                <w:szCs w:val="20"/>
              </w:rPr>
            </w:pPr>
            <w:r>
              <w:rPr>
                <w:rFonts w:hint="eastAsia" w:ascii="宋体" w:hAnsi="宋体"/>
                <w:color w:val="000000"/>
                <w:sz w:val="20"/>
                <w:szCs w:val="20"/>
              </w:rPr>
              <w:t>1</w:t>
            </w:r>
          </w:p>
        </w:tc>
        <w:tc>
          <w:tcPr>
            <w:tcW w:w="1701" w:type="dxa"/>
            <w:vMerge w:val="continue"/>
            <w:vAlign w:val="center"/>
          </w:tcPr>
          <w:p>
            <w:pPr>
              <w:widowControl w:val="0"/>
              <w:adjustRightInd w:val="0"/>
              <w:snapToGrid w:val="0"/>
              <w:jc w:val="center"/>
              <w:rPr>
                <w:rFonts w:ascii="宋体" w:hAnsi="宋体"/>
                <w:color w:val="000000"/>
                <w:sz w:val="20"/>
                <w:szCs w:val="20"/>
              </w:rPr>
            </w:pPr>
          </w:p>
        </w:tc>
      </w:tr>
    </w:tbl>
    <w:p>
      <w:pPr>
        <w:spacing w:line="360" w:lineRule="auto"/>
        <w:ind w:firstLine="560" w:firstLineChars="200"/>
        <w:rPr>
          <w:rFonts w:ascii="宋体" w:hAnsi="宋体" w:cs="宋体"/>
          <w:bCs/>
          <w:sz w:val="28"/>
          <w:szCs w:val="28"/>
        </w:rPr>
      </w:pPr>
    </w:p>
    <w:p>
      <w:pPr>
        <w:spacing w:line="360" w:lineRule="auto"/>
        <w:ind w:firstLine="560" w:firstLineChars="200"/>
        <w:rPr>
          <w:rFonts w:ascii="宋体" w:hAnsi="宋体" w:cs="宋体"/>
          <w:bCs/>
          <w:sz w:val="28"/>
          <w:szCs w:val="28"/>
        </w:rPr>
      </w:pPr>
    </w:p>
    <w:p>
      <w:pPr>
        <w:pStyle w:val="3"/>
        <w:spacing w:line="360" w:lineRule="auto"/>
        <w:jc w:val="center"/>
        <w:rPr>
          <w:rFonts w:ascii="黑体" w:hAnsi="黑体" w:eastAsia="黑体" w:cs="仿宋"/>
          <w:b w:val="0"/>
          <w:color w:val="000000"/>
          <w:sz w:val="36"/>
          <w:szCs w:val="36"/>
        </w:rPr>
      </w:pPr>
      <w:bookmarkStart w:id="72" w:name="_Toc106039363"/>
      <w:r>
        <w:rPr>
          <w:rFonts w:hint="eastAsia" w:ascii="黑体" w:hAnsi="黑体" w:eastAsia="黑体" w:cs="仿宋"/>
          <w:b w:val="0"/>
          <w:color w:val="000000"/>
          <w:sz w:val="36"/>
          <w:szCs w:val="36"/>
        </w:rPr>
        <w:t>第六章  响应文件格式</w:t>
      </w:r>
      <w:bookmarkEnd w:id="72"/>
    </w:p>
    <w:p>
      <w:pPr>
        <w:spacing w:line="360" w:lineRule="auto"/>
        <w:jc w:val="center"/>
        <w:rPr>
          <w:rFonts w:ascii="仿宋" w:hAnsi="仿宋" w:eastAsia="仿宋" w:cs="仿宋"/>
          <w:sz w:val="30"/>
          <w:szCs w:val="30"/>
        </w:rPr>
      </w:pPr>
    </w:p>
    <w:p>
      <w:pPr>
        <w:spacing w:line="360" w:lineRule="auto"/>
        <w:jc w:val="center"/>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240" w:beforeLines="100" w:after="240" w:afterLines="100" w:line="360" w:lineRule="auto"/>
        <w:jc w:val="center"/>
        <w:rPr>
          <w:rFonts w:eastAsia="楷体_GB2312"/>
          <w:b/>
          <w:bCs/>
          <w:sz w:val="28"/>
          <w:szCs w:val="28"/>
        </w:rPr>
      </w:pPr>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p>
    <w:p>
      <w:pPr>
        <w:widowControl w:val="0"/>
        <w:adjustRightInd w:val="0"/>
        <w:snapToGrid w:val="0"/>
        <w:spacing w:line="360" w:lineRule="auto"/>
        <w:rPr>
          <w:b/>
        </w:rPr>
      </w:pPr>
    </w:p>
    <w:p>
      <w:pPr>
        <w:spacing w:line="360" w:lineRule="auto"/>
        <w:jc w:val="center"/>
        <w:rPr>
          <w:rFonts w:eastAsia="方正小标宋_GBK"/>
          <w:b/>
          <w:bCs/>
          <w:spacing w:val="160"/>
          <w:sz w:val="72"/>
          <w:szCs w:val="72"/>
        </w:rPr>
      </w:pPr>
    </w:p>
    <w:p>
      <w:pPr>
        <w:spacing w:line="360" w:lineRule="auto"/>
        <w:jc w:val="center"/>
        <w:rPr>
          <w:rFonts w:eastAsia="方正小标宋_GBK"/>
          <w:b/>
          <w:bCs/>
          <w:spacing w:val="160"/>
          <w:sz w:val="72"/>
          <w:szCs w:val="72"/>
        </w:rPr>
      </w:pPr>
    </w:p>
    <w:p>
      <w:pPr>
        <w:spacing w:line="360" w:lineRule="auto"/>
        <w:jc w:val="center"/>
        <w:rPr>
          <w:rFonts w:eastAsia="方正小标宋_GBK"/>
          <w:b/>
          <w:bCs/>
          <w:spacing w:val="160"/>
          <w:sz w:val="72"/>
          <w:szCs w:val="72"/>
        </w:rPr>
      </w:pPr>
    </w:p>
    <w:p>
      <w:pPr>
        <w:spacing w:line="360" w:lineRule="auto"/>
        <w:jc w:val="center"/>
        <w:rPr>
          <w:rFonts w:eastAsia="方正小标宋_GBK"/>
          <w:b/>
          <w:bCs/>
          <w:spacing w:val="160"/>
          <w:sz w:val="72"/>
          <w:szCs w:val="72"/>
        </w:rPr>
      </w:pPr>
      <w:r>
        <w:rPr>
          <w:rFonts w:hint="eastAsia" w:eastAsia="方正小标宋_GBK"/>
          <w:b/>
          <w:bCs/>
          <w:spacing w:val="160"/>
          <w:sz w:val="72"/>
          <w:szCs w:val="72"/>
        </w:rPr>
        <w:t>响应</w:t>
      </w:r>
      <w:r>
        <w:rPr>
          <w:rFonts w:eastAsia="方正小标宋_GBK"/>
          <w:b/>
          <w:bCs/>
          <w:spacing w:val="160"/>
          <w:sz w:val="72"/>
          <w:szCs w:val="72"/>
        </w:rPr>
        <w:t>文件</w:t>
      </w:r>
    </w:p>
    <w:p>
      <w:pPr>
        <w:spacing w:line="360" w:lineRule="auto"/>
        <w:rPr>
          <w:sz w:val="26"/>
          <w:szCs w:val="26"/>
        </w:rPr>
      </w:pPr>
    </w:p>
    <w:p>
      <w:pPr>
        <w:pStyle w:val="2"/>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jc w:val="center"/>
        <w:rPr>
          <w:rFonts w:eastAsia="黑体"/>
          <w:bCs/>
          <w:sz w:val="30"/>
          <w:szCs w:val="30"/>
        </w:rPr>
      </w:pPr>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 xml:space="preserve">全称并盖单位公章 </w:t>
      </w:r>
    </w:p>
    <w:p>
      <w:pPr>
        <w:spacing w:line="360" w:lineRule="auto"/>
        <w:jc w:val="center"/>
        <w:rPr>
          <w:rFonts w:eastAsia="黑体"/>
          <w:sz w:val="30"/>
          <w:szCs w:val="30"/>
        </w:rPr>
      </w:pPr>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p>
    <w:p>
      <w:pPr>
        <w:adjustRightInd w:val="0"/>
        <w:snapToGrid w:val="0"/>
        <w:spacing w:line="360" w:lineRule="auto"/>
        <w:jc w:val="center"/>
        <w:rPr>
          <w:rFonts w:ascii="黑体" w:hAnsi="黑体" w:eastAsia="黑体" w:cs="仿宋"/>
          <w:sz w:val="36"/>
          <w:szCs w:val="36"/>
        </w:rPr>
      </w:pPr>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p>
    <w:p>
      <w:pPr>
        <w:adjustRightInd w:val="0"/>
        <w:snapToGrid w:val="0"/>
        <w:spacing w:line="360" w:lineRule="auto"/>
        <w:jc w:val="both"/>
        <w:rPr>
          <w:rFonts w:ascii="宋体" w:hAnsi="宋体" w:cs="仿宋"/>
          <w:sz w:val="36"/>
          <w:szCs w:val="36"/>
        </w:rPr>
      </w:pPr>
    </w:p>
    <w:p>
      <w:pPr>
        <w:adjustRightInd w:val="0"/>
        <w:snapToGrid w:val="0"/>
        <w:spacing w:line="360" w:lineRule="auto"/>
        <w:jc w:val="both"/>
        <w:rPr>
          <w:rFonts w:ascii="宋体" w:hAnsi="宋体" w:cs="仿宋"/>
          <w:sz w:val="24"/>
        </w:rPr>
      </w:pPr>
      <w:r>
        <w:rPr>
          <w:rFonts w:hint="eastAsia" w:ascii="宋体" w:hAnsi="宋体" w:cs="仿宋"/>
          <w:sz w:val="24"/>
        </w:rPr>
        <w:t>一、响应函</w:t>
      </w:r>
    </w:p>
    <w:p>
      <w:pPr>
        <w:adjustRightInd w:val="0"/>
        <w:snapToGrid w:val="0"/>
        <w:spacing w:line="360" w:lineRule="auto"/>
        <w:jc w:val="both"/>
        <w:rPr>
          <w:rFonts w:ascii="宋体" w:hAnsi="宋体" w:cs="仿宋"/>
          <w:sz w:val="24"/>
        </w:rPr>
      </w:pPr>
      <w:r>
        <w:rPr>
          <w:rFonts w:hint="eastAsia" w:ascii="宋体" w:hAnsi="宋体" w:cs="仿宋"/>
          <w:sz w:val="24"/>
        </w:rPr>
        <w:t>二、授权委托书(适用于有委托代理人的情况)</w:t>
      </w:r>
    </w:p>
    <w:p>
      <w:pPr>
        <w:adjustRightInd w:val="0"/>
        <w:snapToGrid w:val="0"/>
        <w:spacing w:line="360" w:lineRule="auto"/>
        <w:jc w:val="both"/>
        <w:rPr>
          <w:rFonts w:ascii="宋体" w:hAnsi="宋体" w:cs="仿宋"/>
          <w:sz w:val="24"/>
        </w:rPr>
      </w:pPr>
      <w:r>
        <w:rPr>
          <w:rFonts w:hint="eastAsia" w:ascii="宋体" w:hAnsi="宋体" w:cs="仿宋"/>
          <w:sz w:val="24"/>
        </w:rPr>
        <w:t>三、商务和技术偏差表</w:t>
      </w:r>
    </w:p>
    <w:p>
      <w:pPr>
        <w:adjustRightInd w:val="0"/>
        <w:snapToGrid w:val="0"/>
        <w:spacing w:line="360" w:lineRule="auto"/>
        <w:jc w:val="both"/>
        <w:rPr>
          <w:rFonts w:ascii="宋体" w:hAnsi="宋体" w:cs="仿宋"/>
          <w:sz w:val="24"/>
        </w:rPr>
      </w:pPr>
      <w:r>
        <w:rPr>
          <w:rFonts w:hint="eastAsia" w:ascii="宋体" w:hAnsi="宋体" w:cs="仿宋"/>
          <w:sz w:val="24"/>
        </w:rPr>
        <w:t>四、报价表</w:t>
      </w:r>
    </w:p>
    <w:p>
      <w:pPr>
        <w:adjustRightInd w:val="0"/>
        <w:snapToGrid w:val="0"/>
        <w:spacing w:line="360" w:lineRule="auto"/>
        <w:jc w:val="both"/>
        <w:rPr>
          <w:rFonts w:ascii="宋体" w:hAnsi="宋体" w:cs="仿宋"/>
          <w:sz w:val="24"/>
        </w:rPr>
      </w:pPr>
      <w:r>
        <w:rPr>
          <w:rFonts w:hint="eastAsia" w:ascii="宋体" w:hAnsi="宋体" w:cs="仿宋"/>
          <w:sz w:val="24"/>
        </w:rPr>
        <w:t>五、资格审查资料</w:t>
      </w:r>
    </w:p>
    <w:p>
      <w:pPr>
        <w:adjustRightInd w:val="0"/>
        <w:snapToGrid w:val="0"/>
        <w:spacing w:line="360" w:lineRule="auto"/>
        <w:jc w:val="both"/>
        <w:rPr>
          <w:rFonts w:ascii="宋体" w:hAnsi="宋体" w:cs="仿宋"/>
          <w:sz w:val="24"/>
        </w:rPr>
      </w:pPr>
      <w:r>
        <w:rPr>
          <w:rFonts w:hint="eastAsia" w:ascii="宋体" w:hAnsi="宋体" w:cs="仿宋"/>
          <w:sz w:val="24"/>
        </w:rPr>
        <w:t>六、响应方案</w:t>
      </w:r>
    </w:p>
    <w:p>
      <w:pPr>
        <w:adjustRightInd w:val="0"/>
        <w:snapToGrid w:val="0"/>
        <w:spacing w:line="360" w:lineRule="auto"/>
        <w:jc w:val="both"/>
        <w:rPr>
          <w:rFonts w:ascii="宋体" w:hAnsi="宋体" w:cs="仿宋"/>
          <w:sz w:val="24"/>
        </w:rPr>
      </w:pPr>
      <w:r>
        <w:rPr>
          <w:rFonts w:hint="eastAsia" w:ascii="宋体" w:hAnsi="宋体" w:cs="仿宋"/>
          <w:sz w:val="24"/>
        </w:rPr>
        <w:t>七、其他资料</w:t>
      </w:r>
    </w:p>
    <w:p>
      <w:pPr>
        <w:spacing w:line="360" w:lineRule="auto"/>
        <w:jc w:val="both"/>
        <w:rPr>
          <w:rFonts w:ascii="仿宋" w:hAnsi="仿宋" w:eastAsia="仿宋" w:cs="仿宋"/>
          <w:sz w:val="30"/>
          <w:szCs w:val="30"/>
        </w:rPr>
      </w:pPr>
      <w:r>
        <w:rPr>
          <w:rFonts w:hint="eastAsia" w:ascii="仿宋" w:hAnsi="仿宋" w:eastAsia="仿宋" w:cs="仿宋"/>
          <w:sz w:val="30"/>
          <w:szCs w:val="30"/>
        </w:rPr>
        <w:br w:type="page"/>
      </w:r>
    </w:p>
    <w:p>
      <w:pPr>
        <w:pStyle w:val="4"/>
        <w:spacing w:line="360" w:lineRule="auto"/>
        <w:jc w:val="center"/>
        <w:rPr>
          <w:rFonts w:ascii="黑体" w:hAnsi="黑体" w:eastAsia="黑体" w:cs="仿宋"/>
        </w:rPr>
      </w:pPr>
      <w:bookmarkStart w:id="73" w:name="_Toc106039364"/>
      <w:r>
        <w:rPr>
          <w:rFonts w:hint="eastAsia" w:ascii="黑体" w:hAnsi="黑体" w:eastAsia="黑体" w:cs="仿宋"/>
        </w:rPr>
        <w:t>一、响应函</w:t>
      </w:r>
      <w:bookmarkEnd w:id="73"/>
    </w:p>
    <w:p>
      <w:pPr>
        <w:adjustRightInd w:val="0"/>
        <w:snapToGrid w:val="0"/>
        <w:spacing w:line="360" w:lineRule="auto"/>
        <w:jc w:val="both"/>
        <w:rPr>
          <w:rFonts w:cs="仿宋" w:asciiTheme="minorEastAsia" w:hAnsiTheme="minorEastAsia" w:eastAsiaTheme="minorEastAsia"/>
          <w:sz w:val="24"/>
        </w:rPr>
      </w:pP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1.我方已仔细研究了__(项目名称)采购文件的全部内容，愿意以含税价人民币(大写)(￥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;增值税税额为: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)提供本项目货物，并按合同约定履行义务。</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360" w:lineRule="auto"/>
        <w:jc w:val="both"/>
        <w:rPr>
          <w:rFonts w:ascii="宋体" w:hAnsi="宋体" w:cs="仿宋"/>
          <w:sz w:val="24"/>
        </w:rPr>
      </w:pPr>
      <w:r>
        <w:rPr>
          <w:rFonts w:hint="eastAsia" w:ascii="宋体" w:hAnsi="宋体" w:cs="仿宋"/>
          <w:sz w:val="24"/>
        </w:rPr>
        <w:t>（1）响应函</w:t>
      </w:r>
    </w:p>
    <w:p>
      <w:pPr>
        <w:adjustRightInd w:val="0"/>
        <w:snapToGrid w:val="0"/>
        <w:spacing w:line="360" w:lineRule="auto"/>
        <w:jc w:val="both"/>
        <w:rPr>
          <w:rFonts w:ascii="宋体" w:hAnsi="宋体" w:cs="仿宋"/>
          <w:sz w:val="24"/>
        </w:rPr>
      </w:pPr>
      <w:r>
        <w:rPr>
          <w:rFonts w:hint="eastAsia" w:ascii="宋体" w:hAnsi="宋体" w:cs="仿宋"/>
          <w:sz w:val="24"/>
        </w:rPr>
        <w:t>（2）授权委托书(适用于有委托代理人的情况)</w:t>
      </w:r>
    </w:p>
    <w:p>
      <w:pPr>
        <w:adjustRightInd w:val="0"/>
        <w:snapToGrid w:val="0"/>
        <w:spacing w:line="360" w:lineRule="auto"/>
        <w:jc w:val="both"/>
        <w:rPr>
          <w:rFonts w:ascii="宋体" w:hAnsi="宋体" w:cs="仿宋"/>
          <w:sz w:val="24"/>
        </w:rPr>
      </w:pPr>
      <w:r>
        <w:rPr>
          <w:rFonts w:hint="eastAsia" w:ascii="宋体" w:hAnsi="宋体" w:cs="仿宋"/>
          <w:sz w:val="24"/>
        </w:rPr>
        <w:t>（3）商务和技术偏差表</w:t>
      </w:r>
    </w:p>
    <w:p>
      <w:pPr>
        <w:adjustRightInd w:val="0"/>
        <w:snapToGrid w:val="0"/>
        <w:spacing w:line="360" w:lineRule="auto"/>
        <w:jc w:val="both"/>
        <w:rPr>
          <w:rFonts w:ascii="宋体" w:hAnsi="宋体" w:cs="仿宋"/>
          <w:sz w:val="24"/>
        </w:rPr>
      </w:pPr>
      <w:r>
        <w:rPr>
          <w:rFonts w:hint="eastAsia" w:ascii="宋体" w:hAnsi="宋体" w:cs="仿宋"/>
          <w:sz w:val="24"/>
        </w:rPr>
        <w:t>（4）报价表</w:t>
      </w:r>
    </w:p>
    <w:p>
      <w:pPr>
        <w:adjustRightInd w:val="0"/>
        <w:snapToGrid w:val="0"/>
        <w:spacing w:line="360" w:lineRule="auto"/>
        <w:jc w:val="both"/>
        <w:rPr>
          <w:rFonts w:ascii="宋体" w:hAnsi="宋体" w:cs="仿宋"/>
          <w:sz w:val="24"/>
        </w:rPr>
      </w:pPr>
      <w:r>
        <w:rPr>
          <w:rFonts w:hint="eastAsia" w:ascii="宋体" w:hAnsi="宋体" w:cs="仿宋"/>
          <w:sz w:val="24"/>
        </w:rPr>
        <w:t>（5）资格审查资料</w:t>
      </w:r>
    </w:p>
    <w:p>
      <w:pPr>
        <w:adjustRightInd w:val="0"/>
        <w:snapToGrid w:val="0"/>
        <w:spacing w:line="360" w:lineRule="auto"/>
        <w:jc w:val="both"/>
        <w:rPr>
          <w:rFonts w:ascii="宋体" w:hAnsi="宋体" w:cs="仿宋"/>
          <w:sz w:val="24"/>
        </w:rPr>
      </w:pPr>
      <w:r>
        <w:rPr>
          <w:rFonts w:hint="eastAsia" w:ascii="宋体" w:hAnsi="宋体" w:cs="仿宋"/>
          <w:sz w:val="24"/>
        </w:rPr>
        <w:t>（6）响应方案</w:t>
      </w:r>
    </w:p>
    <w:p>
      <w:pPr>
        <w:adjustRightInd w:val="0"/>
        <w:snapToGrid w:val="0"/>
        <w:spacing w:line="360" w:lineRule="auto"/>
        <w:jc w:val="both"/>
        <w:rPr>
          <w:rFonts w:ascii="宋体" w:hAnsi="宋体" w:cs="仿宋"/>
          <w:sz w:val="24"/>
        </w:rPr>
      </w:pPr>
      <w:r>
        <w:rPr>
          <w:rFonts w:hint="eastAsia" w:ascii="宋体" w:hAnsi="宋体" w:cs="仿宋"/>
          <w:sz w:val="24"/>
        </w:rPr>
        <w:t>（7）其他资料</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3"/>
        </w:num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我方承诺在采购文件规定的响应文件有效期内不撤销响应文件。</w:t>
      </w:r>
    </w:p>
    <w:p>
      <w:pPr>
        <w:numPr>
          <w:ilvl w:val="0"/>
          <w:numId w:val="3"/>
        </w:num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6.我方在此声明，所递交的响应文件及有关资料内容完整、真实和准确，且不存在第一章“采购公告”中规定的供应商不得存在的情形。</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360" w:lineRule="auto"/>
        <w:jc w:val="both"/>
        <w:rPr>
          <w:rFonts w:cs="仿宋" w:asciiTheme="minorEastAsia" w:hAnsiTheme="minorEastAsia" w:eastAsiaTheme="minorEastAsia"/>
          <w:sz w:val="24"/>
        </w:rPr>
      </w:pP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360" w:lineRule="auto"/>
        <w:jc w:val="both"/>
        <w:rPr>
          <w:rFonts w:cs="仿宋" w:asciiTheme="minorEastAsia" w:hAnsiTheme="minorEastAsia" w:eastAsiaTheme="minorEastAsia"/>
          <w:sz w:val="24"/>
        </w:rPr>
      </w:pPr>
    </w:p>
    <w:p>
      <w:pPr>
        <w:spacing w:line="360" w:lineRule="auto"/>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36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360" w:lineRule="auto"/>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pStyle w:val="4"/>
        <w:spacing w:line="360" w:lineRule="auto"/>
        <w:jc w:val="center"/>
        <w:rPr>
          <w:rFonts w:ascii="黑体" w:hAnsi="黑体" w:eastAsia="黑体" w:cs="仿宋"/>
        </w:rPr>
      </w:pPr>
      <w:r>
        <w:rPr>
          <w:rFonts w:hint="eastAsia" w:cs="仿宋" w:asciiTheme="minorEastAsia" w:hAnsiTheme="minorEastAsia" w:eastAsiaTheme="minorEastAsia"/>
          <w:sz w:val="24"/>
        </w:rPr>
        <w:br w:type="page"/>
      </w:r>
      <w:bookmarkStart w:id="74" w:name="_Toc106039365"/>
      <w:r>
        <w:rPr>
          <w:rFonts w:hint="eastAsia" w:ascii="黑体" w:hAnsi="黑体" w:eastAsia="黑体" w:cs="仿宋"/>
        </w:rPr>
        <w:t>二、授权委托书</w:t>
      </w:r>
      <w:bookmarkEnd w:id="74"/>
    </w:p>
    <w:p>
      <w:pPr>
        <w:adjustRightInd w:val="0"/>
        <w:snapToGrid w:val="0"/>
        <w:spacing w:line="360" w:lineRule="auto"/>
        <w:ind w:left="420" w:leftChars="200"/>
        <w:jc w:val="both"/>
        <w:rPr>
          <w:rFonts w:cs="仿宋" w:asciiTheme="minorEastAsia" w:hAnsiTheme="minorEastAsia" w:eastAsiaTheme="minorEastAsia"/>
          <w:sz w:val="24"/>
        </w:rPr>
      </w:pP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年_月日</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pStyle w:val="4"/>
        <w:spacing w:line="360" w:lineRule="auto"/>
        <w:jc w:val="center"/>
        <w:rPr>
          <w:rFonts w:ascii="黑体" w:hAnsi="黑体" w:eastAsia="黑体" w:cs="仿宋"/>
        </w:rPr>
      </w:pPr>
      <w:bookmarkStart w:id="75" w:name="_Toc106039366"/>
      <w:r>
        <w:rPr>
          <w:rFonts w:hint="eastAsia" w:ascii="黑体" w:hAnsi="黑体" w:eastAsia="黑体" w:cs="仿宋"/>
        </w:rPr>
        <w:t>三、商务和技术偏差表</w:t>
      </w:r>
      <w:bookmarkEnd w:id="75"/>
    </w:p>
    <w:p>
      <w:pPr>
        <w:spacing w:line="360" w:lineRule="auto"/>
        <w:jc w:val="center"/>
        <w:rPr>
          <w:rFonts w:cs="仿宋" w:asciiTheme="minorEastAsia" w:hAnsiTheme="minorEastAsia" w:eastAsiaTheme="minorEastAsia"/>
          <w:sz w:val="24"/>
        </w:rPr>
      </w:pP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463"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464"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360" w:lineRule="auto"/>
              <w:jc w:val="both"/>
              <w:rPr>
                <w:rFonts w:cs="仿宋" w:asciiTheme="minorEastAsia" w:hAnsiTheme="minorEastAsia" w:eastAsiaTheme="minorEastAsia"/>
                <w:sz w:val="24"/>
              </w:rPr>
            </w:pPr>
          </w:p>
        </w:tc>
        <w:tc>
          <w:tcPr>
            <w:tcW w:w="2463" w:type="dxa"/>
          </w:tcPr>
          <w:p>
            <w:pPr>
              <w:widowControl/>
              <w:spacing w:line="360" w:lineRule="auto"/>
              <w:jc w:val="both"/>
              <w:rPr>
                <w:rFonts w:cs="仿宋" w:asciiTheme="minorEastAsia" w:hAnsiTheme="minorEastAsia" w:eastAsiaTheme="minorEastAsia"/>
                <w:sz w:val="24"/>
              </w:rPr>
            </w:pPr>
          </w:p>
        </w:tc>
        <w:tc>
          <w:tcPr>
            <w:tcW w:w="2464" w:type="dxa"/>
          </w:tcPr>
          <w:p>
            <w:pPr>
              <w:widowControl/>
              <w:spacing w:line="360" w:lineRule="auto"/>
              <w:jc w:val="both"/>
              <w:rPr>
                <w:rFonts w:cs="仿宋" w:asciiTheme="minorEastAsia" w:hAnsiTheme="minorEastAsia" w:eastAsiaTheme="minorEastAsia"/>
                <w:sz w:val="24"/>
              </w:rPr>
            </w:pPr>
          </w:p>
        </w:tc>
        <w:tc>
          <w:tcPr>
            <w:tcW w:w="2464"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360" w:lineRule="auto"/>
              <w:jc w:val="both"/>
              <w:rPr>
                <w:rFonts w:cs="仿宋" w:asciiTheme="minorEastAsia" w:hAnsiTheme="minorEastAsia" w:eastAsiaTheme="minorEastAsia"/>
                <w:sz w:val="24"/>
              </w:rPr>
            </w:pPr>
          </w:p>
        </w:tc>
        <w:tc>
          <w:tcPr>
            <w:tcW w:w="2463" w:type="dxa"/>
          </w:tcPr>
          <w:p>
            <w:pPr>
              <w:widowControl/>
              <w:spacing w:line="360" w:lineRule="auto"/>
              <w:jc w:val="both"/>
              <w:rPr>
                <w:rFonts w:cs="仿宋" w:asciiTheme="minorEastAsia" w:hAnsiTheme="minorEastAsia" w:eastAsiaTheme="minorEastAsia"/>
                <w:sz w:val="24"/>
              </w:rPr>
            </w:pPr>
          </w:p>
        </w:tc>
        <w:tc>
          <w:tcPr>
            <w:tcW w:w="2464" w:type="dxa"/>
          </w:tcPr>
          <w:p>
            <w:pPr>
              <w:widowControl/>
              <w:spacing w:line="360" w:lineRule="auto"/>
              <w:jc w:val="both"/>
              <w:rPr>
                <w:rFonts w:cs="仿宋" w:asciiTheme="minorEastAsia" w:hAnsiTheme="minorEastAsia" w:eastAsiaTheme="minorEastAsia"/>
                <w:sz w:val="24"/>
              </w:rPr>
            </w:pPr>
          </w:p>
        </w:tc>
        <w:tc>
          <w:tcPr>
            <w:tcW w:w="2464"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360" w:lineRule="auto"/>
              <w:jc w:val="both"/>
              <w:rPr>
                <w:rFonts w:cs="仿宋" w:asciiTheme="minorEastAsia" w:hAnsiTheme="minorEastAsia" w:eastAsiaTheme="minorEastAsia"/>
                <w:sz w:val="24"/>
              </w:rPr>
            </w:pPr>
          </w:p>
        </w:tc>
        <w:tc>
          <w:tcPr>
            <w:tcW w:w="2463" w:type="dxa"/>
          </w:tcPr>
          <w:p>
            <w:pPr>
              <w:widowControl/>
              <w:spacing w:line="360" w:lineRule="auto"/>
              <w:jc w:val="both"/>
              <w:rPr>
                <w:rFonts w:cs="仿宋" w:asciiTheme="minorEastAsia" w:hAnsiTheme="minorEastAsia" w:eastAsiaTheme="minorEastAsia"/>
                <w:sz w:val="24"/>
              </w:rPr>
            </w:pPr>
          </w:p>
        </w:tc>
        <w:tc>
          <w:tcPr>
            <w:tcW w:w="2464" w:type="dxa"/>
          </w:tcPr>
          <w:p>
            <w:pPr>
              <w:widowControl/>
              <w:spacing w:line="360" w:lineRule="auto"/>
              <w:jc w:val="both"/>
              <w:rPr>
                <w:rFonts w:cs="仿宋" w:asciiTheme="minorEastAsia" w:hAnsiTheme="minorEastAsia" w:eastAsiaTheme="minorEastAsia"/>
                <w:sz w:val="24"/>
              </w:rPr>
            </w:pPr>
          </w:p>
        </w:tc>
        <w:tc>
          <w:tcPr>
            <w:tcW w:w="2464"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360" w:lineRule="auto"/>
              <w:jc w:val="both"/>
              <w:rPr>
                <w:rFonts w:cs="仿宋" w:asciiTheme="minorEastAsia" w:hAnsiTheme="minorEastAsia" w:eastAsiaTheme="minorEastAsia"/>
                <w:sz w:val="24"/>
              </w:rPr>
            </w:pPr>
          </w:p>
        </w:tc>
        <w:tc>
          <w:tcPr>
            <w:tcW w:w="2463" w:type="dxa"/>
          </w:tcPr>
          <w:p>
            <w:pPr>
              <w:widowControl/>
              <w:spacing w:line="360" w:lineRule="auto"/>
              <w:jc w:val="both"/>
              <w:rPr>
                <w:rFonts w:cs="仿宋" w:asciiTheme="minorEastAsia" w:hAnsiTheme="minorEastAsia" w:eastAsiaTheme="minorEastAsia"/>
                <w:sz w:val="24"/>
              </w:rPr>
            </w:pPr>
          </w:p>
        </w:tc>
        <w:tc>
          <w:tcPr>
            <w:tcW w:w="2464" w:type="dxa"/>
          </w:tcPr>
          <w:p>
            <w:pPr>
              <w:widowControl/>
              <w:spacing w:line="360" w:lineRule="auto"/>
              <w:jc w:val="both"/>
              <w:rPr>
                <w:rFonts w:cs="仿宋" w:asciiTheme="minorEastAsia" w:hAnsiTheme="minorEastAsia" w:eastAsiaTheme="minorEastAsia"/>
                <w:sz w:val="24"/>
              </w:rPr>
            </w:pPr>
          </w:p>
        </w:tc>
        <w:tc>
          <w:tcPr>
            <w:tcW w:w="2464" w:type="dxa"/>
          </w:tcPr>
          <w:p>
            <w:pPr>
              <w:widowControl/>
              <w:spacing w:line="360" w:lineRule="auto"/>
              <w:jc w:val="both"/>
              <w:rPr>
                <w:rFonts w:cs="仿宋" w:asciiTheme="minorEastAsia" w:hAnsiTheme="minorEastAsia" w:eastAsiaTheme="minorEastAsia"/>
                <w:sz w:val="24"/>
              </w:rPr>
            </w:pPr>
          </w:p>
        </w:tc>
      </w:tr>
    </w:tbl>
    <w:p>
      <w:pPr>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spacing w:line="360" w:lineRule="auto"/>
        <w:jc w:val="both"/>
        <w:rPr>
          <w:rFonts w:cs="仿宋" w:asciiTheme="minorEastAsia" w:hAnsiTheme="minorEastAsia" w:eastAsiaTheme="minorEastAsia"/>
          <w:sz w:val="24"/>
        </w:rPr>
        <w:sectPr>
          <w:footerReference r:id="rId5" w:type="default"/>
          <w:pgSz w:w="11906" w:h="16838"/>
          <w:pgMar w:top="1440" w:right="1366" w:bottom="1440" w:left="1080" w:header="851" w:footer="1344" w:gutter="0"/>
          <w:cols w:space="720" w:num="1"/>
          <w:docGrid w:linePitch="312" w:charSpace="0"/>
        </w:sectPr>
      </w:pPr>
      <w:r>
        <w:rPr>
          <w:rFonts w:hint="eastAsia" w:cs="仿宋" w:asciiTheme="minorEastAsia" w:hAnsiTheme="minorEastAsia" w:eastAsiaTheme="minorEastAsia"/>
          <w:sz w:val="24"/>
        </w:rPr>
        <w:br w:type="page"/>
      </w:r>
    </w:p>
    <w:p>
      <w:pPr>
        <w:spacing w:line="360" w:lineRule="auto"/>
        <w:jc w:val="both"/>
        <w:rPr>
          <w:rFonts w:cs="仿宋" w:asciiTheme="minorEastAsia" w:hAnsiTheme="minorEastAsia" w:eastAsiaTheme="minorEastAsia"/>
          <w:sz w:val="24"/>
        </w:rPr>
      </w:pPr>
    </w:p>
    <w:p>
      <w:pPr>
        <w:pStyle w:val="4"/>
        <w:spacing w:line="360" w:lineRule="auto"/>
        <w:jc w:val="center"/>
        <w:rPr>
          <w:rFonts w:ascii="黑体" w:hAnsi="黑体" w:eastAsia="黑体" w:cs="仿宋"/>
        </w:rPr>
      </w:pPr>
      <w:bookmarkStart w:id="76" w:name="_Toc106039367"/>
      <w:r>
        <w:rPr>
          <w:rFonts w:hint="eastAsia" w:ascii="黑体" w:hAnsi="黑体" w:eastAsia="黑体" w:cs="仿宋"/>
        </w:rPr>
        <w:t>四、报价表</w:t>
      </w:r>
      <w:bookmarkEnd w:id="76"/>
    </w:p>
    <w:p>
      <w:pPr>
        <w:pStyle w:val="5"/>
        <w:keepNext w:val="0"/>
        <w:keepLines w:val="0"/>
        <w:widowControl w:val="0"/>
        <w:adjustRightInd w:val="0"/>
        <w:snapToGrid w:val="0"/>
        <w:spacing w:before="120" w:beforeLines="50" w:after="120" w:afterLines="50" w:line="240" w:lineRule="auto"/>
        <w:jc w:val="center"/>
        <w:rPr>
          <w:rFonts w:ascii="宋体" w:hAnsi="宋体"/>
          <w:b/>
          <w:bCs/>
          <w:color w:val="000000"/>
        </w:rPr>
      </w:pPr>
      <w:r>
        <w:rPr>
          <w:rFonts w:ascii="宋体" w:hAnsi="宋体"/>
          <w:b/>
          <w:bCs/>
          <w:color w:val="000000"/>
        </w:rPr>
        <w:t xml:space="preserve">（一）报价表说明 </w:t>
      </w:r>
    </w:p>
    <w:p>
      <w:pPr>
        <w:widowControl w:val="0"/>
        <w:rPr>
          <w:rFonts w:ascii="宋体" w:hAnsi="宋体"/>
          <w:color w:val="000000"/>
        </w:rPr>
      </w:pPr>
    </w:p>
    <w:p>
      <w:pPr>
        <w:pStyle w:val="40"/>
        <w:ind w:firstLine="0"/>
        <w:jc w:val="both"/>
        <w:rPr>
          <w:rFonts w:hAnsi="宋体"/>
          <w:b/>
          <w:bCs/>
          <w:color w:val="000000"/>
        </w:rPr>
      </w:pPr>
    </w:p>
    <w:p>
      <w:pPr>
        <w:pStyle w:val="40"/>
        <w:ind w:firstLine="0"/>
        <w:jc w:val="center"/>
        <w:rPr>
          <w:rFonts w:hAnsi="宋体" w:cs="宋体"/>
          <w:sz w:val="28"/>
          <w:szCs w:val="28"/>
        </w:rPr>
      </w:pPr>
      <w:r>
        <w:rPr>
          <w:rFonts w:hAnsi="宋体"/>
          <w:b/>
          <w:bCs/>
          <w:color w:val="000000"/>
        </w:rPr>
        <w:t>（二）</w:t>
      </w:r>
      <w:r>
        <w:rPr>
          <w:rFonts w:hint="eastAsia" w:hAnsi="宋体"/>
          <w:b/>
          <w:bCs/>
          <w:color w:val="000000"/>
          <w:sz w:val="28"/>
          <w:szCs w:val="20"/>
        </w:rPr>
        <w:t>长沙集星集装箱码头有限公司网络边界加固项目</w:t>
      </w:r>
      <w:r>
        <w:rPr>
          <w:rFonts w:hAnsi="宋体"/>
          <w:b/>
          <w:bCs/>
          <w:color w:val="000000"/>
          <w:sz w:val="28"/>
          <w:szCs w:val="20"/>
        </w:rPr>
        <w:t>采购</w:t>
      </w:r>
      <w:r>
        <w:rPr>
          <w:rFonts w:hAnsi="宋体"/>
          <w:b/>
          <w:bCs/>
          <w:color w:val="000000"/>
          <w:sz w:val="28"/>
          <w:szCs w:val="28"/>
        </w:rPr>
        <w:t>报价表</w:t>
      </w:r>
    </w:p>
    <w:tbl>
      <w:tblPr>
        <w:tblStyle w:val="42"/>
        <w:tblW w:w="1275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800"/>
        <w:gridCol w:w="3452"/>
        <w:gridCol w:w="1200"/>
        <w:gridCol w:w="1855"/>
        <w:gridCol w:w="157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8" w:type="dxa"/>
            <w:vAlign w:val="center"/>
          </w:tcPr>
          <w:p>
            <w:pPr>
              <w:widowControl w:val="0"/>
              <w:adjustRightInd w:val="0"/>
              <w:snapToGrid w:val="0"/>
              <w:jc w:val="center"/>
              <w:rPr>
                <w:rFonts w:ascii="宋体" w:hAnsi="宋体"/>
                <w:color w:val="000000"/>
                <w:sz w:val="20"/>
                <w:szCs w:val="20"/>
              </w:rPr>
            </w:pPr>
            <w:r>
              <w:rPr>
                <w:rFonts w:ascii="宋体" w:hAnsi="宋体"/>
                <w:color w:val="000000"/>
                <w:sz w:val="20"/>
                <w:szCs w:val="20"/>
              </w:rPr>
              <w:t>序号</w:t>
            </w:r>
          </w:p>
        </w:tc>
        <w:tc>
          <w:tcPr>
            <w:tcW w:w="1800" w:type="dxa"/>
            <w:vAlign w:val="center"/>
          </w:tcPr>
          <w:p>
            <w:pPr>
              <w:widowControl w:val="0"/>
              <w:adjustRightInd w:val="0"/>
              <w:snapToGrid w:val="0"/>
              <w:jc w:val="center"/>
              <w:rPr>
                <w:rFonts w:ascii="宋体" w:hAnsi="宋体"/>
                <w:color w:val="000000"/>
                <w:sz w:val="20"/>
                <w:szCs w:val="20"/>
              </w:rPr>
            </w:pPr>
            <w:r>
              <w:rPr>
                <w:rFonts w:hint="eastAsia" w:ascii="宋体" w:hAnsi="宋体"/>
                <w:color w:val="000000"/>
                <w:sz w:val="20"/>
                <w:szCs w:val="20"/>
              </w:rPr>
              <w:t>产品</w:t>
            </w:r>
            <w:r>
              <w:rPr>
                <w:rFonts w:ascii="宋体" w:hAnsi="宋体"/>
                <w:color w:val="000000"/>
                <w:sz w:val="20"/>
                <w:szCs w:val="20"/>
              </w:rPr>
              <w:t>名称</w:t>
            </w:r>
          </w:p>
        </w:tc>
        <w:tc>
          <w:tcPr>
            <w:tcW w:w="3452" w:type="dxa"/>
            <w:vAlign w:val="center"/>
          </w:tcPr>
          <w:p>
            <w:pPr>
              <w:widowControl w:val="0"/>
              <w:adjustRightInd w:val="0"/>
              <w:snapToGrid w:val="0"/>
              <w:jc w:val="center"/>
              <w:rPr>
                <w:rFonts w:ascii="宋体" w:hAnsi="宋体"/>
                <w:color w:val="000000"/>
                <w:sz w:val="20"/>
                <w:szCs w:val="20"/>
              </w:rPr>
            </w:pPr>
            <w:r>
              <w:rPr>
                <w:rFonts w:hint="eastAsia" w:ascii="宋体" w:hAnsi="宋体"/>
                <w:color w:val="000000"/>
                <w:sz w:val="20"/>
                <w:szCs w:val="20"/>
              </w:rPr>
              <w:t>型号</w:t>
            </w:r>
          </w:p>
        </w:tc>
        <w:tc>
          <w:tcPr>
            <w:tcW w:w="1200" w:type="dxa"/>
            <w:vAlign w:val="center"/>
          </w:tcPr>
          <w:p>
            <w:pPr>
              <w:widowControl w:val="0"/>
              <w:adjustRightInd w:val="0"/>
              <w:snapToGrid w:val="0"/>
              <w:jc w:val="center"/>
              <w:rPr>
                <w:rFonts w:ascii="宋体" w:hAnsi="宋体"/>
                <w:color w:val="000000"/>
                <w:sz w:val="20"/>
                <w:szCs w:val="20"/>
              </w:rPr>
            </w:pPr>
            <w:r>
              <w:rPr>
                <w:rFonts w:hint="eastAsia" w:ascii="宋体" w:hAnsi="宋体"/>
                <w:color w:val="000000"/>
                <w:sz w:val="20"/>
                <w:szCs w:val="20"/>
              </w:rPr>
              <w:t>数量（台）</w:t>
            </w:r>
          </w:p>
        </w:tc>
        <w:tc>
          <w:tcPr>
            <w:tcW w:w="1855" w:type="dxa"/>
            <w:vAlign w:val="center"/>
          </w:tcPr>
          <w:p>
            <w:pPr>
              <w:widowControl w:val="0"/>
              <w:adjustRightInd w:val="0"/>
              <w:snapToGrid w:val="0"/>
              <w:jc w:val="center"/>
              <w:rPr>
                <w:rFonts w:ascii="宋体" w:hAnsi="宋体"/>
                <w:color w:val="000000"/>
                <w:sz w:val="20"/>
                <w:szCs w:val="20"/>
              </w:rPr>
            </w:pPr>
            <w:r>
              <w:rPr>
                <w:rFonts w:hint="eastAsia" w:ascii="宋体" w:hAnsi="宋体"/>
                <w:color w:val="000000"/>
                <w:sz w:val="20"/>
                <w:szCs w:val="20"/>
              </w:rPr>
              <w:t>单价（元）</w:t>
            </w:r>
          </w:p>
        </w:tc>
        <w:tc>
          <w:tcPr>
            <w:tcW w:w="1575" w:type="dxa"/>
            <w:vAlign w:val="center"/>
          </w:tcPr>
          <w:p>
            <w:pPr>
              <w:widowControl w:val="0"/>
              <w:adjustRightInd w:val="0"/>
              <w:snapToGrid w:val="0"/>
              <w:jc w:val="center"/>
              <w:rPr>
                <w:rFonts w:ascii="宋体" w:hAnsi="宋体"/>
                <w:color w:val="000000"/>
                <w:sz w:val="20"/>
                <w:szCs w:val="20"/>
              </w:rPr>
            </w:pPr>
            <w:r>
              <w:rPr>
                <w:rFonts w:hint="eastAsia" w:ascii="宋体" w:hAnsi="宋体"/>
                <w:color w:val="000000"/>
                <w:sz w:val="20"/>
                <w:szCs w:val="20"/>
              </w:rPr>
              <w:t>总价（元）</w:t>
            </w:r>
          </w:p>
        </w:tc>
        <w:tc>
          <w:tcPr>
            <w:tcW w:w="1950" w:type="dxa"/>
            <w:vAlign w:val="center"/>
          </w:tcPr>
          <w:p>
            <w:pPr>
              <w:widowControl w:val="0"/>
              <w:adjustRightInd w:val="0"/>
              <w:snapToGrid w:val="0"/>
              <w:jc w:val="center"/>
              <w:rPr>
                <w:rFonts w:ascii="宋体" w:hAnsi="宋体"/>
                <w:color w:val="000000"/>
                <w:sz w:val="20"/>
                <w:szCs w:val="20"/>
              </w:rPr>
            </w:pPr>
            <w:r>
              <w:rPr>
                <w:rFonts w:hint="eastAsia" w:ascii="宋体" w:hAnsi="宋体"/>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8" w:type="dxa"/>
            <w:vAlign w:val="center"/>
          </w:tcPr>
          <w:p>
            <w:pPr>
              <w:widowControl w:val="0"/>
              <w:adjustRightInd w:val="0"/>
              <w:snapToGrid w:val="0"/>
              <w:jc w:val="center"/>
              <w:rPr>
                <w:rFonts w:ascii="宋体" w:hAnsi="宋体"/>
                <w:color w:val="000000"/>
                <w:sz w:val="20"/>
                <w:szCs w:val="20"/>
              </w:rPr>
            </w:pPr>
            <w:r>
              <w:rPr>
                <w:rFonts w:hint="eastAsia" w:ascii="宋体" w:hAnsi="宋体"/>
                <w:color w:val="000000"/>
                <w:sz w:val="20"/>
                <w:szCs w:val="20"/>
              </w:rPr>
              <w:t>1</w:t>
            </w:r>
          </w:p>
        </w:tc>
        <w:tc>
          <w:tcPr>
            <w:tcW w:w="1800" w:type="dxa"/>
            <w:vAlign w:val="center"/>
          </w:tcPr>
          <w:p>
            <w:pPr>
              <w:widowControl w:val="0"/>
              <w:adjustRightInd w:val="0"/>
              <w:snapToGrid w:val="0"/>
              <w:jc w:val="center"/>
              <w:rPr>
                <w:rFonts w:ascii="宋体" w:hAnsi="宋体"/>
                <w:color w:val="000000"/>
                <w:sz w:val="20"/>
                <w:szCs w:val="20"/>
              </w:rPr>
            </w:pPr>
            <w:r>
              <w:rPr>
                <w:rFonts w:hint="eastAsia" w:ascii="宋体" w:hAnsi="宋体"/>
                <w:color w:val="000000"/>
                <w:sz w:val="20"/>
                <w:szCs w:val="20"/>
              </w:rPr>
              <w:t>防火墙</w:t>
            </w:r>
          </w:p>
        </w:tc>
        <w:tc>
          <w:tcPr>
            <w:tcW w:w="3452" w:type="dxa"/>
            <w:vAlign w:val="center"/>
          </w:tcPr>
          <w:p>
            <w:pPr>
              <w:widowControl w:val="0"/>
              <w:adjustRightInd w:val="0"/>
              <w:snapToGrid w:val="0"/>
              <w:jc w:val="center"/>
              <w:rPr>
                <w:rFonts w:ascii="宋体" w:hAnsi="宋体"/>
                <w:color w:val="000000"/>
                <w:sz w:val="20"/>
                <w:szCs w:val="20"/>
              </w:rPr>
            </w:pPr>
          </w:p>
        </w:tc>
        <w:tc>
          <w:tcPr>
            <w:tcW w:w="1200" w:type="dxa"/>
            <w:vAlign w:val="center"/>
          </w:tcPr>
          <w:p>
            <w:pPr>
              <w:widowControl w:val="0"/>
              <w:adjustRightInd w:val="0"/>
              <w:snapToGrid w:val="0"/>
              <w:jc w:val="center"/>
              <w:rPr>
                <w:rFonts w:ascii="宋体" w:hAnsi="宋体"/>
                <w:color w:val="000000"/>
                <w:sz w:val="20"/>
                <w:szCs w:val="20"/>
              </w:rPr>
            </w:pPr>
            <w:r>
              <w:rPr>
                <w:rFonts w:hint="eastAsia" w:ascii="宋体" w:hAnsi="宋体"/>
                <w:color w:val="000000"/>
                <w:sz w:val="20"/>
                <w:szCs w:val="20"/>
              </w:rPr>
              <w:t>1</w:t>
            </w:r>
          </w:p>
        </w:tc>
        <w:tc>
          <w:tcPr>
            <w:tcW w:w="1855" w:type="dxa"/>
            <w:vAlign w:val="center"/>
          </w:tcPr>
          <w:p>
            <w:pPr>
              <w:widowControl w:val="0"/>
              <w:adjustRightInd w:val="0"/>
              <w:snapToGrid w:val="0"/>
              <w:jc w:val="center"/>
              <w:rPr>
                <w:rFonts w:ascii="宋体" w:hAnsi="宋体"/>
                <w:color w:val="000000"/>
                <w:sz w:val="20"/>
                <w:szCs w:val="20"/>
              </w:rPr>
            </w:pPr>
          </w:p>
        </w:tc>
        <w:tc>
          <w:tcPr>
            <w:tcW w:w="1575" w:type="dxa"/>
            <w:vAlign w:val="center"/>
          </w:tcPr>
          <w:p>
            <w:pPr>
              <w:widowControl w:val="0"/>
              <w:adjustRightInd w:val="0"/>
              <w:snapToGrid w:val="0"/>
              <w:jc w:val="center"/>
              <w:rPr>
                <w:rFonts w:ascii="宋体" w:hAnsi="宋体"/>
                <w:color w:val="000000"/>
                <w:sz w:val="20"/>
                <w:szCs w:val="20"/>
              </w:rPr>
            </w:pPr>
          </w:p>
        </w:tc>
        <w:tc>
          <w:tcPr>
            <w:tcW w:w="1950" w:type="dxa"/>
            <w:vAlign w:val="center"/>
          </w:tcPr>
          <w:p>
            <w:pPr>
              <w:widowControl w:val="0"/>
              <w:adjustRightInd w:val="0"/>
              <w:snapToGrid w:val="0"/>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8" w:type="dxa"/>
            <w:vAlign w:val="center"/>
          </w:tcPr>
          <w:p>
            <w:pPr>
              <w:widowControl w:val="0"/>
              <w:adjustRightInd w:val="0"/>
              <w:snapToGrid w:val="0"/>
              <w:jc w:val="center"/>
              <w:rPr>
                <w:rFonts w:ascii="宋体" w:hAnsi="宋体"/>
                <w:color w:val="000000"/>
                <w:sz w:val="20"/>
                <w:szCs w:val="20"/>
              </w:rPr>
            </w:pPr>
            <w:r>
              <w:rPr>
                <w:rFonts w:hint="eastAsia" w:ascii="宋体" w:hAnsi="宋体"/>
                <w:color w:val="000000"/>
                <w:sz w:val="20"/>
                <w:szCs w:val="20"/>
              </w:rPr>
              <w:t>2</w:t>
            </w:r>
          </w:p>
        </w:tc>
        <w:tc>
          <w:tcPr>
            <w:tcW w:w="1800" w:type="dxa"/>
            <w:vAlign w:val="center"/>
          </w:tcPr>
          <w:p>
            <w:pPr>
              <w:widowControl w:val="0"/>
              <w:adjustRightInd w:val="0"/>
              <w:snapToGrid w:val="0"/>
              <w:jc w:val="center"/>
              <w:rPr>
                <w:rFonts w:ascii="宋体" w:hAnsi="宋体"/>
                <w:color w:val="000000"/>
                <w:sz w:val="20"/>
                <w:szCs w:val="20"/>
              </w:rPr>
            </w:pPr>
            <w:r>
              <w:rPr>
                <w:rFonts w:hint="eastAsia" w:ascii="宋体" w:hAnsi="宋体"/>
                <w:color w:val="000000"/>
                <w:sz w:val="20"/>
                <w:szCs w:val="20"/>
              </w:rPr>
              <w:t>IPS</w:t>
            </w:r>
          </w:p>
        </w:tc>
        <w:tc>
          <w:tcPr>
            <w:tcW w:w="3452" w:type="dxa"/>
            <w:vAlign w:val="center"/>
          </w:tcPr>
          <w:p>
            <w:pPr>
              <w:widowControl w:val="0"/>
              <w:adjustRightInd w:val="0"/>
              <w:snapToGrid w:val="0"/>
              <w:jc w:val="center"/>
              <w:rPr>
                <w:rFonts w:ascii="宋体" w:hAnsi="宋体"/>
                <w:color w:val="000000"/>
                <w:sz w:val="20"/>
                <w:szCs w:val="20"/>
              </w:rPr>
            </w:pPr>
          </w:p>
        </w:tc>
        <w:tc>
          <w:tcPr>
            <w:tcW w:w="1200" w:type="dxa"/>
            <w:vAlign w:val="center"/>
          </w:tcPr>
          <w:p>
            <w:pPr>
              <w:widowControl w:val="0"/>
              <w:adjustRightInd w:val="0"/>
              <w:snapToGrid w:val="0"/>
              <w:jc w:val="center"/>
              <w:rPr>
                <w:rFonts w:ascii="宋体" w:hAnsi="宋体"/>
                <w:color w:val="000000"/>
                <w:sz w:val="20"/>
                <w:szCs w:val="20"/>
              </w:rPr>
            </w:pPr>
            <w:r>
              <w:rPr>
                <w:rFonts w:hint="eastAsia" w:ascii="宋体" w:hAnsi="宋体"/>
                <w:color w:val="000000"/>
                <w:sz w:val="20"/>
                <w:szCs w:val="20"/>
              </w:rPr>
              <w:t>1</w:t>
            </w:r>
          </w:p>
        </w:tc>
        <w:tc>
          <w:tcPr>
            <w:tcW w:w="1855" w:type="dxa"/>
            <w:vAlign w:val="center"/>
          </w:tcPr>
          <w:p>
            <w:pPr>
              <w:widowControl w:val="0"/>
              <w:adjustRightInd w:val="0"/>
              <w:snapToGrid w:val="0"/>
              <w:jc w:val="center"/>
              <w:rPr>
                <w:rFonts w:ascii="宋体" w:hAnsi="宋体"/>
                <w:color w:val="000000"/>
                <w:sz w:val="20"/>
                <w:szCs w:val="20"/>
              </w:rPr>
            </w:pPr>
          </w:p>
        </w:tc>
        <w:tc>
          <w:tcPr>
            <w:tcW w:w="1575" w:type="dxa"/>
            <w:vAlign w:val="center"/>
          </w:tcPr>
          <w:p>
            <w:pPr>
              <w:widowControl w:val="0"/>
              <w:adjustRightInd w:val="0"/>
              <w:snapToGrid w:val="0"/>
              <w:jc w:val="center"/>
              <w:rPr>
                <w:rFonts w:ascii="宋体" w:hAnsi="宋体"/>
                <w:color w:val="000000"/>
                <w:sz w:val="20"/>
                <w:szCs w:val="20"/>
              </w:rPr>
            </w:pPr>
          </w:p>
        </w:tc>
        <w:tc>
          <w:tcPr>
            <w:tcW w:w="1950" w:type="dxa"/>
            <w:vAlign w:val="center"/>
          </w:tcPr>
          <w:p>
            <w:pPr>
              <w:widowControl w:val="0"/>
              <w:adjustRightInd w:val="0"/>
              <w:snapToGrid w:val="0"/>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8" w:type="dxa"/>
            <w:vAlign w:val="center"/>
          </w:tcPr>
          <w:p>
            <w:pPr>
              <w:widowControl w:val="0"/>
              <w:adjustRightInd w:val="0"/>
              <w:snapToGrid w:val="0"/>
              <w:jc w:val="center"/>
              <w:rPr>
                <w:rFonts w:ascii="宋体" w:hAnsi="宋体"/>
                <w:color w:val="000000"/>
                <w:sz w:val="20"/>
                <w:szCs w:val="20"/>
              </w:rPr>
            </w:pPr>
            <w:r>
              <w:rPr>
                <w:rFonts w:hint="eastAsia" w:ascii="宋体" w:hAnsi="宋体"/>
                <w:color w:val="000000"/>
                <w:sz w:val="20"/>
                <w:szCs w:val="20"/>
              </w:rPr>
              <w:t>3</w:t>
            </w:r>
          </w:p>
        </w:tc>
        <w:tc>
          <w:tcPr>
            <w:tcW w:w="1800" w:type="dxa"/>
            <w:vAlign w:val="center"/>
          </w:tcPr>
          <w:p>
            <w:pPr>
              <w:widowControl w:val="0"/>
              <w:adjustRightInd w:val="0"/>
              <w:snapToGrid w:val="0"/>
              <w:jc w:val="center"/>
              <w:rPr>
                <w:rFonts w:ascii="宋体" w:hAnsi="宋体"/>
                <w:color w:val="000000"/>
                <w:sz w:val="20"/>
                <w:szCs w:val="20"/>
              </w:rPr>
            </w:pPr>
            <w:r>
              <w:rPr>
                <w:rFonts w:hint="eastAsia" w:ascii="宋体" w:hAnsi="宋体"/>
                <w:color w:val="000000"/>
                <w:sz w:val="20"/>
                <w:szCs w:val="20"/>
              </w:rPr>
              <w:t>VPN</w:t>
            </w:r>
          </w:p>
        </w:tc>
        <w:tc>
          <w:tcPr>
            <w:tcW w:w="3452" w:type="dxa"/>
            <w:vAlign w:val="center"/>
          </w:tcPr>
          <w:p>
            <w:pPr>
              <w:widowControl w:val="0"/>
              <w:adjustRightInd w:val="0"/>
              <w:snapToGrid w:val="0"/>
              <w:jc w:val="center"/>
              <w:rPr>
                <w:rFonts w:ascii="宋体" w:hAnsi="宋体"/>
                <w:color w:val="000000"/>
                <w:sz w:val="20"/>
                <w:szCs w:val="20"/>
              </w:rPr>
            </w:pPr>
          </w:p>
        </w:tc>
        <w:tc>
          <w:tcPr>
            <w:tcW w:w="1200" w:type="dxa"/>
            <w:vAlign w:val="center"/>
          </w:tcPr>
          <w:p>
            <w:pPr>
              <w:widowControl w:val="0"/>
              <w:adjustRightInd w:val="0"/>
              <w:snapToGrid w:val="0"/>
              <w:jc w:val="center"/>
              <w:rPr>
                <w:rFonts w:ascii="宋体" w:hAnsi="宋体"/>
                <w:color w:val="000000"/>
                <w:sz w:val="20"/>
                <w:szCs w:val="20"/>
              </w:rPr>
            </w:pPr>
            <w:r>
              <w:rPr>
                <w:rFonts w:hint="eastAsia" w:ascii="宋体" w:hAnsi="宋体"/>
                <w:color w:val="000000"/>
                <w:sz w:val="20"/>
                <w:szCs w:val="20"/>
              </w:rPr>
              <w:t>1</w:t>
            </w:r>
          </w:p>
        </w:tc>
        <w:tc>
          <w:tcPr>
            <w:tcW w:w="1855" w:type="dxa"/>
            <w:vAlign w:val="center"/>
          </w:tcPr>
          <w:p>
            <w:pPr>
              <w:widowControl w:val="0"/>
              <w:adjustRightInd w:val="0"/>
              <w:snapToGrid w:val="0"/>
              <w:jc w:val="center"/>
              <w:rPr>
                <w:rFonts w:ascii="宋体" w:hAnsi="宋体"/>
                <w:color w:val="000000"/>
                <w:sz w:val="20"/>
                <w:szCs w:val="20"/>
              </w:rPr>
            </w:pPr>
          </w:p>
        </w:tc>
        <w:tc>
          <w:tcPr>
            <w:tcW w:w="1575" w:type="dxa"/>
            <w:vAlign w:val="center"/>
          </w:tcPr>
          <w:p>
            <w:pPr>
              <w:widowControl w:val="0"/>
              <w:adjustRightInd w:val="0"/>
              <w:snapToGrid w:val="0"/>
              <w:jc w:val="center"/>
              <w:rPr>
                <w:rFonts w:ascii="宋体" w:hAnsi="宋体"/>
                <w:color w:val="000000"/>
                <w:sz w:val="20"/>
                <w:szCs w:val="20"/>
              </w:rPr>
            </w:pPr>
          </w:p>
        </w:tc>
        <w:tc>
          <w:tcPr>
            <w:tcW w:w="1950" w:type="dxa"/>
            <w:vAlign w:val="center"/>
          </w:tcPr>
          <w:p>
            <w:pPr>
              <w:widowControl w:val="0"/>
              <w:adjustRightInd w:val="0"/>
              <w:snapToGrid w:val="0"/>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170" w:type="dxa"/>
            <w:gridSpan w:val="3"/>
            <w:vAlign w:val="center"/>
          </w:tcPr>
          <w:p>
            <w:pPr>
              <w:widowControl w:val="0"/>
              <w:adjustRightInd w:val="0"/>
              <w:snapToGrid w:val="0"/>
              <w:jc w:val="center"/>
              <w:rPr>
                <w:rFonts w:ascii="宋体" w:hAnsi="宋体"/>
                <w:color w:val="000000"/>
                <w:sz w:val="20"/>
                <w:szCs w:val="20"/>
              </w:rPr>
            </w:pPr>
            <w:r>
              <w:rPr>
                <w:rFonts w:hint="eastAsia" w:ascii="宋体" w:hAnsi="宋体"/>
                <w:color w:val="000000"/>
                <w:sz w:val="20"/>
                <w:szCs w:val="20"/>
              </w:rPr>
              <w:t>总报价（元）</w:t>
            </w:r>
          </w:p>
        </w:tc>
        <w:tc>
          <w:tcPr>
            <w:tcW w:w="6580" w:type="dxa"/>
            <w:gridSpan w:val="4"/>
            <w:vAlign w:val="center"/>
          </w:tcPr>
          <w:p>
            <w:pPr>
              <w:widowControl w:val="0"/>
              <w:adjustRightInd w:val="0"/>
              <w:snapToGrid w:val="0"/>
              <w:ind w:firstLine="2200" w:firstLineChars="1100"/>
              <w:jc w:val="both"/>
              <w:rPr>
                <w:rFonts w:ascii="宋体" w:hAnsi="宋体"/>
                <w:color w:val="000000"/>
                <w:sz w:val="20"/>
                <w:szCs w:val="20"/>
                <w:u w:val="single"/>
              </w:rPr>
            </w:pPr>
            <w:r>
              <w:rPr>
                <w:rFonts w:hint="eastAsia" w:ascii="宋体" w:hAnsi="宋体"/>
                <w:color w:val="000000"/>
                <w:sz w:val="20"/>
                <w:szCs w:val="20"/>
              </w:rPr>
              <w:t>¥：</w:t>
            </w:r>
          </w:p>
        </w:tc>
      </w:tr>
    </w:tbl>
    <w:p>
      <w:pPr>
        <w:pStyle w:val="40"/>
        <w:ind w:firstLine="840" w:firstLineChars="400"/>
        <w:rPr>
          <w:rFonts w:hAnsi="宋体" w:cs="宋体"/>
          <w:sz w:val="21"/>
          <w:szCs w:val="21"/>
        </w:rPr>
      </w:pPr>
      <w:r>
        <w:rPr>
          <w:rFonts w:hint="eastAsia" w:hAnsi="宋体" w:cs="宋体"/>
          <w:sz w:val="21"/>
          <w:szCs w:val="21"/>
        </w:rPr>
        <w:t>以上价格含13%增值税，含运费价格</w:t>
      </w:r>
    </w:p>
    <w:p>
      <w:pPr>
        <w:widowControl w:val="0"/>
        <w:adjustRightInd w:val="0"/>
        <w:snapToGrid w:val="0"/>
        <w:spacing w:line="360" w:lineRule="auto"/>
        <w:jc w:val="center"/>
        <w:rPr>
          <w:rFonts w:ascii="宋体" w:hAnsi="宋体"/>
          <w:color w:val="000000"/>
          <w:szCs w:val="21"/>
        </w:rPr>
      </w:pPr>
      <w:r>
        <w:rPr>
          <w:rFonts w:hint="eastAsia" w:ascii="宋体" w:hAnsi="宋体"/>
          <w:color w:val="000000"/>
          <w:sz w:val="20"/>
          <w:szCs w:val="20"/>
        </w:rPr>
        <w:t xml:space="preserve">                                                                   </w:t>
      </w:r>
      <w:r>
        <w:rPr>
          <w:rFonts w:hint="eastAsia" w:ascii="宋体" w:hAnsi="宋体"/>
          <w:color w:val="000000"/>
          <w:szCs w:val="21"/>
        </w:rPr>
        <w:t xml:space="preserve">   供应商名称（盖章）：</w:t>
      </w:r>
      <w:r>
        <w:rPr>
          <w:rFonts w:hint="eastAsia" w:ascii="宋体" w:hAnsi="宋体"/>
          <w:color w:val="000000"/>
          <w:szCs w:val="21"/>
          <w:u w:val="single"/>
        </w:rPr>
        <w:t xml:space="preserve">            </w:t>
      </w:r>
      <w:r>
        <w:rPr>
          <w:rFonts w:hint="eastAsia" w:ascii="宋体" w:hAnsi="宋体"/>
          <w:color w:val="000000"/>
          <w:szCs w:val="21"/>
        </w:rPr>
        <w:t xml:space="preserve">               </w:t>
      </w:r>
    </w:p>
    <w:p>
      <w:pPr>
        <w:widowControl w:val="0"/>
        <w:adjustRightInd w:val="0"/>
        <w:snapToGrid w:val="0"/>
        <w:spacing w:line="360" w:lineRule="auto"/>
        <w:jc w:val="center"/>
        <w:rPr>
          <w:rFonts w:ascii="宋体" w:hAnsi="宋体"/>
          <w:color w:val="000000"/>
          <w:sz w:val="20"/>
          <w:szCs w:val="20"/>
        </w:rPr>
      </w:pPr>
      <w:r>
        <w:rPr>
          <w:rFonts w:hint="eastAsia" w:ascii="宋体" w:hAnsi="宋体"/>
          <w:color w:val="000000"/>
          <w:szCs w:val="21"/>
        </w:rPr>
        <w:tab/>
      </w: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 xml:space="preserve">日   </w:t>
      </w:r>
      <w:r>
        <w:rPr>
          <w:rFonts w:hint="eastAsia" w:ascii="宋体" w:hAnsi="宋体"/>
          <w:color w:val="000000"/>
          <w:sz w:val="20"/>
          <w:szCs w:val="20"/>
        </w:rPr>
        <w:t xml:space="preserve"> </w:t>
      </w:r>
    </w:p>
    <w:p/>
    <w:p>
      <w:pPr>
        <w:tabs>
          <w:tab w:val="left" w:pos="582"/>
        </w:tabs>
        <w:spacing w:line="360" w:lineRule="auto"/>
        <w:ind w:firstLine="9000" w:firstLineChars="4500"/>
        <w:rPr>
          <w:sz w:val="20"/>
          <w:szCs w:val="20"/>
        </w:rPr>
      </w:pPr>
      <w:r>
        <w:rPr>
          <w:rFonts w:hint="eastAsia"/>
          <w:sz w:val="20"/>
          <w:szCs w:val="20"/>
        </w:rPr>
        <w:t xml:space="preserve"> </w:t>
      </w:r>
    </w:p>
    <w:p>
      <w:pPr>
        <w:pStyle w:val="40"/>
        <w:ind w:firstLine="0"/>
        <w:rPr>
          <w:sz w:val="20"/>
          <w:szCs w:val="20"/>
        </w:rPr>
        <w:sectPr>
          <w:pgSz w:w="16838" w:h="11906" w:orient="landscape"/>
          <w:pgMar w:top="1080" w:right="1440" w:bottom="1080" w:left="1440" w:header="851" w:footer="1344" w:gutter="0"/>
          <w:cols w:space="720" w:num="1"/>
          <w:docGrid w:linePitch="312" w:charSpace="0"/>
        </w:sectPr>
      </w:pPr>
    </w:p>
    <w:p>
      <w:pPr>
        <w:spacing w:line="360" w:lineRule="auto"/>
      </w:pPr>
    </w:p>
    <w:p>
      <w:pPr>
        <w:pStyle w:val="4"/>
        <w:spacing w:line="360" w:lineRule="auto"/>
        <w:jc w:val="center"/>
        <w:rPr>
          <w:rFonts w:ascii="黑体" w:hAnsi="黑体" w:eastAsia="黑体" w:cs="仿宋"/>
        </w:rPr>
      </w:pPr>
      <w:bookmarkStart w:id="77" w:name="_Toc106039369"/>
      <w:r>
        <w:rPr>
          <w:rFonts w:hint="eastAsia" w:ascii="黑体" w:hAnsi="黑体" w:eastAsia="黑体" w:cs="仿宋"/>
        </w:rPr>
        <w:t>五、资格审查资料</w:t>
      </w:r>
      <w:bookmarkEnd w:id="77"/>
    </w:p>
    <w:p>
      <w:pPr>
        <w:spacing w:line="360" w:lineRule="auto"/>
        <w:jc w:val="center"/>
        <w:rPr>
          <w:rFonts w:ascii="黑体" w:hAnsi="黑体" w:eastAsia="黑体" w:cs="仿宋"/>
          <w:sz w:val="36"/>
          <w:szCs w:val="36"/>
        </w:rPr>
      </w:pPr>
    </w:p>
    <w:p>
      <w:pPr>
        <w:pStyle w:val="5"/>
        <w:spacing w:before="0" w:after="0" w:line="360" w:lineRule="auto"/>
        <w:rPr>
          <w:rFonts w:cs="仿宋" w:asciiTheme="minorEastAsia" w:hAnsiTheme="minorEastAsia" w:eastAsiaTheme="minorEastAsia"/>
          <w:sz w:val="24"/>
        </w:rPr>
      </w:pPr>
      <w:bookmarkStart w:id="78" w:name="_Toc106039370"/>
      <w:r>
        <w:rPr>
          <w:rFonts w:hint="eastAsia" w:cs="仿宋" w:asciiTheme="minorEastAsia" w:hAnsiTheme="minorEastAsia" w:eastAsiaTheme="minorEastAsia"/>
          <w:sz w:val="24"/>
        </w:rPr>
        <w:t>（一）基本情况</w:t>
      </w:r>
      <w:bookmarkEnd w:id="78"/>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供应商应根据供应商须知前附表第3.5（1）项提供主体资格证明资料。</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供应商还应根据供应商须知前地表第3.5（4）项、第3.5（5）项和第3.5（8）项的要求提供其他相关证明材料。</w:t>
      </w:r>
    </w:p>
    <w:p>
      <w:pPr>
        <w:pStyle w:val="5"/>
        <w:spacing w:before="0" w:after="0" w:line="360" w:lineRule="auto"/>
        <w:rPr>
          <w:rFonts w:cs="仿宋" w:asciiTheme="minorEastAsia" w:hAnsiTheme="minorEastAsia" w:eastAsiaTheme="minorEastAsia"/>
          <w:sz w:val="24"/>
        </w:rPr>
      </w:pPr>
      <w:bookmarkStart w:id="79" w:name="_Toc106039371"/>
      <w:r>
        <w:rPr>
          <w:rFonts w:hint="eastAsia" w:cs="仿宋" w:asciiTheme="minorEastAsia" w:hAnsiTheme="minorEastAsia" w:eastAsiaTheme="minorEastAsia"/>
          <w:sz w:val="24"/>
        </w:rPr>
        <w:t>（二）</w:t>
      </w:r>
      <w:bookmarkEnd w:id="79"/>
      <w:bookmarkStart w:id="80" w:name="_Toc106039372"/>
      <w:r>
        <w:rPr>
          <w:rFonts w:hint="eastAsia" w:cs="仿宋" w:asciiTheme="minorEastAsia" w:hAnsiTheme="minorEastAsia" w:eastAsiaTheme="minorEastAsia"/>
          <w:sz w:val="24"/>
        </w:rPr>
        <w:t>近年的类似项目情况表</w:t>
      </w:r>
      <w:bookmarkEnd w:id="80"/>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采购内容</w:t>
            </w: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是否完成</w:t>
            </w: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bl>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spacing w:line="240" w:lineRule="auto"/>
        <w:rPr>
          <w:rFonts w:cs="仿宋" w:asciiTheme="minorEastAsia" w:hAnsiTheme="minorEastAsia" w:eastAsiaTheme="minorEastAsia"/>
          <w:sz w:val="24"/>
        </w:rPr>
      </w:pPr>
      <w:r>
        <w:rPr>
          <w:rFonts w:cs="仿宋" w:asciiTheme="minorEastAsia" w:hAnsiTheme="minorEastAsia" w:eastAsiaTheme="minorEastAsia"/>
          <w:sz w:val="24"/>
        </w:rPr>
        <w:br w:type="page"/>
      </w:r>
    </w:p>
    <w:p>
      <w:pPr>
        <w:pStyle w:val="5"/>
        <w:keepNext w:val="0"/>
        <w:keepLines w:val="0"/>
        <w:widowControl w:val="0"/>
        <w:adjustRightInd w:val="0"/>
        <w:snapToGrid w:val="0"/>
        <w:spacing w:before="120" w:beforeLines="50" w:after="120" w:afterLines="50" w:line="360" w:lineRule="auto"/>
        <w:jc w:val="center"/>
        <w:rPr>
          <w:rFonts w:ascii="宋体" w:hAnsi="宋体" w:cs="宋体"/>
          <w:b/>
          <w:bCs/>
        </w:rPr>
      </w:pPr>
      <w:r>
        <w:rPr>
          <w:rFonts w:hint="eastAsia" w:ascii="宋体" w:hAnsi="宋体" w:cs="宋体"/>
          <w:b/>
          <w:bCs/>
        </w:rPr>
        <w:t>（三）制造商授权书</w:t>
      </w:r>
    </w:p>
    <w:p>
      <w:pPr>
        <w:widowControl w:val="0"/>
        <w:adjustRightInd w:val="0"/>
        <w:snapToGrid w:val="0"/>
        <w:spacing w:line="360" w:lineRule="auto"/>
        <w:ind w:hanging="10"/>
        <w:jc w:val="center"/>
        <w:rPr>
          <w:rFonts w:ascii="宋体" w:hAnsi="宋体" w:cs="宋体"/>
          <w:b/>
          <w:bCs/>
          <w:sz w:val="28"/>
          <w:szCs w:val="28"/>
        </w:rPr>
      </w:pPr>
      <w:r>
        <w:rPr>
          <w:rFonts w:hint="eastAsia" w:ascii="宋体" w:hAnsi="宋体" w:cs="宋体"/>
          <w:b/>
          <w:bCs/>
          <w:sz w:val="28"/>
          <w:szCs w:val="28"/>
        </w:rPr>
        <w:t>制造商授权书</w:t>
      </w:r>
    </w:p>
    <w:p>
      <w:pPr>
        <w:widowControl w:val="0"/>
        <w:adjustRightInd w:val="0"/>
        <w:snapToGrid w:val="0"/>
        <w:spacing w:line="360" w:lineRule="auto"/>
        <w:jc w:val="both"/>
        <w:rPr>
          <w:rFonts w:ascii="宋体" w:hAnsi="宋体" w:cs="宋体"/>
          <w:sz w:val="24"/>
        </w:rPr>
      </w:pPr>
      <w:r>
        <w:rPr>
          <w:rFonts w:hint="eastAsia" w:ascii="宋体" w:hAnsi="宋体" w:cs="宋体"/>
          <w:sz w:val="24"/>
        </w:rPr>
        <w:t xml:space="preserve"> </w:t>
      </w:r>
    </w:p>
    <w:p>
      <w:pPr>
        <w:widowControl w:val="0"/>
        <w:adjustRightInd w:val="0"/>
        <w:snapToGrid w:val="0"/>
        <w:spacing w:line="360" w:lineRule="auto"/>
        <w:jc w:val="both"/>
        <w:rPr>
          <w:rFonts w:ascii="宋体" w:hAnsi="宋体" w:cs="宋体"/>
          <w:sz w:val="24"/>
        </w:rPr>
      </w:pPr>
      <w:r>
        <w:rPr>
          <w:rFonts w:hint="eastAsia" w:ascii="宋体" w:hAnsi="宋体" w:cs="宋体"/>
          <w:sz w:val="24"/>
        </w:rPr>
        <w:t>致：</w:t>
      </w:r>
      <w:r>
        <w:rPr>
          <w:rFonts w:hint="eastAsia" w:ascii="宋体" w:hAnsi="宋体" w:cs="宋体"/>
          <w:sz w:val="24"/>
          <w:u w:val="single" w:color="000000"/>
        </w:rPr>
        <w:t xml:space="preserve">                     </w:t>
      </w:r>
      <w:r>
        <w:rPr>
          <w:rFonts w:hint="eastAsia" w:ascii="宋体" w:hAnsi="宋体" w:cs="宋体"/>
          <w:sz w:val="24"/>
        </w:rPr>
        <w:t>（招标人）</w:t>
      </w:r>
    </w:p>
    <w:p>
      <w:pPr>
        <w:wordWrap w:val="0"/>
        <w:autoSpaceDE w:val="0"/>
        <w:autoSpaceDN w:val="0"/>
        <w:adjustRightInd w:val="0"/>
        <w:spacing w:after="240" w:line="360" w:lineRule="auto"/>
        <w:ind w:firstLine="480" w:firstLineChars="200"/>
        <w:rPr>
          <w:rFonts w:ascii="Times" w:hAnsi="Times" w:cs="Times"/>
          <w:kern w:val="0"/>
          <w:sz w:val="24"/>
        </w:rPr>
      </w:pPr>
      <w:r>
        <w:rPr>
          <w:rFonts w:hint="eastAsia" w:ascii="宋体" w:hAnsi="Times" w:cs="宋体"/>
          <w:kern w:val="0"/>
          <w:sz w:val="24"/>
        </w:rPr>
        <w:t>位于</w:t>
      </w:r>
      <w:r>
        <w:rPr>
          <w:rFonts w:hint="eastAsia" w:ascii="宋体" w:hAnsi="宋体" w:cs="宋体"/>
          <w:sz w:val="24"/>
          <w:u w:val="single"/>
        </w:rPr>
        <w:t xml:space="preserve">                  </w:t>
      </w:r>
      <w:r>
        <w:rPr>
          <w:rFonts w:ascii="宋体" w:hAnsi="Times" w:cs="宋体"/>
          <w:kern w:val="0"/>
          <w:sz w:val="24"/>
        </w:rPr>
        <w:t>(</w:t>
      </w:r>
      <w:r>
        <w:rPr>
          <w:rFonts w:hint="eastAsia" w:ascii="宋体" w:hAnsi="Times" w:cs="宋体"/>
          <w:kern w:val="0"/>
          <w:sz w:val="24"/>
        </w:rPr>
        <w:t>制造厂家地址</w:t>
      </w:r>
      <w:r>
        <w:rPr>
          <w:rFonts w:ascii="宋体" w:hAnsi="Times" w:cs="宋体"/>
          <w:kern w:val="0"/>
          <w:sz w:val="24"/>
        </w:rPr>
        <w:t>),</w:t>
      </w:r>
      <w:r>
        <w:rPr>
          <w:rFonts w:hint="eastAsia" w:ascii="宋体" w:hAnsi="Times" w:cs="宋体"/>
          <w:kern w:val="0"/>
          <w:sz w:val="24"/>
        </w:rPr>
        <w:t>按中华人民共和国国家法律组建的</w:t>
      </w:r>
      <w:r>
        <w:rPr>
          <w:rFonts w:hint="eastAsia" w:ascii="宋体" w:hAnsi="Times" w:cs="宋体"/>
          <w:kern w:val="0"/>
          <w:sz w:val="24"/>
          <w:u w:val="single"/>
        </w:rPr>
        <w:t xml:space="preserve">                            </w:t>
      </w:r>
      <w:r>
        <w:rPr>
          <w:rFonts w:ascii="宋体" w:hAnsi="Times" w:cs="宋体"/>
          <w:kern w:val="0"/>
          <w:sz w:val="24"/>
        </w:rPr>
        <w:t>(</w:t>
      </w:r>
      <w:r>
        <w:rPr>
          <w:rFonts w:hint="eastAsia" w:ascii="宋体" w:hAnsi="Times" w:cs="宋体"/>
          <w:kern w:val="0"/>
          <w:sz w:val="24"/>
        </w:rPr>
        <w:t>制造厂家名称</w:t>
      </w:r>
      <w:r>
        <w:rPr>
          <w:rFonts w:ascii="宋体" w:hAnsi="Times" w:cs="宋体"/>
          <w:kern w:val="0"/>
          <w:sz w:val="24"/>
        </w:rPr>
        <w:t>)</w:t>
      </w:r>
      <w:r>
        <w:rPr>
          <w:rFonts w:hint="eastAsia" w:ascii="宋体" w:hAnsi="Times" w:cs="宋体"/>
          <w:kern w:val="0"/>
          <w:sz w:val="24"/>
        </w:rPr>
        <w:t>是</w:t>
      </w:r>
      <w:r>
        <w:rPr>
          <w:rFonts w:hint="eastAsia" w:ascii="宋体" w:hAnsi="Times" w:cs="宋体"/>
          <w:kern w:val="0"/>
          <w:sz w:val="24"/>
          <w:u w:val="single"/>
        </w:rPr>
        <w:t xml:space="preserve">                     </w:t>
      </w:r>
      <w:r>
        <w:rPr>
          <w:rFonts w:ascii="宋体" w:hAnsi="Times" w:cs="宋体"/>
          <w:kern w:val="0"/>
          <w:sz w:val="24"/>
        </w:rPr>
        <w:t>(</w:t>
      </w:r>
      <w:r>
        <w:rPr>
          <w:rFonts w:hint="eastAsia" w:ascii="宋体" w:hAnsi="Times" w:cs="宋体"/>
          <w:kern w:val="0"/>
          <w:sz w:val="24"/>
        </w:rPr>
        <w:t>货物名称和描述</w:t>
      </w:r>
      <w:r>
        <w:rPr>
          <w:rFonts w:ascii="宋体" w:hAnsi="Times" w:cs="宋体"/>
          <w:kern w:val="0"/>
          <w:sz w:val="24"/>
        </w:rPr>
        <w:t>)</w:t>
      </w:r>
      <w:r>
        <w:rPr>
          <w:rFonts w:hint="eastAsia" w:ascii="宋体" w:hAnsi="Times" w:cs="宋体"/>
          <w:kern w:val="0"/>
          <w:sz w:val="24"/>
        </w:rPr>
        <w:t>的制造者</w:t>
      </w:r>
      <w:r>
        <w:rPr>
          <w:rFonts w:ascii="宋体" w:hAnsi="Times" w:cs="宋体"/>
          <w:kern w:val="0"/>
          <w:sz w:val="24"/>
        </w:rPr>
        <w:t>,</w:t>
      </w:r>
      <w:r>
        <w:rPr>
          <w:rFonts w:hint="eastAsia" w:ascii="宋体" w:hAnsi="Times" w:cs="宋体"/>
          <w:kern w:val="0"/>
          <w:sz w:val="24"/>
        </w:rPr>
        <w:t>在此授权</w:t>
      </w:r>
      <w:r>
        <w:rPr>
          <w:rFonts w:ascii="宋体" w:hAnsi="Times" w:cs="宋体"/>
          <w:kern w:val="0"/>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ascii="宋体" w:hAnsi="Times" w:cs="宋体"/>
          <w:kern w:val="0"/>
          <w:sz w:val="24"/>
        </w:rPr>
        <w:t>(</w:t>
      </w:r>
      <w:r>
        <w:rPr>
          <w:rFonts w:hint="eastAsia" w:ascii="宋体" w:hAnsi="Times" w:cs="宋体"/>
          <w:kern w:val="0"/>
          <w:sz w:val="24"/>
        </w:rPr>
        <w:t>投标人名称和地址</w:t>
      </w:r>
      <w:r>
        <w:rPr>
          <w:rFonts w:ascii="宋体" w:hAnsi="Times" w:cs="宋体"/>
          <w:kern w:val="0"/>
          <w:sz w:val="24"/>
        </w:rPr>
        <w:t>)</w:t>
      </w:r>
      <w:r>
        <w:rPr>
          <w:rFonts w:hint="eastAsia" w:ascii="宋体" w:hAnsi="Times" w:cs="宋体"/>
          <w:kern w:val="0"/>
          <w:sz w:val="24"/>
        </w:rPr>
        <w:t>就</w:t>
      </w:r>
      <w:r>
        <w:rPr>
          <w:rFonts w:ascii="宋体" w:hAnsi="Times" w:cs="宋体"/>
          <w:kern w:val="0"/>
          <w:sz w:val="24"/>
          <w:u w:val="single"/>
        </w:rPr>
        <w:t xml:space="preserve"> </w:t>
      </w:r>
      <w:r>
        <w:rPr>
          <w:rFonts w:hint="eastAsia" w:ascii="宋体" w:hAnsi="Times" w:cs="宋体"/>
          <w:kern w:val="0"/>
          <w:sz w:val="24"/>
          <w:u w:val="single"/>
        </w:rPr>
        <w:t xml:space="preserve">                    </w:t>
      </w:r>
      <w:r>
        <w:rPr>
          <w:rFonts w:ascii="宋体" w:hAnsi="Times" w:cs="宋体"/>
          <w:kern w:val="0"/>
          <w:sz w:val="24"/>
        </w:rPr>
        <w:t>(</w:t>
      </w:r>
      <w:r>
        <w:rPr>
          <w:rFonts w:hint="eastAsia" w:ascii="宋体" w:hAnsi="Times" w:cs="宋体"/>
          <w:kern w:val="0"/>
          <w:sz w:val="24"/>
        </w:rPr>
        <w:t>项目名称和编号</w:t>
      </w:r>
      <w:r>
        <w:rPr>
          <w:rFonts w:ascii="宋体" w:hAnsi="Times" w:cs="宋体"/>
          <w:kern w:val="0"/>
          <w:sz w:val="24"/>
        </w:rPr>
        <w:t>)</w:t>
      </w:r>
      <w:r>
        <w:rPr>
          <w:rFonts w:hint="eastAsia" w:ascii="宋体" w:hAnsi="Times" w:cs="宋体"/>
          <w:kern w:val="0"/>
          <w:sz w:val="24"/>
        </w:rPr>
        <w:t>用我公司完全拥有制造货物的专有技术和货物递交投标文件</w:t>
      </w:r>
      <w:r>
        <w:rPr>
          <w:rFonts w:ascii="宋体" w:hAnsi="Times" w:cs="宋体"/>
          <w:kern w:val="0"/>
          <w:sz w:val="24"/>
        </w:rPr>
        <w:t>,</w:t>
      </w:r>
      <w:r>
        <w:rPr>
          <w:rFonts w:hint="eastAsia" w:ascii="宋体" w:hAnsi="Times" w:cs="宋体"/>
          <w:kern w:val="0"/>
          <w:sz w:val="24"/>
        </w:rPr>
        <w:t>与你方进行该货物的后续合同谈判和签订合同等事宜。我方在此保证为上述公司响应本次招标而提供的专有技术和货物</w:t>
      </w:r>
      <w:r>
        <w:rPr>
          <w:rFonts w:ascii="宋体" w:hAnsi="Times" w:cs="宋体"/>
          <w:kern w:val="0"/>
          <w:sz w:val="24"/>
        </w:rPr>
        <w:t>,</w:t>
      </w:r>
      <w:r>
        <w:rPr>
          <w:rFonts w:hint="eastAsia" w:ascii="宋体" w:hAnsi="Times" w:cs="宋体"/>
          <w:kern w:val="0"/>
          <w:sz w:val="24"/>
        </w:rPr>
        <w:t>按照合同条款的规定提供全部的质量保证和交货期。</w:t>
      </w:r>
    </w:p>
    <w:p>
      <w:pPr>
        <w:wordWrap w:val="0"/>
        <w:autoSpaceDE w:val="0"/>
        <w:autoSpaceDN w:val="0"/>
        <w:adjustRightInd w:val="0"/>
        <w:spacing w:after="240" w:line="360" w:lineRule="auto"/>
        <w:ind w:firstLine="480" w:firstLineChars="200"/>
        <w:rPr>
          <w:rFonts w:ascii="Times" w:hAnsi="Times" w:cs="Times"/>
          <w:kern w:val="0"/>
          <w:sz w:val="24"/>
        </w:rPr>
      </w:pPr>
      <w:r>
        <w:rPr>
          <w:rFonts w:hint="eastAsia"/>
          <w:sz w:val="24"/>
        </w:rPr>
        <w:t>本授权证明书有效期从即日起，至本项目投标有效期结束之日止。</w:t>
      </w:r>
    </w:p>
    <w:p>
      <w:pPr>
        <w:widowControl w:val="0"/>
        <w:adjustRightInd w:val="0"/>
        <w:snapToGrid w:val="0"/>
        <w:spacing w:line="360" w:lineRule="auto"/>
        <w:jc w:val="both"/>
        <w:rPr>
          <w:rFonts w:ascii="宋体" w:hAnsi="宋体" w:cs="宋体"/>
          <w:sz w:val="24"/>
        </w:rPr>
      </w:pPr>
      <w:r>
        <w:rPr>
          <w:rFonts w:hint="eastAsia" w:ascii="宋体" w:hAnsi="宋体" w:cs="宋体"/>
          <w:sz w:val="24"/>
        </w:rPr>
        <w:t xml:space="preserve"> </w:t>
      </w:r>
    </w:p>
    <w:p>
      <w:pPr>
        <w:widowControl w:val="0"/>
        <w:adjustRightInd w:val="0"/>
        <w:snapToGrid w:val="0"/>
        <w:spacing w:line="360" w:lineRule="auto"/>
        <w:jc w:val="both"/>
        <w:rPr>
          <w:rFonts w:ascii="宋体" w:hAnsi="宋体" w:cs="宋体"/>
          <w:sz w:val="24"/>
        </w:rPr>
      </w:pPr>
      <w:r>
        <w:rPr>
          <w:rFonts w:hint="eastAsia" w:ascii="宋体" w:hAnsi="宋体" w:cs="宋体"/>
          <w:sz w:val="24"/>
        </w:rPr>
        <w:t xml:space="preserve"> </w:t>
      </w:r>
    </w:p>
    <w:p>
      <w:pPr>
        <w:widowControl w:val="0"/>
        <w:adjustRightInd w:val="0"/>
        <w:snapToGrid w:val="0"/>
        <w:spacing w:line="360" w:lineRule="auto"/>
        <w:ind w:firstLine="480"/>
        <w:jc w:val="right"/>
        <w:rPr>
          <w:rFonts w:ascii="宋体" w:hAnsi="宋体" w:cs="宋体"/>
          <w:sz w:val="24"/>
        </w:rPr>
      </w:pPr>
      <w:r>
        <w:rPr>
          <w:rFonts w:hint="eastAsia" w:ascii="宋体" w:hAnsi="宋体" w:cs="宋体"/>
          <w:sz w:val="24"/>
        </w:rPr>
        <w:t>制造商名称：</w:t>
      </w:r>
      <w:r>
        <w:rPr>
          <w:rFonts w:hint="eastAsia" w:ascii="宋体" w:hAnsi="宋体" w:cs="宋体"/>
          <w:sz w:val="24"/>
          <w:u w:val="single" w:color="000000"/>
        </w:rPr>
        <w:t xml:space="preserve">           </w:t>
      </w:r>
      <w:r>
        <w:rPr>
          <w:rFonts w:hint="eastAsia" w:ascii="宋体" w:hAnsi="宋体" w:cs="宋体"/>
          <w:sz w:val="24"/>
        </w:rPr>
        <w:t>（盖章）</w:t>
      </w:r>
    </w:p>
    <w:p>
      <w:pPr>
        <w:spacing w:line="360" w:lineRule="auto"/>
        <w:ind w:right="960" w:firstLine="6000" w:firstLineChars="2500"/>
        <w:rPr>
          <w:rFonts w:ascii="黑体" w:hAnsi="黑体" w:eastAsia="黑体" w:cs="仿宋"/>
        </w:rPr>
      </w:pPr>
      <w:r>
        <w:rPr>
          <w:rFonts w:hint="eastAsia" w:ascii="宋体" w:hAnsi="宋体" w:cs="宋体"/>
          <w:sz w:val="24"/>
        </w:rPr>
        <w:t>日      期：</w:t>
      </w:r>
      <w:r>
        <w:rPr>
          <w:rFonts w:hint="eastAsia" w:ascii="宋体" w:hAnsi="宋体" w:cs="宋体"/>
          <w:sz w:val="24"/>
          <w:u w:val="single" w:color="000000"/>
        </w:rPr>
        <w:t xml:space="preserve">            </w:t>
      </w:r>
      <w:bookmarkStart w:id="81" w:name="_Toc106039375"/>
      <w:r>
        <w:rPr>
          <w:rFonts w:hint="eastAsia" w:ascii="黑体" w:hAnsi="黑体" w:eastAsia="黑体" w:cs="仿宋"/>
        </w:rPr>
        <w:br w:type="page"/>
      </w:r>
    </w:p>
    <w:p>
      <w:pPr>
        <w:pStyle w:val="4"/>
        <w:spacing w:line="360" w:lineRule="auto"/>
        <w:jc w:val="center"/>
        <w:rPr>
          <w:rFonts w:ascii="黑体" w:hAnsi="黑体" w:eastAsia="黑体" w:cs="仿宋"/>
        </w:rPr>
      </w:pPr>
      <w:r>
        <w:rPr>
          <w:rFonts w:hint="eastAsia" w:ascii="黑体" w:hAnsi="黑体" w:eastAsia="黑体" w:cs="仿宋"/>
        </w:rPr>
        <w:t>六、响应方案</w:t>
      </w:r>
      <w:bookmarkEnd w:id="81"/>
    </w:p>
    <w:p>
      <w:pPr>
        <w:pStyle w:val="40"/>
        <w:spacing w:line="360" w:lineRule="auto"/>
      </w:pPr>
    </w:p>
    <w:p>
      <w:pPr>
        <w:spacing w:line="360" w:lineRule="auto"/>
        <w:ind w:firstLine="480" w:firstLineChars="200"/>
        <w:jc w:val="both"/>
        <w:rPr>
          <w:rFonts w:ascii="宋体" w:hAnsi="宋体"/>
          <w:sz w:val="24"/>
        </w:rPr>
      </w:pPr>
      <w:r>
        <w:rPr>
          <w:rFonts w:hint="eastAsia" w:ascii="宋体" w:hAnsi="宋体"/>
          <w:sz w:val="24"/>
        </w:rPr>
        <w:t>响应方案一般包括(但不限于)下列内容:</w:t>
      </w:r>
    </w:p>
    <w:p>
      <w:pPr>
        <w:spacing w:line="360" w:lineRule="auto"/>
        <w:ind w:firstLine="480" w:firstLineChars="200"/>
        <w:jc w:val="both"/>
        <w:rPr>
          <w:rFonts w:ascii="宋体" w:hAnsi="宋体"/>
          <w:sz w:val="24"/>
        </w:rPr>
      </w:pPr>
      <w:r>
        <w:rPr>
          <w:rFonts w:hint="eastAsia" w:ascii="宋体" w:hAnsi="宋体"/>
          <w:sz w:val="24"/>
        </w:rPr>
        <w:t>(一)货物质量标准或技术性能指标的详细描述（可结合第三章“评审办法”和第五章“采购需求”中的要求进行响应）；</w:t>
      </w:r>
    </w:p>
    <w:p>
      <w:pPr>
        <w:spacing w:line="360" w:lineRule="auto"/>
        <w:ind w:firstLine="480" w:firstLineChars="200"/>
        <w:jc w:val="both"/>
        <w:rPr>
          <w:rFonts w:ascii="宋体" w:hAnsi="宋体"/>
          <w:sz w:val="24"/>
        </w:rPr>
      </w:pPr>
      <w:r>
        <w:rPr>
          <w:rFonts w:hint="eastAsia" w:ascii="宋体" w:hAnsi="宋体"/>
          <w:sz w:val="24"/>
        </w:rPr>
        <w:t>（二）技术支持资料（可结合第三章“评审办法”和第五章“采购需求”中的要求进行响应）；</w:t>
      </w:r>
    </w:p>
    <w:p>
      <w:pPr>
        <w:adjustRightInd w:val="0"/>
        <w:snapToGrid w:val="0"/>
        <w:spacing w:line="360" w:lineRule="auto"/>
        <w:ind w:left="420" w:leftChars="200"/>
        <w:jc w:val="both"/>
        <w:rPr>
          <w:rFonts w:cs="仿宋" w:asciiTheme="minorEastAsia" w:hAnsiTheme="minorEastAsia" w:eastAsiaTheme="minorEastAsia"/>
          <w:sz w:val="24"/>
        </w:rPr>
      </w:pPr>
      <w:r>
        <w:rPr>
          <w:rFonts w:hint="eastAsia" w:ascii="宋体" w:hAnsi="宋体"/>
          <w:sz w:val="24"/>
        </w:rPr>
        <w:t>（三）相关服务计划（可结合第三章“评审办法”和第五章“采购需求”中的要求进行响应）；</w:t>
      </w:r>
    </w:p>
    <w:p>
      <w:pPr>
        <w:spacing w:line="360" w:lineRule="auto"/>
        <w:jc w:val="both"/>
        <w:rPr>
          <w:rFonts w:asciiTheme="minorEastAsia" w:hAnsiTheme="minorEastAsia" w:eastAsiaTheme="minorEastAsia"/>
          <w:sz w:val="24"/>
        </w:rPr>
      </w:pPr>
    </w:p>
    <w:sectPr>
      <w:pgSz w:w="11906" w:h="16838"/>
      <w:pgMar w:top="1440" w:right="1080" w:bottom="1440" w:left="1080" w:header="851" w:footer="134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10" w:usb3="00000000" w:csb0="0004009F" w:csb1="00000000"/>
  </w:font>
  <w:font w:name="MS Mincho">
    <w:altName w:val="Yu Gothic UI"/>
    <w:panose1 w:val="02020609040205080304"/>
    <w:charset w:val="80"/>
    <w:family w:val="roman"/>
    <w:pitch w:val="default"/>
    <w:sig w:usb0="00000000" w:usb1="00000000" w:usb2="00000010" w:usb3="00000000" w:csb0="0002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8194185"/>
    </w:sdtPr>
    <w:sdtEndPr>
      <w:rPr>
        <w:sz w:val="20"/>
      </w:rPr>
    </w:sdtEndPr>
    <w:sdtContent>
      <w:p>
        <w:pPr>
          <w:pStyle w:val="25"/>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29</w:t>
        </w:r>
        <w:r>
          <w:rPr>
            <w:sz w:val="20"/>
          </w:rPr>
          <w:fldChar w:fldCharType="end"/>
        </w:r>
      </w:p>
    </w:sdtContent>
  </w:sdt>
  <w:p>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B958D"/>
    <w:multiLevelType w:val="singleLevel"/>
    <w:tmpl w:val="93EB958D"/>
    <w:lvl w:ilvl="0" w:tentative="0">
      <w:start w:val="1"/>
      <w:numFmt w:val="chineseCounting"/>
      <w:suff w:val="nothing"/>
      <w:lvlText w:val="%1、"/>
      <w:lvlJc w:val="left"/>
      <w:rPr>
        <w:rFonts w:hint="eastAsia"/>
      </w:rPr>
    </w:lvl>
  </w:abstractNum>
  <w:abstractNum w:abstractNumId="1">
    <w:nsid w:val="03ECED67"/>
    <w:multiLevelType w:val="singleLevel"/>
    <w:tmpl w:val="03ECED67"/>
    <w:lvl w:ilvl="0" w:tentative="0">
      <w:start w:val="4"/>
      <w:numFmt w:val="decimal"/>
      <w:lvlText w:val="%1."/>
      <w:lvlJc w:val="left"/>
      <w:pPr>
        <w:tabs>
          <w:tab w:val="left" w:pos="312"/>
        </w:tabs>
      </w:pPr>
    </w:lvl>
  </w:abstractNum>
  <w:abstractNum w:abstractNumId="2">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formatting="1"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TgzYWJlZTQ4OWUwNmU2NDgyNDg3ZTU4ZmE2OGEifQ=="/>
    <w:docVar w:name="KSO_WPS_MARK_KEY" w:val="10e96e8a-5887-49e3-b742-7acda72eb992"/>
  </w:docVars>
  <w:rsids>
    <w:rsidRoot w:val="00124EA9"/>
    <w:rsid w:val="000021E0"/>
    <w:rsid w:val="00002637"/>
    <w:rsid w:val="00004047"/>
    <w:rsid w:val="00010F56"/>
    <w:rsid w:val="00024612"/>
    <w:rsid w:val="000251C1"/>
    <w:rsid w:val="00044051"/>
    <w:rsid w:val="00045372"/>
    <w:rsid w:val="00045996"/>
    <w:rsid w:val="00053E1B"/>
    <w:rsid w:val="0006009C"/>
    <w:rsid w:val="000767DF"/>
    <w:rsid w:val="00077817"/>
    <w:rsid w:val="00080B47"/>
    <w:rsid w:val="000A0047"/>
    <w:rsid w:val="000A7926"/>
    <w:rsid w:val="000B4936"/>
    <w:rsid w:val="000C4E44"/>
    <w:rsid w:val="000C5689"/>
    <w:rsid w:val="000D0FD0"/>
    <w:rsid w:val="000D3485"/>
    <w:rsid w:val="000D3A07"/>
    <w:rsid w:val="000E3F95"/>
    <w:rsid w:val="000E5829"/>
    <w:rsid w:val="000F2F60"/>
    <w:rsid w:val="000F3D59"/>
    <w:rsid w:val="000F572C"/>
    <w:rsid w:val="000F65C5"/>
    <w:rsid w:val="00101210"/>
    <w:rsid w:val="00124EA9"/>
    <w:rsid w:val="00131DC1"/>
    <w:rsid w:val="00133753"/>
    <w:rsid w:val="0013766E"/>
    <w:rsid w:val="00141200"/>
    <w:rsid w:val="001421A1"/>
    <w:rsid w:val="0014231F"/>
    <w:rsid w:val="001429F5"/>
    <w:rsid w:val="00143EE9"/>
    <w:rsid w:val="00144A0B"/>
    <w:rsid w:val="00145DB9"/>
    <w:rsid w:val="00155F5F"/>
    <w:rsid w:val="00162426"/>
    <w:rsid w:val="001624FF"/>
    <w:rsid w:val="0016577A"/>
    <w:rsid w:val="00172E5F"/>
    <w:rsid w:val="00175066"/>
    <w:rsid w:val="00186D78"/>
    <w:rsid w:val="001930A4"/>
    <w:rsid w:val="001A1831"/>
    <w:rsid w:val="001A77A4"/>
    <w:rsid w:val="001B2C90"/>
    <w:rsid w:val="001B336A"/>
    <w:rsid w:val="001D03F9"/>
    <w:rsid w:val="001E3B3D"/>
    <w:rsid w:val="001F28D4"/>
    <w:rsid w:val="001F55EE"/>
    <w:rsid w:val="00200C8B"/>
    <w:rsid w:val="0020642B"/>
    <w:rsid w:val="00210B19"/>
    <w:rsid w:val="00216148"/>
    <w:rsid w:val="0021628B"/>
    <w:rsid w:val="0022239A"/>
    <w:rsid w:val="00236D8A"/>
    <w:rsid w:val="00240105"/>
    <w:rsid w:val="00244E9B"/>
    <w:rsid w:val="0026094B"/>
    <w:rsid w:val="00281C9C"/>
    <w:rsid w:val="002832EF"/>
    <w:rsid w:val="0028390B"/>
    <w:rsid w:val="00292A27"/>
    <w:rsid w:val="002A13A6"/>
    <w:rsid w:val="002A3646"/>
    <w:rsid w:val="002A69B8"/>
    <w:rsid w:val="002B225E"/>
    <w:rsid w:val="002B7B11"/>
    <w:rsid w:val="002D3DCC"/>
    <w:rsid w:val="002D460A"/>
    <w:rsid w:val="002E1D5F"/>
    <w:rsid w:val="002F4C12"/>
    <w:rsid w:val="0031048F"/>
    <w:rsid w:val="003114D8"/>
    <w:rsid w:val="003220EE"/>
    <w:rsid w:val="003276E9"/>
    <w:rsid w:val="003332ED"/>
    <w:rsid w:val="00333AC7"/>
    <w:rsid w:val="003346E3"/>
    <w:rsid w:val="00335C6C"/>
    <w:rsid w:val="00340982"/>
    <w:rsid w:val="00341BE1"/>
    <w:rsid w:val="00343219"/>
    <w:rsid w:val="00352B11"/>
    <w:rsid w:val="003536C1"/>
    <w:rsid w:val="00371495"/>
    <w:rsid w:val="0038765B"/>
    <w:rsid w:val="00392340"/>
    <w:rsid w:val="003A008A"/>
    <w:rsid w:val="003A21A4"/>
    <w:rsid w:val="003A35E6"/>
    <w:rsid w:val="003A47A2"/>
    <w:rsid w:val="003A7BE3"/>
    <w:rsid w:val="003B1B7D"/>
    <w:rsid w:val="003C0E8A"/>
    <w:rsid w:val="003C71AC"/>
    <w:rsid w:val="003E48E1"/>
    <w:rsid w:val="003E6695"/>
    <w:rsid w:val="003E7A6F"/>
    <w:rsid w:val="00405A6A"/>
    <w:rsid w:val="00406457"/>
    <w:rsid w:val="004179C4"/>
    <w:rsid w:val="004212E9"/>
    <w:rsid w:val="00445025"/>
    <w:rsid w:val="004477E9"/>
    <w:rsid w:val="004528FC"/>
    <w:rsid w:val="004529AE"/>
    <w:rsid w:val="0046332C"/>
    <w:rsid w:val="00464986"/>
    <w:rsid w:val="00470510"/>
    <w:rsid w:val="00474349"/>
    <w:rsid w:val="00477005"/>
    <w:rsid w:val="00477727"/>
    <w:rsid w:val="00480E54"/>
    <w:rsid w:val="00482A85"/>
    <w:rsid w:val="0048561B"/>
    <w:rsid w:val="00494772"/>
    <w:rsid w:val="004A6BC6"/>
    <w:rsid w:val="004B2465"/>
    <w:rsid w:val="004B24C9"/>
    <w:rsid w:val="004B3E4A"/>
    <w:rsid w:val="004D1DCD"/>
    <w:rsid w:val="004D2DC8"/>
    <w:rsid w:val="004D702E"/>
    <w:rsid w:val="004F03C7"/>
    <w:rsid w:val="004F1CF3"/>
    <w:rsid w:val="004F5B58"/>
    <w:rsid w:val="004F7BD5"/>
    <w:rsid w:val="004F7F0C"/>
    <w:rsid w:val="0050258D"/>
    <w:rsid w:val="0051116B"/>
    <w:rsid w:val="00514DA0"/>
    <w:rsid w:val="00527EEC"/>
    <w:rsid w:val="005307B3"/>
    <w:rsid w:val="00540115"/>
    <w:rsid w:val="00544A33"/>
    <w:rsid w:val="005458F8"/>
    <w:rsid w:val="0054718F"/>
    <w:rsid w:val="0055203E"/>
    <w:rsid w:val="0057297F"/>
    <w:rsid w:val="0057563C"/>
    <w:rsid w:val="00575982"/>
    <w:rsid w:val="00580028"/>
    <w:rsid w:val="00580488"/>
    <w:rsid w:val="0058176A"/>
    <w:rsid w:val="005864F4"/>
    <w:rsid w:val="005932FF"/>
    <w:rsid w:val="005A24DF"/>
    <w:rsid w:val="005A43ED"/>
    <w:rsid w:val="005A70E0"/>
    <w:rsid w:val="005B251E"/>
    <w:rsid w:val="005C4BCE"/>
    <w:rsid w:val="005D438E"/>
    <w:rsid w:val="005E5529"/>
    <w:rsid w:val="005E5C66"/>
    <w:rsid w:val="005E679A"/>
    <w:rsid w:val="005F29AC"/>
    <w:rsid w:val="005F2B3B"/>
    <w:rsid w:val="005F3C29"/>
    <w:rsid w:val="005F499C"/>
    <w:rsid w:val="00602185"/>
    <w:rsid w:val="00612206"/>
    <w:rsid w:val="00617F00"/>
    <w:rsid w:val="00617F38"/>
    <w:rsid w:val="006417A4"/>
    <w:rsid w:val="006435FD"/>
    <w:rsid w:val="00645395"/>
    <w:rsid w:val="0065480F"/>
    <w:rsid w:val="0065638A"/>
    <w:rsid w:val="00656CED"/>
    <w:rsid w:val="00660D70"/>
    <w:rsid w:val="00665B3C"/>
    <w:rsid w:val="00673382"/>
    <w:rsid w:val="00676BDB"/>
    <w:rsid w:val="00686532"/>
    <w:rsid w:val="00690B7C"/>
    <w:rsid w:val="006A12CE"/>
    <w:rsid w:val="006A499F"/>
    <w:rsid w:val="006B1EC2"/>
    <w:rsid w:val="006B3F31"/>
    <w:rsid w:val="006C735F"/>
    <w:rsid w:val="006D3E72"/>
    <w:rsid w:val="006E037A"/>
    <w:rsid w:val="006E0909"/>
    <w:rsid w:val="006E37CB"/>
    <w:rsid w:val="006E4993"/>
    <w:rsid w:val="006E5C39"/>
    <w:rsid w:val="00702A69"/>
    <w:rsid w:val="00707B6C"/>
    <w:rsid w:val="007265BE"/>
    <w:rsid w:val="00734D60"/>
    <w:rsid w:val="0075378F"/>
    <w:rsid w:val="007555FC"/>
    <w:rsid w:val="007623DE"/>
    <w:rsid w:val="00767FCD"/>
    <w:rsid w:val="00770FF3"/>
    <w:rsid w:val="00771629"/>
    <w:rsid w:val="007726E3"/>
    <w:rsid w:val="00773441"/>
    <w:rsid w:val="00773E3D"/>
    <w:rsid w:val="0077453D"/>
    <w:rsid w:val="00784672"/>
    <w:rsid w:val="00784F8A"/>
    <w:rsid w:val="00785C21"/>
    <w:rsid w:val="007964EF"/>
    <w:rsid w:val="007C2355"/>
    <w:rsid w:val="007C40D4"/>
    <w:rsid w:val="007C74E8"/>
    <w:rsid w:val="007D0497"/>
    <w:rsid w:val="007D29D4"/>
    <w:rsid w:val="007D3081"/>
    <w:rsid w:val="007E1F23"/>
    <w:rsid w:val="007E4510"/>
    <w:rsid w:val="007F2577"/>
    <w:rsid w:val="007F3D4A"/>
    <w:rsid w:val="007F3EC6"/>
    <w:rsid w:val="0080745B"/>
    <w:rsid w:val="0081777A"/>
    <w:rsid w:val="00822A51"/>
    <w:rsid w:val="00824B55"/>
    <w:rsid w:val="00855A14"/>
    <w:rsid w:val="00867D79"/>
    <w:rsid w:val="008705DF"/>
    <w:rsid w:val="008762E6"/>
    <w:rsid w:val="00883782"/>
    <w:rsid w:val="00892349"/>
    <w:rsid w:val="00892DCC"/>
    <w:rsid w:val="008933B7"/>
    <w:rsid w:val="00896688"/>
    <w:rsid w:val="008A4531"/>
    <w:rsid w:val="008A6664"/>
    <w:rsid w:val="008B2D72"/>
    <w:rsid w:val="008C623B"/>
    <w:rsid w:val="008F6B51"/>
    <w:rsid w:val="0090589A"/>
    <w:rsid w:val="009315C2"/>
    <w:rsid w:val="00935E41"/>
    <w:rsid w:val="00935ED2"/>
    <w:rsid w:val="009413B0"/>
    <w:rsid w:val="00954F74"/>
    <w:rsid w:val="00955643"/>
    <w:rsid w:val="009573B9"/>
    <w:rsid w:val="00965E94"/>
    <w:rsid w:val="00970629"/>
    <w:rsid w:val="00983877"/>
    <w:rsid w:val="009A1BD2"/>
    <w:rsid w:val="009A24B1"/>
    <w:rsid w:val="009A3142"/>
    <w:rsid w:val="009B084E"/>
    <w:rsid w:val="009B2857"/>
    <w:rsid w:val="009B5405"/>
    <w:rsid w:val="009B626F"/>
    <w:rsid w:val="009B66AE"/>
    <w:rsid w:val="009C5A07"/>
    <w:rsid w:val="009C6CBD"/>
    <w:rsid w:val="009D2389"/>
    <w:rsid w:val="009E0B67"/>
    <w:rsid w:val="009F0705"/>
    <w:rsid w:val="009F1C96"/>
    <w:rsid w:val="009F786D"/>
    <w:rsid w:val="00A02DDD"/>
    <w:rsid w:val="00A12741"/>
    <w:rsid w:val="00A15750"/>
    <w:rsid w:val="00A2148B"/>
    <w:rsid w:val="00A2462C"/>
    <w:rsid w:val="00A27204"/>
    <w:rsid w:val="00A33D67"/>
    <w:rsid w:val="00A3767B"/>
    <w:rsid w:val="00A41388"/>
    <w:rsid w:val="00A477C0"/>
    <w:rsid w:val="00A507DC"/>
    <w:rsid w:val="00A54E02"/>
    <w:rsid w:val="00A67EC8"/>
    <w:rsid w:val="00A71374"/>
    <w:rsid w:val="00A81F80"/>
    <w:rsid w:val="00A868EF"/>
    <w:rsid w:val="00A906E2"/>
    <w:rsid w:val="00A943DF"/>
    <w:rsid w:val="00A95B63"/>
    <w:rsid w:val="00AA0F15"/>
    <w:rsid w:val="00AB28BF"/>
    <w:rsid w:val="00AD2A48"/>
    <w:rsid w:val="00AD2C8A"/>
    <w:rsid w:val="00AD6819"/>
    <w:rsid w:val="00AE15F3"/>
    <w:rsid w:val="00AE18DA"/>
    <w:rsid w:val="00AF4CC2"/>
    <w:rsid w:val="00B01BCC"/>
    <w:rsid w:val="00B2492C"/>
    <w:rsid w:val="00B25D89"/>
    <w:rsid w:val="00B33F50"/>
    <w:rsid w:val="00B3664B"/>
    <w:rsid w:val="00B439A9"/>
    <w:rsid w:val="00B4446C"/>
    <w:rsid w:val="00B60605"/>
    <w:rsid w:val="00B64A25"/>
    <w:rsid w:val="00B6591E"/>
    <w:rsid w:val="00B66C84"/>
    <w:rsid w:val="00B75297"/>
    <w:rsid w:val="00B80BE7"/>
    <w:rsid w:val="00B82043"/>
    <w:rsid w:val="00B91731"/>
    <w:rsid w:val="00B9193D"/>
    <w:rsid w:val="00B92BED"/>
    <w:rsid w:val="00B938D9"/>
    <w:rsid w:val="00B95169"/>
    <w:rsid w:val="00BA4291"/>
    <w:rsid w:val="00BA6815"/>
    <w:rsid w:val="00BA6DC7"/>
    <w:rsid w:val="00BA7569"/>
    <w:rsid w:val="00BA783A"/>
    <w:rsid w:val="00BB00AF"/>
    <w:rsid w:val="00BB1B83"/>
    <w:rsid w:val="00BB53FF"/>
    <w:rsid w:val="00BC08B5"/>
    <w:rsid w:val="00BC5446"/>
    <w:rsid w:val="00BD7A21"/>
    <w:rsid w:val="00BF2669"/>
    <w:rsid w:val="00C03C07"/>
    <w:rsid w:val="00C12666"/>
    <w:rsid w:val="00C14B63"/>
    <w:rsid w:val="00C16814"/>
    <w:rsid w:val="00C20BC1"/>
    <w:rsid w:val="00C22565"/>
    <w:rsid w:val="00C324D4"/>
    <w:rsid w:val="00C50F7B"/>
    <w:rsid w:val="00C52E06"/>
    <w:rsid w:val="00C53A90"/>
    <w:rsid w:val="00C54AC5"/>
    <w:rsid w:val="00C7182C"/>
    <w:rsid w:val="00C80A31"/>
    <w:rsid w:val="00C931BF"/>
    <w:rsid w:val="00C938B5"/>
    <w:rsid w:val="00C94DBF"/>
    <w:rsid w:val="00CB2271"/>
    <w:rsid w:val="00CB35D3"/>
    <w:rsid w:val="00CD5CEB"/>
    <w:rsid w:val="00CE020B"/>
    <w:rsid w:val="00CE71D2"/>
    <w:rsid w:val="00CE7226"/>
    <w:rsid w:val="00CE7D8E"/>
    <w:rsid w:val="00CF36EE"/>
    <w:rsid w:val="00D1160E"/>
    <w:rsid w:val="00D1328D"/>
    <w:rsid w:val="00D14007"/>
    <w:rsid w:val="00D26E74"/>
    <w:rsid w:val="00D27461"/>
    <w:rsid w:val="00D30D7D"/>
    <w:rsid w:val="00D32AD3"/>
    <w:rsid w:val="00D35B47"/>
    <w:rsid w:val="00D44DE9"/>
    <w:rsid w:val="00D4514A"/>
    <w:rsid w:val="00D51582"/>
    <w:rsid w:val="00D52D42"/>
    <w:rsid w:val="00D5313A"/>
    <w:rsid w:val="00D56D4E"/>
    <w:rsid w:val="00D80ADF"/>
    <w:rsid w:val="00D812B2"/>
    <w:rsid w:val="00D841AD"/>
    <w:rsid w:val="00D86B1B"/>
    <w:rsid w:val="00D90F37"/>
    <w:rsid w:val="00D92EB2"/>
    <w:rsid w:val="00D9522A"/>
    <w:rsid w:val="00D962D6"/>
    <w:rsid w:val="00DA2E85"/>
    <w:rsid w:val="00DA3A70"/>
    <w:rsid w:val="00DA6572"/>
    <w:rsid w:val="00DB2007"/>
    <w:rsid w:val="00DC3790"/>
    <w:rsid w:val="00DC758D"/>
    <w:rsid w:val="00DD03AC"/>
    <w:rsid w:val="00DD081E"/>
    <w:rsid w:val="00DD63AD"/>
    <w:rsid w:val="00DD7197"/>
    <w:rsid w:val="00DE65BA"/>
    <w:rsid w:val="00DF2B35"/>
    <w:rsid w:val="00DF52A2"/>
    <w:rsid w:val="00E006FA"/>
    <w:rsid w:val="00E07092"/>
    <w:rsid w:val="00E10A95"/>
    <w:rsid w:val="00E16798"/>
    <w:rsid w:val="00E24833"/>
    <w:rsid w:val="00E25112"/>
    <w:rsid w:val="00E263FD"/>
    <w:rsid w:val="00E30201"/>
    <w:rsid w:val="00E44E6A"/>
    <w:rsid w:val="00E4799A"/>
    <w:rsid w:val="00E5145F"/>
    <w:rsid w:val="00E5459C"/>
    <w:rsid w:val="00E61B4A"/>
    <w:rsid w:val="00E65DCA"/>
    <w:rsid w:val="00E828A3"/>
    <w:rsid w:val="00E839E1"/>
    <w:rsid w:val="00E84D8F"/>
    <w:rsid w:val="00E8703F"/>
    <w:rsid w:val="00E8717F"/>
    <w:rsid w:val="00EA3253"/>
    <w:rsid w:val="00EA3F96"/>
    <w:rsid w:val="00EB3032"/>
    <w:rsid w:val="00EB36F8"/>
    <w:rsid w:val="00EB3D32"/>
    <w:rsid w:val="00EB45C5"/>
    <w:rsid w:val="00EC1A38"/>
    <w:rsid w:val="00EC394D"/>
    <w:rsid w:val="00EC4B84"/>
    <w:rsid w:val="00EC5AF3"/>
    <w:rsid w:val="00ED0C16"/>
    <w:rsid w:val="00EE75AA"/>
    <w:rsid w:val="00F014DF"/>
    <w:rsid w:val="00F0428D"/>
    <w:rsid w:val="00F067FF"/>
    <w:rsid w:val="00F06D3D"/>
    <w:rsid w:val="00F138CF"/>
    <w:rsid w:val="00F17C9D"/>
    <w:rsid w:val="00F31726"/>
    <w:rsid w:val="00F40991"/>
    <w:rsid w:val="00F43672"/>
    <w:rsid w:val="00F449A4"/>
    <w:rsid w:val="00F51761"/>
    <w:rsid w:val="00F51B37"/>
    <w:rsid w:val="00F5475D"/>
    <w:rsid w:val="00F552F8"/>
    <w:rsid w:val="00F56705"/>
    <w:rsid w:val="00F725CC"/>
    <w:rsid w:val="00F76C2C"/>
    <w:rsid w:val="00F84B02"/>
    <w:rsid w:val="00F86C0E"/>
    <w:rsid w:val="00FA688E"/>
    <w:rsid w:val="00FB7FEC"/>
    <w:rsid w:val="00FC0CDA"/>
    <w:rsid w:val="00FC2557"/>
    <w:rsid w:val="00FC3155"/>
    <w:rsid w:val="00FD0360"/>
    <w:rsid w:val="00FD3A25"/>
    <w:rsid w:val="00FD4D0F"/>
    <w:rsid w:val="00FD78D6"/>
    <w:rsid w:val="00FE3439"/>
    <w:rsid w:val="00FE5003"/>
    <w:rsid w:val="00FF43B1"/>
    <w:rsid w:val="00FF670A"/>
    <w:rsid w:val="00FF7B18"/>
    <w:rsid w:val="0116410E"/>
    <w:rsid w:val="015D4263"/>
    <w:rsid w:val="016110F4"/>
    <w:rsid w:val="01AC7279"/>
    <w:rsid w:val="01B372CB"/>
    <w:rsid w:val="01BB3CD7"/>
    <w:rsid w:val="01CD028F"/>
    <w:rsid w:val="01D76005"/>
    <w:rsid w:val="01F71C64"/>
    <w:rsid w:val="02111C54"/>
    <w:rsid w:val="02C82FD8"/>
    <w:rsid w:val="032D26DE"/>
    <w:rsid w:val="04431B4F"/>
    <w:rsid w:val="04781A8F"/>
    <w:rsid w:val="047C353A"/>
    <w:rsid w:val="04A65DBC"/>
    <w:rsid w:val="04C70CFD"/>
    <w:rsid w:val="05C8377A"/>
    <w:rsid w:val="05CD3A4B"/>
    <w:rsid w:val="05EF1FFE"/>
    <w:rsid w:val="06FE6B3F"/>
    <w:rsid w:val="071C2DD7"/>
    <w:rsid w:val="077E6DAB"/>
    <w:rsid w:val="078C4C2A"/>
    <w:rsid w:val="08786166"/>
    <w:rsid w:val="0882554E"/>
    <w:rsid w:val="08826D5B"/>
    <w:rsid w:val="08876C3D"/>
    <w:rsid w:val="09343645"/>
    <w:rsid w:val="09970B85"/>
    <w:rsid w:val="09C6304D"/>
    <w:rsid w:val="09E7100A"/>
    <w:rsid w:val="0AED2D32"/>
    <w:rsid w:val="0AF00027"/>
    <w:rsid w:val="0B0D605F"/>
    <w:rsid w:val="0B272FBD"/>
    <w:rsid w:val="0B300652"/>
    <w:rsid w:val="0B534E7F"/>
    <w:rsid w:val="0B7E024F"/>
    <w:rsid w:val="0C7412D9"/>
    <w:rsid w:val="0C905B62"/>
    <w:rsid w:val="0CCC561D"/>
    <w:rsid w:val="0CD44FE7"/>
    <w:rsid w:val="0CE02BCB"/>
    <w:rsid w:val="0D414932"/>
    <w:rsid w:val="0D8B5F9E"/>
    <w:rsid w:val="0DB759FC"/>
    <w:rsid w:val="0DBD1316"/>
    <w:rsid w:val="0E1F3EB9"/>
    <w:rsid w:val="0E82381B"/>
    <w:rsid w:val="0E891CDE"/>
    <w:rsid w:val="0E894C6A"/>
    <w:rsid w:val="0F250657"/>
    <w:rsid w:val="0F6A1717"/>
    <w:rsid w:val="0FBE167F"/>
    <w:rsid w:val="0FE216C6"/>
    <w:rsid w:val="101F6442"/>
    <w:rsid w:val="1029705A"/>
    <w:rsid w:val="10A157BC"/>
    <w:rsid w:val="10D715D2"/>
    <w:rsid w:val="112343A2"/>
    <w:rsid w:val="113B3D20"/>
    <w:rsid w:val="115E4704"/>
    <w:rsid w:val="119E5E08"/>
    <w:rsid w:val="11B22B48"/>
    <w:rsid w:val="12362DDF"/>
    <w:rsid w:val="12BA2D4B"/>
    <w:rsid w:val="134255D7"/>
    <w:rsid w:val="13692E14"/>
    <w:rsid w:val="136C60D7"/>
    <w:rsid w:val="1391375B"/>
    <w:rsid w:val="13A5475C"/>
    <w:rsid w:val="145076DA"/>
    <w:rsid w:val="149C34F4"/>
    <w:rsid w:val="14B70C0B"/>
    <w:rsid w:val="1500069C"/>
    <w:rsid w:val="15912658"/>
    <w:rsid w:val="15C44795"/>
    <w:rsid w:val="160A7A1D"/>
    <w:rsid w:val="160B7CDB"/>
    <w:rsid w:val="16314BAD"/>
    <w:rsid w:val="17100B20"/>
    <w:rsid w:val="17594306"/>
    <w:rsid w:val="17D539F2"/>
    <w:rsid w:val="17DA3589"/>
    <w:rsid w:val="17DD7BFF"/>
    <w:rsid w:val="17DF02C7"/>
    <w:rsid w:val="17EC6F77"/>
    <w:rsid w:val="17FA7AA4"/>
    <w:rsid w:val="183F33C7"/>
    <w:rsid w:val="188E4B96"/>
    <w:rsid w:val="18961368"/>
    <w:rsid w:val="18A90CBA"/>
    <w:rsid w:val="18E4741C"/>
    <w:rsid w:val="19097045"/>
    <w:rsid w:val="196A4431"/>
    <w:rsid w:val="1A104EBC"/>
    <w:rsid w:val="1ABA20D4"/>
    <w:rsid w:val="1AEE5086"/>
    <w:rsid w:val="1AFA6091"/>
    <w:rsid w:val="1B12793A"/>
    <w:rsid w:val="1C2276D5"/>
    <w:rsid w:val="1D082A55"/>
    <w:rsid w:val="1D2F21AC"/>
    <w:rsid w:val="1D5B6A20"/>
    <w:rsid w:val="1D5D05DC"/>
    <w:rsid w:val="1DAB68D7"/>
    <w:rsid w:val="1DBB01B3"/>
    <w:rsid w:val="1DC7279C"/>
    <w:rsid w:val="1DCA2399"/>
    <w:rsid w:val="1DEC3661"/>
    <w:rsid w:val="1E1F3B60"/>
    <w:rsid w:val="1E450D02"/>
    <w:rsid w:val="1E5803E7"/>
    <w:rsid w:val="1E772070"/>
    <w:rsid w:val="1E901304"/>
    <w:rsid w:val="1F031D0C"/>
    <w:rsid w:val="1F0F644E"/>
    <w:rsid w:val="1F2802D4"/>
    <w:rsid w:val="1F2E0BFF"/>
    <w:rsid w:val="1F833B5F"/>
    <w:rsid w:val="1F9D58D9"/>
    <w:rsid w:val="1F9F4756"/>
    <w:rsid w:val="1FB37BD1"/>
    <w:rsid w:val="1FBF76D7"/>
    <w:rsid w:val="20460236"/>
    <w:rsid w:val="205D54C9"/>
    <w:rsid w:val="20F56E6A"/>
    <w:rsid w:val="210E5B18"/>
    <w:rsid w:val="212E078A"/>
    <w:rsid w:val="213E3A2F"/>
    <w:rsid w:val="22491B70"/>
    <w:rsid w:val="22CD0ADC"/>
    <w:rsid w:val="22D465DC"/>
    <w:rsid w:val="23331D17"/>
    <w:rsid w:val="235B5479"/>
    <w:rsid w:val="23A34879"/>
    <w:rsid w:val="23BE1A45"/>
    <w:rsid w:val="243757D4"/>
    <w:rsid w:val="244C69D6"/>
    <w:rsid w:val="248716BD"/>
    <w:rsid w:val="24C25045"/>
    <w:rsid w:val="24CF2408"/>
    <w:rsid w:val="25313DAC"/>
    <w:rsid w:val="25670F4C"/>
    <w:rsid w:val="2578297E"/>
    <w:rsid w:val="2584425C"/>
    <w:rsid w:val="258D6E68"/>
    <w:rsid w:val="260770CA"/>
    <w:rsid w:val="264E6DB9"/>
    <w:rsid w:val="26A05072"/>
    <w:rsid w:val="26A22F8C"/>
    <w:rsid w:val="26B9171A"/>
    <w:rsid w:val="26E937DE"/>
    <w:rsid w:val="272651E8"/>
    <w:rsid w:val="274B1A62"/>
    <w:rsid w:val="27567236"/>
    <w:rsid w:val="27637EB2"/>
    <w:rsid w:val="27A5689F"/>
    <w:rsid w:val="27E311ED"/>
    <w:rsid w:val="282A3A11"/>
    <w:rsid w:val="2872440F"/>
    <w:rsid w:val="28EE7628"/>
    <w:rsid w:val="29152BC1"/>
    <w:rsid w:val="294F2DD3"/>
    <w:rsid w:val="295E13D6"/>
    <w:rsid w:val="295F1BEE"/>
    <w:rsid w:val="29E8423F"/>
    <w:rsid w:val="29FE7C6D"/>
    <w:rsid w:val="2A7757C9"/>
    <w:rsid w:val="2A810C26"/>
    <w:rsid w:val="2AA915E9"/>
    <w:rsid w:val="2AB628FE"/>
    <w:rsid w:val="2AEB642C"/>
    <w:rsid w:val="2B097BFC"/>
    <w:rsid w:val="2B370856"/>
    <w:rsid w:val="2BB311E2"/>
    <w:rsid w:val="2BF10955"/>
    <w:rsid w:val="2C3F32B8"/>
    <w:rsid w:val="2C7F01E4"/>
    <w:rsid w:val="2D101F87"/>
    <w:rsid w:val="2D6C5B94"/>
    <w:rsid w:val="2D933C05"/>
    <w:rsid w:val="2DB10DD3"/>
    <w:rsid w:val="2DEC6D70"/>
    <w:rsid w:val="2DFE0923"/>
    <w:rsid w:val="2E2F1338"/>
    <w:rsid w:val="2E312601"/>
    <w:rsid w:val="2E41641E"/>
    <w:rsid w:val="2E944985"/>
    <w:rsid w:val="2F0350EF"/>
    <w:rsid w:val="2F6261C2"/>
    <w:rsid w:val="2F83752B"/>
    <w:rsid w:val="2FA63021"/>
    <w:rsid w:val="2FCB45CD"/>
    <w:rsid w:val="2FD26F55"/>
    <w:rsid w:val="30096558"/>
    <w:rsid w:val="30564A47"/>
    <w:rsid w:val="30751371"/>
    <w:rsid w:val="30DE2DAE"/>
    <w:rsid w:val="31755D3D"/>
    <w:rsid w:val="31AD6526"/>
    <w:rsid w:val="31CB1F6B"/>
    <w:rsid w:val="323D10CB"/>
    <w:rsid w:val="32756EB2"/>
    <w:rsid w:val="328A0351"/>
    <w:rsid w:val="32947966"/>
    <w:rsid w:val="329D4C70"/>
    <w:rsid w:val="32CB6281"/>
    <w:rsid w:val="339248A7"/>
    <w:rsid w:val="33A00E70"/>
    <w:rsid w:val="347E184F"/>
    <w:rsid w:val="34874156"/>
    <w:rsid w:val="34DC45DC"/>
    <w:rsid w:val="34F111A0"/>
    <w:rsid w:val="35032B89"/>
    <w:rsid w:val="351E6AD6"/>
    <w:rsid w:val="35E068D3"/>
    <w:rsid w:val="36237A11"/>
    <w:rsid w:val="366115F3"/>
    <w:rsid w:val="369E5F5A"/>
    <w:rsid w:val="36D57A86"/>
    <w:rsid w:val="36EC5253"/>
    <w:rsid w:val="36F31459"/>
    <w:rsid w:val="379B30ED"/>
    <w:rsid w:val="37B50E0E"/>
    <w:rsid w:val="37E36BED"/>
    <w:rsid w:val="3806709E"/>
    <w:rsid w:val="38302D1E"/>
    <w:rsid w:val="38F94373"/>
    <w:rsid w:val="390636E6"/>
    <w:rsid w:val="39C96499"/>
    <w:rsid w:val="3A1D0739"/>
    <w:rsid w:val="3A5E7CCF"/>
    <w:rsid w:val="3A6E62DC"/>
    <w:rsid w:val="3AB17686"/>
    <w:rsid w:val="3AF93B99"/>
    <w:rsid w:val="3B082DE1"/>
    <w:rsid w:val="3B2B40CB"/>
    <w:rsid w:val="3B786F8B"/>
    <w:rsid w:val="3C100595"/>
    <w:rsid w:val="3C660BC5"/>
    <w:rsid w:val="3CCF005B"/>
    <w:rsid w:val="3D461FBA"/>
    <w:rsid w:val="3D5B45EF"/>
    <w:rsid w:val="3D72263E"/>
    <w:rsid w:val="3D886522"/>
    <w:rsid w:val="3E7D0B52"/>
    <w:rsid w:val="3EC44618"/>
    <w:rsid w:val="3F0013D8"/>
    <w:rsid w:val="3F044229"/>
    <w:rsid w:val="3F2F2544"/>
    <w:rsid w:val="3F5D6262"/>
    <w:rsid w:val="3F747742"/>
    <w:rsid w:val="3FB93C81"/>
    <w:rsid w:val="3FEA1C2A"/>
    <w:rsid w:val="3FF2370A"/>
    <w:rsid w:val="407A02DD"/>
    <w:rsid w:val="40C81736"/>
    <w:rsid w:val="40CD665F"/>
    <w:rsid w:val="41A84E5D"/>
    <w:rsid w:val="41CE0EB7"/>
    <w:rsid w:val="41D33B60"/>
    <w:rsid w:val="42B9360E"/>
    <w:rsid w:val="43083C17"/>
    <w:rsid w:val="4346440E"/>
    <w:rsid w:val="434A467A"/>
    <w:rsid w:val="439B4291"/>
    <w:rsid w:val="439D4A0F"/>
    <w:rsid w:val="43AA0EDA"/>
    <w:rsid w:val="43BC1982"/>
    <w:rsid w:val="44553D96"/>
    <w:rsid w:val="44D14A1F"/>
    <w:rsid w:val="44EF214B"/>
    <w:rsid w:val="4503099B"/>
    <w:rsid w:val="453D7EFA"/>
    <w:rsid w:val="45FD2E1E"/>
    <w:rsid w:val="46236E22"/>
    <w:rsid w:val="463D1554"/>
    <w:rsid w:val="46480423"/>
    <w:rsid w:val="465A5FBF"/>
    <w:rsid w:val="46C44BD5"/>
    <w:rsid w:val="46FD0ED7"/>
    <w:rsid w:val="473A1C92"/>
    <w:rsid w:val="47592E4A"/>
    <w:rsid w:val="47D44A52"/>
    <w:rsid w:val="48B457DA"/>
    <w:rsid w:val="48D77DA0"/>
    <w:rsid w:val="49055724"/>
    <w:rsid w:val="49061DFF"/>
    <w:rsid w:val="495F2766"/>
    <w:rsid w:val="496A3556"/>
    <w:rsid w:val="49A15B9F"/>
    <w:rsid w:val="49D40A5E"/>
    <w:rsid w:val="49E352A4"/>
    <w:rsid w:val="4A625DAC"/>
    <w:rsid w:val="4B9B3306"/>
    <w:rsid w:val="4BA044F9"/>
    <w:rsid w:val="4BB73BE9"/>
    <w:rsid w:val="4BEB2031"/>
    <w:rsid w:val="4C1A51E9"/>
    <w:rsid w:val="4C2C5768"/>
    <w:rsid w:val="4C8D7FB6"/>
    <w:rsid w:val="4CD40252"/>
    <w:rsid w:val="4CFB75B5"/>
    <w:rsid w:val="4D7D047C"/>
    <w:rsid w:val="4DA67EC1"/>
    <w:rsid w:val="4DC537EF"/>
    <w:rsid w:val="4DF47F35"/>
    <w:rsid w:val="4E5E70BD"/>
    <w:rsid w:val="4E5F0909"/>
    <w:rsid w:val="4E6200BB"/>
    <w:rsid w:val="4EC14021"/>
    <w:rsid w:val="4F542C5F"/>
    <w:rsid w:val="4F7855EA"/>
    <w:rsid w:val="4F940716"/>
    <w:rsid w:val="4FAF7130"/>
    <w:rsid w:val="501A2D91"/>
    <w:rsid w:val="50203001"/>
    <w:rsid w:val="50613214"/>
    <w:rsid w:val="50C56AE9"/>
    <w:rsid w:val="515B1A65"/>
    <w:rsid w:val="516E3507"/>
    <w:rsid w:val="520004CA"/>
    <w:rsid w:val="521E5740"/>
    <w:rsid w:val="522358DC"/>
    <w:rsid w:val="53345062"/>
    <w:rsid w:val="533D162C"/>
    <w:rsid w:val="5382777D"/>
    <w:rsid w:val="53E549BF"/>
    <w:rsid w:val="5422279F"/>
    <w:rsid w:val="54285117"/>
    <w:rsid w:val="54BF7528"/>
    <w:rsid w:val="54C32B11"/>
    <w:rsid w:val="54DC56F8"/>
    <w:rsid w:val="551F41A5"/>
    <w:rsid w:val="553C5B31"/>
    <w:rsid w:val="557117DE"/>
    <w:rsid w:val="557900DE"/>
    <w:rsid w:val="56367C5B"/>
    <w:rsid w:val="564F4CD9"/>
    <w:rsid w:val="56677807"/>
    <w:rsid w:val="56820D5B"/>
    <w:rsid w:val="57096D7C"/>
    <w:rsid w:val="57634CB3"/>
    <w:rsid w:val="579B0911"/>
    <w:rsid w:val="57EF6734"/>
    <w:rsid w:val="58241EE9"/>
    <w:rsid w:val="58726012"/>
    <w:rsid w:val="58D06D06"/>
    <w:rsid w:val="58D61193"/>
    <w:rsid w:val="58EF37E0"/>
    <w:rsid w:val="58FE0B8D"/>
    <w:rsid w:val="594C6D7C"/>
    <w:rsid w:val="59D5260B"/>
    <w:rsid w:val="59F510C8"/>
    <w:rsid w:val="5A190D99"/>
    <w:rsid w:val="5A465B9D"/>
    <w:rsid w:val="5A533C21"/>
    <w:rsid w:val="5A631C3C"/>
    <w:rsid w:val="5AA56ACB"/>
    <w:rsid w:val="5AF71073"/>
    <w:rsid w:val="5B1A7487"/>
    <w:rsid w:val="5B437323"/>
    <w:rsid w:val="5B6270CB"/>
    <w:rsid w:val="5B812149"/>
    <w:rsid w:val="5BB24FC7"/>
    <w:rsid w:val="5BE77BBC"/>
    <w:rsid w:val="5C714F18"/>
    <w:rsid w:val="5C9744CD"/>
    <w:rsid w:val="5D1E4A62"/>
    <w:rsid w:val="5D460153"/>
    <w:rsid w:val="5D494752"/>
    <w:rsid w:val="5D5A5542"/>
    <w:rsid w:val="5D87033A"/>
    <w:rsid w:val="5D940B49"/>
    <w:rsid w:val="5DBD75BE"/>
    <w:rsid w:val="5DDB3A67"/>
    <w:rsid w:val="5E007081"/>
    <w:rsid w:val="5E2979F3"/>
    <w:rsid w:val="5E646A2E"/>
    <w:rsid w:val="5EA92355"/>
    <w:rsid w:val="5F2E04F4"/>
    <w:rsid w:val="5F5A7169"/>
    <w:rsid w:val="5F600FC9"/>
    <w:rsid w:val="5F831A87"/>
    <w:rsid w:val="5FA558FD"/>
    <w:rsid w:val="5FC52CF8"/>
    <w:rsid w:val="5FC5301A"/>
    <w:rsid w:val="608457E2"/>
    <w:rsid w:val="60E14966"/>
    <w:rsid w:val="616D757D"/>
    <w:rsid w:val="617C259E"/>
    <w:rsid w:val="61F16ABA"/>
    <w:rsid w:val="62342CE6"/>
    <w:rsid w:val="6244605C"/>
    <w:rsid w:val="62525166"/>
    <w:rsid w:val="632B72A3"/>
    <w:rsid w:val="63310F09"/>
    <w:rsid w:val="63505113"/>
    <w:rsid w:val="63B84F56"/>
    <w:rsid w:val="63ED139D"/>
    <w:rsid w:val="64557A48"/>
    <w:rsid w:val="645E38EF"/>
    <w:rsid w:val="646326B7"/>
    <w:rsid w:val="64665F9D"/>
    <w:rsid w:val="64862E7E"/>
    <w:rsid w:val="64AD50A5"/>
    <w:rsid w:val="64E75AC3"/>
    <w:rsid w:val="64FC239B"/>
    <w:rsid w:val="6548459E"/>
    <w:rsid w:val="65571836"/>
    <w:rsid w:val="655A00C2"/>
    <w:rsid w:val="65E54EB0"/>
    <w:rsid w:val="65FD3712"/>
    <w:rsid w:val="663E10C6"/>
    <w:rsid w:val="66580C17"/>
    <w:rsid w:val="666552E6"/>
    <w:rsid w:val="668B7395"/>
    <w:rsid w:val="66D122B6"/>
    <w:rsid w:val="66E77CD5"/>
    <w:rsid w:val="67B945ED"/>
    <w:rsid w:val="67CD5453"/>
    <w:rsid w:val="67DB2C51"/>
    <w:rsid w:val="68562B5B"/>
    <w:rsid w:val="686B311E"/>
    <w:rsid w:val="68AB6164"/>
    <w:rsid w:val="68F71C1C"/>
    <w:rsid w:val="69547E9C"/>
    <w:rsid w:val="6A843C76"/>
    <w:rsid w:val="6AAA1AFA"/>
    <w:rsid w:val="6AE84B3E"/>
    <w:rsid w:val="6B2F5A5F"/>
    <w:rsid w:val="6B3F724F"/>
    <w:rsid w:val="6B533C17"/>
    <w:rsid w:val="6B8307E0"/>
    <w:rsid w:val="6B860FE6"/>
    <w:rsid w:val="6C686F88"/>
    <w:rsid w:val="6C7745F7"/>
    <w:rsid w:val="6D3B789D"/>
    <w:rsid w:val="6D4A0EB4"/>
    <w:rsid w:val="6E5E463A"/>
    <w:rsid w:val="6EBD7FFE"/>
    <w:rsid w:val="6EC13E25"/>
    <w:rsid w:val="6EF262AC"/>
    <w:rsid w:val="6F3A1809"/>
    <w:rsid w:val="6FD45398"/>
    <w:rsid w:val="70E1634E"/>
    <w:rsid w:val="71285AAC"/>
    <w:rsid w:val="71594D33"/>
    <w:rsid w:val="715C2F1C"/>
    <w:rsid w:val="71A46E80"/>
    <w:rsid w:val="71C31377"/>
    <w:rsid w:val="71E74047"/>
    <w:rsid w:val="71F42B7C"/>
    <w:rsid w:val="7205398F"/>
    <w:rsid w:val="7238655B"/>
    <w:rsid w:val="735008A6"/>
    <w:rsid w:val="735D2DA4"/>
    <w:rsid w:val="736C43E3"/>
    <w:rsid w:val="73BC5AD9"/>
    <w:rsid w:val="73D85E91"/>
    <w:rsid w:val="742F0E63"/>
    <w:rsid w:val="7453751A"/>
    <w:rsid w:val="746453A7"/>
    <w:rsid w:val="74E20649"/>
    <w:rsid w:val="76013066"/>
    <w:rsid w:val="76013836"/>
    <w:rsid w:val="76490038"/>
    <w:rsid w:val="764D1C01"/>
    <w:rsid w:val="76542BD0"/>
    <w:rsid w:val="76B850E0"/>
    <w:rsid w:val="76C53359"/>
    <w:rsid w:val="76D178BC"/>
    <w:rsid w:val="77400CB2"/>
    <w:rsid w:val="77401EC1"/>
    <w:rsid w:val="7798291B"/>
    <w:rsid w:val="77A40E96"/>
    <w:rsid w:val="77A453E4"/>
    <w:rsid w:val="785F380B"/>
    <w:rsid w:val="78865DD8"/>
    <w:rsid w:val="78CA23D8"/>
    <w:rsid w:val="790B760C"/>
    <w:rsid w:val="793B59A2"/>
    <w:rsid w:val="793E01E7"/>
    <w:rsid w:val="794C72DA"/>
    <w:rsid w:val="79771CC2"/>
    <w:rsid w:val="79A347F2"/>
    <w:rsid w:val="7A082751"/>
    <w:rsid w:val="7A0C4A94"/>
    <w:rsid w:val="7B2D37A3"/>
    <w:rsid w:val="7B30793B"/>
    <w:rsid w:val="7B5D7ABB"/>
    <w:rsid w:val="7B99300E"/>
    <w:rsid w:val="7B99444A"/>
    <w:rsid w:val="7BCF57C7"/>
    <w:rsid w:val="7BE401C5"/>
    <w:rsid w:val="7C0259FE"/>
    <w:rsid w:val="7C375547"/>
    <w:rsid w:val="7DB1356C"/>
    <w:rsid w:val="7DB473AA"/>
    <w:rsid w:val="7E267899"/>
    <w:rsid w:val="7E611BB9"/>
    <w:rsid w:val="7F190573"/>
    <w:rsid w:val="7F1D4873"/>
    <w:rsid w:val="7F3842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55"/>
    <w:qFormat/>
    <w:uiPriority w:val="0"/>
    <w:pPr>
      <w:spacing w:before="100" w:beforeAutospacing="1" w:after="100" w:afterAutospacing="1"/>
      <w:outlineLvl w:val="1"/>
    </w:pPr>
    <w:rPr>
      <w:rFonts w:ascii="宋体" w:hAnsi="宋体"/>
      <w:b/>
      <w:bCs/>
      <w:kern w:val="0"/>
      <w:sz w:val="36"/>
      <w:szCs w:val="36"/>
    </w:rPr>
  </w:style>
  <w:style w:type="paragraph" w:styleId="5">
    <w:name w:val="heading 3"/>
    <w:basedOn w:val="1"/>
    <w:next w:val="1"/>
    <w:qFormat/>
    <w:uiPriority w:val="0"/>
    <w:pPr>
      <w:keepNext/>
      <w:keepLines/>
      <w:spacing w:before="260" w:after="260" w:line="415" w:lineRule="auto"/>
      <w:outlineLvl w:val="2"/>
    </w:pPr>
    <w:rPr>
      <w:sz w:val="32"/>
      <w:szCs w:val="32"/>
    </w:rPr>
  </w:style>
  <w:style w:type="paragraph" w:styleId="6">
    <w:name w:val="heading 4"/>
    <w:basedOn w:val="1"/>
    <w:next w:val="1"/>
    <w:link w:val="190"/>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7">
    <w:name w:val="heading 5"/>
    <w:basedOn w:val="1"/>
    <w:next w:val="1"/>
    <w:qFormat/>
    <w:uiPriority w:val="0"/>
    <w:pPr>
      <w:keepNext/>
      <w:keepLines/>
      <w:spacing w:before="120" w:after="120"/>
      <w:outlineLvl w:val="4"/>
    </w:pPr>
    <w:rPr>
      <w:rFonts w:eastAsia="黑体"/>
      <w:bCs/>
      <w:sz w:val="28"/>
      <w:szCs w:val="28"/>
    </w:rPr>
  </w:style>
  <w:style w:type="paragraph" w:styleId="8">
    <w:name w:val="heading 6"/>
    <w:basedOn w:val="1"/>
    <w:next w:val="1"/>
    <w:qFormat/>
    <w:uiPriority w:val="0"/>
    <w:pPr>
      <w:keepNext/>
      <w:keepLines/>
      <w:tabs>
        <w:tab w:val="left" w:pos="1440"/>
      </w:tabs>
      <w:spacing w:before="120" w:after="120"/>
      <w:ind w:hanging="1151" w:hangingChars="480"/>
      <w:outlineLvl w:val="5"/>
    </w:pPr>
    <w:rPr>
      <w:rFonts w:ascii="Arial" w:hAnsi="Arial" w:eastAsia="黑体"/>
      <w:bCs/>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8"/>
    <w:semiHidden/>
    <w:unhideWhenUsed/>
    <w:qFormat/>
    <w:uiPriority w:val="99"/>
    <w:pPr>
      <w:spacing w:after="120"/>
    </w:pPr>
  </w:style>
  <w:style w:type="paragraph" w:styleId="9">
    <w:name w:val="index 8"/>
    <w:basedOn w:val="1"/>
    <w:next w:val="1"/>
    <w:qFormat/>
    <w:uiPriority w:val="0"/>
    <w:pPr>
      <w:ind w:left="1680" w:hanging="210"/>
    </w:pPr>
    <w:rPr>
      <w:rFonts w:ascii="Calibri" w:hAnsi="Calibri"/>
      <w:sz w:val="20"/>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index 5"/>
    <w:basedOn w:val="1"/>
    <w:next w:val="1"/>
    <w:qFormat/>
    <w:uiPriority w:val="0"/>
    <w:pPr>
      <w:ind w:left="1050" w:hanging="210"/>
    </w:pPr>
    <w:rPr>
      <w:rFonts w:ascii="Calibri" w:hAnsi="Calibri"/>
      <w:sz w:val="20"/>
      <w:szCs w:val="20"/>
    </w:rPr>
  </w:style>
  <w:style w:type="paragraph" w:styleId="12">
    <w:name w:val="Document Map"/>
    <w:basedOn w:val="1"/>
    <w:link w:val="175"/>
    <w:semiHidden/>
    <w:qFormat/>
    <w:uiPriority w:val="0"/>
    <w:pPr>
      <w:shd w:val="clear" w:color="auto" w:fill="000080"/>
    </w:pPr>
    <w:rPr>
      <w:rFonts w:asciiTheme="minorHAnsi" w:hAnsiTheme="minorHAnsi" w:eastAsiaTheme="minorEastAsia" w:cstheme="minorBidi"/>
    </w:rPr>
  </w:style>
  <w:style w:type="paragraph" w:styleId="13">
    <w:name w:val="annotation text"/>
    <w:basedOn w:val="1"/>
    <w:link w:val="172"/>
    <w:qFormat/>
    <w:uiPriority w:val="0"/>
    <w:rPr>
      <w:rFonts w:asciiTheme="minorHAnsi" w:hAnsiTheme="minorHAnsi" w:eastAsiaTheme="minorEastAsia" w:cstheme="minorBidi"/>
    </w:rPr>
  </w:style>
  <w:style w:type="paragraph" w:styleId="14">
    <w:name w:val="index 6"/>
    <w:basedOn w:val="1"/>
    <w:next w:val="1"/>
    <w:qFormat/>
    <w:uiPriority w:val="0"/>
    <w:pPr>
      <w:ind w:left="1260" w:hanging="210"/>
    </w:pPr>
    <w:rPr>
      <w:rFonts w:ascii="Calibri" w:hAnsi="Calibri"/>
      <w:sz w:val="20"/>
      <w:szCs w:val="20"/>
    </w:rPr>
  </w:style>
  <w:style w:type="paragraph" w:styleId="15">
    <w:name w:val="Body Text 3"/>
    <w:basedOn w:val="1"/>
    <w:link w:val="183"/>
    <w:semiHidden/>
    <w:unhideWhenUsed/>
    <w:qFormat/>
    <w:uiPriority w:val="99"/>
    <w:pPr>
      <w:spacing w:after="120"/>
    </w:pPr>
    <w:rPr>
      <w:sz w:val="16"/>
      <w:szCs w:val="16"/>
    </w:rPr>
  </w:style>
  <w:style w:type="paragraph" w:styleId="16">
    <w:name w:val="Body Text Indent"/>
    <w:basedOn w:val="1"/>
    <w:unhideWhenUsed/>
    <w:qFormat/>
    <w:uiPriority w:val="99"/>
    <w:pPr>
      <w:spacing w:after="120"/>
      <w:ind w:left="420" w:leftChars="200"/>
    </w:pPr>
  </w:style>
  <w:style w:type="paragraph" w:styleId="17">
    <w:name w:val="index 4"/>
    <w:basedOn w:val="1"/>
    <w:next w:val="1"/>
    <w:qFormat/>
    <w:uiPriority w:val="0"/>
    <w:pPr>
      <w:ind w:left="840" w:hanging="210"/>
    </w:pPr>
    <w:rPr>
      <w:rFonts w:ascii="Calibri" w:hAnsi="Calibri"/>
      <w:sz w:val="20"/>
      <w:szCs w:val="20"/>
    </w:rPr>
  </w:style>
  <w:style w:type="paragraph" w:styleId="18">
    <w:name w:val="toc 3"/>
    <w:basedOn w:val="1"/>
    <w:next w:val="1"/>
    <w:unhideWhenUsed/>
    <w:qFormat/>
    <w:uiPriority w:val="39"/>
    <w:pPr>
      <w:ind w:left="840" w:leftChars="400"/>
    </w:pPr>
  </w:style>
  <w:style w:type="paragraph" w:styleId="19">
    <w:name w:val="Plain Text"/>
    <w:basedOn w:val="1"/>
    <w:link w:val="186"/>
    <w:unhideWhenUsed/>
    <w:qFormat/>
    <w:uiPriority w:val="99"/>
    <w:pPr>
      <w:widowControl w:val="0"/>
      <w:spacing w:line="240" w:lineRule="auto"/>
      <w:jc w:val="both"/>
    </w:pPr>
    <w:rPr>
      <w:rFonts w:ascii="宋体" w:hAnsi="Courier New" w:cs="Courier New"/>
      <w:szCs w:val="21"/>
    </w:rPr>
  </w:style>
  <w:style w:type="paragraph" w:styleId="20">
    <w:name w:val="index 3"/>
    <w:basedOn w:val="1"/>
    <w:next w:val="1"/>
    <w:qFormat/>
    <w:uiPriority w:val="0"/>
    <w:pPr>
      <w:ind w:left="630" w:hanging="210"/>
    </w:pPr>
    <w:rPr>
      <w:rFonts w:ascii="Calibri" w:hAnsi="Calibri"/>
      <w:sz w:val="20"/>
      <w:szCs w:val="20"/>
    </w:rPr>
  </w:style>
  <w:style w:type="paragraph" w:styleId="21">
    <w:name w:val="Date"/>
    <w:basedOn w:val="1"/>
    <w:next w:val="1"/>
    <w:link w:val="174"/>
    <w:qFormat/>
    <w:uiPriority w:val="99"/>
    <w:pPr>
      <w:ind w:left="100" w:leftChars="2500"/>
    </w:pPr>
    <w:rPr>
      <w:rFonts w:asciiTheme="minorHAnsi" w:hAnsiTheme="minorHAnsi" w:eastAsiaTheme="minorEastAsia" w:cstheme="minorBidi"/>
    </w:rPr>
  </w:style>
  <w:style w:type="paragraph" w:styleId="22">
    <w:name w:val="Body Text Indent 2"/>
    <w:basedOn w:val="1"/>
    <w:link w:val="164"/>
    <w:qFormat/>
    <w:uiPriority w:val="99"/>
    <w:pPr>
      <w:spacing w:after="120" w:line="480" w:lineRule="auto"/>
      <w:ind w:left="420" w:leftChars="200"/>
    </w:pPr>
    <w:rPr>
      <w:rFonts w:asciiTheme="minorHAnsi" w:hAnsiTheme="minorHAnsi" w:eastAsiaTheme="minorEastAsia" w:cstheme="minorBidi"/>
    </w:rPr>
  </w:style>
  <w:style w:type="paragraph" w:styleId="23">
    <w:name w:val="endnote text"/>
    <w:basedOn w:val="1"/>
    <w:link w:val="181"/>
    <w:semiHidden/>
    <w:qFormat/>
    <w:uiPriority w:val="0"/>
    <w:pPr>
      <w:snapToGrid w:val="0"/>
    </w:pPr>
    <w:rPr>
      <w:rFonts w:asciiTheme="minorHAnsi" w:hAnsiTheme="minorHAnsi" w:eastAsiaTheme="minorEastAsia" w:cstheme="minorBidi"/>
    </w:rPr>
  </w:style>
  <w:style w:type="paragraph" w:styleId="24">
    <w:name w:val="Balloon Text"/>
    <w:basedOn w:val="1"/>
    <w:link w:val="150"/>
    <w:qFormat/>
    <w:uiPriority w:val="99"/>
    <w:rPr>
      <w:rFonts w:asciiTheme="minorHAnsi" w:hAnsiTheme="minorHAnsi" w:eastAsiaTheme="minorEastAsia" w:cstheme="minorBidi"/>
      <w:sz w:val="18"/>
      <w:szCs w:val="18"/>
    </w:rPr>
  </w:style>
  <w:style w:type="paragraph" w:styleId="25">
    <w:name w:val="footer"/>
    <w:basedOn w:val="1"/>
    <w:link w:val="171"/>
    <w:qFormat/>
    <w:uiPriority w:val="99"/>
    <w:pPr>
      <w:snapToGrid w:val="0"/>
      <w:ind w:right="210" w:rightChars="100"/>
      <w:jc w:val="right"/>
    </w:pPr>
    <w:rPr>
      <w:rFonts w:asciiTheme="minorHAnsi" w:hAnsiTheme="minorHAnsi" w:eastAsiaTheme="minorEastAsia" w:cstheme="minorBidi"/>
      <w:sz w:val="18"/>
      <w:szCs w:val="18"/>
    </w:rPr>
  </w:style>
  <w:style w:type="paragraph" w:styleId="26">
    <w:name w:val="header"/>
    <w:basedOn w:val="1"/>
    <w:link w:val="153"/>
    <w:qFormat/>
    <w:uiPriority w:val="99"/>
    <w:pPr>
      <w:snapToGrid w:val="0"/>
    </w:pPr>
    <w:rPr>
      <w:rFonts w:asciiTheme="minorHAnsi" w:hAnsiTheme="minorHAnsi" w:eastAsiaTheme="minorEastAsia" w:cstheme="minorBidi"/>
      <w:sz w:val="18"/>
      <w:szCs w:val="18"/>
    </w:rPr>
  </w:style>
  <w:style w:type="paragraph" w:styleId="27">
    <w:name w:val="toc 1"/>
    <w:basedOn w:val="1"/>
    <w:next w:val="1"/>
    <w:qFormat/>
    <w:uiPriority w:val="39"/>
    <w:pPr>
      <w:tabs>
        <w:tab w:val="right" w:leader="dot" w:pos="9242"/>
      </w:tabs>
      <w:spacing w:beforeLines="25" w:afterLines="25"/>
    </w:pPr>
    <w:rPr>
      <w:rFonts w:ascii="宋体"/>
      <w:szCs w:val="21"/>
    </w:rPr>
  </w:style>
  <w:style w:type="paragraph" w:styleId="28">
    <w:name w:val="index heading"/>
    <w:basedOn w:val="1"/>
    <w:next w:val="29"/>
    <w:qFormat/>
    <w:uiPriority w:val="0"/>
    <w:pPr>
      <w:spacing w:before="120" w:after="120"/>
      <w:jc w:val="center"/>
    </w:pPr>
    <w:rPr>
      <w:rFonts w:ascii="Calibri" w:hAnsi="Calibri"/>
      <w:b/>
      <w:bCs/>
      <w:iCs/>
      <w:szCs w:val="20"/>
    </w:rPr>
  </w:style>
  <w:style w:type="paragraph" w:styleId="29">
    <w:name w:val="index 1"/>
    <w:basedOn w:val="1"/>
    <w:next w:val="1"/>
    <w:unhideWhenUsed/>
    <w:qFormat/>
    <w:uiPriority w:val="0"/>
  </w:style>
  <w:style w:type="paragraph" w:styleId="30">
    <w:name w:val="footnote text"/>
    <w:basedOn w:val="1"/>
    <w:link w:val="160"/>
    <w:qFormat/>
    <w:uiPriority w:val="0"/>
    <w:pPr>
      <w:tabs>
        <w:tab w:val="left" w:pos="0"/>
      </w:tabs>
      <w:snapToGrid w:val="0"/>
      <w:ind w:left="720" w:hanging="357"/>
    </w:pPr>
    <w:rPr>
      <w:rFonts w:ascii="宋体" w:hAnsiTheme="minorHAnsi" w:eastAsiaTheme="minorEastAsia" w:cstheme="minorBidi"/>
      <w:sz w:val="18"/>
      <w:szCs w:val="18"/>
    </w:rPr>
  </w:style>
  <w:style w:type="paragraph" w:styleId="31">
    <w:name w:val="index 7"/>
    <w:basedOn w:val="1"/>
    <w:next w:val="1"/>
    <w:qFormat/>
    <w:uiPriority w:val="0"/>
    <w:pPr>
      <w:ind w:left="1470" w:hanging="210"/>
    </w:pPr>
    <w:rPr>
      <w:rFonts w:ascii="Calibri" w:hAnsi="Calibri"/>
      <w:sz w:val="20"/>
      <w:szCs w:val="20"/>
    </w:rPr>
  </w:style>
  <w:style w:type="paragraph" w:styleId="32">
    <w:name w:val="index 9"/>
    <w:basedOn w:val="1"/>
    <w:next w:val="1"/>
    <w:qFormat/>
    <w:uiPriority w:val="0"/>
    <w:pPr>
      <w:ind w:left="1890" w:hanging="210"/>
    </w:pPr>
    <w:rPr>
      <w:rFonts w:ascii="Calibri" w:hAnsi="Calibri"/>
      <w:sz w:val="20"/>
      <w:szCs w:val="20"/>
    </w:rPr>
  </w:style>
  <w:style w:type="paragraph" w:styleId="33">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4">
    <w:name w:val="Body Text 2"/>
    <w:basedOn w:val="1"/>
    <w:qFormat/>
    <w:uiPriority w:val="0"/>
    <w:rPr>
      <w:bCs/>
      <w:kern w:val="0"/>
      <w:sz w:val="28"/>
      <w:szCs w:val="20"/>
    </w:rPr>
  </w:style>
  <w:style w:type="paragraph" w:styleId="35">
    <w:name w:val="HTML Preformatted"/>
    <w:basedOn w:val="1"/>
    <w:link w:val="158"/>
    <w:qFormat/>
    <w:uiPriority w:val="0"/>
    <w:rPr>
      <w:rFonts w:ascii="Courier New" w:hAnsi="Courier New" w:cs="Courier New" w:eastAsiaTheme="minorEastAsia"/>
      <w:szCs w:val="22"/>
    </w:rPr>
  </w:style>
  <w:style w:type="paragraph" w:styleId="36">
    <w:name w:val="Normal (Web)"/>
    <w:basedOn w:val="1"/>
    <w:unhideWhenUsed/>
    <w:qFormat/>
    <w:uiPriority w:val="99"/>
    <w:pPr>
      <w:spacing w:before="100" w:beforeAutospacing="1" w:after="100" w:afterAutospacing="1"/>
    </w:pPr>
    <w:rPr>
      <w:rFonts w:ascii="宋体" w:hAnsi="宋体" w:cs="宋体"/>
      <w:kern w:val="0"/>
      <w:sz w:val="24"/>
    </w:rPr>
  </w:style>
  <w:style w:type="paragraph" w:styleId="37">
    <w:name w:val="index 2"/>
    <w:basedOn w:val="1"/>
    <w:next w:val="1"/>
    <w:qFormat/>
    <w:uiPriority w:val="0"/>
    <w:pPr>
      <w:ind w:left="420" w:hanging="210"/>
    </w:pPr>
    <w:rPr>
      <w:rFonts w:ascii="Calibri" w:hAnsi="Calibri"/>
      <w:sz w:val="20"/>
      <w:szCs w:val="20"/>
    </w:rPr>
  </w:style>
  <w:style w:type="paragraph" w:styleId="38">
    <w:name w:val="Title"/>
    <w:basedOn w:val="1"/>
    <w:link w:val="184"/>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3"/>
    <w:next w:val="13"/>
    <w:link w:val="180"/>
    <w:semiHidden/>
    <w:qFormat/>
    <w:uiPriority w:val="0"/>
    <w:rPr>
      <w:b/>
      <w:bCs/>
    </w:rPr>
  </w:style>
  <w:style w:type="paragraph" w:styleId="40">
    <w:name w:val="Body Text First Indent"/>
    <w:basedOn w:val="2"/>
    <w:qFormat/>
    <w:uiPriority w:val="0"/>
    <w:pPr>
      <w:autoSpaceDE w:val="0"/>
      <w:autoSpaceDN w:val="0"/>
      <w:adjustRightInd w:val="0"/>
      <w:ind w:firstLine="420"/>
      <w:textAlignment w:val="baseline"/>
    </w:pPr>
    <w:rPr>
      <w:rFonts w:ascii="宋体"/>
      <w:sz w:val="34"/>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22"/>
    <w:rPr>
      <w:b/>
      <w:bCs/>
    </w:rPr>
  </w:style>
  <w:style w:type="character" w:styleId="45">
    <w:name w:val="page number"/>
    <w:qFormat/>
    <w:uiPriority w:val="99"/>
    <w:rPr>
      <w:rFonts w:ascii="Times New Roman" w:hAnsi="Times New Roman" w:eastAsia="宋体"/>
      <w:sz w:val="18"/>
    </w:rPr>
  </w:style>
  <w:style w:type="character" w:styleId="46">
    <w:name w:val="FollowedHyperlink"/>
    <w:qFormat/>
    <w:uiPriority w:val="0"/>
    <w:rPr>
      <w:color w:val="800080"/>
      <w:u w:val="single"/>
    </w:rPr>
  </w:style>
  <w:style w:type="character" w:styleId="47">
    <w:name w:val="Emphasis"/>
    <w:qFormat/>
    <w:uiPriority w:val="20"/>
    <w:rPr>
      <w:color w:val="CC0000"/>
    </w:rPr>
  </w:style>
  <w:style w:type="character" w:styleId="48">
    <w:name w:val="Hyperlink"/>
    <w:qFormat/>
    <w:uiPriority w:val="99"/>
    <w:rPr>
      <w:color w:val="0000FF"/>
      <w:spacing w:val="0"/>
      <w:w w:val="100"/>
      <w:szCs w:val="21"/>
      <w:u w:val="single"/>
      <w:lang w:val="en-US" w:eastAsia="zh-CN"/>
    </w:rPr>
  </w:style>
  <w:style w:type="character" w:styleId="49">
    <w:name w:val="annotation reference"/>
    <w:basedOn w:val="43"/>
    <w:semiHidden/>
    <w:unhideWhenUsed/>
    <w:qFormat/>
    <w:uiPriority w:val="0"/>
    <w:rPr>
      <w:sz w:val="21"/>
      <w:szCs w:val="21"/>
    </w:rPr>
  </w:style>
  <w:style w:type="character" w:styleId="50">
    <w:name w:val="footnote reference"/>
    <w:qFormat/>
    <w:uiPriority w:val="0"/>
    <w:rPr>
      <w:vertAlign w:val="superscript"/>
    </w:rPr>
  </w:style>
  <w:style w:type="paragraph" w:customStyle="1" w:styleId="51">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customStyle="1" w:styleId="52">
    <w:name w:val="表格文字"/>
    <w:basedOn w:val="1"/>
    <w:qFormat/>
    <w:uiPriority w:val="0"/>
    <w:pPr>
      <w:spacing w:before="25" w:after="25"/>
    </w:pPr>
    <w:rPr>
      <w:rFonts w:ascii="Times" w:hAnsi="Times"/>
      <w:bCs/>
      <w:spacing w:val="10"/>
      <w:sz w:val="24"/>
    </w:rPr>
  </w:style>
  <w:style w:type="paragraph" w:customStyle="1" w:styleId="53">
    <w:name w:val="Body Text Indent 21"/>
    <w:basedOn w:val="1"/>
    <w:next w:val="26"/>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54">
    <w:name w:val="标题 1 Char"/>
    <w:basedOn w:val="43"/>
    <w:link w:val="3"/>
    <w:qFormat/>
    <w:uiPriority w:val="0"/>
    <w:rPr>
      <w:rFonts w:ascii="Times New Roman" w:hAnsi="Times New Roman" w:eastAsia="宋体" w:cs="Times New Roman"/>
      <w:b/>
      <w:bCs/>
      <w:kern w:val="44"/>
      <w:sz w:val="44"/>
      <w:szCs w:val="44"/>
    </w:rPr>
  </w:style>
  <w:style w:type="character" w:customStyle="1" w:styleId="55">
    <w:name w:val="标题 2 Char"/>
    <w:basedOn w:val="43"/>
    <w:link w:val="4"/>
    <w:qFormat/>
    <w:uiPriority w:val="0"/>
    <w:rPr>
      <w:rFonts w:ascii="宋体" w:hAnsi="宋体" w:eastAsia="宋体" w:cs="Times New Roman"/>
      <w:b/>
      <w:bCs/>
      <w:kern w:val="0"/>
      <w:sz w:val="36"/>
      <w:szCs w:val="36"/>
    </w:rPr>
  </w:style>
  <w:style w:type="character" w:customStyle="1" w:styleId="56">
    <w:name w:val="批注文字 Char"/>
    <w:qFormat/>
    <w:uiPriority w:val="0"/>
    <w:rPr>
      <w:szCs w:val="24"/>
    </w:rPr>
  </w:style>
  <w:style w:type="character" w:customStyle="1" w:styleId="57">
    <w:name w:val="批注主题 Char"/>
    <w:semiHidden/>
    <w:qFormat/>
    <w:uiPriority w:val="0"/>
    <w:rPr>
      <w:b/>
      <w:bCs/>
      <w:szCs w:val="24"/>
    </w:rPr>
  </w:style>
  <w:style w:type="character" w:customStyle="1" w:styleId="58">
    <w:name w:val="文档结构图 Char"/>
    <w:semiHidden/>
    <w:qFormat/>
    <w:uiPriority w:val="0"/>
    <w:rPr>
      <w:szCs w:val="24"/>
      <w:shd w:val="clear" w:color="auto" w:fill="000080"/>
    </w:rPr>
  </w:style>
  <w:style w:type="character" w:customStyle="1" w:styleId="59">
    <w:name w:val="脚注文本 Char"/>
    <w:qFormat/>
    <w:uiPriority w:val="0"/>
    <w:rPr>
      <w:rFonts w:ascii="宋体"/>
      <w:sz w:val="18"/>
      <w:szCs w:val="18"/>
    </w:rPr>
  </w:style>
  <w:style w:type="character" w:customStyle="1" w:styleId="60">
    <w:name w:val="con"/>
    <w:qFormat/>
    <w:uiPriority w:val="0"/>
  </w:style>
  <w:style w:type="character" w:customStyle="1" w:styleId="61">
    <w:name w:val="bar-label2"/>
    <w:qFormat/>
    <w:uiPriority w:val="99"/>
  </w:style>
  <w:style w:type="character" w:customStyle="1" w:styleId="62">
    <w:name w:val="正文文本缩进 2 Char"/>
    <w:qFormat/>
    <w:uiPriority w:val="99"/>
    <w:rPr>
      <w:szCs w:val="24"/>
    </w:rPr>
  </w:style>
  <w:style w:type="character" w:customStyle="1" w:styleId="63">
    <w:name w:val="日期 Char"/>
    <w:qFormat/>
    <w:uiPriority w:val="99"/>
    <w:rPr>
      <w:szCs w:val="24"/>
    </w:rPr>
  </w:style>
  <w:style w:type="character" w:customStyle="1" w:styleId="64">
    <w:name w:val="页脚 Char"/>
    <w:qFormat/>
    <w:locked/>
    <w:uiPriority w:val="99"/>
    <w:rPr>
      <w:sz w:val="18"/>
      <w:szCs w:val="18"/>
    </w:rPr>
  </w:style>
  <w:style w:type="character" w:customStyle="1" w:styleId="65">
    <w:name w:val="apple-converted-space"/>
    <w:basedOn w:val="43"/>
    <w:qFormat/>
    <w:uiPriority w:val="0"/>
  </w:style>
  <w:style w:type="character" w:customStyle="1" w:styleId="66">
    <w:name w:val="批注框文本 Char"/>
    <w:qFormat/>
    <w:uiPriority w:val="99"/>
    <w:rPr>
      <w:sz w:val="18"/>
      <w:szCs w:val="18"/>
    </w:rPr>
  </w:style>
  <w:style w:type="character" w:customStyle="1" w:styleId="67">
    <w:name w:val="页眉 Char"/>
    <w:qFormat/>
    <w:locked/>
    <w:uiPriority w:val="99"/>
    <w:rPr>
      <w:sz w:val="18"/>
      <w:szCs w:val="18"/>
    </w:rPr>
  </w:style>
  <w:style w:type="character" w:customStyle="1" w:styleId="68">
    <w:name w:val="首示例 Char"/>
    <w:link w:val="69"/>
    <w:qFormat/>
    <w:uiPriority w:val="0"/>
    <w:rPr>
      <w:rFonts w:ascii="宋体" w:hAnsi="宋体"/>
      <w:sz w:val="18"/>
      <w:szCs w:val="18"/>
    </w:rPr>
  </w:style>
  <w:style w:type="paragraph" w:customStyle="1" w:styleId="69">
    <w:name w:val="首示例"/>
    <w:next w:val="70"/>
    <w:link w:val="68"/>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70">
    <w:name w:val="段"/>
    <w:link w:val="71"/>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71">
    <w:name w:val="段 Char"/>
    <w:link w:val="70"/>
    <w:qFormat/>
    <w:uiPriority w:val="0"/>
    <w:rPr>
      <w:rFonts w:ascii="宋体"/>
    </w:rPr>
  </w:style>
  <w:style w:type="character" w:customStyle="1" w:styleId="72">
    <w:name w:val="附录公式 Char"/>
    <w:basedOn w:val="71"/>
    <w:link w:val="73"/>
    <w:qFormat/>
    <w:uiPriority w:val="0"/>
    <w:rPr>
      <w:rFonts w:ascii="宋体"/>
    </w:rPr>
  </w:style>
  <w:style w:type="paragraph" w:customStyle="1" w:styleId="73">
    <w:name w:val="附录公式"/>
    <w:basedOn w:val="70"/>
    <w:next w:val="70"/>
    <w:link w:val="72"/>
    <w:qFormat/>
    <w:uiPriority w:val="0"/>
  </w:style>
  <w:style w:type="character" w:customStyle="1" w:styleId="74">
    <w:name w:val="发布"/>
    <w:qFormat/>
    <w:uiPriority w:val="0"/>
    <w:rPr>
      <w:rFonts w:ascii="黑体" w:eastAsia="黑体"/>
      <w:spacing w:val="85"/>
      <w:w w:val="100"/>
      <w:position w:val="3"/>
      <w:sz w:val="28"/>
      <w:szCs w:val="28"/>
    </w:rPr>
  </w:style>
  <w:style w:type="character" w:customStyle="1" w:styleId="75">
    <w:name w:val="一级条标题 Char"/>
    <w:link w:val="76"/>
    <w:qFormat/>
    <w:uiPriority w:val="0"/>
    <w:rPr>
      <w:rFonts w:ascii="黑体" w:eastAsia="黑体"/>
      <w:szCs w:val="21"/>
    </w:rPr>
  </w:style>
  <w:style w:type="paragraph" w:customStyle="1" w:styleId="76">
    <w:name w:val="一级条标题"/>
    <w:next w:val="70"/>
    <w:link w:val="75"/>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7">
    <w:name w:val="HTML 预设格式 Char"/>
    <w:qFormat/>
    <w:uiPriority w:val="0"/>
    <w:rPr>
      <w:rFonts w:ascii="Courier New" w:hAnsi="Courier New" w:cs="Courier New"/>
    </w:rPr>
  </w:style>
  <w:style w:type="character" w:customStyle="1" w:styleId="78">
    <w:name w:val="尾注文本 Char"/>
    <w:semiHidden/>
    <w:qFormat/>
    <w:uiPriority w:val="0"/>
    <w:rPr>
      <w:szCs w:val="24"/>
    </w:rPr>
  </w:style>
  <w:style w:type="paragraph" w:customStyle="1" w:styleId="79">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80">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81">
    <w:name w:val="List Paragraph"/>
    <w:basedOn w:val="1"/>
    <w:qFormat/>
    <w:uiPriority w:val="34"/>
    <w:pPr>
      <w:ind w:firstLine="420" w:firstLineChars="200"/>
    </w:pPr>
    <w:rPr>
      <w:rFonts w:ascii="宋体" w:hAnsi="宋体" w:cs="宋体"/>
      <w:kern w:val="0"/>
      <w:sz w:val="24"/>
    </w:rPr>
  </w:style>
  <w:style w:type="paragraph" w:customStyle="1" w:styleId="82">
    <w:name w:val="封面一致性程度标识2"/>
    <w:basedOn w:val="83"/>
    <w:qFormat/>
    <w:uiPriority w:val="0"/>
    <w:pPr>
      <w:framePr w:wrap="around" w:y="4469"/>
    </w:pPr>
  </w:style>
  <w:style w:type="paragraph" w:customStyle="1" w:styleId="83">
    <w:name w:val="封面一致性程度标识"/>
    <w:basedOn w:val="84"/>
    <w:qFormat/>
    <w:uiPriority w:val="0"/>
    <w:pPr>
      <w:framePr w:wrap="around"/>
      <w:spacing w:before="440"/>
    </w:pPr>
    <w:rPr>
      <w:rFonts w:ascii="宋体" w:eastAsia="宋体"/>
    </w:rPr>
  </w:style>
  <w:style w:type="paragraph" w:customStyle="1" w:styleId="84">
    <w:name w:val="封面标准英文名称"/>
    <w:basedOn w:val="85"/>
    <w:qFormat/>
    <w:uiPriority w:val="0"/>
    <w:pPr>
      <w:framePr w:wrap="around"/>
      <w:spacing w:before="370" w:line="400" w:lineRule="exact"/>
    </w:pPr>
    <w:rPr>
      <w:rFonts w:ascii="Times New Roman"/>
      <w:sz w:val="28"/>
      <w:szCs w:val="28"/>
    </w:rPr>
  </w:style>
  <w:style w:type="paragraph" w:customStyle="1" w:styleId="8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6">
    <w:name w:val="封面标准英文名称2"/>
    <w:basedOn w:val="84"/>
    <w:qFormat/>
    <w:uiPriority w:val="0"/>
    <w:pPr>
      <w:framePr w:wrap="around" w:y="4469"/>
    </w:pPr>
  </w:style>
  <w:style w:type="paragraph" w:customStyle="1" w:styleId="87">
    <w:name w:val="其他发布日期"/>
    <w:basedOn w:val="88"/>
    <w:qFormat/>
    <w:uiPriority w:val="0"/>
    <w:pPr>
      <w:framePr w:wrap="around" w:vAnchor="page" w:hAnchor="text" w:x="1419"/>
    </w:pPr>
  </w:style>
  <w:style w:type="paragraph" w:customStyle="1" w:styleId="88">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9">
    <w:name w:val="正文公式编号制表符"/>
    <w:basedOn w:val="70"/>
    <w:next w:val="70"/>
    <w:qFormat/>
    <w:uiPriority w:val="0"/>
    <w:pPr>
      <w:ind w:firstLine="0" w:firstLineChars="0"/>
    </w:pPr>
  </w:style>
  <w:style w:type="paragraph" w:customStyle="1" w:styleId="90">
    <w:name w:val="正文表标题"/>
    <w:next w:val="70"/>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91">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92">
    <w:name w:val="一级无"/>
    <w:basedOn w:val="76"/>
    <w:qFormat/>
    <w:uiPriority w:val="0"/>
  </w:style>
  <w:style w:type="paragraph" w:customStyle="1" w:styleId="93">
    <w:name w:val="图的脚注"/>
    <w:next w:val="70"/>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4">
    <w:name w:val="图标脚注说明"/>
    <w:basedOn w:val="70"/>
    <w:qFormat/>
    <w:uiPriority w:val="0"/>
    <w:pPr>
      <w:ind w:left="840" w:hanging="420" w:firstLineChars="0"/>
    </w:pPr>
    <w:rPr>
      <w:sz w:val="18"/>
      <w:szCs w:val="18"/>
    </w:rPr>
  </w:style>
  <w:style w:type="paragraph" w:customStyle="1" w:styleId="95">
    <w:name w:val="示例后文字"/>
    <w:basedOn w:val="70"/>
    <w:next w:val="70"/>
    <w:qFormat/>
    <w:uiPriority w:val="0"/>
    <w:pPr>
      <w:ind w:firstLine="360"/>
    </w:pPr>
    <w:rPr>
      <w:sz w:val="18"/>
    </w:rPr>
  </w:style>
  <w:style w:type="paragraph" w:customStyle="1" w:styleId="96">
    <w:name w:val="实施日期"/>
    <w:basedOn w:val="88"/>
    <w:qFormat/>
    <w:uiPriority w:val="0"/>
    <w:pPr>
      <w:framePr w:wrap="around" w:vAnchor="page" w:hAnchor="text"/>
      <w:jc w:val="right"/>
    </w:pPr>
  </w:style>
  <w:style w:type="paragraph" w:customStyle="1" w:styleId="97">
    <w:name w:val="前言、引言标题"/>
    <w:next w:val="70"/>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0">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101">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2">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103">
    <w:name w:val="条文脚注"/>
    <w:basedOn w:val="30"/>
    <w:qFormat/>
    <w:uiPriority w:val="0"/>
    <w:pPr>
      <w:ind w:left="0" w:firstLine="0"/>
      <w:jc w:val="both"/>
    </w:pPr>
  </w:style>
  <w:style w:type="paragraph" w:customStyle="1" w:styleId="104">
    <w:name w:val="附录一级无"/>
    <w:basedOn w:val="105"/>
    <w:qFormat/>
    <w:uiPriority w:val="0"/>
    <w:pPr>
      <w:tabs>
        <w:tab w:val="left" w:pos="360"/>
      </w:tabs>
      <w:spacing w:beforeLines="0" w:afterLines="0"/>
    </w:pPr>
    <w:rPr>
      <w:rFonts w:ascii="宋体" w:eastAsia="宋体"/>
      <w:szCs w:val="21"/>
    </w:rPr>
  </w:style>
  <w:style w:type="paragraph" w:customStyle="1" w:styleId="105">
    <w:name w:val="附录一级条标题"/>
    <w:basedOn w:val="106"/>
    <w:next w:val="70"/>
    <w:qFormat/>
    <w:uiPriority w:val="0"/>
    <w:pPr>
      <w:tabs>
        <w:tab w:val="left" w:pos="360"/>
      </w:tabs>
      <w:autoSpaceDN w:val="0"/>
      <w:spacing w:beforeLines="50" w:afterLines="50"/>
      <w:outlineLvl w:val="2"/>
    </w:pPr>
  </w:style>
  <w:style w:type="paragraph" w:customStyle="1" w:styleId="106">
    <w:name w:val="附录章标题"/>
    <w:next w:val="70"/>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7">
    <w:name w:val="附录五级无"/>
    <w:basedOn w:val="108"/>
    <w:qFormat/>
    <w:uiPriority w:val="0"/>
    <w:pPr>
      <w:tabs>
        <w:tab w:val="left" w:pos="360"/>
      </w:tabs>
      <w:spacing w:beforeLines="0" w:afterLines="0"/>
    </w:pPr>
    <w:rPr>
      <w:rFonts w:ascii="宋体" w:eastAsia="宋体"/>
      <w:szCs w:val="21"/>
    </w:rPr>
  </w:style>
  <w:style w:type="paragraph" w:customStyle="1" w:styleId="108">
    <w:name w:val="附录五级条标题"/>
    <w:basedOn w:val="109"/>
    <w:next w:val="70"/>
    <w:qFormat/>
    <w:uiPriority w:val="0"/>
    <w:pPr>
      <w:tabs>
        <w:tab w:val="left" w:pos="360"/>
      </w:tabs>
      <w:outlineLvl w:val="6"/>
    </w:pPr>
  </w:style>
  <w:style w:type="paragraph" w:customStyle="1" w:styleId="109">
    <w:name w:val="附录四级条标题"/>
    <w:basedOn w:val="110"/>
    <w:next w:val="70"/>
    <w:qFormat/>
    <w:uiPriority w:val="0"/>
    <w:pPr>
      <w:tabs>
        <w:tab w:val="left" w:pos="360"/>
      </w:tabs>
    </w:pPr>
  </w:style>
  <w:style w:type="paragraph" w:customStyle="1" w:styleId="110">
    <w:name w:val="附录三级条标题"/>
    <w:basedOn w:val="111"/>
    <w:next w:val="70"/>
    <w:qFormat/>
    <w:uiPriority w:val="0"/>
    <w:pPr>
      <w:tabs>
        <w:tab w:val="left" w:pos="360"/>
      </w:tabs>
    </w:pPr>
  </w:style>
  <w:style w:type="paragraph" w:customStyle="1" w:styleId="111">
    <w:name w:val="附录二级条标题"/>
    <w:basedOn w:val="1"/>
    <w:next w:val="70"/>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2">
    <w:name w:val="附录图标题"/>
    <w:basedOn w:val="1"/>
    <w:next w:val="70"/>
    <w:qFormat/>
    <w:uiPriority w:val="0"/>
    <w:pPr>
      <w:tabs>
        <w:tab w:val="left" w:pos="363"/>
      </w:tabs>
      <w:spacing w:beforeLines="50" w:afterLines="50"/>
      <w:jc w:val="center"/>
    </w:pPr>
    <w:rPr>
      <w:rFonts w:ascii="黑体" w:eastAsia="黑体"/>
      <w:szCs w:val="21"/>
    </w:rPr>
  </w:style>
  <w:style w:type="paragraph" w:customStyle="1" w:styleId="113">
    <w:name w:val="附录图标号"/>
    <w:basedOn w:val="1"/>
    <w:qFormat/>
    <w:uiPriority w:val="0"/>
    <w:pPr>
      <w:keepNext/>
      <w:pageBreakBefore/>
      <w:spacing w:line="14" w:lineRule="exact"/>
      <w:ind w:firstLine="363"/>
      <w:jc w:val="center"/>
      <w:outlineLvl w:val="0"/>
    </w:pPr>
    <w:rPr>
      <w:color w:val="FFFFFF"/>
    </w:rPr>
  </w:style>
  <w:style w:type="paragraph" w:customStyle="1" w:styleId="114">
    <w:name w:val="附录四级无"/>
    <w:basedOn w:val="109"/>
    <w:qFormat/>
    <w:uiPriority w:val="0"/>
    <w:pPr>
      <w:tabs>
        <w:tab w:val="clear" w:pos="360"/>
      </w:tabs>
      <w:spacing w:beforeLines="0" w:afterLines="0"/>
      <w:outlineLvl w:val="5"/>
    </w:pPr>
    <w:rPr>
      <w:rFonts w:ascii="宋体" w:eastAsia="宋体"/>
      <w:szCs w:val="21"/>
    </w:rPr>
  </w:style>
  <w:style w:type="paragraph" w:customStyle="1" w:styleId="115">
    <w:name w:val="附录三级无"/>
    <w:basedOn w:val="110"/>
    <w:qFormat/>
    <w:uiPriority w:val="0"/>
  </w:style>
  <w:style w:type="paragraph" w:customStyle="1" w:styleId="116">
    <w:name w:val="注："/>
    <w:next w:val="70"/>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7">
    <w:name w:val="附录公式编号制表符"/>
    <w:basedOn w:val="1"/>
    <w:next w:val="70"/>
    <w:qFormat/>
    <w:uiPriority w:val="0"/>
    <w:pPr>
      <w:tabs>
        <w:tab w:val="center" w:pos="4201"/>
        <w:tab w:val="right" w:leader="dot" w:pos="9298"/>
      </w:tabs>
      <w:autoSpaceDE w:val="0"/>
      <w:autoSpaceDN w:val="0"/>
    </w:pPr>
    <w:rPr>
      <w:rFonts w:ascii="宋体"/>
      <w:kern w:val="0"/>
      <w:szCs w:val="20"/>
    </w:rPr>
  </w:style>
  <w:style w:type="paragraph" w:customStyle="1" w:styleId="118">
    <w:name w:val="附录二级无"/>
    <w:basedOn w:val="111"/>
    <w:qFormat/>
    <w:uiPriority w:val="0"/>
  </w:style>
  <w:style w:type="paragraph" w:customStyle="1" w:styleId="119">
    <w:name w:val="附录标题"/>
    <w:basedOn w:val="70"/>
    <w:next w:val="70"/>
    <w:qFormat/>
    <w:uiPriority w:val="0"/>
    <w:pPr>
      <w:ind w:firstLine="0" w:firstLineChars="0"/>
      <w:jc w:val="center"/>
    </w:pPr>
    <w:rPr>
      <w:rFonts w:ascii="黑体" w:eastAsia="黑体"/>
    </w:rPr>
  </w:style>
  <w:style w:type="paragraph" w:customStyle="1" w:styleId="120">
    <w:name w:val="参考文献"/>
    <w:basedOn w:val="1"/>
    <w:next w:val="70"/>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1">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22">
    <w:name w:val="封面标准文稿类别"/>
    <w:basedOn w:val="83"/>
    <w:qFormat/>
    <w:uiPriority w:val="0"/>
    <w:pPr>
      <w:framePr w:wrap="around"/>
      <w:spacing w:after="160" w:line="240" w:lineRule="auto"/>
    </w:pPr>
    <w:rPr>
      <w:sz w:val="24"/>
    </w:rPr>
  </w:style>
  <w:style w:type="paragraph" w:customStyle="1" w:styleId="123">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4">
    <w:name w:val="其他实施日期"/>
    <w:basedOn w:val="96"/>
    <w:qFormat/>
    <w:uiPriority w:val="0"/>
    <w:pPr>
      <w:framePr w:wrap="around" w:vAnchor="margin" w:hAnchor="page"/>
    </w:pPr>
  </w:style>
  <w:style w:type="paragraph" w:customStyle="1" w:styleId="12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6">
    <w:name w:val="发布部门"/>
    <w:next w:val="70"/>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7">
    <w:name w:val="注：（正文）"/>
    <w:basedOn w:val="116"/>
    <w:next w:val="70"/>
    <w:qFormat/>
    <w:uiPriority w:val="0"/>
  </w:style>
  <w:style w:type="paragraph" w:customStyle="1" w:styleId="128">
    <w:name w:val="参考文献、索引标题"/>
    <w:basedOn w:val="1"/>
    <w:next w:val="70"/>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1">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32">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3">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4">
    <w:name w:val="示例×："/>
    <w:basedOn w:val="135"/>
    <w:qFormat/>
    <w:uiPriority w:val="0"/>
    <w:pPr>
      <w:spacing w:beforeLines="0" w:afterLines="0"/>
      <w:ind w:firstLine="363"/>
      <w:outlineLvl w:val="9"/>
    </w:pPr>
    <w:rPr>
      <w:rFonts w:ascii="宋体" w:eastAsia="宋体"/>
      <w:sz w:val="18"/>
      <w:szCs w:val="18"/>
    </w:rPr>
  </w:style>
  <w:style w:type="paragraph" w:customStyle="1" w:styleId="135">
    <w:name w:val="章标题"/>
    <w:next w:val="70"/>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6">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7">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8">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9">
    <w:name w:val="五级无"/>
    <w:basedOn w:val="140"/>
    <w:qFormat/>
    <w:uiPriority w:val="0"/>
    <w:pPr>
      <w:spacing w:beforeLines="0" w:afterLines="0"/>
      <w:outlineLvl w:val="6"/>
    </w:pPr>
    <w:rPr>
      <w:rFonts w:ascii="宋体" w:eastAsia="宋体"/>
    </w:rPr>
  </w:style>
  <w:style w:type="paragraph" w:customStyle="1" w:styleId="140">
    <w:name w:val="五级条标题"/>
    <w:basedOn w:val="141"/>
    <w:next w:val="70"/>
    <w:qFormat/>
    <w:uiPriority w:val="0"/>
  </w:style>
  <w:style w:type="paragraph" w:customStyle="1" w:styleId="141">
    <w:name w:val="四级条标题"/>
    <w:basedOn w:val="142"/>
    <w:next w:val="70"/>
    <w:qFormat/>
    <w:uiPriority w:val="0"/>
  </w:style>
  <w:style w:type="paragraph" w:customStyle="1" w:styleId="142">
    <w:name w:val="三级条标题"/>
    <w:basedOn w:val="143"/>
    <w:next w:val="70"/>
    <w:qFormat/>
    <w:uiPriority w:val="0"/>
  </w:style>
  <w:style w:type="paragraph" w:customStyle="1" w:styleId="143">
    <w:name w:val="二级条标题"/>
    <w:basedOn w:val="76"/>
    <w:next w:val="70"/>
    <w:qFormat/>
    <w:uiPriority w:val="0"/>
  </w:style>
  <w:style w:type="paragraph" w:customStyle="1" w:styleId="144">
    <w:name w:val="四级无"/>
    <w:basedOn w:val="141"/>
    <w:qFormat/>
    <w:uiPriority w:val="0"/>
  </w:style>
  <w:style w:type="paragraph" w:customStyle="1" w:styleId="145">
    <w:name w:val="三级无"/>
    <w:basedOn w:val="142"/>
    <w:qFormat/>
    <w:uiPriority w:val="0"/>
  </w:style>
  <w:style w:type="paragraph" w:customStyle="1" w:styleId="146">
    <w:name w:val="其他标准标志"/>
    <w:basedOn w:val="130"/>
    <w:qFormat/>
    <w:uiPriority w:val="0"/>
    <w:pPr>
      <w:framePr w:w="6101" w:wrap="around" w:vAnchor="page" w:hAnchor="page" w:x="4673" w:y="942"/>
    </w:pPr>
    <w:rPr>
      <w:w w:val="130"/>
    </w:rPr>
  </w:style>
  <w:style w:type="paragraph" w:customStyle="1" w:styleId="147">
    <w:name w:val="目次、标准名称标题"/>
    <w:basedOn w:val="1"/>
    <w:next w:val="70"/>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9">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50">
    <w:name w:val="批注框文本 Char1"/>
    <w:basedOn w:val="43"/>
    <w:link w:val="24"/>
    <w:semiHidden/>
    <w:qFormat/>
    <w:uiPriority w:val="99"/>
    <w:rPr>
      <w:rFonts w:ascii="Times New Roman" w:hAnsi="Times New Roman" w:eastAsia="宋体" w:cs="Times New Roman"/>
      <w:sz w:val="18"/>
      <w:szCs w:val="18"/>
    </w:rPr>
  </w:style>
  <w:style w:type="paragraph" w:customStyle="1" w:styleId="151">
    <w:name w:val="列项◆（三级）"/>
    <w:basedOn w:val="1"/>
    <w:qFormat/>
    <w:uiPriority w:val="99"/>
    <w:pPr>
      <w:tabs>
        <w:tab w:val="left" w:pos="969"/>
      </w:tabs>
      <w:ind w:left="969" w:hanging="414"/>
    </w:pPr>
    <w:rPr>
      <w:rFonts w:ascii="宋体"/>
      <w:szCs w:val="21"/>
    </w:rPr>
  </w:style>
  <w:style w:type="paragraph" w:customStyle="1" w:styleId="152">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53">
    <w:name w:val="页眉 Char1"/>
    <w:basedOn w:val="43"/>
    <w:link w:val="26"/>
    <w:semiHidden/>
    <w:qFormat/>
    <w:uiPriority w:val="99"/>
    <w:rPr>
      <w:rFonts w:ascii="Times New Roman" w:hAnsi="Times New Roman" w:eastAsia="宋体" w:cs="Times New Roman"/>
      <w:sz w:val="18"/>
      <w:szCs w:val="18"/>
    </w:rPr>
  </w:style>
  <w:style w:type="paragraph" w:customStyle="1" w:styleId="154">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5">
    <w:name w:val="其他发布部门"/>
    <w:basedOn w:val="126"/>
    <w:qFormat/>
    <w:uiPriority w:val="0"/>
    <w:pPr>
      <w:framePr w:wrap="around" w:y="15310"/>
      <w:spacing w:line="0" w:lineRule="atLeast"/>
    </w:pPr>
    <w:rPr>
      <w:rFonts w:ascii="黑体" w:eastAsia="黑体"/>
      <w:b w:val="0"/>
    </w:rPr>
  </w:style>
  <w:style w:type="paragraph" w:customStyle="1" w:styleId="156">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7">
    <w:name w:val="正文图标题"/>
    <w:next w:val="70"/>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8">
    <w:name w:val="HTML 预设格式 Char1"/>
    <w:basedOn w:val="43"/>
    <w:link w:val="35"/>
    <w:semiHidden/>
    <w:qFormat/>
    <w:uiPriority w:val="99"/>
    <w:rPr>
      <w:rFonts w:ascii="Courier New" w:hAnsi="Courier New" w:eastAsia="宋体" w:cs="Courier New"/>
      <w:sz w:val="20"/>
      <w:szCs w:val="20"/>
    </w:rPr>
  </w:style>
  <w:style w:type="paragraph" w:customStyle="1" w:styleId="159">
    <w:name w:val="附录标识"/>
    <w:basedOn w:val="1"/>
    <w:next w:val="70"/>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60">
    <w:name w:val="脚注文本 Char1"/>
    <w:basedOn w:val="43"/>
    <w:link w:val="30"/>
    <w:semiHidden/>
    <w:qFormat/>
    <w:uiPriority w:val="99"/>
    <w:rPr>
      <w:rFonts w:ascii="Times New Roman" w:hAnsi="Times New Roman" w:eastAsia="宋体" w:cs="Times New Roman"/>
      <w:sz w:val="18"/>
      <w:szCs w:val="18"/>
    </w:rPr>
  </w:style>
  <w:style w:type="paragraph" w:customStyle="1" w:styleId="161">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62">
    <w:name w:val="二级无"/>
    <w:basedOn w:val="143"/>
    <w:qFormat/>
    <w:uiPriority w:val="0"/>
  </w:style>
  <w:style w:type="paragraph" w:customStyle="1" w:styleId="163">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4">
    <w:name w:val="正文文本缩进 2 Char1"/>
    <w:basedOn w:val="43"/>
    <w:link w:val="22"/>
    <w:semiHidden/>
    <w:qFormat/>
    <w:uiPriority w:val="99"/>
    <w:rPr>
      <w:rFonts w:ascii="Times New Roman" w:hAnsi="Times New Roman" w:eastAsia="宋体" w:cs="Times New Roman"/>
      <w:szCs w:val="24"/>
    </w:rPr>
  </w:style>
  <w:style w:type="paragraph" w:customStyle="1" w:styleId="165">
    <w:name w:val="封面标准文稿编辑信息2"/>
    <w:basedOn w:val="166"/>
    <w:qFormat/>
    <w:uiPriority w:val="0"/>
    <w:pPr>
      <w:framePr w:wrap="around" w:y="4469"/>
    </w:pPr>
  </w:style>
  <w:style w:type="paragraph" w:customStyle="1" w:styleId="166">
    <w:name w:val="封面标准文稿编辑信息"/>
    <w:basedOn w:val="122"/>
    <w:qFormat/>
    <w:uiPriority w:val="0"/>
    <w:pPr>
      <w:framePr w:wrap="around"/>
      <w:spacing w:before="180" w:line="180" w:lineRule="exact"/>
    </w:pPr>
    <w:rPr>
      <w:sz w:val="21"/>
    </w:rPr>
  </w:style>
  <w:style w:type="paragraph" w:customStyle="1" w:styleId="167">
    <w:name w:val="附录表标题"/>
    <w:basedOn w:val="1"/>
    <w:next w:val="70"/>
    <w:qFormat/>
    <w:uiPriority w:val="0"/>
    <w:pPr>
      <w:tabs>
        <w:tab w:val="left" w:pos="180"/>
      </w:tabs>
      <w:spacing w:beforeLines="50" w:afterLines="50"/>
      <w:jc w:val="center"/>
    </w:pPr>
    <w:rPr>
      <w:rFonts w:ascii="黑体" w:eastAsia="黑体"/>
      <w:szCs w:val="21"/>
    </w:rPr>
  </w:style>
  <w:style w:type="paragraph" w:customStyle="1" w:styleId="168">
    <w:name w:val="标准书眉_偶数页"/>
    <w:basedOn w:val="152"/>
    <w:next w:val="1"/>
    <w:qFormat/>
    <w:uiPriority w:val="0"/>
    <w:pPr>
      <w:jc w:val="left"/>
    </w:pPr>
  </w:style>
  <w:style w:type="paragraph" w:customStyle="1" w:styleId="169">
    <w:name w:val="附录表标号"/>
    <w:basedOn w:val="1"/>
    <w:next w:val="70"/>
    <w:qFormat/>
    <w:uiPriority w:val="0"/>
    <w:pPr>
      <w:spacing w:line="14" w:lineRule="exact"/>
      <w:ind w:left="811" w:hanging="448"/>
      <w:jc w:val="center"/>
      <w:outlineLvl w:val="0"/>
    </w:pPr>
    <w:rPr>
      <w:color w:val="FFFFFF"/>
    </w:rPr>
  </w:style>
  <w:style w:type="paragraph" w:customStyle="1" w:styleId="170">
    <w:name w:val="图表脚注说明"/>
    <w:basedOn w:val="1"/>
    <w:qFormat/>
    <w:uiPriority w:val="0"/>
    <w:pPr>
      <w:ind w:left="544" w:hanging="181"/>
    </w:pPr>
    <w:rPr>
      <w:rFonts w:ascii="宋体"/>
      <w:sz w:val="18"/>
      <w:szCs w:val="18"/>
    </w:rPr>
  </w:style>
  <w:style w:type="character" w:customStyle="1" w:styleId="171">
    <w:name w:val="页脚 Char1"/>
    <w:basedOn w:val="43"/>
    <w:link w:val="25"/>
    <w:semiHidden/>
    <w:qFormat/>
    <w:uiPriority w:val="99"/>
    <w:rPr>
      <w:rFonts w:ascii="Times New Roman" w:hAnsi="Times New Roman" w:eastAsia="宋体" w:cs="Times New Roman"/>
      <w:sz w:val="18"/>
      <w:szCs w:val="18"/>
    </w:rPr>
  </w:style>
  <w:style w:type="character" w:customStyle="1" w:styleId="172">
    <w:name w:val="批注文字 Char1"/>
    <w:basedOn w:val="43"/>
    <w:link w:val="13"/>
    <w:semiHidden/>
    <w:qFormat/>
    <w:uiPriority w:val="99"/>
    <w:rPr>
      <w:rFonts w:ascii="Times New Roman" w:hAnsi="Times New Roman" w:eastAsia="宋体" w:cs="Times New Roman"/>
      <w:szCs w:val="24"/>
    </w:rPr>
  </w:style>
  <w:style w:type="paragraph" w:customStyle="1" w:styleId="173">
    <w:name w:val="封面标准名称2"/>
    <w:basedOn w:val="85"/>
    <w:qFormat/>
    <w:uiPriority w:val="0"/>
    <w:pPr>
      <w:framePr w:wrap="around" w:y="4469"/>
      <w:spacing w:beforeLines="630"/>
    </w:pPr>
  </w:style>
  <w:style w:type="character" w:customStyle="1" w:styleId="174">
    <w:name w:val="日期 Char1"/>
    <w:basedOn w:val="43"/>
    <w:link w:val="21"/>
    <w:semiHidden/>
    <w:qFormat/>
    <w:uiPriority w:val="99"/>
    <w:rPr>
      <w:rFonts w:ascii="Times New Roman" w:hAnsi="Times New Roman" w:eastAsia="宋体" w:cs="Times New Roman"/>
      <w:szCs w:val="24"/>
    </w:rPr>
  </w:style>
  <w:style w:type="character" w:customStyle="1" w:styleId="175">
    <w:name w:val="文档结构图 Char1"/>
    <w:basedOn w:val="43"/>
    <w:link w:val="12"/>
    <w:semiHidden/>
    <w:qFormat/>
    <w:uiPriority w:val="99"/>
    <w:rPr>
      <w:rFonts w:ascii="宋体" w:hAnsi="Times New Roman" w:eastAsia="宋体" w:cs="Times New Roman"/>
      <w:sz w:val="18"/>
      <w:szCs w:val="18"/>
    </w:rPr>
  </w:style>
  <w:style w:type="paragraph" w:customStyle="1" w:styleId="176">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7">
    <w:name w:val="封面标准文稿类别2"/>
    <w:basedOn w:val="122"/>
    <w:qFormat/>
    <w:uiPriority w:val="0"/>
    <w:pPr>
      <w:framePr w:wrap="around" w:y="4469"/>
    </w:pPr>
  </w:style>
  <w:style w:type="paragraph" w:customStyle="1" w:styleId="178">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9">
    <w:name w:val="终结线"/>
    <w:basedOn w:val="1"/>
    <w:qFormat/>
    <w:uiPriority w:val="0"/>
    <w:pPr>
      <w:framePr w:hSpace="181" w:vSpace="181" w:wrap="around" w:vAnchor="text" w:hAnchor="margin" w:xAlign="center" w:y="285"/>
    </w:pPr>
  </w:style>
  <w:style w:type="character" w:customStyle="1" w:styleId="180">
    <w:name w:val="批注主题 Char1"/>
    <w:basedOn w:val="172"/>
    <w:link w:val="39"/>
    <w:semiHidden/>
    <w:qFormat/>
    <w:uiPriority w:val="99"/>
    <w:rPr>
      <w:rFonts w:ascii="Times New Roman" w:hAnsi="Times New Roman" w:eastAsia="宋体" w:cs="Times New Roman"/>
      <w:b/>
      <w:bCs/>
      <w:szCs w:val="24"/>
    </w:rPr>
  </w:style>
  <w:style w:type="character" w:customStyle="1" w:styleId="181">
    <w:name w:val="尾注文本 Char1"/>
    <w:basedOn w:val="43"/>
    <w:link w:val="23"/>
    <w:semiHidden/>
    <w:qFormat/>
    <w:uiPriority w:val="99"/>
    <w:rPr>
      <w:rFonts w:ascii="Times New Roman" w:hAnsi="Times New Roman" w:eastAsia="宋体" w:cs="Times New Roman"/>
      <w:szCs w:val="24"/>
    </w:rPr>
  </w:style>
  <w:style w:type="paragraph" w:customStyle="1" w:styleId="182">
    <w:name w:val="示例"/>
    <w:next w:val="133"/>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83">
    <w:name w:val="正文文本 3 Char"/>
    <w:basedOn w:val="43"/>
    <w:link w:val="15"/>
    <w:semiHidden/>
    <w:qFormat/>
    <w:uiPriority w:val="99"/>
    <w:rPr>
      <w:rFonts w:ascii="Times New Roman" w:hAnsi="Times New Roman" w:eastAsia="宋体" w:cs="Times New Roman"/>
      <w:sz w:val="16"/>
      <w:szCs w:val="16"/>
    </w:rPr>
  </w:style>
  <w:style w:type="character" w:customStyle="1" w:styleId="184">
    <w:name w:val="标题 Char"/>
    <w:basedOn w:val="43"/>
    <w:link w:val="38"/>
    <w:qFormat/>
    <w:uiPriority w:val="0"/>
    <w:rPr>
      <w:rFonts w:ascii="Arial" w:hAnsi="Arial" w:eastAsia="宋体" w:cs="Times New Roman"/>
      <w:b/>
      <w:kern w:val="0"/>
      <w:sz w:val="32"/>
      <w:szCs w:val="20"/>
    </w:rPr>
  </w:style>
  <w:style w:type="paragraph" w:customStyle="1" w:styleId="185">
    <w:name w:val="p0"/>
    <w:basedOn w:val="1"/>
    <w:qFormat/>
    <w:uiPriority w:val="0"/>
    <w:pPr>
      <w:spacing w:line="240" w:lineRule="auto"/>
      <w:jc w:val="both"/>
    </w:pPr>
    <w:rPr>
      <w:kern w:val="0"/>
      <w:szCs w:val="21"/>
    </w:rPr>
  </w:style>
  <w:style w:type="character" w:customStyle="1" w:styleId="186">
    <w:name w:val="纯文本 Char"/>
    <w:basedOn w:val="43"/>
    <w:link w:val="19"/>
    <w:qFormat/>
    <w:uiPriority w:val="99"/>
    <w:rPr>
      <w:rFonts w:ascii="宋体" w:hAnsi="Courier New" w:eastAsia="宋体" w:cs="Courier New"/>
      <w:szCs w:val="21"/>
    </w:rPr>
  </w:style>
  <w:style w:type="paragraph" w:customStyle="1" w:styleId="18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8">
    <w:name w:val="正文文本 Char"/>
    <w:basedOn w:val="43"/>
    <w:link w:val="2"/>
    <w:semiHidden/>
    <w:qFormat/>
    <w:uiPriority w:val="99"/>
    <w:rPr>
      <w:kern w:val="2"/>
      <w:sz w:val="21"/>
      <w:szCs w:val="24"/>
    </w:rPr>
  </w:style>
  <w:style w:type="paragraph" w:customStyle="1" w:styleId="189">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90">
    <w:name w:val="标题 4 Char"/>
    <w:basedOn w:val="43"/>
    <w:link w:val="6"/>
    <w:semiHidden/>
    <w:qFormat/>
    <w:uiPriority w:val="9"/>
    <w:rPr>
      <w:rFonts w:asciiTheme="majorHAnsi" w:hAnsiTheme="majorHAnsi" w:eastAsiaTheme="majorEastAsia" w:cstheme="majorBidi"/>
      <w:b/>
      <w:bCs/>
      <w:kern w:val="2"/>
      <w:sz w:val="28"/>
      <w:szCs w:val="28"/>
    </w:rPr>
  </w:style>
  <w:style w:type="paragraph" w:customStyle="1" w:styleId="191">
    <w:name w:val="_Style 2"/>
    <w:basedOn w:val="3"/>
    <w:next w:val="1"/>
    <w:qFormat/>
    <w:uiPriority w:val="0"/>
    <w:pPr>
      <w:spacing w:before="480" w:after="0" w:line="276" w:lineRule="auto"/>
      <w:outlineLvl w:val="9"/>
    </w:pPr>
    <w:rPr>
      <w:rFonts w:ascii="Cambria" w:hAnsi="Cambria"/>
      <w:color w:val="365F91"/>
      <w:kern w:val="0"/>
      <w:sz w:val="28"/>
      <w:szCs w:val="28"/>
    </w:rPr>
  </w:style>
  <w:style w:type="character" w:customStyle="1" w:styleId="192">
    <w:name w:val="_Style 4"/>
    <w:qFormat/>
    <w:uiPriority w:val="31"/>
    <w:rPr>
      <w:smallCaps/>
      <w:color w:val="C0504D"/>
      <w:u w:val="single"/>
    </w:rPr>
  </w:style>
  <w:style w:type="paragraph" w:customStyle="1" w:styleId="193">
    <w:name w:val="纯文本1"/>
    <w:basedOn w:val="1"/>
    <w:qFormat/>
    <w:uiPriority w:val="0"/>
    <w:rPr>
      <w:rFonts w:ascii="宋体" w:hAnsi="Courier New" w:cs="Courier New"/>
      <w:szCs w:val="21"/>
    </w:rPr>
  </w:style>
  <w:style w:type="paragraph" w:customStyle="1" w:styleId="194">
    <w:name w:val="CM99"/>
    <w:basedOn w:val="51"/>
    <w:next w:val="51"/>
    <w:qFormat/>
    <w:uiPriority w:val="0"/>
    <w:pPr>
      <w:spacing w:after="443"/>
    </w:pPr>
  </w:style>
  <w:style w:type="paragraph" w:customStyle="1" w:styleId="195">
    <w:name w:val="CM80"/>
    <w:basedOn w:val="51"/>
    <w:next w:val="51"/>
    <w:qFormat/>
    <w:uiPriority w:val="0"/>
    <w:pPr>
      <w:spacing w:line="440" w:lineRule="atLeast"/>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78C07-5758-4280-9CDA-31C5CE18E531}">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55</Pages>
  <Words>22381</Words>
  <Characters>24085</Characters>
  <Lines>201</Lines>
  <Paragraphs>56</Paragraphs>
  <TotalTime>5</TotalTime>
  <ScaleCrop>false</ScaleCrop>
  <LinksUpToDate>false</LinksUpToDate>
  <CharactersWithSpaces>26278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2024-06-05T08:45:00Z</dcterms:created>
  <dc:creator>lenovo</dc:creator>
  <cp:lastModifiedBy>咸鱼</cp:lastModifiedBy>
  <cp:lastPrinted>2022-08-10T06:28:00Z</cp:lastPrinted>
  <dcterms:modified xsi:type="dcterms:W3CDTF">2024-06-24T01:34:08Z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28C04B41C43445738A6C4E9F8B97F9AE</vt:lpwstr>
  </property>
</Properties>
</file>