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   </w:t>
      </w:r>
    </w:p>
    <w:p>
      <w:pPr>
        <w:snapToGrid w:val="0"/>
        <w:spacing w:line="900" w:lineRule="exact"/>
        <w:jc w:val="center"/>
        <w:rPr>
          <w:rFonts w:hint="eastAsia" w:ascii="黑体" w:hAnsi="黑体" w:eastAsia="黑体" w:cs="宋体"/>
          <w:b/>
          <w:bCs w:val="0"/>
          <w:color w:val="000000"/>
          <w:kern w:val="0"/>
          <w:sz w:val="52"/>
          <w:szCs w:val="52"/>
          <w:lang w:val="en-US" w:eastAsia="zh-CN"/>
        </w:rPr>
      </w:pPr>
      <w:r>
        <w:rPr>
          <w:rFonts w:hint="eastAsia" w:ascii="黑体" w:hAnsi="黑体" w:eastAsia="黑体"/>
          <w:b/>
          <w:bCs w:val="0"/>
          <w:sz w:val="52"/>
          <w:szCs w:val="52"/>
        </w:rPr>
        <w:t>岳阳城陵矶新港有限公司7#堆场破损通道地面维修</w:t>
      </w:r>
      <w:r>
        <w:rPr>
          <w:rFonts w:hint="eastAsia" w:ascii="黑体" w:hAnsi="黑体" w:eastAsia="黑体"/>
          <w:b/>
          <w:bCs w:val="0"/>
          <w:sz w:val="52"/>
          <w:szCs w:val="52"/>
          <w:lang w:eastAsia="zh-CN"/>
        </w:rPr>
        <w:t>项目</w:t>
      </w: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pPr>
      <w:r>
        <w:rPr>
          <w:rFonts w:hint="eastAsia" w:ascii="黑体" w:hAnsi="黑体" w:eastAsia="黑体" w:cs="宋体"/>
          <w:b/>
          <w:color w:val="000000"/>
          <w:kern w:val="0"/>
          <w:sz w:val="72"/>
          <w:szCs w:val="72"/>
        </w:rPr>
        <w:t>询  价  文  件</w:t>
      </w:r>
    </w:p>
    <w:p>
      <w:pPr>
        <w:tabs>
          <w:tab w:val="left" w:pos="0"/>
          <w:tab w:val="left" w:pos="4185"/>
        </w:tabs>
        <w:spacing w:line="288" w:lineRule="auto"/>
        <w:ind w:right="-6"/>
        <w:jc w:val="center"/>
      </w:pPr>
    </w:p>
    <w:p>
      <w:pPr>
        <w:tabs>
          <w:tab w:val="left" w:pos="0"/>
          <w:tab w:val="left" w:pos="4185"/>
        </w:tabs>
        <w:spacing w:line="288" w:lineRule="auto"/>
        <w:ind w:right="-6"/>
        <w:jc w:val="center"/>
        <w:rPr>
          <w:rFonts w:ascii="黑体" w:hAnsi="黑体" w:eastAsia="黑体"/>
          <w:b/>
          <w:bCs/>
          <w:sz w:val="28"/>
          <w:szCs w:val="28"/>
          <w:highlight w:val="none"/>
        </w:rPr>
      </w:pPr>
      <w:r>
        <w:rPr>
          <w:rFonts w:hint="eastAsia"/>
          <w:b/>
          <w:bCs/>
          <w:sz w:val="28"/>
          <w:szCs w:val="28"/>
        </w:rPr>
        <w:t>采购编号：</w:t>
      </w:r>
      <w:r>
        <w:rPr>
          <w:rFonts w:hint="eastAsia"/>
          <w:b/>
          <w:bCs/>
          <w:sz w:val="28"/>
          <w:szCs w:val="28"/>
          <w:highlight w:val="none"/>
        </w:rPr>
        <w:t>省港（202</w:t>
      </w:r>
      <w:r>
        <w:rPr>
          <w:rFonts w:hint="eastAsia"/>
          <w:b/>
          <w:bCs/>
          <w:sz w:val="28"/>
          <w:szCs w:val="28"/>
          <w:highlight w:val="none"/>
          <w:lang w:val="en-US" w:eastAsia="zh-CN"/>
        </w:rPr>
        <w:t>4</w:t>
      </w:r>
      <w:r>
        <w:rPr>
          <w:rFonts w:hint="eastAsia"/>
          <w:b/>
          <w:bCs/>
          <w:sz w:val="28"/>
          <w:szCs w:val="28"/>
          <w:highlight w:val="none"/>
        </w:rPr>
        <w:t>）年询第</w:t>
      </w:r>
      <w:r>
        <w:rPr>
          <w:rFonts w:hint="eastAsia"/>
          <w:b/>
          <w:bCs/>
          <w:sz w:val="28"/>
          <w:szCs w:val="28"/>
          <w:highlight w:val="none"/>
          <w:lang w:val="en-US" w:eastAsia="zh-CN"/>
        </w:rPr>
        <w:t xml:space="preserve">  </w:t>
      </w:r>
      <w:r>
        <w:rPr>
          <w:rFonts w:hint="eastAsia"/>
          <w:b/>
          <w:bCs/>
          <w:sz w:val="28"/>
          <w:szCs w:val="28"/>
          <w:highlight w:val="none"/>
        </w:rPr>
        <w:t>号【</w:t>
      </w:r>
      <w:r>
        <w:rPr>
          <w:rFonts w:hint="eastAsia"/>
          <w:b/>
          <w:bCs/>
          <w:sz w:val="28"/>
          <w:szCs w:val="28"/>
          <w:highlight w:val="none"/>
          <w:lang w:eastAsia="zh-CN"/>
        </w:rPr>
        <w:t>新港</w:t>
      </w:r>
      <w:r>
        <w:rPr>
          <w:rFonts w:hint="eastAsia"/>
          <w:b/>
          <w:bCs/>
          <w:sz w:val="28"/>
          <w:szCs w:val="28"/>
          <w:highlight w:val="none"/>
        </w:rPr>
        <w:t>】</w:t>
      </w:r>
    </w:p>
    <w:p>
      <w:pPr>
        <w:tabs>
          <w:tab w:val="left" w:pos="0"/>
          <w:tab w:val="left" w:pos="4185"/>
        </w:tabs>
        <w:spacing w:line="288" w:lineRule="auto"/>
        <w:ind w:right="-6"/>
        <w:jc w:val="center"/>
        <w:rPr>
          <w:rFonts w:ascii="黑体" w:hAnsi="黑体" w:eastAsia="黑体"/>
          <w:b/>
          <w:bCs/>
          <w:sz w:val="28"/>
          <w:szCs w:val="28"/>
        </w:rPr>
      </w:pPr>
    </w:p>
    <w:p>
      <w:pPr>
        <w:tabs>
          <w:tab w:val="left" w:pos="0"/>
          <w:tab w:val="left" w:pos="4185"/>
        </w:tabs>
        <w:spacing w:line="288" w:lineRule="auto"/>
        <w:ind w:right="-6"/>
        <w:jc w:val="center"/>
        <w:rPr>
          <w:rFonts w:ascii="黑体" w:hAnsi="黑体" w:eastAsia="黑体"/>
          <w:bCs/>
          <w:sz w:val="48"/>
          <w:szCs w:val="48"/>
        </w:rPr>
      </w:pPr>
    </w:p>
    <w:p>
      <w:pPr>
        <w:tabs>
          <w:tab w:val="left" w:pos="0"/>
          <w:tab w:val="left" w:pos="4185"/>
        </w:tabs>
        <w:spacing w:line="288" w:lineRule="auto"/>
        <w:ind w:right="-6"/>
        <w:jc w:val="center"/>
        <w:rPr>
          <w:rFonts w:ascii="黑体" w:hAnsi="黑体" w:eastAsia="黑体"/>
          <w:bCs/>
          <w:sz w:val="48"/>
          <w:szCs w:val="48"/>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rPr>
          <w:rFonts w:ascii="黑体" w:hAnsi="黑体" w:eastAsia="黑体"/>
          <w:bCs/>
          <w:sz w:val="48"/>
          <w:szCs w:val="48"/>
        </w:rPr>
      </w:pPr>
    </w:p>
    <w:p>
      <w:pPr>
        <w:tabs>
          <w:tab w:val="left" w:pos="0"/>
          <w:tab w:val="left" w:pos="4185"/>
        </w:tabs>
        <w:spacing w:line="288" w:lineRule="auto"/>
        <w:ind w:right="-6" w:firstLine="3360" w:firstLineChars="700"/>
        <w:jc w:val="both"/>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eastAsia="zh-CN"/>
        </w:rPr>
        <w:t>四</w:t>
      </w:r>
      <w:r>
        <w:rPr>
          <w:rFonts w:hint="eastAsia" w:ascii="黑体" w:hAnsi="黑体" w:eastAsia="黑体"/>
          <w:bCs/>
          <w:sz w:val="48"/>
          <w:szCs w:val="48"/>
        </w:rPr>
        <w:t>年</w:t>
      </w:r>
      <w:r>
        <w:rPr>
          <w:rFonts w:hint="eastAsia" w:ascii="黑体" w:hAnsi="黑体" w:eastAsia="黑体"/>
          <w:bCs/>
          <w:sz w:val="48"/>
          <w:szCs w:val="48"/>
          <w:lang w:eastAsia="zh-CN"/>
        </w:rPr>
        <w:t>六</w:t>
      </w:r>
      <w:r>
        <w:rPr>
          <w:rFonts w:hint="eastAsia" w:ascii="黑体" w:hAnsi="黑体" w:eastAsia="黑体"/>
          <w:bCs/>
          <w:sz w:val="48"/>
          <w:szCs w:val="48"/>
        </w:rPr>
        <w:t>月</w:t>
      </w:r>
    </w:p>
    <w:p>
      <w:pPr>
        <w:pStyle w:val="41"/>
        <w:ind w:firstLine="0"/>
        <w:sectPr>
          <w:footerReference r:id="rId5" w:type="default"/>
          <w:pgSz w:w="11906" w:h="16838"/>
          <w:pgMar w:top="1440" w:right="1080" w:bottom="1440" w:left="1080" w:header="851" w:footer="1344" w:gutter="0"/>
          <w:pgNumType w:start="1"/>
          <w:cols w:space="720" w:num="1"/>
          <w:docGrid w:linePitch="312" w:charSpace="0"/>
        </w:sectPr>
      </w:pPr>
    </w:p>
    <w:p>
      <w:pPr>
        <w:pStyle w:val="41"/>
        <w:ind w:firstLine="0"/>
      </w:pPr>
    </w:p>
    <w:p>
      <w:pPr>
        <w:spacing w:line="240" w:lineRule="auto"/>
        <w:jc w:val="center"/>
        <w:rPr>
          <w:rFonts w:ascii="宋体" w:hAnsi="宋体"/>
        </w:rPr>
      </w:pPr>
    </w:p>
    <w:sdt>
      <w:sdtPr>
        <w:rPr>
          <w:rFonts w:ascii="宋体" w:hAnsi="宋体"/>
        </w:rPr>
        <w:id w:val="147478143"/>
        <w15:color w:val="DBDBDB"/>
        <w:docPartObj>
          <w:docPartGallery w:val="Table of Contents"/>
          <w:docPartUnique/>
        </w:docPartObj>
      </w:sdtPr>
      <w:sdtEndPr>
        <w:rPr>
          <w:rFonts w:ascii="Times New Roman" w:hAnsi="Times New Roman"/>
          <w:sz w:val="28"/>
          <w:szCs w:val="28"/>
        </w:rPr>
      </w:sdtEndPr>
      <w:sdtContent>
        <w:p>
          <w:pPr>
            <w:spacing w:line="240" w:lineRule="auto"/>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197"/>
            <w:tabs>
              <w:tab w:val="right" w:leader="dot" w:pos="9746"/>
            </w:tabs>
            <w:rPr>
              <w:rFonts w:ascii="宋体" w:hAnsi="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"_Toc27436"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_Toc27436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"_Toc6132"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"_Toc590" </w:instrText>
          </w:r>
          <w:r>
            <w:fldChar w:fldCharType="separate"/>
          </w:r>
          <w:r>
            <w:rPr>
              <w:rFonts w:hint="eastAsia" w:ascii="宋体" w:hAnsi="宋体" w:cs="宋体"/>
              <w:sz w:val="28"/>
              <w:szCs w:val="28"/>
            </w:rPr>
            <w:t>第二章 供应商须知正文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_Toc590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"_Toc23541" </w:instrText>
          </w:r>
          <w:r>
            <w:fldChar w:fldCharType="separate"/>
          </w:r>
          <w:r>
            <w:rPr>
              <w:rFonts w:hint="eastAsia" w:ascii="宋体" w:hAnsi="宋体" w:cs="宋体"/>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_Toc23541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"_Toc15767" </w:instrText>
          </w:r>
          <w:r>
            <w:fldChar w:fldCharType="separate"/>
          </w:r>
          <w:r>
            <w:rPr>
              <w:rFonts w:hint="eastAsia" w:ascii="宋体" w:hAnsi="宋体" w:cs="宋体"/>
              <w:sz w:val="28"/>
              <w:szCs w:val="28"/>
            </w:rPr>
            <w:t>第四章 技术咨询合同书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_Toc15767 \h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"_Toc27615"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_Toc27615 \h </w:instrText>
          </w:r>
          <w:r>
            <w:rPr>
              <w:rFonts w:hint="eastAsia" w:ascii="宋体" w:hAnsi="宋体" w:cs="宋体"/>
              <w:sz w:val="28"/>
              <w:szCs w:val="28"/>
            </w:rPr>
            <w:fldChar w:fldCharType="separate"/>
          </w:r>
          <w:r>
            <w:rPr>
              <w:rFonts w:hint="eastAsia"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"_Toc15194"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_Toc15194 \h </w:instrText>
          </w:r>
          <w:r>
            <w:rPr>
              <w:rFonts w:hint="eastAsia" w:ascii="宋体" w:hAnsi="宋体" w:cs="宋体"/>
              <w:sz w:val="28"/>
              <w:szCs w:val="28"/>
            </w:rPr>
            <w:fldChar w:fldCharType="separate"/>
          </w:r>
          <w:r>
            <w:rPr>
              <w:rFonts w:hint="eastAsia" w:ascii="宋体" w:hAnsi="宋体" w:cs="宋体"/>
              <w:sz w:val="28"/>
              <w:szCs w:val="28"/>
            </w:rPr>
            <w:t>83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"_Toc5053" </w:instrText>
          </w:r>
          <w:r>
            <w:fldChar w:fldCharType="separate"/>
          </w:r>
          <w:r>
            <w:rPr>
              <w:rFonts w:hint="eastAsia" w:ascii="宋体" w:hAnsi="宋体" w:cs="宋体"/>
              <w:sz w:val="28"/>
              <w:szCs w:val="28"/>
            </w:rPr>
            <w:t>一、响应函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_Toc5053 \h </w:instrText>
          </w:r>
          <w:r>
            <w:rPr>
              <w:rFonts w:hint="eastAsia" w:ascii="宋体" w:hAnsi="宋体" w:cs="宋体"/>
              <w:sz w:val="28"/>
              <w:szCs w:val="28"/>
            </w:rPr>
            <w:fldChar w:fldCharType="separate"/>
          </w:r>
          <w:r>
            <w:rPr>
              <w:rFonts w:hint="eastAsia" w:ascii="宋体" w:hAnsi="宋体" w:cs="宋体"/>
              <w:sz w:val="28"/>
              <w:szCs w:val="28"/>
            </w:rPr>
            <w:t>85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"_Toc11617"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_Toc11617 \h </w:instrText>
          </w:r>
          <w:r>
            <w:rPr>
              <w:rFonts w:hint="eastAsia" w:ascii="宋体" w:hAnsi="宋体" w:cs="宋体"/>
              <w:sz w:val="28"/>
              <w:szCs w:val="28"/>
            </w:rPr>
            <w:fldChar w:fldCharType="separate"/>
          </w:r>
          <w:r>
            <w:rPr>
              <w:rFonts w:hint="eastAsia" w:ascii="宋体" w:hAnsi="宋体" w:cs="宋体"/>
              <w:sz w:val="28"/>
              <w:szCs w:val="28"/>
            </w:rPr>
            <w:t>88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"_Toc27596" </w:instrText>
          </w:r>
          <w:r>
            <w:fldChar w:fldCharType="separate"/>
          </w:r>
          <w:r>
            <w:rPr>
              <w:rFonts w:hint="eastAsia" w:ascii="宋体" w:hAnsi="宋体" w:cs="宋体"/>
              <w:sz w:val="28"/>
              <w:szCs w:val="28"/>
            </w:rPr>
            <w:t>三、商务和技术偏差表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_Toc27596 \h </w:instrText>
          </w:r>
          <w:r>
            <w:rPr>
              <w:rFonts w:hint="eastAsia" w:ascii="宋体" w:hAnsi="宋体" w:cs="宋体"/>
              <w:sz w:val="28"/>
              <w:szCs w:val="28"/>
            </w:rPr>
            <w:fldChar w:fldCharType="separate"/>
          </w:r>
          <w:r>
            <w:rPr>
              <w:rFonts w:hint="eastAsia" w:ascii="宋体" w:hAnsi="宋体" w:cs="宋体"/>
              <w:sz w:val="28"/>
              <w:szCs w:val="28"/>
            </w:rPr>
            <w:t>89</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"_Toc32250" </w:instrText>
          </w:r>
          <w:r>
            <w:fldChar w:fldCharType="separate"/>
          </w:r>
          <w:r>
            <w:rPr>
              <w:rFonts w:hint="eastAsia" w:ascii="宋体" w:hAnsi="宋体" w:cs="宋体"/>
              <w:sz w:val="28"/>
              <w:szCs w:val="28"/>
            </w:rPr>
            <w:t>四、报价表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_Toc32250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"_Toc20685"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_Toc20685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"_Toc14016"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_Toc14016 \h </w:instrText>
          </w:r>
          <w:r>
            <w:rPr>
              <w:rFonts w:hint="eastAsia" w:ascii="宋体" w:hAnsi="宋体" w:cs="宋体"/>
              <w:sz w:val="28"/>
              <w:szCs w:val="28"/>
            </w:rPr>
            <w:fldChar w:fldCharType="separate"/>
          </w:r>
          <w:r>
            <w:rPr>
              <w:rFonts w:hint="eastAsia" w:ascii="宋体" w:hAnsi="宋体" w:cs="宋体"/>
              <w:sz w:val="28"/>
              <w:szCs w:val="28"/>
            </w:rPr>
            <w:t>93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sz w:val="28"/>
              <w:szCs w:val="28"/>
            </w:rPr>
          </w:pPr>
          <w:r>
            <w:fldChar w:fldCharType="begin"/>
          </w:r>
          <w:r>
            <w:instrText xml:space="preserve"> HYPERLINK \l "_Toc4712"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_Toc4712 \h </w:instrText>
          </w:r>
          <w:r>
            <w:rPr>
              <w:rFonts w:hint="eastAsia" w:ascii="宋体" w:hAnsi="宋体" w:cs="宋体"/>
              <w:sz w:val="28"/>
              <w:szCs w:val="28"/>
            </w:rPr>
            <w:fldChar w:fldCharType="separate"/>
          </w:r>
          <w:r>
            <w:rPr>
              <w:rFonts w:hint="eastAsia" w:ascii="宋体" w:hAnsi="宋体" w:cs="宋体"/>
              <w:sz w:val="28"/>
              <w:szCs w:val="28"/>
            </w:rPr>
            <w:t>94</w:t>
          </w:r>
          <w:r>
            <w:rPr>
              <w:rFonts w:hint="eastAsia" w:ascii="宋体" w:hAnsi="宋体" w:cs="宋体"/>
              <w:sz w:val="28"/>
              <w:szCs w:val="28"/>
            </w:rPr>
            <w:fldChar w:fldCharType="end"/>
          </w:r>
          <w:r>
            <w:rPr>
              <w:rFonts w:hint="eastAsia" w:ascii="宋体" w:hAnsi="宋体" w:cs="宋体"/>
              <w:sz w:val="28"/>
              <w:szCs w:val="28"/>
            </w:rPr>
            <w:fldChar w:fldCharType="end"/>
          </w:r>
        </w:p>
        <w:p>
          <w:pPr>
            <w:widowControl w:val="0"/>
            <w:adjustRightInd w:val="0"/>
            <w:snapToGrid w:val="0"/>
            <w:spacing w:line="240" w:lineRule="auto"/>
            <w:ind w:firstLine="560" w:firstLineChars="200"/>
            <w:rPr>
              <w:sz w:val="28"/>
              <w:szCs w:val="28"/>
            </w:rPr>
          </w:pPr>
          <w:r>
            <w:rPr>
              <w:sz w:val="28"/>
              <w:szCs w:val="28"/>
            </w:rPr>
            <w:fldChar w:fldCharType="end"/>
          </w:r>
        </w:p>
      </w:sdtContent>
    </w:sdt>
    <w:p>
      <w:pPr>
        <w:widowControl w:val="0"/>
        <w:adjustRightInd w:val="0"/>
        <w:snapToGrid w:val="0"/>
        <w:spacing w:line="240" w:lineRule="auto"/>
        <w:ind w:firstLine="560" w:firstLineChars="200"/>
        <w:rPr>
          <w:sz w:val="28"/>
          <w:szCs w:val="28"/>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6"/>
        <w:rPr>
          <w:szCs w:val="21"/>
        </w:rPr>
      </w:pPr>
    </w:p>
    <w:p>
      <w:pPr>
        <w:rPr>
          <w:szCs w:val="21"/>
        </w:rPr>
      </w:pPr>
    </w:p>
    <w:p>
      <w:pPr>
        <w:pStyle w:val="6"/>
      </w:pPr>
    </w:p>
    <w:p>
      <w:pPr>
        <w:widowControl w:val="0"/>
        <w:adjustRightInd w:val="0"/>
        <w:snapToGrid w:val="0"/>
        <w:spacing w:line="240" w:lineRule="auto"/>
        <w:ind w:firstLine="420" w:firstLineChars="200"/>
        <w:rPr>
          <w:szCs w:val="21"/>
        </w:rPr>
      </w:pPr>
    </w:p>
    <w:p>
      <w:pPr>
        <w:sectPr>
          <w:footerReference r:id="rId6" w:type="default"/>
          <w:pgSz w:w="11906" w:h="16838"/>
          <w:pgMar w:top="1440" w:right="1080" w:bottom="1440" w:left="1080" w:header="851" w:footer="1344" w:gutter="0"/>
          <w:pgNumType w:start="1"/>
          <w:cols w:space="720" w:num="1"/>
          <w:docGrid w:linePitch="312" w:charSpace="0"/>
        </w:sectPr>
      </w:pPr>
    </w:p>
    <w:p>
      <w:pPr>
        <w:pStyle w:val="81"/>
        <w:numPr>
          <w:ilvl w:val="0"/>
          <w:numId w:val="0"/>
        </w:numPr>
        <w:spacing w:line="600" w:lineRule="exact"/>
        <w:ind w:firstLine="3092" w:firstLineChars="700"/>
        <w:jc w:val="both"/>
        <w:outlineLvl w:val="0"/>
        <w:rPr>
          <w:rFonts w:ascii="黑体" w:hAnsi="黑体" w:eastAsia="黑体" w:cs="仿宋"/>
          <w:b/>
          <w:color w:val="000000"/>
          <w:sz w:val="44"/>
          <w:szCs w:val="44"/>
        </w:rPr>
      </w:pPr>
      <w:bookmarkStart w:id="0" w:name="_Toc27436"/>
      <w:r>
        <w:rPr>
          <w:rFonts w:hint="eastAsia" w:ascii="黑体" w:hAnsi="黑体" w:eastAsia="黑体" w:cs="仿宋"/>
          <w:b/>
          <w:color w:val="000000"/>
          <w:sz w:val="44"/>
          <w:szCs w:val="44"/>
          <w:lang w:eastAsia="zh-CN"/>
        </w:rPr>
        <w:t>第一章</w:t>
      </w:r>
      <w:r>
        <w:rPr>
          <w:rFonts w:hint="eastAsia" w:ascii="黑体" w:hAnsi="黑体" w:eastAsia="黑体" w:cs="仿宋"/>
          <w:b/>
          <w:color w:val="000000"/>
          <w:sz w:val="44"/>
          <w:szCs w:val="44"/>
          <w:lang w:val="en-US" w:eastAsia="zh-CN"/>
        </w:rPr>
        <w:t xml:space="preserve">  </w:t>
      </w:r>
      <w:r>
        <w:rPr>
          <w:rFonts w:hint="eastAsia" w:ascii="黑体" w:hAnsi="黑体" w:eastAsia="黑体" w:cs="仿宋"/>
          <w:b/>
          <w:color w:val="000000"/>
          <w:sz w:val="44"/>
          <w:szCs w:val="44"/>
        </w:rPr>
        <w:t>采购公告</w:t>
      </w:r>
      <w:bookmarkEnd w:id="0"/>
    </w:p>
    <w:p>
      <w:pPr>
        <w:pStyle w:val="37"/>
        <w:spacing w:before="0" w:beforeAutospacing="0" w:after="0" w:afterAutospacing="0"/>
        <w:jc w:val="center"/>
        <w:rPr>
          <w:rFonts w:ascii="黑体" w:hAnsi="黑体" w:eastAsia="黑体"/>
          <w:sz w:val="32"/>
          <w:szCs w:val="32"/>
        </w:rPr>
      </w:pPr>
    </w:p>
    <w:p>
      <w:pPr>
        <w:snapToGrid w:val="0"/>
        <w:spacing w:line="900" w:lineRule="exact"/>
        <w:ind w:firstLine="300" w:firstLineChars="100"/>
        <w:jc w:val="both"/>
        <w:rPr>
          <w:rFonts w:ascii="黑体" w:hAnsi="黑体" w:eastAsia="黑体"/>
          <w:sz w:val="30"/>
          <w:szCs w:val="30"/>
        </w:rPr>
      </w:pPr>
      <w:r>
        <w:rPr>
          <w:rFonts w:hint="eastAsia" w:ascii="黑体" w:hAnsi="黑体" w:eastAsia="黑体"/>
          <w:bCs/>
          <w:sz w:val="30"/>
          <w:szCs w:val="30"/>
        </w:rPr>
        <w:t>岳阳城陵矶新港有限公司7#堆场破损通道地面维修</w:t>
      </w:r>
      <w:r>
        <w:rPr>
          <w:rFonts w:hint="eastAsia" w:ascii="黑体" w:hAnsi="黑体" w:eastAsia="黑体"/>
          <w:bCs/>
          <w:sz w:val="30"/>
          <w:szCs w:val="30"/>
          <w:lang w:val="en-US" w:eastAsia="zh-CN"/>
        </w:rPr>
        <w:t>项目</w:t>
      </w:r>
      <w:r>
        <w:rPr>
          <w:rFonts w:hint="eastAsia" w:ascii="黑体" w:hAnsi="黑体" w:eastAsia="黑体"/>
          <w:sz w:val="30"/>
          <w:szCs w:val="30"/>
        </w:rPr>
        <w:t>询价</w:t>
      </w:r>
      <w:r>
        <w:rPr>
          <w:rFonts w:hint="eastAsia" w:ascii="黑体" w:hAnsi="黑体" w:eastAsia="黑体"/>
          <w:sz w:val="30"/>
          <w:szCs w:val="30"/>
          <w:lang w:eastAsia="zh-CN"/>
        </w:rPr>
        <w:t>采购</w:t>
      </w:r>
      <w:r>
        <w:rPr>
          <w:rFonts w:hint="eastAsia" w:ascii="黑体" w:hAnsi="黑体" w:eastAsia="黑体"/>
          <w:sz w:val="30"/>
          <w:szCs w:val="30"/>
        </w:rPr>
        <w:t>公告</w:t>
      </w:r>
    </w:p>
    <w:p>
      <w:pPr>
        <w:pStyle w:val="37"/>
        <w:spacing w:before="0" w:beforeAutospacing="0" w:after="0" w:afterAutospacing="0"/>
        <w:jc w:val="both"/>
        <w:rPr>
          <w:rFonts w:cs="Times New Roman"/>
          <w:kern w:val="2"/>
        </w:rPr>
      </w:pPr>
      <w:r>
        <w:rPr>
          <w:rFonts w:hint="eastAsia" w:cs="Times New Roman"/>
          <w:kern w:val="2"/>
        </w:rPr>
        <w:t xml:space="preserve"> </w:t>
      </w:r>
    </w:p>
    <w:p>
      <w:pPr>
        <w:pStyle w:val="37"/>
        <w:pageBreakBefore w:val="0"/>
        <w:widowControl/>
        <w:kinsoku/>
        <w:wordWrap/>
        <w:overflowPunct/>
        <w:topLinePunct w:val="0"/>
        <w:autoSpaceDN/>
        <w:bidi w:val="0"/>
        <w:adjustRightInd/>
        <w:snapToGrid/>
        <w:spacing w:before="0" w:beforeAutospacing="0" w:after="0" w:afterAutospacing="0" w:line="360" w:lineRule="auto"/>
        <w:ind w:firstLine="240" w:firstLineChars="100"/>
        <w:jc w:val="both"/>
        <w:textAlignment w:val="auto"/>
        <w:rPr>
          <w:rFonts w:cs="Times New Roman"/>
          <w:kern w:val="2"/>
        </w:rPr>
      </w:pPr>
      <w:r>
        <w:rPr>
          <w:rFonts w:hint="eastAsia" w:cs="Times New Roman"/>
          <w:kern w:val="2"/>
        </w:rPr>
        <w:t>岳阳城陵矶新港有限公司7#堆场破损通道地面维修</w:t>
      </w:r>
      <w:r>
        <w:rPr>
          <w:rFonts w:hint="eastAsia" w:cs="Times New Roman"/>
          <w:kern w:val="2"/>
          <w:lang w:eastAsia="zh-CN"/>
        </w:rPr>
        <w:t>项目</w:t>
      </w:r>
      <w:r>
        <w:rPr>
          <w:rFonts w:hint="eastAsia" w:cs="Times New Roman"/>
          <w:kern w:val="2"/>
        </w:rPr>
        <w:t xml:space="preserve">已具备采购条件，现公开邀请供应商参加采购活动。 </w:t>
      </w:r>
    </w:p>
    <w:p>
      <w:pPr>
        <w:pStyle w:val="7"/>
        <w:pageBreakBefore w:val="0"/>
        <w:widowControl/>
        <w:kinsoku/>
        <w:wordWrap/>
        <w:overflowPunct/>
        <w:topLinePunct w:val="0"/>
        <w:autoSpaceDN/>
        <w:bidi w:val="0"/>
        <w:adjustRightInd/>
        <w:snapToGrid/>
        <w:spacing w:line="360" w:lineRule="auto"/>
        <w:jc w:val="both"/>
        <w:textAlignment w:val="auto"/>
        <w:rPr>
          <w:rFonts w:ascii="Arial" w:hAnsi="Arial"/>
        </w:rPr>
      </w:pPr>
      <w:r>
        <w:rPr>
          <w:rFonts w:hint="eastAsia"/>
        </w:rPr>
        <w:t xml:space="preserve">一、 </w:t>
      </w:r>
      <w:r>
        <w:rPr>
          <w:rFonts w:hint="eastAsia" w:ascii="黑体" w:hAnsi="黑体"/>
        </w:rPr>
        <w:t xml:space="preserve">采购项目简介 </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eastAsia="宋体"/>
          <w:sz w:val="24"/>
          <w:szCs w:val="24"/>
          <w:lang w:eastAsia="zh-CN"/>
        </w:rPr>
      </w:pPr>
      <w:r>
        <w:rPr>
          <w:rFonts w:hint="eastAsia" w:ascii="宋体" w:hAnsi="宋体"/>
          <w:b/>
          <w:bCs/>
          <w:sz w:val="24"/>
        </w:rPr>
        <w:t>（一）</w:t>
      </w:r>
      <w:r>
        <w:rPr>
          <w:rFonts w:hint="eastAsia" w:ascii="宋体" w:hAnsi="宋体"/>
          <w:sz w:val="24"/>
        </w:rPr>
        <w:t>采购项目名称:</w:t>
      </w:r>
      <w:r>
        <w:rPr>
          <w:rFonts w:hint="eastAsia"/>
          <w:sz w:val="24"/>
          <w:szCs w:val="24"/>
        </w:rPr>
        <w:t xml:space="preserve"> </w:t>
      </w:r>
      <w:r>
        <w:rPr>
          <w:rFonts w:hint="eastAsia" w:cs="Times New Roman"/>
          <w:kern w:val="2"/>
          <w:sz w:val="24"/>
          <w:szCs w:val="24"/>
        </w:rPr>
        <w:t>岳阳城陵矶新港有限公司7#堆场破损通道地面维修</w:t>
      </w:r>
      <w:r>
        <w:rPr>
          <w:rFonts w:hint="eastAsia" w:cs="Times New Roman"/>
          <w:kern w:val="2"/>
          <w:sz w:val="24"/>
          <w:szCs w:val="24"/>
          <w:lang w:eastAsia="zh-CN"/>
        </w:rPr>
        <w:t>项目</w:t>
      </w:r>
    </w:p>
    <w:p>
      <w:pPr>
        <w:pageBreakBefore w:val="0"/>
        <w:widowControl/>
        <w:kinsoku/>
        <w:wordWrap/>
        <w:overflowPunct/>
        <w:topLinePunct w:val="0"/>
        <w:autoSpaceDE w:val="0"/>
        <w:autoSpaceDN/>
        <w:bidi w:val="0"/>
        <w:adjustRightInd/>
        <w:snapToGrid/>
        <w:spacing w:line="360" w:lineRule="auto"/>
        <w:textAlignment w:val="auto"/>
        <w:rPr>
          <w:rFonts w:hint="eastAsia" w:cs="Times New Roman"/>
          <w:kern w:val="2"/>
          <w:sz w:val="24"/>
          <w:szCs w:val="24"/>
        </w:rPr>
      </w:pPr>
      <w:r>
        <w:rPr>
          <w:rFonts w:hint="eastAsia" w:ascii="宋体" w:hAnsi="宋体"/>
          <w:b/>
          <w:bCs/>
          <w:sz w:val="24"/>
        </w:rPr>
        <w:t>（二）</w:t>
      </w:r>
      <w:r>
        <w:rPr>
          <w:rFonts w:hint="eastAsia" w:ascii="宋体" w:hAnsi="宋体"/>
          <w:sz w:val="24"/>
        </w:rPr>
        <w:t>采购人:</w:t>
      </w:r>
      <w:r>
        <w:rPr>
          <w:rFonts w:hint="eastAsia" w:cs="Times New Roman"/>
          <w:kern w:val="2"/>
          <w:sz w:val="24"/>
          <w:szCs w:val="24"/>
        </w:rPr>
        <w:t>岳阳城陵矶新港有限公司</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（三）</w:t>
      </w:r>
      <w:r>
        <w:rPr>
          <w:rFonts w:hint="eastAsia" w:ascii="宋体" w:hAnsi="宋体"/>
          <w:sz w:val="24"/>
        </w:rPr>
        <w:t>采购代理机构:无</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b/>
          <w:bCs/>
          <w:sz w:val="24"/>
        </w:rPr>
        <w:t>（四）</w:t>
      </w:r>
      <w:r>
        <w:rPr>
          <w:rFonts w:hint="eastAsia" w:ascii="宋体" w:hAnsi="宋体" w:eastAsia="宋体" w:cs="宋体"/>
          <w:b w:val="0"/>
          <w:bCs w:val="0"/>
          <w:sz w:val="24"/>
          <w:szCs w:val="24"/>
          <w:u w:val="none"/>
        </w:rPr>
        <w:t>采购项目资金落实情况:</w:t>
      </w:r>
      <w:r>
        <w:rPr>
          <w:rFonts w:hint="eastAsia" w:ascii="宋体" w:hAnsi="宋体" w:eastAsia="宋体" w:cs="宋体"/>
          <w:b w:val="0"/>
          <w:bCs w:val="0"/>
          <w:color w:val="000000"/>
          <w:sz w:val="24"/>
          <w:szCs w:val="24"/>
          <w:highlight w:val="none"/>
          <w:u w:val="none"/>
        </w:rPr>
        <w:t>建设资金来自</w:t>
      </w:r>
      <w:r>
        <w:rPr>
          <w:rFonts w:hint="eastAsia" w:ascii="宋体" w:hAnsi="宋体" w:eastAsia="宋体" w:cs="宋体"/>
          <w:b w:val="0"/>
          <w:bCs w:val="0"/>
          <w:color w:val="000000"/>
          <w:sz w:val="24"/>
          <w:szCs w:val="24"/>
          <w:highlight w:val="none"/>
          <w:u w:val="none"/>
          <w:lang w:val="en-US" w:eastAsia="zh-CN"/>
        </w:rPr>
        <w:t>企业自筹。</w:t>
      </w:r>
    </w:p>
    <w:p>
      <w:pPr>
        <w:pStyle w:val="42"/>
        <w:ind w:left="0" w:leftChars="0" w:firstLine="0" w:firstLineChars="0"/>
        <w:rPr>
          <w:rFonts w:hint="default" w:ascii="宋体" w:hAnsi="宋体" w:cs="宋体" w:eastAsiaTheme="minorEastAsia"/>
          <w:color w:val="auto"/>
          <w:sz w:val="24"/>
          <w:szCs w:val="24"/>
          <w:highlight w:val="none"/>
          <w:shd w:val="clear" w:color="auto" w:fill="auto"/>
          <w:lang w:val="en-US" w:eastAsia="zh-CN"/>
        </w:rPr>
      </w:pPr>
      <w:r>
        <w:rPr>
          <w:rFonts w:hint="eastAsia" w:ascii="宋体" w:hAnsi="宋体"/>
          <w:b/>
          <w:bCs/>
          <w:sz w:val="24"/>
          <w:highlight w:val="none"/>
        </w:rPr>
        <w:t>（五）</w:t>
      </w:r>
      <w:r>
        <w:rPr>
          <w:rFonts w:hint="eastAsia" w:ascii="宋体" w:hAnsi="宋体"/>
          <w:sz w:val="24"/>
          <w:highlight w:val="none"/>
        </w:rPr>
        <w:t>采购项目概况:</w:t>
      </w:r>
      <w:r>
        <w:rPr>
          <w:rFonts w:hint="eastAsia"/>
          <w:highlight w:val="none"/>
        </w:rPr>
        <w:t xml:space="preserve"> </w:t>
      </w:r>
      <w:bookmarkStart w:id="1" w:name="OLE_LINK1"/>
      <w:r>
        <w:rPr>
          <w:rFonts w:hint="eastAsia" w:asciiTheme="minorEastAsia" w:hAnsiTheme="minorEastAsia" w:eastAsiaTheme="minorEastAsia" w:cstheme="minorEastAsia"/>
          <w:sz w:val="24"/>
          <w:szCs w:val="24"/>
          <w:highlight w:val="none"/>
        </w:rPr>
        <w:t>岳阳城陵矶新港有限公司7#堆场通道地面</w:t>
      </w:r>
      <w:r>
        <w:rPr>
          <w:rFonts w:hint="eastAsia" w:asciiTheme="minorEastAsia" w:hAnsiTheme="minorEastAsia" w:eastAsiaTheme="minorEastAsia" w:cstheme="minorEastAsia"/>
          <w:sz w:val="24"/>
          <w:szCs w:val="24"/>
          <w:highlight w:val="none"/>
          <w:lang w:eastAsia="zh-CN"/>
        </w:rPr>
        <w:t>破除，</w:t>
      </w:r>
      <w:r>
        <w:rPr>
          <w:rFonts w:hint="eastAsia" w:asciiTheme="minorEastAsia" w:hAnsiTheme="minorEastAsia" w:eastAsiaTheme="minorEastAsia" w:cstheme="minorEastAsia"/>
          <w:sz w:val="24"/>
          <w:szCs w:val="24"/>
          <w:highlight w:val="none"/>
          <w:lang w:val="en-US" w:eastAsia="zh-CN"/>
        </w:rPr>
        <w:t>地面砼（C40）浇筑，面积409.4平方米。</w:t>
      </w:r>
    </w:p>
    <w:bookmarkEnd w:id="1"/>
    <w:p>
      <w:pPr>
        <w:pStyle w:val="7"/>
        <w:pageBreakBefore w:val="0"/>
        <w:widowControl/>
        <w:kinsoku/>
        <w:wordWrap/>
        <w:overflowPunct/>
        <w:topLinePunct w:val="0"/>
        <w:autoSpaceDN/>
        <w:bidi w:val="0"/>
        <w:adjustRightInd/>
        <w:snapToGrid/>
        <w:spacing w:line="360" w:lineRule="auto"/>
        <w:jc w:val="both"/>
        <w:textAlignment w:val="auto"/>
        <w:rPr>
          <w:shd w:val="clear" w:color="auto" w:fill="auto"/>
        </w:rPr>
      </w:pPr>
      <w:r>
        <w:rPr>
          <w:rFonts w:hint="eastAsia"/>
          <w:shd w:val="clear" w:color="auto" w:fill="auto"/>
        </w:rPr>
        <w:t>二、采购范围及相关要求</w:t>
      </w:r>
    </w:p>
    <w:p>
      <w:pPr>
        <w:pageBreakBefore w:val="0"/>
        <w:widowControl/>
        <w:kinsoku/>
        <w:wordWrap/>
        <w:overflowPunct/>
        <w:topLinePunct w:val="0"/>
        <w:autoSpaceDE w:val="0"/>
        <w:autoSpaceDN/>
        <w:bidi w:val="0"/>
        <w:adjustRightInd/>
        <w:snapToGrid/>
        <w:spacing w:line="360" w:lineRule="auto"/>
        <w:jc w:val="both"/>
        <w:textAlignment w:val="auto"/>
        <w:rPr>
          <w:rFonts w:ascii="宋体" w:hAnsi="宋体"/>
          <w:sz w:val="24"/>
        </w:rPr>
      </w:pPr>
      <w:r>
        <w:rPr>
          <w:rFonts w:hint="eastAsia" w:ascii="宋体" w:hAnsi="宋体"/>
          <w:b/>
          <w:bCs/>
          <w:sz w:val="24"/>
        </w:rPr>
        <w:t>（一）</w:t>
      </w:r>
      <w:r>
        <w:rPr>
          <w:rFonts w:hint="eastAsia" w:ascii="宋体" w:hAnsi="宋体"/>
          <w:sz w:val="24"/>
        </w:rPr>
        <w:t>采购范围:</w:t>
      </w:r>
      <w:r>
        <w:rPr>
          <w:rFonts w:hint="eastAsia" w:ascii="宋体" w:hAnsi="宋体"/>
          <w:sz w:val="24"/>
          <w:lang w:val="en-US" w:eastAsia="zh-CN"/>
        </w:rPr>
        <w:t xml:space="preserve"> </w:t>
      </w:r>
      <w:r>
        <w:rPr>
          <w:rFonts w:hint="eastAsia" w:cs="Times New Roman"/>
          <w:kern w:val="2"/>
          <w:sz w:val="24"/>
          <w:szCs w:val="24"/>
        </w:rPr>
        <w:t>岳阳城陵矶新港有限公司7#堆场破损通道地面维修</w:t>
      </w:r>
      <w:r>
        <w:rPr>
          <w:rFonts w:hint="eastAsia" w:cs="Times New Roman"/>
          <w:kern w:val="2"/>
          <w:sz w:val="24"/>
          <w:szCs w:val="24"/>
          <w:lang w:eastAsia="zh-CN"/>
        </w:rPr>
        <w:t>项目</w:t>
      </w:r>
      <w:r>
        <w:rPr>
          <w:rFonts w:hint="eastAsia" w:ascii="宋体" w:hAnsi="宋体"/>
          <w:sz w:val="24"/>
        </w:rPr>
        <w:t>。</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highlight w:val="none"/>
        </w:rPr>
      </w:pPr>
      <w:r>
        <w:rPr>
          <w:rFonts w:hint="eastAsia" w:ascii="宋体" w:hAnsi="宋体"/>
          <w:b/>
          <w:bCs/>
          <w:sz w:val="24"/>
          <w:highlight w:val="none"/>
        </w:rPr>
        <w:t>（二）</w:t>
      </w:r>
      <w:r>
        <w:rPr>
          <w:rFonts w:hint="eastAsia" w:ascii="宋体" w:hAnsi="宋体"/>
          <w:sz w:val="24"/>
          <w:highlight w:val="none"/>
        </w:rPr>
        <w:t>服务期限: 在</w:t>
      </w:r>
      <w:r>
        <w:rPr>
          <w:rFonts w:hint="eastAsia" w:ascii="宋体" w:hAnsi="宋体"/>
          <w:sz w:val="24"/>
          <w:highlight w:val="none"/>
          <w:lang w:eastAsia="zh-CN"/>
        </w:rPr>
        <w:t>合同签订</w:t>
      </w:r>
      <w:r>
        <w:rPr>
          <w:rFonts w:hint="eastAsia" w:ascii="宋体" w:hAnsi="宋体"/>
          <w:sz w:val="24"/>
          <w:highlight w:val="none"/>
        </w:rPr>
        <w:t>后</w:t>
      </w:r>
      <w:r>
        <w:rPr>
          <w:rFonts w:hint="eastAsia" w:ascii="宋体" w:hAnsi="宋体"/>
          <w:sz w:val="24"/>
          <w:highlight w:val="none"/>
          <w:lang w:val="en-US" w:eastAsia="zh-CN"/>
        </w:rPr>
        <w:t>30</w:t>
      </w:r>
      <w:r>
        <w:rPr>
          <w:rFonts w:hint="eastAsia" w:ascii="宋体" w:hAnsi="宋体"/>
          <w:sz w:val="24"/>
          <w:highlight w:val="none"/>
        </w:rPr>
        <w:t>个日历天内完成现场</w:t>
      </w:r>
      <w:r>
        <w:rPr>
          <w:rFonts w:hint="eastAsia" w:ascii="宋体" w:hAnsi="宋体"/>
          <w:sz w:val="24"/>
          <w:highlight w:val="none"/>
          <w:lang w:eastAsia="zh-CN"/>
        </w:rPr>
        <w:t>作业</w:t>
      </w:r>
      <w:r>
        <w:rPr>
          <w:rFonts w:hint="eastAsia" w:ascii="宋体" w:hAnsi="宋体"/>
          <w:sz w:val="24"/>
          <w:highlight w:val="none"/>
        </w:rPr>
        <w:t>。</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sz w:val="24"/>
          <w:lang w:eastAsia="zh-CN"/>
        </w:rPr>
      </w:pPr>
      <w:r>
        <w:rPr>
          <w:rFonts w:hint="eastAsia" w:ascii="宋体" w:hAnsi="宋体"/>
          <w:b/>
          <w:bCs/>
          <w:sz w:val="24"/>
        </w:rPr>
        <w:t>（三）</w:t>
      </w:r>
      <w:r>
        <w:rPr>
          <w:rFonts w:hint="eastAsia" w:ascii="宋体" w:hAnsi="宋体"/>
          <w:sz w:val="24"/>
        </w:rPr>
        <w:t xml:space="preserve">服务地点: </w:t>
      </w:r>
      <w:r>
        <w:rPr>
          <w:rFonts w:hint="eastAsia" w:cs="Times New Roman"/>
          <w:kern w:val="2"/>
          <w:sz w:val="24"/>
          <w:szCs w:val="24"/>
        </w:rPr>
        <w:t>岳阳城陵矶新港有限公司7#堆场通道</w:t>
      </w:r>
      <w:r>
        <w:rPr>
          <w:rFonts w:hint="eastAsia" w:cs="Times New Roman"/>
          <w:kern w:val="2"/>
          <w:sz w:val="24"/>
          <w:szCs w:val="24"/>
          <w:lang w:eastAsia="zh-CN"/>
        </w:rPr>
        <w:t>。</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（四）</w:t>
      </w:r>
      <w:r>
        <w:rPr>
          <w:rFonts w:hint="eastAsia" w:ascii="宋体" w:hAnsi="宋体"/>
          <w:color w:val="auto"/>
          <w:sz w:val="24"/>
          <w:shd w:val="clear" w:color="auto" w:fill="auto"/>
        </w:rPr>
        <w:t xml:space="preserve">质量要求: </w:t>
      </w:r>
      <w:r>
        <w:rPr>
          <w:rFonts w:hint="eastAsia" w:ascii="宋体" w:hAnsi="宋体"/>
          <w:color w:val="auto"/>
          <w:sz w:val="24"/>
          <w:shd w:val="clear" w:color="auto" w:fill="auto"/>
          <w:lang w:eastAsia="zh-CN"/>
        </w:rPr>
        <w:t>满足国家相关规范要求，具体见文件。</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（五）</w:t>
      </w:r>
      <w:r>
        <w:rPr>
          <w:rFonts w:hint="eastAsia" w:ascii="宋体" w:hAnsi="宋体"/>
          <w:color w:val="auto"/>
          <w:sz w:val="24"/>
          <w:shd w:val="clear" w:color="auto" w:fill="auto"/>
        </w:rPr>
        <w:t xml:space="preserve">安全目标: </w:t>
      </w:r>
      <w:r>
        <w:rPr>
          <w:rFonts w:hint="eastAsia" w:ascii="宋体" w:hAnsi="宋体"/>
          <w:color w:val="auto"/>
          <w:sz w:val="24"/>
          <w:shd w:val="clear" w:color="auto" w:fill="auto"/>
          <w:lang w:eastAsia="zh-CN"/>
        </w:rPr>
        <w:t>安全文明生产零事故。</w:t>
      </w:r>
    </w:p>
    <w:p>
      <w:pPr>
        <w:pStyle w:val="2"/>
        <w:rPr>
          <w:rFonts w:hint="eastAsia"/>
          <w:lang w:eastAsia="zh-CN"/>
        </w:rPr>
      </w:pPr>
    </w:p>
    <w:p>
      <w:pPr>
        <w:autoSpaceDE w:val="0"/>
        <w:spacing w:line="400" w:lineRule="exact"/>
        <w:jc w:val="both"/>
        <w:rPr>
          <w:rFonts w:ascii="Arial" w:hAnsi="Arial"/>
          <w:b/>
          <w:bCs/>
          <w:sz w:val="28"/>
          <w:szCs w:val="28"/>
        </w:rPr>
      </w:pPr>
      <w:r>
        <w:rPr>
          <w:rFonts w:hint="eastAsia"/>
          <w:b/>
          <w:bCs/>
          <w:sz w:val="28"/>
          <w:szCs w:val="28"/>
        </w:rPr>
        <w:t>三、</w:t>
      </w:r>
      <w:r>
        <w:rPr>
          <w:rFonts w:hint="eastAsia" w:ascii="黑体" w:hAnsi="黑体"/>
          <w:b/>
          <w:bCs/>
          <w:sz w:val="28"/>
          <w:szCs w:val="28"/>
        </w:rPr>
        <w:t>供应商资格要求</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b/>
          <w:bCs/>
          <w:sz w:val="24"/>
        </w:rPr>
      </w:pPr>
    </w:p>
    <w:p>
      <w:pPr>
        <w:pageBreakBefore w:val="0"/>
        <w:widowControl/>
        <w:kinsoku/>
        <w:wordWrap/>
        <w:overflowPunct/>
        <w:topLinePunct w:val="0"/>
        <w:autoSpaceDE w:val="0"/>
        <w:autoSpaceDN/>
        <w:bidi w:val="0"/>
        <w:adjustRightInd/>
        <w:snapToGrid/>
        <w:spacing w:line="360" w:lineRule="auto"/>
        <w:jc w:val="both"/>
        <w:textAlignment w:val="auto"/>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（1）处于被责令停产停业、暂扣或者吊销执照、暂扣或者吊销许可证、吊销资质证书状态;</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（2）进入清算程序，或被宣告破产，或其他丧失履约能力的情形;</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（3）被采购人或采购人上级单位纳入黑名单；</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（4）为投资参股本项目的法人单位；</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53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15" w:type="dxa"/>
          </w:tcPr>
          <w:p>
            <w:pPr>
              <w:widowControl w:val="0"/>
              <w:spacing w:line="320" w:lineRule="exact"/>
              <w:jc w:val="center"/>
              <w:rPr>
                <w:rFonts w:ascii="宋体" w:hAnsi="宋体"/>
                <w:sz w:val="21"/>
                <w:szCs w:val="21"/>
              </w:rPr>
            </w:pPr>
            <w:r>
              <w:rPr>
                <w:rFonts w:hint="eastAsia" w:ascii="宋体" w:hAnsi="宋体"/>
                <w:sz w:val="21"/>
                <w:szCs w:val="21"/>
              </w:rPr>
              <w:t>资格条件</w:t>
            </w:r>
          </w:p>
        </w:tc>
        <w:tc>
          <w:tcPr>
            <w:tcW w:w="1531" w:type="dxa"/>
          </w:tcPr>
          <w:p>
            <w:pPr>
              <w:widowControl w:val="0"/>
              <w:spacing w:line="320" w:lineRule="exact"/>
              <w:jc w:val="center"/>
              <w:rPr>
                <w:rFonts w:ascii="宋体" w:hAnsi="宋体"/>
                <w:sz w:val="21"/>
                <w:szCs w:val="21"/>
              </w:rPr>
            </w:pPr>
            <w:r>
              <w:rPr>
                <w:rFonts w:hint="eastAsia" w:ascii="宋体" w:hAnsi="宋体"/>
                <w:sz w:val="21"/>
                <w:szCs w:val="21"/>
              </w:rPr>
              <w:t>对供应商要求</w:t>
            </w:r>
          </w:p>
        </w:tc>
        <w:tc>
          <w:tcPr>
            <w:tcW w:w="5443" w:type="dxa"/>
          </w:tcPr>
          <w:p>
            <w:pPr>
              <w:widowControl w:val="0"/>
              <w:spacing w:line="320" w:lineRule="exact"/>
              <w:jc w:val="center"/>
              <w:rPr>
                <w:rFonts w:ascii="宋体" w:hAnsi="宋体"/>
                <w:sz w:val="21"/>
                <w:szCs w:val="21"/>
              </w:rPr>
            </w:pPr>
            <w:r>
              <w:rPr>
                <w:rFonts w:hint="eastAsia" w:ascii="宋体" w:hAnsi="宋体"/>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（1）依法设立</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（2）资质要求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（3）财务要求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（4）业绩要求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（5）信誉要求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tcPr>
          <w:p>
            <w:pPr>
              <w:widowControl w:val="0"/>
              <w:spacing w:line="288" w:lineRule="auto"/>
              <w:jc w:val="both"/>
              <w:rPr>
                <w:rFonts w:ascii="宋体" w:hAnsi="宋体"/>
                <w:sz w:val="21"/>
                <w:szCs w:val="21"/>
              </w:rPr>
            </w:pPr>
            <w:r>
              <w:rPr>
                <w:rFonts w:hint="eastAsia" w:ascii="宋体" w:hAnsi="宋体"/>
                <w:sz w:val="21"/>
                <w:szCs w:val="21"/>
              </w:rPr>
              <w:t>（6）承担本项目的主要人员要求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（7）其他要求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Align w:val="center"/>
          </w:tcPr>
          <w:p>
            <w:pPr>
              <w:widowControl w:val="0"/>
              <w:spacing w:line="288" w:lineRule="auto"/>
              <w:jc w:val="both"/>
              <w:rPr>
                <w:rFonts w:ascii="宋体" w:hAnsi="宋体"/>
                <w:sz w:val="21"/>
                <w:szCs w:val="21"/>
              </w:rPr>
            </w:pPr>
            <w:r>
              <w:rPr>
                <w:rFonts w:hint="eastAsia" w:ascii="宋体" w:hAnsi="宋体"/>
                <w:sz w:val="21"/>
                <w:szCs w:val="21"/>
              </w:rPr>
              <w:t>（8）供应商不存在第一章3.1款情形的证明材料</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Style w:val="46"/>
                <w:sz w:val="21"/>
                <w:szCs w:val="21"/>
                <w:u w:val="single"/>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p>
            <w:pPr>
              <w:widowControl w:val="0"/>
              <w:spacing w:line="320" w:lineRule="exact"/>
              <w:jc w:val="both"/>
              <w:rPr>
                <w:rFonts w:ascii="宋体" w:hAnsi="宋体"/>
                <w:sz w:val="21"/>
                <w:szCs w:val="21"/>
              </w:rPr>
            </w:pPr>
          </w:p>
        </w:tc>
      </w:tr>
    </w:tbl>
    <w:p>
      <w:pPr>
        <w:pStyle w:val="7"/>
        <w:jc w:val="both"/>
        <w:rPr>
          <w:rFonts w:ascii="Arial" w:hAnsi="Arial"/>
        </w:rPr>
      </w:pPr>
      <w:r>
        <w:rPr>
          <w:rFonts w:hint="eastAsia"/>
        </w:rPr>
        <w:t>四、</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b/>
          <w:bCs/>
          <w:sz w:val="24"/>
          <w:lang w:eastAsia="zh-CN"/>
        </w:rPr>
        <w:t>最低价</w:t>
      </w:r>
      <w:r>
        <w:rPr>
          <w:rFonts w:hint="eastAsia" w:ascii="宋体" w:hAnsi="宋体"/>
          <w:b/>
          <w:bCs/>
          <w:sz w:val="24"/>
        </w:rPr>
        <w:t>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7"/>
        <w:keepNext w:val="0"/>
        <w:keepLines w:val="0"/>
        <w:widowControl w:val="0"/>
        <w:adjustRightInd w:val="0"/>
        <w:snapToGrid w:val="0"/>
        <w:spacing w:after="0" w:line="312" w:lineRule="auto"/>
        <w:jc w:val="both"/>
      </w:pPr>
      <w:r>
        <w:rPr>
          <w:rFonts w:hint="eastAsia"/>
        </w:rPr>
        <w:t>五、</w:t>
      </w:r>
      <w:r>
        <w:rPr>
          <w:rFonts w:hint="eastAsia"/>
          <w:color w:val="000000"/>
        </w:rPr>
        <w:t>最高限价</w:t>
      </w:r>
    </w:p>
    <w:p>
      <w:pPr>
        <w:autoSpaceDE w:val="0"/>
        <w:spacing w:line="400" w:lineRule="exact"/>
        <w:jc w:val="both"/>
        <w:rPr>
          <w:rFonts w:ascii="宋体" w:hAnsi="宋体"/>
          <w:sz w:val="24"/>
          <w:highlight w:val="none"/>
        </w:rPr>
      </w:pPr>
      <w:bookmarkStart w:id="2" w:name="_Toc38287094"/>
      <w:bookmarkStart w:id="3" w:name="_Toc40274970"/>
      <w:r>
        <w:rPr>
          <w:rFonts w:hint="eastAsia" w:ascii="宋体" w:hAnsi="宋体"/>
          <w:b/>
          <w:bCs/>
          <w:sz w:val="24"/>
          <w:highlight w:val="none"/>
        </w:rPr>
        <w:t>（一）</w:t>
      </w:r>
      <w:r>
        <w:rPr>
          <w:rFonts w:hint="eastAsia" w:ascii="宋体" w:hAnsi="宋体"/>
          <w:sz w:val="24"/>
          <w:highlight w:val="none"/>
        </w:rPr>
        <w:t>询价人为本次招标编制了最高投标限价，最高限价：</w:t>
      </w:r>
      <w:r>
        <w:rPr>
          <w:rFonts w:hint="eastAsia" w:ascii="宋体" w:hAnsi="宋体"/>
          <w:sz w:val="24"/>
          <w:highlight w:val="none"/>
          <w:lang w:eastAsia="zh-CN"/>
        </w:rPr>
        <w:t>壹</w:t>
      </w:r>
      <w:r>
        <w:rPr>
          <w:rFonts w:hint="eastAsia" w:ascii="宋体" w:hAnsi="宋体" w:cs="宋体"/>
          <w:b w:val="0"/>
          <w:bCs w:val="0"/>
          <w:sz w:val="24"/>
          <w:highlight w:val="none"/>
          <w:lang w:val="en-US" w:eastAsia="zh-CN"/>
        </w:rPr>
        <w:t>拾贰万</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120，0</w:t>
      </w:r>
      <w:r>
        <w:rPr>
          <w:rFonts w:hint="eastAsia" w:ascii="宋体" w:hAnsi="宋体"/>
          <w:sz w:val="24"/>
          <w:highlight w:val="none"/>
        </w:rPr>
        <w:t>00.00）含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报价人投标报价应不高于最高投标限价，否则其投标将被否决。</w:t>
      </w:r>
      <w:bookmarkEnd w:id="2"/>
      <w:bookmarkEnd w:id="3"/>
    </w:p>
    <w:p>
      <w:pPr>
        <w:pStyle w:val="7"/>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hint="eastAsia" w:ascii="宋体" w:hAnsi="宋体"/>
          <w:sz w:val="24"/>
          <w:lang w:eastAsia="zh-CN"/>
        </w:rPr>
      </w:pPr>
      <w:r>
        <w:rPr>
          <w:rFonts w:hint="eastAsia" w:ascii="宋体" w:hAnsi="宋体"/>
          <w:b/>
          <w:bCs/>
          <w:sz w:val="24"/>
          <w:lang w:eastAsia="zh-CN"/>
        </w:rPr>
        <w:t>（一）</w:t>
      </w:r>
      <w:r>
        <w:rPr>
          <w:rFonts w:hint="eastAsia" w:ascii="宋体" w:hAnsi="宋体"/>
          <w:sz w:val="24"/>
          <w:highlight w:val="yellow"/>
        </w:rPr>
        <w:t>供应商应当于</w:t>
      </w:r>
      <w:r>
        <w:rPr>
          <w:rFonts w:hint="eastAsia" w:ascii="宋体" w:hAnsi="宋体"/>
          <w:sz w:val="24"/>
          <w:highlight w:val="yellow"/>
          <w:lang w:val="en-US" w:eastAsia="zh-CN"/>
        </w:rPr>
        <w:t>2024</w:t>
      </w:r>
      <w:r>
        <w:rPr>
          <w:rFonts w:hint="eastAsia" w:ascii="宋体" w:hAnsi="宋体"/>
          <w:sz w:val="24"/>
          <w:highlight w:val="yellow"/>
        </w:rPr>
        <w:t>年</w:t>
      </w:r>
      <w:r>
        <w:rPr>
          <w:rFonts w:hint="eastAsia" w:ascii="宋体" w:hAnsi="宋体"/>
          <w:sz w:val="24"/>
          <w:highlight w:val="yellow"/>
          <w:lang w:val="en-US" w:eastAsia="zh-CN"/>
        </w:rPr>
        <w:t>6</w:t>
      </w:r>
      <w:r>
        <w:rPr>
          <w:rFonts w:hint="eastAsia" w:ascii="宋体" w:hAnsi="宋体"/>
          <w:sz w:val="24"/>
          <w:highlight w:val="yellow"/>
        </w:rPr>
        <w:t>月</w:t>
      </w:r>
      <w:r>
        <w:rPr>
          <w:rFonts w:hint="eastAsia" w:ascii="宋体" w:hAnsi="宋体"/>
          <w:sz w:val="24"/>
          <w:highlight w:val="yellow"/>
          <w:lang w:val="en-US" w:eastAsia="zh-CN"/>
        </w:rPr>
        <w:t>22</w:t>
      </w:r>
      <w:r>
        <w:rPr>
          <w:rFonts w:hint="eastAsia" w:ascii="宋体" w:hAnsi="宋体"/>
          <w:sz w:val="24"/>
          <w:highlight w:val="yellow"/>
        </w:rPr>
        <w:t>日至</w:t>
      </w:r>
      <w:r>
        <w:rPr>
          <w:rFonts w:hint="eastAsia" w:ascii="宋体" w:hAnsi="宋体"/>
          <w:sz w:val="24"/>
          <w:highlight w:val="yellow"/>
          <w:lang w:val="en-US" w:eastAsia="zh-CN"/>
        </w:rPr>
        <w:t>2024</w:t>
      </w:r>
      <w:r>
        <w:rPr>
          <w:rFonts w:hint="eastAsia" w:ascii="宋体" w:hAnsi="宋体"/>
          <w:sz w:val="24"/>
          <w:highlight w:val="yellow"/>
        </w:rPr>
        <w:t>年</w:t>
      </w:r>
      <w:r>
        <w:rPr>
          <w:rFonts w:hint="eastAsia" w:ascii="宋体" w:hAnsi="宋体"/>
          <w:sz w:val="24"/>
          <w:highlight w:val="yellow"/>
          <w:lang w:val="en-US" w:eastAsia="zh-CN"/>
        </w:rPr>
        <w:t>6</w:t>
      </w:r>
      <w:r>
        <w:rPr>
          <w:rFonts w:hint="eastAsia" w:ascii="宋体" w:hAnsi="宋体"/>
          <w:sz w:val="24"/>
          <w:highlight w:val="yellow"/>
        </w:rPr>
        <w:t>月</w:t>
      </w:r>
      <w:r>
        <w:rPr>
          <w:rFonts w:hint="eastAsia" w:ascii="宋体" w:hAnsi="宋体"/>
          <w:sz w:val="24"/>
          <w:highlight w:val="yellow"/>
          <w:lang w:val="en-US" w:eastAsia="zh-CN"/>
        </w:rPr>
        <w:t>26</w:t>
      </w:r>
      <w:r>
        <w:rPr>
          <w:rFonts w:hint="eastAsia" w:ascii="宋体" w:hAnsi="宋体"/>
          <w:sz w:val="24"/>
          <w:highlight w:val="yellow"/>
        </w:rPr>
        <w:t>日，</w:t>
      </w:r>
      <w:r>
        <w:rPr>
          <w:rFonts w:hint="eastAsia" w:ascii="宋体" w:hAnsi="宋体"/>
          <w:sz w:val="24"/>
          <w:lang w:eastAsia="zh-CN"/>
        </w:rPr>
        <w:t>在</w:t>
      </w:r>
      <w:r>
        <w:rPr>
          <w:rFonts w:hint="eastAsia" w:ascii="宋体" w:hAnsi="宋体"/>
          <w:sz w:val="24"/>
        </w:rPr>
        <w:t>湖南省</w:t>
      </w:r>
      <w:r>
        <w:rPr>
          <w:rFonts w:hint="eastAsia" w:ascii="宋体" w:hAnsi="宋体"/>
          <w:sz w:val="24"/>
          <w:lang w:eastAsia="zh-CN"/>
        </w:rPr>
        <w:t>港航水利</w:t>
      </w:r>
      <w:r>
        <w:rPr>
          <w:rFonts w:hint="eastAsia" w:ascii="宋体" w:hAnsi="宋体"/>
          <w:sz w:val="24"/>
        </w:rPr>
        <w:t>集团有限公司网站（http://www.hnsghsljt.com/）、湖南省</w:t>
      </w:r>
      <w:r>
        <w:rPr>
          <w:rFonts w:hint="eastAsia" w:ascii="宋体" w:hAnsi="宋体"/>
          <w:sz w:val="24"/>
          <w:lang w:eastAsia="zh-CN"/>
        </w:rPr>
        <w:t>城陵矶港口</w:t>
      </w:r>
      <w:r>
        <w:rPr>
          <w:rFonts w:hint="eastAsia" w:ascii="宋体" w:hAnsi="宋体"/>
          <w:sz w:val="24"/>
        </w:rPr>
        <w:t>集团有限公司门户网站（http://www.hnsgwjt.com/）上获取采购文件</w:t>
      </w:r>
      <w:r>
        <w:rPr>
          <w:rFonts w:hint="eastAsia" w:ascii="宋体" w:hAnsi="宋体"/>
          <w:sz w:val="24"/>
          <w:lang w:eastAsia="zh-CN"/>
        </w:rPr>
        <w:t>。</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（二）响应文件递交</w:t>
      </w:r>
      <w:r>
        <w:rPr>
          <w:rFonts w:hint="eastAsia" w:ascii="宋体" w:hAnsi="宋体"/>
          <w:sz w:val="24"/>
        </w:rPr>
        <w:t>截止时间：</w:t>
      </w:r>
      <w:r>
        <w:rPr>
          <w:rFonts w:hint="eastAsia" w:ascii="宋体" w:hAnsi="宋体"/>
          <w:sz w:val="24"/>
          <w:lang w:val="en-US" w:eastAsia="zh-CN"/>
        </w:rPr>
        <w:t>2024</w:t>
      </w:r>
      <w:r>
        <w:rPr>
          <w:rFonts w:hint="eastAsia" w:ascii="宋体" w:hAnsi="宋体"/>
          <w:sz w:val="24"/>
          <w:highlight w:val="yellow"/>
          <w:lang w:val="en-US" w:eastAsia="zh-CN"/>
        </w:rPr>
        <w:t>年6月 27日8时00分；</w:t>
      </w:r>
    </w:p>
    <w:p>
      <w:pPr>
        <w:autoSpaceDE w:val="0"/>
        <w:spacing w:line="400" w:lineRule="exact"/>
        <w:jc w:val="both"/>
        <w:rPr>
          <w:rFonts w:hint="eastAsia" w:ascii="宋体" w:hAnsi="宋体"/>
          <w:sz w:val="24"/>
          <w:lang w:val="en-US" w:eastAsia="zh-CN"/>
        </w:rPr>
      </w:pPr>
      <w:r>
        <w:rPr>
          <w:rFonts w:hint="eastAsia" w:ascii="宋体" w:hAnsi="宋体"/>
          <w:sz w:val="24"/>
        </w:rPr>
        <w:t>递交响应文件的地点：</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cs="宋体"/>
          <w:color w:val="000000"/>
          <w:sz w:val="24"/>
          <w:highlight w:val="none"/>
          <w:u w:val="none"/>
          <w:lang w:val="en-US" w:eastAsia="zh-CN"/>
        </w:rPr>
        <w:t>307</w:t>
      </w:r>
      <w:r>
        <w:rPr>
          <w:rFonts w:hint="eastAsia" w:ascii="宋体" w:hAnsi="宋体"/>
          <w:sz w:val="24"/>
          <w:lang w:val="en-US" w:eastAsia="zh-CN"/>
        </w:rPr>
        <w:t>办公室</w:t>
      </w:r>
      <w:r>
        <w:rPr>
          <w:rFonts w:hint="eastAsia" w:ascii="宋体" w:hAnsi="宋体"/>
          <w:sz w:val="24"/>
          <w:lang w:eastAsia="zh-CN"/>
        </w:rPr>
        <w:t>。</w:t>
      </w:r>
    </w:p>
    <w:p>
      <w:pPr>
        <w:autoSpaceDE w:val="0"/>
        <w:spacing w:line="400" w:lineRule="exact"/>
        <w:jc w:val="both"/>
        <w:rPr>
          <w:rFonts w:hint="eastAsia" w:ascii="宋体" w:hAnsi="宋体"/>
          <w:sz w:val="24"/>
          <w:highlight w:val="yellow"/>
        </w:rPr>
      </w:pPr>
      <w:r>
        <w:rPr>
          <w:rFonts w:hint="eastAsia" w:ascii="宋体" w:hAnsi="宋体"/>
          <w:sz w:val="24"/>
          <w:lang w:eastAsia="zh-CN"/>
        </w:rPr>
        <w:t>（三）</w:t>
      </w:r>
      <w:r>
        <w:rPr>
          <w:rFonts w:hint="eastAsia" w:ascii="宋体" w:hAnsi="宋体"/>
          <w:sz w:val="24"/>
        </w:rPr>
        <w:t>供应商若对本项目采购需求、资格要求等有疑问的，应当于</w:t>
      </w:r>
      <w:r>
        <w:rPr>
          <w:rFonts w:hint="eastAsia" w:ascii="宋体" w:hAnsi="宋体"/>
          <w:sz w:val="24"/>
          <w:lang w:val="en-US" w:eastAsia="zh-CN"/>
        </w:rPr>
        <w:t>2024</w:t>
      </w:r>
      <w:r>
        <w:rPr>
          <w:rFonts w:hint="eastAsia" w:ascii="宋体" w:hAnsi="宋体"/>
          <w:sz w:val="24"/>
          <w:highlight w:val="yellow"/>
        </w:rPr>
        <w:t>年</w:t>
      </w:r>
      <w:r>
        <w:rPr>
          <w:rFonts w:hint="eastAsia" w:ascii="宋体" w:hAnsi="宋体"/>
          <w:sz w:val="24"/>
          <w:highlight w:val="yellow"/>
          <w:lang w:val="en-US" w:eastAsia="zh-CN"/>
        </w:rPr>
        <w:t>6</w:t>
      </w:r>
      <w:r>
        <w:rPr>
          <w:rFonts w:hint="eastAsia" w:ascii="宋体" w:hAnsi="宋体"/>
          <w:sz w:val="24"/>
          <w:highlight w:val="yellow"/>
        </w:rPr>
        <w:t>月</w:t>
      </w:r>
      <w:r>
        <w:rPr>
          <w:rFonts w:hint="eastAsia" w:ascii="宋体" w:hAnsi="宋体"/>
          <w:sz w:val="24"/>
          <w:highlight w:val="yellow"/>
          <w:lang w:val="en-US" w:eastAsia="zh-CN"/>
        </w:rPr>
        <w:t>25</w:t>
      </w:r>
      <w:r>
        <w:rPr>
          <w:rFonts w:hint="eastAsia" w:ascii="宋体" w:hAnsi="宋体"/>
          <w:sz w:val="24"/>
          <w:highlight w:val="yellow"/>
        </w:rPr>
        <w:t>日</w:t>
      </w:r>
      <w:r>
        <w:rPr>
          <w:rFonts w:hint="eastAsia" w:ascii="宋体" w:hAnsi="宋体"/>
          <w:sz w:val="24"/>
          <w:highlight w:val="yellow"/>
          <w:lang w:val="en-US" w:eastAsia="zh-CN"/>
        </w:rPr>
        <w:t>17</w:t>
      </w:r>
      <w:r>
        <w:rPr>
          <w:rFonts w:hint="eastAsia" w:ascii="宋体" w:hAnsi="宋体"/>
          <w:sz w:val="24"/>
          <w:highlight w:val="yellow"/>
        </w:rPr>
        <w:t>时</w:t>
      </w:r>
      <w:r>
        <w:rPr>
          <w:rFonts w:hint="eastAsia" w:ascii="宋体" w:hAnsi="宋体"/>
          <w:sz w:val="24"/>
          <w:highlight w:val="yellow"/>
          <w:lang w:val="en-US" w:eastAsia="zh-CN"/>
        </w:rPr>
        <w:t>00</w:t>
      </w:r>
      <w:r>
        <w:rPr>
          <w:rFonts w:hint="eastAsia" w:ascii="宋体" w:hAnsi="宋体"/>
          <w:sz w:val="24"/>
          <w:highlight w:val="yellow"/>
        </w:rPr>
        <w:t>分前向采购人提出澄清要求。</w:t>
      </w:r>
    </w:p>
    <w:p>
      <w:pPr>
        <w:pStyle w:val="7"/>
        <w:jc w:val="both"/>
      </w:pPr>
      <w:r>
        <w:rPr>
          <w:rFonts w:hint="eastAsia"/>
        </w:rPr>
        <w:t>七、发布</w:t>
      </w:r>
      <w:r>
        <w:rPr>
          <w:rFonts w:hint="eastAsia" w:ascii="黑体" w:hAnsi="黑体"/>
        </w:rPr>
        <w:t>公告的</w:t>
      </w:r>
      <w:r>
        <w:rPr>
          <w:rFonts w:hint="eastAsia"/>
        </w:rPr>
        <w:t>媒介</w:t>
      </w:r>
    </w:p>
    <w:p>
      <w:pPr>
        <w:autoSpaceDE w:val="0"/>
        <w:spacing w:line="400" w:lineRule="exact"/>
        <w:jc w:val="both"/>
        <w:rPr>
          <w:rFonts w:hint="eastAsia" w:ascii="宋体" w:hAnsi="宋体"/>
          <w:sz w:val="24"/>
        </w:rPr>
      </w:pPr>
      <w:r>
        <w:rPr>
          <w:rFonts w:hint="eastAsia" w:ascii="宋体" w:hAnsi="宋体"/>
          <w:sz w:val="24"/>
        </w:rPr>
        <w:t>本次采购公告发布的媒介: 中国招标投标公共服务平台（http：//www.cebpubservice.com）、湖南省</w:t>
      </w:r>
      <w:r>
        <w:rPr>
          <w:rFonts w:hint="eastAsia" w:ascii="宋体" w:hAnsi="宋体"/>
          <w:sz w:val="24"/>
          <w:lang w:eastAsia="zh-CN"/>
        </w:rPr>
        <w:t>港航水利</w:t>
      </w:r>
      <w:r>
        <w:rPr>
          <w:rFonts w:hint="eastAsia" w:ascii="宋体" w:hAnsi="宋体"/>
          <w:sz w:val="24"/>
        </w:rPr>
        <w:t>集团有限公司网站（http://www.hnsghsljt.com/）、                                   湖南省</w:t>
      </w:r>
      <w:r>
        <w:rPr>
          <w:rFonts w:hint="eastAsia" w:ascii="宋体" w:hAnsi="宋体"/>
          <w:sz w:val="24"/>
          <w:lang w:eastAsia="zh-CN"/>
        </w:rPr>
        <w:t>城陵矶港口</w:t>
      </w:r>
      <w:r>
        <w:rPr>
          <w:rFonts w:hint="eastAsia" w:ascii="宋体" w:hAnsi="宋体"/>
          <w:sz w:val="24"/>
        </w:rPr>
        <w:t>集团有限公司（http://www.hnsgwjt.com）上发布。</w:t>
      </w:r>
      <w:bookmarkStart w:id="4" w:name="_Toc512257471"/>
      <w:bookmarkStart w:id="5" w:name="_Toc77254104"/>
      <w:bookmarkStart w:id="6" w:name="_Toc76635692"/>
      <w:bookmarkStart w:id="7" w:name="_Toc79596547"/>
    </w:p>
    <w:p>
      <w:pPr>
        <w:pStyle w:val="7"/>
        <w:jc w:val="both"/>
      </w:pPr>
      <w:r>
        <w:rPr>
          <w:rFonts w:hint="eastAsia"/>
        </w:rPr>
        <w:t>八、监督</w:t>
      </w:r>
      <w:bookmarkEnd w:id="4"/>
      <w:bookmarkEnd w:id="5"/>
      <w:bookmarkEnd w:id="6"/>
      <w:r>
        <w:rPr>
          <w:rFonts w:hint="eastAsia"/>
        </w:rPr>
        <w:t>部门</w:t>
      </w:r>
      <w:bookmarkEnd w:id="7"/>
    </w:p>
    <w:p>
      <w:pPr>
        <w:pStyle w:val="7"/>
        <w:ind w:firstLine="240" w:firstLineChars="100"/>
        <w:jc w:val="both"/>
        <w:rPr>
          <w:rFonts w:hint="default" w:ascii="宋体" w:hAnsi="宋体" w:eastAsia="宋体" w:cs="宋体"/>
          <w:b w:val="0"/>
          <w:bCs w:val="0"/>
          <w:color w:val="000000"/>
          <w:sz w:val="24"/>
          <w:szCs w:val="24"/>
          <w:highlight w:val="none"/>
          <w:lang w:val="en-US" w:eastAsia="zh-CN"/>
        </w:rPr>
      </w:pPr>
      <w:bookmarkStart w:id="8" w:name="_Toc517787494"/>
      <w:bookmarkStart w:id="9" w:name="_Toc234832861"/>
      <w:r>
        <w:rPr>
          <w:rFonts w:hint="eastAsia" w:ascii="宋体" w:hAnsi="宋体" w:eastAsia="宋体" w:cs="宋体"/>
          <w:b w:val="0"/>
          <w:bCs w:val="0"/>
          <w:color w:val="000000"/>
          <w:sz w:val="24"/>
          <w:szCs w:val="24"/>
          <w:highlight w:val="none"/>
        </w:rPr>
        <w:t>本次</w:t>
      </w:r>
      <w:r>
        <w:rPr>
          <w:rFonts w:hint="eastAsia" w:ascii="宋体" w:hAnsi="宋体" w:eastAsia="宋体" w:cs="宋体"/>
          <w:b w:val="0"/>
          <w:bCs w:val="0"/>
          <w:color w:val="000000"/>
          <w:sz w:val="24"/>
          <w:szCs w:val="24"/>
          <w:highlight w:val="none"/>
          <w:lang w:eastAsia="zh-CN"/>
        </w:rPr>
        <w:t>采购</w:t>
      </w:r>
      <w:r>
        <w:rPr>
          <w:rFonts w:hint="eastAsia" w:ascii="宋体" w:hAnsi="宋体" w:eastAsia="宋体" w:cs="宋体"/>
          <w:b w:val="0"/>
          <w:bCs w:val="0"/>
          <w:color w:val="000000"/>
          <w:sz w:val="24"/>
          <w:szCs w:val="24"/>
          <w:highlight w:val="none"/>
        </w:rPr>
        <w:t>监督部门为</w:t>
      </w:r>
      <w:r>
        <w:rPr>
          <w:rFonts w:hint="eastAsia" w:ascii="宋体" w:hAnsi="宋体" w:eastAsia="宋体" w:cs="宋体"/>
          <w:b w:val="0"/>
          <w:bCs w:val="0"/>
          <w:color w:val="000000"/>
          <w:sz w:val="24"/>
          <w:szCs w:val="24"/>
          <w:highlight w:val="none"/>
          <w:u w:val="single"/>
          <w:lang w:val="en-US" w:eastAsia="zh-CN"/>
        </w:rPr>
        <w:t>岳阳城陵矶新港有限公司综合管理部  电话：13975080729</w:t>
      </w:r>
    </w:p>
    <w:p>
      <w:pPr>
        <w:pStyle w:val="7"/>
        <w:jc w:val="both"/>
        <w:rPr>
          <w:rFonts w:ascii="Arial" w:hAnsi="Arial"/>
        </w:rPr>
      </w:pPr>
      <w:r>
        <w:rPr>
          <w:rFonts w:hint="eastAsia"/>
        </w:rPr>
        <w:t>九、</w:t>
      </w:r>
      <w:r>
        <w:rPr>
          <w:rFonts w:hint="eastAsia" w:ascii="黑体" w:hAnsi="黑体"/>
        </w:rPr>
        <w:t>联系方式</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lang w:eastAsia="zh-CN"/>
        </w:rPr>
        <w:t>采</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lang w:eastAsia="zh-CN"/>
        </w:rPr>
        <w:t>购</w:t>
      </w:r>
      <w:r>
        <w:rPr>
          <w:rFonts w:hint="eastAsia" w:ascii="宋体" w:hAnsi="宋体" w:eastAsia="宋体" w:cs="宋体"/>
          <w:color w:val="000000"/>
          <w:sz w:val="24"/>
          <w:highlight w:val="none"/>
          <w:u w:val="none"/>
        </w:rPr>
        <w:t xml:space="preserve"> 人：</w:t>
      </w:r>
      <w:r>
        <w:rPr>
          <w:rFonts w:hint="eastAsia" w:ascii="宋体" w:hAnsi="宋体" w:eastAsia="宋体" w:cs="宋体"/>
          <w:color w:val="000000"/>
          <w:sz w:val="24"/>
          <w:highlight w:val="none"/>
          <w:u w:val="none"/>
          <w:lang w:val="en-US" w:eastAsia="zh-CN"/>
        </w:rPr>
        <w:t xml:space="preserve"> 岳阳城陵矶新港有限公司</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地    址： 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rPr>
        <w:tab/>
      </w:r>
      <w:r>
        <w:rPr>
          <w:rFonts w:hint="eastAsia" w:ascii="宋体" w:hAnsi="宋体" w:eastAsia="宋体" w:cs="宋体"/>
          <w:color w:val="000000"/>
          <w:sz w:val="24"/>
          <w:highlight w:val="none"/>
          <w:u w:val="none"/>
        </w:rPr>
        <w:t xml:space="preserve">  </w:t>
      </w:r>
    </w:p>
    <w:p>
      <w:pPr>
        <w:topLinePunct/>
        <w:adjustRightInd w:val="0"/>
        <w:snapToGrid w:val="0"/>
        <w:spacing w:line="360" w:lineRule="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rPr>
        <w:t xml:space="preserve">邮    编： </w:t>
      </w:r>
      <w:r>
        <w:rPr>
          <w:rFonts w:hint="eastAsia" w:ascii="宋体" w:hAnsi="宋体" w:eastAsia="宋体" w:cs="宋体"/>
          <w:color w:val="000000"/>
          <w:sz w:val="24"/>
          <w:highlight w:val="none"/>
          <w:u w:val="none"/>
          <w:lang w:val="en-US" w:eastAsia="zh-CN"/>
        </w:rPr>
        <w:t>414000</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联 系 人： </w:t>
      </w:r>
      <w:r>
        <w:rPr>
          <w:rFonts w:hint="eastAsia" w:ascii="宋体" w:hAnsi="宋体" w:cs="宋体"/>
          <w:color w:val="000000"/>
          <w:sz w:val="24"/>
          <w:highlight w:val="none"/>
          <w:u w:val="none"/>
          <w:lang w:val="en-US" w:eastAsia="zh-CN"/>
        </w:rPr>
        <w:t>田先生</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电    话： </w:t>
      </w:r>
      <w:r>
        <w:rPr>
          <w:rFonts w:hint="eastAsia" w:ascii="宋体" w:hAnsi="宋体"/>
          <w:b w:val="0"/>
          <w:bCs w:val="0"/>
          <w:color w:val="auto"/>
          <w:sz w:val="24"/>
          <w:highlight w:val="none"/>
          <w:u w:val="none"/>
          <w:lang w:val="en-US" w:eastAsia="zh-CN"/>
        </w:rPr>
        <w:t>0730-8422012</w:t>
      </w:r>
      <w:r>
        <w:rPr>
          <w:rFonts w:ascii="宋体" w:hAnsi="宋体"/>
          <w:color w:val="auto"/>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u w:val="none"/>
        </w:rPr>
      </w:pPr>
      <w:r>
        <w:rPr>
          <w:rFonts w:hint="eastAsia" w:ascii="宋体" w:hAnsi="宋体" w:eastAsia="宋体" w:cs="宋体"/>
          <w:color w:val="000000"/>
          <w:sz w:val="24"/>
          <w:u w:val="none"/>
        </w:rPr>
        <w:t xml:space="preserve">传    真: </w:t>
      </w:r>
      <w:r>
        <w:rPr>
          <w:rFonts w:hint="eastAsia" w:ascii="宋体" w:hAnsi="宋体" w:eastAsia="宋体" w:cs="宋体"/>
          <w:color w:val="000000"/>
          <w:sz w:val="24"/>
          <w:u w:val="none"/>
          <w:lang w:val="en-US" w:eastAsia="zh-CN"/>
        </w:rPr>
        <w:t xml:space="preserve"> 8422000</w:t>
      </w:r>
      <w:r>
        <w:rPr>
          <w:rFonts w:hint="eastAsia" w:ascii="宋体" w:hAnsi="宋体" w:eastAsia="宋体" w:cs="宋体"/>
          <w:color w:val="000000"/>
          <w:sz w:val="24"/>
          <w:u w:val="none"/>
        </w:rPr>
        <w:t xml:space="preserve">                     </w:t>
      </w:r>
      <w:r>
        <w:rPr>
          <w:rFonts w:hint="eastAsia" w:ascii="宋体" w:hAnsi="宋体" w:eastAsia="宋体" w:cs="宋体"/>
          <w:color w:val="000000"/>
          <w:sz w:val="24"/>
          <w:u w:val="none"/>
          <w:lang w:val="en-US" w:eastAsia="zh-CN"/>
        </w:rPr>
        <w:t xml:space="preserve">   </w:t>
      </w:r>
    </w:p>
    <w:p>
      <w:pPr>
        <w:autoSpaceDE w:val="0"/>
        <w:spacing w:line="400" w:lineRule="exact"/>
        <w:ind w:firstLine="240" w:firstLineChars="100"/>
        <w:jc w:val="both"/>
        <w:rPr>
          <w:rFonts w:hint="eastAsia" w:ascii="宋体" w:hAnsi="宋体" w:eastAsia="宋体" w:cs="宋体"/>
          <w:color w:val="000000"/>
          <w:sz w:val="24"/>
          <w:u w:val="none"/>
        </w:rPr>
      </w:pPr>
      <w:r>
        <w:rPr>
          <w:rFonts w:hint="eastAsia" w:ascii="宋体" w:hAnsi="宋体" w:eastAsia="宋体" w:cs="宋体"/>
          <w:color w:val="000000"/>
          <w:sz w:val="24"/>
          <w:u w:val="none"/>
        </w:rPr>
        <w:t xml:space="preserve">电子邮箱: </w:t>
      </w:r>
      <w:r>
        <w:rPr>
          <w:rFonts w:hint="eastAsia" w:ascii="宋体" w:hAnsi="宋体" w:eastAsia="宋体" w:cs="宋体"/>
          <w:color w:val="000000"/>
          <w:sz w:val="24"/>
          <w:u w:val="none"/>
          <w:lang w:val="en-US" w:eastAsia="zh-CN"/>
        </w:rPr>
        <w:t xml:space="preserve"> </w:t>
      </w:r>
      <w:r>
        <w:rPr>
          <w:rFonts w:hint="eastAsia" w:ascii="宋体" w:hAnsi="宋体" w:cs="宋体"/>
          <w:color w:val="000000"/>
          <w:sz w:val="24"/>
          <w:u w:val="none"/>
          <w:lang w:val="en-US" w:eastAsia="zh-CN"/>
        </w:rPr>
        <w:t>409060074</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val="en-US" w:eastAsia="zh-CN"/>
        </w:rPr>
        <w:t>qq</w:t>
      </w:r>
      <w:r>
        <w:rPr>
          <w:rFonts w:hint="eastAsia" w:ascii="宋体" w:hAnsi="宋体" w:eastAsia="宋体" w:cs="宋体"/>
          <w:color w:val="000000"/>
          <w:sz w:val="24"/>
          <w:szCs w:val="24"/>
          <w:u w:val="none"/>
        </w:rPr>
        <w:t>.com</w:t>
      </w:r>
      <w:r>
        <w:rPr>
          <w:rFonts w:hint="eastAsia" w:ascii="宋体" w:hAnsi="宋体" w:eastAsia="宋体" w:cs="宋体"/>
          <w:color w:val="000000"/>
          <w:sz w:val="24"/>
          <w:u w:val="none"/>
        </w:rPr>
        <w:t xml:space="preserve">            </w:t>
      </w:r>
      <w:r>
        <w:rPr>
          <w:rFonts w:hint="eastAsia" w:ascii="宋体" w:hAnsi="宋体" w:eastAsia="宋体" w:cs="宋体"/>
          <w:color w:val="000000"/>
          <w:sz w:val="24"/>
          <w:u w:val="none"/>
          <w:lang w:val="en-US" w:eastAsia="zh-CN"/>
        </w:rPr>
        <w:t xml:space="preserve">   </w:t>
      </w:r>
    </w:p>
    <w:p>
      <w:pPr>
        <w:pStyle w:val="7"/>
        <w:jc w:val="both"/>
      </w:pPr>
      <w:r>
        <w:rPr>
          <w:rFonts w:hint="eastAsia"/>
        </w:rPr>
        <w:t>十、附件下载</w:t>
      </w: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ind w:firstLine="3200" w:firstLineChars="1000"/>
        <w:jc w:val="both"/>
        <w:outlineLvl w:val="0"/>
        <w:rPr>
          <w:rFonts w:hint="eastAsia" w:ascii="黑体" w:hAnsi="黑体" w:eastAsia="黑体"/>
          <w:sz w:val="32"/>
          <w:szCs w:val="32"/>
        </w:rPr>
      </w:pPr>
      <w:bookmarkStart w:id="10" w:name="_Toc6132"/>
    </w:p>
    <w:p>
      <w:pPr>
        <w:spacing w:line="240" w:lineRule="auto"/>
        <w:ind w:firstLine="3200" w:firstLineChars="1000"/>
        <w:jc w:val="both"/>
        <w:outlineLvl w:val="0"/>
        <w:rPr>
          <w:rFonts w:ascii="黑体" w:hAnsi="黑体" w:eastAsia="黑体"/>
          <w:sz w:val="32"/>
          <w:szCs w:val="32"/>
        </w:rPr>
      </w:pPr>
      <w:r>
        <w:rPr>
          <w:rFonts w:hint="eastAsia" w:ascii="黑体" w:hAnsi="黑体" w:eastAsia="黑体"/>
          <w:sz w:val="32"/>
          <w:szCs w:val="32"/>
        </w:rPr>
        <w:t>第二章  供应商须知</w:t>
      </w:r>
      <w:bookmarkEnd w:id="8"/>
      <w:bookmarkEnd w:id="9"/>
      <w:bookmarkEnd w:id="10"/>
    </w:p>
    <w:p>
      <w:pPr>
        <w:pStyle w:val="4"/>
        <w:spacing w:before="240" w:after="240" w:line="600" w:lineRule="exact"/>
        <w:jc w:val="center"/>
        <w:rPr>
          <w:rFonts w:ascii="仿宋" w:hAnsi="仿宋" w:eastAsia="仿宋" w:cs="仿宋"/>
          <w:sz w:val="30"/>
          <w:szCs w:val="30"/>
        </w:rPr>
      </w:pPr>
      <w:bookmarkStart w:id="11" w:name="_Toc517787495"/>
      <w:bookmarkStart w:id="12" w:name="_Toc234832862"/>
      <w:bookmarkStart w:id="13" w:name="_Toc29571"/>
      <w:r>
        <w:rPr>
          <w:rFonts w:hint="eastAsia" w:ascii="仿宋" w:hAnsi="仿宋" w:eastAsia="仿宋" w:cs="仿宋"/>
          <w:sz w:val="30"/>
          <w:szCs w:val="30"/>
        </w:rPr>
        <w:t>供应商须知前附表</w:t>
      </w:r>
      <w:bookmarkEnd w:id="11"/>
      <w:bookmarkEnd w:id="12"/>
      <w:bookmarkEnd w:id="13"/>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允许偏差的范围：不允许重大偏差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允许细微偏差：</w:t>
            </w:r>
            <w:r>
              <w:rPr>
                <w:rFonts w:hint="eastAsia" w:cs="仿宋" w:asciiTheme="minorEastAsia" w:hAnsiTheme="minorEastAsia" w:eastAsiaTheme="minorEastAsia"/>
                <w:sz w:val="24"/>
                <w:lang w:val="en-US" w:eastAsia="zh-CN"/>
              </w:rPr>
              <w:t xml:space="preserve"> 3项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szCs w:val="24"/>
              </w:rPr>
              <w:t>资料名称：</w:t>
            </w:r>
            <w:r>
              <w:rPr>
                <w:rFonts w:hint="eastAsia" w:cs="仿宋" w:asciiTheme="minorEastAsia" w:hAnsiTheme="minorEastAsia" w:eastAsiaTheme="minorEastAsia"/>
                <w:sz w:val="24"/>
                <w:szCs w:val="24"/>
                <w:lang w:eastAsia="zh-CN"/>
              </w:rPr>
              <w:t>采购文件的澄清、解释</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截止时间：</w:t>
            </w:r>
            <w:r>
              <w:rPr>
                <w:rFonts w:hint="eastAsia" w:cs="仿宋" w:asciiTheme="minorEastAsia" w:hAnsiTheme="minorEastAsia" w:eastAsiaTheme="minorEastAsia"/>
                <w:sz w:val="24"/>
                <w:highlight w:val="yellow"/>
                <w:lang w:val="en-US" w:eastAsia="zh-CN"/>
              </w:rPr>
              <w:t>2024</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6</w:t>
            </w:r>
            <w:r>
              <w:rPr>
                <w:rFonts w:hint="eastAsia" w:cs="仿宋" w:asciiTheme="minorEastAsia" w:hAnsiTheme="minorEastAsia" w:eastAsiaTheme="minorEastAsia"/>
                <w:sz w:val="24"/>
                <w:highlight w:val="yellow"/>
              </w:rPr>
              <w:t xml:space="preserve">月 </w:t>
            </w:r>
            <w:r>
              <w:rPr>
                <w:rFonts w:hint="eastAsia" w:cs="仿宋" w:asciiTheme="minorEastAsia" w:hAnsiTheme="minorEastAsia" w:eastAsiaTheme="minorEastAsia"/>
                <w:sz w:val="24"/>
                <w:highlight w:val="yellow"/>
                <w:lang w:val="en-US" w:eastAsia="zh-CN"/>
              </w:rPr>
              <w:t>25</w:t>
            </w:r>
            <w:r>
              <w:rPr>
                <w:rFonts w:hint="eastAsia" w:cs="仿宋" w:asciiTheme="minorEastAsia" w:hAnsiTheme="minorEastAsia" w:eastAsiaTheme="minorEastAsia"/>
                <w:sz w:val="24"/>
                <w:highlight w:val="yellow"/>
              </w:rPr>
              <w:t>日</w:t>
            </w:r>
            <w:r>
              <w:rPr>
                <w:rFonts w:hint="eastAsia" w:cs="仿宋" w:asciiTheme="minorEastAsia" w:hAnsiTheme="minorEastAsia" w:eastAsiaTheme="minorEastAsia"/>
                <w:sz w:val="24"/>
                <w:highlight w:val="yellow"/>
                <w:lang w:val="en-US" w:eastAsia="zh-CN"/>
              </w:rPr>
              <w:t>17</w:t>
            </w:r>
            <w:r>
              <w:rPr>
                <w:rFonts w:hint="eastAsia" w:cs="仿宋" w:asciiTheme="minorEastAsia" w:hAnsiTheme="minorEastAsia" w:eastAsiaTheme="minorEastAsia"/>
                <w:sz w:val="24"/>
                <w:highlight w:val="yellow"/>
              </w:rPr>
              <w:t>时</w:t>
            </w:r>
            <w:r>
              <w:rPr>
                <w:rFonts w:hint="eastAsia" w:cs="仿宋" w:asciiTheme="minorEastAsia" w:hAnsiTheme="minorEastAsia" w:eastAsiaTheme="minorEastAsia"/>
                <w:sz w:val="24"/>
                <w:highlight w:val="yellow"/>
                <w:lang w:val="en-US" w:eastAsia="zh-CN"/>
              </w:rPr>
              <w:t xml:space="preserve"> 00</w:t>
            </w:r>
            <w:r>
              <w:rPr>
                <w:rFonts w:hint="eastAsia" w:cs="仿宋" w:asciiTheme="minorEastAsia" w:hAnsiTheme="minorEastAsia" w:eastAsiaTheme="minorEastAsia"/>
                <w:sz w:val="24"/>
                <w:highlight w:val="yellow"/>
              </w:rPr>
              <w:t>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确认的最晚时间：收到补充文件24小时内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确定的方式：收到纸质版确认书为准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响应文件的澄清、解释</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w:t>
            </w:r>
            <w:r>
              <w:rPr>
                <w:rFonts w:hint="eastAsia" w:cs="仿宋" w:asciiTheme="minorEastAsia" w:hAnsiTheme="minorEastAsia" w:eastAsiaTheme="minorEastAsia"/>
                <w:sz w:val="24"/>
                <w:lang w:eastAsia="zh-CN"/>
              </w:rPr>
              <w:t>壹</w:t>
            </w:r>
            <w:r>
              <w:rPr>
                <w:rFonts w:hint="eastAsia" w:cs="仿宋" w:asciiTheme="minorEastAsia" w:hAnsiTheme="minorEastAsia" w:eastAsiaTheme="minorEastAsia"/>
                <w:sz w:val="24"/>
                <w:highlight w:val="none"/>
                <w:lang w:eastAsia="zh-CN"/>
              </w:rPr>
              <w:t>拾贰万</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120，0</w:t>
            </w:r>
            <w:r>
              <w:rPr>
                <w:rFonts w:hint="eastAsia" w:ascii="宋体" w:hAnsi="宋体"/>
                <w:sz w:val="24"/>
                <w:highlight w:val="none"/>
              </w:rPr>
              <w:t>00.00）含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rFonts w:hint="eastAsia" w:cs="仿宋" w:asciiTheme="minorEastAsia" w:hAnsiTheme="minorEastAsia" w:eastAsiaTheme="minorEastAsia"/>
                <w:sz w:val="24"/>
              </w:rPr>
              <w:t>☑</w:t>
            </w:r>
            <w:r>
              <w:rPr>
                <w:rFonts w:hint="eastAsia"/>
                <w:sz w:val="24"/>
              </w:rPr>
              <w:t>适用。在中华人民共和国合法注册、具有独立法人资格，具有有效的营业执照，符合本次招标采购项目的营业范围，有能力完成本次招标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6"/>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color w:val="auto"/>
                <w:sz w:val="24"/>
                <w:lang w:eastAsia="zh-CN"/>
              </w:rPr>
            </w:pPr>
            <w:r>
              <w:rPr>
                <w:rFonts w:hint="eastAsia" w:cs="仿宋" w:asciiTheme="minorEastAsia" w:hAnsiTheme="minorEastAsia" w:eastAsiaTheme="minorEastAsia"/>
                <w:color w:val="auto"/>
                <w:sz w:val="24"/>
              </w:rPr>
              <w:t>☑</w:t>
            </w:r>
            <w:r>
              <w:rPr>
                <w:rFonts w:hint="eastAsia" w:cs="宋体" w:asciiTheme="minorEastAsia" w:hAnsiTheme="minorEastAsia" w:eastAsiaTheme="minorEastAsia"/>
                <w:color w:val="auto"/>
                <w:sz w:val="24"/>
              </w:rPr>
              <w:t>适用。</w:t>
            </w:r>
          </w:p>
          <w:p>
            <w:pPr>
              <w:numPr>
                <w:ilvl w:val="0"/>
                <w:numId w:val="0"/>
              </w:numPr>
              <w:spacing w:line="288" w:lineRule="auto"/>
              <w:jc w:val="both"/>
              <w:rPr>
                <w:rFonts w:cs="宋体" w:asciiTheme="minorEastAsia" w:hAnsiTheme="minorEastAsia"/>
                <w:sz w:val="24"/>
              </w:rPr>
            </w:pPr>
            <w:r>
              <w:rPr>
                <w:rFonts w:hint="eastAsia" w:cs="宋体" w:asciiTheme="minorEastAsia" w:hAnsiTheme="minorEastAsia" w:eastAsiaTheme="minorEastAsia"/>
                <w:color w:val="000000"/>
                <w:sz w:val="24"/>
                <w:highlight w:val="none"/>
                <w:shd w:val="clear" w:color="auto" w:fill="auto"/>
              </w:rPr>
              <w:t>供应商应提供</w:t>
            </w:r>
            <w:r>
              <w:rPr>
                <w:rFonts w:hint="eastAsia" w:ascii="宋体" w:hAnsi="宋体" w:eastAsia="宋体" w:cs="宋体"/>
                <w:color w:val="auto"/>
                <w:sz w:val="24"/>
                <w:szCs w:val="24"/>
              </w:rPr>
              <w:t>有效的营业执照</w:t>
            </w:r>
            <w:r>
              <w:rPr>
                <w:rFonts w:hint="eastAsia" w:ascii="宋体" w:hAnsi="宋体" w:eastAsia="宋体" w:cs="宋体"/>
                <w:color w:val="auto"/>
                <w:sz w:val="24"/>
                <w:szCs w:val="24"/>
                <w:lang w:val="en-US" w:eastAsia="zh-CN"/>
              </w:rPr>
              <w:t>并含有</w:t>
            </w:r>
            <w:r>
              <w:rPr>
                <w:rFonts w:hint="eastAsia" w:ascii="宋体" w:hAnsi="宋体" w:cs="宋体"/>
                <w:color w:val="auto"/>
                <w:sz w:val="24"/>
                <w:szCs w:val="24"/>
                <w:lang w:val="en-US" w:eastAsia="zh-CN"/>
              </w:rPr>
              <w:t>土石方工程服务</w:t>
            </w:r>
            <w:r>
              <w:rPr>
                <w:rFonts w:hint="eastAsia" w:ascii="宋体" w:hAnsi="宋体" w:eastAsia="宋体" w:cs="宋体"/>
                <w:color w:val="auto"/>
                <w:sz w:val="24"/>
                <w:szCs w:val="24"/>
                <w:lang w:val="en-US" w:eastAsia="zh-CN"/>
              </w:rPr>
              <w:t>范围</w:t>
            </w:r>
            <w:r>
              <w:rPr>
                <w:rFonts w:hint="eastAsia" w:ascii="宋体" w:hAnsi="宋体" w:cs="宋体"/>
                <w:color w:val="auto"/>
                <w:sz w:val="24"/>
                <w:szCs w:val="24"/>
                <w:lang w:val="en-US" w:eastAsia="zh-CN"/>
              </w:rPr>
              <w:t>，</w:t>
            </w:r>
            <w:r>
              <w:rPr>
                <w:rFonts w:hint="eastAsia" w:cs="宋体" w:asciiTheme="minorEastAsia" w:hAnsiTheme="minorEastAsia" w:eastAsiaTheme="minorEastAsia"/>
                <w:color w:val="auto"/>
                <w:sz w:val="24"/>
                <w:lang w:eastAsia="zh-CN"/>
              </w:rPr>
              <w:t>提供以上资质文件</w:t>
            </w:r>
            <w:r>
              <w:rPr>
                <w:rFonts w:hint="eastAsia" w:cs="宋体" w:asciiTheme="minorEastAsia" w:hAnsiTheme="minorEastAsia" w:eastAsiaTheme="minorEastAsia"/>
                <w:color w:val="auto"/>
                <w:sz w:val="24"/>
              </w:rPr>
              <w:t>的复印件</w:t>
            </w:r>
            <w:r>
              <w:rPr>
                <w:rFonts w:hint="eastAsia" w:cs="宋体" w:asciiTheme="minorEastAsia" w:hAnsiTheme="minorEastAsia" w:eastAsiaTheme="minorEastAsia"/>
                <w:color w:val="auto"/>
                <w:sz w:val="24"/>
                <w:lang w:eastAsia="zh-CN"/>
              </w:rPr>
              <w:t>并盖章</w:t>
            </w:r>
            <w:r>
              <w:rPr>
                <w:rFonts w:hint="eastAsia" w:cs="宋体" w:asciiTheme="minorEastAsia" w:hAnsiTheme="minorEastAsia" w:eastAsiaTheme="minorEastAsia"/>
                <w:color w:val="auto"/>
                <w:sz w:val="24"/>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highlight w:val="none"/>
              </w:rPr>
              <w:t>☑适用。</w:t>
            </w:r>
            <w:r>
              <w:rPr>
                <w:rFonts w:hint="eastAsia" w:cs="宋体" w:asciiTheme="minorEastAsia" w:hAnsiTheme="minorEastAsia" w:eastAsiaTheme="minorEastAsia"/>
                <w:color w:val="000000"/>
                <w:sz w:val="24"/>
                <w:highlight w:val="none"/>
                <w:shd w:val="clear" w:color="auto" w:fill="auto"/>
              </w:rPr>
              <w:t>供应商应提供</w:t>
            </w:r>
            <w:r>
              <w:rPr>
                <w:rFonts w:hint="eastAsia" w:cs="宋体" w:asciiTheme="minorEastAsia" w:hAnsiTheme="minorEastAsia" w:eastAsiaTheme="minorEastAsia"/>
                <w:color w:val="000000"/>
                <w:sz w:val="24"/>
                <w:highlight w:val="none"/>
                <w:u w:val="single"/>
                <w:shd w:val="clear" w:color="auto" w:fill="auto"/>
                <w:lang w:val="en-US" w:eastAsia="zh-CN"/>
              </w:rPr>
              <w:t>2021</w:t>
            </w:r>
            <w:r>
              <w:rPr>
                <w:rFonts w:hint="eastAsia" w:cs="宋体" w:asciiTheme="minorEastAsia" w:hAnsiTheme="minorEastAsia" w:eastAsiaTheme="minorEastAsia"/>
                <w:color w:val="000000"/>
                <w:sz w:val="24"/>
                <w:highlight w:val="none"/>
                <w:shd w:val="clear" w:color="auto" w:fill="auto"/>
                <w:lang w:val="en-US" w:eastAsia="zh-CN"/>
              </w:rPr>
              <w:t>年</w:t>
            </w:r>
            <w:r>
              <w:rPr>
                <w:rFonts w:hint="eastAsia" w:cs="宋体" w:asciiTheme="minorEastAsia" w:hAnsiTheme="minorEastAsia" w:eastAsiaTheme="minorEastAsia"/>
                <w:color w:val="000000"/>
                <w:sz w:val="24"/>
                <w:highlight w:val="none"/>
                <w:u w:val="single"/>
                <w:shd w:val="clear" w:color="auto" w:fill="auto"/>
                <w:lang w:val="en-US" w:eastAsia="zh-CN"/>
              </w:rPr>
              <w:t xml:space="preserve"> 6</w:t>
            </w:r>
            <w:r>
              <w:rPr>
                <w:rFonts w:hint="eastAsia" w:cs="宋体" w:asciiTheme="minorEastAsia" w:hAnsiTheme="minorEastAsia" w:eastAsiaTheme="minorEastAsia"/>
                <w:color w:val="000000"/>
                <w:sz w:val="24"/>
                <w:highlight w:val="none"/>
                <w:shd w:val="clear" w:color="auto" w:fill="auto"/>
                <w:lang w:val="en-US" w:eastAsia="zh-CN"/>
              </w:rPr>
              <w:t>月至</w:t>
            </w:r>
            <w:r>
              <w:rPr>
                <w:rFonts w:hint="eastAsia" w:cs="宋体" w:asciiTheme="minorEastAsia" w:hAnsiTheme="minorEastAsia" w:eastAsiaTheme="minorEastAsia"/>
                <w:color w:val="000000"/>
                <w:sz w:val="24"/>
                <w:highlight w:val="none"/>
                <w:u w:val="single"/>
                <w:shd w:val="clear" w:color="auto" w:fill="auto"/>
                <w:lang w:val="en-US" w:eastAsia="zh-CN"/>
              </w:rPr>
              <w:t>2024</w:t>
            </w:r>
            <w:r>
              <w:rPr>
                <w:rFonts w:hint="eastAsia" w:cs="宋体" w:asciiTheme="minorEastAsia" w:hAnsiTheme="minorEastAsia" w:eastAsiaTheme="minorEastAsia"/>
                <w:color w:val="000000"/>
                <w:sz w:val="24"/>
                <w:highlight w:val="none"/>
                <w:shd w:val="clear" w:color="auto" w:fill="auto"/>
                <w:lang w:val="en-US" w:eastAsia="zh-CN"/>
              </w:rPr>
              <w:t>年</w:t>
            </w:r>
            <w:r>
              <w:rPr>
                <w:rFonts w:hint="eastAsia" w:cs="宋体" w:asciiTheme="minorEastAsia" w:hAnsiTheme="minorEastAsia" w:eastAsiaTheme="minorEastAsia"/>
                <w:color w:val="000000"/>
                <w:sz w:val="24"/>
                <w:highlight w:val="none"/>
                <w:u w:val="single"/>
                <w:shd w:val="clear" w:color="auto" w:fill="auto"/>
                <w:lang w:val="en-US" w:eastAsia="zh-CN"/>
              </w:rPr>
              <w:t>6</w:t>
            </w:r>
            <w:r>
              <w:rPr>
                <w:rFonts w:hint="eastAsia" w:cs="宋体" w:asciiTheme="minorEastAsia" w:hAnsiTheme="minorEastAsia" w:eastAsiaTheme="minorEastAsia"/>
                <w:color w:val="000000"/>
                <w:sz w:val="24"/>
                <w:highlight w:val="none"/>
                <w:shd w:val="clear" w:color="auto" w:fill="auto"/>
                <w:lang w:val="en-US" w:eastAsia="zh-CN"/>
              </w:rPr>
              <w:t>月期间单个合同金额9万元以上的</w:t>
            </w:r>
            <w:r>
              <w:rPr>
                <w:rFonts w:hint="eastAsia" w:ascii="宋体" w:hAnsi="宋体" w:cs="宋体"/>
                <w:color w:val="auto"/>
                <w:sz w:val="24"/>
                <w:szCs w:val="24"/>
                <w:lang w:val="en-US" w:eastAsia="zh-CN"/>
              </w:rPr>
              <w:t>土石方</w:t>
            </w:r>
            <w:r>
              <w:rPr>
                <w:rFonts w:hint="eastAsia" w:cs="宋体" w:asciiTheme="minorEastAsia" w:hAnsiTheme="minorEastAsia" w:eastAsiaTheme="minorEastAsia"/>
                <w:color w:val="000000"/>
                <w:sz w:val="24"/>
                <w:highlight w:val="none"/>
                <w:shd w:val="clear" w:color="auto" w:fill="auto"/>
                <w:lang w:val="en-US" w:eastAsia="zh-CN"/>
              </w:rPr>
              <w:t>项目并加盖公章，</w:t>
            </w:r>
            <w:r>
              <w:rPr>
                <w:rFonts w:hint="eastAsia" w:cs="宋体" w:asciiTheme="minorEastAsia" w:hAnsiTheme="minorEastAsia" w:eastAsiaTheme="minorEastAsia"/>
                <w:color w:val="000000"/>
                <w:sz w:val="24"/>
                <w:highlight w:val="none"/>
                <w:shd w:val="clear" w:color="auto" w:fill="auto"/>
              </w:rPr>
              <w:t>以证明供应商具有承担本项目要求的业绩。</w:t>
            </w: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8"/>
              <w:spacing w:after="0" w:line="312" w:lineRule="auto"/>
              <w:ind w:left="0" w:leftChars="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☑适用。供应商应提供相关信誉情况的证明材料，  包括：</w:t>
            </w:r>
          </w:p>
          <w:p>
            <w:pPr>
              <w:pStyle w:val="18"/>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2．被最高人民法院在“信用中国”网站（www.creditchina.gov.cn）中未列入失信被执行人名单的网页截图或报告，加盖公章。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cs="宋体" w:asciiTheme="minorEastAsia" w:hAnsiTheme="minorEastAsia" w:eastAsiaTheme="minorEastAsia"/>
                <w:color w:val="000000"/>
                <w:sz w:val="24"/>
                <w:highlight w:val="none"/>
                <w:shd w:val="clear" w:color="auto" w:fill="auto"/>
              </w:rPr>
              <w:t>供应商应提供拟委任的主要人员汇总表和主要人员简历表（格式见第六章“响应文件格式”七、资格审查资料（四）拟委任的主要人员汇总表和（五）主要人员简历表）</w:t>
            </w:r>
            <w:r>
              <w:rPr>
                <w:rFonts w:hint="eastAsia" w:cs="宋体" w:asciiTheme="minorEastAsia" w:hAnsiTheme="minorEastAsia" w:eastAsiaTheme="minorEastAsia"/>
                <w:color w:val="000000"/>
                <w:sz w:val="24"/>
                <w:highlight w:val="none"/>
                <w:shd w:val="clear" w:color="auto" w:fill="auto"/>
                <w:lang w:eastAsia="zh-CN"/>
              </w:rPr>
              <w:t>，</w:t>
            </w:r>
            <w:r>
              <w:rPr>
                <w:rFonts w:hint="eastAsia" w:cs="宋体" w:asciiTheme="minorEastAsia" w:hAnsiTheme="minorEastAsia" w:eastAsiaTheme="minorEastAsia"/>
                <w:color w:val="000000"/>
                <w:sz w:val="24"/>
                <w:highlight w:val="none"/>
                <w:shd w:val="clear" w:color="auto" w:fill="auto"/>
              </w:rPr>
              <w:t>项目负责人</w:t>
            </w:r>
            <w:r>
              <w:rPr>
                <w:rFonts w:hint="eastAsia" w:cs="宋体" w:asciiTheme="minorEastAsia" w:hAnsiTheme="minorEastAsia" w:eastAsiaTheme="minorEastAsia"/>
                <w:color w:val="000000"/>
                <w:sz w:val="24"/>
                <w:highlight w:val="none"/>
                <w:shd w:val="clear" w:color="auto" w:fill="auto"/>
                <w:lang w:val="en-US" w:eastAsia="zh-CN"/>
              </w:rPr>
              <w:t>1人</w:t>
            </w:r>
            <w:r>
              <w:rPr>
                <w:rFonts w:hint="eastAsia" w:cs="宋体" w:asciiTheme="minorEastAsia" w:hAnsiTheme="minorEastAsia" w:eastAsiaTheme="minorEastAsia"/>
                <w:color w:val="000000"/>
                <w:sz w:val="24"/>
                <w:highlight w:val="none"/>
                <w:shd w:val="clear" w:color="auto" w:fill="auto"/>
                <w:lang w:eastAsia="zh-CN"/>
              </w:rPr>
              <w:t>需提供土建施工员资质，施工人员</w:t>
            </w:r>
            <w:r>
              <w:rPr>
                <w:rFonts w:hint="eastAsia" w:cs="宋体" w:asciiTheme="minorEastAsia" w:hAnsiTheme="minorEastAsia" w:eastAsiaTheme="minorEastAsia"/>
                <w:color w:val="000000"/>
                <w:sz w:val="24"/>
                <w:highlight w:val="none"/>
                <w:shd w:val="clear" w:color="auto" w:fill="auto"/>
                <w:lang w:val="en-US" w:eastAsia="zh-CN"/>
              </w:rPr>
              <w:t>2人，</w:t>
            </w:r>
            <w:r>
              <w:rPr>
                <w:rFonts w:hint="eastAsia" w:cs="宋体" w:asciiTheme="minorEastAsia" w:hAnsiTheme="minorEastAsia" w:eastAsiaTheme="minorEastAsia"/>
                <w:color w:val="000000"/>
                <w:sz w:val="24"/>
                <w:highlight w:val="none"/>
                <w:u w:val="none"/>
                <w:shd w:val="clear" w:color="auto" w:fill="auto"/>
                <w:lang w:eastAsia="zh-CN"/>
              </w:rPr>
              <w:t>并需提供三个月（</w:t>
            </w:r>
            <w:r>
              <w:rPr>
                <w:rFonts w:hint="eastAsia" w:cs="宋体" w:asciiTheme="minorEastAsia" w:hAnsiTheme="minorEastAsia" w:eastAsiaTheme="minorEastAsia"/>
                <w:color w:val="000000"/>
                <w:sz w:val="24"/>
                <w:highlight w:val="none"/>
                <w:u w:val="none"/>
                <w:shd w:val="clear" w:color="auto" w:fill="auto"/>
                <w:lang w:val="en-US" w:eastAsia="zh-CN"/>
              </w:rPr>
              <w:t>2024年4月-6月</w:t>
            </w:r>
            <w:r>
              <w:rPr>
                <w:rFonts w:hint="eastAsia" w:cs="宋体" w:asciiTheme="minorEastAsia" w:hAnsiTheme="minorEastAsia" w:eastAsiaTheme="minorEastAsia"/>
                <w:color w:val="000000"/>
                <w:sz w:val="24"/>
                <w:highlight w:val="none"/>
                <w:u w:val="none"/>
                <w:shd w:val="clear" w:color="auto" w:fill="auto"/>
                <w:lang w:eastAsia="zh-CN"/>
              </w:rPr>
              <w:t>）意外伤害保险缴纳明细清单。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提供纸质版响应文件三份：一正两副</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 xml:space="preserve">胶装         </w:t>
            </w:r>
          </w:p>
          <w:p>
            <w:pPr>
              <w:spacing w:line="288"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不要求提供电子版。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适用，供应商名称</w:t>
            </w:r>
            <w:r>
              <w:rPr>
                <w:rFonts w:hint="eastAsia" w:cs="宋体" w:asciiTheme="minorEastAsia" w:hAnsiTheme="minorEastAsia" w:eastAsiaTheme="minorEastAsia"/>
                <w:sz w:val="24"/>
                <w:lang w:eastAsia="zh-CN"/>
              </w:rPr>
              <w:t>：（盖章）</w:t>
            </w:r>
            <w:r>
              <w:rPr>
                <w:rFonts w:hint="eastAsia" w:cs="Times New Roman"/>
                <w:kern w:val="2"/>
                <w:sz w:val="24"/>
                <w:szCs w:val="24"/>
              </w:rPr>
              <w:t>岳阳城陵矶新港有限公司7#堆场破损通道地面维修</w:t>
            </w:r>
            <w:r>
              <w:rPr>
                <w:rFonts w:hint="eastAsia" w:cs="宋体" w:asciiTheme="minorEastAsia" w:hAnsiTheme="minorEastAsia" w:eastAsiaTheme="minorEastAsia"/>
                <w:sz w:val="24"/>
                <w:u w:val="none"/>
                <w:lang w:val="en-US" w:eastAsia="zh-CN"/>
              </w:rPr>
              <w:t>项目</w:t>
            </w:r>
            <w:r>
              <w:rPr>
                <w:rFonts w:hint="eastAsia" w:cs="宋体" w:asciiTheme="minorEastAsia" w:hAnsiTheme="minorEastAsia" w:eastAsiaTheme="minorEastAsia"/>
                <w:sz w:val="24"/>
              </w:rPr>
              <w:t xml:space="preserve">响应文件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highlight w:val="none"/>
              </w:rPr>
              <w:t>截止时间：</w:t>
            </w:r>
            <w:r>
              <w:rPr>
                <w:rFonts w:hint="eastAsia" w:cs="宋体" w:asciiTheme="minorEastAsia" w:hAnsiTheme="minorEastAsia" w:eastAsiaTheme="minorEastAsia"/>
                <w:sz w:val="24"/>
                <w:highlight w:val="yellow"/>
                <w:lang w:val="en-US" w:eastAsia="zh-CN"/>
              </w:rPr>
              <w:t>2024</w:t>
            </w:r>
            <w:r>
              <w:rPr>
                <w:rFonts w:hint="eastAsia" w:cs="宋体" w:asciiTheme="minorEastAsia" w:hAnsiTheme="minorEastAsia" w:eastAsiaTheme="minorEastAsia"/>
                <w:sz w:val="24"/>
                <w:highlight w:val="yellow"/>
              </w:rPr>
              <w:t>年</w:t>
            </w:r>
            <w:r>
              <w:rPr>
                <w:rFonts w:hint="eastAsia" w:cs="宋体" w:asciiTheme="minorEastAsia" w:hAnsiTheme="minorEastAsia" w:eastAsiaTheme="minorEastAsia"/>
                <w:sz w:val="24"/>
                <w:highlight w:val="yellow"/>
                <w:lang w:val="en-US" w:eastAsia="zh-CN"/>
              </w:rPr>
              <w:t>6</w:t>
            </w:r>
            <w:r>
              <w:rPr>
                <w:rFonts w:hint="eastAsia" w:cs="宋体" w:asciiTheme="minorEastAsia" w:hAnsiTheme="minorEastAsia" w:eastAsiaTheme="minorEastAsia"/>
                <w:sz w:val="24"/>
                <w:highlight w:val="yellow"/>
              </w:rPr>
              <w:t>月</w:t>
            </w:r>
            <w:r>
              <w:rPr>
                <w:rFonts w:hint="eastAsia" w:cs="宋体" w:asciiTheme="minorEastAsia" w:hAnsiTheme="minorEastAsia" w:eastAsiaTheme="minorEastAsia"/>
                <w:sz w:val="24"/>
                <w:highlight w:val="yellow"/>
                <w:lang w:val="en-US" w:eastAsia="zh-CN"/>
              </w:rPr>
              <w:t>27</w:t>
            </w:r>
            <w:r>
              <w:rPr>
                <w:rFonts w:hint="eastAsia" w:cs="宋体" w:asciiTheme="minorEastAsia" w:hAnsiTheme="minorEastAsia" w:eastAsiaTheme="minorEastAsia"/>
                <w:sz w:val="24"/>
                <w:highlight w:val="yellow"/>
              </w:rPr>
              <w:t>日</w:t>
            </w:r>
            <w:r>
              <w:rPr>
                <w:rFonts w:hint="eastAsia" w:cs="宋体" w:asciiTheme="minorEastAsia" w:hAnsiTheme="minorEastAsia" w:eastAsiaTheme="minorEastAsia"/>
                <w:sz w:val="24"/>
                <w:highlight w:val="yellow"/>
                <w:lang w:val="en-US" w:eastAsia="zh-CN"/>
              </w:rPr>
              <w:t>8</w:t>
            </w:r>
            <w:r>
              <w:rPr>
                <w:rFonts w:hint="eastAsia" w:cs="宋体" w:asciiTheme="minorEastAsia" w:hAnsiTheme="minorEastAsia" w:eastAsiaTheme="minorEastAsia"/>
                <w:sz w:val="24"/>
                <w:highlight w:val="yellow"/>
              </w:rPr>
              <w:t xml:space="preserve"> 时</w:t>
            </w:r>
            <w:r>
              <w:rPr>
                <w:rFonts w:hint="eastAsia" w:cs="宋体" w:asciiTheme="minorEastAsia" w:hAnsiTheme="minorEastAsia" w:eastAsiaTheme="minorEastAsia"/>
                <w:sz w:val="24"/>
                <w:highlight w:val="yellow"/>
                <w:lang w:val="en-US" w:eastAsia="zh-CN"/>
              </w:rPr>
              <w:t>00</w:t>
            </w:r>
            <w:bookmarkStart w:id="412" w:name="_GoBack"/>
            <w:bookmarkEnd w:id="412"/>
            <w:r>
              <w:rPr>
                <w:rFonts w:hint="eastAsia" w:cs="宋体" w:asciiTheme="minorEastAsia" w:hAnsiTheme="minorEastAsia" w:eastAsiaTheme="minorEastAsia"/>
                <w:sz w:val="24"/>
                <w:highlight w:val="yellow"/>
              </w:rPr>
              <w:t xml:space="preserve"> 分                  </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递交响应文件的地点：</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cs="宋体"/>
                <w:color w:val="000000"/>
                <w:sz w:val="24"/>
                <w:highlight w:val="none"/>
                <w:u w:val="none"/>
                <w:lang w:val="en-US" w:eastAsia="zh-CN"/>
              </w:rPr>
              <w:t>307</w:t>
            </w:r>
            <w:r>
              <w:rPr>
                <w:rFonts w:hint="eastAsia" w:ascii="宋体" w:hAnsi="宋体"/>
                <w:sz w:val="24"/>
                <w:highlight w:val="none"/>
                <w:lang w:val="en-US" w:eastAsia="zh-CN"/>
              </w:rPr>
              <w:t>办公室</w:t>
            </w:r>
            <w:r>
              <w:rPr>
                <w:rFonts w:hint="eastAsia" w:cs="宋体" w:asciiTheme="minorEastAsia" w:hAnsiTheme="minorEastAsia" w:eastAsiaTheme="minorEastAsia"/>
                <w:sz w:val="24"/>
                <w:highlight w:val="none"/>
              </w:rPr>
              <w:t xml:space="preserve"> </w:t>
            </w:r>
            <w:r>
              <w:rPr>
                <w:rFonts w:hint="eastAsia" w:ascii="宋体" w:hAnsi="宋体"/>
                <w:sz w:val="24"/>
                <w:highlight w:val="none"/>
                <w:lang w:eastAsia="zh-CN"/>
              </w:rPr>
              <w:t>。</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湖南省</w:t>
            </w:r>
            <w:r>
              <w:rPr>
                <w:rFonts w:hint="eastAsia" w:cs="宋体" w:asciiTheme="minorEastAsia" w:hAnsiTheme="minorEastAsia" w:eastAsiaTheme="minorEastAsia"/>
                <w:sz w:val="24"/>
                <w:lang w:eastAsia="zh-CN"/>
              </w:rPr>
              <w:t>城陵矶港口</w:t>
            </w:r>
            <w:r>
              <w:rPr>
                <w:rFonts w:hint="eastAsia" w:cs="宋体" w:asciiTheme="minorEastAsia" w:hAnsiTheme="minorEastAsia" w:eastAsiaTheme="minorEastAsia"/>
                <w:sz w:val="24"/>
              </w:rPr>
              <w:t>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评标（谈判）小组构成：3人。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评审（谈判）专家确定方式：采购代表1人，在湖南省</w:t>
            </w:r>
            <w:r>
              <w:rPr>
                <w:rFonts w:hint="eastAsia" w:cs="宋体" w:asciiTheme="minorEastAsia" w:hAnsiTheme="minorEastAsia" w:eastAsiaTheme="minorEastAsia"/>
                <w:sz w:val="24"/>
                <w:lang w:eastAsia="zh-CN"/>
              </w:rPr>
              <w:t>港航水利</w:t>
            </w:r>
            <w:r>
              <w:rPr>
                <w:rFonts w:hint="eastAsia" w:cs="宋体" w:asciiTheme="minorEastAsia" w:hAnsiTheme="minorEastAsia" w:eastAsiaTheme="minorEastAsia"/>
                <w:sz w:val="24"/>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w:t>
            </w:r>
            <w:r>
              <w:rPr>
                <w:rFonts w:hint="eastAsia" w:ascii="宋体" w:hAnsi="宋体" w:cs="宋体"/>
                <w:sz w:val="24"/>
                <w:lang w:eastAsia="zh-CN"/>
              </w:rPr>
              <w:t>港航水利</w:t>
            </w:r>
            <w:r>
              <w:rPr>
                <w:rFonts w:hint="eastAsia" w:ascii="宋体" w:hAnsi="宋体" w:cs="宋体"/>
                <w:sz w:val="24"/>
              </w:rPr>
              <w:t>集团有限公司网站（http://www.hnsghsljt.com/）、                                   湖南省</w:t>
            </w:r>
            <w:r>
              <w:rPr>
                <w:rFonts w:hint="eastAsia" w:ascii="宋体" w:hAnsi="宋体" w:cs="宋体"/>
                <w:sz w:val="24"/>
                <w:lang w:eastAsia="zh-CN"/>
              </w:rPr>
              <w:t>城陵矶港口</w:t>
            </w:r>
            <w:r>
              <w:rPr>
                <w:rFonts w:hint="eastAsia" w:ascii="宋体" w:hAnsi="宋体" w:cs="宋体"/>
                <w:sz w:val="24"/>
              </w:rPr>
              <w:t>集团有限公司（http://www.hnsgwjt.com）上发布。</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eastAsia="zh-CN"/>
              </w:rPr>
              <w:t>岳阳城陵矶新港有限公司综合管理部</w:t>
            </w:r>
            <w:r>
              <w:rPr>
                <w:rFonts w:hint="eastAsia" w:cs="宋体" w:asciiTheme="minorEastAsia" w:hAnsiTheme="minorEastAsia" w:eastAsiaTheme="minorEastAsia"/>
                <w:sz w:val="24"/>
              </w:rPr>
              <w:t xml:space="preserve">               </w:t>
            </w:r>
          </w:p>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通信地址：</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eastAsia="宋体" w:cs="宋体"/>
                <w:color w:val="000000"/>
                <w:sz w:val="24"/>
                <w:highlight w:val="none"/>
                <w:u w:val="none"/>
              </w:rPr>
              <w:t xml:space="preserve"> </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w:t>
            </w:r>
            <w:r>
              <w:rPr>
                <w:rFonts w:hint="eastAsia" w:cs="宋体" w:asciiTheme="minorEastAsia" w:hAnsiTheme="minorEastAsia" w:eastAsiaTheme="minorEastAsia"/>
                <w:sz w:val="24"/>
                <w:lang w:eastAsia="zh-CN"/>
              </w:rPr>
              <w:t>无</w:t>
            </w:r>
            <w:r>
              <w:rPr>
                <w:rFonts w:hint="eastAsia" w:cs="宋体" w:asciiTheme="minorEastAsia" w:hAnsiTheme="minorEastAsia" w:eastAsiaTheme="minorEastAsia"/>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4" w:name="_Toc590"/>
      <w:r>
        <w:rPr>
          <w:rFonts w:hint="eastAsia" w:ascii="华文中宋" w:hAnsi="华文中宋" w:eastAsia="华文中宋" w:cs="仿宋"/>
          <w:b/>
          <w:bCs/>
          <w:sz w:val="30"/>
          <w:szCs w:val="30"/>
        </w:rPr>
        <w:t>第二章 供应商须知正文</w:t>
      </w:r>
      <w:bookmarkEnd w:id="14"/>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ind w:firstLine="480" w:firstLineChars="200"/>
        <w:jc w:val="both"/>
        <w:rPr>
          <w:rFonts w:ascii="宋体" w:hAnsi="宋体"/>
          <w:color w:val="000000" w:themeColor="text1"/>
          <w:sz w:val="24"/>
          <w:shd w:val="clear" w:color="FFFFFF" w:fill="D9D9D9"/>
          <w14:textFill>
            <w14:solidFill>
              <w14:schemeClr w14:val="tx1"/>
            </w14:solidFill>
          </w14:textFill>
        </w:rPr>
      </w:pPr>
      <w:r>
        <w:rPr>
          <w:rFonts w:hint="eastAsia" w:ascii="宋体" w:hAnsi="宋体"/>
          <w:color w:val="000000" w:themeColor="text1"/>
          <w:sz w:val="24"/>
          <w14:textFill>
            <w14:solidFill>
              <w14:schemeClr w14:val="tx1"/>
            </w14:solidFill>
          </w14:textFill>
        </w:rPr>
        <w:t>本次评标采用</w:t>
      </w:r>
      <w:r>
        <w:rPr>
          <w:rFonts w:hint="eastAsia" w:ascii="宋体" w:hAnsi="宋体"/>
          <w:color w:val="000000" w:themeColor="text1"/>
          <w:sz w:val="24"/>
          <w:lang w:eastAsia="zh-CN"/>
          <w14:textFill>
            <w14:solidFill>
              <w14:schemeClr w14:val="tx1"/>
            </w14:solidFill>
          </w14:textFill>
        </w:rPr>
        <w:t>最低价</w:t>
      </w:r>
      <w:r>
        <w:rPr>
          <w:rFonts w:hint="eastAsia" w:ascii="宋体" w:hAnsi="宋体"/>
          <w:color w:val="000000" w:themeColor="text1"/>
          <w:sz w:val="24"/>
          <w:lang w:val="en-US" w:eastAsia="zh-CN"/>
          <w14:textFill>
            <w14:solidFill>
              <w14:schemeClr w14:val="tx1"/>
            </w14:solidFill>
          </w14:textFill>
        </w:rPr>
        <w:t>法</w:t>
      </w:r>
      <w:r>
        <w:rPr>
          <w:rFonts w:hint="eastAsia" w:ascii="宋体" w:hAnsi="宋体"/>
          <w:color w:val="000000" w:themeColor="text1"/>
          <w:sz w:val="24"/>
          <w:shd w:val="clear" w:color="auto" w:fill="auto"/>
          <w14:textFill>
            <w14:solidFill>
              <w14:schemeClr w14:val="tx1"/>
            </w14:solidFill>
          </w14:textFill>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5" w:name="_Toc24135"/>
      <w:r>
        <w:rPr>
          <w:rFonts w:hint="eastAsia" w:ascii="宋体" w:hAnsi="宋体" w:cs="宋体"/>
          <w:b/>
          <w:bCs/>
          <w:sz w:val="24"/>
        </w:rPr>
        <w:t>7.3成交结果异议</w:t>
      </w:r>
      <w:bookmarkEnd w:id="15"/>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6" w:name="_Toc23541"/>
      <w:bookmarkStart w:id="17" w:name="_Toc76635709"/>
      <w:bookmarkStart w:id="18" w:name="_Toc77254130"/>
      <w:r>
        <w:rPr>
          <w:rFonts w:hint="eastAsia" w:ascii="黑体" w:hAnsi="黑体" w:eastAsia="黑体" w:cs="仿宋"/>
          <w:bCs/>
          <w:sz w:val="36"/>
          <w:szCs w:val="36"/>
        </w:rPr>
        <w:t>第三章 评审办法</w:t>
      </w:r>
      <w:bookmarkEnd w:id="16"/>
    </w:p>
    <w:p>
      <w:pPr>
        <w:adjustRightInd w:val="0"/>
        <w:snapToGrid w:val="0"/>
        <w:spacing w:before="120" w:beforeLines="50" w:after="120" w:afterLines="50" w:line="240" w:lineRule="auto"/>
        <w:jc w:val="center"/>
      </w:pPr>
      <w:r>
        <w:rPr>
          <w:rFonts w:hint="eastAsia" w:ascii="黑体" w:hAnsi="黑体" w:eastAsia="黑体" w:cs="仿宋"/>
          <w:bCs/>
          <w:sz w:val="32"/>
          <w:szCs w:val="32"/>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74"/>
        <w:gridCol w:w="583"/>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39"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974"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val="0"/>
              <w:adjustRightInd w:val="0"/>
              <w:spacing w:line="360" w:lineRule="auto"/>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jc w:val="both"/>
              <w:textAlignment w:val="center"/>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人员要求</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3130" w:type="dxa"/>
            <w:gridSpan w:val="3"/>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5"/>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3"/>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3"/>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cs="仿宋" w:asciiTheme="minorEastAsia" w:hAnsiTheme="minorEastAsia" w:eastAsiaTheme="minorEastAsia"/>
                <w:szCs w:val="21"/>
              </w:rPr>
            </w:pPr>
            <w:r>
              <w:rPr>
                <w:rFonts w:hint="eastAsia" w:asciiTheme="minorEastAsia" w:hAnsiTheme="minorEastAsia" w:eastAsiaTheme="minorEastAsia"/>
                <w:szCs w:val="21"/>
              </w:rPr>
              <w:t>报价</w:t>
            </w:r>
          </w:p>
        </w:tc>
        <w:tc>
          <w:tcPr>
            <w:tcW w:w="5676" w:type="dxa"/>
            <w:vAlign w:val="top"/>
          </w:tcPr>
          <w:p>
            <w:pPr>
              <w:widowControl w:val="0"/>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w:t>
            </w:r>
            <w:r>
              <w:rPr>
                <w:rFonts w:hint="eastAsia" w:cs="仿宋" w:asciiTheme="minorEastAsia" w:hAnsiTheme="minorEastAsia" w:eastAsiaTheme="minorEastAsia"/>
                <w:szCs w:val="21"/>
                <w:lang w:eastAsia="zh-CN"/>
              </w:rPr>
              <w:t>投标价</w:t>
            </w:r>
            <w:r>
              <w:rPr>
                <w:rFonts w:hint="eastAsia" w:cs="仿宋" w:asciiTheme="minorEastAsia" w:hAnsiTheme="minorEastAsia" w:eastAsiaTheme="minorEastAsia"/>
                <w:szCs w:val="21"/>
                <w:lang w:val="en-US" w:eastAsia="zh-CN"/>
              </w:rPr>
              <w:t>由高到低</w:t>
            </w:r>
            <w:r>
              <w:rPr>
                <w:rFonts w:hint="eastAsia" w:cs="仿宋" w:asciiTheme="minorEastAsia" w:hAnsiTheme="minorEastAsia" w:eastAsiaTheme="minorEastAsia"/>
                <w:szCs w:val="21"/>
              </w:rPr>
              <w:t>顺序推荐成交候选供应商。</w:t>
            </w:r>
          </w:p>
        </w:tc>
      </w:tr>
    </w:tbl>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both"/>
        <w:rPr>
          <w:rFonts w:hint="eastAsia" w:ascii="宋体" w:hAnsi="宋体" w:cs="仿宋"/>
          <w:b/>
          <w:bCs/>
          <w:sz w:val="36"/>
          <w:szCs w:val="36"/>
        </w:rPr>
      </w:pP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pStyle w:val="81"/>
        <w:spacing w:line="600" w:lineRule="exact"/>
        <w:ind w:left="420" w:firstLine="0" w:firstLineChars="0"/>
        <w:jc w:val="both"/>
        <w:rPr>
          <w:rFonts w:ascii="黑体" w:hAnsi="黑体" w:eastAsia="黑体" w:cs="仿宋"/>
          <w:b/>
          <w:color w:val="000000"/>
          <w:sz w:val="36"/>
          <w:szCs w:val="36"/>
          <w:shd w:val="clear" w:color="auto" w:fill="auto"/>
        </w:rPr>
      </w:pPr>
      <w:r>
        <w:rPr>
          <w:rFonts w:hint="eastAsia" w:ascii="黑体" w:hAnsi="黑体" w:eastAsia="黑体" w:cs="仿宋"/>
          <w:b/>
          <w:color w:val="000000"/>
          <w:sz w:val="36"/>
          <w:szCs w:val="36"/>
        </w:rPr>
        <w:br w:type="page"/>
      </w:r>
      <w:bookmarkEnd w:id="17"/>
      <w:bookmarkEnd w:id="18"/>
      <w:bookmarkStart w:id="19" w:name="_Toc15767"/>
      <w:r>
        <w:rPr>
          <w:rFonts w:hint="eastAsia" w:ascii="黑体" w:hAnsi="黑体" w:eastAsia="黑体" w:cs="仿宋"/>
          <w:b/>
          <w:color w:val="000000"/>
          <w:sz w:val="36"/>
          <w:szCs w:val="36"/>
          <w:lang w:val="en-US" w:eastAsia="zh-CN"/>
        </w:rPr>
        <w:t xml:space="preserve">             </w:t>
      </w:r>
      <w:bookmarkEnd w:id="19"/>
      <w:r>
        <w:rPr>
          <w:rFonts w:hint="eastAsia" w:ascii="黑体" w:hAnsi="黑体" w:eastAsia="黑体" w:cs="仿宋"/>
          <w:b/>
          <w:color w:val="000000"/>
          <w:sz w:val="36"/>
          <w:szCs w:val="36"/>
          <w:shd w:val="clear" w:color="auto" w:fill="auto"/>
        </w:rPr>
        <w:t>第四章  合同条款及格式</w:t>
      </w:r>
    </w:p>
    <w:p>
      <w:pPr>
        <w:spacing w:line="312" w:lineRule="auto"/>
        <w:ind w:firstLine="544" w:firstLineChars="227"/>
        <w:jc w:val="both"/>
        <w:rPr>
          <w:rFonts w:cs="仿宋" w:asciiTheme="minorEastAsia" w:hAnsiTheme="minorEastAsia" w:eastAsiaTheme="minorEastAsia"/>
          <w:color w:val="auto"/>
          <w:sz w:val="24"/>
          <w:shd w:val="clear" w:color="auto" w:fill="auto"/>
        </w:rPr>
      </w:pPr>
    </w:p>
    <w:p>
      <w:pPr>
        <w:adjustRightInd w:val="0"/>
        <w:snapToGrid w:val="0"/>
        <w:spacing w:line="312" w:lineRule="auto"/>
        <w:jc w:val="center"/>
        <w:outlineLvl w:val="1"/>
        <w:rPr>
          <w:rFonts w:ascii="宋体" w:hAnsi="宋体"/>
          <w:b/>
          <w:color w:val="000000"/>
          <w:sz w:val="24"/>
          <w:highlight w:val="none"/>
          <w:shd w:val="clear" w:color="auto" w:fill="auto"/>
        </w:rPr>
      </w:pPr>
      <w:r>
        <w:rPr>
          <w:rFonts w:ascii="宋体" w:hAnsi="宋体"/>
          <w:b/>
          <w:color w:val="000000"/>
          <w:sz w:val="24"/>
          <w:highlight w:val="none"/>
          <w:shd w:val="clear" w:color="auto" w:fill="auto"/>
        </w:rPr>
        <w:t>第</w:t>
      </w:r>
      <w:r>
        <w:rPr>
          <w:rFonts w:hint="eastAsia" w:ascii="宋体" w:hAnsi="宋体"/>
          <w:b/>
          <w:color w:val="000000"/>
          <w:sz w:val="24"/>
          <w:highlight w:val="none"/>
          <w:shd w:val="clear" w:color="auto" w:fill="auto"/>
        </w:rPr>
        <w:t>一</w:t>
      </w:r>
      <w:r>
        <w:rPr>
          <w:rFonts w:ascii="宋体" w:hAnsi="宋体"/>
          <w:b/>
          <w:color w:val="000000"/>
          <w:sz w:val="24"/>
          <w:highlight w:val="none"/>
          <w:shd w:val="clear" w:color="auto" w:fill="auto"/>
        </w:rPr>
        <w:t>节  通用合同条款</w:t>
      </w:r>
    </w:p>
    <w:p>
      <w:pPr>
        <w:adjustRightInd w:val="0"/>
        <w:snapToGrid w:val="0"/>
        <w:spacing w:line="312" w:lineRule="auto"/>
        <w:rPr>
          <w:rFonts w:ascii="宋体" w:hAnsi="宋体"/>
          <w:color w:val="000000"/>
          <w:sz w:val="24"/>
          <w:highlight w:val="none"/>
          <w:shd w:val="clear" w:color="auto" w:fill="auto"/>
        </w:rPr>
      </w:pPr>
      <w:bookmarkStart w:id="20" w:name="_Toc189386103"/>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21" w:name="_Toc76056666"/>
      <w:r>
        <w:rPr>
          <w:rFonts w:ascii="宋体" w:hAnsi="宋体"/>
          <w:bCs w:val="0"/>
          <w:color w:val="000000"/>
          <w:sz w:val="24"/>
          <w:szCs w:val="24"/>
          <w:highlight w:val="none"/>
          <w:shd w:val="clear" w:color="auto" w:fill="auto"/>
        </w:rPr>
        <w:t>1．一般约定</w:t>
      </w:r>
      <w:bookmarkEnd w:id="20"/>
      <w:bookmarkEnd w:id="21"/>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2" w:name="_Toc189386104"/>
      <w:bookmarkStart w:id="23" w:name="_Toc511317297"/>
      <w:bookmarkStart w:id="24" w:name="_Toc511318046"/>
      <w:r>
        <w:rPr>
          <w:rFonts w:ascii="宋体" w:hAnsi="宋体"/>
          <w:b/>
          <w:bCs/>
          <w:color w:val="000000"/>
          <w:kern w:val="0"/>
          <w:sz w:val="24"/>
          <w:highlight w:val="none"/>
          <w:shd w:val="clear" w:color="auto" w:fill="auto"/>
        </w:rPr>
        <w:t>1.1 词语定义</w:t>
      </w:r>
      <w:bookmarkEnd w:id="22"/>
      <w:bookmarkEnd w:id="23"/>
      <w:bookmarkEnd w:id="2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通用合同条款、专用合同条款中的下列词语应具有本款所赋予的含义。</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1.1.1  合同</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合同文件（或称合同）：指合同协议书、中标通知书、投标函及投标函附录、专用合同条款、通用合同条款、技术标准和要求、图纸、已标价工程量清单，以及其他合同文件。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合同协议书：指第1.5款所指的合同协议书。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中标通知书：指发包人通知承包人中标的函件。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投标函：指构成合同文件组成部分的由承包人填写并签署的投标函。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1.1.1.5  投标函附录：指附在投标函后构成合同文件的投标函附录。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1.1.1.6  技术标准和要求：指构成合同文件组成部分的名为技术标准和要求（合同技术条款）的文件，包括合同双方当事人约定对其所作的修改或补充。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1.1.1.8  已标价工程量清单：指构成合同文件组成部分的由承包人按照规定的格式和要求填写并标明价格的工程量清单。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1.1.1.9  其他合同文件：指经合同双方当事人确认构成合同文件的其他文件。</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合同当事人:指发包人和（或）承包人。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发包人：指专用合同条款中指明并与承包人在合同协议书中签字的当事人。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1.1.2.3  承包人：指专用合同条款中指明并与发包人在合同协议书中签字的当事人。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1.1.2.4  承包人项目经理：指承包人派驻施工场地的全权负责人。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1.1.2.5  分包人：指专用合同条款中指明的，从承包人处分包合同中某一部分工程，并与其签订分包合同的分包人。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1.1.2.6  监理人：指在专用合同条款中指明的，受发包人委托对合同履行实施管理的法人或其他组织。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1.1.2.7  总监理工程师（总监）：指由监理人委派常驻施工场地对合同履行实施管理的全权负责人。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1.1.3  工程和设备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  工程：指永久工程和（或）临时工程。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1.1.3.2  永久工程：指按合同约定建造并移交给发包人的工程，包括工程设备。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1.1.3.3  临时工程：指为完成合同约定的永久工程所修建的各类临时性工程，不包括施工设备。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1.1.3.4  单位工程：指专用合同条款中指明特定范围的永久工程。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1.1.3.5  工程设备：指构成或计划构成永久工程一部分的机电设备、金属结构设备、仪器装置及其他类似的设备和装置。</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1.1.3.6  施工设备：指为完成合同约定的各项工作所需的设备、器具和其他物品，不包括临时工程和材料。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1.1.3.7  临时设施：指为完成合同约定的各项工作所服务的临时性生产和生活设施。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1.1.3.8  承包人设备：指承包人自带的施工设备。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1.1.3.9  施工场地（或称工地、现场）：指用于合同工程施工的场所，以及在合同中指定作为施工场地组成部分的其他场所，包括永久占地和临时占地。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1.1.3.10 永久占地：指发包人为建设本合同工程永久征用的场地。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1.1.3.11 临时占地：指发包人为建设本合同工程临时征用，承包人在完工后须按合同要求退还的场地。</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1.1.4  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1.1.4.1  开工通知：指监理人按第11.1款通知承包人开工的函件。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1.1.4.2  开工日期：指监理人按第11.1款发出的开工通知中写明的开工日期。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1.1.4.3  工期：指承包人在投标函中承诺的完成合同工程所需的期限，包括按第11.3 款、第11.4款和第11.6款约定所作的变更。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1.1.4.4  竣工日期：即合同工程完工日期，指第1.1.4.3目约定工期届满时的日期。实际完工日期以合同工程完工证书中写明的日期为准。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1.1.4.5  缺陷责任期：即工程质量保修期，指履行第19.2款约定的缺陷责任的期限，包括根据第19.3款约定所作的延长，具体期限由专用合同条款约定。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1.1.4.6  基准日期：指投标截止时间前28天的日期。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1.1.4.7  天：除特别指明外，指日历天。合同中按天计算时间的，开始当天不计入，从次日开始计算。期限最后一天的截止时间为当天24:00。</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1.1.5  合同价格和费用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1.1.5.1  签约合同价：指签定合同时合同协议书中写明的，包括了暂列金额、暂估价的合同总金额。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1.1.5.2  合同价格：指承包人按合同约定完成了包括缺陷责任期内的全部承包工作后，发包人应付给承包人的金额，包括在履行合同过程中按合同约定进行的变更和调整。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1.1.5.3  费用：指为履行合同所发生的或将要发生的所有合理开支，包括管理费和应分摊的其他费用，但不包括利润。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1.1.5.4  暂列金额：指已标价工程量清单中所列的暂列金额，用于在签订协议书时尚未确定或不可预见变更的施工及其所需材料、工程设备、服务等的金额，包括以计日工方式支付的金额。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1.1.5.5  暂估价：指发包人在工程量清单中给定的用于支付必然发生但暂时不能确定价格的材料、设备以及专业工程的金额。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1.1.5.6  计日工：指对零星工作采取的一种计价方式，按合同中的计日工子目及其单价计价付款。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1.1.5.7  质量保证金（或称保留金）：指按第17.4.1项约定用于保证在缺陷责任期内履行缺陷修复义务的金额。</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1.1.6 其他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1.1.6.1  书面形式：指合同文件、信函、电报、传真等可以有形地表现所载内容的形式。</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5" w:name="_Toc511317298"/>
      <w:bookmarkStart w:id="26" w:name="_Toc511318047"/>
      <w:bookmarkStart w:id="27" w:name="_Toc189386105"/>
      <w:r>
        <w:rPr>
          <w:rFonts w:ascii="宋体" w:hAnsi="宋体"/>
          <w:b/>
          <w:bCs/>
          <w:color w:val="000000"/>
          <w:kern w:val="0"/>
          <w:sz w:val="24"/>
          <w:highlight w:val="none"/>
          <w:shd w:val="clear" w:color="auto" w:fill="auto"/>
        </w:rPr>
        <w:t>1.2 语言文字</w:t>
      </w:r>
      <w:bookmarkEnd w:id="25"/>
      <w:bookmarkEnd w:id="26"/>
      <w:bookmarkEnd w:id="2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除专用术语外，合同使用的语言文字为中文。必要时专用术语应附有中文注释。</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8" w:name="_Toc511317299"/>
      <w:bookmarkStart w:id="29" w:name="_Toc511318048"/>
      <w:bookmarkStart w:id="30" w:name="_Toc189386106"/>
      <w:r>
        <w:rPr>
          <w:rFonts w:ascii="宋体" w:hAnsi="宋体"/>
          <w:b/>
          <w:bCs/>
          <w:color w:val="000000"/>
          <w:kern w:val="0"/>
          <w:sz w:val="24"/>
          <w:highlight w:val="none"/>
          <w:shd w:val="clear" w:color="auto" w:fill="auto"/>
        </w:rPr>
        <w:t>1.3 法律</w:t>
      </w:r>
      <w:bookmarkEnd w:id="28"/>
      <w:bookmarkEnd w:id="29"/>
      <w:bookmarkEnd w:id="3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适用于合同的法律包括中华人民共和国法律、行政法规、部门规章，以及工程所在地的地方法规、自治条例、单行条例和地方政府规章。</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1" w:name="_Toc189386107"/>
      <w:bookmarkStart w:id="32" w:name="_Toc511317300"/>
      <w:bookmarkStart w:id="33" w:name="_Toc511318049"/>
      <w:r>
        <w:rPr>
          <w:rFonts w:ascii="宋体" w:hAnsi="宋体"/>
          <w:b/>
          <w:bCs/>
          <w:color w:val="000000"/>
          <w:kern w:val="0"/>
          <w:sz w:val="24"/>
          <w:highlight w:val="none"/>
          <w:shd w:val="clear" w:color="auto" w:fill="auto"/>
        </w:rPr>
        <w:t>1.4 合同文件的优先顺序</w:t>
      </w:r>
      <w:bookmarkEnd w:id="31"/>
      <w:bookmarkEnd w:id="32"/>
      <w:bookmarkEnd w:id="3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组成合同的各项文件应互相解释，互为说明。除专用合同条款另有约定外，解释合同文件的优先顺序如下：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（2）中标通知书；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（3）投标函及投标函附录；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（4）专用合同条款；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（5）通用合同条款；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（6）技术标准和要求；</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（7）图纸；</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（8）已标价工程量清单；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（9）其他合同文件。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4" w:name="_Toc511317301"/>
      <w:bookmarkStart w:id="35" w:name="_Toc511318050"/>
      <w:bookmarkStart w:id="36" w:name="_Toc189386108"/>
      <w:r>
        <w:rPr>
          <w:rFonts w:ascii="宋体" w:hAnsi="宋体"/>
          <w:b/>
          <w:bCs/>
          <w:color w:val="000000"/>
          <w:kern w:val="0"/>
          <w:sz w:val="24"/>
          <w:highlight w:val="none"/>
          <w:shd w:val="clear" w:color="auto" w:fill="auto"/>
        </w:rPr>
        <w:t>1.5 合同协议书</w:t>
      </w:r>
      <w:bookmarkEnd w:id="34"/>
      <w:bookmarkEnd w:id="35"/>
      <w:bookmarkEnd w:id="3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承包人按中标通知书规定的时间与发包人签订合同协议书。除法律另有规定或合同另有约定外，发包人和承包人的法定代表人或其委托代理人在合同协议书上签字并盖单位章后，合同生效。</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7" w:name="_Toc511317302"/>
      <w:bookmarkStart w:id="38" w:name="_Toc511318051"/>
      <w:bookmarkStart w:id="39" w:name="_Toc189386109"/>
      <w:r>
        <w:rPr>
          <w:rFonts w:ascii="宋体" w:hAnsi="宋体"/>
          <w:b/>
          <w:bCs/>
          <w:color w:val="000000"/>
          <w:kern w:val="0"/>
          <w:sz w:val="24"/>
          <w:highlight w:val="none"/>
          <w:shd w:val="clear" w:color="auto" w:fill="auto"/>
        </w:rPr>
        <w:t>1.6 图纸和承包人文件</w:t>
      </w:r>
      <w:bookmarkEnd w:id="37"/>
      <w:bookmarkEnd w:id="38"/>
      <w:bookmarkEnd w:id="39"/>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1.6.1  图纸的提供</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发包人应按技术标准和要求（合同技术条款）约定的期限和数量将施工图纸以及其它图纸（包括配套说明和有关资料）提供给承包人。由于发包人未按时提供图纸造成工期延误的，按第11.3款的约定办理。</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1.6.2  承包人提供的文件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承包人提供的文件应按技术标准和要求（合同技术条款）约定的期限和数量提供给监理人。监理人应按技术标准和要求（合同技术条款）约定的期限批复承包人。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1.6.3  图纸的修改</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1.6.4  图纸的错误</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承包人发现发包人提供的图纸存在明显错误或疏忽，应及时通知监理人。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1.6.5  图纸和承包人文件的保管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监理人和承包人均应在施工场地各保存一套完整的包含第1.6.1项、第1.6.2 项、第1.6.3 项约定内容的图纸和承包人文件。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0" w:name="_Toc511317303"/>
      <w:bookmarkStart w:id="41" w:name="_Toc511318052"/>
      <w:bookmarkStart w:id="42" w:name="_Toc189386110"/>
      <w:r>
        <w:rPr>
          <w:rFonts w:ascii="宋体" w:hAnsi="宋体"/>
          <w:b/>
          <w:bCs/>
          <w:color w:val="000000"/>
          <w:kern w:val="0"/>
          <w:sz w:val="24"/>
          <w:highlight w:val="none"/>
          <w:shd w:val="clear" w:color="auto" w:fill="auto"/>
        </w:rPr>
        <w:t>1.7 联络</w:t>
      </w:r>
      <w:bookmarkEnd w:id="40"/>
      <w:bookmarkEnd w:id="41"/>
      <w:bookmarkEnd w:id="4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1.7.1  与合同有关的通知、批准、证明、证书、指示、要求、请求、同意、意见、确定和决定等，均应采用书面形式。</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1.7.3  来往函件均应按合同约定的期限及时发出和答复，不得无故扣压和拖延，亦不得拒收。否则，由此造成的后果由责任方负责。</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3" w:name="_Toc189386111"/>
      <w:bookmarkStart w:id="44" w:name="_Toc511318053"/>
      <w:bookmarkStart w:id="45" w:name="_Toc511317304"/>
      <w:r>
        <w:rPr>
          <w:rFonts w:ascii="宋体" w:hAnsi="宋体"/>
          <w:b/>
          <w:bCs/>
          <w:color w:val="000000"/>
          <w:kern w:val="0"/>
          <w:sz w:val="24"/>
          <w:highlight w:val="none"/>
          <w:shd w:val="clear" w:color="auto" w:fill="auto"/>
        </w:rPr>
        <w:t>1.8 转让</w:t>
      </w:r>
      <w:bookmarkEnd w:id="43"/>
      <w:bookmarkEnd w:id="44"/>
      <w:bookmarkEnd w:id="4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除合同另有约定外，未经对方当事人同意，一方当事人不得将合同权利全部或部分转让给第三人，也不得全部或部分转移合同义务。</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6" w:name="_Toc511318054"/>
      <w:bookmarkStart w:id="47" w:name="_Toc189386112"/>
      <w:bookmarkStart w:id="48" w:name="_Toc511317305"/>
      <w:r>
        <w:rPr>
          <w:rFonts w:ascii="宋体" w:hAnsi="宋体"/>
          <w:b/>
          <w:bCs/>
          <w:color w:val="000000"/>
          <w:kern w:val="0"/>
          <w:sz w:val="24"/>
          <w:highlight w:val="none"/>
          <w:shd w:val="clear" w:color="auto" w:fill="auto"/>
        </w:rPr>
        <w:t>1.9 严禁贿赂</w:t>
      </w:r>
      <w:bookmarkEnd w:id="46"/>
      <w:bookmarkEnd w:id="47"/>
      <w:bookmarkEnd w:id="4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合同双方当事人不得以贿赂或变相贿赂的方式，谋取不当利益或损害对方权益。因贿赂造成对方损失的，行为人应赔偿损失，并承担相应的法律责任。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9" w:name="_Toc511317306"/>
      <w:bookmarkStart w:id="50" w:name="_Toc189386113"/>
      <w:bookmarkStart w:id="51" w:name="_Toc511318055"/>
      <w:r>
        <w:rPr>
          <w:rFonts w:ascii="宋体" w:hAnsi="宋体"/>
          <w:b/>
          <w:bCs/>
          <w:color w:val="000000"/>
          <w:kern w:val="0"/>
          <w:sz w:val="24"/>
          <w:highlight w:val="none"/>
          <w:shd w:val="clear" w:color="auto" w:fill="auto"/>
        </w:rPr>
        <w:t>1.10 化石、文物</w:t>
      </w:r>
      <w:bookmarkEnd w:id="49"/>
      <w:bookmarkEnd w:id="50"/>
      <w:bookmarkEnd w:id="5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1.10.2  承包人发现文物后不及时报告或隐瞒不报，致使文物丢失或损坏的，应赔偿损失，并承担相应的法律责任。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2" w:name="_Toc511318056"/>
      <w:bookmarkStart w:id="53" w:name="_Toc511317307"/>
      <w:bookmarkStart w:id="54" w:name="_Toc189386114"/>
      <w:r>
        <w:rPr>
          <w:rFonts w:ascii="宋体" w:hAnsi="宋体"/>
          <w:b/>
          <w:bCs/>
          <w:color w:val="000000"/>
          <w:kern w:val="0"/>
          <w:sz w:val="24"/>
          <w:highlight w:val="none"/>
          <w:shd w:val="clear" w:color="auto" w:fill="auto"/>
        </w:rPr>
        <w:t>1.11 专利技术</w:t>
      </w:r>
      <w:bookmarkEnd w:id="52"/>
      <w:bookmarkEnd w:id="53"/>
      <w:bookmarkEnd w:id="5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承包人在使用任何材料、承包人设备、工程设备或采用施工工艺时，因侵犯专利权或其他知识产权所引起的责任，由承包人承担，但由于遵照发包人提供的设计或技术标准和要求引起的除外。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承包人在投标文件中采用专利技术的，专利技术的使用费包含在投标报价内。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承包人的技术秘密和声明需要保密的资料和信息，发包人和监理人不得为合同以外的目的泄露给他人。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合同实施过程中，发包人要求承包人采用专利技术的，发包人应办理相应的使用手续，承包人应按发包人约定的条件使用，并承担使用专利技术的相关试验工作，所需费用由发包人承担。</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5" w:name="_Toc189386115"/>
      <w:bookmarkStart w:id="56" w:name="_Toc511318057"/>
      <w:bookmarkStart w:id="57" w:name="_Toc511317308"/>
      <w:r>
        <w:rPr>
          <w:rFonts w:ascii="宋体" w:hAnsi="宋体"/>
          <w:b/>
          <w:bCs/>
          <w:color w:val="000000"/>
          <w:kern w:val="0"/>
          <w:sz w:val="24"/>
          <w:highlight w:val="none"/>
          <w:shd w:val="clear" w:color="auto" w:fill="auto"/>
        </w:rPr>
        <w:t>1.12 图纸和文件的保密</w:t>
      </w:r>
      <w:bookmarkEnd w:id="55"/>
      <w:bookmarkEnd w:id="56"/>
      <w:bookmarkEnd w:id="5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发包人提供的图纸和文件，未经发包人同意，承包人不得为合同以外的目的泄露给他人或公开发表与引用。</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承包人提供的文件，未经承包人同意，发包人和监理人不得为合同以外的目的泄露给他人或公开发表与引用。</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58" w:name="_Toc189386116"/>
      <w:bookmarkStart w:id="59" w:name="_Toc76056667"/>
      <w:r>
        <w:rPr>
          <w:rFonts w:ascii="宋体" w:hAnsi="宋体"/>
          <w:bCs w:val="0"/>
          <w:color w:val="000000"/>
          <w:sz w:val="24"/>
          <w:szCs w:val="24"/>
          <w:highlight w:val="none"/>
          <w:shd w:val="clear" w:color="auto" w:fill="auto"/>
        </w:rPr>
        <w:t>2．发包人义务</w:t>
      </w:r>
      <w:bookmarkEnd w:id="58"/>
      <w:bookmarkEnd w:id="59"/>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0" w:name="_Toc189386117"/>
      <w:bookmarkStart w:id="61" w:name="_Toc511317310"/>
      <w:bookmarkStart w:id="62" w:name="_Toc511318059"/>
      <w:r>
        <w:rPr>
          <w:rFonts w:ascii="宋体" w:hAnsi="宋体"/>
          <w:b/>
          <w:bCs/>
          <w:color w:val="000000"/>
          <w:kern w:val="0"/>
          <w:sz w:val="24"/>
          <w:highlight w:val="none"/>
          <w:shd w:val="clear" w:color="auto" w:fill="auto"/>
        </w:rPr>
        <w:t>2.1 遵守法律</w:t>
      </w:r>
      <w:bookmarkEnd w:id="60"/>
      <w:bookmarkEnd w:id="61"/>
      <w:bookmarkEnd w:id="6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发包人在履行合同过程中应遵守法律，并保证承包人免于承担因发包人违反法律而引起的任何责任。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3" w:name="_Toc511318060"/>
      <w:bookmarkStart w:id="64" w:name="_Toc189386118"/>
      <w:bookmarkStart w:id="65" w:name="_Toc511317311"/>
      <w:r>
        <w:rPr>
          <w:rFonts w:ascii="宋体" w:hAnsi="宋体"/>
          <w:b/>
          <w:bCs/>
          <w:color w:val="000000"/>
          <w:kern w:val="0"/>
          <w:sz w:val="24"/>
          <w:highlight w:val="none"/>
          <w:shd w:val="clear" w:color="auto" w:fill="auto"/>
        </w:rPr>
        <w:t>2.2 发出开工通知</w:t>
      </w:r>
      <w:bookmarkEnd w:id="63"/>
      <w:bookmarkEnd w:id="64"/>
      <w:bookmarkEnd w:id="6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发包人应委托监理人按第11.1款的约定向承包人发出开工通知。</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6" w:name="_Toc511317312"/>
      <w:bookmarkStart w:id="67" w:name="_Toc189386119"/>
      <w:bookmarkStart w:id="68" w:name="_Toc511318061"/>
      <w:r>
        <w:rPr>
          <w:rFonts w:ascii="宋体" w:hAnsi="宋体"/>
          <w:b/>
          <w:bCs/>
          <w:color w:val="000000"/>
          <w:kern w:val="0"/>
          <w:sz w:val="24"/>
          <w:highlight w:val="none"/>
          <w:shd w:val="clear" w:color="auto" w:fill="auto"/>
        </w:rPr>
        <w:t>2.3 提供施工场地</w:t>
      </w:r>
      <w:bookmarkEnd w:id="66"/>
      <w:bookmarkEnd w:id="67"/>
      <w:bookmarkEnd w:id="6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2.3.2  发包人提供的施工用地范围在专用合同条款中约定。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2.3.3  除专用合同条款另有约定外，发包人应按技术标准和要求（合同技术条款）的约定，向承包人提供施工场地内的工程地质图纸和报告，以及地下障碍物图纸等施工场地有关资料，并保证资料的真实、准确、完整。</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9" w:name="_Toc511317313"/>
      <w:bookmarkStart w:id="70" w:name="_Toc189386120"/>
      <w:bookmarkStart w:id="71" w:name="_Toc511318062"/>
      <w:r>
        <w:rPr>
          <w:rFonts w:ascii="宋体" w:hAnsi="宋体"/>
          <w:b/>
          <w:bCs/>
          <w:color w:val="000000"/>
          <w:kern w:val="0"/>
          <w:sz w:val="24"/>
          <w:highlight w:val="none"/>
          <w:shd w:val="clear" w:color="auto" w:fill="auto"/>
        </w:rPr>
        <w:t>2.4 协助承包人办理证件和批件</w:t>
      </w:r>
      <w:bookmarkEnd w:id="69"/>
      <w:bookmarkEnd w:id="70"/>
      <w:bookmarkEnd w:id="7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发包人应协助承包人办理法律规定的有关施工证件和批件。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2" w:name="_Toc511318063"/>
      <w:bookmarkStart w:id="73" w:name="_Toc511317314"/>
      <w:bookmarkStart w:id="74" w:name="_Toc189386121"/>
      <w:r>
        <w:rPr>
          <w:rFonts w:ascii="宋体" w:hAnsi="宋体"/>
          <w:b/>
          <w:bCs/>
          <w:color w:val="000000"/>
          <w:kern w:val="0"/>
          <w:sz w:val="24"/>
          <w:highlight w:val="none"/>
          <w:shd w:val="clear" w:color="auto" w:fill="auto"/>
        </w:rPr>
        <w:t>2.5 组织设计交底</w:t>
      </w:r>
      <w:bookmarkEnd w:id="72"/>
      <w:bookmarkEnd w:id="73"/>
      <w:bookmarkEnd w:id="7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发包人应根据合同进度计划，组织设计单位向承包人进行设计交底。</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5" w:name="_Toc511318064"/>
      <w:bookmarkStart w:id="76" w:name="_Toc189386122"/>
      <w:bookmarkStart w:id="77" w:name="_Toc511317315"/>
      <w:r>
        <w:rPr>
          <w:rFonts w:ascii="宋体" w:hAnsi="宋体"/>
          <w:b/>
          <w:bCs/>
          <w:color w:val="000000"/>
          <w:kern w:val="0"/>
          <w:sz w:val="24"/>
          <w:highlight w:val="none"/>
          <w:shd w:val="clear" w:color="auto" w:fill="auto"/>
        </w:rPr>
        <w:t>2.6 支付合同价款</w:t>
      </w:r>
      <w:bookmarkEnd w:id="75"/>
      <w:bookmarkEnd w:id="76"/>
      <w:bookmarkEnd w:id="7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发包人应按合同约定向承包人及时支付合同价款。</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8" w:name="_Toc511317316"/>
      <w:bookmarkStart w:id="79" w:name="_Toc511318065"/>
      <w:r>
        <w:rPr>
          <w:rFonts w:ascii="宋体" w:hAnsi="宋体"/>
          <w:b/>
          <w:bCs/>
          <w:color w:val="000000"/>
          <w:kern w:val="0"/>
          <w:sz w:val="24"/>
          <w:highlight w:val="none"/>
          <w:shd w:val="clear" w:color="auto" w:fill="auto"/>
        </w:rPr>
        <w:t>2.7  组织竣工验收（组织法人验收）</w:t>
      </w:r>
      <w:bookmarkEnd w:id="78"/>
      <w:bookmarkEnd w:id="79"/>
    </w:p>
    <w:p>
      <w:pPr>
        <w:adjustRightInd w:val="0"/>
        <w:snapToGrid w:val="0"/>
        <w:spacing w:line="312" w:lineRule="auto"/>
        <w:ind w:firstLine="480" w:firstLineChars="200"/>
        <w:rPr>
          <w:rFonts w:ascii="宋体" w:hAnsi="宋体"/>
          <w:color w:val="000000"/>
          <w:sz w:val="24"/>
          <w:highlight w:val="none"/>
          <w:shd w:val="clear" w:color="auto" w:fill="auto"/>
        </w:rPr>
      </w:pPr>
      <w:r>
        <w:rPr>
          <w:rFonts w:ascii="宋体" w:hAnsi="宋体"/>
          <w:color w:val="000000"/>
          <w:sz w:val="24"/>
          <w:highlight w:val="none"/>
          <w:shd w:val="clear" w:color="auto" w:fill="auto"/>
        </w:rPr>
        <w:t>发包人应按合同约定及时组织法人验收。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0" w:name="_Toc189386124"/>
      <w:bookmarkStart w:id="81" w:name="_Toc511317317"/>
      <w:bookmarkStart w:id="82" w:name="_Toc511318066"/>
      <w:r>
        <w:rPr>
          <w:rFonts w:ascii="宋体" w:hAnsi="宋体"/>
          <w:b/>
          <w:bCs/>
          <w:color w:val="000000"/>
          <w:kern w:val="0"/>
          <w:sz w:val="24"/>
          <w:highlight w:val="none"/>
          <w:shd w:val="clear" w:color="auto" w:fill="auto"/>
        </w:rPr>
        <w:t>2.8 其他义务</w:t>
      </w:r>
      <w:bookmarkEnd w:id="80"/>
      <w:bookmarkEnd w:id="81"/>
      <w:bookmarkEnd w:id="82"/>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83" w:name="_Toc189386125"/>
      <w:bookmarkStart w:id="84" w:name="_Toc76056668"/>
      <w:r>
        <w:rPr>
          <w:rFonts w:ascii="宋体" w:hAnsi="宋体"/>
          <w:bCs w:val="0"/>
          <w:color w:val="000000"/>
          <w:sz w:val="24"/>
          <w:szCs w:val="24"/>
          <w:highlight w:val="none"/>
          <w:shd w:val="clear" w:color="auto" w:fill="auto"/>
        </w:rPr>
        <w:t>3．监理人</w:t>
      </w:r>
      <w:bookmarkEnd w:id="83"/>
      <w:bookmarkEnd w:id="84"/>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5" w:name="_Toc511317319"/>
      <w:bookmarkStart w:id="86" w:name="_Toc189386126"/>
      <w:bookmarkStart w:id="87" w:name="_Toc511318068"/>
      <w:r>
        <w:rPr>
          <w:rFonts w:ascii="宋体" w:hAnsi="宋体"/>
          <w:b/>
          <w:bCs/>
          <w:color w:val="000000"/>
          <w:kern w:val="0"/>
          <w:sz w:val="24"/>
          <w:highlight w:val="none"/>
          <w:shd w:val="clear" w:color="auto" w:fill="auto"/>
        </w:rPr>
        <w:t>3.1 监理人的职责和权力</w:t>
      </w:r>
      <w:bookmarkEnd w:id="85"/>
      <w:bookmarkEnd w:id="86"/>
      <w:bookmarkEnd w:id="8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3.1.2  监理人发出的任何指示应视为已得到发包人的批准，但监理人无权免除或变更合同约定的发包人和承包人的权利、义务和责任。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3.1.3  合同约定应由承包人承担的义务和责任，不因监理人对承包人提交文件的审查或批准，对工程、材料和设备的检查和检验，以及为实施监理作出的指示等职务行为而减轻或解除。</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8" w:name="_Toc511317320"/>
      <w:bookmarkStart w:id="89" w:name="_Toc189386127"/>
      <w:bookmarkStart w:id="90" w:name="_Toc511318069"/>
      <w:r>
        <w:rPr>
          <w:rFonts w:ascii="宋体" w:hAnsi="宋体"/>
          <w:b/>
          <w:bCs/>
          <w:color w:val="000000"/>
          <w:kern w:val="0"/>
          <w:sz w:val="24"/>
          <w:highlight w:val="none"/>
          <w:shd w:val="clear" w:color="auto" w:fill="auto"/>
        </w:rPr>
        <w:t>3.2 总监理工程师</w:t>
      </w:r>
      <w:bookmarkEnd w:id="88"/>
      <w:bookmarkEnd w:id="89"/>
      <w:bookmarkEnd w:id="9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发包人应在发出开工通知前将总监理工程师的任命通知承包人。总监理工程师更换时，应在调离14天前通知承包人。总监理工程师短期离开施工场地的，应委派代表代行其职责，并通知承包人。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1" w:name="_Toc511317321"/>
      <w:bookmarkStart w:id="92" w:name="_Toc511318070"/>
      <w:bookmarkStart w:id="93" w:name="_Toc189386128"/>
      <w:r>
        <w:rPr>
          <w:rFonts w:ascii="宋体" w:hAnsi="宋体"/>
          <w:b/>
          <w:bCs/>
          <w:color w:val="000000"/>
          <w:kern w:val="0"/>
          <w:sz w:val="24"/>
          <w:highlight w:val="none"/>
          <w:shd w:val="clear" w:color="auto" w:fill="auto"/>
        </w:rPr>
        <w:t>3.3 监理人员</w:t>
      </w:r>
      <w:bookmarkEnd w:id="91"/>
      <w:bookmarkEnd w:id="92"/>
      <w:bookmarkEnd w:id="9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3.3.3  承包人对总监理工程师授权的监理人员发出的指示有疑问的，可向总监理工程师提出书面异议，总监理工程师应在48小时内对该指示予以确认、更改或撤销。</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3.3.4  除专用合同条款另有约定外，总监理工程师不应将第3.5款约定应由总监理工程师作出确定的权力授权或委托给其他监理人员。</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4" w:name="_Toc511318071"/>
      <w:bookmarkStart w:id="95" w:name="_Toc511317322"/>
      <w:bookmarkStart w:id="96" w:name="_Toc189386129"/>
      <w:r>
        <w:rPr>
          <w:rFonts w:ascii="宋体" w:hAnsi="宋体"/>
          <w:b/>
          <w:bCs/>
          <w:color w:val="000000"/>
          <w:kern w:val="0"/>
          <w:sz w:val="24"/>
          <w:highlight w:val="none"/>
          <w:shd w:val="clear" w:color="auto" w:fill="auto"/>
        </w:rPr>
        <w:t>3.4 监理人的指示</w:t>
      </w:r>
      <w:bookmarkEnd w:id="94"/>
      <w:bookmarkEnd w:id="95"/>
      <w:bookmarkEnd w:id="9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3.4.1  监理人应按第3.1款的约定向承包人发出指示，监理人的指示应盖有监理人授权的施工场地机构章，并由总监理工程师或总监理工程师按第3.3.1项约定授权的监理人员签字。</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3.4.2  承包人收到监理人按第3.4.1 项作出的指示后应遵照执行。指示构成变更的，应按第15 条处理。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3.4.4  除合同另有约定外，承包人只从总监理工程师或按第3.3.1 项被授权的监理人员处取得指示。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3.4.5  由于监理人未能按合同约定发出指示、指示延误或指示错误而导致承包人费用增加和（或）工期延误的，由发包人承担赔偿责任。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7" w:name="_Toc511317323"/>
      <w:bookmarkStart w:id="98" w:name="_Toc511318072"/>
      <w:bookmarkStart w:id="99" w:name="_Toc189386130"/>
      <w:r>
        <w:rPr>
          <w:rFonts w:ascii="宋体" w:hAnsi="宋体"/>
          <w:b/>
          <w:bCs/>
          <w:color w:val="000000"/>
          <w:kern w:val="0"/>
          <w:sz w:val="24"/>
          <w:highlight w:val="none"/>
          <w:shd w:val="clear" w:color="auto" w:fill="auto"/>
        </w:rPr>
        <w:t>3.5 商定或确定</w:t>
      </w:r>
      <w:bookmarkEnd w:id="97"/>
      <w:bookmarkEnd w:id="98"/>
      <w:bookmarkEnd w:id="9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3.5.1  合同约定总监理工程师应按照本款对任何事项进行商定或确定时，总监理工程师应与合同当事人协商，尽量达成一致。不能达成一致的，总监理工程师应认真研究后审慎确定。</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100" w:name="_Toc189386131"/>
      <w:bookmarkStart w:id="101" w:name="_Toc76056669"/>
      <w:r>
        <w:rPr>
          <w:rFonts w:ascii="宋体" w:hAnsi="宋体"/>
          <w:bCs w:val="0"/>
          <w:color w:val="000000"/>
          <w:sz w:val="24"/>
          <w:szCs w:val="24"/>
          <w:highlight w:val="none"/>
          <w:shd w:val="clear" w:color="auto" w:fill="auto"/>
        </w:rPr>
        <w:t>4．承包人</w:t>
      </w:r>
      <w:bookmarkEnd w:id="100"/>
      <w:bookmarkEnd w:id="101"/>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2" w:name="_Toc511317325"/>
      <w:bookmarkStart w:id="103" w:name="_Toc511318074"/>
      <w:bookmarkStart w:id="104" w:name="_Toc189386132"/>
      <w:r>
        <w:rPr>
          <w:rFonts w:ascii="宋体" w:hAnsi="宋体"/>
          <w:b/>
          <w:bCs/>
          <w:color w:val="000000"/>
          <w:kern w:val="0"/>
          <w:sz w:val="24"/>
          <w:highlight w:val="none"/>
          <w:shd w:val="clear" w:color="auto" w:fill="auto"/>
        </w:rPr>
        <w:t>4.1 承包人的一般义务</w:t>
      </w:r>
      <w:bookmarkEnd w:id="102"/>
      <w:bookmarkEnd w:id="103"/>
      <w:bookmarkEnd w:id="104"/>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  遵守法律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承包人在履行合同过程中应遵守法律，并保证发包人免于承担因承包人违反法律而引起的任何责任。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4.1.2  依法纳税</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承包人应按有关法律规定纳税，应缴纳的税金包括在合同价格内。</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4.1.3  完成各项承包工作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4.1.4  对施工作业和施工方法的完备性负责</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承包人应按合同约定的工作内容和施工进度要求，编制施工组织设计和施工措施计划，并对所有施工作业和施工方法的完备性和安全可靠性负责。</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4.1.5  保证工程施工和人员的安全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承包人应按第9.2 款约定采取施工安全措施，确保工程及其人员、材料、设备和设施的安全，防止因工程施工造成的人身伤害和财产损失。</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4.1.6  负责施工场地及其周边环境与生态的保护工作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承包人应按照第9.4 款约定负责施工场地及其周边环境与生态的保护工作。</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4.1.7  避免施工对公众与他人的利益造成损害</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4.1.8  为他人提供方便</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承包人应按监理人的指示为他人在施工场地或附近实施与工程有关的其他各项工作提供可能的条件。除合同另有约定外，提供有关条件的内容和可能发生的费用，由监理人按第3.5 款商定或确定。</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4.1.9  工程的维护和照管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4.1.10  其他义务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5" w:name="_Toc511317326"/>
      <w:bookmarkStart w:id="106" w:name="_Toc511318075"/>
      <w:bookmarkStart w:id="107" w:name="_Toc189386133"/>
      <w:r>
        <w:rPr>
          <w:rFonts w:ascii="宋体" w:hAnsi="宋体"/>
          <w:b/>
          <w:bCs/>
          <w:color w:val="000000"/>
          <w:kern w:val="0"/>
          <w:sz w:val="24"/>
          <w:highlight w:val="none"/>
          <w:shd w:val="clear" w:color="auto" w:fill="auto"/>
        </w:rPr>
        <w:t>4.2 履约担保</w:t>
      </w:r>
      <w:bookmarkEnd w:id="105"/>
      <w:bookmarkEnd w:id="106"/>
      <w:bookmarkEnd w:id="10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承包人应保证其履约担保在发包人颁发合同工程完工证书前一直有效。发包人应在合同工程完工证书颁发后28天内将履约担保退还给承包人。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8" w:name="_Toc511317327"/>
      <w:bookmarkStart w:id="109" w:name="_Toc189386134"/>
      <w:bookmarkStart w:id="110" w:name="_Toc511318076"/>
      <w:r>
        <w:rPr>
          <w:rFonts w:ascii="宋体" w:hAnsi="宋体"/>
          <w:b/>
          <w:bCs/>
          <w:color w:val="000000"/>
          <w:kern w:val="0"/>
          <w:sz w:val="24"/>
          <w:highlight w:val="none"/>
          <w:shd w:val="clear" w:color="auto" w:fill="auto"/>
        </w:rPr>
        <w:t>4.3 分包</w:t>
      </w:r>
      <w:bookmarkEnd w:id="108"/>
      <w:bookmarkEnd w:id="109"/>
      <w:bookmarkEnd w:id="11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  承包人不得将其承包的全部工程转包给第三人，或将其承包的全部工程肢解后以分包的名义转包给第三人。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4.3.2  承包人不得将工程主体、关键性工作分包给第三人。除专用合同条款另有约定外，未经发包人同意，承包人不得将工程的其他部分或工作分包给第三人。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4.3.3  分包人的资格能力应与其分包工程的标准和规模相适应。</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4.3.4  按投标函附录约定分包工程的，承包人应向发包人和监理人提交分包合同副本。</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4.3.5  承包人应与分包人就分包工程向发包人承担连带责任。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由指定分包人造成的与其分包工作有关的一切索赔、诉讼和损失赔偿由指定分包人直接对发包人负责，承包人不对此承担责任。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4.3.9  除第4.3.7项规定的指定分包外，承包人对其分包项目的实施以及分包人的行为向发包人负全部责任。承包人应对分包项目的工程进度、质量、安全、计量和验收等实施监督和管理。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4.3.10  分包人应按专用合同条款的约定设立项目管理机构组织管理分包工程的施工活动。</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11" w:name="_Toc189386135"/>
      <w:bookmarkStart w:id="112" w:name="_Toc511317328"/>
      <w:bookmarkStart w:id="113" w:name="_Toc511318077"/>
      <w:r>
        <w:rPr>
          <w:rFonts w:ascii="宋体" w:hAnsi="宋体"/>
          <w:b/>
          <w:bCs/>
          <w:color w:val="000000"/>
          <w:kern w:val="0"/>
          <w:sz w:val="24"/>
          <w:highlight w:val="none"/>
          <w:shd w:val="clear" w:color="auto" w:fill="auto"/>
        </w:rPr>
        <w:t>4.4 联合体</w:t>
      </w:r>
      <w:bookmarkEnd w:id="111"/>
      <w:bookmarkEnd w:id="112"/>
      <w:bookmarkEnd w:id="11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4.4.1  联合体各方应共同与发包人签订合同协议书。联合体各方应为履行合同承担连带责任。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000000"/>
          <w:kern w:val="0"/>
          <w:sz w:val="24"/>
          <w:highlight w:val="none"/>
          <w:shd w:val="clear" w:color="auto" w:fill="auto"/>
        </w:rPr>
        <w:t>4.4.2  联合体协议经发包</w:t>
      </w:r>
      <w:r>
        <w:rPr>
          <w:rFonts w:ascii="宋体" w:hAnsi="宋体"/>
          <w:color w:val="auto"/>
          <w:kern w:val="0"/>
          <w:sz w:val="24"/>
          <w:highlight w:val="none"/>
          <w:shd w:val="clear" w:color="auto" w:fill="auto"/>
        </w:rPr>
        <w:t>人确认后作为合同附件。在履行合同过程中，未经发包人同意，不得修改联合体协议。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4.4.3  联合体牵头人负责与发包人和监理人联系，并接受指示，负责组织联合体各成员全面履行合同。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4" w:name="_Toc189386136"/>
      <w:bookmarkStart w:id="115" w:name="_Toc511317329"/>
      <w:bookmarkStart w:id="116" w:name="_Toc511318078"/>
      <w:r>
        <w:rPr>
          <w:rFonts w:ascii="宋体" w:hAnsi="宋体"/>
          <w:b/>
          <w:color w:val="auto"/>
          <w:kern w:val="0"/>
          <w:sz w:val="24"/>
          <w:highlight w:val="none"/>
          <w:shd w:val="clear" w:color="auto" w:fill="auto"/>
        </w:rPr>
        <w:t>4.5 承包人项目经理</w:t>
      </w:r>
      <w:bookmarkEnd w:id="114"/>
      <w:bookmarkEnd w:id="115"/>
      <w:bookmarkEnd w:id="11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4.5.1  承包人应按合同约定指派项目经理，并在约定的期限内到职。承包人更换项目经理应事先征得发包人同意，并应在更换14 天前通知发包人和监理人。承包人项目经理短期离开施工场地，应事先征得监理人同意，并委派代表代行其职责。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4.5.2  承包人项目经理应按合同约定以及监理人按第3.4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4.5.3  承包人为履行合同发出的一切函件均应盖有承包人授权的施工场地管理机构章，并由承包人项目经理或其授权代表签字。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4.5.4  承包人项目经理可以授权其下属人员履行其某项职责，但事先应将这些人员的姓名和授权范围通知监理人。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7" w:name="_Toc189386137"/>
      <w:bookmarkStart w:id="118" w:name="_Toc511318079"/>
      <w:bookmarkStart w:id="119" w:name="_Toc511317330"/>
      <w:r>
        <w:rPr>
          <w:rFonts w:ascii="宋体" w:hAnsi="宋体"/>
          <w:b/>
          <w:bCs/>
          <w:color w:val="auto"/>
          <w:kern w:val="0"/>
          <w:sz w:val="24"/>
          <w:highlight w:val="none"/>
          <w:shd w:val="clear" w:color="auto" w:fill="auto"/>
        </w:rPr>
        <w:t>4.6 承包人人员的管理</w:t>
      </w:r>
      <w:bookmarkEnd w:id="117"/>
      <w:bookmarkEnd w:id="118"/>
      <w:bookmarkEnd w:id="11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4.6.1  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4.6.2  为完成合同约定的各项工作，承包人应向施工场地派遣或雇佣足够数量的下列人员：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（1）具有相应资格的专业技工和合格的普工；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（2）具有相应施工经验的技术人员；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（3）具有相应岗位资格的各级管理人员。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4.6.3  承包人安排在施工场地的主要管理人员和技术骨干应相对稳定。承包人更换主要管理人员和技术骨干时，应取得监理人的同意。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4.6.4  特殊岗位的工作人员均应持有相应的资格证明，监理人有权随时检查。监理人认为有必要时，可进行现场考核。</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0" w:name="_Toc511317331"/>
      <w:bookmarkStart w:id="121" w:name="_Toc511318080"/>
      <w:bookmarkStart w:id="122" w:name="_Toc189386138"/>
      <w:r>
        <w:rPr>
          <w:rFonts w:ascii="宋体" w:hAnsi="宋体"/>
          <w:b/>
          <w:bCs/>
          <w:color w:val="auto"/>
          <w:kern w:val="0"/>
          <w:sz w:val="24"/>
          <w:highlight w:val="none"/>
          <w:shd w:val="clear" w:color="auto" w:fill="auto"/>
        </w:rPr>
        <w:t>4.7 撤换承包人项目经理和其他人员</w:t>
      </w:r>
      <w:bookmarkEnd w:id="120"/>
      <w:bookmarkEnd w:id="121"/>
      <w:bookmarkEnd w:id="12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承包人应对其项目经理和其他人员进行有效管理。监理人要求撤换不能胜任本职工作、行为不端或玩忽职守的承包人项目经理和其他人员的，承包人应予以撤换。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3" w:name="_Toc511318081"/>
      <w:bookmarkStart w:id="124" w:name="_Toc189386139"/>
      <w:bookmarkStart w:id="125" w:name="_Toc511317332"/>
      <w:r>
        <w:rPr>
          <w:rFonts w:ascii="宋体" w:hAnsi="宋体"/>
          <w:b/>
          <w:bCs/>
          <w:color w:val="auto"/>
          <w:kern w:val="0"/>
          <w:sz w:val="24"/>
          <w:highlight w:val="none"/>
          <w:shd w:val="clear" w:color="auto" w:fill="auto"/>
        </w:rPr>
        <w:t>4.8 保障承包人人员的合法权益</w:t>
      </w:r>
      <w:bookmarkEnd w:id="123"/>
      <w:bookmarkEnd w:id="124"/>
      <w:bookmarkEnd w:id="12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4.8.1  承包人应与其雇佣的人员签订劳动合同，并按时发放工资。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4.8.2  承包人应按劳动法的规定安排工作时间，保证其雇佣人员享有休息和休假的权利。因工程施工的特殊需要占用休假日或延长工作时间的，应不超过法律规定的限度，并按法律规定给予补休或付酬。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4.8.3  承包人应为其雇佣人员提供必要的食宿条件，以及符合环境保护和卫生要求的生活环境，在远离城镇的施工场地，还应配备必要的伤病防治和急救的医务人员与医疗设施。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4.8.5  承包人应按有关法律规定和合同约定，为其雇佣人员办理保险。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4.8.6  承包人应负责处理其雇佣人员因工伤亡事故的善后事宜。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6" w:name="_Toc511318082"/>
      <w:bookmarkStart w:id="127" w:name="_Toc511317333"/>
      <w:bookmarkStart w:id="128" w:name="_Toc189386140"/>
      <w:r>
        <w:rPr>
          <w:rFonts w:ascii="宋体" w:hAnsi="宋体"/>
          <w:b/>
          <w:bCs/>
          <w:color w:val="auto"/>
          <w:kern w:val="0"/>
          <w:sz w:val="24"/>
          <w:highlight w:val="none"/>
          <w:shd w:val="clear" w:color="auto" w:fill="auto"/>
        </w:rPr>
        <w:t>4.9 工程价款应专款专用</w:t>
      </w:r>
      <w:bookmarkEnd w:id="126"/>
      <w:bookmarkEnd w:id="127"/>
      <w:bookmarkEnd w:id="12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发包人按合同约定支付给承包人的各项价款应专用于合同工程。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9" w:name="_Toc189386141"/>
      <w:bookmarkStart w:id="130" w:name="_Toc511318083"/>
      <w:bookmarkStart w:id="131" w:name="_Toc511317334"/>
      <w:r>
        <w:rPr>
          <w:rFonts w:ascii="宋体" w:hAnsi="宋体"/>
          <w:b/>
          <w:bCs/>
          <w:color w:val="auto"/>
          <w:kern w:val="0"/>
          <w:sz w:val="24"/>
          <w:highlight w:val="none"/>
          <w:shd w:val="clear" w:color="auto" w:fill="auto"/>
        </w:rPr>
        <w:t>4.10 承包人现场查勘</w:t>
      </w:r>
      <w:bookmarkEnd w:id="129"/>
      <w:bookmarkEnd w:id="130"/>
      <w:bookmarkEnd w:id="1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4.10.1  发包人应将其持有的现场地质勘探资料、水文气象资料提供给承包人，并对其准确性负责。但承包人应对其阅读上述有关资料后所作出的解释和推断负责。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2" w:name="_Toc511317335"/>
      <w:bookmarkStart w:id="133" w:name="_Toc511318084"/>
      <w:bookmarkStart w:id="134" w:name="_Toc189386142"/>
      <w:r>
        <w:rPr>
          <w:rFonts w:ascii="宋体" w:hAnsi="宋体"/>
          <w:b/>
          <w:bCs/>
          <w:color w:val="auto"/>
          <w:kern w:val="0"/>
          <w:sz w:val="24"/>
          <w:highlight w:val="none"/>
          <w:shd w:val="clear" w:color="auto" w:fill="auto"/>
        </w:rPr>
        <w:t>4.11 不利物质条件</w:t>
      </w:r>
      <w:bookmarkEnd w:id="132"/>
      <w:bookmarkEnd w:id="133"/>
      <w:bookmarkEnd w:id="13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4.11.1  除专用合同条款另有约定外，不利物质条件是指在施工中遭遇不可预见的外界障碍或自然条件造成施工受阻。</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35" w:name="_Toc189386143"/>
      <w:bookmarkStart w:id="136" w:name="_Toc76056670"/>
      <w:r>
        <w:rPr>
          <w:rFonts w:ascii="宋体" w:hAnsi="宋体"/>
          <w:bCs w:val="0"/>
          <w:color w:val="auto"/>
          <w:sz w:val="24"/>
          <w:szCs w:val="24"/>
          <w:highlight w:val="none"/>
          <w:shd w:val="clear" w:color="auto" w:fill="auto"/>
        </w:rPr>
        <w:t>5．材料和工程设备</w:t>
      </w:r>
      <w:bookmarkEnd w:id="135"/>
      <w:bookmarkEnd w:id="136"/>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7" w:name="_Toc511318086"/>
      <w:bookmarkStart w:id="138" w:name="_Toc189386144"/>
      <w:bookmarkStart w:id="139" w:name="_Toc511317337"/>
      <w:r>
        <w:rPr>
          <w:rFonts w:ascii="宋体" w:hAnsi="宋体"/>
          <w:b/>
          <w:bCs/>
          <w:color w:val="auto"/>
          <w:kern w:val="0"/>
          <w:sz w:val="24"/>
          <w:highlight w:val="none"/>
          <w:shd w:val="clear" w:color="auto" w:fill="auto"/>
        </w:rPr>
        <w:t>5.1承包人提供的材料和工程设备</w:t>
      </w:r>
      <w:bookmarkEnd w:id="137"/>
      <w:bookmarkEnd w:id="138"/>
      <w:bookmarkEnd w:id="1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5.1.1  除第5.2款约定由发包人提供的材料和工程设备外，承包人负责采购、运输和保管完成本合同工作所需的材料和工程设备。承包人应对其采购的材料和工程设备负责。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0" w:name="_Toc189386145"/>
      <w:r>
        <w:rPr>
          <w:rFonts w:ascii="宋体" w:hAnsi="宋体"/>
          <w:b/>
          <w:bCs/>
          <w:color w:val="auto"/>
          <w:kern w:val="0"/>
          <w:sz w:val="24"/>
          <w:highlight w:val="none"/>
          <w:shd w:val="clear" w:color="auto" w:fill="auto"/>
        </w:rPr>
        <w:t>5.2 发包人提供的材料和工程设备</w:t>
      </w:r>
      <w:bookmarkEnd w:id="1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5.2.1 发包人提供的材料和工程设备，应在专用合同条款中写明材料和工程设备的名称、规格、数量、价格、交货方式、交货地点和计划交货日期等。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5.2.2  承包人应根据合同进度计划的安排，向监理人报送要求发包人交货的日期计划。发包人应按照监理人与合同双方当事人商定的交货日期，向承包人提交材料和工程设备。</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5.2.4  发包人要求向承包人提前交货的，承包人不得拒绝，但发包人应承担承包人由此增加的费用。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5.2.5  承包人要求更改交货日期或地点的，应事先报请监理人批准。由于承包人要求更改交货时间或地点所增加的费用和（或）工期延误由承包人承担。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1" w:name="_Toc189386146"/>
      <w:r>
        <w:rPr>
          <w:rFonts w:ascii="宋体" w:hAnsi="宋体"/>
          <w:b/>
          <w:bCs/>
          <w:color w:val="auto"/>
          <w:kern w:val="0"/>
          <w:sz w:val="24"/>
          <w:highlight w:val="none"/>
          <w:shd w:val="clear" w:color="auto" w:fill="auto"/>
        </w:rPr>
        <w:t>5.3 材料和工程设备专用于合同工程</w:t>
      </w:r>
      <w:bookmarkEnd w:id="1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5.3.1  运入施工场地的材料、工程设备，包括备品备件、安装专用工器具与随机资料，必须专用于合同工程，未经监理人同意，承包人不得运出施工场地或挪作他用。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2" w:name="_Toc189386147"/>
      <w:r>
        <w:rPr>
          <w:rFonts w:ascii="宋体" w:hAnsi="宋体"/>
          <w:b/>
          <w:bCs/>
          <w:color w:val="auto"/>
          <w:kern w:val="0"/>
          <w:sz w:val="24"/>
          <w:highlight w:val="none"/>
          <w:shd w:val="clear" w:color="auto" w:fill="auto"/>
        </w:rPr>
        <w:t>5.4 禁止使用不合格的材料和工程设备</w:t>
      </w:r>
      <w:bookmarkEnd w:id="14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5.4.1  监理人有权拒绝承包人提供的不合格材料或工程设备，并要求承包人立即进行更换。监理人应在更换后再次进行检查和检验，由此增加的费用和（或）工期延误由承包人承担。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5.4.2  监理人发现承包人使用了不合格的材料和工程设备，应即时发出指示要求承包人立即改正，并禁止在工程中继续使用不合格的材料和工程设备。</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5.4.3  发包人提供的材料或工程设备不符合合同要求的，承包人有权拒绝，并可要求发包人更换，由此增加的费用和（或）工期延误由发包人承担。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3" w:name="_Toc189386148"/>
      <w:bookmarkStart w:id="144" w:name="_Toc76056671"/>
      <w:r>
        <w:rPr>
          <w:rFonts w:ascii="宋体" w:hAnsi="宋体"/>
          <w:bCs w:val="0"/>
          <w:color w:val="auto"/>
          <w:sz w:val="24"/>
          <w:szCs w:val="24"/>
          <w:highlight w:val="none"/>
          <w:shd w:val="clear" w:color="auto" w:fill="auto"/>
        </w:rPr>
        <w:t>6．施工设备和临时设施</w:t>
      </w:r>
      <w:bookmarkEnd w:id="143"/>
      <w:bookmarkEnd w:id="14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5" w:name="_Toc189386149"/>
      <w:r>
        <w:rPr>
          <w:rFonts w:ascii="宋体" w:hAnsi="宋体"/>
          <w:b/>
          <w:bCs/>
          <w:color w:val="auto"/>
          <w:kern w:val="0"/>
          <w:sz w:val="24"/>
          <w:highlight w:val="none"/>
          <w:shd w:val="clear" w:color="auto" w:fill="auto"/>
        </w:rPr>
        <w:t>6.1承包人提供的施工设备和临时设施</w:t>
      </w:r>
      <w:bookmarkEnd w:id="1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6.1.1  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6.1.2  除专用合同条款另有约定外，承包人应自行承担修建临时设施的费用，需要临时占地的，应由发包人办理申请手续并承担相应费用。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6" w:name="_Toc189386150"/>
      <w:r>
        <w:rPr>
          <w:rFonts w:ascii="宋体" w:hAnsi="宋体"/>
          <w:b/>
          <w:bCs/>
          <w:color w:val="auto"/>
          <w:kern w:val="0"/>
          <w:sz w:val="24"/>
          <w:highlight w:val="none"/>
          <w:shd w:val="clear" w:color="auto" w:fill="auto"/>
        </w:rPr>
        <w:t>6.2 发包人提供的施工设备和临时设施</w:t>
      </w:r>
      <w:bookmarkEnd w:id="14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发包人提供的施工设备或临时设施在专用合同条款中约定。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7" w:name="_Toc189386151"/>
      <w:r>
        <w:rPr>
          <w:rFonts w:ascii="宋体" w:hAnsi="宋体"/>
          <w:b/>
          <w:bCs/>
          <w:color w:val="auto"/>
          <w:kern w:val="0"/>
          <w:sz w:val="24"/>
          <w:highlight w:val="none"/>
          <w:shd w:val="clear" w:color="auto" w:fill="auto"/>
        </w:rPr>
        <w:t>6.3 要求承包人增加或更换施工设备</w:t>
      </w:r>
      <w:bookmarkEnd w:id="14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承包人使用的施工设备不能满足合同进度计划和（或）质量要求时，监理人有权要求承包人增加或更换施工设备，承包人应及时增加或更换，由此增加的费用和（或）工期延误由承包人承担。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8" w:name="_Toc189386152"/>
      <w:r>
        <w:rPr>
          <w:rFonts w:ascii="宋体" w:hAnsi="宋体"/>
          <w:b/>
          <w:bCs/>
          <w:color w:val="auto"/>
          <w:kern w:val="0"/>
          <w:sz w:val="24"/>
          <w:highlight w:val="none"/>
          <w:shd w:val="clear" w:color="auto" w:fill="auto"/>
        </w:rPr>
        <w:t>6.4 施工设备和临时设施专用于合同工程</w:t>
      </w:r>
      <w:bookmarkEnd w:id="14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6.4.1  除合同另有约定外，运入施工场地的所有施工设备以及在施工场地建设的临时设施应专用于合同工程。未经监理人同意，不得将上述施工设备和临时设施中的任何部分运出施工场地或挪作他用。</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6.4.2  经监理人同意，承包人可根据合同进度计划撤走闲置的施工设备。</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9" w:name="_Toc76056672"/>
      <w:bookmarkStart w:id="150" w:name="_Toc189386153"/>
      <w:r>
        <w:rPr>
          <w:rFonts w:ascii="宋体" w:hAnsi="宋体"/>
          <w:bCs w:val="0"/>
          <w:color w:val="auto"/>
          <w:sz w:val="24"/>
          <w:szCs w:val="24"/>
          <w:highlight w:val="none"/>
          <w:shd w:val="clear" w:color="auto" w:fill="auto"/>
        </w:rPr>
        <w:t>7．交通运输</w:t>
      </w:r>
      <w:bookmarkEnd w:id="149"/>
      <w:bookmarkEnd w:id="15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1" w:name="_Toc189386154"/>
      <w:r>
        <w:rPr>
          <w:rFonts w:ascii="宋体" w:hAnsi="宋体"/>
          <w:b/>
          <w:bCs/>
          <w:color w:val="auto"/>
          <w:kern w:val="0"/>
          <w:sz w:val="24"/>
          <w:highlight w:val="none"/>
          <w:shd w:val="clear" w:color="auto" w:fill="auto"/>
        </w:rPr>
        <w:t>7.1道路通行权和场外设施</w:t>
      </w:r>
      <w:bookmarkEnd w:id="15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2" w:name="_Toc511317340"/>
      <w:bookmarkStart w:id="153" w:name="_Toc189386155"/>
      <w:bookmarkStart w:id="154" w:name="_Toc511318089"/>
      <w:r>
        <w:rPr>
          <w:rFonts w:ascii="宋体" w:hAnsi="宋体"/>
          <w:b/>
          <w:bCs/>
          <w:color w:val="auto"/>
          <w:kern w:val="0"/>
          <w:sz w:val="24"/>
          <w:highlight w:val="none"/>
          <w:shd w:val="clear" w:color="auto" w:fill="auto"/>
        </w:rPr>
        <w:t>7.2 场内施工道路</w:t>
      </w:r>
      <w:bookmarkEnd w:id="152"/>
      <w:bookmarkEnd w:id="153"/>
      <w:bookmarkEnd w:id="15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7.2.2  承包人修建的临时道路和交通设施，应免费提供发包人、监理人以及与本合同有关的其他承包人使用。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5" w:name="_Toc189386156"/>
      <w:bookmarkStart w:id="156" w:name="_Toc511317341"/>
      <w:bookmarkStart w:id="157" w:name="_Toc511318090"/>
      <w:r>
        <w:rPr>
          <w:rFonts w:ascii="宋体" w:hAnsi="宋体"/>
          <w:b/>
          <w:bCs/>
          <w:color w:val="auto"/>
          <w:kern w:val="0"/>
          <w:sz w:val="24"/>
          <w:highlight w:val="none"/>
          <w:shd w:val="clear" w:color="auto" w:fill="auto"/>
        </w:rPr>
        <w:t>7.3 场外交通</w:t>
      </w:r>
      <w:bookmarkEnd w:id="155"/>
      <w:bookmarkEnd w:id="156"/>
      <w:bookmarkEnd w:id="15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7.3.1  承包人车辆外出行驶所需的场外公共道路的通行费、养路费和税款等由承包人承担。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7.3.2  承包人应遵守有关交通法规，严格按照道路和桥梁的限制荷重安全行驶，并服从交通管理部门的检查和监督。</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8" w:name="_Toc511318091"/>
      <w:bookmarkStart w:id="159" w:name="_Toc189386157"/>
      <w:bookmarkStart w:id="160" w:name="_Toc511317342"/>
      <w:r>
        <w:rPr>
          <w:rFonts w:ascii="宋体" w:hAnsi="宋体"/>
          <w:b/>
          <w:bCs/>
          <w:color w:val="auto"/>
          <w:kern w:val="0"/>
          <w:sz w:val="24"/>
          <w:highlight w:val="none"/>
          <w:shd w:val="clear" w:color="auto" w:fill="auto"/>
        </w:rPr>
        <w:t>7.4 超大件和超重件的运输</w:t>
      </w:r>
      <w:bookmarkEnd w:id="158"/>
      <w:bookmarkEnd w:id="159"/>
      <w:bookmarkEnd w:id="16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1" w:name="_Toc511317343"/>
      <w:bookmarkStart w:id="162" w:name="_Toc189386158"/>
      <w:bookmarkStart w:id="163" w:name="_Toc511318092"/>
      <w:r>
        <w:rPr>
          <w:rFonts w:ascii="宋体" w:hAnsi="宋体"/>
          <w:b/>
          <w:bCs/>
          <w:color w:val="auto"/>
          <w:kern w:val="0"/>
          <w:sz w:val="24"/>
          <w:highlight w:val="none"/>
          <w:shd w:val="clear" w:color="auto" w:fill="auto"/>
        </w:rPr>
        <w:t>7.5 道路和桥梁的损坏责任</w:t>
      </w:r>
      <w:bookmarkEnd w:id="161"/>
      <w:bookmarkEnd w:id="162"/>
      <w:bookmarkEnd w:id="16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因承包人运输造成施工场地内外公共道路和桥梁损坏的，由承包人承担修复损坏的全部费用和可能引起的赔偿。</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4" w:name="_Toc511318093"/>
      <w:bookmarkStart w:id="165" w:name="_Toc511317344"/>
      <w:bookmarkStart w:id="166" w:name="_Toc189386159"/>
      <w:r>
        <w:rPr>
          <w:rFonts w:ascii="宋体" w:hAnsi="宋体"/>
          <w:b/>
          <w:bCs/>
          <w:color w:val="auto"/>
          <w:kern w:val="0"/>
          <w:sz w:val="24"/>
          <w:highlight w:val="none"/>
          <w:shd w:val="clear" w:color="auto" w:fill="auto"/>
        </w:rPr>
        <w:t>7.6 水路和航空运输</w:t>
      </w:r>
      <w:bookmarkEnd w:id="164"/>
      <w:bookmarkEnd w:id="165"/>
      <w:bookmarkEnd w:id="166"/>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本条上述各款的内容适用于水路运输和航空运输，其中“道路”一词的涵义包括河道、航线、船闸、机场、码头、堤防以及水路或航空运输中其他相似结构物；“车辆”一词的涵义包括船舶和飞机等。</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67" w:name="_Toc189386160"/>
      <w:bookmarkStart w:id="168" w:name="_Toc76056673"/>
      <w:r>
        <w:rPr>
          <w:rFonts w:ascii="宋体" w:hAnsi="宋体"/>
          <w:bCs w:val="0"/>
          <w:color w:val="auto"/>
          <w:sz w:val="24"/>
          <w:szCs w:val="24"/>
          <w:highlight w:val="none"/>
          <w:shd w:val="clear" w:color="auto" w:fill="auto"/>
        </w:rPr>
        <w:t>8．测量放线</w:t>
      </w:r>
      <w:bookmarkEnd w:id="167"/>
      <w:bookmarkEnd w:id="16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9" w:name="_Toc189386161"/>
      <w:r>
        <w:rPr>
          <w:rFonts w:ascii="宋体" w:hAnsi="宋体"/>
          <w:b/>
          <w:bCs/>
          <w:color w:val="auto"/>
          <w:kern w:val="0"/>
          <w:sz w:val="24"/>
          <w:highlight w:val="none"/>
          <w:shd w:val="clear" w:color="auto" w:fill="auto"/>
        </w:rPr>
        <w:t>8.1施工控制网</w:t>
      </w:r>
      <w:bookmarkEnd w:id="16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8.1.2  承包人应负责管理施工控制网点。施工控制网点丢失或损坏的，承包人应及时修复。承包人应承担施工控制网点的管理与修复费用，并在工程竣工后将施工控制网点移交发包人。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0" w:name="_Toc189386162"/>
      <w:r>
        <w:rPr>
          <w:rFonts w:ascii="宋体" w:hAnsi="宋体"/>
          <w:b/>
          <w:bCs/>
          <w:color w:val="auto"/>
          <w:kern w:val="0"/>
          <w:sz w:val="24"/>
          <w:highlight w:val="none"/>
          <w:shd w:val="clear" w:color="auto" w:fill="auto"/>
        </w:rPr>
        <w:t>8.2 施工测量</w:t>
      </w:r>
      <w:bookmarkEnd w:id="1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8.2.1  承包人应负责施工过程中的全部施工测量放线工作，并配置合格的人员、仪器、设备和其他物品。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8.2.2  监理人可以指示承包人进行抽样复测，当复测中发现错误或出现超过合同约定的误差时，承包人应按监理人指示进行修正或补测，并承担相应的复测费用。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1" w:name="_Toc189386163"/>
      <w:r>
        <w:rPr>
          <w:rFonts w:ascii="宋体" w:hAnsi="宋体"/>
          <w:b/>
          <w:bCs/>
          <w:color w:val="auto"/>
          <w:kern w:val="0"/>
          <w:sz w:val="24"/>
          <w:highlight w:val="none"/>
          <w:shd w:val="clear" w:color="auto" w:fill="auto"/>
        </w:rPr>
        <w:t>8.3 基准资料错误的责任</w:t>
      </w:r>
      <w:bookmarkEnd w:id="17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2" w:name="_Toc189386164"/>
      <w:r>
        <w:rPr>
          <w:rFonts w:ascii="宋体" w:hAnsi="宋体"/>
          <w:b/>
          <w:bCs/>
          <w:color w:val="auto"/>
          <w:kern w:val="0"/>
          <w:sz w:val="24"/>
          <w:highlight w:val="none"/>
          <w:shd w:val="clear" w:color="auto" w:fill="auto"/>
        </w:rPr>
        <w:t>8.4 监理人使用施工控制网</w:t>
      </w:r>
      <w:bookmarkEnd w:id="17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监理人需要使用施工控制网的，承包人应提供必要的协助，发包人不再为此支付费用。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8.5  补充地质勘探</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73" w:name="_Toc76056674"/>
      <w:bookmarkStart w:id="174" w:name="_Toc189386165"/>
      <w:r>
        <w:rPr>
          <w:rFonts w:ascii="宋体" w:hAnsi="宋体"/>
          <w:bCs w:val="0"/>
          <w:color w:val="auto"/>
          <w:sz w:val="24"/>
          <w:szCs w:val="24"/>
          <w:highlight w:val="none"/>
          <w:shd w:val="clear" w:color="auto" w:fill="auto"/>
        </w:rPr>
        <w:t>9．施工安全、治安保卫和环境保护</w:t>
      </w:r>
      <w:bookmarkEnd w:id="173"/>
      <w:bookmarkEnd w:id="17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5" w:name="_Toc189386166"/>
      <w:r>
        <w:rPr>
          <w:rFonts w:ascii="宋体" w:hAnsi="宋体"/>
          <w:b/>
          <w:bCs/>
          <w:color w:val="auto"/>
          <w:kern w:val="0"/>
          <w:sz w:val="24"/>
          <w:highlight w:val="none"/>
          <w:shd w:val="clear" w:color="auto" w:fill="auto"/>
        </w:rPr>
        <w:t>9.1发包人的施工安全责任</w:t>
      </w:r>
      <w:bookmarkEnd w:id="17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9.1.2  发包人应对其现场机构雇佣的全部人员的工伤事故承担责任，但由于承包人原因造成发包人人员工伤的，应由承包人承担责任。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9.1.3  发包人应负责赔偿以下各种情况造成的第三者人身伤亡和财产损失：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（1）工程或工程的任何部分对土地的占用所造成的第三者财产损失；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（2）由于发包人原因在施工场地及其毗邻地带造成的第三者人身伤亡和财产损失。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9.1.5  发包人按照已标价工程量清单所列金额和合同约定的计量支付规定，支付安全作业环境及安全施工措施所需费用。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9.1.6  发包人负责组织工程参建单位编制保证安全生产的措施方案。工程开工前，就落实保证安全生产的措施进行全面系统的布置，进一步明确承包人的安全生产责任。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9.1.7  发包人负责在拆除工程和爆破工程施工14天前向有关部门或机构报送相关备案资料。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6" w:name="_Toc189386167"/>
      <w:bookmarkStart w:id="177" w:name="_Toc511317347"/>
      <w:bookmarkStart w:id="178" w:name="_Toc511318096"/>
      <w:r>
        <w:rPr>
          <w:rFonts w:ascii="宋体" w:hAnsi="宋体"/>
          <w:b/>
          <w:bCs/>
          <w:color w:val="auto"/>
          <w:kern w:val="0"/>
          <w:sz w:val="24"/>
          <w:highlight w:val="none"/>
          <w:shd w:val="clear" w:color="auto" w:fill="auto"/>
        </w:rPr>
        <w:t>9.2 承包人的施工安全责任</w:t>
      </w:r>
      <w:bookmarkEnd w:id="176"/>
      <w:bookmarkEnd w:id="177"/>
      <w:bookmarkEnd w:id="17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9.2.2  承包人应加强施工作业安全管理，特别应加强易燃、易爆材料、火工器材、有毒与腐蚀性材料和其他危险品的管理，以及对爆破作业和地下工程施工等危险作业的管理。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9.2.3  承包人应严格按照国家安全标准制定施工安全操作规程，配备必要的安全生产和劳动保护设施，加强对承包人人员的安全教育，并发放安全工作手册和劳动保护用具。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9.2.4  承包人应按监理人的指示制定应对灾害的紧急预案，报送监理人审批。承包人还应按预案做好安全检查，配置必要的救助物资和器材，切实保护好有关人员的人身和财产安全。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9.2.5  合同约定的安全作业环境及安全施工措施所需费用应遵守有关规定，并包括在相关工作的合同价格中。因采取合同未约定的安全作业环境及安全施工措施增加的费用，由监理人按第3.5款商定或确定。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9.2.6  承包人应对其履行合同所雇佣的全部人员，包括分包人人员的工伤事故承担责任，但由于发包人原因造成承包人人员工伤事故的，应由发包人承担责任。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9.2.7  由于承包人原因在施工场地内及其毗邻地带造成的第三者人员伤亡和财产损失，由承包人负责赔偿。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9.2.8  承包人已标价工程量清单应包含工程安全作业环境及安全施工措施所需费用。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9.2.10  承包人应设立安全生产管理机构，施工现场应有专职安全生产管理人员。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9.2.11  承包人应负责对特种作业人员进行专门的安全作业培训，并保证特种作业人员持证上岗。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9.2.13  承包人在使用施工起重机械和整体提升脚手架、模板等自升式架设设施前，应组织有关单位进行验收。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9" w:name="_Toc511318097"/>
      <w:bookmarkStart w:id="180" w:name="_Toc189386168"/>
      <w:bookmarkStart w:id="181" w:name="_Toc511317348"/>
      <w:r>
        <w:rPr>
          <w:rFonts w:ascii="宋体" w:hAnsi="宋体"/>
          <w:b/>
          <w:bCs/>
          <w:color w:val="auto"/>
          <w:kern w:val="0"/>
          <w:sz w:val="24"/>
          <w:highlight w:val="none"/>
          <w:shd w:val="clear" w:color="auto" w:fill="auto"/>
        </w:rPr>
        <w:t>9.3 治安保卫</w:t>
      </w:r>
      <w:bookmarkEnd w:id="179"/>
      <w:bookmarkEnd w:id="180"/>
      <w:bookmarkEnd w:id="18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9.3.1  除合同另有约定外，发包人应与当地公安部门协商，在现场建立治安管理机构或联防组织，统一管理施工场地的治安保卫事项，履行合同工程的治安保卫职责。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9.3.2  发包人和承包人除应协助现场治安管理机构或联防组织维护施工场地的社会治安外，还应做好包括生活区在内的各自管辖区的治安保卫工作。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2" w:name="_Toc511318098"/>
      <w:bookmarkStart w:id="183" w:name="_Toc511317349"/>
      <w:bookmarkStart w:id="184" w:name="_Toc189386169"/>
      <w:r>
        <w:rPr>
          <w:rFonts w:ascii="宋体" w:hAnsi="宋体"/>
          <w:b/>
          <w:bCs/>
          <w:color w:val="auto"/>
          <w:kern w:val="0"/>
          <w:sz w:val="24"/>
          <w:highlight w:val="none"/>
          <w:shd w:val="clear" w:color="auto" w:fill="auto"/>
        </w:rPr>
        <w:t>9.4 环境保护</w:t>
      </w:r>
      <w:bookmarkEnd w:id="182"/>
      <w:bookmarkEnd w:id="183"/>
      <w:bookmarkEnd w:id="18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9.4.1  承包人在施工过程中，应遵守有关环境保护的法律，履行合同约定的环境保护义务，并对违反法律和合同约定义务所造成的环境破坏、人身伤害和财产损失负责。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9.4.2  承包人应按合同约定的环保工作内容，编制施工环保措施计划，报送监理人审批。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9.4.4  承包人应按合同约定采取有效措施，对施工开挖的边坡及时进行支护,维护排水设施，并进行水土保护，避免因施工造成的地质灾害。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9.4.5  承包人应按国家饮用水管理标准定期对饮用水源进行监测，防止施工活动污染饮用水源。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9.4.6  承包人应按合同约定，加强对噪声、粉尘、废气、废水和废油的控制，努力降低噪声，控制粉尘和废气浓度，做好废水和废油的治理和排放。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5" w:name="_Toc511317350"/>
      <w:bookmarkStart w:id="186" w:name="_Toc511318099"/>
      <w:bookmarkStart w:id="187" w:name="_Toc189386170"/>
      <w:r>
        <w:rPr>
          <w:rFonts w:ascii="宋体" w:hAnsi="宋体"/>
          <w:b/>
          <w:bCs/>
          <w:color w:val="auto"/>
          <w:kern w:val="0"/>
          <w:sz w:val="24"/>
          <w:highlight w:val="none"/>
          <w:shd w:val="clear" w:color="auto" w:fill="auto"/>
        </w:rPr>
        <w:t>9.5 事故处理</w:t>
      </w:r>
      <w:bookmarkEnd w:id="185"/>
      <w:bookmarkEnd w:id="186"/>
      <w:bookmarkEnd w:id="18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9.5.1  发包人负责组织参建单位制定本工程的质量与安全事故应急预案，建立质量与安全事故应急处置指挥部。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9.5.2  承包人应对施工现场易发生重大事故的部位、环节进行监控，配备救援器材、设备，并定期组织演练。</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9.5.3  工程开工前，承包人应根据本工程的特点制定施工现场施工质量与安全事故应急预案，并报发包人备案。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9.5.4  施工过程中发生事故时，发包人、承包人应立即启动应急预案。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9.5.5  事故调查处理由发包人按相关规定履行手续，承包人应配合。</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8" w:name="_Toc511318100"/>
      <w:bookmarkStart w:id="189" w:name="_Toc511317351"/>
      <w:r>
        <w:rPr>
          <w:rFonts w:ascii="宋体" w:hAnsi="宋体"/>
          <w:b/>
          <w:bCs/>
          <w:color w:val="auto"/>
          <w:kern w:val="0"/>
          <w:sz w:val="24"/>
          <w:highlight w:val="none"/>
          <w:shd w:val="clear" w:color="auto" w:fill="auto"/>
        </w:rPr>
        <w:t>9.6  水土保持</w:t>
      </w:r>
      <w:bookmarkEnd w:id="188"/>
      <w:bookmarkEnd w:id="18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9.6.1  发包人应及时向承包人提供水土保持方案。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9.6.2  承包人在施工过程中，应遵守有关水土保持的法律法规和规章，履行合同约定的水土保持义务，并对其违反法律和合同约定义务所造成的水土流失灾害、人身伤害和财产损失负责。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9.6.3  承包人的水土保持措施计划，应满足技术标准和要求（合同技术条款）约定的要求。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0" w:name="_Toc511317352"/>
      <w:bookmarkStart w:id="191" w:name="_Toc511318101"/>
      <w:r>
        <w:rPr>
          <w:rFonts w:ascii="宋体" w:hAnsi="宋体"/>
          <w:b/>
          <w:bCs/>
          <w:color w:val="auto"/>
          <w:kern w:val="0"/>
          <w:sz w:val="24"/>
          <w:highlight w:val="none"/>
          <w:shd w:val="clear" w:color="auto" w:fill="auto"/>
        </w:rPr>
        <w:t xml:space="preserve">9.7  </w:t>
      </w:r>
      <w:r>
        <w:rPr>
          <w:rFonts w:hint="eastAsia" w:ascii="宋体" w:hAnsi="宋体"/>
          <w:b/>
          <w:bCs/>
          <w:color w:val="auto"/>
          <w:kern w:val="0"/>
          <w:sz w:val="24"/>
          <w:highlight w:val="none"/>
          <w:shd w:val="clear" w:color="auto" w:fill="auto"/>
        </w:rPr>
        <w:t>行业</w:t>
      </w:r>
      <w:r>
        <w:rPr>
          <w:rFonts w:ascii="宋体" w:hAnsi="宋体"/>
          <w:b/>
          <w:bCs/>
          <w:color w:val="auto"/>
          <w:kern w:val="0"/>
          <w:sz w:val="24"/>
          <w:highlight w:val="none"/>
          <w:shd w:val="clear" w:color="auto" w:fill="auto"/>
        </w:rPr>
        <w:t>文明工地</w:t>
      </w:r>
      <w:bookmarkEnd w:id="190"/>
      <w:bookmarkEnd w:id="191"/>
      <w:r>
        <w:rPr>
          <w:rFonts w:hint="eastAsia" w:ascii="宋体" w:hAnsi="宋体"/>
          <w:b/>
          <w:bCs/>
          <w:color w:val="auto"/>
          <w:kern w:val="0"/>
          <w:sz w:val="24"/>
          <w:highlight w:val="none"/>
          <w:shd w:val="clear" w:color="auto" w:fill="auto"/>
        </w:rPr>
        <w:t>和平安工地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9.7.1  发包人应按专用合同条款的约定，负责建立创建文明工地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的组织机构，制定创建文明工地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9.7.2  承包人应按创建文明工地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的规划和办法，履行职责，承担相应责任。所需费用应含在已标价工程量清单中。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2" w:name="_Toc511317353"/>
      <w:bookmarkStart w:id="193" w:name="_Toc511318102"/>
      <w:r>
        <w:rPr>
          <w:rFonts w:ascii="宋体" w:hAnsi="宋体"/>
          <w:b/>
          <w:bCs/>
          <w:color w:val="auto"/>
          <w:kern w:val="0"/>
          <w:sz w:val="24"/>
          <w:highlight w:val="none"/>
          <w:shd w:val="clear" w:color="auto" w:fill="auto"/>
        </w:rPr>
        <w:t>9.8  防汛度汛</w:t>
      </w:r>
      <w:bookmarkEnd w:id="192"/>
      <w:bookmarkEnd w:id="19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9.8.1  发包人负责组织工程参建单位编制本工程的度汛方案和措施。</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9.8.2  承包人应根据发包人编制的本工程度汛方案和措施，制定相应的度汛方案，报发包人批准后实施。</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94" w:name="_Toc189386171"/>
      <w:bookmarkStart w:id="195" w:name="_Toc76056675"/>
      <w:r>
        <w:rPr>
          <w:rFonts w:ascii="宋体" w:hAnsi="宋体"/>
          <w:bCs w:val="0"/>
          <w:color w:val="auto"/>
          <w:sz w:val="24"/>
          <w:szCs w:val="24"/>
          <w:highlight w:val="none"/>
          <w:shd w:val="clear" w:color="auto" w:fill="auto"/>
        </w:rPr>
        <w:t>10．进度计划</w:t>
      </w:r>
      <w:bookmarkEnd w:id="194"/>
      <w:bookmarkEnd w:id="19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6" w:name="_Toc189386172"/>
      <w:bookmarkStart w:id="197" w:name="_Toc511318104"/>
      <w:bookmarkStart w:id="198" w:name="_Toc511317355"/>
      <w:r>
        <w:rPr>
          <w:rFonts w:ascii="宋体" w:hAnsi="宋体"/>
          <w:b/>
          <w:bCs/>
          <w:color w:val="auto"/>
          <w:kern w:val="0"/>
          <w:sz w:val="24"/>
          <w:highlight w:val="none"/>
          <w:shd w:val="clear" w:color="auto" w:fill="auto"/>
        </w:rPr>
        <w:t>10.1 合同进度计划</w:t>
      </w:r>
      <w:bookmarkEnd w:id="196"/>
      <w:bookmarkEnd w:id="197"/>
      <w:bookmarkEnd w:id="19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9" w:name="_Toc189386173"/>
      <w:bookmarkStart w:id="200" w:name="_Toc511317356"/>
      <w:bookmarkStart w:id="201" w:name="_Toc511318105"/>
      <w:r>
        <w:rPr>
          <w:rFonts w:ascii="宋体" w:hAnsi="宋体"/>
          <w:b/>
          <w:bCs/>
          <w:color w:val="auto"/>
          <w:kern w:val="0"/>
          <w:sz w:val="24"/>
          <w:highlight w:val="none"/>
          <w:shd w:val="clear" w:color="auto" w:fill="auto"/>
        </w:rPr>
        <w:t>10.2 合同进度计划的修订</w:t>
      </w:r>
      <w:bookmarkEnd w:id="199"/>
      <w:bookmarkEnd w:id="200"/>
      <w:bookmarkEnd w:id="20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2" w:name="_Toc511318106"/>
      <w:bookmarkStart w:id="203" w:name="_Toc511317357"/>
      <w:r>
        <w:rPr>
          <w:rFonts w:ascii="宋体" w:hAnsi="宋体"/>
          <w:b/>
          <w:bCs/>
          <w:color w:val="auto"/>
          <w:kern w:val="0"/>
          <w:sz w:val="24"/>
          <w:highlight w:val="none"/>
          <w:shd w:val="clear" w:color="auto" w:fill="auto"/>
        </w:rPr>
        <w:t>10.3  单位工程进度计划</w:t>
      </w:r>
      <w:bookmarkEnd w:id="202"/>
      <w:bookmarkEnd w:id="20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监理人认为有必要时，承包人应按监理人指示的内容和期限，并根据合同进度计划的进度控制要求，编制单位工程进度计划，提交监理人审批。</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bookmarkStart w:id="204" w:name="_Toc189386174"/>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05" w:name="_Toc76056676"/>
      <w:r>
        <w:rPr>
          <w:rFonts w:ascii="宋体" w:hAnsi="宋体"/>
          <w:bCs w:val="0"/>
          <w:color w:val="auto"/>
          <w:sz w:val="24"/>
          <w:szCs w:val="24"/>
          <w:highlight w:val="none"/>
          <w:shd w:val="clear" w:color="auto" w:fill="auto"/>
        </w:rPr>
        <w:t>11．开工和竣工</w:t>
      </w:r>
      <w:bookmarkEnd w:id="204"/>
      <w:bookmarkEnd w:id="20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6" w:name="_Toc511317360"/>
      <w:bookmarkStart w:id="207" w:name="_Toc189386175"/>
      <w:bookmarkStart w:id="208" w:name="_Toc511318109"/>
      <w:r>
        <w:rPr>
          <w:rFonts w:ascii="宋体" w:hAnsi="宋体"/>
          <w:b/>
          <w:bCs/>
          <w:color w:val="auto"/>
          <w:kern w:val="0"/>
          <w:sz w:val="24"/>
          <w:highlight w:val="none"/>
          <w:shd w:val="clear" w:color="auto" w:fill="auto"/>
        </w:rPr>
        <w:t>11.1 开工</w:t>
      </w:r>
      <w:bookmarkEnd w:id="206"/>
      <w:bookmarkEnd w:id="207"/>
      <w:bookmarkEnd w:id="2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11.1.1  监理人应在开工日期7天前向承包人发出开工通知。监理人在发出开工通知前应获得发包人同意。工期自监理人发出的开工通知中载明的开工日期起计算。承包人应在开工日期后尽快施工。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11.1.3  若发包人未能按合同约定向承包人提供开工的必要条件，承包人有权要求延长工期。监理人应在收到承包人的书面要求后，按第3.5款的约定，与合同双方商定或确定增加的费用和延长的工期。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9" w:name="_Toc189386176"/>
      <w:r>
        <w:rPr>
          <w:rFonts w:ascii="宋体" w:hAnsi="宋体"/>
          <w:b/>
          <w:bCs/>
          <w:color w:val="auto"/>
          <w:kern w:val="0"/>
          <w:sz w:val="24"/>
          <w:highlight w:val="none"/>
          <w:shd w:val="clear" w:color="auto" w:fill="auto"/>
        </w:rPr>
        <w:t>11.2竣工</w:t>
      </w:r>
      <w:bookmarkEnd w:id="20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承包人应在第1.1.4.3目约定的期限内完成合同工程。合同工程实际完工日期在合同工程完工证书中明确。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0" w:name="_Toc511318110"/>
      <w:bookmarkStart w:id="211" w:name="_Toc189386177"/>
      <w:bookmarkStart w:id="212" w:name="_Toc511317361"/>
      <w:r>
        <w:rPr>
          <w:rFonts w:ascii="宋体" w:hAnsi="宋体"/>
          <w:b/>
          <w:bCs/>
          <w:color w:val="auto"/>
          <w:kern w:val="0"/>
          <w:sz w:val="24"/>
          <w:highlight w:val="none"/>
          <w:shd w:val="clear" w:color="auto" w:fill="auto"/>
        </w:rPr>
        <w:t>11.3 发包人的工期延误</w:t>
      </w:r>
      <w:bookmarkEnd w:id="210"/>
      <w:bookmarkEnd w:id="211"/>
      <w:bookmarkEnd w:id="21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在履行合同过程中，由于发包人的下列原因造成工期延误的，承包人有权要求发包人延长工期和（或）增加费用，并支付合理利润。需要修订合同进度计划的，按照第10.2 款的约定办理。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（1）增加合同工作内容；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（2）改变合同中任何一项工作的质量要求或其他特性；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（3）发包人迟延提供材料、工程设备或变更交货地点的；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（4）因发包人原因导致的暂停施工；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（5）提供图纸延误；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（6）未按合同约定及时支付预付款、进度款；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（7）发包人造成工期延误的其他原因。</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3" w:name="_Toc189386178"/>
      <w:bookmarkStart w:id="214" w:name="_Toc511318111"/>
      <w:bookmarkStart w:id="215" w:name="_Toc511317362"/>
      <w:r>
        <w:rPr>
          <w:rFonts w:ascii="宋体" w:hAnsi="宋体"/>
          <w:b/>
          <w:bCs/>
          <w:color w:val="auto"/>
          <w:kern w:val="0"/>
          <w:sz w:val="24"/>
          <w:highlight w:val="none"/>
          <w:shd w:val="clear" w:color="auto" w:fill="auto"/>
        </w:rPr>
        <w:t>11.4 异常恶劣的气候条件</w:t>
      </w:r>
      <w:bookmarkEnd w:id="213"/>
      <w:bookmarkEnd w:id="214"/>
      <w:bookmarkEnd w:id="21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11.4.1  当工程所在地发生危及施工安全的异常恶劣气候时，发包人和承包人应按本合同通用合同条款第12条的约定，及时采取暂停施工或部分暂停施工措施。异常恶劣气候条件解除后，承包人应及时安排复工。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11.4.2  异常恶劣气候条件造成的工期延误和工程损坏，应由发包人与承包人参照本合同通用合同条款第21.3款的约定协商处理。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11.4.3  本合同工程界定异常恶劣气候条件的范围在专用合同条款中约定。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6" w:name="_Toc511318112"/>
      <w:bookmarkStart w:id="217" w:name="_Toc511317363"/>
      <w:bookmarkStart w:id="218" w:name="_Toc189386179"/>
      <w:r>
        <w:rPr>
          <w:rFonts w:ascii="宋体" w:hAnsi="宋体"/>
          <w:b/>
          <w:bCs/>
          <w:color w:val="auto"/>
          <w:kern w:val="0"/>
          <w:sz w:val="24"/>
          <w:highlight w:val="none"/>
          <w:shd w:val="clear" w:color="auto" w:fill="auto"/>
        </w:rPr>
        <w:t>11.5 承包人的工期延误</w:t>
      </w:r>
      <w:bookmarkEnd w:id="216"/>
      <w:bookmarkEnd w:id="217"/>
      <w:bookmarkEnd w:id="2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9" w:name="_Toc189386180"/>
      <w:bookmarkStart w:id="220" w:name="_Toc511318113"/>
      <w:bookmarkStart w:id="221" w:name="_Toc511317364"/>
      <w:r>
        <w:rPr>
          <w:rFonts w:ascii="宋体" w:hAnsi="宋体"/>
          <w:b/>
          <w:bCs/>
          <w:color w:val="auto"/>
          <w:kern w:val="0"/>
          <w:sz w:val="24"/>
          <w:highlight w:val="none"/>
          <w:shd w:val="clear" w:color="auto" w:fill="auto"/>
        </w:rPr>
        <w:t>11.6 工期提前</w:t>
      </w:r>
      <w:bookmarkEnd w:id="219"/>
      <w:bookmarkEnd w:id="220"/>
      <w:bookmarkEnd w:id="2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发包人要求提前完工的，双方协商一致后应签订提前完工协议，协议内容包括：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（1）提前的时间和修订后的进度计划；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（2）承包人的赶工措施；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（3）发包人为赶工提供的条件；</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（4）赶工费用（包括利润和奖金）。</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22" w:name="_Toc76056677"/>
      <w:bookmarkStart w:id="223" w:name="_Toc189386181"/>
      <w:r>
        <w:rPr>
          <w:rFonts w:ascii="宋体" w:hAnsi="宋体"/>
          <w:bCs w:val="0"/>
          <w:color w:val="auto"/>
          <w:sz w:val="24"/>
          <w:szCs w:val="24"/>
          <w:highlight w:val="none"/>
          <w:shd w:val="clear" w:color="auto" w:fill="auto"/>
        </w:rPr>
        <w:t>12．暂停施工</w:t>
      </w:r>
      <w:bookmarkEnd w:id="222"/>
      <w:bookmarkEnd w:id="22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4" w:name="_Toc511318115"/>
      <w:bookmarkStart w:id="225" w:name="_Toc189386182"/>
      <w:bookmarkStart w:id="226" w:name="_Toc511317366"/>
      <w:r>
        <w:rPr>
          <w:rFonts w:ascii="宋体" w:hAnsi="宋体"/>
          <w:b/>
          <w:bCs/>
          <w:color w:val="auto"/>
          <w:kern w:val="0"/>
          <w:sz w:val="24"/>
          <w:highlight w:val="none"/>
          <w:shd w:val="clear" w:color="auto" w:fill="auto"/>
        </w:rPr>
        <w:t>12.1 承包人暂停施工的责任</w:t>
      </w:r>
      <w:bookmarkEnd w:id="224"/>
      <w:bookmarkEnd w:id="225"/>
      <w:bookmarkEnd w:id="22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因下列暂停施工增加的费用和（或）工期延误由承包人承担：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（2）由于承包人原因为工程合理施工和安全保障所必需的暂停施工；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（3）承包人擅自暂停施工；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（4）承包人其他原因引起的暂停施工；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（5）专用合同条款约定由承包人承担的其他暂停施工。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7" w:name="_Toc511318116"/>
      <w:bookmarkStart w:id="228" w:name="_Toc189386183"/>
      <w:bookmarkStart w:id="229" w:name="_Toc511317367"/>
      <w:r>
        <w:rPr>
          <w:rFonts w:ascii="宋体" w:hAnsi="宋体"/>
          <w:b/>
          <w:bCs/>
          <w:color w:val="auto"/>
          <w:kern w:val="0"/>
          <w:sz w:val="24"/>
          <w:highlight w:val="none"/>
          <w:shd w:val="clear" w:color="auto" w:fill="auto"/>
        </w:rPr>
        <w:t>12.2 发包人暂停施工的责任</w:t>
      </w:r>
      <w:bookmarkEnd w:id="227"/>
      <w:bookmarkEnd w:id="228"/>
      <w:bookmarkEnd w:id="2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由于发包人原因引起的暂停施工造成工期延误的，承包人有权要求发包人延长工期和（或）增加费用，并支付合理利润。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属于下列任何一种情况引起的暂停施工，均为发包人的责任：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（1）由于发包人违约引起的暂停施工；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（2）由于不可抗力的自然或社会因素引起的暂停施工；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（3）专用合同条款中约定的其它由于发包人原因引起的暂停施工。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0" w:name="_Toc189386184"/>
      <w:r>
        <w:rPr>
          <w:rFonts w:ascii="宋体" w:hAnsi="宋体"/>
          <w:b/>
          <w:bCs/>
          <w:color w:val="auto"/>
          <w:kern w:val="0"/>
          <w:sz w:val="24"/>
          <w:highlight w:val="none"/>
          <w:shd w:val="clear" w:color="auto" w:fill="auto"/>
        </w:rPr>
        <w:t>12.3 监理人暂停施工指示</w:t>
      </w:r>
      <w:bookmarkEnd w:id="2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12.3.1  监理人认为有必要时，可向承包人作出暂停施工的指示，承包人应按监理人指示暂停施工。不论由于何种原因引起的暂停施工，暂停施工期间承包人应负责妥善保护工程并提供安全保障。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1" w:name="_Toc189386185"/>
      <w:r>
        <w:rPr>
          <w:rFonts w:ascii="宋体" w:hAnsi="宋体"/>
          <w:b/>
          <w:bCs/>
          <w:color w:val="auto"/>
          <w:kern w:val="0"/>
          <w:sz w:val="24"/>
          <w:highlight w:val="none"/>
          <w:shd w:val="clear" w:color="auto" w:fill="auto"/>
        </w:rPr>
        <w:t>12.4 暂停施工后的复工</w:t>
      </w:r>
      <w:bookmarkEnd w:id="2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12.4.2  承包人无故拖延和拒绝复工的，由此增加的费用和工期延误由承包人承担；因发包人原因无法按时复工的，承包人有权要求发包人延长工期和（或）增加费用，并支付合理利润。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2" w:name="_Toc189386186"/>
      <w:r>
        <w:rPr>
          <w:rFonts w:ascii="宋体" w:hAnsi="宋体"/>
          <w:b/>
          <w:bCs/>
          <w:color w:val="auto"/>
          <w:kern w:val="0"/>
          <w:sz w:val="24"/>
          <w:highlight w:val="none"/>
          <w:shd w:val="clear" w:color="auto" w:fill="auto"/>
        </w:rPr>
        <w:t>12.5 暂停施工持续56天以上</w:t>
      </w:r>
      <w:bookmarkEnd w:id="23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12.5.2  由于承包人责任引起的暂停施工，如承包人在收到监理人暂停施工指示后56 天内不认真采取有效的复工措施，造成工期延误，可视为承包人违约，应按第22.1 款的规定办理。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33" w:name="_Toc189386187"/>
      <w:bookmarkStart w:id="234" w:name="_Toc76056678"/>
      <w:r>
        <w:rPr>
          <w:rFonts w:ascii="宋体" w:hAnsi="宋体"/>
          <w:bCs w:val="0"/>
          <w:color w:val="auto"/>
          <w:sz w:val="24"/>
          <w:szCs w:val="24"/>
          <w:highlight w:val="none"/>
          <w:shd w:val="clear" w:color="auto" w:fill="auto"/>
        </w:rPr>
        <w:t>13．工程质量</w:t>
      </w:r>
      <w:bookmarkEnd w:id="233"/>
      <w:bookmarkEnd w:id="23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5" w:name="_Toc189386188"/>
      <w:bookmarkStart w:id="236" w:name="_Toc511318118"/>
      <w:bookmarkStart w:id="237" w:name="_Toc511317369"/>
      <w:r>
        <w:rPr>
          <w:rFonts w:ascii="宋体" w:hAnsi="宋体"/>
          <w:b/>
          <w:bCs/>
          <w:color w:val="auto"/>
          <w:kern w:val="0"/>
          <w:sz w:val="24"/>
          <w:highlight w:val="none"/>
          <w:shd w:val="clear" w:color="auto" w:fill="auto"/>
        </w:rPr>
        <w:t>13.1 工程质量要求</w:t>
      </w:r>
      <w:bookmarkEnd w:id="235"/>
      <w:bookmarkEnd w:id="236"/>
      <w:bookmarkEnd w:id="23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13.1.1  工程质量验收按合同约定验收标准执行。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13.1.2  因承包人原因造成工程质量达不到合同约定验收标准的，监理人有权要求承包人返工直至符合合同要求为止，由此造成的费用增加和（或）工期延误由承包人承担。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13.1.3  因发包人原因造成工程质量达不到合同约定验收标准的，发包人应承担由于承包人返工造成的费用增加和（或）工期延误，并支付承包人合理利润。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8" w:name="_Toc189386189"/>
      <w:bookmarkStart w:id="239" w:name="_Toc511318119"/>
      <w:bookmarkStart w:id="240" w:name="_Toc511317370"/>
      <w:r>
        <w:rPr>
          <w:rFonts w:ascii="宋体" w:hAnsi="宋体"/>
          <w:b/>
          <w:bCs/>
          <w:color w:val="auto"/>
          <w:kern w:val="0"/>
          <w:sz w:val="24"/>
          <w:highlight w:val="none"/>
          <w:shd w:val="clear" w:color="auto" w:fill="auto"/>
        </w:rPr>
        <w:t>13.2 承包人的质量管理</w:t>
      </w:r>
      <w:bookmarkEnd w:id="238"/>
      <w:bookmarkEnd w:id="239"/>
      <w:bookmarkEnd w:id="2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13.2.2  承包人应加强对施工人员的质量教育和技术培训，定期考核施工人员的劳动技能，严格执行规范和操作规程。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1" w:name="_Toc511317371"/>
      <w:bookmarkStart w:id="242" w:name="_Toc189386190"/>
      <w:bookmarkStart w:id="243" w:name="_Toc511318120"/>
      <w:r>
        <w:rPr>
          <w:rFonts w:ascii="宋体" w:hAnsi="宋体"/>
          <w:b/>
          <w:bCs/>
          <w:color w:val="auto"/>
          <w:kern w:val="0"/>
          <w:sz w:val="24"/>
          <w:highlight w:val="none"/>
          <w:shd w:val="clear" w:color="auto" w:fill="auto"/>
        </w:rPr>
        <w:t>13.3 承包人的质量检查</w:t>
      </w:r>
      <w:bookmarkEnd w:id="241"/>
      <w:bookmarkEnd w:id="242"/>
      <w:bookmarkEnd w:id="24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承包人应按合同约定对材料、工程设备以及工程的所有部位及其施工工艺进行全过程的质量检查和检验，并作详细记录，编制工程质量报表，报送监理人审查。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4" w:name="_Toc511317372"/>
      <w:bookmarkStart w:id="245" w:name="_Toc511318121"/>
      <w:bookmarkStart w:id="246" w:name="_Toc189386191"/>
      <w:r>
        <w:rPr>
          <w:rFonts w:ascii="宋体" w:hAnsi="宋体"/>
          <w:b/>
          <w:bCs/>
          <w:color w:val="auto"/>
          <w:kern w:val="0"/>
          <w:sz w:val="24"/>
          <w:highlight w:val="none"/>
          <w:shd w:val="clear" w:color="auto" w:fill="auto"/>
        </w:rPr>
        <w:t>13.4 监理人的质量检查</w:t>
      </w:r>
      <w:bookmarkEnd w:id="244"/>
      <w:bookmarkEnd w:id="245"/>
      <w:bookmarkEnd w:id="24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7" w:name="_Toc511317373"/>
      <w:bookmarkStart w:id="248" w:name="_Toc189386192"/>
      <w:bookmarkStart w:id="249" w:name="_Toc511318122"/>
      <w:r>
        <w:rPr>
          <w:rFonts w:ascii="宋体" w:hAnsi="宋体"/>
          <w:b/>
          <w:bCs/>
          <w:color w:val="auto"/>
          <w:kern w:val="0"/>
          <w:sz w:val="24"/>
          <w:highlight w:val="none"/>
          <w:shd w:val="clear" w:color="auto" w:fill="auto"/>
        </w:rPr>
        <w:t>13.5 工程隐蔽部位覆盖前的检查</w:t>
      </w:r>
      <w:bookmarkEnd w:id="247"/>
      <w:bookmarkEnd w:id="248"/>
      <w:bookmarkEnd w:id="249"/>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13.5.1  通知监理人检查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13.5.2  监理人未到场检查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13.5.3  监理人重新检查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13.5.4  承包人私自覆盖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承包人未通知监理人到场检查，私自将工程隐蔽部位覆盖的，监理人有权指示承包人钻孔探测或揭开检查，由此增加的费用和（或）工期延误由承包人承担。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0" w:name="_Toc189386193"/>
      <w:bookmarkStart w:id="251" w:name="_Toc511318123"/>
      <w:bookmarkStart w:id="252" w:name="_Toc511317374"/>
      <w:r>
        <w:rPr>
          <w:rFonts w:ascii="宋体" w:hAnsi="宋体"/>
          <w:b/>
          <w:bCs/>
          <w:color w:val="auto"/>
          <w:kern w:val="0"/>
          <w:sz w:val="24"/>
          <w:highlight w:val="none"/>
          <w:shd w:val="clear" w:color="auto" w:fill="auto"/>
        </w:rPr>
        <w:t>13.6  清除不合格工程</w:t>
      </w:r>
      <w:bookmarkEnd w:id="250"/>
      <w:bookmarkEnd w:id="251"/>
      <w:bookmarkEnd w:id="2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13.6.2  由于发包人提供的材料或工程设备不合格造成的工程不合格，需要承包人采取措施补救的，发包人应承担由此增加的费用和（或）工期延误，并支付承包人合理利润。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3" w:name="_Toc511318124"/>
      <w:r>
        <w:rPr>
          <w:rFonts w:ascii="宋体" w:hAnsi="宋体"/>
          <w:b/>
          <w:bCs/>
          <w:color w:val="auto"/>
          <w:kern w:val="0"/>
          <w:sz w:val="24"/>
          <w:highlight w:val="none"/>
          <w:shd w:val="clear" w:color="auto" w:fill="auto"/>
        </w:rPr>
        <w:t>13.7  质量评定</w:t>
      </w:r>
      <w:bookmarkEnd w:id="2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13.7.1  发包人应组织承包人进行工程项目划分，并确定单位工程、主要分部工程、重要隐蔽单元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13.7.2  工程实施过程中，单位工程、主要分部工程、重要隐蔽单元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工程的项目划分需要调整时，承包人应报发包人确认。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13.7.3  承包人应在单元（工序）工程质量自评合格后，报监理人核定质量等级并签证认可。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13.7.5  承包人应在分部工程质量自评合格后，报监理人复核和发包人认定。发包人负责按有关规定完成分部工程质量结论报工程质量监督机构核备（核定）手续。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13.7.6  承包人应在单位工程质量自评合格后，报监理人复核和发包人认定。发包人负责按有关规定完成单位工程质量结论报工程质量监督机构核定手续。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13.7.7  除专用合同条款另有约定外，工程质量等级分为合格和优良，应分别达到约定的标准。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4" w:name="_Toc511318125"/>
      <w:r>
        <w:rPr>
          <w:rFonts w:ascii="宋体" w:hAnsi="宋体"/>
          <w:b/>
          <w:bCs/>
          <w:color w:val="auto"/>
          <w:kern w:val="0"/>
          <w:sz w:val="24"/>
          <w:highlight w:val="none"/>
          <w:shd w:val="clear" w:color="auto" w:fill="auto"/>
        </w:rPr>
        <w:t>13.8  质量事故处理</w:t>
      </w:r>
      <w:bookmarkEnd w:id="25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13.8.1  发生质量事故时，承包人应及时向发包人和监理人报告。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13.8.2  质量事故调查处理由发包人按相关规定履行手续，承包人应配合。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13.8.3  承包人应对质量缺陷进行备案。发包人委托监理人对质量缺陷备案情况进行监督检查并履行相关手续。</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13.8.4  除专用合同条款另有约定外，工程竣工验收时，发包人负责向竣工验收委员会汇报并提交历次质量缺陷处理的备案资料。</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5" w:name="_Toc189386194"/>
      <w:bookmarkStart w:id="256" w:name="_Toc76056679"/>
      <w:r>
        <w:rPr>
          <w:rFonts w:ascii="宋体" w:hAnsi="宋体"/>
          <w:bCs w:val="0"/>
          <w:color w:val="auto"/>
          <w:sz w:val="24"/>
          <w:szCs w:val="24"/>
          <w:highlight w:val="none"/>
          <w:shd w:val="clear" w:color="auto" w:fill="auto"/>
        </w:rPr>
        <w:t>14．试验和检验</w:t>
      </w:r>
      <w:bookmarkEnd w:id="255"/>
      <w:bookmarkEnd w:id="256"/>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7" w:name="_Toc189386195"/>
      <w:r>
        <w:rPr>
          <w:rFonts w:ascii="宋体" w:hAnsi="宋体"/>
          <w:b/>
          <w:bCs/>
          <w:color w:val="auto"/>
          <w:kern w:val="0"/>
          <w:sz w:val="24"/>
          <w:highlight w:val="none"/>
          <w:shd w:val="clear" w:color="auto" w:fill="auto"/>
        </w:rPr>
        <w:t>14.1材料、工程设备和工程的试验和检验</w:t>
      </w:r>
      <w:bookmarkEnd w:id="25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14.1.2  监理人未按合同约定派员参加试验和检验的，除监理人另有指示外，承包人可自行试验和检验，并应立即将试验和检验结果报送监理人，监理人应签字确认。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14.1.4  承包人应按相关规定和标准对水泥、钢材等原材料与中间产品质量进行检验，并报监理人复核。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14.1.6  对专用合同条款约定的试块、试件及有关材料，监理人实行见证取样。见证取样资料由承包人制备，记录应真实齐全，监理人、承包人等参与见证取样人员均应在相关文件上签字。</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8" w:name="_Toc189386196"/>
      <w:r>
        <w:rPr>
          <w:rFonts w:ascii="宋体" w:hAnsi="宋体"/>
          <w:b/>
          <w:bCs/>
          <w:color w:val="auto"/>
          <w:kern w:val="0"/>
          <w:sz w:val="24"/>
          <w:highlight w:val="none"/>
          <w:shd w:val="clear" w:color="auto" w:fill="auto"/>
        </w:rPr>
        <w:t>14.2 现场材料试验</w:t>
      </w:r>
      <w:bookmarkEnd w:id="25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14.2.1  承包人根据合同约定或监理人指示进行的现场材料试验，应由承包人提供试验场所、试验人员、试验设备器材以及其他必要的试验条件。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14.2.2  监理人在必要时可以使用承包人的试验场所、试验设备器材以及其他试验条件，进行以工程质量检查为目的的复核性材料试验，承包人应予以协助。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9" w:name="_Toc189386197"/>
      <w:r>
        <w:rPr>
          <w:rFonts w:ascii="宋体" w:hAnsi="宋体"/>
          <w:b/>
          <w:bCs/>
          <w:color w:val="auto"/>
          <w:kern w:val="0"/>
          <w:sz w:val="24"/>
          <w:highlight w:val="none"/>
          <w:shd w:val="clear" w:color="auto" w:fill="auto"/>
        </w:rPr>
        <w:t>14.3 现场工艺试验</w:t>
      </w:r>
      <w:bookmarkEnd w:id="259"/>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承包人应按合同约定或监理人指示进行现场工艺试验。对大型的现场工艺试验，监理人认为必要时，应由承包人根据监理人提出的工艺试验要求，编制工艺试验措施计划，报送监理人审批。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60" w:name="_Toc76056680"/>
      <w:bookmarkStart w:id="261" w:name="_Toc189386198"/>
      <w:r>
        <w:rPr>
          <w:rFonts w:ascii="宋体" w:hAnsi="宋体"/>
          <w:bCs w:val="0"/>
          <w:color w:val="auto"/>
          <w:sz w:val="24"/>
          <w:szCs w:val="24"/>
          <w:highlight w:val="none"/>
          <w:shd w:val="clear" w:color="auto" w:fill="auto"/>
        </w:rPr>
        <w:t>15．变更</w:t>
      </w:r>
      <w:bookmarkEnd w:id="260"/>
      <w:bookmarkEnd w:id="26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2" w:name="_Toc511318128"/>
      <w:bookmarkStart w:id="263" w:name="_Toc189386199"/>
      <w:r>
        <w:rPr>
          <w:rFonts w:ascii="宋体" w:hAnsi="宋体"/>
          <w:b/>
          <w:bCs/>
          <w:color w:val="auto"/>
          <w:kern w:val="0"/>
          <w:sz w:val="24"/>
          <w:highlight w:val="none"/>
          <w:shd w:val="clear" w:color="auto" w:fill="auto"/>
        </w:rPr>
        <w:t>15.1 变更的范围和内容</w:t>
      </w:r>
      <w:bookmarkEnd w:id="262"/>
      <w:bookmarkEnd w:id="26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在履行合同中发生以下情形之一，应按照本款规定进行变更。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（1）取消合同中任何一项工作，但被取消的工作不能转由发包人或其它人实施；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（2）改变合同中任何一项工作的质量或其它特性；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（3）改变合同工程的基线、标高、位置或尺寸；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（4）改变合同中任何一项工作的施工时间或改变已批准的施工工艺或顺序；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（5）为完成工程需要追加的额外工作；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（6）增加或减少专用合同条款中约定的关键项目工程量超过其工程总量的一定数量百分比。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上述第（1）～（6）目的变更内容引起工程施工组织和进度计划发生实质性变动和影响其原定的价格时，才予调整该项目的单价。第（6）目情形下单价调整方式在专用合同条款中约定。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4" w:name="_Toc511318129"/>
      <w:bookmarkStart w:id="265" w:name="_Toc189386200"/>
      <w:r>
        <w:rPr>
          <w:rFonts w:ascii="宋体" w:hAnsi="宋体"/>
          <w:b/>
          <w:bCs/>
          <w:color w:val="auto"/>
          <w:kern w:val="0"/>
          <w:sz w:val="24"/>
          <w:highlight w:val="none"/>
          <w:shd w:val="clear" w:color="auto" w:fill="auto"/>
        </w:rPr>
        <w:t>15.2 变更权</w:t>
      </w:r>
      <w:bookmarkEnd w:id="264"/>
      <w:bookmarkEnd w:id="26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在履行合同过程中，经发包人同意，监理人可按第15.3款约定的变更程序向承包人作出变更指示，承包人应遵照执行。没有监理人的变更指示，承包人不得擅自变更。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6" w:name="_Toc511318130"/>
      <w:bookmarkStart w:id="267" w:name="_Toc189386201"/>
      <w:r>
        <w:rPr>
          <w:rFonts w:ascii="宋体" w:hAnsi="宋体"/>
          <w:b/>
          <w:bCs/>
          <w:color w:val="auto"/>
          <w:kern w:val="0"/>
          <w:sz w:val="24"/>
          <w:highlight w:val="none"/>
          <w:shd w:val="clear" w:color="auto" w:fill="auto"/>
        </w:rPr>
        <w:t>15.3 变更程序</w:t>
      </w:r>
      <w:bookmarkEnd w:id="266"/>
      <w:bookmarkEnd w:id="26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15.3.1  变更的提出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（2）在合同履行过程中，发生第15.1款约定情形的，监理人应按照第15.3.3项约定向承包人发出变更指示。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（4）若承包人收到监理人的变更意向书后认为难以实施此项变更，应立即通知监理人，说明原因并附详细依据。监理人与承包人和发包人协商后确定撤销、改变或不改变原变更意向书。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15.3.2  变更估价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（2）变更工作影响工期的，承包人应提出调整工期的具体细节。监理人认为有必要时，可要求承包人提交要求提前或延长工期的施工进度计划及相应施工措施等详细资料。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（3）除专用合同条款对期限另有约定外，监理人收到承包人变更报价书后的14 天内，根据第15.4款约定的估价原则，按照第3.5款商定或确定变更价格。</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15.3.3  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（1）变更指示只能由监理人发出。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（2）变更指示应说明变更的目的、范围、变更内容以及变更的工程量及其进度和技术要求，并附有关图纸和文件。承包人收到变更指示后，应按变更指示进行变更工作。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8" w:name="_Toc511318131"/>
      <w:bookmarkStart w:id="269" w:name="_Toc189386202"/>
      <w:r>
        <w:rPr>
          <w:rFonts w:ascii="宋体" w:hAnsi="宋体"/>
          <w:b/>
          <w:bCs/>
          <w:color w:val="auto"/>
          <w:kern w:val="0"/>
          <w:sz w:val="24"/>
          <w:highlight w:val="none"/>
          <w:shd w:val="clear" w:color="auto" w:fill="auto"/>
        </w:rPr>
        <w:t>15.4 变更的估价原则</w:t>
      </w:r>
      <w:bookmarkEnd w:id="268"/>
      <w:bookmarkEnd w:id="26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除专用合同条款另有约定外，因变更引起的价格调整按照本款约定处理。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15.4.1  已标价工程量清单中有适用于变更工作的子目的，采用该子目的单价。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15.4.2  已标价工程量清单中无适用于变更工作的子目，但有类似子目的，可在合理范围内参照类似子目的单价，由监理人按第3.5款商定或确定变更工作的单价。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15.4.3  已标价工程量清单中无适用或类似子目的单价，可按照成本加利润的原则，由监理人按第3.5款商定或确定变更工作的单价。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0" w:name="_Toc189386203"/>
      <w:bookmarkStart w:id="271" w:name="_Toc511318132"/>
      <w:r>
        <w:rPr>
          <w:rFonts w:ascii="宋体" w:hAnsi="宋体"/>
          <w:b/>
          <w:bCs/>
          <w:color w:val="auto"/>
          <w:kern w:val="0"/>
          <w:sz w:val="24"/>
          <w:highlight w:val="none"/>
          <w:shd w:val="clear" w:color="auto" w:fill="auto"/>
        </w:rPr>
        <w:t>15.5 承包人的合理化建议</w:t>
      </w:r>
      <w:bookmarkEnd w:id="270"/>
      <w:bookmarkEnd w:id="27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15.5.2  承包人提出的合理化建议降低了合同价格、缩短了工期或者提高了工程经济效益的，发包人可按国家有关规定在专用合同条款中约定给予奖励。</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2" w:name="_Toc511318133"/>
      <w:bookmarkStart w:id="273" w:name="_Toc189386204"/>
      <w:r>
        <w:rPr>
          <w:rFonts w:ascii="宋体" w:hAnsi="宋体"/>
          <w:b/>
          <w:bCs/>
          <w:color w:val="auto"/>
          <w:kern w:val="0"/>
          <w:sz w:val="24"/>
          <w:highlight w:val="none"/>
          <w:shd w:val="clear" w:color="auto" w:fill="auto"/>
        </w:rPr>
        <w:t>15.6 暂列金额</w:t>
      </w:r>
      <w:bookmarkEnd w:id="272"/>
      <w:bookmarkEnd w:id="27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暂列金额只能按照监理人的指示使用，并对合同价格进行相应调整。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4" w:name="_Toc189386205"/>
      <w:bookmarkStart w:id="275" w:name="_Toc511318134"/>
      <w:r>
        <w:rPr>
          <w:rFonts w:ascii="宋体" w:hAnsi="宋体"/>
          <w:b/>
          <w:bCs/>
          <w:color w:val="auto"/>
          <w:kern w:val="0"/>
          <w:sz w:val="24"/>
          <w:highlight w:val="none"/>
          <w:shd w:val="clear" w:color="auto" w:fill="auto"/>
        </w:rPr>
        <w:t>15.7 计日工</w:t>
      </w:r>
      <w:bookmarkEnd w:id="274"/>
      <w:bookmarkEnd w:id="27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15.7.1  发包人认为有必要时，由监理人通知承包人以计日工方式实施变更的零星工作。其价款按列入已标价工程量清单中的计日工计价子目及其单价进行计算。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15.7.2  采用计日工计价的任何一项变更工作，应从暂列金额中支付，承包人应在该项变更的实施过程中，每天提交以下报表和有关凭证报送监理人审批：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（1）工作名称、内容和数量；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（2）投入该工作所有人员的姓名、工种、级别和耗用工时；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（3）投入该工作的材料类别和数量；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（4）投入该工作的施工设备型号、台数和耗用台时；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（5）监理人要求提交的其他资料和凭证。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15.7.3  计日工由承包人汇总后，按第17.3.2项的约定列入进度付款申请单，由监理人复核并经发包人同意后列入进度付款。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6" w:name="_Toc189386206"/>
      <w:bookmarkStart w:id="277" w:name="_Toc511318135"/>
      <w:r>
        <w:rPr>
          <w:rFonts w:ascii="宋体" w:hAnsi="宋体"/>
          <w:b/>
          <w:bCs/>
          <w:color w:val="auto"/>
          <w:kern w:val="0"/>
          <w:sz w:val="24"/>
          <w:highlight w:val="none"/>
          <w:shd w:val="clear" w:color="auto" w:fill="auto"/>
        </w:rPr>
        <w:t>15.8 暂估价</w:t>
      </w:r>
      <w:bookmarkEnd w:id="276"/>
      <w:bookmarkEnd w:id="27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78" w:name="_Toc189386207"/>
      <w:bookmarkStart w:id="279" w:name="_Toc76056681"/>
      <w:r>
        <w:rPr>
          <w:rFonts w:ascii="宋体" w:hAnsi="宋体"/>
          <w:bCs w:val="0"/>
          <w:color w:val="auto"/>
          <w:sz w:val="24"/>
          <w:szCs w:val="24"/>
          <w:highlight w:val="none"/>
          <w:shd w:val="clear" w:color="auto" w:fill="auto"/>
        </w:rPr>
        <w:t>16．价格调整</w:t>
      </w:r>
      <w:bookmarkEnd w:id="278"/>
      <w:bookmarkEnd w:id="27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0" w:name="_Toc511318137"/>
      <w:bookmarkStart w:id="281" w:name="_Toc189386208"/>
      <w:r>
        <w:rPr>
          <w:rFonts w:ascii="宋体" w:hAnsi="宋体"/>
          <w:b/>
          <w:bCs/>
          <w:color w:val="auto"/>
          <w:kern w:val="0"/>
          <w:sz w:val="24"/>
          <w:highlight w:val="none"/>
          <w:shd w:val="clear" w:color="auto" w:fill="auto"/>
        </w:rPr>
        <w:t>16.1 物价波动引起的价格调整</w:t>
      </w:r>
      <w:bookmarkEnd w:id="280"/>
      <w:bookmarkEnd w:id="28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由于物价波动原因引起合同价格需要调整的，其价格调整方式在专用合同条款中约定。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16.1.1  采用价格指数调整价格差额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16.1.1.1  价格调整公式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432" w:firstLineChars="200"/>
        <w:jc w:val="left"/>
        <w:rPr>
          <w:rFonts w:ascii="宋体" w:hAnsi="宋体"/>
          <w:color w:val="auto"/>
          <w:w w:val="90"/>
          <w:kern w:val="0"/>
          <w:sz w:val="24"/>
          <w:highlight w:val="none"/>
          <w:shd w:val="clear" w:color="auto" w:fill="auto"/>
        </w:rPr>
      </w:pPr>
      <w:r>
        <w:rPr>
          <w:rFonts w:ascii="宋体" w:hAnsi="宋体"/>
          <w:color w:val="auto"/>
          <w:w w:val="90"/>
          <w:kern w:val="0"/>
          <w:sz w:val="24"/>
          <w:highlight w:val="none"/>
          <w:shd w:val="clear" w:color="auto" w:fill="auto"/>
        </w:rPr>
        <w:t>ΔP＝P0[A＋（B1×Ft1/F01＋B2×Ft2/F02＋B3×Ft3/F03＋…＋Bn×Ftn/F0n）－1]</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式中：</w:t>
      </w:r>
      <w:r>
        <w:rPr>
          <w:rFonts w:ascii="宋体" w:hAnsi="宋体" w:cs="Cambria Math"/>
          <w:color w:val="auto"/>
          <w:kern w:val="0"/>
          <w:sz w:val="24"/>
          <w:highlight w:val="none"/>
          <w:shd w:val="clear" w:color="auto" w:fill="auto"/>
        </w:rPr>
        <w:t>△</w:t>
      </w:r>
      <w:r>
        <w:rPr>
          <w:rFonts w:ascii="宋体" w:hAnsi="宋体"/>
          <w:color w:val="auto"/>
          <w:kern w:val="0"/>
          <w:sz w:val="24"/>
          <w:highlight w:val="none"/>
          <w:shd w:val="clear" w:color="auto" w:fill="auto"/>
        </w:rPr>
        <w:t>P—需调整的价格差额；</w:t>
      </w:r>
    </w:p>
    <w:p>
      <w:pPr>
        <w:adjustRightInd w:val="0"/>
        <w:snapToGrid w:val="0"/>
        <w:spacing w:line="312" w:lineRule="auto"/>
        <w:ind w:firstLine="1200" w:firstLineChars="5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A—定值权重（即不调部分的权重）； </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B1；B2；B3…Bn—各可调因子的变值权重（即可调部分的权重）为各调因子在投标函投标总报价中所占的比例；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Ft1；Ft2；Ft3…Ftn—各可调因子的现行价格指数，指第17.3.3项、17.5.2项和第17.6.2项约定的付款证书相关周期最后一天的前42天的各可调因子的价格指数；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F01；F02；F03…F0n—各可调因子的基本价格指数，指基准日期的各可调因子的价格指数。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16.1.1.2  暂时确定调整差额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在计算调整差额时得不到现行价格指数的，可暂用上一次价格指数计算，并在以后的付款中再按实际价格指数进行调整。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16.1.1.3  权重的调整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按第15.1款约定的变更导致原定合同中的权重不合理时，由监理人与承包人和发包人协商后进行调整。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16.1.1.4  承包人工期延误后的价格调整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16.1.2  采用造价信息调整价格差额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工程造价信息的来源以及价格调整的项目和系数在专用合同条款中约定。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2" w:name="_Toc189386209"/>
      <w:bookmarkStart w:id="283" w:name="_Toc511318138"/>
      <w:r>
        <w:rPr>
          <w:rFonts w:ascii="宋体" w:hAnsi="宋体"/>
          <w:b/>
          <w:bCs/>
          <w:color w:val="auto"/>
          <w:kern w:val="0"/>
          <w:sz w:val="24"/>
          <w:highlight w:val="none"/>
          <w:shd w:val="clear" w:color="auto" w:fill="auto"/>
        </w:rPr>
        <w:t>16.2 法律变化引起的价格调整</w:t>
      </w:r>
      <w:bookmarkEnd w:id="282"/>
      <w:bookmarkEnd w:id="283"/>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在基准日后，因法律变化导致承包人在合同履行中所需要的工程费用发生除第16.1 款约定以外的增减时，监理人应根据法律、国家或省、自治区、直辖市有关部门的规定，按第3.5款商定或确定需调整的合同价款。</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84" w:name="_Toc76056682"/>
      <w:bookmarkStart w:id="285" w:name="_Toc189386210"/>
      <w:r>
        <w:rPr>
          <w:rFonts w:ascii="宋体" w:hAnsi="宋体"/>
          <w:bCs w:val="0"/>
          <w:color w:val="auto"/>
          <w:sz w:val="24"/>
          <w:szCs w:val="24"/>
          <w:highlight w:val="none"/>
          <w:shd w:val="clear" w:color="auto" w:fill="auto"/>
        </w:rPr>
        <w:t>17．计量与支付</w:t>
      </w:r>
      <w:bookmarkEnd w:id="284"/>
      <w:bookmarkEnd w:id="28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6" w:name="_Toc511318140"/>
      <w:bookmarkStart w:id="287" w:name="_Toc189386211"/>
      <w:r>
        <w:rPr>
          <w:rFonts w:ascii="宋体" w:hAnsi="宋体"/>
          <w:b/>
          <w:bCs/>
          <w:color w:val="auto"/>
          <w:kern w:val="0"/>
          <w:sz w:val="24"/>
          <w:highlight w:val="none"/>
          <w:shd w:val="clear" w:color="auto" w:fill="auto"/>
        </w:rPr>
        <w:t>17.1 计量</w:t>
      </w:r>
      <w:bookmarkEnd w:id="286"/>
      <w:bookmarkEnd w:id="28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17.1.1  计量单位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计量采用国家法定的计量单位。</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17.1.2  计量方法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结算工程量应按工程量清单中约定的方法计量。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17.1.3  计量周期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除专用合同条款另有约定外，单价子目已完成工程量按月计量，总价子目的计量周期按批准的支付分解报告确定。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17.1.4  单价子目的计量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（1）已标价工程量清单中的单价子目工程量为估算工程量。结算工程量是承包人实际完成的，并按合同约定的计量方法进行计量的工程量。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（2）承包人对已完成的工程进行计量，向监理人提交进度付款申请单、已完成工程量报表和有关计量资料。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（4）监理人认为有必要时，可通知承包人共同进行联合测量、计量，承包人应遵照执行。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（6）监理人应在收到承包人提交的工程量报表后的7天内进行复核，监理人未在约定时间内复核的，承包人提交的工程量报表中的工程量视为承包人实际完成的工程量，据此计算工程价款。</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17.1.5  总价子目的计量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总价子目的分解和计量按照下述约定进行。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（1）总价子目的计量和支付应以总价为基础，不因第16.1款中的因素而进行调整。承包人实际完成的工程量，是进行工程目标管理和控制进度支付的依据。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（3）监理人对承包人提交的上述资料进行复核，以确定分阶段实际完成的工程量和工程形象目标。对其有异议的，可要求承包人按第8.2款约定进行共同复核和抽样复测。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（4）除按照第15条约定的变更外，总价子目的工程量是承包人用于结算的最终工程量。</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8" w:name="_Toc189386212"/>
      <w:r>
        <w:rPr>
          <w:rFonts w:ascii="宋体" w:hAnsi="宋体"/>
          <w:b/>
          <w:bCs/>
          <w:color w:val="auto"/>
          <w:kern w:val="0"/>
          <w:sz w:val="24"/>
          <w:highlight w:val="none"/>
          <w:shd w:val="clear" w:color="auto" w:fill="auto"/>
        </w:rPr>
        <w:t>17.2 预付款</w:t>
      </w:r>
      <w:bookmarkEnd w:id="288"/>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17.2.1  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17.2.2  预付款保函（担保）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（1）承包人应在收到第一次工程预付款的同时向发包人提交工程预付款担保，担保金额应与第一次工程预付款金额相同，工程预付款担保在第一次工程预付款被发包人扣回前一直有效。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（2）工程材料预付款的担保在专用合同条款中约定。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（3）预付款担保的担保金额可根据预付款扣回的金额相应递减。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17.2.3  预付款的扣回与还清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9" w:name="_Toc511318141"/>
      <w:bookmarkStart w:id="290" w:name="_Toc189386213"/>
      <w:r>
        <w:rPr>
          <w:rFonts w:ascii="宋体" w:hAnsi="宋体"/>
          <w:b/>
          <w:bCs/>
          <w:color w:val="auto"/>
          <w:kern w:val="0"/>
          <w:sz w:val="24"/>
          <w:highlight w:val="none"/>
          <w:shd w:val="clear" w:color="auto" w:fill="auto"/>
        </w:rPr>
        <w:t>17.3 工程进度付款</w:t>
      </w:r>
      <w:bookmarkEnd w:id="289"/>
      <w:bookmarkEnd w:id="290"/>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17.3.1  付款周期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付款周期同计量周期。</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17.3.2  进度付款申请单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承包人应在每个付款周期末，按监理人批准的格式和专用合同条款约定的份数，向监理人提交进度付款申请单，并附相应的支持性证明文件。除专用合同条款另有约定外，进度付款申请单应包括下列内容：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（1）截至本次付款周期末已实施工程的价款；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（2）根据第15条应增加和扣减的变更金额；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（3）根据第23条应增加和扣减的索赔金额；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（4）根据第17.2款约定应支付的预付款和扣减的返还预付款；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（5）根据第17.4.1项约定应扣减的质量保证金；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（6）根据合同应增加和扣减的其他金额。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（2）发包人应在监理人收到进度付款申请单后的28天内，将进度应付款支付给承包人。发包人不按期支付的，按专用合同条款的约定支付逾期付款违约金。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（3）监理人出具进度付款证书，不应视为监理人已同意、批准或接受了承包人完成的该部分工作。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（4）进度付款涉及政府投资资金的，按照国库集中支付等国家相关规定和专用合同条款的约定办理。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17.3.4  工程进度付款的修正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在对以往历次已签发的进度付款证书进行汇总和复核中发现错、漏或重复的，监理人有权予以修正，承包人也有权提出修正申请。经双方复核同意的修正，应在本次进度付款中支付或扣除。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1" w:name="_Toc511318142"/>
      <w:bookmarkStart w:id="292" w:name="_Toc189386214"/>
      <w:r>
        <w:rPr>
          <w:rFonts w:ascii="宋体" w:hAnsi="宋体"/>
          <w:b/>
          <w:bCs/>
          <w:color w:val="auto"/>
          <w:kern w:val="0"/>
          <w:sz w:val="24"/>
          <w:highlight w:val="none"/>
          <w:shd w:val="clear" w:color="auto" w:fill="auto"/>
        </w:rPr>
        <w:t>17.4 质量保证金</w:t>
      </w:r>
      <w:bookmarkEnd w:id="291"/>
      <w:bookmarkEnd w:id="29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3" w:name="_Toc189386215"/>
      <w:bookmarkStart w:id="294" w:name="_Toc511318143"/>
      <w:r>
        <w:rPr>
          <w:rFonts w:ascii="宋体" w:hAnsi="宋体"/>
          <w:b/>
          <w:bCs/>
          <w:color w:val="auto"/>
          <w:kern w:val="0"/>
          <w:sz w:val="24"/>
          <w:highlight w:val="none"/>
          <w:shd w:val="clear" w:color="auto" w:fill="auto"/>
        </w:rPr>
        <w:t>17.5 竣工结算</w:t>
      </w:r>
      <w:bookmarkEnd w:id="293"/>
      <w:r>
        <w:rPr>
          <w:rFonts w:ascii="宋体" w:hAnsi="宋体"/>
          <w:b/>
          <w:bCs/>
          <w:color w:val="auto"/>
          <w:kern w:val="0"/>
          <w:sz w:val="24"/>
          <w:highlight w:val="none"/>
          <w:shd w:val="clear" w:color="auto" w:fill="auto"/>
        </w:rPr>
        <w:t>（完工结算）</w:t>
      </w:r>
      <w:bookmarkEnd w:id="294"/>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（2）监理人对完工付款申请单有异议的，有权要求承包人进行修正和提供补充资料。经监理人和承包人协商后，由承包人向监理人提交修正后的完工付款申请单。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17.5.2  竣工（完工）付款证书及支付时间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（2）发包人应在监理人出具完工付款证书后的14天内，将应支付款支付给承包人。发包人不按期支付的，按第17.3.3（2）目的约定，将逾期付款违约金支付给承包人。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（3）承包人对发包人签认的完工付款证书有异议的，发包人可出具完工付款申请单中承包人已同意部分的临时付款证书。存在争议的部分，按第24条的约定办理。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（4）完工付款涉及政府投资资金的，按第17.3.3（4）目的约定办理。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5" w:name="_Toc189386216"/>
      <w:r>
        <w:rPr>
          <w:rFonts w:ascii="宋体" w:hAnsi="宋体"/>
          <w:b/>
          <w:bCs/>
          <w:color w:val="auto"/>
          <w:kern w:val="0"/>
          <w:sz w:val="24"/>
          <w:highlight w:val="none"/>
          <w:shd w:val="clear" w:color="auto" w:fill="auto"/>
        </w:rPr>
        <w:t>17.6 最终结清</w:t>
      </w:r>
      <w:bookmarkEnd w:id="295"/>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（1）工程质量保修责任终止证书签发后，承包人应按监理人批准的格式提交最终结清申请单。提交最终结清申请单的份数在专用合同条款中约定。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（2）发包人对最终结清申请单内容有异议的，有权要求承包人进行修正和提供补充资料，由承包人向监理人提交修正后的最终结清申请单。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17.6.2  最终结清证书和支付时间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（1）监理人收到承包人提交的最终结清申请单后的14天内，提出发包人应支付给承包人的价款送发包人审核并抄送承包人。发包人应在收到后14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（2）发包人应在监理人出具最终结清证书后的14天内，将应支付款支付给承包人。发包人不按期支付的，按第17.3.3（2）目的约定，将逾期付款违约金支付给承包人。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（3）承包人对发包人签认的最终结清证书有异议的，按第24条的约定办理。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（4）最终结清付款涉及政府投资资金的，按第17.3.3（４）目的约定办理。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6" w:name="_Toc511318144"/>
      <w:r>
        <w:rPr>
          <w:rFonts w:ascii="宋体" w:hAnsi="宋体"/>
          <w:b/>
          <w:bCs/>
          <w:color w:val="auto"/>
          <w:kern w:val="0"/>
          <w:sz w:val="24"/>
          <w:highlight w:val="none"/>
          <w:shd w:val="clear" w:color="auto" w:fill="auto"/>
        </w:rPr>
        <w:t>17.7  竣工财务决算</w:t>
      </w:r>
      <w:bookmarkEnd w:id="29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发包人负责编制本工程项目竣工财务决算，承包人应按专用合同条款的约定提供竣工财务决算编制所需的相关材料。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7" w:name="_Toc511318145"/>
      <w:r>
        <w:rPr>
          <w:rFonts w:ascii="宋体" w:hAnsi="宋体"/>
          <w:b/>
          <w:bCs/>
          <w:color w:val="auto"/>
          <w:kern w:val="0"/>
          <w:sz w:val="24"/>
          <w:highlight w:val="none"/>
          <w:shd w:val="clear" w:color="auto" w:fill="auto"/>
        </w:rPr>
        <w:t>17.8  竣工审计</w:t>
      </w:r>
      <w:bookmarkEnd w:id="297"/>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发包人负责完成本工程竣工审计手续，承包人应完成相关配合工作。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98" w:name="_Toc189386217"/>
      <w:bookmarkStart w:id="299" w:name="_Toc76056683"/>
      <w:r>
        <w:rPr>
          <w:rFonts w:ascii="宋体" w:hAnsi="宋体"/>
          <w:bCs w:val="0"/>
          <w:color w:val="auto"/>
          <w:sz w:val="24"/>
          <w:szCs w:val="24"/>
          <w:highlight w:val="none"/>
          <w:shd w:val="clear" w:color="auto" w:fill="auto"/>
        </w:rPr>
        <w:t>18．竣工验收</w:t>
      </w:r>
      <w:bookmarkEnd w:id="298"/>
      <w:r>
        <w:rPr>
          <w:rFonts w:ascii="宋体" w:hAnsi="宋体"/>
          <w:bCs w:val="0"/>
          <w:color w:val="auto"/>
          <w:sz w:val="24"/>
          <w:szCs w:val="24"/>
          <w:highlight w:val="none"/>
          <w:shd w:val="clear" w:color="auto" w:fill="auto"/>
        </w:rPr>
        <w:t>（验收）</w:t>
      </w:r>
      <w:bookmarkEnd w:id="29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0" w:name="_Toc511318147"/>
      <w:r>
        <w:rPr>
          <w:rFonts w:ascii="宋体" w:hAnsi="宋体"/>
          <w:b/>
          <w:bCs/>
          <w:color w:val="auto"/>
          <w:kern w:val="0"/>
          <w:sz w:val="24"/>
          <w:highlight w:val="none"/>
          <w:shd w:val="clear" w:color="auto" w:fill="auto"/>
        </w:rPr>
        <w:t>18.1  验收工作分类</w:t>
      </w:r>
      <w:bookmarkEnd w:id="3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1" w:name="_Toc511318148"/>
      <w:r>
        <w:rPr>
          <w:rFonts w:ascii="宋体" w:hAnsi="宋体"/>
          <w:b/>
          <w:bCs/>
          <w:color w:val="auto"/>
          <w:kern w:val="0"/>
          <w:sz w:val="24"/>
          <w:highlight w:val="none"/>
          <w:shd w:val="clear" w:color="auto" w:fill="auto"/>
        </w:rPr>
        <w:t>18.2  分部工程验收</w:t>
      </w:r>
      <w:bookmarkEnd w:id="30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18.2.1  分部工程具备验收条件时，承包人应向发包人提交验收申请报告，发包人应在收到验收申请报告之日起10个工作日内决定是否同意进行验收。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18.2.2  除专用合同条款另有约定外，监理人主持分部工程验收，承包人应派符合条件的代表参加验收工作组。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18.2.3  分部工程验收通过后，发包人向承包人发送分部工程验收鉴定书。承包人应及时完成分部工程验收鉴定书载明应由承包人处理的遗留问题。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2" w:name="_Toc511318149"/>
      <w:r>
        <w:rPr>
          <w:rFonts w:ascii="宋体" w:hAnsi="宋体"/>
          <w:b/>
          <w:bCs/>
          <w:color w:val="auto"/>
          <w:kern w:val="0"/>
          <w:sz w:val="24"/>
          <w:highlight w:val="none"/>
          <w:shd w:val="clear" w:color="auto" w:fill="auto"/>
        </w:rPr>
        <w:t>18.3  单位工程验收</w:t>
      </w:r>
      <w:bookmarkEnd w:id="3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18.3.1  单位工程具备验收条件时，承包人应向发包人提交验收申请报告，发包人应在收到验收申请报告之日起10个工作日内决定是否同意进行验收。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18.3.2  发包人主持单位工程验收，承包人应派符合条件的代表参加验收工作组。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18.3.3  单位工程验收通过后，发包人向承包人发送单位工程验收鉴定书。承包人应及时完成单位工程验收鉴定书载明应由承包人处理的遗留问题。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18.3.4  需提前投入使用的单位工程在专用合同条款中明确。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3" w:name="_Toc511318150"/>
      <w:r>
        <w:rPr>
          <w:rFonts w:ascii="宋体" w:hAnsi="宋体"/>
          <w:b/>
          <w:bCs/>
          <w:color w:val="auto"/>
          <w:kern w:val="0"/>
          <w:sz w:val="24"/>
          <w:highlight w:val="none"/>
          <w:shd w:val="clear" w:color="auto" w:fill="auto"/>
        </w:rPr>
        <w:t>18.4  合同工程完工验收</w:t>
      </w:r>
      <w:bookmarkEnd w:id="30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18.4.1  合同工程具备验收条件时，承包人应向发包人提交验收申请报告，发包人应在收到验收申请报告之日起20个工作日内决定是否同意进行验收。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18.4.2  发包人主持合同工程完工验收，承包人应派代表参加验收工作组。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18.4.3  合同工程完工验收通过后，发包人向承包人发送合同工程完工验收鉴定书。承包人应及时完成合同工程完工验收鉴定书载明应由承包人处理的遗留问题。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4" w:name="_Toc511318151"/>
      <w:r>
        <w:rPr>
          <w:rFonts w:ascii="宋体" w:hAnsi="宋体"/>
          <w:b/>
          <w:bCs/>
          <w:color w:val="auto"/>
          <w:kern w:val="0"/>
          <w:sz w:val="24"/>
          <w:highlight w:val="none"/>
          <w:shd w:val="clear" w:color="auto" w:fill="auto"/>
        </w:rPr>
        <w:t>18.5  阶段验收</w:t>
      </w:r>
      <w:bookmarkEnd w:id="30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18.5.1  工程建设具备阶段验收条件时，发包人负责提出阶段验收申请报告。承包人应派代表参加阶段验收，并作为被验收单位在验收鉴定书上签字。阶段验收的具体类别在专用合同条款中约定。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18.5.2  承包人应及时完成阶段验收鉴定书载明应由承包人处理的遗留问题。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5" w:name="_Toc511318152"/>
      <w:r>
        <w:rPr>
          <w:rFonts w:ascii="宋体" w:hAnsi="宋体"/>
          <w:b/>
          <w:bCs/>
          <w:color w:val="auto"/>
          <w:kern w:val="0"/>
          <w:sz w:val="24"/>
          <w:highlight w:val="none"/>
          <w:shd w:val="clear" w:color="auto" w:fill="auto"/>
        </w:rPr>
        <w:t>18.6  专项验收</w:t>
      </w:r>
      <w:bookmarkEnd w:id="30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18.6.1  发包人负责提出专项验收申请报告。承包人应按专项验收的相关规定参加专项验收。专项验收的具体类别在专用合同条款中约定。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18.6.2  承包人应及时完成专项验收成果性文件载明应由承包人处理的遗留问题。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6" w:name="_Toc511318153"/>
      <w:r>
        <w:rPr>
          <w:rFonts w:ascii="宋体" w:hAnsi="宋体"/>
          <w:b/>
          <w:bCs/>
          <w:color w:val="auto"/>
          <w:kern w:val="0"/>
          <w:sz w:val="24"/>
          <w:highlight w:val="none"/>
          <w:shd w:val="clear" w:color="auto" w:fill="auto"/>
        </w:rPr>
        <w:t>18.7  竣工验收</w:t>
      </w:r>
      <w:bookmarkEnd w:id="30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18.7.1  申请竣工验收前，发包人组织竣工验收自查，承包人应派代表参加。</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18.7.2  竣工验收分为竣工技术预验收和竣工验收两个阶段。发包人应通知承包人派代表参加技术预验收和竣工验收。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18.7.3  专用合同条款约定工程需要进行技术鉴定的，承包人应提交有关资料并完成配合工作。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18.7.4  竣工验收需要进行质量检测的，所需费用由发包人承担，但因承包人原因造成质量不合格的除外。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18.7.5  工程质量保修期满以及竣工验收遗留问题和尾工处理完成并通过验收后，发包人负责将处理情况和验收成果报送竣工验收主持单位，申请领取工程竣工证书，并发送承包人。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7" w:name="_Toc511318154"/>
      <w:r>
        <w:rPr>
          <w:rFonts w:ascii="宋体" w:hAnsi="宋体"/>
          <w:b/>
          <w:bCs/>
          <w:color w:val="auto"/>
          <w:kern w:val="0"/>
          <w:sz w:val="24"/>
          <w:highlight w:val="none"/>
          <w:shd w:val="clear" w:color="auto" w:fill="auto"/>
        </w:rPr>
        <w:t>18.8  施工期运行</w:t>
      </w:r>
      <w:bookmarkEnd w:id="3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18.8.2  在施工期运行中发现工程或工程设备损坏或存在缺陷的，由承包人按第19.2款约定进行修复。</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8" w:name="_Toc511318155"/>
      <w:r>
        <w:rPr>
          <w:rFonts w:ascii="宋体" w:hAnsi="宋体"/>
          <w:b/>
          <w:bCs/>
          <w:color w:val="auto"/>
          <w:kern w:val="0"/>
          <w:sz w:val="24"/>
          <w:highlight w:val="none"/>
          <w:shd w:val="clear" w:color="auto" w:fill="auto"/>
        </w:rPr>
        <w:t>18.9  试运行</w:t>
      </w:r>
      <w:bookmarkEnd w:id="3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18.9.1  除专用合同条款另有约定外，承包人应按规定进行工程及工程设备试运行，负责提供试运行所需的人员、器材和必要的条件，并承担全部试运行费用。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9" w:name="_Toc511318156"/>
      <w:r>
        <w:rPr>
          <w:rFonts w:ascii="宋体" w:hAnsi="宋体"/>
          <w:b/>
          <w:bCs/>
          <w:color w:val="auto"/>
          <w:kern w:val="0"/>
          <w:sz w:val="24"/>
          <w:highlight w:val="none"/>
          <w:shd w:val="clear" w:color="auto" w:fill="auto"/>
        </w:rPr>
        <w:t>18.10  竣工（完工）清场</w:t>
      </w:r>
      <w:bookmarkEnd w:id="30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18.10.1  工程项目竣工（完工）清场的工作范围和内容在技术标准和要求（合同技术条款）中约定。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18.10.2  承包人未按监理人的要求恢复临时占地，或者场地清理未达到合同约定的，发包人有权委托其它人恢复或清理，所发生的金额从拟支付给承包人的款项中扣除。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0" w:name="_Toc511318157"/>
      <w:r>
        <w:rPr>
          <w:rFonts w:ascii="宋体" w:hAnsi="宋体"/>
          <w:b/>
          <w:bCs/>
          <w:color w:val="auto"/>
          <w:kern w:val="0"/>
          <w:sz w:val="24"/>
          <w:highlight w:val="none"/>
          <w:shd w:val="clear" w:color="auto" w:fill="auto"/>
        </w:rPr>
        <w:t>18.11  施工队伍的撤离</w:t>
      </w:r>
      <w:bookmarkEnd w:id="310"/>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11" w:name="_Toc76056684"/>
      <w:bookmarkStart w:id="312" w:name="_Toc189386226"/>
      <w:r>
        <w:rPr>
          <w:rFonts w:ascii="宋体" w:hAnsi="宋体"/>
          <w:bCs w:val="0"/>
          <w:color w:val="auto"/>
          <w:sz w:val="24"/>
          <w:szCs w:val="24"/>
          <w:highlight w:val="none"/>
          <w:shd w:val="clear" w:color="auto" w:fill="auto"/>
        </w:rPr>
        <w:t>19．缺陷责任与保修责任</w:t>
      </w:r>
      <w:bookmarkEnd w:id="311"/>
      <w:bookmarkEnd w:id="312"/>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3" w:name="_Toc189386227"/>
      <w:r>
        <w:rPr>
          <w:rFonts w:ascii="宋体" w:hAnsi="宋体"/>
          <w:b/>
          <w:bCs/>
          <w:color w:val="auto"/>
          <w:kern w:val="0"/>
          <w:sz w:val="24"/>
          <w:highlight w:val="none"/>
          <w:shd w:val="clear" w:color="auto" w:fill="auto"/>
        </w:rPr>
        <w:t>19.1缺陷责任期的起算时间</w:t>
      </w:r>
      <w:bookmarkEnd w:id="31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4" w:name="_Toc189386228"/>
      <w:bookmarkStart w:id="315" w:name="_Toc511318159"/>
      <w:r>
        <w:rPr>
          <w:rFonts w:ascii="宋体" w:hAnsi="宋体"/>
          <w:b/>
          <w:bCs/>
          <w:color w:val="auto"/>
          <w:kern w:val="0"/>
          <w:sz w:val="24"/>
          <w:highlight w:val="none"/>
          <w:shd w:val="clear" w:color="auto" w:fill="auto"/>
        </w:rPr>
        <w:t>19.2 缺陷责任</w:t>
      </w:r>
      <w:bookmarkEnd w:id="314"/>
      <w:bookmarkEnd w:id="31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19.2.1  承包人应在缺陷责任期内对已交付使用的工程承担缺陷责任。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19.2.2  缺陷责任期内，发包人对已接收使用的工程负责日常维护工作。发包人在使用过程中，发现已接收的工程存在新的缺陷或已修复的缺陷部位或部件又遭损坏的，承包人应负责修复，直至检验合格为止。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19.2.4  承包人不能在合理时间内修复缺陷的，发包人可自行修复或委托其他人修复，所需费用和利润的承担，按第19.2.3项约定办理。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6" w:name="_Toc511318160"/>
      <w:bookmarkStart w:id="317" w:name="_Toc189386229"/>
      <w:r>
        <w:rPr>
          <w:rFonts w:ascii="宋体" w:hAnsi="宋体"/>
          <w:b/>
          <w:bCs/>
          <w:color w:val="auto"/>
          <w:kern w:val="0"/>
          <w:sz w:val="24"/>
          <w:highlight w:val="none"/>
          <w:shd w:val="clear" w:color="auto" w:fill="auto"/>
        </w:rPr>
        <w:t>19.3 缺陷责任期的延长</w:t>
      </w:r>
      <w:bookmarkEnd w:id="316"/>
      <w:bookmarkEnd w:id="31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由于承包人原因造成某项缺陷或损坏使某项工程或工程设备不能按原定目标使用而需要再次检查、检验和修复的，发包人有权要求承包人相应延长缺陷责任期，但缺陷责任期最长不超过2年。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8" w:name="_Toc511318161"/>
      <w:bookmarkStart w:id="319" w:name="_Toc189386230"/>
      <w:r>
        <w:rPr>
          <w:rFonts w:ascii="宋体" w:hAnsi="宋体"/>
          <w:b/>
          <w:bCs/>
          <w:color w:val="auto"/>
          <w:kern w:val="0"/>
          <w:sz w:val="24"/>
          <w:highlight w:val="none"/>
          <w:shd w:val="clear" w:color="auto" w:fill="auto"/>
        </w:rPr>
        <w:t>19.4 进一步试验和试运行</w:t>
      </w:r>
      <w:bookmarkEnd w:id="318"/>
      <w:bookmarkEnd w:id="31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任何一项缺陷或损坏修复后，经检查证明其影响了工程或工程设备的使用性能，承包人应重新进行合同约定的试验和试运行，试验和试运行的全部费用应由责任方承担。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0" w:name="_Toc189386231"/>
      <w:bookmarkStart w:id="321" w:name="_Toc511318162"/>
      <w:r>
        <w:rPr>
          <w:rFonts w:ascii="宋体" w:hAnsi="宋体"/>
          <w:b/>
          <w:bCs/>
          <w:color w:val="auto"/>
          <w:kern w:val="0"/>
          <w:sz w:val="24"/>
          <w:highlight w:val="none"/>
          <w:shd w:val="clear" w:color="auto" w:fill="auto"/>
        </w:rPr>
        <w:t>19.5 承包人的进入权</w:t>
      </w:r>
      <w:bookmarkEnd w:id="320"/>
      <w:bookmarkEnd w:id="3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缺陷责任期内承包人为缺陷修复工作需要，有权进入工程现场，但应遵守发包人的保安和保密规定。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2" w:name="_Toc511318163"/>
      <w:r>
        <w:rPr>
          <w:rFonts w:ascii="宋体" w:hAnsi="宋体"/>
          <w:b/>
          <w:bCs/>
          <w:color w:val="auto"/>
          <w:kern w:val="0"/>
          <w:sz w:val="24"/>
          <w:highlight w:val="none"/>
          <w:shd w:val="clear" w:color="auto" w:fill="auto"/>
        </w:rPr>
        <w:t>19.6  缺陷责任期终止证书（工程质量保修责任终止证书）</w:t>
      </w:r>
      <w:bookmarkEnd w:id="32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合同工程完工验收或投入使用验收后，发包人与承包人应办理工程交接手续，承包人应向发包人递交工程质量保修书。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缺陷责任期（工程质量保修期）满后30个工作日内，发包人应向承包人颁发工程质量保修责任终止证书，并退还剩余的质量保证金，但保修责任范围内的质量缺陷未处理完成的应除外。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3" w:name="_Toc189386233"/>
      <w:bookmarkStart w:id="324" w:name="_Toc511318164"/>
      <w:r>
        <w:rPr>
          <w:rFonts w:ascii="宋体" w:hAnsi="宋体"/>
          <w:b/>
          <w:bCs/>
          <w:color w:val="auto"/>
          <w:kern w:val="0"/>
          <w:sz w:val="24"/>
          <w:highlight w:val="none"/>
          <w:shd w:val="clear" w:color="auto" w:fill="auto"/>
        </w:rPr>
        <w:t>19.7 保修责任</w:t>
      </w:r>
      <w:bookmarkEnd w:id="323"/>
      <w:bookmarkEnd w:id="324"/>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25" w:name="_Toc76056685"/>
      <w:bookmarkStart w:id="326" w:name="_Toc189386234"/>
      <w:r>
        <w:rPr>
          <w:rFonts w:ascii="宋体" w:hAnsi="宋体"/>
          <w:bCs w:val="0"/>
          <w:color w:val="auto"/>
          <w:sz w:val="24"/>
          <w:szCs w:val="24"/>
          <w:highlight w:val="none"/>
          <w:shd w:val="clear" w:color="auto" w:fill="auto"/>
        </w:rPr>
        <w:t>20．保险</w:t>
      </w:r>
      <w:bookmarkEnd w:id="325"/>
      <w:bookmarkEnd w:id="326"/>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7" w:name="_Toc189386235"/>
      <w:r>
        <w:rPr>
          <w:rFonts w:ascii="宋体" w:hAnsi="宋体"/>
          <w:b/>
          <w:bCs/>
          <w:color w:val="auto"/>
          <w:kern w:val="0"/>
          <w:sz w:val="24"/>
          <w:highlight w:val="none"/>
          <w:shd w:val="clear" w:color="auto" w:fill="auto"/>
        </w:rPr>
        <w:t>20.1工程保险</w:t>
      </w:r>
      <w:bookmarkEnd w:id="32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8" w:name="_Toc189386236"/>
      <w:r>
        <w:rPr>
          <w:rFonts w:ascii="宋体" w:hAnsi="宋体"/>
          <w:b/>
          <w:bCs/>
          <w:color w:val="auto"/>
          <w:kern w:val="0"/>
          <w:sz w:val="24"/>
          <w:highlight w:val="none"/>
          <w:shd w:val="clear" w:color="auto" w:fill="auto"/>
        </w:rPr>
        <w:t>20.2 人员工伤事故的保险</w:t>
      </w:r>
      <w:bookmarkEnd w:id="328"/>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20.2.1  承包人员工伤事故的保险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承包人应依照有关法律规定参加工伤保险，为其履行合同所雇佣的全部人员，缴纳工伤保险费，并要求其分包人也进行此项保险。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20.2.2  发包人员工伤事故的保险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发包人应依照有关法律规定参加工伤保险，为其现场机构雇佣的全部人员，缴纳工伤保险费，并要求其监理人也进行此项保险。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9" w:name="_Toc511318166"/>
      <w:bookmarkStart w:id="330" w:name="_Toc189386237"/>
      <w:r>
        <w:rPr>
          <w:rFonts w:ascii="宋体" w:hAnsi="宋体"/>
          <w:b/>
          <w:bCs/>
          <w:color w:val="auto"/>
          <w:kern w:val="0"/>
          <w:sz w:val="24"/>
          <w:highlight w:val="none"/>
          <w:shd w:val="clear" w:color="auto" w:fill="auto"/>
        </w:rPr>
        <w:t>20.3 人身意外伤害险</w:t>
      </w:r>
      <w:bookmarkEnd w:id="329"/>
      <w:bookmarkEnd w:id="3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20.3.1  发包人应在整个施工期间为其现场机构雇用的全部人员，投保人身意外伤害险，缴纳保险费，并要求其监理人也进行此项保险。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20.3.2  承包人应在整个施工期间为其现场机构雇用的全部人员，投保人身意外伤害险，缴纳保险费，并要求其分包人也进行此项保险。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1" w:name="_Toc511318167"/>
      <w:bookmarkStart w:id="332" w:name="_Toc189386238"/>
      <w:r>
        <w:rPr>
          <w:rFonts w:ascii="宋体" w:hAnsi="宋体"/>
          <w:b/>
          <w:bCs/>
          <w:color w:val="auto"/>
          <w:kern w:val="0"/>
          <w:sz w:val="24"/>
          <w:highlight w:val="none"/>
          <w:shd w:val="clear" w:color="auto" w:fill="auto"/>
        </w:rPr>
        <w:t>20.4 第三者责任险</w:t>
      </w:r>
      <w:bookmarkEnd w:id="331"/>
      <w:bookmarkEnd w:id="33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20.4.2  在缺陷责任期终止证书颁发前，承包人应以承包人和发包人的共同名义，投保第项约定的第三者责任险，其保险费率、保险金额等有关内容在专用合同条款中约定。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3" w:name="_Toc511318168"/>
      <w:bookmarkStart w:id="334" w:name="_Toc189386239"/>
      <w:r>
        <w:rPr>
          <w:rFonts w:ascii="宋体" w:hAnsi="宋体"/>
          <w:b/>
          <w:bCs/>
          <w:color w:val="auto"/>
          <w:kern w:val="0"/>
          <w:sz w:val="24"/>
          <w:highlight w:val="none"/>
          <w:shd w:val="clear" w:color="auto" w:fill="auto"/>
        </w:rPr>
        <w:t>20.5 其他保险</w:t>
      </w:r>
      <w:bookmarkEnd w:id="333"/>
      <w:bookmarkEnd w:id="33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除专用合同条款另有约定外，承包人应为其施工设备、进场的材料和工程设备等办理保险。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5" w:name="_Toc511318169"/>
      <w:bookmarkStart w:id="336" w:name="_Toc189386240"/>
      <w:r>
        <w:rPr>
          <w:rFonts w:ascii="宋体" w:hAnsi="宋体"/>
          <w:b/>
          <w:bCs/>
          <w:color w:val="auto"/>
          <w:kern w:val="0"/>
          <w:sz w:val="24"/>
          <w:highlight w:val="none"/>
          <w:shd w:val="clear" w:color="auto" w:fill="auto"/>
        </w:rPr>
        <w:t>20.6 对各项保险的一般要求</w:t>
      </w:r>
      <w:bookmarkEnd w:id="335"/>
      <w:bookmarkEnd w:id="33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20.6.1  保险凭证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承包人应在专用合同条款约定的期限内向发包人提交各项保险生效的证据和保险单副本，保险单必须与专用合同条款约定的条件保持一致。</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20.6.2  保险合同条款的变动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承包人需要变动保险合同条款时，应事先征得发包人同意，并通知监理人。保险人作出变动的，承包人应在收到保险人通知后立即通知发包人和监理人。</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20.6.3  持续保险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承包人应与保险人保持联系，使保险人能够随时了解工程实施中的变动，并确保按保险合同条款要求持续保险。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20.6.4  保险金不足的补偿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保险金不足以补偿损失时，应由承包人和发包人各自负责补偿的范围和金额在专用合同条款中约定。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20.6.5  未按约定投保的补救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（1）由于负有投保义务的一方当事人未按合同约定办理保险，或未能使保险持续有效的，另一方当事人可代为办理，所需费用由对方当事人承担。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（2）由于负有投保义务的一方当事人未按合同约定办理某项保险，导致受益人未能得到保险人的赔偿，原应从该项保险得到的保险金应由负有投保义务的一方当事人支付。</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20.6.6  报告义务 </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当保险事故发生时，投保人应按照保险单规定的条件和期限及时向保险人报告。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37" w:name="_Toc76056686"/>
      <w:bookmarkStart w:id="338" w:name="_Toc189386241"/>
      <w:r>
        <w:rPr>
          <w:rFonts w:ascii="宋体" w:hAnsi="宋体"/>
          <w:bCs w:val="0"/>
          <w:color w:val="auto"/>
          <w:sz w:val="24"/>
          <w:szCs w:val="24"/>
          <w:highlight w:val="none"/>
          <w:shd w:val="clear" w:color="auto" w:fill="auto"/>
        </w:rPr>
        <w:t>21．不可抗力</w:t>
      </w:r>
      <w:bookmarkEnd w:id="337"/>
      <w:bookmarkEnd w:id="33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9" w:name="_Toc511318171"/>
      <w:bookmarkStart w:id="340" w:name="_Toc189386242"/>
      <w:r>
        <w:rPr>
          <w:rFonts w:ascii="宋体" w:hAnsi="宋体"/>
          <w:b/>
          <w:bCs/>
          <w:color w:val="auto"/>
          <w:kern w:val="0"/>
          <w:sz w:val="24"/>
          <w:highlight w:val="none"/>
          <w:shd w:val="clear" w:color="auto" w:fill="auto"/>
        </w:rPr>
        <w:t>21.1 不可抗力的确认</w:t>
      </w:r>
      <w:bookmarkEnd w:id="339"/>
      <w:bookmarkEnd w:id="3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21.1.2  不可抗力发生后，发包人和承包人应及时认真统计所造成的损失，收集不可抗力造成损失的证据。合同双方对是否属于不可抗力或其损失的意见不一致的，由监理人按第款商定或确定。发生争议时，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1" w:name="_Toc189386243"/>
      <w:bookmarkStart w:id="342" w:name="_Toc511318172"/>
      <w:r>
        <w:rPr>
          <w:rFonts w:ascii="宋体" w:hAnsi="宋体"/>
          <w:b/>
          <w:bCs/>
          <w:color w:val="auto"/>
          <w:kern w:val="0"/>
          <w:sz w:val="24"/>
          <w:highlight w:val="none"/>
          <w:shd w:val="clear" w:color="auto" w:fill="auto"/>
        </w:rPr>
        <w:t>21.2 不可抗力的通知</w:t>
      </w:r>
      <w:bookmarkEnd w:id="341"/>
      <w:bookmarkEnd w:id="34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21.2.1  合同一方当事人遇到不可抗力事件，使其履行合同义务受到阻碍时，应立即通知合同另一方当事人和监理人，书面说明不可抗力和受阻碍的详细情况，并提供必要的证明。</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21.2.2  如不可抗力持续发生，合同一方当事人应及时向合同另一方当事人和监理人提交中间报告，说明不可抗力和履行合同受阻的情况，并于不可抗力事件结束后28天内提交最终报告及有关资料。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3" w:name="_Toc511318173"/>
      <w:bookmarkStart w:id="344" w:name="_Toc189386244"/>
      <w:r>
        <w:rPr>
          <w:rFonts w:ascii="宋体" w:hAnsi="宋体"/>
          <w:b/>
          <w:bCs/>
          <w:color w:val="auto"/>
          <w:kern w:val="0"/>
          <w:sz w:val="24"/>
          <w:highlight w:val="none"/>
          <w:shd w:val="clear" w:color="auto" w:fill="auto"/>
        </w:rPr>
        <w:t>21.3 不可抗力后果及其处理</w:t>
      </w:r>
      <w:bookmarkEnd w:id="343"/>
      <w:bookmarkEnd w:id="344"/>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21.3.1  不可抗力造成损害的责任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除专用合同条款另有约定外，不可抗力导致的人员伤亡、财产损失、费用增加和（或）工期延误等后果，由合同双方按以下原则承担：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（1）永久工程，包括已运至施工场地的材料和工程设备的损害，以及因工程损害造成的第三者人员伤亡和财产损失由发包人承担；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（2）承包人设备的损坏由承包人承担；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（3）发包人和承包人各自承担其人员伤亡和其他财产损失及其相关费用；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（4）承包人的停工损失由承包人承担，但停工期间应监理人要求照管工程和清理、修复工程的金额由发包人承担；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（5）不能按期竣工的，应合理延长工期，承包人不需支付逾期竣工违约金。发包人要求赶工的，承包人应采取赶工措施，赶工费用由发包人承担。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21.3.2  延迟履行期间发生的不可抗力</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合同一方当事人延迟履行，在延迟履行期间发生不可抗力的，不免除其责任。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21.3.3  避免和减少不可抗力损失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不可抗力发生后，发包人和承包人均应采取措施尽量避免和减少损失的扩大，任何一方没有采取有效措施导致损失扩大的，应对扩大的损失承担责任。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21.3.4  因不可抗力解除合同</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 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5" w:name="_Toc189386245"/>
      <w:bookmarkStart w:id="346" w:name="_Toc76056687"/>
      <w:r>
        <w:rPr>
          <w:rFonts w:ascii="宋体" w:hAnsi="宋体"/>
          <w:bCs w:val="0"/>
          <w:color w:val="auto"/>
          <w:sz w:val="24"/>
          <w:szCs w:val="24"/>
          <w:highlight w:val="none"/>
          <w:shd w:val="clear" w:color="auto" w:fill="auto"/>
        </w:rPr>
        <w:t>22．违约</w:t>
      </w:r>
      <w:bookmarkEnd w:id="345"/>
      <w:bookmarkEnd w:id="346"/>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7" w:name="_Toc189386246"/>
      <w:r>
        <w:rPr>
          <w:rFonts w:ascii="宋体" w:hAnsi="宋体"/>
          <w:b/>
          <w:bCs/>
          <w:color w:val="auto"/>
          <w:kern w:val="0"/>
          <w:sz w:val="24"/>
          <w:highlight w:val="none"/>
          <w:shd w:val="clear" w:color="auto" w:fill="auto"/>
        </w:rPr>
        <w:t>22.1承包人违约</w:t>
      </w:r>
      <w:bookmarkEnd w:id="34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22.1.1  承包人违约的情形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在履行合同过程中发生的下列情况属承包人违约：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（1）承包人违反第1.8款或第4.3款的约定，私自将合同的全部或部分权利转让给其他人，或私自将合同的全部或部分义务转移给其他人；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（2）承包人违反第5.3款或第6.4款的约定，未经监理人批准，私自将已按合同约定进入施工场地的施工设备、临时设施或材料撤离施工场地；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（3）承包人违反第5.4款的约定使用了不合格材料或工程设备，工程质量达不到标准要求，又拒绝清除不合格工程；</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（4）承包人未能按合同进度计划及时完成合同约定的工作，已造成或预期造成工期延误；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（5）承包人在缺陷责任期（工程质量保修期）内，未能对合同工程完工验收鉴定书所列的缺陷清单的内容或缺陷责任期（工程质量保修期）内发生的缺陷进行修复，而又拒绝按监理人指示再进行修补；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（6）承包人无法继续履行或明确表示不履行或实质上已停止履行合同；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（7）承包人不按合同约定履行义务的其它情况。</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22.1.2  对承包人违约的处理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（1）承包人发生第22.1.1（6）目约定的违约情况时，发包人可通知承包人立即解除合同，并按有关法律处理。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（2）承包人发生除第22.1.1（6）目约定以外的其他违约情况时，监理人可向承包人发出整改通知，要求其在指定的期限内改正。承包人应承担其违约所引起的费用增加和（或）工期延误。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（3）经检查证明承包人已采取了有效措施纠正违约行为，具备复工条件的，可由监理人签发复工通知复工。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22.1.3  承包人违约解除合同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22.1.4  合同解除后的估价、付款和结清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（1）合同解除后，监理人按第3.5款商定或确定承包人实际完成工作的价值，以及承包人已提供的材料、施工设备、工程设备和临时工程等的价值。</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（2）合同解除后，发包人应暂停对承包人的一切付款，查清各项付款和已扣款金额，包括承包人应支付的违约金。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（3）合同解除后，发包人应按第23.4款的约定向承包人索赔由于解除合同给发包人造成的损失。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（4）合同双方确认上述往来款项后，出具最终结清付款证书，结清全部合同款项。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（5）发包人和承包人未能就解除合同后的结清达成一致而形成争议的，按第24条的约定办理。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22.1.5  协议利益的转让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因承包人违约解除合同的，发包人有权要求承包人将其为实施合同而签订的材料和设备的订货协议或任何服务协议利益转让给发包人，并在解除合同后的14 天内，依法办理转让手续。</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22.1.6  紧急情况下无能力或不愿进行抢救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8" w:name="_Toc189386247"/>
      <w:r>
        <w:rPr>
          <w:rFonts w:ascii="宋体" w:hAnsi="宋体"/>
          <w:b/>
          <w:bCs/>
          <w:color w:val="auto"/>
          <w:kern w:val="0"/>
          <w:sz w:val="24"/>
          <w:highlight w:val="none"/>
          <w:shd w:val="clear" w:color="auto" w:fill="auto"/>
        </w:rPr>
        <w:t>22.2 发包人违约</w:t>
      </w:r>
      <w:bookmarkEnd w:id="348"/>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22.2.1  发包人违约的情形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在履行合同过程中发生的下列情形，属发包人违约：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（1）发包人未能按合同约定支付预付款或合同价款，或拖延、拒绝批准付款申请和支付凭证，导致付款延误的；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（2）发包人原因造成停工的；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（3）监理人无正当理由没有在约定期限内发出复工指示，导致承包人无法复工的；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（4）发包人无法继续履行或明确表示不履行或实质上已停止履行合同的；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（5）发包人不履行合同约定其他义务的。</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22.2.2  承包人有权暂停施工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22.2.3  发包人违约解除合同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（1）发生第22.2.1（4）目的违约情况时，承包人可书面通知发包人解除合同。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（2）承包人按22.2.2 项暂停施工28天后，发包人仍不纠正违约行为的，承包人可向发包人发出解除合同通知。但承包人的这一行动不免除发包人承担的违约责任，也不影响承包人根据合同约定享有的索赔权利。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22.2.4  解除合同后的付款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因发包人违约解除合同的，发包人应在解除合同后28天内向承包人支付下列金额，承包人应在此期限内及时向发包人提交要求支付下列金额的有关资料和凭证：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（1）合同解除日以前所完成工作的价款；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（2）承包人为该工程施工订购并已付款的材料、工程设备和其他物品的金额。发包人付还后，该材料、工程设备和其他物品归发包人所有；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（3）承包人为完成工程所发生的，而发包人未支付的金额；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（4）承包人撤离施工场地以及遣散承包人人员的金额；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（5）由于解除合同应赔偿的承包人损失；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（6）按合同约定在合同解除日前应支付给承包人的其他金额。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发包人应按本项约定支付上述金额并退还质量保证金和履约担保，但有权要求承包人支付应偿还给发包人的各项金额。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22.2.5  解除合同后的承包人撤离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9" w:name="_Toc189386248"/>
      <w:r>
        <w:rPr>
          <w:rFonts w:ascii="宋体" w:hAnsi="宋体"/>
          <w:b/>
          <w:bCs/>
          <w:color w:val="auto"/>
          <w:kern w:val="0"/>
          <w:sz w:val="24"/>
          <w:highlight w:val="none"/>
          <w:shd w:val="clear" w:color="auto" w:fill="auto"/>
        </w:rPr>
        <w:t>22.3第三人造成的违约</w:t>
      </w:r>
      <w:bookmarkEnd w:id="34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在履行合同过程中，一方当事人因第三人的原因造成违约的，应当向对方当事人承担违约责任。一方当事人和第三人之间的纠纷，依照法律规定或者按照约定解决。</w:t>
      </w: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50" w:name="_Toc189386249"/>
      <w:bookmarkStart w:id="351" w:name="_Toc76056688"/>
      <w:r>
        <w:rPr>
          <w:rFonts w:ascii="宋体" w:hAnsi="宋体"/>
          <w:bCs w:val="0"/>
          <w:color w:val="auto"/>
          <w:sz w:val="24"/>
          <w:szCs w:val="24"/>
          <w:highlight w:val="none"/>
          <w:shd w:val="clear" w:color="auto" w:fill="auto"/>
        </w:rPr>
        <w:t>23．索赔</w:t>
      </w:r>
      <w:bookmarkEnd w:id="350"/>
      <w:bookmarkEnd w:id="35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2" w:name="_Toc189386250"/>
      <w:bookmarkStart w:id="353" w:name="_Toc511318176"/>
      <w:r>
        <w:rPr>
          <w:rFonts w:ascii="宋体" w:hAnsi="宋体"/>
          <w:b/>
          <w:bCs/>
          <w:color w:val="auto"/>
          <w:kern w:val="0"/>
          <w:sz w:val="24"/>
          <w:highlight w:val="none"/>
          <w:shd w:val="clear" w:color="auto" w:fill="auto"/>
        </w:rPr>
        <w:t>23.1 承包人索赔的提出</w:t>
      </w:r>
      <w:bookmarkEnd w:id="352"/>
      <w:bookmarkEnd w:id="3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根据合同约定，承包人认为有权得到追加付款和（或）延长工期的，应按以下程序向发包人提出索赔：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（2）承包人应在发出索赔意向通知书后28天内，向监理人正式递交索赔通知书。索赔通知书应详细说明索赔理由以及要求追加的付款金额和（或）延长的工期，并附必要的记录和证明材料；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（3）索赔事件具有连续影响的，承包人应按合理时间间隔继续递交延续索赔通知，说明连续影响的实际情况和记录，列出累计的追加付款金额和（或）工期延长天数；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（4）在索赔事件影响结束后的28天内，承包人应向监理人递交最终索赔通知书，说明最终要求索赔的追加付款金额和延长的工期，并附必要的记录和证明材料。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4" w:name="_Toc189386251"/>
      <w:bookmarkStart w:id="355" w:name="_Toc511318177"/>
      <w:r>
        <w:rPr>
          <w:rFonts w:ascii="宋体" w:hAnsi="宋体"/>
          <w:b/>
          <w:bCs/>
          <w:color w:val="auto"/>
          <w:kern w:val="0"/>
          <w:sz w:val="24"/>
          <w:highlight w:val="none"/>
          <w:shd w:val="clear" w:color="auto" w:fill="auto"/>
        </w:rPr>
        <w:t>23.2 承包人索赔处理程序</w:t>
      </w:r>
      <w:bookmarkEnd w:id="354"/>
      <w:bookmarkEnd w:id="35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（1）监理人收到承包人提交的索赔通知书后，应及时审查索赔通知书的内容、查验承包人的记录和证明材料，必要时监理人可要求承包人提交全部原始记录副本。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（2）监理人应按第3.5款商定或确定追加的付款和（或）延长的工期，并在收到上述索赔通知书或有关索赔的进一步证明材料后的42天内，将索赔处理结果答复承包人。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（3）承包人接受索赔处理结果的，发包人应在作出索赔处理结果答复后28 天内完成赔付。承包人不接受索赔处理结果的，按第24条的约定办理。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6" w:name="_Toc511318178"/>
      <w:bookmarkStart w:id="357" w:name="_Toc189386252"/>
      <w:r>
        <w:rPr>
          <w:rFonts w:ascii="宋体" w:hAnsi="宋体"/>
          <w:b/>
          <w:bCs/>
          <w:color w:val="auto"/>
          <w:kern w:val="0"/>
          <w:sz w:val="24"/>
          <w:highlight w:val="none"/>
          <w:shd w:val="clear" w:color="auto" w:fill="auto"/>
        </w:rPr>
        <w:t>23.3 承包人提出索赔的期限</w:t>
      </w:r>
      <w:bookmarkEnd w:id="356"/>
      <w:bookmarkEnd w:id="35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23.3.1  承包人按第17.5款的约定接受了完工付款证书后，应被认为已无权再提出在合同工程完工证书颁发前所发生的任何索赔。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23.3.2  承包人按第17.6款的约定提交的最终结清申请单中，只限于提出合同工程完工证书颁发后发生的索赔。提出索赔的期限自接受最终结清证书时终止。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8" w:name="_Toc189386253"/>
      <w:bookmarkStart w:id="359" w:name="_Toc511318179"/>
      <w:r>
        <w:rPr>
          <w:rFonts w:ascii="宋体" w:hAnsi="宋体"/>
          <w:b/>
          <w:bCs/>
          <w:color w:val="auto"/>
          <w:kern w:val="0"/>
          <w:sz w:val="24"/>
          <w:highlight w:val="none"/>
          <w:shd w:val="clear" w:color="auto" w:fill="auto"/>
        </w:rPr>
        <w:t>23.4 发包人的索赔</w:t>
      </w:r>
      <w:bookmarkEnd w:id="358"/>
      <w:bookmarkEnd w:id="35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23.4.2  监理人按第3.5款商定或确定发包人从承包人处得到赔付的金额和（或）缺陷责任期的延长期。承包人应付给发包人的金额可从拟支付给承包人的合同价款中扣除，或由承包人以其他方式支付给发包人。</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0" w:name="_Toc189386254"/>
      <w:bookmarkStart w:id="361" w:name="_Toc76056689"/>
      <w:r>
        <w:rPr>
          <w:rFonts w:ascii="宋体" w:hAnsi="宋体"/>
          <w:bCs w:val="0"/>
          <w:color w:val="auto"/>
          <w:sz w:val="24"/>
          <w:szCs w:val="24"/>
          <w:highlight w:val="none"/>
          <w:shd w:val="clear" w:color="auto" w:fill="auto"/>
        </w:rPr>
        <w:t>24．争议的解决</w:t>
      </w:r>
      <w:bookmarkEnd w:id="360"/>
      <w:bookmarkEnd w:id="36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2" w:name="_Toc189386255"/>
      <w:r>
        <w:rPr>
          <w:rFonts w:ascii="宋体" w:hAnsi="宋体"/>
          <w:b/>
          <w:bCs/>
          <w:color w:val="auto"/>
          <w:kern w:val="0"/>
          <w:sz w:val="24"/>
          <w:highlight w:val="none"/>
          <w:shd w:val="clear" w:color="auto" w:fill="auto"/>
        </w:rPr>
        <w:t>24.1争议的解决方式</w:t>
      </w:r>
      <w:bookmarkEnd w:id="3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（1）向约定的仲裁委员会申请仲裁；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（2）向有管辖权的人民法院提起诉讼。</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3" w:name="_Toc189386256"/>
      <w:bookmarkStart w:id="364" w:name="_Toc511318181"/>
      <w:r>
        <w:rPr>
          <w:rFonts w:ascii="宋体" w:hAnsi="宋体"/>
          <w:b/>
          <w:bCs/>
          <w:color w:val="auto"/>
          <w:kern w:val="0"/>
          <w:sz w:val="24"/>
          <w:highlight w:val="none"/>
          <w:shd w:val="clear" w:color="auto" w:fill="auto"/>
        </w:rPr>
        <w:t>24.2 友好解决</w:t>
      </w:r>
      <w:bookmarkEnd w:id="363"/>
      <w:bookmarkEnd w:id="36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在提请争议评审、仲裁或者诉讼前，以及在争议评审、仲裁或诉讼过程中，发包人和承包人均可共同努力友好协商解决争议。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5" w:name="_Toc511318182"/>
      <w:bookmarkStart w:id="366" w:name="_Toc189386257"/>
      <w:r>
        <w:rPr>
          <w:rFonts w:ascii="宋体" w:hAnsi="宋体"/>
          <w:b/>
          <w:bCs/>
          <w:color w:val="auto"/>
          <w:kern w:val="0"/>
          <w:sz w:val="24"/>
          <w:highlight w:val="none"/>
          <w:shd w:val="clear" w:color="auto" w:fill="auto"/>
        </w:rPr>
        <w:t>24.3 争议评审</w:t>
      </w:r>
      <w:bookmarkEnd w:id="365"/>
      <w:bookmarkEnd w:id="36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24.3.1  采用争议评审的，发包人和承包人应在开工日后的28天内或在争议发生后，协商成立争议评审组。争议评审组由有合同管理和工程实践经验的专家组成。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24.3.2  合同双方的争议，应首先由申请人向争议评审组提交一份详细的评审申请报告，并附必要的文件、图纸和证明材料，申请人还应将上述报告的副本同时提交给被申请人和监理人。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24.3.3  被申请人在收到申请人评审申请报告副本后的28天内，向争议评审组提交一份答辩报告，并附证明材料。被申请人应将答辩报告的副本同时提交给申请人和监理人。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24.3.4  除专用合同条款另有约定外，争议评审组在收到合同双方报告后的14 天内，邀请双方代表和有关人员举行调查会，向双方调查争议细节；必要时争议评审组可要求双方进一步提供补充材料。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24.3.6  发包人和承包人接受评审意见的，由监理人根据评审意见拟定执行协议，经争议双方签字后作为合同的补充文件，并遵照执行。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7" w:name="_Toc511318183"/>
      <w:r>
        <w:rPr>
          <w:rFonts w:ascii="宋体" w:hAnsi="宋体"/>
          <w:b/>
          <w:bCs/>
          <w:color w:val="auto"/>
          <w:kern w:val="0"/>
          <w:sz w:val="24"/>
          <w:highlight w:val="none"/>
          <w:shd w:val="clear" w:color="auto" w:fill="auto"/>
        </w:rPr>
        <w:t>24.4  仲裁</w:t>
      </w:r>
      <w:bookmarkEnd w:id="36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24.4.1  若合同双方商定直接向仲裁机构申请仲裁，应签订仲裁协议并约定仲裁机构。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24.4.2  若合同双方未能达成仲裁协议，则本合同的仲裁条款无效，任一方均有权向人民法院提起诉讼。</w:t>
      </w: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r>
        <w:rPr>
          <w:rFonts w:ascii="宋体" w:hAnsi="宋体"/>
          <w:b/>
          <w:color w:val="auto"/>
          <w:sz w:val="24"/>
          <w:highlight w:val="none"/>
          <w:u w:val="single"/>
          <w:shd w:val="clear" w:color="auto" w:fill="auto"/>
        </w:rPr>
        <w:t>施工招标文件示范文本提供的专用合同条款内容供招标人参考，招标人可根据项目具体情况修改、补充、完善，除通用合同条款明确专用合同条款可作出不同约定外，专用合同条款及附件补充细化的内容不得与通用合同条款规定相抵触，不得违反法律、法规和行业规章的有关规定和平等、自愿、公平以及诚实信用原则。</w:t>
      </w:r>
    </w:p>
    <w:p>
      <w:pPr>
        <w:adjustRightInd w:val="0"/>
        <w:snapToGrid w:val="0"/>
        <w:spacing w:line="312" w:lineRule="auto"/>
        <w:ind w:firstLine="480" w:firstLineChars="200"/>
        <w:rPr>
          <w:rFonts w:ascii="宋体" w:hAnsi="宋体"/>
          <w:color w:val="auto"/>
          <w:sz w:val="24"/>
          <w:highlight w:val="none"/>
          <w:shd w:val="clear" w:color="auto" w:fill="auto"/>
        </w:rPr>
      </w:pPr>
    </w:p>
    <w:p>
      <w:pPr>
        <w:adjustRightInd w:val="0"/>
        <w:snapToGrid w:val="0"/>
        <w:spacing w:line="312" w:lineRule="auto"/>
        <w:jc w:val="center"/>
        <w:outlineLvl w:val="2"/>
        <w:rPr>
          <w:rFonts w:ascii="宋体" w:hAnsi="宋体"/>
          <w:b/>
          <w:color w:val="auto"/>
          <w:sz w:val="24"/>
          <w:highlight w:val="none"/>
          <w:shd w:val="clear" w:color="auto" w:fill="auto"/>
        </w:rPr>
      </w:pPr>
      <w:bookmarkStart w:id="368" w:name="_Toc76056690"/>
      <w:r>
        <w:rPr>
          <w:rFonts w:ascii="宋体" w:hAnsi="宋体"/>
          <w:b/>
          <w:color w:val="auto"/>
          <w:sz w:val="24"/>
          <w:highlight w:val="none"/>
          <w:shd w:val="clear" w:color="auto" w:fill="auto"/>
        </w:rPr>
        <w:t>第</w:t>
      </w:r>
      <w:r>
        <w:rPr>
          <w:rFonts w:hint="eastAsia" w:ascii="宋体" w:hAnsi="宋体"/>
          <w:b/>
          <w:color w:val="auto"/>
          <w:sz w:val="24"/>
          <w:highlight w:val="none"/>
          <w:shd w:val="clear" w:color="auto" w:fill="auto"/>
        </w:rPr>
        <w:t>二</w:t>
      </w:r>
      <w:r>
        <w:rPr>
          <w:rFonts w:ascii="宋体" w:hAnsi="宋体"/>
          <w:b/>
          <w:color w:val="auto"/>
          <w:sz w:val="24"/>
          <w:highlight w:val="none"/>
          <w:shd w:val="clear" w:color="auto" w:fill="auto"/>
        </w:rPr>
        <w:t>节  专用合同条款</w:t>
      </w:r>
      <w:bookmarkEnd w:id="368"/>
    </w:p>
    <w:p>
      <w:pPr>
        <w:adjustRightInd w:val="0"/>
        <w:snapToGrid w:val="0"/>
        <w:spacing w:line="312" w:lineRule="auto"/>
        <w:ind w:firstLine="482" w:firstLineChars="200"/>
        <w:rPr>
          <w:rFonts w:ascii="宋体" w:hAnsi="宋体"/>
          <w:b/>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9" w:name="_Toc76056691"/>
      <w:r>
        <w:rPr>
          <w:rFonts w:ascii="宋体" w:hAnsi="宋体"/>
          <w:bCs w:val="0"/>
          <w:color w:val="auto"/>
          <w:sz w:val="24"/>
          <w:szCs w:val="24"/>
          <w:highlight w:val="none"/>
          <w:shd w:val="clear" w:color="auto" w:fill="auto"/>
        </w:rPr>
        <w:t>1．一般约定</w:t>
      </w:r>
      <w:bookmarkEnd w:id="36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1.1词语定义</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1.2.2.2  发包人：</w:t>
      </w:r>
      <w:r>
        <w:rPr>
          <w:rFonts w:ascii="宋体" w:hAnsi="宋体"/>
          <w:color w:val="auto"/>
          <w:sz w:val="24"/>
          <w:highlight w:val="none"/>
          <w:u w:val="single"/>
          <w:shd w:val="clear" w:color="auto" w:fill="auto"/>
        </w:rPr>
        <w:t xml:space="preserve">   （填入发包人的名称）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1.1.2.3  承包人：</w:t>
      </w:r>
      <w:r>
        <w:rPr>
          <w:rFonts w:ascii="宋体" w:hAnsi="宋体"/>
          <w:color w:val="auto"/>
          <w:sz w:val="24"/>
          <w:highlight w:val="none"/>
          <w:u w:val="single"/>
          <w:shd w:val="clear" w:color="auto" w:fill="auto"/>
        </w:rPr>
        <w:t xml:space="preserve">   （签约后填入承包人的名称）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1.1.2.4（补充）  承包人项目经理、技术负责人和专职安全员：</w:t>
      </w:r>
      <w:r>
        <w:rPr>
          <w:rFonts w:ascii="宋体" w:hAnsi="宋体"/>
          <w:color w:val="auto"/>
          <w:sz w:val="24"/>
          <w:highlight w:val="none"/>
          <w:u w:val="single"/>
          <w:shd w:val="clear" w:color="auto" w:fill="auto"/>
        </w:rPr>
        <w:t xml:space="preserve">（签约后填入项目经理、技术负责人和专职安全员的姓名、身份证号号码，项目经理执业证书号码以及项目经理和专职安全员行业主管部门颁发的安全生产考核合格证书号码）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1.1.2.5  分包人：</w:t>
      </w:r>
      <w:r>
        <w:rPr>
          <w:rFonts w:ascii="宋体" w:hAnsi="宋体"/>
          <w:color w:val="auto"/>
          <w:sz w:val="24"/>
          <w:highlight w:val="none"/>
          <w:u w:val="single"/>
          <w:shd w:val="clear" w:color="auto" w:fill="auto"/>
        </w:rPr>
        <w:t xml:space="preserve">    不适用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1.1.2.6  监理人：</w:t>
      </w:r>
      <w:r>
        <w:rPr>
          <w:rFonts w:ascii="宋体" w:hAnsi="宋体"/>
          <w:color w:val="auto"/>
          <w:sz w:val="24"/>
          <w:highlight w:val="none"/>
          <w:u w:val="single"/>
          <w:shd w:val="clear" w:color="auto" w:fill="auto"/>
        </w:rPr>
        <w:t>发包人另行书面通知</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  日期</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1.1.4.5  缺陷责任期（工程质量保修期）：</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1.7联络</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1.7.2  来往函件均应按技术标准和要求（合同技术条款）约定的期限送达：</w:t>
      </w:r>
      <w:r>
        <w:rPr>
          <w:rFonts w:hint="eastAsia" w:ascii="宋体" w:hAnsi="宋体"/>
          <w:color w:val="auto"/>
          <w:sz w:val="24"/>
          <w:highlight w:val="none"/>
          <w:shd w:val="clear" w:color="auto" w:fill="auto"/>
        </w:rPr>
        <w:t>由发包人指定</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0" w:name="_Toc76056692"/>
      <w:r>
        <w:rPr>
          <w:rFonts w:ascii="宋体" w:hAnsi="宋体"/>
          <w:bCs w:val="0"/>
          <w:color w:val="auto"/>
          <w:sz w:val="24"/>
          <w:szCs w:val="24"/>
          <w:highlight w:val="none"/>
          <w:shd w:val="clear" w:color="auto" w:fill="auto"/>
        </w:rPr>
        <w:t>2．发包人义务</w:t>
      </w:r>
      <w:bookmarkEnd w:id="37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2.3提供施工场地</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2.3.2 发包人提供的施工用地范围为：</w:t>
      </w:r>
      <w:r>
        <w:rPr>
          <w:rFonts w:ascii="宋体" w:hAnsi="宋体"/>
          <w:color w:val="auto"/>
          <w:sz w:val="24"/>
          <w:highlight w:val="none"/>
          <w:u w:val="single"/>
          <w:shd w:val="clear" w:color="auto" w:fill="auto"/>
        </w:rPr>
        <w:t>在发出开工令之前发包人向承包人提供施工用地，提供的用地范围以施工图为准，提供的用地期限在合同计划完工日期前。承包人为完成本合同工程所需的其他施工场地由承包人自行解决，所需费用已包括在合同总价中，发包人不另行支付</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2.8其它义务</w:t>
      </w:r>
      <w:r>
        <w:rPr>
          <w:rFonts w:hint="eastAsia" w:ascii="宋体" w:hAnsi="宋体"/>
          <w:b/>
          <w:bCs/>
          <w:color w:val="auto"/>
          <w:kern w:val="0"/>
          <w:sz w:val="24"/>
          <w:highlight w:val="none"/>
          <w:shd w:val="clear" w:color="auto" w:fill="auto"/>
        </w:rPr>
        <w:t>：</w:t>
      </w:r>
      <w:r>
        <w:rPr>
          <w:rFonts w:ascii="宋体" w:hAnsi="宋体"/>
          <w:color w:val="auto"/>
          <w:kern w:val="0"/>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kern w:val="0"/>
          <w:sz w:val="24"/>
          <w:highlight w:val="none"/>
          <w:u w:val="single"/>
          <w:shd w:val="clear" w:color="auto" w:fill="auto"/>
        </w:rPr>
        <w:t xml:space="preserve">  </w:t>
      </w:r>
    </w:p>
    <w:p>
      <w:pPr>
        <w:pStyle w:val="185"/>
        <w:widowControl w:val="0"/>
        <w:adjustRightInd w:val="0"/>
        <w:snapToGrid w:val="0"/>
        <w:spacing w:line="312" w:lineRule="auto"/>
        <w:ind w:firstLine="480" w:firstLineChars="200"/>
        <w:rPr>
          <w:rFonts w:ascii="宋体" w:hAnsi="宋体"/>
          <w:color w:val="auto"/>
          <w:kern w:val="0"/>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1" w:name="_Toc76056693"/>
      <w:r>
        <w:rPr>
          <w:rFonts w:ascii="宋体" w:hAnsi="宋体"/>
          <w:bCs w:val="0"/>
          <w:color w:val="auto"/>
          <w:sz w:val="24"/>
          <w:szCs w:val="24"/>
          <w:highlight w:val="none"/>
          <w:shd w:val="clear" w:color="auto" w:fill="auto"/>
        </w:rPr>
        <w:t>3．监理人</w:t>
      </w:r>
      <w:bookmarkEnd w:id="37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3.1监理人的职责和权力</w:t>
      </w:r>
    </w:p>
    <w:p>
      <w:pPr>
        <w:adjustRightInd w:val="0"/>
        <w:snapToGrid w:val="0"/>
        <w:spacing w:line="312" w:lineRule="auto"/>
        <w:ind w:firstLine="480" w:firstLineChars="200"/>
        <w:rPr>
          <w:rFonts w:ascii="宋体" w:hAnsi="宋体"/>
          <w:b/>
          <w:i/>
          <w:color w:val="auto"/>
          <w:sz w:val="24"/>
          <w:highlight w:val="none"/>
          <w:shd w:val="clear" w:color="auto" w:fill="auto"/>
        </w:rPr>
      </w:pPr>
      <w:r>
        <w:rPr>
          <w:rFonts w:ascii="宋体" w:hAnsi="宋体"/>
          <w:color w:val="auto"/>
          <w:sz w:val="24"/>
          <w:highlight w:val="none"/>
          <w:shd w:val="clear" w:color="auto" w:fill="auto"/>
        </w:rPr>
        <w:t>3.1.1  监理人须根据发包人事先批准的权力范围行使权力，发包人批准的权力范围：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（1）按第4.3款约定，批准工程的分包；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（2）按第4.11款约定，确定产生的费用增加额；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（3）按第11.3款约定，确定延长完工期限；</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（4）按第11.3款、12.3款、12.4款约定，发布开工通知、暂停施工指示或复工通知；</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（5）按第11.3款、11.4款约定，确定工期延长；</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（6）按第15.3款约定，发出变更指令，确定变更价格；</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（7）按第15.4款约定，确定变更工作的单价；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（8）按第15.6款约定，批准暂列金额的使用；</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（9）按第15.8款约定，确定暂估列金额；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（10）按第23.1款约定，确定索赔额。</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（11）</w:t>
      </w:r>
      <w:r>
        <w:rPr>
          <w:rFonts w:hint="eastAsia" w:ascii="宋体" w:hAnsi="宋体"/>
          <w:color w:val="auto"/>
          <w:sz w:val="24"/>
          <w:highlight w:val="none"/>
          <w:shd w:val="clear" w:color="auto" w:fill="auto"/>
        </w:rPr>
        <w:t>其他由合同约定的职责和权利。</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2" w:name="_Toc76056694"/>
      <w:r>
        <w:rPr>
          <w:rFonts w:ascii="宋体" w:hAnsi="宋体"/>
          <w:bCs w:val="0"/>
          <w:color w:val="auto"/>
          <w:sz w:val="24"/>
          <w:szCs w:val="24"/>
          <w:highlight w:val="none"/>
          <w:shd w:val="clear" w:color="auto" w:fill="auto"/>
        </w:rPr>
        <w:t>4．承包人</w:t>
      </w:r>
      <w:bookmarkEnd w:id="372"/>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4.1承包人的一般义务</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4.1.10  其它义务</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4.1.10.1  承包人应在合同约定的开工时间前的7天内确保合同工程所需的设备、人员、材料进场到位。</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4.1.10.2  在合同工程施工期和缺陷责任期（保修期）内，承包人有义务采取措施防御洪水，保证工程安全，无条件服从抗洪抢险的命令和统一指挥调度。</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4.1.10.3  承包人应支付为获得本合同工程所需的石料、砂、砾石、粘土或其他当地材料等所需的料场使用费及其他开支或补偿费等一切费用。承包人在发包人指定的料场范围内开采本工程所需的材料，办理除临时用地手续以外的开采和运输等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4.1.10.4  承包人应根据工程施工情况及监理人的指令，按时向监理人提交技术标准和要求和/或法律法规要求的各种报告。承包人提交上述报告所需的一切费用均已包括在合同总价中，发包人不另行支付。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4.1.10.5  承包人必须配合发包人做好施工地质编录工作，在编制施工进度计划时，应充分考虑发包人的施工地质编录工作对合同工程的影响。承包人为消除这些影响而采取的所有措施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4.1.10.6  承包人为办理合同工程施工所需的人员、设备、材料等所需的各种证件、批件和其他审批手续所需的一切费用均已包括在合同总价中，发包人不另行支付。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4.1.10.7  承包人应严格遵守国家有关解决拖欠工程款和农民工工资的法律、法规、规范性文件，及时支付工程中的材料、设备货款及农民工工资等费用。承包人不得以任何借口拖欠材料、设备货款及农民工工资等费用，如果出现此种现象，发包人有权代为支付其拖欠的材料、设备货款及民工工资，并从应付给承包人的工程款中扣除相应款项。对恶意拖欠和拒不按计划支付的，作为不良记录纳入行业市场信用信息管理系统。同时对拖欠农民工工资的，依据</w:t>
      </w:r>
      <w:r>
        <w:rPr>
          <w:rFonts w:ascii="宋体" w:hAnsi="宋体"/>
          <w:bCs/>
          <w:color w:val="auto"/>
          <w:sz w:val="24"/>
          <w:highlight w:val="none"/>
          <w:u w:val="single"/>
          <w:shd w:val="clear" w:color="auto" w:fill="auto"/>
        </w:rPr>
        <w:t>《拖欠农民工工资“黑名单”管理暂行办法》（</w:t>
      </w:r>
      <w:r>
        <w:rPr>
          <w:rFonts w:ascii="宋体" w:hAnsi="宋体"/>
          <w:color w:val="auto"/>
          <w:sz w:val="24"/>
          <w:highlight w:val="none"/>
          <w:u w:val="single"/>
          <w:shd w:val="clear" w:color="auto" w:fill="auto"/>
        </w:rPr>
        <w:t>人社部规〔2017〕16号</w:t>
      </w:r>
      <w:r>
        <w:rPr>
          <w:rFonts w:ascii="宋体" w:hAnsi="宋体"/>
          <w:bCs/>
          <w:color w:val="auto"/>
          <w:sz w:val="24"/>
          <w:highlight w:val="none"/>
          <w:u w:val="single"/>
          <w:shd w:val="clear" w:color="auto" w:fill="auto"/>
        </w:rPr>
        <w:t>）</w:t>
      </w:r>
      <w:r>
        <w:rPr>
          <w:rFonts w:ascii="宋体" w:hAnsi="宋体"/>
          <w:bCs/>
          <w:color w:val="auto"/>
          <w:sz w:val="24"/>
          <w:highlight w:val="none"/>
          <w:shd w:val="clear" w:color="auto" w:fill="auto"/>
        </w:rPr>
        <w:t>规定，由</w:t>
      </w:r>
      <w:r>
        <w:rPr>
          <w:rFonts w:ascii="宋体" w:hAnsi="宋体"/>
          <w:color w:val="auto"/>
          <w:sz w:val="24"/>
          <w:highlight w:val="none"/>
          <w:shd w:val="clear" w:color="auto" w:fill="auto"/>
        </w:rPr>
        <w:t>人力资源和社会保障行政部门将承包人单位列入拖欠工资“黑名单”，依规将拖欠工资“黑名单”信息通过部门门户网站、“信用中国”网站、国家企业信用信息公示系统等予以公示。</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4.1.10.8  承包人项目经理、技术负责人、专职安全员每月驻工地现场时间不得少于本月施工时间的</w:t>
      </w:r>
      <w:r>
        <w:rPr>
          <w:rFonts w:ascii="宋体" w:hAnsi="宋体"/>
          <w:b/>
          <w:color w:val="auto"/>
          <w:sz w:val="24"/>
          <w:highlight w:val="none"/>
          <w:u w:val="single"/>
          <w:shd w:val="clear" w:color="auto" w:fill="auto"/>
        </w:rPr>
        <w:t xml:space="preserve"> </w:t>
      </w:r>
      <w:r>
        <w:rPr>
          <w:rFonts w:hint="eastAsia" w:ascii="宋体" w:hAnsi="宋体"/>
          <w:b/>
          <w:color w:val="auto"/>
          <w:sz w:val="24"/>
          <w:highlight w:val="none"/>
          <w:u w:val="single"/>
          <w:shd w:val="clear" w:color="auto" w:fill="auto"/>
        </w:rPr>
        <w:t xml:space="preserve">      </w:t>
      </w:r>
      <w:r>
        <w:rPr>
          <w:rFonts w:ascii="宋体" w:hAnsi="宋体"/>
          <w:b/>
          <w:color w:val="auto"/>
          <w:sz w:val="24"/>
          <w:highlight w:val="none"/>
          <w:shd w:val="clear" w:color="auto" w:fill="auto"/>
        </w:rPr>
        <w:t>%</w:t>
      </w:r>
      <w:r>
        <w:rPr>
          <w:rFonts w:ascii="宋体" w:hAnsi="宋体"/>
          <w:color w:val="auto"/>
          <w:sz w:val="24"/>
          <w:highlight w:val="none"/>
          <w:shd w:val="clear" w:color="auto" w:fill="auto"/>
        </w:rPr>
        <w:t>（招标人自行填写，但不得低于70%），否则承包人应按本专用合同条款22.1.2违约的处理向发包人支付违约金。上述人员因其他事务需短期离开工地，应向发包人请假，经批准后方可离开，离开期间应委托项目相关负责人负责其外出时的日常工作。</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4.1.10.9 工程质量终身责任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sz w:val="24"/>
          <w:highlight w:val="none"/>
          <w:shd w:val="clear" w:color="auto" w:fill="auto"/>
        </w:rPr>
        <w:t>依据</w:t>
      </w:r>
      <w:r>
        <w:rPr>
          <w:rFonts w:hint="eastAsia" w:ascii="宋体" w:hAnsi="宋体"/>
          <w:color w:val="auto"/>
          <w:sz w:val="24"/>
          <w:highlight w:val="none"/>
          <w:shd w:val="clear" w:color="auto" w:fill="auto"/>
        </w:rPr>
        <w:t>行业有关规定，</w:t>
      </w:r>
      <w:r>
        <w:rPr>
          <w:rFonts w:ascii="宋体" w:hAnsi="宋体"/>
          <w:color w:val="auto"/>
          <w:sz w:val="24"/>
          <w:highlight w:val="none"/>
          <w:shd w:val="clear" w:color="auto" w:fill="auto"/>
        </w:rPr>
        <w:t>明确承包人在本工程的项目经理，经授权的项目经理应当在办理工程质量监督手续前签署工程质量终身责任承诺书</w:t>
      </w:r>
      <w:r>
        <w:rPr>
          <w:rFonts w:hint="eastAsia" w:ascii="宋体" w:hAnsi="宋体"/>
          <w:color w:val="auto"/>
          <w:sz w:val="24"/>
          <w:highlight w:val="none"/>
          <w:shd w:val="clear" w:color="auto" w:fill="auto"/>
        </w:rPr>
        <w:t>，按行业规定执行</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4.2履约担保（修改）</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（适用于不要求提交履约担保）：</w:t>
      </w:r>
      <w:r>
        <w:rPr>
          <w:rFonts w:ascii="宋体" w:hAnsi="宋体"/>
          <w:color w:val="auto"/>
          <w:sz w:val="24"/>
          <w:highlight w:val="none"/>
          <w:shd w:val="clear" w:color="auto" w:fill="auto"/>
        </w:rPr>
        <w:t>删除通用合同条款第4.2条全文。并以下文代替：本合同工程不需要提交履约担保。</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（适用于要求提交履约担保）：</w:t>
      </w:r>
      <w:r>
        <w:rPr>
          <w:rFonts w:ascii="宋体" w:hAnsi="宋体"/>
          <w:color w:val="auto"/>
          <w:sz w:val="24"/>
          <w:highlight w:val="none"/>
          <w:shd w:val="clear" w:color="auto" w:fill="auto"/>
        </w:rPr>
        <w:t>本合同工程履约担保采用</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形式递交，担保金额为合同总价（不含暂列金额和暂估价）的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％。承包人应保证其履约担保在发包人颁发工程接收证书前一直有效。发包人应在工程接收证书颁发后28天内把履约担保退还（无息）给承包人。</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4.3分包</w:t>
      </w:r>
    </w:p>
    <w:p>
      <w:pPr>
        <w:pStyle w:val="7"/>
        <w:keepNext w:val="0"/>
        <w:keepLines w:val="0"/>
        <w:adjustRightInd w:val="0"/>
        <w:snapToGrid w:val="0"/>
        <w:spacing w:before="0" w:after="0" w:line="312" w:lineRule="auto"/>
        <w:ind w:firstLine="480" w:firstLineChars="200"/>
        <w:rPr>
          <w:rFonts w:hint="eastAsia" w:ascii="宋体" w:hAnsi="宋体" w:eastAsia="宋体"/>
          <w:b w:val="0"/>
          <w:bCs w:val="0"/>
          <w:color w:val="auto"/>
          <w:sz w:val="24"/>
          <w:szCs w:val="24"/>
          <w:highlight w:val="none"/>
          <w:u w:val="single"/>
          <w:shd w:val="clear" w:color="auto" w:fill="auto"/>
        </w:rPr>
      </w:pPr>
      <w:r>
        <w:rPr>
          <w:rFonts w:ascii="宋体" w:hAnsi="宋体" w:eastAsia="宋体"/>
          <w:b w:val="0"/>
          <w:bCs w:val="0"/>
          <w:color w:val="auto"/>
          <w:sz w:val="24"/>
          <w:szCs w:val="24"/>
          <w:highlight w:val="none"/>
          <w:shd w:val="clear" w:color="auto" w:fill="auto"/>
        </w:rPr>
        <w:t>删除通用合同条款第4.2条全文。并以下文代替：</w:t>
      </w:r>
      <w:r>
        <w:rPr>
          <w:rFonts w:hint="eastAsia" w:ascii="宋体" w:hAnsi="宋体" w:eastAsia="宋体"/>
          <w:b w:val="0"/>
          <w:bCs w:val="0"/>
          <w:color w:val="auto"/>
          <w:sz w:val="24"/>
          <w:szCs w:val="24"/>
          <w:highlight w:val="none"/>
          <w:u w:val="single"/>
          <w:shd w:val="clear" w:color="auto" w:fill="auto"/>
        </w:rPr>
        <w:t>本合同不允许分包。</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4.4 联合体</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不允许，删除通用合同条款第4.4.1、4.4.2、4.4.3条全文。</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4.8保障承包人人员的合法权益（补充）</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4.8.7  保障农民工工资</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承包人应按照</w:t>
      </w:r>
      <w:r>
        <w:rPr>
          <w:rFonts w:ascii="宋体" w:hAnsi="宋体"/>
          <w:color w:val="auto"/>
          <w:sz w:val="24"/>
          <w:highlight w:val="none"/>
          <w:u w:val="single"/>
          <w:shd w:val="clear" w:color="auto" w:fill="auto"/>
        </w:rPr>
        <w:t>《国务院办公厅关于全面治理拖欠农民工工资问题的意见》（国办发〔2016〕1号）、《</w:t>
      </w:r>
      <w:r>
        <w:rPr>
          <w:rFonts w:ascii="宋体" w:hAnsi="宋体"/>
          <w:bCs/>
          <w:color w:val="auto"/>
          <w:sz w:val="24"/>
          <w:highlight w:val="none"/>
          <w:u w:val="single"/>
          <w:shd w:val="clear" w:color="auto" w:fill="auto"/>
        </w:rPr>
        <w:t>保障农民工工资支付条例</w:t>
      </w:r>
      <w:r>
        <w:rPr>
          <w:rFonts w:ascii="宋体" w:hAnsi="宋体"/>
          <w:color w:val="auto"/>
          <w:sz w:val="24"/>
          <w:highlight w:val="none"/>
          <w:u w:val="single"/>
          <w:shd w:val="clear" w:color="auto" w:fill="auto"/>
        </w:rPr>
        <w:t>》（</w:t>
      </w:r>
      <w:r>
        <w:rPr>
          <w:rFonts w:ascii="宋体" w:hAnsi="宋体"/>
          <w:bCs/>
          <w:color w:val="auto"/>
          <w:sz w:val="24"/>
          <w:highlight w:val="none"/>
          <w:u w:val="single"/>
          <w:shd w:val="clear" w:color="auto" w:fill="auto"/>
        </w:rPr>
        <w:t>中华人民共</w:t>
      </w:r>
      <w:r>
        <w:rPr>
          <w:rFonts w:ascii="宋体" w:hAnsi="宋体"/>
          <w:color w:val="auto"/>
          <w:sz w:val="24"/>
          <w:highlight w:val="none"/>
          <w:u w:val="single"/>
          <w:shd w:val="clear" w:color="auto" w:fill="auto"/>
        </w:rPr>
        <w:t>和国国务院令第724号）</w:t>
      </w:r>
      <w:r>
        <w:rPr>
          <w:rFonts w:hint="eastAsia" w:ascii="宋体" w:hAnsi="宋体"/>
          <w:color w:val="auto"/>
          <w:sz w:val="24"/>
          <w:highlight w:val="none"/>
          <w:u w:val="single"/>
          <w:shd w:val="clear" w:color="auto" w:fill="auto"/>
        </w:rPr>
        <w:t>、《湖南省人民政府办公厅关于建立健全保障农民工工资支付长效机制的意见》（湘政办发</w:t>
      </w:r>
      <w:r>
        <w:rPr>
          <w:rFonts w:ascii="宋体" w:hAnsi="宋体"/>
          <w:color w:val="auto"/>
          <w:sz w:val="24"/>
          <w:highlight w:val="none"/>
          <w:u w:val="single"/>
          <w:shd w:val="clear" w:color="auto" w:fill="auto"/>
        </w:rPr>
        <w:t>〔20</w:t>
      </w:r>
      <w:r>
        <w:rPr>
          <w:rFonts w:hint="eastAsia" w:ascii="宋体" w:hAnsi="宋体"/>
          <w:color w:val="auto"/>
          <w:sz w:val="24"/>
          <w:highlight w:val="none"/>
          <w:u w:val="single"/>
          <w:shd w:val="clear" w:color="auto" w:fill="auto"/>
        </w:rPr>
        <w:t>21</w:t>
      </w:r>
      <w:r>
        <w:rPr>
          <w:rFonts w:ascii="宋体" w:hAnsi="宋体"/>
          <w:color w:val="auto"/>
          <w:sz w:val="24"/>
          <w:highlight w:val="none"/>
          <w:u w:val="single"/>
          <w:shd w:val="clear" w:color="auto" w:fill="auto"/>
        </w:rPr>
        <w:t>〕</w:t>
      </w:r>
      <w:r>
        <w:rPr>
          <w:rFonts w:hint="eastAsia" w:ascii="宋体" w:hAnsi="宋体"/>
          <w:color w:val="auto"/>
          <w:sz w:val="24"/>
          <w:highlight w:val="none"/>
          <w:u w:val="single"/>
          <w:shd w:val="clear" w:color="auto" w:fill="auto"/>
        </w:rPr>
        <w:t>26</w:t>
      </w:r>
      <w:r>
        <w:rPr>
          <w:rFonts w:ascii="宋体" w:hAnsi="宋体"/>
          <w:color w:val="auto"/>
          <w:sz w:val="24"/>
          <w:highlight w:val="none"/>
          <w:u w:val="single"/>
          <w:shd w:val="clear" w:color="auto" w:fill="auto"/>
        </w:rPr>
        <w:t>号</w:t>
      </w:r>
      <w:r>
        <w:rPr>
          <w:rFonts w:hint="eastAsia" w:ascii="宋体" w:hAnsi="宋体"/>
          <w:color w:val="auto"/>
          <w:sz w:val="24"/>
          <w:highlight w:val="none"/>
          <w:u w:val="single"/>
          <w:shd w:val="clear" w:color="auto" w:fill="auto"/>
        </w:rPr>
        <w:t>）等法律法规要求</w:t>
      </w:r>
      <w:r>
        <w:rPr>
          <w:rFonts w:ascii="宋体" w:hAnsi="宋体"/>
          <w:color w:val="auto"/>
          <w:sz w:val="24"/>
          <w:highlight w:val="none"/>
          <w:shd w:val="clear" w:color="auto" w:fill="auto"/>
        </w:rPr>
        <w:t>，与招用的农民工依法签订劳动合同并进行用工实名登记，对本项目工程款中的农民工工资与其他工程款项实行分账管理，按照要求开设农民工工资支付专用账户，专项用于农民工工资相关款项存储和发放</w:t>
      </w:r>
      <w:r>
        <w:rPr>
          <w:rFonts w:hint="eastAsia" w:ascii="宋体" w:hAnsi="宋体"/>
          <w:color w:val="auto"/>
          <w:sz w:val="24"/>
          <w:highlight w:val="none"/>
          <w:shd w:val="clear" w:color="auto" w:fill="auto"/>
        </w:rPr>
        <w:t>，确保农民工工资发放到位</w:t>
      </w:r>
      <w:r>
        <w:rPr>
          <w:rFonts w:ascii="宋体" w:hAnsi="宋体"/>
          <w:color w:val="auto"/>
          <w:sz w:val="24"/>
          <w:highlight w:val="none"/>
          <w:shd w:val="clear" w:color="auto" w:fill="auto"/>
        </w:rPr>
        <w:t>。发包人每月按承包人实际完成工程量提取一定比例，足额拨付至农民工工资专用账户。</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4.11不利物质条件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4.11.1  不利物质条件的范围：</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4.11.3  </w:t>
      </w:r>
      <w:r>
        <w:rPr>
          <w:rFonts w:ascii="宋体" w:hAnsi="宋体"/>
          <w:b/>
          <w:color w:val="auto"/>
          <w:sz w:val="24"/>
          <w:highlight w:val="none"/>
          <w:shd w:val="clear" w:color="auto" w:fill="auto"/>
        </w:rPr>
        <w:t>补充：</w:t>
      </w:r>
      <w:r>
        <w:rPr>
          <w:rFonts w:ascii="宋体" w:hAnsi="宋体"/>
          <w:color w:val="auto"/>
          <w:sz w:val="24"/>
          <w:highlight w:val="none"/>
          <w:shd w:val="clear" w:color="auto" w:fill="auto"/>
        </w:rPr>
        <w:t>对于一个有经验的承包人应该合理预见的所有不利物质条件，视为承包人已预见其影响。承包人处理这些影响而采取的所有措施需要的一切费用均已包含在合同总价中，发包人不另行支付。</w:t>
      </w:r>
    </w:p>
    <w:p>
      <w:pPr>
        <w:tabs>
          <w:tab w:val="left" w:pos="720"/>
        </w:tabs>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虽然合同中未明确指出，但在不利物质条件发生之前，监理人已经指示承包人不利物质条件可能发生，而承包人未能及时采取有效措施导致的一切损失和由此引起的一切后果均由承包人承担，发包人将不另行支付任何费用。</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3" w:name="_Toc76056695"/>
      <w:r>
        <w:rPr>
          <w:rFonts w:ascii="宋体" w:hAnsi="宋体"/>
          <w:bCs w:val="0"/>
          <w:color w:val="auto"/>
          <w:sz w:val="24"/>
          <w:szCs w:val="24"/>
          <w:highlight w:val="none"/>
          <w:shd w:val="clear" w:color="auto" w:fill="auto"/>
        </w:rPr>
        <w:t>5．材料和工程设备</w:t>
      </w:r>
      <w:bookmarkEnd w:id="373"/>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5.1承包人提供的材料和工程设备</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5.1.4本款补充以下内容：由承包人制作或采购的重要设备必须有厂家提供的产品合格证书，同时生产厂家应持有生产许可证</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使用许可证</w:t>
      </w:r>
      <w:r>
        <w:rPr>
          <w:rFonts w:hint="eastAsia" w:ascii="宋体" w:hAnsi="宋体"/>
          <w:color w:val="auto"/>
          <w:sz w:val="24"/>
          <w:highlight w:val="none"/>
          <w:shd w:val="clear" w:color="auto" w:fill="auto"/>
        </w:rPr>
        <w:t>等</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5.2发包人提供的材料和工程设备</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 xml:space="preserve">5.2.1  </w:t>
      </w:r>
      <w:r>
        <w:rPr>
          <w:rFonts w:hint="eastAsia" w:ascii="宋体" w:hAnsi="宋体"/>
          <w:color w:val="auto"/>
          <w:sz w:val="24"/>
          <w:highlight w:val="none"/>
          <w:shd w:val="clear" w:color="auto" w:fill="auto"/>
        </w:rPr>
        <w:t>本工程</w:t>
      </w:r>
      <w:r>
        <w:rPr>
          <w:rFonts w:ascii="宋体" w:hAnsi="宋体"/>
          <w:color w:val="auto"/>
          <w:sz w:val="24"/>
          <w:highlight w:val="none"/>
          <w:shd w:val="clear" w:color="auto" w:fill="auto"/>
        </w:rPr>
        <w:t>发包人</w:t>
      </w:r>
      <w:r>
        <w:rPr>
          <w:rFonts w:hint="eastAsia" w:ascii="宋体" w:hAnsi="宋体"/>
          <w:color w:val="auto"/>
          <w:sz w:val="24"/>
          <w:highlight w:val="none"/>
          <w:shd w:val="clear" w:color="auto" w:fill="auto"/>
        </w:rPr>
        <w:t>不</w:t>
      </w:r>
      <w:r>
        <w:rPr>
          <w:rFonts w:ascii="宋体" w:hAnsi="宋体"/>
          <w:color w:val="auto"/>
          <w:sz w:val="24"/>
          <w:highlight w:val="none"/>
          <w:shd w:val="clear" w:color="auto" w:fill="auto"/>
        </w:rPr>
        <w:t>提供</w:t>
      </w:r>
      <w:r>
        <w:rPr>
          <w:rFonts w:hint="eastAsia" w:ascii="宋体" w:hAnsi="宋体"/>
          <w:color w:val="auto"/>
          <w:sz w:val="24"/>
          <w:highlight w:val="none"/>
          <w:shd w:val="clear" w:color="auto" w:fill="auto"/>
        </w:rPr>
        <w:t>材料和工程设备。</w:t>
      </w:r>
    </w:p>
    <w:p>
      <w:pPr>
        <w:adjustRightInd w:val="0"/>
        <w:snapToGrid w:val="0"/>
        <w:spacing w:line="312" w:lineRule="auto"/>
        <w:ind w:firstLine="480" w:firstLineChars="200"/>
        <w:rPr>
          <w:rFonts w:hint="eastAsia" w:ascii="宋体" w:hAnsi="宋体"/>
          <w:bCs/>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4" w:name="_Toc76056696"/>
      <w:r>
        <w:rPr>
          <w:rFonts w:ascii="宋体" w:hAnsi="宋体"/>
          <w:bCs w:val="0"/>
          <w:color w:val="auto"/>
          <w:sz w:val="24"/>
          <w:szCs w:val="24"/>
          <w:highlight w:val="none"/>
          <w:shd w:val="clear" w:color="auto" w:fill="auto"/>
        </w:rPr>
        <w:t>6．施工设备和临时设施</w:t>
      </w:r>
      <w:bookmarkEnd w:id="374"/>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6.2  发包人提供的施工设备和临时设施</w:t>
      </w:r>
    </w:p>
    <w:p>
      <w:pPr>
        <w:adjustRightInd w:val="0"/>
        <w:snapToGrid w:val="0"/>
        <w:spacing w:line="312" w:lineRule="auto"/>
        <w:ind w:firstLine="480" w:firstLineChars="200"/>
        <w:rPr>
          <w:rFonts w:ascii="宋体" w:hAnsi="宋体"/>
          <w:color w:val="auto"/>
          <w:spacing w:val="-6"/>
          <w:sz w:val="24"/>
          <w:highlight w:val="none"/>
          <w:shd w:val="clear" w:color="auto" w:fill="auto"/>
        </w:rPr>
      </w:pPr>
      <w:r>
        <w:rPr>
          <w:rFonts w:hint="eastAsia" w:ascii="宋体" w:hAnsi="宋体"/>
          <w:color w:val="auto"/>
          <w:sz w:val="24"/>
          <w:highlight w:val="none"/>
          <w:shd w:val="clear" w:color="auto" w:fill="auto"/>
        </w:rPr>
        <w:t>发包人不提供施工设备和临时设施，本合同所含的施工设备和临时设施费用已含在合同总价中，发包人不另行支付。</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5" w:name="_Toc76056697"/>
      <w:r>
        <w:rPr>
          <w:rFonts w:ascii="宋体" w:hAnsi="宋体"/>
          <w:bCs w:val="0"/>
          <w:color w:val="auto"/>
          <w:sz w:val="24"/>
          <w:szCs w:val="24"/>
          <w:highlight w:val="none"/>
          <w:shd w:val="clear" w:color="auto" w:fill="auto"/>
        </w:rPr>
        <w:t>7．交通运输</w:t>
      </w:r>
      <w:bookmarkEnd w:id="375"/>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7.1道路通行权和场外设施</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道路通行权和场外设施的约定：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7.3 场外交通（补充）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7.3.3本合同工程场外交通道路的通行情况、通行能力、标准、距离等均由承包人自行考察确定，并对此负责，施工过程中不得阻碍水陆交通。同时承包人应负责与当地交通管理、城管、环保及卫生等部门的协调工作，并应承担由此发生的一切费用。</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6" w:name="_Toc76056698"/>
      <w:r>
        <w:rPr>
          <w:rFonts w:ascii="宋体" w:hAnsi="宋体"/>
          <w:bCs w:val="0"/>
          <w:color w:val="auto"/>
          <w:sz w:val="24"/>
          <w:szCs w:val="24"/>
          <w:highlight w:val="none"/>
          <w:shd w:val="clear" w:color="auto" w:fill="auto"/>
        </w:rPr>
        <w:t>8．测量放线</w:t>
      </w:r>
      <w:bookmarkEnd w:id="376"/>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8.1施工控制网</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8.1.1施工控制网的约定：施工控制网由承包人负责测设。发包人应在合同签订后14天内，组织设计人将本工程设计采用的水准点、坐标控制点及相关资料以书面形式提供给承包人，并由监理人主持现场交验。交验后即由承包人负责保护，任何因破坏或失准带来的站点修复、重新测量、放点费用及由此造成的其他一切后果均由承包人承担，发包人不为此另行支付费用。承包人应在收到上述资料后的14天内，将施测的施工控制网资料提交监理人审批。监理人应在收到报批件后的7天内批复承包人。</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7" w:name="_Toc76056699"/>
      <w:r>
        <w:rPr>
          <w:rFonts w:ascii="宋体" w:hAnsi="宋体"/>
          <w:bCs w:val="0"/>
          <w:color w:val="auto"/>
          <w:sz w:val="24"/>
          <w:szCs w:val="24"/>
          <w:highlight w:val="none"/>
          <w:shd w:val="clear" w:color="auto" w:fill="auto"/>
        </w:rPr>
        <w:t>9．施工安全、治安保卫和环境保护</w:t>
      </w:r>
      <w:bookmarkEnd w:id="377"/>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9.1发包人的施工安全责任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9.1.4  本合同工程发包人不提供任何与安全有关的资料，所有资料均由承包人负责收集。</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9.2承包人的施工安全责任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9.2.12  下列工程应编制专项施工方案：</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9.7</w:t>
      </w:r>
      <w:r>
        <w:rPr>
          <w:rFonts w:hint="eastAsia" w:ascii="宋体" w:hAnsi="宋体" w:eastAsia="宋体"/>
          <w:color w:val="auto"/>
          <w:sz w:val="24"/>
          <w:szCs w:val="24"/>
          <w:highlight w:val="none"/>
          <w:shd w:val="clear" w:color="auto" w:fill="auto"/>
        </w:rPr>
        <w:t>行业</w:t>
      </w:r>
      <w:r>
        <w:rPr>
          <w:rFonts w:ascii="宋体" w:hAnsi="宋体" w:eastAsia="宋体"/>
          <w:color w:val="auto"/>
          <w:sz w:val="24"/>
          <w:szCs w:val="24"/>
          <w:highlight w:val="none"/>
          <w:shd w:val="clear" w:color="auto" w:fill="auto"/>
        </w:rPr>
        <w:t>文明工地</w:t>
      </w:r>
      <w:r>
        <w:rPr>
          <w:rFonts w:hint="eastAsia" w:ascii="宋体" w:hAnsi="宋体" w:eastAsia="宋体"/>
          <w:color w:val="auto"/>
          <w:sz w:val="24"/>
          <w:szCs w:val="24"/>
          <w:highlight w:val="none"/>
          <w:shd w:val="clear" w:color="auto" w:fill="auto"/>
        </w:rPr>
        <w:t>和</w:t>
      </w:r>
      <w:r>
        <w:rPr>
          <w:rFonts w:hint="eastAsia" w:ascii="宋体" w:hAnsi="宋体" w:eastAsia="宋体"/>
          <w:i/>
          <w:color w:val="auto"/>
          <w:sz w:val="24"/>
          <w:szCs w:val="24"/>
          <w:highlight w:val="none"/>
          <w:shd w:val="clear" w:color="auto" w:fill="auto"/>
        </w:rPr>
        <w:t>平安工地</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9.7.1  本合同</w:t>
      </w:r>
      <w:r>
        <w:rPr>
          <w:rFonts w:hint="eastAsia" w:ascii="宋体" w:hAnsi="宋体"/>
          <w:color w:val="auto"/>
          <w:sz w:val="24"/>
          <w:highlight w:val="none"/>
          <w:shd w:val="clear" w:color="auto" w:fill="auto"/>
        </w:rPr>
        <w:t>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w:t>
      </w:r>
      <w:r>
        <w:rPr>
          <w:rFonts w:ascii="宋体" w:hAnsi="宋体"/>
          <w:color w:val="auto"/>
          <w:sz w:val="24"/>
          <w:highlight w:val="none"/>
          <w:shd w:val="clear" w:color="auto" w:fill="auto"/>
        </w:rPr>
        <w:t>的约定：</w:t>
      </w:r>
      <w:r>
        <w:rPr>
          <w:rFonts w:hint="eastAsia" w:ascii="宋体" w:hAnsi="宋体"/>
          <w:color w:val="auto"/>
          <w:sz w:val="24"/>
          <w:highlight w:val="none"/>
          <w:shd w:val="clear" w:color="auto" w:fill="auto"/>
        </w:rPr>
        <w:t>按相应行业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和平安工地规程规范执行。</w:t>
      </w:r>
    </w:p>
    <w:p>
      <w:pPr>
        <w:tabs>
          <w:tab w:val="left" w:pos="720"/>
        </w:tabs>
        <w:adjustRightInd w:val="0"/>
        <w:snapToGrid w:val="0"/>
        <w:spacing w:line="312" w:lineRule="auto"/>
        <w:ind w:firstLine="482" w:firstLineChars="200"/>
        <w:rPr>
          <w:rFonts w:ascii="宋体" w:hAnsi="宋体"/>
          <w:b/>
          <w:bCs/>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8" w:name="_Toc76056700"/>
      <w:r>
        <w:rPr>
          <w:rFonts w:ascii="宋体" w:hAnsi="宋体"/>
          <w:bCs w:val="0"/>
          <w:color w:val="auto"/>
          <w:sz w:val="24"/>
          <w:szCs w:val="24"/>
          <w:highlight w:val="none"/>
          <w:shd w:val="clear" w:color="auto" w:fill="auto"/>
        </w:rPr>
        <w:t>11．开工和竣工（完工）</w:t>
      </w:r>
      <w:bookmarkEnd w:id="378"/>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11.4异常恶劣的气候条件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11.4.3  本合同工程界定异常恶劣气候条件的范围为：</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（1）日降雨量大于 100 ｍｍ的雨日超过 1 天； </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（2）风速大于 24.5 ｍ／s的 10 级以上台风灾害；</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（3）日气温超过 38 ℃的高温大于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（4）日气温低于 -3 ℃的严寒大于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（5）造成工程损坏的冰雹和大雪灾害：中雹和10mm的大雪持续5天以上；</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（6）其它异常恶劣气候灾害：以湖南省气象局发布的气象资料为准。</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11.5承包人工期延误</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承包人逾期完工，比合同工期每推迟一天的违约金为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元，但其最终的累计总额不应超过合同价格的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11.6工期提前</w:t>
      </w:r>
    </w:p>
    <w:p>
      <w:pPr>
        <w:adjustRightInd w:val="0"/>
        <w:snapToGrid w:val="0"/>
        <w:spacing w:line="312" w:lineRule="auto"/>
        <w:ind w:firstLine="42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工期提前的奖金约定：</w:t>
      </w:r>
      <w:r>
        <w:rPr>
          <w:rFonts w:hint="eastAsia" w:ascii="宋体" w:hAnsi="宋体"/>
          <w:color w:val="auto"/>
          <w:sz w:val="24"/>
          <w:highlight w:val="none"/>
          <w:shd w:val="clear" w:color="auto" w:fill="auto"/>
        </w:rPr>
        <w:t>发包人要求承包人按合同工期完成；承包人自行提前竣工的，应征得发包人同意，计取提前奖：工期提前天数×</w:t>
      </w:r>
      <w:r>
        <w:rPr>
          <w:rFonts w:ascii="宋体" w:hAnsi="宋体"/>
          <w:color w:val="auto"/>
          <w:sz w:val="24"/>
          <w:highlight w:val="none"/>
          <w:shd w:val="clear" w:color="auto" w:fill="auto"/>
        </w:rPr>
        <w:t>P1</w:t>
      </w:r>
      <w:r>
        <w:rPr>
          <w:rFonts w:hint="eastAsia" w:ascii="宋体" w:hAnsi="宋体"/>
          <w:color w:val="auto"/>
          <w:sz w:val="24"/>
          <w:highlight w:val="none"/>
          <w:shd w:val="clear" w:color="auto" w:fill="auto"/>
        </w:rPr>
        <w:t>，其中</w:t>
      </w:r>
      <w:r>
        <w:rPr>
          <w:rFonts w:ascii="宋体" w:hAnsi="宋体"/>
          <w:color w:val="auto"/>
          <w:sz w:val="24"/>
          <w:highlight w:val="none"/>
          <w:shd w:val="clear" w:color="auto" w:fill="auto"/>
        </w:rPr>
        <w:t>P</w:t>
      </w:r>
      <w:r>
        <w:rPr>
          <w:rFonts w:hint="eastAsia" w:ascii="宋体" w:hAnsi="宋体"/>
          <w:color w:val="auto"/>
          <w:sz w:val="24"/>
          <w:highlight w:val="none"/>
          <w:shd w:val="clear" w:color="auto" w:fill="auto"/>
        </w:rPr>
        <w:t xml:space="preserve">1=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元，但其最终的累计金额不应超过合同支付总价的</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79" w:name="_Toc76056701"/>
      <w:r>
        <w:rPr>
          <w:rFonts w:ascii="宋体" w:hAnsi="宋体"/>
          <w:b w:val="0"/>
          <w:bCs w:val="0"/>
          <w:color w:val="auto"/>
          <w:sz w:val="24"/>
          <w:szCs w:val="24"/>
          <w:highlight w:val="none"/>
          <w:shd w:val="clear" w:color="auto" w:fill="auto"/>
        </w:rPr>
        <w:t>12．暂停施工</w:t>
      </w:r>
      <w:bookmarkEnd w:id="379"/>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12.1承包人暂停施工的责任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（5）承包人承担暂停施工责任的其它情形：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12.2发包人暂停施工的责任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（3）发包人承担暂停施工责任的其它情形：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0" w:name="_Toc76056702"/>
      <w:r>
        <w:rPr>
          <w:rFonts w:ascii="宋体" w:hAnsi="宋体"/>
          <w:bCs w:val="0"/>
          <w:color w:val="auto"/>
          <w:sz w:val="24"/>
          <w:szCs w:val="24"/>
          <w:highlight w:val="none"/>
          <w:shd w:val="clear" w:color="auto" w:fill="auto"/>
        </w:rPr>
        <w:t>13．工程质量</w:t>
      </w:r>
      <w:bookmarkEnd w:id="380"/>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13.7质量评定</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13.7.4  重要隐蔽单元工程和关键部位单元工程质量评定的约定：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合格</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13.7.7工程</w:t>
      </w:r>
      <w:r>
        <w:rPr>
          <w:rFonts w:hint="eastAsia" w:ascii="宋体" w:hAnsi="宋体"/>
          <w:color w:val="auto"/>
          <w:sz w:val="24"/>
          <w:highlight w:val="none"/>
          <w:shd w:val="clear" w:color="auto" w:fill="auto"/>
        </w:rPr>
        <w:t>质量等级约定</w:t>
      </w:r>
      <w:r>
        <w:rPr>
          <w:rFonts w:ascii="宋体" w:hAnsi="宋体"/>
          <w:color w:val="auto"/>
          <w:sz w:val="24"/>
          <w:highlight w:val="none"/>
          <w:shd w:val="clear" w:color="auto" w:fill="auto"/>
        </w:rPr>
        <w:t>：</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13.8质量事故处理</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13.8.4  工程竣工验收时，</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向竣工验收委员会汇报并提交历次质量缺陷处理的备案资料。</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13.9 发包人的质量管理（补充）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13.9.1  发包人（或项目法人）有权对工程的所有部位及其施工工艺、材料和工程设备进行抽样检查和检验，承包人应充分理解可能对施工作业的影响并提供方便。发包人（或项目法人）的检查和检验，不免除承包人按合同约定应负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13.9.2  发包人（或项目法人）委托第三方检测机构检测工程质量、材料和设备不合格的，检测检验费用由承包人承担。</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1" w:name="_Toc76056703"/>
      <w:r>
        <w:rPr>
          <w:rFonts w:ascii="宋体" w:hAnsi="宋体"/>
          <w:bCs w:val="0"/>
          <w:color w:val="auto"/>
          <w:sz w:val="24"/>
          <w:szCs w:val="24"/>
          <w:highlight w:val="none"/>
          <w:shd w:val="clear" w:color="auto" w:fill="auto"/>
        </w:rPr>
        <w:t>14．试验和检验</w:t>
      </w:r>
      <w:bookmarkEnd w:id="381"/>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14.1材料、工程设备和工程的试验和检验</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14.1.5  </w:t>
      </w:r>
      <w:r>
        <w:rPr>
          <w:rFonts w:hint="eastAsia" w:ascii="宋体" w:hAnsi="宋体"/>
          <w:color w:val="auto"/>
          <w:sz w:val="24"/>
          <w:highlight w:val="none"/>
          <w:shd w:val="clear" w:color="auto" w:fill="auto"/>
        </w:rPr>
        <w:t>设备</w:t>
      </w:r>
      <w:r>
        <w:rPr>
          <w:rFonts w:ascii="宋体" w:hAnsi="宋体"/>
          <w:color w:val="auto"/>
          <w:sz w:val="24"/>
          <w:highlight w:val="none"/>
          <w:shd w:val="clear" w:color="auto" w:fill="auto"/>
        </w:rPr>
        <w:t>进场后的交货检查和验收中，承包人负责</w:t>
      </w:r>
      <w:r>
        <w:rPr>
          <w:rFonts w:ascii="宋体" w:hAnsi="宋体"/>
          <w:color w:val="auto"/>
          <w:kern w:val="0"/>
          <w:sz w:val="24"/>
          <w:highlight w:val="none"/>
          <w:shd w:val="clear" w:color="auto" w:fill="auto"/>
        </w:rPr>
        <w:t>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14.1.6  本工程实行见证取样的试块、试件及有关材料：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2" w:name="_Toc76056704"/>
      <w:r>
        <w:rPr>
          <w:rFonts w:ascii="宋体" w:hAnsi="宋体"/>
          <w:bCs w:val="0"/>
          <w:color w:val="auto"/>
          <w:sz w:val="24"/>
          <w:szCs w:val="24"/>
          <w:highlight w:val="none"/>
          <w:shd w:val="clear" w:color="auto" w:fill="auto"/>
        </w:rPr>
        <w:t>15．变更</w:t>
      </w:r>
      <w:bookmarkEnd w:id="382"/>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15.1变更的范围和内容</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（6）本合同工程不因增加或减少合同工程量而调整合同单价。</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15.4 变更的估价原则</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本款</w:t>
      </w:r>
      <w:r>
        <w:rPr>
          <w:rFonts w:hint="eastAsia" w:ascii="宋体" w:hAnsi="宋体"/>
          <w:color w:val="auto"/>
          <w:sz w:val="24"/>
          <w:highlight w:val="none"/>
          <w:shd w:val="clear" w:color="auto" w:fill="auto"/>
        </w:rPr>
        <w:t>关于变更的估价原则的约定：</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15.5承包人的合理化建议</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15.5.2  承包人实现合理化建议的奖励金额为：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15.6 暂列金额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补充：本合同工程暂列金金额按工程量清单的规定。暂列金额的使用需通过发包人批准。</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15.8暂估价</w:t>
      </w:r>
    </w:p>
    <w:p>
      <w:pPr>
        <w:adjustRightInd w:val="0"/>
        <w:snapToGrid w:val="0"/>
        <w:spacing w:line="312" w:lineRule="auto"/>
        <w:ind w:firstLine="482" w:firstLineChars="200"/>
        <w:rPr>
          <w:rFonts w:hint="eastAsia" w:ascii="宋体" w:hAnsi="宋体"/>
          <w:b/>
          <w:i/>
          <w:color w:val="auto"/>
          <w:sz w:val="24"/>
          <w:highlight w:val="none"/>
          <w:shd w:val="clear" w:color="auto" w:fill="auto"/>
        </w:rPr>
      </w:pPr>
      <w:r>
        <w:rPr>
          <w:rFonts w:hint="eastAsia" w:ascii="宋体" w:hAnsi="宋体"/>
          <w:b/>
          <w:i/>
          <w:color w:val="auto"/>
          <w:sz w:val="24"/>
          <w:highlight w:val="none"/>
          <w:shd w:val="clear" w:color="auto" w:fill="auto"/>
        </w:rPr>
        <w:t>本合同所有必须招标的暂估价项目均由发包人组织招标。</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3" w:name="_Toc76056705"/>
      <w:r>
        <w:rPr>
          <w:rFonts w:ascii="宋体" w:hAnsi="宋体"/>
          <w:bCs w:val="0"/>
          <w:color w:val="auto"/>
          <w:sz w:val="24"/>
          <w:szCs w:val="24"/>
          <w:highlight w:val="none"/>
          <w:shd w:val="clear" w:color="auto" w:fill="auto"/>
        </w:rPr>
        <w:t>16．价格调整</w:t>
      </w:r>
      <w:bookmarkEnd w:id="383"/>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16.1物价波动引起的价格调整</w:t>
      </w:r>
      <w:r>
        <w:rPr>
          <w:rFonts w:hint="eastAsia" w:ascii="宋体" w:hAnsi="宋体"/>
          <w:color w:val="auto"/>
          <w:kern w:val="0"/>
          <w:sz w:val="24"/>
          <w:highlight w:val="none"/>
          <w:shd w:val="clear" w:color="auto" w:fill="auto"/>
        </w:rPr>
        <w:t>：不</w:t>
      </w:r>
      <w:r>
        <w:rPr>
          <w:rFonts w:ascii="宋体" w:hAnsi="宋体"/>
          <w:color w:val="auto"/>
          <w:kern w:val="0"/>
          <w:sz w:val="24"/>
          <w:highlight w:val="none"/>
          <w:shd w:val="clear" w:color="auto" w:fill="auto"/>
        </w:rPr>
        <w:t>调整价格差额</w:t>
      </w:r>
      <w:r>
        <w:rPr>
          <w:rFonts w:hint="eastAsia" w:ascii="宋体" w:hAnsi="宋体"/>
          <w:color w:val="auto"/>
          <w:kern w:val="0"/>
          <w:sz w:val="24"/>
          <w:highlight w:val="none"/>
          <w:shd w:val="clear" w:color="auto" w:fill="auto"/>
        </w:rPr>
        <w:t>。本合同期内，所有人工、材料、设备和机械台班等均不进行价格调整。投标人应考虑到价格浮动风险，并摊入投标报价，发包人不再另行支付。</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16.2法律变化引起的价格调整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删除通用合同条款第16.2条，以下列条文代替：</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在本合同实施期间，只有在国家发布对企业允许列入工程造价的税率进行调整时，才允许调整本合同的税金。</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4" w:name="_Toc76056706"/>
      <w:r>
        <w:rPr>
          <w:rFonts w:ascii="宋体" w:hAnsi="宋体"/>
          <w:bCs w:val="0"/>
          <w:color w:val="auto"/>
          <w:sz w:val="24"/>
          <w:szCs w:val="24"/>
          <w:highlight w:val="none"/>
          <w:shd w:val="clear" w:color="auto" w:fill="auto"/>
        </w:rPr>
        <w:t>17．计量与支付</w:t>
      </w:r>
      <w:bookmarkEnd w:id="384"/>
    </w:p>
    <w:p>
      <w:pPr>
        <w:adjustRightInd w:val="0"/>
        <w:snapToGrid w:val="0"/>
        <w:spacing w:line="312" w:lineRule="auto"/>
        <w:ind w:firstLine="482" w:firstLineChars="200"/>
        <w:rPr>
          <w:rFonts w:ascii="宋体" w:hAnsi="宋体"/>
          <w:b/>
          <w:bCs/>
          <w:color w:val="auto"/>
          <w:sz w:val="24"/>
          <w:highlight w:val="none"/>
          <w:shd w:val="clear" w:color="auto" w:fill="auto"/>
        </w:rPr>
      </w:pPr>
      <w:bookmarkStart w:id="385" w:name="_Toc511318201"/>
      <w:r>
        <w:rPr>
          <w:rFonts w:ascii="宋体" w:hAnsi="宋体"/>
          <w:b/>
          <w:bCs/>
          <w:color w:val="auto"/>
          <w:sz w:val="24"/>
          <w:highlight w:val="none"/>
          <w:shd w:val="clear" w:color="auto" w:fill="auto"/>
        </w:rPr>
        <w:t>17.1 计量</w:t>
      </w:r>
      <w:bookmarkEnd w:id="385"/>
    </w:p>
    <w:p>
      <w:pPr>
        <w:adjustRightInd w:val="0"/>
        <w:snapToGrid w:val="0"/>
        <w:spacing w:line="312" w:lineRule="auto"/>
        <w:ind w:firstLine="482" w:firstLineChars="200"/>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17.1.</w:t>
      </w:r>
      <w:r>
        <w:rPr>
          <w:rFonts w:hint="eastAsia" w:ascii="宋体" w:hAnsi="宋体"/>
          <w:b/>
          <w:color w:val="auto"/>
          <w:sz w:val="24"/>
          <w:highlight w:val="none"/>
          <w:shd w:val="clear" w:color="auto" w:fill="auto"/>
        </w:rPr>
        <w:t>3</w:t>
      </w:r>
      <w:r>
        <w:rPr>
          <w:rFonts w:ascii="宋体" w:hAnsi="宋体"/>
          <w:b/>
          <w:color w:val="auto"/>
          <w:kern w:val="0"/>
          <w:sz w:val="24"/>
          <w:highlight w:val="none"/>
          <w:shd w:val="clear" w:color="auto" w:fill="auto"/>
        </w:rPr>
        <w:t>计量周期</w:t>
      </w:r>
      <w:r>
        <w:rPr>
          <w:rFonts w:hint="eastAsia" w:ascii="宋体" w:hAnsi="宋体"/>
          <w:b/>
          <w:color w:val="auto"/>
          <w:kern w:val="0"/>
          <w:sz w:val="24"/>
          <w:highlight w:val="none"/>
          <w:shd w:val="clear" w:color="auto" w:fill="auto"/>
        </w:rPr>
        <w:t>：</w:t>
      </w:r>
      <w:r>
        <w:rPr>
          <w:rFonts w:ascii="宋体" w:hAnsi="宋体"/>
          <w:color w:val="auto"/>
          <w:kern w:val="0"/>
          <w:sz w:val="24"/>
          <w:highlight w:val="none"/>
          <w:shd w:val="clear" w:color="auto" w:fill="auto"/>
        </w:rPr>
        <w:t>按月计量</w:t>
      </w:r>
      <w:r>
        <w:rPr>
          <w:rFonts w:hint="eastAsia" w:ascii="宋体" w:hAnsi="宋体"/>
          <w:color w:val="auto"/>
          <w:kern w:val="0"/>
          <w:sz w:val="24"/>
          <w:highlight w:val="none"/>
          <w:shd w:val="clear" w:color="auto" w:fill="auto"/>
        </w:rPr>
        <w:t>。</w:t>
      </w:r>
    </w:p>
    <w:p>
      <w:pPr>
        <w:adjustRightInd w:val="0"/>
        <w:snapToGrid w:val="0"/>
        <w:spacing w:line="312" w:lineRule="auto"/>
        <w:ind w:firstLine="482" w:firstLineChars="200"/>
        <w:rPr>
          <w:rFonts w:hint="eastAsia" w:ascii="宋体" w:hAnsi="宋体"/>
          <w:color w:val="auto"/>
          <w:sz w:val="24"/>
          <w:highlight w:val="none"/>
          <w:shd w:val="clear" w:color="auto" w:fill="auto"/>
        </w:rPr>
      </w:pPr>
      <w:r>
        <w:rPr>
          <w:rFonts w:ascii="宋体" w:hAnsi="宋体"/>
          <w:b/>
          <w:color w:val="auto"/>
          <w:sz w:val="24"/>
          <w:highlight w:val="none"/>
          <w:shd w:val="clear" w:color="auto" w:fill="auto"/>
        </w:rPr>
        <w:t>17.1.6</w:t>
      </w:r>
      <w:r>
        <w:rPr>
          <w:rFonts w:ascii="宋体" w:hAnsi="宋体"/>
          <w:color w:val="auto"/>
          <w:sz w:val="24"/>
          <w:highlight w:val="none"/>
          <w:shd w:val="clear" w:color="auto" w:fill="auto"/>
        </w:rPr>
        <w:t xml:space="preserve">  工程的计量按</w:t>
      </w:r>
      <w:r>
        <w:rPr>
          <w:rFonts w:hint="eastAsia" w:ascii="宋体" w:hAnsi="宋体"/>
          <w:color w:val="auto"/>
          <w:sz w:val="24"/>
          <w:highlight w:val="none"/>
          <w:shd w:val="clear" w:color="auto" w:fill="auto"/>
        </w:rPr>
        <w:t>行业规程规范、</w:t>
      </w:r>
      <w:r>
        <w:rPr>
          <w:rFonts w:ascii="宋体" w:hAnsi="宋体"/>
          <w:color w:val="auto"/>
          <w:sz w:val="24"/>
          <w:highlight w:val="none"/>
          <w:shd w:val="clear" w:color="auto" w:fill="auto"/>
        </w:rPr>
        <w:t>本合同文件技术规范中的规定执行。工程量清单中任何错误和遗漏，不应免除承包人完成本合同工程的责任和义务。由于承包人在自身原因造成工程量清单中任何错误和遗漏，均不予纠正。</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17.2预付款</w:t>
      </w:r>
    </w:p>
    <w:p>
      <w:pPr>
        <w:spacing w:line="490" w:lineRule="exact"/>
        <w:ind w:firstLine="562" w:firstLineChars="200"/>
        <w:rPr>
          <w:rFonts w:eastAsia="仿宋_GB2312"/>
          <w:b/>
          <w:color w:val="auto"/>
          <w:sz w:val="28"/>
          <w:szCs w:val="32"/>
          <w:highlight w:val="none"/>
          <w:shd w:val="clear" w:color="auto" w:fill="auto"/>
        </w:rPr>
      </w:pPr>
      <w:r>
        <w:rPr>
          <w:rFonts w:eastAsia="仿宋_GB2312"/>
          <w:b/>
          <w:color w:val="auto"/>
          <w:sz w:val="28"/>
          <w:szCs w:val="32"/>
          <w:highlight w:val="none"/>
          <w:shd w:val="clear" w:color="auto" w:fill="auto"/>
        </w:rPr>
        <w:t>17.2.1  预付款：</w:t>
      </w:r>
    </w:p>
    <w:p>
      <w:pPr>
        <w:spacing w:line="312" w:lineRule="auto"/>
        <w:ind w:firstLine="482" w:firstLineChars="200"/>
        <w:rPr>
          <w:rFonts w:ascii="宋体" w:hAnsi="宋体"/>
          <w:b/>
          <w:i/>
          <w:color w:val="auto"/>
          <w:sz w:val="24"/>
          <w:highlight w:val="none"/>
          <w:shd w:val="clear" w:color="auto" w:fill="auto"/>
        </w:rPr>
      </w:pPr>
      <w:r>
        <w:rPr>
          <w:rFonts w:ascii="宋体" w:hAnsi="宋体"/>
          <w:b/>
          <w:i/>
          <w:color w:val="auto"/>
          <w:sz w:val="24"/>
          <w:highlight w:val="none"/>
          <w:shd w:val="clear" w:color="auto" w:fill="auto"/>
        </w:rPr>
        <w:t>（适用于有预付款）：</w:t>
      </w:r>
    </w:p>
    <w:p>
      <w:pPr>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（1）工程预付款的总金额为签约合同价的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30</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％，分</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次支付给承包人。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各次预付款的支付额度和付款时间为：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1）第一次预付款金额为工程预付款总金额的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％，付款时间应在合同协议书签订后，由承包人向发包人提交了发包人认可的工程预付款担保，并经监理人出具付款证书报送发包人批准后14天内予以支付。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2）第二次预付款金额为工程预付款总金额的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％。付款时间需待承包人主要设备进入工地后，其估算价值已达到本次预付款金额时，由承包人提出书面申请，经监理人核实后出具付款证书报送发包人批准后14天内予以支付。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3）第三次预付款……。</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（2）工程材料预付款的额度和预付办法约定为：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17.2.2  预付款保函（担保）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（2）工程材料预付款的担保约定为：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17.2.3  预付款的扣回与还清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（1）工程预付款在合同累计完成金额达到签约合同价的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％时开始扣款，直至合同累计完成金额达到签约合同价的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％时全部扣清。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drawing>
          <wp:inline distT="0" distB="0" distL="114300" distR="114300">
            <wp:extent cx="2228215" cy="419100"/>
            <wp:effectExtent l="0" t="0" r="635" b="0"/>
            <wp:docPr id="1" name="图片 1" descr="说明: @H]9B]7BAKWC(ST~BN6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9B]7BAKWC(ST~BN6Y)[7"/>
                    <pic:cNvPicPr>
                      <a:picLocks noChangeAspect="1"/>
                    </pic:cNvPicPr>
                  </pic:nvPicPr>
                  <pic:blipFill>
                    <a:blip r:embed="rId9"/>
                    <a:stretch>
                      <a:fillRect/>
                    </a:stretch>
                  </pic:blipFill>
                  <pic:spPr>
                    <a:xfrm>
                      <a:off x="0" y="0"/>
                      <a:ext cx="2228215" cy="419100"/>
                    </a:xfrm>
                    <a:prstGeom prst="rect">
                      <a:avLst/>
                    </a:prstGeom>
                    <a:noFill/>
                    <a:ln>
                      <a:noFill/>
                    </a:ln>
                  </pic:spPr>
                </pic:pic>
              </a:graphicData>
            </a:graphic>
          </wp:inline>
        </w:drawing>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式中  R——每次进度付款中累计扣回的金额；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A——工程预付款总金额；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S——签约合同价；</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C——合同累计完成金额；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F1——开始扣款时合同累计完成金额达到签约合同价的比例；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F2——全部扣清时合同累计完成金额达到签约合同价的比例。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上述合同累计完成金额均指价格调整前未扣质量保证金的金额。</w:t>
      </w:r>
    </w:p>
    <w:p>
      <w:pPr>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（2）工程材料预付款的扣回与还清约定为：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17.3工程进度付款</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17.3.2进度付款申请单（补充）</w:t>
      </w:r>
    </w:p>
    <w:p>
      <w:pPr>
        <w:pStyle w:val="3"/>
        <w:autoSpaceDE/>
        <w:autoSpaceDN/>
        <w:snapToGrid w:val="0"/>
        <w:spacing w:line="312" w:lineRule="auto"/>
        <w:ind w:firstLine="480" w:firstLineChars="200"/>
        <w:jc w:val="both"/>
        <w:rPr>
          <w:rFonts w:hAnsi="宋体" w:cs="Times New Roman"/>
          <w:color w:val="auto"/>
          <w:kern w:val="2"/>
          <w:highlight w:val="none"/>
          <w:shd w:val="clear" w:color="auto" w:fill="auto"/>
        </w:rPr>
      </w:pPr>
      <w:r>
        <w:rPr>
          <w:rFonts w:hAnsi="宋体" w:cs="Times New Roman"/>
          <w:color w:val="auto"/>
          <w:highlight w:val="none"/>
          <w:shd w:val="clear" w:color="auto" w:fill="auto"/>
        </w:rPr>
        <w:t>承包人提交月进度付款申请单的数量：</w:t>
      </w:r>
      <w:r>
        <w:rPr>
          <w:rFonts w:hAnsi="宋体" w:cs="Times New Roman"/>
          <w:color w:val="auto"/>
          <w:highlight w:val="none"/>
          <w:u w:val="single"/>
          <w:shd w:val="clear" w:color="auto" w:fill="auto"/>
        </w:rPr>
        <w:t xml:space="preserve"> </w:t>
      </w:r>
      <w:r>
        <w:rPr>
          <w:rFonts w:hint="eastAsia" w:hAnsi="宋体" w:cs="Times New Roman"/>
          <w:color w:val="auto"/>
          <w:highlight w:val="none"/>
          <w:u w:val="single"/>
          <w:shd w:val="clear" w:color="auto" w:fill="auto"/>
        </w:rPr>
        <w:t>8</w:t>
      </w:r>
      <w:r>
        <w:rPr>
          <w:rFonts w:hAnsi="宋体" w:cs="Times New Roman"/>
          <w:color w:val="auto"/>
          <w:kern w:val="2"/>
          <w:highlight w:val="none"/>
          <w:shd w:val="clear" w:color="auto" w:fill="auto"/>
        </w:rPr>
        <w:t>份。承包人必须将企业基本账户作为工程结算款支付账户，发包人拒绝将工程款（工程款中的农民工工资与其他工程款项实行分账管理，每月足额拨付至农民工工资专用账户）支付到企业基本账户以外的任何账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（2）本款补充：“</w:t>
      </w:r>
      <w:r>
        <w:rPr>
          <w:rFonts w:ascii="宋体" w:hAnsi="宋体"/>
          <w:bCs/>
          <w:color w:val="auto"/>
          <w:sz w:val="24"/>
          <w:highlight w:val="none"/>
          <w:shd w:val="clear" w:color="auto" w:fill="auto"/>
        </w:rPr>
        <w:t>发包人在收到监理人签证的月进度付款证书并审批后支付给承包人，支付时间</w:t>
      </w:r>
      <w:r>
        <w:rPr>
          <w:rFonts w:ascii="宋体" w:hAnsi="宋体"/>
          <w:color w:val="auto"/>
          <w:sz w:val="24"/>
          <w:highlight w:val="none"/>
          <w:shd w:val="clear" w:color="auto" w:fill="auto"/>
        </w:rPr>
        <w:t>不应超过监理人</w:t>
      </w:r>
      <w:r>
        <w:rPr>
          <w:rFonts w:ascii="宋体" w:hAnsi="宋体"/>
          <w:bCs/>
          <w:color w:val="auto"/>
          <w:sz w:val="24"/>
          <w:highlight w:val="none"/>
          <w:shd w:val="clear" w:color="auto" w:fill="auto"/>
        </w:rPr>
        <w:t>收到月进度付款申请单后</w:t>
      </w:r>
      <w:r>
        <w:rPr>
          <w:rFonts w:ascii="宋体" w:hAnsi="宋体"/>
          <w:bCs/>
          <w:color w:val="auto"/>
          <w:sz w:val="24"/>
          <w:highlight w:val="none"/>
          <w:u w:val="single"/>
          <w:shd w:val="clear" w:color="auto" w:fill="auto"/>
        </w:rPr>
        <w:t xml:space="preserve"> </w:t>
      </w:r>
      <w:r>
        <w:rPr>
          <w:rFonts w:hint="eastAsia" w:ascii="宋体" w:hAnsi="宋体"/>
          <w:bCs/>
          <w:color w:val="auto"/>
          <w:sz w:val="24"/>
          <w:highlight w:val="none"/>
          <w:u w:val="single"/>
          <w:shd w:val="clear" w:color="auto" w:fill="auto"/>
        </w:rPr>
        <w:t>21</w:t>
      </w:r>
      <w:r>
        <w:rPr>
          <w:rFonts w:ascii="宋体" w:hAnsi="宋体"/>
          <w:bCs/>
          <w:color w:val="auto"/>
          <w:sz w:val="24"/>
          <w:highlight w:val="none"/>
          <w:shd w:val="clear" w:color="auto" w:fill="auto"/>
        </w:rPr>
        <w:t>天内。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17.4质量保证金</w:t>
      </w:r>
    </w:p>
    <w:p>
      <w:pPr>
        <w:adjustRightInd w:val="0"/>
        <w:snapToGrid w:val="0"/>
        <w:spacing w:line="312" w:lineRule="auto"/>
        <w:ind w:firstLine="480" w:firstLineChars="200"/>
        <w:rPr>
          <w:rFonts w:ascii="宋体" w:hAnsi="宋体"/>
          <w:b/>
          <w:color w:val="auto"/>
          <w:sz w:val="24"/>
          <w:highlight w:val="none"/>
          <w:shd w:val="clear" w:color="auto" w:fill="auto"/>
        </w:rPr>
      </w:pPr>
      <w:r>
        <w:rPr>
          <w:rFonts w:ascii="宋体" w:hAnsi="宋体"/>
          <w:color w:val="auto"/>
          <w:sz w:val="24"/>
          <w:highlight w:val="none"/>
          <w:shd w:val="clear" w:color="auto" w:fill="auto"/>
        </w:rPr>
        <w:t>17.4.1  每个付款周期扣留的质量保证金为工程进度付款的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％，扣留的质量保证金总额为签约合同价的</w:t>
      </w:r>
      <w:r>
        <w:rPr>
          <w:rFonts w:hint="eastAsia" w:ascii="宋体" w:hAnsi="宋体"/>
          <w:color w:val="auto"/>
          <w:sz w:val="24"/>
          <w:highlight w:val="none"/>
          <w:u w:val="single"/>
          <w:shd w:val="clear" w:color="auto" w:fill="auto"/>
        </w:rPr>
        <w:t xml:space="preserve">  3  </w:t>
      </w:r>
      <w:r>
        <w:rPr>
          <w:rFonts w:hint="eastAsia" w:ascii="宋体" w:hAnsi="宋体"/>
          <w:color w:val="auto"/>
          <w:sz w:val="24"/>
          <w:highlight w:val="none"/>
          <w:shd w:val="clear" w:color="auto" w:fill="auto"/>
        </w:rPr>
        <w:t xml:space="preserve"> </w:t>
      </w:r>
      <w:r>
        <w:rPr>
          <w:rFonts w:ascii="宋体" w:hAnsi="宋体"/>
          <w:color w:val="auto"/>
          <w:sz w:val="24"/>
          <w:highlight w:val="none"/>
          <w:shd w:val="clear" w:color="auto" w:fill="auto"/>
        </w:rPr>
        <w:t>％。质量保证金扣取和返还按国家和湖南省相关规定执行。</w:t>
      </w:r>
      <w:r>
        <w:rPr>
          <w:rFonts w:ascii="宋体" w:hAnsi="宋体"/>
          <w:b/>
          <w:color w:val="auto"/>
          <w:sz w:val="24"/>
          <w:highlight w:val="none"/>
          <w:shd w:val="clear" w:color="auto" w:fill="auto"/>
        </w:rPr>
        <w:t>建设单位不得在收取履约担保的同时，预留工程质量保证金。</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17.5竣工（完工）结算</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（1）承包人应提交完工付款申请单一式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17.6最终结清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（1）承包人应提交最终结清申请单一式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17.7竣工财务决算</w:t>
      </w:r>
    </w:p>
    <w:p>
      <w:pPr>
        <w:adjustRightInd w:val="0"/>
        <w:snapToGrid w:val="0"/>
        <w:spacing w:line="312" w:lineRule="auto"/>
        <w:ind w:firstLine="480" w:firstLineChars="200"/>
        <w:rPr>
          <w:rFonts w:hint="eastAsia" w:ascii="宋体" w:hAnsi="宋体"/>
          <w:color w:val="auto"/>
          <w:sz w:val="24"/>
          <w:highlight w:val="none"/>
          <w:u w:val="single"/>
          <w:shd w:val="clear" w:color="auto" w:fill="auto"/>
        </w:rPr>
      </w:pPr>
      <w:r>
        <w:rPr>
          <w:rFonts w:ascii="宋体" w:hAnsi="宋体"/>
          <w:color w:val="auto"/>
          <w:sz w:val="24"/>
          <w:highlight w:val="none"/>
          <w:shd w:val="clear" w:color="auto" w:fill="auto"/>
        </w:rPr>
        <w:t>承包人应为竣工财务决算编制提供的资料：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按行业规范、监理和发包人的指示执行。</w:t>
      </w:r>
    </w:p>
    <w:p>
      <w:pPr>
        <w:adjustRightInd w:val="0"/>
        <w:snapToGrid w:val="0"/>
        <w:spacing w:line="312" w:lineRule="auto"/>
        <w:ind w:firstLine="480" w:firstLineChars="200"/>
        <w:rPr>
          <w:rFonts w:ascii="宋体" w:hAnsi="宋体"/>
          <w:color w:val="auto"/>
          <w:sz w:val="24"/>
          <w:highlight w:val="none"/>
          <w:u w:val="single"/>
          <w:shd w:val="clear" w:color="auto" w:fill="auto"/>
        </w:rPr>
      </w:pPr>
    </w:p>
    <w:p>
      <w:pPr>
        <w:pStyle w:val="6"/>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86" w:name="_Toc76056707"/>
      <w:r>
        <w:rPr>
          <w:rFonts w:ascii="宋体" w:hAnsi="宋体"/>
          <w:b w:val="0"/>
          <w:bCs w:val="0"/>
          <w:color w:val="auto"/>
          <w:sz w:val="24"/>
          <w:szCs w:val="24"/>
          <w:highlight w:val="none"/>
          <w:shd w:val="clear" w:color="auto" w:fill="auto"/>
        </w:rPr>
        <w:t>18．竣工验收（验收）</w:t>
      </w:r>
      <w:bookmarkEnd w:id="386"/>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18.1验收工作分类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验收类别：由发包人确定。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18.2分部工程验收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18.2.2  本工程</w:t>
      </w:r>
      <w:r>
        <w:rPr>
          <w:rFonts w:hint="eastAsia" w:ascii="宋体" w:hAnsi="宋体"/>
          <w:color w:val="auto"/>
          <w:sz w:val="24"/>
          <w:highlight w:val="none"/>
          <w:shd w:val="clear" w:color="auto" w:fill="auto"/>
        </w:rPr>
        <w:t>分部工程验收</w:t>
      </w:r>
      <w:r>
        <w:rPr>
          <w:rFonts w:ascii="宋体" w:hAnsi="宋体"/>
          <w:color w:val="auto"/>
          <w:sz w:val="24"/>
          <w:highlight w:val="none"/>
          <w:shd w:val="clear" w:color="auto" w:fill="auto"/>
        </w:rPr>
        <w:t>由监理人主持。</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18.3单位工程验收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18.3.4  提前投入使用的单位工程包括：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18.5阶段验收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18.5.1  本合同工程阶段验收类别包括：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18.6专项验收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18.6.2  本合同工程专项验收类别包括：</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18.7竣工验收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18.7.3  本工程竣工验收技术鉴定</w:t>
      </w:r>
      <w:r>
        <w:rPr>
          <w:rFonts w:hint="eastAsia" w:ascii="宋体" w:hAnsi="宋体"/>
          <w:color w:val="auto"/>
          <w:sz w:val="24"/>
          <w:highlight w:val="none"/>
          <w:shd w:val="clear" w:color="auto" w:fill="auto"/>
        </w:rPr>
        <w:t>：</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u w:val="singl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18.8施工期运行</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18.8.1  需要在施工期运行的单位工程或工程设备为：</w:t>
      </w:r>
      <w:r>
        <w:rPr>
          <w:rFonts w:ascii="宋体" w:hAnsi="宋体"/>
          <w:color w:val="auto"/>
          <w:sz w:val="24"/>
          <w:highlight w:val="none"/>
          <w:u w:val="single"/>
          <w:shd w:val="clear" w:color="auto" w:fill="auto"/>
        </w:rPr>
        <w:t>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18.9试运行</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18.9.1  试运行的组织：</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；费用承担：</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7" w:name="_Toc76056708"/>
      <w:r>
        <w:rPr>
          <w:rFonts w:ascii="宋体" w:hAnsi="宋体"/>
          <w:bCs w:val="0"/>
          <w:color w:val="auto"/>
          <w:sz w:val="24"/>
          <w:szCs w:val="24"/>
          <w:highlight w:val="none"/>
          <w:shd w:val="clear" w:color="auto" w:fill="auto"/>
        </w:rPr>
        <w:t>19．缺陷责任与保修责任</w:t>
      </w:r>
      <w:bookmarkEnd w:id="387"/>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19.1缺陷责任期（工程质量保修期）的起算时间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本工程缺陷责任期（工程质量保修期）如下：</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kern w:val="0"/>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19.7保修责任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本合同工程的保修期为：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24</w:t>
      </w:r>
      <w:r>
        <w:rPr>
          <w:rFonts w:ascii="宋体" w:hAnsi="宋体"/>
          <w:color w:val="auto"/>
          <w:sz w:val="24"/>
          <w:highlight w:val="none"/>
          <w:u w:val="single"/>
          <w:shd w:val="clear" w:color="auto" w:fill="auto"/>
        </w:rPr>
        <w:t xml:space="preserve">个月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保修范围：</w:t>
      </w:r>
      <w:r>
        <w:rPr>
          <w:rFonts w:ascii="宋体" w:hAnsi="宋体"/>
          <w:color w:val="auto"/>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保修责任：由承包人负责并承担相关的一切费用。</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8" w:name="_Toc76056709"/>
      <w:r>
        <w:rPr>
          <w:rFonts w:ascii="宋体" w:hAnsi="宋体"/>
          <w:bCs w:val="0"/>
          <w:color w:val="auto"/>
          <w:sz w:val="24"/>
          <w:szCs w:val="24"/>
          <w:highlight w:val="none"/>
          <w:shd w:val="clear" w:color="auto" w:fill="auto"/>
        </w:rPr>
        <w:t>20．保险</w:t>
      </w:r>
      <w:bookmarkEnd w:id="388"/>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20.1工程保险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条增加如下内容：承包人负责在出现保险事故时积极采取有效措施，尽可能减少损失，并于24小时内向发包人和保险公司报案，并向发包人和保险公司提交所需资料，同时负责向保险公司索赔。由于承包人索赔不力，造成保险赔偿差额，则差额部分除免赔额外均由承包人承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20.4第三者责任险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20.5其它保险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20.6对各项保险的一般要求</w:t>
      </w:r>
    </w:p>
    <w:p>
      <w:pPr>
        <w:adjustRightInd w:val="0"/>
        <w:snapToGrid w:val="0"/>
        <w:spacing w:line="312" w:lineRule="auto"/>
        <w:ind w:firstLine="480" w:firstLineChars="200"/>
        <w:rPr>
          <w:rFonts w:ascii="宋体" w:hAnsi="宋体"/>
          <w:color w:val="auto"/>
          <w:sz w:val="24"/>
          <w:highlight w:val="none"/>
          <w:shd w:val="clear" w:color="auto" w:fill="auto"/>
        </w:rPr>
      </w:pPr>
      <w:bookmarkStart w:id="389" w:name="_Toc511318205"/>
      <w:r>
        <w:rPr>
          <w:rFonts w:ascii="宋体" w:hAnsi="宋体"/>
          <w:color w:val="auto"/>
          <w:sz w:val="24"/>
          <w:highlight w:val="none"/>
          <w:shd w:val="clear" w:color="auto" w:fill="auto"/>
        </w:rPr>
        <w:t>20.6.1  保险凭证</w:t>
      </w:r>
      <w:bookmarkEnd w:id="389"/>
      <w:r>
        <w:rPr>
          <w:rFonts w:hint="eastAsia" w:ascii="宋体" w:hAnsi="宋体"/>
          <w:color w:val="auto"/>
          <w:sz w:val="24"/>
          <w:highlight w:val="none"/>
          <w:shd w:val="clear" w:color="auto" w:fill="auto"/>
        </w:rPr>
        <w:t>。承包人按要求提供。</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20.6.4  保险金不足的补偿</w:t>
      </w:r>
      <w:r>
        <w:rPr>
          <w:rFonts w:hint="eastAsia" w:ascii="宋体" w:hAnsi="宋体"/>
          <w:color w:val="auto"/>
          <w:sz w:val="24"/>
          <w:highlight w:val="none"/>
          <w:shd w:val="clear" w:color="auto" w:fill="auto"/>
        </w:rPr>
        <w:t>：发包人投保的建筑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及其附加第三者责任险由由发包人负责，其余保险的不足部分由承包人负责</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195"/>
        <w:autoSpaceDE/>
        <w:autoSpaceDN/>
        <w:adjustRightInd/>
        <w:spacing w:line="312" w:lineRule="auto"/>
        <w:jc w:val="both"/>
        <w:rPr>
          <w:rFonts w:hAnsi="宋体" w:cs="Times New Roman"/>
          <w:color w:val="000000"/>
        </w:rPr>
      </w:pPr>
    </w:p>
    <w:p>
      <w:pPr>
        <w:pStyle w:val="42"/>
      </w:pPr>
    </w:p>
    <w:p>
      <w:pPr>
        <w:pStyle w:val="42"/>
        <w:ind w:left="0" w:leftChars="0" w:firstLine="0" w:firstLineChars="0"/>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pStyle w:val="2"/>
        <w:rPr>
          <w:rFonts w:ascii="黑体" w:hAnsi="黑体" w:eastAsia="黑体" w:cs="仿宋"/>
          <w:b/>
          <w:color w:val="000000"/>
          <w:sz w:val="36"/>
          <w:szCs w:val="36"/>
          <w:highlight w:val="yellow"/>
        </w:rPr>
      </w:pPr>
    </w:p>
    <w:p>
      <w:pPr>
        <w:pStyle w:val="3"/>
        <w:rPr>
          <w:rFonts w:ascii="黑体" w:hAnsi="黑体" w:eastAsia="黑体" w:cs="仿宋"/>
          <w:b/>
          <w:color w:val="000000"/>
          <w:sz w:val="36"/>
          <w:szCs w:val="36"/>
          <w:highlight w:val="yellow"/>
        </w:rPr>
      </w:pPr>
    </w:p>
    <w:p>
      <w:pPr>
        <w:pStyle w:val="3"/>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outlineLvl w:val="0"/>
        <w:rPr>
          <w:rFonts w:hint="eastAsia" w:ascii="黑体" w:hAnsi="黑体" w:eastAsia="黑体" w:cs="仿宋"/>
          <w:b/>
          <w:color w:val="000000"/>
          <w:sz w:val="36"/>
          <w:szCs w:val="36"/>
        </w:rPr>
      </w:pPr>
      <w:bookmarkStart w:id="390" w:name="_Toc27615"/>
    </w:p>
    <w:bookmarkEnd w:id="390"/>
    <w:p>
      <w:pPr>
        <w:spacing w:line="600" w:lineRule="exact"/>
        <w:jc w:val="center"/>
        <w:rPr>
          <w:rFonts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ascii="黑体" w:hAnsi="黑体" w:eastAsia="黑体" w:cs="仿宋"/>
          <w:b/>
          <w:color w:val="auto"/>
          <w:sz w:val="36"/>
          <w:szCs w:val="36"/>
          <w:shd w:val="clear" w:color="auto" w:fill="auto"/>
        </w:rPr>
      </w:pPr>
      <w:r>
        <w:rPr>
          <w:rFonts w:hint="eastAsia" w:ascii="黑体" w:hAnsi="黑体" w:eastAsia="黑体" w:cs="仿宋"/>
          <w:b/>
          <w:color w:val="auto"/>
          <w:sz w:val="36"/>
          <w:szCs w:val="36"/>
          <w:shd w:val="clear" w:color="auto" w:fill="auto"/>
        </w:rPr>
        <w:t>第五章  采购需求</w:t>
      </w:r>
    </w:p>
    <w:p>
      <w:pPr>
        <w:spacing w:before="240" w:beforeLines="100" w:after="120" w:afterLines="50" w:line="312" w:lineRule="auto"/>
        <w:jc w:val="both"/>
        <w:rPr>
          <w:rFonts w:ascii="仿宋" w:hAnsi="仿宋" w:eastAsia="仿宋" w:cs="仿宋"/>
          <w:color w:val="auto"/>
          <w:sz w:val="24"/>
          <w:shd w:val="clear" w:color="auto" w:fill="auto"/>
        </w:rPr>
      </w:pPr>
      <w:r>
        <w:rPr>
          <w:rFonts w:hint="eastAsia" w:ascii="宋体" w:hAnsi="宋体"/>
          <w:b/>
          <w:color w:val="auto"/>
          <w:sz w:val="24"/>
          <w:shd w:val="clear" w:color="auto" w:fill="auto"/>
        </w:rPr>
        <w:t>一、工程类项目编制提纲：</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hint="eastAsia" w:ascii="宋体" w:hAnsi="宋体" w:eastAsia="宋体"/>
          <w:sz w:val="24"/>
          <w:szCs w:val="24"/>
          <w:lang w:eastAsia="zh-CN"/>
        </w:rPr>
      </w:pPr>
      <w:r>
        <w:rPr>
          <w:rFonts w:hint="eastAsia" w:ascii="宋体" w:hAnsi="宋体"/>
          <w:color w:val="auto"/>
          <w:sz w:val="24"/>
          <w:shd w:val="clear" w:color="auto" w:fill="auto"/>
        </w:rPr>
        <w:t>（一</w:t>
      </w:r>
      <w:r>
        <w:rPr>
          <w:rFonts w:ascii="宋体" w:hAnsi="宋体"/>
          <w:color w:val="auto"/>
          <w:sz w:val="24"/>
          <w:shd w:val="clear" w:color="auto" w:fill="auto"/>
        </w:rPr>
        <w:t>）</w:t>
      </w:r>
      <w:r>
        <w:rPr>
          <w:rFonts w:hint="eastAsia" w:ascii="宋体" w:hAnsi="宋体"/>
          <w:color w:val="auto"/>
          <w:sz w:val="24"/>
          <w:shd w:val="clear" w:color="auto" w:fill="auto"/>
        </w:rPr>
        <w:t>采购项目名称</w:t>
      </w:r>
      <w:r>
        <w:rPr>
          <w:rFonts w:hint="eastAsia" w:ascii="宋体" w:hAnsi="宋体"/>
          <w:color w:val="auto"/>
          <w:sz w:val="24"/>
          <w:shd w:val="clear" w:color="auto" w:fill="auto"/>
          <w:lang w:eastAsia="zh-CN"/>
        </w:rPr>
        <w:t>：</w:t>
      </w:r>
      <w:r>
        <w:rPr>
          <w:rFonts w:hint="eastAsia" w:cs="Times New Roman"/>
          <w:kern w:val="2"/>
          <w:sz w:val="24"/>
          <w:szCs w:val="24"/>
        </w:rPr>
        <w:t>岳阳城陵矶新港有限公司7#堆场破损通道地面维修</w:t>
      </w:r>
      <w:r>
        <w:rPr>
          <w:rFonts w:hint="eastAsia" w:cs="Times New Roman"/>
          <w:kern w:val="2"/>
          <w:sz w:val="24"/>
          <w:szCs w:val="24"/>
          <w:lang w:eastAsia="zh-CN"/>
        </w:rPr>
        <w:t>项目</w:t>
      </w:r>
    </w:p>
    <w:p>
      <w:pPr>
        <w:adjustRightInd w:val="0"/>
        <w:snapToGrid w:val="0"/>
        <w:spacing w:line="312" w:lineRule="auto"/>
        <w:ind w:firstLine="240" w:firstLineChars="100"/>
        <w:rPr>
          <w:rFonts w:hint="eastAsia" w:ascii="宋体" w:hAnsi="宋体" w:eastAsia="宋体"/>
          <w:color w:val="auto"/>
          <w:sz w:val="24"/>
          <w:shd w:val="clear" w:color="auto" w:fill="auto"/>
          <w:lang w:val="en-US" w:eastAsia="zh-CN"/>
        </w:rPr>
      </w:pPr>
      <w:r>
        <w:rPr>
          <w:rFonts w:hint="eastAsia" w:ascii="宋体" w:hAnsi="宋体"/>
          <w:color w:val="auto"/>
          <w:sz w:val="24"/>
          <w:shd w:val="clear" w:color="auto" w:fill="auto"/>
        </w:rPr>
        <w:t>（二</w:t>
      </w:r>
      <w:r>
        <w:rPr>
          <w:rFonts w:ascii="宋体" w:hAnsi="宋体"/>
          <w:color w:val="auto"/>
          <w:sz w:val="24"/>
          <w:shd w:val="clear" w:color="auto" w:fill="auto"/>
        </w:rPr>
        <w:t>）</w:t>
      </w:r>
      <w:r>
        <w:rPr>
          <w:rFonts w:hint="eastAsia" w:ascii="宋体" w:hAnsi="宋体"/>
          <w:color w:val="auto"/>
          <w:sz w:val="24"/>
          <w:shd w:val="clear" w:color="auto" w:fill="auto"/>
        </w:rPr>
        <w:t>工程条件</w:t>
      </w:r>
      <w:r>
        <w:rPr>
          <w:rFonts w:hint="eastAsia" w:ascii="宋体" w:hAnsi="宋体"/>
          <w:color w:val="auto"/>
          <w:sz w:val="24"/>
          <w:shd w:val="clear" w:color="auto" w:fill="auto"/>
          <w:lang w:eastAsia="zh-CN"/>
        </w:rPr>
        <w:t>：</w:t>
      </w:r>
      <w:r>
        <w:rPr>
          <w:rFonts w:hint="eastAsia" w:ascii="宋体" w:hAnsi="宋体"/>
          <w:color w:val="auto"/>
          <w:sz w:val="24"/>
          <w:shd w:val="clear" w:color="auto" w:fill="auto"/>
          <w:lang w:val="en-US" w:eastAsia="zh-CN"/>
        </w:rPr>
        <w:t>工程已经具备开工条件</w:t>
      </w:r>
    </w:p>
    <w:p>
      <w:pPr>
        <w:pStyle w:val="42"/>
        <w:ind w:left="0" w:leftChars="0" w:firstLine="0" w:firstLineChars="0"/>
        <w:rPr>
          <w:rFonts w:hint="eastAsia" w:ascii="宋体" w:hAnsi="宋体"/>
          <w:color w:val="auto"/>
          <w:sz w:val="24"/>
          <w:highlight w:val="yellow"/>
          <w:shd w:val="clear" w:color="auto" w:fill="auto"/>
          <w:lang w:val="en-US" w:eastAsia="zh-CN"/>
        </w:rPr>
      </w:pPr>
      <w:r>
        <w:rPr>
          <w:rFonts w:hint="eastAsia" w:ascii="宋体" w:hAnsi="宋体"/>
          <w:color w:val="auto"/>
          <w:sz w:val="24"/>
          <w:highlight w:val="none"/>
          <w:shd w:val="clear" w:color="auto" w:fill="auto"/>
        </w:rPr>
        <w:t>（三）工程基本情况</w:t>
      </w:r>
      <w:r>
        <w:rPr>
          <w:rFonts w:hint="eastAsia" w:ascii="宋体" w:hAnsi="宋体"/>
          <w:color w:val="auto"/>
          <w:sz w:val="24"/>
          <w:highlight w:val="none"/>
          <w:shd w:val="clear" w:color="auto" w:fill="auto"/>
          <w:lang w:eastAsia="zh-CN"/>
        </w:rPr>
        <w:t>：</w:t>
      </w:r>
      <w:r>
        <w:rPr>
          <w:rFonts w:hint="eastAsia" w:asciiTheme="minorEastAsia" w:hAnsiTheme="minorEastAsia" w:eastAsiaTheme="minorEastAsia" w:cstheme="minorEastAsia"/>
          <w:sz w:val="24"/>
          <w:szCs w:val="24"/>
          <w:highlight w:val="none"/>
        </w:rPr>
        <w:t>岳阳城陵矶新港有限公司7#堆场通道地面</w:t>
      </w:r>
      <w:r>
        <w:rPr>
          <w:rFonts w:hint="eastAsia" w:asciiTheme="minorEastAsia" w:hAnsiTheme="minorEastAsia" w:eastAsiaTheme="minorEastAsia" w:cstheme="minorEastAsia"/>
          <w:sz w:val="24"/>
          <w:szCs w:val="24"/>
          <w:highlight w:val="none"/>
          <w:lang w:eastAsia="zh-CN"/>
        </w:rPr>
        <w:t>破除，</w:t>
      </w:r>
      <w:r>
        <w:rPr>
          <w:rFonts w:hint="eastAsia" w:asciiTheme="minorEastAsia" w:hAnsiTheme="minorEastAsia" w:eastAsiaTheme="minorEastAsia" w:cstheme="minorEastAsia"/>
          <w:sz w:val="24"/>
          <w:szCs w:val="24"/>
          <w:highlight w:val="none"/>
          <w:lang w:val="en-US" w:eastAsia="zh-CN"/>
        </w:rPr>
        <w:t>地面砼（C40）浇筑，面积409.4平方米。</w:t>
      </w:r>
    </w:p>
    <w:p>
      <w:pPr>
        <w:adjustRightInd w:val="0"/>
        <w:snapToGrid w:val="0"/>
        <w:spacing w:line="312" w:lineRule="auto"/>
        <w:ind w:firstLine="240" w:firstLineChars="100"/>
        <w:rPr>
          <w:rFonts w:hint="eastAsia" w:cs="Times New Roman"/>
          <w:kern w:val="2"/>
          <w:sz w:val="24"/>
          <w:szCs w:val="24"/>
        </w:rPr>
      </w:pPr>
      <w:r>
        <w:rPr>
          <w:rFonts w:hint="eastAsia" w:ascii="宋体" w:hAnsi="宋体"/>
          <w:color w:val="auto"/>
          <w:sz w:val="24"/>
          <w:shd w:val="clear" w:color="auto" w:fill="auto"/>
        </w:rPr>
        <w:t>（四</w:t>
      </w:r>
      <w:r>
        <w:rPr>
          <w:rFonts w:ascii="宋体" w:hAnsi="宋体"/>
          <w:color w:val="auto"/>
          <w:sz w:val="24"/>
          <w:shd w:val="clear" w:color="auto" w:fill="auto"/>
        </w:rPr>
        <w:t>）</w:t>
      </w:r>
      <w:r>
        <w:rPr>
          <w:rFonts w:hint="eastAsia" w:ascii="宋体" w:hAnsi="宋体"/>
          <w:color w:val="auto"/>
          <w:sz w:val="24"/>
          <w:shd w:val="clear" w:color="auto" w:fill="auto"/>
        </w:rPr>
        <w:t>工程承包范围</w:t>
      </w:r>
      <w:r>
        <w:rPr>
          <w:rFonts w:hint="eastAsia" w:ascii="宋体" w:hAnsi="宋体"/>
          <w:color w:val="auto"/>
          <w:sz w:val="24"/>
          <w:shd w:val="clear" w:color="auto" w:fill="auto"/>
          <w:lang w:eastAsia="zh-CN"/>
        </w:rPr>
        <w:t>：</w:t>
      </w:r>
      <w:r>
        <w:rPr>
          <w:rFonts w:hint="eastAsia" w:cs="Times New Roman"/>
          <w:kern w:val="2"/>
          <w:sz w:val="24"/>
          <w:szCs w:val="24"/>
        </w:rPr>
        <w:t>岳阳城陵矶新港有限公司</w:t>
      </w:r>
    </w:p>
    <w:p>
      <w:pPr>
        <w:adjustRightInd w:val="0"/>
        <w:snapToGrid w:val="0"/>
        <w:spacing w:line="312" w:lineRule="auto"/>
        <w:ind w:firstLine="240" w:firstLineChars="100"/>
        <w:rPr>
          <w:rFonts w:ascii="宋体" w:hAnsi="宋体"/>
          <w:color w:val="auto"/>
          <w:sz w:val="24"/>
          <w:shd w:val="clear" w:color="auto" w:fill="auto"/>
        </w:rPr>
      </w:pPr>
      <w:r>
        <w:rPr>
          <w:rFonts w:hint="eastAsia" w:ascii="宋体" w:hAnsi="宋体"/>
          <w:color w:val="auto"/>
          <w:sz w:val="24"/>
          <w:shd w:val="clear" w:color="auto" w:fill="auto"/>
        </w:rPr>
        <w:t>（五</w:t>
      </w:r>
      <w:r>
        <w:rPr>
          <w:rFonts w:ascii="宋体" w:hAnsi="宋体"/>
          <w:color w:val="auto"/>
          <w:sz w:val="24"/>
          <w:shd w:val="clear" w:color="auto" w:fill="auto"/>
        </w:rPr>
        <w:t>）</w:t>
      </w:r>
      <w:r>
        <w:rPr>
          <w:rFonts w:hint="eastAsia" w:ascii="宋体" w:hAnsi="宋体"/>
          <w:color w:val="auto"/>
          <w:sz w:val="24"/>
          <w:shd w:val="clear" w:color="auto" w:fill="auto"/>
        </w:rPr>
        <w:t>项目清单及说明</w:t>
      </w:r>
      <w:r>
        <w:rPr>
          <w:rFonts w:hint="eastAsia" w:ascii="宋体" w:hAnsi="宋体"/>
          <w:color w:val="auto"/>
          <w:sz w:val="24"/>
          <w:shd w:val="clear" w:color="auto" w:fill="auto"/>
          <w:lang w:eastAsia="zh-CN"/>
        </w:rPr>
        <w:t>：</w:t>
      </w:r>
      <w:r>
        <w:rPr>
          <w:rFonts w:hint="eastAsia" w:ascii="宋体" w:hAnsi="宋体"/>
          <w:color w:val="auto"/>
          <w:sz w:val="24"/>
          <w:shd w:val="clear" w:color="auto" w:fill="auto"/>
          <w:lang w:val="en-US" w:eastAsia="zh-CN"/>
        </w:rPr>
        <w:t>见附件工程明细表。</w:t>
      </w:r>
    </w:p>
    <w:p>
      <w:pPr>
        <w:adjustRightInd w:val="0"/>
        <w:snapToGrid w:val="0"/>
        <w:spacing w:line="312" w:lineRule="auto"/>
        <w:ind w:firstLine="240" w:firstLineChars="100"/>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rPr>
        <w:t>（六</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工期及质量要求</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工期为30个日历日，质量满足港口正常运营要求</w:t>
      </w:r>
    </w:p>
    <w:p>
      <w:pPr>
        <w:adjustRightInd w:val="0"/>
        <w:snapToGrid w:val="0"/>
        <w:spacing w:line="312" w:lineRule="auto"/>
        <w:ind w:firstLine="240" w:firstLineChars="100"/>
        <w:rPr>
          <w:rFonts w:ascii="宋体" w:hAnsi="宋体"/>
          <w:color w:val="auto"/>
          <w:sz w:val="24"/>
          <w:shd w:val="clear" w:color="auto" w:fill="auto"/>
        </w:rPr>
      </w:pPr>
      <w:r>
        <w:rPr>
          <w:rFonts w:hint="eastAsia" w:ascii="宋体" w:hAnsi="宋体"/>
          <w:color w:val="auto"/>
          <w:sz w:val="24"/>
          <w:shd w:val="clear" w:color="auto" w:fill="auto"/>
        </w:rPr>
        <w:t>（七</w:t>
      </w:r>
      <w:r>
        <w:rPr>
          <w:rFonts w:ascii="宋体" w:hAnsi="宋体"/>
          <w:color w:val="auto"/>
          <w:sz w:val="24"/>
          <w:shd w:val="clear" w:color="auto" w:fill="auto"/>
        </w:rPr>
        <w:t>）</w:t>
      </w:r>
      <w:r>
        <w:rPr>
          <w:rFonts w:hint="eastAsia" w:ascii="宋体" w:hAnsi="宋体"/>
          <w:color w:val="auto"/>
          <w:sz w:val="24"/>
          <w:shd w:val="clear" w:color="auto" w:fill="auto"/>
        </w:rPr>
        <w:t>项目实施要求</w:t>
      </w:r>
      <w:r>
        <w:rPr>
          <w:rFonts w:hint="eastAsia" w:ascii="宋体" w:hAnsi="宋体"/>
          <w:color w:val="auto"/>
          <w:sz w:val="24"/>
          <w:shd w:val="clear" w:color="auto" w:fill="auto"/>
          <w:lang w:eastAsia="zh-CN"/>
        </w:rPr>
        <w:t>：项目实施按照国家相关规范要求实施</w:t>
      </w:r>
    </w:p>
    <w:p>
      <w:pPr>
        <w:autoSpaceDE w:val="0"/>
        <w:spacing w:line="400" w:lineRule="exact"/>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color w:val="auto"/>
          <w:sz w:val="24"/>
          <w:szCs w:val="24"/>
          <w:shd w:val="clear" w:color="auto" w:fill="auto"/>
          <w:lang w:val="en-US" w:eastAsia="zh-CN"/>
        </w:rPr>
        <w:t>附件：</w:t>
      </w:r>
      <w:r>
        <w:rPr>
          <w:rFonts w:hint="eastAsia" w:ascii="宋体" w:hAnsi="宋体" w:eastAsia="宋体" w:cs="宋体"/>
          <w:b/>
          <w:bCs/>
          <w:i w:val="0"/>
          <w:iCs w:val="0"/>
          <w:color w:val="000000"/>
          <w:kern w:val="0"/>
          <w:sz w:val="24"/>
          <w:szCs w:val="24"/>
          <w:u w:val="none"/>
          <w:lang w:val="en-US" w:eastAsia="zh-CN" w:bidi="ar"/>
        </w:rPr>
        <w:t>工程明细表</w:t>
      </w:r>
    </w:p>
    <w:tbl>
      <w:tblPr>
        <w:tblStyle w:val="43"/>
        <w:tblW w:w="9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737"/>
        <w:gridCol w:w="1193"/>
        <w:gridCol w:w="1936"/>
        <w:gridCol w:w="1376"/>
        <w:gridCol w:w="696"/>
        <w:gridCol w:w="932"/>
        <w:gridCol w:w="699"/>
        <w:gridCol w:w="925"/>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99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工程名称：新港公司7#堆场破损通道地面维修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施工日期</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计算式</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2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7#堆场路面破除</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路面破除（含垃圾外运处理）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8.9m×46m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7#堆场路面浇筑</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C40砼地面25cm厚不带钢筋</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8.9m×46m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费用合计</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0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本页小计</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0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rPr>
          <w:rFonts w:hint="eastAsia"/>
          <w:lang w:val="en-US" w:eastAsia="zh-CN"/>
        </w:rPr>
      </w:pPr>
    </w:p>
    <w:p>
      <w:pPr>
        <w:pStyle w:val="3"/>
        <w:rPr>
          <w:rFonts w:hint="eastAsia" w:ascii="宋体" w:hAnsi="宋体" w:eastAsia="宋体" w:cs="宋体"/>
          <w:b/>
          <w:bCs/>
          <w:i w:val="0"/>
          <w:iCs w:val="0"/>
          <w:color w:val="000000"/>
          <w:kern w:val="0"/>
          <w:sz w:val="24"/>
          <w:szCs w:val="24"/>
          <w:u w:val="none"/>
          <w:lang w:val="en-US" w:eastAsia="zh-CN" w:bidi="ar"/>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highlight w:val="none"/>
          <w:lang w:val="en-US" w:eastAsia="zh-CN"/>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highlight w:val="none"/>
          <w:lang w:eastAsia="zh-CN"/>
        </w:rPr>
      </w:pPr>
      <w:r>
        <w:rPr>
          <w:rFonts w:hint="eastAsia"/>
          <w:sz w:val="24"/>
          <w:highlight w:val="none"/>
          <w:lang w:val="en-US" w:eastAsia="zh-CN"/>
        </w:rPr>
        <w:t>五、</w:t>
      </w:r>
      <w:r>
        <w:rPr>
          <w:rFonts w:hint="default"/>
          <w:sz w:val="24"/>
          <w:highlight w:val="none"/>
        </w:rPr>
        <w:t>工期</w:t>
      </w:r>
      <w:r>
        <w:rPr>
          <w:rFonts w:hint="eastAsia"/>
          <w:sz w:val="24"/>
          <w:highlight w:val="none"/>
          <w:lang w:eastAsia="zh-CN"/>
        </w:rPr>
        <w:t>要求</w:t>
      </w:r>
      <w:r>
        <w:rPr>
          <w:rFonts w:hint="default"/>
          <w:sz w:val="24"/>
          <w:highlight w:val="none"/>
        </w:rPr>
        <w:t>：</w:t>
      </w:r>
      <w:r>
        <w:rPr>
          <w:rFonts w:hint="eastAsia"/>
          <w:sz w:val="24"/>
          <w:highlight w:val="none"/>
          <w:lang w:eastAsia="zh-CN"/>
        </w:rPr>
        <w:t>合同签订之日起</w:t>
      </w:r>
      <w:r>
        <w:rPr>
          <w:rFonts w:hint="eastAsia"/>
          <w:sz w:val="24"/>
          <w:highlight w:val="none"/>
          <w:lang w:val="en-US" w:eastAsia="zh-CN"/>
        </w:rPr>
        <w:t>3</w:t>
      </w:r>
      <w:r>
        <w:rPr>
          <w:rFonts w:hint="default"/>
          <w:sz w:val="24"/>
          <w:highlight w:val="none"/>
        </w:rPr>
        <w:t>0</w:t>
      </w:r>
      <w:r>
        <w:rPr>
          <w:rFonts w:hint="eastAsia"/>
          <w:sz w:val="24"/>
          <w:highlight w:val="none"/>
          <w:lang w:eastAsia="zh-CN"/>
        </w:rPr>
        <w:t>个日历日以内。</w:t>
      </w:r>
    </w:p>
    <w:p>
      <w:pPr>
        <w:pageBreakBefore w:val="0"/>
        <w:widowControl/>
        <w:kinsoku/>
        <w:wordWrap/>
        <w:overflowPunct/>
        <w:topLinePunct w:val="0"/>
        <w:autoSpaceDE w:val="0"/>
        <w:autoSpaceDN/>
        <w:bidi w:val="0"/>
        <w:adjustRightInd/>
        <w:snapToGrid/>
        <w:spacing w:line="360" w:lineRule="auto"/>
        <w:jc w:val="center"/>
        <w:textAlignment w:val="auto"/>
        <w:rPr>
          <w:rFonts w:ascii="黑体" w:hAnsi="黑体" w:eastAsia="黑体" w:cs="仿宋"/>
          <w:b/>
          <w:color w:val="000000"/>
          <w:sz w:val="36"/>
          <w:szCs w:val="36"/>
        </w:rPr>
      </w:pPr>
      <w:r>
        <w:rPr>
          <w:rFonts w:hint="eastAsia"/>
          <w:sz w:val="24"/>
        </w:rPr>
        <w:br w:type="page"/>
      </w:r>
      <w:bookmarkStart w:id="391" w:name="_Toc15194"/>
      <w:r>
        <w:rPr>
          <w:rFonts w:hint="eastAsia" w:ascii="黑体" w:hAnsi="黑体" w:eastAsia="黑体" w:cs="仿宋"/>
          <w:b/>
          <w:color w:val="000000"/>
          <w:sz w:val="36"/>
          <w:szCs w:val="36"/>
        </w:rPr>
        <w:t>第六章  响应文件格式</w:t>
      </w:r>
      <w:bookmarkEnd w:id="391"/>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92" w:name="_Toc130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92"/>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93" w:name="_Toc14661"/>
      <w:r>
        <w:rPr>
          <w:rFonts w:hint="eastAsia" w:eastAsia="方正小标宋_GBK"/>
          <w:b/>
          <w:bCs/>
          <w:spacing w:val="160"/>
          <w:sz w:val="72"/>
          <w:szCs w:val="72"/>
        </w:rPr>
        <w:t>响应</w:t>
      </w:r>
      <w:r>
        <w:rPr>
          <w:rFonts w:eastAsia="方正小标宋_GBK"/>
          <w:b/>
          <w:bCs/>
          <w:spacing w:val="160"/>
          <w:sz w:val="72"/>
          <w:szCs w:val="72"/>
        </w:rPr>
        <w:t>文件</w:t>
      </w:r>
      <w:bookmarkEnd w:id="393"/>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94" w:name="_Toc1698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94"/>
      <w:r>
        <w:rPr>
          <w:rFonts w:eastAsia="黑体"/>
          <w:bCs/>
          <w:sz w:val="30"/>
          <w:szCs w:val="30"/>
          <w:u w:val="single"/>
        </w:rPr>
        <w:t xml:space="preserve"> </w:t>
      </w:r>
    </w:p>
    <w:p>
      <w:pPr>
        <w:spacing w:line="900" w:lineRule="exact"/>
        <w:jc w:val="center"/>
        <w:outlineLvl w:val="0"/>
        <w:rPr>
          <w:rFonts w:eastAsia="黑体"/>
          <w:sz w:val="30"/>
          <w:szCs w:val="30"/>
        </w:rPr>
      </w:pPr>
      <w:bookmarkStart w:id="395" w:name="_Toc2687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95"/>
    </w:p>
    <w:p>
      <w:pPr>
        <w:adjustRightInd w:val="0"/>
        <w:snapToGrid w:val="0"/>
        <w:spacing w:line="600" w:lineRule="exact"/>
        <w:jc w:val="center"/>
        <w:outlineLvl w:val="0"/>
        <w:rPr>
          <w:rFonts w:ascii="黑体" w:hAnsi="黑体" w:eastAsia="黑体" w:cs="仿宋"/>
          <w:sz w:val="36"/>
          <w:szCs w:val="36"/>
        </w:rPr>
      </w:pPr>
      <w:bookmarkStart w:id="396" w:name="_Toc11324"/>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96"/>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97" w:name="_Toc1763"/>
      <w:r>
        <w:rPr>
          <w:rFonts w:hint="eastAsia" w:ascii="宋体" w:hAnsi="宋体" w:cs="仿宋"/>
          <w:sz w:val="24"/>
        </w:rPr>
        <w:t>一、响应函</w:t>
      </w:r>
      <w:bookmarkEnd w:id="397"/>
    </w:p>
    <w:p>
      <w:pPr>
        <w:adjustRightInd w:val="0"/>
        <w:snapToGrid w:val="0"/>
        <w:spacing w:line="600" w:lineRule="exact"/>
        <w:jc w:val="both"/>
        <w:outlineLvl w:val="0"/>
        <w:rPr>
          <w:rFonts w:ascii="宋体" w:hAnsi="宋体" w:cs="仿宋"/>
          <w:sz w:val="24"/>
        </w:rPr>
      </w:pPr>
      <w:bookmarkStart w:id="398" w:name="_Toc27590"/>
      <w:r>
        <w:rPr>
          <w:rFonts w:hint="eastAsia" w:ascii="宋体" w:hAnsi="宋体" w:cs="仿宋"/>
          <w:sz w:val="24"/>
        </w:rPr>
        <w:t>二、授权委托书(适用于有委托代理人的情况)</w:t>
      </w:r>
      <w:bookmarkEnd w:id="398"/>
    </w:p>
    <w:p>
      <w:pPr>
        <w:adjustRightInd w:val="0"/>
        <w:snapToGrid w:val="0"/>
        <w:spacing w:line="600" w:lineRule="exact"/>
        <w:jc w:val="both"/>
        <w:outlineLvl w:val="0"/>
        <w:rPr>
          <w:rFonts w:ascii="宋体" w:hAnsi="宋体" w:cs="仿宋"/>
          <w:sz w:val="24"/>
        </w:rPr>
      </w:pPr>
      <w:bookmarkStart w:id="399" w:name="_Toc30725"/>
      <w:r>
        <w:rPr>
          <w:rFonts w:hint="eastAsia" w:ascii="宋体" w:hAnsi="宋体" w:cs="仿宋"/>
          <w:sz w:val="24"/>
        </w:rPr>
        <w:t>三、商务和技术偏差表</w:t>
      </w:r>
      <w:bookmarkEnd w:id="399"/>
    </w:p>
    <w:p>
      <w:pPr>
        <w:adjustRightInd w:val="0"/>
        <w:snapToGrid w:val="0"/>
        <w:spacing w:line="600" w:lineRule="exact"/>
        <w:jc w:val="both"/>
        <w:outlineLvl w:val="0"/>
        <w:rPr>
          <w:rFonts w:ascii="宋体" w:hAnsi="宋体" w:cs="仿宋"/>
          <w:sz w:val="24"/>
        </w:rPr>
      </w:pPr>
      <w:bookmarkStart w:id="400" w:name="_Toc5693"/>
      <w:r>
        <w:rPr>
          <w:rFonts w:hint="eastAsia" w:ascii="宋体" w:hAnsi="宋体" w:cs="仿宋"/>
          <w:sz w:val="24"/>
        </w:rPr>
        <w:t>四、报价表</w:t>
      </w:r>
      <w:bookmarkEnd w:id="400"/>
    </w:p>
    <w:p>
      <w:pPr>
        <w:adjustRightInd w:val="0"/>
        <w:snapToGrid w:val="0"/>
        <w:spacing w:line="600" w:lineRule="exact"/>
        <w:jc w:val="both"/>
        <w:outlineLvl w:val="0"/>
        <w:rPr>
          <w:rFonts w:ascii="宋体" w:hAnsi="宋体" w:cs="仿宋"/>
          <w:sz w:val="24"/>
        </w:rPr>
      </w:pPr>
      <w:bookmarkStart w:id="401" w:name="_Toc22440"/>
      <w:r>
        <w:rPr>
          <w:rFonts w:hint="eastAsia" w:ascii="宋体" w:hAnsi="宋体" w:cs="仿宋"/>
          <w:sz w:val="24"/>
        </w:rPr>
        <w:t>五、资格审查资料</w:t>
      </w:r>
      <w:bookmarkEnd w:id="401"/>
    </w:p>
    <w:p>
      <w:pPr>
        <w:adjustRightInd w:val="0"/>
        <w:snapToGrid w:val="0"/>
        <w:spacing w:line="600" w:lineRule="exact"/>
        <w:jc w:val="both"/>
        <w:outlineLvl w:val="0"/>
        <w:rPr>
          <w:rFonts w:ascii="宋体" w:hAnsi="宋体" w:cs="仿宋"/>
          <w:sz w:val="24"/>
        </w:rPr>
      </w:pPr>
      <w:bookmarkStart w:id="402" w:name="_Toc20576"/>
      <w:r>
        <w:rPr>
          <w:rFonts w:hint="eastAsia" w:ascii="宋体" w:hAnsi="宋体" w:cs="仿宋"/>
          <w:sz w:val="24"/>
        </w:rPr>
        <w:t>六、响应方案</w:t>
      </w:r>
      <w:bookmarkEnd w:id="402"/>
    </w:p>
    <w:p>
      <w:pPr>
        <w:adjustRightInd w:val="0"/>
        <w:snapToGrid w:val="0"/>
        <w:spacing w:line="600" w:lineRule="exact"/>
        <w:jc w:val="both"/>
        <w:outlineLvl w:val="0"/>
        <w:rPr>
          <w:rFonts w:ascii="宋体" w:hAnsi="宋体" w:cs="仿宋"/>
          <w:sz w:val="24"/>
        </w:rPr>
      </w:pPr>
      <w:bookmarkStart w:id="403" w:name="_Toc15295"/>
      <w:r>
        <w:rPr>
          <w:rFonts w:hint="eastAsia" w:ascii="宋体" w:hAnsi="宋体" w:cs="仿宋"/>
          <w:sz w:val="24"/>
        </w:rPr>
        <w:t>七、其他资料</w:t>
      </w:r>
      <w:bookmarkEnd w:id="403"/>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1"/>
        </w:numPr>
        <w:adjustRightInd w:val="0"/>
        <w:snapToGrid w:val="0"/>
        <w:spacing w:line="600" w:lineRule="exact"/>
        <w:jc w:val="center"/>
        <w:outlineLvl w:val="0"/>
        <w:rPr>
          <w:rFonts w:ascii="黑体" w:hAnsi="黑体" w:eastAsia="黑体" w:cs="仿宋"/>
          <w:sz w:val="36"/>
          <w:szCs w:val="36"/>
        </w:rPr>
      </w:pPr>
      <w:bookmarkStart w:id="404" w:name="_Toc5053"/>
      <w:r>
        <w:rPr>
          <w:rFonts w:hint="eastAsia" w:ascii="黑体" w:hAnsi="黑体" w:eastAsia="黑体" w:cs="仿宋"/>
          <w:sz w:val="36"/>
          <w:szCs w:val="36"/>
        </w:rPr>
        <w:t>响应函</w:t>
      </w:r>
      <w:bookmarkEnd w:id="404"/>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05" w:name="_Toc11617"/>
      <w:r>
        <w:rPr>
          <w:rFonts w:hint="eastAsia" w:ascii="黑体" w:hAnsi="黑体" w:eastAsia="黑体" w:cs="仿宋"/>
          <w:sz w:val="36"/>
          <w:szCs w:val="36"/>
        </w:rPr>
        <w:t>二、授权委托书</w:t>
      </w:r>
      <w:bookmarkEnd w:id="405"/>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06" w:name="_Toc27596"/>
      <w:r>
        <w:rPr>
          <w:rFonts w:hint="eastAsia" w:ascii="黑体" w:hAnsi="黑体" w:eastAsia="黑体" w:cs="仿宋"/>
          <w:sz w:val="36"/>
          <w:szCs w:val="36"/>
        </w:rPr>
        <w:t>三、商务和技术偏差表</w:t>
      </w:r>
      <w:bookmarkEnd w:id="406"/>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3"/>
        </w:numPr>
        <w:spacing w:line="600" w:lineRule="exact"/>
        <w:ind w:left="420"/>
        <w:jc w:val="center"/>
        <w:outlineLvl w:val="0"/>
        <w:rPr>
          <w:rFonts w:ascii="黑体" w:hAnsi="黑体" w:eastAsia="黑体" w:cs="仿宋"/>
          <w:sz w:val="36"/>
          <w:szCs w:val="36"/>
        </w:rPr>
      </w:pPr>
      <w:bookmarkStart w:id="407" w:name="_Toc32250"/>
      <w:r>
        <w:rPr>
          <w:rFonts w:hint="eastAsia" w:ascii="黑体" w:hAnsi="黑体" w:eastAsia="黑体" w:cs="仿宋"/>
          <w:sz w:val="36"/>
          <w:szCs w:val="36"/>
        </w:rPr>
        <w:t>报价表</w:t>
      </w:r>
      <w:bookmarkEnd w:id="407"/>
    </w:p>
    <w:p>
      <w:pPr>
        <w:autoSpaceDE w:val="0"/>
        <w:spacing w:line="400" w:lineRule="exact"/>
        <w:ind w:firstLine="480" w:firstLineChars="200"/>
        <w:jc w:val="left"/>
        <w:rPr>
          <w:rFonts w:cs="仿宋" w:asciiTheme="minorEastAsia" w:hAnsiTheme="minorEastAsia" w:eastAsiaTheme="minorEastAsia"/>
          <w:color w:val="auto"/>
          <w:sz w:val="24"/>
          <w:shd w:val="clear" w:color="auto" w:fill="auto"/>
        </w:rPr>
      </w:pPr>
      <w:bookmarkStart w:id="408" w:name="_Toc20685"/>
      <w:r>
        <w:rPr>
          <w:rFonts w:hint="eastAsia" w:cs="仿宋" w:asciiTheme="minorEastAsia" w:hAnsiTheme="minorEastAsia" w:eastAsiaTheme="minorEastAsia"/>
          <w:color w:val="auto"/>
          <w:sz w:val="24"/>
          <w:shd w:val="clear" w:color="auto" w:fill="auto"/>
        </w:rPr>
        <w:t>采购人根据</w:t>
      </w:r>
      <w:r>
        <w:rPr>
          <w:rFonts w:hint="eastAsia" w:cs="仿宋" w:asciiTheme="minorEastAsia" w:hAnsiTheme="minorEastAsia" w:eastAsiaTheme="minorEastAsia"/>
          <w:color w:val="auto"/>
          <w:sz w:val="24"/>
          <w:shd w:val="clear" w:color="auto" w:fill="auto"/>
          <w:lang w:eastAsia="zh-CN"/>
        </w:rPr>
        <w:t>第五章采购需求中的</w:t>
      </w:r>
      <w:r>
        <w:rPr>
          <w:rFonts w:hint="eastAsia" w:ascii="宋体" w:hAnsi="宋体" w:eastAsia="宋体" w:cs="宋体"/>
          <w:b w:val="0"/>
          <w:bCs w:val="0"/>
          <w:i w:val="0"/>
          <w:iCs w:val="0"/>
          <w:color w:val="000000"/>
          <w:kern w:val="0"/>
          <w:sz w:val="24"/>
          <w:szCs w:val="24"/>
          <w:u w:val="none"/>
          <w:lang w:val="en-US" w:eastAsia="zh-CN" w:bidi="ar"/>
        </w:rPr>
        <w:t>工程明细表</w:t>
      </w:r>
      <w:r>
        <w:rPr>
          <w:rFonts w:hint="eastAsia" w:cs="仿宋" w:asciiTheme="minorEastAsia" w:hAnsiTheme="minorEastAsia" w:eastAsiaTheme="minorEastAsia"/>
          <w:color w:val="auto"/>
          <w:sz w:val="24"/>
          <w:shd w:val="clear" w:color="auto" w:fill="auto"/>
        </w:rPr>
        <w:t>编制</w:t>
      </w:r>
      <w:r>
        <w:rPr>
          <w:rFonts w:hint="eastAsia" w:cs="仿宋" w:asciiTheme="minorEastAsia" w:hAnsiTheme="minorEastAsia" w:eastAsiaTheme="minorEastAsia"/>
          <w:color w:val="auto"/>
          <w:sz w:val="24"/>
          <w:shd w:val="clear" w:color="auto" w:fill="auto"/>
          <w:lang w:eastAsia="zh-CN"/>
        </w:rPr>
        <w:t>本</w:t>
      </w:r>
      <w:r>
        <w:rPr>
          <w:rFonts w:hint="eastAsia" w:cs="仿宋" w:asciiTheme="minorEastAsia" w:hAnsiTheme="minorEastAsia" w:eastAsiaTheme="minorEastAsia"/>
          <w:color w:val="auto"/>
          <w:sz w:val="24"/>
          <w:shd w:val="clear" w:color="auto" w:fill="auto"/>
        </w:rPr>
        <w:t>项目的报价表。</w:t>
      </w: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ascii="黑体" w:hAnsi="黑体" w:eastAsia="黑体" w:cs="仿宋"/>
          <w:sz w:val="36"/>
          <w:szCs w:val="36"/>
        </w:rPr>
      </w:pPr>
      <w:r>
        <w:rPr>
          <w:rFonts w:hint="eastAsia" w:ascii="黑体" w:hAnsi="黑体" w:eastAsia="黑体" w:cs="仿宋"/>
          <w:sz w:val="36"/>
          <w:szCs w:val="36"/>
        </w:rPr>
        <w:t>五、资格审查资料</w:t>
      </w:r>
      <w:bookmarkEnd w:id="408"/>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bookmarkStart w:id="409" w:name="_Toc10027"/>
      <w:r>
        <w:rPr>
          <w:rFonts w:hint="eastAsia" w:asciiTheme="minorEastAsia" w:hAnsiTheme="minorEastAsia" w:eastAsiaTheme="minorEastAsia"/>
          <w:b w:val="0"/>
          <w:sz w:val="24"/>
          <w:szCs w:val="24"/>
        </w:rPr>
        <w:t>（五）</w:t>
      </w:r>
      <w:r>
        <w:rPr>
          <w:rFonts w:hint="eastAsia" w:asciiTheme="minorEastAsia" w:hAnsiTheme="minorEastAsia" w:eastAsiaTheme="minorEastAsia"/>
          <w:b w:val="0"/>
          <w:sz w:val="24"/>
          <w:szCs w:val="24"/>
          <w:lang w:val="en-US" w:eastAsia="zh-CN"/>
        </w:rPr>
        <w:t>项目负责人</w:t>
      </w:r>
      <w:r>
        <w:rPr>
          <w:rFonts w:hint="eastAsia" w:asciiTheme="minorEastAsia" w:hAnsiTheme="minorEastAsia" w:eastAsiaTheme="minorEastAsia"/>
          <w:b w:val="0"/>
          <w:sz w:val="24"/>
          <w:szCs w:val="24"/>
        </w:rPr>
        <w:t>简</w:t>
      </w:r>
      <w:r>
        <w:rPr>
          <w:rFonts w:asciiTheme="minorEastAsia" w:hAnsiTheme="minorEastAsia" w:eastAsiaTheme="minorEastAsia"/>
          <w:b w:val="0"/>
          <w:sz w:val="24"/>
          <w:szCs w:val="24"/>
        </w:rPr>
        <w:t>历表</w:t>
      </w:r>
      <w:bookmarkEnd w:id="409"/>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410" w:name="_Toc14016"/>
      <w:r>
        <w:rPr>
          <w:rFonts w:hint="eastAsia" w:ascii="黑体" w:hAnsi="黑体" w:eastAsia="黑体" w:cs="仿宋"/>
          <w:sz w:val="36"/>
          <w:szCs w:val="36"/>
        </w:rPr>
        <w:t>六、响应方案</w:t>
      </w:r>
      <w:bookmarkEnd w:id="410"/>
    </w:p>
    <w:p>
      <w:pPr>
        <w:pStyle w:val="41"/>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411" w:name="_Toc4712"/>
      <w:r>
        <w:rPr>
          <w:rFonts w:hint="eastAsia" w:ascii="黑体" w:hAnsi="黑体" w:eastAsia="黑体" w:cs="仿宋"/>
          <w:sz w:val="36"/>
          <w:szCs w:val="36"/>
        </w:rPr>
        <w:t>七、其他资料</w:t>
      </w:r>
      <w:bookmarkEnd w:id="411"/>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7"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66FF77-459C-41F0-9BBC-410D3AF97837}"/>
  </w:font>
  <w:font w:name="黑体">
    <w:panose1 w:val="02010609060101010101"/>
    <w:charset w:val="86"/>
    <w:family w:val="auto"/>
    <w:pitch w:val="default"/>
    <w:sig w:usb0="800002BF" w:usb1="38CF7CFA" w:usb2="00000016" w:usb3="00000000" w:csb0="00040001" w:csb1="00000000"/>
    <w:embedRegular r:id="rId2" w:fontKey="{23522ADD-32F8-46B8-82EB-DE427553C1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859C8E6F-7829-45EA-8C11-2E15B0D1B890}"/>
  </w:font>
  <w:font w:na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4" w:fontKey="{1EE9E95F-67C5-450C-876F-F02E26DF2144}"/>
  </w:font>
  <w:font w:name="Wingdings 2">
    <w:panose1 w:val="05020102010507070707"/>
    <w:charset w:val="02"/>
    <w:family w:val="roman"/>
    <w:pitch w:val="default"/>
    <w:sig w:usb0="00000000" w:usb1="00000000" w:usb2="00000000" w:usb3="00000000" w:csb0="80000000" w:csb1="00000000"/>
    <w:embedRegular r:id="rId5" w:fontKey="{FF7EC7A7-D1B6-4EB7-B024-8AF87183B1D2}"/>
  </w:font>
  <w:font w:name="华文中宋">
    <w:panose1 w:val="02010600040101010101"/>
    <w:charset w:val="86"/>
    <w:family w:val="auto"/>
    <w:pitch w:val="default"/>
    <w:sig w:usb0="00000287" w:usb1="080F0000" w:usb2="00000000" w:usb3="00000000" w:csb0="0004009F" w:csb1="DFD70000"/>
    <w:embedRegular r:id="rId6" w:fontKey="{DF963ECC-F79B-4096-85C0-49FD63427647}"/>
  </w:font>
  <w:font w:name="Cambria Math">
    <w:panose1 w:val="02040503050406030204"/>
    <w:charset w:val="00"/>
    <w:family w:val="roman"/>
    <w:pitch w:val="default"/>
    <w:sig w:usb0="E00006FF" w:usb1="420024FF" w:usb2="02000000" w:usb3="00000000" w:csb0="2000019F" w:csb1="00000000"/>
    <w:embedRegular r:id="rId7" w:fontKey="{DD583CFE-134B-48D7-8060-30453E2C9072}"/>
  </w:font>
  <w:font w:name="仿宋_GB2312">
    <w:panose1 w:val="02010609030101010101"/>
    <w:charset w:val="86"/>
    <w:family w:val="modern"/>
    <w:pitch w:val="default"/>
    <w:sig w:usb0="00000001" w:usb1="080E0000" w:usb2="00000000" w:usb3="00000000" w:csb0="00040000" w:csb1="00000000"/>
    <w:embedRegular r:id="rId8" w:fontKey="{D6C03C2F-DDCD-47DD-9F22-15D9F6C902E2}"/>
  </w:font>
  <w:font w:name="方正小标宋_GBK">
    <w:panose1 w:val="02000000000000000000"/>
    <w:charset w:val="86"/>
    <w:family w:val="auto"/>
    <w:pitch w:val="default"/>
    <w:sig w:usb0="A00002BF" w:usb1="38CF7CFA" w:usb2="00082016" w:usb3="00000000" w:csb0="00040001" w:csb1="00000000"/>
    <w:embedRegular r:id="rId9" w:fontKey="{AD32BD0F-1C1A-4B72-A424-793027349C0C}"/>
  </w:font>
  <w:font w:name="楷体_GB2312">
    <w:panose1 w:val="02010609030101010101"/>
    <w:charset w:val="86"/>
    <w:family w:val="modern"/>
    <w:pitch w:val="default"/>
    <w:sig w:usb0="00000001" w:usb1="080E0000" w:usb2="00000000" w:usb3="00000000" w:csb0="00040000" w:csb1="00000000"/>
    <w:embedRegular r:id="rId10" w:fontKey="{8D701C74-3A60-4E37-89EE-DAB81710232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6"/>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02E8A"/>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9354A"/>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8459A"/>
    <w:rsid w:val="00292A27"/>
    <w:rsid w:val="0029714E"/>
    <w:rsid w:val="002A13A6"/>
    <w:rsid w:val="002A3646"/>
    <w:rsid w:val="002A69B8"/>
    <w:rsid w:val="002B225E"/>
    <w:rsid w:val="002B7B11"/>
    <w:rsid w:val="002D3DCC"/>
    <w:rsid w:val="002D460A"/>
    <w:rsid w:val="002E1D5F"/>
    <w:rsid w:val="002E38E3"/>
    <w:rsid w:val="002E57FF"/>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84EDB"/>
    <w:rsid w:val="00392340"/>
    <w:rsid w:val="003A008A"/>
    <w:rsid w:val="003A21A4"/>
    <w:rsid w:val="003A35E6"/>
    <w:rsid w:val="003A47A2"/>
    <w:rsid w:val="003A7BE3"/>
    <w:rsid w:val="003B1B7D"/>
    <w:rsid w:val="003B5DE2"/>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C4452"/>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23BDE"/>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01BD9"/>
    <w:rsid w:val="00B25D89"/>
    <w:rsid w:val="00B33F50"/>
    <w:rsid w:val="00B3664B"/>
    <w:rsid w:val="00B439A9"/>
    <w:rsid w:val="00B4446C"/>
    <w:rsid w:val="00B477BC"/>
    <w:rsid w:val="00B60605"/>
    <w:rsid w:val="00B60D3D"/>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9637B"/>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5EF5"/>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144714"/>
    <w:rsid w:val="015C7BAE"/>
    <w:rsid w:val="015D4263"/>
    <w:rsid w:val="016110F4"/>
    <w:rsid w:val="01AC7279"/>
    <w:rsid w:val="01B372CB"/>
    <w:rsid w:val="01BB3CD7"/>
    <w:rsid w:val="01CD028F"/>
    <w:rsid w:val="01D76005"/>
    <w:rsid w:val="01F71C64"/>
    <w:rsid w:val="02C82FD8"/>
    <w:rsid w:val="03EC7A55"/>
    <w:rsid w:val="047C353A"/>
    <w:rsid w:val="04A65DBC"/>
    <w:rsid w:val="05183329"/>
    <w:rsid w:val="05C8377A"/>
    <w:rsid w:val="05CD3A4B"/>
    <w:rsid w:val="05EF1FFE"/>
    <w:rsid w:val="068A5313"/>
    <w:rsid w:val="071C2DD7"/>
    <w:rsid w:val="076F18AA"/>
    <w:rsid w:val="07CF60C2"/>
    <w:rsid w:val="07DA03A2"/>
    <w:rsid w:val="082E2834"/>
    <w:rsid w:val="08430F2D"/>
    <w:rsid w:val="0882554E"/>
    <w:rsid w:val="08826D5B"/>
    <w:rsid w:val="08876C3D"/>
    <w:rsid w:val="09343645"/>
    <w:rsid w:val="09970B85"/>
    <w:rsid w:val="09C6304D"/>
    <w:rsid w:val="09E7100A"/>
    <w:rsid w:val="0AED2D32"/>
    <w:rsid w:val="0AF00027"/>
    <w:rsid w:val="0B0D605F"/>
    <w:rsid w:val="0B272FBD"/>
    <w:rsid w:val="0B300652"/>
    <w:rsid w:val="0B534E7F"/>
    <w:rsid w:val="0BF01CB4"/>
    <w:rsid w:val="0C905B62"/>
    <w:rsid w:val="0CCC561D"/>
    <w:rsid w:val="0CD44FE7"/>
    <w:rsid w:val="0CE02BCB"/>
    <w:rsid w:val="0D414932"/>
    <w:rsid w:val="0D8B5F9E"/>
    <w:rsid w:val="0DA554E2"/>
    <w:rsid w:val="0DB72672"/>
    <w:rsid w:val="0DB759FC"/>
    <w:rsid w:val="0DBD1316"/>
    <w:rsid w:val="0DC567C6"/>
    <w:rsid w:val="0E1F3EB9"/>
    <w:rsid w:val="0E891CDE"/>
    <w:rsid w:val="0E894C6A"/>
    <w:rsid w:val="0F250657"/>
    <w:rsid w:val="0F4339B2"/>
    <w:rsid w:val="0F8B7116"/>
    <w:rsid w:val="0FD6478E"/>
    <w:rsid w:val="0FE216C6"/>
    <w:rsid w:val="100D3E04"/>
    <w:rsid w:val="101C0769"/>
    <w:rsid w:val="1029705A"/>
    <w:rsid w:val="10A157BC"/>
    <w:rsid w:val="10D715D2"/>
    <w:rsid w:val="10D814A8"/>
    <w:rsid w:val="10E35F22"/>
    <w:rsid w:val="112343A2"/>
    <w:rsid w:val="113B3D20"/>
    <w:rsid w:val="115E4704"/>
    <w:rsid w:val="119E5E08"/>
    <w:rsid w:val="11D62156"/>
    <w:rsid w:val="12362DDF"/>
    <w:rsid w:val="13692E14"/>
    <w:rsid w:val="136C60D7"/>
    <w:rsid w:val="143222F6"/>
    <w:rsid w:val="145076DA"/>
    <w:rsid w:val="149C34F4"/>
    <w:rsid w:val="14B70C0B"/>
    <w:rsid w:val="1500069C"/>
    <w:rsid w:val="154C2B82"/>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BAF1D5E"/>
    <w:rsid w:val="1C2276D5"/>
    <w:rsid w:val="1C7D1864"/>
    <w:rsid w:val="1D082A55"/>
    <w:rsid w:val="1D5D05DC"/>
    <w:rsid w:val="1DAB68D7"/>
    <w:rsid w:val="1DBB01B3"/>
    <w:rsid w:val="1DC7279C"/>
    <w:rsid w:val="1DEC3661"/>
    <w:rsid w:val="1DF50B6D"/>
    <w:rsid w:val="1E1F3B60"/>
    <w:rsid w:val="1E5803E7"/>
    <w:rsid w:val="1E901304"/>
    <w:rsid w:val="1E924450"/>
    <w:rsid w:val="1F031D0C"/>
    <w:rsid w:val="1F0F644E"/>
    <w:rsid w:val="1F2E0BFF"/>
    <w:rsid w:val="1F833B5F"/>
    <w:rsid w:val="1F9D58D9"/>
    <w:rsid w:val="1FB37BD1"/>
    <w:rsid w:val="1FBF76D7"/>
    <w:rsid w:val="205D54C9"/>
    <w:rsid w:val="20C74047"/>
    <w:rsid w:val="20F56E6A"/>
    <w:rsid w:val="210E5B18"/>
    <w:rsid w:val="212E078A"/>
    <w:rsid w:val="21391930"/>
    <w:rsid w:val="213E3A2F"/>
    <w:rsid w:val="21502786"/>
    <w:rsid w:val="217D4062"/>
    <w:rsid w:val="22CD0ADC"/>
    <w:rsid w:val="23331D17"/>
    <w:rsid w:val="235B5479"/>
    <w:rsid w:val="23A34879"/>
    <w:rsid w:val="23A776BF"/>
    <w:rsid w:val="23BE1A45"/>
    <w:rsid w:val="23DD50AF"/>
    <w:rsid w:val="244C69D6"/>
    <w:rsid w:val="24C25045"/>
    <w:rsid w:val="24CF2408"/>
    <w:rsid w:val="25313DAC"/>
    <w:rsid w:val="25670F4C"/>
    <w:rsid w:val="2578297E"/>
    <w:rsid w:val="2584425C"/>
    <w:rsid w:val="260770CA"/>
    <w:rsid w:val="264E6DB9"/>
    <w:rsid w:val="26A05072"/>
    <w:rsid w:val="26A22F8C"/>
    <w:rsid w:val="26C45053"/>
    <w:rsid w:val="26E937DE"/>
    <w:rsid w:val="274B1A62"/>
    <w:rsid w:val="27567236"/>
    <w:rsid w:val="27637EB2"/>
    <w:rsid w:val="27E311ED"/>
    <w:rsid w:val="2872440F"/>
    <w:rsid w:val="28EE7628"/>
    <w:rsid w:val="29152BC1"/>
    <w:rsid w:val="294556CF"/>
    <w:rsid w:val="294F2DD3"/>
    <w:rsid w:val="295E13D6"/>
    <w:rsid w:val="295F1BEE"/>
    <w:rsid w:val="29E8423F"/>
    <w:rsid w:val="29FE7C6D"/>
    <w:rsid w:val="2A381933"/>
    <w:rsid w:val="2A6B098B"/>
    <w:rsid w:val="2A7757C9"/>
    <w:rsid w:val="2A810C26"/>
    <w:rsid w:val="2AA915E9"/>
    <w:rsid w:val="2AB628FE"/>
    <w:rsid w:val="2AEB642C"/>
    <w:rsid w:val="2AFF24D7"/>
    <w:rsid w:val="2B1B2DAD"/>
    <w:rsid w:val="2B370856"/>
    <w:rsid w:val="2BB311E2"/>
    <w:rsid w:val="2BF10955"/>
    <w:rsid w:val="2C12050F"/>
    <w:rsid w:val="2C6F1CEE"/>
    <w:rsid w:val="2C7F01E4"/>
    <w:rsid w:val="2D101F87"/>
    <w:rsid w:val="2D933C05"/>
    <w:rsid w:val="2DB01F60"/>
    <w:rsid w:val="2DEC6D70"/>
    <w:rsid w:val="2E1E7366"/>
    <w:rsid w:val="2E312601"/>
    <w:rsid w:val="2E41641E"/>
    <w:rsid w:val="2E944985"/>
    <w:rsid w:val="2EA27D4D"/>
    <w:rsid w:val="2EA77EE5"/>
    <w:rsid w:val="2F6261C2"/>
    <w:rsid w:val="2F744DC4"/>
    <w:rsid w:val="2F76578E"/>
    <w:rsid w:val="2FA63021"/>
    <w:rsid w:val="2FCB45CD"/>
    <w:rsid w:val="2FD26F55"/>
    <w:rsid w:val="30042D7E"/>
    <w:rsid w:val="30096558"/>
    <w:rsid w:val="30564A47"/>
    <w:rsid w:val="30DE2DAE"/>
    <w:rsid w:val="31755D3D"/>
    <w:rsid w:val="31A7659A"/>
    <w:rsid w:val="31AD6526"/>
    <w:rsid w:val="323D10CB"/>
    <w:rsid w:val="32756EB2"/>
    <w:rsid w:val="328A0351"/>
    <w:rsid w:val="32947966"/>
    <w:rsid w:val="329D4C70"/>
    <w:rsid w:val="32CB6281"/>
    <w:rsid w:val="3315374E"/>
    <w:rsid w:val="339248A7"/>
    <w:rsid w:val="347E184F"/>
    <w:rsid w:val="34874156"/>
    <w:rsid w:val="34B172B3"/>
    <w:rsid w:val="34DC45DC"/>
    <w:rsid w:val="34F111A0"/>
    <w:rsid w:val="35032B89"/>
    <w:rsid w:val="351E6AD6"/>
    <w:rsid w:val="35E068D3"/>
    <w:rsid w:val="36237A11"/>
    <w:rsid w:val="369E5F5A"/>
    <w:rsid w:val="36D57A86"/>
    <w:rsid w:val="36DA0180"/>
    <w:rsid w:val="36EC5253"/>
    <w:rsid w:val="379B30ED"/>
    <w:rsid w:val="379C1B29"/>
    <w:rsid w:val="37B50E0E"/>
    <w:rsid w:val="37E36BED"/>
    <w:rsid w:val="3806709E"/>
    <w:rsid w:val="38302D1E"/>
    <w:rsid w:val="38F94373"/>
    <w:rsid w:val="38F94F38"/>
    <w:rsid w:val="390636E6"/>
    <w:rsid w:val="3994570D"/>
    <w:rsid w:val="39C96499"/>
    <w:rsid w:val="3A1D0739"/>
    <w:rsid w:val="3A2C5149"/>
    <w:rsid w:val="3A5E7CCF"/>
    <w:rsid w:val="3AB17686"/>
    <w:rsid w:val="3AF93B99"/>
    <w:rsid w:val="3B1A1435"/>
    <w:rsid w:val="3B2B40CB"/>
    <w:rsid w:val="3B786F8B"/>
    <w:rsid w:val="3BB63C61"/>
    <w:rsid w:val="3C100595"/>
    <w:rsid w:val="3CCF005B"/>
    <w:rsid w:val="3CD5401F"/>
    <w:rsid w:val="3CE5260A"/>
    <w:rsid w:val="3D461FBA"/>
    <w:rsid w:val="3D5B45EF"/>
    <w:rsid w:val="3DF35B51"/>
    <w:rsid w:val="3F0013D8"/>
    <w:rsid w:val="3F044229"/>
    <w:rsid w:val="3F19198C"/>
    <w:rsid w:val="3F747742"/>
    <w:rsid w:val="3FB93C81"/>
    <w:rsid w:val="3FCC2689"/>
    <w:rsid w:val="3FEA1C2A"/>
    <w:rsid w:val="402A6B1A"/>
    <w:rsid w:val="407A02DD"/>
    <w:rsid w:val="40C81736"/>
    <w:rsid w:val="40CD665F"/>
    <w:rsid w:val="41A84E5D"/>
    <w:rsid w:val="41CE0EB7"/>
    <w:rsid w:val="42B9360E"/>
    <w:rsid w:val="434A3642"/>
    <w:rsid w:val="439D4A0F"/>
    <w:rsid w:val="43BC1982"/>
    <w:rsid w:val="44553D96"/>
    <w:rsid w:val="44B15282"/>
    <w:rsid w:val="44D14A1F"/>
    <w:rsid w:val="44EF214B"/>
    <w:rsid w:val="4503099B"/>
    <w:rsid w:val="453D7EFA"/>
    <w:rsid w:val="45F2347E"/>
    <w:rsid w:val="45FD2E1E"/>
    <w:rsid w:val="46236E22"/>
    <w:rsid w:val="463D1554"/>
    <w:rsid w:val="46480423"/>
    <w:rsid w:val="46C44BD5"/>
    <w:rsid w:val="46E06BBE"/>
    <w:rsid w:val="46FD0ED7"/>
    <w:rsid w:val="473A1C92"/>
    <w:rsid w:val="47592E4A"/>
    <w:rsid w:val="47BB4536"/>
    <w:rsid w:val="47D44A52"/>
    <w:rsid w:val="47E272F7"/>
    <w:rsid w:val="48B457DA"/>
    <w:rsid w:val="49055724"/>
    <w:rsid w:val="49061DFF"/>
    <w:rsid w:val="495F2766"/>
    <w:rsid w:val="4973153E"/>
    <w:rsid w:val="49A15B9F"/>
    <w:rsid w:val="49D40A5E"/>
    <w:rsid w:val="49E352A4"/>
    <w:rsid w:val="4A614654"/>
    <w:rsid w:val="4A625DAC"/>
    <w:rsid w:val="4A87331A"/>
    <w:rsid w:val="4B82469B"/>
    <w:rsid w:val="4BA044F9"/>
    <w:rsid w:val="4BA56CFA"/>
    <w:rsid w:val="4BB73BE9"/>
    <w:rsid w:val="4BEB2031"/>
    <w:rsid w:val="4C2C5768"/>
    <w:rsid w:val="4C6E0A32"/>
    <w:rsid w:val="4C8D7FB6"/>
    <w:rsid w:val="4CFB75B5"/>
    <w:rsid w:val="4D4C0544"/>
    <w:rsid w:val="4D5C3D56"/>
    <w:rsid w:val="4D7D047C"/>
    <w:rsid w:val="4D992670"/>
    <w:rsid w:val="4DA67EC1"/>
    <w:rsid w:val="4DC41591"/>
    <w:rsid w:val="4DC537EF"/>
    <w:rsid w:val="4DF47F35"/>
    <w:rsid w:val="4E5E70BD"/>
    <w:rsid w:val="4E5F0909"/>
    <w:rsid w:val="4E6200BB"/>
    <w:rsid w:val="4EC14021"/>
    <w:rsid w:val="4F542C5F"/>
    <w:rsid w:val="4F544853"/>
    <w:rsid w:val="4F7855EA"/>
    <w:rsid w:val="4F940716"/>
    <w:rsid w:val="4FAF7130"/>
    <w:rsid w:val="50203001"/>
    <w:rsid w:val="50220924"/>
    <w:rsid w:val="50613214"/>
    <w:rsid w:val="515B1A65"/>
    <w:rsid w:val="519D4842"/>
    <w:rsid w:val="520004CA"/>
    <w:rsid w:val="521E5740"/>
    <w:rsid w:val="522358DC"/>
    <w:rsid w:val="523B6418"/>
    <w:rsid w:val="533D162C"/>
    <w:rsid w:val="53E549BF"/>
    <w:rsid w:val="540A51E2"/>
    <w:rsid w:val="5422279F"/>
    <w:rsid w:val="544327BF"/>
    <w:rsid w:val="54C32B11"/>
    <w:rsid w:val="54DC56F8"/>
    <w:rsid w:val="554901B6"/>
    <w:rsid w:val="557117DE"/>
    <w:rsid w:val="56367C5B"/>
    <w:rsid w:val="56677807"/>
    <w:rsid w:val="56820D5B"/>
    <w:rsid w:val="57096D7C"/>
    <w:rsid w:val="57634CB3"/>
    <w:rsid w:val="579B0911"/>
    <w:rsid w:val="57E332D5"/>
    <w:rsid w:val="58726012"/>
    <w:rsid w:val="58D06D06"/>
    <w:rsid w:val="58EF37E0"/>
    <w:rsid w:val="58FE0B8D"/>
    <w:rsid w:val="5946045C"/>
    <w:rsid w:val="596719E0"/>
    <w:rsid w:val="59D5260B"/>
    <w:rsid w:val="59F510C8"/>
    <w:rsid w:val="5A190D99"/>
    <w:rsid w:val="5A465B9D"/>
    <w:rsid w:val="5A533C21"/>
    <w:rsid w:val="5A631C3C"/>
    <w:rsid w:val="5AC373B9"/>
    <w:rsid w:val="5AF71073"/>
    <w:rsid w:val="5AFF4E91"/>
    <w:rsid w:val="5B6270CB"/>
    <w:rsid w:val="5B812149"/>
    <w:rsid w:val="5BB24FC7"/>
    <w:rsid w:val="5BE77BBC"/>
    <w:rsid w:val="5C305726"/>
    <w:rsid w:val="5C9744CD"/>
    <w:rsid w:val="5D027239"/>
    <w:rsid w:val="5D1E4A62"/>
    <w:rsid w:val="5D5A5542"/>
    <w:rsid w:val="5D87033A"/>
    <w:rsid w:val="5D940B49"/>
    <w:rsid w:val="5DBD75BE"/>
    <w:rsid w:val="5DDB3A67"/>
    <w:rsid w:val="5E007081"/>
    <w:rsid w:val="5E2979F3"/>
    <w:rsid w:val="5E646A2E"/>
    <w:rsid w:val="5E96399C"/>
    <w:rsid w:val="5EA92355"/>
    <w:rsid w:val="5ED115B9"/>
    <w:rsid w:val="5EE14AF4"/>
    <w:rsid w:val="5F2E04F4"/>
    <w:rsid w:val="5F5A7169"/>
    <w:rsid w:val="5F600FC9"/>
    <w:rsid w:val="5F736918"/>
    <w:rsid w:val="5F831A87"/>
    <w:rsid w:val="5FA558FD"/>
    <w:rsid w:val="5FC52CF8"/>
    <w:rsid w:val="5FC5301A"/>
    <w:rsid w:val="602D2FE8"/>
    <w:rsid w:val="602D61BF"/>
    <w:rsid w:val="608457E2"/>
    <w:rsid w:val="60CA5055"/>
    <w:rsid w:val="60E14966"/>
    <w:rsid w:val="616D757D"/>
    <w:rsid w:val="617C259E"/>
    <w:rsid w:val="61893075"/>
    <w:rsid w:val="62342CE6"/>
    <w:rsid w:val="62525166"/>
    <w:rsid w:val="6329070C"/>
    <w:rsid w:val="632B72A3"/>
    <w:rsid w:val="63310F09"/>
    <w:rsid w:val="63505113"/>
    <w:rsid w:val="63B84F56"/>
    <w:rsid w:val="63ED139D"/>
    <w:rsid w:val="64337E88"/>
    <w:rsid w:val="64557A48"/>
    <w:rsid w:val="646326B7"/>
    <w:rsid w:val="64665F9D"/>
    <w:rsid w:val="64862E7E"/>
    <w:rsid w:val="65571836"/>
    <w:rsid w:val="65582AF5"/>
    <w:rsid w:val="65E54EB0"/>
    <w:rsid w:val="65FD3712"/>
    <w:rsid w:val="663E10C6"/>
    <w:rsid w:val="666552E6"/>
    <w:rsid w:val="668B7395"/>
    <w:rsid w:val="66D122B6"/>
    <w:rsid w:val="672465D3"/>
    <w:rsid w:val="67B945ED"/>
    <w:rsid w:val="67CD5453"/>
    <w:rsid w:val="67DB2C51"/>
    <w:rsid w:val="681B00BA"/>
    <w:rsid w:val="68562B5B"/>
    <w:rsid w:val="686B311E"/>
    <w:rsid w:val="68A87C0A"/>
    <w:rsid w:val="68AB6164"/>
    <w:rsid w:val="68ED7DC4"/>
    <w:rsid w:val="68F71C1C"/>
    <w:rsid w:val="69547E9C"/>
    <w:rsid w:val="6A843C76"/>
    <w:rsid w:val="6AAA1AFA"/>
    <w:rsid w:val="6AE84B3E"/>
    <w:rsid w:val="6B2F5A5F"/>
    <w:rsid w:val="6B3F724F"/>
    <w:rsid w:val="6B533C17"/>
    <w:rsid w:val="6B8307E0"/>
    <w:rsid w:val="6B860FE6"/>
    <w:rsid w:val="6C650D84"/>
    <w:rsid w:val="6C686F88"/>
    <w:rsid w:val="6C7745F7"/>
    <w:rsid w:val="6E5E463A"/>
    <w:rsid w:val="6EBD7FFE"/>
    <w:rsid w:val="6EC13E25"/>
    <w:rsid w:val="6EF262AC"/>
    <w:rsid w:val="6F251FF2"/>
    <w:rsid w:val="6F3A1809"/>
    <w:rsid w:val="6FD45398"/>
    <w:rsid w:val="7042758F"/>
    <w:rsid w:val="70BC5E20"/>
    <w:rsid w:val="71285AAC"/>
    <w:rsid w:val="71594D33"/>
    <w:rsid w:val="715C2F1C"/>
    <w:rsid w:val="71C31377"/>
    <w:rsid w:val="71CA1F6E"/>
    <w:rsid w:val="71E74047"/>
    <w:rsid w:val="71F42B7C"/>
    <w:rsid w:val="7205398F"/>
    <w:rsid w:val="7238655B"/>
    <w:rsid w:val="73163758"/>
    <w:rsid w:val="73461862"/>
    <w:rsid w:val="735008A6"/>
    <w:rsid w:val="735D2DA4"/>
    <w:rsid w:val="736C43E3"/>
    <w:rsid w:val="7396411B"/>
    <w:rsid w:val="73BC5AD9"/>
    <w:rsid w:val="73D85E91"/>
    <w:rsid w:val="742F0E63"/>
    <w:rsid w:val="7453751A"/>
    <w:rsid w:val="746453A7"/>
    <w:rsid w:val="74E20649"/>
    <w:rsid w:val="751D57DB"/>
    <w:rsid w:val="76013066"/>
    <w:rsid w:val="76013836"/>
    <w:rsid w:val="76490038"/>
    <w:rsid w:val="764D1C01"/>
    <w:rsid w:val="76A5715B"/>
    <w:rsid w:val="76B850E0"/>
    <w:rsid w:val="77400CB2"/>
    <w:rsid w:val="77401EC1"/>
    <w:rsid w:val="7746130C"/>
    <w:rsid w:val="77A40E96"/>
    <w:rsid w:val="785F380B"/>
    <w:rsid w:val="78865DD8"/>
    <w:rsid w:val="78B44DCC"/>
    <w:rsid w:val="78BF5E4B"/>
    <w:rsid w:val="78CA23D8"/>
    <w:rsid w:val="793B59A2"/>
    <w:rsid w:val="793E01E7"/>
    <w:rsid w:val="794C72DA"/>
    <w:rsid w:val="79771CC2"/>
    <w:rsid w:val="79A347F2"/>
    <w:rsid w:val="7A0C4A94"/>
    <w:rsid w:val="7ADE3A6D"/>
    <w:rsid w:val="7B2D37A3"/>
    <w:rsid w:val="7B5D7ABB"/>
    <w:rsid w:val="7B99300E"/>
    <w:rsid w:val="7B99444A"/>
    <w:rsid w:val="7BCF57C7"/>
    <w:rsid w:val="7BE401C5"/>
    <w:rsid w:val="7C375547"/>
    <w:rsid w:val="7C5F32F6"/>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5"/>
    <w:autoRedefine/>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1"/>
    <w:next w:val="1"/>
    <w:autoRedefine/>
    <w:qFormat/>
    <w:uiPriority w:val="0"/>
    <w:pPr>
      <w:keepNext/>
      <w:keepLines/>
      <w:spacing w:before="260" w:after="260" w:line="415" w:lineRule="auto"/>
      <w:outlineLvl w:val="2"/>
    </w:pPr>
    <w:rPr>
      <w:sz w:val="32"/>
      <w:szCs w:val="32"/>
    </w:rPr>
  </w:style>
  <w:style w:type="paragraph" w:styleId="7">
    <w:name w:val="heading 4"/>
    <w:basedOn w:val="1"/>
    <w:next w:val="1"/>
    <w:link w:val="190"/>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basedOn w:val="1"/>
    <w:next w:val="1"/>
    <w:autoRedefine/>
    <w:qFormat/>
    <w:uiPriority w:val="0"/>
    <w:pPr>
      <w:keepNext/>
      <w:keepLines/>
      <w:spacing w:before="120" w:after="120"/>
      <w:outlineLvl w:val="4"/>
    </w:pPr>
    <w:rPr>
      <w:rFonts w:eastAsia="黑体"/>
      <w:bCs/>
      <w:sz w:val="28"/>
      <w:szCs w:val="28"/>
    </w:rPr>
  </w:style>
  <w:style w:type="paragraph" w:styleId="9">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8"/>
    <w:autoRedefine/>
    <w:semiHidden/>
    <w:unhideWhenUsed/>
    <w:qFormat/>
    <w:uiPriority w:val="99"/>
    <w:pPr>
      <w:spacing w:after="120"/>
    </w:pPr>
  </w:style>
  <w:style w:type="paragraph" w:customStyle="1" w:styleId="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0">
    <w:name w:val="index 8"/>
    <w:basedOn w:val="1"/>
    <w:next w:val="1"/>
    <w:autoRedefine/>
    <w:qFormat/>
    <w:uiPriority w:val="0"/>
    <w:pPr>
      <w:ind w:left="1680" w:hanging="210"/>
    </w:pPr>
    <w:rPr>
      <w:rFonts w:ascii="Calibri" w:hAnsi="Calibri"/>
      <w:sz w:val="20"/>
      <w:szCs w:val="20"/>
    </w:rPr>
  </w:style>
  <w:style w:type="paragraph" w:styleId="11">
    <w:name w:val="Normal Indent"/>
    <w:basedOn w:val="1"/>
    <w:autoRedefine/>
    <w:qFormat/>
    <w:uiPriority w:val="0"/>
    <w:pPr>
      <w:spacing w:line="400" w:lineRule="exact"/>
      <w:ind w:firstLine="420"/>
    </w:pPr>
    <w:rPr>
      <w:rFonts w:ascii="Arial Narrow" w:hAnsi="Arial Narrow" w:eastAsia="华文细黑"/>
      <w:sz w:val="24"/>
      <w:szCs w:val="20"/>
    </w:r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index 5"/>
    <w:basedOn w:val="1"/>
    <w:next w:val="1"/>
    <w:autoRedefine/>
    <w:qFormat/>
    <w:uiPriority w:val="0"/>
    <w:pPr>
      <w:ind w:left="1050" w:hanging="210"/>
    </w:pPr>
    <w:rPr>
      <w:rFonts w:ascii="Calibri" w:hAnsi="Calibri"/>
      <w:sz w:val="20"/>
      <w:szCs w:val="20"/>
    </w:rPr>
  </w:style>
  <w:style w:type="paragraph" w:styleId="14">
    <w:name w:val="Document Map"/>
    <w:basedOn w:val="1"/>
    <w:link w:val="175"/>
    <w:autoRedefine/>
    <w:semiHidden/>
    <w:qFormat/>
    <w:uiPriority w:val="0"/>
    <w:pPr>
      <w:shd w:val="clear" w:color="auto" w:fill="000080"/>
    </w:pPr>
    <w:rPr>
      <w:rFonts w:asciiTheme="minorHAnsi" w:hAnsiTheme="minorHAnsi" w:eastAsiaTheme="minorEastAsia" w:cstheme="minorBidi"/>
    </w:rPr>
  </w:style>
  <w:style w:type="paragraph" w:styleId="15">
    <w:name w:val="annotation text"/>
    <w:basedOn w:val="1"/>
    <w:link w:val="172"/>
    <w:autoRedefine/>
    <w:semiHidden/>
    <w:qFormat/>
    <w:uiPriority w:val="0"/>
    <w:rPr>
      <w:rFonts w:asciiTheme="minorHAnsi" w:hAnsiTheme="minorHAnsi" w:eastAsiaTheme="minorEastAsia" w:cstheme="minorBidi"/>
    </w:rPr>
  </w:style>
  <w:style w:type="paragraph" w:styleId="16">
    <w:name w:val="index 6"/>
    <w:basedOn w:val="1"/>
    <w:next w:val="1"/>
    <w:autoRedefine/>
    <w:qFormat/>
    <w:uiPriority w:val="0"/>
    <w:pPr>
      <w:ind w:left="1260" w:hanging="210"/>
    </w:pPr>
    <w:rPr>
      <w:rFonts w:ascii="Calibri" w:hAnsi="Calibri"/>
      <w:sz w:val="20"/>
      <w:szCs w:val="20"/>
    </w:rPr>
  </w:style>
  <w:style w:type="paragraph" w:styleId="17">
    <w:name w:val="Body Text 3"/>
    <w:basedOn w:val="1"/>
    <w:link w:val="183"/>
    <w:autoRedefine/>
    <w:semiHidden/>
    <w:unhideWhenUsed/>
    <w:qFormat/>
    <w:uiPriority w:val="99"/>
    <w:pPr>
      <w:spacing w:after="120"/>
    </w:pPr>
    <w:rPr>
      <w:sz w:val="16"/>
      <w:szCs w:val="16"/>
    </w:rPr>
  </w:style>
  <w:style w:type="paragraph" w:styleId="18">
    <w:name w:val="Body Text Indent"/>
    <w:basedOn w:val="1"/>
    <w:autoRedefine/>
    <w:unhideWhenUsed/>
    <w:qFormat/>
    <w:uiPriority w:val="99"/>
    <w:pPr>
      <w:spacing w:after="120"/>
      <w:ind w:left="420" w:leftChars="200"/>
    </w:pPr>
  </w:style>
  <w:style w:type="paragraph" w:styleId="19">
    <w:name w:val="index 4"/>
    <w:basedOn w:val="1"/>
    <w:next w:val="1"/>
    <w:autoRedefine/>
    <w:qFormat/>
    <w:uiPriority w:val="0"/>
    <w:pPr>
      <w:ind w:left="840" w:hanging="210"/>
    </w:pPr>
    <w:rPr>
      <w:rFonts w:ascii="Calibri" w:hAnsi="Calibri"/>
      <w:sz w:val="20"/>
      <w:szCs w:val="20"/>
    </w:rPr>
  </w:style>
  <w:style w:type="paragraph" w:styleId="20">
    <w:name w:val="Plain Text"/>
    <w:basedOn w:val="1"/>
    <w:link w:val="186"/>
    <w:autoRedefine/>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autoRedefine/>
    <w:qFormat/>
    <w:uiPriority w:val="0"/>
    <w:pPr>
      <w:ind w:left="630" w:hanging="210"/>
    </w:pPr>
    <w:rPr>
      <w:rFonts w:ascii="Calibri" w:hAnsi="Calibri"/>
      <w:sz w:val="20"/>
      <w:szCs w:val="20"/>
    </w:rPr>
  </w:style>
  <w:style w:type="paragraph" w:styleId="22">
    <w:name w:val="Date"/>
    <w:basedOn w:val="1"/>
    <w:next w:val="1"/>
    <w:link w:val="174"/>
    <w:autoRedefine/>
    <w:qFormat/>
    <w:uiPriority w:val="99"/>
    <w:pPr>
      <w:ind w:left="100" w:leftChars="2500"/>
    </w:pPr>
    <w:rPr>
      <w:rFonts w:asciiTheme="minorHAnsi" w:hAnsiTheme="minorHAnsi" w:eastAsiaTheme="minorEastAsia" w:cstheme="minorBidi"/>
    </w:rPr>
  </w:style>
  <w:style w:type="paragraph" w:styleId="23">
    <w:name w:val="Body Text Indent 2"/>
    <w:basedOn w:val="1"/>
    <w:link w:val="164"/>
    <w:autoRedefine/>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1"/>
    <w:autoRedefine/>
    <w:semiHidden/>
    <w:qFormat/>
    <w:uiPriority w:val="0"/>
    <w:pPr>
      <w:snapToGrid w:val="0"/>
    </w:pPr>
    <w:rPr>
      <w:rFonts w:asciiTheme="minorHAnsi" w:hAnsiTheme="minorHAnsi" w:eastAsiaTheme="minorEastAsia" w:cstheme="minorBidi"/>
    </w:rPr>
  </w:style>
  <w:style w:type="paragraph" w:styleId="25">
    <w:name w:val="Balloon Text"/>
    <w:basedOn w:val="1"/>
    <w:link w:val="150"/>
    <w:autoRedefine/>
    <w:qFormat/>
    <w:uiPriority w:val="99"/>
    <w:rPr>
      <w:rFonts w:asciiTheme="minorHAnsi" w:hAnsiTheme="minorHAnsi" w:eastAsiaTheme="minorEastAsia" w:cstheme="minorBidi"/>
      <w:sz w:val="18"/>
      <w:szCs w:val="18"/>
    </w:rPr>
  </w:style>
  <w:style w:type="paragraph" w:styleId="26">
    <w:name w:val="footer"/>
    <w:basedOn w:val="1"/>
    <w:link w:val="171"/>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53"/>
    <w:autoRedefine/>
    <w:qFormat/>
    <w:uiPriority w:val="99"/>
    <w:pPr>
      <w:snapToGrid w:val="0"/>
    </w:pPr>
    <w:rPr>
      <w:rFonts w:asciiTheme="minorHAnsi" w:hAnsiTheme="minorHAnsi" w:eastAsiaTheme="minorEastAsia" w:cstheme="minorBidi"/>
      <w:sz w:val="18"/>
      <w:szCs w:val="18"/>
    </w:rPr>
  </w:style>
  <w:style w:type="paragraph" w:styleId="28">
    <w:name w:val="toc 1"/>
    <w:basedOn w:val="1"/>
    <w:next w:val="1"/>
    <w:autoRedefine/>
    <w:semiHidden/>
    <w:qFormat/>
    <w:uiPriority w:val="0"/>
    <w:pPr>
      <w:tabs>
        <w:tab w:val="right" w:leader="dot" w:pos="9242"/>
      </w:tabs>
      <w:spacing w:beforeLines="25" w:afterLines="25"/>
    </w:pPr>
    <w:rPr>
      <w:rFonts w:ascii="宋体"/>
      <w:szCs w:val="21"/>
    </w:rPr>
  </w:style>
  <w:style w:type="paragraph" w:styleId="29">
    <w:name w:val="index heading"/>
    <w:basedOn w:val="1"/>
    <w:next w:val="30"/>
    <w:autoRedefine/>
    <w:qFormat/>
    <w:uiPriority w:val="0"/>
    <w:pPr>
      <w:spacing w:before="120" w:after="120"/>
      <w:jc w:val="center"/>
    </w:pPr>
    <w:rPr>
      <w:rFonts w:ascii="Calibri" w:hAnsi="Calibri"/>
      <w:b/>
      <w:bCs/>
      <w:iCs/>
      <w:szCs w:val="20"/>
    </w:rPr>
  </w:style>
  <w:style w:type="paragraph" w:styleId="30">
    <w:name w:val="index 1"/>
    <w:basedOn w:val="1"/>
    <w:next w:val="1"/>
    <w:autoRedefine/>
    <w:unhideWhenUsed/>
    <w:qFormat/>
    <w:uiPriority w:val="0"/>
  </w:style>
  <w:style w:type="paragraph" w:styleId="31">
    <w:name w:val="footnote text"/>
    <w:basedOn w:val="1"/>
    <w:link w:val="160"/>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autoRedefine/>
    <w:qFormat/>
    <w:uiPriority w:val="0"/>
    <w:pPr>
      <w:ind w:left="1470" w:hanging="210"/>
    </w:pPr>
    <w:rPr>
      <w:rFonts w:ascii="Calibri" w:hAnsi="Calibri"/>
      <w:sz w:val="20"/>
      <w:szCs w:val="20"/>
    </w:rPr>
  </w:style>
  <w:style w:type="paragraph" w:styleId="33">
    <w:name w:val="index 9"/>
    <w:basedOn w:val="1"/>
    <w:next w:val="1"/>
    <w:autoRedefine/>
    <w:qFormat/>
    <w:uiPriority w:val="0"/>
    <w:pPr>
      <w:ind w:left="1890" w:hanging="210"/>
    </w:pPr>
    <w:rPr>
      <w:rFonts w:ascii="Calibri" w:hAnsi="Calibri"/>
      <w:sz w:val="20"/>
      <w:szCs w:val="20"/>
    </w:rPr>
  </w:style>
  <w:style w:type="paragraph" w:styleId="34">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autoRedefine/>
    <w:qFormat/>
    <w:uiPriority w:val="0"/>
    <w:rPr>
      <w:bCs/>
      <w:kern w:val="0"/>
      <w:sz w:val="28"/>
      <w:szCs w:val="20"/>
    </w:rPr>
  </w:style>
  <w:style w:type="paragraph" w:styleId="36">
    <w:name w:val="HTML Preformatted"/>
    <w:basedOn w:val="1"/>
    <w:link w:val="158"/>
    <w:autoRedefine/>
    <w:qFormat/>
    <w:uiPriority w:val="0"/>
    <w:rPr>
      <w:rFonts w:ascii="Courier New" w:hAnsi="Courier New" w:cs="Courier New" w:eastAsiaTheme="minorEastAsia"/>
      <w:szCs w:val="22"/>
    </w:rPr>
  </w:style>
  <w:style w:type="paragraph" w:styleId="37">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autoRedefine/>
    <w:qFormat/>
    <w:uiPriority w:val="0"/>
    <w:pPr>
      <w:ind w:left="420" w:hanging="210"/>
    </w:pPr>
    <w:rPr>
      <w:rFonts w:ascii="Calibri" w:hAnsi="Calibri"/>
      <w:sz w:val="20"/>
      <w:szCs w:val="20"/>
    </w:rPr>
  </w:style>
  <w:style w:type="paragraph" w:styleId="39">
    <w:name w:val="Title"/>
    <w:basedOn w:val="1"/>
    <w:link w:val="184"/>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180"/>
    <w:autoRedefine/>
    <w:semiHidden/>
    <w:qFormat/>
    <w:uiPriority w:val="0"/>
    <w:rPr>
      <w:b/>
      <w:bCs/>
    </w:rPr>
  </w:style>
  <w:style w:type="paragraph" w:styleId="41">
    <w:name w:val="Body Text First Indent"/>
    <w:basedOn w:val="2"/>
    <w:autoRedefine/>
    <w:qFormat/>
    <w:uiPriority w:val="0"/>
    <w:pPr>
      <w:autoSpaceDE w:val="0"/>
      <w:autoSpaceDN w:val="0"/>
      <w:adjustRightInd w:val="0"/>
      <w:ind w:firstLine="420"/>
      <w:textAlignment w:val="baseline"/>
    </w:pPr>
    <w:rPr>
      <w:rFonts w:ascii="宋体"/>
      <w:sz w:val="34"/>
    </w:rPr>
  </w:style>
  <w:style w:type="paragraph" w:styleId="42">
    <w:name w:val="Body Text First Indent 2"/>
    <w:basedOn w:val="18"/>
    <w:autoRedefine/>
    <w:semiHidden/>
    <w:unhideWhenUsed/>
    <w:qFormat/>
    <w:uiPriority w:val="99"/>
    <w:pPr>
      <w:ind w:firstLine="420" w:firstLineChars="200"/>
    </w:p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b/>
      <w:bCs/>
    </w:rPr>
  </w:style>
  <w:style w:type="character" w:styleId="47">
    <w:name w:val="page number"/>
    <w:basedOn w:val="45"/>
    <w:autoRedefine/>
    <w:qFormat/>
    <w:uiPriority w:val="99"/>
    <w:rPr>
      <w:rFonts w:ascii="Times New Roman" w:hAnsi="Times New Roman" w:eastAsia="宋体"/>
      <w:sz w:val="18"/>
    </w:rPr>
  </w:style>
  <w:style w:type="character" w:styleId="48">
    <w:name w:val="FollowedHyperlink"/>
    <w:autoRedefine/>
    <w:qFormat/>
    <w:uiPriority w:val="0"/>
    <w:rPr>
      <w:color w:val="800080"/>
      <w:u w:val="single"/>
    </w:rPr>
  </w:style>
  <w:style w:type="character" w:styleId="49">
    <w:name w:val="Emphasis"/>
    <w:autoRedefine/>
    <w:qFormat/>
    <w:uiPriority w:val="20"/>
    <w:rPr>
      <w:color w:val="CC0000"/>
    </w:rPr>
  </w:style>
  <w:style w:type="character" w:styleId="50">
    <w:name w:val="Hyperlink"/>
    <w:autoRedefine/>
    <w:qFormat/>
    <w:uiPriority w:val="99"/>
    <w:rPr>
      <w:color w:val="0000FF"/>
      <w:spacing w:val="0"/>
      <w:w w:val="100"/>
      <w:szCs w:val="21"/>
      <w:u w:val="single"/>
      <w:lang w:val="en-US" w:eastAsia="zh-CN"/>
    </w:rPr>
  </w:style>
  <w:style w:type="character" w:styleId="51">
    <w:name w:val="annotation reference"/>
    <w:basedOn w:val="45"/>
    <w:autoRedefine/>
    <w:semiHidden/>
    <w:unhideWhenUsed/>
    <w:qFormat/>
    <w:uiPriority w:val="0"/>
    <w:rPr>
      <w:sz w:val="21"/>
      <w:szCs w:val="21"/>
    </w:rPr>
  </w:style>
  <w:style w:type="character" w:styleId="52">
    <w:name w:val="footnote reference"/>
    <w:autoRedefine/>
    <w:qFormat/>
    <w:uiPriority w:val="0"/>
    <w:rPr>
      <w:vertAlign w:val="superscript"/>
    </w:rPr>
  </w:style>
  <w:style w:type="paragraph" w:customStyle="1" w:styleId="53">
    <w:name w:val="Body Text Indent 21"/>
    <w:basedOn w:val="1"/>
    <w:next w:val="27"/>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4">
    <w:name w:val="标题 1 字符"/>
    <w:basedOn w:val="45"/>
    <w:link w:val="4"/>
    <w:autoRedefine/>
    <w:qFormat/>
    <w:uiPriority w:val="0"/>
    <w:rPr>
      <w:rFonts w:ascii="Times New Roman" w:hAnsi="Times New Roman" w:eastAsia="宋体" w:cs="Times New Roman"/>
      <w:b/>
      <w:bCs/>
      <w:kern w:val="44"/>
      <w:sz w:val="44"/>
      <w:szCs w:val="44"/>
    </w:rPr>
  </w:style>
  <w:style w:type="character" w:customStyle="1" w:styleId="55">
    <w:name w:val="标题 2 字符"/>
    <w:basedOn w:val="45"/>
    <w:link w:val="5"/>
    <w:autoRedefine/>
    <w:qFormat/>
    <w:uiPriority w:val="0"/>
    <w:rPr>
      <w:rFonts w:ascii="宋体" w:hAnsi="宋体" w:eastAsia="宋体" w:cs="Times New Roman"/>
      <w:b/>
      <w:bCs/>
      <w:kern w:val="0"/>
      <w:sz w:val="36"/>
      <w:szCs w:val="36"/>
    </w:rPr>
  </w:style>
  <w:style w:type="character" w:customStyle="1" w:styleId="56">
    <w:name w:val="批注文字 Char"/>
    <w:autoRedefine/>
    <w:semiHidden/>
    <w:qFormat/>
    <w:uiPriority w:val="0"/>
    <w:rPr>
      <w:szCs w:val="24"/>
    </w:rPr>
  </w:style>
  <w:style w:type="character" w:customStyle="1" w:styleId="57">
    <w:name w:val="批注主题 Char"/>
    <w:autoRedefine/>
    <w:semiHidden/>
    <w:qFormat/>
    <w:uiPriority w:val="0"/>
    <w:rPr>
      <w:b/>
      <w:bCs/>
      <w:szCs w:val="24"/>
    </w:rPr>
  </w:style>
  <w:style w:type="character" w:customStyle="1" w:styleId="58">
    <w:name w:val="文档结构图 Char"/>
    <w:autoRedefine/>
    <w:semiHidden/>
    <w:qFormat/>
    <w:uiPriority w:val="0"/>
    <w:rPr>
      <w:szCs w:val="24"/>
      <w:shd w:val="clear" w:color="auto" w:fill="000080"/>
    </w:rPr>
  </w:style>
  <w:style w:type="character" w:customStyle="1" w:styleId="59">
    <w:name w:val="脚注文本 Char"/>
    <w:autoRedefine/>
    <w:qFormat/>
    <w:uiPriority w:val="0"/>
    <w:rPr>
      <w:rFonts w:ascii="宋体"/>
      <w:sz w:val="18"/>
      <w:szCs w:val="18"/>
    </w:rPr>
  </w:style>
  <w:style w:type="character" w:customStyle="1" w:styleId="60">
    <w:name w:val="con"/>
    <w:autoRedefine/>
    <w:qFormat/>
    <w:uiPriority w:val="0"/>
  </w:style>
  <w:style w:type="character" w:customStyle="1" w:styleId="61">
    <w:name w:val="bar-label2"/>
    <w:autoRedefine/>
    <w:qFormat/>
    <w:uiPriority w:val="99"/>
  </w:style>
  <w:style w:type="character" w:customStyle="1" w:styleId="62">
    <w:name w:val="正文文本缩进 2 Char"/>
    <w:autoRedefine/>
    <w:qFormat/>
    <w:uiPriority w:val="99"/>
    <w:rPr>
      <w:szCs w:val="24"/>
    </w:rPr>
  </w:style>
  <w:style w:type="character" w:customStyle="1" w:styleId="63">
    <w:name w:val="日期 Char"/>
    <w:autoRedefine/>
    <w:qFormat/>
    <w:uiPriority w:val="99"/>
    <w:rPr>
      <w:szCs w:val="24"/>
    </w:rPr>
  </w:style>
  <w:style w:type="character" w:customStyle="1" w:styleId="64">
    <w:name w:val="页脚 Char"/>
    <w:autoRedefine/>
    <w:qFormat/>
    <w:locked/>
    <w:uiPriority w:val="99"/>
    <w:rPr>
      <w:sz w:val="18"/>
      <w:szCs w:val="18"/>
    </w:rPr>
  </w:style>
  <w:style w:type="character" w:customStyle="1" w:styleId="65">
    <w:name w:val="apple-converted-space"/>
    <w:basedOn w:val="45"/>
    <w:autoRedefine/>
    <w:qFormat/>
    <w:uiPriority w:val="0"/>
  </w:style>
  <w:style w:type="character" w:customStyle="1" w:styleId="66">
    <w:name w:val="批注框文本 Char"/>
    <w:autoRedefine/>
    <w:qFormat/>
    <w:uiPriority w:val="99"/>
    <w:rPr>
      <w:sz w:val="18"/>
      <w:szCs w:val="18"/>
    </w:rPr>
  </w:style>
  <w:style w:type="character" w:customStyle="1" w:styleId="67">
    <w:name w:val="页眉 Char"/>
    <w:autoRedefine/>
    <w:qFormat/>
    <w:locked/>
    <w:uiPriority w:val="99"/>
    <w:rPr>
      <w:sz w:val="18"/>
      <w:szCs w:val="18"/>
    </w:rPr>
  </w:style>
  <w:style w:type="character" w:customStyle="1" w:styleId="68">
    <w:name w:val="首示例 Char"/>
    <w:link w:val="69"/>
    <w:autoRedefine/>
    <w:qFormat/>
    <w:uiPriority w:val="0"/>
    <w:rPr>
      <w:rFonts w:ascii="宋体" w:hAnsi="宋体"/>
      <w:sz w:val="18"/>
      <w:szCs w:val="18"/>
    </w:rPr>
  </w:style>
  <w:style w:type="paragraph" w:customStyle="1" w:styleId="69">
    <w:name w:val="首示例"/>
    <w:next w:val="70"/>
    <w:link w:val="68"/>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autoRedefine/>
    <w:qFormat/>
    <w:uiPriority w:val="0"/>
    <w:rPr>
      <w:rFonts w:ascii="宋体"/>
    </w:rPr>
  </w:style>
  <w:style w:type="character" w:customStyle="1" w:styleId="72">
    <w:name w:val="附录公式 Char"/>
    <w:basedOn w:val="71"/>
    <w:link w:val="73"/>
    <w:autoRedefine/>
    <w:qFormat/>
    <w:uiPriority w:val="0"/>
    <w:rPr>
      <w:rFonts w:ascii="宋体"/>
    </w:rPr>
  </w:style>
  <w:style w:type="paragraph" w:customStyle="1" w:styleId="73">
    <w:name w:val="附录公式"/>
    <w:basedOn w:val="70"/>
    <w:next w:val="70"/>
    <w:link w:val="72"/>
    <w:autoRedefine/>
    <w:qFormat/>
    <w:uiPriority w:val="0"/>
  </w:style>
  <w:style w:type="character" w:customStyle="1" w:styleId="74">
    <w:name w:val="发布"/>
    <w:autoRedefine/>
    <w:qFormat/>
    <w:uiPriority w:val="0"/>
    <w:rPr>
      <w:rFonts w:ascii="黑体" w:eastAsia="黑体"/>
      <w:spacing w:val="85"/>
      <w:w w:val="100"/>
      <w:position w:val="3"/>
      <w:sz w:val="28"/>
      <w:szCs w:val="28"/>
    </w:rPr>
  </w:style>
  <w:style w:type="character" w:customStyle="1" w:styleId="75">
    <w:name w:val="一级条标题 Char"/>
    <w:link w:val="76"/>
    <w:autoRedefine/>
    <w:qFormat/>
    <w:uiPriority w:val="0"/>
    <w:rPr>
      <w:rFonts w:ascii="黑体" w:eastAsia="黑体"/>
      <w:szCs w:val="21"/>
    </w:rPr>
  </w:style>
  <w:style w:type="paragraph" w:customStyle="1" w:styleId="76">
    <w:name w:val="一级条标题"/>
    <w:next w:val="70"/>
    <w:link w:val="75"/>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autoRedefine/>
    <w:qFormat/>
    <w:uiPriority w:val="0"/>
    <w:rPr>
      <w:rFonts w:ascii="Courier New" w:hAnsi="Courier New" w:cs="Courier New"/>
    </w:rPr>
  </w:style>
  <w:style w:type="character" w:customStyle="1" w:styleId="78">
    <w:name w:val="尾注文本 Char"/>
    <w:autoRedefine/>
    <w:semiHidden/>
    <w:qFormat/>
    <w:uiPriority w:val="0"/>
    <w:rPr>
      <w:szCs w:val="24"/>
    </w:rPr>
  </w:style>
  <w:style w:type="paragraph" w:customStyle="1" w:styleId="79">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autoRedefine/>
    <w:qFormat/>
    <w:uiPriority w:val="34"/>
    <w:pPr>
      <w:ind w:firstLine="420" w:firstLineChars="200"/>
    </w:pPr>
    <w:rPr>
      <w:rFonts w:ascii="宋体" w:hAnsi="宋体" w:cs="宋体"/>
      <w:kern w:val="0"/>
      <w:sz w:val="24"/>
    </w:rPr>
  </w:style>
  <w:style w:type="paragraph" w:customStyle="1" w:styleId="82">
    <w:name w:val="封面一致性程度标识2"/>
    <w:basedOn w:val="83"/>
    <w:autoRedefine/>
    <w:qFormat/>
    <w:uiPriority w:val="0"/>
    <w:pPr>
      <w:framePr w:y="4469"/>
    </w:pPr>
  </w:style>
  <w:style w:type="paragraph" w:customStyle="1" w:styleId="83">
    <w:name w:val="封面一致性程度标识"/>
    <w:basedOn w:val="84"/>
    <w:autoRedefine/>
    <w:qFormat/>
    <w:uiPriority w:val="0"/>
    <w:pPr>
      <w:spacing w:before="440"/>
    </w:pPr>
    <w:rPr>
      <w:rFonts w:ascii="宋体" w:eastAsia="宋体"/>
    </w:rPr>
  </w:style>
  <w:style w:type="paragraph" w:customStyle="1" w:styleId="84">
    <w:name w:val="封面标准英文名称"/>
    <w:basedOn w:val="85"/>
    <w:autoRedefine/>
    <w:qFormat/>
    <w:uiPriority w:val="0"/>
    <w:pPr>
      <w:spacing w:before="370" w:line="400" w:lineRule="exact"/>
    </w:pPr>
    <w:rPr>
      <w:rFonts w:ascii="Times New Roman"/>
      <w:sz w:val="28"/>
      <w:szCs w:val="28"/>
    </w:rPr>
  </w:style>
  <w:style w:type="paragraph" w:customStyle="1" w:styleId="8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autoRedefine/>
    <w:qFormat/>
    <w:uiPriority w:val="0"/>
    <w:pPr>
      <w:framePr w:y="4469"/>
    </w:pPr>
  </w:style>
  <w:style w:type="paragraph" w:customStyle="1" w:styleId="87">
    <w:name w:val="其他发布日期"/>
    <w:basedOn w:val="88"/>
    <w:autoRedefine/>
    <w:qFormat/>
    <w:uiPriority w:val="0"/>
    <w:pPr>
      <w:framePr w:vAnchor="page" w:hAnchor="text" w:x="1419"/>
    </w:pPr>
  </w:style>
  <w:style w:type="paragraph" w:customStyle="1" w:styleId="88">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autoRedefine/>
    <w:qFormat/>
    <w:uiPriority w:val="0"/>
    <w:pPr>
      <w:ind w:firstLine="0" w:firstLineChars="0"/>
    </w:pPr>
  </w:style>
  <w:style w:type="paragraph" w:customStyle="1" w:styleId="90">
    <w:name w:val="正文表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autoRedefine/>
    <w:qFormat/>
    <w:uiPriority w:val="0"/>
  </w:style>
  <w:style w:type="paragraph" w:customStyle="1" w:styleId="93">
    <w:name w:val="图的脚注"/>
    <w:next w:val="70"/>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autoRedefine/>
    <w:qFormat/>
    <w:uiPriority w:val="0"/>
    <w:pPr>
      <w:ind w:left="840" w:hanging="420" w:firstLineChars="0"/>
    </w:pPr>
    <w:rPr>
      <w:sz w:val="18"/>
      <w:szCs w:val="18"/>
    </w:rPr>
  </w:style>
  <w:style w:type="paragraph" w:customStyle="1" w:styleId="95">
    <w:name w:val="示例后文字"/>
    <w:basedOn w:val="70"/>
    <w:next w:val="70"/>
    <w:autoRedefine/>
    <w:qFormat/>
    <w:uiPriority w:val="0"/>
    <w:pPr>
      <w:ind w:firstLine="360"/>
    </w:pPr>
    <w:rPr>
      <w:sz w:val="18"/>
    </w:rPr>
  </w:style>
  <w:style w:type="paragraph" w:customStyle="1" w:styleId="96">
    <w:name w:val="实施日期"/>
    <w:basedOn w:val="88"/>
    <w:autoRedefine/>
    <w:qFormat/>
    <w:uiPriority w:val="0"/>
    <w:pPr>
      <w:framePr w:vAnchor="page" w:hAnchor="text"/>
      <w:jc w:val="right"/>
    </w:pPr>
  </w:style>
  <w:style w:type="paragraph" w:customStyle="1" w:styleId="97">
    <w:name w:val="前言、引言标题"/>
    <w:next w:val="70"/>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1">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1"/>
    <w:autoRedefine/>
    <w:qFormat/>
    <w:uiPriority w:val="0"/>
    <w:pPr>
      <w:ind w:left="0" w:firstLine="0"/>
      <w:jc w:val="both"/>
    </w:pPr>
  </w:style>
  <w:style w:type="paragraph" w:customStyle="1" w:styleId="104">
    <w:name w:val="附录一级无"/>
    <w:basedOn w:val="105"/>
    <w:autoRedefine/>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0"/>
    <w:autoRedefine/>
    <w:qFormat/>
    <w:uiPriority w:val="0"/>
    <w:pPr>
      <w:tabs>
        <w:tab w:val="left" w:pos="360"/>
      </w:tabs>
      <w:autoSpaceDN w:val="0"/>
      <w:spacing w:beforeLines="50" w:afterLines="50"/>
      <w:outlineLvl w:val="2"/>
    </w:pPr>
  </w:style>
  <w:style w:type="paragraph" w:customStyle="1" w:styleId="106">
    <w:name w:val="附录章标题"/>
    <w:next w:val="70"/>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autoRedefine/>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0"/>
    <w:autoRedefine/>
    <w:qFormat/>
    <w:uiPriority w:val="0"/>
    <w:pPr>
      <w:tabs>
        <w:tab w:val="left" w:pos="360"/>
      </w:tabs>
      <w:outlineLvl w:val="6"/>
    </w:pPr>
  </w:style>
  <w:style w:type="paragraph" w:customStyle="1" w:styleId="109">
    <w:name w:val="附录四级条标题"/>
    <w:basedOn w:val="110"/>
    <w:next w:val="70"/>
    <w:autoRedefine/>
    <w:qFormat/>
    <w:uiPriority w:val="0"/>
    <w:pPr>
      <w:tabs>
        <w:tab w:val="left" w:pos="360"/>
      </w:tabs>
    </w:pPr>
  </w:style>
  <w:style w:type="paragraph" w:customStyle="1" w:styleId="110">
    <w:name w:val="附录三级条标题"/>
    <w:basedOn w:val="111"/>
    <w:next w:val="70"/>
    <w:autoRedefine/>
    <w:qFormat/>
    <w:uiPriority w:val="0"/>
    <w:pPr>
      <w:tabs>
        <w:tab w:val="left" w:pos="360"/>
      </w:tabs>
    </w:pPr>
  </w:style>
  <w:style w:type="paragraph" w:customStyle="1" w:styleId="111">
    <w:name w:val="附录二级条标题"/>
    <w:basedOn w:val="1"/>
    <w:next w:val="70"/>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0"/>
    <w:autoRedefine/>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4">
    <w:name w:val="附录四级无"/>
    <w:basedOn w:val="109"/>
    <w:autoRedefine/>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autoRedefine/>
    <w:qFormat/>
    <w:uiPriority w:val="0"/>
  </w:style>
  <w:style w:type="paragraph" w:customStyle="1" w:styleId="116">
    <w:name w:val="注："/>
    <w:next w:val="70"/>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0"/>
    <w:autoRedefine/>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autoRedefine/>
    <w:qFormat/>
    <w:uiPriority w:val="0"/>
  </w:style>
  <w:style w:type="paragraph" w:customStyle="1" w:styleId="119">
    <w:name w:val="附录标题"/>
    <w:basedOn w:val="70"/>
    <w:next w:val="70"/>
    <w:autoRedefine/>
    <w:qFormat/>
    <w:uiPriority w:val="0"/>
    <w:pPr>
      <w:ind w:firstLine="0" w:firstLineChars="0"/>
      <w:jc w:val="center"/>
    </w:pPr>
    <w:rPr>
      <w:rFonts w:ascii="黑体" w:eastAsia="黑体"/>
    </w:rPr>
  </w:style>
  <w:style w:type="paragraph" w:customStyle="1" w:styleId="120">
    <w:name w:val="参考文献"/>
    <w:basedOn w:val="1"/>
    <w:next w:val="70"/>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3"/>
    <w:autoRedefine/>
    <w:qFormat/>
    <w:uiPriority w:val="0"/>
    <w:pPr>
      <w:spacing w:after="160" w:line="240" w:lineRule="auto"/>
    </w:pPr>
    <w:rPr>
      <w:sz w:val="24"/>
    </w:rPr>
  </w:style>
  <w:style w:type="paragraph" w:customStyle="1" w:styleId="123">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6"/>
    <w:autoRedefine/>
    <w:qFormat/>
    <w:uiPriority w:val="0"/>
    <w:pPr>
      <w:framePr w:vAnchor="margin" w:hAnchor="page"/>
    </w:pPr>
  </w:style>
  <w:style w:type="paragraph" w:customStyle="1" w:styleId="1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0"/>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0"/>
    <w:autoRedefine/>
    <w:qFormat/>
    <w:uiPriority w:val="0"/>
  </w:style>
  <w:style w:type="paragraph" w:customStyle="1" w:styleId="128">
    <w:name w:val="参考文献、索引标题"/>
    <w:basedOn w:val="1"/>
    <w:next w:val="70"/>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autoRedefine/>
    <w:qFormat/>
    <w:uiPriority w:val="0"/>
    <w:pPr>
      <w:spacing w:beforeLines="0" w:afterLines="0"/>
      <w:ind w:firstLine="363"/>
      <w:outlineLvl w:val="9"/>
    </w:pPr>
    <w:rPr>
      <w:rFonts w:ascii="宋体" w:eastAsia="宋体"/>
      <w:sz w:val="18"/>
      <w:szCs w:val="18"/>
    </w:rPr>
  </w:style>
  <w:style w:type="paragraph" w:customStyle="1" w:styleId="135">
    <w:name w:val="章标题"/>
    <w:next w:val="70"/>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autoRedefine/>
    <w:qFormat/>
    <w:uiPriority w:val="0"/>
    <w:pPr>
      <w:spacing w:beforeLines="0" w:afterLines="0"/>
      <w:outlineLvl w:val="6"/>
    </w:pPr>
    <w:rPr>
      <w:rFonts w:ascii="宋体" w:eastAsia="宋体"/>
    </w:rPr>
  </w:style>
  <w:style w:type="paragraph" w:customStyle="1" w:styleId="140">
    <w:name w:val="五级条标题"/>
    <w:basedOn w:val="141"/>
    <w:next w:val="70"/>
    <w:autoRedefine/>
    <w:qFormat/>
    <w:uiPriority w:val="0"/>
  </w:style>
  <w:style w:type="paragraph" w:customStyle="1" w:styleId="141">
    <w:name w:val="四级条标题"/>
    <w:basedOn w:val="142"/>
    <w:next w:val="70"/>
    <w:autoRedefine/>
    <w:qFormat/>
    <w:uiPriority w:val="0"/>
  </w:style>
  <w:style w:type="paragraph" w:customStyle="1" w:styleId="142">
    <w:name w:val="三级条标题"/>
    <w:basedOn w:val="143"/>
    <w:next w:val="70"/>
    <w:autoRedefine/>
    <w:qFormat/>
    <w:uiPriority w:val="0"/>
  </w:style>
  <w:style w:type="paragraph" w:customStyle="1" w:styleId="143">
    <w:name w:val="二级条标题"/>
    <w:basedOn w:val="76"/>
    <w:next w:val="70"/>
    <w:autoRedefine/>
    <w:qFormat/>
    <w:uiPriority w:val="0"/>
  </w:style>
  <w:style w:type="paragraph" w:customStyle="1" w:styleId="144">
    <w:name w:val="四级无"/>
    <w:basedOn w:val="141"/>
    <w:autoRedefine/>
    <w:qFormat/>
    <w:uiPriority w:val="0"/>
  </w:style>
  <w:style w:type="paragraph" w:customStyle="1" w:styleId="145">
    <w:name w:val="三级无"/>
    <w:basedOn w:val="142"/>
    <w:autoRedefine/>
    <w:qFormat/>
    <w:uiPriority w:val="0"/>
  </w:style>
  <w:style w:type="paragraph" w:customStyle="1" w:styleId="146">
    <w:name w:val="其他标准标志"/>
    <w:basedOn w:val="130"/>
    <w:autoRedefine/>
    <w:qFormat/>
    <w:uiPriority w:val="0"/>
    <w:pPr>
      <w:framePr w:w="6101" w:vAnchor="page" w:hAnchor="page" w:x="4673" w:y="942"/>
    </w:pPr>
    <w:rPr>
      <w:w w:val="130"/>
    </w:rPr>
  </w:style>
  <w:style w:type="paragraph" w:customStyle="1" w:styleId="147">
    <w:name w:val="目次、标准名称标题"/>
    <w:basedOn w:val="1"/>
    <w:next w:val="70"/>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字符"/>
    <w:basedOn w:val="45"/>
    <w:link w:val="25"/>
    <w:autoRedefine/>
    <w:semiHidden/>
    <w:qFormat/>
    <w:uiPriority w:val="99"/>
    <w:rPr>
      <w:rFonts w:ascii="Times New Roman" w:hAnsi="Times New Roman" w:eastAsia="宋体" w:cs="Times New Roman"/>
      <w:sz w:val="18"/>
      <w:szCs w:val="18"/>
    </w:rPr>
  </w:style>
  <w:style w:type="paragraph" w:customStyle="1" w:styleId="151">
    <w:name w:val="列项◆（三级）"/>
    <w:basedOn w:val="1"/>
    <w:autoRedefine/>
    <w:qFormat/>
    <w:uiPriority w:val="99"/>
    <w:pPr>
      <w:tabs>
        <w:tab w:val="left" w:pos="969"/>
      </w:tabs>
      <w:ind w:left="969" w:hanging="414"/>
    </w:pPr>
    <w:rPr>
      <w:rFonts w:ascii="宋体"/>
      <w:szCs w:val="21"/>
    </w:rPr>
  </w:style>
  <w:style w:type="paragraph" w:customStyle="1" w:styleId="152">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字符"/>
    <w:basedOn w:val="45"/>
    <w:link w:val="27"/>
    <w:autoRedefine/>
    <w:semiHidden/>
    <w:qFormat/>
    <w:uiPriority w:val="99"/>
    <w:rPr>
      <w:rFonts w:ascii="Times New Roman" w:hAnsi="Times New Roman" w:eastAsia="宋体" w:cs="Times New Roman"/>
      <w:sz w:val="18"/>
      <w:szCs w:val="18"/>
    </w:rPr>
  </w:style>
  <w:style w:type="paragraph" w:customStyle="1" w:styleId="154">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autoRedefine/>
    <w:qFormat/>
    <w:uiPriority w:val="0"/>
    <w:pPr>
      <w:framePr w:y="15310"/>
      <w:spacing w:line="0" w:lineRule="atLeast"/>
    </w:pPr>
    <w:rPr>
      <w:rFonts w:ascii="黑体" w:eastAsia="黑体"/>
      <w:b w:val="0"/>
    </w:rPr>
  </w:style>
  <w:style w:type="paragraph" w:customStyle="1" w:styleId="156">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字符"/>
    <w:basedOn w:val="45"/>
    <w:link w:val="36"/>
    <w:autoRedefine/>
    <w:semiHidden/>
    <w:qFormat/>
    <w:uiPriority w:val="99"/>
    <w:rPr>
      <w:rFonts w:ascii="Courier New" w:hAnsi="Courier New" w:eastAsia="宋体" w:cs="Courier New"/>
      <w:sz w:val="20"/>
      <w:szCs w:val="20"/>
    </w:rPr>
  </w:style>
  <w:style w:type="paragraph" w:customStyle="1" w:styleId="159">
    <w:name w:val="附录标识"/>
    <w:basedOn w:val="1"/>
    <w:next w:val="70"/>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字符"/>
    <w:basedOn w:val="45"/>
    <w:link w:val="31"/>
    <w:autoRedefine/>
    <w:semiHidden/>
    <w:qFormat/>
    <w:uiPriority w:val="99"/>
    <w:rPr>
      <w:rFonts w:ascii="Times New Roman" w:hAnsi="Times New Roman" w:eastAsia="宋体" w:cs="Times New Roman"/>
      <w:sz w:val="18"/>
      <w:szCs w:val="18"/>
    </w:rPr>
  </w:style>
  <w:style w:type="paragraph" w:customStyle="1" w:styleId="161">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autoRedefine/>
    <w:qFormat/>
    <w:uiPriority w:val="0"/>
  </w:style>
  <w:style w:type="paragraph" w:customStyle="1" w:styleId="163">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字符"/>
    <w:basedOn w:val="45"/>
    <w:link w:val="23"/>
    <w:autoRedefine/>
    <w:semiHidden/>
    <w:qFormat/>
    <w:uiPriority w:val="99"/>
    <w:rPr>
      <w:rFonts w:ascii="Times New Roman" w:hAnsi="Times New Roman" w:eastAsia="宋体" w:cs="Times New Roman"/>
      <w:szCs w:val="24"/>
    </w:rPr>
  </w:style>
  <w:style w:type="paragraph" w:customStyle="1" w:styleId="165">
    <w:name w:val="封面标准文稿编辑信息2"/>
    <w:basedOn w:val="166"/>
    <w:autoRedefine/>
    <w:qFormat/>
    <w:uiPriority w:val="0"/>
    <w:pPr>
      <w:framePr w:y="4469"/>
    </w:pPr>
  </w:style>
  <w:style w:type="paragraph" w:customStyle="1" w:styleId="166">
    <w:name w:val="封面标准文稿编辑信息"/>
    <w:basedOn w:val="122"/>
    <w:autoRedefine/>
    <w:qFormat/>
    <w:uiPriority w:val="0"/>
    <w:pPr>
      <w:spacing w:before="180" w:line="180" w:lineRule="exact"/>
    </w:pPr>
    <w:rPr>
      <w:sz w:val="21"/>
    </w:rPr>
  </w:style>
  <w:style w:type="paragraph" w:customStyle="1" w:styleId="167">
    <w:name w:val="附录表标题"/>
    <w:basedOn w:val="1"/>
    <w:next w:val="70"/>
    <w:autoRedefine/>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autoRedefine/>
    <w:qFormat/>
    <w:uiPriority w:val="0"/>
    <w:pPr>
      <w:jc w:val="left"/>
    </w:pPr>
  </w:style>
  <w:style w:type="paragraph" w:customStyle="1" w:styleId="169">
    <w:name w:val="附录表标号"/>
    <w:basedOn w:val="1"/>
    <w:next w:val="70"/>
    <w:autoRedefine/>
    <w:qFormat/>
    <w:uiPriority w:val="0"/>
    <w:pPr>
      <w:spacing w:line="14" w:lineRule="exact"/>
      <w:ind w:left="811" w:hanging="448"/>
      <w:jc w:val="center"/>
      <w:outlineLvl w:val="0"/>
    </w:pPr>
    <w:rPr>
      <w:color w:val="FFFFFF"/>
    </w:rPr>
  </w:style>
  <w:style w:type="paragraph" w:customStyle="1" w:styleId="170">
    <w:name w:val="图表脚注说明"/>
    <w:basedOn w:val="1"/>
    <w:autoRedefine/>
    <w:qFormat/>
    <w:uiPriority w:val="0"/>
    <w:pPr>
      <w:ind w:left="544" w:hanging="181"/>
    </w:pPr>
    <w:rPr>
      <w:rFonts w:ascii="宋体"/>
      <w:sz w:val="18"/>
      <w:szCs w:val="18"/>
    </w:rPr>
  </w:style>
  <w:style w:type="character" w:customStyle="1" w:styleId="171">
    <w:name w:val="页脚 字符"/>
    <w:basedOn w:val="45"/>
    <w:link w:val="26"/>
    <w:autoRedefine/>
    <w:semiHidden/>
    <w:qFormat/>
    <w:uiPriority w:val="99"/>
    <w:rPr>
      <w:rFonts w:ascii="Times New Roman" w:hAnsi="Times New Roman" w:eastAsia="宋体" w:cs="Times New Roman"/>
      <w:sz w:val="18"/>
      <w:szCs w:val="18"/>
    </w:rPr>
  </w:style>
  <w:style w:type="character" w:customStyle="1" w:styleId="172">
    <w:name w:val="批注文字 字符"/>
    <w:basedOn w:val="45"/>
    <w:link w:val="15"/>
    <w:autoRedefine/>
    <w:semiHidden/>
    <w:qFormat/>
    <w:uiPriority w:val="99"/>
    <w:rPr>
      <w:rFonts w:ascii="Times New Roman" w:hAnsi="Times New Roman" w:eastAsia="宋体" w:cs="Times New Roman"/>
      <w:szCs w:val="24"/>
    </w:rPr>
  </w:style>
  <w:style w:type="paragraph" w:customStyle="1" w:styleId="173">
    <w:name w:val="封面标准名称2"/>
    <w:basedOn w:val="85"/>
    <w:autoRedefine/>
    <w:qFormat/>
    <w:uiPriority w:val="0"/>
    <w:pPr>
      <w:framePr w:y="4469"/>
      <w:spacing w:beforeLines="630"/>
    </w:pPr>
  </w:style>
  <w:style w:type="character" w:customStyle="1" w:styleId="174">
    <w:name w:val="日期 字符"/>
    <w:basedOn w:val="45"/>
    <w:link w:val="22"/>
    <w:autoRedefine/>
    <w:semiHidden/>
    <w:qFormat/>
    <w:uiPriority w:val="99"/>
    <w:rPr>
      <w:rFonts w:ascii="Times New Roman" w:hAnsi="Times New Roman" w:eastAsia="宋体" w:cs="Times New Roman"/>
      <w:szCs w:val="24"/>
    </w:rPr>
  </w:style>
  <w:style w:type="character" w:customStyle="1" w:styleId="175">
    <w:name w:val="文档结构图 字符"/>
    <w:basedOn w:val="45"/>
    <w:link w:val="14"/>
    <w:autoRedefine/>
    <w:semiHidden/>
    <w:qFormat/>
    <w:uiPriority w:val="99"/>
    <w:rPr>
      <w:rFonts w:ascii="宋体" w:hAnsi="Times New Roman" w:eastAsia="宋体" w:cs="Times New Roman"/>
      <w:sz w:val="18"/>
      <w:szCs w:val="18"/>
    </w:rPr>
  </w:style>
  <w:style w:type="paragraph" w:customStyle="1" w:styleId="176">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autoRedefine/>
    <w:qFormat/>
    <w:uiPriority w:val="0"/>
    <w:pPr>
      <w:framePr w:y="4469"/>
    </w:pPr>
  </w:style>
  <w:style w:type="paragraph" w:customStyle="1" w:styleId="178">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autoRedefine/>
    <w:qFormat/>
    <w:uiPriority w:val="0"/>
    <w:pPr>
      <w:framePr w:hSpace="181" w:vSpace="181" w:wrap="around" w:vAnchor="text" w:hAnchor="margin" w:xAlign="center" w:y="285"/>
    </w:pPr>
  </w:style>
  <w:style w:type="character" w:customStyle="1" w:styleId="180">
    <w:name w:val="批注主题 字符"/>
    <w:basedOn w:val="172"/>
    <w:link w:val="40"/>
    <w:autoRedefine/>
    <w:semiHidden/>
    <w:qFormat/>
    <w:uiPriority w:val="99"/>
    <w:rPr>
      <w:rFonts w:ascii="Times New Roman" w:hAnsi="Times New Roman" w:eastAsia="宋体" w:cs="Times New Roman"/>
      <w:b/>
      <w:bCs/>
      <w:szCs w:val="24"/>
    </w:rPr>
  </w:style>
  <w:style w:type="character" w:customStyle="1" w:styleId="181">
    <w:name w:val="尾注文本 字符"/>
    <w:basedOn w:val="45"/>
    <w:link w:val="24"/>
    <w:autoRedefine/>
    <w:semiHidden/>
    <w:qFormat/>
    <w:uiPriority w:val="99"/>
    <w:rPr>
      <w:rFonts w:ascii="Times New Roman" w:hAnsi="Times New Roman" w:eastAsia="宋体" w:cs="Times New Roman"/>
      <w:szCs w:val="24"/>
    </w:rPr>
  </w:style>
  <w:style w:type="paragraph" w:customStyle="1" w:styleId="182">
    <w:name w:val="示例"/>
    <w:next w:val="133"/>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字符"/>
    <w:basedOn w:val="45"/>
    <w:link w:val="17"/>
    <w:autoRedefine/>
    <w:semiHidden/>
    <w:qFormat/>
    <w:uiPriority w:val="99"/>
    <w:rPr>
      <w:rFonts w:ascii="Times New Roman" w:hAnsi="Times New Roman" w:eastAsia="宋体" w:cs="Times New Roman"/>
      <w:sz w:val="16"/>
      <w:szCs w:val="16"/>
    </w:rPr>
  </w:style>
  <w:style w:type="character" w:customStyle="1" w:styleId="184">
    <w:name w:val="标题 字符"/>
    <w:basedOn w:val="45"/>
    <w:link w:val="39"/>
    <w:autoRedefine/>
    <w:qFormat/>
    <w:uiPriority w:val="0"/>
    <w:rPr>
      <w:rFonts w:ascii="Arial" w:hAnsi="Arial" w:eastAsia="宋体" w:cs="Times New Roman"/>
      <w:b/>
      <w:kern w:val="0"/>
      <w:sz w:val="32"/>
      <w:szCs w:val="20"/>
    </w:rPr>
  </w:style>
  <w:style w:type="paragraph" w:customStyle="1" w:styleId="185">
    <w:name w:val="p0"/>
    <w:basedOn w:val="1"/>
    <w:autoRedefine/>
    <w:qFormat/>
    <w:uiPriority w:val="0"/>
    <w:pPr>
      <w:spacing w:line="240" w:lineRule="auto"/>
      <w:jc w:val="both"/>
    </w:pPr>
    <w:rPr>
      <w:kern w:val="0"/>
      <w:szCs w:val="21"/>
    </w:rPr>
  </w:style>
  <w:style w:type="character" w:customStyle="1" w:styleId="186">
    <w:name w:val="纯文本 字符"/>
    <w:basedOn w:val="45"/>
    <w:link w:val="20"/>
    <w:autoRedefine/>
    <w:qFormat/>
    <w:uiPriority w:val="99"/>
    <w:rPr>
      <w:rFonts w:ascii="宋体" w:hAnsi="Courier New" w:eastAsia="宋体" w:cs="Courier New"/>
      <w:szCs w:val="21"/>
    </w:rPr>
  </w:style>
  <w:style w:type="paragraph" w:customStyle="1" w:styleId="18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字符"/>
    <w:basedOn w:val="45"/>
    <w:link w:val="2"/>
    <w:autoRedefine/>
    <w:semiHidden/>
    <w:qFormat/>
    <w:uiPriority w:val="99"/>
    <w:rPr>
      <w:kern w:val="2"/>
      <w:sz w:val="21"/>
      <w:szCs w:val="24"/>
    </w:rPr>
  </w:style>
  <w:style w:type="paragraph" w:customStyle="1" w:styleId="189">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字符"/>
    <w:basedOn w:val="45"/>
    <w:link w:val="7"/>
    <w:autoRedefine/>
    <w:semiHidden/>
    <w:qFormat/>
    <w:uiPriority w:val="9"/>
    <w:rPr>
      <w:rFonts w:asciiTheme="majorHAnsi" w:hAnsiTheme="majorHAnsi" w:eastAsiaTheme="majorEastAsia" w:cstheme="majorBidi"/>
      <w:b/>
      <w:bCs/>
      <w:kern w:val="2"/>
      <w:sz w:val="28"/>
      <w:szCs w:val="28"/>
    </w:rPr>
  </w:style>
  <w:style w:type="paragraph" w:customStyle="1" w:styleId="191">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autoRedefine/>
    <w:qFormat/>
    <w:uiPriority w:val="31"/>
    <w:rPr>
      <w:smallCaps/>
      <w:color w:val="C0504D"/>
      <w:u w:val="single"/>
    </w:rPr>
  </w:style>
  <w:style w:type="paragraph" w:customStyle="1" w:styleId="193">
    <w:name w:val="纯文本1"/>
    <w:basedOn w:val="1"/>
    <w:autoRedefine/>
    <w:qFormat/>
    <w:uiPriority w:val="0"/>
    <w:rPr>
      <w:rFonts w:ascii="宋体" w:hAnsi="Courier New" w:cs="Courier New"/>
      <w:szCs w:val="21"/>
    </w:rPr>
  </w:style>
  <w:style w:type="paragraph" w:customStyle="1" w:styleId="194">
    <w:name w:val="CM99"/>
    <w:basedOn w:val="3"/>
    <w:next w:val="3"/>
    <w:autoRedefine/>
    <w:qFormat/>
    <w:uiPriority w:val="0"/>
    <w:pPr>
      <w:spacing w:after="443"/>
    </w:pPr>
  </w:style>
  <w:style w:type="paragraph" w:customStyle="1" w:styleId="195">
    <w:name w:val="CM80"/>
    <w:basedOn w:val="3"/>
    <w:next w:val="3"/>
    <w:autoRedefine/>
    <w:qFormat/>
    <w:uiPriority w:val="0"/>
    <w:pPr>
      <w:spacing w:line="440" w:lineRule="atLeast"/>
    </w:pPr>
  </w:style>
  <w:style w:type="paragraph" w:customStyle="1" w:styleId="196">
    <w:name w:val="qg标题 2 + 橙色"/>
    <w:basedOn w:val="5"/>
    <w:autoRedefine/>
    <w:qFormat/>
    <w:uiPriority w:val="0"/>
    <w:pPr>
      <w:autoSpaceDE w:val="0"/>
      <w:spacing w:before="0" w:after="0" w:line="360" w:lineRule="auto"/>
    </w:pPr>
    <w:rPr>
      <w:sz w:val="30"/>
      <w:szCs w:val="30"/>
    </w:rPr>
  </w:style>
  <w:style w:type="paragraph" w:customStyle="1" w:styleId="197">
    <w:name w:val="WPSOffice手动目录 1"/>
    <w:autoRedefine/>
    <w:qFormat/>
    <w:uiPriority w:val="0"/>
    <w:rPr>
      <w:rFonts w:ascii="Times New Roman" w:hAnsi="Times New Roman" w:eastAsia="宋体" w:cs="Times New Roman"/>
      <w:lang w:val="en-US" w:eastAsia="zh-CN" w:bidi="ar-SA"/>
    </w:rPr>
  </w:style>
  <w:style w:type="character" w:customStyle="1" w:styleId="198">
    <w:name w:val="font21"/>
    <w:basedOn w:val="45"/>
    <w:autoRedefine/>
    <w:qFormat/>
    <w:uiPriority w:val="0"/>
    <w:rPr>
      <w:rFonts w:hint="default" w:ascii="Calibri" w:hAnsi="Calibri" w:cs="Calibri"/>
      <w:color w:val="000000"/>
      <w:sz w:val="21"/>
      <w:szCs w:val="21"/>
      <w:u w:val="none"/>
    </w:rPr>
  </w:style>
  <w:style w:type="character" w:customStyle="1" w:styleId="199">
    <w:name w:val="font11"/>
    <w:basedOn w:val="45"/>
    <w:autoRedefine/>
    <w:qFormat/>
    <w:uiPriority w:val="0"/>
    <w:rPr>
      <w:rFonts w:hint="eastAsia" w:ascii="宋体" w:hAnsi="宋体" w:eastAsia="宋体" w:cs="宋体"/>
      <w:color w:val="000000"/>
      <w:sz w:val="21"/>
      <w:szCs w:val="21"/>
      <w:u w:val="none"/>
    </w:rPr>
  </w:style>
  <w:style w:type="character" w:customStyle="1" w:styleId="200">
    <w:name w:val="font31"/>
    <w:basedOn w:val="45"/>
    <w:autoRedefine/>
    <w:qFormat/>
    <w:uiPriority w:val="0"/>
    <w:rPr>
      <w:rFonts w:hint="eastAsia" w:ascii="宋体" w:hAnsi="宋体" w:eastAsia="宋体" w:cs="宋体"/>
      <w:color w:val="000000"/>
      <w:sz w:val="18"/>
      <w:szCs w:val="18"/>
      <w:u w:val="none"/>
    </w:rPr>
  </w:style>
  <w:style w:type="character" w:customStyle="1" w:styleId="201">
    <w:name w:val="font41"/>
    <w:basedOn w:val="45"/>
    <w:autoRedefine/>
    <w:qFormat/>
    <w:uiPriority w:val="0"/>
    <w:rPr>
      <w:rFonts w:hint="default" w:ascii="Times New Roman" w:hAnsi="Times New Roman" w:cs="Times New Roman"/>
      <w:color w:val="000000"/>
      <w:sz w:val="18"/>
      <w:szCs w:val="18"/>
      <w:u w:val="none"/>
    </w:rPr>
  </w:style>
  <w:style w:type="paragraph" w:customStyle="1" w:styleId="202">
    <w:name w:val="Table Text"/>
    <w:basedOn w:val="1"/>
    <w:autoRedefine/>
    <w:semiHidden/>
    <w:qFormat/>
    <w:uiPriority w:val="0"/>
    <w:rPr>
      <w:rFonts w:ascii="宋体" w:hAnsi="宋体" w:eastAsia="宋体" w:cs="宋体"/>
      <w:sz w:val="20"/>
      <w:szCs w:val="20"/>
      <w:lang w:val="en-US" w:eastAsia="en-US" w:bidi="ar-SA"/>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character" w:customStyle="1" w:styleId="204">
    <w:name w:val="font01"/>
    <w:basedOn w:val="45"/>
    <w:autoRedefine/>
    <w:qFormat/>
    <w:uiPriority w:val="0"/>
    <w:rPr>
      <w:rFonts w:hint="default" w:ascii="??" w:hAnsi="??" w:eastAsia="??" w: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94</Pages>
  <Words>57034</Words>
  <Characters>61552</Characters>
  <Lines>182</Lines>
  <Paragraphs>51</Paragraphs>
  <TotalTime>6</TotalTime>
  <ScaleCrop>false</ScaleCrop>
  <LinksUpToDate>false</LinksUpToDate>
  <CharactersWithSpaces>64540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咸鱼</cp:lastModifiedBy>
  <cp:lastPrinted>2022-04-13T08:22:00Z</cp:lastPrinted>
  <dcterms:modified xsi:type="dcterms:W3CDTF">2024-06-21T01:56:19Z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6FA6DEE9B96942DF8FD2E970C99657FA_13</vt:lpwstr>
  </property>
</Properties>
</file>