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p>
    <w:p>
      <w:pPr>
        <w:snapToGrid w:val="0"/>
        <w:spacing w:line="900" w:lineRule="exact"/>
        <w:jc w:val="center"/>
        <w:rPr>
          <w:rFonts w:hint="eastAsia" w:ascii="黑体" w:hAnsi="黑体" w:eastAsia="黑体" w:cs="Times New Roman"/>
          <w:color w:val="000000" w:themeColor="text1"/>
          <w:sz w:val="36"/>
          <w:szCs w:val="36"/>
          <w:highlight w:val="none"/>
          <w:lang w:val="en-US" w:eastAsia="zh-CN"/>
          <w14:textFill>
            <w14:solidFill>
              <w14:schemeClr w14:val="tx1"/>
            </w14:solidFill>
          </w14:textFill>
        </w:rPr>
      </w:pPr>
    </w:p>
    <w:p>
      <w:pPr>
        <w:snapToGrid w:val="0"/>
        <w:spacing w:line="900" w:lineRule="exact"/>
        <w:jc w:val="center"/>
        <w:rPr>
          <w:rFonts w:hint="default" w:ascii="黑体" w:hAnsi="黑体" w:eastAsia="黑体"/>
          <w:color w:val="000000" w:themeColor="text1"/>
          <w:sz w:val="36"/>
          <w:szCs w:val="36"/>
          <w:highlight w:val="none"/>
          <w:lang w:val="en-US"/>
          <w14:textFill>
            <w14:solidFill>
              <w14:schemeClr w14:val="tx1"/>
            </w14:solidFill>
          </w14:textFill>
        </w:rPr>
      </w:pPr>
      <w:r>
        <w:rPr>
          <w:rFonts w:hint="eastAsia" w:ascii="黑体" w:hAnsi="黑体" w:eastAsia="黑体" w:cs="Times New Roman"/>
          <w:color w:val="000000" w:themeColor="text1"/>
          <w:sz w:val="36"/>
          <w:szCs w:val="36"/>
          <w:highlight w:val="none"/>
          <w:lang w:val="en-US" w:eastAsia="zh-CN"/>
          <w14:textFill>
            <w14:solidFill>
              <w14:schemeClr w14:val="tx1"/>
            </w14:solidFill>
          </w14:textFill>
        </w:rPr>
        <w:t>岳阳港道仁矶码头工程环保监测技术服务</w:t>
      </w:r>
    </w:p>
    <w:p>
      <w:pPr>
        <w:snapToGrid w:val="0"/>
        <w:spacing w:line="900" w:lineRule="exact"/>
        <w:jc w:val="both"/>
        <w:rPr>
          <w:rFonts w:ascii="黑体" w:hAnsi="黑体" w:eastAsia="黑体"/>
          <w:color w:val="000000" w:themeColor="text1"/>
          <w:sz w:val="36"/>
          <w:szCs w:val="36"/>
          <w:highlight w:val="none"/>
          <w14:textFill>
            <w14:solidFill>
              <w14:schemeClr w14:val="tx1"/>
            </w14:solidFill>
          </w14:textFill>
        </w:rPr>
      </w:pPr>
    </w:p>
    <w:p>
      <w:pPr>
        <w:snapToGrid w:val="0"/>
        <w:spacing w:line="900" w:lineRule="exact"/>
        <w:jc w:val="center"/>
        <w:rPr>
          <w:rFonts w:ascii="黑体" w:hAnsi="黑体" w:eastAsia="黑体" w:cs="宋体"/>
          <w:b/>
          <w:color w:val="000000" w:themeColor="text1"/>
          <w:kern w:val="0"/>
          <w:sz w:val="72"/>
          <w:szCs w:val="72"/>
          <w:highlight w:val="none"/>
          <w14:textFill>
            <w14:solidFill>
              <w14:schemeClr w14:val="tx1"/>
            </w14:solidFill>
          </w14:textFill>
        </w:rPr>
      </w:pPr>
      <w:r>
        <w:rPr>
          <w:rFonts w:hint="eastAsia" w:ascii="黑体" w:hAnsi="黑体" w:eastAsia="黑体" w:cs="宋体"/>
          <w:b/>
          <w:color w:val="000000" w:themeColor="text1"/>
          <w:kern w:val="0"/>
          <w:sz w:val="72"/>
          <w:szCs w:val="72"/>
          <w:highlight w:val="none"/>
          <w14:textFill>
            <w14:solidFill>
              <w14:schemeClr w14:val="tx1"/>
            </w14:solidFill>
          </w14:textFill>
        </w:rPr>
        <w:t>询</w:t>
      </w:r>
    </w:p>
    <w:p>
      <w:pPr>
        <w:snapToGrid w:val="0"/>
        <w:spacing w:line="900" w:lineRule="exact"/>
        <w:jc w:val="center"/>
        <w:rPr>
          <w:rFonts w:ascii="黑体" w:hAnsi="黑体" w:eastAsia="黑体" w:cs="宋体"/>
          <w:b/>
          <w:color w:val="000000" w:themeColor="text1"/>
          <w:kern w:val="0"/>
          <w:sz w:val="72"/>
          <w:szCs w:val="72"/>
          <w:highlight w:val="none"/>
          <w14:textFill>
            <w14:solidFill>
              <w14:schemeClr w14:val="tx1"/>
            </w14:solidFill>
          </w14:textFill>
        </w:rPr>
      </w:pPr>
    </w:p>
    <w:p>
      <w:pPr>
        <w:snapToGrid w:val="0"/>
        <w:spacing w:line="900" w:lineRule="exact"/>
        <w:jc w:val="center"/>
        <w:rPr>
          <w:rFonts w:ascii="黑体" w:hAnsi="黑体" w:eastAsia="黑体" w:cs="宋体"/>
          <w:b/>
          <w:color w:val="000000" w:themeColor="text1"/>
          <w:kern w:val="0"/>
          <w:sz w:val="72"/>
          <w:szCs w:val="72"/>
          <w:highlight w:val="none"/>
          <w14:textFill>
            <w14:solidFill>
              <w14:schemeClr w14:val="tx1"/>
            </w14:solidFill>
          </w14:textFill>
        </w:rPr>
      </w:pPr>
      <w:r>
        <w:rPr>
          <w:rFonts w:hint="eastAsia" w:ascii="黑体" w:hAnsi="黑体" w:eastAsia="黑体" w:cs="宋体"/>
          <w:b/>
          <w:color w:val="000000" w:themeColor="text1"/>
          <w:kern w:val="0"/>
          <w:sz w:val="72"/>
          <w:szCs w:val="72"/>
          <w:highlight w:val="none"/>
          <w14:textFill>
            <w14:solidFill>
              <w14:schemeClr w14:val="tx1"/>
            </w14:solidFill>
          </w14:textFill>
        </w:rPr>
        <w:t>价</w:t>
      </w:r>
    </w:p>
    <w:p>
      <w:pPr>
        <w:snapToGrid w:val="0"/>
        <w:spacing w:line="900" w:lineRule="exact"/>
        <w:jc w:val="center"/>
        <w:rPr>
          <w:rFonts w:ascii="黑体" w:hAnsi="黑体" w:eastAsia="黑体" w:cs="宋体"/>
          <w:b/>
          <w:color w:val="000000" w:themeColor="text1"/>
          <w:kern w:val="0"/>
          <w:sz w:val="72"/>
          <w:szCs w:val="72"/>
          <w:highlight w:val="none"/>
          <w14:textFill>
            <w14:solidFill>
              <w14:schemeClr w14:val="tx1"/>
            </w14:solidFill>
          </w14:textFill>
        </w:rPr>
      </w:pPr>
    </w:p>
    <w:p>
      <w:pPr>
        <w:snapToGrid w:val="0"/>
        <w:spacing w:line="900" w:lineRule="exact"/>
        <w:jc w:val="center"/>
        <w:rPr>
          <w:rFonts w:ascii="黑体" w:hAnsi="黑体" w:eastAsia="黑体" w:cs="宋体"/>
          <w:b/>
          <w:color w:val="000000" w:themeColor="text1"/>
          <w:kern w:val="0"/>
          <w:sz w:val="72"/>
          <w:szCs w:val="72"/>
          <w:highlight w:val="none"/>
          <w14:textFill>
            <w14:solidFill>
              <w14:schemeClr w14:val="tx1"/>
            </w14:solidFill>
          </w14:textFill>
        </w:rPr>
      </w:pPr>
      <w:r>
        <w:rPr>
          <w:rFonts w:hint="eastAsia" w:ascii="黑体" w:hAnsi="黑体" w:eastAsia="黑体" w:cs="宋体"/>
          <w:b/>
          <w:color w:val="000000" w:themeColor="text1"/>
          <w:kern w:val="0"/>
          <w:sz w:val="72"/>
          <w:szCs w:val="72"/>
          <w:highlight w:val="none"/>
          <w14:textFill>
            <w14:solidFill>
              <w14:schemeClr w14:val="tx1"/>
            </w14:solidFill>
          </w14:textFill>
        </w:rPr>
        <w:t xml:space="preserve">文 </w:t>
      </w:r>
    </w:p>
    <w:p>
      <w:pPr>
        <w:snapToGrid w:val="0"/>
        <w:spacing w:line="900" w:lineRule="exact"/>
        <w:jc w:val="center"/>
        <w:rPr>
          <w:rFonts w:ascii="黑体" w:hAnsi="黑体" w:eastAsia="黑体" w:cs="宋体"/>
          <w:b/>
          <w:color w:val="000000" w:themeColor="text1"/>
          <w:kern w:val="0"/>
          <w:sz w:val="72"/>
          <w:szCs w:val="72"/>
          <w:highlight w:val="none"/>
          <w14:textFill>
            <w14:solidFill>
              <w14:schemeClr w14:val="tx1"/>
            </w14:solidFill>
          </w14:textFill>
        </w:rPr>
      </w:pPr>
    </w:p>
    <w:p>
      <w:pPr>
        <w:spacing w:line="480" w:lineRule="auto"/>
        <w:jc w:val="center"/>
        <w:rPr>
          <w:rFonts w:ascii="黑体" w:hAnsi="黑体" w:eastAsia="黑体" w:cs="宋体"/>
          <w:b/>
          <w:color w:val="000000" w:themeColor="text1"/>
          <w:kern w:val="0"/>
          <w:sz w:val="72"/>
          <w:szCs w:val="72"/>
          <w:highlight w:val="none"/>
          <w14:textFill>
            <w14:solidFill>
              <w14:schemeClr w14:val="tx1"/>
            </w14:solidFill>
          </w14:textFill>
        </w:rPr>
      </w:pPr>
      <w:r>
        <w:rPr>
          <w:rFonts w:hint="eastAsia" w:ascii="黑体" w:hAnsi="黑体" w:eastAsia="黑体" w:cs="宋体"/>
          <w:b/>
          <w:color w:val="000000" w:themeColor="text1"/>
          <w:kern w:val="0"/>
          <w:sz w:val="72"/>
          <w:szCs w:val="72"/>
          <w:highlight w:val="none"/>
          <w14:textFill>
            <w14:solidFill>
              <w14:schemeClr w14:val="tx1"/>
            </w14:solidFill>
          </w14:textFill>
        </w:rPr>
        <w:t>件</w:t>
      </w:r>
      <w:permStart w:id="0" w:edGrp="everyone"/>
    </w:p>
    <w:p>
      <w:pPr>
        <w:spacing w:line="480" w:lineRule="auto"/>
        <w:jc w:val="center"/>
        <w:rPr>
          <w:color w:val="000000" w:themeColor="text1"/>
          <w:highlight w:val="none"/>
          <w14:textFill>
            <w14:solidFill>
              <w14:schemeClr w14:val="tx1"/>
            </w14:solidFill>
          </w14:textFill>
        </w:rPr>
      </w:pPr>
    </w:p>
    <w:p>
      <w:pPr>
        <w:snapToGrid w:val="0"/>
        <w:spacing w:line="900" w:lineRule="exact"/>
        <w:jc w:val="center"/>
        <w:rPr>
          <w:rFonts w:hint="eastAsia" w:ascii="黑体" w:hAnsi="黑体" w:eastAsia="黑体"/>
          <w:bCs/>
          <w:color w:val="000000" w:themeColor="text1"/>
          <w:sz w:val="48"/>
          <w:szCs w:val="48"/>
          <w:highlight w:val="none"/>
          <w:lang w:eastAsia="zh-CN"/>
          <w14:textFill>
            <w14:solidFill>
              <w14:schemeClr w14:val="tx1"/>
            </w14:solidFill>
          </w14:textFill>
        </w:rPr>
      </w:pPr>
      <w:r>
        <w:rPr>
          <w:rFonts w:hint="eastAsia" w:ascii="黑体" w:hAnsi="黑体" w:eastAsia="黑体"/>
          <w:bCs/>
          <w:color w:val="000000" w:themeColor="text1"/>
          <w:sz w:val="48"/>
          <w:szCs w:val="48"/>
          <w:highlight w:val="none"/>
          <w:lang w:eastAsia="zh-CN"/>
          <w14:textFill>
            <w14:solidFill>
              <w14:schemeClr w14:val="tx1"/>
            </w14:solidFill>
          </w14:textFill>
        </w:rPr>
        <w:t>岳阳道仁矶港物流有限公司</w:t>
      </w:r>
    </w:p>
    <w:p>
      <w:pPr>
        <w:tabs>
          <w:tab w:val="left" w:pos="0"/>
          <w:tab w:val="left" w:pos="4185"/>
        </w:tabs>
        <w:spacing w:line="288" w:lineRule="auto"/>
        <w:ind w:right="-6"/>
        <w:jc w:val="center"/>
        <w:rPr>
          <w:rFonts w:eastAsia="楷体_GB2312"/>
          <w:b/>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48"/>
          <w:szCs w:val="48"/>
          <w:highlight w:val="none"/>
          <w14:textFill>
            <w14:solidFill>
              <w14:schemeClr w14:val="tx1"/>
            </w14:solidFill>
          </w14:textFill>
        </w:rPr>
        <w:t>二О二</w:t>
      </w:r>
      <w:r>
        <w:rPr>
          <w:rFonts w:hint="eastAsia" w:ascii="黑体" w:hAnsi="黑体" w:eastAsia="黑体"/>
          <w:bCs/>
          <w:color w:val="000000" w:themeColor="text1"/>
          <w:sz w:val="48"/>
          <w:szCs w:val="48"/>
          <w:highlight w:val="none"/>
          <w:lang w:val="en-US" w:eastAsia="zh-CN"/>
          <w14:textFill>
            <w14:solidFill>
              <w14:schemeClr w14:val="tx1"/>
            </w14:solidFill>
          </w14:textFill>
        </w:rPr>
        <w:t>四</w:t>
      </w:r>
      <w:r>
        <w:rPr>
          <w:rFonts w:hint="eastAsia" w:ascii="黑体" w:hAnsi="黑体" w:eastAsia="黑体"/>
          <w:bCs/>
          <w:color w:val="000000" w:themeColor="text1"/>
          <w:sz w:val="48"/>
          <w:szCs w:val="48"/>
          <w:highlight w:val="none"/>
          <w14:textFill>
            <w14:solidFill>
              <w14:schemeClr w14:val="tx1"/>
            </w14:solidFill>
          </w14:textFill>
        </w:rPr>
        <w:t>年</w:t>
      </w:r>
      <w:r>
        <w:rPr>
          <w:rFonts w:hint="eastAsia" w:ascii="黑体" w:hAnsi="黑体" w:eastAsia="黑体"/>
          <w:bCs/>
          <w:color w:val="000000" w:themeColor="text1"/>
          <w:sz w:val="48"/>
          <w:szCs w:val="48"/>
          <w:highlight w:val="none"/>
          <w:lang w:val="en-US" w:eastAsia="zh-CN"/>
          <w14:textFill>
            <w14:solidFill>
              <w14:schemeClr w14:val="tx1"/>
            </w14:solidFill>
          </w14:textFill>
        </w:rPr>
        <w:t>六</w:t>
      </w:r>
      <w:r>
        <w:rPr>
          <w:rFonts w:hint="eastAsia" w:ascii="黑体" w:hAnsi="黑体" w:eastAsia="黑体"/>
          <w:bCs/>
          <w:color w:val="000000" w:themeColor="text1"/>
          <w:sz w:val="48"/>
          <w:szCs w:val="48"/>
          <w:highlight w:val="none"/>
          <w14:textFill>
            <w14:solidFill>
              <w14:schemeClr w14:val="tx1"/>
            </w14:solidFill>
          </w14:textFill>
        </w:rPr>
        <w:t>月</w:t>
      </w:r>
      <w:permEnd w:id="0"/>
    </w:p>
    <w:p>
      <w:pPr>
        <w:pStyle w:val="41"/>
        <w:ind w:firstLine="0"/>
      </w:pPr>
    </w:p>
    <w:p>
      <w:pPr>
        <w:pStyle w:val="191"/>
        <w:keepNext w:val="0"/>
        <w:keepLines w:val="0"/>
        <w:widowControl w:val="0"/>
        <w:spacing w:before="0" w:line="600" w:lineRule="exact"/>
        <w:ind w:left="440"/>
        <w:jc w:val="center"/>
        <w:rPr>
          <w:rFonts w:ascii="黑体" w:hAnsi="黑体" w:eastAsia="黑体"/>
          <w:b w:val="0"/>
          <w:color w:val="auto"/>
          <w:sz w:val="44"/>
          <w:szCs w:val="44"/>
          <w:lang w:val="zh-CN"/>
        </w:rPr>
        <w:sectPr>
          <w:footerReference r:id="rId5" w:type="default"/>
          <w:pgSz w:w="11906" w:h="16838"/>
          <w:pgMar w:top="1440" w:right="1080" w:bottom="1440" w:left="1080" w:header="851" w:footer="1344" w:gutter="0"/>
          <w:pgNumType w:fmt="decimal" w:start="1"/>
          <w:cols w:space="720" w:num="1"/>
          <w:docGrid w:linePitch="312" w:charSpace="0"/>
        </w:sectPr>
      </w:pPr>
    </w:p>
    <w:p>
      <w:pPr>
        <w:pStyle w:val="191"/>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50"/>
          <w:rFonts w:hint="eastAsia" w:ascii="微软雅黑" w:hAnsi="微软雅黑" w:eastAsia="微软雅黑"/>
          <w:sz w:val="24"/>
          <w:szCs w:val="24"/>
        </w:rPr>
        <w:t>第一章</w:t>
      </w:r>
      <w:r>
        <w:rPr>
          <w:rStyle w:val="50"/>
          <w:rFonts w:ascii="微软雅黑" w:hAnsi="微软雅黑" w:eastAsia="微软雅黑"/>
          <w:sz w:val="24"/>
          <w:szCs w:val="24"/>
        </w:rPr>
        <w:t xml:space="preserve">  </w:t>
      </w:r>
      <w:r>
        <w:rPr>
          <w:rStyle w:val="50"/>
          <w:rFonts w:hint="eastAsia" w:ascii="微软雅黑" w:hAnsi="微软雅黑" w:eastAsia="微软雅黑"/>
          <w:sz w:val="24"/>
          <w:szCs w:val="24"/>
        </w:rPr>
        <w:t>采购公告</w:t>
      </w:r>
      <w:r>
        <w:rPr>
          <w:rFonts w:ascii="微软雅黑" w:hAnsi="微软雅黑" w:eastAsia="微软雅黑"/>
          <w:sz w:val="24"/>
          <w:szCs w:val="24"/>
        </w:rPr>
        <w:tab/>
      </w:r>
      <w:r>
        <w:rPr>
          <w:rFonts w:hint="eastAsia" w:ascii="微软雅黑" w:hAnsi="微软雅黑" w:eastAsia="微软雅黑"/>
          <w:sz w:val="24"/>
          <w:szCs w:val="24"/>
          <w:lang w:val="en-US" w:eastAsia="zh-CN"/>
        </w:rPr>
        <w:t>2</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50"/>
          <w:rFonts w:hint="eastAsia" w:ascii="微软雅黑" w:hAnsi="微软雅黑" w:eastAsia="微软雅黑"/>
          <w:sz w:val="24"/>
          <w:szCs w:val="24"/>
        </w:rPr>
        <w:t>第二章</w:t>
      </w:r>
      <w:r>
        <w:rPr>
          <w:rStyle w:val="50"/>
          <w:rFonts w:ascii="微软雅黑" w:hAnsi="微软雅黑" w:eastAsia="微软雅黑"/>
          <w:sz w:val="24"/>
          <w:szCs w:val="24"/>
        </w:rPr>
        <w:t xml:space="preserve">  </w:t>
      </w:r>
      <w:r>
        <w:rPr>
          <w:rStyle w:val="50"/>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hint="eastAsia" w:ascii="微软雅黑" w:hAnsi="微软雅黑" w:eastAsia="微软雅黑"/>
          <w:sz w:val="24"/>
          <w:szCs w:val="24"/>
          <w:lang w:val="en-US" w:eastAsia="zh-CN"/>
        </w:rPr>
      </w:pPr>
      <w:r>
        <w:fldChar w:fldCharType="begin"/>
      </w:r>
      <w:r>
        <w:instrText xml:space="preserve"> HYPERLINK \l "_Toc77254124" </w:instrText>
      </w:r>
      <w:r>
        <w:fldChar w:fldCharType="separate"/>
      </w:r>
      <w:r>
        <w:rPr>
          <w:rStyle w:val="50"/>
          <w:rFonts w:hint="eastAsia" w:ascii="微软雅黑" w:hAnsi="微软雅黑" w:eastAsia="微软雅黑"/>
          <w:sz w:val="24"/>
          <w:szCs w:val="24"/>
        </w:rPr>
        <w:t>第三章</w:t>
      </w:r>
      <w:r>
        <w:rPr>
          <w:rStyle w:val="50"/>
          <w:rFonts w:ascii="微软雅黑" w:hAnsi="微软雅黑" w:eastAsia="微软雅黑"/>
          <w:sz w:val="24"/>
          <w:szCs w:val="24"/>
        </w:rPr>
        <w:t xml:space="preserve"> </w:t>
      </w:r>
      <w:r>
        <w:rPr>
          <w:rStyle w:val="50"/>
          <w:rFonts w:hint="eastAsia" w:ascii="微软雅黑" w:hAnsi="微软雅黑" w:eastAsia="微软雅黑"/>
          <w:sz w:val="24"/>
          <w:szCs w:val="24"/>
        </w:rPr>
        <w:t>评标办</w:t>
      </w:r>
      <w:bookmarkStart w:id="0" w:name="_Hlt79481237"/>
      <w:bookmarkStart w:id="1" w:name="_Hlt79481238"/>
      <w:r>
        <w:rPr>
          <w:rStyle w:val="50"/>
          <w:rFonts w:hint="eastAsia" w:ascii="微软雅黑" w:hAnsi="微软雅黑" w:eastAsia="微软雅黑"/>
          <w:sz w:val="24"/>
          <w:szCs w:val="24"/>
        </w:rPr>
        <w:t>法</w:t>
      </w:r>
      <w:bookmarkEnd w:id="0"/>
      <w:bookmarkEnd w:id="1"/>
      <w:r>
        <w:rPr>
          <w:rFonts w:ascii="微软雅黑" w:hAnsi="微软雅黑" w:eastAsia="微软雅黑"/>
          <w:sz w:val="24"/>
          <w:szCs w:val="24"/>
        </w:rPr>
        <w:tab/>
      </w:r>
      <w:r>
        <w:rPr>
          <w:rFonts w:hint="eastAsia" w:ascii="微软雅黑" w:hAnsi="微软雅黑" w:eastAsia="微软雅黑"/>
          <w:sz w:val="24"/>
          <w:szCs w:val="24"/>
          <w:lang w:val="en-US" w:eastAsia="zh-CN"/>
        </w:rPr>
        <w:t>2</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4</w:t>
      </w:r>
    </w:p>
    <w:p>
      <w:pPr>
        <w:pStyle w:val="28"/>
        <w:tabs>
          <w:tab w:val="right" w:leader="dot" w:pos="8948"/>
          <w:tab w:val="clear" w:pos="9242"/>
        </w:tabs>
        <w:adjustRightInd w:val="0"/>
        <w:snapToGrid w:val="0"/>
        <w:spacing w:before="60" w:after="60"/>
        <w:rPr>
          <w:rFonts w:hint="eastAsia" w:ascii="微软雅黑" w:hAnsi="微软雅黑" w:eastAsia="微软雅黑"/>
          <w:bCs/>
          <w:caps/>
          <w:sz w:val="24"/>
          <w:szCs w:val="24"/>
          <w:lang w:eastAsia="zh-CN"/>
        </w:rPr>
      </w:pPr>
      <w:r>
        <w:fldChar w:fldCharType="begin"/>
      </w:r>
      <w:r>
        <w:instrText xml:space="preserve"> HYPERLINK \l "_Toc77254138" </w:instrText>
      </w:r>
      <w:r>
        <w:fldChar w:fldCharType="separate"/>
      </w:r>
      <w:r>
        <w:rPr>
          <w:rStyle w:val="50"/>
          <w:rFonts w:hint="eastAsia" w:ascii="微软雅黑" w:hAnsi="微软雅黑" w:eastAsia="微软雅黑"/>
          <w:sz w:val="24"/>
          <w:szCs w:val="24"/>
        </w:rPr>
        <w:t>第四章</w:t>
      </w:r>
      <w:r>
        <w:rPr>
          <w:rStyle w:val="50"/>
          <w:rFonts w:ascii="微软雅黑" w:hAnsi="微软雅黑" w:eastAsia="微软雅黑"/>
          <w:sz w:val="24"/>
          <w:szCs w:val="24"/>
        </w:rPr>
        <w:t xml:space="preserve"> </w:t>
      </w:r>
      <w:r>
        <w:rPr>
          <w:rStyle w:val="50"/>
          <w:rFonts w:hint="eastAsia" w:ascii="微软雅黑" w:hAnsi="微软雅黑" w:eastAsia="微软雅黑"/>
          <w:sz w:val="24"/>
          <w:szCs w:val="24"/>
        </w:rPr>
        <w:t>技术咨询合同书</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1</w:t>
      </w:r>
    </w:p>
    <w:p>
      <w:pPr>
        <w:pStyle w:val="28"/>
        <w:tabs>
          <w:tab w:val="right" w:leader="dot" w:pos="8948"/>
          <w:tab w:val="clear" w:pos="9242"/>
        </w:tabs>
        <w:adjustRightInd w:val="0"/>
        <w:snapToGrid w:val="0"/>
        <w:spacing w:before="60" w:after="60"/>
        <w:rPr>
          <w:rFonts w:hint="eastAsia" w:ascii="微软雅黑" w:hAnsi="微软雅黑" w:eastAsia="微软雅黑"/>
          <w:bCs/>
          <w:caps/>
          <w:sz w:val="24"/>
          <w:szCs w:val="24"/>
          <w:lang w:val="en-US" w:eastAsia="zh-CN"/>
        </w:rPr>
      </w:pPr>
      <w:r>
        <w:fldChar w:fldCharType="begin"/>
      </w:r>
      <w:r>
        <w:instrText xml:space="preserve"> HYPERLINK \l "_Toc77254286" </w:instrText>
      </w:r>
      <w:r>
        <w:fldChar w:fldCharType="separate"/>
      </w:r>
      <w:r>
        <w:rPr>
          <w:rStyle w:val="50"/>
          <w:rFonts w:hint="eastAsia" w:ascii="微软雅黑" w:hAnsi="微软雅黑" w:eastAsia="微软雅黑"/>
          <w:sz w:val="24"/>
          <w:szCs w:val="24"/>
        </w:rPr>
        <w:t>第五章</w:t>
      </w:r>
      <w:r>
        <w:rPr>
          <w:rStyle w:val="50"/>
          <w:rFonts w:ascii="微软雅黑" w:hAnsi="微软雅黑" w:eastAsia="微软雅黑"/>
          <w:sz w:val="24"/>
          <w:szCs w:val="24"/>
        </w:rPr>
        <w:t xml:space="preserve"> </w:t>
      </w:r>
      <w:r>
        <w:rPr>
          <w:rStyle w:val="50"/>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0</w:t>
      </w:r>
    </w:p>
    <w:p>
      <w:pPr>
        <w:pStyle w:val="28"/>
        <w:tabs>
          <w:tab w:val="right" w:leader="dot" w:pos="8948"/>
          <w:tab w:val="clear" w:pos="9242"/>
        </w:tabs>
        <w:adjustRightInd w:val="0"/>
        <w:snapToGrid w:val="0"/>
        <w:spacing w:before="60" w:after="60"/>
        <w:rPr>
          <w:rFonts w:hint="eastAsia" w:ascii="微软雅黑" w:hAnsi="微软雅黑" w:eastAsia="微软雅黑"/>
          <w:bCs/>
          <w:caps/>
          <w:sz w:val="24"/>
          <w:szCs w:val="24"/>
          <w:lang w:val="en-US" w:eastAsia="zh-CN"/>
        </w:rPr>
      </w:pPr>
      <w:r>
        <w:fldChar w:fldCharType="begin"/>
      </w:r>
      <w:r>
        <w:instrText xml:space="preserve"> HYPERLINK \l "_Toc77254297" </w:instrText>
      </w:r>
      <w:r>
        <w:fldChar w:fldCharType="separate"/>
      </w:r>
      <w:r>
        <w:rPr>
          <w:rStyle w:val="50"/>
          <w:rFonts w:hint="eastAsia" w:ascii="微软雅黑" w:hAnsi="微软雅黑" w:eastAsia="微软雅黑"/>
          <w:sz w:val="24"/>
          <w:szCs w:val="24"/>
        </w:rPr>
        <w:t>第六章</w:t>
      </w:r>
      <w:r>
        <w:rPr>
          <w:rStyle w:val="50"/>
          <w:rFonts w:ascii="微软雅黑" w:hAnsi="微软雅黑" w:eastAsia="微软雅黑"/>
          <w:sz w:val="24"/>
          <w:szCs w:val="24"/>
        </w:rPr>
        <w:t xml:space="preserve"> </w:t>
      </w:r>
      <w:r>
        <w:rPr>
          <w:rStyle w:val="50"/>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1</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"_Toc77254298" </w:instrText>
      </w:r>
      <w:r>
        <w:fldChar w:fldCharType="separate"/>
      </w:r>
      <w:r>
        <w:rPr>
          <w:rStyle w:val="50"/>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3</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"_Toc77254299" </w:instrText>
      </w:r>
      <w:r>
        <w:fldChar w:fldCharType="separate"/>
      </w:r>
      <w:r>
        <w:rPr>
          <w:rStyle w:val="50"/>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6</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"_Toc77254302" </w:instrText>
      </w:r>
      <w:r>
        <w:fldChar w:fldCharType="separate"/>
      </w:r>
      <w:r>
        <w:rPr>
          <w:rStyle w:val="50"/>
          <w:rFonts w:hint="eastAsia" w:ascii="微软雅黑" w:hAnsi="微软雅黑" w:eastAsia="微软雅黑"/>
          <w:sz w:val="24"/>
          <w:szCs w:val="24"/>
        </w:rPr>
        <w:t>三、商务和技术偏差表</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7</w:t>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"_Toc77254304" </w:instrText>
      </w:r>
      <w:r>
        <w:fldChar w:fldCharType="separate"/>
      </w:r>
      <w:r>
        <w:rPr>
          <w:rStyle w:val="50"/>
          <w:rFonts w:hint="eastAsia" w:ascii="微软雅黑" w:hAnsi="微软雅黑" w:eastAsia="微软雅黑"/>
          <w:sz w:val="24"/>
          <w:szCs w:val="24"/>
        </w:rPr>
        <w:t>四、报价表</w:t>
      </w:r>
      <w:r>
        <w:rPr>
          <w:rFonts w:ascii="微软雅黑" w:hAnsi="微软雅黑" w:eastAsia="微软雅黑"/>
          <w:sz w:val="24"/>
          <w:szCs w:val="24"/>
        </w:rPr>
        <w:tab/>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8</w:t>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50"/>
          <w:rFonts w:hint="eastAsia" w:ascii="微软雅黑" w:hAnsi="微软雅黑" w:eastAsia="微软雅黑"/>
          <w:sz w:val="24"/>
          <w:szCs w:val="24"/>
        </w:rPr>
        <w:t>五、资格审查资料</w:t>
      </w:r>
      <w:r>
        <w:rPr>
          <w:rFonts w:ascii="微软雅黑" w:hAnsi="微软雅黑" w:eastAsia="微软雅黑"/>
          <w:sz w:val="24"/>
          <w:szCs w:val="24"/>
        </w:rPr>
        <w:tab/>
      </w:r>
      <w:r>
        <w:rPr>
          <w:rFonts w:hint="eastAsia" w:ascii="微软雅黑" w:hAnsi="微软雅黑" w:eastAsia="微软雅黑"/>
          <w:sz w:val="24"/>
          <w:szCs w:val="24"/>
          <w:lang w:val="en-US" w:eastAsia="zh-CN"/>
        </w:rPr>
        <w:t>49</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hint="eastAsia" w:ascii="微软雅黑" w:hAnsi="微软雅黑" w:eastAsia="微软雅黑"/>
          <w:smallCaps/>
          <w:sz w:val="24"/>
          <w:szCs w:val="24"/>
          <w:lang w:eastAsia="zh-CN"/>
        </w:rPr>
      </w:pPr>
      <w:r>
        <w:fldChar w:fldCharType="begin"/>
      </w:r>
      <w:r>
        <w:instrText xml:space="preserve"> HYPERLINK \l "_Toc77254309" </w:instrText>
      </w:r>
      <w:r>
        <w:fldChar w:fldCharType="separate"/>
      </w:r>
      <w:r>
        <w:rPr>
          <w:rStyle w:val="50"/>
          <w:rFonts w:hint="eastAsia" w:ascii="微软雅黑" w:hAnsi="微软雅黑" w:eastAsia="微软雅黑"/>
          <w:sz w:val="24"/>
          <w:szCs w:val="24"/>
        </w:rPr>
        <w:t>六、响应方案</w:t>
      </w:r>
      <w:r>
        <w:rPr>
          <w:rFonts w:ascii="微软雅黑" w:hAnsi="微软雅黑" w:eastAsia="微软雅黑"/>
          <w:sz w:val="24"/>
          <w:szCs w:val="24"/>
        </w:rPr>
        <w:tab/>
      </w:r>
      <w:r>
        <w:rPr>
          <w:rFonts w:hint="eastAsia" w:ascii="微软雅黑" w:hAnsi="微软雅黑" w:eastAsia="微软雅黑"/>
          <w:sz w:val="24"/>
          <w:szCs w:val="24"/>
          <w:lang w:val="en-US" w:eastAsia="zh-CN"/>
        </w:rPr>
        <w:t>5</w:t>
      </w:r>
      <w:r>
        <w:rPr>
          <w:rFonts w:hint="eastAsia" w:ascii="微软雅黑" w:hAnsi="微软雅黑" w:eastAsia="微软雅黑"/>
          <w:sz w:val="24"/>
          <w:szCs w:val="24"/>
        </w:rPr>
        <w:fldChar w:fldCharType="end"/>
      </w:r>
      <w:r>
        <w:rPr>
          <w:rFonts w:hint="eastAsia" w:ascii="微软雅黑" w:hAnsi="微软雅黑" w:eastAsia="微软雅黑"/>
          <w:sz w:val="24"/>
          <w:szCs w:val="24"/>
          <w:lang w:val="en-US" w:eastAsia="zh-CN"/>
        </w:rPr>
        <w:t>1</w:t>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50"/>
          <w:rFonts w:hint="eastAsia" w:ascii="微软雅黑" w:hAnsi="微软雅黑" w:eastAsia="微软雅黑"/>
          <w:sz w:val="24"/>
          <w:szCs w:val="24"/>
        </w:rPr>
        <w:t>七、其他资料</w:t>
      </w:r>
      <w:r>
        <w:rPr>
          <w:rFonts w:ascii="微软雅黑" w:hAnsi="微软雅黑" w:eastAsia="微软雅黑"/>
          <w:sz w:val="24"/>
          <w:szCs w:val="24"/>
        </w:rPr>
        <w:tab/>
      </w:r>
      <w:r>
        <w:rPr>
          <w:rFonts w:hint="eastAsia" w:ascii="微软雅黑" w:hAnsi="微软雅黑" w:eastAsia="微软雅黑"/>
          <w:sz w:val="24"/>
          <w:szCs w:val="24"/>
          <w:lang w:val="en-US" w:eastAsia="zh-CN"/>
        </w:rPr>
        <w:t>52</w:t>
      </w:r>
      <w:r>
        <w:rPr>
          <w:rFonts w:hint="eastAsia" w:ascii="微软雅黑" w:hAnsi="微软雅黑" w:eastAsia="微软雅黑"/>
          <w:sz w:val="24"/>
          <w:szCs w:val="24"/>
        </w:rPr>
        <w:fldChar w:fldCharType="end"/>
      </w:r>
    </w:p>
    <w:p>
      <w:pPr>
        <w:pStyle w:val="28"/>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41"/>
      </w:pPr>
    </w:p>
    <w:p>
      <w:pPr>
        <w:pStyle w:val="41"/>
      </w:pPr>
    </w:p>
    <w:p>
      <w:pPr>
        <w:widowControl w:val="0"/>
        <w:adjustRightInd w:val="0"/>
        <w:snapToGrid w:val="0"/>
        <w:spacing w:line="240" w:lineRule="auto"/>
        <w:rPr>
          <w:szCs w:val="21"/>
        </w:rPr>
      </w:pPr>
    </w:p>
    <w:p>
      <w:pPr>
        <w:pStyle w:val="81"/>
        <w:numPr>
          <w:ilvl w:val="0"/>
          <w:numId w:val="1"/>
        </w:numPr>
        <w:spacing w:line="600" w:lineRule="exact"/>
        <w:ind w:left="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37"/>
        <w:spacing w:before="0" w:beforeAutospacing="0" w:after="0" w:afterAutospacing="0"/>
        <w:jc w:val="center"/>
        <w:rPr>
          <w:rFonts w:ascii="黑体" w:hAnsi="黑体" w:eastAsia="黑体"/>
          <w:sz w:val="32"/>
          <w:szCs w:val="32"/>
        </w:rPr>
      </w:pPr>
    </w:p>
    <w:p>
      <w:pPr>
        <w:pStyle w:val="37"/>
        <w:spacing w:before="0" w:beforeAutospacing="0" w:after="0" w:afterAutospacing="0"/>
        <w:jc w:val="center"/>
        <w:rPr>
          <w:rFonts w:hint="eastAsia" w:ascii="黑体" w:hAnsi="黑体" w:eastAsia="黑体"/>
          <w:color w:val="auto"/>
          <w:sz w:val="32"/>
          <w:szCs w:val="32"/>
          <w:lang w:eastAsia="zh-CN"/>
        </w:rPr>
      </w:pPr>
      <w:bookmarkStart w:id="2" w:name="_Toc234832861"/>
      <w:bookmarkStart w:id="3" w:name="_Toc517787494"/>
      <w:r>
        <w:rPr>
          <w:rFonts w:hint="eastAsia" w:ascii="黑体" w:hAnsi="黑体" w:eastAsia="黑体"/>
          <w:color w:val="auto"/>
          <w:sz w:val="32"/>
          <w:szCs w:val="32"/>
          <w:lang w:eastAsia="zh-CN"/>
        </w:rPr>
        <w:t>岳阳港道仁矶码头工程</w:t>
      </w:r>
      <w:r>
        <w:rPr>
          <w:rFonts w:hint="eastAsia" w:ascii="黑体" w:hAnsi="黑体" w:eastAsia="黑体"/>
          <w:color w:val="auto"/>
          <w:sz w:val="32"/>
          <w:szCs w:val="32"/>
          <w:lang w:val="en-US" w:eastAsia="zh-CN"/>
        </w:rPr>
        <w:t>环保</w:t>
      </w:r>
      <w:r>
        <w:rPr>
          <w:rFonts w:hint="eastAsia" w:ascii="黑体" w:hAnsi="黑体" w:eastAsia="黑体"/>
          <w:color w:val="auto"/>
          <w:sz w:val="32"/>
          <w:szCs w:val="32"/>
          <w:lang w:eastAsia="zh-CN"/>
        </w:rPr>
        <w:t>监测技术服务</w:t>
      </w:r>
    </w:p>
    <w:p>
      <w:pPr>
        <w:pStyle w:val="37"/>
        <w:spacing w:before="0" w:beforeAutospacing="0" w:after="0" w:afterAutospacing="0"/>
        <w:jc w:val="center"/>
        <w:rPr>
          <w:rFonts w:ascii="黑体" w:hAnsi="黑体" w:eastAsia="黑体"/>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sz w:val="32"/>
          <w:szCs w:val="32"/>
        </w:rPr>
        <w:t>询价公告</w:t>
      </w:r>
    </w:p>
    <w:p>
      <w:pPr>
        <w:pStyle w:val="37"/>
        <w:spacing w:before="0" w:beforeAutospacing="0" w:after="0" w:afterAutospacing="0"/>
        <w:jc w:val="both"/>
        <w:rPr>
          <w:rFonts w:cs="Times New Roman"/>
          <w:kern w:val="2"/>
        </w:rPr>
      </w:pPr>
      <w:r>
        <w:rPr>
          <w:rFonts w:hint="eastAsia" w:cs="Times New Roman"/>
          <w:kern w:val="2"/>
        </w:rPr>
        <w:t xml:space="preserve"> </w:t>
      </w:r>
    </w:p>
    <w:p>
      <w:pPr>
        <w:pStyle w:val="37"/>
        <w:spacing w:before="0" w:beforeAutospacing="0" w:after="0" w:afterAutospacing="0"/>
        <w:ind w:firstLine="480" w:firstLineChars="200"/>
        <w:jc w:val="both"/>
        <w:rPr>
          <w:rFonts w:cs="Times New Roman"/>
          <w:kern w:val="2"/>
        </w:rPr>
      </w:pPr>
      <w:r>
        <w:rPr>
          <w:rFonts w:hint="eastAsia" w:cs="Times New Roman"/>
          <w:kern w:val="2"/>
          <w:lang w:eastAsia="zh-CN"/>
        </w:rPr>
        <w:t>岳阳港道仁矶码头工程</w:t>
      </w:r>
      <w:r>
        <w:rPr>
          <w:rFonts w:hint="eastAsia" w:cs="Times New Roman"/>
          <w:kern w:val="2"/>
          <w:lang w:val="en-US" w:eastAsia="zh-CN"/>
        </w:rPr>
        <w:t>环保</w:t>
      </w:r>
      <w:r>
        <w:rPr>
          <w:rFonts w:hint="eastAsia" w:cs="Times New Roman"/>
          <w:kern w:val="2"/>
          <w:lang w:eastAsia="zh-CN"/>
        </w:rPr>
        <w:t>监测技术服务</w:t>
      </w:r>
      <w:r>
        <w:rPr>
          <w:rFonts w:hint="eastAsia" w:cs="Times New Roman"/>
          <w:kern w:val="2"/>
        </w:rPr>
        <w:t xml:space="preserve">已具备采购条件，现公开邀请供应商参加采购活动。 </w:t>
      </w:r>
    </w:p>
    <w:p>
      <w:pPr>
        <w:pStyle w:val="5"/>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hint="eastAsia" w:ascii="宋体" w:hAnsi="宋体" w:eastAsia="宋体"/>
          <w:sz w:val="24"/>
          <w:lang w:eastAsia="zh-CN"/>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lang w:eastAsia="zh-CN"/>
        </w:rPr>
        <w:t>岳阳港道仁矶码头工程</w:t>
      </w:r>
      <w:r>
        <w:rPr>
          <w:rFonts w:hint="eastAsia" w:ascii="宋体" w:hAnsi="宋体"/>
          <w:sz w:val="24"/>
          <w:lang w:val="en-US" w:eastAsia="zh-CN"/>
        </w:rPr>
        <w:t>环保</w:t>
      </w:r>
      <w:r>
        <w:rPr>
          <w:rFonts w:hint="eastAsia" w:ascii="宋体" w:hAnsi="宋体"/>
          <w:sz w:val="24"/>
          <w:lang w:eastAsia="zh-CN"/>
        </w:rPr>
        <w:t>监测技术服务</w:t>
      </w:r>
    </w:p>
    <w:p>
      <w:pPr>
        <w:autoSpaceDE w:val="0"/>
        <w:spacing w:line="400" w:lineRule="exact"/>
        <w:rPr>
          <w:rFonts w:hint="eastAsia" w:ascii="宋体" w:hAnsi="宋体" w:eastAsia="宋体"/>
          <w:sz w:val="24"/>
          <w:lang w:eastAsia="zh-CN"/>
        </w:rPr>
      </w:pPr>
      <w:r>
        <w:rPr>
          <w:rFonts w:hint="eastAsia" w:ascii="宋体" w:hAnsi="宋体"/>
          <w:b/>
          <w:bCs/>
          <w:sz w:val="24"/>
        </w:rPr>
        <w:t>1.2</w:t>
      </w:r>
      <w:r>
        <w:rPr>
          <w:rFonts w:hint="eastAsia" w:ascii="宋体" w:hAnsi="宋体"/>
          <w:sz w:val="24"/>
        </w:rPr>
        <w:t xml:space="preserve"> 采购人:</w:t>
      </w:r>
      <w:r>
        <w:rPr>
          <w:rFonts w:hint="eastAsia" w:ascii="宋体" w:hAnsi="宋体"/>
          <w:sz w:val="24"/>
          <w:lang w:eastAsia="zh-CN"/>
        </w:rPr>
        <w:t>岳阳道仁矶港物流有限公司</w:t>
      </w:r>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采购代理机构:无</w:t>
      </w:r>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采购项目资金落实情况:已落实</w:t>
      </w:r>
    </w:p>
    <w:p>
      <w:pPr>
        <w:autoSpaceDE w:val="0"/>
        <w:spacing w:line="400" w:lineRule="exact"/>
        <w:rPr>
          <w:rFonts w:ascii="宋体" w:hAnsi="宋体"/>
          <w:sz w:val="24"/>
        </w:rPr>
      </w:pPr>
      <w:r>
        <w:rPr>
          <w:rFonts w:hint="eastAsia" w:ascii="宋体" w:hAnsi="宋体"/>
          <w:b/>
          <w:bCs/>
          <w:sz w:val="24"/>
        </w:rPr>
        <w:t xml:space="preserve">1.5 </w:t>
      </w:r>
      <w:r>
        <w:rPr>
          <w:rFonts w:hint="eastAsia" w:ascii="宋体" w:hAnsi="宋体"/>
          <w:sz w:val="24"/>
        </w:rPr>
        <w:t>采购项目概况:</w:t>
      </w:r>
      <w:r>
        <w:rPr>
          <w:rFonts w:hint="eastAsia" w:eastAsia="宋体"/>
          <w:color w:val="auto"/>
          <w:sz w:val="24"/>
          <w:lang w:val="en-US" w:eastAsia="zh-CN"/>
        </w:rPr>
        <w:t>岳阳港道仁矶码头工程拟建6个散货泊位，均为5000吨级泊位（水工结构兼顾10000吨级），其中1#-3#泊位为5000吨级散货泊位，用于散货进口，1#泊位可满足接卸自卸砂船；4#-5#泊位为5000吨级散货泊位，以散货出口为主；6#泊位为5000吨级散货泊位，以装卸水泥和防汛物资为主。年吞吐量为1660万吨（含防汛物资），</w:t>
      </w:r>
      <w:r>
        <w:rPr>
          <w:rFonts w:hint="default" w:ascii="Times New Roman" w:hAnsi="Times New Roman" w:cs="Times New Roman"/>
          <w:sz w:val="24"/>
          <w:highlight w:val="none"/>
          <w:lang w:val="en-US" w:eastAsia="zh-CN"/>
        </w:rPr>
        <w:t>水工建筑物设计使用年限为50年。</w:t>
      </w:r>
    </w:p>
    <w:p>
      <w:pPr>
        <w:pStyle w:val="5"/>
        <w:jc w:val="both"/>
        <w:rPr>
          <w:shd w:val="clear" w:color="FFFFFF" w:fill="D9D9D9"/>
        </w:rPr>
      </w:pPr>
      <w:r>
        <w:rPr>
          <w:rFonts w:hint="eastAsia"/>
          <w:shd w:val="clear" w:color="FFFFFF" w:fill="D9D9D9"/>
        </w:rPr>
        <w:t>2．采购范围及相关要求</w:t>
      </w:r>
    </w:p>
    <w:p>
      <w:pPr>
        <w:autoSpaceDE w:val="0"/>
        <w:spacing w:line="400" w:lineRule="exact"/>
        <w:rPr>
          <w:rFonts w:hint="eastAsia" w:ascii="宋体" w:hAnsi="宋体"/>
          <w:color w:val="auto"/>
          <w:sz w:val="24"/>
          <w:highlight w:val="none"/>
          <w:lang w:val="en-US" w:eastAsia="zh-CN"/>
        </w:rPr>
      </w:pPr>
      <w:r>
        <w:rPr>
          <w:rFonts w:hint="eastAsia" w:ascii="宋体" w:hAnsi="宋体"/>
          <w:b/>
          <w:bCs/>
          <w:sz w:val="24"/>
        </w:rPr>
        <w:t xml:space="preserve">2.1 </w:t>
      </w:r>
      <w:r>
        <w:rPr>
          <w:rFonts w:hint="eastAsia" w:ascii="宋体" w:hAnsi="宋体"/>
          <w:sz w:val="24"/>
        </w:rPr>
        <w:t>采</w:t>
      </w:r>
      <w:r>
        <w:rPr>
          <w:rFonts w:hint="eastAsia" w:ascii="宋体" w:hAnsi="宋体"/>
          <w:color w:val="auto"/>
          <w:sz w:val="24"/>
        </w:rPr>
        <w:t>购范围:</w:t>
      </w:r>
      <w:r>
        <w:rPr>
          <w:rFonts w:hint="eastAsia" w:ascii="宋体" w:hAnsi="宋体"/>
          <w:color w:val="auto"/>
          <w:sz w:val="24"/>
          <w:highlight w:val="none"/>
          <w:lang w:val="en-US" w:eastAsia="zh-CN"/>
        </w:rPr>
        <w:t>根据相关法律法规以及环境影响评价文件、环境保护行政主管部门批复等要求，对本工程施工期产生的废气、噪声及地表水环境质量进行现状监测，并出具相应的监测报告。本次需要的监测项目见“第五章采购要求”。</w:t>
      </w:r>
    </w:p>
    <w:p>
      <w:pPr>
        <w:autoSpaceDE w:val="0"/>
        <w:spacing w:line="400" w:lineRule="exact"/>
        <w:rPr>
          <w:rFonts w:hint="default" w:ascii="宋体" w:hAnsi="宋体" w:eastAsia="宋体"/>
          <w:sz w:val="24"/>
          <w:highlight w:val="none"/>
          <w:lang w:val="en-US" w:eastAsia="zh-CN"/>
        </w:rPr>
      </w:pPr>
      <w:r>
        <w:rPr>
          <w:rFonts w:hint="eastAsia" w:ascii="宋体" w:hAnsi="宋体"/>
          <w:b/>
          <w:bCs/>
          <w:sz w:val="24"/>
          <w:highlight w:val="none"/>
        </w:rPr>
        <w:t xml:space="preserve">2.2 </w:t>
      </w:r>
      <w:r>
        <w:rPr>
          <w:rFonts w:hint="eastAsia" w:ascii="宋体" w:hAnsi="宋体"/>
          <w:sz w:val="24"/>
          <w:highlight w:val="none"/>
        </w:rPr>
        <w:t>服务期限:</w:t>
      </w:r>
      <w:r>
        <w:rPr>
          <w:rFonts w:hint="eastAsia" w:ascii="宋体" w:hAnsi="宋体"/>
          <w:sz w:val="24"/>
          <w:highlight w:val="none"/>
          <w:lang w:val="en-US" w:eastAsia="zh-CN"/>
        </w:rPr>
        <w:t>开始计划时间为2024年6月底至本项目交工验收完成，具体以采购人要求为准。</w:t>
      </w:r>
    </w:p>
    <w:p>
      <w:pPr>
        <w:autoSpaceDE w:val="0"/>
        <w:spacing w:line="400" w:lineRule="exact"/>
        <w:rPr>
          <w:rFonts w:hint="eastAsia" w:eastAsia="宋体"/>
          <w:color w:val="auto"/>
          <w:sz w:val="24"/>
          <w:lang w:val="en-US" w:eastAsia="zh-CN"/>
        </w:rPr>
      </w:pPr>
      <w:r>
        <w:rPr>
          <w:rFonts w:hint="eastAsia" w:ascii="宋体" w:hAnsi="宋体"/>
          <w:b/>
          <w:bCs/>
          <w:sz w:val="24"/>
        </w:rPr>
        <w:t>2.3</w:t>
      </w:r>
      <w:r>
        <w:rPr>
          <w:rFonts w:hint="eastAsia" w:ascii="宋体" w:hAnsi="宋体"/>
          <w:sz w:val="24"/>
        </w:rPr>
        <w:t xml:space="preserve"> 服务地点: </w:t>
      </w:r>
      <w:r>
        <w:rPr>
          <w:rFonts w:hint="eastAsia" w:eastAsia="宋体"/>
          <w:color w:val="auto"/>
          <w:sz w:val="24"/>
          <w:lang w:val="en-US" w:eastAsia="zh-CN"/>
        </w:rPr>
        <w:t>岳阳市云溪区道仁矶镇。</w:t>
      </w:r>
    </w:p>
    <w:p>
      <w:pPr>
        <w:autoSpaceDE w:val="0"/>
        <w:spacing w:line="400" w:lineRule="exact"/>
        <w:rPr>
          <w:rFonts w:ascii="宋体" w:hAnsi="宋体"/>
          <w:sz w:val="24"/>
        </w:rPr>
      </w:pPr>
      <w:r>
        <w:rPr>
          <w:rFonts w:hint="eastAsia" w:ascii="宋体" w:hAnsi="宋体"/>
          <w:b/>
          <w:bCs/>
          <w:sz w:val="24"/>
        </w:rPr>
        <w:t>2.4</w:t>
      </w:r>
      <w:r>
        <w:rPr>
          <w:rFonts w:hint="eastAsia" w:ascii="宋体" w:hAnsi="宋体"/>
          <w:sz w:val="24"/>
        </w:rPr>
        <w:t xml:space="preserve"> 相关要求: 详见“第五章 采购要求”</w:t>
      </w:r>
    </w:p>
    <w:p>
      <w:pPr>
        <w:pStyle w:val="5"/>
        <w:jc w:val="both"/>
        <w:rPr>
          <w:rFonts w:ascii="Arial" w:hAnsi="Arial"/>
        </w:rPr>
      </w:pPr>
      <w:r>
        <w:rPr>
          <w:rFonts w:hint="eastAsia"/>
        </w:rPr>
        <w:t xml:space="preserve">3 </w:t>
      </w:r>
      <w:r>
        <w:rPr>
          <w:rFonts w:hint="eastAsia" w:ascii="黑体" w:hAnsi="黑体"/>
        </w:rPr>
        <w:t>供应商资格要求</w:t>
      </w:r>
    </w:p>
    <w:p>
      <w:pPr>
        <w:autoSpaceDE w:val="0"/>
        <w:spacing w:line="400" w:lineRule="exact"/>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jc w:val="both"/>
        <w:rPr>
          <w:rFonts w:ascii="宋体" w:hAnsi="宋体"/>
          <w:sz w:val="24"/>
        </w:rPr>
      </w:pPr>
      <w:r>
        <w:rPr>
          <w:rFonts w:hint="eastAsia" w:ascii="宋体" w:hAnsi="宋体"/>
          <w:sz w:val="24"/>
        </w:rPr>
        <w:t>（4）为投资参股本项目的法人单位；</w:t>
      </w:r>
    </w:p>
    <w:p>
      <w:pPr>
        <w:autoSpaceDE w:val="0"/>
        <w:spacing w:line="400" w:lineRule="exact"/>
        <w:ind w:firstLine="240" w:firstLineChars="100"/>
        <w:jc w:val="both"/>
        <w:rPr>
          <w:rFonts w:ascii="宋体" w:hAnsi="宋体"/>
          <w:sz w:val="24"/>
        </w:rPr>
      </w:pPr>
      <w:r>
        <w:rPr>
          <w:rFonts w:hint="eastAsia" w:ascii="宋体" w:hAnsi="宋体"/>
          <w:sz w:val="24"/>
        </w:rPr>
        <w:t>（5）具有直接管理和被管理关系的母子(分)公司，或同一母公司的子(分)公司，或法定代表人为同一人的两个或两个以上法人，同时投同一标段。</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4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6"/>
                <w:u w:val="single"/>
              </w:rPr>
            </w:pPr>
            <w:r>
              <w:rPr>
                <w:rFonts w:hint="eastAsia" w:cs="仿宋" w:asciiTheme="minorEastAsia" w:hAnsiTheme="minorEastAsia" w:eastAsiaTheme="minorEastAsia"/>
                <w:sz w:val="24"/>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Style w:val="46"/>
                <w:rFonts w:hint="eastAsia"/>
                <w:u w:val="single"/>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6"/>
                <w:u w:val="single"/>
              </w:rPr>
            </w:pPr>
            <w:r>
              <w:rPr>
                <w:rFonts w:hint="eastAsia" w:cs="仿宋" w:asciiTheme="minorEastAsia" w:hAnsiTheme="minorEastAsia" w:eastAsiaTheme="minorEastAsia"/>
                <w:sz w:val="24"/>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Fonts w:hint="eastAsia" w:cs="仿宋" w:asciiTheme="minorEastAsia" w:hAnsiTheme="minorEastAsia" w:eastAsiaTheme="minorEastAsia"/>
                <w:sz w:val="24"/>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6"/>
                <w:u w:val="single"/>
              </w:rPr>
            </w:pPr>
            <w:r>
              <w:rPr>
                <w:rFonts w:hint="eastAsia" w:cs="仿宋" w:asciiTheme="minorEastAsia" w:hAnsiTheme="minorEastAsia" w:eastAsiaTheme="minorEastAsia"/>
                <w:sz w:val="24"/>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Style w:val="46"/>
                <w:rFonts w:hint="eastAsia"/>
                <w:u w:val="single"/>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Fonts w:hint="eastAsia" w:cs="仿宋" w:asciiTheme="minorEastAsia" w:hAnsiTheme="minorEastAsia" w:eastAsiaTheme="minorEastAsia"/>
                <w:sz w:val="24"/>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Style w:val="46"/>
                <w:rFonts w:hint="eastAsia"/>
                <w:u w:val="single"/>
                <w:lang w:eastAsia="zh-CN"/>
              </w:rPr>
              <w:t>□</w:t>
            </w:r>
            <w:r>
              <w:rPr>
                <w:rStyle w:val="46"/>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6"/>
                <w:u w:val="single"/>
              </w:rPr>
            </w:pPr>
            <w:r>
              <w:rPr>
                <w:rFonts w:hint="eastAsia" w:cs="仿宋" w:asciiTheme="minorEastAsia" w:hAnsiTheme="minorEastAsia" w:eastAsiaTheme="minorEastAsia"/>
                <w:sz w:val="24"/>
              </w:rPr>
              <w:t>□</w:t>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6"/>
                <w:u w:val="single"/>
              </w:rPr>
            </w:pP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color w:val="auto"/>
                <w:sz w:val="24"/>
              </w:rPr>
            </w:pPr>
            <w:r>
              <w:rPr>
                <w:rFonts w:hint="eastAsia" w:ascii="宋体" w:hAnsi="宋体"/>
                <w:color w:val="auto"/>
                <w:sz w:val="24"/>
              </w:rPr>
              <w:t>（6）承担本项目的主要人员要求</w:t>
            </w:r>
          </w:p>
        </w:tc>
        <w:tc>
          <w:tcPr>
            <w:tcW w:w="1786" w:type="dxa"/>
          </w:tcPr>
          <w:p>
            <w:pPr>
              <w:widowControl w:val="0"/>
              <w:spacing w:line="320" w:lineRule="exact"/>
              <w:jc w:val="both"/>
              <w:rPr>
                <w:rStyle w:val="46"/>
                <w:color w:val="auto"/>
                <w:u w:val="single"/>
              </w:rPr>
            </w:pPr>
            <w:r>
              <w:rPr>
                <w:rFonts w:hint="eastAsia" w:cs="仿宋" w:asciiTheme="minorEastAsia" w:hAnsiTheme="minorEastAsia" w:eastAsiaTheme="minorEastAsia"/>
                <w:color w:val="auto"/>
                <w:sz w:val="24"/>
              </w:rPr>
              <w:t>□</w:t>
            </w:r>
            <w:r>
              <w:rPr>
                <w:rStyle w:val="46"/>
                <w:rFonts w:hint="eastAsia"/>
                <w:color w:val="auto"/>
                <w:u w:val="single"/>
              </w:rPr>
              <w:t xml:space="preserve">不适用  </w:t>
            </w:r>
          </w:p>
          <w:p>
            <w:pPr>
              <w:widowControl w:val="0"/>
              <w:spacing w:line="320" w:lineRule="exact"/>
              <w:jc w:val="both"/>
              <w:rPr>
                <w:rFonts w:ascii="宋体" w:hAnsi="宋体"/>
                <w:color w:val="auto"/>
                <w:sz w:val="24"/>
              </w:rPr>
            </w:pPr>
            <w:r>
              <w:rPr>
                <w:rFonts w:hint="eastAsia" w:cs="仿宋" w:asciiTheme="minorEastAsia" w:hAnsiTheme="minorEastAsia" w:eastAsiaTheme="minorEastAsia"/>
                <w:color w:val="auto"/>
                <w:sz w:val="24"/>
                <w:lang w:eastAsia="zh-CN"/>
              </w:rPr>
              <w:t>☑</w:t>
            </w:r>
            <w:r>
              <w:rPr>
                <w:rStyle w:val="46"/>
                <w:rFonts w:hint="eastAsia"/>
                <w:color w:val="auto"/>
                <w:u w:val="single"/>
              </w:rPr>
              <w:t>适用</w:t>
            </w:r>
          </w:p>
        </w:tc>
        <w:tc>
          <w:tcPr>
            <w:tcW w:w="5443" w:type="dxa"/>
          </w:tcPr>
          <w:p>
            <w:pPr>
              <w:widowControl w:val="0"/>
              <w:spacing w:line="320" w:lineRule="exact"/>
              <w:jc w:val="both"/>
              <w:rPr>
                <w:rStyle w:val="46"/>
                <w:color w:val="auto"/>
                <w:u w:val="single"/>
              </w:rPr>
            </w:pPr>
            <w:r>
              <w:rPr>
                <w:rFonts w:hint="eastAsia" w:cs="仿宋" w:asciiTheme="minorEastAsia" w:hAnsiTheme="minorEastAsia" w:eastAsiaTheme="minorEastAsia"/>
                <w:color w:val="auto"/>
                <w:sz w:val="24"/>
              </w:rPr>
              <w:t>□</w:t>
            </w:r>
            <w:r>
              <w:rPr>
                <w:rStyle w:val="46"/>
                <w:rFonts w:hint="eastAsia"/>
                <w:color w:val="auto"/>
                <w:u w:val="single"/>
              </w:rPr>
              <w:t xml:space="preserve">不适用  </w:t>
            </w:r>
          </w:p>
          <w:p>
            <w:pPr>
              <w:widowControl w:val="0"/>
              <w:spacing w:line="320" w:lineRule="exact"/>
              <w:jc w:val="both"/>
              <w:rPr>
                <w:rFonts w:ascii="宋体" w:hAnsi="宋体"/>
                <w:color w:val="auto"/>
                <w:sz w:val="24"/>
              </w:rPr>
            </w:pPr>
            <w:r>
              <w:rPr>
                <w:rFonts w:hint="eastAsia" w:cs="仿宋" w:asciiTheme="minorEastAsia" w:hAnsiTheme="minorEastAsia" w:eastAsiaTheme="minorEastAsia"/>
                <w:color w:val="auto"/>
                <w:sz w:val="24"/>
                <w:lang w:eastAsia="zh-CN"/>
              </w:rPr>
              <w:t>☑</w:t>
            </w:r>
            <w:r>
              <w:rPr>
                <w:rStyle w:val="46"/>
                <w:rFonts w:hint="eastAsia"/>
                <w:color w:val="auto"/>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6"/>
                <w:u w:val="single"/>
              </w:rPr>
            </w:pPr>
            <w:r>
              <w:rPr>
                <w:rFonts w:hint="eastAsia" w:cs="仿宋" w:asciiTheme="minorEastAsia" w:hAnsiTheme="minorEastAsia" w:eastAsiaTheme="minorEastAsia"/>
                <w:sz w:val="24"/>
                <w:lang w:eastAsia="zh-CN"/>
              </w:rPr>
              <w:t>☑</w:t>
            </w:r>
            <w:r>
              <w:rPr>
                <w:rStyle w:val="46"/>
                <w:rFonts w:hint="eastAsia"/>
                <w:u w:val="single"/>
              </w:rPr>
              <w:t xml:space="preserve">不适用  </w:t>
            </w:r>
          </w:p>
          <w:p>
            <w:pPr>
              <w:widowControl w:val="0"/>
              <w:spacing w:line="320" w:lineRule="exact"/>
              <w:jc w:val="both"/>
              <w:rPr>
                <w:rFonts w:ascii="宋体" w:hAnsi="宋体"/>
                <w:sz w:val="24"/>
              </w:rPr>
            </w:pPr>
            <w:r>
              <w:rPr>
                <w:rStyle w:val="46"/>
                <w:rFonts w:hint="eastAsia"/>
                <w:u w:val="single"/>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Style w:val="46"/>
                <w:rFonts w:hint="eastAsia"/>
                <w:u w:val="single"/>
              </w:rPr>
              <w:t xml:space="preserve">☑不适用  </w:t>
            </w:r>
          </w:p>
          <w:p>
            <w:pPr>
              <w:widowControl w:val="0"/>
              <w:spacing w:line="320" w:lineRule="exact"/>
              <w:jc w:val="both"/>
              <w:rPr>
                <w:rFonts w:ascii="宋体" w:hAnsi="宋体"/>
                <w:sz w:val="24"/>
              </w:rPr>
            </w:pPr>
            <w:r>
              <w:rPr>
                <w:rStyle w:val="46"/>
                <w:rFonts w:hint="eastAsia"/>
                <w:u w:val="single"/>
                <w:lang w:eastAsia="zh-CN"/>
              </w:rPr>
              <w:t>□</w:t>
            </w:r>
            <w:r>
              <w:rPr>
                <w:rStyle w:val="46"/>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6"/>
                <w:u w:val="single"/>
              </w:rPr>
            </w:pPr>
            <w:r>
              <w:rPr>
                <w:rStyle w:val="46"/>
                <w:rFonts w:hint="eastAsia"/>
                <w:u w:val="single"/>
              </w:rPr>
              <w:sym w:font="Wingdings 2" w:char="00A3"/>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w:t>
            </w:r>
          </w:p>
        </w:tc>
        <w:tc>
          <w:tcPr>
            <w:tcW w:w="5443" w:type="dxa"/>
          </w:tcPr>
          <w:p>
            <w:pPr>
              <w:widowControl w:val="0"/>
              <w:spacing w:line="320" w:lineRule="exact"/>
              <w:jc w:val="both"/>
              <w:rPr>
                <w:rStyle w:val="46"/>
                <w:u w:val="single"/>
              </w:rPr>
            </w:pPr>
            <w:r>
              <w:rPr>
                <w:rStyle w:val="46"/>
                <w:rFonts w:hint="eastAsia"/>
                <w:u w:val="single"/>
              </w:rPr>
              <w:sym w:font="Wingdings 2" w:char="00A3"/>
            </w:r>
            <w:r>
              <w:rPr>
                <w:rStyle w:val="46"/>
                <w:rFonts w:hint="eastAsia"/>
                <w:u w:val="single"/>
              </w:rPr>
              <w:t xml:space="preserve">不适用  </w:t>
            </w:r>
          </w:p>
          <w:p>
            <w:pPr>
              <w:widowControl w:val="0"/>
              <w:spacing w:line="320" w:lineRule="exact"/>
              <w:jc w:val="both"/>
              <w:rPr>
                <w:rFonts w:ascii="宋体" w:hAnsi="宋体"/>
                <w:sz w:val="24"/>
              </w:rPr>
            </w:pPr>
            <w:r>
              <w:rPr>
                <w:rFonts w:hint="eastAsia" w:cs="仿宋" w:asciiTheme="minorEastAsia" w:hAnsiTheme="minorEastAsia" w:eastAsiaTheme="minorEastAsia"/>
                <w:sz w:val="24"/>
                <w:lang w:eastAsia="zh-CN"/>
              </w:rPr>
              <w:t>☑</w:t>
            </w:r>
            <w:r>
              <w:rPr>
                <w:rStyle w:val="46"/>
                <w:rFonts w:hint="eastAsia"/>
                <w:u w:val="single"/>
              </w:rPr>
              <w:t>适用,见采购文件供应商须知前附表3.5（8）。</w:t>
            </w:r>
          </w:p>
        </w:tc>
      </w:tr>
    </w:tbl>
    <w:p>
      <w:pPr>
        <w:pStyle w:val="5"/>
        <w:jc w:val="both"/>
        <w:rPr>
          <w:rFonts w:ascii="Arial" w:hAnsi="Arial"/>
        </w:rPr>
      </w:pPr>
      <w:r>
        <w:rPr>
          <w:rFonts w:hint="eastAsia"/>
        </w:rPr>
        <w:t>4</w:t>
      </w:r>
      <w:r>
        <w:rPr>
          <w:rFonts w:hint="eastAsia" w:ascii="黑体" w:hAnsi="黑体"/>
        </w:rPr>
        <w:t>确定成交供应商的方法</w:t>
      </w:r>
    </w:p>
    <w:p>
      <w:pPr>
        <w:autoSpaceDE w:val="0"/>
        <w:spacing w:line="240" w:lineRule="auto"/>
        <w:ind w:firstLine="482" w:firstLineChars="200"/>
        <w:jc w:val="both"/>
        <w:rPr>
          <w:rStyle w:val="46"/>
        </w:rPr>
      </w:pPr>
      <w:r>
        <w:rPr>
          <w:rFonts w:hint="eastAsia" w:ascii="宋体" w:hAnsi="宋体"/>
          <w:b/>
          <w:bCs/>
          <w:sz w:val="24"/>
          <w:lang w:val="en-US" w:eastAsia="zh-CN"/>
        </w:rPr>
        <w:t>4</w:t>
      </w:r>
      <w:r>
        <w:rPr>
          <w:rFonts w:hint="eastAsia" w:ascii="宋体" w:hAnsi="宋体"/>
          <w:b/>
          <w:bCs/>
          <w:sz w:val="24"/>
        </w:rPr>
        <w:t>.1</w:t>
      </w:r>
      <w:permStart w:id="1" w:edGrp="everyone"/>
      <w:r>
        <w:rPr>
          <w:rFonts w:hint="eastAsia" w:cs="仿宋" w:asciiTheme="minorEastAsia" w:hAnsiTheme="minorEastAsia" w:eastAsiaTheme="minorEastAsia"/>
          <w:szCs w:val="21"/>
        </w:rPr>
        <w:t>综合评分法</w:t>
      </w:r>
    </w:p>
    <w:permEnd w:id="1"/>
    <w:p>
      <w:pPr>
        <w:autoSpaceDE w:val="0"/>
        <w:spacing w:line="240" w:lineRule="auto"/>
        <w:ind w:firstLine="482" w:firstLineChars="200"/>
        <w:jc w:val="both"/>
        <w:rPr>
          <w:rFonts w:ascii="宋体" w:hAnsi="宋体"/>
          <w:sz w:val="24"/>
        </w:rPr>
      </w:pPr>
      <w:r>
        <w:rPr>
          <w:rFonts w:hint="eastAsia" w:ascii="宋体" w:hAnsi="宋体"/>
          <w:b/>
          <w:bCs/>
          <w:sz w:val="24"/>
          <w:lang w:val="en-US" w:eastAsia="zh-CN"/>
        </w:rPr>
        <w:t>4</w:t>
      </w:r>
      <w:r>
        <w:rPr>
          <w:rFonts w:hint="eastAsia" w:ascii="宋体" w:hAnsi="宋体"/>
          <w:b/>
          <w:bCs/>
          <w:sz w:val="24"/>
        </w:rPr>
        <w:t>.2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5"/>
        <w:keepNext w:val="0"/>
        <w:keepLines w:val="0"/>
        <w:widowControl w:val="0"/>
        <w:adjustRightInd w:val="0"/>
        <w:snapToGrid w:val="0"/>
        <w:spacing w:after="0" w:line="312" w:lineRule="auto"/>
        <w:jc w:val="both"/>
        <w:rPr>
          <w:color w:val="auto"/>
          <w:highlight w:val="none"/>
        </w:rPr>
      </w:pPr>
      <w:r>
        <w:rPr>
          <w:rFonts w:hint="eastAsia"/>
          <w:highlight w:val="none"/>
        </w:rPr>
        <w:t>5</w:t>
      </w:r>
      <w:r>
        <w:rPr>
          <w:rFonts w:hint="eastAsia"/>
          <w:color w:val="000000"/>
          <w:highlight w:val="none"/>
        </w:rPr>
        <w:t>．最高投标限价</w:t>
      </w:r>
    </w:p>
    <w:p>
      <w:pPr>
        <w:autoSpaceDE w:val="0"/>
        <w:spacing w:line="400" w:lineRule="exact"/>
        <w:ind w:firstLine="482" w:firstLineChars="200"/>
        <w:jc w:val="both"/>
        <w:rPr>
          <w:rFonts w:ascii="宋体" w:hAnsi="宋体"/>
          <w:color w:val="auto"/>
          <w:sz w:val="24"/>
          <w:highlight w:val="none"/>
        </w:rPr>
      </w:pPr>
      <w:bookmarkStart w:id="4" w:name="_Toc38287094"/>
      <w:bookmarkStart w:id="5" w:name="_Toc40274970"/>
      <w:r>
        <w:rPr>
          <w:rFonts w:hint="eastAsia" w:ascii="宋体" w:hAnsi="宋体"/>
          <w:b/>
          <w:bCs/>
          <w:color w:val="auto"/>
          <w:sz w:val="24"/>
          <w:highlight w:val="none"/>
        </w:rPr>
        <w:t>5.1</w:t>
      </w:r>
      <w:r>
        <w:rPr>
          <w:rFonts w:hint="eastAsia" w:ascii="宋体" w:hAnsi="宋体"/>
          <w:color w:val="auto"/>
          <w:sz w:val="24"/>
          <w:highlight w:val="none"/>
        </w:rPr>
        <w:t>询价人为本次招标编制了最高投标限价，最高限价</w:t>
      </w:r>
      <w:r>
        <w:rPr>
          <w:rFonts w:hint="eastAsia" w:ascii="宋体" w:hAnsi="宋体"/>
          <w:color w:val="auto"/>
          <w:sz w:val="24"/>
          <w:highlight w:val="none"/>
          <w:lang w:val="en-US" w:eastAsia="zh-CN"/>
        </w:rPr>
        <w:t>贰拾伍万</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250000元</w:t>
      </w:r>
      <w:r>
        <w:rPr>
          <w:rFonts w:hint="eastAsia" w:ascii="宋体" w:hAnsi="宋体"/>
          <w:color w:val="auto"/>
          <w:sz w:val="24"/>
          <w:highlight w:val="none"/>
          <w:lang w:eastAsia="zh-CN"/>
        </w:rPr>
        <w:t>）</w:t>
      </w:r>
      <w:r>
        <w:rPr>
          <w:rFonts w:hint="eastAsia" w:ascii="宋体" w:hAnsi="宋体"/>
          <w:color w:val="auto"/>
          <w:sz w:val="24"/>
          <w:highlight w:val="none"/>
        </w:rPr>
        <w:t>。</w:t>
      </w:r>
    </w:p>
    <w:p>
      <w:pPr>
        <w:autoSpaceDE w:val="0"/>
        <w:spacing w:line="400" w:lineRule="exact"/>
        <w:ind w:firstLine="482" w:firstLineChars="200"/>
        <w:jc w:val="both"/>
        <w:rPr>
          <w:rFonts w:ascii="宋体" w:hAnsi="宋体"/>
          <w:color w:val="auto"/>
          <w:sz w:val="24"/>
          <w:highlight w:val="none"/>
        </w:rPr>
      </w:pPr>
      <w:r>
        <w:rPr>
          <w:rFonts w:hint="eastAsia" w:ascii="宋体" w:hAnsi="宋体"/>
          <w:b/>
          <w:bCs/>
          <w:color w:val="auto"/>
          <w:sz w:val="24"/>
          <w:highlight w:val="none"/>
        </w:rPr>
        <w:t>5.2</w:t>
      </w:r>
      <w:r>
        <w:rPr>
          <w:rFonts w:hint="eastAsia" w:ascii="宋体" w:hAnsi="宋体"/>
          <w:color w:val="auto"/>
          <w:sz w:val="24"/>
          <w:highlight w:val="none"/>
        </w:rPr>
        <w:t>报价人投标报价应不高于最高投标限价，否则其投标将被否决。</w:t>
      </w:r>
      <w:bookmarkEnd w:id="4"/>
      <w:bookmarkEnd w:id="5"/>
    </w:p>
    <w:p>
      <w:pPr>
        <w:pStyle w:val="5"/>
        <w:jc w:val="both"/>
        <w:rPr>
          <w:rFonts w:ascii="Arial" w:hAnsi="Arial"/>
          <w:color w:val="auto"/>
        </w:rPr>
      </w:pPr>
      <w:r>
        <w:rPr>
          <w:rFonts w:hint="eastAsia"/>
          <w:color w:val="auto"/>
        </w:rPr>
        <w:t>6.</w:t>
      </w:r>
      <w:r>
        <w:rPr>
          <w:rFonts w:hint="eastAsia" w:ascii="黑体" w:hAnsi="黑体"/>
          <w:color w:val="auto"/>
        </w:rPr>
        <w:t>采购文件获取</w:t>
      </w:r>
    </w:p>
    <w:p>
      <w:pPr>
        <w:autoSpaceDE w:val="0"/>
        <w:spacing w:line="400" w:lineRule="exact"/>
        <w:ind w:firstLine="482" w:firstLineChars="200"/>
        <w:jc w:val="both"/>
        <w:rPr>
          <w:rFonts w:ascii="宋体" w:hAnsi="宋体"/>
          <w:color w:val="auto"/>
          <w:sz w:val="24"/>
          <w:highlight w:val="none"/>
        </w:rPr>
      </w:pPr>
      <w:r>
        <w:rPr>
          <w:rFonts w:hint="eastAsia" w:ascii="宋体" w:hAnsi="宋体"/>
          <w:b/>
          <w:bCs/>
          <w:color w:val="auto"/>
          <w:sz w:val="24"/>
          <w:highlight w:val="none"/>
        </w:rPr>
        <w:t>6.1</w:t>
      </w:r>
      <w:r>
        <w:rPr>
          <w:rFonts w:hint="eastAsia" w:ascii="宋体" w:hAnsi="宋体"/>
          <w:color w:val="auto"/>
          <w:sz w:val="24"/>
          <w:highlight w:val="none"/>
        </w:rPr>
        <w:t xml:space="preserve"> 供应商应当于</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rPr>
        <w:t>月</w:t>
      </w:r>
      <w:r>
        <w:rPr>
          <w:rFonts w:hint="eastAsia" w:ascii="宋体" w:hAnsi="宋体"/>
          <w:color w:val="auto"/>
          <w:sz w:val="24"/>
          <w:highlight w:val="none"/>
          <w:u w:val="single"/>
          <w:lang w:val="en-US" w:eastAsia="zh-CN"/>
        </w:rPr>
        <w:t>22</w:t>
      </w:r>
      <w:r>
        <w:rPr>
          <w:rFonts w:hint="eastAsia" w:ascii="宋体" w:hAnsi="宋体"/>
          <w:color w:val="auto"/>
          <w:sz w:val="24"/>
          <w:highlight w:val="none"/>
        </w:rPr>
        <w:t>日至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rPr>
        <w:t>月</w:t>
      </w:r>
      <w:r>
        <w:rPr>
          <w:rFonts w:hint="eastAsia" w:ascii="宋体" w:hAnsi="宋体"/>
          <w:color w:val="auto"/>
          <w:sz w:val="24"/>
          <w:highlight w:val="none"/>
          <w:u w:val="single"/>
          <w:lang w:val="en-US" w:eastAsia="zh-CN"/>
        </w:rPr>
        <w:t>26</w:t>
      </w:r>
      <w:r>
        <w:rPr>
          <w:rFonts w:hint="eastAsia" w:ascii="宋体" w:hAnsi="宋体"/>
          <w:color w:val="auto"/>
          <w:sz w:val="24"/>
          <w:highlight w:val="none"/>
        </w:rPr>
        <w:t>日，</w:t>
      </w:r>
      <w:r>
        <w:rPr>
          <w:rFonts w:hint="eastAsia" w:ascii="宋体" w:hAnsi="宋体"/>
          <w:color w:val="auto"/>
          <w:sz w:val="24"/>
          <w:highlight w:val="none"/>
          <w:u w:val="single"/>
        </w:rPr>
        <w:t>网上直接下载</w:t>
      </w:r>
      <w:r>
        <w:rPr>
          <w:rFonts w:hint="eastAsia" w:ascii="宋体" w:hAnsi="宋体"/>
          <w:color w:val="auto"/>
          <w:sz w:val="24"/>
          <w:highlight w:val="none"/>
        </w:rPr>
        <w:t>获取采购文件，报价文件最迟应于</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4</w:t>
      </w:r>
      <w:r>
        <w:rPr>
          <w:rFonts w:hint="eastAsia" w:ascii="宋体" w:hAnsi="宋体"/>
          <w:color w:val="auto"/>
          <w:sz w:val="24"/>
          <w:highlight w:val="non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rPr>
        <w:t>月</w:t>
      </w:r>
      <w:r>
        <w:rPr>
          <w:rFonts w:hint="eastAsia" w:ascii="宋体" w:hAnsi="宋体"/>
          <w:color w:val="auto"/>
          <w:sz w:val="24"/>
          <w:highlight w:val="none"/>
          <w:u w:val="single"/>
          <w:lang w:val="en-US" w:eastAsia="zh-CN"/>
        </w:rPr>
        <w:t>27</w:t>
      </w:r>
      <w:r>
        <w:rPr>
          <w:rFonts w:hint="eastAsia" w:ascii="宋体" w:hAnsi="宋体"/>
          <w:color w:val="auto"/>
          <w:sz w:val="24"/>
          <w:highlight w:val="none"/>
        </w:rPr>
        <w:t>日</w:t>
      </w:r>
      <w:r>
        <w:rPr>
          <w:rFonts w:hint="eastAsia" w:ascii="宋体" w:hAnsi="宋体"/>
          <w:color w:val="auto"/>
          <w:sz w:val="24"/>
          <w:highlight w:val="none"/>
          <w:u w:val="single"/>
          <w:lang w:val="en-US" w:eastAsia="zh-CN"/>
        </w:rPr>
        <w:t>12</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分送达</w:t>
      </w:r>
      <w:r>
        <w:rPr>
          <w:rFonts w:hint="eastAsia" w:ascii="宋体" w:hAnsi="宋体"/>
          <w:color w:val="auto"/>
          <w:sz w:val="24"/>
          <w:highlight w:val="none"/>
          <w:u w:val="single"/>
          <w:lang w:val="en-US" w:eastAsia="zh-CN"/>
        </w:rPr>
        <w:t>湖南省港务集团有限公司办公楼305室</w:t>
      </w:r>
      <w:r>
        <w:rPr>
          <w:rFonts w:hint="eastAsia" w:ascii="宋体" w:hAnsi="宋体"/>
          <w:color w:val="auto"/>
          <w:sz w:val="24"/>
          <w:highlight w:val="none"/>
        </w:rPr>
        <w:t>，逾期送达的或者未送达指定地点的文件，不予受理。</w:t>
      </w:r>
    </w:p>
    <w:p>
      <w:pPr>
        <w:widowControl w:val="0"/>
        <w:spacing w:line="312" w:lineRule="auto"/>
        <w:ind w:firstLine="482" w:firstLineChars="200"/>
        <w:jc w:val="both"/>
        <w:rPr>
          <w:rFonts w:ascii="宋体" w:hAnsi="宋体"/>
          <w:sz w:val="24"/>
          <w:highlight w:val="none"/>
        </w:rPr>
      </w:pPr>
      <w:r>
        <w:rPr>
          <w:rFonts w:hint="eastAsia" w:ascii="宋体" w:hAnsi="宋体"/>
          <w:b/>
          <w:bCs/>
          <w:color w:val="auto"/>
          <w:sz w:val="24"/>
          <w:highlight w:val="none"/>
        </w:rPr>
        <w:t xml:space="preserve">6.2 </w:t>
      </w:r>
      <w:r>
        <w:rPr>
          <w:rFonts w:hint="eastAsia" w:ascii="宋体" w:hAnsi="宋体"/>
          <w:color w:val="auto"/>
          <w:sz w:val="24"/>
          <w:highlight w:val="none"/>
        </w:rPr>
        <w:t>供应商若对本项目采购需求、资格要求等有疑问的，应当于202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w:t>
      </w:r>
      <w:r>
        <w:rPr>
          <w:rFonts w:hint="eastAsia" w:ascii="宋体" w:hAnsi="宋体"/>
          <w:color w:val="auto"/>
          <w:sz w:val="24"/>
          <w:highlight w:val="none"/>
          <w:lang w:val="en-US" w:eastAsia="zh-CN"/>
        </w:rPr>
        <w:t>17</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sz w:val="24"/>
          <w:highlight w:val="none"/>
        </w:rPr>
        <w:t>前向采购人提出澄清要求。</w:t>
      </w:r>
    </w:p>
    <w:p>
      <w:pPr>
        <w:widowControl w:val="0"/>
        <w:spacing w:line="312" w:lineRule="auto"/>
        <w:ind w:firstLine="482" w:firstLineChars="200"/>
        <w:jc w:val="both"/>
        <w:rPr>
          <w:rFonts w:ascii="宋体" w:hAnsi="宋体"/>
          <w:sz w:val="24"/>
          <w:highlight w:val="none"/>
        </w:rPr>
      </w:pPr>
      <w:r>
        <w:rPr>
          <w:rFonts w:hint="eastAsia" w:ascii="宋体" w:hAnsi="宋体"/>
          <w:b/>
          <w:bCs/>
          <w:sz w:val="24"/>
          <w:highlight w:val="none"/>
        </w:rPr>
        <w:t xml:space="preserve">6.3 </w:t>
      </w:r>
      <w:r>
        <w:rPr>
          <w:rFonts w:hint="eastAsia" w:ascii="宋体" w:hAnsi="宋体"/>
          <w:sz w:val="24"/>
          <w:highlight w:val="none"/>
        </w:rPr>
        <w:t>本次询价不接受联合体报价。</w:t>
      </w:r>
    </w:p>
    <w:p>
      <w:pPr>
        <w:pStyle w:val="5"/>
        <w:jc w:val="both"/>
        <w:rPr>
          <w:highlight w:val="none"/>
        </w:rPr>
      </w:pPr>
      <w:r>
        <w:rPr>
          <w:rFonts w:hint="eastAsia"/>
          <w:highlight w:val="none"/>
        </w:rPr>
        <w:t>7.发布</w:t>
      </w:r>
      <w:r>
        <w:rPr>
          <w:rFonts w:hint="eastAsia" w:ascii="黑体" w:hAnsi="黑体"/>
          <w:highlight w:val="none"/>
        </w:rPr>
        <w:t>公告的</w:t>
      </w:r>
      <w:r>
        <w:rPr>
          <w:rFonts w:hint="eastAsia"/>
          <w:highlight w:val="none"/>
        </w:rPr>
        <w:t>媒介</w:t>
      </w:r>
    </w:p>
    <w:p>
      <w:pPr>
        <w:widowControl w:val="0"/>
        <w:spacing w:line="312" w:lineRule="auto"/>
        <w:ind w:firstLine="480" w:firstLineChars="200"/>
        <w:jc w:val="both"/>
        <w:rPr>
          <w:rFonts w:hint="eastAsia" w:ascii="宋体" w:hAnsi="宋体" w:cs="宋体"/>
          <w:sz w:val="24"/>
          <w:highlight w:val="none"/>
          <w:lang w:val="en-US" w:eastAsia="zh-CN"/>
        </w:rPr>
      </w:pPr>
      <w:r>
        <w:rPr>
          <w:rFonts w:hint="eastAsia" w:ascii="宋体" w:hAnsi="宋体"/>
          <w:bCs/>
          <w:sz w:val="24"/>
          <w:highlight w:val="none"/>
        </w:rPr>
        <w:t>本次采购公告</w:t>
      </w:r>
      <w:r>
        <w:rPr>
          <w:rFonts w:hint="eastAsia" w:ascii="宋体" w:hAnsi="宋体"/>
          <w:sz w:val="24"/>
          <w:highlight w:val="none"/>
        </w:rPr>
        <w:t>发布的媒介:</w:t>
      </w:r>
      <w:r>
        <w:rPr>
          <w:rFonts w:hint="eastAsia" w:ascii="宋体" w:hAnsi="宋体" w:cs="宋体"/>
          <w:sz w:val="24"/>
          <w:highlight w:val="none"/>
          <w:lang w:val="en-US" w:eastAsia="zh-CN"/>
        </w:rPr>
        <w:t>中国招标投标公共服务平台（http：//www.cebpubservice.com）、</w:t>
      </w:r>
    </w:p>
    <w:p>
      <w:pPr>
        <w:widowControl w:val="0"/>
        <w:spacing w:line="312" w:lineRule="auto"/>
        <w:jc w:val="both"/>
        <w:rPr>
          <w:rFonts w:ascii="宋体" w:hAnsi="宋体" w:cs="宋体"/>
          <w:sz w:val="24"/>
        </w:rPr>
      </w:pPr>
      <w:r>
        <w:rPr>
          <w:rFonts w:hint="eastAsia" w:ascii="宋体" w:hAnsi="宋体" w:cs="宋体"/>
          <w:sz w:val="24"/>
          <w:highlight w:val="none"/>
          <w:lang w:val="en-US" w:eastAsia="zh-CN"/>
        </w:rPr>
        <w:t>湖南省港航水利集团有限公司（http：//www.hnsghsljt.com）、 湖南省港务集团有限公司（http://www.hnsgwjt.com）上发布。</w:t>
      </w:r>
    </w:p>
    <w:p>
      <w:pPr>
        <w:pStyle w:val="5"/>
        <w:jc w:val="both"/>
      </w:pPr>
      <w:bookmarkStart w:id="6" w:name="_Toc77254104"/>
      <w:bookmarkStart w:id="7" w:name="_Toc512257471"/>
      <w:bookmarkStart w:id="8" w:name="_Toc76635692"/>
      <w:bookmarkStart w:id="9" w:name="_Toc79596547"/>
      <w:r>
        <w:rPr>
          <w:rFonts w:hint="eastAsia"/>
        </w:rPr>
        <w:t>8.</w:t>
      </w:r>
      <w:r>
        <w:t>监督</w:t>
      </w:r>
      <w:bookmarkEnd w:id="6"/>
      <w:bookmarkEnd w:id="7"/>
      <w:bookmarkEnd w:id="8"/>
      <w:r>
        <w:rPr>
          <w:rFonts w:hint="eastAsia"/>
        </w:rPr>
        <w:t>部门</w:t>
      </w:r>
      <w:bookmarkEnd w:id="9"/>
    </w:p>
    <w:p>
      <w:pPr>
        <w:widowControl w:val="0"/>
        <w:spacing w:line="312" w:lineRule="auto"/>
        <w:ind w:firstLine="480" w:firstLineChars="200"/>
        <w:jc w:val="both"/>
        <w:rPr>
          <w:rFonts w:ascii="宋体" w:hAnsi="宋体"/>
          <w:bCs/>
          <w:sz w:val="24"/>
        </w:rPr>
      </w:pPr>
      <w:r>
        <w:rPr>
          <w:rFonts w:hint="eastAsia" w:ascii="宋体" w:hAnsi="宋体"/>
          <w:bCs/>
          <w:sz w:val="24"/>
        </w:rPr>
        <w:t>本次采购监督部门为湖南省港务集团纪检监察部 ，电话：</w:t>
      </w:r>
      <w:r>
        <w:rPr>
          <w:rFonts w:hint="eastAsia" w:ascii="宋体" w:hAnsi="宋体"/>
          <w:bCs/>
          <w:sz w:val="24"/>
          <w:lang w:val="zh-CN"/>
        </w:rPr>
        <w:t>0730-8426255</w:t>
      </w:r>
      <w:r>
        <w:rPr>
          <w:rFonts w:hint="eastAsia" w:ascii="宋体" w:hAnsi="宋体"/>
          <w:bCs/>
          <w:sz w:val="24"/>
        </w:rPr>
        <w:t>。</w:t>
      </w:r>
    </w:p>
    <w:p>
      <w:pPr>
        <w:pStyle w:val="5"/>
        <w:jc w:val="both"/>
        <w:rPr>
          <w:rFonts w:ascii="Arial" w:hAnsi="Arial"/>
        </w:rPr>
      </w:pPr>
      <w:r>
        <w:rPr>
          <w:rFonts w:hint="eastAsia"/>
        </w:rPr>
        <w:t>9.</w:t>
      </w:r>
      <w:r>
        <w:rPr>
          <w:rFonts w:hint="eastAsia" w:ascii="黑体" w:hAnsi="黑体"/>
        </w:rPr>
        <w:t>联系方式</w:t>
      </w:r>
    </w:p>
    <w:p>
      <w:pPr>
        <w:autoSpaceDE w:val="0"/>
        <w:spacing w:line="400" w:lineRule="exact"/>
        <w:ind w:firstLine="240" w:firstLineChars="100"/>
        <w:rPr>
          <w:rFonts w:ascii="宋体" w:hAnsi="宋体"/>
          <w:sz w:val="24"/>
        </w:rPr>
      </w:pPr>
      <w:r>
        <w:rPr>
          <w:rFonts w:hint="eastAsia" w:ascii="宋体" w:hAnsi="宋体"/>
          <w:sz w:val="24"/>
        </w:rPr>
        <w:t xml:space="preserve">采 购 人: </w:t>
      </w:r>
      <w:r>
        <w:rPr>
          <w:rFonts w:hint="eastAsia" w:ascii="宋体" w:hAnsi="宋体"/>
          <w:sz w:val="24"/>
          <w:u w:val="single"/>
        </w:rPr>
        <w:t xml:space="preserve"> </w:t>
      </w:r>
      <w:r>
        <w:rPr>
          <w:rFonts w:hint="eastAsia" w:ascii="宋体" w:hAnsi="宋体" w:cs="宋体"/>
          <w:sz w:val="24"/>
          <w:u w:val="single"/>
          <w:lang w:eastAsia="zh-CN"/>
        </w:rPr>
        <w:t>岳阳道仁矶港物流有限公司</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湖南省岳阳市云溪区S201(沿江路)湖南省港务集团有限公司办公楼305室</w:t>
      </w:r>
      <w:r>
        <w:rPr>
          <w:rFonts w:hint="eastAsia" w:ascii="宋体" w:hAnsi="宋体"/>
          <w:color w:val="auto"/>
          <w:sz w:val="24"/>
          <w:highlight w:val="none"/>
          <w:u w:val="single"/>
        </w:rPr>
        <w:t xml:space="preserve">  </w:t>
      </w:r>
    </w:p>
    <w:p>
      <w:pPr>
        <w:autoSpaceDE w:val="0"/>
        <w:spacing w:line="400" w:lineRule="exact"/>
        <w:ind w:firstLine="240" w:firstLineChars="100"/>
        <w:jc w:val="both"/>
        <w:rPr>
          <w:rFonts w:ascii="宋体" w:hAnsi="宋体"/>
          <w:color w:val="auto"/>
          <w:sz w:val="24"/>
        </w:rPr>
      </w:pPr>
      <w:r>
        <w:rPr>
          <w:rFonts w:hint="eastAsia" w:ascii="宋体" w:hAnsi="宋体"/>
          <w:color w:val="auto"/>
          <w:sz w:val="24"/>
        </w:rPr>
        <w:t xml:space="preserve">联 系 人: </w:t>
      </w:r>
      <w:r>
        <w:rPr>
          <w:rFonts w:hint="eastAsia" w:ascii="宋体" w:hAnsi="宋体"/>
          <w:color w:val="auto"/>
          <w:sz w:val="24"/>
          <w:u w:val="single"/>
        </w:rPr>
        <w:t xml:space="preserve"> </w:t>
      </w:r>
      <w:r>
        <w:rPr>
          <w:rFonts w:hint="eastAsia" w:ascii="宋体" w:hAnsi="宋体"/>
          <w:color w:val="auto"/>
          <w:sz w:val="24"/>
          <w:u w:val="single"/>
          <w:lang w:val="en-US" w:eastAsia="zh-CN"/>
        </w:rPr>
        <w:t>万先生</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ind w:firstLine="240" w:firstLineChars="100"/>
        <w:rPr>
          <w:rFonts w:hint="default" w:ascii="宋体" w:hAnsi="宋体" w:eastAsia="宋体" w:cs="宋体"/>
          <w:color w:val="auto"/>
          <w:sz w:val="24"/>
          <w:u w:val="single"/>
          <w:lang w:val="en-US" w:eastAsia="zh-CN"/>
        </w:rPr>
      </w:pPr>
      <w:r>
        <w:rPr>
          <w:rFonts w:hint="eastAsia" w:ascii="宋体" w:hAnsi="宋体"/>
          <w:color w:val="auto"/>
          <w:sz w:val="24"/>
        </w:rPr>
        <w:t xml:space="preserve">电    话: </w:t>
      </w:r>
      <w:r>
        <w:rPr>
          <w:rFonts w:hint="eastAsia" w:ascii="宋体" w:hAnsi="宋体" w:cs="宋体"/>
          <w:color w:val="auto"/>
          <w:sz w:val="24"/>
          <w:u w:val="single"/>
          <w:lang w:val="en-US" w:eastAsia="zh-CN"/>
        </w:rPr>
        <w:t>0730-8426237</w:t>
      </w: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pStyle w:val="41"/>
      </w:pPr>
    </w:p>
    <w:p>
      <w:pPr>
        <w:spacing w:line="240" w:lineRule="auto"/>
        <w:jc w:val="both"/>
        <w:rPr>
          <w:rFonts w:ascii="黑体" w:hAnsi="黑体" w:eastAsia="黑体"/>
          <w:sz w:val="32"/>
          <w:szCs w:val="32"/>
        </w:rPr>
      </w:pPr>
    </w:p>
    <w:p>
      <w:pPr>
        <w:pStyle w:val="41"/>
      </w:pPr>
    </w:p>
    <w:p>
      <w:pPr>
        <w:pStyle w:val="41"/>
      </w:pPr>
    </w:p>
    <w:p>
      <w:pPr>
        <w:pStyle w:val="41"/>
      </w:pPr>
    </w:p>
    <w:p>
      <w:pPr>
        <w:spacing w:line="240" w:lineRule="auto"/>
        <w:jc w:val="center"/>
        <w:rPr>
          <w:rFonts w:hint="eastAsia" w:ascii="黑体" w:hAnsi="黑体" w:eastAsia="黑体"/>
          <w:sz w:val="32"/>
          <w:szCs w:val="32"/>
        </w:rPr>
      </w:pPr>
    </w:p>
    <w:p>
      <w:pPr>
        <w:spacing w:line="240" w:lineRule="auto"/>
        <w:jc w:val="both"/>
        <w:rPr>
          <w:rFonts w:hint="eastAsia" w:ascii="黑体" w:hAnsi="黑体" w:eastAsia="黑体"/>
          <w:sz w:val="32"/>
          <w:szCs w:val="32"/>
        </w:rPr>
      </w:pPr>
    </w:p>
    <w:p>
      <w:pPr>
        <w:spacing w:line="240" w:lineRule="auto"/>
        <w:jc w:val="center"/>
        <w:rPr>
          <w:rFonts w:ascii="黑体" w:hAnsi="黑体" w:eastAsia="黑体"/>
          <w:sz w:val="32"/>
          <w:szCs w:val="32"/>
        </w:rPr>
      </w:pPr>
      <w:r>
        <w:rPr>
          <w:rFonts w:hint="eastAsia" w:ascii="黑体" w:hAnsi="黑体" w:eastAsia="黑体"/>
          <w:sz w:val="32"/>
          <w:szCs w:val="32"/>
        </w:rPr>
        <w:t>第二章  供应商须知</w:t>
      </w:r>
      <w:bookmarkEnd w:id="2"/>
      <w:bookmarkEnd w:id="3"/>
    </w:p>
    <w:p>
      <w:pPr>
        <w:pStyle w:val="4"/>
        <w:spacing w:before="240" w:after="240" w:line="600" w:lineRule="exact"/>
        <w:jc w:val="both"/>
        <w:rPr>
          <w:rFonts w:ascii="仿宋" w:hAnsi="仿宋" w:eastAsia="仿宋" w:cs="仿宋"/>
          <w:sz w:val="30"/>
          <w:szCs w:val="30"/>
        </w:rPr>
      </w:pPr>
      <w:bookmarkStart w:id="10" w:name="_Toc234832862"/>
      <w:bookmarkStart w:id="11" w:name="_Toc517787495"/>
      <w:r>
        <w:rPr>
          <w:rFonts w:hint="eastAsia" w:ascii="仿宋" w:hAnsi="仿宋" w:eastAsia="仿宋" w:cs="仿宋"/>
          <w:sz w:val="30"/>
          <w:szCs w:val="30"/>
        </w:rPr>
        <w:t>供应商须知前附表</w:t>
      </w:r>
      <w:bookmarkEnd w:id="10"/>
      <w:bookmarkEnd w:id="11"/>
    </w:p>
    <w:tbl>
      <w:tblPr>
        <w:tblStyle w:val="43"/>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询价</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□竞争性谈判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□单一来源</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最低价法（同质比价法和同价比质法）</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不组织</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□组织，踏勘时间：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不召开</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□召开，召开时间：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不得分包的内容：不允许分包</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允许偏差的范围：不允许重大偏差，允许细微偏差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none"/>
              </w:rPr>
              <w:t>截止时间：202</w:t>
            </w:r>
            <w:r>
              <w:rPr>
                <w:rFonts w:hint="eastAsia" w:cs="仿宋" w:asciiTheme="minorEastAsia" w:hAnsiTheme="minorEastAsia" w:eastAsiaTheme="minorEastAsia"/>
                <w:color w:val="auto"/>
                <w:sz w:val="24"/>
                <w:highlight w:val="none"/>
                <w:lang w:val="en-US" w:eastAsia="zh-CN"/>
              </w:rPr>
              <w:t>4</w:t>
            </w:r>
            <w:r>
              <w:rPr>
                <w:rFonts w:hint="eastAsia" w:cs="仿宋" w:asciiTheme="minorEastAsia" w:hAnsiTheme="minorEastAsia" w:eastAsiaTheme="minorEastAsia"/>
                <w:color w:val="auto"/>
                <w:sz w:val="24"/>
                <w:highlight w:val="none"/>
              </w:rPr>
              <w:t>年</w:t>
            </w:r>
            <w:r>
              <w:rPr>
                <w:rFonts w:hint="eastAsia" w:cs="仿宋" w:asciiTheme="minorEastAsia" w:hAnsiTheme="minorEastAsia" w:eastAsiaTheme="minorEastAsia"/>
                <w:color w:val="auto"/>
                <w:sz w:val="24"/>
                <w:highlight w:val="none"/>
                <w:lang w:val="en-US" w:eastAsia="zh-CN"/>
              </w:rPr>
              <w:t>6</w:t>
            </w:r>
            <w:r>
              <w:rPr>
                <w:rFonts w:hint="eastAsia" w:cs="仿宋" w:asciiTheme="minorEastAsia" w:hAnsiTheme="minorEastAsia" w:eastAsiaTheme="minorEastAsia"/>
                <w:color w:val="auto"/>
                <w:sz w:val="24"/>
                <w:highlight w:val="none"/>
              </w:rPr>
              <w:t xml:space="preserve">月 </w:t>
            </w:r>
            <w:r>
              <w:rPr>
                <w:rFonts w:hint="eastAsia" w:cs="仿宋" w:asciiTheme="minorEastAsia" w:hAnsiTheme="minorEastAsia" w:eastAsiaTheme="minorEastAsia"/>
                <w:color w:val="auto"/>
                <w:sz w:val="24"/>
                <w:highlight w:val="none"/>
                <w:lang w:val="en-US" w:eastAsia="zh-CN"/>
              </w:rPr>
              <w:t>25</w:t>
            </w:r>
            <w:r>
              <w:rPr>
                <w:rFonts w:hint="eastAsia" w:cs="仿宋" w:asciiTheme="minorEastAsia" w:hAnsiTheme="minorEastAsia" w:eastAsiaTheme="minorEastAsia"/>
                <w:color w:val="auto"/>
                <w:sz w:val="24"/>
                <w:highlight w:val="none"/>
              </w:rPr>
              <w:t>日</w:t>
            </w:r>
            <w:r>
              <w:rPr>
                <w:rFonts w:hint="eastAsia" w:cs="仿宋" w:asciiTheme="minorEastAsia" w:hAnsiTheme="minorEastAsia" w:eastAsiaTheme="minorEastAsia"/>
                <w:color w:val="auto"/>
                <w:sz w:val="24"/>
                <w:highlight w:val="none"/>
                <w:lang w:val="en-US" w:eastAsia="zh-CN"/>
              </w:rPr>
              <w:t>17</w:t>
            </w:r>
            <w:r>
              <w:rPr>
                <w:rFonts w:hint="eastAsia" w:cs="仿宋" w:asciiTheme="minorEastAsia" w:hAnsiTheme="minorEastAsia" w:eastAsiaTheme="minorEastAsia"/>
                <w:color w:val="auto"/>
                <w:sz w:val="24"/>
                <w:highlight w:val="none"/>
              </w:rPr>
              <w:t>时</w:t>
            </w:r>
            <w:r>
              <w:rPr>
                <w:rFonts w:hint="eastAsia" w:cs="仿宋" w:asciiTheme="minorEastAsia" w:hAnsiTheme="minorEastAsia" w:eastAsiaTheme="minorEastAsia"/>
                <w:color w:val="auto"/>
                <w:sz w:val="24"/>
                <w:highlight w:val="none"/>
                <w:lang w:val="en-US" w:eastAsia="zh-CN"/>
              </w:rPr>
              <w:t>00</w:t>
            </w:r>
            <w:r>
              <w:rPr>
                <w:rFonts w:hint="eastAsia" w:cs="仿宋" w:asciiTheme="minorEastAsia" w:hAnsiTheme="minorEastAsia" w:eastAsiaTheme="minorEastAsia"/>
                <w:color w:val="auto"/>
                <w:sz w:val="24"/>
                <w:highlight w:val="none"/>
              </w:rPr>
              <w:t>分前。</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确认的最晚时间：</w:t>
            </w:r>
            <w:r>
              <w:rPr>
                <w:rFonts w:hint="eastAsia" w:cs="仿宋" w:asciiTheme="minorEastAsia" w:hAnsiTheme="minorEastAsia" w:eastAsiaTheme="minorEastAsia"/>
                <w:color w:val="auto"/>
                <w:sz w:val="24"/>
                <w:highlight w:val="none"/>
                <w:lang w:val="en-US" w:eastAsia="zh-CN"/>
              </w:rPr>
              <w:t>收到采购文件补充文件后24小时</w:t>
            </w:r>
            <w:r>
              <w:rPr>
                <w:rFonts w:hint="eastAsia" w:cs="仿宋" w:asciiTheme="minorEastAsia" w:hAnsiTheme="minorEastAsia" w:eastAsiaTheme="minorEastAsia"/>
                <w:color w:val="auto"/>
                <w:sz w:val="24"/>
                <w:highlight w:val="none"/>
              </w:rPr>
              <w:t>。</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确定的方式：收到纸质版文件为准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资料名称：无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□无</w:t>
            </w:r>
          </w:p>
          <w:p>
            <w:pPr>
              <w:spacing w:line="288" w:lineRule="auto"/>
              <w:jc w:val="both"/>
              <w:rPr>
                <w:rFonts w:hint="eastAsia"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有，</w:t>
            </w:r>
            <w:r>
              <w:rPr>
                <w:rFonts w:hint="eastAsia" w:cs="仿宋" w:asciiTheme="minorEastAsia" w:hAnsiTheme="minorEastAsia" w:eastAsiaTheme="minorEastAsia"/>
                <w:color w:val="auto"/>
                <w:sz w:val="24"/>
                <w:highlight w:val="none"/>
              </w:rPr>
              <w:t>最高限价</w:t>
            </w:r>
            <w:r>
              <w:rPr>
                <w:rFonts w:hint="eastAsia" w:cs="仿宋" w:asciiTheme="minorEastAsia" w:hAnsiTheme="minorEastAsia" w:eastAsiaTheme="minorEastAsia"/>
                <w:color w:val="auto"/>
                <w:sz w:val="24"/>
                <w:highlight w:val="none"/>
                <w:lang w:val="en-US" w:eastAsia="zh-CN"/>
              </w:rPr>
              <w:t>25</w:t>
            </w:r>
            <w:r>
              <w:rPr>
                <w:rFonts w:hint="eastAsia" w:cs="仿宋" w:asciiTheme="minorEastAsia" w:hAnsiTheme="minorEastAsia" w:eastAsiaTheme="minorEastAsia"/>
                <w:color w:val="auto"/>
                <w:sz w:val="24"/>
                <w:highlight w:val="none"/>
              </w:rPr>
              <w:t>万元，大写含</w:t>
            </w:r>
            <w:r>
              <w:rPr>
                <w:rFonts w:hint="eastAsia" w:cs="仿宋" w:asciiTheme="minorEastAsia" w:hAnsiTheme="minorEastAsia" w:eastAsiaTheme="minorEastAsia"/>
                <w:color w:val="auto"/>
                <w:sz w:val="24"/>
                <w:highlight w:val="none"/>
                <w:lang w:val="en-US" w:eastAsia="zh-CN"/>
              </w:rPr>
              <w:t>税</w:t>
            </w:r>
            <w:r>
              <w:rPr>
                <w:rFonts w:hint="eastAsia" w:cs="仿宋" w:asciiTheme="minorEastAsia" w:hAnsiTheme="minorEastAsia" w:eastAsiaTheme="minorEastAsia"/>
                <w:color w:val="auto"/>
                <w:sz w:val="24"/>
                <w:highlight w:val="none"/>
              </w:rPr>
              <w:t>价：</w:t>
            </w:r>
            <w:r>
              <w:rPr>
                <w:rFonts w:hint="eastAsia" w:cs="仿宋" w:asciiTheme="minorEastAsia" w:hAnsiTheme="minorEastAsia" w:eastAsiaTheme="minorEastAsia"/>
                <w:color w:val="auto"/>
                <w:sz w:val="24"/>
                <w:highlight w:val="none"/>
                <w:lang w:val="en-US" w:eastAsia="zh-CN"/>
              </w:rPr>
              <w:t>贰拾伍万</w:t>
            </w:r>
            <w:r>
              <w:rPr>
                <w:rFonts w:hint="eastAsia" w:cs="仿宋" w:asciiTheme="minorEastAsia" w:hAnsiTheme="minorEastAsia" w:eastAsiaTheme="minorEastAsia"/>
                <w:color w:val="auto"/>
                <w:sz w:val="24"/>
                <w:highlight w:val="none"/>
              </w:rPr>
              <w:t>元</w:t>
            </w:r>
            <w:r>
              <w:rPr>
                <w:rFonts w:hint="eastAsia" w:cs="仿宋" w:asciiTheme="minorEastAsia" w:hAnsiTheme="minorEastAsia" w:eastAsiaTheme="minorEastAsia"/>
                <w:color w:val="auto"/>
                <w:sz w:val="24"/>
                <w:highlight w:val="none"/>
                <w:lang w:val="en-US" w:eastAsia="zh-CN"/>
              </w:rPr>
              <w:t>整</w:t>
            </w: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不要求递交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要求递交，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保证金的金额：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6"/>
                <w:rFonts w:asciiTheme="minorEastAsia" w:hAnsiTheme="minorEastAsia" w:eastAsiaTheme="minorEastAsia"/>
                <w:b w:val="0"/>
                <w:color w:val="auto"/>
                <w:sz w:val="24"/>
              </w:rPr>
            </w:pPr>
            <w:r>
              <w:rPr>
                <w:rStyle w:val="46"/>
                <w:rFonts w:hint="eastAsia" w:asciiTheme="minorEastAsia" w:hAnsiTheme="minorEastAsia" w:eastAsiaTheme="minorEastAsia"/>
                <w:b w:val="0"/>
                <w:color w:val="auto"/>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440" w:lineRule="exact"/>
              <w:rPr>
                <w:color w:val="auto"/>
                <w:sz w:val="24"/>
              </w:rPr>
            </w:pPr>
            <w:r>
              <w:rPr>
                <w:rFonts w:hint="eastAsia" w:cs="仿宋" w:asciiTheme="minorEastAsia" w:hAnsiTheme="minorEastAsia" w:eastAsiaTheme="minorEastAsia"/>
                <w:color w:val="auto"/>
                <w:sz w:val="24"/>
              </w:rPr>
              <w:t>□</w:t>
            </w:r>
            <w:r>
              <w:rPr>
                <w:rFonts w:hint="eastAsia"/>
                <w:color w:val="auto"/>
                <w:sz w:val="24"/>
              </w:rPr>
              <w:t>不适用。</w:t>
            </w:r>
          </w:p>
          <w:p>
            <w:pPr>
              <w:spacing w:line="440" w:lineRule="exact"/>
              <w:rPr>
                <w:color w:val="auto"/>
                <w:sz w:val="24"/>
              </w:rPr>
            </w:pPr>
            <w:r>
              <w:rPr>
                <w:rFonts w:hint="eastAsia" w:cs="仿宋" w:asciiTheme="minorEastAsia" w:hAnsiTheme="minorEastAsia" w:eastAsiaTheme="minorEastAsia"/>
                <w:color w:val="auto"/>
                <w:sz w:val="24"/>
                <w:lang w:eastAsia="zh-CN"/>
              </w:rPr>
              <w:t>☑</w:t>
            </w:r>
            <w:r>
              <w:rPr>
                <w:rFonts w:hint="eastAsia"/>
                <w:color w:val="auto"/>
                <w:sz w:val="24"/>
              </w:rPr>
              <w:t>适用。在中华人民共和国合法注册、具有独立法人资格，具有有效的营业执照，符合本次招标采购项目的营业范围，有能力完成本次招标采购项目及所要求的服务；需提供法人营业执照(或事业单位法人证书)副本（全本）的复印件（并加盖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Style w:val="46"/>
                <w:rFonts w:hint="eastAsia" w:asciiTheme="minorEastAsia" w:hAnsiTheme="minorEastAsia" w:eastAsiaTheme="minorEastAsia"/>
                <w:b w:val="0"/>
                <w:color w:val="auto"/>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宋体"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不适用</w:t>
            </w:r>
          </w:p>
          <w:p>
            <w:pPr>
              <w:spacing w:line="288" w:lineRule="auto"/>
              <w:jc w:val="both"/>
              <w:rPr>
                <w:rFonts w:hint="default"/>
                <w:lang w:val="en-US" w:eastAsia="zh-CN"/>
              </w:rPr>
            </w:pPr>
            <w:r>
              <w:rPr>
                <w:rFonts w:hint="eastAsia" w:cs="仿宋"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适用。供应商应提供</w:t>
            </w:r>
            <w:r>
              <w:rPr>
                <w:rFonts w:hint="eastAsia" w:cs="宋体" w:asciiTheme="minorEastAsia" w:hAnsiTheme="minorEastAsia" w:eastAsiaTheme="minorEastAsia"/>
                <w:color w:val="auto"/>
                <w:sz w:val="24"/>
                <w:highlight w:val="none"/>
                <w:lang w:val="en-US" w:eastAsia="zh-CN"/>
              </w:rPr>
              <w:t>环境监测专项资质</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提供证书复印件并加盖单位公章，</w:t>
            </w:r>
            <w:r>
              <w:rPr>
                <w:rFonts w:hint="eastAsia" w:cs="宋体" w:asciiTheme="minorEastAsia" w:hAnsiTheme="minorEastAsia" w:eastAsiaTheme="minorEastAsia"/>
                <w:color w:val="auto"/>
                <w:sz w:val="24"/>
                <w:highlight w:val="none"/>
              </w:rPr>
              <w:t>以证明供应商具有承担本项目要求的资质。</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6"/>
                <w:rFonts w:asciiTheme="minorEastAsia" w:hAnsiTheme="minorEastAsia" w:eastAsiaTheme="minorEastAsia"/>
                <w:b w:val="0"/>
                <w:color w:val="auto"/>
                <w:sz w:val="24"/>
              </w:rPr>
            </w:pPr>
            <w:r>
              <w:rPr>
                <w:rStyle w:val="46"/>
                <w:rFonts w:hint="eastAsia" w:asciiTheme="minorEastAsia" w:hAnsiTheme="minorEastAsia" w:eastAsiaTheme="minorEastAsia"/>
                <w:b w:val="0"/>
                <w:color w:val="auto"/>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wordWrap w:val="0"/>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w:t>
            </w:r>
            <w:r>
              <w:rPr>
                <w:rFonts w:hint="eastAsia"/>
                <w:color w:val="auto"/>
                <w:sz w:val="24"/>
              </w:rPr>
              <w:t>供</w:t>
            </w:r>
            <w:r>
              <w:rPr>
                <w:rFonts w:hint="eastAsia"/>
                <w:color w:val="auto"/>
                <w:sz w:val="24"/>
                <w:highlight w:val="none"/>
              </w:rPr>
              <w:t>应商近</w:t>
            </w:r>
            <w:r>
              <w:rPr>
                <w:rFonts w:hint="eastAsia"/>
                <w:color w:val="auto"/>
                <w:sz w:val="24"/>
                <w:highlight w:val="none"/>
                <w:lang w:val="en-US" w:eastAsia="zh-CN"/>
              </w:rPr>
              <w:t>5</w:t>
            </w:r>
            <w:r>
              <w:rPr>
                <w:rFonts w:hint="eastAsia"/>
                <w:color w:val="auto"/>
                <w:sz w:val="24"/>
                <w:highlight w:val="none"/>
              </w:rPr>
              <w:t>年（从报价文件提交截止日期往前推算）内具有</w:t>
            </w:r>
            <w:r>
              <w:rPr>
                <w:rFonts w:hint="eastAsia"/>
                <w:color w:val="auto"/>
                <w:sz w:val="24"/>
                <w:highlight w:val="none"/>
                <w:lang w:val="en-US" w:eastAsia="zh-CN"/>
              </w:rPr>
              <w:t>2</w:t>
            </w:r>
            <w:r>
              <w:rPr>
                <w:rFonts w:hint="eastAsia"/>
                <w:color w:val="auto"/>
                <w:sz w:val="24"/>
                <w:highlight w:val="none"/>
              </w:rPr>
              <w:t>个及以</w:t>
            </w:r>
            <w:r>
              <w:rPr>
                <w:rFonts w:hint="eastAsia"/>
                <w:color w:val="auto"/>
                <w:sz w:val="24"/>
                <w:highlight w:val="none"/>
                <w:lang w:val="en-US" w:eastAsia="zh-CN"/>
              </w:rPr>
              <w:t>水运工程环保监测</w:t>
            </w:r>
            <w:r>
              <w:rPr>
                <w:rFonts w:hint="eastAsia"/>
                <w:color w:val="auto"/>
                <w:sz w:val="24"/>
                <w:highlight w:val="none"/>
              </w:rPr>
              <w:t>的服务业绩</w:t>
            </w:r>
            <w:r>
              <w:rPr>
                <w:rFonts w:hint="eastAsia"/>
                <w:color w:val="auto"/>
                <w:sz w:val="24"/>
                <w:highlight w:val="none"/>
                <w:u w:val="none"/>
              </w:rPr>
              <w:t>。</w:t>
            </w:r>
            <w:r>
              <w:rPr>
                <w:rFonts w:hint="eastAsia" w:cs="宋体" w:asciiTheme="minorEastAsia" w:hAnsiTheme="minorEastAsia" w:eastAsiaTheme="minorEastAsia"/>
                <w:color w:val="000000"/>
                <w:sz w:val="24"/>
                <w:highlight w:val="none"/>
                <w:u w:val="none"/>
                <w:lang w:val="en-US" w:eastAsia="zh-CN"/>
              </w:rPr>
              <w:t>业绩时间以合同协议书上的时间为准</w:t>
            </w:r>
            <w:r>
              <w:rPr>
                <w:rFonts w:hint="eastAsia"/>
                <w:color w:val="auto"/>
                <w:sz w:val="24"/>
                <w:highlight w:val="none"/>
                <w:u w:val="none"/>
              </w:rPr>
              <w:t>（提供合同</w:t>
            </w:r>
            <w:r>
              <w:rPr>
                <w:rFonts w:hint="eastAsia"/>
                <w:color w:val="auto"/>
                <w:sz w:val="24"/>
                <w:highlight w:val="none"/>
              </w:rPr>
              <w:t>首页及盖章页复印件）</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业绩证明材料：</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sym w:font="Wingdings" w:char="00A8"/>
            </w:r>
            <w:r>
              <w:rPr>
                <w:rFonts w:hint="eastAsia" w:cs="宋体" w:asciiTheme="minorEastAsia" w:hAnsiTheme="minorEastAsia" w:eastAsiaTheme="minorEastAsia"/>
                <w:color w:val="auto"/>
                <w:sz w:val="24"/>
                <w:highlight w:val="none"/>
              </w:rPr>
              <w:t>中标通知书/成交通知书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竣工 验收报告/验收证明</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业主证明</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业绩证明材料种类要求：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需同时提供上述勾选的所有证明材料</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yellow"/>
              </w:rPr>
            </w:pPr>
            <w:r>
              <w:rPr>
                <w:rFonts w:hint="eastAsia" w:cs="宋体" w:asciiTheme="minorEastAsia" w:hAnsiTheme="minorEastAsia" w:eastAsiaTheme="minorEastAsia"/>
                <w:color w:val="auto"/>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pStyle w:val="19"/>
              <w:spacing w:after="0" w:line="312" w:lineRule="auto"/>
              <w:ind w:left="0" w:left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适用。供应商应提供相关信誉情况的证明材料，  包括：1．全国企业信用信息公示系统中未列入严重违法失信企业名单的网页截图，加盖公章。</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rPr>
              <w:t>2．被最高人民法院在“信用中国”网站（www.creditchina.gov.cn）中未列入失信被执行人名单的网页截图，加盖公章。</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widowControl w:val="0"/>
              <w:spacing w:line="288" w:lineRule="auto"/>
              <w:jc w:val="both"/>
              <w:rPr>
                <w:rFonts w:hint="eastAsia" w:ascii="宋体" w:hAnsi="宋体" w:eastAsia="宋体" w:cs="宋体"/>
                <w:b w:val="0"/>
                <w:bCs w:val="0"/>
                <w:sz w:val="24"/>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w:t>
            </w:r>
            <w:r>
              <w:rPr>
                <w:rFonts w:hint="eastAsia" w:ascii="宋体" w:hAnsi="宋体" w:eastAsia="宋体" w:cs="宋体"/>
                <w:b w:val="0"/>
                <w:bCs w:val="0"/>
                <w:sz w:val="24"/>
                <w:szCs w:val="24"/>
              </w:rPr>
              <w:t>供应商应提供拟委任的主要人员汇总表和主要人员简历表（格式见第六章“响应文件格式”五、资格审查资料（四）拟委任的主要人员汇总表和（五）主要人员简历表）。</w:t>
            </w:r>
          </w:p>
          <w:p>
            <w:pPr>
              <w:widowControl w:val="0"/>
              <w:spacing w:line="288" w:lineRule="auto"/>
              <w:jc w:val="both"/>
              <w:rPr>
                <w:rFonts w:hint="eastAsia" w:ascii="Courier New" w:hAnsi="宋体" w:eastAsia="宋体" w:cs="Times New Roman"/>
                <w:bCs/>
                <w:sz w:val="24"/>
                <w:highlight w:val="none"/>
                <w:lang w:eastAsia="zh-CN"/>
              </w:rPr>
            </w:pPr>
            <w:r>
              <w:rPr>
                <w:rFonts w:hint="eastAsia" w:ascii="Courier New" w:hAnsi="宋体" w:eastAsia="宋体" w:cs="Times New Roman"/>
                <w:bCs/>
                <w:sz w:val="24"/>
                <w:highlight w:val="none"/>
              </w:rPr>
              <w:t>项目负责人</w:t>
            </w:r>
            <w:r>
              <w:rPr>
                <w:rFonts w:hint="eastAsia" w:ascii="Courier New" w:hAnsi="宋体" w:eastAsia="宋体" w:cs="Times New Roman"/>
                <w:bCs/>
                <w:sz w:val="24"/>
                <w:highlight w:val="none"/>
                <w:lang w:val="en-US" w:eastAsia="zh-CN"/>
              </w:rPr>
              <w:t>1人</w:t>
            </w:r>
            <w:r>
              <w:rPr>
                <w:rFonts w:hint="eastAsia" w:ascii="Courier New" w:hAnsi="宋体" w:cs="Times New Roman"/>
                <w:bCs/>
                <w:sz w:val="24"/>
                <w:highlight w:val="none"/>
                <w:lang w:val="en-US" w:eastAsia="zh-CN"/>
              </w:rPr>
              <w:t>：具有中</w:t>
            </w:r>
            <w:r>
              <w:rPr>
                <w:rFonts w:hint="eastAsia" w:ascii="Courier New" w:hAnsi="宋体" w:eastAsia="宋体" w:cs="Times New Roman"/>
                <w:bCs/>
                <w:sz w:val="24"/>
                <w:highlight w:val="none"/>
              </w:rPr>
              <w:t>级职称</w:t>
            </w:r>
            <w:r>
              <w:rPr>
                <w:rFonts w:hint="eastAsia" w:ascii="Courier New" w:hAnsi="宋体" w:cs="Times New Roman"/>
                <w:bCs/>
                <w:sz w:val="24"/>
                <w:highlight w:val="none"/>
                <w:lang w:eastAsia="zh-CN"/>
              </w:rPr>
              <w:t>，</w:t>
            </w:r>
            <w:r>
              <w:rPr>
                <w:rFonts w:hint="eastAsia" w:ascii="Courier New" w:hAnsi="宋体" w:eastAsia="宋体" w:cs="Times New Roman"/>
                <w:bCs/>
                <w:sz w:val="24"/>
                <w:highlight w:val="none"/>
                <w:lang w:val="en-US" w:eastAsia="zh-CN"/>
              </w:rPr>
              <w:t>提供</w:t>
            </w:r>
            <w:r>
              <w:rPr>
                <w:rFonts w:hint="eastAsia" w:ascii="Courier New" w:hAnsi="宋体" w:eastAsia="宋体" w:cs="Times New Roman"/>
                <w:bCs/>
                <w:sz w:val="24"/>
                <w:highlight w:val="none"/>
              </w:rPr>
              <w:t>近五年（投标截止日期往前推算）作为项目负责人完成过一个</w:t>
            </w:r>
            <w:r>
              <w:rPr>
                <w:rFonts w:hint="eastAsia" w:ascii="Courier New" w:hAnsi="宋体" w:cs="Times New Roman"/>
                <w:bCs/>
                <w:sz w:val="24"/>
                <w:highlight w:val="none"/>
                <w:lang w:val="en-US" w:eastAsia="zh-CN"/>
              </w:rPr>
              <w:t>水运工程环保监测</w:t>
            </w:r>
            <w:r>
              <w:rPr>
                <w:rFonts w:hint="eastAsia" w:ascii="Courier New" w:hAnsi="宋体" w:eastAsia="宋体" w:cs="Times New Roman"/>
                <w:bCs/>
                <w:sz w:val="24"/>
                <w:highlight w:val="none"/>
              </w:rPr>
              <w:t>项目</w:t>
            </w:r>
            <w:r>
              <w:rPr>
                <w:rFonts w:hint="eastAsia" w:ascii="Courier New" w:hAnsi="宋体" w:eastAsia="宋体" w:cs="Times New Roman"/>
                <w:bCs/>
                <w:sz w:val="24"/>
                <w:highlight w:val="none"/>
                <w:lang w:val="en-US" w:eastAsia="zh-CN"/>
              </w:rPr>
              <w:t>的业绩证明；2.</w:t>
            </w:r>
            <w:r>
              <w:rPr>
                <w:rFonts w:hint="eastAsia" w:ascii="Courier New" w:hAnsi="宋体" w:eastAsia="宋体" w:cs="Times New Roman"/>
                <w:bCs/>
                <w:sz w:val="24"/>
                <w:highlight w:val="none"/>
              </w:rPr>
              <w:t>技术负责人</w:t>
            </w:r>
            <w:r>
              <w:rPr>
                <w:rFonts w:hint="eastAsia" w:ascii="Courier New" w:hAnsi="宋体" w:eastAsia="宋体" w:cs="Times New Roman"/>
                <w:bCs/>
                <w:sz w:val="24"/>
                <w:highlight w:val="none"/>
                <w:lang w:val="en-US" w:eastAsia="zh-CN"/>
              </w:rPr>
              <w:t>1人</w:t>
            </w:r>
            <w:r>
              <w:rPr>
                <w:rFonts w:hint="eastAsia" w:ascii="Courier New" w:hAnsi="宋体" w:cs="Times New Roman"/>
                <w:bCs/>
                <w:sz w:val="24"/>
                <w:highlight w:val="none"/>
                <w:lang w:val="en-US" w:eastAsia="zh-CN"/>
              </w:rPr>
              <w:t>：具有中</w:t>
            </w:r>
            <w:r>
              <w:rPr>
                <w:rFonts w:hint="eastAsia" w:ascii="Courier New" w:hAnsi="宋体" w:eastAsia="宋体" w:cs="Times New Roman"/>
                <w:bCs/>
                <w:sz w:val="24"/>
                <w:highlight w:val="none"/>
              </w:rPr>
              <w:t>级职称</w:t>
            </w:r>
            <w:r>
              <w:rPr>
                <w:rFonts w:hint="eastAsia" w:ascii="Courier New" w:hAnsi="宋体" w:cs="Times New Roman"/>
                <w:bCs/>
                <w:sz w:val="24"/>
                <w:highlight w:val="none"/>
                <w:lang w:eastAsia="zh-CN"/>
              </w:rPr>
              <w:t>，</w:t>
            </w:r>
            <w:r>
              <w:rPr>
                <w:rFonts w:hint="eastAsia" w:ascii="Courier New" w:hAnsi="宋体" w:eastAsia="宋体" w:cs="Times New Roman"/>
                <w:bCs/>
                <w:sz w:val="24"/>
                <w:highlight w:val="none"/>
              </w:rPr>
              <w:t>从事</w:t>
            </w:r>
            <w:r>
              <w:rPr>
                <w:rFonts w:hint="eastAsia" w:ascii="Courier New" w:hAnsi="宋体" w:cs="Times New Roman"/>
                <w:bCs/>
                <w:sz w:val="24"/>
                <w:highlight w:val="none"/>
                <w:lang w:val="en-US" w:eastAsia="zh-CN"/>
              </w:rPr>
              <w:t>环境监测</w:t>
            </w:r>
            <w:r>
              <w:rPr>
                <w:rFonts w:hint="eastAsia" w:ascii="Courier New" w:hAnsi="宋体" w:eastAsia="宋体" w:cs="Times New Roman"/>
                <w:bCs/>
                <w:sz w:val="24"/>
                <w:highlight w:val="none"/>
              </w:rPr>
              <w:t>5年以上工作经历</w:t>
            </w:r>
            <w:r>
              <w:rPr>
                <w:rFonts w:hint="eastAsia" w:ascii="Courier New" w:hAnsi="宋体" w:eastAsia="宋体" w:cs="Times New Roman"/>
                <w:bCs/>
                <w:sz w:val="24"/>
                <w:highlight w:val="none"/>
                <w:lang w:eastAsia="zh-CN"/>
              </w:rPr>
              <w:t>；</w:t>
            </w:r>
            <w:r>
              <w:rPr>
                <w:rFonts w:hint="eastAsia" w:ascii="Courier New" w:hAnsi="宋体" w:eastAsia="宋体" w:cs="Times New Roman"/>
                <w:bCs/>
                <w:sz w:val="24"/>
                <w:highlight w:val="none"/>
              </w:rPr>
              <w:t>现场负责人</w:t>
            </w:r>
            <w:r>
              <w:rPr>
                <w:rFonts w:hint="eastAsia" w:ascii="Courier New" w:hAnsi="宋体" w:eastAsia="宋体" w:cs="Times New Roman"/>
                <w:bCs/>
                <w:sz w:val="24"/>
                <w:highlight w:val="none"/>
                <w:lang w:val="en-US" w:eastAsia="zh-CN"/>
              </w:rPr>
              <w:t>1人</w:t>
            </w:r>
            <w:r>
              <w:rPr>
                <w:rFonts w:hint="eastAsia" w:ascii="Courier New" w:hAnsi="宋体" w:cs="Times New Roman"/>
                <w:bCs/>
                <w:sz w:val="24"/>
                <w:highlight w:val="none"/>
                <w:lang w:val="en-US" w:eastAsia="zh-CN"/>
              </w:rPr>
              <w:t>：具有</w:t>
            </w:r>
            <w:r>
              <w:rPr>
                <w:rFonts w:hint="eastAsia" w:ascii="Courier New" w:hAnsi="宋体" w:eastAsia="宋体" w:cs="Times New Roman"/>
                <w:bCs/>
                <w:sz w:val="24"/>
                <w:highlight w:val="none"/>
              </w:rPr>
              <w:t>中级职称</w:t>
            </w:r>
            <w:r>
              <w:rPr>
                <w:rFonts w:hint="eastAsia" w:ascii="Courier New" w:hAnsi="宋体" w:cs="Times New Roman"/>
                <w:bCs/>
                <w:sz w:val="24"/>
                <w:highlight w:val="none"/>
                <w:lang w:eastAsia="zh-CN"/>
              </w:rPr>
              <w:t>，</w:t>
            </w:r>
            <w:r>
              <w:rPr>
                <w:rFonts w:hint="eastAsia" w:ascii="Courier New" w:hAnsi="宋体" w:eastAsia="宋体" w:cs="Times New Roman"/>
                <w:bCs/>
                <w:sz w:val="24"/>
                <w:highlight w:val="none"/>
              </w:rPr>
              <w:t>从事</w:t>
            </w:r>
            <w:r>
              <w:rPr>
                <w:rFonts w:hint="eastAsia" w:ascii="Courier New" w:hAnsi="宋体" w:cs="Times New Roman"/>
                <w:bCs/>
                <w:sz w:val="24"/>
                <w:highlight w:val="none"/>
                <w:lang w:val="en-US" w:eastAsia="zh-CN"/>
              </w:rPr>
              <w:t>环境监测</w:t>
            </w:r>
            <w:r>
              <w:rPr>
                <w:rFonts w:hint="eastAsia" w:ascii="Courier New" w:hAnsi="宋体" w:eastAsia="宋体" w:cs="Times New Roman"/>
                <w:bCs/>
                <w:sz w:val="24"/>
                <w:highlight w:val="none"/>
              </w:rPr>
              <w:t>1年以上工作经历</w:t>
            </w:r>
            <w:r>
              <w:rPr>
                <w:rFonts w:hint="eastAsia" w:ascii="Courier New" w:hAnsi="宋体" w:eastAsia="宋体" w:cs="Times New Roman"/>
                <w:bCs/>
                <w:sz w:val="24"/>
                <w:highlight w:val="none"/>
                <w:lang w:eastAsia="zh-CN"/>
              </w:rPr>
              <w:t>；</w:t>
            </w:r>
            <w:r>
              <w:rPr>
                <w:rFonts w:hint="eastAsia" w:ascii="Courier New" w:hAnsi="宋体" w:eastAsia="宋体" w:cs="Times New Roman"/>
                <w:bCs/>
                <w:sz w:val="24"/>
                <w:highlight w:val="none"/>
              </w:rPr>
              <w:t>技术人员</w:t>
            </w:r>
            <w:r>
              <w:rPr>
                <w:rFonts w:hint="eastAsia" w:ascii="Courier New" w:hAnsi="宋体" w:eastAsia="宋体" w:cs="Times New Roman"/>
                <w:bCs/>
                <w:sz w:val="24"/>
                <w:highlight w:val="none"/>
                <w:lang w:val="en-US" w:eastAsia="zh-CN"/>
              </w:rPr>
              <w:t>1人</w:t>
            </w:r>
            <w:r>
              <w:rPr>
                <w:rFonts w:hint="eastAsia" w:ascii="Courier New" w:hAnsi="宋体" w:cs="Times New Roman"/>
                <w:bCs/>
                <w:sz w:val="24"/>
                <w:highlight w:val="none"/>
                <w:lang w:val="en-US" w:eastAsia="zh-CN"/>
              </w:rPr>
              <w:t>：</w:t>
            </w:r>
            <w:r>
              <w:rPr>
                <w:rFonts w:hint="eastAsia" w:ascii="Courier New" w:hAnsi="宋体" w:eastAsia="宋体" w:cs="Times New Roman"/>
                <w:bCs/>
                <w:sz w:val="24"/>
                <w:highlight w:val="none"/>
              </w:rPr>
              <w:t>具有从事</w:t>
            </w:r>
            <w:r>
              <w:rPr>
                <w:rFonts w:hint="eastAsia" w:ascii="Courier New" w:hAnsi="宋体" w:cs="Times New Roman"/>
                <w:bCs/>
                <w:sz w:val="24"/>
                <w:highlight w:val="none"/>
                <w:lang w:val="en-US" w:eastAsia="zh-CN"/>
              </w:rPr>
              <w:t>环境监测</w:t>
            </w:r>
            <w:r>
              <w:rPr>
                <w:rFonts w:hint="eastAsia" w:ascii="Courier New" w:hAnsi="宋体" w:eastAsia="宋体" w:cs="Times New Roman"/>
                <w:bCs/>
                <w:sz w:val="24"/>
                <w:highlight w:val="none"/>
              </w:rPr>
              <w:t>1年以上工作经历</w:t>
            </w:r>
            <w:r>
              <w:rPr>
                <w:rFonts w:hint="eastAsia" w:ascii="Courier New" w:hAnsi="宋体" w:eastAsia="宋体" w:cs="Times New Roman"/>
                <w:bCs/>
                <w:sz w:val="24"/>
                <w:highlight w:val="none"/>
                <w:lang w:eastAsia="zh-CN"/>
              </w:rPr>
              <w:t>。</w:t>
            </w:r>
          </w:p>
          <w:p>
            <w:pPr>
              <w:widowControl w:val="0"/>
              <w:spacing w:line="288" w:lineRule="auto"/>
              <w:jc w:val="both"/>
              <w:rPr>
                <w:rFonts w:hint="eastAsia" w:ascii="Courier New" w:hAnsi="宋体" w:eastAsia="宋体" w:cs="Times New Roman"/>
                <w:bCs/>
                <w:sz w:val="24"/>
                <w:highlight w:val="none"/>
                <w:lang w:val="en-US" w:eastAsia="zh-CN"/>
              </w:rPr>
            </w:pPr>
            <w:r>
              <w:rPr>
                <w:rFonts w:hint="eastAsia" w:ascii="Courier New" w:hAnsi="宋体" w:cs="Times New Roman"/>
                <w:bCs/>
                <w:sz w:val="24"/>
                <w:highlight w:val="none"/>
                <w:lang w:val="en-US" w:eastAsia="zh-CN"/>
              </w:rPr>
              <w:t>1.</w:t>
            </w:r>
            <w:r>
              <w:rPr>
                <w:rFonts w:hint="eastAsia" w:ascii="Courier New" w:hAnsi="宋体" w:eastAsia="宋体" w:cs="Times New Roman"/>
                <w:bCs/>
                <w:sz w:val="24"/>
                <w:highlight w:val="none"/>
                <w:lang w:val="en-US" w:eastAsia="zh-CN"/>
              </w:rPr>
              <w:t>项目负责人需提供的业绩证明材料：合同或其他能证明完成过要求业绩的材料，材料需体现项目负责人相关信息。</w:t>
            </w:r>
          </w:p>
          <w:p>
            <w:pPr>
              <w:widowControl w:val="0"/>
              <w:spacing w:line="288" w:lineRule="auto"/>
              <w:jc w:val="both"/>
              <w:rPr>
                <w:rFonts w:hint="eastAsia" w:ascii="Courier New" w:hAnsi="宋体" w:eastAsia="宋体" w:cs="Times New Roman"/>
                <w:bCs/>
                <w:sz w:val="24"/>
                <w:highlight w:val="none"/>
                <w:lang w:val="en-US" w:eastAsia="zh-CN"/>
              </w:rPr>
            </w:pPr>
            <w:r>
              <w:rPr>
                <w:rFonts w:hint="eastAsia" w:ascii="Courier New" w:hAnsi="宋体" w:cs="Times New Roman"/>
                <w:bCs/>
                <w:sz w:val="24"/>
                <w:highlight w:val="none"/>
                <w:lang w:val="en-US" w:eastAsia="zh-CN"/>
              </w:rPr>
              <w:t>2.</w:t>
            </w:r>
            <w:r>
              <w:rPr>
                <w:rFonts w:hint="eastAsia" w:ascii="Courier New" w:hAnsi="宋体" w:eastAsia="宋体" w:cs="Times New Roman"/>
                <w:bCs/>
                <w:sz w:val="24"/>
                <w:highlight w:val="none"/>
                <w:lang w:val="en-US" w:eastAsia="zh-CN"/>
              </w:rPr>
              <w:t>供应商拟派的主要人员需提供有效身份证、职称证等相关证明材料的复印件。</w:t>
            </w:r>
          </w:p>
          <w:p>
            <w:pPr>
              <w:widowControl w:val="0"/>
              <w:spacing w:line="288" w:lineRule="auto"/>
              <w:jc w:val="both"/>
              <w:rPr>
                <w:rFonts w:hint="default"/>
                <w:lang w:val="en-US"/>
              </w:rPr>
            </w:pPr>
            <w:r>
              <w:rPr>
                <w:rFonts w:hint="eastAsia" w:ascii="Courier New" w:hAnsi="宋体" w:eastAsia="宋体" w:cs="Times New Roman"/>
                <w:bCs/>
                <w:sz w:val="24"/>
                <w:highlight w:val="none"/>
                <w:lang w:val="en-US" w:eastAsia="zh-CN"/>
              </w:rPr>
              <w:t>3.工作经验证明以毕业证上的时间开始起算</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sym w:font="Wingdings 2" w:char="00A3"/>
            </w:r>
            <w:r>
              <w:rPr>
                <w:rFonts w:hint="eastAsia" w:cs="宋体" w:asciiTheme="minorEastAsia" w:hAnsiTheme="minorEastAsia" w:eastAsiaTheme="minorEastAsia"/>
                <w:color w:val="auto"/>
                <w:sz w:val="24"/>
              </w:rPr>
              <w:t>不需要提供证明材料</w:t>
            </w:r>
          </w:p>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需要提供证明材料，包括：</w:t>
            </w:r>
            <w:r>
              <w:rPr>
                <w:rFonts w:hint="eastAsia" w:cs="宋体" w:asciiTheme="minorEastAsia" w:hAnsiTheme="minorEastAsia" w:eastAsiaTheme="minorEastAsia"/>
                <w:color w:val="auto"/>
                <w:sz w:val="24"/>
                <w:u w:val="single"/>
              </w:rPr>
              <w:t xml:space="preserve">  提供承诺函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供应商只能提出唯一响应方案</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提供纸质版响应文件三份：一正两副          是否要求提供电子版响应文件：</w:t>
            </w:r>
          </w:p>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宋体" w:asciiTheme="minorEastAsia" w:hAnsiTheme="minorEastAsia" w:eastAsiaTheme="minorEastAsia"/>
                <w:color w:val="auto"/>
                <w:sz w:val="24"/>
              </w:rPr>
              <w:t>不要求</w:t>
            </w:r>
          </w:p>
          <w:p>
            <w:pPr>
              <w:spacing w:line="288" w:lineRule="auto"/>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要求，提供电子版响应文件壹份（U盘）</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适用，供应商名称、</w:t>
            </w:r>
            <w:r>
              <w:rPr>
                <w:rFonts w:hint="eastAsia" w:cs="宋体" w:asciiTheme="minorEastAsia" w:hAnsiTheme="minorEastAsia" w:eastAsiaTheme="minorEastAsia"/>
                <w:color w:val="auto"/>
                <w:sz w:val="24"/>
                <w:u w:val="single"/>
              </w:rPr>
              <w:t xml:space="preserve">（项目名称）响应文件、联系方式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rPr>
              <w:t>截止</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202</w:t>
            </w:r>
            <w:r>
              <w:rPr>
                <w:rFonts w:hint="eastAsia" w:cs="宋体" w:asciiTheme="minorEastAsia" w:hAnsiTheme="minorEastAsia" w:eastAsiaTheme="minorEastAsia"/>
                <w:color w:val="auto"/>
                <w:sz w:val="24"/>
                <w:highlight w:val="none"/>
                <w:u w:val="single"/>
                <w:lang w:val="en-US" w:eastAsia="zh-CN"/>
              </w:rPr>
              <w:t>4</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6</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27</w:t>
            </w:r>
            <w:bookmarkStart w:id="26" w:name="_GoBack"/>
            <w:bookmarkEnd w:id="26"/>
            <w:r>
              <w:rPr>
                <w:rFonts w:hint="eastAsia" w:cs="宋体" w:asciiTheme="minorEastAsia" w:hAnsiTheme="minorEastAsia" w:eastAsiaTheme="minorEastAsia"/>
                <w:color w:val="auto"/>
                <w:sz w:val="24"/>
                <w:highlight w:val="none"/>
                <w:u w:val="single"/>
              </w:rPr>
              <w:t xml:space="preserve">日 </w:t>
            </w:r>
            <w:r>
              <w:rPr>
                <w:rFonts w:hint="eastAsia" w:cs="宋体" w:asciiTheme="minorEastAsia" w:hAnsiTheme="minorEastAsia" w:eastAsiaTheme="minorEastAsia"/>
                <w:color w:val="auto"/>
                <w:sz w:val="24"/>
                <w:highlight w:val="none"/>
                <w:u w:val="single"/>
                <w:lang w:val="en-US" w:eastAsia="zh-CN"/>
              </w:rPr>
              <w:t>12</w:t>
            </w:r>
            <w:r>
              <w:rPr>
                <w:rFonts w:hint="eastAsia" w:cs="宋体" w:asciiTheme="minorEastAsia" w:hAnsiTheme="minorEastAsia" w:eastAsiaTheme="minorEastAsia"/>
                <w:color w:val="auto"/>
                <w:sz w:val="24"/>
                <w:highlight w:val="none"/>
                <w:u w:val="single"/>
              </w:rPr>
              <w:t xml:space="preserve"> 时 </w:t>
            </w:r>
            <w:r>
              <w:rPr>
                <w:rFonts w:hint="eastAsia" w:cs="宋体" w:asciiTheme="minorEastAsia" w:hAnsiTheme="minorEastAsia" w:eastAsiaTheme="minorEastAsia"/>
                <w:color w:val="auto"/>
                <w:sz w:val="24"/>
                <w:highlight w:val="none"/>
                <w:u w:val="single"/>
                <w:lang w:val="en-US" w:eastAsia="zh-CN"/>
              </w:rPr>
              <w:t>00</w:t>
            </w:r>
            <w:r>
              <w:rPr>
                <w:rFonts w:hint="eastAsia" w:cs="宋体" w:asciiTheme="minorEastAsia" w:hAnsiTheme="minorEastAsia" w:eastAsiaTheme="minorEastAsia"/>
                <w:color w:val="auto"/>
                <w:sz w:val="24"/>
                <w:highlight w:val="none"/>
                <w:u w:val="single"/>
              </w:rPr>
              <w:t xml:space="preserve">分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highlight w:val="none"/>
              </w:rPr>
              <w:t>递交响应文件的地点：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湖南省港务集团有限公司办公楼305室</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□是，退还时间：</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湖南省港务集团</w:t>
            </w:r>
            <w:r>
              <w:rPr>
                <w:rFonts w:hint="eastAsia" w:cs="宋体" w:asciiTheme="minorEastAsia" w:hAnsiTheme="minorEastAsia" w:eastAsiaTheme="minorEastAsia"/>
                <w:color w:val="auto"/>
                <w:sz w:val="24"/>
                <w:lang w:eastAsia="zh-CN"/>
              </w:rPr>
              <w:t>有限公司</w:t>
            </w:r>
            <w:r>
              <w:rPr>
                <w:rFonts w:hint="eastAsia" w:cs="宋体" w:asciiTheme="minorEastAsia" w:hAnsiTheme="minorEastAsia" w:eastAsiaTheme="minorEastAsia"/>
                <w:color w:val="auto"/>
                <w:sz w:val="24"/>
              </w:rPr>
              <w:t>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开启顺序：</w:t>
            </w:r>
            <w:r>
              <w:rPr>
                <w:rFonts w:hint="eastAsia" w:cs="宋体" w:asciiTheme="minorEastAsia" w:hAnsiTheme="minorEastAsia" w:eastAsiaTheme="minorEastAsia"/>
                <w:color w:val="auto"/>
                <w:sz w:val="24"/>
                <w:u w:val="single"/>
              </w:rPr>
              <w:t xml:space="preserve">   随机 </w:t>
            </w:r>
            <w:r>
              <w:rPr>
                <w:rFonts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其他应公布的信息：</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评标（谈判）小组构成：3人。</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评审（谈判）专家确定方式：采购代表1人，在湖南省</w:t>
            </w:r>
            <w:r>
              <w:rPr>
                <w:rFonts w:hint="eastAsia" w:cs="宋体" w:asciiTheme="minorEastAsia" w:hAnsiTheme="minorEastAsia" w:eastAsiaTheme="minorEastAsia"/>
                <w:color w:val="auto"/>
                <w:sz w:val="24"/>
                <w:lang w:val="en-US" w:eastAsia="zh-CN"/>
              </w:rPr>
              <w:t>港航水利</w:t>
            </w:r>
            <w:r>
              <w:rPr>
                <w:rFonts w:hint="eastAsia" w:cs="宋体" w:asciiTheme="minorEastAsia" w:hAnsiTheme="minorEastAsia" w:eastAsiaTheme="minorEastAsia"/>
                <w:color w:val="auto"/>
                <w:sz w:val="24"/>
              </w:rPr>
              <w:t>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是否排序：</w:t>
            </w:r>
          </w:p>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数量：</w:t>
            </w:r>
            <w:r>
              <w:rPr>
                <w:rFonts w:hint="eastAsia" w:cs="宋体" w:asciiTheme="minorEastAsia" w:hAnsiTheme="minorEastAsia" w:eastAsiaTheme="minorEastAsia"/>
                <w:color w:val="auto"/>
                <w:sz w:val="24"/>
                <w:u w:val="single"/>
                <w:lang w:val="en-US" w:eastAsia="zh-CN"/>
              </w:rPr>
              <w:t>2</w:t>
            </w:r>
            <w:r>
              <w:rPr>
                <w:rFonts w:hint="eastAsia" w:cs="宋体" w:asciiTheme="minorEastAsia" w:hAnsiTheme="minorEastAsia" w:eastAsiaTheme="minorEastAsia"/>
                <w:color w:val="auto"/>
                <w:sz w:val="24"/>
                <w:u w:val="single"/>
              </w:rPr>
              <w:t xml:space="preserve">-3 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公示媒介：</w:t>
            </w:r>
            <w:r>
              <w:rPr>
                <w:rFonts w:hint="eastAsia" w:ascii="宋体" w:hAnsi="宋体" w:cs="宋体"/>
                <w:color w:val="000000" w:themeColor="text1"/>
                <w:sz w:val="24"/>
                <w:highlight w:val="none"/>
                <w14:textFill>
                  <w14:solidFill>
                    <w14:schemeClr w14:val="tx1"/>
                  </w14:solidFill>
                </w14:textFill>
              </w:rPr>
              <w:t>中国招标投标公共服务平台（http：//www.cebpubservice.com）、湖南省港航水利集团有限公司网站（http：//www.hnsxsjt.com）、</w:t>
            </w:r>
            <w:r>
              <w:rPr>
                <w:rFonts w:hint="eastAsia" w:ascii="宋体" w:hAnsi="宋体" w:cs="宋体"/>
                <w:color w:val="000000" w:themeColor="text1"/>
                <w:sz w:val="24"/>
                <w:highlight w:val="none"/>
                <w:u w:val="single"/>
                <w14:textFill>
                  <w14:solidFill>
                    <w14:schemeClr w14:val="tx1"/>
                  </w14:solidFill>
                </w14:textFill>
              </w:rPr>
              <w:t xml:space="preserve">                                   湖南省港务集团有限公司</w:t>
            </w:r>
            <w:r>
              <w:rPr>
                <w:rFonts w:hint="eastAsia" w:ascii="宋体" w:hAnsi="宋体" w:cs="宋体"/>
                <w:color w:val="000000" w:themeColor="text1"/>
                <w:sz w:val="24"/>
                <w:highlight w:val="none"/>
                <w14:textFill>
                  <w14:solidFill>
                    <w14:schemeClr w14:val="tx1"/>
                  </w14:solidFill>
                </w14:textFill>
              </w:rPr>
              <w:t>（http://www.hnsgwjt.com）上发布。</w:t>
            </w:r>
          </w:p>
          <w:p>
            <w:pPr>
              <w:spacing w:line="288" w:lineRule="auto"/>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公示期限：</w:t>
            </w:r>
            <w:r>
              <w:rPr>
                <w:rFonts w:hint="eastAsia" w:cs="宋体" w:asciiTheme="minorEastAsia" w:hAnsiTheme="minorEastAsia" w:eastAsiaTheme="minorEastAsia"/>
                <w:color w:val="auto"/>
                <w:sz w:val="24"/>
                <w:u w:val="single"/>
              </w:rPr>
              <w:t xml:space="preserve">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不要求提交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□要求递交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履约保证金金额：</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履约保证金形式：</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履约保证金有效期限：</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递交时间：</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湖南省港务集团纪检监察部                 </w:t>
            </w:r>
          </w:p>
          <w:p>
            <w:pPr>
              <w:spacing w:line="288" w:lineRule="auto"/>
              <w:jc w:val="both"/>
              <w:rPr>
                <w:color w:val="auto"/>
                <w:highlight w:val="yellow"/>
                <w:lang w:val="zh-CN"/>
              </w:rPr>
            </w:pPr>
            <w:r>
              <w:rPr>
                <w:rFonts w:hint="eastAsia" w:cs="宋体" w:asciiTheme="minorEastAsia" w:hAnsiTheme="minorEastAsia" w:eastAsiaTheme="minorEastAsia"/>
                <w:color w:val="auto"/>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zh-CN"/>
              </w:rPr>
              <w:t>0730-</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zh-CN"/>
              </w:rPr>
              <w:t>8426255</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通信地址：</w:t>
            </w:r>
            <w:r>
              <w:rPr>
                <w:rFonts w:hint="eastAsia" w:cs="宋体" w:asciiTheme="minorEastAsia" w:hAnsiTheme="minorEastAsia" w:eastAsiaTheme="minorEastAsia"/>
                <w:color w:val="auto"/>
                <w:sz w:val="24"/>
                <w:u w:val="single"/>
              </w:rPr>
              <w:t xml:space="preserve">湖南省岳阳市云溪区沿江西路50米                  </w:t>
            </w:r>
            <w:r>
              <w:rPr>
                <w:rFonts w:hint="eastAsia" w:cs="宋体" w:asciiTheme="minorEastAsia" w:hAnsiTheme="minorEastAsia" w:eastAsiaTheme="minorEastAsia"/>
                <w:color w:val="auto"/>
                <w:sz w:val="24"/>
              </w:rPr>
              <w:t xml:space="preserve">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宋体" w:hAnsi="宋体" w:eastAsia="宋体" w:cs="宋体"/>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6"/>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70"/>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70"/>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70"/>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70"/>
        <w:spacing w:line="312" w:lineRule="auto"/>
        <w:ind w:firstLine="480"/>
        <w:rPr>
          <w:rFonts w:hAnsi="宋体" w:eastAsia="宋体" w:cs="仿宋"/>
          <w:sz w:val="24"/>
          <w:szCs w:val="24"/>
        </w:rPr>
      </w:pPr>
      <w:r>
        <w:rPr>
          <w:rFonts w:hint="eastAsia" w:hAnsi="宋体" w:eastAsia="宋体" w:cs="仿宋"/>
          <w:sz w:val="24"/>
          <w:szCs w:val="24"/>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Cs/>
          <w:sz w:val="24"/>
        </w:rPr>
        <w:t>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4"/>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2396"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992"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992"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992"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600" w:firstLineChars="200"/>
        <w:jc w:val="center"/>
        <w:rPr>
          <w:rFonts w:hint="eastAsia" w:ascii="宋体" w:hAnsi="宋体" w:cs="仿宋"/>
          <w:sz w:val="30"/>
          <w:szCs w:val="30"/>
        </w:rPr>
      </w:pPr>
    </w:p>
    <w:p>
      <w:pPr>
        <w:adjustRightInd w:val="0"/>
        <w:snapToGrid w:val="0"/>
        <w:spacing w:line="600" w:lineRule="exact"/>
        <w:ind w:firstLine="600" w:firstLineChars="200"/>
        <w:jc w:val="center"/>
        <w:rPr>
          <w:rFonts w:ascii="华文中宋" w:hAnsi="华文中宋" w:eastAsia="华文中宋" w:cs="仿宋"/>
          <w:b/>
          <w:bCs/>
          <w:sz w:val="36"/>
          <w:szCs w:val="36"/>
        </w:rPr>
      </w:pPr>
      <w:r>
        <w:rPr>
          <w:rFonts w:hint="eastAsia" w:ascii="宋体" w:hAnsi="宋体" w:cs="仿宋"/>
          <w:sz w:val="30"/>
          <w:szCs w:val="30"/>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hint="eastAsia" w:ascii="宋体" w:hAnsi="宋体" w:cs="仿宋"/>
          <w:sz w:val="30"/>
          <w:szCs w:val="30"/>
        </w:rPr>
      </w:pPr>
    </w:p>
    <w:p>
      <w:pPr>
        <w:adjustRightInd w:val="0"/>
        <w:snapToGrid w:val="0"/>
        <w:spacing w:line="600" w:lineRule="exact"/>
        <w:jc w:val="center"/>
        <w:rPr>
          <w:rFonts w:ascii="华文中宋" w:hAnsi="华文中宋" w:eastAsia="华文中宋" w:cs="仿宋"/>
          <w:b/>
          <w:bCs/>
          <w:sz w:val="36"/>
          <w:szCs w:val="36"/>
        </w:rPr>
      </w:pPr>
      <w:r>
        <w:rPr>
          <w:rFonts w:hint="eastAsia" w:ascii="宋体" w:hAnsi="宋体" w:cs="仿宋"/>
          <w:sz w:val="30"/>
          <w:szCs w:val="30"/>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ind w:firstLine="600" w:firstLineChars="200"/>
        <w:jc w:val="center"/>
        <w:rPr>
          <w:rFonts w:ascii="华文中宋" w:hAnsi="华文中宋" w:eastAsia="华文中宋" w:cs="仿宋"/>
          <w:b/>
          <w:bCs/>
          <w:sz w:val="36"/>
          <w:szCs w:val="36"/>
        </w:rPr>
      </w:pPr>
      <w:r>
        <w:rPr>
          <w:rFonts w:hint="eastAsia" w:ascii="宋体" w:hAnsi="宋体" w:cs="仿宋"/>
          <w:sz w:val="30"/>
          <w:szCs w:val="30"/>
        </w:rPr>
        <w:t>成交通知书</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600" w:firstLineChars="200"/>
        <w:jc w:val="center"/>
        <w:rPr>
          <w:rFonts w:ascii="华文中宋" w:hAnsi="华文中宋" w:eastAsia="华文中宋" w:cs="仿宋"/>
          <w:b/>
          <w:bCs/>
          <w:sz w:val="36"/>
          <w:szCs w:val="36"/>
        </w:rPr>
      </w:pPr>
      <w:r>
        <w:rPr>
          <w:rFonts w:hint="eastAsia" w:ascii="宋体" w:hAnsi="宋体" w:cs="仿宋"/>
          <w:sz w:val="30"/>
          <w:szCs w:val="30"/>
        </w:rPr>
        <w:t>确认通知</w:t>
      </w: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81"/>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bookmarkStart w:id="12" w:name="_Toc76635709"/>
      <w:bookmarkStart w:id="13" w:name="_Toc77254130"/>
      <w:r>
        <w:rPr>
          <w:rFonts w:hint="eastAsia" w:ascii="黑体" w:hAnsi="黑体" w:eastAsia="黑体" w:cs="仿宋"/>
          <w:bCs/>
          <w:sz w:val="36"/>
          <w:szCs w:val="36"/>
        </w:rPr>
        <w:t>第三章 评审办法</w:t>
      </w:r>
    </w:p>
    <w:p>
      <w:pPr>
        <w:adjustRightInd w:val="0"/>
        <w:snapToGrid w:val="0"/>
        <w:spacing w:before="120" w:beforeLines="50" w:after="120" w:afterLines="50" w:line="240" w:lineRule="auto"/>
        <w:jc w:val="center"/>
        <w:rPr>
          <w:rFonts w:hint="eastAsia" w:ascii="黑体" w:hAnsi="黑体" w:eastAsia="黑体" w:cs="仿宋"/>
          <w:bCs/>
          <w:sz w:val="32"/>
          <w:szCs w:val="32"/>
        </w:rPr>
      </w:pPr>
      <w:r>
        <w:rPr>
          <w:rFonts w:hint="eastAsia" w:ascii="黑体" w:hAnsi="黑体" w:eastAsia="黑体" w:cs="仿宋"/>
          <w:bCs/>
          <w:sz w:val="32"/>
          <w:szCs w:val="32"/>
        </w:rPr>
        <w:t>评审办法前附表</w:t>
      </w:r>
    </w:p>
    <w:tbl>
      <w:tblPr>
        <w:tblStyle w:val="44"/>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服务要求</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ascii="宋体" w:hAnsi="宋体"/>
                <w:szCs w:val="21"/>
              </w:rPr>
              <w:t>权利义务</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ascii="宋体" w:hAnsi="宋体"/>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vAlign w:val="center"/>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不得超过最高限价</w:t>
            </w:r>
            <w:r>
              <w:rPr>
                <w:rFonts w:hint="eastAsia" w:cs="仿宋" w:asciiTheme="minorEastAsia" w:hAnsiTheme="minorEastAsia" w:eastAsiaTheme="minorEastAsia"/>
                <w:szCs w:val="21"/>
                <w:lang w:val="en-US" w:eastAsia="zh-CN"/>
              </w:rPr>
              <w:t>28</w:t>
            </w:r>
            <w:r>
              <w:rPr>
                <w:rFonts w:hint="eastAsia" w:cs="仿宋" w:asciiTheme="minorEastAsia" w:hAnsiTheme="minorEastAsia" w:eastAsiaTheme="minorEastAsia"/>
                <w:szCs w:val="21"/>
              </w:rPr>
              <w:t>万元，大写含税价格：</w:t>
            </w:r>
            <w:r>
              <w:rPr>
                <w:rFonts w:hint="eastAsia" w:cs="仿宋" w:asciiTheme="minorEastAsia" w:hAnsiTheme="minorEastAsia" w:eastAsiaTheme="minorEastAsia"/>
                <w:szCs w:val="21"/>
                <w:lang w:val="en-US" w:eastAsia="zh-CN"/>
              </w:rPr>
              <w:t>贰拾捌万元</w:t>
            </w:r>
            <w:r>
              <w:rPr>
                <w:rFonts w:hint="eastAsia" w:cs="仿宋" w:asciiTheme="minorEastAsia" w:hAnsiTheme="minorEastAsia" w:eastAsiaTheme="minorEastAsia"/>
                <w:szCs w:val="21"/>
              </w:rPr>
              <w:t>；</w:t>
            </w: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符合第三章第2.2.2项的规定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ind w:firstLine="630" w:firstLineChars="300"/>
              <w:jc w:val="both"/>
              <w:rPr>
                <w:rFonts w:hint="eastAsia" w:cs="仿宋" w:asciiTheme="minorEastAsia" w:hAnsiTheme="minorEastAsia" w:eastAsiaTheme="minorEastAsia"/>
                <w:szCs w:val="21"/>
              </w:rPr>
            </w:pPr>
            <w:r>
              <w:rPr>
                <w:rFonts w:hint="eastAsia" w:cs="仿宋" w:asciiTheme="minorEastAsia" w:hAnsiTheme="minorEastAsia" w:eastAsiaTheme="minorEastAsia"/>
                <w:szCs w:val="21"/>
              </w:rPr>
              <w:t>3.1</w:t>
            </w:r>
          </w:p>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分值构成（总分100分）</w:t>
            </w:r>
          </w:p>
        </w:tc>
        <w:tc>
          <w:tcPr>
            <w:tcW w:w="5676" w:type="dxa"/>
          </w:tcPr>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商务部分：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40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技术部分：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hint="eastAsia" w:cs="仿宋" w:asciiTheme="minorEastAsia" w:hAnsiTheme="minorEastAsia" w:eastAsiaTheme="minorEastAsia"/>
                <w:szCs w:val="21"/>
                <w:highlight w:val="none"/>
              </w:rPr>
            </w:pPr>
          </w:p>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评审基准价计算方法</w:t>
            </w:r>
          </w:p>
        </w:tc>
        <w:tc>
          <w:tcPr>
            <w:tcW w:w="5676" w:type="dxa"/>
          </w:tcPr>
          <w:p>
            <w:pPr>
              <w:pStyle w:val="22"/>
              <w:rPr>
                <w:rFonts w:hint="eastAsia" w:ascii="Times New Roman" w:hAnsi="Times New Roman"/>
                <w:b/>
              </w:rPr>
            </w:pPr>
            <w:r>
              <w:rPr>
                <w:rFonts w:ascii="Times New Roman" w:hAnsi="Times New Roman"/>
                <w:b/>
              </w:rPr>
              <w:t>评标基准价计算方法</w:t>
            </w:r>
            <w:r>
              <w:rPr>
                <w:rFonts w:hint="eastAsia" w:ascii="Times New Roman" w:hAnsi="Times New Roman"/>
                <w:b/>
              </w:rPr>
              <w:t>:</w:t>
            </w:r>
          </w:p>
          <w:p>
            <w:pPr>
              <w:widowControl/>
              <w:spacing w:line="240" w:lineRule="auto"/>
              <w:jc w:val="left"/>
              <w:rPr>
                <w:rFonts w:cs="仿宋" w:asciiTheme="minorEastAsia" w:hAnsiTheme="minorEastAsia" w:eastAsiaTheme="minorEastAsia"/>
                <w:szCs w:val="21"/>
                <w:highlight w:val="red"/>
              </w:rPr>
            </w:pPr>
            <w:r>
              <w:rPr>
                <w:szCs w:val="21"/>
              </w:rPr>
              <w:t>除按规定被宣布废标的</w:t>
            </w:r>
            <w:r>
              <w:rPr>
                <w:rFonts w:hint="eastAsia"/>
                <w:szCs w:val="21"/>
                <w:lang w:val="en-US" w:eastAsia="zh-CN"/>
              </w:rPr>
              <w:t>供应商</w:t>
            </w:r>
            <w:r>
              <w:rPr>
                <w:szCs w:val="21"/>
              </w:rPr>
              <w:t>外，所有有效</w:t>
            </w:r>
            <w:r>
              <w:rPr>
                <w:rFonts w:hint="eastAsia"/>
                <w:szCs w:val="21"/>
                <w:lang w:val="en-US" w:eastAsia="zh-CN"/>
              </w:rPr>
              <w:t>供应商</w:t>
            </w:r>
            <w:r>
              <w:rPr>
                <w:szCs w:val="21"/>
              </w:rPr>
              <w:t>投标价的算术平均值即为评标基准价。若有效标超过5家，可剔除最高、最低标后，进行算术平均，若设最高</w:t>
            </w:r>
            <w:r>
              <w:rPr>
                <w:rFonts w:hint="eastAsia"/>
                <w:szCs w:val="21"/>
              </w:rPr>
              <w:t>限价的，</w:t>
            </w:r>
            <w:r>
              <w:rPr>
                <w:szCs w:val="21"/>
              </w:rPr>
              <w:t>有效投标价应在限价范围内</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Merge w:val="continue"/>
          </w:tcPr>
          <w:p>
            <w:pPr>
              <w:widowControl/>
              <w:adjustRightInd w:val="0"/>
              <w:snapToGrid w:val="0"/>
              <w:spacing w:line="288" w:lineRule="auto"/>
              <w:jc w:val="both"/>
              <w:rPr>
                <w:rFonts w:hint="eastAsia" w:cs="仿宋" w:asciiTheme="minorEastAsia" w:hAnsiTheme="minorEastAsia" w:eastAsiaTheme="minorEastAsia"/>
                <w:szCs w:val="21"/>
                <w:highlight w:val="none"/>
              </w:rPr>
            </w:pPr>
          </w:p>
        </w:tc>
        <w:tc>
          <w:tcPr>
            <w:tcW w:w="1573" w:type="dxa"/>
          </w:tcPr>
          <w:p>
            <w:pPr>
              <w:widowControl/>
              <w:adjustRightInd/>
              <w:snapToGrid/>
              <w:spacing w:line="440" w:lineRule="exact"/>
              <w:jc w:val="left"/>
              <w:rPr>
                <w:rFonts w:hint="eastAsia" w:cs="仿宋" w:asciiTheme="minorEastAsia" w:hAnsiTheme="minorEastAsia" w:eastAsiaTheme="minorEastAsia"/>
                <w:szCs w:val="21"/>
                <w:highlight w:val="none"/>
              </w:rPr>
            </w:pPr>
            <w:r>
              <w:rPr>
                <w:szCs w:val="21"/>
                <w:highlight w:val="none"/>
              </w:rPr>
              <w:t>投标报价的偏差率</w:t>
            </w:r>
            <w:r>
              <w:rPr>
                <w:rFonts w:hint="eastAsia"/>
                <w:szCs w:val="21"/>
                <w:highlight w:val="none"/>
              </w:rPr>
              <w:t>计算公式</w:t>
            </w:r>
          </w:p>
        </w:tc>
        <w:tc>
          <w:tcPr>
            <w:tcW w:w="5676" w:type="dxa"/>
          </w:tcPr>
          <w:p>
            <w:pPr>
              <w:widowControl/>
              <w:spacing w:line="240" w:lineRule="auto"/>
              <w:jc w:val="left"/>
              <w:rPr>
                <w:rFonts w:hint="eastAsia"/>
                <w:szCs w:val="21"/>
              </w:rPr>
            </w:pPr>
          </w:p>
          <w:p>
            <w:pPr>
              <w:widowControl/>
              <w:spacing w:line="240" w:lineRule="auto"/>
              <w:jc w:val="left"/>
              <w:rPr>
                <w:szCs w:val="21"/>
              </w:rPr>
            </w:pPr>
            <w:r>
              <w:rPr>
                <w:rFonts w:hint="eastAsia"/>
                <w:szCs w:val="21"/>
              </w:rPr>
              <w:t>偏差率</w:t>
            </w:r>
            <w:r>
              <w:rPr>
                <w:szCs w:val="21"/>
              </w:rPr>
              <w:t>=100% ×（</w:t>
            </w:r>
            <w:r>
              <w:rPr>
                <w:rFonts w:hint="eastAsia"/>
                <w:szCs w:val="21"/>
                <w:lang w:val="en-US" w:eastAsia="zh-CN"/>
              </w:rPr>
              <w:t>供应商</w:t>
            </w:r>
            <w:r>
              <w:rPr>
                <w:szCs w:val="21"/>
              </w:rPr>
              <w:t>报价 - 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（1）</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商务部分评分标准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（2）</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技术部分评分标准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（3）</w:t>
            </w:r>
          </w:p>
        </w:tc>
        <w:tc>
          <w:tcPr>
            <w:tcW w:w="2825" w:type="dxa"/>
            <w:gridSpan w:val="2"/>
          </w:tcPr>
          <w:p>
            <w:pPr>
              <w:widowControl/>
              <w:adjustRightInd w:val="0"/>
              <w:snapToGrid w:val="0"/>
              <w:spacing w:line="288" w:lineRule="auto"/>
              <w:jc w:val="center"/>
              <w:rPr>
                <w:rFonts w:hint="eastAsia" w:ascii="宋体" w:hAnsi="宋体"/>
                <w:szCs w:val="21"/>
                <w:highlight w:val="none"/>
              </w:rPr>
            </w:pPr>
          </w:p>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ascii="宋体" w:hAnsi="宋体"/>
                <w:szCs w:val="21"/>
                <w:highlight w:val="none"/>
              </w:rPr>
              <w:t>报价评分标准</w:t>
            </w:r>
          </w:p>
        </w:tc>
        <w:tc>
          <w:tcPr>
            <w:tcW w:w="5676" w:type="dxa"/>
          </w:tcPr>
          <w:p>
            <w:pPr>
              <w:widowControl w:val="0"/>
              <w:jc w:val="both"/>
              <w:rPr>
                <w:highlight w:val="none"/>
              </w:rPr>
            </w:pPr>
            <w:r>
              <w:rPr>
                <w:highlight w:val="none"/>
              </w:rPr>
              <w:t>评标价得分计算公式：</w:t>
            </w:r>
          </w:p>
          <w:p>
            <w:pPr>
              <w:widowControl w:val="0"/>
              <w:jc w:val="both"/>
              <w:rPr>
                <w:highlight w:val="none"/>
              </w:rPr>
            </w:pPr>
            <w:r>
              <w:rPr>
                <w:highlight w:val="none"/>
              </w:rPr>
              <w:t>(1)若评标价&gt;评标基准价，则评标价得分=P-偏差率×100×E1；</w:t>
            </w:r>
          </w:p>
          <w:p>
            <w:pPr>
              <w:widowControl w:val="0"/>
              <w:jc w:val="both"/>
              <w:rPr>
                <w:highlight w:val="none"/>
              </w:rPr>
            </w:pPr>
            <w:r>
              <w:rPr>
                <w:highlight w:val="none"/>
              </w:rPr>
              <w:t>(2)若评标价≤评标基准价</w:t>
            </w:r>
            <w:r>
              <w:rPr>
                <w:rFonts w:hint="eastAsia"/>
                <w:highlight w:val="none"/>
              </w:rPr>
              <w:t>，</w:t>
            </w:r>
            <w:r>
              <w:rPr>
                <w:highlight w:val="none"/>
              </w:rPr>
              <w:t>则评标价得分=P</w:t>
            </w:r>
            <w:r>
              <w:rPr>
                <w:rFonts w:hint="eastAsia"/>
                <w:highlight w:val="none"/>
              </w:rPr>
              <w:t>+</w:t>
            </w:r>
            <w:r>
              <w:rPr>
                <w:highlight w:val="none"/>
              </w:rPr>
              <w:t>偏差率×100×E2；</w:t>
            </w:r>
          </w:p>
          <w:p>
            <w:pPr>
              <w:widowControl w:val="0"/>
              <w:spacing w:line="440" w:lineRule="exact"/>
              <w:jc w:val="both"/>
              <w:rPr>
                <w:rFonts w:hint="eastAsia" w:ascii="宋体" w:hAnsi="宋体"/>
                <w:highlight w:val="none"/>
              </w:rPr>
            </w:pPr>
            <w:r>
              <w:rPr>
                <w:rFonts w:hint="eastAsia" w:ascii="宋体" w:hAnsi="宋体"/>
                <w:highlight w:val="none"/>
              </w:rPr>
              <w:t>E</w:t>
            </w:r>
            <w:r>
              <w:rPr>
                <w:rFonts w:hint="eastAsia" w:ascii="宋体" w:hAnsi="宋体"/>
                <w:highlight w:val="none"/>
                <w:vertAlign w:val="subscript"/>
              </w:rPr>
              <w:t>1</w:t>
            </w:r>
            <w:r>
              <w:rPr>
                <w:rFonts w:hint="eastAsia" w:ascii="宋体" w:hAnsi="宋体"/>
                <w:highlight w:val="none"/>
              </w:rPr>
              <w:t>是评标价每高于评标基准价一个百分点的扣分值，E1=</w:t>
            </w:r>
            <w:r>
              <w:rPr>
                <w:rFonts w:hint="eastAsia" w:ascii="宋体" w:hAnsi="宋体"/>
                <w:highlight w:val="none"/>
                <w:lang w:val="en-US" w:eastAsia="zh-CN"/>
              </w:rPr>
              <w:t>0.</w:t>
            </w:r>
            <w:r>
              <w:rPr>
                <w:rFonts w:hint="eastAsia" w:ascii="宋体" w:hAnsi="宋体"/>
                <w:highlight w:val="none"/>
              </w:rPr>
              <w:t>2；</w:t>
            </w:r>
          </w:p>
          <w:p>
            <w:pPr>
              <w:widowControl w:val="0"/>
              <w:jc w:val="both"/>
              <w:rPr>
                <w:rFonts w:hint="eastAsia" w:ascii="宋体" w:hAnsi="宋体"/>
                <w:highlight w:val="none"/>
              </w:rPr>
            </w:pPr>
            <w:r>
              <w:rPr>
                <w:rFonts w:hint="eastAsia" w:ascii="宋体" w:hAnsi="宋体"/>
                <w:highlight w:val="none"/>
              </w:rPr>
              <w:t>E</w:t>
            </w:r>
            <w:r>
              <w:rPr>
                <w:rFonts w:hint="eastAsia" w:ascii="宋体" w:hAnsi="宋体"/>
                <w:highlight w:val="none"/>
                <w:vertAlign w:val="subscript"/>
              </w:rPr>
              <w:t>2</w:t>
            </w:r>
            <w:r>
              <w:rPr>
                <w:rFonts w:hint="eastAsia" w:ascii="宋体" w:hAnsi="宋体"/>
                <w:highlight w:val="none"/>
              </w:rPr>
              <w:t>是评标价每低于评标基准价一个百分点的扣分值，E2=</w:t>
            </w:r>
            <w:r>
              <w:rPr>
                <w:rFonts w:hint="eastAsia" w:ascii="宋体" w:hAnsi="宋体"/>
                <w:highlight w:val="none"/>
                <w:lang w:val="en-US" w:eastAsia="zh-CN"/>
              </w:rPr>
              <w:t>0.</w:t>
            </w:r>
            <w:r>
              <w:rPr>
                <w:rFonts w:hint="eastAsia" w:ascii="宋体" w:hAnsi="宋体"/>
                <w:highlight w:val="none"/>
              </w:rPr>
              <w:t>1。</w:t>
            </w:r>
          </w:p>
          <w:p>
            <w:pPr>
              <w:widowControl w:val="0"/>
              <w:spacing w:line="400" w:lineRule="exact"/>
              <w:jc w:val="both"/>
              <w:rPr>
                <w:highlight w:val="none"/>
              </w:rPr>
            </w:pPr>
            <w:r>
              <w:rPr>
                <w:highlight w:val="none"/>
              </w:rPr>
              <w:t>其中：P为评标价所占权重分值。</w:t>
            </w:r>
          </w:p>
          <w:p>
            <w:pPr>
              <w:widowControl/>
              <w:adjustRightInd w:val="0"/>
              <w:snapToGrid w:val="0"/>
              <w:spacing w:line="288" w:lineRule="auto"/>
              <w:jc w:val="both"/>
              <w:rPr>
                <w:rFonts w:cs="仿宋"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 xml:space="preserve">3.4.1 </w:t>
            </w:r>
          </w:p>
        </w:tc>
        <w:tc>
          <w:tcPr>
            <w:tcW w:w="2825" w:type="dxa"/>
            <w:gridSpan w:val="2"/>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供应商最终得分为商务部分、技术部分、投标报价3个方面评价得分之和。</w:t>
            </w:r>
          </w:p>
        </w:tc>
      </w:tr>
    </w:tbl>
    <w:p>
      <w:pPr>
        <w:pStyle w:val="41"/>
        <w:ind w:left="0" w:leftChars="0" w:firstLine="0" w:firstLineChars="0"/>
      </w:pPr>
    </w:p>
    <w:p>
      <w:pPr>
        <w:widowControl w:val="0"/>
        <w:adjustRightInd w:val="0"/>
        <w:snapToGrid w:val="0"/>
        <w:spacing w:line="312" w:lineRule="auto"/>
        <w:ind w:firstLine="420" w:firstLineChars="200"/>
        <w:jc w:val="both"/>
      </w:pPr>
      <w:r>
        <w:br w:type="page"/>
      </w:r>
    </w:p>
    <w:bookmarkEnd w:id="12"/>
    <w:bookmarkEnd w:id="13"/>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1评审方法(综合评分法)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sz w:val="24"/>
        </w:rPr>
      </w:pPr>
      <w:r>
        <w:rPr>
          <w:rFonts w:hint="eastAsia" w:ascii="宋体" w:hAnsi="宋体" w:cs="仿宋"/>
          <w:b/>
          <w:bCs/>
          <w:sz w:val="24"/>
        </w:rPr>
        <w:t>3详细评审标准和程序(综合评分法)</w:t>
      </w:r>
    </w:p>
    <w:p>
      <w:pPr>
        <w:adjustRightInd w:val="0"/>
        <w:snapToGrid w:val="0"/>
        <w:spacing w:line="312" w:lineRule="auto"/>
        <w:jc w:val="both"/>
        <w:rPr>
          <w:rFonts w:ascii="宋体" w:hAnsi="宋体" w:cs="仿宋"/>
          <w:b/>
          <w:bCs/>
          <w:sz w:val="24"/>
        </w:rPr>
      </w:pPr>
      <w:r>
        <w:rPr>
          <w:rFonts w:hint="eastAsia" w:ascii="宋体" w:hAnsi="宋体" w:cs="仿宋"/>
          <w:b/>
          <w:bCs/>
          <w:sz w:val="24"/>
        </w:rPr>
        <w:t>3.1分值构成</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(1)商务部分:见评审办法前附表;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(2)技术部分:见评审办法前附表;</w:t>
      </w:r>
    </w:p>
    <w:p>
      <w:pPr>
        <w:adjustRightInd w:val="0"/>
        <w:snapToGrid w:val="0"/>
        <w:spacing w:line="312" w:lineRule="auto"/>
        <w:ind w:firstLine="321" w:firstLineChars="134"/>
        <w:jc w:val="both"/>
        <w:rPr>
          <w:rFonts w:ascii="宋体" w:hAnsi="宋体" w:cs="仿宋"/>
          <w:sz w:val="24"/>
        </w:rPr>
      </w:pPr>
      <w:r>
        <w:rPr>
          <w:rFonts w:hint="eastAsia" w:ascii="宋体" w:hAnsi="宋体" w:cs="仿宋"/>
          <w:sz w:val="24"/>
        </w:rPr>
        <w:t xml:space="preserve"> (3)报价:见评审办法前附表;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3.2评分标准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(3)报价评分标准: 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3.3评分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sz w:val="24"/>
        </w:rPr>
      </w:pPr>
      <w:r>
        <w:rPr>
          <w:rFonts w:hint="eastAsia" w:ascii="宋体" w:hAnsi="宋体" w:cs="仿宋"/>
          <w:b/>
          <w:bCs/>
          <w:sz w:val="24"/>
        </w:rPr>
        <w:t>3.4汇总</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sz w:val="24"/>
        </w:rPr>
      </w:pPr>
      <w:r>
        <w:rPr>
          <w:rFonts w:hint="eastAsia" w:ascii="宋体" w:hAnsi="宋体" w:cs="仿宋"/>
          <w:b/>
          <w:bCs/>
          <w:sz w:val="24"/>
        </w:rPr>
        <w:t>3.5排序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ascii="黑体" w:hAnsi="黑体" w:eastAsia="黑体" w:cs="宋体"/>
          <w:kern w:val="44"/>
          <w:sz w:val="32"/>
          <w:szCs w:val="32"/>
        </w:rPr>
      </w:pPr>
    </w:p>
    <w:p>
      <w:pPr>
        <w:widowControl w:val="0"/>
        <w:snapToGrid w:val="0"/>
        <w:spacing w:line="490" w:lineRule="exact"/>
        <w:jc w:val="both"/>
        <w:outlineLvl w:val="0"/>
        <w:rPr>
          <w:rFonts w:hint="eastAsia" w:ascii="黑体" w:hAnsi="黑体" w:eastAsia="黑体" w:cs="宋体"/>
          <w:kern w:val="44"/>
          <w:sz w:val="32"/>
          <w:szCs w:val="32"/>
        </w:rPr>
      </w:pPr>
    </w:p>
    <w:p>
      <w:pPr>
        <w:widowControl w:val="0"/>
        <w:snapToGrid w:val="0"/>
        <w:spacing w:line="490" w:lineRule="exact"/>
        <w:jc w:val="both"/>
        <w:outlineLvl w:val="0"/>
        <w:rPr>
          <w:rFonts w:hint="eastAsia" w:ascii="黑体" w:hAnsi="黑体" w:eastAsia="黑体" w:cs="宋体"/>
          <w:kern w:val="44"/>
          <w:sz w:val="32"/>
          <w:szCs w:val="32"/>
        </w:rPr>
      </w:pPr>
      <w:r>
        <w:rPr>
          <w:rFonts w:hint="eastAsia" w:ascii="黑体" w:hAnsi="黑体" w:eastAsia="黑体" w:cs="宋体"/>
          <w:kern w:val="44"/>
          <w:sz w:val="32"/>
          <w:szCs w:val="32"/>
        </w:rPr>
        <w:t xml:space="preserve">附表1  </w:t>
      </w:r>
    </w:p>
    <w:p>
      <w:pPr>
        <w:widowControl w:val="0"/>
        <w:snapToGrid w:val="0"/>
        <w:spacing w:line="490" w:lineRule="exact"/>
        <w:jc w:val="center"/>
        <w:outlineLvl w:val="0"/>
        <w:rPr>
          <w:rFonts w:ascii="黑体" w:hAnsi="黑体" w:eastAsia="黑体" w:cs="宋体"/>
          <w:kern w:val="44"/>
          <w:sz w:val="32"/>
          <w:szCs w:val="32"/>
        </w:rPr>
      </w:pPr>
      <w:r>
        <w:rPr>
          <w:rFonts w:hint="eastAsia" w:ascii="黑体" w:hAnsi="黑体" w:eastAsia="黑体" w:cs="宋体"/>
          <w:kern w:val="44"/>
          <w:sz w:val="32"/>
          <w:szCs w:val="32"/>
        </w:rPr>
        <w:t>商务部分评分表</w:t>
      </w:r>
    </w:p>
    <w:p>
      <w:pPr>
        <w:snapToGrid w:val="0"/>
        <w:spacing w:line="400" w:lineRule="exact"/>
        <w:jc w:val="both"/>
        <w:rPr>
          <w:rFonts w:ascii="宋体" w:hAnsi="宋体"/>
          <w:sz w:val="24"/>
        </w:rPr>
      </w:pPr>
      <w:r>
        <w:rPr>
          <w:rFonts w:hint="eastAsia" w:ascii="宋体" w:hAnsi="宋体"/>
          <w:sz w:val="24"/>
        </w:rPr>
        <w:t xml:space="preserve">              </w:t>
      </w:r>
    </w:p>
    <w:tbl>
      <w:tblPr>
        <w:tblStyle w:val="43"/>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r>
              <w:rPr>
                <w:rFonts w:hint="eastAsia" w:ascii="宋体" w:hAnsi="宋体"/>
                <w:kern w:val="0"/>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投标人项目</w:t>
            </w:r>
          </w:p>
          <w:p>
            <w:pPr>
              <w:spacing w:line="320" w:lineRule="exact"/>
              <w:jc w:val="center"/>
              <w:rPr>
                <w:rFonts w:ascii="宋体" w:hAnsi="宋体"/>
                <w:kern w:val="0"/>
                <w:szCs w:val="21"/>
              </w:rPr>
            </w:pPr>
            <w:r>
              <w:rPr>
                <w:rFonts w:hint="eastAsia" w:ascii="宋体" w:hAnsi="宋体" w:eastAsia="宋体" w:cs="宋体"/>
                <w:b w:val="0"/>
                <w:bCs/>
                <w:kern w:val="0"/>
                <w:szCs w:val="21"/>
                <w:highlight w:val="none"/>
              </w:rPr>
              <w:t>负责人</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ascii="宋体" w:hAnsi="宋体" w:cs="宋体"/>
                <w:color w:val="000000"/>
                <w:szCs w:val="21"/>
                <w:highlight w:val="none"/>
              </w:rPr>
              <w:t>分</w:t>
            </w:r>
            <w:r>
              <w:rPr>
                <w:rFonts w:hint="eastAsia" w:ascii="宋体" w:hAnsi="宋体" w:cs="宋体"/>
                <w:color w:val="000000"/>
                <w:szCs w:val="21"/>
              </w:rPr>
              <w:t>）</w:t>
            </w:r>
          </w:p>
        </w:tc>
        <w:tc>
          <w:tcPr>
            <w:tcW w:w="48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投标人满足资格审查要求，得基本分</w:t>
            </w:r>
            <w:r>
              <w:rPr>
                <w:rFonts w:hint="eastAsia" w:ascii="宋体" w:hAnsi="宋体" w:cs="宋体"/>
                <w:b w:val="0"/>
                <w:bCs/>
                <w:kern w:val="0"/>
                <w:szCs w:val="21"/>
                <w:highlight w:val="none"/>
                <w:lang w:val="en-US" w:eastAsia="zh-CN"/>
              </w:rPr>
              <w:t>5</w:t>
            </w:r>
            <w:r>
              <w:rPr>
                <w:rFonts w:hint="eastAsia" w:ascii="宋体" w:hAnsi="宋体" w:eastAsia="宋体" w:cs="宋体"/>
                <w:b w:val="0"/>
                <w:bCs/>
                <w:kern w:val="0"/>
                <w:szCs w:val="21"/>
                <w:highlight w:val="none"/>
              </w:rPr>
              <w:t>分；</w:t>
            </w:r>
          </w:p>
          <w:p>
            <w:pPr>
              <w:adjustRightInd w:val="0"/>
              <w:snapToGrid w:val="0"/>
              <w:spacing w:line="276" w:lineRule="auto"/>
              <w:jc w:val="both"/>
              <w:rPr>
                <w:rFonts w:hint="default" w:eastAsia="宋体"/>
                <w:lang w:val="en-US" w:eastAsia="zh-CN"/>
              </w:rPr>
            </w:pPr>
            <w:r>
              <w:rPr>
                <w:rFonts w:hint="eastAsia"/>
                <w:lang w:val="en-US" w:eastAsia="zh-CN"/>
              </w:rPr>
              <w:t>具有高级工程师及以上职称的加3分，最多加3分。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2</w:t>
            </w:r>
          </w:p>
        </w:tc>
        <w:tc>
          <w:tcPr>
            <w:tcW w:w="1856" w:type="dxa"/>
            <w:tcBorders>
              <w:top w:val="single" w:color="auto" w:sz="4" w:space="0"/>
              <w:left w:val="single" w:color="auto" w:sz="4" w:space="0"/>
              <w:right w:val="single" w:color="auto" w:sz="4" w:space="0"/>
            </w:tcBorders>
            <w:vAlign w:val="center"/>
          </w:tcPr>
          <w:p>
            <w:pPr>
              <w:spacing w:before="0" w:beforeAutospacing="0" w:after="0" w:afterAutospacing="0"/>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投标人技术</w:t>
            </w:r>
          </w:p>
          <w:p>
            <w:pPr>
              <w:spacing w:before="0" w:beforeAutospacing="0" w:after="0" w:afterAutospacing="0"/>
              <w:jc w:val="center"/>
              <w:rPr>
                <w:rFonts w:ascii="宋体" w:hAnsi="宋体"/>
                <w:kern w:val="0"/>
                <w:sz w:val="18"/>
                <w:szCs w:val="18"/>
              </w:rPr>
            </w:pPr>
            <w:r>
              <w:rPr>
                <w:rFonts w:hint="eastAsia" w:ascii="宋体" w:hAnsi="宋体" w:eastAsia="宋体" w:cs="宋体"/>
                <w:b w:val="0"/>
                <w:bCs/>
                <w:kern w:val="0"/>
                <w:szCs w:val="21"/>
                <w:highlight w:val="none"/>
              </w:rPr>
              <w:t>负责人</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ascii="宋体" w:hAnsi="宋体" w:cs="宋体"/>
                <w:color w:val="000000"/>
                <w:szCs w:val="21"/>
                <w:highlight w:val="none"/>
              </w:rPr>
              <w:t>分）</w:t>
            </w:r>
          </w:p>
        </w:tc>
        <w:tc>
          <w:tcPr>
            <w:tcW w:w="48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投标人满足资格审查要求，得基本分</w:t>
            </w:r>
            <w:r>
              <w:rPr>
                <w:rFonts w:hint="eastAsia" w:ascii="宋体" w:hAnsi="宋体" w:cs="宋体"/>
                <w:b w:val="0"/>
                <w:bCs/>
                <w:kern w:val="0"/>
                <w:szCs w:val="21"/>
                <w:highlight w:val="none"/>
                <w:lang w:val="en-US" w:eastAsia="zh-CN"/>
              </w:rPr>
              <w:t>5</w:t>
            </w:r>
            <w:r>
              <w:rPr>
                <w:rFonts w:hint="eastAsia" w:ascii="宋体" w:hAnsi="宋体" w:eastAsia="宋体" w:cs="宋体"/>
                <w:b w:val="0"/>
                <w:bCs/>
                <w:kern w:val="0"/>
                <w:szCs w:val="21"/>
                <w:highlight w:val="none"/>
              </w:rPr>
              <w:t>分；</w:t>
            </w:r>
          </w:p>
          <w:p>
            <w:pPr>
              <w:adjustRightInd w:val="0"/>
              <w:snapToGrid w:val="0"/>
              <w:spacing w:line="276" w:lineRule="auto"/>
              <w:jc w:val="both"/>
              <w:rPr>
                <w:rFonts w:ascii="宋体" w:hAnsi="宋体"/>
                <w:bCs/>
                <w:szCs w:val="21"/>
              </w:rPr>
            </w:pPr>
            <w:r>
              <w:rPr>
                <w:rFonts w:hint="eastAsia"/>
                <w:lang w:val="en-US" w:eastAsia="zh-CN"/>
              </w:rPr>
              <w:t>具有高级工程师及以上职称的加3分，最多加3分。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1856" w:type="dxa"/>
            <w:tcBorders>
              <w:top w:val="single" w:color="auto" w:sz="4" w:space="0"/>
              <w:left w:val="single" w:color="auto" w:sz="4" w:space="0"/>
              <w:right w:val="single" w:color="auto" w:sz="4" w:space="0"/>
            </w:tcBorders>
            <w:vAlign w:val="center"/>
          </w:tcPr>
          <w:p>
            <w:pPr>
              <w:spacing w:before="0" w:beforeAutospacing="0" w:after="0" w:afterAutospacing="0"/>
              <w:jc w:val="center"/>
              <w:rPr>
                <w:rFonts w:hint="eastAsia" w:ascii="宋体" w:hAnsi="宋体" w:eastAsia="宋体" w:cs="宋体"/>
                <w:b w:val="0"/>
                <w:bCs/>
                <w:kern w:val="0"/>
                <w:szCs w:val="21"/>
                <w:highlight w:val="none"/>
                <w:lang w:eastAsia="zh-CN"/>
              </w:rPr>
            </w:pPr>
            <w:r>
              <w:rPr>
                <w:rFonts w:hint="eastAsia" w:ascii="宋体" w:hAnsi="宋体" w:eastAsia="宋体" w:cs="宋体"/>
                <w:b w:val="0"/>
                <w:bCs/>
                <w:kern w:val="0"/>
                <w:szCs w:val="21"/>
                <w:highlight w:val="none"/>
              </w:rPr>
              <w:t>投标人现场负责人</w:t>
            </w:r>
            <w:r>
              <w:rPr>
                <w:rFonts w:hint="eastAsia" w:ascii="宋体" w:hAnsi="宋体" w:cs="宋体"/>
                <w:b w:val="0"/>
                <w:bCs/>
                <w:kern w:val="0"/>
                <w:szCs w:val="21"/>
                <w:highlight w:val="none"/>
                <w:lang w:eastAsia="zh-CN"/>
              </w:rPr>
              <w:t>（</w:t>
            </w:r>
            <w:r>
              <w:rPr>
                <w:rFonts w:hint="eastAsia" w:ascii="宋体" w:hAnsi="宋体" w:cs="宋体"/>
                <w:b w:val="0"/>
                <w:bCs/>
                <w:kern w:val="0"/>
                <w:szCs w:val="21"/>
                <w:highlight w:val="none"/>
                <w:lang w:val="en-US" w:eastAsia="zh-CN"/>
              </w:rPr>
              <w:t>8分</w:t>
            </w:r>
            <w:r>
              <w:rPr>
                <w:rFonts w:hint="eastAsia" w:ascii="宋体" w:hAnsi="宋体" w:cs="宋体"/>
                <w:b w:val="0"/>
                <w:bCs/>
                <w:kern w:val="0"/>
                <w:szCs w:val="21"/>
                <w:highlight w:val="none"/>
                <w:lang w:eastAsia="zh-CN"/>
              </w:rPr>
              <w:t>）</w:t>
            </w:r>
          </w:p>
        </w:tc>
        <w:tc>
          <w:tcPr>
            <w:tcW w:w="48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投标人满足资格审查要求，得基本分</w:t>
            </w:r>
            <w:r>
              <w:rPr>
                <w:rFonts w:hint="eastAsia" w:ascii="宋体" w:hAnsi="宋体" w:cs="宋体"/>
                <w:b w:val="0"/>
                <w:bCs/>
                <w:kern w:val="0"/>
                <w:szCs w:val="21"/>
                <w:highlight w:val="none"/>
                <w:lang w:val="en-US" w:eastAsia="zh-CN"/>
              </w:rPr>
              <w:t>5</w:t>
            </w:r>
            <w:r>
              <w:rPr>
                <w:rFonts w:hint="eastAsia" w:ascii="宋体" w:hAnsi="宋体" w:eastAsia="宋体" w:cs="宋体"/>
                <w:b w:val="0"/>
                <w:bCs/>
                <w:kern w:val="0"/>
                <w:szCs w:val="21"/>
                <w:highlight w:val="none"/>
              </w:rPr>
              <w:t>分；</w:t>
            </w:r>
          </w:p>
          <w:p>
            <w:pPr>
              <w:spacing w:line="320" w:lineRule="exact"/>
              <w:rPr>
                <w:rFonts w:hint="eastAsia" w:ascii="宋体" w:hAnsi="宋体" w:eastAsia="宋体" w:cs="宋体"/>
                <w:b w:val="0"/>
                <w:bCs/>
                <w:kern w:val="0"/>
                <w:szCs w:val="21"/>
                <w:highlight w:val="none"/>
              </w:rPr>
            </w:pPr>
            <w:r>
              <w:rPr>
                <w:rFonts w:hint="eastAsia"/>
                <w:lang w:val="en-US" w:eastAsia="zh-CN"/>
              </w:rPr>
              <w:t>具有高级工程师及以上职称的加3分，最多加3分。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lang w:val="en-US" w:eastAsia="zh-CN"/>
              </w:rPr>
              <w:t>4</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cs="宋体"/>
                <w:color w:val="000000"/>
                <w:szCs w:val="21"/>
              </w:rPr>
              <w:t>业绩（</w:t>
            </w:r>
            <w:r>
              <w:rPr>
                <w:rFonts w:hint="eastAsia" w:ascii="宋体" w:hAnsi="宋体" w:cs="宋体"/>
                <w:color w:val="000000"/>
                <w:szCs w:val="21"/>
                <w:lang w:val="en-US" w:eastAsia="zh-CN"/>
              </w:rPr>
              <w:t>16</w:t>
            </w:r>
            <w:r>
              <w:rPr>
                <w:rFonts w:hint="eastAsia" w:ascii="宋体" w:hAnsi="宋体" w:cs="宋体"/>
                <w:color w:val="000000"/>
                <w:szCs w:val="21"/>
              </w:rPr>
              <w:t>分）</w:t>
            </w:r>
          </w:p>
        </w:tc>
        <w:tc>
          <w:tcPr>
            <w:tcW w:w="48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满足资格审查业绩最低条件，得</w:t>
            </w:r>
            <w:r>
              <w:rPr>
                <w:rFonts w:hint="eastAsia" w:ascii="宋体" w:hAnsi="宋体" w:cs="宋体"/>
                <w:b w:val="0"/>
                <w:bCs/>
                <w:kern w:val="0"/>
                <w:szCs w:val="21"/>
                <w:highlight w:val="none"/>
                <w:lang w:val="en-US" w:eastAsia="zh-CN"/>
              </w:rPr>
              <w:t>10</w:t>
            </w:r>
            <w:r>
              <w:rPr>
                <w:rFonts w:hint="eastAsia" w:ascii="宋体" w:hAnsi="宋体" w:eastAsia="宋体" w:cs="宋体"/>
                <w:b w:val="0"/>
                <w:bCs/>
                <w:kern w:val="0"/>
                <w:szCs w:val="21"/>
                <w:highlight w:val="none"/>
              </w:rPr>
              <w:t>分；</w:t>
            </w:r>
          </w:p>
          <w:p>
            <w:pPr>
              <w:spacing w:line="320" w:lineRule="exact"/>
              <w:rPr>
                <w:highlight w:val="none"/>
              </w:rPr>
            </w:pPr>
            <w:r>
              <w:rPr>
                <w:rFonts w:hint="eastAsia" w:ascii="宋体" w:hAnsi="宋体" w:eastAsia="宋体" w:cs="宋体"/>
                <w:b w:val="0"/>
                <w:bCs/>
                <w:kern w:val="0"/>
                <w:szCs w:val="21"/>
                <w:highlight w:val="none"/>
              </w:rPr>
              <w:t>近</w:t>
            </w:r>
            <w:r>
              <w:rPr>
                <w:rFonts w:hint="eastAsia" w:ascii="宋体" w:hAnsi="宋体" w:cs="宋体"/>
                <w:b w:val="0"/>
                <w:bCs/>
                <w:kern w:val="0"/>
                <w:szCs w:val="21"/>
                <w:highlight w:val="none"/>
                <w:lang w:val="en-US" w:eastAsia="zh-CN"/>
              </w:rPr>
              <w:t>五</w:t>
            </w:r>
            <w:r>
              <w:rPr>
                <w:rFonts w:hint="eastAsia" w:ascii="宋体" w:hAnsi="宋体" w:eastAsia="宋体" w:cs="宋体"/>
                <w:b w:val="0"/>
                <w:bCs/>
                <w:kern w:val="0"/>
                <w:szCs w:val="21"/>
                <w:highlight w:val="none"/>
              </w:rPr>
              <w:t>年（投标截止日期往前推算）每增加1个</w:t>
            </w:r>
            <w:r>
              <w:rPr>
                <w:rFonts w:hint="eastAsia" w:ascii="宋体" w:hAnsi="宋体" w:cs="宋体"/>
                <w:b w:val="0"/>
                <w:bCs/>
                <w:kern w:val="0"/>
                <w:szCs w:val="21"/>
                <w:highlight w:val="none"/>
                <w:lang w:val="en-US" w:eastAsia="zh-CN"/>
              </w:rPr>
              <w:t>水运工程环保监测</w:t>
            </w:r>
            <w:r>
              <w:rPr>
                <w:rFonts w:hint="eastAsia" w:ascii="宋体" w:hAnsi="宋体" w:eastAsia="宋体" w:cs="宋体"/>
                <w:b w:val="0"/>
                <w:bCs/>
                <w:kern w:val="0"/>
                <w:szCs w:val="21"/>
                <w:highlight w:val="none"/>
              </w:rPr>
              <w:t>的服务业绩加</w:t>
            </w:r>
            <w:r>
              <w:rPr>
                <w:rFonts w:hint="eastAsia" w:ascii="宋体" w:hAnsi="宋体" w:cs="宋体"/>
                <w:b w:val="0"/>
                <w:bCs/>
                <w:kern w:val="0"/>
                <w:szCs w:val="21"/>
                <w:highlight w:val="none"/>
                <w:lang w:val="en-US" w:eastAsia="zh-CN"/>
              </w:rPr>
              <w:t>3</w:t>
            </w:r>
            <w:r>
              <w:rPr>
                <w:rFonts w:hint="eastAsia" w:ascii="宋体" w:hAnsi="宋体" w:eastAsia="宋体" w:cs="宋体"/>
                <w:b w:val="0"/>
                <w:bCs/>
                <w:kern w:val="0"/>
                <w:szCs w:val="21"/>
                <w:highlight w:val="none"/>
              </w:rPr>
              <w:t>分，最多加</w:t>
            </w:r>
            <w:r>
              <w:rPr>
                <w:rFonts w:hint="eastAsia" w:ascii="宋体" w:hAnsi="宋体" w:cs="宋体"/>
                <w:b w:val="0"/>
                <w:bCs/>
                <w:kern w:val="0"/>
                <w:szCs w:val="21"/>
                <w:highlight w:val="none"/>
                <w:lang w:val="en-US" w:eastAsia="zh-CN"/>
              </w:rPr>
              <w:t>6</w:t>
            </w:r>
            <w:r>
              <w:rPr>
                <w:rFonts w:hint="eastAsia" w:ascii="宋体" w:hAnsi="宋体" w:eastAsia="宋体" w:cs="宋体"/>
                <w:b w:val="0"/>
                <w:bCs/>
                <w:kern w:val="0"/>
                <w:szCs w:val="21"/>
                <w:highlight w:val="none"/>
              </w:rPr>
              <w:t xml:space="preserve">分。  </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szCs w:val="21"/>
              </w:rPr>
            </w:pPr>
            <w:r>
              <w:rPr>
                <w:rFonts w:hint="eastAsia" w:ascii="宋体" w:hAnsi="宋体"/>
                <w:b/>
                <w:kern w:val="0"/>
                <w:szCs w:val="21"/>
              </w:rPr>
              <w:t xml:space="preserve">合    计    </w:t>
            </w:r>
            <w:r>
              <w:rPr>
                <w:rFonts w:hint="eastAsia" w:ascii="宋体" w:hAnsi="宋体"/>
                <w:b/>
                <w:kern w:val="0"/>
                <w:szCs w:val="21"/>
                <w:lang w:val="en-US" w:eastAsia="zh-CN"/>
              </w:rPr>
              <w:t>30</w:t>
            </w:r>
            <w:r>
              <w:rPr>
                <w:rFonts w:hint="eastAsia" w:ascii="宋体" w:hAnsi="宋体"/>
                <w:b/>
                <w:kern w:val="0"/>
                <w:szCs w:val="21"/>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bl>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 xml:space="preserve"> 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ascii="宋体" w:hAnsi="宋体"/>
          <w:kern w:val="0"/>
          <w:szCs w:val="21"/>
        </w:rPr>
      </w:pPr>
      <w:r>
        <w:rPr>
          <w:rFonts w:hint="eastAsia" w:ascii="宋体" w:hAnsi="宋体"/>
          <w:kern w:val="0"/>
          <w:szCs w:val="21"/>
        </w:rPr>
        <w:t>2、各评分因素中基本合理项的最低分值不得低于该评分因素和评分标准最高分值的60%。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对某评分因素评审计分低于该评分因素和评分标准最高分值的60%的，评委应说明原因。</w:t>
      </w:r>
    </w:p>
    <w:p>
      <w:pPr>
        <w:widowControl w:val="0"/>
        <w:jc w:val="both"/>
        <w:rPr>
          <w:rFonts w:ascii="宋体" w:hAnsi="宋体"/>
          <w:sz w:val="24"/>
        </w:rPr>
      </w:pPr>
    </w:p>
    <w:p>
      <w:pPr>
        <w:widowControl w:val="0"/>
        <w:jc w:val="both"/>
        <w:rPr>
          <w:rFonts w:ascii="宋体" w:hAnsi="宋体"/>
          <w:sz w:val="24"/>
        </w:rPr>
      </w:pPr>
      <w:r>
        <w:rPr>
          <w:rFonts w:hint="eastAsia" w:ascii="宋体" w:hAnsi="宋体"/>
          <w:sz w:val="24"/>
        </w:rPr>
        <w:t>评审（谈判）小组</w:t>
      </w:r>
      <w:r>
        <w:rPr>
          <w:rFonts w:ascii="宋体" w:hAnsi="宋体"/>
          <w:sz w:val="24"/>
        </w:rPr>
        <w:t>全体成员签字：</w:t>
      </w: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sz w:val="24"/>
        </w:rPr>
      </w:pPr>
    </w:p>
    <w:p>
      <w:pPr>
        <w:widowControl w:val="0"/>
        <w:snapToGrid w:val="0"/>
        <w:spacing w:line="240" w:lineRule="auto"/>
        <w:outlineLvl w:val="2"/>
        <w:rPr>
          <w:rFonts w:hint="eastAsia" w:ascii="黑体" w:hAnsi="黑体" w:eastAsia="黑体"/>
          <w:sz w:val="32"/>
          <w:szCs w:val="32"/>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 xml:space="preserve">附表2 </w:t>
      </w:r>
    </w:p>
    <w:p>
      <w:pPr>
        <w:widowControl w:val="0"/>
        <w:snapToGrid w:val="0"/>
        <w:spacing w:line="240" w:lineRule="auto"/>
        <w:jc w:val="center"/>
        <w:outlineLvl w:val="2"/>
        <w:rPr>
          <w:rFonts w:ascii="黑体" w:hAnsi="黑体" w:eastAsia="黑体"/>
          <w:sz w:val="32"/>
          <w:szCs w:val="32"/>
        </w:rPr>
      </w:pPr>
      <w:r>
        <w:rPr>
          <w:rFonts w:hint="eastAsia" w:ascii="黑体" w:hAnsi="黑体" w:eastAsia="黑体"/>
          <w:sz w:val="32"/>
          <w:szCs w:val="32"/>
        </w:rPr>
        <w:t>技术部分评分表</w:t>
      </w:r>
    </w:p>
    <w:p>
      <w:pPr>
        <w:widowControl w:val="0"/>
        <w:adjustRightInd w:val="0"/>
        <w:snapToGrid w:val="0"/>
        <w:spacing w:line="312" w:lineRule="auto"/>
        <w:jc w:val="both"/>
        <w:rPr>
          <w:rFonts w:ascii="宋体" w:hAnsi="宋体"/>
          <w:kern w:val="0"/>
          <w:sz w:val="24"/>
        </w:rPr>
      </w:pPr>
    </w:p>
    <w:tbl>
      <w:tblPr>
        <w:tblStyle w:val="43"/>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46"/>
        <w:gridCol w:w="3676"/>
        <w:gridCol w:w="512"/>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序号</w:t>
            </w:r>
          </w:p>
        </w:tc>
        <w:tc>
          <w:tcPr>
            <w:tcW w:w="174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评分因素</w:t>
            </w:r>
          </w:p>
        </w:tc>
        <w:tc>
          <w:tcPr>
            <w:tcW w:w="418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kern w:val="0"/>
                <w:szCs w:val="21"/>
              </w:rPr>
              <w:t>评分标准</w:t>
            </w:r>
            <w:r>
              <w:rPr>
                <w:rFonts w:hint="eastAsia" w:ascii="宋体" w:hAnsi="宋体"/>
                <w:b/>
                <w:szCs w:val="21"/>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418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eastAsia="宋体" w:cs="宋体"/>
                <w:b w:val="0"/>
                <w:bCs/>
                <w:szCs w:val="21"/>
                <w:highlight w:val="none"/>
              </w:rPr>
              <w:t>对项目的理解</w:t>
            </w:r>
          </w:p>
        </w:tc>
        <w:tc>
          <w:tcPr>
            <w:tcW w:w="3676"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①对项目的</w:t>
            </w:r>
            <w:r>
              <w:rPr>
                <w:rFonts w:hint="eastAsia" w:ascii="宋体" w:hAnsi="宋体" w:cs="宋体"/>
                <w:b w:val="0"/>
                <w:bCs/>
                <w:szCs w:val="21"/>
                <w:highlight w:val="none"/>
                <w:lang w:val="en-US" w:eastAsia="zh-CN"/>
              </w:rPr>
              <w:t>监测</w:t>
            </w:r>
            <w:r>
              <w:rPr>
                <w:rFonts w:hint="eastAsia" w:ascii="宋体" w:hAnsi="宋体" w:eastAsia="宋体" w:cs="宋体"/>
                <w:b w:val="0"/>
                <w:bCs/>
                <w:szCs w:val="21"/>
                <w:highlight w:val="none"/>
              </w:rPr>
              <w:t>范围和任务理解基本准确，未考虑持续性发展要求，得</w:t>
            </w:r>
            <w:r>
              <w:rPr>
                <w:rFonts w:hint="eastAsia" w:ascii="宋体" w:hAnsi="宋体" w:eastAsia="宋体" w:cs="宋体"/>
                <w:b w:val="0"/>
                <w:bCs/>
                <w:szCs w:val="21"/>
                <w:highlight w:val="none"/>
                <w:lang w:val="en-US" w:eastAsia="zh-CN"/>
              </w:rPr>
              <w:t>2.4</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②对项目的</w:t>
            </w:r>
            <w:r>
              <w:rPr>
                <w:rFonts w:hint="eastAsia" w:ascii="宋体" w:hAnsi="宋体" w:cs="宋体"/>
                <w:b w:val="0"/>
                <w:bCs/>
                <w:szCs w:val="21"/>
                <w:highlight w:val="none"/>
                <w:lang w:val="en-US" w:eastAsia="zh-CN"/>
              </w:rPr>
              <w:t>监测</w:t>
            </w:r>
            <w:r>
              <w:rPr>
                <w:rFonts w:hint="eastAsia" w:ascii="宋体" w:hAnsi="宋体" w:eastAsia="宋体" w:cs="宋体"/>
                <w:b w:val="0"/>
                <w:bCs/>
                <w:szCs w:val="21"/>
                <w:highlight w:val="none"/>
              </w:rPr>
              <w:t>范围和任务理解基本准确，考虑了持续性发展要求，得</w:t>
            </w:r>
            <w:r>
              <w:rPr>
                <w:rFonts w:hint="eastAsia" w:ascii="宋体" w:hAnsi="宋体" w:eastAsia="宋体" w:cs="宋体"/>
                <w:b w:val="0"/>
                <w:bCs/>
                <w:szCs w:val="21"/>
                <w:highlight w:val="none"/>
                <w:lang w:val="en-US" w:eastAsia="zh-CN"/>
              </w:rPr>
              <w:t>2.4</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3.2</w:t>
            </w:r>
            <w:r>
              <w:rPr>
                <w:rFonts w:hint="eastAsia" w:ascii="宋体" w:hAnsi="宋体" w:eastAsia="宋体" w:cs="宋体"/>
                <w:b w:val="0"/>
                <w:bCs/>
                <w:szCs w:val="21"/>
                <w:highlight w:val="none"/>
              </w:rPr>
              <w:t>分；</w:t>
            </w:r>
          </w:p>
          <w:p>
            <w:pPr>
              <w:rPr>
                <w:rFonts w:hint="eastAsia" w:ascii="宋体" w:hAnsi="宋体" w:eastAsia="宋体"/>
                <w:bCs/>
                <w:szCs w:val="21"/>
                <w:lang w:eastAsia="zh-CN"/>
              </w:rPr>
            </w:pPr>
            <w:r>
              <w:rPr>
                <w:rFonts w:hint="eastAsia" w:ascii="宋体" w:hAnsi="宋体" w:eastAsia="宋体" w:cs="宋体"/>
                <w:b w:val="0"/>
                <w:bCs/>
                <w:szCs w:val="21"/>
                <w:highlight w:val="none"/>
              </w:rPr>
              <w:t>③对项目的</w:t>
            </w:r>
            <w:r>
              <w:rPr>
                <w:rFonts w:hint="eastAsia" w:ascii="宋体" w:hAnsi="宋体" w:cs="宋体"/>
                <w:b w:val="0"/>
                <w:bCs/>
                <w:szCs w:val="21"/>
                <w:highlight w:val="none"/>
                <w:lang w:val="en-US" w:eastAsia="zh-CN"/>
              </w:rPr>
              <w:t>监测</w:t>
            </w:r>
            <w:r>
              <w:rPr>
                <w:rFonts w:hint="eastAsia" w:ascii="宋体" w:hAnsi="宋体" w:eastAsia="宋体" w:cs="宋体"/>
                <w:b w:val="0"/>
                <w:bCs/>
                <w:szCs w:val="21"/>
                <w:highlight w:val="none"/>
              </w:rPr>
              <w:t>范围和任务理解准确，充分考虑了持续性发展要求，</w:t>
            </w:r>
            <w:r>
              <w:rPr>
                <w:rFonts w:hint="eastAsia" w:ascii="宋体" w:hAnsi="宋体" w:eastAsia="宋体" w:cs="宋体"/>
                <w:b w:val="0"/>
                <w:bCs/>
                <w:szCs w:val="21"/>
                <w:highlight w:val="none"/>
                <w:lang w:val="en-US" w:eastAsia="zh-CN"/>
              </w:rPr>
              <w:t>3.2</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4</w:t>
            </w:r>
            <w:r>
              <w:rPr>
                <w:rFonts w:hint="eastAsia" w:ascii="宋体" w:hAnsi="宋体" w:eastAsia="宋体" w:cs="宋体"/>
                <w:b w:val="0"/>
                <w:bCs/>
                <w:szCs w:val="21"/>
                <w:highlight w:val="none"/>
              </w:rPr>
              <w:t>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szCs w:val="21"/>
                <w:lang w:val="en-US" w:eastAsia="zh-CN"/>
              </w:rPr>
            </w:pPr>
            <w:r>
              <w:rPr>
                <w:rFonts w:hint="eastAsia" w:ascii="宋体" w:hAnsi="宋体"/>
                <w:szCs w:val="21"/>
                <w:lang w:val="en-US" w:eastAsia="zh-CN"/>
              </w:rPr>
              <w:t>4</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bookmarkStart w:id="14" w:name="OLE_LINK1" w:colFirst="1" w:colLast="2"/>
            <w:r>
              <w:rPr>
                <w:rFonts w:hint="eastAsia" w:ascii="宋体" w:hAnsi="宋体"/>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eastAsia="宋体" w:cs="宋体"/>
                <w:b w:val="0"/>
                <w:bCs/>
                <w:szCs w:val="21"/>
                <w:highlight w:val="none"/>
              </w:rPr>
              <w:t>对项目的特点及关键问题的对策措施</w:t>
            </w:r>
          </w:p>
        </w:tc>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①项目的关键性问题分析一般，对策可行性差，得</w:t>
            </w:r>
            <w:r>
              <w:rPr>
                <w:rFonts w:hint="eastAsia" w:ascii="宋体" w:hAnsi="宋体" w:eastAsia="宋体" w:cs="宋体"/>
                <w:b w:val="0"/>
                <w:bCs/>
                <w:szCs w:val="21"/>
                <w:highlight w:val="none"/>
                <w:lang w:val="en-US" w:eastAsia="zh-CN"/>
              </w:rPr>
              <w:t>3.6</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②项目的关键性问题分析较好，对策基本可行，得</w:t>
            </w:r>
            <w:r>
              <w:rPr>
                <w:rFonts w:hint="eastAsia" w:ascii="宋体" w:hAnsi="宋体" w:eastAsia="宋体" w:cs="宋体"/>
                <w:b w:val="0"/>
                <w:bCs/>
                <w:szCs w:val="21"/>
                <w:highlight w:val="none"/>
                <w:lang w:val="en-US" w:eastAsia="zh-CN"/>
              </w:rPr>
              <w:t>3.6</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4.8</w:t>
            </w:r>
            <w:r>
              <w:rPr>
                <w:rFonts w:hint="eastAsia" w:ascii="宋体" w:hAnsi="宋体" w:eastAsia="宋体" w:cs="宋体"/>
                <w:b w:val="0"/>
                <w:bCs/>
                <w:szCs w:val="21"/>
                <w:highlight w:val="none"/>
              </w:rPr>
              <w:t>分；</w:t>
            </w:r>
          </w:p>
          <w:p>
            <w:pPr>
              <w:rPr>
                <w:rFonts w:ascii="宋体" w:hAnsi="宋体"/>
                <w:bCs/>
                <w:szCs w:val="21"/>
              </w:rPr>
            </w:pPr>
            <w:r>
              <w:rPr>
                <w:rFonts w:hint="eastAsia" w:ascii="宋体" w:hAnsi="宋体" w:eastAsia="宋体" w:cs="宋体"/>
                <w:b w:val="0"/>
                <w:bCs/>
                <w:szCs w:val="21"/>
                <w:highlight w:val="none"/>
              </w:rPr>
              <w:t>③项目的关键性问题分析好，对策有效可行，得</w:t>
            </w:r>
            <w:r>
              <w:rPr>
                <w:rFonts w:hint="eastAsia" w:ascii="宋体" w:hAnsi="宋体" w:eastAsia="宋体" w:cs="宋体"/>
                <w:b w:val="0"/>
                <w:bCs/>
                <w:szCs w:val="21"/>
                <w:highlight w:val="none"/>
                <w:lang w:val="en-US" w:eastAsia="zh-CN"/>
              </w:rPr>
              <w:t>4.8</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6</w:t>
            </w:r>
            <w:r>
              <w:rPr>
                <w:rFonts w:hint="eastAsia" w:ascii="宋体" w:hAnsi="宋体" w:eastAsia="宋体" w:cs="宋体"/>
                <w:b w:val="0"/>
                <w:bCs/>
                <w:szCs w:val="21"/>
                <w:highlight w:val="none"/>
              </w:rPr>
              <w:t>.0分。</w:t>
            </w:r>
          </w:p>
        </w:tc>
        <w:tc>
          <w:tcPr>
            <w:tcW w:w="512" w:type="dxa"/>
            <w:tcBorders>
              <w:top w:val="single" w:color="auto" w:sz="4" w:space="0"/>
              <w:left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szCs w:val="21"/>
                <w:lang w:val="en-US" w:eastAsia="zh-CN"/>
              </w:rPr>
            </w:pPr>
            <w:r>
              <w:rPr>
                <w:rFonts w:hint="eastAsia" w:ascii="宋体" w:hAnsi="宋体"/>
                <w:szCs w:val="21"/>
                <w:lang w:val="en-US" w:eastAsia="zh-CN"/>
              </w:rPr>
              <w:t>6</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szCs w:val="21"/>
                <w:lang w:eastAsia="zh-CN"/>
              </w:rPr>
            </w:pPr>
            <w:r>
              <w:rPr>
                <w:rFonts w:hint="eastAsia" w:ascii="宋体" w:hAnsi="宋体"/>
                <w:szCs w:val="21"/>
                <w:lang w:val="en-US" w:eastAsia="zh-CN"/>
              </w:rPr>
              <w:t>3</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eastAsia="宋体" w:cs="宋体"/>
                <w:b w:val="0"/>
                <w:bCs/>
                <w:spacing w:val="-6"/>
                <w:szCs w:val="21"/>
                <w:highlight w:val="none"/>
              </w:rPr>
              <w:t>检测方法和评价方法</w:t>
            </w:r>
          </w:p>
        </w:tc>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w:t>
            </w:r>
            <w:r>
              <w:rPr>
                <w:rFonts w:hint="eastAsia" w:ascii="宋体" w:hAnsi="宋体" w:cs="宋体"/>
                <w:b w:val="0"/>
                <w:bCs/>
                <w:szCs w:val="21"/>
                <w:highlight w:val="none"/>
                <w:lang w:val="en-US" w:eastAsia="zh-CN"/>
              </w:rPr>
              <w:t>监测</w:t>
            </w:r>
            <w:r>
              <w:rPr>
                <w:rFonts w:hint="eastAsia" w:ascii="宋体" w:hAnsi="宋体" w:eastAsia="宋体" w:cs="宋体"/>
                <w:b w:val="0"/>
                <w:bCs/>
                <w:szCs w:val="21"/>
                <w:highlight w:val="none"/>
              </w:rPr>
              <w:t>方法和评价方法不太适合本项目，得</w:t>
            </w:r>
            <w:r>
              <w:rPr>
                <w:rFonts w:hint="eastAsia" w:ascii="宋体" w:hAnsi="宋体" w:eastAsia="宋体" w:cs="宋体"/>
                <w:b w:val="0"/>
                <w:bCs/>
                <w:szCs w:val="21"/>
                <w:highlight w:val="none"/>
                <w:lang w:val="en-US" w:eastAsia="zh-CN"/>
              </w:rPr>
              <w:t>3.6</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w:t>
            </w:r>
            <w:r>
              <w:rPr>
                <w:rFonts w:hint="eastAsia" w:ascii="宋体" w:hAnsi="宋体" w:cs="宋体"/>
                <w:b w:val="0"/>
                <w:bCs/>
                <w:szCs w:val="21"/>
                <w:highlight w:val="none"/>
                <w:lang w:val="en-US" w:eastAsia="zh-CN"/>
              </w:rPr>
              <w:t>监测</w:t>
            </w:r>
            <w:r>
              <w:rPr>
                <w:rFonts w:hint="eastAsia" w:ascii="宋体" w:hAnsi="宋体" w:eastAsia="宋体" w:cs="宋体"/>
                <w:b w:val="0"/>
                <w:bCs/>
                <w:szCs w:val="21"/>
                <w:highlight w:val="none"/>
              </w:rPr>
              <w:t>方法和评价方法基本适合本项目，得</w:t>
            </w:r>
            <w:r>
              <w:rPr>
                <w:rFonts w:hint="eastAsia" w:ascii="宋体" w:hAnsi="宋体" w:eastAsia="宋体" w:cs="宋体"/>
                <w:b w:val="0"/>
                <w:bCs/>
                <w:szCs w:val="21"/>
                <w:highlight w:val="none"/>
                <w:lang w:val="en-US" w:eastAsia="zh-CN"/>
              </w:rPr>
              <w:t>3.6</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4.8</w:t>
            </w:r>
            <w:r>
              <w:rPr>
                <w:rFonts w:hint="eastAsia" w:ascii="宋体" w:hAnsi="宋体" w:eastAsia="宋体" w:cs="宋体"/>
                <w:b w:val="0"/>
                <w:bCs/>
                <w:szCs w:val="21"/>
                <w:highlight w:val="none"/>
              </w:rPr>
              <w:t>分；</w:t>
            </w:r>
          </w:p>
          <w:p>
            <w:pPr>
              <w:rPr>
                <w:rFonts w:ascii="宋体" w:hAnsi="宋体"/>
                <w:bCs/>
                <w:szCs w:val="21"/>
              </w:rPr>
            </w:pPr>
            <w:r>
              <w:rPr>
                <w:rFonts w:hint="eastAsia" w:ascii="宋体" w:hAnsi="宋体" w:eastAsia="宋体" w:cs="宋体"/>
                <w:b w:val="0"/>
                <w:bCs/>
                <w:szCs w:val="21"/>
                <w:highlight w:val="none"/>
              </w:rPr>
              <w:t>③</w:t>
            </w:r>
            <w:r>
              <w:rPr>
                <w:rFonts w:hint="eastAsia" w:ascii="宋体" w:hAnsi="宋体" w:cs="宋体"/>
                <w:b w:val="0"/>
                <w:bCs/>
                <w:szCs w:val="21"/>
                <w:highlight w:val="none"/>
                <w:lang w:val="en-US" w:eastAsia="zh-CN"/>
              </w:rPr>
              <w:t>监测</w:t>
            </w:r>
            <w:r>
              <w:rPr>
                <w:rFonts w:hint="eastAsia" w:ascii="宋体" w:hAnsi="宋体" w:eastAsia="宋体" w:cs="宋体"/>
                <w:b w:val="0"/>
                <w:bCs/>
                <w:szCs w:val="21"/>
                <w:highlight w:val="none"/>
              </w:rPr>
              <w:t>方法和评价方法充分适合本项目，得</w:t>
            </w:r>
            <w:r>
              <w:rPr>
                <w:rFonts w:hint="eastAsia" w:ascii="宋体" w:hAnsi="宋体" w:eastAsia="宋体" w:cs="宋体"/>
                <w:b w:val="0"/>
                <w:bCs/>
                <w:szCs w:val="21"/>
                <w:highlight w:val="none"/>
                <w:lang w:val="en-US" w:eastAsia="zh-CN"/>
              </w:rPr>
              <w:t>4.8</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6</w:t>
            </w:r>
            <w:r>
              <w:rPr>
                <w:rFonts w:hint="eastAsia" w:ascii="宋体" w:hAnsi="宋体" w:eastAsia="宋体" w:cs="宋体"/>
                <w:b w:val="0"/>
                <w:bCs/>
                <w:szCs w:val="21"/>
                <w:highlight w:val="none"/>
              </w:rPr>
              <w:t>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szCs w:val="21"/>
                <w:lang w:eastAsia="zh-CN"/>
              </w:rPr>
            </w:pPr>
            <w:r>
              <w:rPr>
                <w:rFonts w:hint="eastAsia" w:ascii="宋体" w:hAnsi="宋体"/>
                <w:szCs w:val="21"/>
                <w:lang w:val="en-US" w:eastAsia="zh-CN"/>
              </w:rPr>
              <w:t>6</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eastAsia="宋体" w:cs="宋体"/>
                <w:b w:val="0"/>
                <w:bCs/>
                <w:spacing w:val="-6"/>
                <w:szCs w:val="21"/>
                <w:highlight w:val="none"/>
              </w:rPr>
              <w:t>项目组织机构及人</w:t>
            </w:r>
            <w:r>
              <w:rPr>
                <w:rFonts w:hint="eastAsia" w:ascii="宋体" w:hAnsi="宋体" w:eastAsia="宋体" w:cs="宋体"/>
                <w:b w:val="0"/>
                <w:bCs/>
                <w:spacing w:val="-6"/>
                <w:szCs w:val="21"/>
                <w:highlight w:val="none"/>
                <w:lang w:val="en-US" w:eastAsia="zh-CN"/>
              </w:rPr>
              <w:t>人</w:t>
            </w:r>
            <w:r>
              <w:rPr>
                <w:rFonts w:hint="eastAsia" w:ascii="宋体" w:hAnsi="宋体" w:eastAsia="宋体" w:cs="宋体"/>
                <w:b w:val="0"/>
                <w:bCs/>
                <w:spacing w:val="-6"/>
                <w:szCs w:val="21"/>
                <w:highlight w:val="none"/>
              </w:rPr>
              <w:t>员安排</w:t>
            </w:r>
          </w:p>
        </w:tc>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①项目组织机构及主要人员安排基本明确、不太合理，得</w:t>
            </w:r>
            <w:r>
              <w:rPr>
                <w:rFonts w:hint="eastAsia" w:ascii="宋体" w:hAnsi="宋体" w:eastAsia="宋体" w:cs="宋体"/>
                <w:b w:val="0"/>
                <w:bCs/>
                <w:szCs w:val="21"/>
                <w:highlight w:val="none"/>
                <w:lang w:val="en-US" w:eastAsia="zh-CN"/>
              </w:rPr>
              <w:t>3.6</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②项目组织机构及主要人员安排基本明确、合理，得</w:t>
            </w:r>
            <w:r>
              <w:rPr>
                <w:rFonts w:hint="eastAsia" w:ascii="宋体" w:hAnsi="宋体" w:eastAsia="宋体" w:cs="宋体"/>
                <w:b w:val="0"/>
                <w:bCs/>
                <w:szCs w:val="21"/>
                <w:highlight w:val="none"/>
                <w:lang w:val="en-US" w:eastAsia="zh-CN"/>
              </w:rPr>
              <w:t>3.6</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4.8</w:t>
            </w:r>
            <w:r>
              <w:rPr>
                <w:rFonts w:hint="eastAsia" w:ascii="宋体" w:hAnsi="宋体" w:eastAsia="宋体" w:cs="宋体"/>
                <w:b w:val="0"/>
                <w:bCs/>
                <w:szCs w:val="21"/>
                <w:highlight w:val="none"/>
              </w:rPr>
              <w:t>分；</w:t>
            </w:r>
          </w:p>
          <w:p>
            <w:pPr>
              <w:rPr>
                <w:rFonts w:ascii="宋体" w:hAnsi="宋体"/>
                <w:bCs/>
                <w:szCs w:val="21"/>
              </w:rPr>
            </w:pPr>
            <w:r>
              <w:rPr>
                <w:rFonts w:hint="eastAsia" w:ascii="宋体" w:hAnsi="宋体" w:eastAsia="宋体" w:cs="宋体"/>
                <w:b w:val="0"/>
                <w:bCs/>
                <w:szCs w:val="21"/>
                <w:highlight w:val="none"/>
              </w:rPr>
              <w:t>③项目组织机构及主要人员安排明确、完善、合理，得</w:t>
            </w:r>
            <w:r>
              <w:rPr>
                <w:rFonts w:hint="eastAsia" w:ascii="宋体" w:hAnsi="宋体" w:eastAsia="宋体" w:cs="宋体"/>
                <w:b w:val="0"/>
                <w:bCs/>
                <w:szCs w:val="21"/>
                <w:highlight w:val="none"/>
                <w:lang w:val="en-US" w:eastAsia="zh-CN"/>
              </w:rPr>
              <w:t>4.8</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6</w:t>
            </w:r>
            <w:r>
              <w:rPr>
                <w:rFonts w:hint="eastAsia" w:ascii="宋体" w:hAnsi="宋体" w:eastAsia="宋体" w:cs="宋体"/>
                <w:b w:val="0"/>
                <w:bCs/>
                <w:szCs w:val="21"/>
                <w:highlight w:val="none"/>
              </w:rPr>
              <w:t>.0分。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szCs w:val="21"/>
                <w:lang w:val="en-US" w:eastAsia="zh-CN"/>
              </w:rPr>
            </w:pPr>
            <w:r>
              <w:rPr>
                <w:rFonts w:hint="eastAsia" w:ascii="宋体" w:hAnsi="宋体"/>
                <w:szCs w:val="21"/>
                <w:lang w:val="en-US" w:eastAsia="zh-CN"/>
              </w:rPr>
              <w:t>6</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szCs w:val="21"/>
                <w:lang w:val="en-US" w:eastAsia="zh-CN"/>
              </w:rPr>
            </w:pPr>
            <w:r>
              <w:rPr>
                <w:rFonts w:hint="eastAsia" w:ascii="宋体" w:hAnsi="宋体"/>
                <w:szCs w:val="21"/>
                <w:lang w:val="en-US" w:eastAsia="zh-CN"/>
              </w:rPr>
              <w:t>5</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szCs w:val="21"/>
              </w:rPr>
            </w:pPr>
            <w:r>
              <w:rPr>
                <w:rFonts w:hint="eastAsia" w:ascii="宋体" w:hAnsi="宋体" w:eastAsia="宋体" w:cs="宋体"/>
                <w:b w:val="0"/>
                <w:bCs/>
                <w:spacing w:val="-6"/>
                <w:szCs w:val="21"/>
                <w:highlight w:val="none"/>
              </w:rPr>
              <w:t>工作进度计划</w:t>
            </w:r>
          </w:p>
        </w:tc>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①工作内容、方案及进度计划基本明确、但不太合理，得</w:t>
            </w:r>
            <w:r>
              <w:rPr>
                <w:rFonts w:hint="eastAsia" w:ascii="宋体" w:hAnsi="宋体" w:eastAsia="宋体" w:cs="宋体"/>
                <w:b w:val="0"/>
                <w:bCs/>
                <w:szCs w:val="21"/>
                <w:highlight w:val="none"/>
                <w:lang w:val="en-US" w:eastAsia="zh-CN"/>
              </w:rPr>
              <w:t>2.4</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②工作内容、方案及进度计划基本明确、合理，得</w:t>
            </w:r>
            <w:r>
              <w:rPr>
                <w:rFonts w:hint="eastAsia" w:ascii="宋体" w:hAnsi="宋体" w:eastAsia="宋体" w:cs="宋体"/>
                <w:b w:val="0"/>
                <w:bCs/>
                <w:szCs w:val="21"/>
                <w:highlight w:val="none"/>
                <w:lang w:val="en-US" w:eastAsia="zh-CN"/>
              </w:rPr>
              <w:t>2.4</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3.2</w:t>
            </w:r>
            <w:r>
              <w:rPr>
                <w:rFonts w:hint="eastAsia" w:ascii="宋体" w:hAnsi="宋体" w:eastAsia="宋体" w:cs="宋体"/>
                <w:b w:val="0"/>
                <w:bCs/>
                <w:szCs w:val="21"/>
                <w:highlight w:val="none"/>
              </w:rPr>
              <w:t>分；</w:t>
            </w:r>
          </w:p>
          <w:p>
            <w:pPr>
              <w:rPr>
                <w:rFonts w:hint="eastAsia" w:ascii="宋体" w:hAnsi="宋体"/>
              </w:rPr>
            </w:pPr>
            <w:r>
              <w:rPr>
                <w:rFonts w:hint="eastAsia" w:ascii="宋体" w:hAnsi="宋体" w:eastAsia="宋体" w:cs="宋体"/>
                <w:b w:val="0"/>
                <w:bCs/>
                <w:szCs w:val="21"/>
                <w:highlight w:val="none"/>
              </w:rPr>
              <w:t>③工作内容、方案及进度计划明确、完善、合理，得</w:t>
            </w:r>
            <w:r>
              <w:rPr>
                <w:rFonts w:hint="eastAsia" w:ascii="宋体" w:hAnsi="宋体" w:eastAsia="宋体" w:cs="宋体"/>
                <w:b w:val="0"/>
                <w:bCs/>
                <w:szCs w:val="21"/>
                <w:highlight w:val="none"/>
                <w:lang w:val="en-US" w:eastAsia="zh-CN"/>
              </w:rPr>
              <w:t>3.2</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4</w:t>
            </w:r>
            <w:r>
              <w:rPr>
                <w:rFonts w:hint="eastAsia" w:ascii="宋体" w:hAnsi="宋体" w:eastAsia="宋体" w:cs="宋体"/>
                <w:b w:val="0"/>
                <w:bCs/>
                <w:szCs w:val="21"/>
                <w:highlight w:val="none"/>
              </w:rPr>
              <w:t>.0分。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szCs w:val="21"/>
                <w:lang w:val="en-US" w:eastAsia="zh-CN"/>
              </w:rPr>
            </w:pPr>
            <w:r>
              <w:rPr>
                <w:rFonts w:hint="eastAsia" w:ascii="宋体" w:hAnsi="宋体"/>
                <w:szCs w:val="21"/>
                <w:lang w:val="en-US" w:eastAsia="zh-CN"/>
              </w:rPr>
              <w:t>4</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szCs w:val="21"/>
                <w:lang w:val="en-US" w:eastAsia="zh-CN"/>
              </w:rPr>
            </w:pPr>
            <w:r>
              <w:rPr>
                <w:rFonts w:hint="eastAsia" w:ascii="宋体" w:hAnsi="宋体"/>
                <w:szCs w:val="21"/>
                <w:lang w:val="en-US" w:eastAsia="zh-CN"/>
              </w:rPr>
              <w:t>6</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szCs w:val="21"/>
              </w:rPr>
            </w:pPr>
            <w:r>
              <w:rPr>
                <w:rFonts w:hint="eastAsia" w:ascii="宋体" w:hAnsi="宋体" w:eastAsia="宋体" w:cs="宋体"/>
                <w:b w:val="0"/>
                <w:bCs/>
                <w:spacing w:val="-6"/>
                <w:szCs w:val="21"/>
                <w:highlight w:val="none"/>
              </w:rPr>
              <w:t>现场服务计划</w:t>
            </w:r>
          </w:p>
        </w:tc>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①现场服务人员、设备、安排配置不合理，得</w:t>
            </w:r>
            <w:r>
              <w:rPr>
                <w:rFonts w:hint="eastAsia" w:ascii="宋体" w:hAnsi="宋体" w:eastAsia="宋体" w:cs="宋体"/>
                <w:b w:val="0"/>
                <w:bCs/>
                <w:szCs w:val="21"/>
                <w:highlight w:val="none"/>
                <w:lang w:val="en-US" w:eastAsia="zh-CN"/>
              </w:rPr>
              <w:t>1.2</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②现场服务人员、设备、安排配置基本合理，得</w:t>
            </w:r>
            <w:r>
              <w:rPr>
                <w:rFonts w:hint="eastAsia" w:ascii="宋体" w:hAnsi="宋体" w:eastAsia="宋体" w:cs="宋体"/>
                <w:b w:val="0"/>
                <w:bCs/>
                <w:szCs w:val="21"/>
                <w:highlight w:val="none"/>
                <w:lang w:val="en-US" w:eastAsia="zh-CN"/>
              </w:rPr>
              <w:t>1.2</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1.6</w:t>
            </w:r>
            <w:r>
              <w:rPr>
                <w:rFonts w:hint="eastAsia" w:ascii="宋体" w:hAnsi="宋体" w:eastAsia="宋体" w:cs="宋体"/>
                <w:b w:val="0"/>
                <w:bCs/>
                <w:szCs w:val="21"/>
                <w:highlight w:val="none"/>
              </w:rPr>
              <w:t>分；</w:t>
            </w:r>
          </w:p>
          <w:p>
            <w:pPr>
              <w:rPr>
                <w:rFonts w:hint="eastAsia" w:ascii="宋体" w:hAnsi="宋体"/>
              </w:rPr>
            </w:pPr>
            <w:r>
              <w:rPr>
                <w:rFonts w:hint="eastAsia" w:ascii="宋体" w:hAnsi="宋体" w:eastAsia="宋体" w:cs="宋体"/>
                <w:b w:val="0"/>
                <w:bCs/>
                <w:szCs w:val="21"/>
                <w:highlight w:val="none"/>
              </w:rPr>
              <w:t>③现场服务人员、设备、安排配置周全、合理，得</w:t>
            </w:r>
            <w:r>
              <w:rPr>
                <w:rFonts w:hint="eastAsia" w:ascii="宋体" w:hAnsi="宋体" w:eastAsia="宋体" w:cs="宋体"/>
                <w:b w:val="0"/>
                <w:bCs/>
                <w:szCs w:val="21"/>
                <w:highlight w:val="none"/>
                <w:lang w:val="en-US" w:eastAsia="zh-CN"/>
              </w:rPr>
              <w:t>1.6</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2</w:t>
            </w:r>
            <w:r>
              <w:rPr>
                <w:rFonts w:hint="eastAsia" w:ascii="宋体" w:hAnsi="宋体" w:eastAsia="宋体" w:cs="宋体"/>
                <w:b w:val="0"/>
                <w:bCs/>
                <w:szCs w:val="21"/>
                <w:highlight w:val="none"/>
              </w:rPr>
              <w:t>.0分。</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szCs w:val="21"/>
                <w:lang w:val="en-US" w:eastAsia="zh-CN"/>
              </w:rPr>
            </w:pPr>
            <w:r>
              <w:rPr>
                <w:rFonts w:hint="eastAsia" w:ascii="宋体" w:hAnsi="宋体"/>
                <w:szCs w:val="21"/>
                <w:lang w:val="en-US" w:eastAsia="zh-CN"/>
              </w:rPr>
              <w:t>2</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szCs w:val="21"/>
                <w:lang w:val="en-US" w:eastAsia="zh-CN"/>
              </w:rPr>
            </w:pPr>
            <w:r>
              <w:rPr>
                <w:rFonts w:hint="eastAsia" w:ascii="宋体" w:hAnsi="宋体"/>
                <w:szCs w:val="21"/>
                <w:lang w:val="en-US" w:eastAsia="zh-CN"/>
              </w:rPr>
              <w:t>7</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szCs w:val="21"/>
              </w:rPr>
            </w:pPr>
            <w:r>
              <w:rPr>
                <w:rFonts w:hint="eastAsia" w:ascii="宋体" w:hAnsi="宋体" w:eastAsia="宋体" w:cs="宋体"/>
                <w:b w:val="0"/>
                <w:bCs/>
                <w:spacing w:val="-6"/>
                <w:szCs w:val="21"/>
                <w:highlight w:val="none"/>
              </w:rPr>
              <w:t>项目的质量、安全保证体系</w:t>
            </w:r>
          </w:p>
        </w:tc>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①质量、安全保证体系基本完善、不太合理，得</w:t>
            </w:r>
            <w:r>
              <w:rPr>
                <w:rFonts w:hint="eastAsia" w:ascii="宋体" w:hAnsi="宋体" w:eastAsia="宋体" w:cs="宋体"/>
                <w:b w:val="0"/>
                <w:bCs/>
                <w:szCs w:val="21"/>
                <w:highlight w:val="none"/>
                <w:lang w:val="en-US" w:eastAsia="zh-CN"/>
              </w:rPr>
              <w:t>1.2</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rPr>
            </w:pPr>
            <w:r>
              <w:rPr>
                <w:rFonts w:hint="eastAsia" w:ascii="宋体" w:hAnsi="宋体" w:eastAsia="宋体" w:cs="宋体"/>
                <w:b w:val="0"/>
                <w:bCs/>
                <w:szCs w:val="21"/>
                <w:highlight w:val="none"/>
              </w:rPr>
              <w:t>②质量、安全保证体系基本完善、合理，得</w:t>
            </w:r>
            <w:r>
              <w:rPr>
                <w:rFonts w:hint="eastAsia" w:ascii="宋体" w:hAnsi="宋体" w:eastAsia="宋体" w:cs="宋体"/>
                <w:b w:val="0"/>
                <w:bCs/>
                <w:szCs w:val="21"/>
                <w:highlight w:val="none"/>
                <w:lang w:val="en-US" w:eastAsia="zh-CN"/>
              </w:rPr>
              <w:t>1.2</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1.6</w:t>
            </w:r>
            <w:r>
              <w:rPr>
                <w:rFonts w:hint="eastAsia" w:ascii="宋体" w:hAnsi="宋体" w:eastAsia="宋体" w:cs="宋体"/>
                <w:b w:val="0"/>
                <w:bCs/>
                <w:szCs w:val="21"/>
                <w:highlight w:val="none"/>
              </w:rPr>
              <w:t>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rPr>
              <w:t>③质量、安全保证体系完善、合理，得</w:t>
            </w:r>
            <w:r>
              <w:rPr>
                <w:rFonts w:hint="eastAsia" w:ascii="宋体" w:hAnsi="宋体" w:eastAsia="宋体" w:cs="宋体"/>
                <w:b w:val="0"/>
                <w:bCs/>
                <w:szCs w:val="21"/>
                <w:highlight w:val="none"/>
                <w:lang w:val="en-US" w:eastAsia="zh-CN"/>
              </w:rPr>
              <w:t>1.6</w:t>
            </w: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2</w:t>
            </w:r>
            <w:r>
              <w:rPr>
                <w:rFonts w:hint="eastAsia" w:ascii="宋体" w:hAnsi="宋体" w:eastAsia="宋体" w:cs="宋体"/>
                <w:b w:val="0"/>
                <w:bCs/>
                <w:szCs w:val="21"/>
                <w:highlight w:val="none"/>
              </w:rPr>
              <w:t>分</w:t>
            </w:r>
            <w:r>
              <w:rPr>
                <w:rFonts w:hint="eastAsia" w:ascii="宋体" w:hAnsi="宋体" w:cs="宋体"/>
                <w:b w:val="0"/>
                <w:bCs/>
                <w:szCs w:val="21"/>
                <w:highlight w:val="none"/>
                <w:lang w:eastAsia="zh-CN"/>
              </w:rPr>
              <w:t>。</w:t>
            </w:r>
          </w:p>
          <w:p>
            <w:pPr>
              <w:rPr>
                <w:rFonts w:hint="eastAsia" w:ascii="宋体" w:hAnsi="宋体"/>
              </w:rPr>
            </w:pPr>
            <w:r>
              <w:rPr>
                <w:rFonts w:hint="eastAsia" w:ascii="宋体" w:hAnsi="宋体" w:eastAsia="宋体" w:cs="宋体"/>
                <w:b w:val="0"/>
                <w:bCs/>
                <w:szCs w:val="21"/>
                <w:highlight w:val="none"/>
              </w:rPr>
              <w:t>。</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szCs w:val="21"/>
                <w:lang w:val="en-US" w:eastAsia="zh-CN"/>
              </w:rPr>
            </w:pPr>
            <w:r>
              <w:rPr>
                <w:rFonts w:hint="eastAsia" w:ascii="宋体" w:hAnsi="宋体"/>
                <w:szCs w:val="21"/>
                <w:lang w:val="en-US" w:eastAsia="zh-CN"/>
              </w:rPr>
              <w:t>2</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b/>
                <w:szCs w:val="21"/>
              </w:rPr>
              <w:t>合计</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szCs w:val="21"/>
                <w:lang w:val="en-US" w:eastAsia="zh-CN"/>
              </w:rPr>
            </w:pPr>
            <w:r>
              <w:rPr>
                <w:rFonts w:hint="eastAsia" w:ascii="宋体" w:hAnsi="宋体"/>
                <w:szCs w:val="21"/>
                <w:lang w:val="en-US" w:eastAsia="zh-CN"/>
              </w:rPr>
              <w:t>30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bl>
    <w:p>
      <w:pPr>
        <w:widowControl w:val="0"/>
        <w:adjustRightInd w:val="0"/>
        <w:snapToGrid w:val="0"/>
        <w:spacing w:line="312" w:lineRule="auto"/>
        <w:ind w:firstLine="315" w:firstLineChars="150"/>
        <w:rPr>
          <w:rFonts w:ascii="宋体" w:hAnsi="宋体"/>
          <w:kern w:val="0"/>
          <w:szCs w:val="21"/>
        </w:rPr>
      </w:pPr>
      <w:r>
        <w:rPr>
          <w:rFonts w:hint="eastAsia" w:ascii="宋体" w:hAnsi="宋体"/>
          <w:kern w:val="0"/>
          <w:szCs w:val="21"/>
        </w:rPr>
        <w:t>注：1、本表小计总分为</w:t>
      </w:r>
      <w:r>
        <w:rPr>
          <w:rFonts w:ascii="宋体" w:hAnsi="宋体"/>
          <w:szCs w:val="21"/>
          <w:u w:val="single"/>
        </w:rPr>
        <w:t xml:space="preserve">  </w:t>
      </w:r>
      <w:r>
        <w:rPr>
          <w:rFonts w:hint="eastAsia" w:ascii="宋体" w:hAnsi="宋体"/>
          <w:szCs w:val="21"/>
          <w:u w:val="single"/>
          <w:lang w:val="en-US" w:eastAsia="zh-CN"/>
        </w:rPr>
        <w:t>30</w:t>
      </w:r>
      <w:r>
        <w:rPr>
          <w:rFonts w:ascii="宋体" w:hAnsi="宋体"/>
          <w:szCs w:val="21"/>
          <w:u w:val="single"/>
        </w:rPr>
        <w:t xml:space="preserve">  </w:t>
      </w:r>
      <w:r>
        <w:rPr>
          <w:rFonts w:hint="eastAsia" w:ascii="宋体" w:hAnsi="宋体"/>
          <w:kern w:val="0"/>
          <w:szCs w:val="21"/>
        </w:rPr>
        <w:t>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2、技术文件中缺失某项评分因素的，该项评分因素计0分。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3、该项评分内容计分，由</w:t>
      </w:r>
      <w:r>
        <w:rPr>
          <w:rFonts w:hint="eastAsia" w:ascii="宋体" w:hAnsi="宋体"/>
          <w:szCs w:val="21"/>
        </w:rPr>
        <w:t>评审（谈判）小组</w:t>
      </w:r>
      <w:r>
        <w:rPr>
          <w:rFonts w:hint="eastAsia" w:ascii="宋体" w:hAnsi="宋体"/>
          <w:kern w:val="0"/>
          <w:szCs w:val="21"/>
        </w:rPr>
        <w:t>集体评议，评委根据集体评议意见，自主评分。</w:t>
      </w:r>
      <w:r>
        <w:rPr>
          <w:rFonts w:hint="eastAsia" w:ascii="宋体" w:hAnsi="宋体"/>
          <w:b/>
          <w:kern w:val="0"/>
          <w:szCs w:val="21"/>
        </w:rPr>
        <w:t>技术文件得分为评委个人评审计分的算术平均值。</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4、采购人可根据项目的具体特点和需要设置合理的评分因素，项目没有具体需要的不得设置为评分因素内容。</w:t>
      </w:r>
    </w:p>
    <w:p>
      <w:pPr>
        <w:widowControl w:val="0"/>
        <w:adjustRightInd w:val="0"/>
        <w:snapToGrid w:val="0"/>
        <w:spacing w:line="312" w:lineRule="auto"/>
        <w:ind w:firstLine="480" w:firstLineChars="200"/>
        <w:jc w:val="both"/>
        <w:rPr>
          <w:rFonts w:hint="eastAsia" w:ascii="宋体" w:hAnsi="宋体"/>
          <w:sz w:val="24"/>
        </w:rPr>
      </w:pPr>
    </w:p>
    <w:p>
      <w:pPr>
        <w:widowControl w:val="0"/>
        <w:adjustRightInd w:val="0"/>
        <w:snapToGrid w:val="0"/>
        <w:spacing w:line="312" w:lineRule="auto"/>
        <w:ind w:firstLine="480" w:firstLineChars="200"/>
        <w:jc w:val="both"/>
        <w:rPr>
          <w:rFonts w:ascii="黑体" w:hAnsi="黑体" w:eastAsia="黑体" w:cs="仿宋"/>
          <w:b/>
          <w:color w:val="000000"/>
          <w:sz w:val="36"/>
          <w:szCs w:val="36"/>
        </w:rPr>
      </w:pPr>
      <w:r>
        <w:rPr>
          <w:rFonts w:hint="eastAsia" w:ascii="宋体" w:hAnsi="宋体"/>
          <w:sz w:val="24"/>
        </w:rPr>
        <w:t>评审（谈判）小组</w:t>
      </w:r>
      <w:r>
        <w:rPr>
          <w:rFonts w:ascii="宋体" w:hAnsi="宋体"/>
          <w:sz w:val="24"/>
        </w:rPr>
        <w:t>全体成员签字：</w:t>
      </w:r>
    </w:p>
    <w:p>
      <w:pPr>
        <w:pStyle w:val="81"/>
        <w:spacing w:line="600" w:lineRule="exact"/>
        <w:ind w:left="420" w:firstLine="0" w:firstLineChars="0"/>
        <w:jc w:val="center"/>
        <w:rPr>
          <w:rFonts w:hint="eastAsia" w:ascii="黑体" w:hAnsi="黑体" w:eastAsia="黑体" w:cs="仿宋"/>
          <w:b/>
          <w:color w:val="000000"/>
          <w:sz w:val="36"/>
          <w:szCs w:val="36"/>
        </w:rPr>
      </w:pPr>
    </w:p>
    <w:p>
      <w:pPr>
        <w:pStyle w:val="81"/>
        <w:spacing w:line="600" w:lineRule="exact"/>
        <w:ind w:left="420" w:firstLine="0" w:firstLineChars="0"/>
        <w:jc w:val="center"/>
        <w:rPr>
          <w:rFonts w:hint="eastAsia" w:ascii="黑体" w:hAnsi="黑体" w:eastAsia="黑体" w:cs="仿宋"/>
          <w:b/>
          <w:color w:val="000000"/>
          <w:sz w:val="36"/>
          <w:szCs w:val="36"/>
        </w:rPr>
      </w:pPr>
    </w:p>
    <w:p>
      <w:pPr>
        <w:pStyle w:val="81"/>
        <w:spacing w:line="600" w:lineRule="exact"/>
        <w:ind w:left="0" w:leftChars="0" w:firstLine="0" w:firstLineChars="0"/>
        <w:jc w:val="both"/>
        <w:rPr>
          <w:rFonts w:hint="eastAsia" w:ascii="黑体" w:hAnsi="黑体" w:eastAsia="黑体" w:cs="仿宋"/>
          <w:b/>
          <w:color w:val="000000"/>
          <w:sz w:val="36"/>
          <w:szCs w:val="36"/>
        </w:rPr>
      </w:pPr>
    </w:p>
    <w:p>
      <w:pPr>
        <w:pStyle w:val="81"/>
        <w:spacing w:line="600" w:lineRule="exact"/>
        <w:ind w:left="420" w:firstLine="0" w:firstLineChars="0"/>
        <w:jc w:val="center"/>
        <w:rPr>
          <w:rFonts w:hint="eastAsia" w:ascii="黑体" w:hAnsi="黑体" w:eastAsia="黑体" w:cs="仿宋"/>
          <w:b/>
          <w:color w:val="000000"/>
          <w:sz w:val="36"/>
          <w:szCs w:val="36"/>
        </w:rPr>
      </w:pPr>
    </w:p>
    <w:p>
      <w:pPr>
        <w:pStyle w:val="81"/>
        <w:spacing w:line="600" w:lineRule="exact"/>
        <w:ind w:left="420" w:firstLine="0" w:firstLineChars="0"/>
        <w:jc w:val="center"/>
        <w:rPr>
          <w:color w:val="000000"/>
        </w:rPr>
      </w:pPr>
      <w:r>
        <w:rPr>
          <w:rFonts w:hint="eastAsia" w:ascii="黑体" w:hAnsi="黑体" w:eastAsia="黑体" w:cs="仿宋"/>
          <w:b/>
          <w:color w:val="000000"/>
          <w:sz w:val="36"/>
          <w:szCs w:val="36"/>
        </w:rPr>
        <w:t>第四章：</w:t>
      </w:r>
      <w:r>
        <w:rPr>
          <w:rFonts w:hint="eastAsia" w:ascii="黑体" w:hAnsi="黑体" w:eastAsia="黑体" w:cs="仿宋"/>
          <w:b/>
          <w:color w:val="000000"/>
          <w:sz w:val="36"/>
          <w:szCs w:val="36"/>
          <w:lang w:val="en-US" w:eastAsia="zh-CN"/>
        </w:rPr>
        <w:t>环境检测技术服务</w:t>
      </w:r>
      <w:r>
        <w:rPr>
          <w:rFonts w:hint="eastAsia" w:ascii="黑体" w:hAnsi="黑体" w:eastAsia="黑体" w:cs="仿宋"/>
          <w:b/>
          <w:color w:val="000000"/>
          <w:sz w:val="36"/>
          <w:szCs w:val="36"/>
        </w:rPr>
        <w:t>合同书</w:t>
      </w:r>
    </w:p>
    <w:p>
      <w:pPr>
        <w:spacing w:line="500" w:lineRule="exact"/>
        <w:rPr>
          <w:color w:val="000000"/>
          <w:sz w:val="24"/>
        </w:rPr>
      </w:pPr>
      <w:r>
        <w:rPr>
          <w:color w:val="000000"/>
          <w:sz w:val="24"/>
        </w:rPr>
        <w:t xml:space="preserve"> </w:t>
      </w:r>
      <w:r>
        <w:rPr>
          <w:rFonts w:hint="eastAsia"/>
          <w:color w:val="000000"/>
          <w:sz w:val="24"/>
        </w:rPr>
        <w:t xml:space="preserve">   </w:t>
      </w:r>
    </w:p>
    <w:p>
      <w:pPr>
        <w:spacing w:line="500" w:lineRule="exact"/>
        <w:ind w:firstLine="7920" w:firstLineChars="3300"/>
        <w:rPr>
          <w:rFonts w:hint="eastAsia" w:eastAsia="宋体"/>
          <w:color w:val="000000"/>
          <w:sz w:val="24"/>
          <w:lang w:eastAsia="zh-CN"/>
        </w:rPr>
      </w:pPr>
      <w:r>
        <w:rPr>
          <w:rFonts w:hint="eastAsia"/>
          <w:color w:val="000000"/>
          <w:sz w:val="24"/>
        </w:rPr>
        <w:t>编号</w:t>
      </w:r>
      <w:r>
        <w:rPr>
          <w:rFonts w:hint="eastAsia" w:eastAsia="宋体"/>
          <w:color w:val="000000"/>
          <w:sz w:val="24"/>
          <w:lang w:eastAsia="zh-CN"/>
        </w:rPr>
        <w:t>：</w:t>
      </w:r>
      <w:r>
        <w:rPr>
          <w:rFonts w:hint="eastAsia" w:ascii="Times New Roman" w:eastAsia="宋体"/>
          <w:color w:val="000000"/>
          <w:sz w:val="24"/>
          <w:lang w:val="en-US" w:eastAsia="zh-CN"/>
        </w:rPr>
        <w:t xml:space="preserve"> </w:t>
      </w:r>
    </w:p>
    <w:p>
      <w:pPr>
        <w:spacing w:line="500" w:lineRule="exact"/>
        <w:ind w:firstLine="723" w:firstLineChars="200"/>
        <w:jc w:val="center"/>
        <w:rPr>
          <w:rFonts w:hint="eastAsia"/>
          <w:b/>
          <w:bCs/>
          <w:color w:val="000000"/>
          <w:sz w:val="36"/>
          <w:szCs w:val="36"/>
        </w:rPr>
      </w:pPr>
    </w:p>
    <w:p>
      <w:pPr>
        <w:spacing w:line="500" w:lineRule="exact"/>
        <w:ind w:firstLine="723" w:firstLineChars="200"/>
        <w:jc w:val="center"/>
        <w:rPr>
          <w:rFonts w:hint="eastAsia"/>
          <w:b/>
          <w:bCs/>
          <w:color w:val="000000"/>
          <w:sz w:val="36"/>
          <w:szCs w:val="36"/>
        </w:rPr>
      </w:pPr>
    </w:p>
    <w:p>
      <w:pPr>
        <w:spacing w:line="500" w:lineRule="exact"/>
        <w:ind w:firstLine="723" w:firstLineChars="200"/>
        <w:jc w:val="center"/>
        <w:rPr>
          <w:rFonts w:hint="eastAsia"/>
          <w:b/>
          <w:bCs/>
          <w:color w:val="000000"/>
          <w:sz w:val="36"/>
          <w:szCs w:val="36"/>
        </w:rPr>
      </w:pPr>
    </w:p>
    <w:p>
      <w:pPr>
        <w:spacing w:line="360" w:lineRule="auto"/>
        <w:ind w:firstLine="723" w:firstLineChars="200"/>
        <w:jc w:val="center"/>
        <w:rPr>
          <w:rFonts w:hint="eastAsia"/>
          <w:b/>
          <w:bCs/>
          <w:color w:val="000000"/>
          <w:sz w:val="36"/>
          <w:szCs w:val="36"/>
        </w:rPr>
      </w:pPr>
      <w:r>
        <w:rPr>
          <w:rFonts w:hint="eastAsia"/>
          <w:b/>
          <w:bCs/>
          <w:color w:val="000000"/>
          <w:sz w:val="36"/>
          <w:szCs w:val="36"/>
        </w:rPr>
        <w:t>环境检测</w:t>
      </w:r>
    </w:p>
    <w:p>
      <w:pPr>
        <w:spacing w:line="360" w:lineRule="auto"/>
        <w:ind w:firstLine="723" w:firstLineChars="200"/>
        <w:jc w:val="center"/>
        <w:rPr>
          <w:rFonts w:hint="eastAsia"/>
          <w:color w:val="000000"/>
          <w:sz w:val="24"/>
        </w:rPr>
      </w:pPr>
      <w:r>
        <w:rPr>
          <w:rFonts w:hint="eastAsia"/>
          <w:b/>
          <w:bCs/>
          <w:color w:val="000000"/>
          <w:sz w:val="36"/>
          <w:szCs w:val="36"/>
        </w:rPr>
        <w:t>技术服务合同书</w:t>
      </w: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p>
    <w:p>
      <w:pPr>
        <w:spacing w:line="500" w:lineRule="exact"/>
        <w:ind w:firstLine="480" w:firstLineChars="200"/>
        <w:jc w:val="center"/>
        <w:rPr>
          <w:rFonts w:hint="eastAsia"/>
          <w:color w:val="000000"/>
          <w:sz w:val="24"/>
          <w:szCs w:val="24"/>
        </w:rPr>
      </w:pPr>
      <w:r>
        <w:rPr>
          <w:rFonts w:hint="eastAsia"/>
          <w:color w:val="000000"/>
          <w:sz w:val="24"/>
          <w:szCs w:val="24"/>
        </w:rPr>
        <w:t>项目名称</w:t>
      </w:r>
      <w:r>
        <w:rPr>
          <w:rFonts w:hint="eastAsia" w:eastAsia="宋体"/>
          <w:color w:val="000000"/>
          <w:sz w:val="24"/>
          <w:szCs w:val="24"/>
          <w:lang w:eastAsia="zh-CN"/>
        </w:rPr>
        <w:t>：</w:t>
      </w:r>
      <w:r>
        <w:rPr>
          <w:rFonts w:hint="eastAsia"/>
          <w:color w:val="000000"/>
          <w:sz w:val="24"/>
          <w:szCs w:val="24"/>
          <w:u w:val="single"/>
        </w:rPr>
        <w:t>岳阳港道仁矶码头工程</w:t>
      </w:r>
      <w:r>
        <w:rPr>
          <w:rFonts w:hint="eastAsia"/>
          <w:color w:val="000000"/>
          <w:sz w:val="24"/>
          <w:szCs w:val="24"/>
          <w:u w:val="single"/>
          <w:lang w:val="en-US" w:eastAsia="zh-CN"/>
        </w:rPr>
        <w:t>环保</w:t>
      </w:r>
      <w:r>
        <w:rPr>
          <w:rFonts w:hint="eastAsia"/>
          <w:color w:val="000000"/>
          <w:sz w:val="24"/>
          <w:szCs w:val="24"/>
          <w:u w:val="single"/>
        </w:rPr>
        <w:t>监测</w:t>
      </w:r>
      <w:r>
        <w:rPr>
          <w:rFonts w:hint="eastAsia"/>
          <w:color w:val="000000"/>
          <w:sz w:val="24"/>
          <w:szCs w:val="24"/>
          <w:u w:val="single"/>
          <w:lang w:val="en-US" w:eastAsia="zh-CN"/>
        </w:rPr>
        <w:t>技术</w:t>
      </w:r>
      <w:r>
        <w:rPr>
          <w:rFonts w:hint="eastAsia"/>
          <w:color w:val="000000"/>
          <w:sz w:val="24"/>
          <w:szCs w:val="24"/>
          <w:u w:val="single"/>
        </w:rPr>
        <w:t>服务</w:t>
      </w:r>
    </w:p>
    <w:p>
      <w:pPr>
        <w:spacing w:line="500" w:lineRule="exact"/>
        <w:ind w:firstLine="480" w:firstLineChars="200"/>
        <w:jc w:val="center"/>
        <w:rPr>
          <w:rFonts w:hint="eastAsia"/>
          <w:color w:val="000000"/>
          <w:sz w:val="24"/>
          <w:szCs w:val="24"/>
        </w:rPr>
      </w:pPr>
    </w:p>
    <w:p>
      <w:pPr>
        <w:spacing w:line="500" w:lineRule="exact"/>
        <w:ind w:firstLine="2160" w:firstLineChars="900"/>
        <w:jc w:val="both"/>
        <w:rPr>
          <w:rFonts w:hint="default" w:eastAsia="宋体"/>
          <w:color w:val="000000"/>
          <w:sz w:val="24"/>
          <w:szCs w:val="24"/>
          <w:lang w:val="en-US" w:eastAsia="zh-CN"/>
        </w:rPr>
      </w:pPr>
      <w:r>
        <w:rPr>
          <w:rFonts w:hint="eastAsia"/>
          <w:color w:val="000000"/>
          <w:sz w:val="24"/>
          <w:szCs w:val="24"/>
        </w:rPr>
        <w:t>委托单位(甲方)</w:t>
      </w:r>
      <w:r>
        <w:rPr>
          <w:rFonts w:hint="eastAsia" w:eastAsia="宋体"/>
          <w:color w:val="000000"/>
          <w:sz w:val="24"/>
          <w:szCs w:val="24"/>
          <w:lang w:eastAsia="zh-CN"/>
        </w:rPr>
        <w:t>：</w:t>
      </w:r>
      <w:r>
        <w:rPr>
          <w:rFonts w:hint="eastAsia"/>
          <w:color w:val="000000"/>
          <w:sz w:val="24"/>
          <w:szCs w:val="24"/>
          <w:u w:val="single"/>
          <w:lang w:eastAsia="zh-CN"/>
        </w:rPr>
        <w:t>岳阳道仁矶港物流有限公司</w:t>
      </w:r>
      <w:r>
        <w:rPr>
          <w:rFonts w:hint="eastAsia" w:ascii="Times New Roman" w:eastAsia="宋体"/>
          <w:color w:val="000000"/>
          <w:sz w:val="24"/>
          <w:szCs w:val="24"/>
          <w:u w:val="single"/>
          <w:lang w:val="en-US" w:eastAsia="zh-CN"/>
        </w:rPr>
        <w:t xml:space="preserve">          </w:t>
      </w:r>
    </w:p>
    <w:p>
      <w:pPr>
        <w:spacing w:line="500" w:lineRule="exact"/>
        <w:ind w:firstLine="480" w:firstLineChars="200"/>
        <w:jc w:val="center"/>
        <w:rPr>
          <w:rFonts w:hint="eastAsia"/>
          <w:color w:val="000000"/>
          <w:sz w:val="24"/>
          <w:szCs w:val="24"/>
        </w:rPr>
      </w:pPr>
    </w:p>
    <w:p>
      <w:pPr>
        <w:spacing w:line="500" w:lineRule="exact"/>
        <w:ind w:firstLine="2160" w:firstLineChars="900"/>
        <w:jc w:val="both"/>
        <w:rPr>
          <w:rFonts w:hint="eastAsia"/>
          <w:color w:val="000000"/>
          <w:sz w:val="24"/>
          <w:szCs w:val="24"/>
          <w:u w:val="single"/>
          <w:lang w:val="en-US" w:eastAsia="zh-CN"/>
        </w:rPr>
      </w:pPr>
      <w:r>
        <w:rPr>
          <w:rFonts w:hint="eastAsia"/>
          <w:color w:val="000000"/>
          <w:sz w:val="24"/>
          <w:szCs w:val="24"/>
        </w:rPr>
        <w:t>受托单位(乙方)</w:t>
      </w:r>
      <w:r>
        <w:rPr>
          <w:rFonts w:hint="eastAsia" w:eastAsia="宋体"/>
          <w:color w:val="000000"/>
          <w:sz w:val="24"/>
          <w:szCs w:val="24"/>
          <w:lang w:eastAsia="zh-CN"/>
        </w:rPr>
        <w:t>：</w:t>
      </w:r>
      <w:r>
        <w:rPr>
          <w:rFonts w:hint="eastAsia" w:ascii="Times New Roman" w:eastAsia="宋体"/>
          <w:color w:val="000000"/>
          <w:sz w:val="24"/>
          <w:szCs w:val="24"/>
          <w:u w:val="single"/>
          <w:lang w:val="en-US" w:eastAsia="zh-CN"/>
        </w:rPr>
        <w:t xml:space="preserve">                                </w:t>
      </w:r>
    </w:p>
    <w:p>
      <w:pPr>
        <w:spacing w:line="500" w:lineRule="exact"/>
        <w:ind w:firstLine="2160" w:firstLineChars="900"/>
        <w:jc w:val="both"/>
        <w:rPr>
          <w:rFonts w:hint="eastAsia"/>
          <w:color w:val="000000"/>
          <w:sz w:val="24"/>
          <w:szCs w:val="24"/>
          <w:u w:val="single"/>
          <w:lang w:val="en-US" w:eastAsia="zh-CN"/>
        </w:rPr>
      </w:pPr>
    </w:p>
    <w:p>
      <w:pPr>
        <w:spacing w:line="500" w:lineRule="exact"/>
        <w:ind w:firstLine="2160" w:firstLineChars="900"/>
        <w:jc w:val="both"/>
        <w:rPr>
          <w:rFonts w:hint="eastAsia"/>
          <w:color w:val="000000"/>
          <w:sz w:val="24"/>
          <w:szCs w:val="24"/>
          <w:u w:val="single"/>
          <w:lang w:val="en-US" w:eastAsia="zh-CN"/>
        </w:rPr>
      </w:pPr>
    </w:p>
    <w:p>
      <w:pPr>
        <w:spacing w:line="500" w:lineRule="exact"/>
        <w:ind w:firstLine="2160" w:firstLineChars="900"/>
        <w:jc w:val="both"/>
        <w:rPr>
          <w:rFonts w:hint="eastAsia"/>
          <w:color w:val="000000"/>
          <w:sz w:val="24"/>
          <w:szCs w:val="24"/>
          <w:u w:val="single"/>
          <w:lang w:val="en-US" w:eastAsia="zh-CN"/>
        </w:rPr>
      </w:pPr>
    </w:p>
    <w:p>
      <w:pPr>
        <w:spacing w:line="500" w:lineRule="exact"/>
        <w:ind w:firstLine="2160" w:firstLineChars="900"/>
        <w:jc w:val="both"/>
        <w:rPr>
          <w:rFonts w:hint="default"/>
          <w:color w:val="000000"/>
          <w:sz w:val="24"/>
          <w:szCs w:val="24"/>
          <w:u w:val="single"/>
          <w:lang w:val="en-US" w:eastAsia="zh-CN"/>
        </w:rPr>
      </w:pPr>
    </w:p>
    <w:p>
      <w:pPr>
        <w:spacing w:line="500" w:lineRule="exact"/>
        <w:jc w:val="center"/>
        <w:rPr>
          <w:rFonts w:hint="default"/>
          <w:color w:val="000000"/>
          <w:sz w:val="24"/>
          <w:szCs w:val="24"/>
          <w:u w:val="single"/>
          <w:lang w:val="en-US" w:eastAsia="zh-CN"/>
        </w:rPr>
      </w:pPr>
      <w:r>
        <w:rPr>
          <w:rFonts w:hint="default"/>
          <w:color w:val="000000"/>
          <w:sz w:val="24"/>
          <w:szCs w:val="24"/>
          <w:u w:val="none"/>
          <w:lang w:val="en-US" w:eastAsia="zh-CN"/>
        </w:rPr>
        <w:t>合同签订日期</w:t>
      </w:r>
      <w:r>
        <w:rPr>
          <w:rFonts w:hint="eastAsia" w:ascii="Times New Roman" w:eastAsia="宋体"/>
          <w:color w:val="000000"/>
          <w:sz w:val="24"/>
          <w:szCs w:val="24"/>
          <w:u w:val="single"/>
          <w:lang w:val="en-US" w:eastAsia="zh-CN"/>
        </w:rPr>
        <w:t>：</w:t>
      </w:r>
      <w:r>
        <w:rPr>
          <w:rFonts w:hint="default"/>
          <w:color w:val="000000"/>
          <w:sz w:val="24"/>
          <w:szCs w:val="24"/>
          <w:u w:val="single"/>
          <w:lang w:val="en-US" w:eastAsia="zh-CN"/>
        </w:rPr>
        <w:t>202</w:t>
      </w:r>
      <w:r>
        <w:rPr>
          <w:rFonts w:hint="eastAsia" w:ascii="Times New Roman" w:eastAsia="宋体"/>
          <w:color w:val="000000"/>
          <w:sz w:val="24"/>
          <w:szCs w:val="24"/>
          <w:u w:val="single"/>
          <w:lang w:val="en-US" w:eastAsia="zh-CN"/>
        </w:rPr>
        <w:t>4</w:t>
      </w:r>
      <w:r>
        <w:rPr>
          <w:rFonts w:hint="default"/>
          <w:color w:val="000000"/>
          <w:sz w:val="24"/>
          <w:szCs w:val="24"/>
          <w:u w:val="single"/>
          <w:lang w:val="en-US" w:eastAsia="zh-CN"/>
        </w:rPr>
        <w:t>年</w:t>
      </w:r>
      <w:r>
        <w:rPr>
          <w:rFonts w:hint="eastAsia" w:ascii="Times New Roman" w:eastAsia="宋体"/>
          <w:color w:val="000000"/>
          <w:sz w:val="24"/>
          <w:szCs w:val="24"/>
          <w:u w:val="single"/>
          <w:lang w:val="en-US" w:eastAsia="zh-CN"/>
        </w:rPr>
        <w:t xml:space="preserve">   </w:t>
      </w:r>
      <w:r>
        <w:rPr>
          <w:rFonts w:hint="default"/>
          <w:color w:val="000000"/>
          <w:sz w:val="24"/>
          <w:szCs w:val="24"/>
          <w:u w:val="single"/>
          <w:lang w:val="en-US" w:eastAsia="zh-CN"/>
        </w:rPr>
        <w:t>月</w:t>
      </w:r>
      <w:r>
        <w:rPr>
          <w:rFonts w:hint="eastAsia" w:ascii="Times New Roman" w:eastAsia="宋体"/>
          <w:color w:val="000000"/>
          <w:sz w:val="24"/>
          <w:szCs w:val="24"/>
          <w:u w:val="single"/>
          <w:lang w:val="en-US" w:eastAsia="zh-CN"/>
        </w:rPr>
        <w:t xml:space="preserve">   </w:t>
      </w:r>
      <w:r>
        <w:rPr>
          <w:rFonts w:hint="default"/>
          <w:color w:val="000000"/>
          <w:sz w:val="24"/>
          <w:szCs w:val="24"/>
          <w:u w:val="single"/>
          <w:lang w:val="en-US" w:eastAsia="zh-CN"/>
        </w:rPr>
        <w:t>日</w:t>
      </w: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p>
    <w:p>
      <w:pPr>
        <w:spacing w:line="500" w:lineRule="exact"/>
        <w:ind w:firstLine="480" w:firstLineChars="200"/>
        <w:rPr>
          <w:rFonts w:hint="eastAsia"/>
          <w:color w:val="000000"/>
          <w:sz w:val="24"/>
        </w:rPr>
      </w:pPr>
    </w:p>
    <w:p>
      <w:pPr>
        <w:spacing w:line="500" w:lineRule="exact"/>
        <w:rPr>
          <w:rFonts w:hint="eastAsia" w:eastAsia="宋体"/>
          <w:color w:val="000000"/>
          <w:sz w:val="24"/>
          <w:lang w:eastAsia="zh-CN"/>
        </w:rPr>
      </w:pPr>
      <w:r>
        <w:rPr>
          <w:rFonts w:hint="eastAsia"/>
          <w:b/>
          <w:bCs/>
          <w:color w:val="000000"/>
          <w:sz w:val="24"/>
        </w:rPr>
        <w:t>委托单位(甲方)</w:t>
      </w:r>
      <w:r>
        <w:rPr>
          <w:rFonts w:hint="eastAsia" w:eastAsia="宋体"/>
          <w:b/>
          <w:bCs/>
          <w:color w:val="000000"/>
          <w:sz w:val="24"/>
          <w:lang w:eastAsia="zh-CN"/>
        </w:rPr>
        <w:t>：</w:t>
      </w:r>
      <w:r>
        <w:rPr>
          <w:rFonts w:hint="eastAsia"/>
          <w:color w:val="000000"/>
          <w:sz w:val="24"/>
          <w:u w:val="single"/>
          <w:lang w:eastAsia="zh-CN"/>
        </w:rPr>
        <w:t>岳阳道仁矶港物流有限公司</w:t>
      </w:r>
    </w:p>
    <w:p>
      <w:pPr>
        <w:spacing w:line="500" w:lineRule="exact"/>
        <w:rPr>
          <w:rFonts w:hint="eastAsia" w:eastAsia="宋体"/>
          <w:color w:val="000000"/>
          <w:sz w:val="24"/>
          <w:lang w:eastAsia="zh-CN"/>
        </w:rPr>
      </w:pPr>
      <w:r>
        <w:rPr>
          <w:rFonts w:hint="eastAsia"/>
          <w:color w:val="000000"/>
          <w:sz w:val="24"/>
        </w:rPr>
        <w:t>地址</w:t>
      </w:r>
      <w:r>
        <w:rPr>
          <w:rFonts w:hint="eastAsia" w:eastAsia="宋体"/>
          <w:color w:val="000000"/>
          <w:sz w:val="24"/>
          <w:lang w:eastAsia="zh-CN"/>
        </w:rPr>
        <w:t>：</w:t>
      </w:r>
      <w:r>
        <w:rPr>
          <w:rFonts w:hint="eastAsia"/>
          <w:color w:val="000000"/>
          <w:sz w:val="24"/>
          <w:u w:val="single"/>
          <w:lang w:val="en-US" w:eastAsia="zh-CN"/>
        </w:rPr>
        <w:t>湖南省港务集团</w:t>
      </w:r>
      <w:r>
        <w:rPr>
          <w:rFonts w:hint="eastAsia"/>
          <w:color w:val="000000"/>
          <w:sz w:val="24"/>
          <w:u w:val="single"/>
          <w:lang w:eastAsia="zh-CN"/>
        </w:rPr>
        <w:t>有限公司</w:t>
      </w:r>
      <w:r>
        <w:rPr>
          <w:rFonts w:hint="eastAsia"/>
          <w:color w:val="000000"/>
          <w:sz w:val="24"/>
          <w:u w:val="single"/>
        </w:rPr>
        <w:t>办公楼</w:t>
      </w:r>
      <w:r>
        <w:rPr>
          <w:rFonts w:hint="eastAsia"/>
          <w:color w:val="000000"/>
          <w:sz w:val="24"/>
          <w:u w:val="single"/>
          <w:lang w:val="en-US" w:eastAsia="zh-CN"/>
        </w:rPr>
        <w:t>八楼</w:t>
      </w:r>
    </w:p>
    <w:p>
      <w:pPr>
        <w:spacing w:line="500" w:lineRule="exact"/>
        <w:rPr>
          <w:rFonts w:hint="eastAsia"/>
          <w:color w:val="000000"/>
          <w:sz w:val="24"/>
        </w:rPr>
      </w:pPr>
      <w:r>
        <w:rPr>
          <w:rFonts w:hint="eastAsia"/>
          <w:color w:val="000000"/>
          <w:sz w:val="24"/>
        </w:rPr>
        <w:t>电话</w:t>
      </w:r>
      <w:r>
        <w:rPr>
          <w:rFonts w:hint="eastAsia" w:eastAsia="宋体"/>
          <w:color w:val="000000"/>
          <w:sz w:val="24"/>
          <w:lang w:eastAsia="zh-CN"/>
        </w:rPr>
        <w:t>：</w:t>
      </w:r>
      <w:r>
        <w:rPr>
          <w:rFonts w:hint="eastAsia"/>
          <w:color w:val="000000"/>
          <w:sz w:val="24"/>
          <w:u w:val="single"/>
        </w:rPr>
        <w:t>0730-8426237</w:t>
      </w:r>
    </w:p>
    <w:p>
      <w:pPr>
        <w:spacing w:line="500" w:lineRule="exact"/>
        <w:ind w:firstLine="480" w:firstLineChars="200"/>
        <w:rPr>
          <w:rFonts w:hint="eastAsia"/>
          <w:color w:val="000000"/>
          <w:sz w:val="24"/>
        </w:rPr>
      </w:pPr>
    </w:p>
    <w:p>
      <w:pPr>
        <w:spacing w:line="500" w:lineRule="exact"/>
        <w:rPr>
          <w:rFonts w:hint="eastAsia"/>
          <w:color w:val="000000"/>
          <w:sz w:val="24"/>
          <w:lang w:val="en-US" w:eastAsia="zh-CN"/>
        </w:rPr>
      </w:pPr>
      <w:r>
        <w:rPr>
          <w:rFonts w:hint="eastAsia"/>
          <w:b/>
          <w:bCs/>
          <w:color w:val="000000"/>
          <w:sz w:val="24"/>
        </w:rPr>
        <w:t>受托单位(乙方)</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r>
        <w:rPr>
          <w:rFonts w:hint="eastAsia" w:ascii="Times New Roman" w:eastAsia="宋体"/>
          <w:color w:val="000000"/>
          <w:sz w:val="24"/>
          <w:lang w:val="en-US" w:eastAsia="zh-CN"/>
        </w:rPr>
        <w:t xml:space="preserve"> </w:t>
      </w:r>
    </w:p>
    <w:p>
      <w:pPr>
        <w:spacing w:line="500" w:lineRule="exact"/>
        <w:rPr>
          <w:rFonts w:hint="default"/>
          <w:color w:val="000000"/>
          <w:sz w:val="24"/>
          <w:u w:val="single"/>
          <w:lang w:val="en-US"/>
        </w:rPr>
      </w:pPr>
      <w:r>
        <w:rPr>
          <w:rFonts w:hint="eastAsia"/>
          <w:color w:val="000000"/>
          <w:sz w:val="24"/>
        </w:rPr>
        <w:t>地址</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p>
    <w:p>
      <w:pPr>
        <w:spacing w:line="500" w:lineRule="exact"/>
        <w:rPr>
          <w:rFonts w:hint="eastAsia"/>
          <w:color w:val="000000"/>
          <w:sz w:val="24"/>
          <w:u w:val="single"/>
          <w:lang w:val="en-US" w:eastAsia="zh-CN"/>
        </w:rPr>
      </w:pPr>
      <w:r>
        <w:rPr>
          <w:rFonts w:hint="eastAsia"/>
          <w:color w:val="000000"/>
          <w:sz w:val="24"/>
        </w:rPr>
        <w:t>电话</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p>
    <w:p>
      <w:pPr>
        <w:spacing w:line="500" w:lineRule="exact"/>
        <w:ind w:firstLine="480" w:firstLineChars="200"/>
        <w:rPr>
          <w:rFonts w:hint="eastAsia"/>
          <w:color w:val="000000"/>
          <w:sz w:val="24"/>
        </w:rPr>
      </w:pPr>
      <w:r>
        <w:rPr>
          <w:rFonts w:hint="eastAsia"/>
          <w:color w:val="000000"/>
          <w:sz w:val="24"/>
        </w:rPr>
        <w:t>依据《民法典》的规定，甲乙双方就</w:t>
      </w:r>
      <w:r>
        <w:rPr>
          <w:rFonts w:hint="eastAsia" w:eastAsia="宋体"/>
          <w:b/>
          <w:bCs/>
          <w:color w:val="000000"/>
          <w:sz w:val="24"/>
          <w:u w:val="single"/>
          <w:lang w:eastAsia="zh-CN"/>
        </w:rPr>
        <w:t>“</w:t>
      </w:r>
      <w:r>
        <w:rPr>
          <w:rFonts w:hint="eastAsia"/>
          <w:b/>
          <w:bCs/>
          <w:color w:val="000000"/>
          <w:sz w:val="24"/>
          <w:u w:val="single"/>
        </w:rPr>
        <w:t>岳阳港道仁矶码头工程</w:t>
      </w:r>
      <w:r>
        <w:rPr>
          <w:rFonts w:hint="eastAsia"/>
          <w:b/>
          <w:bCs/>
          <w:color w:val="000000"/>
          <w:sz w:val="24"/>
          <w:u w:val="single"/>
          <w:lang w:val="en-US" w:eastAsia="zh-CN"/>
        </w:rPr>
        <w:t>环保</w:t>
      </w:r>
      <w:r>
        <w:rPr>
          <w:rFonts w:hint="eastAsia"/>
          <w:b/>
          <w:bCs/>
          <w:color w:val="000000"/>
          <w:sz w:val="24"/>
          <w:u w:val="single"/>
        </w:rPr>
        <w:t>监测</w:t>
      </w:r>
      <w:r>
        <w:rPr>
          <w:rFonts w:hint="eastAsia"/>
          <w:b/>
          <w:bCs/>
          <w:color w:val="000000"/>
          <w:sz w:val="24"/>
          <w:u w:val="single"/>
          <w:lang w:val="en-US" w:eastAsia="zh-CN"/>
        </w:rPr>
        <w:t>技术</w:t>
      </w:r>
      <w:r>
        <w:rPr>
          <w:rFonts w:hint="eastAsia"/>
          <w:b/>
          <w:bCs/>
          <w:color w:val="000000"/>
          <w:sz w:val="24"/>
          <w:u w:val="single"/>
        </w:rPr>
        <w:t>服务</w:t>
      </w:r>
      <w:r>
        <w:rPr>
          <w:rFonts w:hint="eastAsia" w:eastAsia="宋体"/>
          <w:b/>
          <w:bCs/>
          <w:color w:val="000000"/>
          <w:sz w:val="24"/>
          <w:u w:val="single"/>
          <w:lang w:eastAsia="zh-CN"/>
        </w:rPr>
        <w:t>”</w:t>
      </w:r>
      <w:r>
        <w:rPr>
          <w:rFonts w:hint="eastAsia"/>
          <w:color w:val="000000"/>
          <w:sz w:val="24"/>
        </w:rPr>
        <w:t>的环境检测的技术服务，经协商一致，签订合同如下:</w:t>
      </w:r>
    </w:p>
    <w:p>
      <w:pPr>
        <w:spacing w:line="500" w:lineRule="exact"/>
        <w:rPr>
          <w:rFonts w:hint="eastAsia"/>
          <w:b/>
          <w:bCs/>
          <w:color w:val="000000"/>
          <w:sz w:val="24"/>
        </w:rPr>
      </w:pPr>
      <w:r>
        <w:rPr>
          <w:rFonts w:hint="eastAsia"/>
          <w:b/>
          <w:bCs/>
          <w:color w:val="000000"/>
          <w:sz w:val="24"/>
        </w:rPr>
        <w:t>1、技术服务工作内容</w:t>
      </w:r>
    </w:p>
    <w:p>
      <w:pPr>
        <w:spacing w:line="500" w:lineRule="exact"/>
        <w:ind w:firstLine="480" w:firstLineChars="200"/>
        <w:rPr>
          <w:rFonts w:hint="eastAsia"/>
          <w:color w:val="000000"/>
          <w:sz w:val="24"/>
        </w:rPr>
      </w:pPr>
      <w:r>
        <w:rPr>
          <w:rFonts w:hint="eastAsia"/>
          <w:color w:val="000000"/>
          <w:sz w:val="24"/>
        </w:rPr>
        <w:t>受甲方委托，乙方承担按照检测技术规范、委托检测方案、委托检测时间的要求，安排检测人员进行环境检测与分析，并出具相应检测报告的技术服务。</w:t>
      </w:r>
    </w:p>
    <w:p>
      <w:pPr>
        <w:spacing w:line="500" w:lineRule="exact"/>
        <w:rPr>
          <w:rFonts w:hint="eastAsia"/>
          <w:b/>
          <w:bCs/>
          <w:color w:val="000000"/>
          <w:sz w:val="24"/>
        </w:rPr>
      </w:pPr>
      <w:r>
        <w:rPr>
          <w:rFonts w:hint="eastAsia"/>
          <w:b/>
          <w:bCs/>
          <w:color w:val="000000"/>
          <w:sz w:val="24"/>
        </w:rPr>
        <w:t>2、工作条件和协作事项</w:t>
      </w:r>
    </w:p>
    <w:p>
      <w:pPr>
        <w:spacing w:line="500" w:lineRule="exact"/>
        <w:rPr>
          <w:rFonts w:hint="eastAsia"/>
          <w:color w:val="000000"/>
          <w:sz w:val="24"/>
        </w:rPr>
      </w:pPr>
      <w:r>
        <w:rPr>
          <w:rFonts w:hint="eastAsia"/>
          <w:color w:val="000000"/>
          <w:sz w:val="24"/>
        </w:rPr>
        <w:t>2.1 甲方责任</w:t>
      </w:r>
    </w:p>
    <w:p>
      <w:pPr>
        <w:spacing w:line="500" w:lineRule="exact"/>
        <w:rPr>
          <w:rFonts w:hint="eastAsia"/>
          <w:color w:val="000000"/>
          <w:sz w:val="24"/>
        </w:rPr>
      </w:pPr>
      <w:r>
        <w:rPr>
          <w:rFonts w:hint="eastAsia"/>
          <w:color w:val="000000"/>
          <w:sz w:val="24"/>
        </w:rPr>
        <w:t>2.1.1甲方保证其有权或已取得权利人同意，委托乙方完成上述技术服务。</w:t>
      </w:r>
    </w:p>
    <w:p>
      <w:pPr>
        <w:spacing w:line="500" w:lineRule="exact"/>
        <w:rPr>
          <w:rFonts w:hint="eastAsia"/>
          <w:color w:val="000000"/>
          <w:sz w:val="24"/>
        </w:rPr>
      </w:pPr>
      <w:r>
        <w:rPr>
          <w:rFonts w:hint="eastAsia"/>
          <w:color w:val="000000"/>
          <w:sz w:val="24"/>
        </w:rPr>
        <w:t>2.1.2样品采集由乙方完成时，甲方向乙方提供有关检测点具体地点名称及背景等必要材料，安排人员协助乙方进行现场样品的采集，并对所提供材料的真实性和按照附件中检测采集的样品代表性承担保证责任。</w:t>
      </w:r>
    </w:p>
    <w:p>
      <w:pPr>
        <w:spacing w:line="500" w:lineRule="exact"/>
        <w:rPr>
          <w:rFonts w:hint="eastAsia"/>
          <w:color w:val="000000"/>
          <w:sz w:val="24"/>
        </w:rPr>
      </w:pPr>
      <w:r>
        <w:rPr>
          <w:rFonts w:hint="eastAsia"/>
          <w:color w:val="000000"/>
          <w:sz w:val="24"/>
        </w:rPr>
        <w:t>2.1.3 样品采集由甲方完成，乙方负责分析工作时，甲方所采集的样品需符合样品采集的技术规范，并且乙方只对接收到的样品本身负责。</w:t>
      </w:r>
    </w:p>
    <w:p>
      <w:pPr>
        <w:spacing w:line="500" w:lineRule="exact"/>
        <w:rPr>
          <w:rFonts w:hint="eastAsia"/>
          <w:color w:val="000000"/>
          <w:sz w:val="24"/>
        </w:rPr>
      </w:pPr>
      <w:r>
        <w:rPr>
          <w:rFonts w:hint="eastAsia"/>
          <w:color w:val="000000"/>
          <w:sz w:val="24"/>
        </w:rPr>
        <w:t>2.1.4甲方在签署本合同时，应对乙方的检测能力进行确认，如甲方无指定检测方法，则视为同意使用乙方资质附表中的检测方法。</w:t>
      </w:r>
    </w:p>
    <w:p>
      <w:pPr>
        <w:spacing w:line="500" w:lineRule="exact"/>
        <w:rPr>
          <w:rFonts w:hint="eastAsia"/>
          <w:color w:val="000000"/>
          <w:sz w:val="24"/>
        </w:rPr>
      </w:pPr>
      <w:r>
        <w:rPr>
          <w:rFonts w:hint="eastAsia"/>
          <w:color w:val="000000"/>
          <w:sz w:val="24"/>
        </w:rPr>
        <w:t>2.1.5甲方应事先声明采样环境现场存在的任何已知或潜在危险，如放射性、毒性、易燃</w:t>
      </w:r>
      <w:r>
        <w:rPr>
          <w:rFonts w:hint="eastAsia" w:eastAsia="宋体"/>
          <w:color w:val="000000"/>
          <w:sz w:val="24"/>
          <w:lang w:eastAsia="zh-CN"/>
        </w:rPr>
        <w:t>、</w:t>
      </w:r>
      <w:r>
        <w:rPr>
          <w:rFonts w:hint="eastAsia"/>
          <w:color w:val="000000"/>
          <w:sz w:val="24"/>
        </w:rPr>
        <w:t>易爆、腐蚀性等危害人身及财产安全的情形。</w:t>
      </w:r>
    </w:p>
    <w:p>
      <w:pPr>
        <w:spacing w:line="500" w:lineRule="exact"/>
        <w:rPr>
          <w:rFonts w:hint="eastAsia"/>
          <w:color w:val="000000"/>
          <w:sz w:val="24"/>
        </w:rPr>
      </w:pPr>
      <w:r>
        <w:rPr>
          <w:rFonts w:hint="eastAsia"/>
          <w:color w:val="000000"/>
          <w:sz w:val="24"/>
        </w:rPr>
        <w:t>2.1.6甲方应在收到乙方完成检测报告通知后</w:t>
      </w:r>
      <w:r>
        <w:rPr>
          <w:rFonts w:hint="eastAsia"/>
          <w:color w:val="000000"/>
          <w:sz w:val="24"/>
          <w:u w:val="single"/>
        </w:rPr>
        <w:t>3</w:t>
      </w:r>
      <w:r>
        <w:rPr>
          <w:rFonts w:hint="eastAsia"/>
          <w:color w:val="000000"/>
          <w:sz w:val="24"/>
        </w:rPr>
        <w:t>个工作日内接受检测报告，逾期未接受视为乙方已交付。</w:t>
      </w:r>
    </w:p>
    <w:p>
      <w:pPr>
        <w:spacing w:line="500" w:lineRule="exact"/>
        <w:rPr>
          <w:rFonts w:hint="eastAsia"/>
          <w:color w:val="000000"/>
          <w:sz w:val="24"/>
        </w:rPr>
      </w:pPr>
      <w:r>
        <w:rPr>
          <w:rFonts w:hint="eastAsia"/>
          <w:color w:val="000000"/>
          <w:sz w:val="24"/>
        </w:rPr>
        <w:t>2.1.7 甲方应指定</w:t>
      </w:r>
      <w:r>
        <w:rPr>
          <w:rFonts w:hint="eastAsia"/>
          <w:color w:val="000000"/>
          <w:sz w:val="24"/>
          <w:u w:val="single"/>
        </w:rPr>
        <w:t>1</w:t>
      </w:r>
      <w:r>
        <w:rPr>
          <w:rFonts w:hint="eastAsia"/>
          <w:color w:val="000000"/>
          <w:sz w:val="24"/>
        </w:rPr>
        <w:t>人作为本合同项目联系人，用于执行技术服务合同的签订和变更检测任务的确认、报告的接收与确认、合同款项的支付、发票的签收与确认等相关内容</w:t>
      </w:r>
      <w:r>
        <w:rPr>
          <w:rFonts w:hint="eastAsia" w:eastAsia="宋体"/>
          <w:color w:val="000000"/>
          <w:sz w:val="24"/>
          <w:lang w:eastAsia="zh-CN"/>
        </w:rPr>
        <w:t>，项目联系人对双方书面或电子文件的签署视为甲方的真实意思表示，具有法律效力。项目联系人如发生变更，甲方应于变更前将变更情况书面通知乙方，否则，如由此产生的不利后果均由甲方承担。本合同项目联系人：</w:t>
      </w:r>
      <w:r>
        <w:rPr>
          <w:rFonts w:hint="eastAsia" w:ascii="Times New Roman" w:eastAsia="宋体"/>
          <w:color w:val="000000"/>
          <w:sz w:val="24"/>
          <w:u w:val="single"/>
          <w:lang w:val="en-US" w:eastAsia="zh-CN"/>
        </w:rPr>
        <w:t xml:space="preserve">        </w:t>
      </w:r>
      <w:r>
        <w:rPr>
          <w:rFonts w:hint="eastAsia" w:eastAsia="宋体"/>
          <w:color w:val="000000"/>
          <w:sz w:val="24"/>
          <w:lang w:eastAsia="zh-CN"/>
        </w:rPr>
        <w:t>，联系电话：</w:t>
      </w:r>
      <w:r>
        <w:rPr>
          <w:rFonts w:hint="eastAsia" w:ascii="Times New Roman" w:eastAsia="宋体"/>
          <w:color w:val="000000"/>
          <w:sz w:val="24"/>
          <w:u w:val="single"/>
          <w:lang w:val="en-US" w:eastAsia="zh-CN"/>
        </w:rPr>
        <w:t xml:space="preserve">         </w:t>
      </w:r>
      <w:r>
        <w:rPr>
          <w:rFonts w:hint="eastAsia" w:eastAsia="宋体"/>
          <w:color w:val="000000"/>
          <w:sz w:val="24"/>
          <w:lang w:eastAsia="zh-CN"/>
        </w:rPr>
        <w:t>。</w:t>
      </w:r>
    </w:p>
    <w:p>
      <w:pPr>
        <w:spacing w:line="500" w:lineRule="exact"/>
        <w:rPr>
          <w:rFonts w:hint="eastAsia"/>
          <w:color w:val="000000"/>
          <w:sz w:val="24"/>
        </w:rPr>
      </w:pPr>
      <w:r>
        <w:rPr>
          <w:rFonts w:hint="eastAsia"/>
          <w:color w:val="000000"/>
          <w:sz w:val="24"/>
        </w:rPr>
        <w:t>2.2 乙方责任</w:t>
      </w:r>
    </w:p>
    <w:p>
      <w:pPr>
        <w:spacing w:line="500" w:lineRule="exact"/>
        <w:rPr>
          <w:rFonts w:hint="eastAsia"/>
          <w:color w:val="000000"/>
          <w:sz w:val="24"/>
        </w:rPr>
      </w:pPr>
      <w:r>
        <w:rPr>
          <w:rFonts w:hint="eastAsia"/>
          <w:color w:val="000000"/>
          <w:sz w:val="24"/>
        </w:rPr>
        <w:t>2.2.1 乙方按照有关环境检测的标准规范和检测方案进行工作，按照中国计量认证的有关规定出具相应的检测报告。</w:t>
      </w:r>
    </w:p>
    <w:p>
      <w:pPr>
        <w:spacing w:line="500" w:lineRule="exact"/>
        <w:rPr>
          <w:rFonts w:hint="eastAsia"/>
          <w:color w:val="000000"/>
          <w:sz w:val="24"/>
        </w:rPr>
      </w:pPr>
      <w:r>
        <w:rPr>
          <w:rFonts w:hint="eastAsia"/>
          <w:color w:val="000000"/>
          <w:sz w:val="24"/>
        </w:rPr>
        <w:t>2.2.2乙方应在检测报告完成后</w:t>
      </w:r>
      <w:r>
        <w:rPr>
          <w:rFonts w:hint="eastAsia"/>
          <w:color w:val="000000"/>
          <w:sz w:val="24"/>
          <w:u w:val="single"/>
        </w:rPr>
        <w:t>3</w:t>
      </w:r>
      <w:r>
        <w:rPr>
          <w:rFonts w:hint="eastAsia"/>
          <w:color w:val="000000"/>
          <w:sz w:val="24"/>
        </w:rPr>
        <w:t>个工作日内通知甲方接受检测报告，通知的方式以电话、短信、传真、邮件、书面等方式之一均可。</w:t>
      </w:r>
    </w:p>
    <w:p>
      <w:pPr>
        <w:spacing w:line="500" w:lineRule="exact"/>
        <w:rPr>
          <w:rFonts w:hint="eastAsia"/>
          <w:color w:val="000000"/>
          <w:sz w:val="24"/>
        </w:rPr>
      </w:pPr>
      <w:r>
        <w:rPr>
          <w:rFonts w:hint="eastAsia"/>
          <w:color w:val="000000"/>
          <w:sz w:val="24"/>
        </w:rPr>
        <w:t>2.2.3 乙方对甲方的一切检测数据和检验技术要求保密，未经甲方书面同意不得泄露给任何第三方，也不得将与样品有关的技术资料用于任何经营及开发活动。</w:t>
      </w:r>
    </w:p>
    <w:p>
      <w:pPr>
        <w:spacing w:line="500" w:lineRule="exact"/>
        <w:rPr>
          <w:rFonts w:hint="eastAsia"/>
          <w:color w:val="000000"/>
          <w:sz w:val="24"/>
        </w:rPr>
      </w:pPr>
      <w:r>
        <w:rPr>
          <w:rFonts w:hint="eastAsia"/>
          <w:color w:val="000000"/>
          <w:sz w:val="24"/>
        </w:rPr>
        <w:t>2.2.4如无特殊要求，双方合同签订后</w:t>
      </w:r>
      <w:r>
        <w:rPr>
          <w:rFonts w:hint="eastAsia"/>
          <w:color w:val="000000"/>
          <w:sz w:val="24"/>
          <w:u w:val="single"/>
        </w:rPr>
        <w:t>5</w:t>
      </w:r>
      <w:r>
        <w:rPr>
          <w:rFonts w:hint="eastAsia"/>
          <w:color w:val="000000"/>
          <w:sz w:val="24"/>
        </w:rPr>
        <w:t>个工作日内进行检测，如因不利的自然天气、自然灾害、战争等不可控的原因导致实际检测日期与本合同约定的检测日期不一致时，以实际检测日期为准。</w:t>
      </w:r>
    </w:p>
    <w:p>
      <w:pPr>
        <w:spacing w:line="500" w:lineRule="exact"/>
        <w:rPr>
          <w:rFonts w:hint="eastAsia"/>
          <w:color w:val="000000"/>
          <w:sz w:val="24"/>
        </w:rPr>
      </w:pPr>
      <w:r>
        <w:rPr>
          <w:rFonts w:hint="eastAsia"/>
          <w:color w:val="000000"/>
          <w:sz w:val="24"/>
        </w:rPr>
        <w:t>2.2.5检测结束后</w:t>
      </w:r>
      <w:r>
        <w:rPr>
          <w:rFonts w:hint="eastAsia"/>
          <w:color w:val="000000"/>
          <w:sz w:val="24"/>
          <w:u w:val="single"/>
        </w:rPr>
        <w:t xml:space="preserve"> 15 </w:t>
      </w:r>
      <w:r>
        <w:rPr>
          <w:rFonts w:hint="eastAsia"/>
          <w:color w:val="000000"/>
          <w:sz w:val="24"/>
        </w:rPr>
        <w:t>个工作日内向甲方提交正式检测报告。</w:t>
      </w:r>
    </w:p>
    <w:p>
      <w:pPr>
        <w:spacing w:line="500" w:lineRule="exact"/>
        <w:rPr>
          <w:rFonts w:hint="eastAsia"/>
          <w:color w:val="000000"/>
          <w:sz w:val="24"/>
        </w:rPr>
      </w:pPr>
      <w:r>
        <w:rPr>
          <w:rFonts w:hint="eastAsia"/>
          <w:color w:val="000000"/>
          <w:sz w:val="24"/>
        </w:rPr>
        <w:t>2.2.6乙方完成检测报告后，可以直接向甲方交付检测报告或者按照本合同约定的地址向甲方邮寄送达检测报告，甲方应当签收，甲方拒绝签收的，拒收之日即视为乙方已实际交付，甲方变更地址未通知乙方，导致乙方无法交付检测报告的，自乙方将检测报告寄出之日即视为检测报告已交付。在无法正常送达检测报告的情况下，乙方也可以按照本合同中甲方指定的电子邮箱将电子版的检测报告发到该邮箱即视为检测报告已交付。</w:t>
      </w:r>
    </w:p>
    <w:p>
      <w:pPr>
        <w:spacing w:line="500" w:lineRule="exact"/>
        <w:rPr>
          <w:rFonts w:hint="eastAsia"/>
          <w:color w:val="000000"/>
          <w:sz w:val="24"/>
        </w:rPr>
      </w:pPr>
      <w:r>
        <w:rPr>
          <w:rFonts w:hint="eastAsia"/>
          <w:color w:val="000000"/>
          <w:sz w:val="24"/>
        </w:rPr>
        <w:t>2.2.7乙方应指定1人作为本合同项目联系人，用于执行技术服务合同的签订和变更检测任务的确认、报告的上报与确认、合同款项的支付、联系单的签收与确认等相关内容,项目联系人对双方书面或电子文件的签署视为乙方的真实意思表示,具有法律效力。项目联系人如发生变更，乙方应于变更前将变更情况书面通知甲方，否则，如由此产生的不利后果均由甲方承担。本合同项目联系人</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r>
        <w:rPr>
          <w:rFonts w:hint="eastAsia"/>
          <w:color w:val="000000"/>
          <w:sz w:val="24"/>
        </w:rPr>
        <w:t>，联系电话</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r>
        <w:rPr>
          <w:rFonts w:hint="eastAsia"/>
          <w:color w:val="000000"/>
          <w:sz w:val="24"/>
        </w:rPr>
        <w:t>。</w:t>
      </w:r>
    </w:p>
    <w:p>
      <w:pPr>
        <w:spacing w:line="500" w:lineRule="exact"/>
        <w:rPr>
          <w:rFonts w:hint="eastAsia" w:eastAsia="宋体"/>
          <w:color w:val="000000"/>
          <w:sz w:val="24"/>
          <w:lang w:val="en-US" w:eastAsia="zh-CN"/>
        </w:rPr>
      </w:pPr>
      <w:r>
        <w:rPr>
          <w:rFonts w:hint="eastAsia"/>
          <w:color w:val="000000"/>
          <w:sz w:val="24"/>
        </w:rPr>
        <w:t>2.2.8 乙方派遣人员进行现场作业时，要确保自身工作人员安全，并承担一切安全责任及</w:t>
      </w:r>
      <w:r>
        <w:rPr>
          <w:rFonts w:hint="eastAsia" w:ascii="Times New Roman" w:eastAsia="宋体"/>
          <w:color w:val="000000"/>
          <w:sz w:val="24"/>
          <w:lang w:val="en-US" w:eastAsia="zh-CN"/>
        </w:rPr>
        <w:t>后果。</w:t>
      </w:r>
    </w:p>
    <w:p>
      <w:pPr>
        <w:spacing w:line="500" w:lineRule="exact"/>
        <w:rPr>
          <w:rFonts w:hint="eastAsia"/>
          <w:b/>
          <w:bCs/>
          <w:color w:val="000000"/>
          <w:sz w:val="24"/>
        </w:rPr>
      </w:pPr>
      <w:r>
        <w:rPr>
          <w:rFonts w:hint="eastAsia"/>
          <w:b/>
          <w:bCs/>
          <w:color w:val="000000"/>
          <w:sz w:val="24"/>
        </w:rPr>
        <w:t>3、成交金额及支付方式</w:t>
      </w:r>
    </w:p>
    <w:p>
      <w:pPr>
        <w:spacing w:line="500" w:lineRule="exact"/>
        <w:rPr>
          <w:rFonts w:hint="eastAsia"/>
          <w:color w:val="000000"/>
          <w:sz w:val="24"/>
        </w:rPr>
      </w:pPr>
      <w:r>
        <w:rPr>
          <w:rFonts w:hint="eastAsia"/>
          <w:color w:val="000000"/>
          <w:sz w:val="24"/>
        </w:rPr>
        <w:t>3.1总金额</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r>
        <w:rPr>
          <w:rFonts w:hint="eastAsia"/>
          <w:color w:val="000000"/>
          <w:sz w:val="24"/>
        </w:rPr>
        <w:t>。</w:t>
      </w:r>
    </w:p>
    <w:p>
      <w:pPr>
        <w:spacing w:line="500" w:lineRule="exact"/>
        <w:rPr>
          <w:rFonts w:hint="eastAsia" w:eastAsia="宋体"/>
          <w:color w:val="000000"/>
          <w:sz w:val="24"/>
          <w:lang w:eastAsia="zh-CN"/>
        </w:rPr>
      </w:pPr>
      <w:r>
        <w:rPr>
          <w:rFonts w:hint="eastAsia"/>
          <w:color w:val="000000"/>
          <w:sz w:val="24"/>
        </w:rPr>
        <w:t>3.2 双方约定支付方式</w:t>
      </w:r>
      <w:r>
        <w:rPr>
          <w:rFonts w:hint="eastAsia" w:eastAsia="宋体"/>
          <w:color w:val="000000"/>
          <w:sz w:val="24"/>
          <w:lang w:eastAsia="zh-CN"/>
        </w:rPr>
        <w:t>：</w:t>
      </w:r>
    </w:p>
    <w:p>
      <w:pPr>
        <w:spacing w:line="500" w:lineRule="exact"/>
        <w:ind w:firstLine="482" w:firstLineChars="200"/>
        <w:rPr>
          <w:rFonts w:hint="eastAsia"/>
          <w:b/>
          <w:bCs/>
          <w:color w:val="000000"/>
          <w:sz w:val="24"/>
          <w:u w:val="single"/>
        </w:rPr>
      </w:pPr>
      <w:r>
        <w:rPr>
          <w:rFonts w:hint="eastAsia"/>
          <w:b/>
          <w:bCs/>
          <w:color w:val="000000"/>
          <w:sz w:val="24"/>
          <w:u w:val="single"/>
        </w:rPr>
        <w:t>合同签订后，乙方申报预付款后20个工作日内支付预付款，即人民币</w:t>
      </w:r>
      <w:r>
        <w:rPr>
          <w:rFonts w:hint="eastAsia" w:ascii="Times New Roman" w:eastAsia="宋体"/>
          <w:b/>
          <w:bCs/>
          <w:color w:val="000000"/>
          <w:sz w:val="24"/>
          <w:u w:val="single"/>
          <w:lang w:val="en-US" w:eastAsia="zh-CN"/>
        </w:rPr>
        <w:t xml:space="preserve">            </w:t>
      </w:r>
      <w:r>
        <w:rPr>
          <w:rFonts w:hint="eastAsia"/>
          <w:b/>
          <w:bCs/>
          <w:color w:val="000000"/>
          <w:sz w:val="24"/>
          <w:u w:val="single"/>
        </w:rPr>
        <w:t>，剩余款项</w:t>
      </w:r>
      <w:r>
        <w:rPr>
          <w:rFonts w:hint="eastAsia" w:ascii="Times New Roman" w:eastAsia="宋体"/>
          <w:b/>
          <w:bCs/>
          <w:color w:val="000000"/>
          <w:sz w:val="24"/>
          <w:u w:val="single"/>
          <w:lang w:val="en-US" w:eastAsia="zh-CN"/>
        </w:rPr>
        <w:t xml:space="preserve">               </w:t>
      </w:r>
      <w:r>
        <w:rPr>
          <w:rFonts w:hint="eastAsia"/>
          <w:b/>
          <w:bCs/>
          <w:color w:val="000000"/>
          <w:sz w:val="24"/>
          <w:u w:val="single"/>
        </w:rPr>
        <w:t>，</w:t>
      </w:r>
      <w:r>
        <w:rPr>
          <w:rFonts w:hint="eastAsia"/>
          <w:b/>
          <w:bCs/>
          <w:color w:val="000000"/>
          <w:sz w:val="24"/>
          <w:u w:val="single"/>
          <w:lang w:val="en-US" w:eastAsia="zh-CN"/>
        </w:rPr>
        <w:t>根据监测工作进度按比例付款，即乙方在每月完成相应环境监测工作并提交监测正本报告，开具合同额相应比例增值税专用发票给到甲方</w:t>
      </w:r>
      <w:r>
        <w:rPr>
          <w:rFonts w:hint="eastAsia"/>
          <w:b/>
          <w:bCs/>
          <w:color w:val="000000"/>
          <w:sz w:val="24"/>
          <w:u w:val="single"/>
        </w:rPr>
        <w:t>后支付当次款项，最后</w:t>
      </w:r>
      <w:r>
        <w:rPr>
          <w:rFonts w:hint="eastAsia"/>
          <w:b/>
          <w:bCs/>
          <w:color w:val="000000"/>
          <w:sz w:val="24"/>
          <w:u w:val="single"/>
          <w:lang w:val="en-US" w:eastAsia="zh-CN"/>
        </w:rPr>
        <w:t>一次付款前</w:t>
      </w:r>
      <w:r>
        <w:rPr>
          <w:rFonts w:hint="eastAsia"/>
          <w:b/>
          <w:bCs/>
          <w:color w:val="000000"/>
          <w:sz w:val="24"/>
          <w:u w:val="single"/>
        </w:rPr>
        <w:t>需提交整个项目的所有资料后支付</w:t>
      </w:r>
      <w:r>
        <w:rPr>
          <w:rFonts w:hint="eastAsia"/>
          <w:b/>
          <w:bCs/>
          <w:color w:val="000000"/>
          <w:sz w:val="24"/>
          <w:u w:val="single"/>
          <w:lang w:val="en-US" w:eastAsia="zh-CN"/>
        </w:rPr>
        <w:t>相应</w:t>
      </w:r>
      <w:r>
        <w:rPr>
          <w:rFonts w:hint="eastAsia"/>
          <w:b/>
          <w:bCs/>
          <w:color w:val="000000"/>
          <w:sz w:val="24"/>
          <w:u w:val="single"/>
        </w:rPr>
        <w:t>余款</w:t>
      </w:r>
      <w:r>
        <w:rPr>
          <w:rFonts w:hint="eastAsia"/>
          <w:b/>
          <w:bCs/>
          <w:color w:val="000000"/>
          <w:sz w:val="24"/>
          <w:u w:val="single"/>
          <w:lang w:eastAsia="zh-CN"/>
        </w:rPr>
        <w:t>。</w:t>
      </w:r>
    </w:p>
    <w:p>
      <w:pPr>
        <w:spacing w:line="500" w:lineRule="exact"/>
        <w:rPr>
          <w:rFonts w:hint="eastAsia"/>
          <w:color w:val="000000"/>
          <w:sz w:val="24"/>
        </w:rPr>
      </w:pPr>
      <w:r>
        <w:rPr>
          <w:rFonts w:hint="eastAsia"/>
          <w:color w:val="000000"/>
          <w:sz w:val="24"/>
        </w:rPr>
        <w:t>3.3发票</w:t>
      </w:r>
      <w:r>
        <w:rPr>
          <w:rFonts w:hint="eastAsia" w:eastAsia="宋体"/>
          <w:color w:val="000000"/>
          <w:sz w:val="24"/>
          <w:lang w:eastAsia="zh-CN"/>
        </w:rPr>
        <w:t>：</w:t>
      </w:r>
      <w:r>
        <w:rPr>
          <w:rFonts w:hint="eastAsia"/>
          <w:color w:val="000000"/>
          <w:sz w:val="24"/>
        </w:rPr>
        <w:t>付款前需开具相应金额的增值税专用发票(税率6%)。</w:t>
      </w:r>
    </w:p>
    <w:p>
      <w:pPr>
        <w:spacing w:line="500" w:lineRule="exact"/>
        <w:rPr>
          <w:rFonts w:hint="eastAsia" w:eastAsia="宋体"/>
          <w:color w:val="000000"/>
          <w:sz w:val="24"/>
          <w:lang w:eastAsia="zh-CN"/>
        </w:rPr>
      </w:pPr>
      <w:r>
        <w:rPr>
          <w:rFonts w:hint="eastAsia"/>
          <w:color w:val="000000"/>
          <w:sz w:val="24"/>
        </w:rPr>
        <w:t>3.4 乙方账户信息</w:t>
      </w:r>
      <w:r>
        <w:rPr>
          <w:rFonts w:hint="eastAsia" w:eastAsia="宋体"/>
          <w:color w:val="000000"/>
          <w:sz w:val="24"/>
          <w:lang w:eastAsia="zh-CN"/>
        </w:rPr>
        <w:t>：</w:t>
      </w:r>
    </w:p>
    <w:p>
      <w:pPr>
        <w:spacing w:line="500" w:lineRule="exact"/>
        <w:ind w:firstLine="480" w:firstLineChars="200"/>
        <w:rPr>
          <w:rFonts w:hint="default" w:eastAsia="宋体"/>
          <w:color w:val="000000"/>
          <w:sz w:val="24"/>
          <w:u w:val="single"/>
          <w:lang w:val="en-US" w:eastAsia="zh-CN"/>
        </w:rPr>
      </w:pPr>
      <w:r>
        <w:rPr>
          <w:rFonts w:hint="eastAsia"/>
          <w:color w:val="000000"/>
          <w:sz w:val="24"/>
        </w:rPr>
        <w:t>户名</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p>
    <w:p>
      <w:pPr>
        <w:spacing w:line="500" w:lineRule="exact"/>
        <w:ind w:firstLine="480" w:firstLineChars="200"/>
        <w:rPr>
          <w:rFonts w:hint="default"/>
          <w:color w:val="000000"/>
          <w:sz w:val="24"/>
          <w:u w:val="single"/>
          <w:lang w:val="en-US"/>
        </w:rPr>
      </w:pPr>
      <w:r>
        <w:rPr>
          <w:rFonts w:hint="eastAsia"/>
          <w:color w:val="000000"/>
          <w:sz w:val="24"/>
        </w:rPr>
        <w:t>开户行</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p>
    <w:p>
      <w:pPr>
        <w:spacing w:line="500" w:lineRule="exact"/>
        <w:ind w:firstLine="480" w:firstLineChars="200"/>
        <w:rPr>
          <w:rFonts w:hint="eastAsia"/>
          <w:color w:val="000000"/>
          <w:sz w:val="24"/>
          <w:lang w:val="en-US" w:eastAsia="zh-CN"/>
        </w:rPr>
      </w:pPr>
      <w:r>
        <w:rPr>
          <w:rFonts w:hint="eastAsia"/>
          <w:color w:val="000000"/>
          <w:sz w:val="24"/>
        </w:rPr>
        <w:t>帐 号</w:t>
      </w:r>
      <w:r>
        <w:rPr>
          <w:rFonts w:hint="eastAsia" w:eastAsia="宋体"/>
          <w:color w:val="000000"/>
          <w:sz w:val="24"/>
          <w:lang w:eastAsia="zh-CN"/>
        </w:rPr>
        <w:t>：</w:t>
      </w:r>
      <w:r>
        <w:rPr>
          <w:rFonts w:hint="eastAsia" w:ascii="Times New Roman" w:eastAsia="宋体"/>
          <w:color w:val="000000"/>
          <w:sz w:val="24"/>
          <w:u w:val="single"/>
          <w:lang w:val="en-US" w:eastAsia="zh-CN"/>
        </w:rPr>
        <w:t xml:space="preserve">                            </w:t>
      </w:r>
      <w:r>
        <w:rPr>
          <w:rFonts w:hint="eastAsia" w:ascii="Times New Roman" w:eastAsia="宋体"/>
          <w:color w:val="000000"/>
          <w:sz w:val="24"/>
          <w:lang w:val="en-US" w:eastAsia="zh-CN"/>
        </w:rPr>
        <w:t xml:space="preserve"> </w:t>
      </w:r>
    </w:p>
    <w:p>
      <w:pPr>
        <w:spacing w:line="500" w:lineRule="exact"/>
        <w:rPr>
          <w:rFonts w:hint="eastAsia"/>
          <w:color w:val="000000"/>
          <w:sz w:val="24"/>
        </w:rPr>
      </w:pPr>
      <w:r>
        <w:rPr>
          <w:rFonts w:hint="eastAsia"/>
          <w:color w:val="000000"/>
          <w:sz w:val="24"/>
        </w:rPr>
        <w:t>3.5</w:t>
      </w:r>
      <w:r>
        <w:rPr>
          <w:rFonts w:hint="eastAsia"/>
          <w:b/>
          <w:bCs/>
          <w:color w:val="000000"/>
          <w:sz w:val="24"/>
        </w:rPr>
        <w:t>甲方可使用转账、支票或现金的方式支付本合同款项。转账支付的应将所有费用支付到合同约定的账户</w:t>
      </w:r>
      <w:r>
        <w:rPr>
          <w:rFonts w:hint="eastAsia" w:eastAsia="宋体"/>
          <w:b/>
          <w:bCs/>
          <w:color w:val="000000"/>
          <w:sz w:val="24"/>
          <w:lang w:eastAsia="zh-CN"/>
        </w:rPr>
        <w:t>；</w:t>
      </w:r>
      <w:r>
        <w:rPr>
          <w:rFonts w:hint="eastAsia"/>
          <w:b/>
          <w:bCs/>
          <w:color w:val="000000"/>
          <w:sz w:val="24"/>
        </w:rPr>
        <w:t>支票支付的，须写明收款人抬头为乙方</w:t>
      </w:r>
      <w:r>
        <w:rPr>
          <w:rFonts w:hint="eastAsia" w:eastAsia="宋体"/>
          <w:b/>
          <w:bCs/>
          <w:color w:val="000000"/>
          <w:sz w:val="24"/>
          <w:lang w:eastAsia="zh-CN"/>
        </w:rPr>
        <w:t>；</w:t>
      </w:r>
      <w:r>
        <w:rPr>
          <w:rFonts w:hint="eastAsia"/>
          <w:b/>
          <w:bCs/>
          <w:color w:val="000000"/>
          <w:sz w:val="24"/>
        </w:rPr>
        <w:t>现金支付的，须有乙方出具的法人授权委托书。乙方只承认以上三种支付方式，其它支付方式乙方可视为未收到合同款，后果甲方自负。</w:t>
      </w:r>
    </w:p>
    <w:p>
      <w:pPr>
        <w:spacing w:line="500" w:lineRule="exact"/>
        <w:rPr>
          <w:rFonts w:hint="eastAsia"/>
          <w:b/>
          <w:bCs/>
          <w:color w:val="000000"/>
          <w:sz w:val="24"/>
        </w:rPr>
      </w:pPr>
      <w:r>
        <w:rPr>
          <w:rFonts w:hint="eastAsia" w:ascii="Times New Roman" w:eastAsia="宋体"/>
          <w:b/>
          <w:bCs/>
          <w:color w:val="000000"/>
          <w:sz w:val="24"/>
          <w:lang w:val="en-US" w:eastAsia="zh-CN"/>
        </w:rPr>
        <w:t>4、</w:t>
      </w:r>
      <w:r>
        <w:rPr>
          <w:rFonts w:hint="eastAsia"/>
          <w:b/>
          <w:bCs/>
          <w:color w:val="000000"/>
          <w:sz w:val="24"/>
        </w:rPr>
        <w:t>违约金或者损失赔偿额的计算方法</w:t>
      </w:r>
    </w:p>
    <w:p>
      <w:pPr>
        <w:spacing w:line="500" w:lineRule="exact"/>
        <w:rPr>
          <w:rFonts w:hint="eastAsia"/>
          <w:color w:val="000000"/>
          <w:sz w:val="24"/>
        </w:rPr>
      </w:pPr>
      <w:r>
        <w:rPr>
          <w:rFonts w:hint="eastAsia"/>
          <w:color w:val="000000"/>
          <w:sz w:val="24"/>
        </w:rPr>
        <w:t>4.1因乙方违反本合同第2.2.5条的约定，且在合理期限内未采取任何补救措施的，乙方应当承担违约责任，承担方式和违约金额为每迟交检测报告一日，向甲方支付本合同总金额 5‰的违约金。</w:t>
      </w:r>
    </w:p>
    <w:p>
      <w:pPr>
        <w:spacing w:line="500" w:lineRule="exact"/>
        <w:rPr>
          <w:rFonts w:hint="eastAsia"/>
          <w:color w:val="000000"/>
          <w:sz w:val="24"/>
        </w:rPr>
      </w:pPr>
      <w:r>
        <w:rPr>
          <w:rFonts w:hint="eastAsia"/>
          <w:color w:val="000000"/>
          <w:sz w:val="24"/>
        </w:rPr>
        <w:t>4.2 因甲方违反本合同第3.2条约定，且在合理期限内未采取任何补救措施的，甲方应当承担违约责任，承担方式和违约金额为每迟延履行一日，向乙方支付本合同总金额5%的违约金。</w:t>
      </w:r>
    </w:p>
    <w:p>
      <w:pPr>
        <w:spacing w:line="500" w:lineRule="exact"/>
        <w:rPr>
          <w:rFonts w:hint="eastAsia"/>
          <w:color w:val="000000"/>
          <w:sz w:val="24"/>
        </w:rPr>
      </w:pPr>
      <w:r>
        <w:rPr>
          <w:rFonts w:hint="eastAsia"/>
          <w:color w:val="000000"/>
          <w:sz w:val="24"/>
        </w:rPr>
        <w:t>4.3 乙方根据法律法规及规范要求编制检测方案并经甲方认可</w:t>
      </w:r>
      <w:r>
        <w:rPr>
          <w:rFonts w:hint="eastAsia" w:eastAsia="宋体"/>
          <w:color w:val="000000"/>
          <w:sz w:val="24"/>
          <w:lang w:eastAsia="zh-CN"/>
        </w:rPr>
        <w:t>，</w:t>
      </w:r>
      <w:r>
        <w:rPr>
          <w:rFonts w:hint="eastAsia"/>
          <w:color w:val="000000"/>
          <w:sz w:val="24"/>
        </w:rPr>
        <w:t>乙方按检测方案进行检测如甲方需修改检测方案，则需经乙方同意，并行相关手续。</w:t>
      </w:r>
    </w:p>
    <w:p>
      <w:pPr>
        <w:spacing w:line="500" w:lineRule="exact"/>
        <w:rPr>
          <w:rFonts w:hint="eastAsia"/>
          <w:color w:val="000000"/>
          <w:sz w:val="24"/>
        </w:rPr>
      </w:pPr>
      <w:r>
        <w:rPr>
          <w:rFonts w:hint="eastAsia"/>
          <w:color w:val="000000"/>
          <w:sz w:val="24"/>
        </w:rPr>
        <w:t>4.4 乙方只对样品自身的检测结果负责。样品的取得系乙方亲临现场采集，乙方确定并保证样品采集当时的代表性。由于样品时间、环境变化等非乙方原因，样品的检测结果与样品所代表的同种物质真实情况存在的正常误差，乙方不承担责任</w:t>
      </w:r>
      <w:r>
        <w:rPr>
          <w:rFonts w:hint="eastAsia" w:eastAsia="宋体"/>
          <w:color w:val="000000"/>
          <w:sz w:val="24"/>
          <w:lang w:eastAsia="zh-CN"/>
        </w:rPr>
        <w:t>；</w:t>
      </w:r>
      <w:r>
        <w:rPr>
          <w:rFonts w:hint="eastAsia"/>
          <w:color w:val="000000"/>
          <w:sz w:val="24"/>
        </w:rPr>
        <w:t>如因乙方过错导致样品的检测结果与样品的真实情况超过正常误差范围，乙方承担此样品此检测项目的免费复测，除此之外乙方对其它原因导致的检测结果误差及检测结果的使用不承担法律责任。</w:t>
      </w:r>
    </w:p>
    <w:p>
      <w:pPr>
        <w:spacing w:line="500" w:lineRule="exact"/>
        <w:rPr>
          <w:rFonts w:hint="eastAsia"/>
          <w:color w:val="000000"/>
          <w:sz w:val="24"/>
        </w:rPr>
      </w:pPr>
      <w:r>
        <w:rPr>
          <w:rFonts w:hint="eastAsia"/>
          <w:color w:val="000000"/>
          <w:sz w:val="24"/>
        </w:rPr>
        <w:t>4.5约责任，承担方式和违约金额为:100000元。未经甲方书面同意，将甲方的任何检测数据和检验技术泄露给第三方，或将甲方与样品有关的技术资料用于经营及开发活动，乙方向甲方支付本合同总金额 50%的违约金。</w:t>
      </w:r>
    </w:p>
    <w:p>
      <w:pPr>
        <w:spacing w:line="500" w:lineRule="exact"/>
        <w:rPr>
          <w:rFonts w:hint="eastAsia"/>
          <w:color w:val="000000"/>
          <w:sz w:val="24"/>
        </w:rPr>
      </w:pPr>
      <w:r>
        <w:rPr>
          <w:rFonts w:hint="eastAsia"/>
          <w:color w:val="000000"/>
          <w:sz w:val="24"/>
        </w:rPr>
        <w:t>4.6 乙方不承担非乙方原因引起的责任。</w:t>
      </w:r>
    </w:p>
    <w:p>
      <w:pPr>
        <w:spacing w:line="500" w:lineRule="exact"/>
        <w:rPr>
          <w:rFonts w:hint="eastAsia"/>
          <w:b/>
          <w:bCs/>
          <w:color w:val="000000"/>
          <w:sz w:val="24"/>
        </w:rPr>
      </w:pPr>
      <w:r>
        <w:rPr>
          <w:rFonts w:hint="eastAsia"/>
          <w:b/>
          <w:bCs/>
          <w:color w:val="000000"/>
          <w:sz w:val="24"/>
        </w:rPr>
        <w:t>5、不可抗力</w:t>
      </w:r>
    </w:p>
    <w:p>
      <w:pPr>
        <w:spacing w:line="500" w:lineRule="exact"/>
        <w:ind w:firstLine="480" w:firstLineChars="200"/>
        <w:rPr>
          <w:rFonts w:hint="eastAsia"/>
          <w:color w:val="000000"/>
          <w:sz w:val="24"/>
        </w:rPr>
      </w:pPr>
      <w:r>
        <w:rPr>
          <w:rFonts w:hint="eastAsia"/>
          <w:color w:val="000000"/>
          <w:sz w:val="24"/>
        </w:rPr>
        <w:t>如因发生不可抗力情形致使一方或双方未能依本合同约定履行义务，双方互相不承担违约责任。</w:t>
      </w:r>
    </w:p>
    <w:p>
      <w:pPr>
        <w:spacing w:line="500" w:lineRule="exact"/>
        <w:rPr>
          <w:rFonts w:hint="eastAsia"/>
          <w:b/>
          <w:bCs/>
          <w:color w:val="000000"/>
          <w:sz w:val="24"/>
        </w:rPr>
      </w:pPr>
      <w:r>
        <w:rPr>
          <w:rFonts w:hint="eastAsia"/>
          <w:b/>
          <w:bCs/>
          <w:color w:val="000000"/>
          <w:sz w:val="24"/>
        </w:rPr>
        <w:t>6、争议的解决方法</w:t>
      </w:r>
    </w:p>
    <w:p>
      <w:pPr>
        <w:spacing w:line="500" w:lineRule="exact"/>
        <w:ind w:firstLine="480" w:firstLineChars="200"/>
        <w:rPr>
          <w:rFonts w:hint="eastAsia"/>
          <w:color w:val="000000"/>
          <w:sz w:val="24"/>
        </w:rPr>
      </w:pPr>
      <w:r>
        <w:rPr>
          <w:rFonts w:hint="eastAsia"/>
          <w:color w:val="000000"/>
          <w:sz w:val="24"/>
        </w:rPr>
        <w:t>在合同履行过程中发生争议，双方应当协商解决。双方不愿协商、调解解决或者协商调解不成的，任何一方可向</w:t>
      </w:r>
      <w:r>
        <w:rPr>
          <w:rFonts w:hint="eastAsia"/>
          <w:b w:val="0"/>
          <w:bCs w:val="0"/>
          <w:color w:val="000000"/>
          <w:sz w:val="24"/>
          <w:u w:val="single"/>
        </w:rPr>
        <w:t>甲方所在地人民法院</w:t>
      </w:r>
      <w:r>
        <w:rPr>
          <w:rFonts w:hint="eastAsia"/>
          <w:color w:val="000000"/>
          <w:sz w:val="24"/>
        </w:rPr>
        <w:t>提起诉讼。</w:t>
      </w:r>
    </w:p>
    <w:p>
      <w:pPr>
        <w:spacing w:line="500" w:lineRule="exact"/>
        <w:rPr>
          <w:rFonts w:hint="eastAsia"/>
          <w:b/>
          <w:bCs/>
          <w:color w:val="000000"/>
          <w:sz w:val="24"/>
        </w:rPr>
      </w:pPr>
      <w:r>
        <w:rPr>
          <w:rFonts w:hint="eastAsia"/>
          <w:b/>
          <w:bCs/>
          <w:color w:val="000000"/>
          <w:sz w:val="24"/>
        </w:rPr>
        <w:t>7、合同的生效</w:t>
      </w:r>
    </w:p>
    <w:p>
      <w:pPr>
        <w:spacing w:line="500" w:lineRule="exact"/>
        <w:rPr>
          <w:rFonts w:hint="eastAsia"/>
          <w:color w:val="000000"/>
          <w:sz w:val="24"/>
        </w:rPr>
      </w:pPr>
      <w:r>
        <w:rPr>
          <w:rFonts w:hint="eastAsia"/>
          <w:color w:val="000000"/>
          <w:sz w:val="24"/>
        </w:rPr>
        <w:t>7.1 本合同自双方公司签字签章之日起生效，法定代表人或授权代表签字均认为有效，并于甲方结清检测费用和乙方提交正式检测报告之日终止。</w:t>
      </w:r>
    </w:p>
    <w:p>
      <w:pPr>
        <w:spacing w:line="500" w:lineRule="exact"/>
        <w:rPr>
          <w:rFonts w:hint="eastAsia"/>
          <w:color w:val="000000"/>
          <w:sz w:val="24"/>
        </w:rPr>
      </w:pPr>
      <w:r>
        <w:rPr>
          <w:rFonts w:hint="eastAsia"/>
          <w:color w:val="000000"/>
          <w:sz w:val="24"/>
        </w:rPr>
        <w:t>7.2 本合同一式</w:t>
      </w:r>
      <w:r>
        <w:rPr>
          <w:rFonts w:hint="eastAsia"/>
          <w:color w:val="000000"/>
          <w:sz w:val="24"/>
          <w:u w:val="single"/>
        </w:rPr>
        <w:t xml:space="preserve"> 肆 </w:t>
      </w:r>
      <w:r>
        <w:rPr>
          <w:rFonts w:hint="eastAsia"/>
          <w:color w:val="000000"/>
          <w:sz w:val="24"/>
        </w:rPr>
        <w:t>份，甲方执</w:t>
      </w:r>
      <w:r>
        <w:rPr>
          <w:rFonts w:hint="eastAsia"/>
          <w:color w:val="000000"/>
          <w:sz w:val="24"/>
          <w:u w:val="single"/>
        </w:rPr>
        <w:t xml:space="preserve"> 叁 </w:t>
      </w:r>
      <w:r>
        <w:rPr>
          <w:rFonts w:hint="eastAsia"/>
          <w:color w:val="000000"/>
          <w:sz w:val="24"/>
        </w:rPr>
        <w:t xml:space="preserve">份，乙方执 </w:t>
      </w:r>
      <w:r>
        <w:rPr>
          <w:rFonts w:hint="eastAsia"/>
          <w:color w:val="000000"/>
          <w:sz w:val="24"/>
          <w:u w:val="single"/>
        </w:rPr>
        <w:t xml:space="preserve">壹 </w:t>
      </w:r>
      <w:r>
        <w:rPr>
          <w:rFonts w:hint="eastAsia"/>
          <w:color w:val="000000"/>
          <w:sz w:val="24"/>
        </w:rPr>
        <w:t>份，具有同等法律效力。</w:t>
      </w:r>
    </w:p>
    <w:p>
      <w:pPr>
        <w:spacing w:line="500" w:lineRule="exact"/>
        <w:rPr>
          <w:rFonts w:hint="eastAsia"/>
          <w:color w:val="000000"/>
          <w:sz w:val="24"/>
        </w:rPr>
      </w:pPr>
      <w:r>
        <w:rPr>
          <w:rFonts w:hint="eastAsia"/>
          <w:color w:val="000000"/>
          <w:sz w:val="24"/>
        </w:rPr>
        <w:t>7.3 本合同未尽事宜，可经甲、乙双方友好协商做出补充条款，补充条款与本合同具有同</w:t>
      </w:r>
    </w:p>
    <w:p>
      <w:pPr>
        <w:spacing w:line="500" w:lineRule="exact"/>
        <w:ind w:firstLine="480" w:firstLineChars="200"/>
        <w:rPr>
          <w:rFonts w:hint="eastAsia" w:eastAsia="宋体"/>
          <w:color w:val="000000"/>
          <w:sz w:val="24"/>
          <w:lang w:eastAsia="zh-CN"/>
        </w:rPr>
      </w:pPr>
      <w:r>
        <w:rPr>
          <w:rFonts w:hint="eastAsia"/>
          <w:color w:val="000000"/>
          <w:sz w:val="24"/>
        </w:rPr>
        <w:t>等法律效力</w:t>
      </w:r>
      <w:r>
        <w:rPr>
          <w:rFonts w:hint="eastAsia" w:eastAsia="宋体"/>
          <w:color w:val="000000"/>
          <w:sz w:val="24"/>
          <w:lang w:eastAsia="zh-CN"/>
        </w:rPr>
        <w:t>。</w:t>
      </w:r>
    </w:p>
    <w:p>
      <w:pPr>
        <w:spacing w:line="500" w:lineRule="exact"/>
        <w:rPr>
          <w:rFonts w:hint="eastAsia"/>
          <w:color w:val="000000"/>
          <w:sz w:val="24"/>
        </w:rPr>
      </w:pPr>
      <w:r>
        <w:rPr>
          <w:rFonts w:hint="eastAsia"/>
          <w:color w:val="000000"/>
          <w:sz w:val="24"/>
        </w:rPr>
        <w:t>7.4 本合同扫描件和原件具有同等法律效力。</w:t>
      </w:r>
    </w:p>
    <w:p>
      <w:pPr>
        <w:spacing w:line="500" w:lineRule="exact"/>
        <w:rPr>
          <w:rFonts w:hint="eastAsia"/>
          <w:color w:val="000000"/>
          <w:sz w:val="24"/>
        </w:rPr>
      </w:pPr>
    </w:p>
    <w:p>
      <w:pPr>
        <w:spacing w:line="500" w:lineRule="exact"/>
        <w:ind w:firstLine="480" w:firstLineChars="200"/>
        <w:rPr>
          <w:rFonts w:hint="eastAsia"/>
          <w:color w:val="000000"/>
          <w:sz w:val="24"/>
        </w:rPr>
      </w:pPr>
    </w:p>
    <w:p>
      <w:pPr>
        <w:spacing w:line="500" w:lineRule="exact"/>
        <w:rPr>
          <w:b/>
          <w:color w:val="000000"/>
          <w:spacing w:val="-10"/>
          <w:sz w:val="24"/>
        </w:rPr>
      </w:pPr>
      <w:r>
        <w:rPr>
          <w:rFonts w:hint="eastAsia"/>
          <w:b/>
          <w:color w:val="000000"/>
          <w:spacing w:val="-10"/>
          <w:sz w:val="24"/>
        </w:rPr>
        <w:t>甲方（盖章）：                                乙方（盖章）：</w:t>
      </w:r>
    </w:p>
    <w:p>
      <w:pPr>
        <w:spacing w:line="500" w:lineRule="exact"/>
        <w:rPr>
          <w:color w:val="000000"/>
          <w:sz w:val="24"/>
          <w:u w:val="single"/>
        </w:rPr>
      </w:pPr>
      <w:r>
        <w:rPr>
          <w:rFonts w:hint="eastAsia"/>
          <w:color w:val="000000"/>
          <w:sz w:val="24"/>
          <w:u w:val="single"/>
          <w:lang w:val="en-US" w:eastAsia="zh-CN"/>
        </w:rPr>
        <w:t>岳阳道仁矶港物流有限公司</w:t>
      </w:r>
      <w:r>
        <w:rPr>
          <w:rFonts w:hint="eastAsia"/>
          <w:color w:val="000000"/>
          <w:sz w:val="24"/>
        </w:rPr>
        <w:t xml:space="preserve">                 </w:t>
      </w:r>
    </w:p>
    <w:p>
      <w:pPr>
        <w:tabs>
          <w:tab w:val="left" w:pos="4860"/>
        </w:tabs>
        <w:spacing w:line="500" w:lineRule="exact"/>
        <w:rPr>
          <w:color w:val="000000"/>
          <w:sz w:val="24"/>
        </w:rPr>
      </w:pPr>
      <w:r>
        <w:rPr>
          <w:rFonts w:hint="eastAsia"/>
          <w:color w:val="000000"/>
          <w:sz w:val="24"/>
        </w:rPr>
        <w:t>法人代表或</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法人代表或 </w:t>
      </w:r>
    </w:p>
    <w:p>
      <w:pPr>
        <w:tabs>
          <w:tab w:val="left" w:pos="4860"/>
        </w:tabs>
        <w:spacing w:line="500" w:lineRule="exact"/>
        <w:rPr>
          <w:color w:val="000000"/>
          <w:sz w:val="24"/>
        </w:rPr>
      </w:pPr>
      <w:r>
        <w:rPr>
          <w:rFonts w:hint="eastAsia"/>
          <w:color w:val="000000"/>
          <w:sz w:val="24"/>
        </w:rPr>
        <w:t>代理人（签字）：                        代理人（签字）：</w:t>
      </w:r>
    </w:p>
    <w:p>
      <w:pPr>
        <w:tabs>
          <w:tab w:val="left" w:pos="4860"/>
        </w:tabs>
        <w:spacing w:line="500" w:lineRule="exact"/>
        <w:rPr>
          <w:color w:val="000000"/>
          <w:sz w:val="24"/>
        </w:rPr>
      </w:pPr>
      <w:r>
        <w:rPr>
          <w:rFonts w:hint="eastAsia"/>
          <w:color w:val="000000"/>
          <w:sz w:val="24"/>
        </w:rPr>
        <w:t>日期： 202</w:t>
      </w:r>
      <w:r>
        <w:rPr>
          <w:rFonts w:hint="eastAsia" w:ascii="Times New Roman" w:eastAsia="宋体"/>
          <w:color w:val="000000"/>
          <w:sz w:val="24"/>
          <w:lang w:val="en-US" w:eastAsia="zh-CN"/>
        </w:rPr>
        <w:t>4</w:t>
      </w:r>
      <w:r>
        <w:rPr>
          <w:rFonts w:hint="eastAsia"/>
          <w:color w:val="000000"/>
          <w:sz w:val="24"/>
        </w:rPr>
        <w:t xml:space="preserve"> 年   月    日                日期：202</w:t>
      </w:r>
      <w:r>
        <w:rPr>
          <w:rFonts w:hint="eastAsia" w:ascii="Times New Roman" w:eastAsia="宋体"/>
          <w:color w:val="000000"/>
          <w:sz w:val="24"/>
          <w:lang w:val="en-US" w:eastAsia="zh-CN"/>
        </w:rPr>
        <w:t>4</w:t>
      </w:r>
      <w:r>
        <w:rPr>
          <w:rFonts w:hint="eastAsia"/>
          <w:color w:val="000000"/>
          <w:sz w:val="24"/>
        </w:rPr>
        <w:t xml:space="preserve"> 年   月    日         </w:t>
      </w:r>
    </w:p>
    <w:p>
      <w:pPr>
        <w:tabs>
          <w:tab w:val="left" w:pos="4860"/>
        </w:tabs>
        <w:spacing w:line="500" w:lineRule="exact"/>
        <w:rPr>
          <w:color w:val="000000"/>
          <w:sz w:val="24"/>
        </w:rPr>
      </w:pPr>
    </w:p>
    <w:p>
      <w:pPr>
        <w:pStyle w:val="41"/>
        <w:rPr>
          <w:color w:val="000000"/>
          <w:sz w:val="24"/>
        </w:rPr>
      </w:pPr>
    </w:p>
    <w:p>
      <w:pPr>
        <w:spacing w:line="240" w:lineRule="auto"/>
        <w:rPr>
          <w:rFonts w:ascii="宋体"/>
          <w:color w:val="000000"/>
          <w:sz w:val="24"/>
        </w:rPr>
      </w:pPr>
      <w:r>
        <w:rPr>
          <w:color w:val="000000"/>
          <w:sz w:val="24"/>
        </w:rPr>
        <w:br w:type="page"/>
      </w:r>
    </w:p>
    <w:p>
      <w:pPr>
        <w:spacing w:line="240" w:lineRule="auto"/>
        <w:rPr>
          <w:rFonts w:ascii="宋体"/>
          <w:color w:val="000000"/>
          <w:sz w:val="24"/>
        </w:rPr>
      </w:pPr>
    </w:p>
    <w:p>
      <w:pPr>
        <w:pStyle w:val="2"/>
        <w:rPr>
          <w:rFonts w:ascii="Times New Roman"/>
        </w:rPr>
      </w:pPr>
      <w:bookmarkStart w:id="15" w:name="_Hlk79957878"/>
      <w:r>
        <w:rPr>
          <w:rFonts w:hint="eastAsia" w:ascii="Times New Roman"/>
        </w:rPr>
        <w:t>附件</w:t>
      </w:r>
      <w:r>
        <w:rPr>
          <w:rFonts w:hint="eastAsia"/>
        </w:rPr>
        <w:t>一</w:t>
      </w:r>
      <w:r>
        <w:rPr>
          <w:rFonts w:hint="eastAsia" w:ascii="Times New Roman"/>
        </w:rPr>
        <w:t>：廉政责任书</w:t>
      </w:r>
    </w:p>
    <w:p>
      <w:pPr>
        <w:pStyle w:val="194"/>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ascii="宋体" w:hAnsi="宋体"/>
          <w:color w:val="000000"/>
          <w:sz w:val="24"/>
        </w:rPr>
        <w:t>发包人（甲方）：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spacing w:line="312" w:lineRule="auto"/>
        <w:ind w:firstLine="480" w:firstLineChars="200"/>
        <w:rPr>
          <w:rFonts w:ascii="宋体" w:hAnsi="宋体"/>
          <w:color w:val="000000"/>
          <w:sz w:val="24"/>
        </w:rPr>
      </w:pPr>
      <w:r>
        <w:rPr>
          <w:rFonts w:ascii="宋体" w:hAnsi="宋体"/>
          <w:color w:val="000000"/>
          <w:sz w:val="24"/>
        </w:rPr>
        <w:t>为加强</w:t>
      </w:r>
      <w:r>
        <w:rPr>
          <w:rFonts w:hint="eastAsia" w:ascii="宋体" w:hAnsi="宋体"/>
          <w:color w:val="000000"/>
          <w:sz w:val="24"/>
        </w:rPr>
        <w:t>项目实施过程中</w:t>
      </w:r>
      <w:r>
        <w:rPr>
          <w:rFonts w:ascii="宋体" w:hAnsi="宋体"/>
          <w:color w:val="000000"/>
          <w:sz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line="312" w:lineRule="auto"/>
        <w:ind w:firstLine="480" w:firstLineChars="200"/>
        <w:rPr>
          <w:rFonts w:ascii="宋体" w:hAnsi="宋体"/>
          <w:color w:val="000000"/>
          <w:sz w:val="24"/>
        </w:rPr>
      </w:pPr>
      <w:r>
        <w:rPr>
          <w:rFonts w:ascii="宋体" w:hAnsi="宋体"/>
          <w:color w:val="000000"/>
          <w:sz w:val="24"/>
        </w:rPr>
        <w:t>第一条  甲乙双方的责任</w:t>
      </w:r>
    </w:p>
    <w:p>
      <w:pPr>
        <w:spacing w:line="312" w:lineRule="auto"/>
        <w:ind w:firstLine="480" w:firstLineChars="200"/>
        <w:rPr>
          <w:rFonts w:ascii="宋体" w:hAnsi="宋体"/>
          <w:color w:val="000000"/>
          <w:sz w:val="24"/>
        </w:rPr>
      </w:pPr>
      <w:r>
        <w:rPr>
          <w:rFonts w:ascii="宋体" w:hAnsi="宋体"/>
          <w:color w:val="000000"/>
          <w:sz w:val="24"/>
        </w:rPr>
        <w:t>（一）应严格遵守国家关于市场准入、项目招标投标、工程建设、施工安装和市场活动等有关法律、法规，相关政策，以及廉政建设的各项规定。</w:t>
      </w:r>
    </w:p>
    <w:p>
      <w:pPr>
        <w:spacing w:line="312" w:lineRule="auto"/>
        <w:ind w:firstLine="480" w:firstLineChars="200"/>
        <w:rPr>
          <w:rFonts w:ascii="宋体" w:hAnsi="宋体"/>
          <w:color w:val="000000"/>
          <w:sz w:val="24"/>
        </w:rPr>
      </w:pPr>
      <w:r>
        <w:rPr>
          <w:rFonts w:ascii="宋体" w:hAnsi="宋体"/>
          <w:color w:val="000000"/>
          <w:sz w:val="24"/>
        </w:rPr>
        <w:t>（二）严格执行项目承发包合同文件，自觉按合同办事。</w:t>
      </w:r>
    </w:p>
    <w:p>
      <w:pPr>
        <w:spacing w:line="312" w:lineRule="auto"/>
        <w:ind w:firstLine="480" w:firstLineChars="200"/>
        <w:rPr>
          <w:rFonts w:ascii="宋体" w:hAnsi="宋体"/>
          <w:color w:val="000000"/>
          <w:sz w:val="24"/>
        </w:rPr>
      </w:pPr>
      <w:r>
        <w:rPr>
          <w:rFonts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spacing w:line="312" w:lineRule="auto"/>
        <w:ind w:firstLine="480" w:firstLineChars="200"/>
        <w:rPr>
          <w:rFonts w:ascii="宋体" w:hAnsi="宋体"/>
          <w:color w:val="000000"/>
          <w:sz w:val="24"/>
        </w:rPr>
      </w:pPr>
      <w:r>
        <w:rPr>
          <w:rFonts w:ascii="宋体" w:hAnsi="宋体"/>
          <w:color w:val="000000"/>
          <w:sz w:val="24"/>
        </w:rPr>
        <w:t>（四）发现对方在业务活动中有违规、违纪、违法行为的，应及时提醒对方，情节严重的，应向其上级主管部门或纪检监察、司法等有关机关举报。</w:t>
      </w:r>
    </w:p>
    <w:p>
      <w:pPr>
        <w:spacing w:line="312" w:lineRule="auto"/>
        <w:ind w:firstLine="480" w:firstLineChars="200"/>
        <w:rPr>
          <w:rFonts w:ascii="宋体" w:hAnsi="宋体"/>
          <w:color w:val="000000"/>
          <w:sz w:val="24"/>
        </w:rPr>
      </w:pPr>
      <w:r>
        <w:rPr>
          <w:rFonts w:ascii="宋体" w:hAnsi="宋体"/>
          <w:color w:val="000000"/>
          <w:sz w:val="24"/>
        </w:rPr>
        <w:t>第二条  甲方的责任</w:t>
      </w:r>
    </w:p>
    <w:p>
      <w:pPr>
        <w:spacing w:line="312" w:lineRule="auto"/>
        <w:ind w:firstLine="480" w:firstLineChars="200"/>
        <w:rPr>
          <w:rFonts w:ascii="宋体" w:hAnsi="宋体"/>
          <w:color w:val="000000"/>
          <w:sz w:val="24"/>
        </w:rPr>
      </w:pPr>
      <w:r>
        <w:rPr>
          <w:rFonts w:ascii="宋体" w:hAnsi="宋体"/>
          <w:color w:val="000000"/>
          <w:sz w:val="24"/>
        </w:rPr>
        <w:t>甲方</w:t>
      </w:r>
      <w:r>
        <w:rPr>
          <w:rFonts w:hint="eastAsia" w:ascii="宋体" w:hAnsi="宋体"/>
          <w:color w:val="000000"/>
          <w:sz w:val="24"/>
        </w:rPr>
        <w:t>及其</w:t>
      </w:r>
      <w:r>
        <w:rPr>
          <w:rFonts w:ascii="宋体" w:hAnsi="宋体"/>
          <w:color w:val="000000"/>
          <w:sz w:val="24"/>
        </w:rPr>
        <w:t>工作人员，在</w:t>
      </w:r>
      <w:r>
        <w:rPr>
          <w:rFonts w:hint="eastAsia" w:ascii="宋体" w:hAnsi="宋体"/>
          <w:color w:val="000000"/>
          <w:sz w:val="24"/>
        </w:rPr>
        <w:t>项目执行过程中</w:t>
      </w:r>
      <w:r>
        <w:rPr>
          <w:rFonts w:ascii="宋体" w:hAnsi="宋体"/>
          <w:color w:val="000000"/>
          <w:sz w:val="24"/>
        </w:rPr>
        <w:t>应遵守以下规定：</w:t>
      </w:r>
    </w:p>
    <w:p>
      <w:pPr>
        <w:spacing w:line="312" w:lineRule="auto"/>
        <w:ind w:firstLine="480" w:firstLineChars="200"/>
        <w:rPr>
          <w:rFonts w:ascii="宋体" w:hAnsi="宋体"/>
          <w:color w:val="000000"/>
          <w:sz w:val="24"/>
        </w:rPr>
      </w:pPr>
      <w:r>
        <w:rPr>
          <w:rFonts w:ascii="宋体" w:hAnsi="宋体"/>
          <w:color w:val="000000"/>
          <w:sz w:val="24"/>
        </w:rPr>
        <w:t>（一）不准向乙方和相关单位索要或接受回扣、礼金、有价证券、贵重物品和好处费、感谢费等。</w:t>
      </w:r>
    </w:p>
    <w:p>
      <w:pPr>
        <w:spacing w:line="312" w:lineRule="auto"/>
        <w:ind w:firstLine="480" w:firstLineChars="200"/>
        <w:rPr>
          <w:rFonts w:ascii="宋体" w:hAnsi="宋体"/>
          <w:color w:val="000000"/>
          <w:sz w:val="24"/>
        </w:rPr>
      </w:pPr>
      <w:r>
        <w:rPr>
          <w:rFonts w:ascii="宋体" w:hAnsi="宋体"/>
          <w:color w:val="000000"/>
          <w:sz w:val="24"/>
        </w:rPr>
        <w:t>（二）不准在乙方和相关单位报销任何应由甲方或个人支付的费人。</w:t>
      </w:r>
    </w:p>
    <w:p>
      <w:pPr>
        <w:spacing w:line="312" w:lineRule="auto"/>
        <w:ind w:firstLine="480" w:firstLineChars="200"/>
        <w:rPr>
          <w:rFonts w:ascii="宋体" w:hAnsi="宋体"/>
          <w:color w:val="000000"/>
          <w:sz w:val="24"/>
        </w:rPr>
      </w:pPr>
      <w:r>
        <w:rPr>
          <w:rFonts w:ascii="宋体" w:hAnsi="宋体"/>
          <w:color w:val="000000"/>
          <w:sz w:val="24"/>
        </w:rPr>
        <w:t>（三）不准要求、暗示或接受乙方和相关单位为个人装修住房、婚丧嫁娶、配偶子女的工作安排以及出国（境）、旅游等提供方便。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（四）不准参加有可能影响公正执行公务的乙方和相关单位的宴请和健身、娱乐等活动。</w:t>
      </w:r>
    </w:p>
    <w:p>
      <w:pPr>
        <w:spacing w:line="312" w:lineRule="auto"/>
        <w:ind w:firstLine="480" w:firstLineChars="200"/>
        <w:rPr>
          <w:rFonts w:ascii="宋体" w:hAnsi="宋体"/>
          <w:color w:val="000000"/>
          <w:sz w:val="24"/>
        </w:rPr>
      </w:pPr>
      <w:r>
        <w:rPr>
          <w:rFonts w:ascii="宋体" w:hAnsi="宋体"/>
          <w:color w:val="000000"/>
          <w:sz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line="312" w:lineRule="auto"/>
        <w:ind w:firstLine="480" w:firstLineChars="200"/>
        <w:rPr>
          <w:rFonts w:ascii="宋体" w:hAnsi="宋体"/>
          <w:color w:val="000000"/>
          <w:sz w:val="24"/>
        </w:rPr>
      </w:pPr>
      <w:r>
        <w:rPr>
          <w:rFonts w:ascii="宋体" w:hAnsi="宋体"/>
          <w:color w:val="000000"/>
          <w:sz w:val="24"/>
        </w:rPr>
        <w:t>第三条  乙方的责任</w:t>
      </w:r>
    </w:p>
    <w:p>
      <w:pPr>
        <w:spacing w:line="312" w:lineRule="auto"/>
        <w:ind w:firstLine="480" w:firstLineChars="200"/>
        <w:rPr>
          <w:rFonts w:ascii="宋体" w:hAnsi="宋体"/>
          <w:color w:val="000000"/>
          <w:sz w:val="24"/>
        </w:rPr>
      </w:pPr>
      <w:r>
        <w:rPr>
          <w:rFonts w:ascii="宋体" w:hAnsi="宋体"/>
          <w:color w:val="000000"/>
          <w:sz w:val="24"/>
        </w:rPr>
        <w:t>应与甲方保持正常的业务交往，按照有关法律法规和程序开展业务工作，</w:t>
      </w:r>
      <w:r>
        <w:rPr>
          <w:rFonts w:hint="eastAsia" w:ascii="宋体" w:hAnsi="宋体"/>
          <w:color w:val="000000"/>
          <w:sz w:val="24"/>
        </w:rPr>
        <w:t>并</w:t>
      </w:r>
      <w:r>
        <w:rPr>
          <w:rFonts w:ascii="宋体" w:hAnsi="宋体"/>
          <w:color w:val="000000"/>
          <w:sz w:val="24"/>
        </w:rPr>
        <w:t>遵守以下规定：</w:t>
      </w:r>
    </w:p>
    <w:p>
      <w:pPr>
        <w:spacing w:line="312" w:lineRule="auto"/>
        <w:ind w:firstLine="480" w:firstLineChars="200"/>
        <w:rPr>
          <w:rFonts w:ascii="宋体" w:hAnsi="宋体"/>
          <w:color w:val="000000"/>
          <w:sz w:val="24"/>
        </w:rPr>
      </w:pPr>
      <w:r>
        <w:rPr>
          <w:rFonts w:ascii="宋体" w:hAnsi="宋体"/>
          <w:color w:val="000000"/>
          <w:sz w:val="24"/>
        </w:rPr>
        <w:t>（一）不准以任何理由向甲方、相关单位及其工作人员索要、接受或赠送礼、有价证券、贵重物品和回扣、好处费、感谢费等。</w:t>
      </w:r>
    </w:p>
    <w:p>
      <w:pPr>
        <w:spacing w:line="312" w:lineRule="auto"/>
        <w:ind w:firstLine="480" w:firstLineChars="200"/>
        <w:rPr>
          <w:rFonts w:ascii="宋体" w:hAnsi="宋体"/>
          <w:color w:val="000000"/>
          <w:sz w:val="24"/>
        </w:rPr>
      </w:pPr>
      <w:r>
        <w:rPr>
          <w:rFonts w:ascii="宋体" w:hAnsi="宋体"/>
          <w:color w:val="000000"/>
          <w:sz w:val="24"/>
        </w:rPr>
        <w:t>（二）不准以任何理由为甲方和相关单位报销应由对方或个人支付的费用。</w:t>
      </w:r>
    </w:p>
    <w:p>
      <w:pPr>
        <w:spacing w:line="312" w:lineRule="auto"/>
        <w:ind w:firstLine="480" w:firstLineChars="200"/>
        <w:rPr>
          <w:rFonts w:ascii="宋体" w:hAnsi="宋体"/>
          <w:color w:val="000000"/>
          <w:sz w:val="24"/>
        </w:rPr>
      </w:pPr>
      <w:r>
        <w:rPr>
          <w:rFonts w:ascii="宋体" w:hAnsi="宋体"/>
          <w:color w:val="000000"/>
          <w:sz w:val="24"/>
        </w:rPr>
        <w:t>（三）不准接受或暗示为甲方、相关单位或个人装修住房、婚丧嫁娶、配偶子女的工作安排以及出国（境）、旅游等提供方便。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（四）不准以任何理由为甲方、相关单位或个人、组织提供有可能影响公正执行公务的宴请、健身、娱乐等活动。</w:t>
      </w:r>
    </w:p>
    <w:p>
      <w:pPr>
        <w:spacing w:line="312" w:lineRule="auto"/>
        <w:ind w:firstLine="480" w:firstLineChars="200"/>
        <w:rPr>
          <w:rFonts w:ascii="宋体" w:hAnsi="宋体"/>
          <w:color w:val="000000"/>
          <w:sz w:val="24"/>
        </w:rPr>
      </w:pPr>
      <w:r>
        <w:rPr>
          <w:rFonts w:ascii="宋体" w:hAnsi="宋体"/>
          <w:color w:val="000000"/>
          <w:sz w:val="24"/>
        </w:rPr>
        <w:t>第四条  违约责任</w:t>
      </w:r>
    </w:p>
    <w:p>
      <w:pPr>
        <w:spacing w:line="312" w:lineRule="auto"/>
        <w:ind w:firstLine="480" w:firstLineChars="200"/>
        <w:rPr>
          <w:rFonts w:ascii="宋体" w:hAnsi="宋体"/>
          <w:color w:val="000000"/>
          <w:sz w:val="24"/>
        </w:rPr>
      </w:pPr>
      <w:r>
        <w:rPr>
          <w:rFonts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第五条  本责任书作为</w:t>
      </w:r>
      <w:r>
        <w:rPr>
          <w:rFonts w:hint="eastAsia" w:ascii="宋体" w:hAnsi="宋体"/>
          <w:color w:val="000000"/>
          <w:sz w:val="24"/>
        </w:rPr>
        <w:t>项目</w:t>
      </w:r>
      <w:r>
        <w:rPr>
          <w:rFonts w:ascii="宋体" w:hAnsi="宋体"/>
          <w:color w:val="000000"/>
          <w:sz w:val="24"/>
        </w:rPr>
        <w:t>合同的附件，与</w:t>
      </w:r>
      <w:r>
        <w:rPr>
          <w:rFonts w:hint="eastAsia" w:ascii="宋体" w:hAnsi="宋体"/>
          <w:color w:val="000000"/>
          <w:sz w:val="24"/>
        </w:rPr>
        <w:t>项目</w:t>
      </w:r>
      <w:r>
        <w:rPr>
          <w:rFonts w:ascii="宋体" w:hAnsi="宋体"/>
          <w:color w:val="000000"/>
          <w:sz w:val="24"/>
        </w:rPr>
        <w:t>合同具有同等法律效力。经双方签署后生效。</w:t>
      </w:r>
    </w:p>
    <w:p>
      <w:pPr>
        <w:spacing w:line="312" w:lineRule="auto"/>
        <w:ind w:firstLine="480" w:firstLineChars="200"/>
        <w:rPr>
          <w:rFonts w:ascii="宋体" w:hAnsi="宋体"/>
          <w:color w:val="000000"/>
          <w:sz w:val="24"/>
        </w:rPr>
      </w:pPr>
      <w:r>
        <w:rPr>
          <w:rFonts w:ascii="宋体" w:hAnsi="宋体"/>
          <w:color w:val="000000"/>
          <w:sz w:val="24"/>
        </w:rPr>
        <w:t>第六条  本责任书的有效期为双方签署之日至该工程项目竣工验收合格时止。</w:t>
      </w:r>
    </w:p>
    <w:p>
      <w:pPr>
        <w:spacing w:line="312" w:lineRule="auto"/>
        <w:ind w:firstLine="480" w:firstLineChars="200"/>
        <w:rPr>
          <w:rFonts w:ascii="宋体" w:hAnsi="宋体"/>
          <w:color w:val="000000"/>
          <w:sz w:val="24"/>
        </w:rPr>
      </w:pPr>
      <w:r>
        <w:rPr>
          <w:rFonts w:ascii="宋体" w:hAnsi="宋体"/>
          <w:color w:val="000000"/>
          <w:sz w:val="24"/>
        </w:rPr>
        <w:t>第七条  本责任和本</w:t>
      </w:r>
      <w:r>
        <w:rPr>
          <w:rFonts w:hint="eastAsia" w:ascii="宋体" w:hAnsi="宋体"/>
          <w:color w:val="000000"/>
          <w:sz w:val="24"/>
        </w:rPr>
        <w:t>项目</w:t>
      </w:r>
      <w:r>
        <w:rPr>
          <w:rFonts w:ascii="宋体" w:hAnsi="宋体"/>
          <w:color w:val="000000"/>
          <w:sz w:val="24"/>
        </w:rPr>
        <w:t>合同同时使用，由双方法定代表人或其授权的代理人签署与加盖公章后生效，</w:t>
      </w:r>
      <w:r>
        <w:rPr>
          <w:rFonts w:hint="eastAsia" w:ascii="宋体" w:hAnsi="宋体"/>
          <w:color w:val="000000"/>
          <w:sz w:val="24"/>
        </w:rPr>
        <w:t>项目完成</w:t>
      </w:r>
      <w:r>
        <w:rPr>
          <w:rFonts w:ascii="宋体" w:hAnsi="宋体"/>
          <w:color w:val="000000"/>
          <w:sz w:val="24"/>
        </w:rPr>
        <w:t>验收后失效。</w:t>
      </w:r>
    </w:p>
    <w:p>
      <w:pPr>
        <w:spacing w:line="312" w:lineRule="auto"/>
        <w:ind w:firstLine="480" w:firstLineChars="200"/>
        <w:rPr>
          <w:rFonts w:ascii="宋体" w:hAnsi="宋体"/>
          <w:color w:val="000000"/>
          <w:sz w:val="24"/>
        </w:rPr>
      </w:pPr>
    </w:p>
    <w:p>
      <w:pPr>
        <w:pStyle w:val="195"/>
        <w:autoSpaceDE/>
        <w:autoSpaceDN/>
        <w:adjustRightInd/>
        <w:spacing w:line="312" w:lineRule="auto"/>
        <w:jc w:val="both"/>
        <w:rPr>
          <w:rFonts w:hAnsi="宋体" w:cs="Times New Roman"/>
          <w:color w:val="000000"/>
        </w:rPr>
      </w:pPr>
      <w:r>
        <w:rPr>
          <w:rFonts w:hAnsi="宋体" w:cs="Times New Roman"/>
          <w:color w:val="000000"/>
        </w:rPr>
        <w:t>发包人：</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服务</w:t>
      </w:r>
      <w:r>
        <w:rPr>
          <w:rFonts w:hAnsi="宋体" w:cs="Times New Roman"/>
          <w:color w:val="000000"/>
        </w:rPr>
        <w:t>人：</w:t>
      </w:r>
      <w:r>
        <w:rPr>
          <w:rFonts w:hAnsi="宋体" w:cs="Times New Roman"/>
          <w:color w:val="000000"/>
          <w:u w:val="single"/>
        </w:rPr>
        <w:t xml:space="preserve">    （盖单位公章）   </w:t>
      </w:r>
    </w:p>
    <w:p>
      <w:pPr>
        <w:pStyle w:val="195"/>
        <w:autoSpaceDE/>
        <w:autoSpaceDN/>
        <w:adjustRightInd/>
        <w:spacing w:line="312" w:lineRule="auto"/>
        <w:jc w:val="both"/>
        <w:rPr>
          <w:rFonts w:hAnsi="宋体" w:cs="Times New Roman"/>
          <w:color w:val="000000"/>
        </w:rPr>
      </w:pPr>
    </w:p>
    <w:p>
      <w:pPr>
        <w:pStyle w:val="195"/>
        <w:autoSpaceDE/>
        <w:autoSpaceDN/>
        <w:adjustRightInd/>
        <w:spacing w:line="312" w:lineRule="auto"/>
        <w:jc w:val="both"/>
        <w:rPr>
          <w:rFonts w:hAnsi="宋体" w:cs="Times New Roman"/>
          <w:color w:val="000000"/>
        </w:rPr>
      </w:pPr>
    </w:p>
    <w:p>
      <w:pPr>
        <w:pStyle w:val="195"/>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15"/>
      <w:r>
        <w:rPr>
          <w:rFonts w:hAnsi="宋体" w:cs="Times New Roman"/>
          <w:color w:val="000000"/>
          <w:u w:val="single"/>
        </w:rPr>
        <w:t xml:space="preserve">  </w:t>
      </w:r>
    </w:p>
    <w:p>
      <w:pPr>
        <w:pStyle w:val="195"/>
        <w:autoSpaceDE/>
        <w:autoSpaceDN/>
        <w:adjustRightInd/>
        <w:spacing w:line="312" w:lineRule="auto"/>
        <w:ind w:firstLine="480" w:firstLineChars="200"/>
        <w:jc w:val="both"/>
        <w:rPr>
          <w:rFonts w:hAnsi="宋体" w:cs="Times New Roman"/>
          <w:color w:val="000000"/>
        </w:rPr>
      </w:pPr>
    </w:p>
    <w:p>
      <w:pPr>
        <w:pStyle w:val="41"/>
        <w:rPr>
          <w:rFonts w:ascii="黑体" w:hAnsi="黑体" w:eastAsia="黑体" w:cs="仿宋"/>
          <w:b/>
          <w:color w:val="000000"/>
          <w:sz w:val="36"/>
          <w:szCs w:val="36"/>
        </w:rPr>
      </w:pPr>
    </w:p>
    <w:p>
      <w:pPr>
        <w:pStyle w:val="2"/>
        <w:rPr>
          <w:color w:val="000000"/>
          <w:sz w:val="24"/>
        </w:rPr>
      </w:pPr>
      <w:r>
        <w:rPr>
          <w:rFonts w:hint="eastAsia" w:ascii="Times New Roman"/>
        </w:rPr>
        <w:t>附件二：安全协议</w:t>
      </w:r>
    </w:p>
    <w:p>
      <w:pPr>
        <w:pStyle w:val="4"/>
        <w:jc w:val="center"/>
        <w:rPr>
          <w:rFonts w:ascii="黑体" w:hAnsi="黑体" w:eastAsia="黑体" w:cs="黑体"/>
          <w:sz w:val="40"/>
          <w:szCs w:val="40"/>
        </w:rPr>
      </w:pPr>
      <w:r>
        <w:rPr>
          <w:rFonts w:hint="eastAsia" w:ascii="黑体" w:hAnsi="黑体" w:eastAsia="黑体" w:cs="黑体"/>
          <w:sz w:val="40"/>
          <w:szCs w:val="40"/>
        </w:rPr>
        <w:t>安全协议</w:t>
      </w:r>
    </w:p>
    <w:p>
      <w:pPr>
        <w:adjustRightInd w:val="0"/>
        <w:spacing w:line="360" w:lineRule="auto"/>
        <w:ind w:firstLine="480" w:firstLineChars="200"/>
        <w:textAlignment w:val="baseline"/>
        <w:rPr>
          <w:rFonts w:ascii="宋体" w:hAnsi="宋体" w:cs="宋体"/>
          <w:kern w:val="0"/>
          <w:sz w:val="24"/>
          <w:u w:val="single"/>
        </w:rPr>
      </w:pPr>
      <w:r>
        <w:rPr>
          <w:rFonts w:hint="eastAsia" w:ascii="宋体" w:hAnsi="宋体" w:cs="宋体"/>
          <w:kern w:val="0"/>
          <w:sz w:val="24"/>
        </w:rPr>
        <w:t>甲方（发包方）：</w:t>
      </w:r>
      <w:r>
        <w:rPr>
          <w:rFonts w:hint="eastAsia" w:ascii="宋体" w:hAnsi="宋体" w:cs="宋体"/>
          <w:kern w:val="0"/>
          <w:sz w:val="24"/>
          <w:u w:val="single"/>
        </w:rPr>
        <w:t xml:space="preserve"> </w:t>
      </w:r>
      <w:r>
        <w:rPr>
          <w:rFonts w:hint="eastAsia"/>
          <w:color w:val="000000"/>
          <w:sz w:val="24"/>
          <w:u w:val="single"/>
          <w:lang w:val="en-US" w:eastAsia="zh-CN"/>
        </w:rPr>
        <w:t>岳阳道仁矶港物流有限公司</w:t>
      </w:r>
      <w:r>
        <w:rPr>
          <w:rFonts w:hint="eastAsia" w:ascii="宋体" w:hAnsi="宋体" w:cs="宋体"/>
          <w:kern w:val="0"/>
          <w:sz w:val="24"/>
          <w:u w:val="single"/>
        </w:rPr>
        <w:t xml:space="preserve">   </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乙方（承包方）：</w:t>
      </w:r>
      <w:r>
        <w:rPr>
          <w:rFonts w:hint="eastAsia" w:ascii="宋体" w:hAnsi="宋体" w:cs="宋体"/>
          <w:kern w:val="0"/>
          <w:sz w:val="24"/>
          <w:u w:val="single"/>
        </w:rPr>
        <w:t xml:space="preserve">                     </w:t>
      </w:r>
      <w:r>
        <w:rPr>
          <w:rFonts w:ascii="宋体" w:hAnsi="宋体"/>
          <w:bCs/>
          <w:sz w:val="24"/>
          <w:u w:val="single"/>
        </w:rPr>
        <w:t xml:space="preserve">    </w:t>
      </w:r>
      <w:r>
        <w:rPr>
          <w:rFonts w:hint="eastAsia" w:ascii="宋体" w:hAnsi="宋体" w:cs="宋体"/>
          <w:bCs/>
          <w:kern w:val="0"/>
          <w:sz w:val="24"/>
          <w:u w:val="single"/>
        </w:rPr>
        <w:t xml:space="preserve">  </w:t>
      </w:r>
      <w:r>
        <w:rPr>
          <w:rFonts w:hint="eastAsia" w:ascii="宋体" w:hAnsi="宋体" w:cs="宋体"/>
          <w:kern w:val="0"/>
          <w:sz w:val="24"/>
        </w:rPr>
        <w:t xml:space="preserve"> </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为了切实做好安全生产工作，依据《中华人民共和国安全生产法》、《中华人民共和国民法典》以及国家有关安全生产管理的法律、法规、标准，按照“安全第一、预防为主、综合治理”的原则，明确甲乙双方责任，就甲乙双方在本项目中的安全生 产事项，经协商一致，签订本合同。</w:t>
      </w:r>
    </w:p>
    <w:p>
      <w:pPr>
        <w:adjustRightInd w:val="0"/>
        <w:spacing w:line="360" w:lineRule="auto"/>
        <w:ind w:firstLine="480" w:firstLineChars="200"/>
        <w:textAlignment w:val="baseline"/>
        <w:rPr>
          <w:rFonts w:hint="default" w:ascii="宋体" w:hAnsi="宋体" w:eastAsia="宋体" w:cs="宋体"/>
          <w:kern w:val="0"/>
          <w:sz w:val="24"/>
          <w:u w:val="single"/>
          <w:lang w:val="en-US" w:eastAsia="zh-CN"/>
        </w:rPr>
      </w:pPr>
      <w:r>
        <w:rPr>
          <w:rFonts w:hint="eastAsia" w:ascii="宋体" w:hAnsi="宋体" w:cs="宋体"/>
          <w:kern w:val="0"/>
          <w:sz w:val="24"/>
        </w:rPr>
        <w:t xml:space="preserve">项目名称：  </w:t>
      </w:r>
      <w:r>
        <w:rPr>
          <w:rFonts w:hint="eastAsia"/>
          <w:color w:val="000000"/>
          <w:sz w:val="24"/>
          <w:u w:val="single"/>
          <w:lang w:val="en-US" w:eastAsia="zh-CN"/>
        </w:rPr>
        <w:t>岳阳港道仁矶码头工程环保监测技术服务</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第二条　本合同内容只涉及甲乙双方在本项目中关于安全生产的权利和责任。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第三条　甲方的权利：</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（一）有权要求乙方建立安全组织机构或指定专人，负责现场安全监护。严格执行安全生产法律、法规、条例、标准，遵守甲方的安全生产规章制度等。</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（二）有权按规定对乙方安全业绩、资质进行审查，对乙方针对作业项目制定的职业健康安全、环境项目进行审查。</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（三）有权要求乙方维护好相关的甲方的安全生产设施、设备和器材。</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（四）有权要求乙方对进入甲方现场作业前所有作业人员进行安全培训与教育。</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（五）有权对乙方的作业现场的安全作业情况进行监督检查，有权对乙方不符合安全生产要求的行为进行纠正、处罚、制止、停止作业、直至清退出场。</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（六）有权要求乙方对其所有作业人员进行购买工伤保险和意外伤害保险。</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发生事故后、有权根据有关规定参与事故的调查。</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第四条　甲方的责任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（一）认真贯彻落实国家有关法律、法规、标准及甲方公司安全生产规章制度。</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（二）向乙方明确作业区的范围、危险源。</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（三）为乙方提供项目合同中规定的安全作业条件。</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（四）发生事故后积极协助抢险，防止事故扩大，并按照甲方公司有关规定进行报告。</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第五条　乙方的权利</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（一）有权对甲方的安全工作提出合理化建议和改进意见。</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（二）日常作业中，若甲方违章指挥、强令乙方冒险作业，有权拒绝执行。</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（三）有权要求甲方提供符合安全作业的工艺条件和环境。</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（四）发生严重危及乙方生命安全的紧急情况时，乙方有权采取必要的避险措施。</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第六条　乙方的责任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一）乙方是本项目的安全生产责任主体，对本项目的安全生产工作全面负责。乙方应根据国家法律法规及行业安全规范，加强安全管理，如乙方在实施本项目过程中造成甲方、乙方或第三方人员、财产损害的，由乙方承担全部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（二）健全安全组织机构，建立安全生产责任制，制定健全的安全生产规章制度，制定生产安全事故应急求援预案，配备必要的安全生产管理人员和劳动保护用品，严格执行甲方相关的规章制度。</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（三）应对作业人员进行作业前安全教育培训，使其具备相应的安全意识和安全技能。</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（四）不得使用不符合国家、行业标准和甲方规定的原材料、设备、装置、防护用品、器材、安全检测仪器等。</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（五）指定专人负责现场安全监督检查工作，认真开展安全检查，发现作业过程中不安全行为和隐患、应采取有效措施积极处理。</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（六）乙方有责任对作业区域的安全生产条件进行详细了解。</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（七）乙方在作业过程中有属于危及安全生产的关键作业时，应提出切实可行的方案，经甲方同意后，方可实施。</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（八）乙方不能将项目转包给第三方。</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（九）乙方在施工期间只能在甲方规定的路线进出公司，只能在规定的施工区域内作业，禁止私自进入甲方其它生产区域。</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（十）乙方应服从甲方单位的安全管理。</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（十一）发生事故时，应积极抢险，避免事故的进一步扩大，并按照国家相关要求报告事故。</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十二）当乙方在施工过程中发生伤亡事故时，乙方作为工程项目的承包单位，对发生的人身伤害、设备损坏事故及其他安全事故承担全部安全责任。由乙方向自己的主管上级部门及当地政府的安全生产监督管理部门、公安部门报告，并自行承担相应的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第七条  违约责任及处理</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（一）甲乙双方违反本合同要求，未造成事故时，依据相关合同对违约者进行处理（包括但不限于支付违约金、赔偿损失等）。</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（二）发生事故时，甲、乙双方有抢险、救灾的责任，所发生的费用由责任方承担。</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 xml:space="preserve">（三）发生的事故，应经事故调查确认责任；事故报告和调查应按照国家和甲方有关规定进行。           </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（四）甲方违约造成的事故，甲方承担全部责任，并按规定追究有关人员责任及上报。</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（五）乙方违约造成的事故，乙方承担全部责任，并按规定追究有关人员责任并报告甲方；由于乙方工程质量、检修质量及购买的原材料导致的事故，由乙方承担全部责任。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（六）甲、乙双方共同造成的事故，按双方责任大小承担相应责任，并按规定追究有关人员责任。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（七）对乙方发生事故后弄虚作假、隐瞒不报、迟报或谎报，一经查出，按有关规定从重处罚，情节严重的，甲方有权向当地政府安全生产监督管理部门报告，并取消其进入甲方市场资格。</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（八）施工期间，需要办理的有关安全的批文或其它手续，乙方必须办理齐全，否则发生安全事故由乙方承担全部责任。</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第八条　由于不可抗力造成合同项目施工作业事故及生产的损失，当事人双方各自承担相应的损失。</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第九条　甲乙双方的施工作业人员和机具设备的保险，由甲乙双方依据国家相关规定或约定各自承担。</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第十条  本合同履行过程中发生争议纠纷，应通过友好协商方式解决，如协商不成，按双方在项目合同中约定的管辖地和纠纷解决的方式执行。</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第十一条　本合同是项目经济合同的附件，与项目经济合同具有同等法律效力。本合同与项目经济合同同时生效、终止。</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第十二条  乙方施工期间指定现场安全监护人员，并书面告知甲方。</w:t>
      </w:r>
    </w:p>
    <w:p>
      <w:pPr>
        <w:adjustRightInd w:val="0"/>
        <w:spacing w:line="360" w:lineRule="auto"/>
        <w:ind w:firstLine="480" w:firstLineChars="200"/>
        <w:textAlignment w:val="baseline"/>
        <w:rPr>
          <w:rFonts w:ascii="宋体" w:hAnsi="宋体" w:cs="宋体"/>
          <w:spacing w:val="20"/>
          <w:w w:val="90"/>
          <w:sz w:val="24"/>
        </w:rPr>
      </w:pPr>
      <w:r>
        <w:rPr>
          <w:rFonts w:hint="eastAsia" w:ascii="宋体" w:hAnsi="宋体" w:cs="宋体"/>
          <w:kern w:val="0"/>
          <w:sz w:val="24"/>
        </w:rPr>
        <w:t>第十三条　本合同经双方签字或盖章后生效。本合同壹式肆份，双方各持贰份。</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 xml:space="preserve">甲方（盖章）：               </w:t>
      </w:r>
      <w:r>
        <w:rPr>
          <w:rFonts w:hint="eastAsia" w:cs="宋体"/>
          <w:kern w:val="0"/>
          <w:sz w:val="24"/>
        </w:rPr>
        <w:t xml:space="preserve">    </w:t>
      </w:r>
      <w:r>
        <w:rPr>
          <w:rFonts w:hint="eastAsia" w:ascii="宋体" w:hAnsi="宋体" w:cs="宋体"/>
          <w:kern w:val="0"/>
          <w:sz w:val="24"/>
        </w:rPr>
        <w:t xml:space="preserve"> 乙方（盖章）： </w:t>
      </w:r>
    </w:p>
    <w:p>
      <w:pPr>
        <w:adjustRightInd w:val="0"/>
        <w:spacing w:line="360" w:lineRule="auto"/>
        <w:ind w:firstLine="480" w:firstLineChars="200"/>
        <w:textAlignment w:val="baseline"/>
        <w:rPr>
          <w:rFonts w:ascii="宋体" w:hAnsi="宋体" w:cs="宋体"/>
          <w:kern w:val="0"/>
          <w:sz w:val="24"/>
        </w:rPr>
      </w:pPr>
    </w:p>
    <w:p>
      <w:pPr>
        <w:adjustRightInd w:val="0"/>
        <w:spacing w:line="360" w:lineRule="auto"/>
        <w:ind w:firstLine="480" w:firstLineChars="200"/>
        <w:textAlignment w:val="baseline"/>
        <w:rPr>
          <w:rFonts w:ascii="宋体" w:hAnsi="宋体" w:cs="宋体"/>
          <w:kern w:val="0"/>
          <w:sz w:val="24"/>
        </w:rPr>
      </w:pP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 xml:space="preserve">甲方法定代表人：              </w:t>
      </w:r>
      <w:r>
        <w:rPr>
          <w:rFonts w:hint="eastAsia" w:cs="宋体"/>
          <w:kern w:val="0"/>
          <w:sz w:val="24"/>
        </w:rPr>
        <w:t xml:space="preserve">    </w:t>
      </w:r>
      <w:r>
        <w:rPr>
          <w:rFonts w:hint="eastAsia" w:ascii="宋体" w:hAnsi="宋体" w:cs="宋体"/>
          <w:kern w:val="0"/>
          <w:sz w:val="24"/>
        </w:rPr>
        <w:t>乙方法定代表人：</w:t>
      </w:r>
    </w:p>
    <w:p>
      <w:pPr>
        <w:adjustRightInd w:val="0"/>
        <w:spacing w:line="360" w:lineRule="auto"/>
        <w:ind w:firstLine="480" w:firstLineChars="200"/>
        <w:textAlignment w:val="baseline"/>
        <w:rPr>
          <w:rFonts w:ascii="宋体" w:hAnsi="宋体" w:cs="宋体"/>
          <w:kern w:val="0"/>
          <w:sz w:val="24"/>
        </w:rPr>
      </w:pPr>
      <w:r>
        <w:rPr>
          <w:rFonts w:hint="eastAsia" w:ascii="宋体" w:hAnsi="宋体" w:cs="宋体"/>
          <w:kern w:val="0"/>
          <w:sz w:val="24"/>
        </w:rPr>
        <w:t xml:space="preserve">或其委托代理人 ：             </w:t>
      </w:r>
      <w:r>
        <w:rPr>
          <w:rFonts w:hint="eastAsia" w:cs="宋体"/>
          <w:kern w:val="0"/>
          <w:sz w:val="24"/>
        </w:rPr>
        <w:t xml:space="preserve">    </w:t>
      </w:r>
      <w:r>
        <w:rPr>
          <w:rFonts w:hint="eastAsia" w:ascii="宋体" w:hAnsi="宋体" w:cs="宋体"/>
          <w:kern w:val="0"/>
          <w:sz w:val="24"/>
        </w:rPr>
        <w:t xml:space="preserve">或其委托代理人 ：          </w:t>
      </w:r>
    </w:p>
    <w:p>
      <w:pPr>
        <w:adjustRightInd w:val="0"/>
        <w:spacing w:line="360" w:lineRule="auto"/>
        <w:ind w:firstLine="480" w:firstLineChars="200"/>
        <w:textAlignment w:val="baseline"/>
        <w:rPr>
          <w:rFonts w:ascii="宋体" w:hAnsi="宋体" w:cs="宋体"/>
          <w:kern w:val="0"/>
          <w:sz w:val="24"/>
        </w:rPr>
      </w:pPr>
    </w:p>
    <w:p>
      <w:pPr>
        <w:adjustRightInd w:val="0"/>
        <w:spacing w:line="360" w:lineRule="auto"/>
        <w:ind w:firstLine="480" w:firstLineChars="200"/>
        <w:textAlignment w:val="baseline"/>
      </w:pPr>
      <w:r>
        <w:rPr>
          <w:rFonts w:hint="eastAsia" w:ascii="宋体" w:hAnsi="宋体" w:cs="宋体"/>
          <w:kern w:val="0"/>
          <w:sz w:val="24"/>
        </w:rPr>
        <w:t xml:space="preserve">会签地址：湖南岳阳市           </w:t>
      </w:r>
      <w:r>
        <w:rPr>
          <w:rFonts w:hint="eastAsia" w:cs="宋体"/>
          <w:kern w:val="0"/>
          <w:sz w:val="24"/>
        </w:rPr>
        <w:t xml:space="preserve">   </w:t>
      </w:r>
      <w:r>
        <w:rPr>
          <w:rFonts w:hint="eastAsia" w:ascii="宋体" w:hAnsi="宋体" w:cs="宋体"/>
          <w:kern w:val="0"/>
          <w:sz w:val="24"/>
        </w:rPr>
        <w:t>日期：202</w:t>
      </w:r>
      <w:r>
        <w:rPr>
          <w:rFonts w:hint="eastAsia" w:ascii="宋体" w:hAnsi="宋体" w:cs="宋体"/>
          <w:kern w:val="0"/>
          <w:sz w:val="24"/>
          <w:lang w:val="en-US" w:eastAsia="zh-CN"/>
        </w:rPr>
        <w:t>4</w:t>
      </w:r>
      <w:r>
        <w:rPr>
          <w:rFonts w:hint="eastAsia" w:ascii="宋体" w:hAnsi="宋体" w:cs="宋体"/>
          <w:kern w:val="0"/>
          <w:sz w:val="24"/>
        </w:rPr>
        <w:t xml:space="preserve">年   月   </w:t>
      </w:r>
      <w:r>
        <w:rPr>
          <w:rFonts w:hint="eastAsia" w:cs="宋体"/>
          <w:kern w:val="0"/>
          <w:sz w:val="24"/>
        </w:rPr>
        <w:t xml:space="preserve"> 日</w:t>
      </w:r>
    </w:p>
    <w:p>
      <w:pPr>
        <w:tabs>
          <w:tab w:val="left" w:pos="4860"/>
        </w:tabs>
        <w:spacing w:line="500" w:lineRule="exact"/>
        <w:rPr>
          <w:color w:val="000000"/>
          <w:sz w:val="24"/>
        </w:rPr>
      </w:pPr>
      <w:r>
        <w:rPr>
          <w:rFonts w:hint="eastAsia"/>
          <w:color w:val="000000"/>
          <w:sz w:val="24"/>
        </w:rPr>
        <w:t xml:space="preserve">                                         </w:t>
      </w:r>
    </w:p>
    <w:p>
      <w:pPr>
        <w:spacing w:line="312" w:lineRule="auto"/>
        <w:ind w:firstLine="544" w:firstLineChars="227"/>
        <w:jc w:val="both"/>
        <w:rPr>
          <w:rFonts w:cs="仿宋" w:asciiTheme="minorEastAsia" w:hAnsiTheme="minorEastAsia" w:eastAsiaTheme="minorEastAsia"/>
          <w:sz w:val="24"/>
        </w:rPr>
      </w:pPr>
    </w:p>
    <w:p>
      <w:pPr>
        <w:spacing w:line="600" w:lineRule="exact"/>
        <w:jc w:val="center"/>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yellow"/>
        </w:rPr>
      </w:pPr>
    </w:p>
    <w:p>
      <w:pPr>
        <w:pStyle w:val="2"/>
      </w:pPr>
    </w:p>
    <w:p>
      <w:pPr>
        <w:spacing w:line="600" w:lineRule="exact"/>
        <w:jc w:val="center"/>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yellow"/>
        </w:rPr>
      </w:pPr>
    </w:p>
    <w:p>
      <w:pPr>
        <w:spacing w:line="600" w:lineRule="exact"/>
        <w:jc w:val="both"/>
        <w:rPr>
          <w:rFonts w:ascii="黑体" w:hAnsi="黑体" w:eastAsia="黑体" w:cs="仿宋"/>
          <w:b/>
          <w:color w:val="000000"/>
          <w:sz w:val="36"/>
          <w:szCs w:val="36"/>
          <w:highlight w:val="yellow"/>
        </w:rPr>
      </w:pPr>
    </w:p>
    <w:p>
      <w:pPr>
        <w:spacing w:line="600" w:lineRule="exact"/>
        <w:jc w:val="center"/>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第五章  采购需求</w:t>
      </w:r>
    </w:p>
    <w:p>
      <w:pPr>
        <w:adjustRightInd w:val="0"/>
        <w:snapToGrid w:val="0"/>
        <w:spacing w:line="312" w:lineRule="auto"/>
        <w:rPr>
          <w:rFonts w:ascii="宋体" w:hAnsi="宋体"/>
          <w:b/>
          <w:sz w:val="24"/>
          <w:highlight w:val="none"/>
        </w:rPr>
      </w:pPr>
      <w:r>
        <w:rPr>
          <w:rFonts w:hint="eastAsia" w:ascii="宋体" w:hAnsi="宋体"/>
          <w:b/>
          <w:sz w:val="24"/>
          <w:highlight w:val="none"/>
        </w:rPr>
        <w:t xml:space="preserve"> </w:t>
      </w:r>
    </w:p>
    <w:p>
      <w:pPr>
        <w:ind w:firstLine="562" w:firstLineChars="200"/>
        <w:rPr>
          <w:rFonts w:ascii="宋体" w:hAnsi="宋体" w:cs="宋体"/>
          <w:b/>
          <w:bCs/>
          <w:sz w:val="28"/>
          <w:szCs w:val="28"/>
          <w:highlight w:val="none"/>
        </w:rPr>
      </w:pPr>
      <w:r>
        <w:rPr>
          <w:rFonts w:hint="eastAsia" w:ascii="宋体" w:hAnsi="宋体" w:cs="宋体"/>
          <w:b/>
          <w:bCs/>
          <w:sz w:val="28"/>
          <w:szCs w:val="28"/>
          <w:highlight w:val="none"/>
        </w:rPr>
        <w:t>一、工程名称</w:t>
      </w:r>
    </w:p>
    <w:p>
      <w:pPr>
        <w:ind w:firstLine="480" w:firstLineChars="200"/>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岳阳港道仁矶码头工程环保监测技术服务</w:t>
      </w:r>
    </w:p>
    <w:p>
      <w:pPr>
        <w:ind w:firstLine="562" w:firstLineChars="200"/>
        <w:rPr>
          <w:rFonts w:ascii="宋体" w:hAnsi="宋体" w:cs="宋体"/>
          <w:b/>
          <w:sz w:val="28"/>
          <w:szCs w:val="28"/>
          <w:highlight w:val="none"/>
        </w:rPr>
      </w:pPr>
      <w:r>
        <w:rPr>
          <w:rFonts w:hint="eastAsia" w:ascii="宋体" w:hAnsi="宋体" w:cs="宋体"/>
          <w:b/>
          <w:sz w:val="28"/>
          <w:szCs w:val="28"/>
          <w:highlight w:val="none"/>
        </w:rPr>
        <w:t>二、工程地点</w:t>
      </w:r>
    </w:p>
    <w:p>
      <w:pPr>
        <w:autoSpaceDE w:val="0"/>
        <w:spacing w:line="400" w:lineRule="exact"/>
        <w:ind w:firstLine="480" w:firstLineChars="200"/>
        <w:rPr>
          <w:rFonts w:hint="eastAsia" w:eastAsia="宋体"/>
          <w:color w:val="auto"/>
          <w:sz w:val="24"/>
          <w:lang w:val="en-US" w:eastAsia="zh-CN"/>
        </w:rPr>
      </w:pPr>
      <w:r>
        <w:rPr>
          <w:rFonts w:hint="eastAsia" w:eastAsia="宋体"/>
          <w:color w:val="auto"/>
          <w:sz w:val="24"/>
          <w:lang w:val="en-US" w:eastAsia="zh-CN"/>
        </w:rPr>
        <w:t>岳阳市云溪区道仁矶镇。</w:t>
      </w:r>
    </w:p>
    <w:p>
      <w:pPr>
        <w:numPr>
          <w:ilvl w:val="0"/>
          <w:numId w:val="0"/>
        </w:numPr>
        <w:spacing w:line="520" w:lineRule="exact"/>
        <w:ind w:firstLine="562" w:firstLineChars="200"/>
        <w:rPr>
          <w:rFonts w:ascii="宋体" w:hAnsi="宋体" w:cs="宋体"/>
          <w:b/>
          <w:bCs/>
          <w:sz w:val="28"/>
          <w:szCs w:val="28"/>
          <w:highlight w:val="none"/>
        </w:rPr>
      </w:pPr>
      <w:r>
        <w:rPr>
          <w:rFonts w:hint="eastAsia" w:ascii="宋体" w:hAnsi="宋体" w:cs="宋体"/>
          <w:b/>
          <w:bCs/>
          <w:sz w:val="28"/>
          <w:szCs w:val="28"/>
          <w:highlight w:val="none"/>
          <w:lang w:val="en-US" w:eastAsia="zh-CN"/>
        </w:rPr>
        <w:t>三、要求</w:t>
      </w:r>
      <w:r>
        <w:rPr>
          <w:rFonts w:hint="eastAsia" w:ascii="宋体" w:hAnsi="宋体" w:cs="宋体"/>
          <w:b/>
          <w:bCs/>
          <w:sz w:val="28"/>
          <w:szCs w:val="28"/>
          <w:highlight w:val="none"/>
        </w:rPr>
        <w:t>如下：</w:t>
      </w:r>
    </w:p>
    <w:p>
      <w:pPr>
        <w:spacing w:line="560" w:lineRule="exact"/>
        <w:jc w:val="center"/>
        <w:rPr>
          <w:rFonts w:hint="default" w:ascii="Times New Roman" w:hAnsi="Times New Roman" w:cs="Times New Roman"/>
          <w:b/>
          <w:color w:val="000000"/>
          <w:spacing w:val="-4"/>
          <w:sz w:val="28"/>
          <w:szCs w:val="28"/>
        </w:rPr>
      </w:pPr>
      <w:r>
        <w:rPr>
          <w:rFonts w:hint="default" w:ascii="Times New Roman" w:hAnsi="Times New Roman" w:cs="Times New Roman"/>
          <w:b/>
          <w:color w:val="000000"/>
          <w:spacing w:val="-4"/>
          <w:sz w:val="28"/>
          <w:szCs w:val="28"/>
        </w:rPr>
        <w:t xml:space="preserve"> 废气监测工作内容</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945"/>
        <w:gridCol w:w="1890"/>
        <w:gridCol w:w="1441"/>
        <w:gridCol w:w="241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Align w:val="center"/>
          </w:tcPr>
          <w:p>
            <w:pPr>
              <w:spacing w:line="400" w:lineRule="exact"/>
              <w:jc w:val="center"/>
              <w:rPr>
                <w:rFonts w:hint="default" w:ascii="Times New Roman" w:hAnsi="Times New Roman" w:cs="Times New Roman"/>
                <w:b/>
                <w:spacing w:val="-4"/>
                <w:szCs w:val="21"/>
              </w:rPr>
            </w:pPr>
            <w:r>
              <w:rPr>
                <w:rFonts w:hint="default" w:ascii="Times New Roman" w:hAnsi="Times New Roman" w:cs="Times New Roman"/>
                <w:b/>
                <w:spacing w:val="-4"/>
                <w:szCs w:val="21"/>
              </w:rPr>
              <w:t>监测方式</w:t>
            </w:r>
          </w:p>
        </w:tc>
        <w:tc>
          <w:tcPr>
            <w:tcW w:w="474" w:type="pct"/>
            <w:vAlign w:val="center"/>
          </w:tcPr>
          <w:p>
            <w:pPr>
              <w:spacing w:line="400" w:lineRule="exact"/>
              <w:jc w:val="center"/>
              <w:rPr>
                <w:rFonts w:hint="default" w:ascii="Times New Roman" w:hAnsi="Times New Roman" w:cs="Times New Roman"/>
                <w:b/>
                <w:spacing w:val="-4"/>
                <w:szCs w:val="21"/>
              </w:rPr>
            </w:pPr>
            <w:r>
              <w:rPr>
                <w:rFonts w:hint="default" w:ascii="Times New Roman" w:hAnsi="Times New Roman" w:cs="Times New Roman"/>
                <w:b/>
                <w:spacing w:val="-4"/>
                <w:szCs w:val="21"/>
              </w:rPr>
              <w:t>类别</w:t>
            </w:r>
          </w:p>
        </w:tc>
        <w:tc>
          <w:tcPr>
            <w:tcW w:w="948" w:type="pct"/>
            <w:vAlign w:val="center"/>
          </w:tcPr>
          <w:p>
            <w:pPr>
              <w:spacing w:line="400" w:lineRule="exact"/>
              <w:jc w:val="center"/>
              <w:rPr>
                <w:rFonts w:hint="default" w:ascii="Times New Roman" w:hAnsi="Times New Roman" w:cs="Times New Roman"/>
                <w:b/>
                <w:spacing w:val="-4"/>
                <w:szCs w:val="21"/>
              </w:rPr>
            </w:pPr>
            <w:r>
              <w:rPr>
                <w:rFonts w:hint="default" w:ascii="Times New Roman" w:hAnsi="Times New Roman" w:cs="Times New Roman"/>
                <w:b/>
                <w:spacing w:val="-4"/>
                <w:szCs w:val="21"/>
              </w:rPr>
              <w:t>监测点位</w:t>
            </w:r>
          </w:p>
        </w:tc>
        <w:tc>
          <w:tcPr>
            <w:tcW w:w="723" w:type="pct"/>
            <w:vAlign w:val="center"/>
          </w:tcPr>
          <w:p>
            <w:pPr>
              <w:spacing w:line="400" w:lineRule="exact"/>
              <w:jc w:val="center"/>
              <w:rPr>
                <w:rFonts w:hint="default" w:ascii="Times New Roman" w:hAnsi="Times New Roman" w:cs="Times New Roman"/>
                <w:b/>
                <w:spacing w:val="-4"/>
                <w:szCs w:val="21"/>
              </w:rPr>
            </w:pPr>
            <w:r>
              <w:rPr>
                <w:rFonts w:hint="default" w:ascii="Times New Roman" w:hAnsi="Times New Roman" w:cs="Times New Roman"/>
                <w:b/>
                <w:spacing w:val="-4"/>
                <w:szCs w:val="21"/>
              </w:rPr>
              <w:t>监测项目</w:t>
            </w:r>
          </w:p>
        </w:tc>
        <w:tc>
          <w:tcPr>
            <w:tcW w:w="1212" w:type="pct"/>
            <w:vAlign w:val="center"/>
          </w:tcPr>
          <w:p>
            <w:pPr>
              <w:spacing w:line="400" w:lineRule="exact"/>
              <w:jc w:val="center"/>
              <w:rPr>
                <w:rFonts w:hint="default" w:ascii="Times New Roman" w:hAnsi="Times New Roman" w:cs="Times New Roman"/>
                <w:b/>
                <w:spacing w:val="-4"/>
                <w:szCs w:val="21"/>
              </w:rPr>
            </w:pPr>
            <w:bookmarkStart w:id="16" w:name="OLE_LINK65"/>
            <w:bookmarkStart w:id="17" w:name="OLE_LINK64"/>
            <w:r>
              <w:rPr>
                <w:rFonts w:hint="default" w:ascii="Times New Roman" w:hAnsi="Times New Roman" w:cs="Times New Roman"/>
                <w:b/>
                <w:spacing w:val="-4"/>
                <w:szCs w:val="21"/>
              </w:rPr>
              <w:t>手工监测采样方法及个数</w:t>
            </w:r>
            <w:bookmarkEnd w:id="16"/>
            <w:bookmarkEnd w:id="17"/>
          </w:p>
        </w:tc>
        <w:tc>
          <w:tcPr>
            <w:tcW w:w="835" w:type="pct"/>
            <w:vAlign w:val="center"/>
          </w:tcPr>
          <w:p>
            <w:pPr>
              <w:spacing w:line="400" w:lineRule="exact"/>
              <w:jc w:val="center"/>
              <w:rPr>
                <w:rFonts w:hint="default" w:ascii="Times New Roman" w:hAnsi="Times New Roman" w:cs="Times New Roman"/>
                <w:b/>
                <w:spacing w:val="-4"/>
                <w:szCs w:val="21"/>
              </w:rPr>
            </w:pPr>
            <w:r>
              <w:rPr>
                <w:rFonts w:hint="default" w:ascii="Times New Roman" w:hAnsi="Times New Roman" w:cs="Times New Roman"/>
                <w:b/>
                <w:spacing w:val="-4"/>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5" w:type="pct"/>
            <w:vMerge w:val="restart"/>
            <w:vAlign w:val="center"/>
          </w:tcPr>
          <w:p>
            <w:pPr>
              <w:snapToGrid w:val="0"/>
              <w:spacing w:line="40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手工监测</w:t>
            </w:r>
          </w:p>
        </w:tc>
        <w:tc>
          <w:tcPr>
            <w:tcW w:w="474" w:type="pct"/>
            <w:vMerge w:val="restart"/>
            <w:vAlign w:val="center"/>
          </w:tcPr>
          <w:p>
            <w:pPr>
              <w:snapToGrid w:val="0"/>
              <w:spacing w:line="400" w:lineRule="exact"/>
              <w:jc w:val="center"/>
              <w:rPr>
                <w:rFonts w:hint="default" w:ascii="Times New Roman" w:hAnsi="Times New Roman" w:cs="Times New Roman"/>
                <w:spacing w:val="-4"/>
                <w:szCs w:val="21"/>
              </w:rPr>
            </w:pPr>
            <w:r>
              <w:rPr>
                <w:rFonts w:hint="default" w:ascii="Times New Roman" w:hAnsi="Times New Roman" w:cs="Times New Roman"/>
                <w:spacing w:val="-4"/>
                <w:szCs w:val="21"/>
              </w:rPr>
              <w:t>废气</w:t>
            </w:r>
          </w:p>
        </w:tc>
        <w:tc>
          <w:tcPr>
            <w:tcW w:w="948" w:type="pct"/>
            <w:vAlign w:val="center"/>
          </w:tcPr>
          <w:p>
            <w:pPr>
              <w:snapToGrid w:val="0"/>
              <w:spacing w:line="400" w:lineRule="exact"/>
              <w:jc w:val="center"/>
              <w:rPr>
                <w:rFonts w:hint="eastAsia" w:ascii="Times New Roman" w:hAnsi="Times New Roman" w:cs="Times New Roman" w:eastAsiaTheme="minorEastAsia"/>
                <w:spacing w:val="-4"/>
                <w:szCs w:val="21"/>
                <w:lang w:eastAsia="zh-CN"/>
              </w:rPr>
            </w:pPr>
            <w:r>
              <w:rPr>
                <w:rFonts w:hint="eastAsia" w:ascii="Times New Roman" w:hAnsi="Times New Roman" w:cs="Times New Roman"/>
                <w:spacing w:val="-4"/>
                <w:szCs w:val="21"/>
                <w:lang w:val="en-US" w:eastAsia="zh-CN"/>
              </w:rPr>
              <w:t>施工区</w:t>
            </w:r>
          </w:p>
        </w:tc>
        <w:tc>
          <w:tcPr>
            <w:tcW w:w="723" w:type="pct"/>
            <w:vMerge w:val="restart"/>
            <w:vAlign w:val="center"/>
          </w:tcPr>
          <w:p>
            <w:pPr>
              <w:snapToGrid w:val="0"/>
              <w:spacing w:line="400" w:lineRule="exac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TSP</w:t>
            </w:r>
          </w:p>
        </w:tc>
        <w:tc>
          <w:tcPr>
            <w:tcW w:w="1212" w:type="pct"/>
            <w:vMerge w:val="restart"/>
            <w:vAlign w:val="center"/>
          </w:tcPr>
          <w:p>
            <w:pPr>
              <w:snapToGrid w:val="0"/>
              <w:spacing w:line="4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非连续采样</w:t>
            </w:r>
          </w:p>
          <w:p>
            <w:pPr>
              <w:snapToGrid w:val="0"/>
              <w:spacing w:line="4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至少3个</w:t>
            </w:r>
          </w:p>
        </w:tc>
        <w:tc>
          <w:tcPr>
            <w:tcW w:w="835" w:type="pct"/>
            <w:vMerge w:val="restart"/>
            <w:vAlign w:val="center"/>
          </w:tcPr>
          <w:p>
            <w:pPr>
              <w:snapToGrid w:val="0"/>
              <w:spacing w:line="400" w:lineRule="exact"/>
              <w:jc w:val="center"/>
              <w:rPr>
                <w:rFonts w:hint="default" w:ascii="Times New Roman" w:hAnsi="Times New Roman" w:cs="Times New Roman" w:eastAsiaTheme="minorEastAsia"/>
                <w:szCs w:val="21"/>
                <w:lang w:val="en-US" w:eastAsia="zh-CN"/>
              </w:rPr>
            </w:pPr>
            <w:bookmarkStart w:id="18" w:name="OLE_LINK49"/>
            <w:bookmarkStart w:id="19" w:name="OLE_LINK48"/>
            <w:r>
              <w:rPr>
                <w:rFonts w:hint="default" w:ascii="Times New Roman" w:hAnsi="Times New Roman" w:cs="Times New Roman"/>
                <w:szCs w:val="21"/>
              </w:rPr>
              <w:t>1次/</w:t>
            </w:r>
            <w:bookmarkEnd w:id="18"/>
            <w:bookmarkEnd w:id="19"/>
            <w:r>
              <w:rPr>
                <w:rFonts w:hint="eastAsia" w:ascii="Times New Roman" w:hAnsi="Times New Roman" w:cs="Times New Roman"/>
                <w:szCs w:val="21"/>
                <w:lang w:val="en-US" w:eastAsia="zh-CN"/>
              </w:rPr>
              <w:t>季度，一次3天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5" w:type="pct"/>
            <w:vMerge w:val="continue"/>
            <w:vAlign w:val="center"/>
          </w:tcPr>
          <w:p>
            <w:pPr>
              <w:snapToGrid w:val="0"/>
              <w:spacing w:line="400" w:lineRule="exact"/>
              <w:jc w:val="center"/>
              <w:rPr>
                <w:rFonts w:hint="default" w:ascii="Times New Roman" w:hAnsi="Times New Roman" w:cs="Times New Roman"/>
                <w:spacing w:val="-4"/>
                <w:szCs w:val="21"/>
              </w:rPr>
            </w:pPr>
          </w:p>
        </w:tc>
        <w:tc>
          <w:tcPr>
            <w:tcW w:w="474" w:type="pct"/>
            <w:vMerge w:val="continue"/>
            <w:vAlign w:val="center"/>
          </w:tcPr>
          <w:p>
            <w:pPr>
              <w:snapToGrid w:val="0"/>
              <w:spacing w:line="400" w:lineRule="exact"/>
              <w:jc w:val="center"/>
              <w:rPr>
                <w:rFonts w:hint="default" w:ascii="Times New Roman" w:hAnsi="Times New Roman" w:cs="Times New Roman"/>
                <w:spacing w:val="-4"/>
                <w:szCs w:val="21"/>
              </w:rPr>
            </w:pPr>
          </w:p>
        </w:tc>
        <w:tc>
          <w:tcPr>
            <w:tcW w:w="948" w:type="pct"/>
            <w:vAlign w:val="center"/>
          </w:tcPr>
          <w:p>
            <w:pPr>
              <w:snapToGrid w:val="0"/>
              <w:spacing w:line="400" w:lineRule="exact"/>
              <w:jc w:val="center"/>
              <w:rPr>
                <w:rFonts w:hint="default" w:ascii="Times New Roman" w:hAnsi="Times New Roman" w:cs="Times New Roman" w:eastAsiaTheme="minorEastAsia"/>
                <w:spacing w:val="-4"/>
                <w:szCs w:val="21"/>
                <w:lang w:val="en-US" w:eastAsia="zh-CN"/>
              </w:rPr>
            </w:pPr>
            <w:r>
              <w:rPr>
                <w:rFonts w:hint="eastAsia" w:ascii="Times New Roman" w:hAnsi="Times New Roman" w:cs="Times New Roman"/>
                <w:spacing w:val="-4"/>
                <w:szCs w:val="21"/>
                <w:lang w:val="en-US" w:eastAsia="zh-CN"/>
              </w:rPr>
              <w:t>施工区下风向</w:t>
            </w:r>
          </w:p>
        </w:tc>
        <w:tc>
          <w:tcPr>
            <w:tcW w:w="723" w:type="pct"/>
            <w:vMerge w:val="continue"/>
            <w:vAlign w:val="center"/>
          </w:tcPr>
          <w:p>
            <w:pPr>
              <w:snapToGrid w:val="0"/>
              <w:spacing w:line="400" w:lineRule="exact"/>
              <w:jc w:val="center"/>
              <w:rPr>
                <w:rFonts w:hint="default" w:ascii="Times New Roman" w:hAnsi="Times New Roman" w:cs="Times New Roman"/>
                <w:color w:val="000000"/>
                <w:szCs w:val="21"/>
              </w:rPr>
            </w:pPr>
          </w:p>
        </w:tc>
        <w:tc>
          <w:tcPr>
            <w:tcW w:w="1212" w:type="pct"/>
            <w:vMerge w:val="continue"/>
            <w:vAlign w:val="center"/>
          </w:tcPr>
          <w:p>
            <w:pPr>
              <w:snapToGrid w:val="0"/>
              <w:spacing w:line="400" w:lineRule="exact"/>
              <w:jc w:val="center"/>
              <w:rPr>
                <w:rFonts w:hint="default" w:ascii="Times New Roman" w:hAnsi="Times New Roman" w:cs="Times New Roman"/>
                <w:color w:val="000000"/>
                <w:szCs w:val="21"/>
              </w:rPr>
            </w:pPr>
          </w:p>
        </w:tc>
        <w:tc>
          <w:tcPr>
            <w:tcW w:w="835" w:type="pct"/>
            <w:vMerge w:val="continue"/>
            <w:vAlign w:val="center"/>
          </w:tcPr>
          <w:p>
            <w:pPr>
              <w:snapToGrid w:val="0"/>
              <w:spacing w:line="400" w:lineRule="exact"/>
              <w:jc w:val="center"/>
              <w:rPr>
                <w:rFonts w:hint="default" w:ascii="Times New Roman" w:hAnsi="Times New Roman" w:cs="Times New Roman"/>
                <w:color w:val="000000"/>
                <w:szCs w:val="21"/>
              </w:rPr>
            </w:pPr>
          </w:p>
        </w:tc>
      </w:tr>
    </w:tbl>
    <w:p>
      <w:pPr>
        <w:spacing w:line="560" w:lineRule="exact"/>
        <w:jc w:val="center"/>
        <w:rPr>
          <w:rFonts w:hint="default" w:ascii="Times New Roman" w:hAnsi="Times New Roman" w:cs="Times New Roman"/>
          <w:b/>
          <w:sz w:val="28"/>
          <w:szCs w:val="28"/>
        </w:rPr>
      </w:pPr>
      <w:bookmarkStart w:id="20" w:name="_Toc250993949"/>
      <w:bookmarkStart w:id="21" w:name="_Toc244416858"/>
      <w:r>
        <w:rPr>
          <w:rFonts w:hint="eastAsia" w:ascii="Times New Roman" w:hAnsi="Times New Roman" w:cs="Times New Roman"/>
          <w:b/>
          <w:sz w:val="28"/>
          <w:szCs w:val="28"/>
          <w:lang w:val="en-US" w:eastAsia="zh-CN"/>
        </w:rPr>
        <w:t>地表水</w:t>
      </w:r>
      <w:r>
        <w:rPr>
          <w:rFonts w:hint="default" w:ascii="Times New Roman" w:hAnsi="Times New Roman" w:cs="Times New Roman"/>
          <w:b/>
          <w:sz w:val="28"/>
          <w:szCs w:val="28"/>
        </w:rPr>
        <w:t>监测工作内容</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039"/>
        <w:gridCol w:w="1270"/>
        <w:gridCol w:w="2335"/>
        <w:gridCol w:w="1794"/>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Align w:val="center"/>
          </w:tcPr>
          <w:p>
            <w:pPr>
              <w:widowControl w:val="0"/>
              <w:spacing w:line="260" w:lineRule="exact"/>
              <w:jc w:val="center"/>
              <w:rPr>
                <w:rFonts w:hint="default" w:ascii="Times New Roman" w:hAnsi="Times New Roman" w:cs="Times New Roman"/>
                <w:b/>
                <w:szCs w:val="21"/>
              </w:rPr>
            </w:pPr>
            <w:r>
              <w:rPr>
                <w:rFonts w:hint="default" w:ascii="Times New Roman" w:hAnsi="Times New Roman" w:cs="Times New Roman"/>
                <w:b/>
                <w:spacing w:val="-4"/>
                <w:szCs w:val="21"/>
              </w:rPr>
              <w:t>监测方式</w:t>
            </w:r>
          </w:p>
        </w:tc>
        <w:tc>
          <w:tcPr>
            <w:tcW w:w="924" w:type="dxa"/>
            <w:vAlign w:val="center"/>
          </w:tcPr>
          <w:p>
            <w:pPr>
              <w:widowControl w:val="0"/>
              <w:spacing w:line="260" w:lineRule="exact"/>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1129" w:type="dxa"/>
            <w:vAlign w:val="center"/>
          </w:tcPr>
          <w:p>
            <w:pPr>
              <w:widowControl w:val="0"/>
              <w:spacing w:line="260" w:lineRule="exact"/>
              <w:jc w:val="center"/>
              <w:rPr>
                <w:rFonts w:hint="default" w:ascii="Times New Roman" w:hAnsi="Times New Roman" w:cs="Times New Roman"/>
                <w:b/>
                <w:szCs w:val="21"/>
              </w:rPr>
            </w:pPr>
            <w:r>
              <w:rPr>
                <w:rFonts w:hint="default" w:ascii="Times New Roman" w:hAnsi="Times New Roman" w:cs="Times New Roman"/>
                <w:b/>
                <w:szCs w:val="21"/>
              </w:rPr>
              <w:t>监测点位</w:t>
            </w:r>
          </w:p>
        </w:tc>
        <w:tc>
          <w:tcPr>
            <w:tcW w:w="2076" w:type="dxa"/>
            <w:vAlign w:val="center"/>
          </w:tcPr>
          <w:p>
            <w:pPr>
              <w:widowControl w:val="0"/>
              <w:spacing w:line="260" w:lineRule="exact"/>
              <w:jc w:val="center"/>
              <w:rPr>
                <w:rFonts w:hint="default" w:ascii="Times New Roman" w:hAnsi="Times New Roman" w:cs="Times New Roman"/>
                <w:b/>
                <w:szCs w:val="21"/>
              </w:rPr>
            </w:pPr>
            <w:r>
              <w:rPr>
                <w:rFonts w:hint="default" w:ascii="Times New Roman" w:hAnsi="Times New Roman" w:cs="Times New Roman"/>
                <w:b/>
                <w:szCs w:val="21"/>
              </w:rPr>
              <w:t>监测项目</w:t>
            </w:r>
          </w:p>
        </w:tc>
        <w:tc>
          <w:tcPr>
            <w:tcW w:w="1595" w:type="dxa"/>
            <w:vAlign w:val="center"/>
          </w:tcPr>
          <w:p>
            <w:pPr>
              <w:widowControl w:val="0"/>
              <w:spacing w:line="260" w:lineRule="exact"/>
              <w:jc w:val="center"/>
              <w:rPr>
                <w:rFonts w:hint="default" w:ascii="Times New Roman" w:hAnsi="Times New Roman" w:cs="Times New Roman"/>
                <w:b/>
                <w:szCs w:val="21"/>
              </w:rPr>
            </w:pPr>
            <w:r>
              <w:rPr>
                <w:rFonts w:hint="default" w:ascii="Times New Roman" w:hAnsi="Times New Roman" w:cs="Times New Roman"/>
                <w:b/>
                <w:szCs w:val="21"/>
              </w:rPr>
              <w:t>手工监测采样方法及个数</w:t>
            </w:r>
          </w:p>
        </w:tc>
        <w:tc>
          <w:tcPr>
            <w:tcW w:w="2064" w:type="dxa"/>
            <w:vAlign w:val="center"/>
          </w:tcPr>
          <w:p>
            <w:pPr>
              <w:widowControl w:val="0"/>
              <w:spacing w:line="260" w:lineRule="exact"/>
              <w:jc w:val="center"/>
              <w:rPr>
                <w:rFonts w:hint="default" w:ascii="Times New Roman" w:hAnsi="Times New Roman" w:cs="Times New Roman"/>
                <w:b/>
                <w:szCs w:val="21"/>
              </w:rPr>
            </w:pPr>
            <w:r>
              <w:rPr>
                <w:rFonts w:hint="default" w:ascii="Times New Roman" w:hAnsi="Times New Roman" w:cs="Times New Roman"/>
                <w:b/>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pacing w:val="-4"/>
                <w:szCs w:val="21"/>
              </w:rPr>
              <w:t>手工监测</w:t>
            </w:r>
          </w:p>
        </w:tc>
        <w:tc>
          <w:tcPr>
            <w:tcW w:w="924" w:type="dxa"/>
            <w:vMerge w:val="restart"/>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地表水</w:t>
            </w:r>
          </w:p>
        </w:tc>
        <w:tc>
          <w:tcPr>
            <w:tcW w:w="1129" w:type="dxa"/>
            <w:vMerge w:val="restart"/>
            <w:vAlign w:val="center"/>
          </w:tcPr>
          <w:p>
            <w:pPr>
              <w:widowControl w:val="0"/>
              <w:spacing w:line="260" w:lineRule="exac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码头上游500米处断面</w:t>
            </w:r>
          </w:p>
        </w:tc>
        <w:tc>
          <w:tcPr>
            <w:tcW w:w="2076" w:type="dxa"/>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水温</w:t>
            </w:r>
          </w:p>
        </w:tc>
        <w:tc>
          <w:tcPr>
            <w:tcW w:w="1595" w:type="dxa"/>
            <w:vMerge w:val="restart"/>
            <w:vAlign w:val="center"/>
          </w:tcPr>
          <w:p>
            <w:pPr>
              <w:widowControl w:val="0"/>
              <w:spacing w:line="260" w:lineRule="exact"/>
              <w:jc w:val="center"/>
              <w:rPr>
                <w:rFonts w:hint="default" w:ascii="Times New Roman" w:hAnsi="Times New Roman" w:cs="Times New Roman"/>
                <w:szCs w:val="21"/>
              </w:rPr>
            </w:pPr>
            <w:bookmarkStart w:id="22" w:name="OLE_LINK96"/>
            <w:bookmarkStart w:id="23" w:name="OLE_LINK95"/>
            <w:r>
              <w:rPr>
                <w:rFonts w:hint="default" w:ascii="Times New Roman" w:hAnsi="Times New Roman" w:cs="Times New Roman"/>
                <w:szCs w:val="21"/>
              </w:rPr>
              <w:t>混合釆样多个混合样</w:t>
            </w:r>
            <w:bookmarkEnd w:id="22"/>
            <w:bookmarkEnd w:id="23"/>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pH值</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溶解氧</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化学需氧量</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五日生化需氧量</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氨氮</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总磷</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总氮</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石油类</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restart"/>
            <w:vAlign w:val="center"/>
          </w:tcPr>
          <w:p>
            <w:pPr>
              <w:widowControl w:val="0"/>
              <w:spacing w:line="260" w:lineRule="exac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码头下游100米处断面</w:t>
            </w: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水温</w:t>
            </w:r>
          </w:p>
        </w:tc>
        <w:tc>
          <w:tcPr>
            <w:tcW w:w="1595" w:type="dxa"/>
            <w:vMerge w:val="restart"/>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混合釆样多个混合样</w:t>
            </w: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pH值</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溶解氧</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化学需氧量</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五日生化需氧量</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氨氮</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总磷</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总氮</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石油类</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restart"/>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lang w:val="en-US" w:eastAsia="zh-CN"/>
              </w:rPr>
              <w:t>码头下游500米处断面</w:t>
            </w: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水温</w:t>
            </w:r>
          </w:p>
        </w:tc>
        <w:tc>
          <w:tcPr>
            <w:tcW w:w="1595" w:type="dxa"/>
            <w:vMerge w:val="restart"/>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混合釆样多个混合样</w:t>
            </w: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pH值</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bookmarkStart w:id="24" w:name="OLE_LINK318"/>
            <w:bookmarkStart w:id="25" w:name="OLE_LINK319"/>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溶解氧</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化学需氧量</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五日生化需氧量</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氨氮</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总磷</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总氮</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vAlign w:val="center"/>
          </w:tcPr>
          <w:p>
            <w:pPr>
              <w:widowControl w:val="0"/>
              <w:spacing w:line="260" w:lineRule="exact"/>
              <w:jc w:val="center"/>
              <w:rPr>
                <w:rFonts w:hint="default" w:ascii="Times New Roman" w:hAnsi="Times New Roman" w:cs="Times New Roman"/>
                <w:szCs w:val="21"/>
              </w:rPr>
            </w:pPr>
          </w:p>
        </w:tc>
        <w:tc>
          <w:tcPr>
            <w:tcW w:w="924" w:type="dxa"/>
            <w:vMerge w:val="continue"/>
            <w:vAlign w:val="center"/>
          </w:tcPr>
          <w:p>
            <w:pPr>
              <w:widowControl w:val="0"/>
              <w:spacing w:line="260" w:lineRule="exact"/>
              <w:jc w:val="center"/>
              <w:rPr>
                <w:rFonts w:hint="default" w:ascii="Times New Roman" w:hAnsi="Times New Roman" w:cs="Times New Roman"/>
                <w:szCs w:val="21"/>
              </w:rPr>
            </w:pPr>
          </w:p>
        </w:tc>
        <w:tc>
          <w:tcPr>
            <w:tcW w:w="1129" w:type="dxa"/>
            <w:vMerge w:val="continue"/>
            <w:vAlign w:val="center"/>
          </w:tcPr>
          <w:p>
            <w:pPr>
              <w:widowControl w:val="0"/>
              <w:spacing w:line="260" w:lineRule="exact"/>
              <w:jc w:val="center"/>
              <w:rPr>
                <w:rFonts w:hint="default" w:ascii="Times New Roman" w:hAnsi="Times New Roman" w:cs="Times New Roman"/>
                <w:szCs w:val="21"/>
              </w:rPr>
            </w:pPr>
          </w:p>
        </w:tc>
        <w:tc>
          <w:tcPr>
            <w:tcW w:w="2076" w:type="dxa"/>
            <w:vAlign w:val="center"/>
          </w:tcPr>
          <w:p>
            <w:pPr>
              <w:widowControl w:val="0"/>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石油类</w:t>
            </w:r>
          </w:p>
        </w:tc>
        <w:tc>
          <w:tcPr>
            <w:tcW w:w="1595" w:type="dxa"/>
            <w:vMerge w:val="continue"/>
            <w:vAlign w:val="center"/>
          </w:tcPr>
          <w:p>
            <w:pPr>
              <w:widowControl w:val="0"/>
              <w:spacing w:line="260" w:lineRule="exact"/>
              <w:jc w:val="center"/>
              <w:rPr>
                <w:rFonts w:hint="default" w:ascii="Times New Roman" w:hAnsi="Times New Roman" w:cs="Times New Roman"/>
                <w:szCs w:val="21"/>
              </w:rPr>
            </w:pPr>
          </w:p>
        </w:tc>
        <w:tc>
          <w:tcPr>
            <w:tcW w:w="2064" w:type="dxa"/>
            <w:vAlign w:val="center"/>
          </w:tcPr>
          <w:p>
            <w:pPr>
              <w:widowControl w:val="0"/>
              <w:spacing w:line="26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bookmarkEnd w:id="20"/>
      <w:bookmarkEnd w:id="21"/>
      <w:bookmarkEnd w:id="24"/>
      <w:bookmarkEnd w:id="25"/>
    </w:tbl>
    <w:p>
      <w:pPr>
        <w:spacing w:line="560" w:lineRule="exact"/>
        <w:jc w:val="center"/>
        <w:rPr>
          <w:rFonts w:hint="default" w:ascii="Times New Roman" w:hAnsi="Times New Roman" w:cs="Times New Roman"/>
          <w:sz w:val="28"/>
          <w:szCs w:val="28"/>
        </w:rPr>
      </w:pPr>
      <w:r>
        <w:rPr>
          <w:rFonts w:hint="default" w:ascii="Times New Roman" w:hAnsi="Times New Roman" w:cs="Times New Roman"/>
          <w:b/>
          <w:sz w:val="28"/>
          <w:szCs w:val="28"/>
        </w:rPr>
        <w:t>噪声监测</w:t>
      </w:r>
      <w:r>
        <w:rPr>
          <w:rFonts w:hint="default" w:ascii="Times New Roman" w:hAnsi="Times New Roman" w:cs="Times New Roman"/>
          <w:b/>
          <w:color w:val="000000"/>
          <w:spacing w:val="-4"/>
          <w:sz w:val="28"/>
          <w:szCs w:val="28"/>
        </w:rPr>
        <w:t>工作内容</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593"/>
        <w:gridCol w:w="2529"/>
        <w:gridCol w:w="2286"/>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 w:type="pct"/>
            <w:vAlign w:val="center"/>
          </w:tcPr>
          <w:p>
            <w:pPr>
              <w:snapToGrid w:val="0"/>
              <w:spacing w:line="300" w:lineRule="exact"/>
              <w:jc w:val="center"/>
              <w:rPr>
                <w:rFonts w:hint="default" w:ascii="Times New Roman" w:hAnsi="Times New Roman" w:cs="Times New Roman"/>
                <w:b/>
                <w:szCs w:val="21"/>
              </w:rPr>
            </w:pPr>
            <w:r>
              <w:rPr>
                <w:rFonts w:hint="default" w:ascii="Times New Roman" w:hAnsi="Times New Roman" w:cs="Times New Roman"/>
                <w:b/>
                <w:szCs w:val="21"/>
              </w:rPr>
              <w:t>监测方式</w:t>
            </w:r>
          </w:p>
        </w:tc>
        <w:tc>
          <w:tcPr>
            <w:tcW w:w="799" w:type="pct"/>
            <w:vAlign w:val="center"/>
          </w:tcPr>
          <w:p>
            <w:pPr>
              <w:snapToGrid w:val="0"/>
              <w:spacing w:line="300" w:lineRule="exact"/>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1269" w:type="pct"/>
            <w:vAlign w:val="center"/>
          </w:tcPr>
          <w:p>
            <w:pPr>
              <w:snapToGrid w:val="0"/>
              <w:spacing w:line="300" w:lineRule="exact"/>
              <w:jc w:val="center"/>
              <w:rPr>
                <w:rFonts w:hint="default" w:ascii="Times New Roman" w:hAnsi="Times New Roman" w:cs="Times New Roman"/>
                <w:b/>
                <w:szCs w:val="21"/>
              </w:rPr>
            </w:pPr>
            <w:r>
              <w:rPr>
                <w:rFonts w:hint="default" w:ascii="Times New Roman" w:hAnsi="Times New Roman" w:cs="Times New Roman"/>
                <w:b/>
                <w:szCs w:val="21"/>
              </w:rPr>
              <w:t>监测点位名称</w:t>
            </w:r>
          </w:p>
        </w:tc>
        <w:tc>
          <w:tcPr>
            <w:tcW w:w="1147" w:type="pct"/>
            <w:vAlign w:val="center"/>
          </w:tcPr>
          <w:p>
            <w:pPr>
              <w:snapToGrid w:val="0"/>
              <w:spacing w:line="300" w:lineRule="exact"/>
              <w:jc w:val="center"/>
              <w:rPr>
                <w:rFonts w:hint="default" w:ascii="Times New Roman" w:hAnsi="Times New Roman" w:cs="Times New Roman"/>
                <w:b/>
                <w:szCs w:val="21"/>
              </w:rPr>
            </w:pPr>
            <w:r>
              <w:rPr>
                <w:rFonts w:hint="default" w:ascii="Times New Roman" w:hAnsi="Times New Roman" w:cs="Times New Roman"/>
                <w:b/>
                <w:szCs w:val="21"/>
              </w:rPr>
              <w:t>监测项目</w:t>
            </w:r>
          </w:p>
        </w:tc>
        <w:tc>
          <w:tcPr>
            <w:tcW w:w="991" w:type="pct"/>
            <w:vAlign w:val="center"/>
          </w:tcPr>
          <w:p>
            <w:pPr>
              <w:snapToGrid w:val="0"/>
              <w:spacing w:line="300" w:lineRule="exact"/>
              <w:jc w:val="center"/>
              <w:rPr>
                <w:rFonts w:hint="default" w:ascii="Times New Roman" w:hAnsi="Times New Roman" w:cs="Times New Roman"/>
                <w:b/>
                <w:szCs w:val="21"/>
              </w:rPr>
            </w:pPr>
            <w:r>
              <w:rPr>
                <w:rFonts w:hint="default" w:ascii="Times New Roman" w:hAnsi="Times New Roman" w:cs="Times New Roman"/>
                <w:b/>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2" w:type="pct"/>
            <w:vAlign w:val="center"/>
          </w:tcPr>
          <w:p>
            <w:pPr>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手工监测</w:t>
            </w:r>
          </w:p>
        </w:tc>
        <w:tc>
          <w:tcPr>
            <w:tcW w:w="799" w:type="pct"/>
            <w:vAlign w:val="center"/>
          </w:tcPr>
          <w:p>
            <w:pPr>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厂界噪声</w:t>
            </w:r>
          </w:p>
        </w:tc>
        <w:tc>
          <w:tcPr>
            <w:tcW w:w="1269" w:type="pct"/>
            <w:vAlign w:val="center"/>
          </w:tcPr>
          <w:p>
            <w:pPr>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厂</w:t>
            </w:r>
            <w:r>
              <w:rPr>
                <w:rFonts w:hint="eastAsia" w:ascii="Times New Roman" w:hAnsi="Times New Roman" w:cs="Times New Roman"/>
                <w:szCs w:val="21"/>
                <w:lang w:val="en-US" w:eastAsia="zh-CN"/>
              </w:rPr>
              <w:t>界</w:t>
            </w:r>
            <w:r>
              <w:rPr>
                <w:rFonts w:hint="default" w:ascii="Times New Roman" w:hAnsi="Times New Roman" w:cs="Times New Roman"/>
                <w:szCs w:val="21"/>
              </w:rPr>
              <w:t>东</w:t>
            </w:r>
            <w:r>
              <w:rPr>
                <w:rFonts w:hint="eastAsia" w:ascii="Times New Roman" w:hAnsi="Times New Roman" w:cs="Times New Roman"/>
                <w:szCs w:val="21"/>
                <w:lang w:val="en-US" w:eastAsia="zh-CN"/>
              </w:rPr>
              <w:t>侧</w:t>
            </w:r>
            <w:r>
              <w:rPr>
                <w:rFonts w:hint="default" w:ascii="Times New Roman" w:hAnsi="Times New Roman" w:cs="Times New Roman"/>
                <w:szCs w:val="21"/>
              </w:rPr>
              <w:t>、厂</w:t>
            </w:r>
            <w:r>
              <w:rPr>
                <w:rFonts w:hint="eastAsia" w:ascii="Times New Roman" w:hAnsi="Times New Roman" w:cs="Times New Roman"/>
                <w:szCs w:val="21"/>
                <w:lang w:val="en-US" w:eastAsia="zh-CN"/>
              </w:rPr>
              <w:t>界</w:t>
            </w:r>
            <w:r>
              <w:rPr>
                <w:rFonts w:hint="default" w:ascii="Times New Roman" w:hAnsi="Times New Roman" w:cs="Times New Roman"/>
                <w:szCs w:val="21"/>
              </w:rPr>
              <w:t>南</w:t>
            </w:r>
            <w:r>
              <w:rPr>
                <w:rFonts w:hint="eastAsia" w:ascii="Times New Roman" w:hAnsi="Times New Roman" w:cs="Times New Roman"/>
                <w:szCs w:val="21"/>
                <w:lang w:val="en-US" w:eastAsia="zh-CN"/>
              </w:rPr>
              <w:t>侧</w:t>
            </w:r>
            <w:r>
              <w:rPr>
                <w:rFonts w:hint="default" w:ascii="Times New Roman" w:hAnsi="Times New Roman" w:cs="Times New Roman"/>
                <w:szCs w:val="21"/>
              </w:rPr>
              <w:t>、厂</w:t>
            </w:r>
            <w:r>
              <w:rPr>
                <w:rFonts w:hint="eastAsia" w:ascii="Times New Roman" w:hAnsi="Times New Roman" w:cs="Times New Roman"/>
                <w:szCs w:val="21"/>
                <w:lang w:val="en-US" w:eastAsia="zh-CN"/>
              </w:rPr>
              <w:t>界</w:t>
            </w:r>
            <w:r>
              <w:rPr>
                <w:rFonts w:hint="default" w:ascii="Times New Roman" w:hAnsi="Times New Roman" w:cs="Times New Roman"/>
                <w:szCs w:val="21"/>
              </w:rPr>
              <w:t>北</w:t>
            </w:r>
            <w:r>
              <w:rPr>
                <w:rFonts w:hint="eastAsia" w:ascii="Times New Roman" w:hAnsi="Times New Roman" w:cs="Times New Roman"/>
                <w:szCs w:val="21"/>
                <w:lang w:val="en-US" w:eastAsia="zh-CN"/>
              </w:rPr>
              <w:t>侧</w:t>
            </w:r>
          </w:p>
        </w:tc>
        <w:tc>
          <w:tcPr>
            <w:tcW w:w="1147" w:type="pct"/>
            <w:vAlign w:val="center"/>
          </w:tcPr>
          <w:p>
            <w:pPr>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连续等效A声级</w:t>
            </w:r>
          </w:p>
        </w:tc>
        <w:tc>
          <w:tcPr>
            <w:tcW w:w="991" w:type="pct"/>
            <w:vAlign w:val="center"/>
          </w:tcPr>
          <w:p>
            <w:pPr>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1次/月</w:t>
            </w:r>
            <w:r>
              <w:rPr>
                <w:rFonts w:hint="eastAsia" w:ascii="Times New Roman" w:hAnsi="Times New Roman" w:cs="Times New Roman"/>
                <w:szCs w:val="21"/>
                <w:lang w:val="en-US" w:eastAsia="zh-CN"/>
              </w:rPr>
              <w:t>，一次2天</w:t>
            </w:r>
          </w:p>
        </w:tc>
      </w:tr>
    </w:tbl>
    <w:p>
      <w:pPr>
        <w:rPr>
          <w:rFonts w:hint="default"/>
          <w:lang w:val="en-US" w:eastAsia="zh-CN"/>
        </w:rPr>
      </w:pPr>
    </w:p>
    <w:p>
      <w:pPr>
        <w:spacing w:line="312" w:lineRule="auto"/>
        <w:jc w:val="center"/>
        <w:rPr>
          <w:rFonts w:ascii="黑体" w:hAnsi="黑体" w:eastAsia="黑体" w:cs="仿宋"/>
          <w:b/>
          <w:color w:val="000000"/>
          <w:sz w:val="36"/>
          <w:szCs w:val="36"/>
        </w:rPr>
      </w:pPr>
      <w:r>
        <w:rPr>
          <w:rFonts w:ascii="仿宋" w:hAnsi="仿宋" w:eastAsia="仿宋" w:cs="仿宋"/>
          <w:sz w:val="30"/>
          <w:szCs w:val="30"/>
          <w:highlight w:val="none"/>
        </w:rPr>
        <w:br w:type="page"/>
      </w: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rPr>
      </w:pPr>
      <w:r>
        <w:rPr>
          <w:rFonts w:hint="eastAsia" w:ascii="宋体" w:hAnsi="宋体" w:cs="仿宋"/>
          <w:sz w:val="24"/>
        </w:rPr>
        <w:t>一、响应函</w:t>
      </w:r>
    </w:p>
    <w:p>
      <w:pPr>
        <w:adjustRightInd w:val="0"/>
        <w:snapToGrid w:val="0"/>
        <w:spacing w:line="600" w:lineRule="exact"/>
        <w:jc w:val="both"/>
        <w:rPr>
          <w:rFonts w:ascii="宋体" w:hAnsi="宋体" w:cs="仿宋"/>
          <w:sz w:val="24"/>
        </w:rPr>
      </w:pPr>
      <w:r>
        <w:rPr>
          <w:rFonts w:hint="eastAsia" w:ascii="宋体" w:hAnsi="宋体" w:cs="仿宋"/>
          <w:sz w:val="24"/>
        </w:rPr>
        <w:t>二、授权委托书(适用于有委托代理人的情况)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三、商务和技术偏差表</w:t>
      </w:r>
    </w:p>
    <w:p>
      <w:pPr>
        <w:adjustRightInd w:val="0"/>
        <w:snapToGrid w:val="0"/>
        <w:spacing w:line="600" w:lineRule="exact"/>
        <w:jc w:val="both"/>
        <w:rPr>
          <w:rFonts w:ascii="宋体" w:hAnsi="宋体" w:cs="仿宋"/>
          <w:sz w:val="24"/>
        </w:rPr>
      </w:pPr>
      <w:r>
        <w:rPr>
          <w:rFonts w:hint="eastAsia" w:ascii="宋体" w:hAnsi="宋体" w:cs="仿宋"/>
          <w:sz w:val="24"/>
        </w:rPr>
        <w:t>四、报价表</w:t>
      </w:r>
    </w:p>
    <w:p>
      <w:pPr>
        <w:adjustRightInd w:val="0"/>
        <w:snapToGrid w:val="0"/>
        <w:spacing w:line="600" w:lineRule="exact"/>
        <w:jc w:val="both"/>
        <w:rPr>
          <w:rFonts w:ascii="宋体" w:hAnsi="宋体" w:cs="仿宋"/>
          <w:sz w:val="24"/>
        </w:rPr>
      </w:pPr>
      <w:r>
        <w:rPr>
          <w:rFonts w:hint="eastAsia" w:ascii="宋体" w:hAnsi="宋体" w:cs="仿宋"/>
          <w:sz w:val="24"/>
        </w:rPr>
        <w:t>五、资格审查资料</w:t>
      </w:r>
    </w:p>
    <w:p>
      <w:pPr>
        <w:adjustRightInd w:val="0"/>
        <w:snapToGrid w:val="0"/>
        <w:spacing w:line="600" w:lineRule="exact"/>
        <w:jc w:val="both"/>
        <w:rPr>
          <w:rFonts w:ascii="宋体" w:hAnsi="宋体" w:cs="仿宋"/>
          <w:sz w:val="24"/>
        </w:rPr>
      </w:pPr>
      <w:r>
        <w:rPr>
          <w:rFonts w:hint="eastAsia" w:ascii="宋体" w:hAnsi="宋体" w:cs="仿宋"/>
          <w:sz w:val="24"/>
        </w:rPr>
        <w:t>六、响应方案</w:t>
      </w:r>
    </w:p>
    <w:p>
      <w:pPr>
        <w:adjustRightInd w:val="0"/>
        <w:snapToGrid w:val="0"/>
        <w:spacing w:line="600" w:lineRule="exact"/>
        <w:jc w:val="both"/>
        <w:rPr>
          <w:rFonts w:ascii="宋体" w:hAnsi="宋体" w:cs="仿宋"/>
          <w:sz w:val="24"/>
        </w:rPr>
      </w:pPr>
      <w:r>
        <w:rPr>
          <w:rFonts w:hint="eastAsia" w:ascii="宋体" w:hAnsi="宋体" w:cs="仿宋"/>
          <w:sz w:val="24"/>
        </w:rPr>
        <w:t>七、其他资料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ascii="宋体" w:hAnsi="宋体" w:cs="仿宋"/>
          <w:sz w:val="24"/>
        </w:rPr>
      </w:pPr>
      <w:r>
        <w:rPr>
          <w:rFonts w:hint="eastAsia" w:ascii="宋体" w:hAnsi="宋体" w:cs="仿宋"/>
          <w:sz w:val="24"/>
        </w:rPr>
        <w:t>（1）响应函</w:t>
      </w:r>
    </w:p>
    <w:p>
      <w:pPr>
        <w:adjustRightInd w:val="0"/>
        <w:snapToGrid w:val="0"/>
        <w:spacing w:line="600" w:lineRule="exact"/>
        <w:jc w:val="both"/>
        <w:rPr>
          <w:rFonts w:ascii="宋体" w:hAnsi="宋体" w:cs="仿宋"/>
          <w:sz w:val="24"/>
        </w:rPr>
      </w:pPr>
      <w:r>
        <w:rPr>
          <w:rFonts w:hint="eastAsia" w:ascii="宋体" w:hAnsi="宋体" w:cs="仿宋"/>
          <w:sz w:val="24"/>
        </w:rPr>
        <w:t>（2）授权委托书(适用于有委托代理人的情况)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（3）商务和技术偏差表</w:t>
      </w:r>
    </w:p>
    <w:p>
      <w:pPr>
        <w:adjustRightInd w:val="0"/>
        <w:snapToGrid w:val="0"/>
        <w:spacing w:line="600" w:lineRule="exact"/>
        <w:jc w:val="both"/>
        <w:rPr>
          <w:rFonts w:ascii="宋体" w:hAnsi="宋体" w:cs="仿宋"/>
          <w:sz w:val="24"/>
        </w:rPr>
      </w:pPr>
      <w:r>
        <w:rPr>
          <w:rFonts w:hint="eastAsia" w:ascii="宋体" w:hAnsi="宋体" w:cs="仿宋"/>
          <w:sz w:val="24"/>
        </w:rPr>
        <w:t>（4）报价表</w:t>
      </w:r>
    </w:p>
    <w:p>
      <w:pPr>
        <w:adjustRightInd w:val="0"/>
        <w:snapToGrid w:val="0"/>
        <w:spacing w:line="600" w:lineRule="exact"/>
        <w:jc w:val="both"/>
        <w:rPr>
          <w:rFonts w:ascii="宋体" w:hAnsi="宋体" w:cs="仿宋"/>
          <w:sz w:val="24"/>
        </w:rPr>
      </w:pPr>
      <w:r>
        <w:rPr>
          <w:rFonts w:hint="eastAsia" w:ascii="宋体" w:hAnsi="宋体" w:cs="仿宋"/>
          <w:sz w:val="24"/>
        </w:rPr>
        <w:t>（5）资格审查资料</w:t>
      </w:r>
    </w:p>
    <w:p>
      <w:pPr>
        <w:adjustRightInd w:val="0"/>
        <w:snapToGrid w:val="0"/>
        <w:spacing w:line="600" w:lineRule="exact"/>
        <w:jc w:val="both"/>
        <w:rPr>
          <w:rFonts w:ascii="宋体" w:hAnsi="宋体" w:cs="仿宋"/>
          <w:sz w:val="24"/>
        </w:rPr>
      </w:pPr>
      <w:r>
        <w:rPr>
          <w:rFonts w:hint="eastAsia" w:ascii="宋体" w:hAnsi="宋体" w:cs="仿宋"/>
          <w:sz w:val="24"/>
        </w:rPr>
        <w:t>（6）响应方案</w:t>
      </w:r>
    </w:p>
    <w:p>
      <w:pPr>
        <w:adjustRightInd w:val="0"/>
        <w:snapToGrid w:val="0"/>
        <w:spacing w:line="600" w:lineRule="exact"/>
        <w:jc w:val="both"/>
        <w:rPr>
          <w:rFonts w:ascii="宋体" w:hAnsi="宋体" w:cs="仿宋"/>
          <w:sz w:val="24"/>
        </w:rPr>
      </w:pPr>
      <w:r>
        <w:rPr>
          <w:rFonts w:hint="eastAsia" w:ascii="宋体" w:hAnsi="宋体" w:cs="仿宋"/>
          <w:sz w:val="24"/>
        </w:rPr>
        <w:t>（7）其他资料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三、商务和技术偏差表</w:t>
      </w:r>
    </w:p>
    <w:p>
      <w:pPr>
        <w:spacing w:line="600" w:lineRule="exact"/>
        <w:jc w:val="center"/>
        <w:rPr>
          <w:rFonts w:cs="仿宋" w:asciiTheme="minorEastAsia" w:hAnsiTheme="minorEastAsia" w:eastAsiaTheme="minorEastAsia"/>
          <w:sz w:val="24"/>
        </w:rPr>
      </w:pP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numPr>
          <w:ilvl w:val="0"/>
          <w:numId w:val="5"/>
        </w:numPr>
        <w:spacing w:line="600" w:lineRule="exact"/>
        <w:ind w:left="420"/>
        <w:jc w:val="center"/>
        <w:rPr>
          <w:rFonts w:ascii="黑体" w:hAnsi="黑体" w:eastAsia="黑体" w:cs="仿宋"/>
          <w:sz w:val="36"/>
          <w:szCs w:val="36"/>
        </w:rPr>
      </w:pPr>
      <w:r>
        <w:rPr>
          <w:rFonts w:hint="eastAsia" w:ascii="黑体" w:hAnsi="黑体" w:eastAsia="黑体" w:cs="仿宋"/>
          <w:sz w:val="36"/>
          <w:szCs w:val="36"/>
        </w:rPr>
        <w:t>报价表</w:t>
      </w:r>
    </w:p>
    <w:p>
      <w:pPr>
        <w:pStyle w:val="6"/>
      </w:pPr>
    </w:p>
    <w:p>
      <w:pPr>
        <w:spacing w:line="600" w:lineRule="exact"/>
        <w:ind w:firstLine="720" w:firstLineChars="300"/>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ind w:firstLine="720" w:firstLineChars="300"/>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44"/>
        <w:tblpPr w:leftFromText="180" w:rightFromText="180" w:vertAnchor="text" w:horzAnchor="page" w:tblpX="1804" w:tblpY="164"/>
        <w:tblOverlap w:val="never"/>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295"/>
        <w:gridCol w:w="916"/>
        <w:gridCol w:w="1605"/>
        <w:gridCol w:w="915"/>
        <w:gridCol w:w="123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916" w:type="dxa"/>
            <w:vMerge w:val="restart"/>
          </w:tcPr>
          <w:p>
            <w:pPr>
              <w:widowControl/>
              <w:spacing w:line="312"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 xml:space="preserve">数量 </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次</w:t>
            </w:r>
            <w:r>
              <w:rPr>
                <w:rFonts w:hint="eastAsia" w:cs="仿宋" w:asciiTheme="minorEastAsia" w:hAnsiTheme="minorEastAsia" w:eastAsiaTheme="minorEastAsia"/>
                <w:sz w:val="24"/>
                <w:lang w:eastAsia="zh-CN"/>
              </w:rPr>
              <w:t>）</w:t>
            </w:r>
          </w:p>
        </w:tc>
        <w:tc>
          <w:tcPr>
            <w:tcW w:w="3750" w:type="dxa"/>
            <w:gridSpan w:val="3"/>
          </w:tcPr>
          <w:p>
            <w:pPr>
              <w:widowControl/>
              <w:spacing w:line="312" w:lineRule="auto"/>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val="en-US" w:eastAsia="zh-CN"/>
              </w:rPr>
              <w:t>报价</w:t>
            </w:r>
          </w:p>
        </w:tc>
        <w:tc>
          <w:tcPr>
            <w:tcW w:w="1817" w:type="dxa"/>
            <w:vMerge w:val="restart"/>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Merge w:val="continue"/>
          </w:tcPr>
          <w:p>
            <w:pPr>
              <w:widowControl/>
              <w:spacing w:line="312" w:lineRule="auto"/>
              <w:jc w:val="both"/>
              <w:rPr>
                <w:rFonts w:cs="仿宋" w:asciiTheme="minorEastAsia" w:hAnsiTheme="minorEastAsia" w:eastAsiaTheme="minorEastAsia"/>
                <w:sz w:val="24"/>
              </w:rPr>
            </w:pPr>
          </w:p>
        </w:tc>
        <w:tc>
          <w:tcPr>
            <w:tcW w:w="1295" w:type="dxa"/>
            <w:vMerge w:val="continue"/>
          </w:tcPr>
          <w:p>
            <w:pPr>
              <w:widowControl/>
              <w:spacing w:line="312" w:lineRule="auto"/>
              <w:jc w:val="both"/>
              <w:rPr>
                <w:rFonts w:cs="仿宋" w:asciiTheme="minorEastAsia" w:hAnsiTheme="minorEastAsia" w:eastAsiaTheme="minorEastAsia"/>
                <w:sz w:val="24"/>
              </w:rPr>
            </w:pPr>
          </w:p>
        </w:tc>
        <w:tc>
          <w:tcPr>
            <w:tcW w:w="916" w:type="dxa"/>
            <w:vMerge w:val="continue"/>
          </w:tcPr>
          <w:p>
            <w:pPr>
              <w:widowControl/>
              <w:spacing w:line="312" w:lineRule="auto"/>
              <w:jc w:val="both"/>
              <w:rPr>
                <w:rFonts w:cs="仿宋" w:asciiTheme="minorEastAsia" w:hAnsiTheme="minorEastAsia" w:eastAsiaTheme="minorEastAsia"/>
                <w:sz w:val="24"/>
              </w:rPr>
            </w:pPr>
          </w:p>
        </w:tc>
        <w:tc>
          <w:tcPr>
            <w:tcW w:w="1605"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915"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123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1817" w:type="dxa"/>
            <w:vMerge w:val="continue"/>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28" w:type="dxa"/>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地表水监测</w:t>
            </w:r>
          </w:p>
        </w:tc>
        <w:tc>
          <w:tcPr>
            <w:tcW w:w="916"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 xml:space="preserve">13 </w:t>
            </w:r>
          </w:p>
        </w:tc>
        <w:tc>
          <w:tcPr>
            <w:tcW w:w="1605" w:type="dxa"/>
          </w:tcPr>
          <w:p>
            <w:pPr>
              <w:widowControl/>
              <w:spacing w:line="312" w:lineRule="auto"/>
              <w:jc w:val="both"/>
              <w:rPr>
                <w:rFonts w:cs="仿宋" w:asciiTheme="minorEastAsia" w:hAnsiTheme="minorEastAsia" w:eastAsiaTheme="minorEastAsia"/>
                <w:sz w:val="24"/>
              </w:rPr>
            </w:pPr>
          </w:p>
        </w:tc>
        <w:tc>
          <w:tcPr>
            <w:tcW w:w="915" w:type="dxa"/>
          </w:tcPr>
          <w:p>
            <w:pPr>
              <w:widowControl/>
              <w:spacing w:line="312" w:lineRule="auto"/>
              <w:jc w:val="both"/>
              <w:rPr>
                <w:rFonts w:cs="仿宋" w:asciiTheme="minorEastAsia" w:hAnsiTheme="minorEastAsia" w:eastAsiaTheme="minorEastAsia"/>
                <w:sz w:val="24"/>
              </w:rPr>
            </w:pPr>
          </w:p>
        </w:tc>
        <w:tc>
          <w:tcPr>
            <w:tcW w:w="1230" w:type="dxa"/>
          </w:tcPr>
          <w:p>
            <w:pPr>
              <w:widowControl/>
              <w:spacing w:line="312" w:lineRule="auto"/>
              <w:jc w:val="both"/>
              <w:rPr>
                <w:rFonts w:cs="仿宋" w:asciiTheme="minorEastAsia" w:hAnsiTheme="minorEastAsia" w:eastAsiaTheme="minorEastAsia"/>
                <w:sz w:val="24"/>
              </w:rPr>
            </w:pPr>
          </w:p>
        </w:tc>
        <w:tc>
          <w:tcPr>
            <w:tcW w:w="1817" w:type="dxa"/>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8"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废气监测</w:t>
            </w:r>
          </w:p>
        </w:tc>
        <w:tc>
          <w:tcPr>
            <w:tcW w:w="916"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 xml:space="preserve">13 </w:t>
            </w:r>
          </w:p>
        </w:tc>
        <w:tc>
          <w:tcPr>
            <w:tcW w:w="1605" w:type="dxa"/>
          </w:tcPr>
          <w:p>
            <w:pPr>
              <w:widowControl/>
              <w:spacing w:line="600" w:lineRule="exact"/>
              <w:jc w:val="both"/>
              <w:rPr>
                <w:rFonts w:cs="仿宋" w:asciiTheme="minorEastAsia" w:hAnsiTheme="minorEastAsia" w:eastAsiaTheme="minorEastAsia"/>
                <w:sz w:val="24"/>
              </w:rPr>
            </w:pPr>
          </w:p>
        </w:tc>
        <w:tc>
          <w:tcPr>
            <w:tcW w:w="915" w:type="dxa"/>
          </w:tcPr>
          <w:p>
            <w:pPr>
              <w:widowControl/>
              <w:spacing w:line="600" w:lineRule="exact"/>
              <w:jc w:val="both"/>
              <w:rPr>
                <w:rFonts w:cs="仿宋" w:asciiTheme="minorEastAsia" w:hAnsiTheme="minorEastAsia" w:eastAsiaTheme="minorEastAsia"/>
                <w:sz w:val="24"/>
              </w:rPr>
            </w:pPr>
          </w:p>
        </w:tc>
        <w:tc>
          <w:tcPr>
            <w:tcW w:w="1230" w:type="dxa"/>
          </w:tcPr>
          <w:p>
            <w:pPr>
              <w:widowControl/>
              <w:spacing w:line="600" w:lineRule="exact"/>
              <w:jc w:val="both"/>
              <w:rPr>
                <w:rFonts w:cs="仿宋" w:asciiTheme="minorEastAsia" w:hAnsiTheme="minorEastAsia" w:eastAsiaTheme="minorEastAsia"/>
                <w:sz w:val="24"/>
              </w:rPr>
            </w:pPr>
          </w:p>
        </w:tc>
        <w:tc>
          <w:tcPr>
            <w:tcW w:w="181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噪声监测</w:t>
            </w:r>
          </w:p>
        </w:tc>
        <w:tc>
          <w:tcPr>
            <w:tcW w:w="916"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 xml:space="preserve">13 </w:t>
            </w:r>
          </w:p>
        </w:tc>
        <w:tc>
          <w:tcPr>
            <w:tcW w:w="1605" w:type="dxa"/>
          </w:tcPr>
          <w:p>
            <w:pPr>
              <w:widowControl/>
              <w:spacing w:line="600" w:lineRule="exact"/>
              <w:jc w:val="both"/>
              <w:rPr>
                <w:rFonts w:cs="仿宋" w:asciiTheme="minorEastAsia" w:hAnsiTheme="minorEastAsia" w:eastAsiaTheme="minorEastAsia"/>
                <w:sz w:val="24"/>
              </w:rPr>
            </w:pPr>
          </w:p>
        </w:tc>
        <w:tc>
          <w:tcPr>
            <w:tcW w:w="915" w:type="dxa"/>
          </w:tcPr>
          <w:p>
            <w:pPr>
              <w:widowControl/>
              <w:spacing w:line="600" w:lineRule="exact"/>
              <w:jc w:val="both"/>
              <w:rPr>
                <w:rFonts w:cs="仿宋" w:asciiTheme="minorEastAsia" w:hAnsiTheme="minorEastAsia" w:eastAsiaTheme="minorEastAsia"/>
                <w:sz w:val="24"/>
              </w:rPr>
            </w:pPr>
          </w:p>
        </w:tc>
        <w:tc>
          <w:tcPr>
            <w:tcW w:w="1230" w:type="dxa"/>
          </w:tcPr>
          <w:p>
            <w:pPr>
              <w:widowControl/>
              <w:spacing w:line="600" w:lineRule="exact"/>
              <w:jc w:val="both"/>
              <w:rPr>
                <w:rFonts w:cs="仿宋" w:asciiTheme="minorEastAsia" w:hAnsiTheme="minorEastAsia" w:eastAsiaTheme="minorEastAsia"/>
                <w:sz w:val="24"/>
              </w:rPr>
            </w:pPr>
          </w:p>
        </w:tc>
        <w:tc>
          <w:tcPr>
            <w:tcW w:w="181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widowControl/>
              <w:spacing w:line="600" w:lineRule="exact"/>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val="en-US" w:eastAsia="zh-CN"/>
              </w:rPr>
              <w:t>4</w:t>
            </w:r>
          </w:p>
        </w:tc>
        <w:tc>
          <w:tcPr>
            <w:tcW w:w="1295"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报告编制</w:t>
            </w:r>
          </w:p>
        </w:tc>
        <w:tc>
          <w:tcPr>
            <w:tcW w:w="916" w:type="dxa"/>
            <w:vAlign w:val="center"/>
          </w:tcPr>
          <w:p>
            <w:pPr>
              <w:keepNext w:val="0"/>
              <w:keepLines w:val="0"/>
              <w:widowControl/>
              <w:suppressLineNumbers w:val="0"/>
              <w:jc w:val="center"/>
              <w:textAlignment w:val="center"/>
              <w:rPr>
                <w:rFonts w:cs="仿宋" w:asciiTheme="minorEastAsia" w:hAnsiTheme="minorEastAsia" w:eastAsiaTheme="minorEastAsia"/>
                <w:sz w:val="24"/>
              </w:rPr>
            </w:pPr>
            <w:r>
              <w:rPr>
                <w:rFonts w:hint="eastAsia" w:ascii="宋体" w:hAnsi="宋体" w:eastAsia="宋体" w:cs="宋体"/>
                <w:i w:val="0"/>
                <w:iCs w:val="0"/>
                <w:color w:val="000000"/>
                <w:kern w:val="0"/>
                <w:sz w:val="24"/>
                <w:szCs w:val="24"/>
                <w:u w:val="none"/>
                <w:lang w:val="en-US" w:eastAsia="zh-CN" w:bidi="ar"/>
              </w:rPr>
              <w:t xml:space="preserve">13 </w:t>
            </w:r>
          </w:p>
        </w:tc>
        <w:tc>
          <w:tcPr>
            <w:tcW w:w="1605" w:type="dxa"/>
          </w:tcPr>
          <w:p>
            <w:pPr>
              <w:widowControl/>
              <w:spacing w:line="600" w:lineRule="exact"/>
              <w:jc w:val="both"/>
              <w:rPr>
                <w:rFonts w:cs="仿宋" w:asciiTheme="minorEastAsia" w:hAnsiTheme="minorEastAsia" w:eastAsiaTheme="minorEastAsia"/>
                <w:sz w:val="24"/>
              </w:rPr>
            </w:pPr>
          </w:p>
        </w:tc>
        <w:tc>
          <w:tcPr>
            <w:tcW w:w="915" w:type="dxa"/>
          </w:tcPr>
          <w:p>
            <w:pPr>
              <w:widowControl/>
              <w:spacing w:line="600" w:lineRule="exact"/>
              <w:jc w:val="both"/>
              <w:rPr>
                <w:rFonts w:cs="仿宋" w:asciiTheme="minorEastAsia" w:hAnsiTheme="minorEastAsia" w:eastAsiaTheme="minorEastAsia"/>
                <w:sz w:val="24"/>
              </w:rPr>
            </w:pPr>
          </w:p>
        </w:tc>
        <w:tc>
          <w:tcPr>
            <w:tcW w:w="1230" w:type="dxa"/>
          </w:tcPr>
          <w:p>
            <w:pPr>
              <w:widowControl/>
              <w:spacing w:line="600" w:lineRule="exact"/>
              <w:jc w:val="both"/>
              <w:rPr>
                <w:rFonts w:cs="仿宋" w:asciiTheme="minorEastAsia" w:hAnsiTheme="minorEastAsia" w:eastAsiaTheme="minorEastAsia"/>
                <w:sz w:val="24"/>
              </w:rPr>
            </w:pPr>
          </w:p>
        </w:tc>
        <w:tc>
          <w:tcPr>
            <w:tcW w:w="181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9" w:type="dxa"/>
            <w:gridSpan w:val="5"/>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3047" w:type="dxa"/>
            <w:gridSpan w:val="2"/>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42"/>
        <w:ind w:left="0" w:leftChars="0" w:firstLine="0" w:firstLineChars="0"/>
        <w:jc w:val="both"/>
        <w:rPr>
          <w:rFonts w:ascii="宋体" w:hAnsi="宋体"/>
          <w:color w:val="000000" w:themeColor="text1"/>
          <w:sz w:val="24"/>
          <w:highlight w:val="none"/>
          <w14:textFill>
            <w14:solidFill>
              <w14:schemeClr w14:val="tx1"/>
            </w14:solidFill>
          </w14:textFill>
        </w:rPr>
      </w:pPr>
    </w:p>
    <w:p>
      <w:pPr>
        <w:widowControl w:val="0"/>
        <w:snapToGrid w:val="0"/>
        <w:spacing w:line="500" w:lineRule="exact"/>
        <w:jc w:val="both"/>
        <w:rPr>
          <w:rFonts w:hint="eastAsia" w:cs="仿宋" w:asciiTheme="minorEastAsia" w:hAnsiTheme="minorEastAsia" w:eastAsiaTheme="minorEastAsia"/>
          <w:sz w:val="24"/>
        </w:rPr>
      </w:pPr>
    </w:p>
    <w:p>
      <w:pPr>
        <w:widowControl w:val="0"/>
        <w:snapToGrid w:val="0"/>
        <w:spacing w:line="500" w:lineRule="exact"/>
        <w:jc w:val="both"/>
        <w:rPr>
          <w:rFonts w:hint="eastAsia" w:cs="仿宋" w:asciiTheme="minorEastAsia" w:hAnsiTheme="minorEastAsia" w:eastAsiaTheme="minorEastAsia"/>
          <w:sz w:val="24"/>
        </w:rPr>
      </w:pPr>
    </w:p>
    <w:p>
      <w:pPr>
        <w:widowControl w:val="0"/>
        <w:snapToGrid w:val="0"/>
        <w:spacing w:line="500" w:lineRule="exact"/>
        <w:jc w:val="both"/>
        <w:rPr>
          <w:rFonts w:hint="eastAsia" w:cs="仿宋" w:asciiTheme="minorEastAsia" w:hAnsiTheme="minorEastAsia" w:eastAsiaTheme="minorEastAsia"/>
          <w:sz w:val="24"/>
        </w:rPr>
      </w:pPr>
    </w:p>
    <w:p>
      <w:pPr>
        <w:widowControl w:val="0"/>
        <w:snapToGrid w:val="0"/>
        <w:spacing w:line="500" w:lineRule="exact"/>
        <w:jc w:val="both"/>
        <w:rPr>
          <w:rFonts w:hint="eastAsia" w:cs="仿宋" w:asciiTheme="minorEastAsia" w:hAnsiTheme="minorEastAsia" w:eastAsiaTheme="minorEastAsia"/>
          <w:sz w:val="24"/>
        </w:rPr>
      </w:pPr>
    </w:p>
    <w:p>
      <w:pPr>
        <w:widowControl w:val="0"/>
        <w:snapToGrid w:val="0"/>
        <w:spacing w:line="500" w:lineRule="exact"/>
        <w:jc w:val="both"/>
        <w:rPr>
          <w:rFonts w:hint="eastAsia" w:cs="仿宋" w:asciiTheme="minorEastAsia" w:hAnsiTheme="minorEastAsia" w:eastAsiaTheme="minorEastAsia"/>
          <w:sz w:val="24"/>
        </w:rPr>
      </w:pPr>
    </w:p>
    <w:p>
      <w:pPr>
        <w:widowControl w:val="0"/>
        <w:snapToGrid w:val="0"/>
        <w:spacing w:line="500" w:lineRule="exact"/>
        <w:jc w:val="both"/>
        <w:rPr>
          <w:rFonts w:hint="eastAsia" w:cs="仿宋" w:asciiTheme="minorEastAsia" w:hAnsiTheme="minorEastAsia" w:eastAsiaTheme="minorEastAsia"/>
          <w:sz w:val="24"/>
        </w:rPr>
      </w:pPr>
    </w:p>
    <w:p>
      <w:pPr>
        <w:widowControl w:val="0"/>
        <w:snapToGrid w:val="0"/>
        <w:spacing w:line="500" w:lineRule="exact"/>
        <w:jc w:val="both"/>
        <w:rPr>
          <w:rFonts w:ascii="新宋体" w:hAnsi="新宋体" w:eastAsia="新宋体" w:cs="宋体-18030"/>
          <w:b/>
          <w:bCs/>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bCs/>
          <w:sz w:val="21"/>
          <w:szCs w:val="21"/>
        </w:rPr>
        <w:t>注：</w:t>
      </w:r>
      <w:r>
        <w:rPr>
          <w:rFonts w:hint="eastAsia" w:cs="仿宋" w:asciiTheme="minorEastAsia" w:hAnsiTheme="minorEastAsia" w:eastAsiaTheme="minorEastAsia"/>
          <w:b/>
          <w:bCs/>
          <w:sz w:val="21"/>
          <w:szCs w:val="21"/>
          <w:lang w:val="en-US" w:eastAsia="zh-CN"/>
        </w:rPr>
        <w:t>1.</w:t>
      </w:r>
      <w:r>
        <w:rPr>
          <w:rFonts w:hint="eastAsia" w:cs="仿宋" w:asciiTheme="minorEastAsia" w:hAnsiTheme="minorEastAsia" w:eastAsiaTheme="minorEastAsia"/>
          <w:b/>
          <w:bCs/>
          <w:sz w:val="21"/>
          <w:szCs w:val="21"/>
        </w:rPr>
        <w:t>若分项费用的计算依据、过程和公式不便在表中表述，可单独另附表格或描述进行说明。</w:t>
      </w:r>
    </w:p>
    <w:p>
      <w:pPr>
        <w:widowControl w:val="0"/>
        <w:snapToGrid w:val="0"/>
        <w:spacing w:line="500" w:lineRule="exact"/>
        <w:jc w:val="both"/>
        <w:rPr>
          <w:rFonts w:hint="default" w:cs="仿宋" w:asciiTheme="minorEastAsia" w:hAnsiTheme="minorEastAsia" w:eastAsiaTheme="minorEastAsia"/>
          <w:b/>
          <w:bCs/>
          <w:sz w:val="21"/>
          <w:szCs w:val="21"/>
          <w:lang w:val="en-US" w:eastAsia="zh-CN"/>
        </w:rPr>
      </w:pPr>
      <w:r>
        <w:rPr>
          <w:rFonts w:hint="eastAsia" w:cs="仿宋" w:asciiTheme="minorEastAsia" w:hAnsiTheme="minorEastAsia" w:eastAsiaTheme="minorEastAsia"/>
          <w:b/>
          <w:bCs/>
          <w:sz w:val="21"/>
          <w:szCs w:val="21"/>
          <w:lang w:val="en-US" w:eastAsia="zh-CN"/>
        </w:rPr>
        <w:t>2.报价</w:t>
      </w:r>
      <w:r>
        <w:rPr>
          <w:rFonts w:hint="eastAsia" w:cs="仿宋" w:asciiTheme="minorEastAsia" w:hAnsiTheme="minorEastAsia" w:eastAsiaTheme="minorEastAsia"/>
          <w:b/>
          <w:bCs/>
          <w:sz w:val="21"/>
          <w:szCs w:val="21"/>
        </w:rPr>
        <w:t>包括完成所投标段所有工作内容和提供资料成果、后续服务、会务费、专家评审费、税金</w:t>
      </w:r>
      <w:r>
        <w:rPr>
          <w:rFonts w:hint="eastAsia" w:cs="仿宋" w:asciiTheme="minorEastAsia" w:hAnsiTheme="minorEastAsia" w:eastAsiaTheme="minorEastAsia"/>
          <w:b/>
          <w:bCs/>
          <w:sz w:val="21"/>
          <w:szCs w:val="21"/>
          <w:lang w:val="en-US" w:eastAsia="zh-CN"/>
        </w:rPr>
        <w:t>等</w:t>
      </w:r>
      <w:r>
        <w:rPr>
          <w:rFonts w:hint="eastAsia" w:cs="仿宋" w:asciiTheme="minorEastAsia" w:hAnsiTheme="minorEastAsia" w:eastAsiaTheme="minorEastAsia"/>
          <w:b/>
          <w:bCs/>
          <w:sz w:val="21"/>
          <w:szCs w:val="21"/>
        </w:rPr>
        <w:t>相关的全部费用，由乙方包干使用。</w:t>
      </w:r>
    </w:p>
    <w:p>
      <w:pPr>
        <w:pStyle w:val="41"/>
      </w:pPr>
    </w:p>
    <w:p>
      <w:pPr>
        <w:pStyle w:val="41"/>
      </w:pPr>
    </w:p>
    <w:p>
      <w:pPr>
        <w:pStyle w:val="41"/>
      </w:pPr>
    </w:p>
    <w:p>
      <w:pPr>
        <w:pStyle w:val="41"/>
      </w:pPr>
    </w:p>
    <w:p>
      <w:pPr>
        <w:spacing w:line="600" w:lineRule="exact"/>
        <w:jc w:val="both"/>
        <w:rPr>
          <w:rFonts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both"/>
        <w:rPr>
          <w:rFonts w:hint="eastAsia" w:ascii="黑体" w:hAnsi="黑体" w:eastAsia="黑体" w:cs="仿宋"/>
          <w:sz w:val="36"/>
          <w:szCs w:val="36"/>
        </w:rPr>
      </w:pPr>
    </w:p>
    <w:p>
      <w:pPr>
        <w:spacing w:line="600" w:lineRule="exact"/>
        <w:jc w:val="center"/>
        <w:rPr>
          <w:rFonts w:hint="eastAsia" w:ascii="黑体" w:hAnsi="黑体" w:eastAsia="黑体" w:cs="仿宋"/>
          <w:sz w:val="36"/>
          <w:szCs w:val="36"/>
        </w:rPr>
      </w:pPr>
    </w:p>
    <w:p>
      <w:pPr>
        <w:spacing w:line="600" w:lineRule="exact"/>
        <w:jc w:val="center"/>
        <w:rPr>
          <w:rFonts w:ascii="黑体" w:hAnsi="黑体" w:eastAsia="黑体" w:cs="仿宋"/>
          <w:sz w:val="36"/>
          <w:szCs w:val="36"/>
        </w:rPr>
      </w:pPr>
      <w:r>
        <w:rPr>
          <w:rFonts w:hint="eastAsia" w:ascii="黑体" w:hAnsi="黑体" w:eastAsia="黑体" w:cs="仿宋"/>
          <w:sz w:val="36"/>
          <w:szCs w:val="36"/>
        </w:rPr>
        <w:t>五、资格审查资料</w:t>
      </w:r>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供应商还应根据供应商须知前附表第3.5（5）项、第3.5（7）项和第3.5（8）项的要求提供其他相关证明材料。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供应商应根据供应商须知前附表第3.5（3）项的要求提供近年财务会计报表复印件，没有要求则可以不提供。</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4"/>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tbl>
      <w:tblPr>
        <w:tblStyle w:val="43"/>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7"/>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7"/>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六、响应方案</w:t>
      </w:r>
    </w:p>
    <w:p>
      <w:pPr>
        <w:pStyle w:val="41"/>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(6)服务质量、进度、保密等保证措施;</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(7)服务工作重点、难点分析;</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(8)对本项目的合理化建议。</w:t>
      </w: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七、其他资料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6" w:type="default"/>
      <w:pgSz w:w="11906" w:h="16838"/>
      <w:pgMar w:top="1440" w:right="1080" w:bottom="1440" w:left="1080" w:header="851" w:footer="1344"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65B3FB4-E6B1-4977-9F93-404E5D00E6BA}"/>
  </w:font>
  <w:font w:name="Arial">
    <w:panose1 w:val="020B0604020202020204"/>
    <w:charset w:val="01"/>
    <w:family w:val="swiss"/>
    <w:pitch w:val="default"/>
    <w:sig w:usb0="E0002EFF" w:usb1="C000785B" w:usb2="00000009" w:usb3="00000000" w:csb0="400001FF" w:csb1="FFFF0000"/>
    <w:embedRegular r:id="rId2" w:fontKey="{67EE7D87-B833-4287-9053-71D832B234E3}"/>
  </w:font>
  <w:font w:name="黑体">
    <w:panose1 w:val="02010609060101010101"/>
    <w:charset w:val="86"/>
    <w:family w:val="auto"/>
    <w:pitch w:val="default"/>
    <w:sig w:usb0="800002BF" w:usb1="38CF7CFA" w:usb2="00000016" w:usb3="00000000" w:csb0="00040001" w:csb1="00000000"/>
    <w:embedRegular r:id="rId3" w:fontKey="{A5ACDF94-98D7-4D7D-833B-2C55E89E72C0}"/>
  </w:font>
  <w:font w:name="Courier New">
    <w:panose1 w:val="02070309020205020404"/>
    <w:charset w:val="01"/>
    <w:family w:val="modern"/>
    <w:pitch w:val="default"/>
    <w:sig w:usb0="E0002EFF" w:usb1="C0007843" w:usb2="00000009" w:usb3="00000000" w:csb0="400001FF" w:csb1="FFFF0000"/>
    <w:embedRegular r:id="rId4" w:fontKey="{1DCF65B9-CB57-40AA-90AC-86264537924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81E8401C-3499-4A17-B173-B33CAB68E3F8}"/>
  </w:font>
  <w:font w:name="楷体_GB2312">
    <w:panose1 w:val="02010609030101010101"/>
    <w:charset w:val="86"/>
    <w:family w:val="modern"/>
    <w:pitch w:val="default"/>
    <w:sig w:usb0="00000001" w:usb1="080E0000" w:usb2="00000000" w:usb3="00000000" w:csb0="00040000" w:csb1="00000000"/>
    <w:embedRegular r:id="rId6" w:fontKey="{BD029DB4-C80C-4AB9-AEF1-AB78193F4F14}"/>
  </w:font>
  <w:font w:name="华文楷体">
    <w:panose1 w:val="02010600040101010101"/>
    <w:charset w:val="86"/>
    <w:family w:val="auto"/>
    <w:pitch w:val="default"/>
    <w:sig w:usb0="00000287" w:usb1="080F0000" w:usb2="00000000" w:usb3="00000000" w:csb0="0004009F" w:csb1="DFD70000"/>
    <w:embedRegular r:id="rId7" w:fontKey="{384D90F8-AEB8-44F8-834E-CF26D1431FCA}"/>
  </w:font>
  <w:font w:name="微软雅黑">
    <w:panose1 w:val="020B0503020204020204"/>
    <w:charset w:val="86"/>
    <w:family w:val="swiss"/>
    <w:pitch w:val="default"/>
    <w:sig w:usb0="80000287" w:usb1="2ACF3C50" w:usb2="00000016" w:usb3="00000000" w:csb0="0004001F" w:csb1="00000000"/>
    <w:embedRegular r:id="rId8" w:fontKey="{1B4DFC29-6B25-4319-8150-FC091CAEE6AF}"/>
  </w:font>
  <w:font w:name="Wingdings 2">
    <w:panose1 w:val="05020102010507070707"/>
    <w:charset w:val="00"/>
    <w:family w:val="auto"/>
    <w:pitch w:val="default"/>
    <w:sig w:usb0="00000000" w:usb1="00000000" w:usb2="00000000" w:usb3="00000000" w:csb0="80000000" w:csb1="00000000"/>
    <w:embedRegular r:id="rId9" w:fontKey="{777839C8-043F-4799-AB91-C2A3DE6B571B}"/>
  </w:font>
  <w:font w:name="华文中宋">
    <w:panose1 w:val="02010600040101010101"/>
    <w:charset w:val="86"/>
    <w:family w:val="auto"/>
    <w:pitch w:val="default"/>
    <w:sig w:usb0="00000287" w:usb1="080F0000" w:usb2="00000000" w:usb3="00000000" w:csb0="0004009F" w:csb1="DFD70000"/>
    <w:embedRegular r:id="rId10" w:fontKey="{17926C01-F748-496F-9E92-0287BDDEA048}"/>
  </w:font>
  <w:font w:name="方正小标宋_GBK">
    <w:panose1 w:val="02000000000000000000"/>
    <w:charset w:val="86"/>
    <w:family w:val="auto"/>
    <w:pitch w:val="default"/>
    <w:sig w:usb0="A00002BF" w:usb1="38CF7CFA" w:usb2="00082016" w:usb3="00000000" w:csb0="00040001" w:csb1="00000000"/>
    <w:embedRegular r:id="rId11" w:fontKey="{B42D83A1-EA04-448A-A77C-B7FE822DD119}"/>
  </w:font>
  <w:font w:name="新宋体">
    <w:panose1 w:val="02010609030101010101"/>
    <w:charset w:val="86"/>
    <w:family w:val="modern"/>
    <w:pitch w:val="default"/>
    <w:sig w:usb0="00000283" w:usb1="288F0000" w:usb2="00000006" w:usb3="00000000" w:csb0="00040001" w:csb1="00000000"/>
    <w:embedRegular r:id="rId12" w:fontKey="{4BCFBC5A-27AA-463B-918C-DF0FFD49267A}"/>
  </w:font>
  <w:font w:name="宋体-18030">
    <w:altName w:val="宋体"/>
    <w:panose1 w:val="00000000000000000000"/>
    <w:charset w:val="86"/>
    <w:family w:val="modern"/>
    <w:pitch w:val="default"/>
    <w:sig w:usb0="00000000" w:usb1="00000000" w:usb2="000A005E" w:usb3="00000000" w:csb0="00040001" w:csb1="00000000"/>
    <w:embedRegular r:id="rId13" w:fontKey="{7E04A0EE-35A9-4139-ABFB-E6F27F13EDEF}"/>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after="120"/>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561331"/>
                          </w:sdtPr>
                          <w:sdtEndPr>
                            <w:rPr>
                              <w:sz w:val="20"/>
                            </w:rPr>
                          </w:sdtEndPr>
                          <w:sdtContent>
                            <w:p>
                              <w:pPr>
                                <w:pStyle w:val="27"/>
                                <w:spacing w:before="120" w:after="120"/>
                                <w:jc w:val="center"/>
                                <w:rPr>
                                  <w:sz w:val="20"/>
                                </w:rPr>
                              </w:pPr>
                              <w:r>
                                <w:rPr>
                                  <w:sz w:val="20"/>
                                </w:rPr>
                                <w:fldChar w:fldCharType="begin"/>
                              </w:r>
                              <w:r>
                                <w:rPr>
                                  <w:sz w:val="20"/>
                                </w:rPr>
                                <w:instrText xml:space="preserve"> PAGE   \* MERGEFORMAT </w:instrText>
                              </w:r>
                              <w:r>
                                <w:rPr>
                                  <w:sz w:val="20"/>
                                </w:rPr>
                                <w:fldChar w:fldCharType="separate"/>
                              </w:r>
                              <w:r>
                                <w:rPr>
                                  <w:sz w:val="20"/>
                                  <w:lang w:val="zh-CN"/>
                                </w:rPr>
                                <w:t>53</w:t>
                              </w:r>
                              <w:r>
                                <w:rPr>
                                  <w:sz w:val="20"/>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0561331"/>
                    </w:sdtPr>
                    <w:sdtEndPr>
                      <w:rPr>
                        <w:sz w:val="20"/>
                      </w:rPr>
                    </w:sdtEndPr>
                    <w:sdtContent>
                      <w:p>
                        <w:pPr>
                          <w:pStyle w:val="27"/>
                          <w:spacing w:before="120" w:after="120"/>
                          <w:jc w:val="center"/>
                          <w:rPr>
                            <w:sz w:val="20"/>
                          </w:rPr>
                        </w:pPr>
                        <w:r>
                          <w:rPr>
                            <w:sz w:val="20"/>
                          </w:rPr>
                          <w:fldChar w:fldCharType="begin"/>
                        </w:r>
                        <w:r>
                          <w:rPr>
                            <w:sz w:val="20"/>
                          </w:rPr>
                          <w:instrText xml:space="preserve"> PAGE   \* MERGEFORMAT </w:instrText>
                        </w:r>
                        <w:r>
                          <w:rPr>
                            <w:sz w:val="20"/>
                          </w:rPr>
                          <w:fldChar w:fldCharType="separate"/>
                        </w:r>
                        <w:r>
                          <w:rPr>
                            <w:sz w:val="20"/>
                            <w:lang w:val="zh-CN"/>
                          </w:rPr>
                          <w:t>53</w:t>
                        </w:r>
                        <w:r>
                          <w:rPr>
                            <w:sz w:val="20"/>
                          </w:rPr>
                          <w:fldChar w:fldCharType="end"/>
                        </w:r>
                      </w:p>
                    </w:sdtContent>
                  </w:sdt>
                  <w:p>
                    <w:pPr>
                      <w:pStyle w:val="2"/>
                    </w:pPr>
                  </w:p>
                </w:txbxContent>
              </v:textbox>
            </v:shape>
          </w:pict>
        </mc:Fallback>
      </mc:AlternateContent>
    </w:r>
  </w:p>
  <w:p>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1E8E4BA"/>
    <w:multiLevelType w:val="singleLevel"/>
    <w:tmpl w:val="61E8E4BA"/>
    <w:lvl w:ilvl="0" w:tentative="0">
      <w:start w:val="4"/>
      <w:numFmt w:val="chineseCounting"/>
      <w:suff w:val="nothing"/>
      <w:lvlText w:val="%1、"/>
      <w:lvlJc w:val="left"/>
      <w:rPr>
        <w:rFonts w:hint="eastAsia"/>
      </w:rPr>
    </w:lvl>
  </w:abstractNum>
  <w:abstractNum w:abstractNumId="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OTgzYWJlZTQ4OWUwNmU2NDgyNDg3ZTU4ZmE2OGEifQ=="/>
  </w:docVars>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33FA7"/>
    <w:rsid w:val="00141200"/>
    <w:rsid w:val="001421A1"/>
    <w:rsid w:val="0014231F"/>
    <w:rsid w:val="001429F5"/>
    <w:rsid w:val="00143EE9"/>
    <w:rsid w:val="00144827"/>
    <w:rsid w:val="00144A0B"/>
    <w:rsid w:val="00145FF7"/>
    <w:rsid w:val="00155F5F"/>
    <w:rsid w:val="001612C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9714E"/>
    <w:rsid w:val="002A13A6"/>
    <w:rsid w:val="002A3646"/>
    <w:rsid w:val="002A69B8"/>
    <w:rsid w:val="002B225E"/>
    <w:rsid w:val="002B7B11"/>
    <w:rsid w:val="002D3DCC"/>
    <w:rsid w:val="002D460A"/>
    <w:rsid w:val="002E1D5F"/>
    <w:rsid w:val="002E38E3"/>
    <w:rsid w:val="002F4C12"/>
    <w:rsid w:val="00302D5A"/>
    <w:rsid w:val="0031048F"/>
    <w:rsid w:val="003220EE"/>
    <w:rsid w:val="003276E9"/>
    <w:rsid w:val="00332EC7"/>
    <w:rsid w:val="003332ED"/>
    <w:rsid w:val="00333AC7"/>
    <w:rsid w:val="003346E3"/>
    <w:rsid w:val="00335C6C"/>
    <w:rsid w:val="00340982"/>
    <w:rsid w:val="00341BE1"/>
    <w:rsid w:val="00343219"/>
    <w:rsid w:val="00350860"/>
    <w:rsid w:val="00352B11"/>
    <w:rsid w:val="003536C1"/>
    <w:rsid w:val="00371495"/>
    <w:rsid w:val="00392340"/>
    <w:rsid w:val="003A008A"/>
    <w:rsid w:val="003A21A4"/>
    <w:rsid w:val="003A35E6"/>
    <w:rsid w:val="003A47A2"/>
    <w:rsid w:val="003A7BE3"/>
    <w:rsid w:val="003B1B7D"/>
    <w:rsid w:val="003C0E8A"/>
    <w:rsid w:val="003C71AC"/>
    <w:rsid w:val="003E7A6F"/>
    <w:rsid w:val="004179C4"/>
    <w:rsid w:val="00421015"/>
    <w:rsid w:val="004212E9"/>
    <w:rsid w:val="00445025"/>
    <w:rsid w:val="004477E9"/>
    <w:rsid w:val="004528FC"/>
    <w:rsid w:val="004529AE"/>
    <w:rsid w:val="00464986"/>
    <w:rsid w:val="00470510"/>
    <w:rsid w:val="00474349"/>
    <w:rsid w:val="00477005"/>
    <w:rsid w:val="00480E54"/>
    <w:rsid w:val="00482A85"/>
    <w:rsid w:val="00484179"/>
    <w:rsid w:val="0048561B"/>
    <w:rsid w:val="00494772"/>
    <w:rsid w:val="004A6BC6"/>
    <w:rsid w:val="004B2465"/>
    <w:rsid w:val="004B24C9"/>
    <w:rsid w:val="004B3E4A"/>
    <w:rsid w:val="004D1DCD"/>
    <w:rsid w:val="004D2DC8"/>
    <w:rsid w:val="004D702E"/>
    <w:rsid w:val="004E60E1"/>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20267"/>
    <w:rsid w:val="006417A4"/>
    <w:rsid w:val="006435FD"/>
    <w:rsid w:val="00645395"/>
    <w:rsid w:val="00651B0A"/>
    <w:rsid w:val="0065638A"/>
    <w:rsid w:val="00656CED"/>
    <w:rsid w:val="00660D70"/>
    <w:rsid w:val="00665B3C"/>
    <w:rsid w:val="00673382"/>
    <w:rsid w:val="00676BDB"/>
    <w:rsid w:val="00686532"/>
    <w:rsid w:val="00690B7C"/>
    <w:rsid w:val="006A12CE"/>
    <w:rsid w:val="006A499F"/>
    <w:rsid w:val="006B1EC2"/>
    <w:rsid w:val="006B3F31"/>
    <w:rsid w:val="006C735F"/>
    <w:rsid w:val="006D0C6A"/>
    <w:rsid w:val="006D3E72"/>
    <w:rsid w:val="006D4B19"/>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1044"/>
    <w:rsid w:val="007F3D4A"/>
    <w:rsid w:val="0080745B"/>
    <w:rsid w:val="00822A51"/>
    <w:rsid w:val="00824B55"/>
    <w:rsid w:val="00840BC7"/>
    <w:rsid w:val="00855A14"/>
    <w:rsid w:val="00857A74"/>
    <w:rsid w:val="00867D79"/>
    <w:rsid w:val="008705DF"/>
    <w:rsid w:val="008762E6"/>
    <w:rsid w:val="00883782"/>
    <w:rsid w:val="00892349"/>
    <w:rsid w:val="00892DCC"/>
    <w:rsid w:val="00893136"/>
    <w:rsid w:val="008933B7"/>
    <w:rsid w:val="00896688"/>
    <w:rsid w:val="008A4531"/>
    <w:rsid w:val="008A6664"/>
    <w:rsid w:val="008B2D72"/>
    <w:rsid w:val="008C623B"/>
    <w:rsid w:val="008F63B7"/>
    <w:rsid w:val="008F6B51"/>
    <w:rsid w:val="0090589A"/>
    <w:rsid w:val="009315C2"/>
    <w:rsid w:val="00935E41"/>
    <w:rsid w:val="00935ED2"/>
    <w:rsid w:val="009413B0"/>
    <w:rsid w:val="00954F74"/>
    <w:rsid w:val="00955643"/>
    <w:rsid w:val="009573B9"/>
    <w:rsid w:val="00965E94"/>
    <w:rsid w:val="00970629"/>
    <w:rsid w:val="00983877"/>
    <w:rsid w:val="009A1BD2"/>
    <w:rsid w:val="009A24B1"/>
    <w:rsid w:val="009B084E"/>
    <w:rsid w:val="009B5405"/>
    <w:rsid w:val="009B626F"/>
    <w:rsid w:val="009B66AE"/>
    <w:rsid w:val="00A02DDD"/>
    <w:rsid w:val="00A12741"/>
    <w:rsid w:val="00A15750"/>
    <w:rsid w:val="00A1787E"/>
    <w:rsid w:val="00A2148B"/>
    <w:rsid w:val="00A24206"/>
    <w:rsid w:val="00A2462C"/>
    <w:rsid w:val="00A27204"/>
    <w:rsid w:val="00A33D67"/>
    <w:rsid w:val="00A3767B"/>
    <w:rsid w:val="00A41388"/>
    <w:rsid w:val="00A477C0"/>
    <w:rsid w:val="00A507DC"/>
    <w:rsid w:val="00A51380"/>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477B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E3A30"/>
    <w:rsid w:val="00BF2669"/>
    <w:rsid w:val="00C00CD2"/>
    <w:rsid w:val="00C03C07"/>
    <w:rsid w:val="00C12666"/>
    <w:rsid w:val="00C14B63"/>
    <w:rsid w:val="00C16814"/>
    <w:rsid w:val="00C22565"/>
    <w:rsid w:val="00C35469"/>
    <w:rsid w:val="00C35C4F"/>
    <w:rsid w:val="00C50F7B"/>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074CA"/>
    <w:rsid w:val="00D1160E"/>
    <w:rsid w:val="00D1328D"/>
    <w:rsid w:val="00D26E74"/>
    <w:rsid w:val="00D27461"/>
    <w:rsid w:val="00D30D7D"/>
    <w:rsid w:val="00D32AD3"/>
    <w:rsid w:val="00D35B47"/>
    <w:rsid w:val="00D44DE9"/>
    <w:rsid w:val="00D4514A"/>
    <w:rsid w:val="00D51582"/>
    <w:rsid w:val="00D52D42"/>
    <w:rsid w:val="00D5313A"/>
    <w:rsid w:val="00D56D4E"/>
    <w:rsid w:val="00D812B2"/>
    <w:rsid w:val="00D841AD"/>
    <w:rsid w:val="00D86B1B"/>
    <w:rsid w:val="00D90F37"/>
    <w:rsid w:val="00D92EB2"/>
    <w:rsid w:val="00D962D6"/>
    <w:rsid w:val="00DA2E85"/>
    <w:rsid w:val="00DA3A70"/>
    <w:rsid w:val="00DA6572"/>
    <w:rsid w:val="00DB1FDD"/>
    <w:rsid w:val="00DB2007"/>
    <w:rsid w:val="00DC3790"/>
    <w:rsid w:val="00DC758D"/>
    <w:rsid w:val="00DD03AC"/>
    <w:rsid w:val="00DD081E"/>
    <w:rsid w:val="00DD63AD"/>
    <w:rsid w:val="00DD7197"/>
    <w:rsid w:val="00DE1291"/>
    <w:rsid w:val="00DF2B35"/>
    <w:rsid w:val="00E006FA"/>
    <w:rsid w:val="00E02792"/>
    <w:rsid w:val="00E07092"/>
    <w:rsid w:val="00E10A95"/>
    <w:rsid w:val="00E13546"/>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95103"/>
    <w:rsid w:val="00FA4CC3"/>
    <w:rsid w:val="00FA688E"/>
    <w:rsid w:val="00FB5348"/>
    <w:rsid w:val="00FB7FEC"/>
    <w:rsid w:val="00FC0CDA"/>
    <w:rsid w:val="00FC2557"/>
    <w:rsid w:val="00FC3155"/>
    <w:rsid w:val="00FD0360"/>
    <w:rsid w:val="00FD4D0F"/>
    <w:rsid w:val="00FD78D6"/>
    <w:rsid w:val="00FE3439"/>
    <w:rsid w:val="00FE5003"/>
    <w:rsid w:val="00FF43B1"/>
    <w:rsid w:val="00FF670A"/>
    <w:rsid w:val="015D4263"/>
    <w:rsid w:val="016110F4"/>
    <w:rsid w:val="0194156B"/>
    <w:rsid w:val="01A26771"/>
    <w:rsid w:val="01AC7279"/>
    <w:rsid w:val="01B372CB"/>
    <w:rsid w:val="01BB3CD7"/>
    <w:rsid w:val="01CD028F"/>
    <w:rsid w:val="01D76005"/>
    <w:rsid w:val="01DC3308"/>
    <w:rsid w:val="01F71C64"/>
    <w:rsid w:val="02C82FD8"/>
    <w:rsid w:val="02ED36E6"/>
    <w:rsid w:val="03600692"/>
    <w:rsid w:val="03C525EF"/>
    <w:rsid w:val="03EC7A55"/>
    <w:rsid w:val="047C353A"/>
    <w:rsid w:val="04A65DBC"/>
    <w:rsid w:val="04C64E6C"/>
    <w:rsid w:val="050414F1"/>
    <w:rsid w:val="05646BF5"/>
    <w:rsid w:val="05C5544A"/>
    <w:rsid w:val="05C8377A"/>
    <w:rsid w:val="05CD3A4B"/>
    <w:rsid w:val="05DA343D"/>
    <w:rsid w:val="05EF1FFE"/>
    <w:rsid w:val="065F7326"/>
    <w:rsid w:val="068B011B"/>
    <w:rsid w:val="068E3768"/>
    <w:rsid w:val="06B156A8"/>
    <w:rsid w:val="071C2DD7"/>
    <w:rsid w:val="07342912"/>
    <w:rsid w:val="074402CA"/>
    <w:rsid w:val="077361DD"/>
    <w:rsid w:val="079B5DEA"/>
    <w:rsid w:val="080B0FD8"/>
    <w:rsid w:val="082E2834"/>
    <w:rsid w:val="0882554E"/>
    <w:rsid w:val="08826D5B"/>
    <w:rsid w:val="08876C3D"/>
    <w:rsid w:val="08BD0334"/>
    <w:rsid w:val="08C276F9"/>
    <w:rsid w:val="09343645"/>
    <w:rsid w:val="09531F9B"/>
    <w:rsid w:val="095D52F8"/>
    <w:rsid w:val="09970B85"/>
    <w:rsid w:val="09C6304D"/>
    <w:rsid w:val="09E7100A"/>
    <w:rsid w:val="0AED2D32"/>
    <w:rsid w:val="0AF00027"/>
    <w:rsid w:val="0B0009AC"/>
    <w:rsid w:val="0B0D605F"/>
    <w:rsid w:val="0B272FBD"/>
    <w:rsid w:val="0B300652"/>
    <w:rsid w:val="0B534E7F"/>
    <w:rsid w:val="0B843200"/>
    <w:rsid w:val="0C905B62"/>
    <w:rsid w:val="0CCC561D"/>
    <w:rsid w:val="0CD44FE7"/>
    <w:rsid w:val="0CE02BCB"/>
    <w:rsid w:val="0D414932"/>
    <w:rsid w:val="0D544DBD"/>
    <w:rsid w:val="0D8B5F9E"/>
    <w:rsid w:val="0DB759FC"/>
    <w:rsid w:val="0DBD1316"/>
    <w:rsid w:val="0DC567C6"/>
    <w:rsid w:val="0DE6510D"/>
    <w:rsid w:val="0DEA4BBA"/>
    <w:rsid w:val="0E1F3EB9"/>
    <w:rsid w:val="0E5F368D"/>
    <w:rsid w:val="0E891CDE"/>
    <w:rsid w:val="0E894C6A"/>
    <w:rsid w:val="0F06122A"/>
    <w:rsid w:val="0F250657"/>
    <w:rsid w:val="0F4339B2"/>
    <w:rsid w:val="0FE216C6"/>
    <w:rsid w:val="100D3E04"/>
    <w:rsid w:val="101C0769"/>
    <w:rsid w:val="1029705A"/>
    <w:rsid w:val="106A2B50"/>
    <w:rsid w:val="107E6ED2"/>
    <w:rsid w:val="10822BE0"/>
    <w:rsid w:val="10A157BC"/>
    <w:rsid w:val="10A5002C"/>
    <w:rsid w:val="10D715D2"/>
    <w:rsid w:val="10D814A8"/>
    <w:rsid w:val="10E35F22"/>
    <w:rsid w:val="112343A2"/>
    <w:rsid w:val="113B3D20"/>
    <w:rsid w:val="115E4704"/>
    <w:rsid w:val="119E5E08"/>
    <w:rsid w:val="12362DDF"/>
    <w:rsid w:val="124473D0"/>
    <w:rsid w:val="12751ADB"/>
    <w:rsid w:val="12AD21C7"/>
    <w:rsid w:val="12C545E8"/>
    <w:rsid w:val="135447D6"/>
    <w:rsid w:val="13692E14"/>
    <w:rsid w:val="136C60D7"/>
    <w:rsid w:val="140828E4"/>
    <w:rsid w:val="143222F6"/>
    <w:rsid w:val="14460B9F"/>
    <w:rsid w:val="145076DA"/>
    <w:rsid w:val="14514802"/>
    <w:rsid w:val="14624D7D"/>
    <w:rsid w:val="149C34F4"/>
    <w:rsid w:val="14B70C0B"/>
    <w:rsid w:val="1500069C"/>
    <w:rsid w:val="15912658"/>
    <w:rsid w:val="15CC022F"/>
    <w:rsid w:val="15CC4085"/>
    <w:rsid w:val="160A7A1D"/>
    <w:rsid w:val="160B7CDB"/>
    <w:rsid w:val="16204FC8"/>
    <w:rsid w:val="16314BAD"/>
    <w:rsid w:val="16747CB5"/>
    <w:rsid w:val="17100B20"/>
    <w:rsid w:val="17455A09"/>
    <w:rsid w:val="17594306"/>
    <w:rsid w:val="176A795A"/>
    <w:rsid w:val="177B677A"/>
    <w:rsid w:val="17D539F2"/>
    <w:rsid w:val="17DD7BFF"/>
    <w:rsid w:val="17DF02C7"/>
    <w:rsid w:val="17FA7AA4"/>
    <w:rsid w:val="18961368"/>
    <w:rsid w:val="18A90CBA"/>
    <w:rsid w:val="18E30B84"/>
    <w:rsid w:val="18E4741C"/>
    <w:rsid w:val="18F356AC"/>
    <w:rsid w:val="19097045"/>
    <w:rsid w:val="196A4431"/>
    <w:rsid w:val="19B17A41"/>
    <w:rsid w:val="1A104EBC"/>
    <w:rsid w:val="1ABA20D4"/>
    <w:rsid w:val="1AEE5086"/>
    <w:rsid w:val="1B0F0EC3"/>
    <w:rsid w:val="1C1F281B"/>
    <w:rsid w:val="1C2153BD"/>
    <w:rsid w:val="1C2276D5"/>
    <w:rsid w:val="1C7D1864"/>
    <w:rsid w:val="1D082A55"/>
    <w:rsid w:val="1D1722B1"/>
    <w:rsid w:val="1D5D05DC"/>
    <w:rsid w:val="1D8F1E47"/>
    <w:rsid w:val="1DAB68D7"/>
    <w:rsid w:val="1DBB01B3"/>
    <w:rsid w:val="1DC7279C"/>
    <w:rsid w:val="1DC8750C"/>
    <w:rsid w:val="1DEC3661"/>
    <w:rsid w:val="1E0F4D36"/>
    <w:rsid w:val="1E1F3B60"/>
    <w:rsid w:val="1E5803E7"/>
    <w:rsid w:val="1E901304"/>
    <w:rsid w:val="1E924450"/>
    <w:rsid w:val="1F031D0C"/>
    <w:rsid w:val="1F0F644E"/>
    <w:rsid w:val="1F2E0BFF"/>
    <w:rsid w:val="1F3F4759"/>
    <w:rsid w:val="1F7E2174"/>
    <w:rsid w:val="1F833B5F"/>
    <w:rsid w:val="1F9D58D9"/>
    <w:rsid w:val="1FB37BD1"/>
    <w:rsid w:val="1FBF76D7"/>
    <w:rsid w:val="1FF93EF0"/>
    <w:rsid w:val="205D54C9"/>
    <w:rsid w:val="20F56E6A"/>
    <w:rsid w:val="210E5B18"/>
    <w:rsid w:val="212E078A"/>
    <w:rsid w:val="212E5E1B"/>
    <w:rsid w:val="21391930"/>
    <w:rsid w:val="213E3A2F"/>
    <w:rsid w:val="21555156"/>
    <w:rsid w:val="215D04AF"/>
    <w:rsid w:val="217D4062"/>
    <w:rsid w:val="21971EBA"/>
    <w:rsid w:val="21F229A5"/>
    <w:rsid w:val="22244B28"/>
    <w:rsid w:val="224B50C3"/>
    <w:rsid w:val="22C23D47"/>
    <w:rsid w:val="22CD0ADC"/>
    <w:rsid w:val="23331D17"/>
    <w:rsid w:val="235B5479"/>
    <w:rsid w:val="23A34879"/>
    <w:rsid w:val="23BE1A45"/>
    <w:rsid w:val="23BE7ACA"/>
    <w:rsid w:val="244C69D6"/>
    <w:rsid w:val="24527171"/>
    <w:rsid w:val="24C25045"/>
    <w:rsid w:val="24CF2408"/>
    <w:rsid w:val="2523337C"/>
    <w:rsid w:val="25313DAC"/>
    <w:rsid w:val="25670F4C"/>
    <w:rsid w:val="2578297E"/>
    <w:rsid w:val="2584425C"/>
    <w:rsid w:val="25AC4AA1"/>
    <w:rsid w:val="25EA60A7"/>
    <w:rsid w:val="260770CA"/>
    <w:rsid w:val="2610789E"/>
    <w:rsid w:val="264E6DB9"/>
    <w:rsid w:val="26920BFA"/>
    <w:rsid w:val="26A05072"/>
    <w:rsid w:val="26A22F8C"/>
    <w:rsid w:val="26E937DE"/>
    <w:rsid w:val="274B1A62"/>
    <w:rsid w:val="27567236"/>
    <w:rsid w:val="27637EB2"/>
    <w:rsid w:val="27E311ED"/>
    <w:rsid w:val="27FF7BCA"/>
    <w:rsid w:val="280B47C0"/>
    <w:rsid w:val="2872440F"/>
    <w:rsid w:val="28EE7628"/>
    <w:rsid w:val="29152BC1"/>
    <w:rsid w:val="294F2DD3"/>
    <w:rsid w:val="295E13D6"/>
    <w:rsid w:val="295F1BEE"/>
    <w:rsid w:val="29827E50"/>
    <w:rsid w:val="29A368A8"/>
    <w:rsid w:val="29E8423F"/>
    <w:rsid w:val="29F22C79"/>
    <w:rsid w:val="29FE7C6D"/>
    <w:rsid w:val="29FF717B"/>
    <w:rsid w:val="2A381933"/>
    <w:rsid w:val="2A7757C9"/>
    <w:rsid w:val="2A810C26"/>
    <w:rsid w:val="2AA915E9"/>
    <w:rsid w:val="2AB0164F"/>
    <w:rsid w:val="2AB628FE"/>
    <w:rsid w:val="2AEB642C"/>
    <w:rsid w:val="2AEC51E5"/>
    <w:rsid w:val="2AF861D1"/>
    <w:rsid w:val="2AF9227E"/>
    <w:rsid w:val="2AFF24D7"/>
    <w:rsid w:val="2B1B2DAD"/>
    <w:rsid w:val="2B370856"/>
    <w:rsid w:val="2B813A50"/>
    <w:rsid w:val="2BB138D1"/>
    <w:rsid w:val="2BB311E2"/>
    <w:rsid w:val="2BF10955"/>
    <w:rsid w:val="2C12050F"/>
    <w:rsid w:val="2C7F01E4"/>
    <w:rsid w:val="2D101F87"/>
    <w:rsid w:val="2D933C05"/>
    <w:rsid w:val="2DEC6D70"/>
    <w:rsid w:val="2E2B74F8"/>
    <w:rsid w:val="2E2C6E21"/>
    <w:rsid w:val="2E312601"/>
    <w:rsid w:val="2E41641E"/>
    <w:rsid w:val="2E5D564A"/>
    <w:rsid w:val="2E692DE3"/>
    <w:rsid w:val="2E693482"/>
    <w:rsid w:val="2E894691"/>
    <w:rsid w:val="2E944985"/>
    <w:rsid w:val="2EA77EE5"/>
    <w:rsid w:val="2F6261C2"/>
    <w:rsid w:val="2FA63021"/>
    <w:rsid w:val="2FCB45CD"/>
    <w:rsid w:val="2FD26F55"/>
    <w:rsid w:val="30096558"/>
    <w:rsid w:val="30215E76"/>
    <w:rsid w:val="30564A47"/>
    <w:rsid w:val="30841DBC"/>
    <w:rsid w:val="30915EEB"/>
    <w:rsid w:val="30DE2DAE"/>
    <w:rsid w:val="31755D3D"/>
    <w:rsid w:val="31A7659A"/>
    <w:rsid w:val="31AD6526"/>
    <w:rsid w:val="31E06CBE"/>
    <w:rsid w:val="32302CA2"/>
    <w:rsid w:val="323D10CB"/>
    <w:rsid w:val="32756EB2"/>
    <w:rsid w:val="327C4E14"/>
    <w:rsid w:val="328A0351"/>
    <w:rsid w:val="32947966"/>
    <w:rsid w:val="329D4C70"/>
    <w:rsid w:val="32CB6281"/>
    <w:rsid w:val="334D5230"/>
    <w:rsid w:val="339248A7"/>
    <w:rsid w:val="347E184F"/>
    <w:rsid w:val="34874156"/>
    <w:rsid w:val="34DC45DC"/>
    <w:rsid w:val="34F111A0"/>
    <w:rsid w:val="35032B89"/>
    <w:rsid w:val="351E6AD6"/>
    <w:rsid w:val="354F70FE"/>
    <w:rsid w:val="356D6ABA"/>
    <w:rsid w:val="359F29EC"/>
    <w:rsid w:val="35E068D3"/>
    <w:rsid w:val="360E5B0D"/>
    <w:rsid w:val="361E6007"/>
    <w:rsid w:val="362178A5"/>
    <w:rsid w:val="36237A11"/>
    <w:rsid w:val="369E5F5A"/>
    <w:rsid w:val="36D57A86"/>
    <w:rsid w:val="36DA0180"/>
    <w:rsid w:val="36EC5253"/>
    <w:rsid w:val="3720771B"/>
    <w:rsid w:val="379B30ED"/>
    <w:rsid w:val="37B50E0E"/>
    <w:rsid w:val="37E36BED"/>
    <w:rsid w:val="3806709E"/>
    <w:rsid w:val="38302D1E"/>
    <w:rsid w:val="38F94373"/>
    <w:rsid w:val="390636E6"/>
    <w:rsid w:val="39276AC3"/>
    <w:rsid w:val="39C96499"/>
    <w:rsid w:val="3A1D0739"/>
    <w:rsid w:val="3A2E4DC8"/>
    <w:rsid w:val="3A5E7CCF"/>
    <w:rsid w:val="3A6F2A84"/>
    <w:rsid w:val="3A855738"/>
    <w:rsid w:val="3AB17686"/>
    <w:rsid w:val="3AF93B99"/>
    <w:rsid w:val="3B186373"/>
    <w:rsid w:val="3B1A1435"/>
    <w:rsid w:val="3B2B40CB"/>
    <w:rsid w:val="3B484EEC"/>
    <w:rsid w:val="3B786F8B"/>
    <w:rsid w:val="3C100595"/>
    <w:rsid w:val="3C3F2833"/>
    <w:rsid w:val="3CBC3E83"/>
    <w:rsid w:val="3CCF005B"/>
    <w:rsid w:val="3CD5401F"/>
    <w:rsid w:val="3CFF6025"/>
    <w:rsid w:val="3D344362"/>
    <w:rsid w:val="3D461FBA"/>
    <w:rsid w:val="3D5B45EF"/>
    <w:rsid w:val="3DAE5EC2"/>
    <w:rsid w:val="3DDB44AB"/>
    <w:rsid w:val="3E9C21BE"/>
    <w:rsid w:val="3EB22FF9"/>
    <w:rsid w:val="3F0013D8"/>
    <w:rsid w:val="3F044229"/>
    <w:rsid w:val="3F747742"/>
    <w:rsid w:val="3FB93C81"/>
    <w:rsid w:val="3FEA1C2A"/>
    <w:rsid w:val="406F007F"/>
    <w:rsid w:val="407A02DD"/>
    <w:rsid w:val="40B530C4"/>
    <w:rsid w:val="40C81736"/>
    <w:rsid w:val="40CD665F"/>
    <w:rsid w:val="410D4C5C"/>
    <w:rsid w:val="41513C16"/>
    <w:rsid w:val="41810190"/>
    <w:rsid w:val="41A84E5D"/>
    <w:rsid w:val="41CE0EB7"/>
    <w:rsid w:val="427C06FC"/>
    <w:rsid w:val="42B9360E"/>
    <w:rsid w:val="439D4A0F"/>
    <w:rsid w:val="43B265E3"/>
    <w:rsid w:val="43BC1982"/>
    <w:rsid w:val="44553D96"/>
    <w:rsid w:val="44663053"/>
    <w:rsid w:val="4494321F"/>
    <w:rsid w:val="44D14A1F"/>
    <w:rsid w:val="44EF214B"/>
    <w:rsid w:val="4503099B"/>
    <w:rsid w:val="453D7EFA"/>
    <w:rsid w:val="45C23DE0"/>
    <w:rsid w:val="45FD2E1E"/>
    <w:rsid w:val="46236E22"/>
    <w:rsid w:val="463D1554"/>
    <w:rsid w:val="46480423"/>
    <w:rsid w:val="46696E2A"/>
    <w:rsid w:val="4698326B"/>
    <w:rsid w:val="469D10DA"/>
    <w:rsid w:val="46C44BD5"/>
    <w:rsid w:val="46EC35B7"/>
    <w:rsid w:val="46FD0ED7"/>
    <w:rsid w:val="471A45C8"/>
    <w:rsid w:val="473A1C92"/>
    <w:rsid w:val="47592E4A"/>
    <w:rsid w:val="47BB4536"/>
    <w:rsid w:val="47D44A52"/>
    <w:rsid w:val="47FF0400"/>
    <w:rsid w:val="484C118E"/>
    <w:rsid w:val="48B457DA"/>
    <w:rsid w:val="49055724"/>
    <w:rsid w:val="49061DFF"/>
    <w:rsid w:val="495F2766"/>
    <w:rsid w:val="4972249A"/>
    <w:rsid w:val="49A15B9F"/>
    <w:rsid w:val="49B94735"/>
    <w:rsid w:val="49D40A5E"/>
    <w:rsid w:val="49E352A4"/>
    <w:rsid w:val="4A36755E"/>
    <w:rsid w:val="4A625DAC"/>
    <w:rsid w:val="4A87331A"/>
    <w:rsid w:val="4BA044F9"/>
    <w:rsid w:val="4BB73BE9"/>
    <w:rsid w:val="4BBF74EC"/>
    <w:rsid w:val="4BEB2031"/>
    <w:rsid w:val="4C2C5768"/>
    <w:rsid w:val="4C6E0A32"/>
    <w:rsid w:val="4C8D7FB6"/>
    <w:rsid w:val="4CD348BC"/>
    <w:rsid w:val="4CFB75B5"/>
    <w:rsid w:val="4D06246C"/>
    <w:rsid w:val="4D7D047C"/>
    <w:rsid w:val="4D992670"/>
    <w:rsid w:val="4DA67EC1"/>
    <w:rsid w:val="4DC537EF"/>
    <w:rsid w:val="4DF47F35"/>
    <w:rsid w:val="4E186C7E"/>
    <w:rsid w:val="4E5E70BD"/>
    <w:rsid w:val="4E5F0909"/>
    <w:rsid w:val="4E6200BB"/>
    <w:rsid w:val="4E772F0B"/>
    <w:rsid w:val="4E7D41AC"/>
    <w:rsid w:val="4E9D744B"/>
    <w:rsid w:val="4EC14021"/>
    <w:rsid w:val="4F542C5F"/>
    <w:rsid w:val="4F544853"/>
    <w:rsid w:val="4F7855EA"/>
    <w:rsid w:val="4F940716"/>
    <w:rsid w:val="4FAF7130"/>
    <w:rsid w:val="4FC96B8B"/>
    <w:rsid w:val="50203001"/>
    <w:rsid w:val="50613214"/>
    <w:rsid w:val="5147093D"/>
    <w:rsid w:val="515B1A65"/>
    <w:rsid w:val="516E79EA"/>
    <w:rsid w:val="519D4842"/>
    <w:rsid w:val="51E47CAD"/>
    <w:rsid w:val="520004CA"/>
    <w:rsid w:val="521E5740"/>
    <w:rsid w:val="522358DC"/>
    <w:rsid w:val="533D162C"/>
    <w:rsid w:val="53E549BF"/>
    <w:rsid w:val="54095EBA"/>
    <w:rsid w:val="540A51E2"/>
    <w:rsid w:val="540E71CA"/>
    <w:rsid w:val="541D2076"/>
    <w:rsid w:val="5422279F"/>
    <w:rsid w:val="549D3677"/>
    <w:rsid w:val="54B75204"/>
    <w:rsid w:val="54C32B11"/>
    <w:rsid w:val="54CD4055"/>
    <w:rsid w:val="54D77655"/>
    <w:rsid w:val="54DC56F8"/>
    <w:rsid w:val="553A633B"/>
    <w:rsid w:val="557117DE"/>
    <w:rsid w:val="56367C5B"/>
    <w:rsid w:val="56677807"/>
    <w:rsid w:val="567A7499"/>
    <w:rsid w:val="56820D5B"/>
    <w:rsid w:val="57096D7C"/>
    <w:rsid w:val="57634CB3"/>
    <w:rsid w:val="579B0911"/>
    <w:rsid w:val="57D336B2"/>
    <w:rsid w:val="57E332D5"/>
    <w:rsid w:val="58726012"/>
    <w:rsid w:val="58D06D06"/>
    <w:rsid w:val="58EF37E0"/>
    <w:rsid w:val="58FE0B8D"/>
    <w:rsid w:val="59D5260B"/>
    <w:rsid w:val="59F510C8"/>
    <w:rsid w:val="5A190D99"/>
    <w:rsid w:val="5A465B9D"/>
    <w:rsid w:val="5A533C21"/>
    <w:rsid w:val="5A631C3C"/>
    <w:rsid w:val="5AF71073"/>
    <w:rsid w:val="5AFF4E91"/>
    <w:rsid w:val="5B202123"/>
    <w:rsid w:val="5B6270CB"/>
    <w:rsid w:val="5B812149"/>
    <w:rsid w:val="5B8147BE"/>
    <w:rsid w:val="5BB24FC7"/>
    <w:rsid w:val="5BE055F9"/>
    <w:rsid w:val="5BE77BBC"/>
    <w:rsid w:val="5C9744CD"/>
    <w:rsid w:val="5CEE29CF"/>
    <w:rsid w:val="5D027239"/>
    <w:rsid w:val="5D1E4A62"/>
    <w:rsid w:val="5D5A5542"/>
    <w:rsid w:val="5D87033A"/>
    <w:rsid w:val="5D940B49"/>
    <w:rsid w:val="5DBD75BE"/>
    <w:rsid w:val="5DDB3A67"/>
    <w:rsid w:val="5E007081"/>
    <w:rsid w:val="5E2979F3"/>
    <w:rsid w:val="5E646A2E"/>
    <w:rsid w:val="5EA92355"/>
    <w:rsid w:val="5ED115B9"/>
    <w:rsid w:val="5F0C1437"/>
    <w:rsid w:val="5F2E04F4"/>
    <w:rsid w:val="5F5A7169"/>
    <w:rsid w:val="5F600FC9"/>
    <w:rsid w:val="5F831A87"/>
    <w:rsid w:val="5FA558FD"/>
    <w:rsid w:val="5FC52CF8"/>
    <w:rsid w:val="5FC5301A"/>
    <w:rsid w:val="600F05EB"/>
    <w:rsid w:val="602D2FE8"/>
    <w:rsid w:val="608457E2"/>
    <w:rsid w:val="60E14966"/>
    <w:rsid w:val="60FD0443"/>
    <w:rsid w:val="611F4533"/>
    <w:rsid w:val="616D757D"/>
    <w:rsid w:val="617C259E"/>
    <w:rsid w:val="62127771"/>
    <w:rsid w:val="62342CE6"/>
    <w:rsid w:val="62392F16"/>
    <w:rsid w:val="62525166"/>
    <w:rsid w:val="6329070C"/>
    <w:rsid w:val="632B72A3"/>
    <w:rsid w:val="63310F09"/>
    <w:rsid w:val="634C7776"/>
    <w:rsid w:val="63505113"/>
    <w:rsid w:val="6360481F"/>
    <w:rsid w:val="6367429A"/>
    <w:rsid w:val="63B84F56"/>
    <w:rsid w:val="63ED139D"/>
    <w:rsid w:val="641309B4"/>
    <w:rsid w:val="64557A48"/>
    <w:rsid w:val="646326B7"/>
    <w:rsid w:val="64662E85"/>
    <w:rsid w:val="64665F9D"/>
    <w:rsid w:val="64862E7E"/>
    <w:rsid w:val="65067046"/>
    <w:rsid w:val="65571836"/>
    <w:rsid w:val="65DD0843"/>
    <w:rsid w:val="65E41BD1"/>
    <w:rsid w:val="65E54EB0"/>
    <w:rsid w:val="65FD3712"/>
    <w:rsid w:val="65FF4C5D"/>
    <w:rsid w:val="663E10C6"/>
    <w:rsid w:val="666552E6"/>
    <w:rsid w:val="668B7395"/>
    <w:rsid w:val="66B15F58"/>
    <w:rsid w:val="66CF4630"/>
    <w:rsid w:val="66D122B6"/>
    <w:rsid w:val="66D17464"/>
    <w:rsid w:val="672465D3"/>
    <w:rsid w:val="67AA58BC"/>
    <w:rsid w:val="67B945ED"/>
    <w:rsid w:val="67CD5453"/>
    <w:rsid w:val="67DB2C51"/>
    <w:rsid w:val="685358B1"/>
    <w:rsid w:val="68562B5B"/>
    <w:rsid w:val="685E210F"/>
    <w:rsid w:val="686B311E"/>
    <w:rsid w:val="68AB6164"/>
    <w:rsid w:val="68ED7DC4"/>
    <w:rsid w:val="68F71C1C"/>
    <w:rsid w:val="69435D7F"/>
    <w:rsid w:val="69547E9C"/>
    <w:rsid w:val="6A4F389E"/>
    <w:rsid w:val="6A843C76"/>
    <w:rsid w:val="6AA55DB5"/>
    <w:rsid w:val="6AAA1AFA"/>
    <w:rsid w:val="6AD20B92"/>
    <w:rsid w:val="6AE84B3E"/>
    <w:rsid w:val="6B0D2E94"/>
    <w:rsid w:val="6B2F5A5F"/>
    <w:rsid w:val="6B3F724F"/>
    <w:rsid w:val="6B533C17"/>
    <w:rsid w:val="6B8307E0"/>
    <w:rsid w:val="6B860FE6"/>
    <w:rsid w:val="6BD5283B"/>
    <w:rsid w:val="6C262297"/>
    <w:rsid w:val="6C2C6080"/>
    <w:rsid w:val="6C686F88"/>
    <w:rsid w:val="6C7745F7"/>
    <w:rsid w:val="6CF92406"/>
    <w:rsid w:val="6D003795"/>
    <w:rsid w:val="6D45564C"/>
    <w:rsid w:val="6D7221B9"/>
    <w:rsid w:val="6D7F368C"/>
    <w:rsid w:val="6E5E463A"/>
    <w:rsid w:val="6EBD7FFE"/>
    <w:rsid w:val="6EC13E25"/>
    <w:rsid w:val="6EF262AC"/>
    <w:rsid w:val="6F3A1809"/>
    <w:rsid w:val="6FA83C70"/>
    <w:rsid w:val="6FD45398"/>
    <w:rsid w:val="70553DF8"/>
    <w:rsid w:val="70E45FC4"/>
    <w:rsid w:val="71285AAC"/>
    <w:rsid w:val="71594D33"/>
    <w:rsid w:val="715C2F1C"/>
    <w:rsid w:val="71C31377"/>
    <w:rsid w:val="71CA1F6E"/>
    <w:rsid w:val="71E74047"/>
    <w:rsid w:val="71F42B7C"/>
    <w:rsid w:val="7205398F"/>
    <w:rsid w:val="721F2294"/>
    <w:rsid w:val="7238655B"/>
    <w:rsid w:val="723F77CC"/>
    <w:rsid w:val="729A06D8"/>
    <w:rsid w:val="72A71827"/>
    <w:rsid w:val="730443A9"/>
    <w:rsid w:val="735008A6"/>
    <w:rsid w:val="735D2DA4"/>
    <w:rsid w:val="736C43E3"/>
    <w:rsid w:val="73935098"/>
    <w:rsid w:val="73BC5AD9"/>
    <w:rsid w:val="73D85E91"/>
    <w:rsid w:val="742F0E63"/>
    <w:rsid w:val="74463A57"/>
    <w:rsid w:val="7453751A"/>
    <w:rsid w:val="746453A7"/>
    <w:rsid w:val="74E20649"/>
    <w:rsid w:val="752257D1"/>
    <w:rsid w:val="756352E1"/>
    <w:rsid w:val="756521C2"/>
    <w:rsid w:val="75671ED7"/>
    <w:rsid w:val="75AB6268"/>
    <w:rsid w:val="76013066"/>
    <w:rsid w:val="76013836"/>
    <w:rsid w:val="76191563"/>
    <w:rsid w:val="76490038"/>
    <w:rsid w:val="764D1C01"/>
    <w:rsid w:val="76A5715B"/>
    <w:rsid w:val="76B850E0"/>
    <w:rsid w:val="76FD6F97"/>
    <w:rsid w:val="77400CB2"/>
    <w:rsid w:val="77401EC1"/>
    <w:rsid w:val="7746130C"/>
    <w:rsid w:val="77690594"/>
    <w:rsid w:val="77A40E96"/>
    <w:rsid w:val="77D23F80"/>
    <w:rsid w:val="785F380B"/>
    <w:rsid w:val="78865DD8"/>
    <w:rsid w:val="78AF797E"/>
    <w:rsid w:val="78CA23D8"/>
    <w:rsid w:val="790475FC"/>
    <w:rsid w:val="793B59A2"/>
    <w:rsid w:val="793E01E7"/>
    <w:rsid w:val="794C72DA"/>
    <w:rsid w:val="796C090B"/>
    <w:rsid w:val="79771CC2"/>
    <w:rsid w:val="79A347F2"/>
    <w:rsid w:val="79F006ED"/>
    <w:rsid w:val="7A0C4A94"/>
    <w:rsid w:val="7A147E53"/>
    <w:rsid w:val="7ADE3A6D"/>
    <w:rsid w:val="7B2D37A3"/>
    <w:rsid w:val="7B3233D1"/>
    <w:rsid w:val="7B42766E"/>
    <w:rsid w:val="7B5D7ABB"/>
    <w:rsid w:val="7B99300E"/>
    <w:rsid w:val="7B99444A"/>
    <w:rsid w:val="7BCF57C7"/>
    <w:rsid w:val="7BE401C5"/>
    <w:rsid w:val="7C375547"/>
    <w:rsid w:val="7C572A84"/>
    <w:rsid w:val="7CBB1486"/>
    <w:rsid w:val="7D1B34DE"/>
    <w:rsid w:val="7D8442E1"/>
    <w:rsid w:val="7DB1356C"/>
    <w:rsid w:val="7DB473AA"/>
    <w:rsid w:val="7E611BB9"/>
    <w:rsid w:val="7E850A97"/>
    <w:rsid w:val="7EB8307F"/>
    <w:rsid w:val="7EED2764"/>
    <w:rsid w:val="7F190573"/>
    <w:rsid w:val="7F207CC7"/>
    <w:rsid w:val="7F384243"/>
    <w:rsid w:val="7FC46E9D"/>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55"/>
    <w:autoRedefine/>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keepNext/>
      <w:keepLines/>
      <w:spacing w:before="260" w:after="260" w:line="415" w:lineRule="auto"/>
      <w:outlineLvl w:val="2"/>
    </w:pPr>
    <w:rPr>
      <w:sz w:val="32"/>
      <w:szCs w:val="32"/>
    </w:rPr>
  </w:style>
  <w:style w:type="paragraph" w:styleId="5">
    <w:name w:val="heading 4"/>
    <w:basedOn w:val="1"/>
    <w:next w:val="1"/>
    <w:link w:val="190"/>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qFormat/>
    <w:uiPriority w:val="0"/>
    <w:pPr>
      <w:keepNext/>
      <w:keepLines/>
      <w:spacing w:before="120" w:after="120"/>
      <w:outlineLvl w:val="4"/>
    </w:pPr>
    <w:rPr>
      <w:rFonts w:eastAsia="黑体"/>
      <w:bCs/>
      <w:sz w:val="28"/>
      <w:szCs w:val="28"/>
    </w:rPr>
  </w:style>
  <w:style w:type="paragraph" w:styleId="7">
    <w:name w:val="heading 6"/>
    <w:basedOn w:val="1"/>
    <w:next w:val="1"/>
    <w:autoRedefine/>
    <w:qFormat/>
    <w:uiPriority w:val="0"/>
    <w:pPr>
      <w:keepNext/>
      <w:keepLines/>
      <w:tabs>
        <w:tab w:val="left" w:pos="1440"/>
      </w:tabs>
      <w:spacing w:before="120" w:after="120"/>
      <w:ind w:hanging="1151" w:hangingChars="480"/>
      <w:outlineLvl w:val="5"/>
    </w:pPr>
    <w:rPr>
      <w:rFonts w:ascii="Arial" w:hAnsi="Arial" w:eastAsia="黑体"/>
      <w:bCs/>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8">
    <w:name w:val="index 8"/>
    <w:basedOn w:val="1"/>
    <w:next w:val="1"/>
    <w:autoRedefine/>
    <w:qFormat/>
    <w:uiPriority w:val="0"/>
    <w:pPr>
      <w:ind w:left="1680" w:hanging="210"/>
    </w:pPr>
    <w:rPr>
      <w:rFonts w:ascii="Calibri" w:hAnsi="Calibri"/>
      <w:sz w:val="20"/>
      <w:szCs w:val="20"/>
    </w:rPr>
  </w:style>
  <w:style w:type="paragraph" w:styleId="9">
    <w:name w:val="Normal Indent"/>
    <w:basedOn w:val="1"/>
    <w:autoRedefine/>
    <w:qFormat/>
    <w:uiPriority w:val="0"/>
    <w:pPr>
      <w:widowControl w:val="0"/>
      <w:snapToGrid w:val="0"/>
      <w:spacing w:line="520" w:lineRule="atLeast"/>
      <w:ind w:firstLine="420" w:firstLineChars="200"/>
      <w:jc w:val="both"/>
    </w:pPr>
    <w:rPr>
      <w:sz w:val="28"/>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pPr>
    <w:rPr>
      <w:rFonts w:ascii="Calibri" w:hAnsi="Calibri"/>
      <w:sz w:val="20"/>
      <w:szCs w:val="20"/>
    </w:rPr>
  </w:style>
  <w:style w:type="paragraph" w:styleId="12">
    <w:name w:val="Document Map"/>
    <w:basedOn w:val="1"/>
    <w:link w:val="175"/>
    <w:autoRedefine/>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72"/>
    <w:autoRedefine/>
    <w:semiHidden/>
    <w:qFormat/>
    <w:uiPriority w:val="0"/>
    <w:rPr>
      <w:rFonts w:asciiTheme="minorHAnsi" w:hAnsiTheme="minorHAnsi" w:eastAsiaTheme="minorEastAsia" w:cstheme="minorBidi"/>
    </w:rPr>
  </w:style>
  <w:style w:type="paragraph" w:styleId="14">
    <w:name w:val="index 6"/>
    <w:basedOn w:val="1"/>
    <w:next w:val="1"/>
    <w:autoRedefine/>
    <w:qFormat/>
    <w:uiPriority w:val="0"/>
    <w:pPr>
      <w:ind w:left="1260" w:hanging="210"/>
    </w:pPr>
    <w:rPr>
      <w:rFonts w:ascii="Calibri" w:hAnsi="Calibri"/>
      <w:sz w:val="20"/>
      <w:szCs w:val="20"/>
    </w:rPr>
  </w:style>
  <w:style w:type="paragraph" w:styleId="15">
    <w:name w:val="Body Text 3"/>
    <w:basedOn w:val="1"/>
    <w:link w:val="183"/>
    <w:autoRedefine/>
    <w:semiHidden/>
    <w:unhideWhenUsed/>
    <w:qFormat/>
    <w:uiPriority w:val="99"/>
    <w:pPr>
      <w:spacing w:after="120"/>
    </w:pPr>
    <w:rPr>
      <w:sz w:val="16"/>
      <w:szCs w:val="16"/>
    </w:rPr>
  </w:style>
  <w:style w:type="paragraph" w:styleId="16">
    <w:name w:val="Body Text"/>
    <w:basedOn w:val="1"/>
    <w:next w:val="17"/>
    <w:link w:val="188"/>
    <w:autoRedefine/>
    <w:semiHidden/>
    <w:unhideWhenUsed/>
    <w:qFormat/>
    <w:uiPriority w:val="99"/>
    <w:pPr>
      <w:spacing w:after="120"/>
    </w:pPr>
  </w:style>
  <w:style w:type="paragraph" w:customStyle="1" w:styleId="17">
    <w:name w:val="Body Text Indent 21"/>
    <w:basedOn w:val="1"/>
    <w:next w:val="18"/>
    <w:autoRedefine/>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18">
    <w:name w:val="header"/>
    <w:basedOn w:val="1"/>
    <w:link w:val="153"/>
    <w:autoRedefine/>
    <w:qFormat/>
    <w:uiPriority w:val="99"/>
    <w:pPr>
      <w:snapToGrid w:val="0"/>
    </w:pPr>
    <w:rPr>
      <w:rFonts w:asciiTheme="minorHAnsi" w:hAnsiTheme="minorHAnsi" w:eastAsiaTheme="minorEastAsia" w:cstheme="minorBidi"/>
      <w:sz w:val="18"/>
      <w:szCs w:val="18"/>
    </w:rPr>
  </w:style>
  <w:style w:type="paragraph" w:styleId="19">
    <w:name w:val="Body Text Indent"/>
    <w:basedOn w:val="1"/>
    <w:next w:val="20"/>
    <w:autoRedefine/>
    <w:unhideWhenUsed/>
    <w:qFormat/>
    <w:uiPriority w:val="99"/>
    <w:pPr>
      <w:spacing w:after="120"/>
      <w:ind w:left="420" w:leftChars="200"/>
    </w:pPr>
  </w:style>
  <w:style w:type="paragraph" w:styleId="20">
    <w:name w:val="Body Text Indent 2"/>
    <w:basedOn w:val="1"/>
    <w:link w:val="164"/>
    <w:autoRedefine/>
    <w:qFormat/>
    <w:uiPriority w:val="99"/>
    <w:pPr>
      <w:spacing w:after="120" w:line="480" w:lineRule="auto"/>
      <w:ind w:left="420" w:leftChars="200"/>
    </w:pPr>
    <w:rPr>
      <w:rFonts w:asciiTheme="minorHAnsi" w:hAnsiTheme="minorHAnsi" w:eastAsiaTheme="minorEastAsia" w:cstheme="minorBidi"/>
    </w:rPr>
  </w:style>
  <w:style w:type="paragraph" w:styleId="21">
    <w:name w:val="index 4"/>
    <w:basedOn w:val="1"/>
    <w:next w:val="1"/>
    <w:autoRedefine/>
    <w:qFormat/>
    <w:uiPriority w:val="0"/>
    <w:pPr>
      <w:ind w:left="840" w:hanging="210"/>
    </w:pPr>
    <w:rPr>
      <w:rFonts w:ascii="Calibri" w:hAnsi="Calibri"/>
      <w:sz w:val="20"/>
      <w:szCs w:val="20"/>
    </w:rPr>
  </w:style>
  <w:style w:type="paragraph" w:styleId="22">
    <w:name w:val="Plain Text"/>
    <w:basedOn w:val="1"/>
    <w:link w:val="186"/>
    <w:autoRedefine/>
    <w:unhideWhenUsed/>
    <w:qFormat/>
    <w:uiPriority w:val="99"/>
    <w:pPr>
      <w:widowControl w:val="0"/>
      <w:spacing w:line="240" w:lineRule="auto"/>
      <w:jc w:val="both"/>
    </w:pPr>
    <w:rPr>
      <w:rFonts w:ascii="宋体" w:hAnsi="Courier New" w:cs="Courier New"/>
      <w:szCs w:val="21"/>
    </w:rPr>
  </w:style>
  <w:style w:type="paragraph" w:styleId="23">
    <w:name w:val="index 3"/>
    <w:basedOn w:val="1"/>
    <w:next w:val="1"/>
    <w:autoRedefine/>
    <w:qFormat/>
    <w:uiPriority w:val="0"/>
    <w:pPr>
      <w:ind w:left="630" w:hanging="210"/>
    </w:pPr>
    <w:rPr>
      <w:rFonts w:ascii="Calibri" w:hAnsi="Calibri"/>
      <w:sz w:val="20"/>
      <w:szCs w:val="20"/>
    </w:rPr>
  </w:style>
  <w:style w:type="paragraph" w:styleId="24">
    <w:name w:val="Date"/>
    <w:basedOn w:val="1"/>
    <w:next w:val="1"/>
    <w:link w:val="174"/>
    <w:autoRedefine/>
    <w:qFormat/>
    <w:uiPriority w:val="99"/>
    <w:pPr>
      <w:ind w:left="100" w:leftChars="2500"/>
    </w:pPr>
    <w:rPr>
      <w:rFonts w:asciiTheme="minorHAnsi" w:hAnsiTheme="minorHAnsi" w:eastAsiaTheme="minorEastAsia" w:cstheme="minorBidi"/>
    </w:rPr>
  </w:style>
  <w:style w:type="paragraph" w:styleId="25">
    <w:name w:val="endnote text"/>
    <w:basedOn w:val="1"/>
    <w:link w:val="181"/>
    <w:autoRedefine/>
    <w:semiHidden/>
    <w:qFormat/>
    <w:uiPriority w:val="0"/>
    <w:pPr>
      <w:snapToGrid w:val="0"/>
    </w:pPr>
    <w:rPr>
      <w:rFonts w:asciiTheme="minorHAnsi" w:hAnsiTheme="minorHAnsi" w:eastAsiaTheme="minorEastAsia" w:cstheme="minorBidi"/>
    </w:rPr>
  </w:style>
  <w:style w:type="paragraph" w:styleId="26">
    <w:name w:val="Balloon Text"/>
    <w:basedOn w:val="1"/>
    <w:link w:val="150"/>
    <w:autoRedefine/>
    <w:qFormat/>
    <w:uiPriority w:val="99"/>
    <w:rPr>
      <w:rFonts w:asciiTheme="minorHAnsi" w:hAnsiTheme="minorHAnsi" w:eastAsiaTheme="minorEastAsia" w:cstheme="minorBidi"/>
      <w:sz w:val="18"/>
      <w:szCs w:val="18"/>
    </w:rPr>
  </w:style>
  <w:style w:type="paragraph" w:styleId="27">
    <w:name w:val="footer"/>
    <w:basedOn w:val="1"/>
    <w:link w:val="171"/>
    <w:autoRedefine/>
    <w:qFormat/>
    <w:uiPriority w:val="99"/>
    <w:pPr>
      <w:snapToGrid w:val="0"/>
      <w:ind w:right="210" w:rightChars="100"/>
      <w:jc w:val="right"/>
    </w:pPr>
    <w:rPr>
      <w:rFonts w:asciiTheme="minorHAnsi" w:hAnsiTheme="minorHAnsi" w:eastAsiaTheme="minorEastAsia" w:cstheme="minorBidi"/>
      <w:sz w:val="18"/>
      <w:szCs w:val="18"/>
    </w:rPr>
  </w:style>
  <w:style w:type="paragraph" w:styleId="28">
    <w:name w:val="toc 1"/>
    <w:basedOn w:val="1"/>
    <w:next w:val="1"/>
    <w:autoRedefine/>
    <w:semiHidden/>
    <w:qFormat/>
    <w:uiPriority w:val="0"/>
    <w:pPr>
      <w:tabs>
        <w:tab w:val="right" w:leader="dot" w:pos="9242"/>
      </w:tabs>
      <w:spacing w:beforeLines="25" w:afterLines="25"/>
    </w:pPr>
    <w:rPr>
      <w:rFonts w:ascii="宋体"/>
      <w:szCs w:val="21"/>
    </w:rPr>
  </w:style>
  <w:style w:type="paragraph" w:styleId="29">
    <w:name w:val="index heading"/>
    <w:basedOn w:val="1"/>
    <w:next w:val="30"/>
    <w:autoRedefine/>
    <w:qFormat/>
    <w:uiPriority w:val="0"/>
    <w:pPr>
      <w:spacing w:before="120" w:after="120"/>
      <w:jc w:val="center"/>
    </w:pPr>
    <w:rPr>
      <w:rFonts w:ascii="Calibri" w:hAnsi="Calibri"/>
      <w:b/>
      <w:bCs/>
      <w:iCs/>
      <w:szCs w:val="20"/>
    </w:rPr>
  </w:style>
  <w:style w:type="paragraph" w:styleId="30">
    <w:name w:val="index 1"/>
    <w:basedOn w:val="1"/>
    <w:next w:val="1"/>
    <w:autoRedefine/>
    <w:unhideWhenUsed/>
    <w:qFormat/>
    <w:uiPriority w:val="0"/>
  </w:style>
  <w:style w:type="paragraph" w:styleId="31">
    <w:name w:val="footnote text"/>
    <w:basedOn w:val="1"/>
    <w:link w:val="160"/>
    <w:autoRedefine/>
    <w:qFormat/>
    <w:uiPriority w:val="0"/>
    <w:pPr>
      <w:tabs>
        <w:tab w:val="left" w:pos="0"/>
      </w:tabs>
      <w:snapToGrid w:val="0"/>
      <w:ind w:left="720" w:hanging="357"/>
    </w:pPr>
    <w:rPr>
      <w:rFonts w:ascii="宋体" w:hAnsiTheme="minorHAnsi" w:eastAsiaTheme="minorEastAsia" w:cstheme="minorBidi"/>
      <w:sz w:val="18"/>
      <w:szCs w:val="18"/>
    </w:rPr>
  </w:style>
  <w:style w:type="paragraph" w:styleId="32">
    <w:name w:val="index 7"/>
    <w:basedOn w:val="1"/>
    <w:next w:val="1"/>
    <w:autoRedefine/>
    <w:qFormat/>
    <w:uiPriority w:val="0"/>
    <w:pPr>
      <w:ind w:left="1470" w:hanging="210"/>
    </w:pPr>
    <w:rPr>
      <w:rFonts w:ascii="Calibri" w:hAnsi="Calibri"/>
      <w:sz w:val="20"/>
      <w:szCs w:val="20"/>
    </w:rPr>
  </w:style>
  <w:style w:type="paragraph" w:styleId="33">
    <w:name w:val="index 9"/>
    <w:basedOn w:val="1"/>
    <w:next w:val="1"/>
    <w:autoRedefine/>
    <w:qFormat/>
    <w:uiPriority w:val="0"/>
    <w:pPr>
      <w:ind w:left="1890" w:hanging="210"/>
    </w:pPr>
    <w:rPr>
      <w:rFonts w:ascii="Calibri" w:hAnsi="Calibri"/>
      <w:sz w:val="20"/>
      <w:szCs w:val="20"/>
    </w:rPr>
  </w:style>
  <w:style w:type="paragraph" w:styleId="34">
    <w:name w:val="toc 2"/>
    <w:next w:val="1"/>
    <w:autoRedefine/>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5">
    <w:name w:val="Body Text 2"/>
    <w:basedOn w:val="1"/>
    <w:autoRedefine/>
    <w:qFormat/>
    <w:uiPriority w:val="0"/>
    <w:rPr>
      <w:bCs/>
      <w:kern w:val="0"/>
      <w:sz w:val="28"/>
      <w:szCs w:val="20"/>
    </w:rPr>
  </w:style>
  <w:style w:type="paragraph" w:styleId="36">
    <w:name w:val="HTML Preformatted"/>
    <w:basedOn w:val="1"/>
    <w:link w:val="158"/>
    <w:autoRedefine/>
    <w:qFormat/>
    <w:uiPriority w:val="0"/>
    <w:rPr>
      <w:rFonts w:ascii="Courier New" w:hAnsi="Courier New" w:cs="Courier New" w:eastAsiaTheme="minorEastAsia"/>
      <w:szCs w:val="22"/>
    </w:rPr>
  </w:style>
  <w:style w:type="paragraph" w:styleId="37">
    <w:name w:val="Normal (Web)"/>
    <w:basedOn w:val="1"/>
    <w:autoRedefine/>
    <w:unhideWhenUsed/>
    <w:qFormat/>
    <w:uiPriority w:val="99"/>
    <w:pPr>
      <w:spacing w:before="100" w:beforeAutospacing="1" w:after="100" w:afterAutospacing="1"/>
    </w:pPr>
    <w:rPr>
      <w:rFonts w:ascii="宋体" w:hAnsi="宋体" w:cs="宋体"/>
      <w:kern w:val="0"/>
      <w:sz w:val="24"/>
    </w:rPr>
  </w:style>
  <w:style w:type="paragraph" w:styleId="38">
    <w:name w:val="index 2"/>
    <w:basedOn w:val="1"/>
    <w:next w:val="1"/>
    <w:autoRedefine/>
    <w:qFormat/>
    <w:uiPriority w:val="0"/>
    <w:pPr>
      <w:ind w:left="420" w:hanging="210"/>
    </w:pPr>
    <w:rPr>
      <w:rFonts w:ascii="Calibri" w:hAnsi="Calibri"/>
      <w:sz w:val="20"/>
      <w:szCs w:val="20"/>
    </w:rPr>
  </w:style>
  <w:style w:type="paragraph" w:styleId="39">
    <w:name w:val="Title"/>
    <w:basedOn w:val="1"/>
    <w:link w:val="184"/>
    <w:autoRedefine/>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3"/>
    <w:next w:val="13"/>
    <w:link w:val="180"/>
    <w:autoRedefine/>
    <w:semiHidden/>
    <w:qFormat/>
    <w:uiPriority w:val="0"/>
    <w:rPr>
      <w:b/>
      <w:bCs/>
    </w:rPr>
  </w:style>
  <w:style w:type="paragraph" w:styleId="41">
    <w:name w:val="Body Text First Indent"/>
    <w:basedOn w:val="16"/>
    <w:autoRedefine/>
    <w:qFormat/>
    <w:uiPriority w:val="0"/>
    <w:pPr>
      <w:autoSpaceDE w:val="0"/>
      <w:autoSpaceDN w:val="0"/>
      <w:adjustRightInd w:val="0"/>
      <w:ind w:firstLine="420"/>
      <w:textAlignment w:val="baseline"/>
    </w:pPr>
    <w:rPr>
      <w:rFonts w:ascii="宋体"/>
      <w:sz w:val="34"/>
    </w:rPr>
  </w:style>
  <w:style w:type="paragraph" w:styleId="42">
    <w:name w:val="Body Text First Indent 2"/>
    <w:basedOn w:val="19"/>
    <w:next w:val="9"/>
    <w:autoRedefine/>
    <w:qFormat/>
    <w:uiPriority w:val="0"/>
    <w:pPr>
      <w:ind w:firstLine="420" w:firstLineChars="200"/>
    </w:p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99"/>
    <w:rPr>
      <w:rFonts w:ascii="Times New Roman" w:hAnsi="Times New Roman" w:eastAsia="宋体"/>
      <w:sz w:val="18"/>
    </w:rPr>
  </w:style>
  <w:style w:type="character" w:styleId="48">
    <w:name w:val="FollowedHyperlink"/>
    <w:autoRedefine/>
    <w:qFormat/>
    <w:uiPriority w:val="0"/>
    <w:rPr>
      <w:color w:val="800080"/>
      <w:u w:val="single"/>
    </w:rPr>
  </w:style>
  <w:style w:type="character" w:styleId="49">
    <w:name w:val="Emphasis"/>
    <w:autoRedefine/>
    <w:qFormat/>
    <w:uiPriority w:val="20"/>
    <w:rPr>
      <w:color w:val="CC0000"/>
    </w:rPr>
  </w:style>
  <w:style w:type="character" w:styleId="50">
    <w:name w:val="Hyperlink"/>
    <w:autoRedefine/>
    <w:qFormat/>
    <w:uiPriority w:val="99"/>
    <w:rPr>
      <w:color w:val="0000FF"/>
      <w:spacing w:val="0"/>
      <w:w w:val="100"/>
      <w:szCs w:val="21"/>
      <w:u w:val="single"/>
      <w:lang w:val="en-US" w:eastAsia="zh-CN"/>
    </w:rPr>
  </w:style>
  <w:style w:type="character" w:styleId="51">
    <w:name w:val="annotation reference"/>
    <w:basedOn w:val="45"/>
    <w:autoRedefine/>
    <w:semiHidden/>
    <w:unhideWhenUsed/>
    <w:qFormat/>
    <w:uiPriority w:val="0"/>
    <w:rPr>
      <w:sz w:val="21"/>
      <w:szCs w:val="21"/>
    </w:rPr>
  </w:style>
  <w:style w:type="character" w:styleId="52">
    <w:name w:val="footnote reference"/>
    <w:autoRedefine/>
    <w:qFormat/>
    <w:uiPriority w:val="0"/>
    <w:rPr>
      <w:vertAlign w:val="superscript"/>
    </w:rPr>
  </w:style>
  <w:style w:type="paragraph" w:customStyle="1" w:styleId="53">
    <w:name w:val="Default"/>
    <w:basedOn w:val="1"/>
    <w:autoRedefine/>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54">
    <w:name w:val="标题 1 字符"/>
    <w:basedOn w:val="45"/>
    <w:link w:val="4"/>
    <w:autoRedefine/>
    <w:qFormat/>
    <w:uiPriority w:val="0"/>
    <w:rPr>
      <w:rFonts w:ascii="Times New Roman" w:hAnsi="Times New Roman" w:eastAsia="宋体" w:cs="Times New Roman"/>
      <w:b/>
      <w:bCs/>
      <w:kern w:val="44"/>
      <w:sz w:val="44"/>
      <w:szCs w:val="44"/>
    </w:rPr>
  </w:style>
  <w:style w:type="character" w:customStyle="1" w:styleId="55">
    <w:name w:val="标题 2 字符"/>
    <w:basedOn w:val="45"/>
    <w:link w:val="3"/>
    <w:autoRedefine/>
    <w:qFormat/>
    <w:uiPriority w:val="0"/>
    <w:rPr>
      <w:rFonts w:ascii="宋体" w:hAnsi="宋体" w:eastAsia="宋体" w:cs="Times New Roman"/>
      <w:b/>
      <w:bCs/>
      <w:kern w:val="0"/>
      <w:sz w:val="36"/>
      <w:szCs w:val="36"/>
    </w:rPr>
  </w:style>
  <w:style w:type="character" w:customStyle="1" w:styleId="56">
    <w:name w:val="批注文字 Char"/>
    <w:autoRedefine/>
    <w:semiHidden/>
    <w:qFormat/>
    <w:uiPriority w:val="0"/>
    <w:rPr>
      <w:szCs w:val="24"/>
    </w:rPr>
  </w:style>
  <w:style w:type="character" w:customStyle="1" w:styleId="57">
    <w:name w:val="批注主题 Char"/>
    <w:autoRedefine/>
    <w:semiHidden/>
    <w:qFormat/>
    <w:uiPriority w:val="0"/>
    <w:rPr>
      <w:b/>
      <w:bCs/>
      <w:szCs w:val="24"/>
    </w:rPr>
  </w:style>
  <w:style w:type="character" w:customStyle="1" w:styleId="58">
    <w:name w:val="文档结构图 Char"/>
    <w:autoRedefine/>
    <w:semiHidden/>
    <w:qFormat/>
    <w:uiPriority w:val="0"/>
    <w:rPr>
      <w:szCs w:val="24"/>
      <w:shd w:val="clear" w:color="auto" w:fill="000080"/>
    </w:rPr>
  </w:style>
  <w:style w:type="character" w:customStyle="1" w:styleId="59">
    <w:name w:val="脚注文本 Char"/>
    <w:autoRedefine/>
    <w:qFormat/>
    <w:uiPriority w:val="0"/>
    <w:rPr>
      <w:rFonts w:ascii="宋体"/>
      <w:sz w:val="18"/>
      <w:szCs w:val="18"/>
    </w:rPr>
  </w:style>
  <w:style w:type="character" w:customStyle="1" w:styleId="60">
    <w:name w:val="con"/>
    <w:autoRedefine/>
    <w:qFormat/>
    <w:uiPriority w:val="0"/>
  </w:style>
  <w:style w:type="character" w:customStyle="1" w:styleId="61">
    <w:name w:val="bar-label2"/>
    <w:autoRedefine/>
    <w:qFormat/>
    <w:uiPriority w:val="99"/>
  </w:style>
  <w:style w:type="character" w:customStyle="1" w:styleId="62">
    <w:name w:val="正文文本缩进 2 Char"/>
    <w:autoRedefine/>
    <w:qFormat/>
    <w:uiPriority w:val="99"/>
    <w:rPr>
      <w:szCs w:val="24"/>
    </w:rPr>
  </w:style>
  <w:style w:type="character" w:customStyle="1" w:styleId="63">
    <w:name w:val="日期 Char"/>
    <w:autoRedefine/>
    <w:qFormat/>
    <w:uiPriority w:val="99"/>
    <w:rPr>
      <w:szCs w:val="24"/>
    </w:rPr>
  </w:style>
  <w:style w:type="character" w:customStyle="1" w:styleId="64">
    <w:name w:val="页脚 Char"/>
    <w:autoRedefine/>
    <w:qFormat/>
    <w:locked/>
    <w:uiPriority w:val="99"/>
    <w:rPr>
      <w:sz w:val="18"/>
      <w:szCs w:val="18"/>
    </w:rPr>
  </w:style>
  <w:style w:type="character" w:customStyle="1" w:styleId="65">
    <w:name w:val="apple-converted-space"/>
    <w:basedOn w:val="45"/>
    <w:autoRedefine/>
    <w:qFormat/>
    <w:uiPriority w:val="0"/>
  </w:style>
  <w:style w:type="character" w:customStyle="1" w:styleId="66">
    <w:name w:val="批注框文本 Char"/>
    <w:autoRedefine/>
    <w:qFormat/>
    <w:uiPriority w:val="99"/>
    <w:rPr>
      <w:sz w:val="18"/>
      <w:szCs w:val="18"/>
    </w:rPr>
  </w:style>
  <w:style w:type="character" w:customStyle="1" w:styleId="67">
    <w:name w:val="页眉 Char"/>
    <w:autoRedefine/>
    <w:qFormat/>
    <w:locked/>
    <w:uiPriority w:val="99"/>
    <w:rPr>
      <w:sz w:val="18"/>
      <w:szCs w:val="18"/>
    </w:rPr>
  </w:style>
  <w:style w:type="character" w:customStyle="1" w:styleId="68">
    <w:name w:val="首示例 Char"/>
    <w:link w:val="69"/>
    <w:autoRedefine/>
    <w:qFormat/>
    <w:uiPriority w:val="0"/>
    <w:rPr>
      <w:rFonts w:ascii="宋体" w:hAnsi="宋体"/>
      <w:sz w:val="18"/>
      <w:szCs w:val="18"/>
    </w:rPr>
  </w:style>
  <w:style w:type="paragraph" w:customStyle="1" w:styleId="69">
    <w:name w:val="首示例"/>
    <w:next w:val="70"/>
    <w:link w:val="68"/>
    <w:autoRedefine/>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70">
    <w:name w:val="段"/>
    <w:link w:val="71"/>
    <w:autoRedefine/>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71">
    <w:name w:val="段 Char"/>
    <w:link w:val="70"/>
    <w:autoRedefine/>
    <w:qFormat/>
    <w:uiPriority w:val="0"/>
    <w:rPr>
      <w:rFonts w:ascii="宋体"/>
    </w:rPr>
  </w:style>
  <w:style w:type="character" w:customStyle="1" w:styleId="72">
    <w:name w:val="附录公式 Char"/>
    <w:basedOn w:val="71"/>
    <w:link w:val="73"/>
    <w:autoRedefine/>
    <w:qFormat/>
    <w:uiPriority w:val="0"/>
    <w:rPr>
      <w:rFonts w:ascii="宋体"/>
    </w:rPr>
  </w:style>
  <w:style w:type="paragraph" w:customStyle="1" w:styleId="73">
    <w:name w:val="附录公式"/>
    <w:basedOn w:val="70"/>
    <w:next w:val="70"/>
    <w:link w:val="72"/>
    <w:autoRedefine/>
    <w:qFormat/>
    <w:uiPriority w:val="0"/>
  </w:style>
  <w:style w:type="character" w:customStyle="1" w:styleId="74">
    <w:name w:val="发布"/>
    <w:autoRedefine/>
    <w:qFormat/>
    <w:uiPriority w:val="0"/>
    <w:rPr>
      <w:rFonts w:ascii="黑体" w:eastAsia="黑体"/>
      <w:spacing w:val="85"/>
      <w:w w:val="100"/>
      <w:position w:val="3"/>
      <w:sz w:val="28"/>
      <w:szCs w:val="28"/>
    </w:rPr>
  </w:style>
  <w:style w:type="character" w:customStyle="1" w:styleId="75">
    <w:name w:val="一级条标题 Char"/>
    <w:link w:val="76"/>
    <w:autoRedefine/>
    <w:qFormat/>
    <w:uiPriority w:val="0"/>
    <w:rPr>
      <w:rFonts w:ascii="黑体" w:eastAsia="黑体"/>
      <w:szCs w:val="21"/>
    </w:rPr>
  </w:style>
  <w:style w:type="paragraph" w:customStyle="1" w:styleId="76">
    <w:name w:val="一级条标题"/>
    <w:next w:val="70"/>
    <w:link w:val="75"/>
    <w:autoRedefine/>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7">
    <w:name w:val="HTML 预设格式 Char"/>
    <w:autoRedefine/>
    <w:qFormat/>
    <w:uiPriority w:val="0"/>
    <w:rPr>
      <w:rFonts w:ascii="Courier New" w:hAnsi="Courier New" w:cs="Courier New"/>
    </w:rPr>
  </w:style>
  <w:style w:type="character" w:customStyle="1" w:styleId="78">
    <w:name w:val="尾注文本 Char"/>
    <w:autoRedefine/>
    <w:semiHidden/>
    <w:qFormat/>
    <w:uiPriority w:val="0"/>
    <w:rPr>
      <w:szCs w:val="24"/>
    </w:rPr>
  </w:style>
  <w:style w:type="paragraph" w:customStyle="1" w:styleId="79">
    <w:name w:val="trs_editor"/>
    <w:basedOn w:val="1"/>
    <w:autoRedefine/>
    <w:qFormat/>
    <w:uiPriority w:val="0"/>
    <w:pPr>
      <w:spacing w:before="100" w:beforeAutospacing="1" w:after="100" w:afterAutospacing="1" w:line="240" w:lineRule="auto"/>
    </w:pPr>
    <w:rPr>
      <w:rFonts w:ascii="宋体" w:hAnsi="宋体" w:cs="宋体"/>
      <w:kern w:val="0"/>
      <w:sz w:val="24"/>
    </w:rPr>
  </w:style>
  <w:style w:type="paragraph" w:customStyle="1" w:styleId="80">
    <w:name w:val="reader-word-layer"/>
    <w:basedOn w:val="1"/>
    <w:autoRedefine/>
    <w:qFormat/>
    <w:uiPriority w:val="0"/>
    <w:pPr>
      <w:spacing w:before="100" w:beforeAutospacing="1" w:after="100" w:afterAutospacing="1" w:line="240" w:lineRule="auto"/>
    </w:pPr>
    <w:rPr>
      <w:rFonts w:ascii="宋体" w:hAnsi="宋体" w:cs="宋体"/>
      <w:kern w:val="0"/>
      <w:sz w:val="24"/>
    </w:rPr>
  </w:style>
  <w:style w:type="paragraph" w:styleId="81">
    <w:name w:val="List Paragraph"/>
    <w:basedOn w:val="1"/>
    <w:autoRedefine/>
    <w:qFormat/>
    <w:uiPriority w:val="34"/>
    <w:pPr>
      <w:ind w:firstLine="420" w:firstLineChars="200"/>
    </w:pPr>
    <w:rPr>
      <w:rFonts w:ascii="宋体" w:hAnsi="宋体" w:cs="宋体"/>
      <w:kern w:val="0"/>
      <w:sz w:val="24"/>
    </w:rPr>
  </w:style>
  <w:style w:type="paragraph" w:customStyle="1" w:styleId="82">
    <w:name w:val="封面一致性程度标识2"/>
    <w:basedOn w:val="83"/>
    <w:autoRedefine/>
    <w:qFormat/>
    <w:uiPriority w:val="0"/>
    <w:pPr>
      <w:framePr w:wrap="around" w:y="4469"/>
    </w:pPr>
  </w:style>
  <w:style w:type="paragraph" w:customStyle="1" w:styleId="83">
    <w:name w:val="封面一致性程度标识"/>
    <w:basedOn w:val="84"/>
    <w:autoRedefine/>
    <w:qFormat/>
    <w:uiPriority w:val="0"/>
    <w:pPr>
      <w:framePr w:wrap="around"/>
      <w:spacing w:before="440"/>
    </w:pPr>
    <w:rPr>
      <w:rFonts w:ascii="宋体" w:eastAsia="宋体"/>
    </w:rPr>
  </w:style>
  <w:style w:type="paragraph" w:customStyle="1" w:styleId="84">
    <w:name w:val="封面标准英文名称"/>
    <w:basedOn w:val="85"/>
    <w:autoRedefine/>
    <w:qFormat/>
    <w:uiPriority w:val="0"/>
    <w:pPr>
      <w:framePr w:wrap="around"/>
      <w:spacing w:before="370" w:line="400" w:lineRule="exact"/>
    </w:pPr>
    <w:rPr>
      <w:rFonts w:ascii="Times New Roman"/>
      <w:sz w:val="28"/>
      <w:szCs w:val="28"/>
    </w:rPr>
  </w:style>
  <w:style w:type="paragraph" w:customStyle="1" w:styleId="8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2"/>
    <w:basedOn w:val="84"/>
    <w:autoRedefine/>
    <w:qFormat/>
    <w:uiPriority w:val="0"/>
    <w:pPr>
      <w:framePr w:wrap="around" w:y="4469"/>
    </w:pPr>
  </w:style>
  <w:style w:type="paragraph" w:customStyle="1" w:styleId="87">
    <w:name w:val="其他发布日期"/>
    <w:basedOn w:val="88"/>
    <w:autoRedefine/>
    <w:qFormat/>
    <w:uiPriority w:val="0"/>
    <w:pPr>
      <w:framePr w:wrap="around" w:vAnchor="page" w:hAnchor="text" w:x="1419"/>
    </w:pPr>
  </w:style>
  <w:style w:type="paragraph" w:customStyle="1" w:styleId="88">
    <w:name w:val="发布日期"/>
    <w:autoRedefine/>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9">
    <w:name w:val="正文公式编号制表符"/>
    <w:basedOn w:val="70"/>
    <w:next w:val="70"/>
    <w:autoRedefine/>
    <w:qFormat/>
    <w:uiPriority w:val="0"/>
    <w:pPr>
      <w:ind w:firstLine="0" w:firstLineChars="0"/>
    </w:pPr>
  </w:style>
  <w:style w:type="paragraph" w:customStyle="1" w:styleId="90">
    <w:name w:val="正文表标题"/>
    <w:next w:val="70"/>
    <w:autoRedefine/>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91">
    <w:name w:val="文献分类号"/>
    <w:autoRedefine/>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92">
    <w:name w:val="一级无"/>
    <w:basedOn w:val="76"/>
    <w:autoRedefine/>
    <w:qFormat/>
    <w:uiPriority w:val="0"/>
  </w:style>
  <w:style w:type="paragraph" w:customStyle="1" w:styleId="93">
    <w:name w:val="图的脚注"/>
    <w:next w:val="70"/>
    <w:autoRedefine/>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4">
    <w:name w:val="图标脚注说明"/>
    <w:basedOn w:val="70"/>
    <w:autoRedefine/>
    <w:qFormat/>
    <w:uiPriority w:val="0"/>
    <w:pPr>
      <w:ind w:left="840" w:hanging="420" w:firstLineChars="0"/>
    </w:pPr>
    <w:rPr>
      <w:sz w:val="18"/>
      <w:szCs w:val="18"/>
    </w:rPr>
  </w:style>
  <w:style w:type="paragraph" w:customStyle="1" w:styleId="95">
    <w:name w:val="示例后文字"/>
    <w:basedOn w:val="70"/>
    <w:next w:val="70"/>
    <w:autoRedefine/>
    <w:qFormat/>
    <w:uiPriority w:val="0"/>
    <w:pPr>
      <w:ind w:firstLine="360"/>
    </w:pPr>
    <w:rPr>
      <w:sz w:val="18"/>
    </w:rPr>
  </w:style>
  <w:style w:type="paragraph" w:customStyle="1" w:styleId="96">
    <w:name w:val="实施日期"/>
    <w:basedOn w:val="88"/>
    <w:autoRedefine/>
    <w:qFormat/>
    <w:uiPriority w:val="0"/>
    <w:pPr>
      <w:framePr w:wrap="around" w:vAnchor="page" w:hAnchor="text"/>
      <w:jc w:val="right"/>
    </w:pPr>
  </w:style>
  <w:style w:type="paragraph" w:customStyle="1" w:styleId="97">
    <w:name w:val="前言、引言标题"/>
    <w:next w:val="70"/>
    <w:autoRedefine/>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8">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0">
    <w:name w:val="列出段落1"/>
    <w:basedOn w:val="1"/>
    <w:autoRedefine/>
    <w:qFormat/>
    <w:uiPriority w:val="0"/>
    <w:pPr>
      <w:widowControl w:val="0"/>
      <w:spacing w:line="240" w:lineRule="auto"/>
      <w:ind w:firstLine="420" w:firstLineChars="200"/>
      <w:jc w:val="both"/>
    </w:pPr>
    <w:rPr>
      <w:rFonts w:ascii="Calibri" w:hAnsi="Calibri"/>
      <w:szCs w:val="22"/>
    </w:rPr>
  </w:style>
  <w:style w:type="paragraph" w:customStyle="1" w:styleId="101">
    <w:name w:val="列项说明"/>
    <w:basedOn w:val="1"/>
    <w:autoRedefine/>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02">
    <w:name w:val="附录字母编号列项（一级）"/>
    <w:autoRedefine/>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3">
    <w:name w:val="条文脚注"/>
    <w:basedOn w:val="31"/>
    <w:autoRedefine/>
    <w:qFormat/>
    <w:uiPriority w:val="0"/>
    <w:pPr>
      <w:ind w:left="0" w:firstLine="0"/>
      <w:jc w:val="both"/>
    </w:pPr>
  </w:style>
  <w:style w:type="paragraph" w:customStyle="1" w:styleId="104">
    <w:name w:val="附录一级无"/>
    <w:basedOn w:val="105"/>
    <w:autoRedefine/>
    <w:qFormat/>
    <w:uiPriority w:val="0"/>
    <w:pPr>
      <w:tabs>
        <w:tab w:val="left" w:pos="360"/>
      </w:tabs>
      <w:spacing w:beforeLines="0" w:afterLines="0"/>
    </w:pPr>
    <w:rPr>
      <w:rFonts w:ascii="宋体" w:eastAsia="宋体"/>
      <w:szCs w:val="21"/>
    </w:rPr>
  </w:style>
  <w:style w:type="paragraph" w:customStyle="1" w:styleId="105">
    <w:name w:val="附录一级条标题"/>
    <w:basedOn w:val="106"/>
    <w:next w:val="70"/>
    <w:autoRedefine/>
    <w:qFormat/>
    <w:uiPriority w:val="0"/>
    <w:pPr>
      <w:tabs>
        <w:tab w:val="left" w:pos="360"/>
      </w:tabs>
      <w:autoSpaceDN w:val="0"/>
      <w:spacing w:beforeLines="50" w:afterLines="50"/>
      <w:outlineLvl w:val="2"/>
    </w:pPr>
  </w:style>
  <w:style w:type="paragraph" w:customStyle="1" w:styleId="106">
    <w:name w:val="附录章标题"/>
    <w:next w:val="70"/>
    <w:autoRedefine/>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五级无"/>
    <w:basedOn w:val="108"/>
    <w:autoRedefine/>
    <w:qFormat/>
    <w:uiPriority w:val="0"/>
    <w:pPr>
      <w:tabs>
        <w:tab w:val="left" w:pos="360"/>
      </w:tabs>
      <w:spacing w:beforeLines="0" w:afterLines="0"/>
    </w:pPr>
    <w:rPr>
      <w:rFonts w:ascii="宋体" w:eastAsia="宋体"/>
      <w:szCs w:val="21"/>
    </w:rPr>
  </w:style>
  <w:style w:type="paragraph" w:customStyle="1" w:styleId="108">
    <w:name w:val="附录五级条标题"/>
    <w:basedOn w:val="109"/>
    <w:next w:val="70"/>
    <w:autoRedefine/>
    <w:qFormat/>
    <w:uiPriority w:val="0"/>
    <w:pPr>
      <w:tabs>
        <w:tab w:val="left" w:pos="360"/>
      </w:tabs>
      <w:outlineLvl w:val="6"/>
    </w:pPr>
  </w:style>
  <w:style w:type="paragraph" w:customStyle="1" w:styleId="109">
    <w:name w:val="附录四级条标题"/>
    <w:basedOn w:val="110"/>
    <w:next w:val="70"/>
    <w:autoRedefine/>
    <w:qFormat/>
    <w:uiPriority w:val="0"/>
    <w:pPr>
      <w:tabs>
        <w:tab w:val="left" w:pos="360"/>
      </w:tabs>
    </w:pPr>
  </w:style>
  <w:style w:type="paragraph" w:customStyle="1" w:styleId="110">
    <w:name w:val="附录三级条标题"/>
    <w:basedOn w:val="111"/>
    <w:next w:val="70"/>
    <w:autoRedefine/>
    <w:qFormat/>
    <w:uiPriority w:val="0"/>
    <w:pPr>
      <w:tabs>
        <w:tab w:val="left" w:pos="360"/>
      </w:tabs>
    </w:pPr>
  </w:style>
  <w:style w:type="paragraph" w:customStyle="1" w:styleId="111">
    <w:name w:val="附录二级条标题"/>
    <w:basedOn w:val="1"/>
    <w:next w:val="70"/>
    <w:autoRedefine/>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2">
    <w:name w:val="附录图标题"/>
    <w:basedOn w:val="1"/>
    <w:next w:val="70"/>
    <w:autoRedefine/>
    <w:qFormat/>
    <w:uiPriority w:val="0"/>
    <w:pPr>
      <w:tabs>
        <w:tab w:val="left" w:pos="363"/>
      </w:tabs>
      <w:spacing w:beforeLines="50" w:afterLines="50"/>
      <w:jc w:val="center"/>
    </w:pPr>
    <w:rPr>
      <w:rFonts w:ascii="黑体" w:eastAsia="黑体"/>
      <w:szCs w:val="21"/>
    </w:rPr>
  </w:style>
  <w:style w:type="paragraph" w:customStyle="1" w:styleId="113">
    <w:name w:val="附录图标号"/>
    <w:basedOn w:val="1"/>
    <w:autoRedefine/>
    <w:qFormat/>
    <w:uiPriority w:val="0"/>
    <w:pPr>
      <w:keepNext/>
      <w:pageBreakBefore/>
      <w:spacing w:line="14" w:lineRule="exact"/>
      <w:ind w:firstLine="363"/>
      <w:jc w:val="center"/>
      <w:outlineLvl w:val="0"/>
    </w:pPr>
    <w:rPr>
      <w:color w:val="FFFFFF"/>
    </w:rPr>
  </w:style>
  <w:style w:type="paragraph" w:customStyle="1" w:styleId="114">
    <w:name w:val="附录四级无"/>
    <w:basedOn w:val="109"/>
    <w:autoRedefine/>
    <w:qFormat/>
    <w:uiPriority w:val="0"/>
    <w:pPr>
      <w:tabs>
        <w:tab w:val="clear" w:pos="360"/>
      </w:tabs>
      <w:spacing w:beforeLines="0" w:afterLines="0"/>
      <w:outlineLvl w:val="5"/>
    </w:pPr>
    <w:rPr>
      <w:rFonts w:ascii="宋体" w:eastAsia="宋体"/>
      <w:szCs w:val="21"/>
    </w:rPr>
  </w:style>
  <w:style w:type="paragraph" w:customStyle="1" w:styleId="115">
    <w:name w:val="附录三级无"/>
    <w:basedOn w:val="110"/>
    <w:autoRedefine/>
    <w:qFormat/>
    <w:uiPriority w:val="0"/>
  </w:style>
  <w:style w:type="paragraph" w:customStyle="1" w:styleId="116">
    <w:name w:val="注："/>
    <w:next w:val="70"/>
    <w:autoRedefine/>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7">
    <w:name w:val="附录公式编号制表符"/>
    <w:basedOn w:val="1"/>
    <w:next w:val="70"/>
    <w:autoRedefine/>
    <w:qFormat/>
    <w:uiPriority w:val="0"/>
    <w:pPr>
      <w:tabs>
        <w:tab w:val="center" w:pos="4201"/>
        <w:tab w:val="right" w:leader="dot" w:pos="9298"/>
      </w:tabs>
      <w:autoSpaceDE w:val="0"/>
      <w:autoSpaceDN w:val="0"/>
    </w:pPr>
    <w:rPr>
      <w:rFonts w:ascii="宋体"/>
      <w:kern w:val="0"/>
      <w:szCs w:val="20"/>
    </w:rPr>
  </w:style>
  <w:style w:type="paragraph" w:customStyle="1" w:styleId="118">
    <w:name w:val="附录二级无"/>
    <w:basedOn w:val="111"/>
    <w:autoRedefine/>
    <w:qFormat/>
    <w:uiPriority w:val="0"/>
  </w:style>
  <w:style w:type="paragraph" w:customStyle="1" w:styleId="119">
    <w:name w:val="附录标题"/>
    <w:basedOn w:val="70"/>
    <w:next w:val="70"/>
    <w:autoRedefine/>
    <w:qFormat/>
    <w:uiPriority w:val="0"/>
    <w:pPr>
      <w:ind w:firstLine="0" w:firstLineChars="0"/>
      <w:jc w:val="center"/>
    </w:pPr>
    <w:rPr>
      <w:rFonts w:ascii="黑体" w:eastAsia="黑体"/>
    </w:rPr>
  </w:style>
  <w:style w:type="paragraph" w:customStyle="1" w:styleId="120">
    <w:name w:val="参考文献"/>
    <w:basedOn w:val="1"/>
    <w:next w:val="70"/>
    <w:autoRedefine/>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1">
    <w:name w:val="封面正文"/>
    <w:autoRedefine/>
    <w:qFormat/>
    <w:uiPriority w:val="0"/>
    <w:pPr>
      <w:spacing w:line="360" w:lineRule="exact"/>
      <w:jc w:val="both"/>
    </w:pPr>
    <w:rPr>
      <w:rFonts w:ascii="Times New Roman" w:hAnsi="Times New Roman" w:eastAsia="宋体" w:cs="Times New Roman"/>
      <w:lang w:val="en-US" w:eastAsia="zh-CN" w:bidi="ar-SA"/>
    </w:rPr>
  </w:style>
  <w:style w:type="paragraph" w:customStyle="1" w:styleId="122">
    <w:name w:val="封面标准文稿类别"/>
    <w:basedOn w:val="83"/>
    <w:autoRedefine/>
    <w:qFormat/>
    <w:uiPriority w:val="0"/>
    <w:pPr>
      <w:framePr w:wrap="around"/>
      <w:spacing w:after="160" w:line="240" w:lineRule="auto"/>
    </w:pPr>
    <w:rPr>
      <w:sz w:val="24"/>
    </w:rPr>
  </w:style>
  <w:style w:type="paragraph" w:customStyle="1" w:styleId="123">
    <w:name w:val="封面标准号1"/>
    <w:autoRedefine/>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4">
    <w:name w:val="其他实施日期"/>
    <w:basedOn w:val="96"/>
    <w:autoRedefine/>
    <w:qFormat/>
    <w:uiPriority w:val="0"/>
    <w:pPr>
      <w:framePr w:wrap="around" w:vAnchor="margin" w:hAnchor="page"/>
    </w:pPr>
  </w:style>
  <w:style w:type="paragraph" w:customStyle="1" w:styleId="12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6">
    <w:name w:val="发布部门"/>
    <w:next w:val="70"/>
    <w:autoRedefine/>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7">
    <w:name w:val="注：（正文）"/>
    <w:basedOn w:val="116"/>
    <w:next w:val="70"/>
    <w:autoRedefine/>
    <w:qFormat/>
    <w:uiPriority w:val="0"/>
  </w:style>
  <w:style w:type="paragraph" w:customStyle="1" w:styleId="128">
    <w:name w:val="参考文献、索引标题"/>
    <w:basedOn w:val="1"/>
    <w:next w:val="70"/>
    <w:autoRedefine/>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1">
    <w:name w:val="附录数字编号列项（二级）"/>
    <w:autoRedefine/>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32">
    <w:name w:val="注×：（正文）"/>
    <w:autoRedefine/>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3">
    <w:name w:val="示例内容"/>
    <w:autoRedefine/>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4">
    <w:name w:val="示例×："/>
    <w:basedOn w:val="135"/>
    <w:autoRedefine/>
    <w:qFormat/>
    <w:uiPriority w:val="0"/>
    <w:pPr>
      <w:spacing w:beforeLines="0" w:afterLines="0"/>
      <w:ind w:firstLine="363"/>
      <w:outlineLvl w:val="9"/>
    </w:pPr>
    <w:rPr>
      <w:rFonts w:ascii="宋体" w:eastAsia="宋体"/>
      <w:sz w:val="18"/>
      <w:szCs w:val="18"/>
    </w:rPr>
  </w:style>
  <w:style w:type="paragraph" w:customStyle="1" w:styleId="135">
    <w:name w:val="章标题"/>
    <w:next w:val="70"/>
    <w:autoRedefine/>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6">
    <w:name w:val="编号列项（三级）"/>
    <w:autoRedefine/>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7">
    <w:name w:val="注×："/>
    <w:autoRedefine/>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8">
    <w:name w:val="数字编号列项（二级）"/>
    <w:autoRedefine/>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9">
    <w:name w:val="五级无"/>
    <w:basedOn w:val="140"/>
    <w:autoRedefine/>
    <w:qFormat/>
    <w:uiPriority w:val="0"/>
    <w:pPr>
      <w:spacing w:beforeLines="0" w:afterLines="0"/>
      <w:outlineLvl w:val="6"/>
    </w:pPr>
    <w:rPr>
      <w:rFonts w:ascii="宋体" w:eastAsia="宋体"/>
    </w:rPr>
  </w:style>
  <w:style w:type="paragraph" w:customStyle="1" w:styleId="140">
    <w:name w:val="五级条标题"/>
    <w:basedOn w:val="141"/>
    <w:next w:val="70"/>
    <w:autoRedefine/>
    <w:qFormat/>
    <w:uiPriority w:val="0"/>
  </w:style>
  <w:style w:type="paragraph" w:customStyle="1" w:styleId="141">
    <w:name w:val="四级条标题"/>
    <w:basedOn w:val="142"/>
    <w:next w:val="70"/>
    <w:autoRedefine/>
    <w:qFormat/>
    <w:uiPriority w:val="0"/>
  </w:style>
  <w:style w:type="paragraph" w:customStyle="1" w:styleId="142">
    <w:name w:val="三级条标题"/>
    <w:basedOn w:val="143"/>
    <w:next w:val="70"/>
    <w:autoRedefine/>
    <w:qFormat/>
    <w:uiPriority w:val="0"/>
  </w:style>
  <w:style w:type="paragraph" w:customStyle="1" w:styleId="143">
    <w:name w:val="二级条标题"/>
    <w:basedOn w:val="76"/>
    <w:next w:val="70"/>
    <w:autoRedefine/>
    <w:qFormat/>
    <w:uiPriority w:val="0"/>
  </w:style>
  <w:style w:type="paragraph" w:customStyle="1" w:styleId="144">
    <w:name w:val="四级无"/>
    <w:basedOn w:val="141"/>
    <w:autoRedefine/>
    <w:qFormat/>
    <w:uiPriority w:val="0"/>
  </w:style>
  <w:style w:type="paragraph" w:customStyle="1" w:styleId="145">
    <w:name w:val="三级无"/>
    <w:basedOn w:val="142"/>
    <w:autoRedefine/>
    <w:qFormat/>
    <w:uiPriority w:val="0"/>
  </w:style>
  <w:style w:type="paragraph" w:customStyle="1" w:styleId="146">
    <w:name w:val="其他标准标志"/>
    <w:basedOn w:val="130"/>
    <w:autoRedefine/>
    <w:qFormat/>
    <w:uiPriority w:val="0"/>
    <w:pPr>
      <w:framePr w:w="6101" w:wrap="around" w:vAnchor="page" w:hAnchor="page" w:x="4673" w:y="942"/>
    </w:pPr>
    <w:rPr>
      <w:w w:val="130"/>
    </w:rPr>
  </w:style>
  <w:style w:type="paragraph" w:customStyle="1" w:styleId="147">
    <w:name w:val="目次、标准名称标题"/>
    <w:basedOn w:val="1"/>
    <w:next w:val="70"/>
    <w:autoRedefine/>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9">
    <w:name w:val="列项——（一级）"/>
    <w:autoRedefine/>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50">
    <w:name w:val="批注框文本 字符"/>
    <w:basedOn w:val="45"/>
    <w:link w:val="26"/>
    <w:autoRedefine/>
    <w:semiHidden/>
    <w:qFormat/>
    <w:uiPriority w:val="99"/>
    <w:rPr>
      <w:rFonts w:ascii="Times New Roman" w:hAnsi="Times New Roman" w:eastAsia="宋体" w:cs="Times New Roman"/>
      <w:sz w:val="18"/>
      <w:szCs w:val="18"/>
    </w:rPr>
  </w:style>
  <w:style w:type="paragraph" w:customStyle="1" w:styleId="151">
    <w:name w:val="列项◆（三级）"/>
    <w:basedOn w:val="1"/>
    <w:autoRedefine/>
    <w:qFormat/>
    <w:uiPriority w:val="99"/>
    <w:pPr>
      <w:tabs>
        <w:tab w:val="left" w:pos="969"/>
      </w:tabs>
      <w:ind w:left="969" w:hanging="414"/>
    </w:pPr>
    <w:rPr>
      <w:rFonts w:ascii="宋体"/>
      <w:szCs w:val="21"/>
    </w:rPr>
  </w:style>
  <w:style w:type="paragraph" w:customStyle="1" w:styleId="152">
    <w:name w:val="标准书眉_奇数页"/>
    <w:next w:val="1"/>
    <w:autoRedefine/>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3">
    <w:name w:val="页眉 字符"/>
    <w:basedOn w:val="45"/>
    <w:link w:val="18"/>
    <w:autoRedefine/>
    <w:semiHidden/>
    <w:qFormat/>
    <w:uiPriority w:val="99"/>
    <w:rPr>
      <w:rFonts w:ascii="Times New Roman" w:hAnsi="Times New Roman" w:eastAsia="宋体" w:cs="Times New Roman"/>
      <w:sz w:val="18"/>
      <w:szCs w:val="18"/>
    </w:rPr>
  </w:style>
  <w:style w:type="paragraph" w:customStyle="1" w:styleId="154">
    <w:name w:val="标准书脚_奇数页"/>
    <w:autoRedefine/>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5">
    <w:name w:val="其他发布部门"/>
    <w:basedOn w:val="126"/>
    <w:autoRedefine/>
    <w:qFormat/>
    <w:uiPriority w:val="0"/>
    <w:pPr>
      <w:framePr w:wrap="around" w:y="15310"/>
      <w:spacing w:line="0" w:lineRule="atLeast"/>
    </w:pPr>
    <w:rPr>
      <w:rFonts w:ascii="黑体" w:eastAsia="黑体"/>
      <w:b w:val="0"/>
    </w:rPr>
  </w:style>
  <w:style w:type="paragraph" w:customStyle="1" w:styleId="156">
    <w:name w:val="列项说明数字编号"/>
    <w:autoRedefine/>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7">
    <w:name w:val="正文图标题"/>
    <w:next w:val="70"/>
    <w:autoRedefine/>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8">
    <w:name w:val="HTML 预设格式 字符"/>
    <w:basedOn w:val="45"/>
    <w:link w:val="36"/>
    <w:autoRedefine/>
    <w:semiHidden/>
    <w:qFormat/>
    <w:uiPriority w:val="99"/>
    <w:rPr>
      <w:rFonts w:ascii="Courier New" w:hAnsi="Courier New" w:eastAsia="宋体" w:cs="Courier New"/>
      <w:sz w:val="20"/>
      <w:szCs w:val="20"/>
    </w:rPr>
  </w:style>
  <w:style w:type="paragraph" w:customStyle="1" w:styleId="159">
    <w:name w:val="附录标识"/>
    <w:basedOn w:val="1"/>
    <w:next w:val="70"/>
    <w:autoRedefine/>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60">
    <w:name w:val="脚注文本 字符"/>
    <w:basedOn w:val="45"/>
    <w:link w:val="31"/>
    <w:autoRedefine/>
    <w:semiHidden/>
    <w:qFormat/>
    <w:uiPriority w:val="99"/>
    <w:rPr>
      <w:rFonts w:ascii="Times New Roman" w:hAnsi="Times New Roman" w:eastAsia="宋体" w:cs="Times New Roman"/>
      <w:sz w:val="18"/>
      <w:szCs w:val="18"/>
    </w:rPr>
  </w:style>
  <w:style w:type="paragraph" w:customStyle="1" w:styleId="161">
    <w:name w:val="字母编号列项（一级）"/>
    <w:autoRedefine/>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62">
    <w:name w:val="二级无"/>
    <w:basedOn w:val="143"/>
    <w:autoRedefine/>
    <w:qFormat/>
    <w:uiPriority w:val="0"/>
  </w:style>
  <w:style w:type="paragraph" w:customStyle="1" w:styleId="163">
    <w:name w:val="列项●（二级）"/>
    <w:autoRedefine/>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4">
    <w:name w:val="正文文本缩进 2 字符"/>
    <w:basedOn w:val="45"/>
    <w:link w:val="20"/>
    <w:autoRedefine/>
    <w:semiHidden/>
    <w:qFormat/>
    <w:uiPriority w:val="99"/>
    <w:rPr>
      <w:rFonts w:ascii="Times New Roman" w:hAnsi="Times New Roman" w:eastAsia="宋体" w:cs="Times New Roman"/>
      <w:szCs w:val="24"/>
    </w:rPr>
  </w:style>
  <w:style w:type="paragraph" w:customStyle="1" w:styleId="165">
    <w:name w:val="封面标准文稿编辑信息2"/>
    <w:basedOn w:val="166"/>
    <w:autoRedefine/>
    <w:qFormat/>
    <w:uiPriority w:val="0"/>
    <w:pPr>
      <w:framePr w:wrap="around" w:y="4469"/>
    </w:pPr>
  </w:style>
  <w:style w:type="paragraph" w:customStyle="1" w:styleId="166">
    <w:name w:val="封面标准文稿编辑信息"/>
    <w:basedOn w:val="122"/>
    <w:autoRedefine/>
    <w:qFormat/>
    <w:uiPriority w:val="0"/>
    <w:pPr>
      <w:framePr w:wrap="around"/>
      <w:spacing w:before="180" w:line="180" w:lineRule="exact"/>
    </w:pPr>
    <w:rPr>
      <w:sz w:val="21"/>
    </w:rPr>
  </w:style>
  <w:style w:type="paragraph" w:customStyle="1" w:styleId="167">
    <w:name w:val="附录表标题"/>
    <w:basedOn w:val="1"/>
    <w:next w:val="70"/>
    <w:autoRedefine/>
    <w:qFormat/>
    <w:uiPriority w:val="0"/>
    <w:pPr>
      <w:tabs>
        <w:tab w:val="left" w:pos="180"/>
      </w:tabs>
      <w:spacing w:beforeLines="50" w:afterLines="50"/>
      <w:jc w:val="center"/>
    </w:pPr>
    <w:rPr>
      <w:rFonts w:ascii="黑体" w:eastAsia="黑体"/>
      <w:szCs w:val="21"/>
    </w:rPr>
  </w:style>
  <w:style w:type="paragraph" w:customStyle="1" w:styleId="168">
    <w:name w:val="标准书眉_偶数页"/>
    <w:basedOn w:val="152"/>
    <w:next w:val="1"/>
    <w:autoRedefine/>
    <w:qFormat/>
    <w:uiPriority w:val="0"/>
    <w:pPr>
      <w:jc w:val="left"/>
    </w:pPr>
  </w:style>
  <w:style w:type="paragraph" w:customStyle="1" w:styleId="169">
    <w:name w:val="附录表标号"/>
    <w:basedOn w:val="1"/>
    <w:next w:val="70"/>
    <w:autoRedefine/>
    <w:qFormat/>
    <w:uiPriority w:val="0"/>
    <w:pPr>
      <w:spacing w:line="14" w:lineRule="exact"/>
      <w:ind w:left="811" w:hanging="448"/>
      <w:jc w:val="center"/>
      <w:outlineLvl w:val="0"/>
    </w:pPr>
    <w:rPr>
      <w:color w:val="FFFFFF"/>
    </w:rPr>
  </w:style>
  <w:style w:type="paragraph" w:customStyle="1" w:styleId="170">
    <w:name w:val="图表脚注说明"/>
    <w:basedOn w:val="1"/>
    <w:autoRedefine/>
    <w:qFormat/>
    <w:uiPriority w:val="0"/>
    <w:pPr>
      <w:ind w:left="544" w:hanging="181"/>
    </w:pPr>
    <w:rPr>
      <w:rFonts w:ascii="宋体"/>
      <w:sz w:val="18"/>
      <w:szCs w:val="18"/>
    </w:rPr>
  </w:style>
  <w:style w:type="character" w:customStyle="1" w:styleId="171">
    <w:name w:val="页脚 字符"/>
    <w:basedOn w:val="45"/>
    <w:link w:val="27"/>
    <w:autoRedefine/>
    <w:semiHidden/>
    <w:qFormat/>
    <w:uiPriority w:val="99"/>
    <w:rPr>
      <w:rFonts w:ascii="Times New Roman" w:hAnsi="Times New Roman" w:eastAsia="宋体" w:cs="Times New Roman"/>
      <w:sz w:val="18"/>
      <w:szCs w:val="18"/>
    </w:rPr>
  </w:style>
  <w:style w:type="character" w:customStyle="1" w:styleId="172">
    <w:name w:val="批注文字 字符"/>
    <w:basedOn w:val="45"/>
    <w:link w:val="13"/>
    <w:autoRedefine/>
    <w:semiHidden/>
    <w:qFormat/>
    <w:uiPriority w:val="99"/>
    <w:rPr>
      <w:rFonts w:ascii="Times New Roman" w:hAnsi="Times New Roman" w:eastAsia="宋体" w:cs="Times New Roman"/>
      <w:szCs w:val="24"/>
    </w:rPr>
  </w:style>
  <w:style w:type="paragraph" w:customStyle="1" w:styleId="173">
    <w:name w:val="封面标准名称2"/>
    <w:basedOn w:val="85"/>
    <w:autoRedefine/>
    <w:qFormat/>
    <w:uiPriority w:val="0"/>
    <w:pPr>
      <w:framePr w:wrap="around" w:y="4469"/>
      <w:spacing w:beforeLines="630"/>
    </w:pPr>
  </w:style>
  <w:style w:type="character" w:customStyle="1" w:styleId="174">
    <w:name w:val="日期 字符"/>
    <w:basedOn w:val="45"/>
    <w:link w:val="24"/>
    <w:autoRedefine/>
    <w:semiHidden/>
    <w:qFormat/>
    <w:uiPriority w:val="99"/>
    <w:rPr>
      <w:rFonts w:ascii="Times New Roman" w:hAnsi="Times New Roman" w:eastAsia="宋体" w:cs="Times New Roman"/>
      <w:szCs w:val="24"/>
    </w:rPr>
  </w:style>
  <w:style w:type="character" w:customStyle="1" w:styleId="175">
    <w:name w:val="文档结构图 字符"/>
    <w:basedOn w:val="45"/>
    <w:link w:val="12"/>
    <w:autoRedefine/>
    <w:semiHidden/>
    <w:qFormat/>
    <w:uiPriority w:val="99"/>
    <w:rPr>
      <w:rFonts w:ascii="宋体" w:hAnsi="Times New Roman" w:eastAsia="宋体" w:cs="Times New Roman"/>
      <w:sz w:val="18"/>
      <w:szCs w:val="18"/>
    </w:rPr>
  </w:style>
  <w:style w:type="paragraph" w:customStyle="1" w:styleId="176">
    <w:name w:val="标准书眉一"/>
    <w:autoRedefine/>
    <w:qFormat/>
    <w:uiPriority w:val="0"/>
    <w:pPr>
      <w:spacing w:line="360" w:lineRule="exact"/>
      <w:jc w:val="both"/>
    </w:pPr>
    <w:rPr>
      <w:rFonts w:ascii="Times New Roman" w:hAnsi="Times New Roman" w:eastAsia="宋体" w:cs="Times New Roman"/>
      <w:lang w:val="en-US" w:eastAsia="zh-CN" w:bidi="ar-SA"/>
    </w:rPr>
  </w:style>
  <w:style w:type="paragraph" w:customStyle="1" w:styleId="177">
    <w:name w:val="封面标准文稿类别2"/>
    <w:basedOn w:val="122"/>
    <w:autoRedefine/>
    <w:qFormat/>
    <w:uiPriority w:val="0"/>
    <w:pPr>
      <w:framePr w:wrap="around" w:y="4469"/>
    </w:pPr>
  </w:style>
  <w:style w:type="paragraph" w:customStyle="1" w:styleId="178">
    <w:name w:val="标准书脚_偶数页"/>
    <w:autoRedefine/>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9">
    <w:name w:val="终结线"/>
    <w:basedOn w:val="1"/>
    <w:autoRedefine/>
    <w:qFormat/>
    <w:uiPriority w:val="0"/>
    <w:pPr>
      <w:framePr w:hSpace="181" w:vSpace="181" w:wrap="around" w:vAnchor="text" w:hAnchor="margin" w:xAlign="center" w:y="285"/>
    </w:pPr>
  </w:style>
  <w:style w:type="character" w:customStyle="1" w:styleId="180">
    <w:name w:val="批注主题 字符"/>
    <w:basedOn w:val="172"/>
    <w:link w:val="40"/>
    <w:autoRedefine/>
    <w:semiHidden/>
    <w:qFormat/>
    <w:uiPriority w:val="99"/>
    <w:rPr>
      <w:rFonts w:ascii="Times New Roman" w:hAnsi="Times New Roman" w:eastAsia="宋体" w:cs="Times New Roman"/>
      <w:b/>
      <w:bCs/>
      <w:szCs w:val="24"/>
    </w:rPr>
  </w:style>
  <w:style w:type="character" w:customStyle="1" w:styleId="181">
    <w:name w:val="尾注文本 字符"/>
    <w:basedOn w:val="45"/>
    <w:link w:val="25"/>
    <w:autoRedefine/>
    <w:semiHidden/>
    <w:qFormat/>
    <w:uiPriority w:val="99"/>
    <w:rPr>
      <w:rFonts w:ascii="Times New Roman" w:hAnsi="Times New Roman" w:eastAsia="宋体" w:cs="Times New Roman"/>
      <w:szCs w:val="24"/>
    </w:rPr>
  </w:style>
  <w:style w:type="paragraph" w:customStyle="1" w:styleId="182">
    <w:name w:val="示例"/>
    <w:next w:val="133"/>
    <w:autoRedefine/>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3">
    <w:name w:val="正文文本 3 字符"/>
    <w:basedOn w:val="45"/>
    <w:link w:val="15"/>
    <w:autoRedefine/>
    <w:semiHidden/>
    <w:qFormat/>
    <w:uiPriority w:val="99"/>
    <w:rPr>
      <w:rFonts w:ascii="Times New Roman" w:hAnsi="Times New Roman" w:eastAsia="宋体" w:cs="Times New Roman"/>
      <w:sz w:val="16"/>
      <w:szCs w:val="16"/>
    </w:rPr>
  </w:style>
  <w:style w:type="character" w:customStyle="1" w:styleId="184">
    <w:name w:val="标题 字符"/>
    <w:basedOn w:val="45"/>
    <w:link w:val="39"/>
    <w:autoRedefine/>
    <w:qFormat/>
    <w:uiPriority w:val="0"/>
    <w:rPr>
      <w:rFonts w:ascii="Arial" w:hAnsi="Arial" w:eastAsia="宋体" w:cs="Times New Roman"/>
      <w:b/>
      <w:kern w:val="0"/>
      <w:sz w:val="32"/>
      <w:szCs w:val="20"/>
    </w:rPr>
  </w:style>
  <w:style w:type="paragraph" w:customStyle="1" w:styleId="185">
    <w:name w:val="p0"/>
    <w:basedOn w:val="1"/>
    <w:autoRedefine/>
    <w:qFormat/>
    <w:uiPriority w:val="0"/>
    <w:pPr>
      <w:spacing w:line="240" w:lineRule="auto"/>
      <w:jc w:val="both"/>
    </w:pPr>
    <w:rPr>
      <w:kern w:val="0"/>
      <w:szCs w:val="21"/>
    </w:rPr>
  </w:style>
  <w:style w:type="character" w:customStyle="1" w:styleId="186">
    <w:name w:val="纯文本 字符"/>
    <w:basedOn w:val="45"/>
    <w:link w:val="22"/>
    <w:autoRedefine/>
    <w:qFormat/>
    <w:uiPriority w:val="99"/>
    <w:rPr>
      <w:rFonts w:ascii="宋体" w:hAnsi="Courier New" w:eastAsia="宋体" w:cs="Courier New"/>
      <w:szCs w:val="21"/>
    </w:rPr>
  </w:style>
  <w:style w:type="paragraph" w:customStyle="1" w:styleId="187">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8">
    <w:name w:val="正文文本 字符"/>
    <w:basedOn w:val="45"/>
    <w:link w:val="16"/>
    <w:autoRedefine/>
    <w:semiHidden/>
    <w:qFormat/>
    <w:uiPriority w:val="99"/>
    <w:rPr>
      <w:kern w:val="2"/>
      <w:sz w:val="21"/>
      <w:szCs w:val="24"/>
    </w:rPr>
  </w:style>
  <w:style w:type="paragraph" w:customStyle="1" w:styleId="189">
    <w:name w:val="Table Paragraph"/>
    <w:basedOn w:val="1"/>
    <w:autoRedefine/>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90">
    <w:name w:val="标题 4 字符"/>
    <w:basedOn w:val="45"/>
    <w:link w:val="5"/>
    <w:autoRedefine/>
    <w:semiHidden/>
    <w:qFormat/>
    <w:uiPriority w:val="9"/>
    <w:rPr>
      <w:rFonts w:asciiTheme="majorHAnsi" w:hAnsiTheme="majorHAnsi" w:eastAsiaTheme="majorEastAsia" w:cstheme="majorBidi"/>
      <w:b/>
      <w:bCs/>
      <w:kern w:val="2"/>
      <w:sz w:val="28"/>
      <w:szCs w:val="28"/>
    </w:rPr>
  </w:style>
  <w:style w:type="paragraph" w:customStyle="1" w:styleId="191">
    <w:name w:val="_Style 2"/>
    <w:basedOn w:val="4"/>
    <w:next w:val="1"/>
    <w:autoRedefine/>
    <w:qFormat/>
    <w:uiPriority w:val="0"/>
    <w:pPr>
      <w:spacing w:before="480" w:after="0" w:line="276" w:lineRule="auto"/>
      <w:outlineLvl w:val="9"/>
    </w:pPr>
    <w:rPr>
      <w:rFonts w:ascii="Cambria" w:hAnsi="Cambria"/>
      <w:color w:val="365F91"/>
      <w:kern w:val="0"/>
      <w:sz w:val="28"/>
      <w:szCs w:val="28"/>
    </w:rPr>
  </w:style>
  <w:style w:type="character" w:customStyle="1" w:styleId="192">
    <w:name w:val="_Style 4"/>
    <w:autoRedefine/>
    <w:qFormat/>
    <w:uiPriority w:val="31"/>
    <w:rPr>
      <w:smallCaps/>
      <w:color w:val="C0504D"/>
      <w:u w:val="single"/>
    </w:rPr>
  </w:style>
  <w:style w:type="paragraph" w:customStyle="1" w:styleId="193">
    <w:name w:val="纯文本1"/>
    <w:basedOn w:val="1"/>
    <w:autoRedefine/>
    <w:qFormat/>
    <w:uiPriority w:val="0"/>
    <w:rPr>
      <w:rFonts w:ascii="宋体" w:hAnsi="Courier New" w:cs="Courier New"/>
      <w:szCs w:val="21"/>
    </w:rPr>
  </w:style>
  <w:style w:type="paragraph" w:customStyle="1" w:styleId="194">
    <w:name w:val="CM99"/>
    <w:basedOn w:val="53"/>
    <w:next w:val="53"/>
    <w:autoRedefine/>
    <w:qFormat/>
    <w:uiPriority w:val="0"/>
    <w:pPr>
      <w:spacing w:after="443"/>
    </w:pPr>
  </w:style>
  <w:style w:type="paragraph" w:customStyle="1" w:styleId="195">
    <w:name w:val="CM80"/>
    <w:basedOn w:val="53"/>
    <w:next w:val="53"/>
    <w:autoRedefine/>
    <w:qFormat/>
    <w:uiPriority w:val="0"/>
    <w:pPr>
      <w:spacing w:line="440" w:lineRule="atLeast"/>
    </w:pPr>
  </w:style>
  <w:style w:type="paragraph" w:customStyle="1" w:styleId="196">
    <w:name w:val="qg标题 2 + 橙色"/>
    <w:basedOn w:val="3"/>
    <w:autoRedefine/>
    <w:qFormat/>
    <w:uiPriority w:val="0"/>
    <w:pPr>
      <w:autoSpaceDE w:val="0"/>
      <w:spacing w:before="0" w:after="0" w:line="360" w:lineRule="auto"/>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16EBD-84D7-465C-9D48-DC375561F60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57</Pages>
  <Words>24139</Words>
  <Characters>25780</Characters>
  <Lines>206</Lines>
  <Paragraphs>58</Paragraphs>
  <TotalTime>73</TotalTime>
  <ScaleCrop>false</ScaleCrop>
  <LinksUpToDate>false</LinksUpToDate>
  <CharactersWithSpaces>28408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2022-04-06T04:02:00Z</dcterms:created>
  <dc:creator>lenovo</dc:creator>
  <cp:lastModifiedBy>咸鱼</cp:lastModifiedBy>
  <cp:lastPrinted>2022-04-13T08:22:00Z</cp:lastPrinted>
  <dcterms:modified xsi:type="dcterms:W3CDTF">2024-06-21T01:16:35Z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B9CBD0E0F11D47C6ABA21444375EBC40_13</vt:lpwstr>
  </property>
</Properties>
</file>