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eastAsia="zh-CN"/>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   </w:t>
      </w:r>
    </w:p>
    <w:p>
      <w:pPr>
        <w:snapToGrid w:val="0"/>
        <w:spacing w:line="900" w:lineRule="exact"/>
        <w:jc w:val="center"/>
        <w:rPr>
          <w:rFonts w:hint="eastAsia" w:ascii="黑体" w:hAnsi="黑体" w:eastAsia="黑体"/>
          <w:b/>
          <w:bCs w:val="0"/>
          <w:sz w:val="52"/>
          <w:szCs w:val="52"/>
        </w:rPr>
      </w:pPr>
      <w:r>
        <w:rPr>
          <w:rFonts w:hint="eastAsia" w:ascii="黑体" w:hAnsi="黑体" w:eastAsia="黑体"/>
          <w:b/>
          <w:bCs w:val="0"/>
          <w:sz w:val="52"/>
          <w:szCs w:val="52"/>
        </w:rPr>
        <w:t>岳阳城陵矶</w:t>
      </w:r>
      <w:r>
        <w:rPr>
          <w:rFonts w:hint="eastAsia" w:ascii="黑体" w:hAnsi="黑体" w:eastAsia="黑体"/>
          <w:b/>
          <w:bCs w:val="0"/>
          <w:sz w:val="52"/>
          <w:szCs w:val="52"/>
          <w:lang w:eastAsia="zh-CN"/>
        </w:rPr>
        <w:t>新港</w:t>
      </w:r>
      <w:r>
        <w:rPr>
          <w:rFonts w:hint="eastAsia" w:ascii="黑体" w:hAnsi="黑体" w:eastAsia="黑体"/>
          <w:b/>
          <w:bCs w:val="0"/>
          <w:sz w:val="52"/>
          <w:szCs w:val="52"/>
        </w:rPr>
        <w:t>有限公司</w:t>
      </w:r>
    </w:p>
    <w:p>
      <w:pPr>
        <w:snapToGrid w:val="0"/>
        <w:spacing w:line="900" w:lineRule="exact"/>
        <w:jc w:val="center"/>
        <w:rPr>
          <w:rFonts w:hint="eastAsia" w:ascii="黑体" w:hAnsi="黑体" w:eastAsia="黑体" w:cs="宋体"/>
          <w:b/>
          <w:bCs w:val="0"/>
          <w:color w:val="000000"/>
          <w:kern w:val="0"/>
          <w:sz w:val="52"/>
          <w:szCs w:val="52"/>
          <w:lang w:val="en-US" w:eastAsia="zh-CN"/>
        </w:rPr>
      </w:pPr>
      <w:r>
        <w:rPr>
          <w:rFonts w:hint="eastAsia" w:ascii="黑体" w:hAnsi="黑体" w:eastAsia="黑体"/>
          <w:b/>
          <w:bCs w:val="0"/>
          <w:sz w:val="52"/>
          <w:szCs w:val="52"/>
          <w:lang w:eastAsia="zh-CN"/>
        </w:rPr>
        <w:t>一期码头缺陷修复项目</w:t>
      </w: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rPr>
          <w:rFonts w:hint="eastAsia" w:ascii="黑体" w:hAnsi="黑体" w:eastAsia="黑体" w:cs="宋体"/>
          <w:b/>
          <w:color w:val="000000"/>
          <w:kern w:val="0"/>
          <w:sz w:val="72"/>
          <w:szCs w:val="72"/>
        </w:rPr>
      </w:pPr>
    </w:p>
    <w:p>
      <w:pPr>
        <w:snapToGrid w:val="0"/>
        <w:spacing w:line="900" w:lineRule="exact"/>
        <w:jc w:val="center"/>
      </w:pPr>
      <w:r>
        <w:rPr>
          <w:rFonts w:hint="eastAsia" w:ascii="黑体" w:hAnsi="黑体" w:eastAsia="黑体" w:cs="宋体"/>
          <w:b/>
          <w:color w:val="000000"/>
          <w:kern w:val="0"/>
          <w:sz w:val="72"/>
          <w:szCs w:val="72"/>
        </w:rPr>
        <w:t>询  价  文  件</w:t>
      </w:r>
    </w:p>
    <w:p>
      <w:pPr>
        <w:tabs>
          <w:tab w:val="left" w:pos="0"/>
          <w:tab w:val="left" w:pos="4185"/>
        </w:tabs>
        <w:spacing w:line="288" w:lineRule="auto"/>
        <w:ind w:right="-6"/>
        <w:jc w:val="center"/>
      </w:pPr>
    </w:p>
    <w:p>
      <w:pPr>
        <w:tabs>
          <w:tab w:val="left" w:pos="0"/>
          <w:tab w:val="left" w:pos="4185"/>
        </w:tabs>
        <w:spacing w:line="288" w:lineRule="auto"/>
        <w:ind w:right="-6"/>
        <w:jc w:val="center"/>
        <w:rPr>
          <w:rFonts w:ascii="黑体" w:hAnsi="黑体" w:eastAsia="黑体"/>
          <w:b/>
          <w:bCs/>
          <w:sz w:val="28"/>
          <w:szCs w:val="28"/>
          <w:highlight w:val="none"/>
        </w:rPr>
      </w:pPr>
      <w:r>
        <w:rPr>
          <w:rFonts w:hint="eastAsia"/>
          <w:b/>
          <w:bCs/>
          <w:sz w:val="28"/>
          <w:szCs w:val="28"/>
        </w:rPr>
        <w:t>采购编号：</w:t>
      </w:r>
      <w:r>
        <w:rPr>
          <w:rFonts w:hint="eastAsia"/>
          <w:b/>
          <w:bCs/>
          <w:sz w:val="28"/>
          <w:szCs w:val="28"/>
          <w:highlight w:val="none"/>
        </w:rPr>
        <w:t>省港服（202</w:t>
      </w:r>
      <w:r>
        <w:rPr>
          <w:rFonts w:hint="eastAsia"/>
          <w:b/>
          <w:bCs/>
          <w:sz w:val="28"/>
          <w:szCs w:val="28"/>
          <w:highlight w:val="none"/>
          <w:lang w:val="en-US" w:eastAsia="zh-CN"/>
        </w:rPr>
        <w:t>4</w:t>
      </w:r>
      <w:r>
        <w:rPr>
          <w:rFonts w:hint="eastAsia"/>
          <w:b/>
          <w:bCs/>
          <w:sz w:val="28"/>
          <w:szCs w:val="28"/>
          <w:highlight w:val="none"/>
        </w:rPr>
        <w:t>）年询第</w:t>
      </w:r>
      <w:r>
        <w:rPr>
          <w:rFonts w:hint="eastAsia"/>
          <w:b/>
          <w:bCs/>
          <w:sz w:val="28"/>
          <w:szCs w:val="28"/>
          <w:highlight w:val="none"/>
          <w:lang w:val="en-US" w:eastAsia="zh-CN"/>
        </w:rPr>
        <w:t xml:space="preserve">  </w:t>
      </w:r>
      <w:r>
        <w:rPr>
          <w:rFonts w:hint="eastAsia"/>
          <w:b/>
          <w:bCs/>
          <w:sz w:val="28"/>
          <w:szCs w:val="28"/>
          <w:highlight w:val="none"/>
        </w:rPr>
        <w:t>号【</w:t>
      </w:r>
      <w:r>
        <w:rPr>
          <w:rFonts w:hint="eastAsia"/>
          <w:b/>
          <w:bCs/>
          <w:sz w:val="28"/>
          <w:szCs w:val="28"/>
          <w:highlight w:val="none"/>
          <w:lang w:eastAsia="zh-CN"/>
        </w:rPr>
        <w:t>新港</w:t>
      </w:r>
      <w:r>
        <w:rPr>
          <w:rFonts w:hint="eastAsia"/>
          <w:b/>
          <w:bCs/>
          <w:sz w:val="28"/>
          <w:szCs w:val="28"/>
          <w:highlight w:val="none"/>
        </w:rPr>
        <w:t>】</w:t>
      </w:r>
    </w:p>
    <w:p>
      <w:pPr>
        <w:tabs>
          <w:tab w:val="left" w:pos="0"/>
          <w:tab w:val="left" w:pos="4185"/>
        </w:tabs>
        <w:spacing w:line="288" w:lineRule="auto"/>
        <w:ind w:right="-6"/>
        <w:jc w:val="center"/>
        <w:rPr>
          <w:rFonts w:ascii="黑体" w:hAnsi="黑体" w:eastAsia="黑体"/>
          <w:b/>
          <w:bCs/>
          <w:sz w:val="28"/>
          <w:szCs w:val="28"/>
        </w:rPr>
      </w:pPr>
    </w:p>
    <w:p>
      <w:pPr>
        <w:tabs>
          <w:tab w:val="left" w:pos="0"/>
          <w:tab w:val="left" w:pos="4185"/>
        </w:tabs>
        <w:spacing w:line="288" w:lineRule="auto"/>
        <w:ind w:right="-6"/>
        <w:jc w:val="center"/>
        <w:rPr>
          <w:rFonts w:ascii="黑体" w:hAnsi="黑体" w:eastAsia="黑体"/>
          <w:bCs/>
          <w:sz w:val="48"/>
          <w:szCs w:val="48"/>
        </w:rPr>
      </w:pPr>
    </w:p>
    <w:p>
      <w:pPr>
        <w:tabs>
          <w:tab w:val="left" w:pos="0"/>
          <w:tab w:val="left" w:pos="4185"/>
        </w:tabs>
        <w:spacing w:line="288" w:lineRule="auto"/>
        <w:ind w:right="-6"/>
        <w:jc w:val="center"/>
        <w:rPr>
          <w:rFonts w:ascii="黑体" w:hAnsi="黑体" w:eastAsia="黑体"/>
          <w:bCs/>
          <w:sz w:val="48"/>
          <w:szCs w:val="48"/>
        </w:rPr>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rPr>
          <w:rFonts w:ascii="黑体" w:hAnsi="黑体" w:eastAsia="黑体"/>
          <w:bCs/>
          <w:sz w:val="48"/>
          <w:szCs w:val="48"/>
        </w:rPr>
      </w:pPr>
    </w:p>
    <w:p>
      <w:pPr>
        <w:tabs>
          <w:tab w:val="left" w:pos="0"/>
          <w:tab w:val="left" w:pos="4185"/>
        </w:tabs>
        <w:spacing w:line="288" w:lineRule="auto"/>
        <w:ind w:right="-6" w:firstLine="3360" w:firstLineChars="700"/>
        <w:jc w:val="both"/>
        <w:rPr>
          <w:rFonts w:ascii="方正小标宋简体" w:hAnsi="黑体" w:eastAsia="方正小标宋简体"/>
          <w:sz w:val="36"/>
          <w:szCs w:val="36"/>
        </w:rPr>
      </w:pPr>
      <w:r>
        <w:rPr>
          <w:rFonts w:hint="eastAsia" w:ascii="黑体" w:hAnsi="黑体" w:eastAsia="黑体"/>
          <w:bCs/>
          <w:sz w:val="48"/>
          <w:szCs w:val="48"/>
        </w:rPr>
        <w:t>二О二</w:t>
      </w:r>
      <w:r>
        <w:rPr>
          <w:rFonts w:hint="eastAsia" w:ascii="黑体" w:hAnsi="黑体" w:eastAsia="黑体"/>
          <w:bCs/>
          <w:sz w:val="48"/>
          <w:szCs w:val="48"/>
          <w:lang w:eastAsia="zh-CN"/>
        </w:rPr>
        <w:t>四</w:t>
      </w:r>
      <w:r>
        <w:rPr>
          <w:rFonts w:hint="eastAsia" w:ascii="黑体" w:hAnsi="黑体" w:eastAsia="黑体"/>
          <w:bCs/>
          <w:sz w:val="48"/>
          <w:szCs w:val="48"/>
        </w:rPr>
        <w:t>年</w:t>
      </w:r>
      <w:r>
        <w:rPr>
          <w:rFonts w:hint="eastAsia" w:ascii="黑体" w:hAnsi="黑体" w:eastAsia="黑体"/>
          <w:bCs/>
          <w:sz w:val="48"/>
          <w:szCs w:val="48"/>
          <w:lang w:eastAsia="zh-CN"/>
        </w:rPr>
        <w:t>五</w:t>
      </w:r>
      <w:r>
        <w:rPr>
          <w:rFonts w:hint="eastAsia" w:ascii="黑体" w:hAnsi="黑体" w:eastAsia="黑体"/>
          <w:bCs/>
          <w:sz w:val="48"/>
          <w:szCs w:val="48"/>
        </w:rPr>
        <w:t>月</w:t>
      </w:r>
    </w:p>
    <w:p>
      <w:pPr>
        <w:pStyle w:val="41"/>
        <w:ind w:firstLine="0"/>
        <w:sectPr>
          <w:footerReference r:id="rId5" w:type="default"/>
          <w:pgSz w:w="11906" w:h="16838"/>
          <w:pgMar w:top="1440" w:right="1080" w:bottom="1440" w:left="1080" w:header="851" w:footer="1344" w:gutter="0"/>
          <w:pgNumType w:start="1"/>
          <w:cols w:space="720" w:num="1"/>
          <w:docGrid w:linePitch="312" w:charSpace="0"/>
        </w:sectPr>
      </w:pPr>
    </w:p>
    <w:p>
      <w:pPr>
        <w:pStyle w:val="41"/>
        <w:ind w:firstLine="0"/>
      </w:pPr>
    </w:p>
    <w:p>
      <w:pPr>
        <w:spacing w:line="240" w:lineRule="auto"/>
        <w:jc w:val="center"/>
        <w:rPr>
          <w:rFonts w:ascii="宋体" w:hAnsi="宋体"/>
        </w:rPr>
      </w:pPr>
    </w:p>
    <w:sdt>
      <w:sdtPr>
        <w:rPr>
          <w:rFonts w:ascii="宋体" w:hAnsi="宋体"/>
        </w:rPr>
        <w:id w:val="147478143"/>
        <w15:color w:val="DBDBDB"/>
        <w:docPartObj>
          <w:docPartGallery w:val="Table of Contents"/>
          <w:docPartUnique/>
        </w:docPartObj>
      </w:sdtPr>
      <w:sdtEndPr>
        <w:rPr>
          <w:rFonts w:ascii="Times New Roman" w:hAnsi="Times New Roman"/>
          <w:sz w:val="28"/>
          <w:szCs w:val="28"/>
        </w:rPr>
      </w:sdtEndPr>
      <w:sdtContent>
        <w:p>
          <w:pPr>
            <w:spacing w:line="240" w:lineRule="auto"/>
            <w:jc w:val="center"/>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197"/>
            <w:tabs>
              <w:tab w:val="right" w:leader="dot" w:pos="9746"/>
            </w:tabs>
            <w:rPr>
              <w:rFonts w:ascii="宋体" w:hAnsi="宋体" w:cs="宋体"/>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"_Toc27436"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_Toc27436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"_Toc6132"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_Toc6132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"_Toc590" </w:instrText>
          </w:r>
          <w:r>
            <w:fldChar w:fldCharType="separate"/>
          </w:r>
          <w:r>
            <w:rPr>
              <w:rFonts w:hint="eastAsia" w:ascii="宋体" w:hAnsi="宋体" w:cs="宋体"/>
              <w:sz w:val="28"/>
              <w:szCs w:val="28"/>
            </w:rPr>
            <w:t>第二章 供应商须知正文</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_Toc590 \h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"_Toc23541" </w:instrText>
          </w:r>
          <w:r>
            <w:fldChar w:fldCharType="separate"/>
          </w:r>
          <w:r>
            <w:rPr>
              <w:rFonts w:hint="eastAsia" w:ascii="宋体" w:hAnsi="宋体" w:cs="宋体"/>
              <w:sz w:val="28"/>
              <w:szCs w:val="28"/>
            </w:rPr>
            <w:t>第三章 评审办法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_Toc23541 \h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"_Toc15767" </w:instrText>
          </w:r>
          <w:r>
            <w:fldChar w:fldCharType="separate"/>
          </w:r>
          <w:r>
            <w:rPr>
              <w:rFonts w:hint="eastAsia" w:ascii="宋体" w:hAnsi="宋体" w:cs="宋体"/>
              <w:sz w:val="28"/>
              <w:szCs w:val="28"/>
            </w:rPr>
            <w:t>第四章 技术咨询合同书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_Toc15767 \h </w:instrText>
          </w:r>
          <w:r>
            <w:rPr>
              <w:rFonts w:hint="eastAsia" w:ascii="宋体" w:hAnsi="宋体" w:cs="宋体"/>
              <w:sz w:val="28"/>
              <w:szCs w:val="28"/>
            </w:rPr>
            <w:fldChar w:fldCharType="separate"/>
          </w:r>
          <w:r>
            <w:rPr>
              <w:rFonts w:hint="eastAsia" w:ascii="宋体" w:hAnsi="宋体" w:cs="宋体"/>
              <w:sz w:val="28"/>
              <w:szCs w:val="28"/>
            </w:rPr>
            <w:t>25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"_Toc27615"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_Toc27615 \h </w:instrText>
          </w:r>
          <w:r>
            <w:rPr>
              <w:rFonts w:hint="eastAsia" w:ascii="宋体" w:hAnsi="宋体" w:cs="宋体"/>
              <w:sz w:val="28"/>
              <w:szCs w:val="28"/>
            </w:rPr>
            <w:fldChar w:fldCharType="separate"/>
          </w:r>
          <w:r>
            <w:rPr>
              <w:rFonts w:hint="eastAsia" w:ascii="宋体" w:hAnsi="宋体" w:cs="宋体"/>
              <w:sz w:val="28"/>
              <w:szCs w:val="28"/>
            </w:rPr>
            <w:t>80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"_Toc15194"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_Toc15194 \h </w:instrText>
          </w:r>
          <w:r>
            <w:rPr>
              <w:rFonts w:hint="eastAsia" w:ascii="宋体" w:hAnsi="宋体" w:cs="宋体"/>
              <w:sz w:val="28"/>
              <w:szCs w:val="28"/>
            </w:rPr>
            <w:fldChar w:fldCharType="separate"/>
          </w:r>
          <w:r>
            <w:rPr>
              <w:rFonts w:hint="eastAsia" w:ascii="宋体" w:hAnsi="宋体" w:cs="宋体"/>
              <w:sz w:val="28"/>
              <w:szCs w:val="28"/>
            </w:rPr>
            <w:t>83</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"_Toc5053" </w:instrText>
          </w:r>
          <w:r>
            <w:fldChar w:fldCharType="separate"/>
          </w:r>
          <w:r>
            <w:rPr>
              <w:rFonts w:hint="eastAsia" w:ascii="宋体" w:hAnsi="宋体" w:cs="宋体"/>
              <w:sz w:val="28"/>
              <w:szCs w:val="28"/>
            </w:rPr>
            <w:t>一、响应函</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_Toc5053 \h </w:instrText>
          </w:r>
          <w:r>
            <w:rPr>
              <w:rFonts w:hint="eastAsia" w:ascii="宋体" w:hAnsi="宋体" w:cs="宋体"/>
              <w:sz w:val="28"/>
              <w:szCs w:val="28"/>
            </w:rPr>
            <w:fldChar w:fldCharType="separate"/>
          </w:r>
          <w:r>
            <w:rPr>
              <w:rFonts w:hint="eastAsia" w:ascii="宋体" w:hAnsi="宋体" w:cs="宋体"/>
              <w:sz w:val="28"/>
              <w:szCs w:val="28"/>
            </w:rPr>
            <w:t>85</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"_Toc11617" </w:instrText>
          </w:r>
          <w:r>
            <w:fldChar w:fldCharType="separate"/>
          </w:r>
          <w:r>
            <w:rPr>
              <w:rFonts w:hint="eastAsia" w:ascii="宋体" w:hAnsi="宋体" w:cs="宋体"/>
              <w:sz w:val="28"/>
              <w:szCs w:val="28"/>
            </w:rPr>
            <w:t>二、授权委托书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_Toc11617 \h </w:instrText>
          </w:r>
          <w:r>
            <w:rPr>
              <w:rFonts w:hint="eastAsia" w:ascii="宋体" w:hAnsi="宋体" w:cs="宋体"/>
              <w:sz w:val="28"/>
              <w:szCs w:val="28"/>
            </w:rPr>
            <w:fldChar w:fldCharType="separate"/>
          </w:r>
          <w:r>
            <w:rPr>
              <w:rFonts w:hint="eastAsia" w:ascii="宋体" w:hAnsi="宋体" w:cs="宋体"/>
              <w:sz w:val="28"/>
              <w:szCs w:val="28"/>
            </w:rPr>
            <w:t>88</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"_Toc27596" </w:instrText>
          </w:r>
          <w:r>
            <w:fldChar w:fldCharType="separate"/>
          </w:r>
          <w:r>
            <w:rPr>
              <w:rFonts w:hint="eastAsia" w:ascii="宋体" w:hAnsi="宋体" w:cs="宋体"/>
              <w:sz w:val="28"/>
              <w:szCs w:val="28"/>
            </w:rPr>
            <w:t>三、商务和技术偏差表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_Toc27596 \h </w:instrText>
          </w:r>
          <w:r>
            <w:rPr>
              <w:rFonts w:hint="eastAsia" w:ascii="宋体" w:hAnsi="宋体" w:cs="宋体"/>
              <w:sz w:val="28"/>
              <w:szCs w:val="28"/>
            </w:rPr>
            <w:fldChar w:fldCharType="separate"/>
          </w:r>
          <w:r>
            <w:rPr>
              <w:rFonts w:hint="eastAsia" w:ascii="宋体" w:hAnsi="宋体" w:cs="宋体"/>
              <w:sz w:val="28"/>
              <w:szCs w:val="28"/>
            </w:rPr>
            <w:t>89</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"_Toc32250" </w:instrText>
          </w:r>
          <w:r>
            <w:fldChar w:fldCharType="separate"/>
          </w:r>
          <w:r>
            <w:rPr>
              <w:rFonts w:hint="eastAsia" w:ascii="宋体" w:hAnsi="宋体" w:cs="宋体"/>
              <w:sz w:val="28"/>
              <w:szCs w:val="28"/>
            </w:rPr>
            <w:t>四、报价表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_Toc32250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"_Toc20685" </w:instrText>
          </w:r>
          <w:r>
            <w:fldChar w:fldCharType="separate"/>
          </w:r>
          <w:r>
            <w:rPr>
              <w:rFonts w:hint="eastAsia" w:ascii="宋体" w:hAnsi="宋体" w:cs="宋体"/>
              <w:sz w:val="28"/>
              <w:szCs w:val="28"/>
            </w:rPr>
            <w:t>五、资格审查资料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_Toc20685 \h </w:instrText>
          </w:r>
          <w:r>
            <w:rPr>
              <w:rFonts w:hint="eastAsia" w:ascii="宋体" w:hAnsi="宋体" w:cs="宋体"/>
              <w:sz w:val="28"/>
              <w:szCs w:val="28"/>
            </w:rPr>
            <w:fldChar w:fldCharType="separate"/>
          </w:r>
          <w:r>
            <w:rPr>
              <w:rFonts w:hint="eastAsia" w:ascii="宋体" w:hAnsi="宋体" w:cs="宋体"/>
              <w:sz w:val="28"/>
              <w:szCs w:val="28"/>
            </w:rPr>
            <w:t>90</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rFonts w:ascii="宋体" w:hAnsi="宋体" w:cs="宋体"/>
              <w:sz w:val="28"/>
              <w:szCs w:val="28"/>
            </w:rPr>
          </w:pPr>
          <w:r>
            <w:fldChar w:fldCharType="begin"/>
          </w:r>
          <w:r>
            <w:instrText xml:space="preserve"> HYPERLINK \l "_Toc14016" </w:instrText>
          </w:r>
          <w:r>
            <w:fldChar w:fldCharType="separate"/>
          </w:r>
          <w:r>
            <w:rPr>
              <w:rFonts w:hint="eastAsia" w:ascii="宋体" w:hAnsi="宋体" w:cs="宋体"/>
              <w:sz w:val="28"/>
              <w:szCs w:val="28"/>
            </w:rPr>
            <w:t>六、响应方案</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_Toc14016 \h </w:instrText>
          </w:r>
          <w:r>
            <w:rPr>
              <w:rFonts w:hint="eastAsia" w:ascii="宋体" w:hAnsi="宋体" w:cs="宋体"/>
              <w:sz w:val="28"/>
              <w:szCs w:val="28"/>
            </w:rPr>
            <w:fldChar w:fldCharType="separate"/>
          </w:r>
          <w:r>
            <w:rPr>
              <w:rFonts w:hint="eastAsia" w:ascii="宋体" w:hAnsi="宋体" w:cs="宋体"/>
              <w:sz w:val="28"/>
              <w:szCs w:val="28"/>
            </w:rPr>
            <w:t>93</w:t>
          </w:r>
          <w:r>
            <w:rPr>
              <w:rFonts w:hint="eastAsia" w:ascii="宋体" w:hAnsi="宋体" w:cs="宋体"/>
              <w:sz w:val="28"/>
              <w:szCs w:val="28"/>
            </w:rPr>
            <w:fldChar w:fldCharType="end"/>
          </w:r>
          <w:r>
            <w:rPr>
              <w:rFonts w:hint="eastAsia" w:ascii="宋体" w:hAnsi="宋体" w:cs="宋体"/>
              <w:sz w:val="28"/>
              <w:szCs w:val="28"/>
            </w:rPr>
            <w:fldChar w:fldCharType="end"/>
          </w:r>
        </w:p>
        <w:p>
          <w:pPr>
            <w:pStyle w:val="197"/>
            <w:tabs>
              <w:tab w:val="right" w:leader="dot" w:pos="9746"/>
            </w:tabs>
            <w:rPr>
              <w:sz w:val="28"/>
              <w:szCs w:val="28"/>
            </w:rPr>
          </w:pPr>
          <w:r>
            <w:fldChar w:fldCharType="begin"/>
          </w:r>
          <w:r>
            <w:instrText xml:space="preserve"> HYPERLINK \l "_Toc4712" </w:instrText>
          </w:r>
          <w:r>
            <w:fldChar w:fldCharType="separate"/>
          </w:r>
          <w:r>
            <w:rPr>
              <w:rFonts w:hint="eastAsia" w:ascii="宋体" w:hAnsi="宋体" w:cs="宋体"/>
              <w:sz w:val="28"/>
              <w:szCs w:val="28"/>
            </w:rPr>
            <w:t>七、其他资料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_Toc4712 \h </w:instrText>
          </w:r>
          <w:r>
            <w:rPr>
              <w:rFonts w:hint="eastAsia" w:ascii="宋体" w:hAnsi="宋体" w:cs="宋体"/>
              <w:sz w:val="28"/>
              <w:szCs w:val="28"/>
            </w:rPr>
            <w:fldChar w:fldCharType="separate"/>
          </w:r>
          <w:r>
            <w:rPr>
              <w:rFonts w:hint="eastAsia" w:ascii="宋体" w:hAnsi="宋体" w:cs="宋体"/>
              <w:sz w:val="28"/>
              <w:szCs w:val="28"/>
            </w:rPr>
            <w:t>94</w:t>
          </w:r>
          <w:r>
            <w:rPr>
              <w:rFonts w:hint="eastAsia" w:ascii="宋体" w:hAnsi="宋体" w:cs="宋体"/>
              <w:sz w:val="28"/>
              <w:szCs w:val="28"/>
            </w:rPr>
            <w:fldChar w:fldCharType="end"/>
          </w:r>
          <w:r>
            <w:rPr>
              <w:rFonts w:hint="eastAsia" w:ascii="宋体" w:hAnsi="宋体" w:cs="宋体"/>
              <w:sz w:val="28"/>
              <w:szCs w:val="28"/>
            </w:rPr>
            <w:fldChar w:fldCharType="end"/>
          </w:r>
        </w:p>
        <w:p>
          <w:pPr>
            <w:widowControl w:val="0"/>
            <w:adjustRightInd w:val="0"/>
            <w:snapToGrid w:val="0"/>
            <w:spacing w:line="240" w:lineRule="auto"/>
            <w:ind w:firstLine="560" w:firstLineChars="200"/>
            <w:rPr>
              <w:sz w:val="28"/>
              <w:szCs w:val="28"/>
            </w:rPr>
          </w:pPr>
          <w:r>
            <w:rPr>
              <w:sz w:val="28"/>
              <w:szCs w:val="28"/>
            </w:rPr>
            <w:fldChar w:fldCharType="end"/>
          </w:r>
        </w:p>
      </w:sdtContent>
    </w:sdt>
    <w:p>
      <w:pPr>
        <w:widowControl w:val="0"/>
        <w:adjustRightInd w:val="0"/>
        <w:snapToGrid w:val="0"/>
        <w:spacing w:line="240" w:lineRule="auto"/>
        <w:ind w:firstLine="560" w:firstLineChars="200"/>
        <w:rPr>
          <w:sz w:val="28"/>
          <w:szCs w:val="28"/>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6"/>
        <w:rPr>
          <w:szCs w:val="21"/>
        </w:rPr>
      </w:pPr>
    </w:p>
    <w:p>
      <w:pPr>
        <w:rPr>
          <w:szCs w:val="21"/>
        </w:rPr>
      </w:pPr>
    </w:p>
    <w:p>
      <w:pPr>
        <w:pStyle w:val="6"/>
      </w:pPr>
    </w:p>
    <w:p>
      <w:pPr>
        <w:widowControl w:val="0"/>
        <w:adjustRightInd w:val="0"/>
        <w:snapToGrid w:val="0"/>
        <w:spacing w:line="240" w:lineRule="auto"/>
        <w:ind w:firstLine="420" w:firstLineChars="200"/>
        <w:rPr>
          <w:szCs w:val="21"/>
        </w:rPr>
      </w:pPr>
    </w:p>
    <w:p>
      <w:pPr>
        <w:sectPr>
          <w:footerReference r:id="rId6" w:type="default"/>
          <w:pgSz w:w="11906" w:h="16838"/>
          <w:pgMar w:top="1440" w:right="1080" w:bottom="1440" w:left="1080" w:header="851" w:footer="1344" w:gutter="0"/>
          <w:pgNumType w:start="1"/>
          <w:cols w:space="720" w:num="1"/>
          <w:docGrid w:linePitch="312" w:charSpace="0"/>
        </w:sectPr>
      </w:pPr>
    </w:p>
    <w:p>
      <w:pPr>
        <w:pStyle w:val="81"/>
        <w:numPr>
          <w:ilvl w:val="0"/>
          <w:numId w:val="0"/>
        </w:numPr>
        <w:spacing w:line="600" w:lineRule="exact"/>
        <w:ind w:firstLine="3092" w:firstLineChars="700"/>
        <w:jc w:val="both"/>
        <w:outlineLvl w:val="0"/>
        <w:rPr>
          <w:rFonts w:ascii="黑体" w:hAnsi="黑体" w:eastAsia="黑体" w:cs="仿宋"/>
          <w:b/>
          <w:color w:val="000000"/>
          <w:sz w:val="44"/>
          <w:szCs w:val="44"/>
        </w:rPr>
      </w:pPr>
      <w:bookmarkStart w:id="0" w:name="_Toc27436"/>
      <w:r>
        <w:rPr>
          <w:rFonts w:hint="eastAsia" w:ascii="黑体" w:hAnsi="黑体" w:eastAsia="黑体" w:cs="仿宋"/>
          <w:b/>
          <w:color w:val="000000"/>
          <w:sz w:val="44"/>
          <w:szCs w:val="44"/>
          <w:lang w:eastAsia="zh-CN"/>
        </w:rPr>
        <w:t>第一章</w:t>
      </w:r>
      <w:r>
        <w:rPr>
          <w:rFonts w:hint="eastAsia" w:ascii="黑体" w:hAnsi="黑体" w:eastAsia="黑体" w:cs="仿宋"/>
          <w:b/>
          <w:color w:val="000000"/>
          <w:sz w:val="44"/>
          <w:szCs w:val="44"/>
          <w:lang w:val="en-US" w:eastAsia="zh-CN"/>
        </w:rPr>
        <w:t xml:space="preserve">  </w:t>
      </w:r>
      <w:r>
        <w:rPr>
          <w:rFonts w:hint="eastAsia" w:ascii="黑体" w:hAnsi="黑体" w:eastAsia="黑体" w:cs="仿宋"/>
          <w:b/>
          <w:color w:val="000000"/>
          <w:sz w:val="44"/>
          <w:szCs w:val="44"/>
        </w:rPr>
        <w:t>采购公告</w:t>
      </w:r>
      <w:bookmarkEnd w:id="0"/>
    </w:p>
    <w:p>
      <w:pPr>
        <w:pStyle w:val="37"/>
        <w:spacing w:before="0" w:beforeAutospacing="0" w:after="0" w:afterAutospacing="0"/>
        <w:jc w:val="center"/>
        <w:rPr>
          <w:rFonts w:ascii="黑体" w:hAnsi="黑体" w:eastAsia="黑体"/>
          <w:sz w:val="32"/>
          <w:szCs w:val="32"/>
        </w:rPr>
      </w:pPr>
    </w:p>
    <w:p>
      <w:pPr>
        <w:snapToGrid w:val="0"/>
        <w:spacing w:line="900" w:lineRule="exact"/>
        <w:ind w:firstLine="900" w:firstLineChars="300"/>
        <w:jc w:val="both"/>
        <w:rPr>
          <w:rFonts w:ascii="黑体" w:hAnsi="黑体" w:eastAsia="黑体"/>
          <w:sz w:val="30"/>
          <w:szCs w:val="30"/>
        </w:rPr>
      </w:pPr>
      <w:r>
        <w:rPr>
          <w:rFonts w:hint="eastAsia" w:ascii="黑体" w:hAnsi="黑体" w:eastAsia="黑体"/>
          <w:bCs/>
          <w:sz w:val="30"/>
          <w:szCs w:val="30"/>
        </w:rPr>
        <w:t>岳阳城陵矶</w:t>
      </w:r>
      <w:r>
        <w:rPr>
          <w:rFonts w:hint="eastAsia" w:ascii="黑体" w:hAnsi="黑体" w:eastAsia="黑体"/>
          <w:bCs/>
          <w:sz w:val="30"/>
          <w:szCs w:val="30"/>
          <w:lang w:eastAsia="zh-CN"/>
        </w:rPr>
        <w:t>新港</w:t>
      </w:r>
      <w:r>
        <w:rPr>
          <w:rFonts w:hint="eastAsia" w:ascii="黑体" w:hAnsi="黑体" w:eastAsia="黑体"/>
          <w:bCs/>
          <w:sz w:val="30"/>
          <w:szCs w:val="30"/>
        </w:rPr>
        <w:t>有限公司</w:t>
      </w:r>
      <w:r>
        <w:rPr>
          <w:rFonts w:hint="eastAsia" w:ascii="黑体" w:hAnsi="黑体" w:eastAsia="黑体"/>
          <w:bCs/>
          <w:sz w:val="30"/>
          <w:szCs w:val="30"/>
          <w:lang w:eastAsia="zh-CN"/>
        </w:rPr>
        <w:t>一期码头缺陷修复</w:t>
      </w:r>
      <w:r>
        <w:rPr>
          <w:rFonts w:hint="eastAsia" w:ascii="黑体" w:hAnsi="黑体" w:eastAsia="黑体"/>
          <w:bCs/>
          <w:sz w:val="30"/>
          <w:szCs w:val="30"/>
          <w:lang w:val="en-US" w:eastAsia="zh-CN"/>
        </w:rPr>
        <w:t>项目</w:t>
      </w:r>
      <w:r>
        <w:rPr>
          <w:rFonts w:hint="eastAsia" w:ascii="黑体" w:hAnsi="黑体" w:eastAsia="黑体"/>
          <w:sz w:val="30"/>
          <w:szCs w:val="30"/>
        </w:rPr>
        <w:t>询价</w:t>
      </w:r>
      <w:r>
        <w:rPr>
          <w:rFonts w:hint="eastAsia" w:ascii="黑体" w:hAnsi="黑体" w:eastAsia="黑体"/>
          <w:sz w:val="30"/>
          <w:szCs w:val="30"/>
          <w:lang w:eastAsia="zh-CN"/>
        </w:rPr>
        <w:t>采购</w:t>
      </w:r>
      <w:r>
        <w:rPr>
          <w:rFonts w:hint="eastAsia" w:ascii="黑体" w:hAnsi="黑体" w:eastAsia="黑体"/>
          <w:sz w:val="30"/>
          <w:szCs w:val="30"/>
        </w:rPr>
        <w:t>公告</w:t>
      </w:r>
    </w:p>
    <w:p>
      <w:pPr>
        <w:pStyle w:val="37"/>
        <w:spacing w:before="0" w:beforeAutospacing="0" w:after="0" w:afterAutospacing="0"/>
        <w:jc w:val="both"/>
        <w:rPr>
          <w:rFonts w:cs="Times New Roman"/>
          <w:kern w:val="2"/>
        </w:rPr>
      </w:pPr>
      <w:r>
        <w:rPr>
          <w:rFonts w:hint="eastAsia" w:cs="Times New Roman"/>
          <w:kern w:val="2"/>
        </w:rPr>
        <w:t xml:space="preserve"> </w:t>
      </w:r>
    </w:p>
    <w:p>
      <w:pPr>
        <w:pStyle w:val="37"/>
        <w:pageBreakBefore w:val="0"/>
        <w:widowControl/>
        <w:kinsoku/>
        <w:wordWrap/>
        <w:overflowPunct/>
        <w:topLinePunct w:val="0"/>
        <w:autoSpaceDN/>
        <w:bidi w:val="0"/>
        <w:adjustRightInd/>
        <w:snapToGrid/>
        <w:spacing w:before="0" w:beforeAutospacing="0" w:after="0" w:afterAutospacing="0" w:line="360" w:lineRule="auto"/>
        <w:ind w:firstLine="240" w:firstLineChars="100"/>
        <w:jc w:val="both"/>
        <w:textAlignment w:val="auto"/>
        <w:rPr>
          <w:rFonts w:cs="Times New Roman"/>
          <w:kern w:val="2"/>
        </w:rPr>
      </w:pPr>
      <w:r>
        <w:rPr>
          <w:rFonts w:hint="eastAsia" w:cs="Times New Roman"/>
          <w:kern w:val="2"/>
        </w:rPr>
        <w:t>岳阳城陵矶</w:t>
      </w:r>
      <w:r>
        <w:rPr>
          <w:rFonts w:hint="eastAsia" w:cs="Times New Roman"/>
          <w:kern w:val="2"/>
          <w:lang w:eastAsia="zh-CN"/>
        </w:rPr>
        <w:t>新港</w:t>
      </w:r>
      <w:r>
        <w:rPr>
          <w:rFonts w:hint="eastAsia" w:cs="Times New Roman"/>
          <w:kern w:val="2"/>
        </w:rPr>
        <w:t>有限公司</w:t>
      </w:r>
      <w:r>
        <w:rPr>
          <w:rFonts w:hint="eastAsia" w:cs="Times New Roman"/>
          <w:kern w:val="2"/>
          <w:lang w:eastAsia="zh-CN"/>
        </w:rPr>
        <w:t>一期码头缺陷修复项目</w:t>
      </w:r>
      <w:r>
        <w:rPr>
          <w:rFonts w:hint="eastAsia" w:cs="Times New Roman"/>
          <w:kern w:val="2"/>
        </w:rPr>
        <w:t xml:space="preserve">已具备采购条件，现公开邀请供应商参加采购活动。 </w:t>
      </w:r>
    </w:p>
    <w:p>
      <w:pPr>
        <w:pStyle w:val="7"/>
        <w:pageBreakBefore w:val="0"/>
        <w:widowControl/>
        <w:kinsoku/>
        <w:wordWrap/>
        <w:overflowPunct/>
        <w:topLinePunct w:val="0"/>
        <w:autoSpaceDN/>
        <w:bidi w:val="0"/>
        <w:adjustRightInd/>
        <w:snapToGrid/>
        <w:spacing w:line="360" w:lineRule="auto"/>
        <w:jc w:val="both"/>
        <w:textAlignment w:val="auto"/>
        <w:rPr>
          <w:rFonts w:ascii="Arial" w:hAnsi="Arial"/>
        </w:rPr>
      </w:pPr>
      <w:r>
        <w:rPr>
          <w:rFonts w:hint="eastAsia"/>
        </w:rPr>
        <w:t xml:space="preserve">一、 </w:t>
      </w:r>
      <w:r>
        <w:rPr>
          <w:rFonts w:hint="eastAsia" w:ascii="黑体" w:hAnsi="黑体"/>
        </w:rPr>
        <w:t xml:space="preserve">采购项目简介 </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eastAsia="宋体"/>
          <w:sz w:val="24"/>
          <w:szCs w:val="24"/>
          <w:lang w:eastAsia="zh-CN"/>
        </w:rPr>
      </w:pPr>
      <w:r>
        <w:rPr>
          <w:rFonts w:hint="eastAsia" w:ascii="宋体" w:hAnsi="宋体"/>
          <w:b/>
          <w:bCs/>
          <w:sz w:val="24"/>
        </w:rPr>
        <w:t>（一）</w:t>
      </w:r>
      <w:r>
        <w:rPr>
          <w:rFonts w:hint="eastAsia" w:ascii="宋体" w:hAnsi="宋体"/>
          <w:sz w:val="24"/>
        </w:rPr>
        <w:t>采购项目名称:</w:t>
      </w:r>
      <w:r>
        <w:rPr>
          <w:rFonts w:hint="eastAsia"/>
          <w:sz w:val="24"/>
          <w:szCs w:val="24"/>
        </w:rPr>
        <w:t xml:space="preserve"> </w:t>
      </w:r>
      <w:r>
        <w:rPr>
          <w:rFonts w:hint="eastAsia" w:cs="Times New Roman"/>
          <w:kern w:val="2"/>
          <w:sz w:val="24"/>
          <w:szCs w:val="24"/>
        </w:rPr>
        <w:t>岳阳城陵矶</w:t>
      </w:r>
      <w:r>
        <w:rPr>
          <w:rFonts w:hint="eastAsia" w:cs="Times New Roman"/>
          <w:kern w:val="2"/>
          <w:sz w:val="24"/>
          <w:szCs w:val="24"/>
          <w:lang w:eastAsia="zh-CN"/>
        </w:rPr>
        <w:t>新港</w:t>
      </w:r>
      <w:r>
        <w:rPr>
          <w:rFonts w:hint="eastAsia" w:cs="Times New Roman"/>
          <w:kern w:val="2"/>
          <w:sz w:val="24"/>
          <w:szCs w:val="24"/>
        </w:rPr>
        <w:t>有限公司</w:t>
      </w:r>
      <w:r>
        <w:rPr>
          <w:rFonts w:hint="eastAsia" w:cs="Times New Roman"/>
          <w:kern w:val="2"/>
          <w:sz w:val="24"/>
          <w:szCs w:val="24"/>
          <w:lang w:eastAsia="zh-CN"/>
        </w:rPr>
        <w:t>一期码头缺陷修复项目</w:t>
      </w:r>
    </w:p>
    <w:p>
      <w:pPr>
        <w:pageBreakBefore w:val="0"/>
        <w:widowControl/>
        <w:kinsoku/>
        <w:wordWrap/>
        <w:overflowPunct/>
        <w:topLinePunct w:val="0"/>
        <w:autoSpaceDE w:val="0"/>
        <w:autoSpaceDN/>
        <w:bidi w:val="0"/>
        <w:adjustRightInd/>
        <w:snapToGrid/>
        <w:spacing w:line="360" w:lineRule="auto"/>
        <w:textAlignment w:val="auto"/>
        <w:rPr>
          <w:rFonts w:hint="eastAsia" w:cs="Times New Roman"/>
          <w:kern w:val="2"/>
          <w:sz w:val="24"/>
          <w:szCs w:val="24"/>
        </w:rPr>
      </w:pPr>
      <w:r>
        <w:rPr>
          <w:rFonts w:hint="eastAsia" w:ascii="宋体" w:hAnsi="宋体"/>
          <w:b/>
          <w:bCs/>
          <w:sz w:val="24"/>
        </w:rPr>
        <w:t>（二）</w:t>
      </w:r>
      <w:r>
        <w:rPr>
          <w:rFonts w:hint="eastAsia" w:ascii="宋体" w:hAnsi="宋体"/>
          <w:sz w:val="24"/>
        </w:rPr>
        <w:t>采购人:</w:t>
      </w:r>
      <w:r>
        <w:rPr>
          <w:rFonts w:hint="eastAsia" w:cs="Times New Roman"/>
          <w:kern w:val="2"/>
          <w:sz w:val="24"/>
          <w:szCs w:val="24"/>
        </w:rPr>
        <w:t>岳阳城陵矶</w:t>
      </w:r>
      <w:r>
        <w:rPr>
          <w:rFonts w:hint="eastAsia" w:cs="Times New Roman"/>
          <w:kern w:val="2"/>
          <w:sz w:val="24"/>
          <w:szCs w:val="24"/>
          <w:lang w:eastAsia="zh-CN"/>
        </w:rPr>
        <w:t>新港</w:t>
      </w:r>
      <w:r>
        <w:rPr>
          <w:rFonts w:hint="eastAsia" w:cs="Times New Roman"/>
          <w:kern w:val="2"/>
          <w:sz w:val="24"/>
          <w:szCs w:val="24"/>
        </w:rPr>
        <w:t>有限公司</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（三）</w:t>
      </w:r>
      <w:r>
        <w:rPr>
          <w:rFonts w:hint="eastAsia" w:ascii="宋体" w:hAnsi="宋体"/>
          <w:sz w:val="24"/>
        </w:rPr>
        <w:t>采购代理机构:无</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b/>
          <w:bCs/>
          <w:sz w:val="24"/>
        </w:rPr>
        <w:t>（四）</w:t>
      </w:r>
      <w:r>
        <w:rPr>
          <w:rFonts w:hint="eastAsia" w:ascii="宋体" w:hAnsi="宋体" w:eastAsia="宋体" w:cs="宋体"/>
          <w:b w:val="0"/>
          <w:bCs w:val="0"/>
          <w:sz w:val="24"/>
          <w:szCs w:val="24"/>
          <w:u w:val="none"/>
        </w:rPr>
        <w:t>采购项目资金落实情况:</w:t>
      </w:r>
      <w:r>
        <w:rPr>
          <w:rFonts w:hint="eastAsia" w:ascii="宋体" w:hAnsi="宋体" w:eastAsia="宋体" w:cs="宋体"/>
          <w:b w:val="0"/>
          <w:bCs w:val="0"/>
          <w:color w:val="000000"/>
          <w:sz w:val="24"/>
          <w:szCs w:val="24"/>
          <w:highlight w:val="none"/>
          <w:u w:val="none"/>
        </w:rPr>
        <w:t>建设资金来自</w:t>
      </w:r>
      <w:r>
        <w:rPr>
          <w:rFonts w:hint="eastAsia" w:ascii="宋体" w:hAnsi="宋体" w:eastAsia="宋体" w:cs="宋体"/>
          <w:b w:val="0"/>
          <w:bCs w:val="0"/>
          <w:color w:val="000000"/>
          <w:sz w:val="24"/>
          <w:szCs w:val="24"/>
          <w:highlight w:val="none"/>
          <w:u w:val="none"/>
          <w:lang w:val="en-US" w:eastAsia="zh-CN"/>
        </w:rPr>
        <w:t>企业自筹。</w:t>
      </w:r>
    </w:p>
    <w:p>
      <w:pPr>
        <w:pageBreakBefore w:val="0"/>
        <w:widowControl/>
        <w:kinsoku/>
        <w:wordWrap/>
        <w:overflowPunct/>
        <w:topLinePunct w:val="0"/>
        <w:autoSpaceDE w:val="0"/>
        <w:autoSpaceDN/>
        <w:bidi w:val="0"/>
        <w:adjustRightInd/>
        <w:snapToGrid/>
        <w:spacing w:line="360" w:lineRule="auto"/>
        <w:textAlignment w:val="auto"/>
        <w:rPr>
          <w:rFonts w:ascii="宋体" w:hAnsi="宋体" w:eastAsia="宋体" w:cs="Times New Roman"/>
          <w:b w:val="0"/>
          <w:bCs/>
          <w:color w:val="0000FF"/>
          <w:sz w:val="24"/>
          <w:szCs w:val="24"/>
          <w:highlight w:val="none"/>
          <w:u w:val="none"/>
        </w:rPr>
      </w:pPr>
      <w:r>
        <w:rPr>
          <w:rFonts w:hint="eastAsia" w:ascii="宋体" w:hAnsi="宋体"/>
          <w:b/>
          <w:bCs/>
          <w:sz w:val="24"/>
          <w:highlight w:val="none"/>
        </w:rPr>
        <w:t>（五）</w:t>
      </w:r>
      <w:r>
        <w:rPr>
          <w:rFonts w:hint="eastAsia" w:ascii="宋体" w:hAnsi="宋体"/>
          <w:sz w:val="24"/>
          <w:highlight w:val="none"/>
        </w:rPr>
        <w:t>采购项目概况:</w:t>
      </w:r>
      <w:r>
        <w:rPr>
          <w:rFonts w:hint="eastAsia"/>
          <w:highlight w:val="none"/>
        </w:rPr>
        <w:t xml:space="preserve"> </w:t>
      </w:r>
      <w:r>
        <w:rPr>
          <w:rFonts w:hint="eastAsia" w:ascii="宋体" w:hAnsi="宋体" w:eastAsia="宋体" w:cs="Times New Roman"/>
          <w:b w:val="0"/>
          <w:bCs/>
          <w:color w:val="000000"/>
          <w:sz w:val="24"/>
          <w:szCs w:val="24"/>
          <w:highlight w:val="none"/>
          <w:u w:val="none"/>
          <w:lang w:val="en-US" w:eastAsia="zh-CN"/>
        </w:rPr>
        <w:t>岳阳城陵矶新港有限公司（松阳湖）一期码头位于湖南省岳阳市云溪区沿江路，设计为3个3000吨级泊位（均需兼顾5OOO吨级江海轮靠泊作业），直立式码头，设计年吞吐量为集装箱27万TEU，水工建筑物等级为二级。码头长度为340m，宽31m，码头平台分别通过1#和2#引桥与防洪大堤相连。本次缺陷修复为一期码头，</w:t>
      </w:r>
      <w:r>
        <w:rPr>
          <w:rFonts w:hint="eastAsia" w:ascii="宋体" w:hAnsi="宋体" w:eastAsia="宋体" w:cs="Times New Roman"/>
          <w:color w:val="auto"/>
          <w:kern w:val="2"/>
          <w:sz w:val="24"/>
          <w:szCs w:val="24"/>
          <w:highlight w:val="none"/>
          <w:u w:val="none"/>
          <w:lang w:val="en-US" w:eastAsia="zh-CN" w:bidi="ar-SA"/>
        </w:rPr>
        <w:t>预计总投资98万</w:t>
      </w:r>
      <w:r>
        <w:rPr>
          <w:rFonts w:hint="eastAsia" w:ascii="宋体" w:hAnsi="宋体" w:eastAsia="宋体" w:cs="Times New Roman"/>
          <w:b w:val="0"/>
          <w:bCs/>
          <w:color w:val="auto"/>
          <w:sz w:val="24"/>
          <w:szCs w:val="24"/>
          <w:highlight w:val="none"/>
          <w:u w:val="none"/>
          <w:lang w:val="en-US" w:eastAsia="zh-CN"/>
        </w:rPr>
        <w:t>元。</w:t>
      </w:r>
    </w:p>
    <w:p>
      <w:pPr>
        <w:pStyle w:val="42"/>
        <w:ind w:left="0" w:leftChars="0" w:firstLine="0" w:firstLineChars="0"/>
        <w:rPr>
          <w:rFonts w:hint="eastAsia" w:ascii="宋体" w:hAnsi="宋体"/>
          <w:color w:val="auto"/>
          <w:sz w:val="24"/>
          <w:highlight w:val="none"/>
          <w:shd w:val="clear" w:color="auto" w:fill="auto"/>
          <w:lang w:val="en-US" w:eastAsia="zh-CN"/>
        </w:rPr>
      </w:pPr>
    </w:p>
    <w:p>
      <w:pPr>
        <w:pStyle w:val="7"/>
        <w:pageBreakBefore w:val="0"/>
        <w:widowControl/>
        <w:kinsoku/>
        <w:wordWrap/>
        <w:overflowPunct/>
        <w:topLinePunct w:val="0"/>
        <w:autoSpaceDN/>
        <w:bidi w:val="0"/>
        <w:adjustRightInd/>
        <w:snapToGrid/>
        <w:spacing w:line="360" w:lineRule="auto"/>
        <w:jc w:val="both"/>
        <w:textAlignment w:val="auto"/>
        <w:rPr>
          <w:shd w:val="clear" w:color="auto" w:fill="auto"/>
        </w:rPr>
      </w:pPr>
      <w:r>
        <w:rPr>
          <w:rFonts w:hint="eastAsia"/>
          <w:shd w:val="clear" w:color="auto" w:fill="auto"/>
        </w:rPr>
        <w:t>二、采购范围及相关要求</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rPr>
      </w:pPr>
      <w:r>
        <w:rPr>
          <w:rFonts w:hint="eastAsia" w:ascii="宋体" w:hAnsi="宋体"/>
          <w:b/>
          <w:bCs/>
          <w:sz w:val="24"/>
        </w:rPr>
        <w:t>（一）</w:t>
      </w:r>
      <w:r>
        <w:rPr>
          <w:rFonts w:hint="eastAsia" w:ascii="宋体" w:hAnsi="宋体"/>
          <w:sz w:val="24"/>
        </w:rPr>
        <w:t>采购范围:</w:t>
      </w:r>
      <w:r>
        <w:rPr>
          <w:rFonts w:hint="eastAsia" w:ascii="宋体" w:hAnsi="宋体"/>
          <w:sz w:val="24"/>
          <w:lang w:val="en-US" w:eastAsia="zh-CN"/>
        </w:rPr>
        <w:t xml:space="preserve"> </w:t>
      </w:r>
      <w:r>
        <w:rPr>
          <w:rFonts w:hint="eastAsia" w:cs="Times New Roman"/>
          <w:kern w:val="2"/>
          <w:sz w:val="24"/>
          <w:szCs w:val="24"/>
        </w:rPr>
        <w:t>岳阳城陵矶</w:t>
      </w:r>
      <w:r>
        <w:rPr>
          <w:rFonts w:hint="eastAsia" w:cs="Times New Roman"/>
          <w:kern w:val="2"/>
          <w:sz w:val="24"/>
          <w:szCs w:val="24"/>
          <w:lang w:eastAsia="zh-CN"/>
        </w:rPr>
        <w:t>新港</w:t>
      </w:r>
      <w:r>
        <w:rPr>
          <w:rFonts w:hint="eastAsia" w:cs="Times New Roman"/>
          <w:kern w:val="2"/>
          <w:sz w:val="24"/>
          <w:szCs w:val="24"/>
        </w:rPr>
        <w:t>有限公司</w:t>
      </w:r>
      <w:r>
        <w:rPr>
          <w:rFonts w:hint="eastAsia" w:cs="Times New Roman"/>
          <w:kern w:val="2"/>
          <w:sz w:val="24"/>
          <w:szCs w:val="24"/>
          <w:lang w:eastAsia="zh-CN"/>
        </w:rPr>
        <w:t>一期码头缺陷修复项目</w:t>
      </w:r>
      <w:r>
        <w:rPr>
          <w:rFonts w:hint="eastAsia" w:ascii="宋体" w:hAnsi="宋体"/>
          <w:sz w:val="24"/>
        </w:rPr>
        <w:t>。</w:t>
      </w:r>
    </w:p>
    <w:p>
      <w:pPr>
        <w:pageBreakBefore w:val="0"/>
        <w:widowControl/>
        <w:kinsoku/>
        <w:wordWrap/>
        <w:overflowPunct/>
        <w:topLinePunct w:val="0"/>
        <w:autoSpaceDE w:val="0"/>
        <w:autoSpaceDN/>
        <w:bidi w:val="0"/>
        <w:adjustRightInd/>
        <w:snapToGrid/>
        <w:spacing w:line="360" w:lineRule="auto"/>
        <w:textAlignment w:val="auto"/>
        <w:rPr>
          <w:rFonts w:ascii="宋体" w:hAnsi="宋体"/>
          <w:sz w:val="24"/>
          <w:highlight w:val="none"/>
        </w:rPr>
      </w:pPr>
      <w:r>
        <w:rPr>
          <w:rFonts w:hint="eastAsia" w:ascii="宋体" w:hAnsi="宋体"/>
          <w:b/>
          <w:bCs/>
          <w:sz w:val="24"/>
          <w:highlight w:val="none"/>
        </w:rPr>
        <w:t>（二）</w:t>
      </w:r>
      <w:r>
        <w:rPr>
          <w:rFonts w:hint="eastAsia" w:ascii="宋体" w:hAnsi="宋体"/>
          <w:sz w:val="24"/>
          <w:highlight w:val="none"/>
        </w:rPr>
        <w:t>服务期限: 在</w:t>
      </w:r>
      <w:r>
        <w:rPr>
          <w:rFonts w:hint="eastAsia" w:ascii="宋体" w:hAnsi="宋体"/>
          <w:sz w:val="24"/>
          <w:highlight w:val="none"/>
          <w:lang w:eastAsia="zh-CN"/>
        </w:rPr>
        <w:t>合同签订</w:t>
      </w:r>
      <w:r>
        <w:rPr>
          <w:rFonts w:hint="eastAsia" w:ascii="宋体" w:hAnsi="宋体"/>
          <w:sz w:val="24"/>
          <w:highlight w:val="none"/>
        </w:rPr>
        <w:t>后</w:t>
      </w:r>
      <w:r>
        <w:rPr>
          <w:rFonts w:hint="eastAsia" w:ascii="宋体" w:hAnsi="宋体"/>
          <w:sz w:val="24"/>
          <w:highlight w:val="none"/>
          <w:lang w:val="en-US" w:eastAsia="zh-CN"/>
        </w:rPr>
        <w:t>3</w:t>
      </w:r>
      <w:r>
        <w:rPr>
          <w:rFonts w:hint="eastAsia" w:ascii="宋体" w:hAnsi="宋体"/>
          <w:sz w:val="24"/>
          <w:highlight w:val="none"/>
        </w:rPr>
        <w:t>0个日历天内完成现场</w:t>
      </w:r>
      <w:r>
        <w:rPr>
          <w:rFonts w:hint="eastAsia" w:ascii="宋体" w:hAnsi="宋体"/>
          <w:sz w:val="24"/>
          <w:highlight w:val="none"/>
          <w:lang w:eastAsia="zh-CN"/>
        </w:rPr>
        <w:t>作业</w:t>
      </w:r>
      <w:r>
        <w:rPr>
          <w:rFonts w:hint="eastAsia" w:ascii="宋体" w:hAnsi="宋体"/>
          <w:sz w:val="24"/>
          <w:highlight w:val="none"/>
        </w:rPr>
        <w:t>。</w:t>
      </w:r>
    </w:p>
    <w:p>
      <w:pPr>
        <w:pageBreakBefore w:val="0"/>
        <w:widowControl/>
        <w:kinsoku/>
        <w:wordWrap/>
        <w:overflowPunct/>
        <w:topLinePunct w:val="0"/>
        <w:autoSpaceDE w:val="0"/>
        <w:autoSpaceDN/>
        <w:bidi w:val="0"/>
        <w:adjustRightInd/>
        <w:snapToGrid/>
        <w:spacing w:line="360" w:lineRule="auto"/>
        <w:textAlignment w:val="auto"/>
        <w:rPr>
          <w:rFonts w:hint="eastAsia" w:ascii="宋体" w:hAnsi="宋体" w:eastAsia="宋体"/>
          <w:sz w:val="24"/>
          <w:lang w:eastAsia="zh-CN"/>
        </w:rPr>
      </w:pPr>
      <w:r>
        <w:rPr>
          <w:rFonts w:hint="eastAsia" w:ascii="宋体" w:hAnsi="宋体"/>
          <w:b/>
          <w:bCs/>
          <w:sz w:val="24"/>
        </w:rPr>
        <w:t>（三）</w:t>
      </w:r>
      <w:r>
        <w:rPr>
          <w:rFonts w:hint="eastAsia" w:ascii="宋体" w:hAnsi="宋体"/>
          <w:sz w:val="24"/>
        </w:rPr>
        <w:t xml:space="preserve">服务地点: </w:t>
      </w:r>
      <w:r>
        <w:rPr>
          <w:rFonts w:hint="eastAsia" w:ascii="宋体" w:hAnsi="宋体"/>
          <w:color w:val="auto"/>
          <w:sz w:val="24"/>
          <w:highlight w:val="none"/>
          <w:shd w:val="clear" w:color="auto" w:fill="auto"/>
          <w:lang w:val="en-US" w:eastAsia="zh-CN"/>
        </w:rPr>
        <w:t>岳阳城陵矶新港有限公司一期码头作业平台</w:t>
      </w:r>
      <w:r>
        <w:rPr>
          <w:rFonts w:hint="eastAsia" w:cs="Times New Roman"/>
          <w:kern w:val="2"/>
          <w:sz w:val="24"/>
          <w:szCs w:val="24"/>
          <w:lang w:eastAsia="zh-CN"/>
        </w:rPr>
        <w:t>。</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（四）</w:t>
      </w:r>
      <w:r>
        <w:rPr>
          <w:rFonts w:hint="eastAsia" w:ascii="宋体" w:hAnsi="宋体"/>
          <w:color w:val="auto"/>
          <w:sz w:val="24"/>
          <w:shd w:val="clear" w:color="auto" w:fill="auto"/>
        </w:rPr>
        <w:t xml:space="preserve">质量要求: </w:t>
      </w:r>
      <w:r>
        <w:rPr>
          <w:rFonts w:hint="eastAsia" w:ascii="宋体" w:hAnsi="宋体"/>
          <w:color w:val="auto"/>
          <w:sz w:val="24"/>
          <w:shd w:val="clear" w:color="auto" w:fill="auto"/>
          <w:lang w:eastAsia="zh-CN"/>
        </w:rPr>
        <w:t>满足国家相关规范要求，具体见文件。</w:t>
      </w:r>
    </w:p>
    <w:p>
      <w:pPr>
        <w:autoSpaceDE w:val="0"/>
        <w:spacing w:line="400" w:lineRule="exact"/>
        <w:jc w:val="both"/>
        <w:rPr>
          <w:rFonts w:hint="eastAsia" w:ascii="宋体" w:hAnsi="宋体"/>
          <w:color w:val="auto"/>
          <w:sz w:val="24"/>
          <w:shd w:val="clear" w:color="auto" w:fill="auto"/>
          <w:lang w:eastAsia="zh-CN"/>
        </w:rPr>
      </w:pPr>
      <w:r>
        <w:rPr>
          <w:rFonts w:hint="eastAsia" w:ascii="宋体" w:hAnsi="宋体"/>
          <w:b/>
          <w:bCs/>
          <w:color w:val="auto"/>
          <w:sz w:val="24"/>
          <w:shd w:val="clear" w:color="auto" w:fill="auto"/>
          <w:lang w:eastAsia="zh-CN"/>
        </w:rPr>
        <w:t>（五）</w:t>
      </w:r>
      <w:r>
        <w:rPr>
          <w:rFonts w:hint="eastAsia" w:ascii="宋体" w:hAnsi="宋体"/>
          <w:color w:val="auto"/>
          <w:sz w:val="24"/>
          <w:shd w:val="clear" w:color="auto" w:fill="auto"/>
        </w:rPr>
        <w:t xml:space="preserve">安全目标: </w:t>
      </w:r>
      <w:r>
        <w:rPr>
          <w:rFonts w:hint="eastAsia" w:ascii="宋体" w:hAnsi="宋体"/>
          <w:color w:val="auto"/>
          <w:sz w:val="24"/>
          <w:shd w:val="clear" w:color="auto" w:fill="auto"/>
          <w:lang w:eastAsia="zh-CN"/>
        </w:rPr>
        <w:t>安全文明生产零事故。</w:t>
      </w:r>
    </w:p>
    <w:p>
      <w:pPr>
        <w:autoSpaceDE w:val="0"/>
        <w:spacing w:line="400" w:lineRule="exact"/>
        <w:jc w:val="both"/>
        <w:rPr>
          <w:rFonts w:hint="eastAsia" w:ascii="宋体" w:hAnsi="宋体"/>
          <w:color w:val="auto"/>
          <w:sz w:val="24"/>
          <w:shd w:val="clear" w:color="auto" w:fill="auto"/>
          <w:lang w:eastAsia="zh-CN"/>
        </w:rPr>
      </w:pPr>
    </w:p>
    <w:p>
      <w:pPr>
        <w:autoSpaceDE w:val="0"/>
        <w:spacing w:line="400" w:lineRule="exact"/>
        <w:jc w:val="both"/>
        <w:rPr>
          <w:rFonts w:ascii="Arial" w:hAnsi="Arial"/>
          <w:b/>
          <w:bCs/>
          <w:sz w:val="28"/>
          <w:szCs w:val="28"/>
        </w:rPr>
      </w:pPr>
      <w:r>
        <w:rPr>
          <w:rFonts w:hint="eastAsia"/>
          <w:b/>
          <w:bCs/>
          <w:sz w:val="28"/>
          <w:szCs w:val="28"/>
        </w:rPr>
        <w:t>三、</w:t>
      </w:r>
      <w:r>
        <w:rPr>
          <w:rFonts w:hint="eastAsia" w:ascii="黑体" w:hAnsi="黑体"/>
          <w:b/>
          <w:bCs/>
          <w:sz w:val="28"/>
          <w:szCs w:val="28"/>
        </w:rPr>
        <w:t>供应商资格要求</w:t>
      </w:r>
    </w:p>
    <w:p>
      <w:pPr>
        <w:pageBreakBefore w:val="0"/>
        <w:widowControl/>
        <w:kinsoku/>
        <w:wordWrap/>
        <w:overflowPunct/>
        <w:topLinePunct w:val="0"/>
        <w:autoSpaceDE w:val="0"/>
        <w:autoSpaceDN/>
        <w:bidi w:val="0"/>
        <w:adjustRightInd/>
        <w:snapToGrid/>
        <w:spacing w:line="360" w:lineRule="auto"/>
        <w:jc w:val="both"/>
        <w:textAlignment w:val="auto"/>
        <w:rPr>
          <w:rFonts w:ascii="宋体" w:hAnsi="宋体"/>
          <w:sz w:val="24"/>
        </w:rPr>
      </w:pPr>
      <w:r>
        <w:rPr>
          <w:rFonts w:hint="eastAsia" w:ascii="宋体" w:hAnsi="宋体"/>
          <w:b/>
          <w:bCs/>
          <w:sz w:val="24"/>
        </w:rPr>
        <w:t>（一）</w:t>
      </w:r>
      <w:r>
        <w:rPr>
          <w:rFonts w:hint="eastAsia" w:ascii="宋体" w:hAnsi="宋体"/>
          <w:sz w:val="24"/>
        </w:rPr>
        <w:t>供应商不得存在下列情形之一:</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（1）处于被责令停产停业、暂扣或者吊销执照、暂扣或者吊销许可证、吊销资质证书状态;</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（2）进入清算程序，或被宣告破产，或其他丧失履约能力的情形;</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（3）被采购人或采购人上级单位纳入黑名单；</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（4）为投资参股本项目的法人单位；</w:t>
      </w:r>
    </w:p>
    <w:p>
      <w:pPr>
        <w:pageBreakBefore w:val="0"/>
        <w:widowControl/>
        <w:kinsoku/>
        <w:wordWrap/>
        <w:overflowPunct/>
        <w:topLinePunct w:val="0"/>
        <w:autoSpaceDE w:val="0"/>
        <w:autoSpaceDN/>
        <w:bidi w:val="0"/>
        <w:adjustRightInd/>
        <w:snapToGrid/>
        <w:spacing w:line="360" w:lineRule="auto"/>
        <w:ind w:firstLine="240" w:firstLineChars="100"/>
        <w:jc w:val="both"/>
        <w:textAlignment w:val="auto"/>
        <w:rPr>
          <w:rFonts w:ascii="宋体" w:hAnsi="宋体"/>
          <w:sz w:val="24"/>
        </w:rPr>
      </w:pPr>
      <w:r>
        <w:rPr>
          <w:rFonts w:hint="eastAsia" w:ascii="宋体" w:hAnsi="宋体"/>
          <w:sz w:val="24"/>
        </w:rPr>
        <w:t>（5）具有直接管理和被管理关系的母子(分)公司，或同一母公司的子(分)公司，或法定代表人为同一人的两个或两个以上法人，同时投同一标段。</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供应商应满足如下要求:</w:t>
      </w:r>
    </w:p>
    <w:tbl>
      <w:tblPr>
        <w:tblStyle w:val="4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531"/>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15" w:type="dxa"/>
          </w:tcPr>
          <w:p>
            <w:pPr>
              <w:widowControl w:val="0"/>
              <w:spacing w:line="320" w:lineRule="exact"/>
              <w:jc w:val="center"/>
              <w:rPr>
                <w:rFonts w:ascii="宋体" w:hAnsi="宋体"/>
                <w:sz w:val="21"/>
                <w:szCs w:val="21"/>
              </w:rPr>
            </w:pPr>
            <w:r>
              <w:rPr>
                <w:rFonts w:hint="eastAsia" w:ascii="宋体" w:hAnsi="宋体"/>
                <w:sz w:val="21"/>
                <w:szCs w:val="21"/>
              </w:rPr>
              <w:t>资格条件</w:t>
            </w:r>
          </w:p>
        </w:tc>
        <w:tc>
          <w:tcPr>
            <w:tcW w:w="1531" w:type="dxa"/>
          </w:tcPr>
          <w:p>
            <w:pPr>
              <w:widowControl w:val="0"/>
              <w:spacing w:line="320" w:lineRule="exact"/>
              <w:jc w:val="center"/>
              <w:rPr>
                <w:rFonts w:ascii="宋体" w:hAnsi="宋体"/>
                <w:sz w:val="21"/>
                <w:szCs w:val="21"/>
              </w:rPr>
            </w:pPr>
            <w:r>
              <w:rPr>
                <w:rFonts w:hint="eastAsia" w:ascii="宋体" w:hAnsi="宋体"/>
                <w:sz w:val="21"/>
                <w:szCs w:val="21"/>
              </w:rPr>
              <w:t>对供应商要求</w:t>
            </w:r>
          </w:p>
        </w:tc>
        <w:tc>
          <w:tcPr>
            <w:tcW w:w="5443" w:type="dxa"/>
          </w:tcPr>
          <w:p>
            <w:pPr>
              <w:widowControl w:val="0"/>
              <w:spacing w:line="320" w:lineRule="exact"/>
              <w:jc w:val="center"/>
              <w:rPr>
                <w:rFonts w:ascii="宋体" w:hAnsi="宋体"/>
                <w:sz w:val="21"/>
                <w:szCs w:val="21"/>
              </w:rPr>
            </w:pPr>
            <w:r>
              <w:rPr>
                <w:rFonts w:hint="eastAsia" w:ascii="宋体" w:hAnsi="宋体"/>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（1）依法设立</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（2）资质要求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（3）财务要求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（4）业绩要求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（5）信誉要求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tcPr>
          <w:p>
            <w:pPr>
              <w:widowControl w:val="0"/>
              <w:spacing w:line="288" w:lineRule="auto"/>
              <w:jc w:val="both"/>
              <w:rPr>
                <w:rFonts w:ascii="宋体" w:hAnsi="宋体"/>
                <w:sz w:val="21"/>
                <w:szCs w:val="21"/>
              </w:rPr>
            </w:pPr>
            <w:r>
              <w:rPr>
                <w:rFonts w:hint="eastAsia" w:ascii="宋体" w:hAnsi="宋体"/>
                <w:sz w:val="21"/>
                <w:szCs w:val="21"/>
              </w:rPr>
              <w:t>（6）承担本项目的主要人员要求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w:t>
            </w:r>
          </w:p>
        </w:tc>
        <w:tc>
          <w:tcPr>
            <w:tcW w:w="5443"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5" w:type="dxa"/>
          </w:tcPr>
          <w:p>
            <w:pPr>
              <w:widowControl w:val="0"/>
              <w:spacing w:line="320" w:lineRule="exact"/>
              <w:jc w:val="both"/>
              <w:rPr>
                <w:rFonts w:ascii="宋体" w:hAnsi="宋体"/>
                <w:sz w:val="21"/>
                <w:szCs w:val="21"/>
              </w:rPr>
            </w:pPr>
            <w:r>
              <w:rPr>
                <w:rFonts w:hint="eastAsia" w:ascii="宋体" w:hAnsi="宋体"/>
                <w:sz w:val="21"/>
                <w:szCs w:val="21"/>
              </w:rPr>
              <w:t>（7）其他要求</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Fonts w:ascii="宋体" w:hAnsi="宋体"/>
                <w:sz w:val="21"/>
                <w:szCs w:val="21"/>
              </w:rPr>
            </w:pPr>
            <w:r>
              <w:rPr>
                <w:rStyle w:val="46"/>
                <w:rFonts w:hint="eastAsia"/>
                <w:sz w:val="21"/>
                <w:szCs w:val="21"/>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vAlign w:val="center"/>
          </w:tcPr>
          <w:p>
            <w:pPr>
              <w:widowControl w:val="0"/>
              <w:spacing w:line="288" w:lineRule="auto"/>
              <w:jc w:val="both"/>
              <w:rPr>
                <w:rFonts w:ascii="宋体" w:hAnsi="宋体"/>
                <w:sz w:val="21"/>
                <w:szCs w:val="21"/>
              </w:rPr>
            </w:pPr>
            <w:r>
              <w:rPr>
                <w:rFonts w:hint="eastAsia" w:ascii="宋体" w:hAnsi="宋体"/>
                <w:sz w:val="21"/>
                <w:szCs w:val="21"/>
              </w:rPr>
              <w:t>（8）供应商不存在第一章3.1款情形的证明材料</w:t>
            </w:r>
          </w:p>
        </w:tc>
        <w:tc>
          <w:tcPr>
            <w:tcW w:w="1531" w:type="dxa"/>
          </w:tcPr>
          <w:p>
            <w:pPr>
              <w:widowControl w:val="0"/>
              <w:spacing w:line="320" w:lineRule="exact"/>
              <w:jc w:val="both"/>
              <w:rPr>
                <w:rFonts w:ascii="宋体" w:hAnsi="宋体"/>
                <w:sz w:val="21"/>
                <w:szCs w:val="21"/>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tc>
        <w:tc>
          <w:tcPr>
            <w:tcW w:w="5443" w:type="dxa"/>
          </w:tcPr>
          <w:p>
            <w:pPr>
              <w:widowControl w:val="0"/>
              <w:spacing w:line="320" w:lineRule="exact"/>
              <w:jc w:val="both"/>
              <w:rPr>
                <w:rStyle w:val="46"/>
                <w:sz w:val="21"/>
                <w:szCs w:val="21"/>
                <w:u w:val="single"/>
              </w:rPr>
            </w:pPr>
            <w:r>
              <w:rPr>
                <w:rFonts w:hint="eastAsia" w:cs="仿宋" w:asciiTheme="minorEastAsia" w:hAnsiTheme="minorEastAsia" w:eastAsiaTheme="minorEastAsia"/>
                <w:sz w:val="21"/>
                <w:szCs w:val="21"/>
              </w:rPr>
              <w:t>☑</w:t>
            </w:r>
            <w:r>
              <w:rPr>
                <w:rStyle w:val="46"/>
                <w:rFonts w:hint="eastAsia"/>
                <w:sz w:val="21"/>
                <w:szCs w:val="21"/>
                <w:u w:val="single"/>
              </w:rPr>
              <w:t xml:space="preserve">不适用  </w:t>
            </w:r>
          </w:p>
          <w:p>
            <w:pPr>
              <w:widowControl w:val="0"/>
              <w:spacing w:line="320" w:lineRule="exact"/>
              <w:jc w:val="both"/>
              <w:rPr>
                <w:rFonts w:ascii="宋体" w:hAnsi="宋体"/>
                <w:sz w:val="21"/>
                <w:szCs w:val="21"/>
              </w:rPr>
            </w:pPr>
          </w:p>
        </w:tc>
      </w:tr>
    </w:tbl>
    <w:p>
      <w:pPr>
        <w:pStyle w:val="7"/>
        <w:jc w:val="both"/>
        <w:rPr>
          <w:rFonts w:ascii="Arial" w:hAnsi="Arial"/>
        </w:rPr>
      </w:pPr>
      <w:r>
        <w:rPr>
          <w:rFonts w:hint="eastAsia"/>
        </w:rPr>
        <w:t>四、</w:t>
      </w:r>
      <w:r>
        <w:rPr>
          <w:rFonts w:hint="eastAsia" w:ascii="黑体" w:hAnsi="黑体"/>
        </w:rPr>
        <w:t>确定成交供应商的方法</w:t>
      </w:r>
    </w:p>
    <w:p>
      <w:pPr>
        <w:autoSpaceDE w:val="0"/>
        <w:spacing w:line="400" w:lineRule="exact"/>
        <w:jc w:val="both"/>
        <w:rPr>
          <w:rFonts w:ascii="宋体" w:hAnsi="宋体"/>
          <w:sz w:val="24"/>
        </w:rPr>
      </w:pPr>
      <w:r>
        <w:rPr>
          <w:rFonts w:hint="eastAsia" w:ascii="宋体" w:hAnsi="宋体"/>
          <w:b/>
          <w:bCs/>
          <w:sz w:val="24"/>
        </w:rPr>
        <w:t>（一）</w:t>
      </w:r>
      <w:r>
        <w:rPr>
          <w:rFonts w:hint="eastAsia" w:ascii="宋体" w:hAnsi="宋体"/>
          <w:b/>
          <w:bCs/>
          <w:sz w:val="24"/>
          <w:lang w:eastAsia="zh-CN"/>
        </w:rPr>
        <w:t>最低价法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采购人将确定排名第一的成交候选供应商为成交供应商。若排名第一的成交候选供应商未通过履约能力和报价核查，采购人应按推荐的名单排序依次确定其他成交候选供应商为成交供应商。 </w:t>
      </w:r>
    </w:p>
    <w:p>
      <w:pPr>
        <w:pStyle w:val="7"/>
        <w:keepNext w:val="0"/>
        <w:keepLines w:val="0"/>
        <w:widowControl w:val="0"/>
        <w:adjustRightInd w:val="0"/>
        <w:snapToGrid w:val="0"/>
        <w:spacing w:after="0" w:line="312" w:lineRule="auto"/>
        <w:jc w:val="both"/>
      </w:pPr>
      <w:r>
        <w:rPr>
          <w:rFonts w:hint="eastAsia"/>
        </w:rPr>
        <w:t>五、</w:t>
      </w:r>
      <w:r>
        <w:rPr>
          <w:rFonts w:hint="eastAsia"/>
          <w:color w:val="000000"/>
        </w:rPr>
        <w:t>最高限价</w:t>
      </w:r>
    </w:p>
    <w:p>
      <w:pPr>
        <w:autoSpaceDE w:val="0"/>
        <w:spacing w:line="400" w:lineRule="exact"/>
        <w:jc w:val="both"/>
        <w:rPr>
          <w:rFonts w:ascii="宋体" w:hAnsi="宋体"/>
          <w:sz w:val="24"/>
          <w:highlight w:val="none"/>
        </w:rPr>
      </w:pPr>
      <w:bookmarkStart w:id="1" w:name="_Toc40274970"/>
      <w:bookmarkStart w:id="2" w:name="_Toc38287094"/>
      <w:r>
        <w:rPr>
          <w:rFonts w:hint="eastAsia" w:ascii="宋体" w:hAnsi="宋体"/>
          <w:b/>
          <w:bCs/>
          <w:sz w:val="24"/>
          <w:highlight w:val="none"/>
        </w:rPr>
        <w:t>（一）</w:t>
      </w:r>
      <w:r>
        <w:rPr>
          <w:rFonts w:hint="eastAsia" w:ascii="宋体" w:hAnsi="宋体"/>
          <w:sz w:val="24"/>
          <w:highlight w:val="none"/>
        </w:rPr>
        <w:t>询价人为本次招标编制了最高投标限价，最高限价：</w:t>
      </w:r>
      <w:r>
        <w:rPr>
          <w:rFonts w:hint="eastAsia" w:ascii="宋体" w:hAnsi="宋体"/>
          <w:sz w:val="24"/>
          <w:highlight w:val="none"/>
          <w:lang w:eastAsia="zh-CN"/>
        </w:rPr>
        <w:t>玖</w:t>
      </w:r>
      <w:r>
        <w:rPr>
          <w:rFonts w:hint="eastAsia" w:ascii="宋体" w:hAnsi="宋体" w:cs="宋体"/>
          <w:b w:val="0"/>
          <w:bCs w:val="0"/>
          <w:sz w:val="24"/>
          <w:highlight w:val="none"/>
          <w:lang w:val="en-US" w:eastAsia="zh-CN"/>
        </w:rPr>
        <w:t>拾捌万</w:t>
      </w:r>
      <w:r>
        <w:rPr>
          <w:rFonts w:hint="eastAsia" w:ascii="宋体" w:hAnsi="宋体" w:eastAsia="宋体" w:cs="宋体"/>
          <w:b w:val="0"/>
          <w:bCs w:val="0"/>
          <w:sz w:val="24"/>
          <w:highlight w:val="none"/>
          <w:lang w:val="en-US" w:eastAsia="zh-CN"/>
        </w:rPr>
        <w:t>元整</w:t>
      </w:r>
      <w:r>
        <w:rPr>
          <w:rFonts w:hint="eastAsia" w:ascii="宋体" w:hAnsi="宋体"/>
          <w:sz w:val="24"/>
          <w:highlight w:val="none"/>
        </w:rPr>
        <w:t>（￥</w:t>
      </w:r>
      <w:r>
        <w:rPr>
          <w:rFonts w:hint="eastAsia" w:ascii="宋体" w:hAnsi="宋体"/>
          <w:sz w:val="24"/>
          <w:highlight w:val="none"/>
          <w:lang w:val="en-US" w:eastAsia="zh-CN"/>
        </w:rPr>
        <w:t>980，0</w:t>
      </w:r>
      <w:r>
        <w:rPr>
          <w:rFonts w:hint="eastAsia" w:ascii="宋体" w:hAnsi="宋体"/>
          <w:sz w:val="24"/>
          <w:highlight w:val="none"/>
        </w:rPr>
        <w:t>00.00）含</w:t>
      </w:r>
      <w:r>
        <w:rPr>
          <w:rFonts w:hint="eastAsia" w:ascii="宋体" w:hAnsi="宋体"/>
          <w:sz w:val="24"/>
          <w:highlight w:val="none"/>
          <w:lang w:val="en-US" w:eastAsia="zh-CN"/>
        </w:rPr>
        <w:t>9</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如供应商提供其他税率，采购人将按9%税率调整报价后参与排序</w:t>
      </w:r>
      <w:r>
        <w:rPr>
          <w:rFonts w:hint="eastAsia" w:ascii="宋体" w:hAnsi="宋体"/>
          <w:sz w:val="24"/>
          <w:highlight w:val="none"/>
        </w:rPr>
        <w:t>。</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报价人投标报价应不高于最高投标限价，否则其投标将被否决。</w:t>
      </w:r>
      <w:bookmarkEnd w:id="1"/>
      <w:bookmarkEnd w:id="2"/>
    </w:p>
    <w:p>
      <w:pPr>
        <w:pStyle w:val="7"/>
        <w:jc w:val="both"/>
        <w:rPr>
          <w:rFonts w:ascii="Arial" w:hAnsi="Arial"/>
        </w:rPr>
      </w:pPr>
      <w:r>
        <w:rPr>
          <w:rFonts w:hint="eastAsia"/>
        </w:rPr>
        <w:t>六、</w:t>
      </w:r>
      <w:r>
        <w:rPr>
          <w:rFonts w:hint="eastAsia" w:ascii="黑体" w:hAnsi="黑体"/>
        </w:rPr>
        <w:t>采购文件获取</w:t>
      </w:r>
    </w:p>
    <w:p>
      <w:pPr>
        <w:autoSpaceDE w:val="0"/>
        <w:spacing w:line="400" w:lineRule="exact"/>
        <w:jc w:val="both"/>
        <w:rPr>
          <w:rFonts w:hint="eastAsia" w:ascii="宋体" w:hAnsi="宋体"/>
          <w:sz w:val="24"/>
          <w:lang w:eastAsia="zh-CN"/>
        </w:rPr>
      </w:pPr>
      <w:r>
        <w:rPr>
          <w:rFonts w:hint="eastAsia" w:ascii="宋体" w:hAnsi="宋体"/>
          <w:b/>
          <w:bCs/>
          <w:sz w:val="24"/>
          <w:lang w:eastAsia="zh-CN"/>
        </w:rPr>
        <w:t>（一）</w:t>
      </w:r>
      <w:r>
        <w:rPr>
          <w:rFonts w:hint="eastAsia" w:ascii="宋体" w:hAnsi="宋体"/>
          <w:sz w:val="24"/>
          <w:highlight w:val="yellow"/>
        </w:rPr>
        <w:t>供应商应当于</w:t>
      </w:r>
      <w:r>
        <w:rPr>
          <w:rFonts w:hint="eastAsia" w:ascii="宋体" w:hAnsi="宋体"/>
          <w:sz w:val="24"/>
          <w:highlight w:val="yellow"/>
          <w:lang w:val="en-US" w:eastAsia="zh-CN"/>
        </w:rPr>
        <w:t>2024</w:t>
      </w:r>
      <w:r>
        <w:rPr>
          <w:rFonts w:hint="eastAsia" w:ascii="宋体" w:hAnsi="宋体"/>
          <w:sz w:val="24"/>
          <w:highlight w:val="yellow"/>
        </w:rPr>
        <w:t>年</w:t>
      </w:r>
      <w:r>
        <w:rPr>
          <w:rFonts w:hint="eastAsia" w:ascii="宋体" w:hAnsi="宋体"/>
          <w:sz w:val="24"/>
          <w:highlight w:val="yellow"/>
          <w:lang w:val="en-US" w:eastAsia="zh-CN"/>
        </w:rPr>
        <w:t>06</w:t>
      </w:r>
      <w:r>
        <w:rPr>
          <w:rFonts w:hint="eastAsia" w:ascii="宋体" w:hAnsi="宋体"/>
          <w:sz w:val="24"/>
          <w:highlight w:val="yellow"/>
        </w:rPr>
        <w:t>月</w:t>
      </w:r>
      <w:r>
        <w:rPr>
          <w:rFonts w:hint="eastAsia" w:ascii="宋体" w:hAnsi="宋体"/>
          <w:sz w:val="24"/>
          <w:highlight w:val="yellow"/>
          <w:lang w:val="en-US" w:eastAsia="zh-CN"/>
        </w:rPr>
        <w:t>13</w:t>
      </w:r>
      <w:r>
        <w:rPr>
          <w:rFonts w:hint="eastAsia" w:ascii="宋体" w:hAnsi="宋体"/>
          <w:sz w:val="24"/>
          <w:highlight w:val="yellow"/>
        </w:rPr>
        <w:t>日至</w:t>
      </w:r>
      <w:r>
        <w:rPr>
          <w:rFonts w:hint="eastAsia" w:ascii="宋体" w:hAnsi="宋体"/>
          <w:sz w:val="24"/>
          <w:highlight w:val="yellow"/>
          <w:lang w:val="en-US" w:eastAsia="zh-CN"/>
        </w:rPr>
        <w:t>2024</w:t>
      </w:r>
      <w:r>
        <w:rPr>
          <w:rFonts w:hint="eastAsia" w:ascii="宋体" w:hAnsi="宋体"/>
          <w:sz w:val="24"/>
          <w:highlight w:val="yellow"/>
        </w:rPr>
        <w:t>年</w:t>
      </w:r>
      <w:r>
        <w:rPr>
          <w:rFonts w:hint="eastAsia" w:ascii="宋体" w:hAnsi="宋体"/>
          <w:sz w:val="24"/>
          <w:highlight w:val="yellow"/>
          <w:lang w:val="en-US" w:eastAsia="zh-CN"/>
        </w:rPr>
        <w:t xml:space="preserve"> 06</w:t>
      </w:r>
      <w:r>
        <w:rPr>
          <w:rFonts w:hint="eastAsia" w:ascii="宋体" w:hAnsi="宋体"/>
          <w:sz w:val="24"/>
          <w:highlight w:val="yellow"/>
        </w:rPr>
        <w:t>月</w:t>
      </w:r>
      <w:r>
        <w:rPr>
          <w:rFonts w:hint="eastAsia" w:ascii="宋体" w:hAnsi="宋体"/>
          <w:sz w:val="24"/>
          <w:highlight w:val="yellow"/>
          <w:lang w:val="en-US" w:eastAsia="zh-CN"/>
        </w:rPr>
        <w:t>17</w:t>
      </w:r>
      <w:r>
        <w:rPr>
          <w:rFonts w:hint="eastAsia" w:ascii="宋体" w:hAnsi="宋体"/>
          <w:sz w:val="24"/>
          <w:highlight w:val="yellow"/>
        </w:rPr>
        <w:t>日，</w:t>
      </w:r>
      <w:r>
        <w:rPr>
          <w:rFonts w:hint="eastAsia" w:ascii="宋体" w:hAnsi="宋体"/>
          <w:sz w:val="24"/>
          <w:lang w:eastAsia="zh-CN"/>
        </w:rPr>
        <w:t>在</w:t>
      </w:r>
      <w:r>
        <w:rPr>
          <w:rFonts w:hint="eastAsia" w:ascii="宋体" w:hAnsi="宋体"/>
          <w:sz w:val="24"/>
        </w:rPr>
        <w:t>湖南省</w:t>
      </w:r>
      <w:r>
        <w:rPr>
          <w:rFonts w:hint="eastAsia" w:ascii="宋体" w:hAnsi="宋体"/>
          <w:sz w:val="24"/>
          <w:lang w:eastAsia="zh-CN"/>
        </w:rPr>
        <w:t>港航水利</w:t>
      </w:r>
      <w:r>
        <w:rPr>
          <w:rFonts w:hint="eastAsia" w:ascii="宋体" w:hAnsi="宋体"/>
          <w:sz w:val="24"/>
        </w:rPr>
        <w:t>集团有限公司网站（http://www.hnsghsljt.com/）、湖南省</w:t>
      </w:r>
      <w:r>
        <w:rPr>
          <w:rFonts w:hint="eastAsia" w:ascii="宋体" w:hAnsi="宋体"/>
          <w:sz w:val="24"/>
          <w:lang w:eastAsia="zh-CN"/>
        </w:rPr>
        <w:t>城陵矶港口</w:t>
      </w:r>
      <w:r>
        <w:rPr>
          <w:rFonts w:hint="eastAsia" w:ascii="宋体" w:hAnsi="宋体"/>
          <w:sz w:val="24"/>
        </w:rPr>
        <w:t>集团有限公司门户网站（http://www.hnsgwjt.com/）上获取采购文件</w:t>
      </w:r>
      <w:r>
        <w:rPr>
          <w:rFonts w:hint="eastAsia" w:ascii="宋体" w:hAnsi="宋体"/>
          <w:sz w:val="24"/>
          <w:lang w:eastAsia="zh-CN"/>
        </w:rPr>
        <w:t>。</w:t>
      </w:r>
    </w:p>
    <w:p>
      <w:pPr>
        <w:autoSpaceDE w:val="0"/>
        <w:spacing w:line="400" w:lineRule="exact"/>
        <w:jc w:val="both"/>
        <w:rPr>
          <w:rFonts w:hint="eastAsia" w:ascii="宋体" w:hAnsi="宋体"/>
          <w:sz w:val="24"/>
          <w:lang w:val="en-US" w:eastAsia="zh-CN"/>
        </w:rPr>
      </w:pPr>
      <w:r>
        <w:rPr>
          <w:rFonts w:hint="eastAsia" w:ascii="宋体" w:hAnsi="宋体"/>
          <w:sz w:val="24"/>
          <w:lang w:val="en-US" w:eastAsia="zh-CN"/>
        </w:rPr>
        <w:t>（二）响应文件递交</w:t>
      </w:r>
      <w:r>
        <w:rPr>
          <w:rFonts w:hint="eastAsia" w:ascii="宋体" w:hAnsi="宋体"/>
          <w:sz w:val="24"/>
        </w:rPr>
        <w:t>截止时间：</w:t>
      </w:r>
      <w:r>
        <w:rPr>
          <w:rFonts w:hint="eastAsia" w:ascii="宋体" w:hAnsi="宋体"/>
          <w:sz w:val="24"/>
          <w:highlight w:val="yellow"/>
          <w:lang w:val="en-US" w:eastAsia="zh-CN"/>
        </w:rPr>
        <w:t>2024年06 月19 日12</w:t>
      </w:r>
      <w:bookmarkStart w:id="410" w:name="_GoBack"/>
      <w:bookmarkEnd w:id="410"/>
      <w:r>
        <w:rPr>
          <w:rFonts w:hint="eastAsia" w:ascii="宋体" w:hAnsi="宋体"/>
          <w:sz w:val="24"/>
          <w:highlight w:val="yellow"/>
          <w:lang w:val="en-US" w:eastAsia="zh-CN"/>
        </w:rPr>
        <w:t>时00分；</w:t>
      </w:r>
    </w:p>
    <w:p>
      <w:pPr>
        <w:autoSpaceDE w:val="0"/>
        <w:spacing w:line="400" w:lineRule="exact"/>
        <w:jc w:val="both"/>
        <w:rPr>
          <w:rFonts w:hint="eastAsia" w:ascii="宋体" w:hAnsi="宋体"/>
          <w:sz w:val="24"/>
          <w:lang w:val="en-US" w:eastAsia="zh-CN"/>
        </w:rPr>
      </w:pPr>
      <w:r>
        <w:rPr>
          <w:rFonts w:hint="eastAsia" w:ascii="宋体" w:hAnsi="宋体"/>
          <w:sz w:val="24"/>
        </w:rPr>
        <w:t>递交响应文件的地点：</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cs="宋体"/>
          <w:color w:val="000000"/>
          <w:sz w:val="24"/>
          <w:highlight w:val="none"/>
          <w:u w:val="none"/>
          <w:lang w:val="en-US" w:eastAsia="zh-CN"/>
        </w:rPr>
        <w:t>307</w:t>
      </w:r>
      <w:r>
        <w:rPr>
          <w:rFonts w:hint="eastAsia" w:ascii="宋体" w:hAnsi="宋体"/>
          <w:sz w:val="24"/>
          <w:lang w:val="en-US" w:eastAsia="zh-CN"/>
        </w:rPr>
        <w:t>办公室</w:t>
      </w:r>
      <w:r>
        <w:rPr>
          <w:rFonts w:hint="eastAsia" w:ascii="宋体" w:hAnsi="宋体"/>
          <w:sz w:val="24"/>
          <w:lang w:eastAsia="zh-CN"/>
        </w:rPr>
        <w:t>。</w:t>
      </w:r>
    </w:p>
    <w:p>
      <w:pPr>
        <w:autoSpaceDE w:val="0"/>
        <w:spacing w:line="400" w:lineRule="exact"/>
        <w:jc w:val="both"/>
        <w:rPr>
          <w:rFonts w:hint="eastAsia" w:ascii="宋体" w:hAnsi="宋体"/>
          <w:sz w:val="24"/>
          <w:highlight w:val="yellow"/>
        </w:rPr>
      </w:pPr>
      <w:r>
        <w:rPr>
          <w:rFonts w:hint="eastAsia" w:ascii="宋体" w:hAnsi="宋体"/>
          <w:sz w:val="24"/>
          <w:lang w:eastAsia="zh-CN"/>
        </w:rPr>
        <w:t>（三）</w:t>
      </w:r>
      <w:r>
        <w:rPr>
          <w:rFonts w:hint="eastAsia" w:ascii="宋体" w:hAnsi="宋体"/>
          <w:sz w:val="24"/>
        </w:rPr>
        <w:t>供应商若对本项目采购需求、资格要求等有疑问的，应当于</w:t>
      </w:r>
      <w:r>
        <w:rPr>
          <w:rFonts w:hint="eastAsia" w:ascii="宋体" w:hAnsi="宋体"/>
          <w:sz w:val="24"/>
          <w:highlight w:val="yellow"/>
          <w:lang w:val="en-US" w:eastAsia="zh-CN"/>
        </w:rPr>
        <w:t>2024</w:t>
      </w:r>
      <w:r>
        <w:rPr>
          <w:rFonts w:hint="eastAsia" w:ascii="宋体" w:hAnsi="宋体"/>
          <w:sz w:val="24"/>
          <w:highlight w:val="yellow"/>
        </w:rPr>
        <w:t>年</w:t>
      </w:r>
      <w:r>
        <w:rPr>
          <w:rFonts w:hint="eastAsia" w:ascii="宋体" w:hAnsi="宋体"/>
          <w:sz w:val="24"/>
          <w:highlight w:val="yellow"/>
          <w:lang w:val="en-US" w:eastAsia="zh-CN"/>
        </w:rPr>
        <w:t>6</w:t>
      </w:r>
      <w:r>
        <w:rPr>
          <w:rFonts w:hint="eastAsia" w:ascii="宋体" w:hAnsi="宋体"/>
          <w:sz w:val="24"/>
          <w:highlight w:val="yellow"/>
        </w:rPr>
        <w:t>月</w:t>
      </w:r>
      <w:r>
        <w:rPr>
          <w:rFonts w:hint="eastAsia" w:ascii="宋体" w:hAnsi="宋体"/>
          <w:sz w:val="24"/>
          <w:highlight w:val="yellow"/>
          <w:lang w:val="en-US" w:eastAsia="zh-CN"/>
        </w:rPr>
        <w:t>17</w:t>
      </w:r>
      <w:r>
        <w:rPr>
          <w:rFonts w:hint="eastAsia" w:ascii="宋体" w:hAnsi="宋体"/>
          <w:sz w:val="24"/>
          <w:highlight w:val="yellow"/>
        </w:rPr>
        <w:t>日</w:t>
      </w:r>
      <w:r>
        <w:rPr>
          <w:rFonts w:hint="eastAsia" w:ascii="宋体" w:hAnsi="宋体"/>
          <w:sz w:val="24"/>
          <w:highlight w:val="yellow"/>
          <w:lang w:val="en-US" w:eastAsia="zh-CN"/>
        </w:rPr>
        <w:t>17</w:t>
      </w:r>
      <w:r>
        <w:rPr>
          <w:rFonts w:hint="eastAsia" w:ascii="宋体" w:hAnsi="宋体"/>
          <w:sz w:val="24"/>
          <w:highlight w:val="yellow"/>
        </w:rPr>
        <w:t>时</w:t>
      </w:r>
      <w:r>
        <w:rPr>
          <w:rFonts w:hint="eastAsia" w:ascii="宋体" w:hAnsi="宋体"/>
          <w:sz w:val="24"/>
          <w:highlight w:val="yellow"/>
          <w:lang w:val="en-US" w:eastAsia="zh-CN"/>
        </w:rPr>
        <w:t>00</w:t>
      </w:r>
      <w:r>
        <w:rPr>
          <w:rFonts w:hint="eastAsia" w:ascii="宋体" w:hAnsi="宋体"/>
          <w:sz w:val="24"/>
          <w:highlight w:val="yellow"/>
        </w:rPr>
        <w:t>分前向采购人提出澄清要求。</w:t>
      </w:r>
    </w:p>
    <w:p>
      <w:pPr>
        <w:pStyle w:val="7"/>
        <w:jc w:val="both"/>
      </w:pPr>
      <w:r>
        <w:rPr>
          <w:rFonts w:hint="eastAsia"/>
        </w:rPr>
        <w:t>七、发布</w:t>
      </w:r>
      <w:r>
        <w:rPr>
          <w:rFonts w:hint="eastAsia" w:ascii="黑体" w:hAnsi="黑体"/>
        </w:rPr>
        <w:t>公告的</w:t>
      </w:r>
      <w:r>
        <w:rPr>
          <w:rFonts w:hint="eastAsia"/>
        </w:rPr>
        <w:t>媒介</w:t>
      </w:r>
    </w:p>
    <w:p>
      <w:pPr>
        <w:autoSpaceDE w:val="0"/>
        <w:spacing w:line="400" w:lineRule="exact"/>
        <w:jc w:val="both"/>
        <w:rPr>
          <w:rFonts w:hint="eastAsia" w:ascii="宋体" w:hAnsi="宋体"/>
          <w:sz w:val="24"/>
        </w:rPr>
      </w:pPr>
      <w:r>
        <w:rPr>
          <w:rFonts w:hint="eastAsia" w:ascii="宋体" w:hAnsi="宋体"/>
          <w:sz w:val="24"/>
        </w:rPr>
        <w:t>本次采购公告发布的媒介: 中国招标投标公共服务平台（http：//www.cebpubservice.com）、湖南省</w:t>
      </w:r>
      <w:r>
        <w:rPr>
          <w:rFonts w:hint="eastAsia" w:ascii="宋体" w:hAnsi="宋体"/>
          <w:sz w:val="24"/>
          <w:lang w:eastAsia="zh-CN"/>
        </w:rPr>
        <w:t>港航水利</w:t>
      </w:r>
      <w:r>
        <w:rPr>
          <w:rFonts w:hint="eastAsia" w:ascii="宋体" w:hAnsi="宋体"/>
          <w:sz w:val="24"/>
        </w:rPr>
        <w:t>集团有限公司网站（http://www.hnsghsljt.com/）、                                   湖南省</w:t>
      </w:r>
      <w:r>
        <w:rPr>
          <w:rFonts w:hint="eastAsia" w:ascii="宋体" w:hAnsi="宋体"/>
          <w:sz w:val="24"/>
          <w:lang w:eastAsia="zh-CN"/>
        </w:rPr>
        <w:t>城陵矶港口</w:t>
      </w:r>
      <w:r>
        <w:rPr>
          <w:rFonts w:hint="eastAsia" w:ascii="宋体" w:hAnsi="宋体"/>
          <w:sz w:val="24"/>
        </w:rPr>
        <w:t>集团有限公司（http://www.hnsgwjt.com）上发布。</w:t>
      </w:r>
      <w:bookmarkStart w:id="3" w:name="_Toc512257471"/>
      <w:bookmarkStart w:id="4" w:name="_Toc77254104"/>
      <w:bookmarkStart w:id="5" w:name="_Toc76635692"/>
      <w:bookmarkStart w:id="6" w:name="_Toc79596547"/>
    </w:p>
    <w:p>
      <w:pPr>
        <w:pStyle w:val="7"/>
        <w:jc w:val="both"/>
      </w:pPr>
      <w:r>
        <w:rPr>
          <w:rFonts w:hint="eastAsia"/>
        </w:rPr>
        <w:t>八、监督</w:t>
      </w:r>
      <w:bookmarkEnd w:id="3"/>
      <w:bookmarkEnd w:id="4"/>
      <w:bookmarkEnd w:id="5"/>
      <w:r>
        <w:rPr>
          <w:rFonts w:hint="eastAsia"/>
        </w:rPr>
        <w:t>部门</w:t>
      </w:r>
      <w:bookmarkEnd w:id="6"/>
    </w:p>
    <w:p>
      <w:pPr>
        <w:pStyle w:val="7"/>
        <w:ind w:firstLine="240" w:firstLineChars="100"/>
        <w:jc w:val="both"/>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本次</w:t>
      </w:r>
      <w:r>
        <w:rPr>
          <w:rFonts w:hint="eastAsia" w:ascii="宋体" w:hAnsi="宋体" w:eastAsia="宋体" w:cs="宋体"/>
          <w:b w:val="0"/>
          <w:bCs w:val="0"/>
          <w:color w:val="000000"/>
          <w:sz w:val="24"/>
          <w:szCs w:val="24"/>
          <w:highlight w:val="none"/>
          <w:lang w:eastAsia="zh-CN"/>
        </w:rPr>
        <w:t>采购</w:t>
      </w:r>
      <w:r>
        <w:rPr>
          <w:rFonts w:hint="eastAsia" w:ascii="宋体" w:hAnsi="宋体" w:eastAsia="宋体" w:cs="宋体"/>
          <w:b w:val="0"/>
          <w:bCs w:val="0"/>
          <w:color w:val="000000"/>
          <w:sz w:val="24"/>
          <w:szCs w:val="24"/>
          <w:highlight w:val="none"/>
        </w:rPr>
        <w:t>监督部门为</w:t>
      </w:r>
      <w:r>
        <w:rPr>
          <w:rFonts w:hint="eastAsia" w:ascii="宋体" w:hAnsi="宋体" w:eastAsia="宋体" w:cs="宋体"/>
          <w:b w:val="0"/>
          <w:bCs w:val="0"/>
          <w:color w:val="000000"/>
          <w:sz w:val="24"/>
          <w:szCs w:val="24"/>
          <w:highlight w:val="none"/>
          <w:u w:val="single"/>
          <w:lang w:val="en-US" w:eastAsia="zh-CN"/>
        </w:rPr>
        <w:t>岳阳城陵矶新港有限公司综合管理部</w:t>
      </w:r>
      <w:r>
        <w:rPr>
          <w:rFonts w:hint="eastAsia" w:ascii="宋体" w:hAnsi="宋体" w:eastAsia="宋体" w:cs="宋体"/>
          <w:b w:val="0"/>
          <w:bCs w:val="0"/>
          <w:color w:val="000000"/>
          <w:sz w:val="24"/>
          <w:szCs w:val="24"/>
          <w:highlight w:val="none"/>
        </w:rPr>
        <w:t>，电话：</w:t>
      </w:r>
      <w:r>
        <w:rPr>
          <w:rFonts w:hint="eastAsia" w:ascii="宋体" w:hAnsi="宋体" w:eastAsia="宋体" w:cs="宋体"/>
          <w:b w:val="0"/>
          <w:bCs w:val="0"/>
          <w:sz w:val="24"/>
          <w:szCs w:val="24"/>
          <w:u w:val="single"/>
          <w:lang w:val="en-US" w:eastAsia="zh-CN"/>
        </w:rPr>
        <w:t>13873049118</w:t>
      </w:r>
      <w:r>
        <w:rPr>
          <w:rFonts w:hint="eastAsia" w:ascii="宋体" w:hAnsi="宋体" w:eastAsia="宋体" w:cs="宋体"/>
          <w:b w:val="0"/>
          <w:bCs w:val="0"/>
          <w:color w:val="000000"/>
          <w:sz w:val="24"/>
          <w:szCs w:val="24"/>
          <w:highlight w:val="none"/>
        </w:rPr>
        <w:t>。</w:t>
      </w:r>
    </w:p>
    <w:p>
      <w:pPr>
        <w:pStyle w:val="7"/>
        <w:jc w:val="both"/>
        <w:rPr>
          <w:rFonts w:ascii="Arial" w:hAnsi="Arial"/>
        </w:rPr>
      </w:pPr>
      <w:r>
        <w:rPr>
          <w:rFonts w:hint="eastAsia"/>
        </w:rPr>
        <w:t>九、</w:t>
      </w:r>
      <w:r>
        <w:rPr>
          <w:rFonts w:hint="eastAsia" w:ascii="黑体" w:hAnsi="黑体"/>
        </w:rPr>
        <w:t>联系方式</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lang w:eastAsia="zh-CN"/>
        </w:rPr>
        <w:t>采</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lang w:eastAsia="zh-CN"/>
        </w:rPr>
        <w:t>购</w:t>
      </w:r>
      <w:r>
        <w:rPr>
          <w:rFonts w:hint="eastAsia" w:ascii="宋体" w:hAnsi="宋体" w:eastAsia="宋体" w:cs="宋体"/>
          <w:color w:val="000000"/>
          <w:sz w:val="24"/>
          <w:highlight w:val="none"/>
          <w:u w:val="none"/>
        </w:rPr>
        <w:t xml:space="preserve"> 人：</w:t>
      </w:r>
      <w:r>
        <w:rPr>
          <w:rFonts w:hint="eastAsia" w:ascii="宋体" w:hAnsi="宋体" w:eastAsia="宋体" w:cs="宋体"/>
          <w:color w:val="000000"/>
          <w:sz w:val="24"/>
          <w:highlight w:val="none"/>
          <w:u w:val="none"/>
          <w:lang w:val="en-US" w:eastAsia="zh-CN"/>
        </w:rPr>
        <w:t xml:space="preserve"> 岳阳城陵矶新港有限公司</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地    址： 湖南省</w:t>
      </w:r>
      <w:r>
        <w:rPr>
          <w:rFonts w:hint="eastAsia" w:ascii="宋体" w:hAnsi="宋体" w:eastAsia="宋体" w:cs="宋体"/>
          <w:color w:val="000000"/>
          <w:sz w:val="24"/>
          <w:highlight w:val="none"/>
          <w:u w:val="none"/>
          <w:lang w:val="en-US" w:eastAsia="zh-CN"/>
        </w:rPr>
        <w:t>岳阳市云溪区沿江路新港办公楼</w:t>
      </w: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rPr>
        <w:tab/>
      </w:r>
      <w:r>
        <w:rPr>
          <w:rFonts w:hint="eastAsia" w:ascii="宋体" w:hAnsi="宋体" w:eastAsia="宋体" w:cs="宋体"/>
          <w:color w:val="000000"/>
          <w:sz w:val="24"/>
          <w:highlight w:val="none"/>
          <w:u w:val="none"/>
        </w:rPr>
        <w:t xml:space="preserve">  </w:t>
      </w:r>
    </w:p>
    <w:p>
      <w:pPr>
        <w:topLinePunct/>
        <w:adjustRightInd w:val="0"/>
        <w:snapToGrid w:val="0"/>
        <w:spacing w:line="360" w:lineRule="auto"/>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 </w:t>
      </w:r>
      <w:r>
        <w:rPr>
          <w:rFonts w:hint="eastAsia" w:ascii="宋体" w:hAnsi="宋体" w:eastAsia="宋体" w:cs="宋体"/>
          <w:color w:val="000000"/>
          <w:sz w:val="24"/>
          <w:highlight w:val="none"/>
          <w:u w:val="none"/>
          <w:lang w:val="en-US" w:eastAsia="zh-CN"/>
        </w:rPr>
        <w:t xml:space="preserve"> </w:t>
      </w:r>
      <w:r>
        <w:rPr>
          <w:rFonts w:hint="eastAsia" w:ascii="宋体" w:hAnsi="宋体" w:eastAsia="宋体" w:cs="宋体"/>
          <w:color w:val="000000"/>
          <w:sz w:val="24"/>
          <w:highlight w:val="none"/>
          <w:u w:val="none"/>
        </w:rPr>
        <w:t xml:space="preserve">邮    编： </w:t>
      </w:r>
      <w:r>
        <w:rPr>
          <w:rFonts w:hint="eastAsia" w:ascii="宋体" w:hAnsi="宋体" w:eastAsia="宋体" w:cs="宋体"/>
          <w:color w:val="000000"/>
          <w:sz w:val="24"/>
          <w:highlight w:val="none"/>
          <w:u w:val="none"/>
          <w:lang w:val="en-US" w:eastAsia="zh-CN"/>
        </w:rPr>
        <w:t>414000</w:t>
      </w:r>
      <w:r>
        <w:rPr>
          <w:rFonts w:hint="eastAsia" w:ascii="宋体" w:hAnsi="宋体" w:eastAsia="宋体" w:cs="宋体"/>
          <w:color w:val="000000"/>
          <w:sz w:val="24"/>
          <w:highlight w:val="none"/>
          <w:u w:val="none"/>
        </w:rPr>
        <w:t xml:space="preserve">         </w:t>
      </w:r>
    </w:p>
    <w:p>
      <w:pPr>
        <w:topLinePunct/>
        <w:adjustRightInd w:val="0"/>
        <w:snapToGrid w:val="0"/>
        <w:spacing w:line="360" w:lineRule="auto"/>
        <w:ind w:firstLine="240" w:firstLineChars="100"/>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联 系 人： </w:t>
      </w:r>
      <w:r>
        <w:rPr>
          <w:rFonts w:hint="eastAsia" w:ascii="宋体" w:hAnsi="宋体" w:cs="宋体"/>
          <w:color w:val="000000"/>
          <w:sz w:val="24"/>
          <w:highlight w:val="none"/>
          <w:u w:val="none"/>
          <w:lang w:val="en-US" w:eastAsia="zh-CN"/>
        </w:rPr>
        <w:t>田楝</w:t>
      </w:r>
      <w:r>
        <w:rPr>
          <w:rFonts w:hint="eastAsia" w:ascii="宋体" w:hAnsi="宋体" w:eastAsia="宋体" w:cs="宋体"/>
          <w:color w:val="000000"/>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00"/>
          <w:sz w:val="24"/>
          <w:highlight w:val="none"/>
          <w:u w:val="none"/>
        </w:rPr>
      </w:pPr>
      <w:r>
        <w:rPr>
          <w:rFonts w:hint="eastAsia" w:ascii="宋体" w:hAnsi="宋体" w:eastAsia="宋体" w:cs="宋体"/>
          <w:color w:val="000000"/>
          <w:sz w:val="24"/>
          <w:highlight w:val="none"/>
          <w:u w:val="none"/>
        </w:rPr>
        <w:t xml:space="preserve">电    话： </w:t>
      </w:r>
      <w:r>
        <w:rPr>
          <w:rFonts w:hint="eastAsia" w:ascii="宋体" w:hAnsi="宋体" w:cs="宋体"/>
          <w:color w:val="000000"/>
          <w:sz w:val="24"/>
          <w:highlight w:val="none"/>
          <w:u w:val="none"/>
          <w:lang w:val="en-US" w:eastAsia="zh-CN"/>
        </w:rPr>
        <w:t>15580068793</w:t>
      </w:r>
      <w:r>
        <w:rPr>
          <w:rFonts w:hint="eastAsia" w:ascii="宋体" w:hAnsi="宋体" w:eastAsia="宋体" w:cs="宋体"/>
          <w:color w:val="000000"/>
          <w:sz w:val="24"/>
          <w:highlight w:val="none"/>
          <w:u w:val="none"/>
        </w:rPr>
        <w:t xml:space="preserve"> </w:t>
      </w:r>
    </w:p>
    <w:p>
      <w:pPr>
        <w:autoSpaceDE w:val="0"/>
        <w:spacing w:line="400" w:lineRule="exact"/>
        <w:ind w:firstLine="240" w:firstLineChars="100"/>
        <w:jc w:val="both"/>
        <w:rPr>
          <w:rFonts w:hint="eastAsia" w:ascii="宋体" w:hAnsi="宋体" w:eastAsia="宋体" w:cs="宋体"/>
          <w:color w:val="000000"/>
          <w:sz w:val="24"/>
          <w:u w:val="none"/>
        </w:rPr>
      </w:pPr>
      <w:r>
        <w:rPr>
          <w:rFonts w:hint="eastAsia" w:ascii="宋体" w:hAnsi="宋体" w:eastAsia="宋体" w:cs="宋体"/>
          <w:color w:val="000000"/>
          <w:sz w:val="24"/>
          <w:u w:val="none"/>
        </w:rPr>
        <w:t xml:space="preserve">传    真: </w:t>
      </w:r>
      <w:r>
        <w:rPr>
          <w:rFonts w:hint="eastAsia" w:ascii="宋体" w:hAnsi="宋体" w:eastAsia="宋体" w:cs="宋体"/>
          <w:color w:val="000000"/>
          <w:sz w:val="24"/>
          <w:u w:val="none"/>
          <w:lang w:val="en-US" w:eastAsia="zh-CN"/>
        </w:rPr>
        <w:t xml:space="preserve"> 8422000</w:t>
      </w:r>
      <w:r>
        <w:rPr>
          <w:rFonts w:hint="eastAsia" w:ascii="宋体" w:hAnsi="宋体" w:eastAsia="宋体" w:cs="宋体"/>
          <w:color w:val="000000"/>
          <w:sz w:val="24"/>
          <w:u w:val="none"/>
        </w:rPr>
        <w:t xml:space="preserve">                     </w:t>
      </w:r>
      <w:r>
        <w:rPr>
          <w:rFonts w:hint="eastAsia" w:ascii="宋体" w:hAnsi="宋体" w:eastAsia="宋体" w:cs="宋体"/>
          <w:color w:val="000000"/>
          <w:sz w:val="24"/>
          <w:u w:val="none"/>
          <w:lang w:val="en-US" w:eastAsia="zh-CN"/>
        </w:rPr>
        <w:t xml:space="preserve">   </w:t>
      </w:r>
    </w:p>
    <w:p>
      <w:pPr>
        <w:autoSpaceDE w:val="0"/>
        <w:spacing w:line="400" w:lineRule="exact"/>
        <w:ind w:firstLine="240" w:firstLineChars="100"/>
        <w:jc w:val="both"/>
        <w:rPr>
          <w:rFonts w:hint="eastAsia" w:ascii="宋体" w:hAnsi="宋体" w:eastAsia="宋体" w:cs="宋体"/>
          <w:color w:val="000000"/>
          <w:sz w:val="24"/>
          <w:u w:val="none"/>
        </w:rPr>
      </w:pPr>
      <w:r>
        <w:rPr>
          <w:rFonts w:hint="eastAsia" w:ascii="宋体" w:hAnsi="宋体" w:eastAsia="宋体" w:cs="宋体"/>
          <w:color w:val="000000"/>
          <w:sz w:val="24"/>
          <w:u w:val="none"/>
        </w:rPr>
        <w:t xml:space="preserve">电子邮箱: </w:t>
      </w:r>
      <w:r>
        <w:rPr>
          <w:rFonts w:hint="eastAsia" w:ascii="宋体" w:hAnsi="宋体" w:eastAsia="宋体" w:cs="宋体"/>
          <w:color w:val="000000"/>
          <w:sz w:val="24"/>
          <w:u w:val="none"/>
          <w:lang w:val="en-US" w:eastAsia="zh-CN"/>
        </w:rPr>
        <w:t xml:space="preserve"> </w:t>
      </w:r>
      <w:r>
        <w:rPr>
          <w:rFonts w:hint="eastAsia" w:ascii="宋体" w:hAnsi="宋体" w:cs="宋体"/>
          <w:color w:val="000000"/>
          <w:sz w:val="24"/>
          <w:u w:val="none"/>
          <w:lang w:val="en-US" w:eastAsia="zh-CN"/>
        </w:rPr>
        <w:t>409060074</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val="en-US" w:eastAsia="zh-CN"/>
        </w:rPr>
        <w:t>qq</w:t>
      </w:r>
      <w:r>
        <w:rPr>
          <w:rFonts w:hint="eastAsia" w:ascii="宋体" w:hAnsi="宋体" w:eastAsia="宋体" w:cs="宋体"/>
          <w:color w:val="000000"/>
          <w:sz w:val="24"/>
          <w:szCs w:val="24"/>
          <w:u w:val="none"/>
        </w:rPr>
        <w:t>.com</w:t>
      </w:r>
      <w:r>
        <w:rPr>
          <w:rFonts w:hint="eastAsia" w:ascii="宋体" w:hAnsi="宋体" w:eastAsia="宋体" w:cs="宋体"/>
          <w:color w:val="000000"/>
          <w:sz w:val="24"/>
          <w:u w:val="none"/>
        </w:rPr>
        <w:t xml:space="preserve">            </w:t>
      </w:r>
      <w:r>
        <w:rPr>
          <w:rFonts w:hint="eastAsia" w:ascii="宋体" w:hAnsi="宋体" w:eastAsia="宋体" w:cs="宋体"/>
          <w:color w:val="000000"/>
          <w:sz w:val="24"/>
          <w:u w:val="none"/>
          <w:lang w:val="en-US" w:eastAsia="zh-CN"/>
        </w:rPr>
        <w:t xml:space="preserve">   </w:t>
      </w:r>
    </w:p>
    <w:p>
      <w:pPr>
        <w:pStyle w:val="7"/>
        <w:jc w:val="both"/>
      </w:pPr>
      <w:r>
        <w:rPr>
          <w:rFonts w:hint="eastAsia"/>
        </w:rPr>
        <w:t>十、附件下载</w:t>
      </w:r>
    </w:p>
    <w:p>
      <w:pPr>
        <w:spacing w:line="240" w:lineRule="auto"/>
        <w:jc w:val="center"/>
        <w:rPr>
          <w:rFonts w:ascii="黑体" w:hAnsi="黑体" w:eastAsia="黑体"/>
          <w:sz w:val="32"/>
          <w:szCs w:val="32"/>
        </w:rPr>
      </w:pPr>
      <w:bookmarkStart w:id="7" w:name="_Toc234832861"/>
      <w:bookmarkStart w:id="8" w:name="_Toc517787494"/>
    </w:p>
    <w:p>
      <w:pPr>
        <w:spacing w:line="240" w:lineRule="auto"/>
        <w:jc w:val="center"/>
        <w:rPr>
          <w:rFonts w:ascii="黑体" w:hAnsi="黑体" w:eastAsia="黑体"/>
          <w:sz w:val="32"/>
          <w:szCs w:val="32"/>
        </w:rPr>
      </w:pPr>
    </w:p>
    <w:p>
      <w:pPr>
        <w:spacing w:line="240" w:lineRule="auto"/>
        <w:ind w:firstLine="3200" w:firstLineChars="1000"/>
        <w:jc w:val="both"/>
        <w:outlineLvl w:val="0"/>
        <w:rPr>
          <w:rFonts w:ascii="黑体" w:hAnsi="黑体" w:eastAsia="黑体"/>
          <w:sz w:val="32"/>
          <w:szCs w:val="32"/>
        </w:rPr>
      </w:pPr>
      <w:bookmarkStart w:id="9" w:name="_Toc6132"/>
      <w:r>
        <w:rPr>
          <w:rFonts w:hint="eastAsia" w:ascii="黑体" w:hAnsi="黑体" w:eastAsia="黑体"/>
          <w:sz w:val="32"/>
          <w:szCs w:val="32"/>
        </w:rPr>
        <w:t>第二章  供应商须知</w:t>
      </w:r>
      <w:bookmarkEnd w:id="7"/>
      <w:bookmarkEnd w:id="8"/>
      <w:bookmarkEnd w:id="9"/>
    </w:p>
    <w:p>
      <w:pPr>
        <w:pStyle w:val="4"/>
        <w:spacing w:before="240" w:after="240" w:line="600" w:lineRule="exact"/>
        <w:jc w:val="center"/>
        <w:rPr>
          <w:rFonts w:ascii="仿宋" w:hAnsi="仿宋" w:eastAsia="仿宋" w:cs="仿宋"/>
          <w:sz w:val="30"/>
          <w:szCs w:val="30"/>
        </w:rPr>
      </w:pPr>
      <w:bookmarkStart w:id="10" w:name="_Toc29571"/>
      <w:bookmarkStart w:id="11" w:name="_Toc517787495"/>
      <w:bookmarkStart w:id="12" w:name="_Toc234832862"/>
      <w:r>
        <w:rPr>
          <w:rFonts w:hint="eastAsia" w:ascii="仿宋" w:hAnsi="仿宋" w:eastAsia="仿宋" w:cs="仿宋"/>
          <w:sz w:val="30"/>
          <w:szCs w:val="30"/>
        </w:rPr>
        <w:t>供应商须知前附表</w:t>
      </w:r>
      <w:bookmarkEnd w:id="10"/>
      <w:bookmarkEnd w:id="11"/>
      <w:bookmarkEnd w:id="12"/>
    </w:p>
    <w:tbl>
      <w:tblPr>
        <w:tblStyle w:val="43"/>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不得分包的内容：不允许分包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允许偏差的范围：不允许重大偏差</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允许细微偏差：</w:t>
            </w:r>
            <w:r>
              <w:rPr>
                <w:rFonts w:hint="eastAsia" w:cs="仿宋" w:asciiTheme="minorEastAsia" w:hAnsiTheme="minorEastAsia" w:eastAsiaTheme="minorEastAsia"/>
                <w:sz w:val="24"/>
                <w:lang w:val="en-US" w:eastAsia="zh-CN"/>
              </w:rPr>
              <w:t xml:space="preserve"> 3项</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szCs w:val="24"/>
              </w:rPr>
              <w:t>资料名称：</w:t>
            </w:r>
            <w:r>
              <w:rPr>
                <w:rFonts w:hint="eastAsia" w:cs="仿宋" w:asciiTheme="minorEastAsia" w:hAnsiTheme="minorEastAsia" w:eastAsiaTheme="minorEastAsia"/>
                <w:sz w:val="24"/>
                <w:szCs w:val="24"/>
                <w:lang w:eastAsia="zh-CN"/>
              </w:rPr>
              <w:t>采购文件的澄清、解释</w:t>
            </w: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highlight w:val="yellow"/>
              </w:rPr>
            </w:pPr>
            <w:r>
              <w:rPr>
                <w:rFonts w:hint="eastAsia" w:cs="仿宋" w:asciiTheme="minorEastAsia" w:hAnsiTheme="minorEastAsia" w:eastAsiaTheme="minorEastAsia"/>
                <w:sz w:val="24"/>
                <w:highlight w:val="yellow"/>
              </w:rPr>
              <w:t>截止时间：202</w:t>
            </w:r>
            <w:r>
              <w:rPr>
                <w:rFonts w:hint="eastAsia" w:cs="仿宋" w:asciiTheme="minorEastAsia" w:hAnsiTheme="minorEastAsia" w:eastAsiaTheme="minorEastAsia"/>
                <w:sz w:val="24"/>
                <w:highlight w:val="yellow"/>
                <w:lang w:val="en-US" w:eastAsia="zh-CN"/>
              </w:rPr>
              <w:t>4</w:t>
            </w:r>
            <w:r>
              <w:rPr>
                <w:rFonts w:hint="eastAsia" w:cs="仿宋" w:asciiTheme="minorEastAsia" w:hAnsiTheme="minorEastAsia" w:eastAsiaTheme="minorEastAsia"/>
                <w:sz w:val="24"/>
                <w:highlight w:val="yellow"/>
              </w:rPr>
              <w:t>年</w:t>
            </w:r>
            <w:r>
              <w:rPr>
                <w:rFonts w:hint="eastAsia" w:cs="仿宋" w:asciiTheme="minorEastAsia" w:hAnsiTheme="minorEastAsia" w:eastAsiaTheme="minorEastAsia"/>
                <w:sz w:val="24"/>
                <w:highlight w:val="yellow"/>
                <w:lang w:val="en-US" w:eastAsia="zh-CN"/>
              </w:rPr>
              <w:t>06</w:t>
            </w:r>
            <w:r>
              <w:rPr>
                <w:rFonts w:hint="eastAsia" w:cs="仿宋" w:asciiTheme="minorEastAsia" w:hAnsiTheme="minorEastAsia" w:eastAsiaTheme="minorEastAsia"/>
                <w:sz w:val="24"/>
                <w:highlight w:val="yellow"/>
              </w:rPr>
              <w:t xml:space="preserve"> 月 </w:t>
            </w:r>
            <w:r>
              <w:rPr>
                <w:rFonts w:hint="eastAsia" w:cs="仿宋" w:asciiTheme="minorEastAsia" w:hAnsiTheme="minorEastAsia" w:eastAsiaTheme="minorEastAsia"/>
                <w:sz w:val="24"/>
                <w:highlight w:val="yellow"/>
                <w:lang w:val="en-US" w:eastAsia="zh-CN"/>
              </w:rPr>
              <w:t xml:space="preserve">17 </w:t>
            </w:r>
            <w:r>
              <w:rPr>
                <w:rFonts w:hint="eastAsia" w:cs="仿宋" w:asciiTheme="minorEastAsia" w:hAnsiTheme="minorEastAsia" w:eastAsiaTheme="minorEastAsia"/>
                <w:sz w:val="24"/>
                <w:highlight w:val="yellow"/>
              </w:rPr>
              <w:t xml:space="preserve">日 </w:t>
            </w:r>
            <w:r>
              <w:rPr>
                <w:rFonts w:hint="eastAsia" w:cs="仿宋" w:asciiTheme="minorEastAsia" w:hAnsiTheme="minorEastAsia" w:eastAsiaTheme="minorEastAsia"/>
                <w:sz w:val="24"/>
                <w:highlight w:val="yellow"/>
                <w:lang w:val="en-US" w:eastAsia="zh-CN"/>
              </w:rPr>
              <w:t>17</w:t>
            </w:r>
            <w:r>
              <w:rPr>
                <w:rFonts w:hint="eastAsia" w:cs="仿宋" w:asciiTheme="minorEastAsia" w:hAnsiTheme="minorEastAsia" w:eastAsiaTheme="minorEastAsia"/>
                <w:sz w:val="24"/>
                <w:highlight w:val="yellow"/>
              </w:rPr>
              <w:t>时00分前。</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确认的最晚时间：收到补充文件24小时内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确定的方式：收到纸质版确认书为准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资料名称：</w:t>
            </w:r>
            <w:r>
              <w:rPr>
                <w:rFonts w:hint="eastAsia" w:cs="仿宋" w:asciiTheme="minorEastAsia" w:hAnsiTheme="minorEastAsia" w:eastAsiaTheme="minorEastAsia"/>
                <w:sz w:val="24"/>
                <w:lang w:eastAsia="zh-CN"/>
              </w:rPr>
              <w:t>响应文件的澄清、解释</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☑有，</w:t>
            </w:r>
            <w:r>
              <w:rPr>
                <w:rFonts w:hint="eastAsia" w:cs="仿宋" w:asciiTheme="minorEastAsia" w:hAnsiTheme="minorEastAsia" w:eastAsiaTheme="minorEastAsia"/>
                <w:sz w:val="24"/>
                <w:lang w:eastAsia="zh-CN"/>
              </w:rPr>
              <w:t>玖</w:t>
            </w:r>
            <w:r>
              <w:rPr>
                <w:rFonts w:hint="eastAsia" w:cs="仿宋" w:asciiTheme="minorEastAsia" w:hAnsiTheme="minorEastAsia" w:eastAsiaTheme="minorEastAsia"/>
                <w:sz w:val="24"/>
                <w:highlight w:val="none"/>
                <w:lang w:eastAsia="zh-CN"/>
              </w:rPr>
              <w:t>拾捌万</w:t>
            </w:r>
            <w:r>
              <w:rPr>
                <w:rFonts w:hint="eastAsia" w:ascii="宋体" w:hAnsi="宋体" w:eastAsia="宋体" w:cs="宋体"/>
                <w:b w:val="0"/>
                <w:bCs w:val="0"/>
                <w:sz w:val="24"/>
                <w:highlight w:val="none"/>
                <w:lang w:val="en-US" w:eastAsia="zh-CN"/>
              </w:rPr>
              <w:t>元整</w:t>
            </w:r>
            <w:r>
              <w:rPr>
                <w:rFonts w:hint="eastAsia" w:ascii="宋体" w:hAnsi="宋体"/>
                <w:sz w:val="24"/>
                <w:highlight w:val="none"/>
              </w:rPr>
              <w:t>（￥</w:t>
            </w:r>
            <w:r>
              <w:rPr>
                <w:rFonts w:hint="eastAsia" w:ascii="宋体" w:hAnsi="宋体"/>
                <w:sz w:val="24"/>
                <w:highlight w:val="none"/>
                <w:lang w:val="en-US" w:eastAsia="zh-CN"/>
              </w:rPr>
              <w:t>980，0</w:t>
            </w:r>
            <w:r>
              <w:rPr>
                <w:rFonts w:hint="eastAsia" w:ascii="宋体" w:hAnsi="宋体"/>
                <w:sz w:val="24"/>
                <w:highlight w:val="none"/>
              </w:rPr>
              <w:t>00.00）含</w:t>
            </w:r>
            <w:r>
              <w:rPr>
                <w:rFonts w:hint="eastAsia" w:ascii="宋体" w:hAnsi="宋体"/>
                <w:sz w:val="24"/>
                <w:highlight w:val="none"/>
                <w:lang w:val="en-US" w:eastAsia="zh-CN"/>
              </w:rPr>
              <w:t>9</w:t>
            </w:r>
            <w:r>
              <w:rPr>
                <w:rFonts w:hint="eastAsia" w:ascii="宋体" w:hAnsi="宋体"/>
                <w:sz w:val="24"/>
                <w:highlight w:val="none"/>
              </w:rPr>
              <w:t>%增值税</w:t>
            </w:r>
            <w:r>
              <w:rPr>
                <w:rFonts w:hint="eastAsia" w:ascii="宋体" w:hAnsi="宋体"/>
                <w:sz w:val="24"/>
                <w:highlight w:val="none"/>
                <w:lang w:eastAsia="zh-CN"/>
              </w:rPr>
              <w:t>，</w:t>
            </w:r>
            <w:r>
              <w:rPr>
                <w:rFonts w:hint="eastAsia" w:ascii="宋体" w:hAnsi="宋体"/>
                <w:sz w:val="24"/>
                <w:highlight w:val="none"/>
                <w:lang w:val="en-US" w:eastAsia="zh-CN"/>
              </w:rPr>
              <w:t>如供应商提供其他税率，采购人将按9%税率调整报价后参与排序</w:t>
            </w:r>
            <w:r>
              <w:rPr>
                <w:rFonts w:hint="eastAsia" w:ascii="宋体" w:hAnsi="宋体"/>
                <w:sz w:val="24"/>
                <w:highlight w:val="none"/>
              </w:rPr>
              <w:t>。</w:t>
            </w:r>
          </w:p>
        </w:tc>
      </w:tr>
      <w:tr>
        <w:tblPrEx>
          <w:tblCellMar>
            <w:top w:w="0" w:type="dxa"/>
            <w:left w:w="108" w:type="dxa"/>
            <w:bottom w:w="0" w:type="dxa"/>
            <w:right w:w="108" w:type="dxa"/>
          </w:tblCellMar>
        </w:tblPrEx>
        <w:trPr>
          <w:trHeight w:val="7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报价唯一</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sz w:val="24"/>
              </w:rPr>
            </w:pPr>
            <w:r>
              <w:rPr>
                <w:rStyle w:val="46"/>
                <w:rFonts w:hint="eastAsia" w:asciiTheme="minorEastAsia" w:hAnsiTheme="minorEastAsia" w:eastAsiaTheme="minorEastAsia"/>
                <w:b w:val="0"/>
                <w:sz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440" w:lineRule="exact"/>
              <w:rPr>
                <w:sz w:val="24"/>
              </w:rPr>
            </w:pPr>
            <w:r>
              <w:rPr>
                <w:rFonts w:hint="eastAsia" w:cs="仿宋" w:asciiTheme="minorEastAsia" w:hAnsiTheme="minorEastAsia" w:eastAsiaTheme="minorEastAsia"/>
                <w:sz w:val="24"/>
              </w:rPr>
              <w:t>☑</w:t>
            </w:r>
            <w:r>
              <w:rPr>
                <w:rFonts w:hint="eastAsia"/>
                <w:sz w:val="24"/>
              </w:rPr>
              <w:t>适用。在中华人民共和国合法注册、具有独立法人资格，具有有效的营业执照，符合本次招标采购项目的营业范围，有能力完成本次招标采购项目及所要求的服务；需提供法人营业执照(或事业单位法人证书)副本（全本）的复印件（并加盖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Style w:val="46"/>
                <w:rFonts w:hint="eastAsia" w:asciiTheme="minorEastAsia" w:hAnsiTheme="minorEastAsia" w:eastAsiaTheme="minorEastAsia"/>
                <w:b w:val="0"/>
                <w:sz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cs="宋体" w:asciiTheme="minorEastAsia" w:hAnsiTheme="minorEastAsia" w:eastAsiaTheme="minorEastAsia"/>
                <w:color w:val="auto"/>
                <w:sz w:val="24"/>
                <w:lang w:eastAsia="zh-CN"/>
              </w:rPr>
            </w:pPr>
            <w:r>
              <w:rPr>
                <w:rFonts w:hint="eastAsia" w:cs="仿宋" w:asciiTheme="minorEastAsia" w:hAnsiTheme="minorEastAsia" w:eastAsiaTheme="minorEastAsia"/>
                <w:color w:val="auto"/>
                <w:sz w:val="24"/>
              </w:rPr>
              <w:t>☑</w:t>
            </w:r>
            <w:r>
              <w:rPr>
                <w:rFonts w:hint="eastAsia" w:cs="宋体" w:asciiTheme="minorEastAsia" w:hAnsiTheme="minorEastAsia" w:eastAsiaTheme="minorEastAsia"/>
                <w:color w:val="auto"/>
                <w:sz w:val="24"/>
              </w:rPr>
              <w:t>适用。</w:t>
            </w:r>
          </w:p>
          <w:p>
            <w:pPr>
              <w:numPr>
                <w:ilvl w:val="0"/>
                <w:numId w:val="0"/>
              </w:numPr>
              <w:spacing w:line="288" w:lineRule="auto"/>
              <w:jc w:val="both"/>
              <w:rPr>
                <w:rFonts w:cs="宋体" w:asciiTheme="minorEastAsia" w:hAnsiTheme="minorEastAsia"/>
                <w:sz w:val="24"/>
              </w:rPr>
            </w:pPr>
            <w:r>
              <w:rPr>
                <w:rFonts w:hint="eastAsia" w:cs="宋体" w:asciiTheme="minorEastAsia" w:hAnsiTheme="minorEastAsia" w:eastAsiaTheme="minorEastAsia"/>
                <w:color w:val="000000"/>
                <w:sz w:val="24"/>
                <w:highlight w:val="none"/>
                <w:shd w:val="clear" w:color="auto" w:fill="auto"/>
              </w:rPr>
              <w:t>供应商</w:t>
            </w:r>
            <w:r>
              <w:rPr>
                <w:rFonts w:hint="eastAsia" w:ascii="宋体" w:hAnsi="宋体" w:eastAsia="宋体" w:cs="宋体"/>
                <w:color w:val="000000"/>
                <w:sz w:val="24"/>
                <w:szCs w:val="24"/>
                <w:highlight w:val="none"/>
              </w:rPr>
              <w:t>必须具备省级及以上住房和城乡建设部门发的特种工程(结构补强)专业承包不分等级资质证书和安全生产许可证，证书均在有效期内。</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46"/>
                <w:rFonts w:asciiTheme="minorEastAsia" w:hAnsiTheme="minorEastAsia" w:eastAsiaTheme="minorEastAsia"/>
                <w:b w:val="0"/>
                <w:sz w:val="24"/>
              </w:rPr>
            </w:pPr>
            <w:r>
              <w:rPr>
                <w:rStyle w:val="46"/>
                <w:rFonts w:hint="eastAsia" w:asciiTheme="minorEastAsia" w:hAnsiTheme="minorEastAsia" w:eastAsiaTheme="minorEastAsia"/>
                <w:b w:val="0"/>
                <w:sz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sz w:val="24"/>
              </w:rPr>
              <w:t>☑适用。</w:t>
            </w:r>
            <w:r>
              <w:rPr>
                <w:rFonts w:hint="eastAsia" w:ascii="宋体" w:hAnsi="宋体" w:eastAsia="宋体" w:cs="宋体"/>
                <w:color w:val="000000"/>
                <w:sz w:val="24"/>
                <w:szCs w:val="24"/>
                <w:shd w:val="clear" w:color="auto" w:fill="auto"/>
              </w:rPr>
              <w:t>供应商</w:t>
            </w:r>
            <w:r>
              <w:rPr>
                <w:rFonts w:hint="eastAsia" w:ascii="宋体" w:hAnsi="宋体" w:eastAsia="宋体" w:cs="宋体"/>
                <w:b w:val="0"/>
                <w:bCs/>
                <w:color w:val="000000"/>
                <w:sz w:val="24"/>
                <w:szCs w:val="24"/>
                <w:highlight w:val="none"/>
              </w:rPr>
              <w:t>近</w:t>
            </w: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rPr>
              <w:t>年（20</w:t>
            </w:r>
            <w:r>
              <w:rPr>
                <w:rFonts w:hint="eastAsia" w:ascii="宋体" w:hAnsi="宋体" w:eastAsia="宋体" w:cs="宋体"/>
                <w:b w:val="0"/>
                <w:bCs/>
                <w:color w:val="000000"/>
                <w:sz w:val="24"/>
                <w:szCs w:val="24"/>
                <w:highlight w:val="none"/>
                <w:lang w:val="en-US" w:eastAsia="zh-CN"/>
              </w:rPr>
              <w:t>21</w:t>
            </w:r>
            <w:r>
              <w:rPr>
                <w:rFonts w:hint="eastAsia" w:ascii="宋体" w:hAnsi="宋体" w:eastAsia="宋体" w:cs="宋体"/>
                <w:b w:val="0"/>
                <w:bCs/>
                <w:color w:val="000000"/>
                <w:sz w:val="24"/>
                <w:szCs w:val="24"/>
                <w:highlight w:val="none"/>
              </w:rPr>
              <w:t>年</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rPr>
              <w:t>月-2024年</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rPr>
              <w:t>月）</w:t>
            </w:r>
            <w:r>
              <w:rPr>
                <w:rFonts w:hint="eastAsia" w:ascii="宋体" w:hAnsi="宋体" w:eastAsia="宋体" w:cs="宋体"/>
                <w:color w:val="000000"/>
                <w:sz w:val="24"/>
                <w:szCs w:val="24"/>
                <w:highlight w:val="none"/>
                <w:lang w:val="en-US" w:eastAsia="zh-CN"/>
              </w:rPr>
              <w:t>至少承担过</w:t>
            </w:r>
            <w:r>
              <w:rPr>
                <w:rFonts w:hint="eastAsia" w:ascii="宋体" w:hAnsi="宋体" w:eastAsia="宋体" w:cs="宋体"/>
                <w:b w:val="0"/>
                <w:bCs w:val="0"/>
                <w:color w:val="000000"/>
                <w:sz w:val="24"/>
                <w:szCs w:val="24"/>
                <w:highlight w:val="none"/>
                <w:lang w:val="en-US" w:eastAsia="zh-CN"/>
              </w:rPr>
              <w:t>1个</w:t>
            </w:r>
            <w:r>
              <w:rPr>
                <w:rFonts w:hint="eastAsia" w:ascii="宋体" w:hAnsi="宋体" w:eastAsia="宋体" w:cs="宋体"/>
                <w:color w:val="000000"/>
                <w:sz w:val="24"/>
                <w:szCs w:val="24"/>
                <w:highlight w:val="none"/>
                <w:lang w:val="en-US" w:eastAsia="zh-CN"/>
              </w:rPr>
              <w:t>合同金额不低于</w:t>
            </w:r>
            <w:r>
              <w:rPr>
                <w:rFonts w:hint="eastAsia" w:ascii="宋体" w:hAnsi="宋体" w:eastAsia="宋体" w:cs="宋体"/>
                <w:b w:val="0"/>
                <w:bCs/>
                <w:color w:val="000000"/>
                <w:sz w:val="24"/>
                <w:szCs w:val="24"/>
                <w:highlight w:val="none"/>
                <w:lang w:val="en-US" w:eastAsia="zh-CN"/>
              </w:rPr>
              <w:t>75万的</w:t>
            </w:r>
            <w:r>
              <w:rPr>
                <w:rFonts w:hint="eastAsia" w:ascii="宋体" w:hAnsi="宋体" w:eastAsia="宋体" w:cs="宋体"/>
                <w:b w:val="0"/>
                <w:bCs/>
                <w:color w:val="000000"/>
                <w:sz w:val="24"/>
                <w:szCs w:val="24"/>
                <w:highlight w:val="none"/>
              </w:rPr>
              <w:t>加固施工工程业绩（以合同签订日期为准），需提供加固施工合同的清晰复印件。</w:t>
            </w:r>
            <w:r>
              <w:rPr>
                <w:rFonts w:hint="eastAsia" w:ascii="宋体" w:hAnsi="宋体" w:eastAsia="宋体" w:cs="宋体"/>
                <w:sz w:val="24"/>
                <w:szCs w:val="24"/>
              </w:rPr>
              <w:t xml:space="preserve">   </w:t>
            </w:r>
            <w:r>
              <w:rPr>
                <w:rFonts w:hint="eastAsia" w:cs="宋体"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pStyle w:val="18"/>
              <w:spacing w:after="0" w:line="312" w:lineRule="auto"/>
              <w:ind w:left="0" w:leftChars="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☑适用。供应商应提供相关信誉情况的证明材料，  包括：</w:t>
            </w:r>
          </w:p>
          <w:p>
            <w:pPr>
              <w:pStyle w:val="18"/>
              <w:spacing w:after="0" w:line="312" w:lineRule="auto"/>
              <w:ind w:left="0" w:leftChars="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1．全国企业信用信息公示系统中未列入严重违法失信企业名单的网页截图，加盖公章。</w:t>
            </w:r>
          </w:p>
          <w:p>
            <w:pPr>
              <w:spacing w:line="288" w:lineRule="auto"/>
              <w:jc w:val="both"/>
              <w:rPr>
                <w:rFonts w:cs="仿宋" w:asciiTheme="minorEastAsia" w:hAnsiTheme="minorEastAsia" w:eastAsiaTheme="minorEastAsia"/>
                <w:color w:val="auto"/>
                <w:sz w:val="24"/>
              </w:rPr>
            </w:pPr>
            <w:r>
              <w:rPr>
                <w:rFonts w:hint="eastAsia" w:cs="宋体" w:asciiTheme="minorEastAsia" w:hAnsiTheme="minorEastAsia" w:eastAsiaTheme="minorEastAsia"/>
                <w:color w:val="auto"/>
                <w:sz w:val="24"/>
              </w:rPr>
              <w:t>2．被最高人民法院在“信用中国”网站（www.creditchina.gov.cn）中未列入失信被执行人名单的网页截图或报告，加盖公章。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spacing w:line="288" w:lineRule="auto"/>
              <w:jc w:val="both"/>
              <w:rPr>
                <w:rFonts w:hint="eastAsia" w:cs="宋体" w:asciiTheme="minorEastAsia" w:hAnsiTheme="minorEastAsia" w:eastAsiaTheme="minorEastAsia"/>
                <w:color w:val="000000"/>
                <w:sz w:val="24"/>
                <w:highlight w:val="none"/>
                <w:shd w:val="clear" w:color="auto" w:fill="auto"/>
              </w:rPr>
            </w:pPr>
            <w:r>
              <w:rPr>
                <w:rFonts w:hint="eastAsia" w:cs="宋体" w:asciiTheme="minorEastAsia" w:hAnsiTheme="minorEastAsia" w:eastAsiaTheme="minorEastAsia"/>
                <w:color w:val="auto"/>
                <w:sz w:val="24"/>
              </w:rPr>
              <w:sym w:font="Wingdings 2" w:char="0052"/>
            </w:r>
            <w:r>
              <w:rPr>
                <w:rFonts w:hint="eastAsia" w:cs="宋体" w:asciiTheme="minorEastAsia" w:hAnsiTheme="minorEastAsia" w:eastAsiaTheme="minorEastAsia"/>
                <w:color w:val="auto"/>
                <w:sz w:val="24"/>
              </w:rPr>
              <w:t>适用。</w:t>
            </w:r>
            <w:r>
              <w:rPr>
                <w:rFonts w:hint="eastAsia" w:cs="宋体" w:asciiTheme="minorEastAsia" w:hAnsiTheme="minorEastAsia" w:eastAsiaTheme="minorEastAsia"/>
                <w:color w:val="000000"/>
                <w:sz w:val="24"/>
                <w:highlight w:val="none"/>
                <w:shd w:val="clear" w:color="auto" w:fill="auto"/>
              </w:rPr>
              <w:t>供应商应提供拟委任的主要人员汇总表和主要人员简历表（格式见第六章“响应文件格式”七、资格审查资料（四）拟委任的主要人员汇总表和（五）主要人员简历表）。</w:t>
            </w:r>
          </w:p>
          <w:p>
            <w:pPr>
              <w:widowControl w:val="0"/>
              <w:spacing w:line="288" w:lineRule="auto"/>
              <w:jc w:val="both"/>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项目负责</w:t>
            </w:r>
            <w:r>
              <w:rPr>
                <w:rFonts w:hint="eastAsia" w:ascii="宋体" w:hAnsi="宋体" w:eastAsia="宋体" w:cs="宋体"/>
                <w:b w:val="0"/>
                <w:bCs/>
                <w:color w:val="000000"/>
                <w:sz w:val="24"/>
                <w:szCs w:val="24"/>
                <w:highlight w:val="none"/>
                <w:lang w:val="en-US" w:eastAsia="zh-CN"/>
              </w:rPr>
              <w:t>1人</w:t>
            </w:r>
            <w:r>
              <w:rPr>
                <w:rFonts w:hint="eastAsia" w:ascii="宋体" w:hAnsi="宋体" w:eastAsia="宋体" w:cs="宋体"/>
                <w:b w:val="0"/>
                <w:bCs/>
                <w:color w:val="000000"/>
                <w:sz w:val="24"/>
                <w:szCs w:val="24"/>
                <w:highlight w:val="none"/>
                <w:lang w:eastAsia="zh-CN"/>
              </w:rPr>
              <w:t>：具备建筑工程专业贰级及以上注册建造师执业资格，具备项目负责人安全生产考核合格证书；</w:t>
            </w:r>
          </w:p>
          <w:p>
            <w:pPr>
              <w:widowControl w:val="0"/>
              <w:spacing w:line="288" w:lineRule="auto"/>
              <w:jc w:val="both"/>
              <w:rPr>
                <w:rFonts w:cs="宋体" w:asciiTheme="minorEastAsia" w:hAnsiTheme="minorEastAsia" w:eastAsiaTheme="minorEastAsia"/>
                <w:color w:val="auto"/>
                <w:sz w:val="24"/>
              </w:rPr>
            </w:pPr>
            <w:r>
              <w:rPr>
                <w:rFonts w:hint="eastAsia" w:ascii="宋体" w:hAnsi="宋体" w:eastAsia="宋体" w:cs="宋体"/>
                <w:b w:val="0"/>
                <w:bCs/>
                <w:color w:val="000000"/>
                <w:sz w:val="24"/>
                <w:szCs w:val="24"/>
                <w:highlight w:val="none"/>
                <w:lang w:eastAsia="zh-CN"/>
              </w:rPr>
              <w:t>项目</w:t>
            </w:r>
            <w:r>
              <w:rPr>
                <w:rFonts w:hint="eastAsia" w:ascii="宋体" w:hAnsi="宋体" w:eastAsia="宋体" w:cs="宋体"/>
                <w:b w:val="0"/>
                <w:bCs/>
                <w:color w:val="000000"/>
                <w:sz w:val="24"/>
                <w:szCs w:val="24"/>
                <w:highlight w:val="none"/>
              </w:rPr>
              <w:t>技术负责1人：具备建筑工程专业中级及以上职称资格；</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sym w:font="Wingdings 2" w:char="0052"/>
            </w:r>
            <w:r>
              <w:rPr>
                <w:rFonts w:hint="eastAsia" w:cs="宋体" w:asciiTheme="minorEastAsia" w:hAnsiTheme="minorEastAsia" w:eastAsiaTheme="minorEastAsia"/>
                <w:sz w:val="24"/>
              </w:rPr>
              <w:t>不需要提供证明材料</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提供纸质版响应文件三份：一正两副</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 xml:space="preserve">胶装         </w:t>
            </w:r>
          </w:p>
          <w:p>
            <w:pPr>
              <w:spacing w:line="288"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不要求提供电子版。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适用，供应商名称</w:t>
            </w:r>
            <w:r>
              <w:rPr>
                <w:rFonts w:hint="eastAsia" w:cs="宋体" w:asciiTheme="minorEastAsia" w:hAnsiTheme="minorEastAsia" w:eastAsiaTheme="minorEastAsia"/>
                <w:sz w:val="24"/>
                <w:lang w:eastAsia="zh-CN"/>
              </w:rPr>
              <w:t>：（盖章）</w:t>
            </w:r>
            <w:r>
              <w:rPr>
                <w:rFonts w:hint="eastAsia" w:cs="Times New Roman"/>
                <w:kern w:val="2"/>
                <w:sz w:val="24"/>
                <w:szCs w:val="24"/>
              </w:rPr>
              <w:t>岳阳城陵矶</w:t>
            </w:r>
            <w:r>
              <w:rPr>
                <w:rFonts w:hint="eastAsia" w:cs="Times New Roman"/>
                <w:kern w:val="2"/>
                <w:sz w:val="24"/>
                <w:szCs w:val="24"/>
                <w:lang w:eastAsia="zh-CN"/>
              </w:rPr>
              <w:t>新港</w:t>
            </w:r>
            <w:r>
              <w:rPr>
                <w:rFonts w:hint="eastAsia" w:cs="Times New Roman"/>
                <w:kern w:val="2"/>
                <w:sz w:val="24"/>
                <w:szCs w:val="24"/>
              </w:rPr>
              <w:t>有限公司</w:t>
            </w:r>
            <w:r>
              <w:rPr>
                <w:rFonts w:hint="eastAsia" w:cs="Times New Roman"/>
                <w:kern w:val="2"/>
                <w:sz w:val="24"/>
                <w:szCs w:val="24"/>
                <w:lang w:eastAsia="zh-CN"/>
              </w:rPr>
              <w:t>一期码头缺陷修复项目</w:t>
            </w:r>
            <w:r>
              <w:rPr>
                <w:rFonts w:hint="eastAsia" w:cs="宋体" w:asciiTheme="minorEastAsia" w:hAnsiTheme="minorEastAsia" w:eastAsiaTheme="minorEastAsia"/>
                <w:sz w:val="24"/>
              </w:rPr>
              <w:t xml:space="preserve">响应文件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highlight w:val="yellow"/>
              </w:rPr>
            </w:pPr>
            <w:r>
              <w:rPr>
                <w:rFonts w:hint="eastAsia" w:cs="宋体" w:asciiTheme="minorEastAsia" w:hAnsiTheme="minorEastAsia" w:eastAsiaTheme="minorEastAsia"/>
                <w:sz w:val="24"/>
                <w:highlight w:val="none"/>
              </w:rPr>
              <w:t>截止时间：</w:t>
            </w:r>
            <w:r>
              <w:rPr>
                <w:rFonts w:hint="eastAsia" w:cs="宋体" w:asciiTheme="minorEastAsia" w:hAnsiTheme="minorEastAsia" w:eastAsiaTheme="minorEastAsia"/>
                <w:sz w:val="24"/>
                <w:highlight w:val="yellow"/>
              </w:rPr>
              <w:t xml:space="preserve"> 202</w:t>
            </w:r>
            <w:r>
              <w:rPr>
                <w:rFonts w:hint="eastAsia" w:cs="宋体" w:asciiTheme="minorEastAsia" w:hAnsiTheme="minorEastAsia" w:eastAsiaTheme="minorEastAsia"/>
                <w:sz w:val="24"/>
                <w:highlight w:val="yellow"/>
                <w:lang w:val="en-US" w:eastAsia="zh-CN"/>
              </w:rPr>
              <w:t>4</w:t>
            </w:r>
            <w:r>
              <w:rPr>
                <w:rFonts w:hint="eastAsia" w:cs="宋体" w:asciiTheme="minorEastAsia" w:hAnsiTheme="minorEastAsia" w:eastAsiaTheme="minorEastAsia"/>
                <w:sz w:val="24"/>
                <w:highlight w:val="yellow"/>
              </w:rPr>
              <w:t xml:space="preserve">年 </w:t>
            </w:r>
            <w:r>
              <w:rPr>
                <w:rFonts w:hint="eastAsia" w:cs="宋体" w:asciiTheme="minorEastAsia" w:hAnsiTheme="minorEastAsia" w:eastAsiaTheme="minorEastAsia"/>
                <w:sz w:val="24"/>
                <w:highlight w:val="yellow"/>
                <w:lang w:val="en-US" w:eastAsia="zh-CN"/>
              </w:rPr>
              <w:t xml:space="preserve">06 </w:t>
            </w:r>
            <w:r>
              <w:rPr>
                <w:rFonts w:hint="eastAsia" w:cs="宋体" w:asciiTheme="minorEastAsia" w:hAnsiTheme="minorEastAsia" w:eastAsiaTheme="minorEastAsia"/>
                <w:sz w:val="24"/>
                <w:highlight w:val="yellow"/>
              </w:rPr>
              <w:t>月</w:t>
            </w:r>
            <w:r>
              <w:rPr>
                <w:rFonts w:hint="eastAsia" w:cs="宋体" w:asciiTheme="minorEastAsia" w:hAnsiTheme="minorEastAsia" w:eastAsiaTheme="minorEastAsia"/>
                <w:sz w:val="24"/>
                <w:highlight w:val="yellow"/>
                <w:lang w:val="en-US" w:eastAsia="zh-CN"/>
              </w:rPr>
              <w:t xml:space="preserve"> 19 </w:t>
            </w:r>
            <w:r>
              <w:rPr>
                <w:rFonts w:hint="eastAsia" w:cs="宋体" w:asciiTheme="minorEastAsia" w:hAnsiTheme="minorEastAsia" w:eastAsiaTheme="minorEastAsia"/>
                <w:sz w:val="24"/>
                <w:highlight w:val="yellow"/>
              </w:rPr>
              <w:t>日</w:t>
            </w:r>
            <w:r>
              <w:rPr>
                <w:rFonts w:hint="eastAsia" w:cs="宋体" w:asciiTheme="minorEastAsia" w:hAnsiTheme="minorEastAsia" w:eastAsiaTheme="minorEastAsia"/>
                <w:sz w:val="24"/>
                <w:highlight w:val="yellow"/>
                <w:lang w:val="en-US" w:eastAsia="zh-CN"/>
              </w:rPr>
              <w:t>12</w:t>
            </w:r>
            <w:r>
              <w:rPr>
                <w:rFonts w:hint="eastAsia" w:cs="宋体" w:asciiTheme="minorEastAsia" w:hAnsiTheme="minorEastAsia" w:eastAsiaTheme="minorEastAsia"/>
                <w:sz w:val="24"/>
                <w:highlight w:val="yellow"/>
              </w:rPr>
              <w:t xml:space="preserve"> 时 </w:t>
            </w:r>
            <w:r>
              <w:rPr>
                <w:rFonts w:hint="eastAsia" w:cs="宋体" w:asciiTheme="minorEastAsia" w:hAnsiTheme="minorEastAsia" w:eastAsiaTheme="minorEastAsia"/>
                <w:sz w:val="24"/>
                <w:highlight w:val="yellow"/>
                <w:lang w:val="en-US" w:eastAsia="zh-CN"/>
              </w:rPr>
              <w:t>00</w:t>
            </w:r>
            <w:r>
              <w:rPr>
                <w:rFonts w:hint="eastAsia" w:cs="宋体" w:asciiTheme="minorEastAsia" w:hAnsiTheme="minorEastAsia" w:eastAsiaTheme="minorEastAsia"/>
                <w:sz w:val="24"/>
                <w:highlight w:val="yellow"/>
              </w:rPr>
              <w:t xml:space="preserve"> 分                  </w:t>
            </w:r>
          </w:p>
          <w:p>
            <w:pPr>
              <w:spacing w:line="288" w:lineRule="auto"/>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yellow"/>
              </w:rPr>
              <w:t xml:space="preserve">递交响应文件的地点： </w:t>
            </w:r>
            <w:r>
              <w:rPr>
                <w:rFonts w:hint="eastAsia" w:ascii="宋体" w:hAnsi="宋体" w:eastAsia="宋体" w:cs="宋体"/>
                <w:color w:val="000000"/>
                <w:sz w:val="24"/>
                <w:highlight w:val="yellow"/>
                <w:u w:val="none"/>
              </w:rPr>
              <w:t>湖南省</w:t>
            </w:r>
            <w:r>
              <w:rPr>
                <w:rFonts w:hint="eastAsia" w:ascii="宋体" w:hAnsi="宋体" w:eastAsia="宋体" w:cs="宋体"/>
                <w:color w:val="000000"/>
                <w:sz w:val="24"/>
                <w:highlight w:val="yellow"/>
                <w:u w:val="none"/>
                <w:lang w:val="en-US" w:eastAsia="zh-CN"/>
              </w:rPr>
              <w:t>岳阳市云溪区沿江路新港办公楼</w:t>
            </w:r>
            <w:r>
              <w:rPr>
                <w:rFonts w:hint="eastAsia" w:ascii="宋体" w:hAnsi="宋体" w:cs="宋体"/>
                <w:color w:val="000000"/>
                <w:sz w:val="24"/>
                <w:highlight w:val="yellow"/>
                <w:u w:val="none"/>
                <w:lang w:val="en-US" w:eastAsia="zh-CN"/>
              </w:rPr>
              <w:t>307</w:t>
            </w:r>
            <w:r>
              <w:rPr>
                <w:rFonts w:hint="eastAsia" w:ascii="宋体" w:hAnsi="宋体"/>
                <w:sz w:val="24"/>
                <w:highlight w:val="yellow"/>
                <w:lang w:val="en-US" w:eastAsia="zh-CN"/>
              </w:rPr>
              <w:t>办公室</w:t>
            </w:r>
            <w:r>
              <w:rPr>
                <w:rFonts w:hint="eastAsia" w:ascii="宋体" w:hAnsi="宋体"/>
                <w:sz w:val="24"/>
                <w:highlight w:val="yellow"/>
                <w:lang w:eastAsia="zh-CN"/>
              </w:rPr>
              <w:t>。</w:t>
            </w:r>
            <w:r>
              <w:rPr>
                <w:rFonts w:hint="eastAsia" w:cs="宋体" w:asciiTheme="minorEastAsia" w:hAnsiTheme="minorEastAsia" w:eastAsiaTheme="minorEastAsia"/>
                <w:sz w:val="24"/>
                <w:highlight w:val="yellow"/>
              </w:rPr>
              <w:t xml:space="preserve">  </w:t>
            </w:r>
            <w:r>
              <w:rPr>
                <w:rFonts w:hint="eastAsia" w:cs="宋体" w:asciiTheme="minorEastAsia" w:hAnsiTheme="minorEastAsia" w:eastAsiaTheme="minorEastAsia"/>
                <w:sz w:val="24"/>
                <w:highlight w:val="non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湖南省</w:t>
            </w:r>
            <w:r>
              <w:rPr>
                <w:rFonts w:hint="eastAsia" w:cs="宋体" w:asciiTheme="minorEastAsia" w:hAnsiTheme="minorEastAsia" w:eastAsiaTheme="minorEastAsia"/>
                <w:sz w:val="24"/>
                <w:lang w:eastAsia="zh-CN"/>
              </w:rPr>
              <w:t>城陵矶港口</w:t>
            </w:r>
            <w:r>
              <w:rPr>
                <w:rFonts w:hint="eastAsia" w:cs="宋体" w:asciiTheme="minorEastAsia" w:hAnsiTheme="minorEastAsia" w:eastAsiaTheme="minorEastAsia"/>
                <w:sz w:val="24"/>
              </w:rPr>
              <w:t>集团有限公司602开标室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开启顺序：</w:t>
            </w:r>
            <w:r>
              <w:rPr>
                <w:rFonts w:hint="eastAsia" w:cs="宋体" w:asciiTheme="minorEastAsia" w:hAnsiTheme="minorEastAsia" w:eastAsiaTheme="minorEastAsia"/>
                <w:sz w:val="24"/>
                <w:u w:val="single"/>
              </w:rPr>
              <w:t xml:space="preserve">   随机 </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其他应公布的信息：</w:t>
            </w:r>
            <w:r>
              <w:rPr>
                <w:rFonts w:hint="eastAsia" w:cs="宋体" w:asciiTheme="minorEastAsia" w:hAnsiTheme="minorEastAsia" w:eastAsiaTheme="minorEastAsia"/>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评审（谈判）小组的组建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评标（谈判）小组构成：3人。</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评审（谈判）专家确定方式：采购代表1人，在湖南省</w:t>
            </w:r>
            <w:r>
              <w:rPr>
                <w:rFonts w:hint="eastAsia" w:cs="宋体" w:asciiTheme="minorEastAsia" w:hAnsiTheme="minorEastAsia" w:eastAsiaTheme="minorEastAsia"/>
                <w:sz w:val="24"/>
                <w:lang w:eastAsia="zh-CN"/>
              </w:rPr>
              <w:t>港航水利</w:t>
            </w:r>
            <w:r>
              <w:rPr>
                <w:rFonts w:hint="eastAsia" w:cs="宋体" w:asciiTheme="minorEastAsia" w:hAnsiTheme="minorEastAsia" w:eastAsiaTheme="minorEastAsia"/>
                <w:sz w:val="24"/>
              </w:rPr>
              <w:t>集团有限公司综合评标专家库中随机抽取2人。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评审小组推荐成交候选供应商的数量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是否排序：</w:t>
            </w:r>
          </w:p>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公示媒介：</w:t>
            </w:r>
            <w:r>
              <w:rPr>
                <w:rFonts w:hint="eastAsia" w:ascii="宋体" w:hAnsi="宋体" w:cs="宋体"/>
                <w:sz w:val="24"/>
              </w:rPr>
              <w:t>中国招标投标公共服务平台（http：//www.cebpubservice.com）、湖南省</w:t>
            </w:r>
            <w:r>
              <w:rPr>
                <w:rFonts w:hint="eastAsia" w:ascii="宋体" w:hAnsi="宋体" w:cs="宋体"/>
                <w:sz w:val="24"/>
                <w:lang w:eastAsia="zh-CN"/>
              </w:rPr>
              <w:t>港航水利</w:t>
            </w:r>
            <w:r>
              <w:rPr>
                <w:rFonts w:hint="eastAsia" w:ascii="宋体" w:hAnsi="宋体" w:cs="宋体"/>
                <w:sz w:val="24"/>
              </w:rPr>
              <w:t>集团有限公司网站（http://www.hnsghsljt.com/）、                                   湖南省</w:t>
            </w:r>
            <w:r>
              <w:rPr>
                <w:rFonts w:hint="eastAsia" w:ascii="宋体" w:hAnsi="宋体" w:cs="宋体"/>
                <w:sz w:val="24"/>
                <w:lang w:eastAsia="zh-CN"/>
              </w:rPr>
              <w:t>城陵矶港口</w:t>
            </w:r>
            <w:r>
              <w:rPr>
                <w:rFonts w:hint="eastAsia" w:ascii="宋体" w:hAnsi="宋体" w:cs="宋体"/>
                <w:sz w:val="24"/>
              </w:rPr>
              <w:t>集团有限公司（http://www.hnsgwjt.com）上发布。</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 xml:space="preserve">公示期限： 3个工作日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仿宋" w:asciiTheme="minorEastAsia" w:hAnsiTheme="minorEastAsia" w:eastAsiaTheme="minorEastAsia"/>
                <w:sz w:val="24"/>
              </w:rPr>
              <w:t>☑</w:t>
            </w:r>
            <w:r>
              <w:rPr>
                <w:rFonts w:hint="eastAsia" w:cs="宋体" w:asciiTheme="minorEastAsia" w:hAnsiTheme="minorEastAsia" w:eastAsiaTheme="minorEastAsia"/>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lang w:eastAsia="zh-CN"/>
              </w:rPr>
              <w:t>岳阳城陵矶新港有限公司综合管理部</w:t>
            </w:r>
            <w:r>
              <w:rPr>
                <w:rFonts w:hint="eastAsia" w:cs="宋体" w:asciiTheme="minorEastAsia" w:hAnsiTheme="minorEastAsia" w:eastAsiaTheme="minorEastAsia"/>
                <w:sz w:val="24"/>
              </w:rPr>
              <w:t xml:space="preserve">               </w:t>
            </w:r>
          </w:p>
          <w:p>
            <w:pPr>
              <w:spacing w:line="288"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通信地址：</w:t>
            </w:r>
            <w:r>
              <w:rPr>
                <w:rFonts w:hint="eastAsia" w:ascii="宋体" w:hAnsi="宋体" w:eastAsia="宋体" w:cs="宋体"/>
                <w:color w:val="000000"/>
                <w:sz w:val="24"/>
                <w:highlight w:val="none"/>
                <w:u w:val="none"/>
              </w:rPr>
              <w:t>湖南省</w:t>
            </w:r>
            <w:r>
              <w:rPr>
                <w:rFonts w:hint="eastAsia" w:ascii="宋体" w:hAnsi="宋体" w:eastAsia="宋体" w:cs="宋体"/>
                <w:color w:val="000000"/>
                <w:sz w:val="24"/>
                <w:highlight w:val="none"/>
                <w:u w:val="none"/>
                <w:lang w:val="en-US" w:eastAsia="zh-CN"/>
              </w:rPr>
              <w:t>岳阳市云溪区沿江路新港办公楼</w:t>
            </w:r>
            <w:r>
              <w:rPr>
                <w:rFonts w:hint="eastAsia" w:cs="宋体" w:asciiTheme="minorEastAsia" w:hAnsiTheme="minorEastAsia" w:eastAsiaTheme="minorEastAsia"/>
                <w:sz w:val="24"/>
              </w:rPr>
              <w:t xml:space="preserve">                </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sz w:val="24"/>
              </w:rPr>
              <w:t>其他：</w:t>
            </w:r>
            <w:r>
              <w:rPr>
                <w:rFonts w:hint="eastAsia" w:cs="宋体" w:asciiTheme="minorEastAsia" w:hAnsiTheme="minorEastAsia" w:eastAsiaTheme="minorEastAsia"/>
                <w:sz w:val="24"/>
                <w:lang w:eastAsia="zh-CN"/>
              </w:rPr>
              <w:t>无</w:t>
            </w:r>
            <w:r>
              <w:rPr>
                <w:rFonts w:hint="eastAsia" w:cs="宋体" w:asciiTheme="minorEastAsia" w:hAnsiTheme="minorEastAsia" w:eastAsiaTheme="minorEastAsia"/>
                <w:sz w:val="24"/>
              </w:rPr>
              <w:t xml:space="preserve">                </w:t>
            </w:r>
          </w:p>
        </w:tc>
      </w:tr>
    </w:tbl>
    <w:p>
      <w:pPr>
        <w:spacing w:line="240" w:lineRule="auto"/>
        <w:jc w:val="center"/>
        <w:outlineLvl w:val="0"/>
        <w:rPr>
          <w:rFonts w:ascii="仿宋" w:hAnsi="仿宋" w:eastAsia="仿宋" w:cs="仿宋"/>
          <w:sz w:val="30"/>
          <w:szCs w:val="30"/>
        </w:rPr>
      </w:pPr>
      <w:r>
        <w:rPr>
          <w:rFonts w:ascii="仿宋" w:hAnsi="仿宋" w:eastAsia="仿宋" w:cs="仿宋"/>
          <w:b/>
          <w:bCs/>
          <w:sz w:val="30"/>
          <w:szCs w:val="30"/>
        </w:rPr>
        <w:br w:type="page"/>
      </w:r>
      <w:bookmarkStart w:id="13" w:name="_Toc590"/>
      <w:r>
        <w:rPr>
          <w:rFonts w:hint="eastAsia" w:ascii="华文中宋" w:hAnsi="华文中宋" w:eastAsia="华文中宋" w:cs="仿宋"/>
          <w:b/>
          <w:bCs/>
          <w:sz w:val="30"/>
          <w:szCs w:val="30"/>
        </w:rPr>
        <w:t>第二章 供应商须知正文</w:t>
      </w:r>
      <w:bookmarkEnd w:id="13"/>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6"/>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70"/>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70"/>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adjustRightInd w:val="0"/>
        <w:snapToGrid w:val="0"/>
        <w:spacing w:line="312" w:lineRule="auto"/>
        <w:ind w:firstLine="480" w:firstLineChars="200"/>
        <w:jc w:val="both"/>
        <w:rPr>
          <w:rFonts w:ascii="宋体" w:hAnsi="宋体"/>
          <w:color w:val="000000" w:themeColor="text1"/>
          <w:sz w:val="24"/>
          <w:shd w:val="clear" w:color="FFFFFF" w:fill="D9D9D9"/>
          <w14:textFill>
            <w14:solidFill>
              <w14:schemeClr w14:val="tx1"/>
            </w14:solidFill>
          </w14:textFill>
        </w:rPr>
      </w:pPr>
      <w:r>
        <w:rPr>
          <w:rFonts w:hint="eastAsia" w:ascii="宋体" w:hAnsi="宋体"/>
          <w:color w:val="000000" w:themeColor="text1"/>
          <w:sz w:val="24"/>
          <w14:textFill>
            <w14:solidFill>
              <w14:schemeClr w14:val="tx1"/>
            </w14:solidFill>
          </w14:textFill>
        </w:rPr>
        <w:t>本次评标采用</w:t>
      </w:r>
      <w:r>
        <w:rPr>
          <w:rFonts w:hint="eastAsia" w:ascii="宋体" w:hAnsi="宋体"/>
          <w:color w:val="000000" w:themeColor="text1"/>
          <w:sz w:val="24"/>
          <w:lang w:eastAsia="zh-CN"/>
          <w14:textFill>
            <w14:solidFill>
              <w14:schemeClr w14:val="tx1"/>
            </w14:solidFill>
          </w14:textFill>
        </w:rPr>
        <w:t>最低价</w:t>
      </w:r>
      <w:r>
        <w:rPr>
          <w:rFonts w:hint="eastAsia" w:ascii="宋体" w:hAnsi="宋体"/>
          <w:color w:val="000000" w:themeColor="text1"/>
          <w:sz w:val="24"/>
          <w:lang w:val="en-US" w:eastAsia="zh-CN"/>
          <w14:textFill>
            <w14:solidFill>
              <w14:schemeClr w14:val="tx1"/>
            </w14:solidFill>
          </w14:textFill>
        </w:rPr>
        <w:t>法</w:t>
      </w:r>
      <w:r>
        <w:rPr>
          <w:rFonts w:hint="eastAsia" w:ascii="宋体" w:hAnsi="宋体"/>
          <w:color w:val="000000" w:themeColor="text1"/>
          <w:sz w:val="24"/>
          <w:shd w:val="clear" w:color="auto" w:fill="auto"/>
          <w14:textFill>
            <w14:solidFill>
              <w14:schemeClr w14:val="tx1"/>
            </w14:solidFill>
          </w14:textFill>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color w:val="000000" w:themeColor="text1"/>
          <w:sz w:val="24"/>
          <w14:textFill>
            <w14:solidFill>
              <w14:schemeClr w14:val="tx1"/>
            </w14:solidFill>
          </w14:textFill>
        </w:rPr>
      </w:pPr>
      <w:r>
        <w:rPr>
          <w:rFonts w:hint="eastAsia" w:ascii="宋体" w:hAnsi="宋体" w:cs="仿宋"/>
          <w:b/>
          <w:bCs/>
          <w:color w:val="000000" w:themeColor="text1"/>
          <w:sz w:val="24"/>
          <w14:textFill>
            <w14:solidFill>
              <w14:schemeClr w14:val="tx1"/>
            </w14:solidFill>
          </w14:textFill>
        </w:rPr>
        <w:t>1.6计量单位</w:t>
      </w:r>
    </w:p>
    <w:p>
      <w:pPr>
        <w:adjustRightInd w:val="0"/>
        <w:snapToGrid w:val="0"/>
        <w:spacing w:line="312" w:lineRule="auto"/>
        <w:ind w:firstLine="453" w:firstLineChars="189"/>
        <w:jc w:val="both"/>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w:t>
      </w:r>
    </w:p>
    <w:p>
      <w:pPr>
        <w:adjustRightInd w:val="0"/>
        <w:snapToGrid w:val="0"/>
        <w:spacing w:line="312" w:lineRule="auto"/>
        <w:jc w:val="both"/>
        <w:rPr>
          <w:rFonts w:ascii="宋体" w:hAnsi="宋体" w:cs="仿宋"/>
          <w:sz w:val="24"/>
        </w:rPr>
      </w:pPr>
      <w:r>
        <w:rPr>
          <w:rFonts w:hint="eastAsia" w:ascii="宋体" w:hAnsi="宋体" w:cs="仿宋"/>
          <w:sz w:val="24"/>
        </w:rPr>
        <w:t>1.7.1供应商须知前附表规定组织踏勘现场的，采购人应按供应商须知前附表规定的时间、地点组织供应商踏勘项目现场。部分供应商未按时参加踏勘现场的，不影响踏勘现场的正常进行。</w:t>
      </w:r>
    </w:p>
    <w:p>
      <w:pPr>
        <w:adjustRightInd w:val="0"/>
        <w:snapToGrid w:val="0"/>
        <w:spacing w:line="312" w:lineRule="auto"/>
        <w:jc w:val="both"/>
        <w:rPr>
          <w:rFonts w:ascii="宋体" w:hAnsi="宋体" w:cs="仿宋"/>
          <w:color w:val="F79646" w:themeColor="accent6"/>
          <w:sz w:val="24"/>
          <w14:textFill>
            <w14:solidFill>
              <w14:schemeClr w14:val="accent6"/>
            </w14:solidFill>
          </w14:textFill>
        </w:rPr>
      </w:pPr>
      <w:r>
        <w:rPr>
          <w:rFonts w:hint="eastAsia" w:ascii="宋体" w:hAnsi="宋体" w:cs="仿宋"/>
          <w:sz w:val="24"/>
        </w:rPr>
        <w:t>1.7.2供应商可自愿参加踏勘现场活动。除采购人的原因外，采购人对供应商参加踏勘现场中所发生的人员伤亡和财产损失不承担责任。</w:t>
      </w:r>
    </w:p>
    <w:p>
      <w:pPr>
        <w:adjustRightInd w:val="0"/>
        <w:snapToGrid w:val="0"/>
        <w:spacing w:line="312" w:lineRule="auto"/>
        <w:jc w:val="both"/>
        <w:rPr>
          <w:rFonts w:ascii="宋体" w:hAnsi="宋体" w:cs="仿宋"/>
          <w:sz w:val="24"/>
        </w:rPr>
      </w:pPr>
      <w:r>
        <w:rPr>
          <w:rFonts w:hint="eastAsia" w:ascii="宋体" w:hAnsi="宋体" w:cs="仿宋"/>
          <w:sz w:val="24"/>
        </w:rPr>
        <w:t>1.7.3采购人在踏勘现场中介绍的工程场地和相关的周边环境情况，仅作为供应商编制响应文件的参考，采购人不对供应商据此作出的判断和决策负责。</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供应商须知前附表规定召开采购预备会的，采购人按供应商须知前附表规定的时间和地点召开采购预备会。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1.9分包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供应商拟在成交后将成交项目的部分工作进行分包的，应符合供应商须知前附表的规定，并在响应文件中作出说明。</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分包供应商不得将分包项目再次分包。成交供应商就应当就分包项目向采购人负责，分包供应商就分包项目承担连带责任。</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(3)联合体协议书(如有);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(4)响应保证金(如有);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(5)商务和技术偏差表;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(6)报价表;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(8)响应方案;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(9)供应商须知前附表规定的其他资料。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第一章“采购公告”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w:t>
      </w:r>
    </w:p>
    <w:p>
      <w:pPr>
        <w:adjustRightInd w:val="0"/>
        <w:snapToGrid w:val="0"/>
        <w:spacing w:line="312" w:lineRule="auto"/>
        <w:jc w:val="both"/>
        <w:rPr>
          <w:rFonts w:ascii="宋体" w:hAnsi="宋体" w:cs="仿宋"/>
          <w:sz w:val="24"/>
        </w:rPr>
      </w:pPr>
      <w:r>
        <w:rPr>
          <w:rFonts w:hint="eastAsia" w:ascii="宋体" w:hAnsi="宋体" w:cs="仿宋"/>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pPr>
        <w:adjustRightInd w:val="0"/>
        <w:snapToGrid w:val="0"/>
        <w:spacing w:line="312" w:lineRule="auto"/>
        <w:jc w:val="both"/>
        <w:rPr>
          <w:rFonts w:ascii="宋体" w:hAnsi="宋体" w:cs="仿宋"/>
          <w:sz w:val="24"/>
        </w:rPr>
      </w:pPr>
      <w:r>
        <w:rPr>
          <w:rFonts w:hint="eastAsia" w:ascii="宋体" w:hAnsi="宋体" w:cs="仿宋"/>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pPr>
        <w:adjustRightInd w:val="0"/>
        <w:snapToGrid w:val="0"/>
        <w:spacing w:line="312" w:lineRule="auto"/>
        <w:jc w:val="both"/>
        <w:rPr>
          <w:rFonts w:ascii="宋体" w:hAnsi="宋体" w:cs="仿宋"/>
          <w:sz w:val="24"/>
        </w:rPr>
      </w:pPr>
      <w:r>
        <w:rPr>
          <w:rFonts w:hint="eastAsia" w:ascii="宋体" w:hAnsi="宋体" w:cs="仿宋"/>
          <w:sz w:val="24"/>
        </w:rPr>
        <w:t>3.4.3有下列情形之一的，响应保证金将不予退还:</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(1)供应商在响应文件有效期内撤销响应文件；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(2)成交供应商在收到成交通知书后，无正当理由不与采购人订立合同，在签订合同时向采购人提出附加条件，或者不按照采购文件要求递交履约保证金；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(3)发生供应商须知前附表规定的其他不予退还响应保证金的情形。</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w:t>
      </w:r>
      <w:r>
        <w:rPr>
          <w:rFonts w:hint="eastAsia" w:ascii="宋体" w:hAnsi="宋体" w:cs="仿宋"/>
          <w:bCs/>
          <w:sz w:val="24"/>
        </w:rPr>
        <w:t>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(2)开启会议结束。</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6评审（适用于询价采购）</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color w:val="000000" w:themeColor="text1"/>
          <w:sz w:val="24"/>
          <w14:textFill>
            <w14:solidFill>
              <w14:schemeClr w14:val="tx1"/>
            </w14:solidFill>
          </w14:textFill>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 xml:space="preserve">公示 </w:t>
      </w:r>
    </w:p>
    <w:p>
      <w:pPr>
        <w:widowControl w:val="0"/>
        <w:adjustRightInd w:val="0"/>
        <w:snapToGrid w:val="0"/>
        <w:spacing w:line="312" w:lineRule="auto"/>
        <w:ind w:firstLine="480" w:firstLineChars="200"/>
        <w:jc w:val="both"/>
        <w:rPr>
          <w:rFonts w:ascii="宋体" w:hAnsi="宋体" w:cs="宋体"/>
          <w:sz w:val="24"/>
        </w:rPr>
      </w:pPr>
      <w:r>
        <w:rPr>
          <w:rFonts w:hint="eastAsia" w:ascii="宋体" w:hAnsi="宋体" w:cs="宋体"/>
          <w:sz w:val="24"/>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bookmarkStart w:id="14" w:name="_Toc24135"/>
      <w:r>
        <w:rPr>
          <w:rFonts w:hint="eastAsia" w:ascii="宋体" w:hAnsi="宋体" w:cs="宋体"/>
          <w:b/>
          <w:bCs/>
          <w:sz w:val="24"/>
        </w:rPr>
        <w:t>7.3成交结果异议</w:t>
      </w:r>
      <w:bookmarkEnd w:id="14"/>
      <w:r>
        <w:rPr>
          <w:rFonts w:hint="eastAsia" w:ascii="宋体" w:hAnsi="宋体" w:cs="宋体"/>
          <w:b/>
          <w:bCs/>
          <w:sz w:val="24"/>
        </w:rPr>
        <w:t xml:space="preserve">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ascii="宋体" w:hAnsi="宋体" w:cs="仿宋"/>
          <w:sz w:val="24"/>
        </w:rPr>
        <w:t>10</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10.1采购代理服务费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供应商须知前附表规定由供应商承担采购代理服务费的，供应商应按照供应商须知前附表规定的费用标准或金额、交费时间和方式向采购代理机构支付代理服务费。</w:t>
      </w:r>
    </w:p>
    <w:p>
      <w:pPr>
        <w:adjustRightInd w:val="0"/>
        <w:snapToGrid w:val="0"/>
        <w:spacing w:line="312" w:lineRule="auto"/>
        <w:jc w:val="both"/>
        <w:rPr>
          <w:rFonts w:ascii="宋体" w:hAnsi="宋体" w:cs="仿宋"/>
          <w:b/>
          <w:bCs/>
          <w:sz w:val="24"/>
        </w:rPr>
      </w:pPr>
      <w:r>
        <w:rPr>
          <w:rFonts w:hint="eastAsia" w:ascii="宋体" w:hAnsi="宋体" w:cs="仿宋"/>
          <w:b/>
          <w:bCs/>
          <w:sz w:val="24"/>
        </w:rPr>
        <w:t>10.2其他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adjustRightInd w:val="0"/>
        <w:snapToGrid w:val="0"/>
        <w:spacing w:line="312" w:lineRule="auto"/>
        <w:jc w:val="both"/>
        <w:rPr>
          <w:rFonts w:ascii="宋体" w:hAnsi="宋体" w:cs="仿宋"/>
          <w:sz w:val="24"/>
        </w:rPr>
      </w:pPr>
    </w:p>
    <w:p>
      <w:pPr>
        <w:adjustRightInd w:val="0"/>
        <w:snapToGrid w:val="0"/>
        <w:spacing w:line="312" w:lineRule="auto"/>
        <w:ind w:firstLine="453" w:firstLineChars="189"/>
        <w:jc w:val="both"/>
        <w:rPr>
          <w:rFonts w:ascii="宋体" w:hAnsi="宋体" w:cs="仿宋"/>
          <w:sz w:val="24"/>
        </w:rPr>
      </w:pPr>
    </w:p>
    <w:p>
      <w:pPr>
        <w:spacing w:line="312" w:lineRule="auto"/>
        <w:jc w:val="both"/>
        <w:rPr>
          <w:rFonts w:ascii="宋体" w:hAnsi="宋体" w:cs="仿宋"/>
          <w:sz w:val="24"/>
        </w:rPr>
      </w:pPr>
      <w:r>
        <w:rPr>
          <w:rFonts w:hint="eastAsia" w:ascii="宋体" w:hAnsi="宋体" w:cs="仿宋"/>
          <w:sz w:val="24"/>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44"/>
        <w:tblW w:w="96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96"/>
        <w:gridCol w:w="1992"/>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2396"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密封情况</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992" w:type="dxa"/>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5" w:type="dxa"/>
            <w:vAlign w:val="center"/>
          </w:tcPr>
          <w:p>
            <w:pPr>
              <w:widowControl w:val="0"/>
              <w:spacing w:line="240" w:lineRule="auto"/>
              <w:jc w:val="both"/>
              <w:rPr>
                <w:rFonts w:cs="仿宋" w:asciiTheme="minorEastAsia" w:hAnsiTheme="minorEastAsia" w:eastAsiaTheme="minorEastAsia"/>
                <w:sz w:val="24"/>
              </w:rPr>
            </w:pPr>
          </w:p>
        </w:tc>
        <w:tc>
          <w:tcPr>
            <w:tcW w:w="2396"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c>
          <w:tcPr>
            <w:tcW w:w="1992" w:type="dxa"/>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spacing w:line="240" w:lineRule="auto"/>
        <w:jc w:val="both"/>
        <w:rPr>
          <w:rFonts w:ascii="仿宋" w:hAnsi="仿宋" w:eastAsia="仿宋" w:cs="仿宋"/>
          <w:sz w:val="30"/>
          <w:szCs w:val="30"/>
        </w:rPr>
      </w:pPr>
    </w:p>
    <w:p>
      <w:pPr>
        <w:spacing w:line="240" w:lineRule="auto"/>
        <w:jc w:val="both"/>
        <w:rPr>
          <w:rFonts w:ascii="仿宋" w:hAnsi="仿宋" w:eastAsia="仿宋" w:cs="仿宋"/>
          <w:sz w:val="30"/>
          <w:szCs w:val="30"/>
        </w:rPr>
      </w:pPr>
      <w:r>
        <w:rPr>
          <w:rFonts w:ascii="仿宋" w:hAnsi="仿宋" w:eastAsia="仿宋" w:cs="仿宋"/>
          <w:sz w:val="30"/>
          <w:szCs w:val="30"/>
        </w:rPr>
        <w:br w:type="page"/>
      </w: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1" w:firstLineChars="200"/>
        <w:jc w:val="center"/>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ind w:firstLine="6480" w:firstLineChars="27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721"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1"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81"/>
        <w:spacing w:line="600" w:lineRule="exact"/>
        <w:ind w:left="420" w:firstLine="5280" w:firstLineChars="2200"/>
        <w:jc w:val="both"/>
        <w:rPr>
          <w:rFonts w:cs="仿宋"/>
          <w:b/>
          <w:color w:val="000000"/>
        </w:rPr>
      </w:pP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日</w:t>
      </w:r>
    </w:p>
    <w:p>
      <w:pPr>
        <w:spacing w:line="240" w:lineRule="auto"/>
        <w:jc w:val="both"/>
        <w:rPr>
          <w:rFonts w:ascii="宋体" w:hAnsi="宋体" w:cs="仿宋"/>
          <w:b/>
          <w:color w:val="000000"/>
          <w:kern w:val="0"/>
          <w:sz w:val="24"/>
        </w:rPr>
      </w:pPr>
      <w:r>
        <w:rPr>
          <w:rFonts w:ascii="宋体" w:hAnsi="宋体" w:cs="仿宋"/>
          <w:b/>
          <w:color w:val="000000"/>
          <w:sz w:val="24"/>
        </w:rPr>
        <w:br w:type="page"/>
      </w:r>
    </w:p>
    <w:p>
      <w:pPr>
        <w:adjustRightInd w:val="0"/>
        <w:snapToGrid w:val="0"/>
        <w:spacing w:line="600" w:lineRule="exact"/>
        <w:jc w:val="center"/>
        <w:rPr>
          <w:rFonts w:ascii="黑体" w:hAnsi="黑体" w:eastAsia="黑体" w:cs="仿宋"/>
          <w:bCs/>
          <w:color w:val="000000" w:themeColor="text1"/>
          <w:sz w:val="36"/>
          <w:szCs w:val="36"/>
          <w:highlight w:val="none"/>
          <w14:textFill>
            <w14:solidFill>
              <w14:schemeClr w14:val="tx1"/>
            </w14:solidFill>
          </w14:textFill>
        </w:rPr>
      </w:pPr>
      <w:bookmarkStart w:id="15" w:name="_Toc77254130"/>
      <w:bookmarkStart w:id="16" w:name="_Toc76635709"/>
      <w:r>
        <w:rPr>
          <w:rFonts w:hint="eastAsia" w:ascii="黑体" w:hAnsi="黑体" w:eastAsia="黑体" w:cs="仿宋"/>
          <w:bCs/>
          <w:color w:val="000000" w:themeColor="text1"/>
          <w:sz w:val="36"/>
          <w:szCs w:val="36"/>
          <w:highlight w:val="none"/>
          <w14:textFill>
            <w14:solidFill>
              <w14:schemeClr w14:val="tx1"/>
            </w14:solidFill>
          </w14:textFill>
        </w:rPr>
        <w:t>第三章 评审办法</w:t>
      </w:r>
    </w:p>
    <w:p>
      <w:pPr>
        <w:adjustRightInd w:val="0"/>
        <w:snapToGrid w:val="0"/>
        <w:spacing w:before="120" w:beforeLines="50" w:after="120" w:afterLines="50" w:line="312" w:lineRule="auto"/>
        <w:jc w:val="center"/>
        <w:rPr>
          <w:rFonts w:ascii="黑体" w:hAnsi="黑体" w:eastAsia="黑体" w:cs="仿宋"/>
          <w:bCs/>
          <w:color w:val="000000" w:themeColor="text1"/>
          <w:sz w:val="32"/>
          <w:szCs w:val="32"/>
          <w:highlight w:val="none"/>
          <w14:textFill>
            <w14:solidFill>
              <w14:schemeClr w14:val="tx1"/>
            </w14:solidFill>
          </w14:textFill>
        </w:rPr>
      </w:pPr>
      <w:r>
        <w:rPr>
          <w:rFonts w:hint="eastAsia" w:ascii="黑体" w:hAnsi="黑体" w:eastAsia="黑体" w:cs="仿宋"/>
          <w:bCs/>
          <w:color w:val="000000" w:themeColor="text1"/>
          <w:sz w:val="32"/>
          <w:szCs w:val="32"/>
          <w:highlight w:val="none"/>
          <w14:textFill>
            <w14:solidFill>
              <w14:schemeClr w14:val="tx1"/>
            </w14:solidFill>
          </w14:textFill>
        </w:rPr>
        <w:t>评审办法前附表</w:t>
      </w:r>
    </w:p>
    <w:tbl>
      <w:tblPr>
        <w:tblStyle w:val="44"/>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52"/>
        <w:gridCol w:w="1573"/>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22" w:type="dxa"/>
            <w:gridSpan w:val="2"/>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条款号及名称</w:t>
            </w:r>
          </w:p>
        </w:tc>
        <w:tc>
          <w:tcPr>
            <w:tcW w:w="1573" w:type="dxa"/>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评审因素</w:t>
            </w:r>
          </w:p>
        </w:tc>
        <w:tc>
          <w:tcPr>
            <w:tcW w:w="5676" w:type="dxa"/>
            <w:vAlign w:val="center"/>
          </w:tcPr>
          <w:p>
            <w:pPr>
              <w:widowControl/>
              <w:adjustRightInd w:val="0"/>
              <w:snapToGrid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1</w:t>
            </w:r>
          </w:p>
        </w:tc>
        <w:tc>
          <w:tcPr>
            <w:tcW w:w="1252"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评审方法</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评审方法</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lang w:eastAsia="zh-CN"/>
                <w14:textFill>
                  <w14:solidFill>
                    <w14:schemeClr w14:val="tx1"/>
                  </w14:solidFill>
                </w14:textFill>
              </w:rPr>
              <w:t>最低价</w:t>
            </w:r>
            <w:r>
              <w:rPr>
                <w:rFonts w:hint="eastAsia" w:cs="仿宋" w:asciiTheme="minorEastAsia" w:hAnsiTheme="minorEastAsia" w:eastAsiaTheme="minorEastAsia"/>
                <w:color w:val="000000" w:themeColor="text1"/>
                <w:szCs w:val="21"/>
                <w:highlight w:val="none"/>
                <w14:textFill>
                  <w14:solidFill>
                    <w14:schemeClr w14:val="tx1"/>
                  </w14:solidFill>
                </w14:textFill>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2.1.1</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形式评审标准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供应商名称</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w:t>
            </w:r>
            <w:r>
              <w:rPr>
                <w:rFonts w:ascii="宋体" w:hAnsi="宋体"/>
                <w:color w:val="000000" w:themeColor="text1"/>
                <w:szCs w:val="21"/>
                <w:highlight w:val="none"/>
                <w14:textFill>
                  <w14:solidFill>
                    <w14:schemeClr w14:val="tx1"/>
                  </w14:solidFill>
                </w14:textFill>
              </w:rPr>
              <w:t>营业执照</w:t>
            </w:r>
            <w:r>
              <w:rPr>
                <w:rFonts w:hint="eastAsia" w:ascii="宋体" w:hAnsi="宋体"/>
                <w:color w:val="000000" w:themeColor="text1"/>
                <w:szCs w:val="21"/>
                <w:highlight w:val="none"/>
                <w14:textFill>
                  <w14:solidFill>
                    <w14:schemeClr w14:val="tx1"/>
                  </w14:solidFill>
                </w14:textFill>
              </w:rPr>
              <w:t>或事业单位法人证书</w:t>
            </w:r>
            <w:r>
              <w:rPr>
                <w:rFonts w:ascii="宋体" w:hAnsi="宋体"/>
                <w:color w:val="000000" w:themeColor="text1"/>
                <w:szCs w:val="21"/>
                <w:highlight w:val="none"/>
                <w14:textFill>
                  <w14:solidFill>
                    <w14:schemeClr w14:val="tx1"/>
                  </w14:solidFill>
                </w14:textFill>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响应文件签字盖章</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vAlign w:val="center"/>
          </w:tcPr>
          <w:p>
            <w:pPr>
              <w:widowControl w:val="0"/>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响应文件格式</w:t>
            </w:r>
          </w:p>
        </w:tc>
        <w:tc>
          <w:tcPr>
            <w:tcW w:w="5676" w:type="dxa"/>
            <w:vAlign w:val="center"/>
          </w:tcPr>
          <w:p>
            <w:pPr>
              <w:widowControl w:val="0"/>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符合第六章“响应文件格式”的要求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报价唯一</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2.1.2</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资格评审标准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依法设立</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资质要求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财务要求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业绩要求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信誉要求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人员要求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无符合第一章第3.1款及供应商须知前附表第3.5（6）款规定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其他要求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不存在第一章第3.1款情形</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联合体供应商</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2.1.3</w:t>
            </w:r>
          </w:p>
        </w:tc>
        <w:tc>
          <w:tcPr>
            <w:tcW w:w="1252" w:type="dxa"/>
            <w:vMerge w:val="restart"/>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响应性评审标准</w:t>
            </w: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报价</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响应文件有效期</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响应方案</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服务要求</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完成期限</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合同条款</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70"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252" w:type="dxa"/>
            <w:vMerge w:val="continue"/>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对非关键条款的偏差</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2.2.2</w:t>
            </w:r>
          </w:p>
        </w:tc>
        <w:tc>
          <w:tcPr>
            <w:tcW w:w="1252"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tc>
        <w:tc>
          <w:tcPr>
            <w:tcW w:w="1573"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评审价格</w:t>
            </w:r>
          </w:p>
        </w:tc>
        <w:tc>
          <w:tcPr>
            <w:tcW w:w="5676"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符合第三章第2.2.2项的规定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1" w:type="dxa"/>
            <w:gridSpan w:val="4"/>
            <w:vAlign w:val="top"/>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Align w:val="top"/>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szCs w:val="21"/>
              </w:rPr>
              <w:t>条款号</w:t>
            </w:r>
          </w:p>
        </w:tc>
        <w:tc>
          <w:tcPr>
            <w:tcW w:w="1573" w:type="dxa"/>
            <w:vAlign w:val="top"/>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szCs w:val="21"/>
              </w:rPr>
              <w:t>条款内容</w:t>
            </w:r>
          </w:p>
        </w:tc>
        <w:tc>
          <w:tcPr>
            <w:tcW w:w="5676" w:type="dxa"/>
            <w:vAlign w:val="top"/>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Align w:val="top"/>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szCs w:val="21"/>
              </w:rPr>
              <w:t>3</w:t>
            </w:r>
          </w:p>
        </w:tc>
        <w:tc>
          <w:tcPr>
            <w:tcW w:w="1573" w:type="dxa"/>
            <w:vAlign w:val="center"/>
          </w:tcPr>
          <w:p>
            <w:pPr>
              <w:widowControl w:val="0"/>
              <w:spacing w:line="288" w:lineRule="auto"/>
              <w:jc w:val="center"/>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szCs w:val="21"/>
              </w:rPr>
              <w:t>报价</w:t>
            </w:r>
          </w:p>
        </w:tc>
        <w:tc>
          <w:tcPr>
            <w:tcW w:w="5676" w:type="dxa"/>
            <w:vAlign w:val="top"/>
          </w:tcPr>
          <w:p>
            <w:pPr>
              <w:widowControl w:val="0"/>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szCs w:val="21"/>
              </w:rPr>
              <w:t>根据</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条规定，</w:t>
            </w:r>
            <w:r>
              <w:rPr>
                <w:rFonts w:hint="eastAsia" w:cs="仿宋" w:asciiTheme="minorEastAsia" w:hAnsiTheme="minorEastAsia" w:eastAsiaTheme="minorEastAsia"/>
                <w:szCs w:val="21"/>
              </w:rPr>
              <w:t>按照</w:t>
            </w:r>
            <w:r>
              <w:rPr>
                <w:rFonts w:hint="eastAsia" w:cs="仿宋" w:asciiTheme="minorEastAsia" w:hAnsiTheme="minorEastAsia" w:eastAsiaTheme="minorEastAsia"/>
                <w:szCs w:val="21"/>
                <w:lang w:eastAsia="zh-CN"/>
              </w:rPr>
              <w:t>投标价</w:t>
            </w:r>
            <w:r>
              <w:rPr>
                <w:rFonts w:hint="eastAsia" w:cs="仿宋" w:asciiTheme="minorEastAsia" w:hAnsiTheme="minorEastAsia" w:eastAsiaTheme="minorEastAsia"/>
                <w:szCs w:val="21"/>
                <w:lang w:val="en-US" w:eastAsia="zh-CN"/>
              </w:rPr>
              <w:t>由高到低</w:t>
            </w:r>
            <w:r>
              <w:rPr>
                <w:rFonts w:hint="eastAsia" w:cs="仿宋" w:asciiTheme="minorEastAsia" w:hAnsiTheme="minorEastAsia" w:eastAsiaTheme="minorEastAsia"/>
                <w:szCs w:val="21"/>
              </w:rPr>
              <w:t>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p>
          <w:p>
            <w:pPr>
              <w:widowControl/>
              <w:adjustRightInd w:val="0"/>
              <w:snapToGrid w:val="0"/>
              <w:spacing w:line="288" w:lineRule="auto"/>
              <w:jc w:val="both"/>
              <w:rPr>
                <w:rFonts w:cs="仿宋" w:asciiTheme="minorEastAsia" w:hAnsiTheme="minorEastAsia" w:eastAsiaTheme="minorEastAsia"/>
                <w:color w:val="000000" w:themeColor="text1"/>
                <w:szCs w:val="21"/>
                <w:highlight w:val="none"/>
                <w14:textFill>
                  <w14:solidFill>
                    <w14:schemeClr w14:val="tx1"/>
                  </w14:solidFill>
                </w14:textFill>
              </w:rPr>
            </w:pPr>
            <w:r>
              <w:rPr>
                <w:rFonts w:hint="eastAsia" w:cs="仿宋" w:asciiTheme="minorEastAsia" w:hAnsiTheme="minorEastAsia" w:eastAsiaTheme="minorEastAsia"/>
                <w:color w:val="000000" w:themeColor="text1"/>
                <w:szCs w:val="21"/>
                <w:highlight w:val="none"/>
                <w14:textFill>
                  <w14:solidFill>
                    <w14:schemeClr w14:val="tx1"/>
                  </w14:solidFill>
                </w14:textFill>
              </w:rPr>
              <w:t>3.3</w:t>
            </w:r>
          </w:p>
        </w:tc>
        <w:tc>
          <w:tcPr>
            <w:tcW w:w="2825" w:type="dxa"/>
            <w:gridSpan w:val="2"/>
          </w:tcPr>
          <w:p>
            <w:pPr>
              <w:widowControl/>
              <w:adjustRightInd w:val="0"/>
              <w:snapToGrid w:val="0"/>
              <w:spacing w:line="288" w:lineRule="auto"/>
              <w:jc w:val="center"/>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jc w:val="both"/>
              <w:rPr>
                <w:rFonts w:ascii="宋体" w:hAnsi="宋体"/>
                <w:color w:val="000000" w:themeColor="text1"/>
                <w:szCs w:val="21"/>
                <w:highlight w:val="none"/>
                <w14:textFill>
                  <w14:solidFill>
                    <w14:schemeClr w14:val="tx1"/>
                  </w14:solidFill>
                </w14:textFill>
              </w:rPr>
            </w:pPr>
          </w:p>
          <w:p>
            <w:pPr>
              <w:widowControl/>
              <w:adjustRightInd w:val="0"/>
              <w:snapToGrid w:val="0"/>
              <w:spacing w:line="288" w:lineRule="auto"/>
              <w:ind w:firstLine="210" w:firstLineChars="100"/>
              <w:jc w:val="both"/>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理论成本价</w:t>
            </w:r>
            <w:r>
              <w:rPr>
                <w:rFonts w:hint="eastAsia" w:ascii="宋体" w:hAnsi="宋体"/>
                <w:color w:val="000000" w:themeColor="text1"/>
                <w:szCs w:val="21"/>
                <w:highlight w:val="none"/>
                <w14:textFill>
                  <w14:solidFill>
                    <w14:schemeClr w14:val="tx1"/>
                  </w14:solidFill>
                </w14:textFill>
              </w:rPr>
              <w:t>计算办法</w:t>
            </w:r>
          </w:p>
        </w:tc>
        <w:tc>
          <w:tcPr>
            <w:tcW w:w="5676" w:type="dxa"/>
          </w:tcPr>
          <w:p>
            <w:pPr>
              <w:widowControl w:val="0"/>
              <w:adjustRightInd w:val="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理论成本价</w:t>
            </w:r>
            <w:r>
              <w:rPr>
                <w:rFonts w:hint="eastAsia" w:ascii="宋体" w:hAnsi="宋体"/>
                <w:color w:val="000000" w:themeColor="text1"/>
                <w:szCs w:val="21"/>
                <w:highlight w:val="none"/>
                <w14:textFill>
                  <w14:solidFill>
                    <w14:schemeClr w14:val="tx1"/>
                  </w14:solidFill>
                </w14:textFill>
              </w:rPr>
              <w:t>的确定:</w:t>
            </w:r>
          </w:p>
          <w:p>
            <w:pPr>
              <w:widowControl w:val="0"/>
              <w:adjustRightInd w:val="0"/>
              <w:snapToGrid w:val="0"/>
              <w:ind w:firstLine="151" w:firstLineChars="72"/>
              <w:jc w:val="both"/>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理论成本价</w:t>
            </w:r>
            <w:r>
              <w:rPr>
                <w:rFonts w:hint="eastAsia" w:ascii="宋体" w:hAnsi="宋体"/>
                <w:color w:val="000000" w:themeColor="text1"/>
                <w:szCs w:val="21"/>
                <w:highlight w:val="none"/>
                <w14:textFill>
                  <w14:solidFill>
                    <w14:schemeClr w14:val="tx1"/>
                  </w14:solidFill>
                </w14:textFill>
              </w:rPr>
              <w:t>＝（招标人最高投标限价</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通过初步评审的所有投标人投标报价</w:t>
            </w:r>
            <w:r>
              <w:rPr>
                <w:rFonts w:ascii="宋体" w:hAnsi="宋体"/>
                <w:color w:val="000000" w:themeColor="text1"/>
                <w:szCs w:val="21"/>
                <w:highlight w:val="none"/>
                <w14:textFill>
                  <w14:solidFill>
                    <w14:schemeClr w14:val="tx1"/>
                  </w14:solidFill>
                </w14:textFill>
              </w:rPr>
              <w:t>的算术平均值×</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88。</w:t>
            </w:r>
          </w:p>
          <w:p>
            <w:pPr>
              <w:widowControl/>
              <w:tabs>
                <w:tab w:val="left" w:pos="2108"/>
              </w:tabs>
              <w:adjustRightInd w:val="0"/>
              <w:snapToGrid w:val="0"/>
              <w:spacing w:line="288" w:lineRule="auto"/>
              <w:jc w:val="both"/>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）投标人投标报价低于理论成本价的，其投标将被否决，作废标处理。</w:t>
            </w:r>
          </w:p>
        </w:tc>
      </w:tr>
    </w:tbl>
    <w:p>
      <w:pPr>
        <w:adjustRightInd w:val="0"/>
        <w:snapToGrid w:val="0"/>
        <w:spacing w:line="312" w:lineRule="auto"/>
        <w:ind w:firstLine="2400" w:firstLineChars="1000"/>
        <w:jc w:val="both"/>
        <w:rPr>
          <w:rFonts w:ascii="宋体" w:hAnsi="宋体" w:cs="仿宋"/>
          <w:b/>
          <w:bCs/>
          <w:sz w:val="36"/>
          <w:szCs w:val="36"/>
        </w:rPr>
      </w:pPr>
      <w:r>
        <w:rPr>
          <w:rFonts w:hint="eastAsia" w:ascii="宋体" w:hAnsi="宋体" w:cs="仿宋"/>
          <w:color w:val="000000" w:themeColor="text1"/>
          <w:sz w:val="24"/>
          <w:highlight w:val="none"/>
          <w14:textFill>
            <w14:solidFill>
              <w14:schemeClr w14:val="tx1"/>
            </w14:solidFill>
          </w14:textFill>
        </w:rPr>
        <w:br w:type="page"/>
      </w:r>
      <w:r>
        <w:rPr>
          <w:rFonts w:hint="eastAsia" w:ascii="宋体" w:hAnsi="宋体" w:cs="仿宋"/>
          <w:color w:val="000000" w:themeColor="text1"/>
          <w:sz w:val="24"/>
          <w:highlight w:val="none"/>
          <w:lang w:val="en-US" w:eastAsia="zh-CN"/>
          <w14:textFill>
            <w14:solidFill>
              <w14:schemeClr w14:val="tx1"/>
            </w14:solidFill>
          </w14:textFill>
        </w:rPr>
        <w:t xml:space="preserve">          </w:t>
      </w:r>
      <w:bookmarkEnd w:id="15"/>
      <w:bookmarkEnd w:id="16"/>
      <w:bookmarkStart w:id="17" w:name="_Toc15767"/>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评审小组对评审价格进行比较且不低于理论成本价后，按照评审价格由低到高的顺序对供应商排序。供应商评审价格相等时，按照评审办法前附表的规定确定供应商优先顺序。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snapToGrid w:val="0"/>
        <w:spacing w:line="360" w:lineRule="auto"/>
        <w:jc w:val="both"/>
        <w:outlineLvl w:val="0"/>
        <w:rPr>
          <w:rFonts w:hint="eastAsia" w:ascii="黑体" w:hAnsi="黑体" w:eastAsia="黑体" w:cs="宋体"/>
          <w:kern w:val="44"/>
          <w:sz w:val="32"/>
          <w:szCs w:val="32"/>
        </w:rPr>
      </w:pPr>
    </w:p>
    <w:p>
      <w:pPr>
        <w:widowControl w:val="0"/>
        <w:snapToGrid w:val="0"/>
        <w:spacing w:after="0" w:line="490" w:lineRule="exact"/>
        <w:outlineLvl w:val="0"/>
        <w:rPr>
          <w:rFonts w:hint="eastAsia" w:ascii="黑体" w:hAnsi="黑体" w:eastAsia="黑体" w:cs="宋体"/>
          <w:color w:val="000000"/>
          <w:kern w:val="44"/>
          <w:sz w:val="32"/>
          <w:szCs w:val="32"/>
          <w:highlight w:val="none"/>
        </w:rPr>
      </w:pPr>
    </w:p>
    <w:bookmarkEnd w:id="17"/>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hint="eastAsia" w:ascii="黑体" w:hAnsi="黑体" w:eastAsia="黑体" w:cs="仿宋"/>
          <w:b/>
          <w:color w:val="000000"/>
          <w:sz w:val="36"/>
          <w:szCs w:val="36"/>
          <w:shd w:val="clear" w:color="auto" w:fill="auto"/>
        </w:rPr>
      </w:pPr>
    </w:p>
    <w:p>
      <w:pPr>
        <w:pStyle w:val="41"/>
        <w:ind w:firstLine="2891" w:firstLineChars="800"/>
        <w:rPr>
          <w:rFonts w:ascii="黑体" w:hAnsi="黑体" w:eastAsia="黑体" w:cs="仿宋"/>
          <w:b/>
          <w:color w:val="000000"/>
          <w:sz w:val="36"/>
          <w:szCs w:val="36"/>
          <w:shd w:val="clear" w:color="auto" w:fill="auto"/>
        </w:rPr>
      </w:pPr>
      <w:r>
        <w:rPr>
          <w:rFonts w:hint="eastAsia" w:ascii="黑体" w:hAnsi="黑体" w:eastAsia="黑体" w:cs="仿宋"/>
          <w:b/>
          <w:color w:val="000000"/>
          <w:sz w:val="36"/>
          <w:szCs w:val="36"/>
          <w:shd w:val="clear" w:color="auto" w:fill="auto"/>
        </w:rPr>
        <w:t>第四章  合同条款及格式</w:t>
      </w:r>
    </w:p>
    <w:p>
      <w:pPr>
        <w:spacing w:line="312" w:lineRule="auto"/>
        <w:ind w:firstLine="544" w:firstLineChars="227"/>
        <w:jc w:val="both"/>
        <w:rPr>
          <w:rFonts w:cs="仿宋" w:asciiTheme="minorEastAsia" w:hAnsiTheme="minorEastAsia" w:eastAsiaTheme="minorEastAsia"/>
          <w:color w:val="auto"/>
          <w:sz w:val="24"/>
          <w:shd w:val="clear" w:color="auto" w:fill="auto"/>
        </w:rPr>
      </w:pPr>
    </w:p>
    <w:p>
      <w:pPr>
        <w:adjustRightInd w:val="0"/>
        <w:snapToGrid w:val="0"/>
        <w:spacing w:line="312" w:lineRule="auto"/>
        <w:jc w:val="center"/>
        <w:outlineLvl w:val="1"/>
        <w:rPr>
          <w:rFonts w:ascii="宋体" w:hAnsi="宋体"/>
          <w:b/>
          <w:color w:val="000000"/>
          <w:sz w:val="24"/>
          <w:highlight w:val="none"/>
          <w:shd w:val="clear" w:color="auto" w:fill="auto"/>
        </w:rPr>
      </w:pPr>
      <w:r>
        <w:rPr>
          <w:rFonts w:ascii="宋体" w:hAnsi="宋体"/>
          <w:b/>
          <w:color w:val="000000"/>
          <w:sz w:val="24"/>
          <w:highlight w:val="none"/>
          <w:shd w:val="clear" w:color="auto" w:fill="auto"/>
        </w:rPr>
        <w:t>第</w:t>
      </w:r>
      <w:r>
        <w:rPr>
          <w:rFonts w:hint="eastAsia" w:ascii="宋体" w:hAnsi="宋体"/>
          <w:b/>
          <w:color w:val="000000"/>
          <w:sz w:val="24"/>
          <w:highlight w:val="none"/>
          <w:shd w:val="clear" w:color="auto" w:fill="auto"/>
        </w:rPr>
        <w:t>一</w:t>
      </w:r>
      <w:r>
        <w:rPr>
          <w:rFonts w:ascii="宋体" w:hAnsi="宋体"/>
          <w:b/>
          <w:color w:val="000000"/>
          <w:sz w:val="24"/>
          <w:highlight w:val="none"/>
          <w:shd w:val="clear" w:color="auto" w:fill="auto"/>
        </w:rPr>
        <w:t>节  通用合同条款</w:t>
      </w:r>
    </w:p>
    <w:p>
      <w:pPr>
        <w:adjustRightInd w:val="0"/>
        <w:snapToGrid w:val="0"/>
        <w:spacing w:line="312" w:lineRule="auto"/>
        <w:rPr>
          <w:rFonts w:ascii="宋体" w:hAnsi="宋体"/>
          <w:color w:val="000000"/>
          <w:sz w:val="24"/>
          <w:highlight w:val="none"/>
          <w:shd w:val="clear" w:color="auto" w:fill="auto"/>
        </w:rPr>
      </w:pPr>
      <w:bookmarkStart w:id="18" w:name="_Toc189386103"/>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19" w:name="_Toc76056666"/>
      <w:r>
        <w:rPr>
          <w:rFonts w:ascii="宋体" w:hAnsi="宋体"/>
          <w:bCs w:val="0"/>
          <w:color w:val="000000"/>
          <w:sz w:val="24"/>
          <w:szCs w:val="24"/>
          <w:highlight w:val="none"/>
          <w:shd w:val="clear" w:color="auto" w:fill="auto"/>
        </w:rPr>
        <w:t>1．一般约定</w:t>
      </w:r>
      <w:bookmarkEnd w:id="18"/>
      <w:bookmarkEnd w:id="19"/>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0" w:name="_Toc511318046"/>
      <w:bookmarkStart w:id="21" w:name="_Toc511317297"/>
      <w:bookmarkStart w:id="22" w:name="_Toc189386104"/>
      <w:r>
        <w:rPr>
          <w:rFonts w:ascii="宋体" w:hAnsi="宋体"/>
          <w:b/>
          <w:bCs/>
          <w:color w:val="000000"/>
          <w:kern w:val="0"/>
          <w:sz w:val="24"/>
          <w:highlight w:val="none"/>
          <w:shd w:val="clear" w:color="auto" w:fill="auto"/>
        </w:rPr>
        <w:t>1.1 词语定义</w:t>
      </w:r>
      <w:bookmarkEnd w:id="20"/>
      <w:bookmarkEnd w:id="21"/>
      <w:bookmarkEnd w:id="2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通用合同条款、专用合同条款中的下列词语应具有本款所赋予的含义。</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1.1.1  合同</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合同文件（或称合同）：指合同协议书、中标通知书、投标函及投标函附录、专用合同条款、通用合同条款、技术标准和要求、图纸、已标价工程量清单，以及其他合同文件。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合同协议书：指第1.5款所指的合同协议书。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中标通知书：指发包人通知承包人中标的函件。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投标函：指构成合同文件组成部分的由承包人填写并签署的投标函。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1.1.1.5  投标函附录：指附在投标函后构成合同文件的投标函附录。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1.1.1.6  技术标准和要求：指构成合同文件组成部分的名为技术标准和要求（合同技术条款）的文件，包括合同双方当事人约定对其所作的修改或补充。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1.1.1.8  已标价工程量清单：指构成合同文件组成部分的由承包人按照规定的格式和要求填写并标明价格的工程量清单。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1.1.1.9  其他合同文件：指经合同双方当事人确认构成合同文件的其他文件。</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合同当事人:指发包人和（或）承包人。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发包人：指专用合同条款中指明并与承包人在合同协议书中签字的当事人。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1.1.2.3  承包人：指专用合同条款中指明并与发包人在合同协议书中签字的当事人。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1.1.2.4  承包人项目经理：指承包人派驻施工场地的全权负责人。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1.1.2.5  分包人：指专用合同条款中指明的，从承包人处分包合同中某一部分工程，并与其签订分包合同的分包人。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1.1.2.6  监理人：指在专用合同条款中指明的，受发包人委托对合同履行实施管理的法人或其他组织。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1.1.2.7  总监理工程师（总监）：指由监理人委派常驻施工场地对合同履行实施管理的全权负责人。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1.1.3  工程和设备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  工程：指永久工程和（或）临时工程。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1.1.3.2  永久工程：指按合同约定建造并移交给发包人的工程，包括工程设备。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1.1.3.3  临时工程：指为完成合同约定的永久工程所修建的各类临时性工程，不包括施工设备。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1.1.3.4  单位工程：指专用合同条款中指明特定范围的永久工程。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1.1.3.5  工程设备：指构成或计划构成永久工程一部分的机电设备、金属结构设备、仪器装置及其他类似的设备和装置。</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1.1.3.6  施工设备：指为完成合同约定的各项工作所需的设备、器具和其他物品，不包括临时工程和材料。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1.1.3.7  临时设施：指为完成合同约定的各项工作所服务的临时性生产和生活设施。</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1.1.3.8  承包人设备：指承包人自带的施工设备。</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1.1.3.9  施工场地（或称工地、现场）：指用于合同工程施工的场所，以及在合同中指定作为施工场地组成部分的其他场所，包括永久占地和临时占地。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1.1.3.10 永久占地：指发包人为建设本合同工程永久征用的场地。</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1.1.3.11 临时占地：指发包人为建设本合同工程临时征用，承包人在完工后须按合同要求退还的场地。</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1.1.4  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1.1.4.1  开工通知：指监理人按第11.1款通知承包人开工的函件。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1.1.4.2  开工日期：指监理人按第11.1款发出的开工通知中写明的开工日期。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1.1.4.3  工期：指承包人在投标函中承诺的完成合同工程所需的期限，包括按第11.3 款、第11.4款和第11.6款约定所作的变更。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1.1.4.4  竣工日期：即合同工程完工日期，指第1.1.4.3目约定工期届满时的日期。实际完工日期以合同工程完工证书中写明的日期为准。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1.1.4.5  缺陷责任期：即工程质量保修期，指履行第19.2款约定的缺陷责任的期限，包括根据第19.3款约定所作的延长，具体期限由专用合同条款约定。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1.1.4.6  基准日期：指投标截止时间前28天的日期。</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1.1.4.7  天：除特别指明外，指日历天。合同中按天计算时间的，开始当天不计入，从次日开始计算。期限最后一天的截止时间为当天24:00。</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1.1.5  合同价格和费用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1.1.5.1  签约合同价：指签定合同时合同协议书中写明的，包括了暂列金额、暂估价的合同总金额。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1.1.5.2  合同价格：指承包人按合同约定完成了包括缺陷责任期内的全部承包工作后，发包人应付给承包人的金额，包括在履行合同过程中按合同约定进行的变更和调整。</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1.1.5.3  费用：指为履行合同所发生的或将要发生的所有合理开支，包括管理费和应分摊的其他费用，但不包括利润。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1.1.5.4  暂列金额：指已标价工程量清单中所列的暂列金额，用于在签订协议书时尚未确定或不可预见变更的施工及其所需材料、工程设备、服务等的金额，包括以计日工方式支付的金额。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1.1.5.5  暂估价：指发包人在工程量清单中给定的用于支付必然发生但暂时不能确定价格的材料、设备以及专业工程的金额。</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1.1.5.6  计日工：指对零星工作采取的一种计价方式，按合同中的计日工子目及其单价计价付款。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1.1.5.7  质量保证金（或称保留金）：指按第17.4.1项约定用于保证在缺陷责任期内履行缺陷修复义务的金额。</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1.1.6 其他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1.1.6.1  书面形式：指合同文件、信函、电报、传真等可以有形地表现所载内容的形式。</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3" w:name="_Toc511317298"/>
      <w:bookmarkStart w:id="24" w:name="_Toc511318047"/>
      <w:bookmarkStart w:id="25" w:name="_Toc189386105"/>
      <w:r>
        <w:rPr>
          <w:rFonts w:ascii="宋体" w:hAnsi="宋体"/>
          <w:b/>
          <w:bCs/>
          <w:color w:val="000000"/>
          <w:kern w:val="0"/>
          <w:sz w:val="24"/>
          <w:highlight w:val="none"/>
          <w:shd w:val="clear" w:color="auto" w:fill="auto"/>
        </w:rPr>
        <w:t>1.2 语言文字</w:t>
      </w:r>
      <w:bookmarkEnd w:id="23"/>
      <w:bookmarkEnd w:id="24"/>
      <w:bookmarkEnd w:id="2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除专用术语外，合同使用的语言文字为中文。必要时专用术语应附有中文注释。</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6" w:name="_Toc189386106"/>
      <w:bookmarkStart w:id="27" w:name="_Toc511317299"/>
      <w:bookmarkStart w:id="28" w:name="_Toc511318048"/>
      <w:r>
        <w:rPr>
          <w:rFonts w:ascii="宋体" w:hAnsi="宋体"/>
          <w:b/>
          <w:bCs/>
          <w:color w:val="000000"/>
          <w:kern w:val="0"/>
          <w:sz w:val="24"/>
          <w:highlight w:val="none"/>
          <w:shd w:val="clear" w:color="auto" w:fill="auto"/>
        </w:rPr>
        <w:t>1.3 法律</w:t>
      </w:r>
      <w:bookmarkEnd w:id="26"/>
      <w:bookmarkEnd w:id="27"/>
      <w:bookmarkEnd w:id="28"/>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适用于合同的法律包括中华人民共和国法律、行政法规、部门规章，以及工程所在地的地方法规、自治条例、单行条例和地方政府规章。</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29" w:name="_Toc189386107"/>
      <w:bookmarkStart w:id="30" w:name="_Toc511318049"/>
      <w:bookmarkStart w:id="31" w:name="_Toc511317300"/>
      <w:r>
        <w:rPr>
          <w:rFonts w:ascii="宋体" w:hAnsi="宋体"/>
          <w:b/>
          <w:bCs/>
          <w:color w:val="000000"/>
          <w:kern w:val="0"/>
          <w:sz w:val="24"/>
          <w:highlight w:val="none"/>
          <w:shd w:val="clear" w:color="auto" w:fill="auto"/>
        </w:rPr>
        <w:t>1.4 合同文件的优先顺序</w:t>
      </w:r>
      <w:bookmarkEnd w:id="29"/>
      <w:bookmarkEnd w:id="30"/>
      <w:bookmarkEnd w:id="3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组成合同的各项文件应互相解释，互为说明。除专用合同条款另有约定外，解释合同文件的优先顺序如下：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（1）合同协议书；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（2）中标通知书；</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（3）投标函及投标函附录；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（4）专用合同条款；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（5）通用合同条款；</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（6）技术标准和要求；</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（7）图纸；</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（8）已标价工程量清单；</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（9）其他合同文件。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2" w:name="_Toc511318050"/>
      <w:bookmarkStart w:id="33" w:name="_Toc511317301"/>
      <w:bookmarkStart w:id="34" w:name="_Toc189386108"/>
      <w:r>
        <w:rPr>
          <w:rFonts w:ascii="宋体" w:hAnsi="宋体"/>
          <w:b/>
          <w:bCs/>
          <w:color w:val="000000"/>
          <w:kern w:val="0"/>
          <w:sz w:val="24"/>
          <w:highlight w:val="none"/>
          <w:shd w:val="clear" w:color="auto" w:fill="auto"/>
        </w:rPr>
        <w:t>1.5 合同协议书</w:t>
      </w:r>
      <w:bookmarkEnd w:id="32"/>
      <w:bookmarkEnd w:id="33"/>
      <w:bookmarkEnd w:id="3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承包人按中标通知书规定的时间与发包人签订合同协议书。除法律另有规定或合同另有约定外，发包人和承包人的法定代表人或其委托代理人在合同协议书上签字并盖单位章后，合同生效。</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5" w:name="_Toc511318051"/>
      <w:bookmarkStart w:id="36" w:name="_Toc511317302"/>
      <w:bookmarkStart w:id="37" w:name="_Toc189386109"/>
      <w:r>
        <w:rPr>
          <w:rFonts w:ascii="宋体" w:hAnsi="宋体"/>
          <w:b/>
          <w:bCs/>
          <w:color w:val="000000"/>
          <w:kern w:val="0"/>
          <w:sz w:val="24"/>
          <w:highlight w:val="none"/>
          <w:shd w:val="clear" w:color="auto" w:fill="auto"/>
        </w:rPr>
        <w:t>1.6 图纸和承包人文件</w:t>
      </w:r>
      <w:bookmarkEnd w:id="35"/>
      <w:bookmarkEnd w:id="36"/>
      <w:bookmarkEnd w:id="37"/>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1.6.1  图纸的提供</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发包人应按技术标准和要求（合同技术条款）约定的期限和数量将施工图纸以及其它图纸（包括配套说明和有关资料）提供给承包人。由于发包人未按时提供图纸造成工期延误的，按第11.3款的约定办理。</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1.6.2  承包人提供的文件</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承包人提供的文件应按技术标准和要求（合同技术条款）约定的期限和数量提供给监理人。监理人应按技术标准和要求（合同技术条款）约定的期限批复承包人。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1.6.3  图纸的修改</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1.6.4  图纸的错误</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承包人发现发包人提供的图纸存在明显错误或疏忽，应及时通知监理人。</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1.6.5  图纸和承包人文件的保管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监理人和承包人均应在施工场地各保存一套完整的包含第1.6.1项、第1.6.2 项、第1.6.3 项约定内容的图纸和承包人文件。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38" w:name="_Toc511318052"/>
      <w:bookmarkStart w:id="39" w:name="_Toc189386110"/>
      <w:bookmarkStart w:id="40" w:name="_Toc511317303"/>
      <w:r>
        <w:rPr>
          <w:rFonts w:ascii="宋体" w:hAnsi="宋体"/>
          <w:b/>
          <w:bCs/>
          <w:color w:val="000000"/>
          <w:kern w:val="0"/>
          <w:sz w:val="24"/>
          <w:highlight w:val="none"/>
          <w:shd w:val="clear" w:color="auto" w:fill="auto"/>
        </w:rPr>
        <w:t>1.7 联络</w:t>
      </w:r>
      <w:bookmarkEnd w:id="38"/>
      <w:bookmarkEnd w:id="39"/>
      <w:bookmarkEnd w:id="4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1.7.1  与合同有关的通知、批准、证明、证书、指示、要求、请求、同意、意见、确定和决定等，均应采用书面形式。</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1.7.2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1.7.3  来往函件均应按合同约定的期限及时发出和答复，不得无故扣压和拖延，亦不得拒收。否则，由此造成的后果由责任方负责。</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1" w:name="_Toc189386111"/>
      <w:bookmarkStart w:id="42" w:name="_Toc511317304"/>
      <w:bookmarkStart w:id="43" w:name="_Toc511318053"/>
      <w:r>
        <w:rPr>
          <w:rFonts w:ascii="宋体" w:hAnsi="宋体"/>
          <w:b/>
          <w:bCs/>
          <w:color w:val="000000"/>
          <w:kern w:val="0"/>
          <w:sz w:val="24"/>
          <w:highlight w:val="none"/>
          <w:shd w:val="clear" w:color="auto" w:fill="auto"/>
        </w:rPr>
        <w:t>1.8 转让</w:t>
      </w:r>
      <w:bookmarkEnd w:id="41"/>
      <w:bookmarkEnd w:id="42"/>
      <w:bookmarkEnd w:id="4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除合同另有约定外，未经对方当事人同意，一方当事人不得将合同权利全部或部分转让给第三人，也不得全部或部分转移合同义务。</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4" w:name="_Toc511317305"/>
      <w:bookmarkStart w:id="45" w:name="_Toc189386112"/>
      <w:bookmarkStart w:id="46" w:name="_Toc511318054"/>
      <w:r>
        <w:rPr>
          <w:rFonts w:ascii="宋体" w:hAnsi="宋体"/>
          <w:b/>
          <w:bCs/>
          <w:color w:val="000000"/>
          <w:kern w:val="0"/>
          <w:sz w:val="24"/>
          <w:highlight w:val="none"/>
          <w:shd w:val="clear" w:color="auto" w:fill="auto"/>
        </w:rPr>
        <w:t>1.9 严禁贿赂</w:t>
      </w:r>
      <w:bookmarkEnd w:id="44"/>
      <w:bookmarkEnd w:id="45"/>
      <w:bookmarkEnd w:id="4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合同双方当事人不得以贿赂或变相贿赂的方式，谋取不当利益或损害对方权益。因贿赂造成对方损失的，行为人应赔偿损失，并承担相应的法律责任。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47" w:name="_Toc511318055"/>
      <w:bookmarkStart w:id="48" w:name="_Toc511317306"/>
      <w:bookmarkStart w:id="49" w:name="_Toc189386113"/>
      <w:r>
        <w:rPr>
          <w:rFonts w:ascii="宋体" w:hAnsi="宋体"/>
          <w:b/>
          <w:bCs/>
          <w:color w:val="000000"/>
          <w:kern w:val="0"/>
          <w:sz w:val="24"/>
          <w:highlight w:val="none"/>
          <w:shd w:val="clear" w:color="auto" w:fill="auto"/>
        </w:rPr>
        <w:t>1.10 化石、文物</w:t>
      </w:r>
      <w:bookmarkEnd w:id="47"/>
      <w:bookmarkEnd w:id="48"/>
      <w:bookmarkEnd w:id="4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1.10.2  承包人发现文物后不及时报告或隐瞒不报，致使文物丢失或损坏的，应赔偿损失，并承担相应的法律责任。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0" w:name="_Toc511317307"/>
      <w:bookmarkStart w:id="51" w:name="_Toc511318056"/>
      <w:bookmarkStart w:id="52" w:name="_Toc189386114"/>
      <w:r>
        <w:rPr>
          <w:rFonts w:ascii="宋体" w:hAnsi="宋体"/>
          <w:b/>
          <w:bCs/>
          <w:color w:val="000000"/>
          <w:kern w:val="0"/>
          <w:sz w:val="24"/>
          <w:highlight w:val="none"/>
          <w:shd w:val="clear" w:color="auto" w:fill="auto"/>
        </w:rPr>
        <w:t>1.11 专利技术</w:t>
      </w:r>
      <w:bookmarkEnd w:id="50"/>
      <w:bookmarkEnd w:id="51"/>
      <w:bookmarkEnd w:id="5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1.11.1  承包人在使用任何材料、承包人设备、工程设备或采用施工工艺时，因侵犯专利权或其他知识产权所引起的责任，由承包人承担，但由于遵照发包人提供的设计或技术标准和要求引起的除外。</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1.11.2  承包人在投标文件中采用专利技术的，专利技术的使用费包含在投标报价内。</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1.11.3  承包人的技术秘密和声明需要保密的资料和信息，发包人和监理人不得为合同以外的目的泄露给他人。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1.11.4  合同实施过程中，发包人要求承包人采用专利技术的，发包人应办理相应的使用手续，承包人应按发包人约定的条件使用，并承担使用专利技术的相关试验工作，所需费用由发包人承担。</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3" w:name="_Toc511318057"/>
      <w:bookmarkStart w:id="54" w:name="_Toc511317308"/>
      <w:bookmarkStart w:id="55" w:name="_Toc189386115"/>
      <w:r>
        <w:rPr>
          <w:rFonts w:ascii="宋体" w:hAnsi="宋体"/>
          <w:b/>
          <w:bCs/>
          <w:color w:val="000000"/>
          <w:kern w:val="0"/>
          <w:sz w:val="24"/>
          <w:highlight w:val="none"/>
          <w:shd w:val="clear" w:color="auto" w:fill="auto"/>
        </w:rPr>
        <w:t>1.12 图纸和文件的保密</w:t>
      </w:r>
      <w:bookmarkEnd w:id="53"/>
      <w:bookmarkEnd w:id="54"/>
      <w:bookmarkEnd w:id="5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1.12.1  发包人提供的图纸和文件，未经发包人同意，承包人不得为合同以外的目的泄露给他人或公开发表与引用。</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1.12.2  承包人提供的文件，未经承包人同意，发包人和监理人不得为合同以外的目的泄露给他人或公开发表与引用。</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56" w:name="_Toc189386116"/>
      <w:bookmarkStart w:id="57" w:name="_Toc76056667"/>
      <w:r>
        <w:rPr>
          <w:rFonts w:ascii="宋体" w:hAnsi="宋体"/>
          <w:bCs w:val="0"/>
          <w:color w:val="000000"/>
          <w:sz w:val="24"/>
          <w:szCs w:val="24"/>
          <w:highlight w:val="none"/>
          <w:shd w:val="clear" w:color="auto" w:fill="auto"/>
        </w:rPr>
        <w:t>2．发包人义务</w:t>
      </w:r>
      <w:bookmarkEnd w:id="56"/>
      <w:bookmarkEnd w:id="57"/>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58" w:name="_Toc189386117"/>
      <w:bookmarkStart w:id="59" w:name="_Toc511317310"/>
      <w:bookmarkStart w:id="60" w:name="_Toc511318059"/>
      <w:r>
        <w:rPr>
          <w:rFonts w:ascii="宋体" w:hAnsi="宋体"/>
          <w:b/>
          <w:bCs/>
          <w:color w:val="000000"/>
          <w:kern w:val="0"/>
          <w:sz w:val="24"/>
          <w:highlight w:val="none"/>
          <w:shd w:val="clear" w:color="auto" w:fill="auto"/>
        </w:rPr>
        <w:t>2.1 遵守法律</w:t>
      </w:r>
      <w:bookmarkEnd w:id="58"/>
      <w:bookmarkEnd w:id="59"/>
      <w:bookmarkEnd w:id="60"/>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发包人在履行合同过程中应遵守法律，并保证承包人免于承担因发包人违反法律而引起的任何责任。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1" w:name="_Toc511318060"/>
      <w:bookmarkStart w:id="62" w:name="_Toc189386118"/>
      <w:bookmarkStart w:id="63" w:name="_Toc511317311"/>
      <w:r>
        <w:rPr>
          <w:rFonts w:ascii="宋体" w:hAnsi="宋体"/>
          <w:b/>
          <w:bCs/>
          <w:color w:val="000000"/>
          <w:kern w:val="0"/>
          <w:sz w:val="24"/>
          <w:highlight w:val="none"/>
          <w:shd w:val="clear" w:color="auto" w:fill="auto"/>
        </w:rPr>
        <w:t>2.2 发出开工通知</w:t>
      </w:r>
      <w:bookmarkEnd w:id="61"/>
      <w:bookmarkEnd w:id="62"/>
      <w:bookmarkEnd w:id="63"/>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发包人应委托监理人按第11.1款的约定向承包人发出开工通知。</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4" w:name="_Toc189386119"/>
      <w:bookmarkStart w:id="65" w:name="_Toc511318061"/>
      <w:bookmarkStart w:id="66" w:name="_Toc511317312"/>
      <w:r>
        <w:rPr>
          <w:rFonts w:ascii="宋体" w:hAnsi="宋体"/>
          <w:b/>
          <w:bCs/>
          <w:color w:val="000000"/>
          <w:kern w:val="0"/>
          <w:sz w:val="24"/>
          <w:highlight w:val="none"/>
          <w:shd w:val="clear" w:color="auto" w:fill="auto"/>
        </w:rPr>
        <w:t>2.3 提供施工场地</w:t>
      </w:r>
      <w:bookmarkEnd w:id="64"/>
      <w:bookmarkEnd w:id="65"/>
      <w:bookmarkEnd w:id="66"/>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2.3.1  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2.3.2  发包人提供的施工用地范围在专用合同条款中约定。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2.3.3  除专用合同条款另有约定外，发包人应按技术标准和要求（合同技术条款）的约定，向承包人提供施工场地内的工程地质图纸和报告，以及地下障碍物图纸等施工场地有关资料，并保证资料的真实、准确、完整。</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67" w:name="_Toc511317313"/>
      <w:bookmarkStart w:id="68" w:name="_Toc511318062"/>
      <w:bookmarkStart w:id="69" w:name="_Toc189386120"/>
      <w:r>
        <w:rPr>
          <w:rFonts w:ascii="宋体" w:hAnsi="宋体"/>
          <w:b/>
          <w:bCs/>
          <w:color w:val="000000"/>
          <w:kern w:val="0"/>
          <w:sz w:val="24"/>
          <w:highlight w:val="none"/>
          <w:shd w:val="clear" w:color="auto" w:fill="auto"/>
        </w:rPr>
        <w:t>2.4 协助承包人办理证件和批件</w:t>
      </w:r>
      <w:bookmarkEnd w:id="67"/>
      <w:bookmarkEnd w:id="68"/>
      <w:bookmarkEnd w:id="69"/>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发包人应协助承包人办理法律规定的有关施工证件和批件。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0" w:name="_Toc189386121"/>
      <w:bookmarkStart w:id="71" w:name="_Toc511317314"/>
      <w:bookmarkStart w:id="72" w:name="_Toc511318063"/>
      <w:r>
        <w:rPr>
          <w:rFonts w:ascii="宋体" w:hAnsi="宋体"/>
          <w:b/>
          <w:bCs/>
          <w:color w:val="000000"/>
          <w:kern w:val="0"/>
          <w:sz w:val="24"/>
          <w:highlight w:val="none"/>
          <w:shd w:val="clear" w:color="auto" w:fill="auto"/>
        </w:rPr>
        <w:t>2.5 组织设计交底</w:t>
      </w:r>
      <w:bookmarkEnd w:id="70"/>
      <w:bookmarkEnd w:id="71"/>
      <w:bookmarkEnd w:id="72"/>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发包人应根据合同进度计划，组织设计单位向承包人进行设计交底。</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3" w:name="_Toc511318064"/>
      <w:bookmarkStart w:id="74" w:name="_Toc511317315"/>
      <w:bookmarkStart w:id="75" w:name="_Toc189386122"/>
      <w:r>
        <w:rPr>
          <w:rFonts w:ascii="宋体" w:hAnsi="宋体"/>
          <w:b/>
          <w:bCs/>
          <w:color w:val="000000"/>
          <w:kern w:val="0"/>
          <w:sz w:val="24"/>
          <w:highlight w:val="none"/>
          <w:shd w:val="clear" w:color="auto" w:fill="auto"/>
        </w:rPr>
        <w:t>2.6 支付合同价款</w:t>
      </w:r>
      <w:bookmarkEnd w:id="73"/>
      <w:bookmarkEnd w:id="74"/>
      <w:bookmarkEnd w:id="7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发包人应按合同约定向承包人及时支付合同价款。</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6" w:name="_Toc511317316"/>
      <w:bookmarkStart w:id="77" w:name="_Toc511318065"/>
      <w:r>
        <w:rPr>
          <w:rFonts w:ascii="宋体" w:hAnsi="宋体"/>
          <w:b/>
          <w:bCs/>
          <w:color w:val="000000"/>
          <w:kern w:val="0"/>
          <w:sz w:val="24"/>
          <w:highlight w:val="none"/>
          <w:shd w:val="clear" w:color="auto" w:fill="auto"/>
        </w:rPr>
        <w:t>2.7  组织竣工验收（组织法人验收）</w:t>
      </w:r>
      <w:bookmarkEnd w:id="76"/>
      <w:bookmarkEnd w:id="77"/>
    </w:p>
    <w:p>
      <w:pPr>
        <w:adjustRightInd w:val="0"/>
        <w:snapToGrid w:val="0"/>
        <w:spacing w:line="312" w:lineRule="auto"/>
        <w:ind w:firstLine="480" w:firstLineChars="200"/>
        <w:rPr>
          <w:rFonts w:ascii="宋体" w:hAnsi="宋体"/>
          <w:color w:val="000000"/>
          <w:sz w:val="24"/>
          <w:highlight w:val="none"/>
          <w:shd w:val="clear" w:color="auto" w:fill="auto"/>
        </w:rPr>
      </w:pPr>
      <w:r>
        <w:rPr>
          <w:rFonts w:ascii="宋体" w:hAnsi="宋体"/>
          <w:color w:val="000000"/>
          <w:sz w:val="24"/>
          <w:highlight w:val="none"/>
          <w:shd w:val="clear" w:color="auto" w:fill="auto"/>
        </w:rPr>
        <w:t>发包人应按合同约定及时组织法人验收。</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78" w:name="_Toc189386124"/>
      <w:bookmarkStart w:id="79" w:name="_Toc511317317"/>
      <w:bookmarkStart w:id="80" w:name="_Toc511318066"/>
      <w:r>
        <w:rPr>
          <w:rFonts w:ascii="宋体" w:hAnsi="宋体"/>
          <w:b/>
          <w:bCs/>
          <w:color w:val="000000"/>
          <w:kern w:val="0"/>
          <w:sz w:val="24"/>
          <w:highlight w:val="none"/>
          <w:shd w:val="clear" w:color="auto" w:fill="auto"/>
        </w:rPr>
        <w:t>2.8 其他义务</w:t>
      </w:r>
      <w:bookmarkEnd w:id="78"/>
      <w:bookmarkEnd w:id="79"/>
      <w:bookmarkEnd w:id="80"/>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81" w:name="_Toc189386125"/>
      <w:bookmarkStart w:id="82" w:name="_Toc76056668"/>
      <w:r>
        <w:rPr>
          <w:rFonts w:ascii="宋体" w:hAnsi="宋体"/>
          <w:bCs w:val="0"/>
          <w:color w:val="000000"/>
          <w:sz w:val="24"/>
          <w:szCs w:val="24"/>
          <w:highlight w:val="none"/>
          <w:shd w:val="clear" w:color="auto" w:fill="auto"/>
        </w:rPr>
        <w:t>3．监理人</w:t>
      </w:r>
      <w:bookmarkEnd w:id="81"/>
      <w:bookmarkEnd w:id="82"/>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3" w:name="_Toc189386126"/>
      <w:bookmarkStart w:id="84" w:name="_Toc511318068"/>
      <w:bookmarkStart w:id="85" w:name="_Toc511317319"/>
      <w:r>
        <w:rPr>
          <w:rFonts w:ascii="宋体" w:hAnsi="宋体"/>
          <w:b/>
          <w:bCs/>
          <w:color w:val="000000"/>
          <w:kern w:val="0"/>
          <w:sz w:val="24"/>
          <w:highlight w:val="none"/>
          <w:shd w:val="clear" w:color="auto" w:fill="auto"/>
        </w:rPr>
        <w:t>3.1 监理人的职责和权力</w:t>
      </w:r>
      <w:bookmarkEnd w:id="83"/>
      <w:bookmarkEnd w:id="84"/>
      <w:bookmarkEnd w:id="8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3.1.1  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3.1.2  监理人发出的任何指示应视为已得到发包人的批准，但监理人无权免除或变更合同约定的发包人和承包人的权利、义务和责任。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3.1.3  合同约定应由承包人承担的义务和责任，不因监理人对承包人提交文件的审查或批准，对工程、材料和设备的检查和检验，以及为实施监理作出的指示等职务行为而减轻或解除。</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6" w:name="_Toc511318069"/>
      <w:bookmarkStart w:id="87" w:name="_Toc189386127"/>
      <w:bookmarkStart w:id="88" w:name="_Toc511317320"/>
      <w:r>
        <w:rPr>
          <w:rFonts w:ascii="宋体" w:hAnsi="宋体"/>
          <w:b/>
          <w:bCs/>
          <w:color w:val="000000"/>
          <w:kern w:val="0"/>
          <w:sz w:val="24"/>
          <w:highlight w:val="none"/>
          <w:shd w:val="clear" w:color="auto" w:fill="auto"/>
        </w:rPr>
        <w:t>3.2 总监理工程师</w:t>
      </w:r>
      <w:bookmarkEnd w:id="86"/>
      <w:bookmarkEnd w:id="87"/>
      <w:bookmarkEnd w:id="88"/>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发包人应在发出开工通知前将总监理工程师的任命通知承包人。总监理工程师更换时，应在调离14天前通知承包人。总监理工程师短期离开施工场地的，应委派代表代行其职责，并通知承包人。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89" w:name="_Toc189386128"/>
      <w:bookmarkStart w:id="90" w:name="_Toc511317321"/>
      <w:bookmarkStart w:id="91" w:name="_Toc511318070"/>
      <w:r>
        <w:rPr>
          <w:rFonts w:ascii="宋体" w:hAnsi="宋体"/>
          <w:b/>
          <w:bCs/>
          <w:color w:val="000000"/>
          <w:kern w:val="0"/>
          <w:sz w:val="24"/>
          <w:highlight w:val="none"/>
          <w:shd w:val="clear" w:color="auto" w:fill="auto"/>
        </w:rPr>
        <w:t>3.3 监理人员</w:t>
      </w:r>
      <w:bookmarkEnd w:id="89"/>
      <w:bookmarkEnd w:id="90"/>
      <w:bookmarkEnd w:id="9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3.3.2  监理人员对承包人的任何工作、工程或其采用的材料和工程设备未在约定的或合理的期限内提出否定意见的，视为已获批准，但不影响监理人在以后拒绝该项工作、工程、材料或工程设备的权利。</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3.3.3  承包人对总监理工程师授权的监理人员发出的指示有疑问的，可向总监理工程师提出书面异议，总监理工程师应在48小时内对该指示予以确认、更改或撤销。</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3.3.4  除专用合同条款另有约定外，总监理工程师不应将第3.5款约定应由总监理工程师作出确定的权力授权或委托给其他监理人员。</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2" w:name="_Toc189386129"/>
      <w:bookmarkStart w:id="93" w:name="_Toc511318071"/>
      <w:bookmarkStart w:id="94" w:name="_Toc511317322"/>
      <w:r>
        <w:rPr>
          <w:rFonts w:ascii="宋体" w:hAnsi="宋体"/>
          <w:b/>
          <w:bCs/>
          <w:color w:val="000000"/>
          <w:kern w:val="0"/>
          <w:sz w:val="24"/>
          <w:highlight w:val="none"/>
          <w:shd w:val="clear" w:color="auto" w:fill="auto"/>
        </w:rPr>
        <w:t>3.4 监理人的指示</w:t>
      </w:r>
      <w:bookmarkEnd w:id="92"/>
      <w:bookmarkEnd w:id="93"/>
      <w:bookmarkEnd w:id="94"/>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3.4.1  监理人应按第3.1款的约定向承包人发出指示，监理人的指示应盖有监理人授权的施工场地机构章，并由总监理工程师或总监理工程师按第3.3.1项约定授权的监理人员签字。</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3.4.2  承包人收到监理人按第3.4.1 项作出的指示后应遵照执行。指示构成变更的，应按第15 条处理。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3.4.4  除合同另有约定外，承包人只从总监理工程师或按第3.3.1 项被授权的监理人员处取得指示。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3.4.5  由于监理人未能按合同约定发出指示、指示延误或指示错误而导致承包人费用增加和（或）工期延误的，由发包人承担赔偿责任。</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95" w:name="_Toc511318072"/>
      <w:bookmarkStart w:id="96" w:name="_Toc511317323"/>
      <w:bookmarkStart w:id="97" w:name="_Toc189386130"/>
      <w:r>
        <w:rPr>
          <w:rFonts w:ascii="宋体" w:hAnsi="宋体"/>
          <w:b/>
          <w:bCs/>
          <w:color w:val="000000"/>
          <w:kern w:val="0"/>
          <w:sz w:val="24"/>
          <w:highlight w:val="none"/>
          <w:shd w:val="clear" w:color="auto" w:fill="auto"/>
        </w:rPr>
        <w:t>3.5 商定或确定</w:t>
      </w:r>
      <w:bookmarkEnd w:id="95"/>
      <w:bookmarkEnd w:id="96"/>
      <w:bookmarkEnd w:id="97"/>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3.5.1  合同约定总监理工程师应按照本款对任何事项进行商定或确定时，总监理工程师应与合同当事人协商，尽量达成一致。不能达成一致的，总监理工程师应认真研究后审慎确定。</w:t>
      </w:r>
    </w:p>
    <w:p>
      <w:pPr>
        <w:adjustRightInd w:val="0"/>
        <w:snapToGrid w:val="0"/>
        <w:spacing w:line="312" w:lineRule="auto"/>
        <w:ind w:firstLine="480" w:firstLineChars="200"/>
        <w:rPr>
          <w:rFonts w:hint="eastAsia"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adjustRightInd w:val="0"/>
        <w:snapToGrid w:val="0"/>
        <w:spacing w:line="312" w:lineRule="auto"/>
        <w:ind w:firstLine="480" w:firstLineChars="200"/>
        <w:rPr>
          <w:rFonts w:ascii="宋体" w:hAnsi="宋体"/>
          <w:color w:val="000000"/>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000000"/>
          <w:sz w:val="24"/>
          <w:szCs w:val="24"/>
          <w:highlight w:val="none"/>
          <w:shd w:val="clear" w:color="auto" w:fill="auto"/>
        </w:rPr>
      </w:pPr>
      <w:bookmarkStart w:id="98" w:name="_Toc189386131"/>
      <w:bookmarkStart w:id="99" w:name="_Toc76056669"/>
      <w:r>
        <w:rPr>
          <w:rFonts w:ascii="宋体" w:hAnsi="宋体"/>
          <w:bCs w:val="0"/>
          <w:color w:val="000000"/>
          <w:sz w:val="24"/>
          <w:szCs w:val="24"/>
          <w:highlight w:val="none"/>
          <w:shd w:val="clear" w:color="auto" w:fill="auto"/>
        </w:rPr>
        <w:t>4．承包人</w:t>
      </w:r>
      <w:bookmarkEnd w:id="98"/>
      <w:bookmarkEnd w:id="99"/>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0" w:name="_Toc511318074"/>
      <w:bookmarkStart w:id="101" w:name="_Toc189386132"/>
      <w:bookmarkStart w:id="102" w:name="_Toc511317325"/>
      <w:r>
        <w:rPr>
          <w:rFonts w:ascii="宋体" w:hAnsi="宋体"/>
          <w:b/>
          <w:bCs/>
          <w:color w:val="000000"/>
          <w:kern w:val="0"/>
          <w:sz w:val="24"/>
          <w:highlight w:val="none"/>
          <w:shd w:val="clear" w:color="auto" w:fill="auto"/>
        </w:rPr>
        <w:t>4.1 承包人的一般义务</w:t>
      </w:r>
      <w:bookmarkEnd w:id="100"/>
      <w:bookmarkEnd w:id="101"/>
      <w:bookmarkEnd w:id="102"/>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  遵守法律</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承包人在履行合同过程中应遵守法律，并保证发包人免于承担因承包人违反法律而引起的任何责任。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4.1.2  依法纳税</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承包人应按有关法律规定纳税，应缴纳的税金包括在合同价格内。</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4.1.3  完成各项承包工作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以及监理人根据第3.4款作出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4.1.4  对施工作业和施工方法的完备性负责</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承包人应按合同约定的工作内容和施工进度要求，编制施工组织设计和施工措施计划，并对所有施工作业和施工方法的完备性和安全可靠性负责。</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4.1.5  保证工程施工和人员的安全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承包人应按第9.2 款约定采取施工安全措施，确保工程及其人员、材料、设备和设施的安全，防止因工程施工造成的人身伤害和财产损失。</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4.1.6  负责施工场地及其周边环境与生态的保护工作</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承包人应按照第9.4 款约定负责施工场地及其周边环境与生态的保护工作。</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4.1.7  避免施工对公众与他人的利益造成损害</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4.1.8  为他人提供方便</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承包人应按监理人的指示为他人在施工场地或附近实施与工程有关的其他各项工作提供可能的条件。除合同另有约定外，提供有关条件的内容和可能发生的费用，由监理人按第3.5 款商定或确定。</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4.1.9  工程的维护和照管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adjustRightInd w:val="0"/>
        <w:snapToGrid w:val="0"/>
        <w:spacing w:line="312" w:lineRule="auto"/>
        <w:ind w:firstLine="482" w:firstLineChars="200"/>
        <w:rPr>
          <w:rFonts w:ascii="宋体" w:hAnsi="宋体"/>
          <w:b/>
          <w:color w:val="000000"/>
          <w:kern w:val="0"/>
          <w:sz w:val="24"/>
          <w:highlight w:val="none"/>
          <w:shd w:val="clear" w:color="auto" w:fill="auto"/>
        </w:rPr>
      </w:pPr>
      <w:r>
        <w:rPr>
          <w:rFonts w:ascii="宋体" w:hAnsi="宋体"/>
          <w:b/>
          <w:color w:val="000000"/>
          <w:kern w:val="0"/>
          <w:sz w:val="24"/>
          <w:highlight w:val="none"/>
          <w:shd w:val="clear" w:color="auto" w:fill="auto"/>
        </w:rPr>
        <w:t>4.1.10  其他义务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其它义务在专用合同条款中补充约定。</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3" w:name="_Toc511317326"/>
      <w:bookmarkStart w:id="104" w:name="_Toc511318075"/>
      <w:bookmarkStart w:id="105" w:name="_Toc189386133"/>
      <w:r>
        <w:rPr>
          <w:rFonts w:ascii="宋体" w:hAnsi="宋体"/>
          <w:b/>
          <w:bCs/>
          <w:color w:val="000000"/>
          <w:kern w:val="0"/>
          <w:sz w:val="24"/>
          <w:highlight w:val="none"/>
          <w:shd w:val="clear" w:color="auto" w:fill="auto"/>
        </w:rPr>
        <w:t>4.2 履约担保</w:t>
      </w:r>
      <w:bookmarkEnd w:id="103"/>
      <w:bookmarkEnd w:id="104"/>
      <w:bookmarkEnd w:id="105"/>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承包人应保证其履约担保在发包人颁发合同工程完工证书前一直有效。发包人应在合同工程完工证书颁发后28天内将履约担保退还给承包人。</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6" w:name="_Toc511317327"/>
      <w:bookmarkStart w:id="107" w:name="_Toc511318076"/>
      <w:bookmarkStart w:id="108" w:name="_Toc189386134"/>
      <w:r>
        <w:rPr>
          <w:rFonts w:ascii="宋体" w:hAnsi="宋体"/>
          <w:b/>
          <w:bCs/>
          <w:color w:val="000000"/>
          <w:kern w:val="0"/>
          <w:sz w:val="24"/>
          <w:highlight w:val="none"/>
          <w:shd w:val="clear" w:color="auto" w:fill="auto"/>
        </w:rPr>
        <w:t>4.3 分包</w:t>
      </w:r>
      <w:bookmarkEnd w:id="106"/>
      <w:bookmarkEnd w:id="107"/>
      <w:bookmarkEnd w:id="108"/>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  承包人不得将其承包的全部工程转包给第三人，或将其承包的全部工程肢解后以分包的名义转包给第三人。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4.3.2  承包人不得将工程主体、关键性工作分包给第三人。除专用合同条款另有约定外，未经发包人同意，承包人不得将工程的其他部分或工作分包给第三人。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4.3.3  分包人的资格能力应与其分包工程的标准和规模相适应。</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4.3.4  按投标函附录约定分包工程的，承包人应向发包人和监理人提交分包合同副本。</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4.3.5  承包人应与分包人就分包工程向发包人承担连带责任。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4.3.6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4.3.7  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由指定分包人造成的与其分包工作有关的一切索赔、诉讼和损失赔偿由指定分包人直接对发包人负责，承包人不对此承担责任。</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4.3.8  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4.3.9  除第4.3.7项规定的指定分包外，承包人对其分包项目的实施以及分包人的行为向发包人负全部责任。承包人应对分包项目的工程进度、质量、安全、计量和验收等实施监督和管理。</w:t>
      </w:r>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4.3.10  分包人应按专用合同条款的约定设立项目管理机构组织管理分包工程的施工活动。</w:t>
      </w:r>
    </w:p>
    <w:p>
      <w:pPr>
        <w:adjustRightInd w:val="0"/>
        <w:snapToGrid w:val="0"/>
        <w:spacing w:line="312" w:lineRule="auto"/>
        <w:ind w:firstLine="482" w:firstLineChars="200"/>
        <w:outlineLvl w:val="3"/>
        <w:rPr>
          <w:rFonts w:ascii="宋体" w:hAnsi="宋体"/>
          <w:b/>
          <w:bCs/>
          <w:color w:val="000000"/>
          <w:kern w:val="0"/>
          <w:sz w:val="24"/>
          <w:highlight w:val="none"/>
          <w:shd w:val="clear" w:color="auto" w:fill="auto"/>
        </w:rPr>
      </w:pPr>
      <w:bookmarkStart w:id="109" w:name="_Toc511318077"/>
      <w:bookmarkStart w:id="110" w:name="_Toc511317328"/>
      <w:bookmarkStart w:id="111" w:name="_Toc189386135"/>
      <w:r>
        <w:rPr>
          <w:rFonts w:ascii="宋体" w:hAnsi="宋体"/>
          <w:b/>
          <w:bCs/>
          <w:color w:val="000000"/>
          <w:kern w:val="0"/>
          <w:sz w:val="24"/>
          <w:highlight w:val="none"/>
          <w:shd w:val="clear" w:color="auto" w:fill="auto"/>
        </w:rPr>
        <w:t>4.4 联合体</w:t>
      </w:r>
      <w:bookmarkEnd w:id="109"/>
      <w:bookmarkEnd w:id="110"/>
      <w:bookmarkEnd w:id="111"/>
    </w:p>
    <w:p>
      <w:pPr>
        <w:adjustRightInd w:val="0"/>
        <w:snapToGrid w:val="0"/>
        <w:spacing w:line="312" w:lineRule="auto"/>
        <w:ind w:firstLine="480" w:firstLineChars="200"/>
        <w:rPr>
          <w:rFonts w:ascii="宋体" w:hAnsi="宋体"/>
          <w:color w:val="000000"/>
          <w:kern w:val="0"/>
          <w:sz w:val="24"/>
          <w:highlight w:val="none"/>
          <w:shd w:val="clear" w:color="auto" w:fill="auto"/>
        </w:rPr>
      </w:pPr>
      <w:r>
        <w:rPr>
          <w:rFonts w:ascii="宋体" w:hAnsi="宋体"/>
          <w:color w:val="000000"/>
          <w:kern w:val="0"/>
          <w:sz w:val="24"/>
          <w:highlight w:val="none"/>
          <w:shd w:val="clear" w:color="auto" w:fill="auto"/>
        </w:rPr>
        <w:t>4.4.1  联合体各方应共同与发包人签订合同协议书。联合体各方应为履行合同承担连带责任。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000000"/>
          <w:kern w:val="0"/>
          <w:sz w:val="24"/>
          <w:highlight w:val="none"/>
          <w:shd w:val="clear" w:color="auto" w:fill="auto"/>
        </w:rPr>
        <w:t>4.4.2  联合体协议经发包</w:t>
      </w:r>
      <w:r>
        <w:rPr>
          <w:rFonts w:ascii="宋体" w:hAnsi="宋体"/>
          <w:color w:val="auto"/>
          <w:kern w:val="0"/>
          <w:sz w:val="24"/>
          <w:highlight w:val="none"/>
          <w:shd w:val="clear" w:color="auto" w:fill="auto"/>
        </w:rPr>
        <w:t>人确认后作为合同附件。在履行合同过程中，未经发包人同意，不得修改联合体协议。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4.4.3  联合体牵头人负责与发包人和监理人联系，并接受指示，负责组织联合体各成员全面履行合同。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2" w:name="_Toc511317329"/>
      <w:bookmarkStart w:id="113" w:name="_Toc189386136"/>
      <w:bookmarkStart w:id="114" w:name="_Toc511318078"/>
      <w:r>
        <w:rPr>
          <w:rFonts w:ascii="宋体" w:hAnsi="宋体"/>
          <w:b/>
          <w:color w:val="auto"/>
          <w:kern w:val="0"/>
          <w:sz w:val="24"/>
          <w:highlight w:val="none"/>
          <w:shd w:val="clear" w:color="auto" w:fill="auto"/>
        </w:rPr>
        <w:t>4.5 承包人项目经理</w:t>
      </w:r>
      <w:bookmarkEnd w:id="112"/>
      <w:bookmarkEnd w:id="113"/>
      <w:bookmarkEnd w:id="11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4.5.1  承包人应按合同约定指派项目经理，并在约定的期限内到职。承包人更换项目经理应事先征得发包人同意，并应在更换14 天前通知发包人和监理人。承包人项目经理短期离开施工场地，应事先征得监理人同意，并委派代表代行其职责。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4.5.2  承包人项目经理应按合同约定以及监理人按第3.4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4.5.3  承包人为履行合同发出的一切函件均应盖有承包人授权的施工场地管理机构章，并由承包人项目经理或其授权代表签字。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4.5.4  承包人项目经理可以授权其下属人员履行其某项职责，但事先应将这些人员的姓名和授权范围通知监理人。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5" w:name="_Toc511318079"/>
      <w:bookmarkStart w:id="116" w:name="_Toc189386137"/>
      <w:bookmarkStart w:id="117" w:name="_Toc511317330"/>
      <w:r>
        <w:rPr>
          <w:rFonts w:ascii="宋体" w:hAnsi="宋体"/>
          <w:b/>
          <w:bCs/>
          <w:color w:val="auto"/>
          <w:kern w:val="0"/>
          <w:sz w:val="24"/>
          <w:highlight w:val="none"/>
          <w:shd w:val="clear" w:color="auto" w:fill="auto"/>
        </w:rPr>
        <w:t>4.6 承包人人员的管理</w:t>
      </w:r>
      <w:bookmarkEnd w:id="115"/>
      <w:bookmarkEnd w:id="116"/>
      <w:bookmarkEnd w:id="11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4.6.1  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4.6.2  为完成合同约定的各项工作，承包人应向施工场地派遣或雇佣足够数量的下列人员：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（1）具有相应资格的专业技工和合格的普工；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（2）具有相应施工经验的技术人员；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（3）具有相应岗位资格的各级管理人员。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4.6.3  承包人安排在施工场地的主要管理人员和技术骨干应相对稳定。承包人更换主要管理人员和技术骨干时，应取得监理人的同意。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4.6.4  特殊岗位的工作人员均应持有相应的资格证明，监理人有权随时检查。监理人认为有必要时，可进行现场考核。</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18" w:name="_Toc189386138"/>
      <w:bookmarkStart w:id="119" w:name="_Toc511317331"/>
      <w:bookmarkStart w:id="120" w:name="_Toc511318080"/>
      <w:r>
        <w:rPr>
          <w:rFonts w:ascii="宋体" w:hAnsi="宋体"/>
          <w:b/>
          <w:bCs/>
          <w:color w:val="auto"/>
          <w:kern w:val="0"/>
          <w:sz w:val="24"/>
          <w:highlight w:val="none"/>
          <w:shd w:val="clear" w:color="auto" w:fill="auto"/>
        </w:rPr>
        <w:t>4.7 撤换承包人项目经理和其他人员</w:t>
      </w:r>
      <w:bookmarkEnd w:id="118"/>
      <w:bookmarkEnd w:id="119"/>
      <w:bookmarkEnd w:id="12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承包人应对其项目经理和其他人员进行有效管理。监理人要求撤换不能胜任本职工作、行为不端或玩忽职守的承包人项目经理和其他人员的，承包人应予以撤换。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1" w:name="_Toc189386139"/>
      <w:bookmarkStart w:id="122" w:name="_Toc511318081"/>
      <w:bookmarkStart w:id="123" w:name="_Toc511317332"/>
      <w:r>
        <w:rPr>
          <w:rFonts w:ascii="宋体" w:hAnsi="宋体"/>
          <w:b/>
          <w:bCs/>
          <w:color w:val="auto"/>
          <w:kern w:val="0"/>
          <w:sz w:val="24"/>
          <w:highlight w:val="none"/>
          <w:shd w:val="clear" w:color="auto" w:fill="auto"/>
        </w:rPr>
        <w:t>4.8 保障承包人人员的合法权益</w:t>
      </w:r>
      <w:bookmarkEnd w:id="121"/>
      <w:bookmarkEnd w:id="122"/>
      <w:bookmarkEnd w:id="12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4.8.1  承包人应与其雇佣的人员签订劳动合同，并按时发放工资。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4.8.2  承包人应按劳动法的规定安排工作时间，保证其雇佣人员享有休息和休假的权利。因工程施工的特殊需要占用休假日或延长工作时间的，应不超过法律规定的限度，并按法律规定给予补休或付酬。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4.8.3  承包人应为其雇佣人员提供必要的食宿条件，以及符合环境保护和卫生要求的生活环境，在远离城镇的施工场地，还应配备必要的伤病防治和急救的医务人员与医疗设施。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4.8.5  承包人应按有关法律规定和合同约定，为其雇佣人员办理保险。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4.8.6  承包人应负责处理其雇佣人员因工伤亡事故的善后事宜。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4" w:name="_Toc189386140"/>
      <w:bookmarkStart w:id="125" w:name="_Toc511318082"/>
      <w:bookmarkStart w:id="126" w:name="_Toc511317333"/>
      <w:r>
        <w:rPr>
          <w:rFonts w:ascii="宋体" w:hAnsi="宋体"/>
          <w:b/>
          <w:bCs/>
          <w:color w:val="auto"/>
          <w:kern w:val="0"/>
          <w:sz w:val="24"/>
          <w:highlight w:val="none"/>
          <w:shd w:val="clear" w:color="auto" w:fill="auto"/>
        </w:rPr>
        <w:t>4.9 工程价款应专款专用</w:t>
      </w:r>
      <w:bookmarkEnd w:id="124"/>
      <w:bookmarkEnd w:id="125"/>
      <w:bookmarkEnd w:id="12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发包人按合同约定支付给承包人的各项价款应专用于合同工程。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27" w:name="_Toc189386141"/>
      <w:bookmarkStart w:id="128" w:name="_Toc511318083"/>
      <w:bookmarkStart w:id="129" w:name="_Toc511317334"/>
      <w:r>
        <w:rPr>
          <w:rFonts w:ascii="宋体" w:hAnsi="宋体"/>
          <w:b/>
          <w:bCs/>
          <w:color w:val="auto"/>
          <w:kern w:val="0"/>
          <w:sz w:val="24"/>
          <w:highlight w:val="none"/>
          <w:shd w:val="clear" w:color="auto" w:fill="auto"/>
        </w:rPr>
        <w:t>4.10 承包人现场查勘</w:t>
      </w:r>
      <w:bookmarkEnd w:id="127"/>
      <w:bookmarkEnd w:id="128"/>
      <w:bookmarkEnd w:id="1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4.10.1  发包人应将其持有的现场地质勘探资料、水文气象资料提供给承包人，并对其准确性负责。但承包人应对其阅读上述有关资料后所作出的解释和推断负责。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0" w:name="_Toc511317335"/>
      <w:bookmarkStart w:id="131" w:name="_Toc189386142"/>
      <w:bookmarkStart w:id="132" w:name="_Toc511318084"/>
      <w:r>
        <w:rPr>
          <w:rFonts w:ascii="宋体" w:hAnsi="宋体"/>
          <w:b/>
          <w:bCs/>
          <w:color w:val="auto"/>
          <w:kern w:val="0"/>
          <w:sz w:val="24"/>
          <w:highlight w:val="none"/>
          <w:shd w:val="clear" w:color="auto" w:fill="auto"/>
        </w:rPr>
        <w:t>4.11 不利物质条件</w:t>
      </w:r>
      <w:bookmarkEnd w:id="130"/>
      <w:bookmarkEnd w:id="131"/>
      <w:bookmarkEnd w:id="13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4.11.1  除专用合同条款另有约定外，不利物质条件是指在施工中遭遇不可预见的外界障碍或自然条件造成施工受阻。</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4.11.2  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33" w:name="_Toc76056670"/>
      <w:bookmarkStart w:id="134" w:name="_Toc189386143"/>
      <w:r>
        <w:rPr>
          <w:rFonts w:ascii="宋体" w:hAnsi="宋体"/>
          <w:bCs w:val="0"/>
          <w:color w:val="auto"/>
          <w:sz w:val="24"/>
          <w:szCs w:val="24"/>
          <w:highlight w:val="none"/>
          <w:shd w:val="clear" w:color="auto" w:fill="auto"/>
        </w:rPr>
        <w:t>5．材料和工程设备</w:t>
      </w:r>
      <w:bookmarkEnd w:id="133"/>
      <w:bookmarkEnd w:id="13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5" w:name="_Toc511318086"/>
      <w:bookmarkStart w:id="136" w:name="_Toc511317337"/>
      <w:bookmarkStart w:id="137" w:name="_Toc189386144"/>
      <w:r>
        <w:rPr>
          <w:rFonts w:ascii="宋体" w:hAnsi="宋体"/>
          <w:b/>
          <w:bCs/>
          <w:color w:val="auto"/>
          <w:kern w:val="0"/>
          <w:sz w:val="24"/>
          <w:highlight w:val="none"/>
          <w:shd w:val="clear" w:color="auto" w:fill="auto"/>
        </w:rPr>
        <w:t>5.1承包人提供的材料和工程设备</w:t>
      </w:r>
      <w:bookmarkEnd w:id="135"/>
      <w:bookmarkEnd w:id="136"/>
      <w:bookmarkEnd w:id="13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5.1.1  除第5.2款约定由发包人提供的材料和工程设备外，承包人负责采购、运输和保管完成本合同工作所需的材料和工程设备。承包人应对其采购的材料和工程设备负责。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8" w:name="_Toc189386145"/>
      <w:r>
        <w:rPr>
          <w:rFonts w:ascii="宋体" w:hAnsi="宋体"/>
          <w:b/>
          <w:bCs/>
          <w:color w:val="auto"/>
          <w:kern w:val="0"/>
          <w:sz w:val="24"/>
          <w:highlight w:val="none"/>
          <w:shd w:val="clear" w:color="auto" w:fill="auto"/>
        </w:rPr>
        <w:t>5.2 发包人提供的材料和工程设备</w:t>
      </w:r>
      <w:bookmarkEnd w:id="13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5.2.1 发包人提供的材料和工程设备，应在专用合同条款中写明材料和工程设备的名称、规格、数量、价格、交货方式、交货地点和计划交货日期等。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5.2.2  承包人应根据合同进度计划的安排，向监理人报送要求发包人交货的日期计划。发包人应按照监理人与合同双方当事人商定的交货日期，向承包人提交材料和工程设备。</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5.2.4  发包人要求向承包人提前交货的，承包人不得拒绝，但发包人应承担承包人由此增加的费用。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5.2.5  承包人要求更改交货日期或地点的，应事先报请监理人批准。由于承包人要求更改交货时间或地点所增加的费用和（或）工期延误由承包人承担。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39" w:name="_Toc189386146"/>
      <w:r>
        <w:rPr>
          <w:rFonts w:ascii="宋体" w:hAnsi="宋体"/>
          <w:b/>
          <w:bCs/>
          <w:color w:val="auto"/>
          <w:kern w:val="0"/>
          <w:sz w:val="24"/>
          <w:highlight w:val="none"/>
          <w:shd w:val="clear" w:color="auto" w:fill="auto"/>
        </w:rPr>
        <w:t>5.3 材料和工程设备专用于合同工程</w:t>
      </w:r>
      <w:bookmarkEnd w:id="13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5.3.1  运入施工场地的材料、工程设备，包括备品备件、安装专用工器具与随机资料，必须专用于合同工程，未经监理人同意，承包人不得运出施工场地或挪作他用。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0" w:name="_Toc189386147"/>
      <w:r>
        <w:rPr>
          <w:rFonts w:ascii="宋体" w:hAnsi="宋体"/>
          <w:b/>
          <w:bCs/>
          <w:color w:val="auto"/>
          <w:kern w:val="0"/>
          <w:sz w:val="24"/>
          <w:highlight w:val="none"/>
          <w:shd w:val="clear" w:color="auto" w:fill="auto"/>
        </w:rPr>
        <w:t>5.4 禁止使用不合格的材料和工程设备</w:t>
      </w:r>
      <w:bookmarkEnd w:id="14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5.4.1  监理人有权拒绝承包人提供的不合格材料或工程设备，并要求承包人立即进行更换。监理人应在更换后再次进行检查和检验，由此增加的费用和（或）工期延误由承包人承担。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5.4.2  监理人发现承包人使用了不合格的材料和工程设备，应即时发出指示要求承包人立即改正，并禁止在工程中继续使用不合格的材料和工程设备。</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5.4.3  发包人提供的材料或工程设备不符合合同要求的，承包人有权拒绝，并可要求发包人更换，由此增加的费用和（或）工期延误由发包人承担。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1" w:name="_Toc76056671"/>
      <w:bookmarkStart w:id="142" w:name="_Toc189386148"/>
      <w:r>
        <w:rPr>
          <w:rFonts w:ascii="宋体" w:hAnsi="宋体"/>
          <w:bCs w:val="0"/>
          <w:color w:val="auto"/>
          <w:sz w:val="24"/>
          <w:szCs w:val="24"/>
          <w:highlight w:val="none"/>
          <w:shd w:val="clear" w:color="auto" w:fill="auto"/>
        </w:rPr>
        <w:t>6．施工设备和临时设施</w:t>
      </w:r>
      <w:bookmarkEnd w:id="141"/>
      <w:bookmarkEnd w:id="142"/>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3" w:name="_Toc189386149"/>
      <w:r>
        <w:rPr>
          <w:rFonts w:ascii="宋体" w:hAnsi="宋体"/>
          <w:b/>
          <w:bCs/>
          <w:color w:val="auto"/>
          <w:kern w:val="0"/>
          <w:sz w:val="24"/>
          <w:highlight w:val="none"/>
          <w:shd w:val="clear" w:color="auto" w:fill="auto"/>
        </w:rPr>
        <w:t>6.1承包人提供的施工设备和临时设施</w:t>
      </w:r>
      <w:bookmarkEnd w:id="14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6.1.1  承包人应按合同进度计划的要求，及时配置施工设备和修建临时设施。进入施工场地的承包人设备需经监理人核查后才能投入使用。承包人更换合同约定的承包人设备的，应报监理人批准。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6.1.2  除专用合同条款另有约定外，承包人应自行承担修建临时设施的费用，需要临时占地的，应由发包人办理申请手续并承担相应费用。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4" w:name="_Toc189386150"/>
      <w:r>
        <w:rPr>
          <w:rFonts w:ascii="宋体" w:hAnsi="宋体"/>
          <w:b/>
          <w:bCs/>
          <w:color w:val="auto"/>
          <w:kern w:val="0"/>
          <w:sz w:val="24"/>
          <w:highlight w:val="none"/>
          <w:shd w:val="clear" w:color="auto" w:fill="auto"/>
        </w:rPr>
        <w:t>6.2 发包人提供的施工设备和临时设施</w:t>
      </w:r>
      <w:bookmarkEnd w:id="14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发包人提供的施工设备或临时设施在专用合同条款中约定。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5" w:name="_Toc189386151"/>
      <w:r>
        <w:rPr>
          <w:rFonts w:ascii="宋体" w:hAnsi="宋体"/>
          <w:b/>
          <w:bCs/>
          <w:color w:val="auto"/>
          <w:kern w:val="0"/>
          <w:sz w:val="24"/>
          <w:highlight w:val="none"/>
          <w:shd w:val="clear" w:color="auto" w:fill="auto"/>
        </w:rPr>
        <w:t>6.3 要求承包人增加或更换施工设备</w:t>
      </w:r>
      <w:bookmarkEnd w:id="14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承包人使用的施工设备不能满足合同进度计划和（或）质量要求时，监理人有权要求承包人增加或更换施工设备，承包人应及时增加或更换，由此增加的费用和（或）工期延误由承包人承担。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6" w:name="_Toc189386152"/>
      <w:r>
        <w:rPr>
          <w:rFonts w:ascii="宋体" w:hAnsi="宋体"/>
          <w:b/>
          <w:bCs/>
          <w:color w:val="auto"/>
          <w:kern w:val="0"/>
          <w:sz w:val="24"/>
          <w:highlight w:val="none"/>
          <w:shd w:val="clear" w:color="auto" w:fill="auto"/>
        </w:rPr>
        <w:t>6.4 施工设备和临时设施专用于合同工程</w:t>
      </w:r>
      <w:bookmarkEnd w:id="14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6.4.1  除合同另有约定外，运入施工场地的所有施工设备以及在施工场地建设的临时设施应专用于合同工程。未经监理人同意，不得将上述施工设备和临时设施中的任何部分运出施工场地或挪作他用。</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6.4.2  经监理人同意，承包人可根据合同进度计划撤走闲置的施工设备。</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47" w:name="_Toc76056672"/>
      <w:bookmarkStart w:id="148" w:name="_Toc189386153"/>
      <w:r>
        <w:rPr>
          <w:rFonts w:ascii="宋体" w:hAnsi="宋体"/>
          <w:bCs w:val="0"/>
          <w:color w:val="auto"/>
          <w:sz w:val="24"/>
          <w:szCs w:val="24"/>
          <w:highlight w:val="none"/>
          <w:shd w:val="clear" w:color="auto" w:fill="auto"/>
        </w:rPr>
        <w:t>7．交通运输</w:t>
      </w:r>
      <w:bookmarkEnd w:id="147"/>
      <w:bookmarkEnd w:id="14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49" w:name="_Toc189386154"/>
      <w:r>
        <w:rPr>
          <w:rFonts w:ascii="宋体" w:hAnsi="宋体"/>
          <w:b/>
          <w:bCs/>
          <w:color w:val="auto"/>
          <w:kern w:val="0"/>
          <w:sz w:val="24"/>
          <w:highlight w:val="none"/>
          <w:shd w:val="clear" w:color="auto" w:fill="auto"/>
        </w:rPr>
        <w:t>7.1道路通行权和场外设施</w:t>
      </w:r>
      <w:bookmarkEnd w:id="14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0" w:name="_Toc189386155"/>
      <w:bookmarkStart w:id="151" w:name="_Toc511318089"/>
      <w:bookmarkStart w:id="152" w:name="_Toc511317340"/>
      <w:r>
        <w:rPr>
          <w:rFonts w:ascii="宋体" w:hAnsi="宋体"/>
          <w:b/>
          <w:bCs/>
          <w:color w:val="auto"/>
          <w:kern w:val="0"/>
          <w:sz w:val="24"/>
          <w:highlight w:val="none"/>
          <w:shd w:val="clear" w:color="auto" w:fill="auto"/>
        </w:rPr>
        <w:t>7.2 场内施工道路</w:t>
      </w:r>
      <w:bookmarkEnd w:id="150"/>
      <w:bookmarkEnd w:id="151"/>
      <w:bookmarkEnd w:id="1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7.2.1  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7.2.2  承包人修建的临时道路和交通设施，应免费提供发包人、监理人以及与本合同有关的其他承包人使用。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3" w:name="_Toc189386156"/>
      <w:bookmarkStart w:id="154" w:name="_Toc511318090"/>
      <w:bookmarkStart w:id="155" w:name="_Toc511317341"/>
      <w:r>
        <w:rPr>
          <w:rFonts w:ascii="宋体" w:hAnsi="宋体"/>
          <w:b/>
          <w:bCs/>
          <w:color w:val="auto"/>
          <w:kern w:val="0"/>
          <w:sz w:val="24"/>
          <w:highlight w:val="none"/>
          <w:shd w:val="clear" w:color="auto" w:fill="auto"/>
        </w:rPr>
        <w:t>7.3 场外交通</w:t>
      </w:r>
      <w:bookmarkEnd w:id="153"/>
      <w:bookmarkEnd w:id="154"/>
      <w:bookmarkEnd w:id="15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7.3.1  承包人车辆外出行驶所需的场外公共道路的通行费、养路费和税款等由承包人承担。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7.3.2  承包人应遵守有关交通法规，严格按照道路和桥梁的限制荷重安全行驶，并服从交通管理部门的检查和监督。</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6" w:name="_Toc189386157"/>
      <w:bookmarkStart w:id="157" w:name="_Toc511318091"/>
      <w:bookmarkStart w:id="158" w:name="_Toc511317342"/>
      <w:r>
        <w:rPr>
          <w:rFonts w:ascii="宋体" w:hAnsi="宋体"/>
          <w:b/>
          <w:bCs/>
          <w:color w:val="auto"/>
          <w:kern w:val="0"/>
          <w:sz w:val="24"/>
          <w:highlight w:val="none"/>
          <w:shd w:val="clear" w:color="auto" w:fill="auto"/>
        </w:rPr>
        <w:t>7.4 超大件和超重件的运输</w:t>
      </w:r>
      <w:bookmarkEnd w:id="156"/>
      <w:bookmarkEnd w:id="157"/>
      <w:bookmarkEnd w:id="15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59" w:name="_Toc189386158"/>
      <w:bookmarkStart w:id="160" w:name="_Toc511317343"/>
      <w:bookmarkStart w:id="161" w:name="_Toc511318092"/>
      <w:r>
        <w:rPr>
          <w:rFonts w:ascii="宋体" w:hAnsi="宋体"/>
          <w:b/>
          <w:bCs/>
          <w:color w:val="auto"/>
          <w:kern w:val="0"/>
          <w:sz w:val="24"/>
          <w:highlight w:val="none"/>
          <w:shd w:val="clear" w:color="auto" w:fill="auto"/>
        </w:rPr>
        <w:t>7.5 道路和桥梁的损坏责任</w:t>
      </w:r>
      <w:bookmarkEnd w:id="159"/>
      <w:bookmarkEnd w:id="160"/>
      <w:bookmarkEnd w:id="16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因承包人运输造成施工场地内外公共道路和桥梁损坏的，由承包人承担修复损坏的全部费用和可能引起的赔偿。</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2" w:name="_Toc511318093"/>
      <w:bookmarkStart w:id="163" w:name="_Toc189386159"/>
      <w:bookmarkStart w:id="164" w:name="_Toc511317344"/>
      <w:r>
        <w:rPr>
          <w:rFonts w:ascii="宋体" w:hAnsi="宋体"/>
          <w:b/>
          <w:bCs/>
          <w:color w:val="auto"/>
          <w:kern w:val="0"/>
          <w:sz w:val="24"/>
          <w:highlight w:val="none"/>
          <w:shd w:val="clear" w:color="auto" w:fill="auto"/>
        </w:rPr>
        <w:t>7.6 水路和航空运输</w:t>
      </w:r>
      <w:bookmarkEnd w:id="162"/>
      <w:bookmarkEnd w:id="163"/>
      <w:bookmarkEnd w:id="164"/>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本条上述各款的内容适用于水路运输和航空运输，其中“道路”一词的涵义包括河道、航线、船闸、机场、码头、堤防以及水路或航空运输中其他相似结构物；“车辆”一词的涵义包括船舶和飞机等。</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65" w:name="_Toc76056673"/>
      <w:bookmarkStart w:id="166" w:name="_Toc189386160"/>
      <w:r>
        <w:rPr>
          <w:rFonts w:ascii="宋体" w:hAnsi="宋体"/>
          <w:bCs w:val="0"/>
          <w:color w:val="auto"/>
          <w:sz w:val="24"/>
          <w:szCs w:val="24"/>
          <w:highlight w:val="none"/>
          <w:shd w:val="clear" w:color="auto" w:fill="auto"/>
        </w:rPr>
        <w:t>8．测量放线</w:t>
      </w:r>
      <w:bookmarkEnd w:id="165"/>
      <w:bookmarkEnd w:id="166"/>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7" w:name="_Toc189386161"/>
      <w:r>
        <w:rPr>
          <w:rFonts w:ascii="宋体" w:hAnsi="宋体"/>
          <w:b/>
          <w:bCs/>
          <w:color w:val="auto"/>
          <w:kern w:val="0"/>
          <w:sz w:val="24"/>
          <w:highlight w:val="none"/>
          <w:shd w:val="clear" w:color="auto" w:fill="auto"/>
        </w:rPr>
        <w:t>8.1施工控制网</w:t>
      </w:r>
      <w:bookmarkEnd w:id="16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8.1.1  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8.1.2  承包人应负责管理施工控制网点。施工控制网点丢失或损坏的，承包人应及时修复。承包人应承担施工控制网点的管理与修复费用，并在工程竣工后将施工控制网点移交发包人。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8" w:name="_Toc189386162"/>
      <w:r>
        <w:rPr>
          <w:rFonts w:ascii="宋体" w:hAnsi="宋体"/>
          <w:b/>
          <w:bCs/>
          <w:color w:val="auto"/>
          <w:kern w:val="0"/>
          <w:sz w:val="24"/>
          <w:highlight w:val="none"/>
          <w:shd w:val="clear" w:color="auto" w:fill="auto"/>
        </w:rPr>
        <w:t>8.2 施工测量</w:t>
      </w:r>
      <w:bookmarkEnd w:id="16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8.2.1  承包人应负责施工过程中的全部施工测量放线工作，并配置合格的人员、仪器、设备和其他物品。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8.2.2  监理人可以指示承包人进行抽样复测，当复测中发现错误或出现超过合同约定的误差时，承包人应按监理人指示进行修正或补测，并承担相应的复测费用。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69" w:name="_Toc189386163"/>
      <w:r>
        <w:rPr>
          <w:rFonts w:ascii="宋体" w:hAnsi="宋体"/>
          <w:b/>
          <w:bCs/>
          <w:color w:val="auto"/>
          <w:kern w:val="0"/>
          <w:sz w:val="24"/>
          <w:highlight w:val="none"/>
          <w:shd w:val="clear" w:color="auto" w:fill="auto"/>
        </w:rPr>
        <w:t>8.3 基准资料错误的责任</w:t>
      </w:r>
      <w:bookmarkEnd w:id="16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0" w:name="_Toc189386164"/>
      <w:r>
        <w:rPr>
          <w:rFonts w:ascii="宋体" w:hAnsi="宋体"/>
          <w:b/>
          <w:bCs/>
          <w:color w:val="auto"/>
          <w:kern w:val="0"/>
          <w:sz w:val="24"/>
          <w:highlight w:val="none"/>
          <w:shd w:val="clear" w:color="auto" w:fill="auto"/>
        </w:rPr>
        <w:t>8.4 监理人使用施工控制网</w:t>
      </w:r>
      <w:bookmarkEnd w:id="17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监理人需要使用施工控制网的，承包人应提供必要的协助，发包人不再为此支付费用。</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8.5  补充地质勘探</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71" w:name="_Toc76056674"/>
      <w:bookmarkStart w:id="172" w:name="_Toc189386165"/>
      <w:r>
        <w:rPr>
          <w:rFonts w:ascii="宋体" w:hAnsi="宋体"/>
          <w:bCs w:val="0"/>
          <w:color w:val="auto"/>
          <w:sz w:val="24"/>
          <w:szCs w:val="24"/>
          <w:highlight w:val="none"/>
          <w:shd w:val="clear" w:color="auto" w:fill="auto"/>
        </w:rPr>
        <w:t>9．施工安全、治安保卫和环境保护</w:t>
      </w:r>
      <w:bookmarkEnd w:id="171"/>
      <w:bookmarkEnd w:id="172"/>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3" w:name="_Toc189386166"/>
      <w:r>
        <w:rPr>
          <w:rFonts w:ascii="宋体" w:hAnsi="宋体"/>
          <w:b/>
          <w:bCs/>
          <w:color w:val="auto"/>
          <w:kern w:val="0"/>
          <w:sz w:val="24"/>
          <w:highlight w:val="none"/>
          <w:shd w:val="clear" w:color="auto" w:fill="auto"/>
        </w:rPr>
        <w:t>9.1发包人的施工安全责任</w:t>
      </w:r>
      <w:bookmarkEnd w:id="17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9.1.1  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9.1.2  发包人应对其现场机构雇佣的全部人员的工伤事故承担责任，但由于承包人原因造成发包人人员工伤的，应由承包人承担责任。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9.1.3  发包人应负责赔偿以下各种情况造成的第三者人身伤亡和财产损失：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（1）工程或工程的任何部分对土地的占用所造成的第三者财产损失；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（2）由于发包人原因在施工场地及其毗邻地带造成的第三者人身伤亡和财产损失。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9.1.4  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9.1.5  发包人按照已标价工程量清单所列金额和合同约定的计量支付规定，支付安全作业环境及安全施工措施所需费用。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9.1.6  发包人负责组织工程参建单位编制保证安全生产的措施方案。工程开工前，就落实保证安全生产的措施进行全面系统的布置，进一步明确承包人的安全生产责任。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9.1.7  发包人负责在拆除工程和爆破工程施工14天前向有关部门或机构报送相关备案资料。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4" w:name="_Toc511318096"/>
      <w:bookmarkStart w:id="175" w:name="_Toc189386167"/>
      <w:bookmarkStart w:id="176" w:name="_Toc511317347"/>
      <w:r>
        <w:rPr>
          <w:rFonts w:ascii="宋体" w:hAnsi="宋体"/>
          <w:b/>
          <w:bCs/>
          <w:color w:val="auto"/>
          <w:kern w:val="0"/>
          <w:sz w:val="24"/>
          <w:highlight w:val="none"/>
          <w:shd w:val="clear" w:color="auto" w:fill="auto"/>
        </w:rPr>
        <w:t>9.2 承包人的施工安全责任</w:t>
      </w:r>
      <w:bookmarkEnd w:id="174"/>
      <w:bookmarkEnd w:id="175"/>
      <w:bookmarkEnd w:id="17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9.2.2  承包人应加强施工作业安全管理，特别应加强易燃、易爆材料、火工器材、有毒与腐蚀性材料和其他危险品的管理，以及对爆破作业和地下工程施工等危险作业的管理。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9.2.3  承包人应严格按照国家安全标准制定施工安全操作规程，配备必要的安全生产和劳动保护设施，加强对承包人人员的安全教育，并发放安全工作手册和劳动保护用具。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9.2.4  承包人应按监理人的指示制定应对灾害的紧急预案，报送监理人审批。承包人还应按预案做好安全检查，配置必要的救助物资和器材，切实保护好有关人员的人身和财产安全。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9.2.5  合同约定的安全作业环境及安全施工措施所需费用应遵守有关规定，并包括在相关工作的合同价格中。因采取合同未约定的安全作业环境及安全施工措施增加的费用，由监理人按第3.5款商定或确定。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9.2.6  承包人应对其履行合同所雇佣的全部人员，包括分包人人员的工伤事故承担责任，但由于发包人原因造成承包人人员工伤事故的，应由发包人承担责任。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9.2.7  由于承包人原因在施工场地内及其毗邻地带造成的第三者人员伤亡和财产损失，由承包人负责赔偿。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9.2.8  承包人已标价工程量清单应包含工程安全作业环境及安全施工措施所需费用。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9.2.9  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9.2.10  承包人应设立安全生产管理机构，施工现场应有专职安全生产管理人员。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9.2.11  承包人应负责对特种作业人员进行专门的安全作业培训，并保证特种作业人员持证上岗。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9.2.13  承包人在使用施工起重机械和整体提升脚手架、模板等自升式架设设施前，应组织有关单位进行验收。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77" w:name="_Toc511318097"/>
      <w:bookmarkStart w:id="178" w:name="_Toc511317348"/>
      <w:bookmarkStart w:id="179" w:name="_Toc189386168"/>
      <w:r>
        <w:rPr>
          <w:rFonts w:ascii="宋体" w:hAnsi="宋体"/>
          <w:b/>
          <w:bCs/>
          <w:color w:val="auto"/>
          <w:kern w:val="0"/>
          <w:sz w:val="24"/>
          <w:highlight w:val="none"/>
          <w:shd w:val="clear" w:color="auto" w:fill="auto"/>
        </w:rPr>
        <w:t>9.3 治安保卫</w:t>
      </w:r>
      <w:bookmarkEnd w:id="177"/>
      <w:bookmarkEnd w:id="178"/>
      <w:bookmarkEnd w:id="17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9.3.1  除合同另有约定外，发包人应与当地公安部门协商，在现场建立治安管理机构或联防组织，统一管理施工场地的治安保卫事项，履行合同工程的治安保卫职责。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9.3.2  发包人和承包人除应协助现场治安管理机构或联防组织维护施工场地的社会治安外，还应做好包括生活区在内的各自管辖区的治安保卫工作。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0" w:name="_Toc511318098"/>
      <w:bookmarkStart w:id="181" w:name="_Toc189386169"/>
      <w:bookmarkStart w:id="182" w:name="_Toc511317349"/>
      <w:r>
        <w:rPr>
          <w:rFonts w:ascii="宋体" w:hAnsi="宋体"/>
          <w:b/>
          <w:bCs/>
          <w:color w:val="auto"/>
          <w:kern w:val="0"/>
          <w:sz w:val="24"/>
          <w:highlight w:val="none"/>
          <w:shd w:val="clear" w:color="auto" w:fill="auto"/>
        </w:rPr>
        <w:t>9.4 环境保护</w:t>
      </w:r>
      <w:bookmarkEnd w:id="180"/>
      <w:bookmarkEnd w:id="181"/>
      <w:bookmarkEnd w:id="18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9.4.1  承包人在施工过程中，应遵守有关环境保护的法律，履行合同约定的环境保护义务，并对违反法律和合同约定义务所造成的环境破坏、人身伤害和财产损失负责。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9.4.2  承包人应按合同约定的环保工作内容，编制施工环保措施计划，报送监理人审批。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9.4.4  承包人应按合同约定采取有效措施，对施工开挖的边坡及时进行支护,维护排水设施，并进行水土保护，避免因施工造成的地质灾害。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9.4.5  承包人应按国家饮用水管理标准定期对饮用水源进行监测，防止施工活动污染饮用水源。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9.4.6  承包人应按合同约定，加强对噪声、粉尘、废气、废水和废油的控制，努力降低噪声，控制粉尘和废气浓度，做好废水和废油的治理和排放。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3" w:name="_Toc511318099"/>
      <w:bookmarkStart w:id="184" w:name="_Toc511317350"/>
      <w:bookmarkStart w:id="185" w:name="_Toc189386170"/>
      <w:r>
        <w:rPr>
          <w:rFonts w:ascii="宋体" w:hAnsi="宋体"/>
          <w:b/>
          <w:bCs/>
          <w:color w:val="auto"/>
          <w:kern w:val="0"/>
          <w:sz w:val="24"/>
          <w:highlight w:val="none"/>
          <w:shd w:val="clear" w:color="auto" w:fill="auto"/>
        </w:rPr>
        <w:t>9.5 事故处理</w:t>
      </w:r>
      <w:bookmarkEnd w:id="183"/>
      <w:bookmarkEnd w:id="184"/>
      <w:bookmarkEnd w:id="18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9.5.1  发包人负责组织参建单位制定本工程的质量与安全事故应急预案，建立质量与安全事故应急处置指挥部。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9.5.2  承包人应对施工现场易发生重大事故的部位、环节进行监控，配备救援器材、设备，并定期组织演练。</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9.5.3  工程开工前，承包人应根据本工程的特点制定施工现场施工质量与安全事故应急预案，并报发包人备案。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9.5.4  施工过程中发生事故时，发包人、承包人应立即启动应急预案。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9.5.5  事故调查处理由发包人按相关规定履行手续，承包人应配合。</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6" w:name="_Toc511317351"/>
      <w:bookmarkStart w:id="187" w:name="_Toc511318100"/>
      <w:r>
        <w:rPr>
          <w:rFonts w:ascii="宋体" w:hAnsi="宋体"/>
          <w:b/>
          <w:bCs/>
          <w:color w:val="auto"/>
          <w:kern w:val="0"/>
          <w:sz w:val="24"/>
          <w:highlight w:val="none"/>
          <w:shd w:val="clear" w:color="auto" w:fill="auto"/>
        </w:rPr>
        <w:t>9.6  水土保持</w:t>
      </w:r>
      <w:bookmarkEnd w:id="186"/>
      <w:bookmarkEnd w:id="18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9.6.1  发包人应及时向承包人提供水土保持方案。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9.6.2  承包人在施工过程中，应遵守有关水土保持的法律法规和规章，履行合同约定的水土保持义务，并对其违反法律和合同约定义务所造成的水土流失灾害、人身伤害和财产损失负责。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9.6.3  承包人的水土保持措施计划，应满足技术标准和要求（合同技术条款）约定的要求。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88" w:name="_Toc511317352"/>
      <w:bookmarkStart w:id="189" w:name="_Toc511318101"/>
      <w:r>
        <w:rPr>
          <w:rFonts w:ascii="宋体" w:hAnsi="宋体"/>
          <w:b/>
          <w:bCs/>
          <w:color w:val="auto"/>
          <w:kern w:val="0"/>
          <w:sz w:val="24"/>
          <w:highlight w:val="none"/>
          <w:shd w:val="clear" w:color="auto" w:fill="auto"/>
        </w:rPr>
        <w:t xml:space="preserve">9.7  </w:t>
      </w:r>
      <w:r>
        <w:rPr>
          <w:rFonts w:hint="eastAsia" w:ascii="宋体" w:hAnsi="宋体"/>
          <w:b/>
          <w:bCs/>
          <w:color w:val="auto"/>
          <w:kern w:val="0"/>
          <w:sz w:val="24"/>
          <w:highlight w:val="none"/>
          <w:shd w:val="clear" w:color="auto" w:fill="auto"/>
        </w:rPr>
        <w:t>行业</w:t>
      </w:r>
      <w:r>
        <w:rPr>
          <w:rFonts w:ascii="宋体" w:hAnsi="宋体"/>
          <w:b/>
          <w:bCs/>
          <w:color w:val="auto"/>
          <w:kern w:val="0"/>
          <w:sz w:val="24"/>
          <w:highlight w:val="none"/>
          <w:shd w:val="clear" w:color="auto" w:fill="auto"/>
        </w:rPr>
        <w:t>文明工地</w:t>
      </w:r>
      <w:bookmarkEnd w:id="188"/>
      <w:bookmarkEnd w:id="189"/>
      <w:r>
        <w:rPr>
          <w:rFonts w:hint="eastAsia" w:ascii="宋体" w:hAnsi="宋体"/>
          <w:b/>
          <w:bCs/>
          <w:color w:val="auto"/>
          <w:kern w:val="0"/>
          <w:sz w:val="24"/>
          <w:highlight w:val="none"/>
          <w:shd w:val="clear" w:color="auto" w:fill="auto"/>
        </w:rPr>
        <w:t>和平安工地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9.7.1  发包人应按专用合同条款的约定，负责建立创建文明工地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的组织机构，制定创建文明工地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9.7.2  承包人应按创建文明工地</w:t>
      </w:r>
      <w:r>
        <w:rPr>
          <w:rFonts w:hint="eastAsia" w:ascii="宋体" w:hAnsi="宋体"/>
          <w:color w:val="auto"/>
          <w:kern w:val="0"/>
          <w:sz w:val="24"/>
          <w:highlight w:val="none"/>
          <w:shd w:val="clear" w:color="auto" w:fill="auto"/>
        </w:rPr>
        <w:t>、平安工地</w:t>
      </w:r>
      <w:r>
        <w:rPr>
          <w:rFonts w:ascii="宋体" w:hAnsi="宋体"/>
          <w:color w:val="auto"/>
          <w:kern w:val="0"/>
          <w:sz w:val="24"/>
          <w:highlight w:val="none"/>
          <w:shd w:val="clear" w:color="auto" w:fill="auto"/>
        </w:rPr>
        <w:t>的规划和办法，履行职责，承担相应责任。所需费用应含在已标价工程量清单中。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0" w:name="_Toc511318102"/>
      <w:bookmarkStart w:id="191" w:name="_Toc511317353"/>
      <w:r>
        <w:rPr>
          <w:rFonts w:ascii="宋体" w:hAnsi="宋体"/>
          <w:b/>
          <w:bCs/>
          <w:color w:val="auto"/>
          <w:kern w:val="0"/>
          <w:sz w:val="24"/>
          <w:highlight w:val="none"/>
          <w:shd w:val="clear" w:color="auto" w:fill="auto"/>
        </w:rPr>
        <w:t>9.8  防汛度汛</w:t>
      </w:r>
      <w:bookmarkEnd w:id="190"/>
      <w:bookmarkEnd w:id="19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9.8.1  发包人负责组织工程参建单位编制本工程的度汛方案和措施。</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9.8.2  承包人应根据发包人编制的本工程度汛方案和措施，制定相应的度汛方案，报发包人批准后实施。</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192" w:name="_Toc76056675"/>
      <w:bookmarkStart w:id="193" w:name="_Toc189386171"/>
      <w:r>
        <w:rPr>
          <w:rFonts w:ascii="宋体" w:hAnsi="宋体"/>
          <w:bCs w:val="0"/>
          <w:color w:val="auto"/>
          <w:sz w:val="24"/>
          <w:szCs w:val="24"/>
          <w:highlight w:val="none"/>
          <w:shd w:val="clear" w:color="auto" w:fill="auto"/>
        </w:rPr>
        <w:t>10．进度计划</w:t>
      </w:r>
      <w:bookmarkEnd w:id="192"/>
      <w:bookmarkEnd w:id="19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4" w:name="_Toc511317355"/>
      <w:bookmarkStart w:id="195" w:name="_Toc511318104"/>
      <w:bookmarkStart w:id="196" w:name="_Toc189386172"/>
      <w:r>
        <w:rPr>
          <w:rFonts w:ascii="宋体" w:hAnsi="宋体"/>
          <w:b/>
          <w:bCs/>
          <w:color w:val="auto"/>
          <w:kern w:val="0"/>
          <w:sz w:val="24"/>
          <w:highlight w:val="none"/>
          <w:shd w:val="clear" w:color="auto" w:fill="auto"/>
        </w:rPr>
        <w:t>10.1 合同进度计划</w:t>
      </w:r>
      <w:bookmarkEnd w:id="194"/>
      <w:bookmarkEnd w:id="195"/>
      <w:bookmarkEnd w:id="19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197" w:name="_Toc189386173"/>
      <w:bookmarkStart w:id="198" w:name="_Toc511318105"/>
      <w:bookmarkStart w:id="199" w:name="_Toc511317356"/>
      <w:r>
        <w:rPr>
          <w:rFonts w:ascii="宋体" w:hAnsi="宋体"/>
          <w:b/>
          <w:bCs/>
          <w:color w:val="auto"/>
          <w:kern w:val="0"/>
          <w:sz w:val="24"/>
          <w:highlight w:val="none"/>
          <w:shd w:val="clear" w:color="auto" w:fill="auto"/>
        </w:rPr>
        <w:t>10.2 合同进度计划的修订</w:t>
      </w:r>
      <w:bookmarkEnd w:id="197"/>
      <w:bookmarkEnd w:id="198"/>
      <w:bookmarkEnd w:id="19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0" w:name="_Toc511318106"/>
      <w:bookmarkStart w:id="201" w:name="_Toc511317357"/>
      <w:r>
        <w:rPr>
          <w:rFonts w:ascii="宋体" w:hAnsi="宋体"/>
          <w:b/>
          <w:bCs/>
          <w:color w:val="auto"/>
          <w:kern w:val="0"/>
          <w:sz w:val="24"/>
          <w:highlight w:val="none"/>
          <w:shd w:val="clear" w:color="auto" w:fill="auto"/>
        </w:rPr>
        <w:t>10.3  单位工程进度计划</w:t>
      </w:r>
      <w:bookmarkEnd w:id="200"/>
      <w:bookmarkEnd w:id="20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监理人认为有必要时，承包人应按监理人指示的内容和期限，并根据合同进度计划的进度控制要求，编制单位工程进度计划，提交监理人审批。</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bookmarkStart w:id="202" w:name="_Toc189386174"/>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03" w:name="_Toc76056676"/>
      <w:r>
        <w:rPr>
          <w:rFonts w:ascii="宋体" w:hAnsi="宋体"/>
          <w:bCs w:val="0"/>
          <w:color w:val="auto"/>
          <w:sz w:val="24"/>
          <w:szCs w:val="24"/>
          <w:highlight w:val="none"/>
          <w:shd w:val="clear" w:color="auto" w:fill="auto"/>
        </w:rPr>
        <w:t>11．开工和竣工</w:t>
      </w:r>
      <w:bookmarkEnd w:id="202"/>
      <w:bookmarkEnd w:id="20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4" w:name="_Toc511317360"/>
      <w:bookmarkStart w:id="205" w:name="_Toc189386175"/>
      <w:bookmarkStart w:id="206" w:name="_Toc511318109"/>
      <w:r>
        <w:rPr>
          <w:rFonts w:ascii="宋体" w:hAnsi="宋体"/>
          <w:b/>
          <w:bCs/>
          <w:color w:val="auto"/>
          <w:kern w:val="0"/>
          <w:sz w:val="24"/>
          <w:highlight w:val="none"/>
          <w:shd w:val="clear" w:color="auto" w:fill="auto"/>
        </w:rPr>
        <w:t>11.1 开工</w:t>
      </w:r>
      <w:bookmarkEnd w:id="204"/>
      <w:bookmarkEnd w:id="205"/>
      <w:bookmarkEnd w:id="20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11.1.1  监理人应在开工日期7天前向承包人发出开工通知。监理人在发出开工通知前应获得发包人同意。工期自监理人发出的开工通知中载明的开工日期起计算。承包人应在开工日期后尽快施工。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11.1.3  若发包人未能按合同约定向承包人提供开工的必要条件，承包人有权要求延长工期。监理人应在收到承包人的书面要求后，按第3.5款的约定，与合同双方商定或确定增加的费用和延长的工期。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7" w:name="_Toc189386176"/>
      <w:r>
        <w:rPr>
          <w:rFonts w:ascii="宋体" w:hAnsi="宋体"/>
          <w:b/>
          <w:bCs/>
          <w:color w:val="auto"/>
          <w:kern w:val="0"/>
          <w:sz w:val="24"/>
          <w:highlight w:val="none"/>
          <w:shd w:val="clear" w:color="auto" w:fill="auto"/>
        </w:rPr>
        <w:t>11.2竣工</w:t>
      </w:r>
      <w:bookmarkEnd w:id="2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承包人应在第1.1.4.3目约定的期限内完成合同工程。合同工程实际完工日期在合同工程完工证书中明确。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08" w:name="_Toc189386177"/>
      <w:bookmarkStart w:id="209" w:name="_Toc511317361"/>
      <w:bookmarkStart w:id="210" w:name="_Toc511318110"/>
      <w:r>
        <w:rPr>
          <w:rFonts w:ascii="宋体" w:hAnsi="宋体"/>
          <w:b/>
          <w:bCs/>
          <w:color w:val="auto"/>
          <w:kern w:val="0"/>
          <w:sz w:val="24"/>
          <w:highlight w:val="none"/>
          <w:shd w:val="clear" w:color="auto" w:fill="auto"/>
        </w:rPr>
        <w:t>11.3 发包人的工期延误</w:t>
      </w:r>
      <w:bookmarkEnd w:id="208"/>
      <w:bookmarkEnd w:id="209"/>
      <w:bookmarkEnd w:id="21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在履行合同过程中，由于发包人的下列原因造成工期延误的，承包人有权要求发包人延长工期和（或）增加费用，并支付合理利润。需要修订合同进度计划的，按照第10.2 款的约定办理。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（1）增加合同工作内容；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（2）改变合同中任何一项工作的质量要求或其他特性；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（3）发包人迟延提供材料、工程设备或变更交货地点的；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（4）因发包人原因导致的暂停施工；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（5）提供图纸延误；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（6）未按合同约定及时支付预付款、进度款；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（7）发包人造成工期延误的其他原因。</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1" w:name="_Toc511317362"/>
      <w:bookmarkStart w:id="212" w:name="_Toc511318111"/>
      <w:bookmarkStart w:id="213" w:name="_Toc189386178"/>
      <w:r>
        <w:rPr>
          <w:rFonts w:ascii="宋体" w:hAnsi="宋体"/>
          <w:b/>
          <w:bCs/>
          <w:color w:val="auto"/>
          <w:kern w:val="0"/>
          <w:sz w:val="24"/>
          <w:highlight w:val="none"/>
          <w:shd w:val="clear" w:color="auto" w:fill="auto"/>
        </w:rPr>
        <w:t>11.4 异常恶劣的气候条件</w:t>
      </w:r>
      <w:bookmarkEnd w:id="211"/>
      <w:bookmarkEnd w:id="212"/>
      <w:bookmarkEnd w:id="21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11.4.1  当工程所在地发生危及施工安全的异常恶劣气候时，发包人和承包人应按本合同通用合同条款第12条的约定，及时采取暂停施工或部分暂停施工措施。异常恶劣气候条件解除后，承包人应及时安排复工。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11.4.2  异常恶劣气候条件造成的工期延误和工程损坏，应由发包人与承包人参照本合同通用合同条款第21.3款的约定协商处理。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11.4.3  本合同工程界定异常恶劣气候条件的范围在专用合同条款中约定。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4" w:name="_Toc511318112"/>
      <w:bookmarkStart w:id="215" w:name="_Toc511317363"/>
      <w:bookmarkStart w:id="216" w:name="_Toc189386179"/>
      <w:r>
        <w:rPr>
          <w:rFonts w:ascii="宋体" w:hAnsi="宋体"/>
          <w:b/>
          <w:bCs/>
          <w:color w:val="auto"/>
          <w:kern w:val="0"/>
          <w:sz w:val="24"/>
          <w:highlight w:val="none"/>
          <w:shd w:val="clear" w:color="auto" w:fill="auto"/>
        </w:rPr>
        <w:t>11.5 承包人的工期延误</w:t>
      </w:r>
      <w:bookmarkEnd w:id="214"/>
      <w:bookmarkEnd w:id="215"/>
      <w:bookmarkEnd w:id="21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17" w:name="_Toc511317364"/>
      <w:bookmarkStart w:id="218" w:name="_Toc189386180"/>
      <w:bookmarkStart w:id="219" w:name="_Toc511318113"/>
      <w:r>
        <w:rPr>
          <w:rFonts w:ascii="宋体" w:hAnsi="宋体"/>
          <w:b/>
          <w:bCs/>
          <w:color w:val="auto"/>
          <w:kern w:val="0"/>
          <w:sz w:val="24"/>
          <w:highlight w:val="none"/>
          <w:shd w:val="clear" w:color="auto" w:fill="auto"/>
        </w:rPr>
        <w:t>11.6 工期提前</w:t>
      </w:r>
      <w:bookmarkEnd w:id="217"/>
      <w:bookmarkEnd w:id="218"/>
      <w:bookmarkEnd w:id="21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发包人要求提前完工的，双方协商一致后应签订提前完工协议，协议内容包括：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（1）提前的时间和修订后的进度计划；</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（2）承包人的赶工措施；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（3）发包人为赶工提供的条件；</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（4）赶工费用（包括利润和奖金）。</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20" w:name="_Toc189386181"/>
      <w:bookmarkStart w:id="221" w:name="_Toc76056677"/>
      <w:r>
        <w:rPr>
          <w:rFonts w:ascii="宋体" w:hAnsi="宋体"/>
          <w:bCs w:val="0"/>
          <w:color w:val="auto"/>
          <w:sz w:val="24"/>
          <w:szCs w:val="24"/>
          <w:highlight w:val="none"/>
          <w:shd w:val="clear" w:color="auto" w:fill="auto"/>
        </w:rPr>
        <w:t>12．暂停施工</w:t>
      </w:r>
      <w:bookmarkEnd w:id="220"/>
      <w:bookmarkEnd w:id="221"/>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2" w:name="_Toc511317366"/>
      <w:bookmarkStart w:id="223" w:name="_Toc189386182"/>
      <w:bookmarkStart w:id="224" w:name="_Toc511318115"/>
      <w:r>
        <w:rPr>
          <w:rFonts w:ascii="宋体" w:hAnsi="宋体"/>
          <w:b/>
          <w:bCs/>
          <w:color w:val="auto"/>
          <w:kern w:val="0"/>
          <w:sz w:val="24"/>
          <w:highlight w:val="none"/>
          <w:shd w:val="clear" w:color="auto" w:fill="auto"/>
        </w:rPr>
        <w:t>12.1 承包人暂停施工的责任</w:t>
      </w:r>
      <w:bookmarkEnd w:id="222"/>
      <w:bookmarkEnd w:id="223"/>
      <w:bookmarkEnd w:id="22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因下列暂停施工增加的费用和（或）工期延误由承包人承担：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（2）由于承包人原因为工程合理施工和安全保障所必需的暂停施工；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（3）承包人擅自暂停施工；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（4）承包人其他原因引起的暂停施工；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（5）专用合同条款约定由承包人承担的其他暂停施工。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5" w:name="_Toc189386183"/>
      <w:bookmarkStart w:id="226" w:name="_Toc511318116"/>
      <w:bookmarkStart w:id="227" w:name="_Toc511317367"/>
      <w:r>
        <w:rPr>
          <w:rFonts w:ascii="宋体" w:hAnsi="宋体"/>
          <w:b/>
          <w:bCs/>
          <w:color w:val="auto"/>
          <w:kern w:val="0"/>
          <w:sz w:val="24"/>
          <w:highlight w:val="none"/>
          <w:shd w:val="clear" w:color="auto" w:fill="auto"/>
        </w:rPr>
        <w:t>12.2 发包人暂停施工的责任</w:t>
      </w:r>
      <w:bookmarkEnd w:id="225"/>
      <w:bookmarkEnd w:id="226"/>
      <w:bookmarkEnd w:id="22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由于发包人原因引起的暂停施工造成工期延误的，承包人有权要求发包人延长工期和（或）增加费用，并支付合理利润。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属于下列任何一种情况引起的暂停施工，均为发包人的责任：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（1）由于发包人违约引起的暂停施工；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（2）由于不可抗力的自然或社会因素引起的暂停施工；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（3）专用合同条款中约定的其它由于发包人原因引起的暂停施工。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8" w:name="_Toc189386184"/>
      <w:r>
        <w:rPr>
          <w:rFonts w:ascii="宋体" w:hAnsi="宋体"/>
          <w:b/>
          <w:bCs/>
          <w:color w:val="auto"/>
          <w:kern w:val="0"/>
          <w:sz w:val="24"/>
          <w:highlight w:val="none"/>
          <w:shd w:val="clear" w:color="auto" w:fill="auto"/>
        </w:rPr>
        <w:t>12.3 监理人暂停施工指示</w:t>
      </w:r>
      <w:bookmarkEnd w:id="22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12.3.1  监理人认为有必要时，可向承包人作出暂停施工的指示，承包人应按监理人指示暂停施工。不论由于何种原因引起的暂停施工，暂停施工期间承包人应负责妥善保护工程并提供安全保障。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29" w:name="_Toc189386185"/>
      <w:r>
        <w:rPr>
          <w:rFonts w:ascii="宋体" w:hAnsi="宋体"/>
          <w:b/>
          <w:bCs/>
          <w:color w:val="auto"/>
          <w:kern w:val="0"/>
          <w:sz w:val="24"/>
          <w:highlight w:val="none"/>
          <w:shd w:val="clear" w:color="auto" w:fill="auto"/>
        </w:rPr>
        <w:t>12.4 暂停施工后的复工</w:t>
      </w:r>
      <w:bookmarkEnd w:id="22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12.4.2  承包人无故拖延和拒绝复工的，由此增加的费用和工期延误由承包人承担；因发包人原因无法按时复工的，承包人有权要求发包人延长工期和（或）增加费用，并支付合理利润。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0" w:name="_Toc189386186"/>
      <w:r>
        <w:rPr>
          <w:rFonts w:ascii="宋体" w:hAnsi="宋体"/>
          <w:b/>
          <w:bCs/>
          <w:color w:val="auto"/>
          <w:kern w:val="0"/>
          <w:sz w:val="24"/>
          <w:highlight w:val="none"/>
          <w:shd w:val="clear" w:color="auto" w:fill="auto"/>
        </w:rPr>
        <w:t>12.5 暂停施工持续56天以上</w:t>
      </w:r>
      <w:bookmarkEnd w:id="2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12.5.2  由于承包人责任引起的暂停施工，如承包人在收到监理人暂停施工指示后56 天内不认真采取有效的复工措施，造成工期延误，可视为承包人违约，应按第22.1 款的规定办理。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31" w:name="_Toc76056678"/>
      <w:bookmarkStart w:id="232" w:name="_Toc189386187"/>
      <w:r>
        <w:rPr>
          <w:rFonts w:ascii="宋体" w:hAnsi="宋体"/>
          <w:bCs w:val="0"/>
          <w:color w:val="auto"/>
          <w:sz w:val="24"/>
          <w:szCs w:val="24"/>
          <w:highlight w:val="none"/>
          <w:shd w:val="clear" w:color="auto" w:fill="auto"/>
        </w:rPr>
        <w:t>13．工程质量</w:t>
      </w:r>
      <w:bookmarkEnd w:id="231"/>
      <w:bookmarkEnd w:id="232"/>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3" w:name="_Toc189386188"/>
      <w:bookmarkStart w:id="234" w:name="_Toc511318118"/>
      <w:bookmarkStart w:id="235" w:name="_Toc511317369"/>
      <w:r>
        <w:rPr>
          <w:rFonts w:ascii="宋体" w:hAnsi="宋体"/>
          <w:b/>
          <w:bCs/>
          <w:color w:val="auto"/>
          <w:kern w:val="0"/>
          <w:sz w:val="24"/>
          <w:highlight w:val="none"/>
          <w:shd w:val="clear" w:color="auto" w:fill="auto"/>
        </w:rPr>
        <w:t>13.1 工程质量要求</w:t>
      </w:r>
      <w:bookmarkEnd w:id="233"/>
      <w:bookmarkEnd w:id="234"/>
      <w:bookmarkEnd w:id="23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13.1.1  工程质量验收按合同约定验收标准执行。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13.1.2  因承包人原因造成工程质量达不到合同约定验收标准的，监理人有权要求承包人返工直至符合合同要求为止，由此造成的费用增加和（或）工期延误由承包人承担。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13.1.3  因发包人原因造成工程质量达不到合同约定验收标准的，发包人应承担由于承包人返工造成的费用增加和（或）工期延误，并支付承包人合理利润。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6" w:name="_Toc511318119"/>
      <w:bookmarkStart w:id="237" w:name="_Toc511317370"/>
      <w:bookmarkStart w:id="238" w:name="_Toc189386189"/>
      <w:r>
        <w:rPr>
          <w:rFonts w:ascii="宋体" w:hAnsi="宋体"/>
          <w:b/>
          <w:bCs/>
          <w:color w:val="auto"/>
          <w:kern w:val="0"/>
          <w:sz w:val="24"/>
          <w:highlight w:val="none"/>
          <w:shd w:val="clear" w:color="auto" w:fill="auto"/>
        </w:rPr>
        <w:t>13.2 承包人的质量管理</w:t>
      </w:r>
      <w:bookmarkEnd w:id="236"/>
      <w:bookmarkEnd w:id="237"/>
      <w:bookmarkEnd w:id="23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13.2.2  承包人应加强对施工人员的质量教育和技术培训，定期考核施工人员的劳动技能，严格执行规范和操作规程。</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39" w:name="_Toc189386190"/>
      <w:bookmarkStart w:id="240" w:name="_Toc511318120"/>
      <w:bookmarkStart w:id="241" w:name="_Toc511317371"/>
      <w:r>
        <w:rPr>
          <w:rFonts w:ascii="宋体" w:hAnsi="宋体"/>
          <w:b/>
          <w:bCs/>
          <w:color w:val="auto"/>
          <w:kern w:val="0"/>
          <w:sz w:val="24"/>
          <w:highlight w:val="none"/>
          <w:shd w:val="clear" w:color="auto" w:fill="auto"/>
        </w:rPr>
        <w:t>13.3 承包人的质量检查</w:t>
      </w:r>
      <w:bookmarkEnd w:id="239"/>
      <w:bookmarkEnd w:id="240"/>
      <w:bookmarkEnd w:id="24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承包人应按合同约定对材料、工程设备以及工程的所有部位及其施工工艺进行全过程的质量检查和检验，并作详细记录，编制工程质量报表，报送监理人审查。</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2" w:name="_Toc189386191"/>
      <w:bookmarkStart w:id="243" w:name="_Toc511317372"/>
      <w:bookmarkStart w:id="244" w:name="_Toc511318121"/>
      <w:r>
        <w:rPr>
          <w:rFonts w:ascii="宋体" w:hAnsi="宋体"/>
          <w:b/>
          <w:bCs/>
          <w:color w:val="auto"/>
          <w:kern w:val="0"/>
          <w:sz w:val="24"/>
          <w:highlight w:val="none"/>
          <w:shd w:val="clear" w:color="auto" w:fill="auto"/>
        </w:rPr>
        <w:t>13.4 监理人的质量检查</w:t>
      </w:r>
      <w:bookmarkEnd w:id="242"/>
      <w:bookmarkEnd w:id="243"/>
      <w:bookmarkEnd w:id="24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5" w:name="_Toc511318122"/>
      <w:bookmarkStart w:id="246" w:name="_Toc511317373"/>
      <w:bookmarkStart w:id="247" w:name="_Toc189386192"/>
      <w:r>
        <w:rPr>
          <w:rFonts w:ascii="宋体" w:hAnsi="宋体"/>
          <w:b/>
          <w:bCs/>
          <w:color w:val="auto"/>
          <w:kern w:val="0"/>
          <w:sz w:val="24"/>
          <w:highlight w:val="none"/>
          <w:shd w:val="clear" w:color="auto" w:fill="auto"/>
        </w:rPr>
        <w:t>13.5 工程隐蔽部位覆盖前的检查</w:t>
      </w:r>
      <w:bookmarkEnd w:id="245"/>
      <w:bookmarkEnd w:id="246"/>
      <w:bookmarkEnd w:id="247"/>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13.5.1  通知监理人检查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13.5.2  监理人未到场检查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13.5.3  监理人重新检查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13.5.4  承包人私自覆盖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承包人未通知监理人到场检查，私自将工程隐蔽部位覆盖的，监理人有权指示承包人钻孔探测或揭开检查，由此增加的费用和（或）工期延误由承包人承担。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48" w:name="_Toc189386193"/>
      <w:bookmarkStart w:id="249" w:name="_Toc511317374"/>
      <w:bookmarkStart w:id="250" w:name="_Toc511318123"/>
      <w:r>
        <w:rPr>
          <w:rFonts w:ascii="宋体" w:hAnsi="宋体"/>
          <w:b/>
          <w:bCs/>
          <w:color w:val="auto"/>
          <w:kern w:val="0"/>
          <w:sz w:val="24"/>
          <w:highlight w:val="none"/>
          <w:shd w:val="clear" w:color="auto" w:fill="auto"/>
        </w:rPr>
        <w:t>13.6  清除不合格工程</w:t>
      </w:r>
      <w:bookmarkEnd w:id="248"/>
      <w:bookmarkEnd w:id="249"/>
      <w:bookmarkEnd w:id="25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13.6.2  由于发包人提供的材料或工程设备不合格造成的工程不合格，需要承包人采取措施补救的，发包人应承担由此增加的费用和（或）工期延误，并支付承包人合理利润。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1" w:name="_Toc511318124"/>
      <w:r>
        <w:rPr>
          <w:rFonts w:ascii="宋体" w:hAnsi="宋体"/>
          <w:b/>
          <w:bCs/>
          <w:color w:val="auto"/>
          <w:kern w:val="0"/>
          <w:sz w:val="24"/>
          <w:highlight w:val="none"/>
          <w:shd w:val="clear" w:color="auto" w:fill="auto"/>
        </w:rPr>
        <w:t>13.7  质量评定</w:t>
      </w:r>
      <w:bookmarkEnd w:id="25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13.7.1  发包人应组织承包人进行工程项目划分，并确定单位工程、主要分部工程、重要隐蔽单元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13.7.2  工程实施过程中，单位工程、主要分部工程、重要隐蔽单元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工程和关键部位单元</w:t>
      </w:r>
      <w:r>
        <w:rPr>
          <w:rFonts w:hint="eastAsia" w:ascii="宋体" w:hAnsi="宋体"/>
          <w:color w:val="auto"/>
          <w:kern w:val="0"/>
          <w:sz w:val="24"/>
          <w:highlight w:val="none"/>
          <w:shd w:val="clear" w:color="auto" w:fill="auto"/>
        </w:rPr>
        <w:t>（分项）</w:t>
      </w:r>
      <w:r>
        <w:rPr>
          <w:rFonts w:ascii="宋体" w:hAnsi="宋体"/>
          <w:color w:val="auto"/>
          <w:kern w:val="0"/>
          <w:sz w:val="24"/>
          <w:highlight w:val="none"/>
          <w:shd w:val="clear" w:color="auto" w:fill="auto"/>
        </w:rPr>
        <w:t>工程的项目划分需要调整时，承包人应报发包人确认。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13.7.3  承包人应在单元（工序）工程质量自评合格后，报监理人核定质量等级并签证认可。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13.7.4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13.7.5  承包人应在分部工程质量自评合格后，报监理人复核和发包人认定。发包人负责按有关规定完成分部工程质量结论报工程质量监督机构核备（核定）手续。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13.7.6  承包人应在单位工程质量自评合格后，报监理人复核和发包人认定。发包人负责按有关规定完成单位工程质量结论报工程质量监督机构核定手续。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13.7.7  除专用合同条款另有约定外，工程质量等级分为合格和优良，应分别达到约定的标准。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2" w:name="_Toc511318125"/>
      <w:r>
        <w:rPr>
          <w:rFonts w:ascii="宋体" w:hAnsi="宋体"/>
          <w:b/>
          <w:bCs/>
          <w:color w:val="auto"/>
          <w:kern w:val="0"/>
          <w:sz w:val="24"/>
          <w:highlight w:val="none"/>
          <w:shd w:val="clear" w:color="auto" w:fill="auto"/>
        </w:rPr>
        <w:t>13.8  质量事故处理</w:t>
      </w:r>
      <w:bookmarkEnd w:id="25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13.8.1  发生质量事故时，承包人应及时向发包人和监理人报告。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13.8.2  质量事故调查处理由发包人按相关规定履行手续，承包人应配合。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13.8.3  承包人应对质量缺陷进行备案。发包人委托监理人对质量缺陷备案情况进行监督检查并履行相关手续。</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13.8.4  除专用合同条款另有约定外，工程竣工验收时，发包人负责向竣工验收委员会汇报并提交历次质量缺陷处理的备案资料。</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3" w:name="_Toc76056679"/>
      <w:bookmarkStart w:id="254" w:name="_Toc189386194"/>
      <w:r>
        <w:rPr>
          <w:rFonts w:ascii="宋体" w:hAnsi="宋体"/>
          <w:bCs w:val="0"/>
          <w:color w:val="auto"/>
          <w:sz w:val="24"/>
          <w:szCs w:val="24"/>
          <w:highlight w:val="none"/>
          <w:shd w:val="clear" w:color="auto" w:fill="auto"/>
        </w:rPr>
        <w:t>14．试验和检验</w:t>
      </w:r>
      <w:bookmarkEnd w:id="253"/>
      <w:bookmarkEnd w:id="25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5" w:name="_Toc189386195"/>
      <w:r>
        <w:rPr>
          <w:rFonts w:ascii="宋体" w:hAnsi="宋体"/>
          <w:b/>
          <w:bCs/>
          <w:color w:val="auto"/>
          <w:kern w:val="0"/>
          <w:sz w:val="24"/>
          <w:highlight w:val="none"/>
          <w:shd w:val="clear" w:color="auto" w:fill="auto"/>
        </w:rPr>
        <w:t>14.1材料、工程设备和工程的试验和检验</w:t>
      </w:r>
      <w:bookmarkEnd w:id="25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14.1.2  监理人未按合同约定派员参加试验和检验的，除监理人另有指示外，承包人可自行试验和检验，并应立即将试验和检验结果报送监理人，监理人应签字确认。</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14.1.4  承包人应按相关规定和标准对水泥、钢材等原材料与中间产品质量进行检验，并报监理人复核。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14.1.5  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14.1.6  对专用合同条款约定的试块、试件及有关材料，监理人实行见证取样。见证取样资料由承包人制备，记录应真实齐全，监理人、承包人等参与见证取样人员均应在相关文件上签字。</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6" w:name="_Toc189386196"/>
      <w:r>
        <w:rPr>
          <w:rFonts w:ascii="宋体" w:hAnsi="宋体"/>
          <w:b/>
          <w:bCs/>
          <w:color w:val="auto"/>
          <w:kern w:val="0"/>
          <w:sz w:val="24"/>
          <w:highlight w:val="none"/>
          <w:shd w:val="clear" w:color="auto" w:fill="auto"/>
        </w:rPr>
        <w:t>14.2 现场材料试验</w:t>
      </w:r>
      <w:bookmarkEnd w:id="25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14.2.1  承包人根据合同约定或监理人指示进行的现场材料试验，应由承包人提供试验场所、试验人员、试验设备器材以及其他必要的试验条件。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14.2.2  监理人在必要时可以使用承包人的试验场所、试验设备器材以及其他试验条件，进行以工程质量检查为目的的复核性材料试验，承包人应予以协助。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57" w:name="_Toc189386197"/>
      <w:r>
        <w:rPr>
          <w:rFonts w:ascii="宋体" w:hAnsi="宋体"/>
          <w:b/>
          <w:bCs/>
          <w:color w:val="auto"/>
          <w:kern w:val="0"/>
          <w:sz w:val="24"/>
          <w:highlight w:val="none"/>
          <w:shd w:val="clear" w:color="auto" w:fill="auto"/>
        </w:rPr>
        <w:t>14.3 现场工艺试验</w:t>
      </w:r>
      <w:bookmarkEnd w:id="257"/>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承包人应按合同约定或监理人指示进行现场工艺试验。对大型的现场工艺试验，监理人认为必要时，应由承包人根据监理人提出的工艺试验要求，编制工艺试验措施计划，报送监理人审批。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58" w:name="_Toc189386198"/>
      <w:bookmarkStart w:id="259" w:name="_Toc76056680"/>
      <w:r>
        <w:rPr>
          <w:rFonts w:ascii="宋体" w:hAnsi="宋体"/>
          <w:bCs w:val="0"/>
          <w:color w:val="auto"/>
          <w:sz w:val="24"/>
          <w:szCs w:val="24"/>
          <w:highlight w:val="none"/>
          <w:shd w:val="clear" w:color="auto" w:fill="auto"/>
        </w:rPr>
        <w:t>15．变更</w:t>
      </w:r>
      <w:bookmarkEnd w:id="258"/>
      <w:bookmarkEnd w:id="25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0" w:name="_Toc511318128"/>
      <w:bookmarkStart w:id="261" w:name="_Toc189386199"/>
      <w:r>
        <w:rPr>
          <w:rFonts w:ascii="宋体" w:hAnsi="宋体"/>
          <w:b/>
          <w:bCs/>
          <w:color w:val="auto"/>
          <w:kern w:val="0"/>
          <w:sz w:val="24"/>
          <w:highlight w:val="none"/>
          <w:shd w:val="clear" w:color="auto" w:fill="auto"/>
        </w:rPr>
        <w:t>15.1 变更的范围和内容</w:t>
      </w:r>
      <w:bookmarkEnd w:id="260"/>
      <w:bookmarkEnd w:id="26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在履行合同中发生以下情形之一，应按照本款规定进行变更。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（1）取消合同中任何一项工作，但被取消的工作不能转由发包人或其它人实施；</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（2）改变合同中任何一项工作的质量或其它特性；</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（3）改变合同工程的基线、标高、位置或尺寸；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（4）改变合同中任何一项工作的施工时间或改变已批准的施工工艺或顺序；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（5）为完成工程需要追加的额外工作；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（6）增加或减少专用合同条款中约定的关键项目工程量超过其工程总量的一定数量百分比。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上述第（1）～（6）目的变更内容引起工程施工组织和进度计划发生实质性变动和影响其原定的价格时，才予调整该项目的单价。第（6）目情形下单价调整方式在专用合同条款中约定。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2" w:name="_Toc189386200"/>
      <w:bookmarkStart w:id="263" w:name="_Toc511318129"/>
      <w:r>
        <w:rPr>
          <w:rFonts w:ascii="宋体" w:hAnsi="宋体"/>
          <w:b/>
          <w:bCs/>
          <w:color w:val="auto"/>
          <w:kern w:val="0"/>
          <w:sz w:val="24"/>
          <w:highlight w:val="none"/>
          <w:shd w:val="clear" w:color="auto" w:fill="auto"/>
        </w:rPr>
        <w:t>15.2 变更权</w:t>
      </w:r>
      <w:bookmarkEnd w:id="262"/>
      <w:bookmarkEnd w:id="26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在履行合同过程中，经发包人同意，监理人可按第15.3款约定的变更程序向承包人作出变更指示，承包人应遵照执行。没有监理人的变更指示，承包人不得擅自变更。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4" w:name="_Toc189386201"/>
      <w:bookmarkStart w:id="265" w:name="_Toc511318130"/>
      <w:r>
        <w:rPr>
          <w:rFonts w:ascii="宋体" w:hAnsi="宋体"/>
          <w:b/>
          <w:bCs/>
          <w:color w:val="auto"/>
          <w:kern w:val="0"/>
          <w:sz w:val="24"/>
          <w:highlight w:val="none"/>
          <w:shd w:val="clear" w:color="auto" w:fill="auto"/>
        </w:rPr>
        <w:t>15.3 变更程序</w:t>
      </w:r>
      <w:bookmarkEnd w:id="264"/>
      <w:bookmarkEnd w:id="265"/>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15.3.1  变更的提出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（2）在合同履行过程中，发生第15.1款约定情形的，监理人应按照第15.3.3项约定向承包人发出变更指示。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（4）若承包人收到监理人的变更意向书后认为难以实施此项变更，应立即通知监理人，说明原因并附详细依据。监理人与承包人和发包人协商后确定撤销、改变或不改变原变更意向书。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15.3.2  变更估价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（2）变更工作影响工期的，承包人应提出调整工期的具体细节。监理人认为有必要时，可要求承包人提交要求提前或延长工期的施工进度计划及相应施工措施等详细资料。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（3）除专用合同条款对期限另有约定外，监理人收到承包人变更报价书后的14 天内，根据第15.4款约定的估价原则，按照第3.5款商定或确定变更价格。</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15.3.3  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（1）变更指示只能由监理人发出。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（2）变更指示应说明变更的目的、范围、变更内容以及变更的工程量及其进度和技术要求，并附有关图纸和文件。承包人收到变更指示后，应按变更指示进行变更工作。</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6" w:name="_Toc511318131"/>
      <w:bookmarkStart w:id="267" w:name="_Toc189386202"/>
      <w:r>
        <w:rPr>
          <w:rFonts w:ascii="宋体" w:hAnsi="宋体"/>
          <w:b/>
          <w:bCs/>
          <w:color w:val="auto"/>
          <w:kern w:val="0"/>
          <w:sz w:val="24"/>
          <w:highlight w:val="none"/>
          <w:shd w:val="clear" w:color="auto" w:fill="auto"/>
        </w:rPr>
        <w:t>15.4 变更的估价原则</w:t>
      </w:r>
      <w:bookmarkEnd w:id="266"/>
      <w:bookmarkEnd w:id="26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除专用合同条款另有约定外，因变更引起的价格调整按照本款约定处理。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15.4.1  已标价工程量清单中有适用于变更工作的子目的，采用该子目的单价。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15.4.2  已标价工程量清单中无适用于变更工作的子目，但有类似子目的，可在合理范围内参照类似子目的单价，由监理人按第3.5款商定或确定变更工作的单价。</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15.4.3  已标价工程量清单中无适用或类似子目的单价，可按照成本加利润的原则，由监理人按第3.5款商定或确定变更工作的单价。</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68" w:name="_Toc511318132"/>
      <w:bookmarkStart w:id="269" w:name="_Toc189386203"/>
      <w:r>
        <w:rPr>
          <w:rFonts w:ascii="宋体" w:hAnsi="宋体"/>
          <w:b/>
          <w:bCs/>
          <w:color w:val="auto"/>
          <w:kern w:val="0"/>
          <w:sz w:val="24"/>
          <w:highlight w:val="none"/>
          <w:shd w:val="clear" w:color="auto" w:fill="auto"/>
        </w:rPr>
        <w:t>15.5 承包人的合理化建议</w:t>
      </w:r>
      <w:bookmarkEnd w:id="268"/>
      <w:bookmarkEnd w:id="26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15.5.2  承包人提出的合理化建议降低了合同价格、缩短了工期或者提高了工程经济效益的，发包人可按国家有关规定在专用合同条款中约定给予奖励。</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0" w:name="_Toc511318133"/>
      <w:bookmarkStart w:id="271" w:name="_Toc189386204"/>
      <w:r>
        <w:rPr>
          <w:rFonts w:ascii="宋体" w:hAnsi="宋体"/>
          <w:b/>
          <w:bCs/>
          <w:color w:val="auto"/>
          <w:kern w:val="0"/>
          <w:sz w:val="24"/>
          <w:highlight w:val="none"/>
          <w:shd w:val="clear" w:color="auto" w:fill="auto"/>
        </w:rPr>
        <w:t>15.6 暂列金额</w:t>
      </w:r>
      <w:bookmarkEnd w:id="270"/>
      <w:bookmarkEnd w:id="27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暂列金额只能按照监理人的指示使用，并对合同价格进行相应调整。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2" w:name="_Toc189386205"/>
      <w:bookmarkStart w:id="273" w:name="_Toc511318134"/>
      <w:r>
        <w:rPr>
          <w:rFonts w:ascii="宋体" w:hAnsi="宋体"/>
          <w:b/>
          <w:bCs/>
          <w:color w:val="auto"/>
          <w:kern w:val="0"/>
          <w:sz w:val="24"/>
          <w:highlight w:val="none"/>
          <w:shd w:val="clear" w:color="auto" w:fill="auto"/>
        </w:rPr>
        <w:t>15.7 计日工</w:t>
      </w:r>
      <w:bookmarkEnd w:id="272"/>
      <w:bookmarkEnd w:id="27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15.7.1  发包人认为有必要时，由监理人通知承包人以计日工方式实施变更的零星工作。其价款按列入已标价工程量清单中的计日工计价子目及其单价进行计算。</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15.7.2  采用计日工计价的任何一项变更工作，应从暂列金额中支付，承包人应在该项变更的实施过程中，每天提交以下报表和有关凭证报送监理人审批：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（1）工作名称、内容和数量；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（2）投入该工作所有人员的姓名、工种、级别和耗用工时；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（3）投入该工作的材料类别和数量；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（4）投入该工作的施工设备型号、台数和耗用台时；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（5）监理人要求提交的其他资料和凭证。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15.7.3  计日工由承包人汇总后，按第17.3.2项的约定列入进度付款申请单，由监理人复核并经发包人同意后列入进度付款。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4" w:name="_Toc189386206"/>
      <w:bookmarkStart w:id="275" w:name="_Toc511318135"/>
      <w:r>
        <w:rPr>
          <w:rFonts w:ascii="宋体" w:hAnsi="宋体"/>
          <w:b/>
          <w:bCs/>
          <w:color w:val="auto"/>
          <w:kern w:val="0"/>
          <w:sz w:val="24"/>
          <w:highlight w:val="none"/>
          <w:shd w:val="clear" w:color="auto" w:fill="auto"/>
        </w:rPr>
        <w:t>15.8 暂估价</w:t>
      </w:r>
      <w:bookmarkEnd w:id="274"/>
      <w:bookmarkEnd w:id="27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76" w:name="_Toc76056681"/>
      <w:bookmarkStart w:id="277" w:name="_Toc189386207"/>
      <w:r>
        <w:rPr>
          <w:rFonts w:ascii="宋体" w:hAnsi="宋体"/>
          <w:bCs w:val="0"/>
          <w:color w:val="auto"/>
          <w:sz w:val="24"/>
          <w:szCs w:val="24"/>
          <w:highlight w:val="none"/>
          <w:shd w:val="clear" w:color="auto" w:fill="auto"/>
        </w:rPr>
        <w:t>16．价格调整</w:t>
      </w:r>
      <w:bookmarkEnd w:id="276"/>
      <w:bookmarkEnd w:id="27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78" w:name="_Toc511318137"/>
      <w:bookmarkStart w:id="279" w:name="_Toc189386208"/>
      <w:r>
        <w:rPr>
          <w:rFonts w:ascii="宋体" w:hAnsi="宋体"/>
          <w:b/>
          <w:bCs/>
          <w:color w:val="auto"/>
          <w:kern w:val="0"/>
          <w:sz w:val="24"/>
          <w:highlight w:val="none"/>
          <w:shd w:val="clear" w:color="auto" w:fill="auto"/>
        </w:rPr>
        <w:t>16.1 物价波动引起的价格调整</w:t>
      </w:r>
      <w:bookmarkEnd w:id="278"/>
      <w:bookmarkEnd w:id="27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由于物价波动原因引起合同价格需要调整的，其价格调整方式在专用合同条款中约定。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16.1.1  采用价格指数调整价格差额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16.1.1.1  价格调整公式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432" w:firstLineChars="200"/>
        <w:jc w:val="left"/>
        <w:rPr>
          <w:rFonts w:ascii="宋体" w:hAnsi="宋体"/>
          <w:color w:val="auto"/>
          <w:w w:val="90"/>
          <w:kern w:val="0"/>
          <w:sz w:val="24"/>
          <w:highlight w:val="none"/>
          <w:shd w:val="clear" w:color="auto" w:fill="auto"/>
        </w:rPr>
      </w:pPr>
      <w:r>
        <w:rPr>
          <w:rFonts w:ascii="宋体" w:hAnsi="宋体"/>
          <w:color w:val="auto"/>
          <w:w w:val="90"/>
          <w:kern w:val="0"/>
          <w:sz w:val="24"/>
          <w:highlight w:val="none"/>
          <w:shd w:val="clear" w:color="auto" w:fill="auto"/>
        </w:rPr>
        <w:t>ΔP＝P0[A＋（B1×Ft1/F01＋B2×Ft2/F02＋B3×Ft3/F03＋…＋Bn×Ftn/F0n）－1]</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式中：</w:t>
      </w:r>
      <w:r>
        <w:rPr>
          <w:rFonts w:ascii="宋体" w:hAnsi="宋体" w:cs="Cambria Math"/>
          <w:color w:val="auto"/>
          <w:kern w:val="0"/>
          <w:sz w:val="24"/>
          <w:highlight w:val="none"/>
          <w:shd w:val="clear" w:color="auto" w:fill="auto"/>
        </w:rPr>
        <w:t>△</w:t>
      </w:r>
      <w:r>
        <w:rPr>
          <w:rFonts w:ascii="宋体" w:hAnsi="宋体"/>
          <w:color w:val="auto"/>
          <w:kern w:val="0"/>
          <w:sz w:val="24"/>
          <w:highlight w:val="none"/>
          <w:shd w:val="clear" w:color="auto" w:fill="auto"/>
        </w:rPr>
        <w:t>P—需调整的价格差额；</w:t>
      </w:r>
    </w:p>
    <w:p>
      <w:pPr>
        <w:adjustRightInd w:val="0"/>
        <w:snapToGrid w:val="0"/>
        <w:spacing w:line="312" w:lineRule="auto"/>
        <w:ind w:firstLine="1200" w:firstLineChars="5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P0—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A—定值权重（即不调部分的权重）； </w:t>
      </w:r>
    </w:p>
    <w:p>
      <w:pPr>
        <w:adjustRightInd w:val="0"/>
        <w:snapToGrid w:val="0"/>
        <w:spacing w:line="312" w:lineRule="auto"/>
        <w:ind w:firstLine="1176" w:firstLineChars="49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B1；B2；B3…Bn—各可调因子的变值权重（即可调部分的权重）为各调因子在投标函投标总报价中所占的比例；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 xml:space="preserve">Ft1；Ft2；Ft3…Ftn—各可调因子的现行价格指数，指第17.3.3项、17.5.2项和第17.6.2项约定的付款证书相关周期最后一天的前42天的各可调因子的价格指数； </w:t>
      </w:r>
    </w:p>
    <w:p>
      <w:pPr>
        <w:adjustRightInd w:val="0"/>
        <w:snapToGrid w:val="0"/>
        <w:spacing w:line="312" w:lineRule="auto"/>
        <w:ind w:firstLine="1152" w:firstLineChars="48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F01；F02；F03…F0n—各可调因子的基本价格指数，指基准日期的各可调因子的价格指数。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16.1.1.2  暂时确定调整差额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在计算调整差额时得不到现行价格指数的，可暂用上一次价格指数计算，并在以后的付款中再按实际价格指数进行调整。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16.1.1.3  权重的调整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按第15.1款约定的变更导致原定合同中的权重不合理时，由监理人与承包人和发包人协商后进行调整。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16.1.1.4  承包人工期延误后的价格调整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16.1.2  采用造价信息调整价格差额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工程造价信息的来源以及价格调整的项目和系数在专用合同条款中约定。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0" w:name="_Toc511318138"/>
      <w:bookmarkStart w:id="281" w:name="_Toc189386209"/>
      <w:r>
        <w:rPr>
          <w:rFonts w:ascii="宋体" w:hAnsi="宋体"/>
          <w:b/>
          <w:bCs/>
          <w:color w:val="auto"/>
          <w:kern w:val="0"/>
          <w:sz w:val="24"/>
          <w:highlight w:val="none"/>
          <w:shd w:val="clear" w:color="auto" w:fill="auto"/>
        </w:rPr>
        <w:t>16.2 法律变化引起的价格调整</w:t>
      </w:r>
      <w:bookmarkEnd w:id="280"/>
      <w:bookmarkEnd w:id="281"/>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在基准日后，因法律变化导致承包人在合同履行中所需要的工程费用发生除第16.1 款约定以外的增减时，监理人应根据法律、国家或省、自治区、直辖市有关部门的规定，按第3.5款商定或确定需调整的合同价款。</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82" w:name="_Toc189386210"/>
      <w:bookmarkStart w:id="283" w:name="_Toc76056682"/>
      <w:r>
        <w:rPr>
          <w:rFonts w:ascii="宋体" w:hAnsi="宋体"/>
          <w:bCs w:val="0"/>
          <w:color w:val="auto"/>
          <w:sz w:val="24"/>
          <w:szCs w:val="24"/>
          <w:highlight w:val="none"/>
          <w:shd w:val="clear" w:color="auto" w:fill="auto"/>
        </w:rPr>
        <w:t>17．计量与支付</w:t>
      </w:r>
      <w:bookmarkEnd w:id="282"/>
      <w:bookmarkEnd w:id="283"/>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4" w:name="_Toc511318140"/>
      <w:bookmarkStart w:id="285" w:name="_Toc189386211"/>
      <w:r>
        <w:rPr>
          <w:rFonts w:ascii="宋体" w:hAnsi="宋体"/>
          <w:b/>
          <w:bCs/>
          <w:color w:val="auto"/>
          <w:kern w:val="0"/>
          <w:sz w:val="24"/>
          <w:highlight w:val="none"/>
          <w:shd w:val="clear" w:color="auto" w:fill="auto"/>
        </w:rPr>
        <w:t>17.1 计量</w:t>
      </w:r>
      <w:bookmarkEnd w:id="284"/>
      <w:bookmarkEnd w:id="285"/>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17.1.1  计量单位</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计量采用国家法定的计量单位。</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17.1.2  计量方法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结算工程量应按工程量清单中约定的方法计量。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17.1.3  计量周期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除专用合同条款另有约定外，单价子目已完成工程量按月计量，总价子目的计量周期按批准的支付分解报告确定。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17.1.4  单价子目的计量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（1）已标价工程量清单中的单价子目工程量为估算工程量。结算工程量是承包人实际完成的，并按合同约定的计量方法进行计量的工程量。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（2）承包人对已完成的工程进行计量，向监理人提交进度付款申请单、已完成工程量报表和有关计量资料。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（4）监理人认为有必要时，可通知承包人共同进行联合测量、计量，承包人应遵照执行。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（6）监理人应在收到承包人提交的工程量报表后的7天内进行复核，监理人未在约定时间内复核的，承包人提交的工程量报表中的工程量视为承包人实际完成的工程量，据此计算工程价款。</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17.1.5  总价子目的计量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总价子目的分解和计量按照下述约定进行。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（1）总价子目的计量和支付应以总价为基础，不因第16.1款中的因素而进行调整。承包人实际完成的工程量，是进行工程目标管理和控制进度支付的依据。</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（3）监理人对承包人提交的上述资料进行复核，以确定分阶段实际完成的工程量和工程形象目标。对其有异议的，可要求承包人按第8.2款约定进行共同复核和抽样复测。</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（4）除按照第15条约定的变更外，总价子目的工程量是承包人用于结算的最终工程量。</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6" w:name="_Toc189386212"/>
      <w:r>
        <w:rPr>
          <w:rFonts w:ascii="宋体" w:hAnsi="宋体"/>
          <w:b/>
          <w:bCs/>
          <w:color w:val="auto"/>
          <w:kern w:val="0"/>
          <w:sz w:val="24"/>
          <w:highlight w:val="none"/>
          <w:shd w:val="clear" w:color="auto" w:fill="auto"/>
        </w:rPr>
        <w:t>17.2 预付款</w:t>
      </w:r>
      <w:bookmarkEnd w:id="28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17.2.1  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17.2.2  预付款保函（担保）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（1）承包人应在收到第一次工程预付款的同时向发包人提交工程预付款担保，担保金额应与第一次工程预付款金额相同，工程预付款担保在第一次工程预付款被发包人扣回前一直有效。</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（2）工程材料预付款的担保在专用合同条款中约定。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（3）预付款担保的担保金额可根据预付款扣回的金额相应递减。</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17.2.3  预付款的扣回与还清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7" w:name="_Toc189386213"/>
      <w:bookmarkStart w:id="288" w:name="_Toc511318141"/>
      <w:r>
        <w:rPr>
          <w:rFonts w:ascii="宋体" w:hAnsi="宋体"/>
          <w:b/>
          <w:bCs/>
          <w:color w:val="auto"/>
          <w:kern w:val="0"/>
          <w:sz w:val="24"/>
          <w:highlight w:val="none"/>
          <w:shd w:val="clear" w:color="auto" w:fill="auto"/>
        </w:rPr>
        <w:t>17.3 工程进度付款</w:t>
      </w:r>
      <w:bookmarkEnd w:id="287"/>
      <w:bookmarkEnd w:id="288"/>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17.3.1  付款周期</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付款周期同计量周期。</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17.3.2  进度付款申请单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承包人应在每个付款周期末，按监理人批准的格式和专用合同条款约定的份数，向监理人提交进度付款申请单，并附相应的支持性证明文件。除专用合同条款另有约定外，进度付款申请单应包括下列内容：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（1）截至本次付款周期末已实施工程的价款；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（2）根据第15条应增加和扣减的变更金额；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（3）根据第23条应增加和扣减的索赔金额；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（4）根据第17.2款约定应支付的预付款和扣减的返还预付款；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（5）根据第17.4.1项约定应扣减的质量保证金；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（6）根据合同应增加和扣减的其他金额。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（2）发包人应在监理人收到进度付款申请单后的28天内，将进度应付款支付给承包人。发包人不按期支付的，按专用合同条款的约定支付逾期付款违约金。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（3）监理人出具进度付款证书，不应视为监理人已同意、批准或接受了承包人完成的该部分工作。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（4）进度付款涉及政府投资资金的，按照国库集中支付等国家相关规定和专用合同条款的约定办理。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17.3.4  工程进度付款的修正</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在对以往历次已签发的进度付款证书进行汇总和复核中发现错、漏或重复的，监理人有权予以修正，承包人也有权提出修正申请。经双方复核同意的修正，应在本次进度付款中支付或扣除。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89" w:name="_Toc189386214"/>
      <w:bookmarkStart w:id="290" w:name="_Toc511318142"/>
      <w:r>
        <w:rPr>
          <w:rFonts w:ascii="宋体" w:hAnsi="宋体"/>
          <w:b/>
          <w:bCs/>
          <w:color w:val="auto"/>
          <w:kern w:val="0"/>
          <w:sz w:val="24"/>
          <w:highlight w:val="none"/>
          <w:shd w:val="clear" w:color="auto" w:fill="auto"/>
        </w:rPr>
        <w:t>17.4 质量保证金</w:t>
      </w:r>
      <w:bookmarkEnd w:id="289"/>
      <w:bookmarkEnd w:id="29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17.4.1  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1" w:name="_Toc189386215"/>
      <w:bookmarkStart w:id="292" w:name="_Toc511318143"/>
      <w:r>
        <w:rPr>
          <w:rFonts w:ascii="宋体" w:hAnsi="宋体"/>
          <w:b/>
          <w:bCs/>
          <w:color w:val="auto"/>
          <w:kern w:val="0"/>
          <w:sz w:val="24"/>
          <w:highlight w:val="none"/>
          <w:shd w:val="clear" w:color="auto" w:fill="auto"/>
        </w:rPr>
        <w:t>17.5 竣工结算</w:t>
      </w:r>
      <w:bookmarkEnd w:id="291"/>
      <w:r>
        <w:rPr>
          <w:rFonts w:ascii="宋体" w:hAnsi="宋体"/>
          <w:b/>
          <w:bCs/>
          <w:color w:val="auto"/>
          <w:kern w:val="0"/>
          <w:sz w:val="24"/>
          <w:highlight w:val="none"/>
          <w:shd w:val="clear" w:color="auto" w:fill="auto"/>
        </w:rPr>
        <w:t>（完工结算）</w:t>
      </w:r>
      <w:bookmarkEnd w:id="292"/>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（2）监理人对完工付款申请单有异议的，有权要求承包人进行修正和提供补充资料。经监理人和承包人协商后，由承包人向监理人提交修正后的完工付款申请单。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17.5.2  竣工（完工）付款证书及支付时间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（2）发包人应在监理人出具完工付款证书后的14天内，将应支付款支付给承包人。发包人不按期支付的，按第17.3.3（2）目的约定，将逾期付款违约金支付给承包人。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（3）承包人对发包人签认的完工付款证书有异议的，发包人可出具完工付款申请单中承包人已同意部分的临时付款证书。存在争议的部分，按第24条的约定办理。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（4）完工付款涉及政府投资资金的，按第17.3.3（4）目的约定办理。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3" w:name="_Toc189386216"/>
      <w:r>
        <w:rPr>
          <w:rFonts w:ascii="宋体" w:hAnsi="宋体"/>
          <w:b/>
          <w:bCs/>
          <w:color w:val="auto"/>
          <w:kern w:val="0"/>
          <w:sz w:val="24"/>
          <w:highlight w:val="none"/>
          <w:shd w:val="clear" w:color="auto" w:fill="auto"/>
        </w:rPr>
        <w:t>17.6 最终结清</w:t>
      </w:r>
      <w:bookmarkEnd w:id="293"/>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（1）工程质量保修责任终止证书签发后，承包人应按监理人批准的格式提交最终结清申请单。提交最终结清申请单的份数在专用合同条款中约定。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（2）发包人对最终结清申请单内容有异议的，有权要求承包人进行修正和提供补充资料，由承包人向监理人提交修正后的最终结清申请单。</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17.6.2  最终结清证书和支付时间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（1）监理人收到承包人提交的最终结清申请单后的14天内，提出发包人应支付给承包人的价款送发包人审核并抄送承包人。发包人应在收到后14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（2）发包人应在监理人出具最终结清证书后的14天内，将应支付款支付给承包人。发包人不按期支付的，按第17.3.3（2）目的约定，将逾期付款违约金支付给承包人。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（3）承包人对发包人签认的最终结清证书有异议的，按第24条的约定办理。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（4）最终结清付款涉及政府投资资金的，按第17.3.3（４）目的约定办理。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4" w:name="_Toc511318144"/>
      <w:r>
        <w:rPr>
          <w:rFonts w:ascii="宋体" w:hAnsi="宋体"/>
          <w:b/>
          <w:bCs/>
          <w:color w:val="auto"/>
          <w:kern w:val="0"/>
          <w:sz w:val="24"/>
          <w:highlight w:val="none"/>
          <w:shd w:val="clear" w:color="auto" w:fill="auto"/>
        </w:rPr>
        <w:t>17.7  竣工财务决算</w:t>
      </w:r>
      <w:bookmarkEnd w:id="29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发包人负责编制本工程项目竣工财务决算，承包人应按专用合同条款的约定提供竣工财务决算编制所需的相关材料。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5" w:name="_Toc511318145"/>
      <w:r>
        <w:rPr>
          <w:rFonts w:ascii="宋体" w:hAnsi="宋体"/>
          <w:b/>
          <w:bCs/>
          <w:color w:val="auto"/>
          <w:kern w:val="0"/>
          <w:sz w:val="24"/>
          <w:highlight w:val="none"/>
          <w:shd w:val="clear" w:color="auto" w:fill="auto"/>
        </w:rPr>
        <w:t>17.8  竣工审计</w:t>
      </w:r>
      <w:bookmarkEnd w:id="295"/>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发包人负责完成本工程竣工审计手续，承包人应完成相关配合工作。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296" w:name="_Toc189386217"/>
      <w:bookmarkStart w:id="297" w:name="_Toc76056683"/>
      <w:r>
        <w:rPr>
          <w:rFonts w:ascii="宋体" w:hAnsi="宋体"/>
          <w:bCs w:val="0"/>
          <w:color w:val="auto"/>
          <w:sz w:val="24"/>
          <w:szCs w:val="24"/>
          <w:highlight w:val="none"/>
          <w:shd w:val="clear" w:color="auto" w:fill="auto"/>
        </w:rPr>
        <w:t>18．竣工验收</w:t>
      </w:r>
      <w:bookmarkEnd w:id="296"/>
      <w:r>
        <w:rPr>
          <w:rFonts w:ascii="宋体" w:hAnsi="宋体"/>
          <w:bCs w:val="0"/>
          <w:color w:val="auto"/>
          <w:sz w:val="24"/>
          <w:szCs w:val="24"/>
          <w:highlight w:val="none"/>
          <w:shd w:val="clear" w:color="auto" w:fill="auto"/>
        </w:rPr>
        <w:t>（验收）</w:t>
      </w:r>
      <w:bookmarkEnd w:id="29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8" w:name="_Toc511318147"/>
      <w:r>
        <w:rPr>
          <w:rFonts w:ascii="宋体" w:hAnsi="宋体"/>
          <w:b/>
          <w:bCs/>
          <w:color w:val="auto"/>
          <w:kern w:val="0"/>
          <w:sz w:val="24"/>
          <w:highlight w:val="none"/>
          <w:shd w:val="clear" w:color="auto" w:fill="auto"/>
        </w:rPr>
        <w:t>18.1  验收工作分类</w:t>
      </w:r>
      <w:bookmarkEnd w:id="29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299" w:name="_Toc511318148"/>
      <w:r>
        <w:rPr>
          <w:rFonts w:ascii="宋体" w:hAnsi="宋体"/>
          <w:b/>
          <w:bCs/>
          <w:color w:val="auto"/>
          <w:kern w:val="0"/>
          <w:sz w:val="24"/>
          <w:highlight w:val="none"/>
          <w:shd w:val="clear" w:color="auto" w:fill="auto"/>
        </w:rPr>
        <w:t>18.2  分部工程验收</w:t>
      </w:r>
      <w:bookmarkEnd w:id="29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18.2.1  分部工程具备验收条件时，承包人应向发包人提交验收申请报告，发包人应在收到验收申请报告之日起10个工作日内决定是否同意进行验收。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18.2.2  除专用合同条款另有约定外，监理人主持分部工程验收，承包人应派符合条件的代表参加验收工作组。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18.2.3  分部工程验收通过后，发包人向承包人发送分部工程验收鉴定书。承包人应及时完成分部工程验收鉴定书载明应由承包人处理的遗留问题。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0" w:name="_Toc511318149"/>
      <w:r>
        <w:rPr>
          <w:rFonts w:ascii="宋体" w:hAnsi="宋体"/>
          <w:b/>
          <w:bCs/>
          <w:color w:val="auto"/>
          <w:kern w:val="0"/>
          <w:sz w:val="24"/>
          <w:highlight w:val="none"/>
          <w:shd w:val="clear" w:color="auto" w:fill="auto"/>
        </w:rPr>
        <w:t>18.3  单位工程验收</w:t>
      </w:r>
      <w:bookmarkEnd w:id="30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18.3.1  单位工程具备验收条件时，承包人应向发包人提交验收申请报告，发包人应在收到验收申请报告之日起10个工作日内决定是否同意进行验收。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18.3.2  发包人主持单位工程验收，承包人应派符合条件的代表参加验收工作组。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18.3.3  单位工程验收通过后，发包人向承包人发送单位工程验收鉴定书。承包人应及时完成单位工程验收鉴定书载明应由承包人处理的遗留问题。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18.3.4  需提前投入使用的单位工程在专用合同条款中明确。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1" w:name="_Toc511318150"/>
      <w:r>
        <w:rPr>
          <w:rFonts w:ascii="宋体" w:hAnsi="宋体"/>
          <w:b/>
          <w:bCs/>
          <w:color w:val="auto"/>
          <w:kern w:val="0"/>
          <w:sz w:val="24"/>
          <w:highlight w:val="none"/>
          <w:shd w:val="clear" w:color="auto" w:fill="auto"/>
        </w:rPr>
        <w:t>18.4  合同工程完工验收</w:t>
      </w:r>
      <w:bookmarkEnd w:id="30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18.4.1  合同工程具备验收条件时，承包人应向发包人提交验收申请报告，发包人应在收到验收申请报告之日起20个工作日内决定是否同意进行验收。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18.4.2  发包人主持合同工程完工验收，承包人应派代表参加验收工作组。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18.4.3  合同工程完工验收通过后，发包人向承包人发送合同工程完工验收鉴定书。承包人应及时完成合同工程完工验收鉴定书载明应由承包人处理的遗留问题。</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18.4.4  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2" w:name="_Toc511318151"/>
      <w:r>
        <w:rPr>
          <w:rFonts w:ascii="宋体" w:hAnsi="宋体"/>
          <w:b/>
          <w:bCs/>
          <w:color w:val="auto"/>
          <w:kern w:val="0"/>
          <w:sz w:val="24"/>
          <w:highlight w:val="none"/>
          <w:shd w:val="clear" w:color="auto" w:fill="auto"/>
        </w:rPr>
        <w:t>18.5  阶段验收</w:t>
      </w:r>
      <w:bookmarkEnd w:id="30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18.5.1  工程建设具备阶段验收条件时，发包人负责提出阶段验收申请报告。承包人应派代表参加阶段验收，并作为被验收单位在验收鉴定书上签字。阶段验收的具体类别在专用合同条款中约定。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18.5.2  承包人应及时完成阶段验收鉴定书载明应由承包人处理的遗留问题。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3" w:name="_Toc511318152"/>
      <w:r>
        <w:rPr>
          <w:rFonts w:ascii="宋体" w:hAnsi="宋体"/>
          <w:b/>
          <w:bCs/>
          <w:color w:val="auto"/>
          <w:kern w:val="0"/>
          <w:sz w:val="24"/>
          <w:highlight w:val="none"/>
          <w:shd w:val="clear" w:color="auto" w:fill="auto"/>
        </w:rPr>
        <w:t>18.6  专项验收</w:t>
      </w:r>
      <w:bookmarkEnd w:id="30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18.6.1  发包人负责提出专项验收申请报告。承包人应按专项验收的相关规定参加专项验收。专项验收的具体类别在专用合同条款中约定。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18.6.2  承包人应及时完成专项验收成果性文件载明应由承包人处理的遗留问题。</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4" w:name="_Toc511318153"/>
      <w:r>
        <w:rPr>
          <w:rFonts w:ascii="宋体" w:hAnsi="宋体"/>
          <w:b/>
          <w:bCs/>
          <w:color w:val="auto"/>
          <w:kern w:val="0"/>
          <w:sz w:val="24"/>
          <w:highlight w:val="none"/>
          <w:shd w:val="clear" w:color="auto" w:fill="auto"/>
        </w:rPr>
        <w:t>18.7  竣工验收</w:t>
      </w:r>
      <w:bookmarkEnd w:id="30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18.7.1  申请竣工验收前，发包人组织竣工验收自查，承包人应派代表参加。</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18.7.2  竣工验收分为竣工技术预验收和竣工验收两个阶段。发包人应通知承包人派代表参加技术预验收和竣工验收。</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18.7.3  专用合同条款约定工程需要进行技术鉴定的，承包人应提交有关资料并完成配合工作。</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18.7.4  竣工验收需要进行质量检测的，所需费用由发包人承担，但因承包人原因造成质量不合格的除外。</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18.7.5  工程质量保修期满以及竣工验收遗留问题和尾工处理完成并通过验收后，发包人负责将处理情况和验收成果报送竣工验收主持单位，申请领取工程竣工证书，并发送承包人。</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5" w:name="_Toc511318154"/>
      <w:r>
        <w:rPr>
          <w:rFonts w:ascii="宋体" w:hAnsi="宋体"/>
          <w:b/>
          <w:bCs/>
          <w:color w:val="auto"/>
          <w:kern w:val="0"/>
          <w:sz w:val="24"/>
          <w:highlight w:val="none"/>
          <w:shd w:val="clear" w:color="auto" w:fill="auto"/>
        </w:rPr>
        <w:t>18.8  施工期运行</w:t>
      </w:r>
      <w:bookmarkEnd w:id="30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18.8.1  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18.8.2  在施工期运行中发现工程或工程设备损坏或存在缺陷的，由承包人按第19.2款约定进行修复。</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6" w:name="_Toc511318155"/>
      <w:r>
        <w:rPr>
          <w:rFonts w:ascii="宋体" w:hAnsi="宋体"/>
          <w:b/>
          <w:bCs/>
          <w:color w:val="auto"/>
          <w:kern w:val="0"/>
          <w:sz w:val="24"/>
          <w:highlight w:val="none"/>
          <w:shd w:val="clear" w:color="auto" w:fill="auto"/>
        </w:rPr>
        <w:t>18.9  试运行</w:t>
      </w:r>
      <w:bookmarkEnd w:id="306"/>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18.9.1  除专用合同条款另有约定外，承包人应按规定进行工程及工程设备试运行，负责提供试运行所需的人员、器材和必要的条件，并承担全部试运行费用。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18.9.2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7" w:name="_Toc511318156"/>
      <w:r>
        <w:rPr>
          <w:rFonts w:ascii="宋体" w:hAnsi="宋体"/>
          <w:b/>
          <w:bCs/>
          <w:color w:val="auto"/>
          <w:kern w:val="0"/>
          <w:sz w:val="24"/>
          <w:highlight w:val="none"/>
          <w:shd w:val="clear" w:color="auto" w:fill="auto"/>
        </w:rPr>
        <w:t>18.10  竣工（完工）清场</w:t>
      </w:r>
      <w:bookmarkEnd w:id="30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18.10.1  工程项目竣工（完工）清场的工作范围和内容在技术标准和要求（合同技术条款）中约定。</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18.10.2  承包人未按监理人的要求恢复临时占地，或者场地清理未达到合同约定的，发包人有权委托其它人恢复或清理，所发生的金额从拟支付给承包人的款项中扣除。</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08" w:name="_Toc511318157"/>
      <w:r>
        <w:rPr>
          <w:rFonts w:ascii="宋体" w:hAnsi="宋体"/>
          <w:b/>
          <w:bCs/>
          <w:color w:val="auto"/>
          <w:kern w:val="0"/>
          <w:sz w:val="24"/>
          <w:highlight w:val="none"/>
          <w:shd w:val="clear" w:color="auto" w:fill="auto"/>
        </w:rPr>
        <w:t>18.11  施工队伍的撤离</w:t>
      </w:r>
      <w:bookmarkEnd w:id="308"/>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09" w:name="_Toc189386226"/>
      <w:bookmarkStart w:id="310" w:name="_Toc76056684"/>
      <w:r>
        <w:rPr>
          <w:rFonts w:ascii="宋体" w:hAnsi="宋体"/>
          <w:bCs w:val="0"/>
          <w:color w:val="auto"/>
          <w:sz w:val="24"/>
          <w:szCs w:val="24"/>
          <w:highlight w:val="none"/>
          <w:shd w:val="clear" w:color="auto" w:fill="auto"/>
        </w:rPr>
        <w:t>19．缺陷责任与保修责任</w:t>
      </w:r>
      <w:bookmarkEnd w:id="309"/>
      <w:bookmarkEnd w:id="310"/>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1" w:name="_Toc189386227"/>
      <w:r>
        <w:rPr>
          <w:rFonts w:ascii="宋体" w:hAnsi="宋体"/>
          <w:b/>
          <w:bCs/>
          <w:color w:val="auto"/>
          <w:kern w:val="0"/>
          <w:sz w:val="24"/>
          <w:highlight w:val="none"/>
          <w:shd w:val="clear" w:color="auto" w:fill="auto"/>
        </w:rPr>
        <w:t>19.1缺陷责任期的起算时间</w:t>
      </w:r>
      <w:bookmarkEnd w:id="31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2" w:name="_Toc511318159"/>
      <w:bookmarkStart w:id="313" w:name="_Toc189386228"/>
      <w:r>
        <w:rPr>
          <w:rFonts w:ascii="宋体" w:hAnsi="宋体"/>
          <w:b/>
          <w:bCs/>
          <w:color w:val="auto"/>
          <w:kern w:val="0"/>
          <w:sz w:val="24"/>
          <w:highlight w:val="none"/>
          <w:shd w:val="clear" w:color="auto" w:fill="auto"/>
        </w:rPr>
        <w:t>19.2 缺陷责任</w:t>
      </w:r>
      <w:bookmarkEnd w:id="312"/>
      <w:bookmarkEnd w:id="31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19.2.1  承包人应在缺陷责任期内对已交付使用的工程承担缺陷责任。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19.2.2  缺陷责任期内，发包人对已接收使用的工程负责日常维护工作。发包人在使用过程中，发现已接收的工程存在新的缺陷或已修复的缺陷部位或部件又遭损坏的，承包人应负责修复，直至检验合格为止。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19.2.4  承包人不能在合理时间内修复缺陷的，发包人可自行修复或委托其他人修复，所需费用和利润的承担，按第19.2.3项约定办理。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4" w:name="_Toc511318160"/>
      <w:bookmarkStart w:id="315" w:name="_Toc189386229"/>
      <w:r>
        <w:rPr>
          <w:rFonts w:ascii="宋体" w:hAnsi="宋体"/>
          <w:b/>
          <w:bCs/>
          <w:color w:val="auto"/>
          <w:kern w:val="0"/>
          <w:sz w:val="24"/>
          <w:highlight w:val="none"/>
          <w:shd w:val="clear" w:color="auto" w:fill="auto"/>
        </w:rPr>
        <w:t>19.3 缺陷责任期的延长</w:t>
      </w:r>
      <w:bookmarkEnd w:id="314"/>
      <w:bookmarkEnd w:id="31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由于承包人原因造成某项缺陷或损坏使某项工程或工程设备不能按原定目标使用而需要再次检查、检验和修复的，发包人有权要求承包人相应延长缺陷责任期，但缺陷责任期最长不超过2年。</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6" w:name="_Toc189386230"/>
      <w:bookmarkStart w:id="317" w:name="_Toc511318161"/>
      <w:r>
        <w:rPr>
          <w:rFonts w:ascii="宋体" w:hAnsi="宋体"/>
          <w:b/>
          <w:bCs/>
          <w:color w:val="auto"/>
          <w:kern w:val="0"/>
          <w:sz w:val="24"/>
          <w:highlight w:val="none"/>
          <w:shd w:val="clear" w:color="auto" w:fill="auto"/>
        </w:rPr>
        <w:t>19.4 进一步试验和试运行</w:t>
      </w:r>
      <w:bookmarkEnd w:id="316"/>
      <w:bookmarkEnd w:id="31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任何一项缺陷或损坏修复后，经检查证明其影响了工程或工程设备的使用性能，承包人应重新进行合同约定的试验和试运行，试验和试运行的全部费用应由责任方承担。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18" w:name="_Toc189386231"/>
      <w:bookmarkStart w:id="319" w:name="_Toc511318162"/>
      <w:r>
        <w:rPr>
          <w:rFonts w:ascii="宋体" w:hAnsi="宋体"/>
          <w:b/>
          <w:bCs/>
          <w:color w:val="auto"/>
          <w:kern w:val="0"/>
          <w:sz w:val="24"/>
          <w:highlight w:val="none"/>
          <w:shd w:val="clear" w:color="auto" w:fill="auto"/>
        </w:rPr>
        <w:t>19.5 承包人的进入权</w:t>
      </w:r>
      <w:bookmarkEnd w:id="318"/>
      <w:bookmarkEnd w:id="319"/>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缺陷责任期内承包人为缺陷修复工作需要，有权进入工程现场，但应遵守发包人的保安和保密规定。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0" w:name="_Toc511318163"/>
      <w:r>
        <w:rPr>
          <w:rFonts w:ascii="宋体" w:hAnsi="宋体"/>
          <w:b/>
          <w:bCs/>
          <w:color w:val="auto"/>
          <w:kern w:val="0"/>
          <w:sz w:val="24"/>
          <w:highlight w:val="none"/>
          <w:shd w:val="clear" w:color="auto" w:fill="auto"/>
        </w:rPr>
        <w:t>19.6  缺陷责任期终止证书（工程质量保修责任终止证书）</w:t>
      </w:r>
      <w:bookmarkEnd w:id="32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合同工程完工验收或投入使用验收后，发包人与承包人应办理工程交接手续，承包人应向发包人递交工程质量保修书。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缺陷责任期（工程质量保修期）满后30个工作日内，发包人应向承包人颁发工程质量保修责任终止证书，并退还剩余的质量保证金，但保修责任范围内的质量缺陷未处理完成的应除外。</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1" w:name="_Toc511318164"/>
      <w:bookmarkStart w:id="322" w:name="_Toc189386233"/>
      <w:r>
        <w:rPr>
          <w:rFonts w:ascii="宋体" w:hAnsi="宋体"/>
          <w:b/>
          <w:bCs/>
          <w:color w:val="auto"/>
          <w:kern w:val="0"/>
          <w:sz w:val="24"/>
          <w:highlight w:val="none"/>
          <w:shd w:val="clear" w:color="auto" w:fill="auto"/>
        </w:rPr>
        <w:t>19.7 保修责任</w:t>
      </w:r>
      <w:bookmarkEnd w:id="321"/>
      <w:bookmarkEnd w:id="322"/>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23" w:name="_Toc76056685"/>
      <w:bookmarkStart w:id="324" w:name="_Toc189386234"/>
      <w:r>
        <w:rPr>
          <w:rFonts w:ascii="宋体" w:hAnsi="宋体"/>
          <w:bCs w:val="0"/>
          <w:color w:val="auto"/>
          <w:sz w:val="24"/>
          <w:szCs w:val="24"/>
          <w:highlight w:val="none"/>
          <w:shd w:val="clear" w:color="auto" w:fill="auto"/>
        </w:rPr>
        <w:t>20．保险</w:t>
      </w:r>
      <w:bookmarkEnd w:id="323"/>
      <w:bookmarkEnd w:id="32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5" w:name="_Toc189386235"/>
      <w:r>
        <w:rPr>
          <w:rFonts w:ascii="宋体" w:hAnsi="宋体"/>
          <w:b/>
          <w:bCs/>
          <w:color w:val="auto"/>
          <w:kern w:val="0"/>
          <w:sz w:val="24"/>
          <w:highlight w:val="none"/>
          <w:shd w:val="clear" w:color="auto" w:fill="auto"/>
        </w:rPr>
        <w:t>20.1工程保险</w:t>
      </w:r>
      <w:bookmarkEnd w:id="32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6" w:name="_Toc189386236"/>
      <w:r>
        <w:rPr>
          <w:rFonts w:ascii="宋体" w:hAnsi="宋体"/>
          <w:b/>
          <w:bCs/>
          <w:color w:val="auto"/>
          <w:kern w:val="0"/>
          <w:sz w:val="24"/>
          <w:highlight w:val="none"/>
          <w:shd w:val="clear" w:color="auto" w:fill="auto"/>
        </w:rPr>
        <w:t>20.2 人员工伤事故的保险</w:t>
      </w:r>
      <w:bookmarkEnd w:id="32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20.2.1  承包人员工伤事故的保险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承包人应依照有关法律规定参加工伤保险，为其履行合同所雇佣的全部人员，缴纳工伤保险费，并要求其分包人也进行此项保险。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20.2.2  发包人员工伤事故的保险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发包人应依照有关法律规定参加工伤保险，为其现场机构雇佣的全部人员，缴纳工伤保险费，并要求其监理人也进行此项保险。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7" w:name="_Toc511318166"/>
      <w:bookmarkStart w:id="328" w:name="_Toc189386237"/>
      <w:r>
        <w:rPr>
          <w:rFonts w:ascii="宋体" w:hAnsi="宋体"/>
          <w:b/>
          <w:bCs/>
          <w:color w:val="auto"/>
          <w:kern w:val="0"/>
          <w:sz w:val="24"/>
          <w:highlight w:val="none"/>
          <w:shd w:val="clear" w:color="auto" w:fill="auto"/>
        </w:rPr>
        <w:t>20.3 人身意外伤害险</w:t>
      </w:r>
      <w:bookmarkEnd w:id="327"/>
      <w:bookmarkEnd w:id="32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20.3.1  发包人应在整个施工期间为其现场机构雇用的全部人员，投保人身意外伤害险，缴纳保险费，并要求其监理人也进行此项保险。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20.3.2  承包人应在整个施工期间为其现场机构雇用的全部人员，投保人身意外伤害险，缴纳保险费，并要求其分包人也进行此项保险。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29" w:name="_Toc189386238"/>
      <w:bookmarkStart w:id="330" w:name="_Toc511318167"/>
      <w:r>
        <w:rPr>
          <w:rFonts w:ascii="宋体" w:hAnsi="宋体"/>
          <w:b/>
          <w:bCs/>
          <w:color w:val="auto"/>
          <w:kern w:val="0"/>
          <w:sz w:val="24"/>
          <w:highlight w:val="none"/>
          <w:shd w:val="clear" w:color="auto" w:fill="auto"/>
        </w:rPr>
        <w:t>20.4 第三者责任险</w:t>
      </w:r>
      <w:bookmarkEnd w:id="329"/>
      <w:bookmarkEnd w:id="33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20.4.2  在缺陷责任期终止证书颁发前，承包人应以承包人和发包人的共同名义，投保第项约定的第三者责任险，其保险费率、保险金额等有关内容在专用合同条款中约定。</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1" w:name="_Toc511318168"/>
      <w:bookmarkStart w:id="332" w:name="_Toc189386239"/>
      <w:r>
        <w:rPr>
          <w:rFonts w:ascii="宋体" w:hAnsi="宋体"/>
          <w:b/>
          <w:bCs/>
          <w:color w:val="auto"/>
          <w:kern w:val="0"/>
          <w:sz w:val="24"/>
          <w:highlight w:val="none"/>
          <w:shd w:val="clear" w:color="auto" w:fill="auto"/>
        </w:rPr>
        <w:t>20.5 其他保险</w:t>
      </w:r>
      <w:bookmarkEnd w:id="331"/>
      <w:bookmarkEnd w:id="33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除专用合同条款另有约定外，承包人应为其施工设备、进场的材料和工程设备等办理保险。</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3" w:name="_Toc189386240"/>
      <w:bookmarkStart w:id="334" w:name="_Toc511318169"/>
      <w:r>
        <w:rPr>
          <w:rFonts w:ascii="宋体" w:hAnsi="宋体"/>
          <w:b/>
          <w:bCs/>
          <w:color w:val="auto"/>
          <w:kern w:val="0"/>
          <w:sz w:val="24"/>
          <w:highlight w:val="none"/>
          <w:shd w:val="clear" w:color="auto" w:fill="auto"/>
        </w:rPr>
        <w:t>20.6 对各项保险的一般要求</w:t>
      </w:r>
      <w:bookmarkEnd w:id="333"/>
      <w:bookmarkEnd w:id="334"/>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20.6.1  保险凭证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承包人应在专用合同条款约定的期限内向发包人提交各项保险生效的证据和保险单副本，保险单必须与专用合同条款约定的条件保持一致。</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20.6.2  保险合同条款的变动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承包人需要变动保险合同条款时，应事先征得发包人同意，并通知监理人。保险人作出变动的，承包人应在收到保险人通知后立即通知发包人和监理人。</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20.6.3  持续保险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承包人应与保险人保持联系，使保险人能够随时了解工程实施中的变动，并确保按保险合同条款要求持续保险。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20.6.4  保险金不足的补偿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保险金不足以补偿损失时，应由承包人和发包人各自负责补偿的范围和金额在专用合同条款中约定。</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20.6.5  未按约定投保的补救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（1）由于负有投保义务的一方当事人未按合同约定办理保险，或未能使保险持续有效的，另一方当事人可代为办理，所需费用由对方当事人承担。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（2）由于负有投保义务的一方当事人未按合同约定办理某项保险，导致受益人未能得到保险人的赔偿，原应从该项保险得到的保险金应由负有投保义务的一方当事人支付。</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20.6.6  报告义务 </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当保险事故发生时，投保人应按照保险单规定的条件和期限及时向保险人报告。</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35" w:name="_Toc189386241"/>
      <w:bookmarkStart w:id="336" w:name="_Toc76056686"/>
      <w:r>
        <w:rPr>
          <w:rFonts w:ascii="宋体" w:hAnsi="宋体"/>
          <w:bCs w:val="0"/>
          <w:color w:val="auto"/>
          <w:sz w:val="24"/>
          <w:szCs w:val="24"/>
          <w:highlight w:val="none"/>
          <w:shd w:val="clear" w:color="auto" w:fill="auto"/>
        </w:rPr>
        <w:t>21．不可抗力</w:t>
      </w:r>
      <w:bookmarkEnd w:id="335"/>
      <w:bookmarkEnd w:id="336"/>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7" w:name="_Toc189386242"/>
      <w:bookmarkStart w:id="338" w:name="_Toc511318171"/>
      <w:r>
        <w:rPr>
          <w:rFonts w:ascii="宋体" w:hAnsi="宋体"/>
          <w:b/>
          <w:bCs/>
          <w:color w:val="auto"/>
          <w:kern w:val="0"/>
          <w:sz w:val="24"/>
          <w:highlight w:val="none"/>
          <w:shd w:val="clear" w:color="auto" w:fill="auto"/>
        </w:rPr>
        <w:t>21.1 不可抗力的确认</w:t>
      </w:r>
      <w:bookmarkEnd w:id="337"/>
      <w:bookmarkEnd w:id="338"/>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21.1.2  不可抗力发生后，发包人和承包人应及时认真统计所造成的损失，收集不可抗力造成损失的证据。合同双方对是否属于不可抗力或其损失的意见不一致的，由监理人按第款商定或确定。发生争议时，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39" w:name="_Toc189386243"/>
      <w:bookmarkStart w:id="340" w:name="_Toc511318172"/>
      <w:r>
        <w:rPr>
          <w:rFonts w:ascii="宋体" w:hAnsi="宋体"/>
          <w:b/>
          <w:bCs/>
          <w:color w:val="auto"/>
          <w:kern w:val="0"/>
          <w:sz w:val="24"/>
          <w:highlight w:val="none"/>
          <w:shd w:val="clear" w:color="auto" w:fill="auto"/>
        </w:rPr>
        <w:t>21.2 不可抗力的通知</w:t>
      </w:r>
      <w:bookmarkEnd w:id="339"/>
      <w:bookmarkEnd w:id="34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21.2.1  合同一方当事人遇到不可抗力事件，使其履行合同义务受到阻碍时，应立即通知合同另一方当事人和监理人，书面说明不可抗力和受阻碍的详细情况，并提供必要的证明。</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21.2.2  如不可抗力持续发生，合同一方当事人应及时向合同另一方当事人和监理人提交中间报告，说明不可抗力和履行合同受阻的情况，并于不可抗力事件结束后28天内提交最终报告及有关资料。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1" w:name="_Toc511318173"/>
      <w:bookmarkStart w:id="342" w:name="_Toc189386244"/>
      <w:r>
        <w:rPr>
          <w:rFonts w:ascii="宋体" w:hAnsi="宋体"/>
          <w:b/>
          <w:bCs/>
          <w:color w:val="auto"/>
          <w:kern w:val="0"/>
          <w:sz w:val="24"/>
          <w:highlight w:val="none"/>
          <w:shd w:val="clear" w:color="auto" w:fill="auto"/>
        </w:rPr>
        <w:t>21.3 不可抗力后果及其处理</w:t>
      </w:r>
      <w:bookmarkEnd w:id="341"/>
      <w:bookmarkEnd w:id="342"/>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21.3.1  不可抗力造成损害的责任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除专用合同条款另有约定外，不可抗力导致的人员伤亡、财产损失、费用增加和（或）工期延误等后果，由合同双方按以下原则承担：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（1）永久工程，包括已运至施工场地的材料和工程设备的损害，以及因工程损害造成的第三者人员伤亡和财产损失由发包人承担；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（2）承包人设备的损坏由承包人承担；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（3）发包人和承包人各自承担其人员伤亡和其他财产损失及其相关费用；</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（4）承包人的停工损失由承包人承担，但停工期间应监理人要求照管工程和清理、修复工程的金额由发包人承担；</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（5）不能按期竣工的，应合理延长工期，承包人不需支付逾期竣工违约金。发包人要求赶工的，承包人应采取赶工措施，赶工费用由发包人承担。</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21.3.2  延迟履行期间发生的不可抗力</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合同一方当事人延迟履行，在延迟履行期间发生不可抗力的，不免除其责任。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21.3.3  避免和减少不可抗力损失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不可抗力发生后，发包人和承包人均应采取措施尽量避免和减少损失的扩大，任何一方没有采取有效措施导致损失扩大的，应对扩大的损失承担责任。</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21.3.4  因不可抗力解除合同</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 款商定或确定。</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3" w:name="_Toc76056687"/>
      <w:bookmarkStart w:id="344" w:name="_Toc189386245"/>
      <w:r>
        <w:rPr>
          <w:rFonts w:ascii="宋体" w:hAnsi="宋体"/>
          <w:bCs w:val="0"/>
          <w:color w:val="auto"/>
          <w:sz w:val="24"/>
          <w:szCs w:val="24"/>
          <w:highlight w:val="none"/>
          <w:shd w:val="clear" w:color="auto" w:fill="auto"/>
        </w:rPr>
        <w:t>22．违约</w:t>
      </w:r>
      <w:bookmarkEnd w:id="343"/>
      <w:bookmarkEnd w:id="344"/>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5" w:name="_Toc189386246"/>
      <w:r>
        <w:rPr>
          <w:rFonts w:ascii="宋体" w:hAnsi="宋体"/>
          <w:b/>
          <w:bCs/>
          <w:color w:val="auto"/>
          <w:kern w:val="0"/>
          <w:sz w:val="24"/>
          <w:highlight w:val="none"/>
          <w:shd w:val="clear" w:color="auto" w:fill="auto"/>
        </w:rPr>
        <w:t>22.1承包人违约</w:t>
      </w:r>
      <w:bookmarkEnd w:id="345"/>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22.1.1  承包人违约的情形</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在履行合同过程中发生的下列情况属承包人违约：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（1）承包人违反第1.8款或第4.3款的约定，私自将合同的全部或部分权利转让给其他人，或私自将合同的全部或部分义务转移给其他人；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（2）承包人违反第5.3款或第6.4款的约定，未经监理人批准，私自将已按合同约定进入施工场地的施工设备、临时设施或材料撤离施工场地；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（3）承包人违反第5.4款的约定使用了不合格材料或工程设备，工程质量达不到标准要求，又拒绝清除不合格工程；</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（4）承包人未能按合同进度计划及时完成合同约定的工作，已造成或预期造成工期延误；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（5）承包人在缺陷责任期（工程质量保修期）内，未能对合同工程完工验收鉴定书所列的缺陷清单的内容或缺陷责任期（工程质量保修期）内发生的缺陷进行修复，而又拒绝按监理人指示再进行修补；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（6）承包人无法继续履行或明确表示不履行或实质上已停止履行合同；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（7）承包人不按合同约定履行义务的其它情况。</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22.1.2  对承包人违约的处理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（1）承包人发生第22.1.1（6）目约定的违约情况时，发包人可通知承包人立即解除合同，并按有关法律处理。</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（2）承包人发生除第22.1.1（6）目约定以外的其他违约情况时，监理人可向承包人发出整改通知，要求其在指定的期限内改正。承包人应承担其违约所引起的费用增加和（或）工期延误。</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（3）经检查证明承包人已采取了有效措施纠正违约行为，具备复工条件的，可由监理人签发复工通知复工。</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22.1.3  承包人违约解除合同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22.1.4  合同解除后的估价、付款和结清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（1）合同解除后，监理人按第3.5款商定或确定承包人实际完成工作的价值，以及承包人已提供的材料、施工设备、工程设备和临时工程等的价值。</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（2）合同解除后，发包人应暂停对承包人的一切付款，查清各项付款和已扣款金额，包括承包人应支付的违约金。</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（3）合同解除后，发包人应按第23.4款的约定向承包人索赔由于解除合同给发包人造成的损失。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（4）合同双方确认上述往来款项后，出具最终结清付款证书，结清全部合同款项。</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（5）发包人和承包人未能就解除合同后的结清达成一致而形成争议的，按第24条的约定办理。</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22.1.5  协议利益的转让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因承包人违约解除合同的，发包人有权要求承包人将其为实施合同而签订的材料和设备的订货协议或任何服务协议利益转让给发包人，并在解除合同后的14 天内，依法办理转让手续。</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22.1.6  紧急情况下无能力或不愿进行抢救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6" w:name="_Toc189386247"/>
      <w:r>
        <w:rPr>
          <w:rFonts w:ascii="宋体" w:hAnsi="宋体"/>
          <w:b/>
          <w:bCs/>
          <w:color w:val="auto"/>
          <w:kern w:val="0"/>
          <w:sz w:val="24"/>
          <w:highlight w:val="none"/>
          <w:shd w:val="clear" w:color="auto" w:fill="auto"/>
        </w:rPr>
        <w:t>22.2 发包人违约</w:t>
      </w:r>
      <w:bookmarkEnd w:id="346"/>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22.2.1  发包人违约的情形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在履行合同过程中发生的下列情形，属发包人违约：</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（1）发包人未能按合同约定支付预付款或合同价款，或拖延、拒绝批准付款申请和支付凭证，导致付款延误的；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（2）发包人原因造成停工的；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（3）监理人无正当理由没有在约定期限内发出复工指示，导致承包人无法复工的；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（4）发包人无法继续履行或明确表示不履行或实质上已停止履行合同的；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（5）发包人不履行合同约定其他义务的。</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22.2.2  承包人有权暂停施工</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22.2.3  发包人违约解除合同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（1）发生第22.2.1（4）目的违约情况时，承包人可书面通知发包人解除合同。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（2）承包人按22.2.2 项暂停施工28天后，发包人仍不纠正违约行为的，承包人可向发包人发出解除合同通知。但承包人的这一行动不免除发包人承担的违约责任，也不影响承包人根据合同约定享有的索赔权利。</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22.2.4  解除合同后的付款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因发包人违约解除合同的，发包人应在解除合同后28天内向承包人支付下列金额，承包人应在此期限内及时向发包人提交要求支付下列金额的有关资料和凭证：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（1）合同解除日以前所完成工作的价款；</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（2）承包人为该工程施工订购并已付款的材料、工程设备和其他物品的金额。发包人付还后，该材料、工程设备和其他物品归发包人所有；</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（3）承包人为完成工程所发生的，而发包人未支付的金额；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（4）承包人撤离施工场地以及遣散承包人人员的金额；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（5）由于解除合同应赔偿的承包人损失；</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（6）按合同约定在合同解除日前应支付给承包人的其他金额。</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发包人应按本项约定支付上述金额并退还质量保证金和履约担保，但有权要求承包人支付应偿还给发包人的各项金额。</w:t>
      </w:r>
    </w:p>
    <w:p>
      <w:pPr>
        <w:adjustRightInd w:val="0"/>
        <w:snapToGrid w:val="0"/>
        <w:spacing w:line="312" w:lineRule="auto"/>
        <w:ind w:firstLine="482" w:firstLineChars="200"/>
        <w:rPr>
          <w:rFonts w:ascii="宋体" w:hAnsi="宋体"/>
          <w:b/>
          <w:color w:val="auto"/>
          <w:kern w:val="0"/>
          <w:sz w:val="24"/>
          <w:highlight w:val="none"/>
          <w:shd w:val="clear" w:color="auto" w:fill="auto"/>
        </w:rPr>
      </w:pPr>
      <w:r>
        <w:rPr>
          <w:rFonts w:ascii="宋体" w:hAnsi="宋体"/>
          <w:b/>
          <w:color w:val="auto"/>
          <w:kern w:val="0"/>
          <w:sz w:val="24"/>
          <w:highlight w:val="none"/>
          <w:shd w:val="clear" w:color="auto" w:fill="auto"/>
        </w:rPr>
        <w:t xml:space="preserve">22.2.5  解除合同后的承包人撤离 </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47" w:name="_Toc189386248"/>
      <w:r>
        <w:rPr>
          <w:rFonts w:ascii="宋体" w:hAnsi="宋体"/>
          <w:b/>
          <w:bCs/>
          <w:color w:val="auto"/>
          <w:kern w:val="0"/>
          <w:sz w:val="24"/>
          <w:highlight w:val="none"/>
          <w:shd w:val="clear" w:color="auto" w:fill="auto"/>
        </w:rPr>
        <w:t>22.3第三人造成的违约</w:t>
      </w:r>
      <w:bookmarkEnd w:id="34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在履行合同过程中，一方当事人因第三人的原因造成违约的，应当向对方当事人承担违约责任。一方当事人和第三人之间的纠纷，依照法律规定或者按照约定解决。</w:t>
      </w: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48" w:name="_Toc189386249"/>
      <w:bookmarkStart w:id="349" w:name="_Toc76056688"/>
      <w:r>
        <w:rPr>
          <w:rFonts w:ascii="宋体" w:hAnsi="宋体"/>
          <w:bCs w:val="0"/>
          <w:color w:val="auto"/>
          <w:sz w:val="24"/>
          <w:szCs w:val="24"/>
          <w:highlight w:val="none"/>
          <w:shd w:val="clear" w:color="auto" w:fill="auto"/>
        </w:rPr>
        <w:t>23．索赔</w:t>
      </w:r>
      <w:bookmarkEnd w:id="348"/>
      <w:bookmarkEnd w:id="34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0" w:name="_Toc511318176"/>
      <w:bookmarkStart w:id="351" w:name="_Toc189386250"/>
      <w:r>
        <w:rPr>
          <w:rFonts w:ascii="宋体" w:hAnsi="宋体"/>
          <w:b/>
          <w:bCs/>
          <w:color w:val="auto"/>
          <w:kern w:val="0"/>
          <w:sz w:val="24"/>
          <w:highlight w:val="none"/>
          <w:shd w:val="clear" w:color="auto" w:fill="auto"/>
        </w:rPr>
        <w:t>23.1 承包人索赔的提出</w:t>
      </w:r>
      <w:bookmarkEnd w:id="350"/>
      <w:bookmarkEnd w:id="351"/>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根据合同约定，承包人认为有权得到追加付款和（或）延长工期的，应按以下程序向发包人提出索赔：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（1）承包人应在知道或应当知道索赔事件发生后28天内，向监理人递交索赔意向通知书，并说明发生索赔事件的事由。承包人未在前述28天内发出索赔意向通知书的，丧失要求追加付款和（或）延长工期的权利；</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（2）承包人应在发出索赔意向通知书后28天内，向监理人正式递交索赔通知书。索赔通知书应详细说明索赔理由以及要求追加的付款金额和（或）延长的工期，并附必要的记录和证明材料；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（3）索赔事件具有连续影响的，承包人应按合理时间间隔继续递交延续索赔通知，说明连续影响的实际情况和记录，列出累计的追加付款金额和（或）工期延长天数；</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（4）在索赔事件影响结束后的28天内，承包人应向监理人递交最终索赔通知书，说明最终要求索赔的追加付款金额和延长的工期，并附必要的记录和证明材料。</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2" w:name="_Toc189386251"/>
      <w:bookmarkStart w:id="353" w:name="_Toc511318177"/>
      <w:r>
        <w:rPr>
          <w:rFonts w:ascii="宋体" w:hAnsi="宋体"/>
          <w:b/>
          <w:bCs/>
          <w:color w:val="auto"/>
          <w:kern w:val="0"/>
          <w:sz w:val="24"/>
          <w:highlight w:val="none"/>
          <w:shd w:val="clear" w:color="auto" w:fill="auto"/>
        </w:rPr>
        <w:t>23.2 承包人索赔处理程序</w:t>
      </w:r>
      <w:bookmarkEnd w:id="352"/>
      <w:bookmarkEnd w:id="353"/>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（1）监理人收到承包人提交的索赔通知书后，应及时审查索赔通知书的内容、查验承包人的记录和证明材料，必要时监理人可要求承包人提交全部原始记录副本。</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（2）监理人应按第3.5款商定或确定追加的付款和（或）延长的工期，并在收到上述索赔通知书或有关索赔的进一步证明材料后的42天内，将索赔处理结果答复承包人。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（3）承包人接受索赔处理结果的，发包人应在作出索赔处理结果答复后28 天内完成赔付。承包人不接受索赔处理结果的，按第24条的约定办理。</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4" w:name="_Toc189386252"/>
      <w:bookmarkStart w:id="355" w:name="_Toc511318178"/>
      <w:r>
        <w:rPr>
          <w:rFonts w:ascii="宋体" w:hAnsi="宋体"/>
          <w:b/>
          <w:bCs/>
          <w:color w:val="auto"/>
          <w:kern w:val="0"/>
          <w:sz w:val="24"/>
          <w:highlight w:val="none"/>
          <w:shd w:val="clear" w:color="auto" w:fill="auto"/>
        </w:rPr>
        <w:t>23.3 承包人提出索赔的期限</w:t>
      </w:r>
      <w:bookmarkEnd w:id="354"/>
      <w:bookmarkEnd w:id="35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23.3.1  承包人按第17.5款的约定接受了完工付款证书后，应被认为已无权再提出在合同工程完工证书颁发前所发生的任何索赔。</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23.3.2  承包人按第17.6款的约定提交的最终结清申请单中，只限于提出合同工程完工证书颁发后发生的索赔。提出索赔的期限自接受最终结清证书时终止。</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56" w:name="_Toc189386253"/>
      <w:bookmarkStart w:id="357" w:name="_Toc511318179"/>
      <w:r>
        <w:rPr>
          <w:rFonts w:ascii="宋体" w:hAnsi="宋体"/>
          <w:b/>
          <w:bCs/>
          <w:color w:val="auto"/>
          <w:kern w:val="0"/>
          <w:sz w:val="24"/>
          <w:highlight w:val="none"/>
          <w:shd w:val="clear" w:color="auto" w:fill="auto"/>
        </w:rPr>
        <w:t>23.4 发包人的索赔</w:t>
      </w:r>
      <w:bookmarkEnd w:id="356"/>
      <w:bookmarkEnd w:id="357"/>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23.4.2  监理人按第3.5款商定或确定发包人从承包人处得到赔付的金额和（或）缺陷责任期的延长期。承包人应付给发包人的金额可从拟支付给承包人的合同价款中扣除，或由承包人以其他方式支付给发包人。</w:t>
      </w:r>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23.4.3  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pPr>
        <w:adjustRightInd w:val="0"/>
        <w:snapToGrid w:val="0"/>
        <w:spacing w:line="312" w:lineRule="auto"/>
        <w:ind w:firstLine="480" w:firstLineChars="200"/>
        <w:rPr>
          <w:rFonts w:ascii="宋体" w:hAnsi="宋体"/>
          <w:color w:val="auto"/>
          <w:kern w:val="0"/>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58" w:name="_Toc76056689"/>
      <w:bookmarkStart w:id="359" w:name="_Toc189386254"/>
      <w:r>
        <w:rPr>
          <w:rFonts w:ascii="宋体" w:hAnsi="宋体"/>
          <w:bCs w:val="0"/>
          <w:color w:val="auto"/>
          <w:sz w:val="24"/>
          <w:szCs w:val="24"/>
          <w:highlight w:val="none"/>
          <w:shd w:val="clear" w:color="auto" w:fill="auto"/>
        </w:rPr>
        <w:t>24．争议的解决</w:t>
      </w:r>
      <w:bookmarkEnd w:id="358"/>
      <w:bookmarkEnd w:id="35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0" w:name="_Toc189386255"/>
      <w:r>
        <w:rPr>
          <w:rFonts w:ascii="宋体" w:hAnsi="宋体"/>
          <w:b/>
          <w:bCs/>
          <w:color w:val="auto"/>
          <w:kern w:val="0"/>
          <w:sz w:val="24"/>
          <w:highlight w:val="none"/>
          <w:shd w:val="clear" w:color="auto" w:fill="auto"/>
        </w:rPr>
        <w:t>24.1争议的解决方式</w:t>
      </w:r>
      <w:bookmarkEnd w:id="360"/>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（1）向约定的仲裁委员会申请仲裁；</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（2）向有管辖权的人民法院提起诉讼。</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1" w:name="_Toc511318181"/>
      <w:bookmarkStart w:id="362" w:name="_Toc189386256"/>
      <w:r>
        <w:rPr>
          <w:rFonts w:ascii="宋体" w:hAnsi="宋体"/>
          <w:b/>
          <w:bCs/>
          <w:color w:val="auto"/>
          <w:kern w:val="0"/>
          <w:sz w:val="24"/>
          <w:highlight w:val="none"/>
          <w:shd w:val="clear" w:color="auto" w:fill="auto"/>
        </w:rPr>
        <w:t>24.2 友好解决</w:t>
      </w:r>
      <w:bookmarkEnd w:id="361"/>
      <w:bookmarkEnd w:id="362"/>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在提请争议评审、仲裁或者诉讼前，以及在争议评审、仲裁或诉讼过程中，发包人和承包人均可共同努力友好协商解决争议。</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3" w:name="_Toc511318182"/>
      <w:bookmarkStart w:id="364" w:name="_Toc189386257"/>
      <w:r>
        <w:rPr>
          <w:rFonts w:ascii="宋体" w:hAnsi="宋体"/>
          <w:b/>
          <w:bCs/>
          <w:color w:val="auto"/>
          <w:kern w:val="0"/>
          <w:sz w:val="24"/>
          <w:highlight w:val="none"/>
          <w:shd w:val="clear" w:color="auto" w:fill="auto"/>
        </w:rPr>
        <w:t>24.3 争议评审</w:t>
      </w:r>
      <w:bookmarkEnd w:id="363"/>
      <w:bookmarkEnd w:id="364"/>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24.3.1  采用争议评审的，发包人和承包人应在开工日后的28天内或在争议发生后，协商成立争议评审组。争议评审组由有合同管理和工程实践经验的专家组成。</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24.3.2  合同双方的争议，应首先由申请人向争议评审组提交一份详细的评审申请报告，并附必要的文件、图纸和证明材料，申请人还应将上述报告的副本同时提交给被申请人和监理人。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24.3.3  被申请人在收到申请人评审申请报告副本后的28天内，向争议评审组提交一份答辩报告，并附证明材料。被申请人应将答辩报告的副本同时提交给申请人和监理人。</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24.3.4  除专用合同条款另有约定外，争议评审组在收到合同双方报告后的14 天内，邀请双方代表和有关人员举行调查会，向双方调查争议细节；必要时争议评审组可要求双方进一步提供补充材料。</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24.3.6  发包人和承包人接受评审意见的，由监理人根据评审意见拟定执行协议，经争议双方签字后作为合同的补充文件，并遵照执行。</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bookmarkStart w:id="365" w:name="_Toc511318183"/>
      <w:r>
        <w:rPr>
          <w:rFonts w:ascii="宋体" w:hAnsi="宋体"/>
          <w:b/>
          <w:bCs/>
          <w:color w:val="auto"/>
          <w:kern w:val="0"/>
          <w:sz w:val="24"/>
          <w:highlight w:val="none"/>
          <w:shd w:val="clear" w:color="auto" w:fill="auto"/>
        </w:rPr>
        <w:t>24.4  仲裁</w:t>
      </w:r>
      <w:bookmarkEnd w:id="365"/>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24.4.1  若合同双方商定直接向仲裁机构申请仲裁，应签订仲裁协议并约定仲裁机构。</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24.4.2  若合同双方未能达成仲裁协议，则本合同的仲裁条款无效，任一方均有权向人民法院提起诉讼。</w:t>
      </w: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p>
    <w:p>
      <w:pPr>
        <w:adjustRightInd w:val="0"/>
        <w:snapToGrid w:val="0"/>
        <w:spacing w:line="312" w:lineRule="auto"/>
        <w:ind w:firstLine="482" w:firstLineChars="200"/>
        <w:rPr>
          <w:rFonts w:ascii="宋体" w:hAnsi="宋体"/>
          <w:b/>
          <w:color w:val="auto"/>
          <w:sz w:val="24"/>
          <w:highlight w:val="none"/>
          <w:u w:val="single"/>
          <w:shd w:val="clear" w:color="auto" w:fill="auto"/>
        </w:rPr>
      </w:pPr>
      <w:r>
        <w:rPr>
          <w:rFonts w:ascii="宋体" w:hAnsi="宋体"/>
          <w:b/>
          <w:color w:val="auto"/>
          <w:sz w:val="24"/>
          <w:highlight w:val="none"/>
          <w:u w:val="single"/>
          <w:shd w:val="clear" w:color="auto" w:fill="auto"/>
        </w:rPr>
        <w:t>施工招标文件示范文本提供的专用合同条款内容供招标人参考，招标人可根据项目具体情况修改、补充、完善，除通用合同条款明确专用合同条款可作出不同约定外，专用合同条款及附件补充细化的内容不得与通用合同条款规定相抵触，不得违反法律、法规和行业规章的有关规定和平等、自愿、公平以及诚实信用原则。</w:t>
      </w:r>
    </w:p>
    <w:p>
      <w:pPr>
        <w:adjustRightInd w:val="0"/>
        <w:snapToGrid w:val="0"/>
        <w:spacing w:line="312" w:lineRule="auto"/>
        <w:ind w:firstLine="480" w:firstLineChars="200"/>
        <w:rPr>
          <w:rFonts w:ascii="宋体" w:hAnsi="宋体"/>
          <w:color w:val="auto"/>
          <w:sz w:val="24"/>
          <w:highlight w:val="none"/>
          <w:shd w:val="clear" w:color="auto" w:fill="auto"/>
        </w:rPr>
      </w:pPr>
    </w:p>
    <w:p>
      <w:pPr>
        <w:adjustRightInd w:val="0"/>
        <w:snapToGrid w:val="0"/>
        <w:spacing w:line="312" w:lineRule="auto"/>
        <w:jc w:val="center"/>
        <w:outlineLvl w:val="2"/>
        <w:rPr>
          <w:rFonts w:ascii="宋体" w:hAnsi="宋体"/>
          <w:b/>
          <w:color w:val="auto"/>
          <w:sz w:val="24"/>
          <w:highlight w:val="none"/>
          <w:shd w:val="clear" w:color="auto" w:fill="auto"/>
        </w:rPr>
      </w:pPr>
      <w:bookmarkStart w:id="366" w:name="_Toc76056690"/>
      <w:r>
        <w:rPr>
          <w:rFonts w:ascii="宋体" w:hAnsi="宋体"/>
          <w:b/>
          <w:color w:val="auto"/>
          <w:sz w:val="24"/>
          <w:highlight w:val="none"/>
          <w:shd w:val="clear" w:color="auto" w:fill="auto"/>
        </w:rPr>
        <w:t>第</w:t>
      </w:r>
      <w:r>
        <w:rPr>
          <w:rFonts w:hint="eastAsia" w:ascii="宋体" w:hAnsi="宋体"/>
          <w:b/>
          <w:color w:val="auto"/>
          <w:sz w:val="24"/>
          <w:highlight w:val="none"/>
          <w:shd w:val="clear" w:color="auto" w:fill="auto"/>
        </w:rPr>
        <w:t>二</w:t>
      </w:r>
      <w:r>
        <w:rPr>
          <w:rFonts w:ascii="宋体" w:hAnsi="宋体"/>
          <w:b/>
          <w:color w:val="auto"/>
          <w:sz w:val="24"/>
          <w:highlight w:val="none"/>
          <w:shd w:val="clear" w:color="auto" w:fill="auto"/>
        </w:rPr>
        <w:t>节  专用合同条款</w:t>
      </w:r>
      <w:bookmarkEnd w:id="366"/>
    </w:p>
    <w:p>
      <w:pPr>
        <w:adjustRightInd w:val="0"/>
        <w:snapToGrid w:val="0"/>
        <w:spacing w:line="312" w:lineRule="auto"/>
        <w:ind w:firstLine="482" w:firstLineChars="200"/>
        <w:rPr>
          <w:rFonts w:ascii="宋体" w:hAnsi="宋体"/>
          <w:b/>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7" w:name="_Toc76056691"/>
      <w:r>
        <w:rPr>
          <w:rFonts w:ascii="宋体" w:hAnsi="宋体"/>
          <w:bCs w:val="0"/>
          <w:color w:val="auto"/>
          <w:sz w:val="24"/>
          <w:szCs w:val="24"/>
          <w:highlight w:val="none"/>
          <w:shd w:val="clear" w:color="auto" w:fill="auto"/>
        </w:rPr>
        <w:t>1．一般约定</w:t>
      </w:r>
      <w:bookmarkEnd w:id="367"/>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1.1词语定义</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  合同当事人和人员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1.2.2.2  发包人：</w:t>
      </w:r>
      <w:r>
        <w:rPr>
          <w:rFonts w:ascii="宋体" w:hAnsi="宋体"/>
          <w:color w:val="auto"/>
          <w:sz w:val="24"/>
          <w:highlight w:val="none"/>
          <w:u w:val="single"/>
          <w:shd w:val="clear" w:color="auto" w:fill="auto"/>
        </w:rPr>
        <w:t xml:space="preserve">   （填入发包人的名称）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1.1.2.3  承包人：</w:t>
      </w:r>
      <w:r>
        <w:rPr>
          <w:rFonts w:ascii="宋体" w:hAnsi="宋体"/>
          <w:color w:val="auto"/>
          <w:sz w:val="24"/>
          <w:highlight w:val="none"/>
          <w:u w:val="single"/>
          <w:shd w:val="clear" w:color="auto" w:fill="auto"/>
        </w:rPr>
        <w:t xml:space="preserve">   （签约后填入承包人的名称）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1.1.2.4（补充）  承包人项目经理、技术负责人和专职安全员：</w:t>
      </w:r>
      <w:r>
        <w:rPr>
          <w:rFonts w:ascii="宋体" w:hAnsi="宋体"/>
          <w:color w:val="auto"/>
          <w:sz w:val="24"/>
          <w:highlight w:val="none"/>
          <w:u w:val="single"/>
          <w:shd w:val="clear" w:color="auto" w:fill="auto"/>
        </w:rPr>
        <w:t xml:space="preserve">（签约后填入项目经理、技术负责人和专职安全员的姓名、身份证号号码，项目经理执业证书号码以及项目经理和专职安全员行业主管部门颁发的安全生产考核合格证书号码）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1.1.2.5  分包人：</w:t>
      </w:r>
      <w:r>
        <w:rPr>
          <w:rFonts w:ascii="宋体" w:hAnsi="宋体"/>
          <w:color w:val="auto"/>
          <w:sz w:val="24"/>
          <w:highlight w:val="none"/>
          <w:u w:val="single"/>
          <w:shd w:val="clear" w:color="auto" w:fill="auto"/>
        </w:rPr>
        <w:t xml:space="preserve">    不适用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1.1.2.6  监理人：</w:t>
      </w:r>
      <w:r>
        <w:rPr>
          <w:rFonts w:ascii="宋体" w:hAnsi="宋体"/>
          <w:color w:val="auto"/>
          <w:sz w:val="24"/>
          <w:highlight w:val="none"/>
          <w:u w:val="single"/>
          <w:shd w:val="clear" w:color="auto" w:fill="auto"/>
        </w:rPr>
        <w:t>发包人另行书面通知</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  日期</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1.1.4.5  缺陷责任期（工程质量保修期）：</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1.7联络</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1.7.2  来往函件均应按技术标准和要求（合同技术条款）约定的期限送达：</w:t>
      </w:r>
      <w:r>
        <w:rPr>
          <w:rFonts w:hint="eastAsia" w:ascii="宋体" w:hAnsi="宋体"/>
          <w:color w:val="auto"/>
          <w:sz w:val="24"/>
          <w:highlight w:val="none"/>
          <w:shd w:val="clear" w:color="auto" w:fill="auto"/>
        </w:rPr>
        <w:t>由发包人指定</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8" w:name="_Toc76056692"/>
      <w:r>
        <w:rPr>
          <w:rFonts w:ascii="宋体" w:hAnsi="宋体"/>
          <w:bCs w:val="0"/>
          <w:color w:val="auto"/>
          <w:sz w:val="24"/>
          <w:szCs w:val="24"/>
          <w:highlight w:val="none"/>
          <w:shd w:val="clear" w:color="auto" w:fill="auto"/>
        </w:rPr>
        <w:t>2．发包人义务</w:t>
      </w:r>
      <w:bookmarkEnd w:id="368"/>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2.3提供施工场地</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2.3.2 发包人提供的施工用地范围为：</w:t>
      </w:r>
      <w:r>
        <w:rPr>
          <w:rFonts w:ascii="宋体" w:hAnsi="宋体"/>
          <w:color w:val="auto"/>
          <w:sz w:val="24"/>
          <w:highlight w:val="none"/>
          <w:u w:val="single"/>
          <w:shd w:val="clear" w:color="auto" w:fill="auto"/>
        </w:rPr>
        <w:t>在发出开工令之前发包人向承包人提供施工用地，提供的用地范围以施工图为准，提供的用地期限在合同计划完工日期前。承包人为完成本合同工程所需的其他施工场地由承包人自行解决，所需费用已包括在合同总价中，发包人不另行支付</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2.8其它义务</w:t>
      </w:r>
      <w:r>
        <w:rPr>
          <w:rFonts w:hint="eastAsia" w:ascii="宋体" w:hAnsi="宋体"/>
          <w:b/>
          <w:bCs/>
          <w:color w:val="auto"/>
          <w:kern w:val="0"/>
          <w:sz w:val="24"/>
          <w:highlight w:val="none"/>
          <w:shd w:val="clear" w:color="auto" w:fill="auto"/>
        </w:rPr>
        <w:t>：</w:t>
      </w:r>
      <w:r>
        <w:rPr>
          <w:rFonts w:ascii="宋体" w:hAnsi="宋体"/>
          <w:color w:val="auto"/>
          <w:kern w:val="0"/>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kern w:val="0"/>
          <w:sz w:val="24"/>
          <w:highlight w:val="none"/>
          <w:u w:val="single"/>
          <w:shd w:val="clear" w:color="auto" w:fill="auto"/>
        </w:rPr>
        <w:t xml:space="preserve">  </w:t>
      </w:r>
    </w:p>
    <w:p>
      <w:pPr>
        <w:pStyle w:val="185"/>
        <w:widowControl w:val="0"/>
        <w:adjustRightInd w:val="0"/>
        <w:snapToGrid w:val="0"/>
        <w:spacing w:line="312" w:lineRule="auto"/>
        <w:ind w:firstLine="480" w:firstLineChars="200"/>
        <w:rPr>
          <w:rFonts w:ascii="宋体" w:hAnsi="宋体"/>
          <w:color w:val="auto"/>
          <w:kern w:val="0"/>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69" w:name="_Toc76056693"/>
      <w:r>
        <w:rPr>
          <w:rFonts w:ascii="宋体" w:hAnsi="宋体"/>
          <w:bCs w:val="0"/>
          <w:color w:val="auto"/>
          <w:sz w:val="24"/>
          <w:szCs w:val="24"/>
          <w:highlight w:val="none"/>
          <w:shd w:val="clear" w:color="auto" w:fill="auto"/>
        </w:rPr>
        <w:t>3．监理人</w:t>
      </w:r>
      <w:bookmarkEnd w:id="369"/>
    </w:p>
    <w:p>
      <w:pPr>
        <w:adjustRightInd w:val="0"/>
        <w:snapToGrid w:val="0"/>
        <w:spacing w:line="312" w:lineRule="auto"/>
        <w:ind w:firstLine="482" w:firstLineChars="200"/>
        <w:outlineLvl w:val="3"/>
        <w:rPr>
          <w:rFonts w:ascii="宋体" w:hAnsi="宋体"/>
          <w:b/>
          <w:bCs/>
          <w:color w:val="auto"/>
          <w:kern w:val="0"/>
          <w:sz w:val="24"/>
          <w:highlight w:val="none"/>
          <w:shd w:val="clear" w:color="auto" w:fill="auto"/>
        </w:rPr>
      </w:pPr>
      <w:r>
        <w:rPr>
          <w:rFonts w:ascii="宋体" w:hAnsi="宋体"/>
          <w:b/>
          <w:bCs/>
          <w:color w:val="auto"/>
          <w:kern w:val="0"/>
          <w:sz w:val="24"/>
          <w:highlight w:val="none"/>
          <w:shd w:val="clear" w:color="auto" w:fill="auto"/>
        </w:rPr>
        <w:t>3.1监理人的职责和权力</w:t>
      </w:r>
    </w:p>
    <w:p>
      <w:pPr>
        <w:adjustRightInd w:val="0"/>
        <w:snapToGrid w:val="0"/>
        <w:spacing w:line="312" w:lineRule="auto"/>
        <w:ind w:firstLine="480" w:firstLineChars="200"/>
        <w:rPr>
          <w:rFonts w:ascii="宋体" w:hAnsi="宋体"/>
          <w:b/>
          <w:i/>
          <w:color w:val="auto"/>
          <w:sz w:val="24"/>
          <w:highlight w:val="none"/>
          <w:shd w:val="clear" w:color="auto" w:fill="auto"/>
        </w:rPr>
      </w:pPr>
      <w:r>
        <w:rPr>
          <w:rFonts w:ascii="宋体" w:hAnsi="宋体"/>
          <w:color w:val="auto"/>
          <w:sz w:val="24"/>
          <w:highlight w:val="none"/>
          <w:shd w:val="clear" w:color="auto" w:fill="auto"/>
        </w:rPr>
        <w:t>3.1.1  监理人须根据发包人事先批准的权力范围行使权力，发包人批准的权力范围：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（1）按第4.3款约定，批准工程的分包；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（2）按第4.11款约定，确定产生的费用增加额；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（3）按第11.3款约定，确定延长完工期限；</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（4）按第11.3款、12.3款、12.4款约定，发布开工通知、暂停施工指示或复工通知；</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（5）按第11.3款、11.4款约定，确定工期延长；</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（6）按第15.3款约定，发出变更指令，确定变更价格；</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（7）按第15.4款约定，确定变更工作的单价；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（8）按第15.6款约定，批准暂列金额的使用；</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（9）按第15.8款约定，确定暂估列金额；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（10）按第23.1款约定，确定索赔额。</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（11）</w:t>
      </w:r>
      <w:r>
        <w:rPr>
          <w:rFonts w:hint="eastAsia" w:ascii="宋体" w:hAnsi="宋体"/>
          <w:color w:val="auto"/>
          <w:sz w:val="24"/>
          <w:highlight w:val="none"/>
          <w:shd w:val="clear" w:color="auto" w:fill="auto"/>
        </w:rPr>
        <w:t>其他由合同约定的职责和权利。</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0" w:name="_Toc76056694"/>
      <w:r>
        <w:rPr>
          <w:rFonts w:ascii="宋体" w:hAnsi="宋体"/>
          <w:bCs w:val="0"/>
          <w:color w:val="auto"/>
          <w:sz w:val="24"/>
          <w:szCs w:val="24"/>
          <w:highlight w:val="none"/>
          <w:shd w:val="clear" w:color="auto" w:fill="auto"/>
        </w:rPr>
        <w:t>4．承包人</w:t>
      </w:r>
      <w:bookmarkEnd w:id="370"/>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4.1承包人的一般义务</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4.1.10  其它义务</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4.1.10.1  承包人应在合同约定的开工时间前的7天内确保合同工程所需的设备、人员、材料进场到位。</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4.1.10.2  在合同工程施工期和缺陷责任期（保修期）内，承包人有义务采取措施防御洪水，保证工程安全，无条件服从抗洪抢险的命令和统一指挥调度。</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4.1.10.3  承包人应支付为获得本合同工程所需的石料、砂、砾石、粘土或其他当地材料等所需的料场使用费及其他开支或补偿费等一切费用。承包人在发包人指定的料场范围内开采本工程所需的材料，办理除临时用地手续以外的开采和运输等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4.1.10.4  承包人应根据工程施工情况及监理人的指令，按时向监理人提交技术标准和要求和/或法律法规要求的各种报告。承包人提交上述报告所需的一切费用均已包括在合同总价中，发包人不另行支付。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4.1.10.5  承包人必须配合发包人做好施工地质编录工作，在编制施工进度计划时，应充分考虑发包人的施工地质编录工作对合同工程的影响。承包人为消除这些影响而采取的所有措施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4.1.10.6  承包人为办理合同工程施工所需的人员、设备、材料等所需的各种证件、批件和其他审批手续所需的一切费用均已包括在合同总价中，发包人不另行支付。</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4.1.10.7  承包人应严格遵守国家有关解决拖欠工程款和农民工工资的法律、法规、规范性文件，及时支付工程中的材料、设备货款及农民工工资等费用。承包人不得以任何借口拖欠材料、设备货款及农民工工资等费用，如果出现此种现象，发包人有权代为支付其拖欠的材料、设备货款及民工工资，并从应付给承包人的工程款中扣除相应款项。对恶意拖欠和拒不按计划支付的，作为不良记录纳入行业市场信用信息管理系统。同时对拖欠农民工工资的，依据</w:t>
      </w:r>
      <w:r>
        <w:rPr>
          <w:rFonts w:ascii="宋体" w:hAnsi="宋体"/>
          <w:bCs/>
          <w:color w:val="auto"/>
          <w:sz w:val="24"/>
          <w:highlight w:val="none"/>
          <w:u w:val="single"/>
          <w:shd w:val="clear" w:color="auto" w:fill="auto"/>
        </w:rPr>
        <w:t>《拖欠农民工工资“黑名单”管理暂行办法》（</w:t>
      </w:r>
      <w:r>
        <w:rPr>
          <w:rFonts w:ascii="宋体" w:hAnsi="宋体"/>
          <w:color w:val="auto"/>
          <w:sz w:val="24"/>
          <w:highlight w:val="none"/>
          <w:u w:val="single"/>
          <w:shd w:val="clear" w:color="auto" w:fill="auto"/>
        </w:rPr>
        <w:t>人社部规〔2017〕16号</w:t>
      </w:r>
      <w:r>
        <w:rPr>
          <w:rFonts w:ascii="宋体" w:hAnsi="宋体"/>
          <w:bCs/>
          <w:color w:val="auto"/>
          <w:sz w:val="24"/>
          <w:highlight w:val="none"/>
          <w:u w:val="single"/>
          <w:shd w:val="clear" w:color="auto" w:fill="auto"/>
        </w:rPr>
        <w:t>）</w:t>
      </w:r>
      <w:r>
        <w:rPr>
          <w:rFonts w:ascii="宋体" w:hAnsi="宋体"/>
          <w:bCs/>
          <w:color w:val="auto"/>
          <w:sz w:val="24"/>
          <w:highlight w:val="none"/>
          <w:shd w:val="clear" w:color="auto" w:fill="auto"/>
        </w:rPr>
        <w:t>规定，由</w:t>
      </w:r>
      <w:r>
        <w:rPr>
          <w:rFonts w:ascii="宋体" w:hAnsi="宋体"/>
          <w:color w:val="auto"/>
          <w:sz w:val="24"/>
          <w:highlight w:val="none"/>
          <w:shd w:val="clear" w:color="auto" w:fill="auto"/>
        </w:rPr>
        <w:t>人力资源和社会保障行政部门将承包人单位列入拖欠工资“黑名单”，依规将拖欠工资“黑名单”信息通过部门门户网站、“信用中国”网站、国家企业信用信息公示系统等予以公示。</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4.1.10.8  承包人项目经理、技术负责人、专职安全员每月驻工地现场时间不得少于本月施工时间的</w:t>
      </w:r>
      <w:r>
        <w:rPr>
          <w:rFonts w:ascii="宋体" w:hAnsi="宋体"/>
          <w:b/>
          <w:color w:val="auto"/>
          <w:sz w:val="24"/>
          <w:highlight w:val="none"/>
          <w:u w:val="single"/>
          <w:shd w:val="clear" w:color="auto" w:fill="auto"/>
        </w:rPr>
        <w:t xml:space="preserve"> </w:t>
      </w:r>
      <w:r>
        <w:rPr>
          <w:rFonts w:hint="eastAsia" w:ascii="宋体" w:hAnsi="宋体"/>
          <w:b/>
          <w:color w:val="auto"/>
          <w:sz w:val="24"/>
          <w:highlight w:val="none"/>
          <w:u w:val="single"/>
          <w:shd w:val="clear" w:color="auto" w:fill="auto"/>
        </w:rPr>
        <w:t xml:space="preserve">      </w:t>
      </w:r>
      <w:r>
        <w:rPr>
          <w:rFonts w:ascii="宋体" w:hAnsi="宋体"/>
          <w:b/>
          <w:color w:val="auto"/>
          <w:sz w:val="24"/>
          <w:highlight w:val="none"/>
          <w:shd w:val="clear" w:color="auto" w:fill="auto"/>
        </w:rPr>
        <w:t>%</w:t>
      </w:r>
      <w:r>
        <w:rPr>
          <w:rFonts w:ascii="宋体" w:hAnsi="宋体"/>
          <w:color w:val="auto"/>
          <w:sz w:val="24"/>
          <w:highlight w:val="none"/>
          <w:shd w:val="clear" w:color="auto" w:fill="auto"/>
        </w:rPr>
        <w:t>（招标人自行填写，但不得低于70%），否则承包人应按本专用合同条款22.1.2违约的处理向发包人支付违约金。上述人员因其他事务需短期离开工地，应向发包人请假，经批准后方可离开，离开期间应委托项目相关负责人负责其外出时的日常工作。</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4.1.10.9 工程质量终身责任</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sz w:val="24"/>
          <w:highlight w:val="none"/>
          <w:shd w:val="clear" w:color="auto" w:fill="auto"/>
        </w:rPr>
        <w:t>依据</w:t>
      </w:r>
      <w:r>
        <w:rPr>
          <w:rFonts w:hint="eastAsia" w:ascii="宋体" w:hAnsi="宋体"/>
          <w:color w:val="auto"/>
          <w:sz w:val="24"/>
          <w:highlight w:val="none"/>
          <w:shd w:val="clear" w:color="auto" w:fill="auto"/>
        </w:rPr>
        <w:t>行业有关规定，</w:t>
      </w:r>
      <w:r>
        <w:rPr>
          <w:rFonts w:ascii="宋体" w:hAnsi="宋体"/>
          <w:color w:val="auto"/>
          <w:sz w:val="24"/>
          <w:highlight w:val="none"/>
          <w:shd w:val="clear" w:color="auto" w:fill="auto"/>
        </w:rPr>
        <w:t>明确承包人在本工程的项目经理，经授权的项目经理应当在办理工程质量监督手续前签署工程质量终身责任承诺书</w:t>
      </w:r>
      <w:r>
        <w:rPr>
          <w:rFonts w:hint="eastAsia" w:ascii="宋体" w:hAnsi="宋体"/>
          <w:color w:val="auto"/>
          <w:sz w:val="24"/>
          <w:highlight w:val="none"/>
          <w:shd w:val="clear" w:color="auto" w:fill="auto"/>
        </w:rPr>
        <w:t>，按行业规定执行</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4.2履约担保（修改）</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（适用于不要求提交履约担保）：</w:t>
      </w:r>
      <w:r>
        <w:rPr>
          <w:rFonts w:ascii="宋体" w:hAnsi="宋体"/>
          <w:color w:val="auto"/>
          <w:sz w:val="24"/>
          <w:highlight w:val="none"/>
          <w:shd w:val="clear" w:color="auto" w:fill="auto"/>
        </w:rPr>
        <w:t>删除通用合同条款第4.2条全文。并以下文代替：本合同工程不需要提交履约担保。</w:t>
      </w:r>
    </w:p>
    <w:p>
      <w:pPr>
        <w:adjustRightInd w:val="0"/>
        <w:snapToGrid w:val="0"/>
        <w:spacing w:line="312" w:lineRule="auto"/>
        <w:ind w:firstLine="482" w:firstLineChars="200"/>
        <w:rPr>
          <w:rFonts w:ascii="宋体" w:hAnsi="宋体"/>
          <w:color w:val="auto"/>
          <w:sz w:val="24"/>
          <w:highlight w:val="none"/>
          <w:shd w:val="clear" w:color="auto" w:fill="auto"/>
        </w:rPr>
      </w:pPr>
      <w:r>
        <w:rPr>
          <w:rFonts w:ascii="宋体" w:hAnsi="宋体"/>
          <w:b/>
          <w:i/>
          <w:color w:val="auto"/>
          <w:sz w:val="24"/>
          <w:highlight w:val="none"/>
          <w:shd w:val="clear" w:color="auto" w:fill="auto"/>
        </w:rPr>
        <w:t>（适用于要求提交履约担保）：</w:t>
      </w:r>
      <w:r>
        <w:rPr>
          <w:rFonts w:ascii="宋体" w:hAnsi="宋体"/>
          <w:color w:val="auto"/>
          <w:sz w:val="24"/>
          <w:highlight w:val="none"/>
          <w:shd w:val="clear" w:color="auto" w:fill="auto"/>
        </w:rPr>
        <w:t>本合同工程履约担保采用</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形式递交，担保金额为合同总价（不含暂列金额和暂估价）的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％。承包人应保证其履约担保在发包人颁发工程接收证书前一直有效。发包人应在工程接收证书颁发后28天内把履约担保退还（无息）给承包人。</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4.3分包</w:t>
      </w:r>
    </w:p>
    <w:p>
      <w:pPr>
        <w:pStyle w:val="7"/>
        <w:keepNext w:val="0"/>
        <w:keepLines w:val="0"/>
        <w:adjustRightInd w:val="0"/>
        <w:snapToGrid w:val="0"/>
        <w:spacing w:before="0" w:after="0" w:line="312" w:lineRule="auto"/>
        <w:ind w:firstLine="480" w:firstLineChars="200"/>
        <w:rPr>
          <w:rFonts w:hint="eastAsia" w:ascii="宋体" w:hAnsi="宋体" w:eastAsia="宋体"/>
          <w:b w:val="0"/>
          <w:bCs w:val="0"/>
          <w:color w:val="auto"/>
          <w:sz w:val="24"/>
          <w:szCs w:val="24"/>
          <w:highlight w:val="none"/>
          <w:u w:val="single"/>
          <w:shd w:val="clear" w:color="auto" w:fill="auto"/>
        </w:rPr>
      </w:pPr>
      <w:r>
        <w:rPr>
          <w:rFonts w:ascii="宋体" w:hAnsi="宋体" w:eastAsia="宋体"/>
          <w:b w:val="0"/>
          <w:bCs w:val="0"/>
          <w:color w:val="auto"/>
          <w:sz w:val="24"/>
          <w:szCs w:val="24"/>
          <w:highlight w:val="none"/>
          <w:shd w:val="clear" w:color="auto" w:fill="auto"/>
        </w:rPr>
        <w:t>删除通用合同条款第4.2条全文。并以下文代替：</w:t>
      </w:r>
      <w:r>
        <w:rPr>
          <w:rFonts w:hint="eastAsia" w:ascii="宋体" w:hAnsi="宋体" w:eastAsia="宋体"/>
          <w:b w:val="0"/>
          <w:bCs w:val="0"/>
          <w:color w:val="auto"/>
          <w:sz w:val="24"/>
          <w:szCs w:val="24"/>
          <w:highlight w:val="none"/>
          <w:u w:val="single"/>
          <w:shd w:val="clear" w:color="auto" w:fill="auto"/>
        </w:rPr>
        <w:t>本合同不允许分包。</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4.4 联合体</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不允许，删除通用合同条款第4.4.1、4.4.2、4.4.3条全文。</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4.8保障承包人人员的合法权益（补充）</w:t>
      </w:r>
    </w:p>
    <w:p>
      <w:pPr>
        <w:adjustRightInd w:val="0"/>
        <w:snapToGrid w:val="0"/>
        <w:spacing w:line="312" w:lineRule="auto"/>
        <w:ind w:firstLine="482" w:firstLineChars="200"/>
        <w:rPr>
          <w:rFonts w:ascii="宋体" w:hAnsi="宋体"/>
          <w:b/>
          <w:color w:val="auto"/>
          <w:sz w:val="24"/>
          <w:highlight w:val="none"/>
          <w:shd w:val="clear" w:color="auto" w:fill="auto"/>
        </w:rPr>
      </w:pPr>
      <w:r>
        <w:rPr>
          <w:rFonts w:ascii="宋体" w:hAnsi="宋体"/>
          <w:b/>
          <w:color w:val="auto"/>
          <w:sz w:val="24"/>
          <w:highlight w:val="none"/>
          <w:shd w:val="clear" w:color="auto" w:fill="auto"/>
        </w:rPr>
        <w:t>4.8.7  保障农民工工资</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承包人应按照</w:t>
      </w:r>
      <w:r>
        <w:rPr>
          <w:rFonts w:ascii="宋体" w:hAnsi="宋体"/>
          <w:color w:val="auto"/>
          <w:sz w:val="24"/>
          <w:highlight w:val="none"/>
          <w:u w:val="single"/>
          <w:shd w:val="clear" w:color="auto" w:fill="auto"/>
        </w:rPr>
        <w:t>《国务院办公厅关于全面治理拖欠农民工工资问题的意见》（国办发〔2016〕1号）、《</w:t>
      </w:r>
      <w:r>
        <w:rPr>
          <w:rFonts w:ascii="宋体" w:hAnsi="宋体"/>
          <w:bCs/>
          <w:color w:val="auto"/>
          <w:sz w:val="24"/>
          <w:highlight w:val="none"/>
          <w:u w:val="single"/>
          <w:shd w:val="clear" w:color="auto" w:fill="auto"/>
        </w:rPr>
        <w:t>保障农民工工资支付条例</w:t>
      </w:r>
      <w:r>
        <w:rPr>
          <w:rFonts w:ascii="宋体" w:hAnsi="宋体"/>
          <w:color w:val="auto"/>
          <w:sz w:val="24"/>
          <w:highlight w:val="none"/>
          <w:u w:val="single"/>
          <w:shd w:val="clear" w:color="auto" w:fill="auto"/>
        </w:rPr>
        <w:t>》（</w:t>
      </w:r>
      <w:r>
        <w:rPr>
          <w:rFonts w:ascii="宋体" w:hAnsi="宋体"/>
          <w:bCs/>
          <w:color w:val="auto"/>
          <w:sz w:val="24"/>
          <w:highlight w:val="none"/>
          <w:u w:val="single"/>
          <w:shd w:val="clear" w:color="auto" w:fill="auto"/>
        </w:rPr>
        <w:t>中华人民共</w:t>
      </w:r>
      <w:r>
        <w:rPr>
          <w:rFonts w:ascii="宋体" w:hAnsi="宋体"/>
          <w:color w:val="auto"/>
          <w:sz w:val="24"/>
          <w:highlight w:val="none"/>
          <w:u w:val="single"/>
          <w:shd w:val="clear" w:color="auto" w:fill="auto"/>
        </w:rPr>
        <w:t>和国国务院令第724号）</w:t>
      </w:r>
      <w:r>
        <w:rPr>
          <w:rFonts w:hint="eastAsia" w:ascii="宋体" w:hAnsi="宋体"/>
          <w:color w:val="auto"/>
          <w:sz w:val="24"/>
          <w:highlight w:val="none"/>
          <w:u w:val="single"/>
          <w:shd w:val="clear" w:color="auto" w:fill="auto"/>
        </w:rPr>
        <w:t>、《湖南省人民政府办公厅关于建立健全保障农民工工资支付长效机制的意见》（湘政办发</w:t>
      </w:r>
      <w:r>
        <w:rPr>
          <w:rFonts w:ascii="宋体" w:hAnsi="宋体"/>
          <w:color w:val="auto"/>
          <w:sz w:val="24"/>
          <w:highlight w:val="none"/>
          <w:u w:val="single"/>
          <w:shd w:val="clear" w:color="auto" w:fill="auto"/>
        </w:rPr>
        <w:t>〔20</w:t>
      </w:r>
      <w:r>
        <w:rPr>
          <w:rFonts w:hint="eastAsia" w:ascii="宋体" w:hAnsi="宋体"/>
          <w:color w:val="auto"/>
          <w:sz w:val="24"/>
          <w:highlight w:val="none"/>
          <w:u w:val="single"/>
          <w:shd w:val="clear" w:color="auto" w:fill="auto"/>
        </w:rPr>
        <w:t>21</w:t>
      </w:r>
      <w:r>
        <w:rPr>
          <w:rFonts w:ascii="宋体" w:hAnsi="宋体"/>
          <w:color w:val="auto"/>
          <w:sz w:val="24"/>
          <w:highlight w:val="none"/>
          <w:u w:val="single"/>
          <w:shd w:val="clear" w:color="auto" w:fill="auto"/>
        </w:rPr>
        <w:t>〕</w:t>
      </w:r>
      <w:r>
        <w:rPr>
          <w:rFonts w:hint="eastAsia" w:ascii="宋体" w:hAnsi="宋体"/>
          <w:color w:val="auto"/>
          <w:sz w:val="24"/>
          <w:highlight w:val="none"/>
          <w:u w:val="single"/>
          <w:shd w:val="clear" w:color="auto" w:fill="auto"/>
        </w:rPr>
        <w:t>26</w:t>
      </w:r>
      <w:r>
        <w:rPr>
          <w:rFonts w:ascii="宋体" w:hAnsi="宋体"/>
          <w:color w:val="auto"/>
          <w:sz w:val="24"/>
          <w:highlight w:val="none"/>
          <w:u w:val="single"/>
          <w:shd w:val="clear" w:color="auto" w:fill="auto"/>
        </w:rPr>
        <w:t>号</w:t>
      </w:r>
      <w:r>
        <w:rPr>
          <w:rFonts w:hint="eastAsia" w:ascii="宋体" w:hAnsi="宋体"/>
          <w:color w:val="auto"/>
          <w:sz w:val="24"/>
          <w:highlight w:val="none"/>
          <w:u w:val="single"/>
          <w:shd w:val="clear" w:color="auto" w:fill="auto"/>
        </w:rPr>
        <w:t>）等法律法规要求</w:t>
      </w:r>
      <w:r>
        <w:rPr>
          <w:rFonts w:ascii="宋体" w:hAnsi="宋体"/>
          <w:color w:val="auto"/>
          <w:sz w:val="24"/>
          <w:highlight w:val="none"/>
          <w:shd w:val="clear" w:color="auto" w:fill="auto"/>
        </w:rPr>
        <w:t>，与招用的农民工依法签订劳动合同并进行用工实名登记，对本项目工程款中的农民工工资与其他工程款项实行分账管理，按照要求开设农民工工资支付专用账户，专项用于农民工工资相关款项存储和发放</w:t>
      </w:r>
      <w:r>
        <w:rPr>
          <w:rFonts w:hint="eastAsia" w:ascii="宋体" w:hAnsi="宋体"/>
          <w:color w:val="auto"/>
          <w:sz w:val="24"/>
          <w:highlight w:val="none"/>
          <w:shd w:val="clear" w:color="auto" w:fill="auto"/>
        </w:rPr>
        <w:t>，确保农民工工资发放到位</w:t>
      </w:r>
      <w:r>
        <w:rPr>
          <w:rFonts w:ascii="宋体" w:hAnsi="宋体"/>
          <w:color w:val="auto"/>
          <w:sz w:val="24"/>
          <w:highlight w:val="none"/>
          <w:shd w:val="clear" w:color="auto" w:fill="auto"/>
        </w:rPr>
        <w:t>。发包人每月按承包人实际完成工程量提取一定比例，足额拨付至农民工工资专用账户。</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4.11不利物质条件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4.11.1  不利物质条件的范围：</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4.11.3  </w:t>
      </w:r>
      <w:r>
        <w:rPr>
          <w:rFonts w:ascii="宋体" w:hAnsi="宋体"/>
          <w:b/>
          <w:color w:val="auto"/>
          <w:sz w:val="24"/>
          <w:highlight w:val="none"/>
          <w:shd w:val="clear" w:color="auto" w:fill="auto"/>
        </w:rPr>
        <w:t>补充：</w:t>
      </w:r>
      <w:r>
        <w:rPr>
          <w:rFonts w:ascii="宋体" w:hAnsi="宋体"/>
          <w:color w:val="auto"/>
          <w:sz w:val="24"/>
          <w:highlight w:val="none"/>
          <w:shd w:val="clear" w:color="auto" w:fill="auto"/>
        </w:rPr>
        <w:t>对于一个有经验的承包人应该合理预见的所有不利物质条件，视为承包人已预见其影响。承包人处理这些影响而采取的所有措施需要的一切费用均已包含在合同总价中，发包人不另行支付。</w:t>
      </w:r>
    </w:p>
    <w:p>
      <w:pPr>
        <w:tabs>
          <w:tab w:val="left" w:pos="720"/>
        </w:tabs>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虽然合同中未明确指出，但在不利物质条件发生之前，监理人已经指示承包人不利物质条件可能发生，而承包人未能及时采取有效措施导致的一切损失和由此引起的一切后果均由承包人承担，发包人将不另行支付任何费用。</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1" w:name="_Toc76056695"/>
      <w:r>
        <w:rPr>
          <w:rFonts w:ascii="宋体" w:hAnsi="宋体"/>
          <w:bCs w:val="0"/>
          <w:color w:val="auto"/>
          <w:sz w:val="24"/>
          <w:szCs w:val="24"/>
          <w:highlight w:val="none"/>
          <w:shd w:val="clear" w:color="auto" w:fill="auto"/>
        </w:rPr>
        <w:t>5．材料和工程设备</w:t>
      </w:r>
      <w:bookmarkEnd w:id="371"/>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5.1承包人提供的材料和工程设备</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5.1.4本款补充以下内容：由承包人制作或采购的重要设备必须有厂家提供的产品合格证书，同时生产厂家应持有生产许可证</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使用许可证</w:t>
      </w:r>
      <w:r>
        <w:rPr>
          <w:rFonts w:hint="eastAsia" w:ascii="宋体" w:hAnsi="宋体"/>
          <w:color w:val="auto"/>
          <w:sz w:val="24"/>
          <w:highlight w:val="none"/>
          <w:shd w:val="clear" w:color="auto" w:fill="auto"/>
        </w:rPr>
        <w:t>等</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5.2发包人提供的材料和工程设备</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 xml:space="preserve">5.2.1  </w:t>
      </w:r>
      <w:r>
        <w:rPr>
          <w:rFonts w:hint="eastAsia" w:ascii="宋体" w:hAnsi="宋体"/>
          <w:color w:val="auto"/>
          <w:sz w:val="24"/>
          <w:highlight w:val="none"/>
          <w:shd w:val="clear" w:color="auto" w:fill="auto"/>
        </w:rPr>
        <w:t>本工程</w:t>
      </w:r>
      <w:r>
        <w:rPr>
          <w:rFonts w:ascii="宋体" w:hAnsi="宋体"/>
          <w:color w:val="auto"/>
          <w:sz w:val="24"/>
          <w:highlight w:val="none"/>
          <w:shd w:val="clear" w:color="auto" w:fill="auto"/>
        </w:rPr>
        <w:t>发包人</w:t>
      </w:r>
      <w:r>
        <w:rPr>
          <w:rFonts w:hint="eastAsia" w:ascii="宋体" w:hAnsi="宋体"/>
          <w:color w:val="auto"/>
          <w:sz w:val="24"/>
          <w:highlight w:val="none"/>
          <w:shd w:val="clear" w:color="auto" w:fill="auto"/>
        </w:rPr>
        <w:t>不</w:t>
      </w:r>
      <w:r>
        <w:rPr>
          <w:rFonts w:ascii="宋体" w:hAnsi="宋体"/>
          <w:color w:val="auto"/>
          <w:sz w:val="24"/>
          <w:highlight w:val="none"/>
          <w:shd w:val="clear" w:color="auto" w:fill="auto"/>
        </w:rPr>
        <w:t>提供</w:t>
      </w:r>
      <w:r>
        <w:rPr>
          <w:rFonts w:hint="eastAsia" w:ascii="宋体" w:hAnsi="宋体"/>
          <w:color w:val="auto"/>
          <w:sz w:val="24"/>
          <w:highlight w:val="none"/>
          <w:shd w:val="clear" w:color="auto" w:fill="auto"/>
        </w:rPr>
        <w:t>材料和工程设备。</w:t>
      </w:r>
    </w:p>
    <w:p>
      <w:pPr>
        <w:adjustRightInd w:val="0"/>
        <w:snapToGrid w:val="0"/>
        <w:spacing w:line="312" w:lineRule="auto"/>
        <w:ind w:firstLine="480" w:firstLineChars="200"/>
        <w:rPr>
          <w:rFonts w:hint="eastAsia" w:ascii="宋体" w:hAnsi="宋体"/>
          <w:bCs/>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2" w:name="_Toc76056696"/>
      <w:r>
        <w:rPr>
          <w:rFonts w:ascii="宋体" w:hAnsi="宋体"/>
          <w:bCs w:val="0"/>
          <w:color w:val="auto"/>
          <w:sz w:val="24"/>
          <w:szCs w:val="24"/>
          <w:highlight w:val="none"/>
          <w:shd w:val="clear" w:color="auto" w:fill="auto"/>
        </w:rPr>
        <w:t>6．施工设备和临时设施</w:t>
      </w:r>
      <w:bookmarkEnd w:id="372"/>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6.2  发包人提供的施工设备和临时设施</w:t>
      </w:r>
    </w:p>
    <w:p>
      <w:pPr>
        <w:adjustRightInd w:val="0"/>
        <w:snapToGrid w:val="0"/>
        <w:spacing w:line="312" w:lineRule="auto"/>
        <w:ind w:firstLine="480" w:firstLineChars="200"/>
        <w:rPr>
          <w:rFonts w:ascii="宋体" w:hAnsi="宋体"/>
          <w:color w:val="auto"/>
          <w:spacing w:val="-6"/>
          <w:sz w:val="24"/>
          <w:highlight w:val="none"/>
          <w:shd w:val="clear" w:color="auto" w:fill="auto"/>
        </w:rPr>
      </w:pPr>
      <w:r>
        <w:rPr>
          <w:rFonts w:hint="eastAsia" w:ascii="宋体" w:hAnsi="宋体"/>
          <w:color w:val="auto"/>
          <w:sz w:val="24"/>
          <w:highlight w:val="none"/>
          <w:shd w:val="clear" w:color="auto" w:fill="auto"/>
        </w:rPr>
        <w:t>发包人不提供施工设备和临时设施，本合同所含的施工设备和临时设施费用已含在合同总价中，发包人不另行支付。</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3" w:name="_Toc76056697"/>
      <w:r>
        <w:rPr>
          <w:rFonts w:ascii="宋体" w:hAnsi="宋体"/>
          <w:bCs w:val="0"/>
          <w:color w:val="auto"/>
          <w:sz w:val="24"/>
          <w:szCs w:val="24"/>
          <w:highlight w:val="none"/>
          <w:shd w:val="clear" w:color="auto" w:fill="auto"/>
        </w:rPr>
        <w:t>7．交通运输</w:t>
      </w:r>
      <w:bookmarkEnd w:id="373"/>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7.1道路通行权和场外设施</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道路通行权和场外设施的约定：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7.3 场外交通（补充）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7.3.3本合同工程场外交通道路的通行情况、通行能力、标准、距离等均由承包人自行考察确定，并对此负责，施工过程中不得阻碍水陆交通。同时承包人应负责与当地交通管理、城管、环保及卫生等部门的协调工作，并应承担由此发生的一切费用。</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4" w:name="_Toc76056698"/>
      <w:r>
        <w:rPr>
          <w:rFonts w:ascii="宋体" w:hAnsi="宋体"/>
          <w:bCs w:val="0"/>
          <w:color w:val="auto"/>
          <w:sz w:val="24"/>
          <w:szCs w:val="24"/>
          <w:highlight w:val="none"/>
          <w:shd w:val="clear" w:color="auto" w:fill="auto"/>
        </w:rPr>
        <w:t>8．测量放线</w:t>
      </w:r>
      <w:bookmarkEnd w:id="374"/>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8.1施工控制网</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8.1.1施工控制网的约定：施工控制网由承包人负责测设。发包人应在合同签订后14天内，组织设计人将本工程设计采用的水准点、坐标控制点及相关资料以书面形式提供给承包人，并由监理人主持现场交验。交验后即由承包人负责保护，任何因破坏或失准带来的站点修复、重新测量、放点费用及由此造成的其他一切后果均由承包人承担，发包人不为此另行支付费用。承包人应在收到上述资料后的14天内，将施测的施工控制网资料提交监理人审批。监理人应在收到报批件后的7天内批复承包人。</w:t>
      </w:r>
    </w:p>
    <w:p>
      <w:pPr>
        <w:pStyle w:val="6"/>
        <w:keepNext w:val="0"/>
        <w:keepLines w:val="0"/>
        <w:adjustRightInd w:val="0"/>
        <w:snapToGrid w:val="0"/>
        <w:spacing w:before="0" w:after="0" w:line="312" w:lineRule="auto"/>
        <w:ind w:firstLine="480" w:firstLineChars="200"/>
        <w:rPr>
          <w:rFonts w:hint="eastAsia" w:ascii="宋体" w:hAnsi="宋体"/>
          <w:bCs w:val="0"/>
          <w:color w:val="auto"/>
          <w:sz w:val="24"/>
          <w:szCs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5" w:name="_Toc76056699"/>
      <w:r>
        <w:rPr>
          <w:rFonts w:ascii="宋体" w:hAnsi="宋体"/>
          <w:bCs w:val="0"/>
          <w:color w:val="auto"/>
          <w:sz w:val="24"/>
          <w:szCs w:val="24"/>
          <w:highlight w:val="none"/>
          <w:shd w:val="clear" w:color="auto" w:fill="auto"/>
        </w:rPr>
        <w:t>9．施工安全、治安保卫和环境保护</w:t>
      </w:r>
      <w:bookmarkEnd w:id="375"/>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9.1发包人的施工安全责任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9.1.4  本合同工程发包人不提供任何与安全有关的资料，所有资料均由承包人负责收集。</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9.2承包人的施工安全责任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9.2.12  下列工程应编制专项施工方案：</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9.7</w:t>
      </w:r>
      <w:r>
        <w:rPr>
          <w:rFonts w:hint="eastAsia" w:ascii="宋体" w:hAnsi="宋体" w:eastAsia="宋体"/>
          <w:color w:val="auto"/>
          <w:sz w:val="24"/>
          <w:szCs w:val="24"/>
          <w:highlight w:val="none"/>
          <w:shd w:val="clear" w:color="auto" w:fill="auto"/>
        </w:rPr>
        <w:t>行业</w:t>
      </w:r>
      <w:r>
        <w:rPr>
          <w:rFonts w:ascii="宋体" w:hAnsi="宋体" w:eastAsia="宋体"/>
          <w:color w:val="auto"/>
          <w:sz w:val="24"/>
          <w:szCs w:val="24"/>
          <w:highlight w:val="none"/>
          <w:shd w:val="clear" w:color="auto" w:fill="auto"/>
        </w:rPr>
        <w:t>文明工地</w:t>
      </w:r>
      <w:r>
        <w:rPr>
          <w:rFonts w:hint="eastAsia" w:ascii="宋体" w:hAnsi="宋体" w:eastAsia="宋体"/>
          <w:color w:val="auto"/>
          <w:sz w:val="24"/>
          <w:szCs w:val="24"/>
          <w:highlight w:val="none"/>
          <w:shd w:val="clear" w:color="auto" w:fill="auto"/>
        </w:rPr>
        <w:t>和</w:t>
      </w:r>
      <w:r>
        <w:rPr>
          <w:rFonts w:hint="eastAsia" w:ascii="宋体" w:hAnsi="宋体" w:eastAsia="宋体"/>
          <w:i/>
          <w:color w:val="auto"/>
          <w:sz w:val="24"/>
          <w:szCs w:val="24"/>
          <w:highlight w:val="none"/>
          <w:shd w:val="clear" w:color="auto" w:fill="auto"/>
        </w:rPr>
        <w:t>平安工地</w:t>
      </w:r>
    </w:p>
    <w:p>
      <w:pPr>
        <w:tabs>
          <w:tab w:val="left" w:pos="720"/>
        </w:tabs>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9.7.1  本合同</w:t>
      </w:r>
      <w:r>
        <w:rPr>
          <w:rFonts w:hint="eastAsia" w:ascii="宋体" w:hAnsi="宋体"/>
          <w:color w:val="auto"/>
          <w:sz w:val="24"/>
          <w:highlight w:val="none"/>
          <w:shd w:val="clear" w:color="auto" w:fill="auto"/>
        </w:rPr>
        <w:t>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w:t>
      </w:r>
      <w:r>
        <w:rPr>
          <w:rFonts w:ascii="宋体" w:hAnsi="宋体"/>
          <w:color w:val="auto"/>
          <w:sz w:val="24"/>
          <w:highlight w:val="none"/>
          <w:shd w:val="clear" w:color="auto" w:fill="auto"/>
        </w:rPr>
        <w:t>的约定：</w:t>
      </w:r>
      <w:r>
        <w:rPr>
          <w:rFonts w:hint="eastAsia" w:ascii="宋体" w:hAnsi="宋体"/>
          <w:color w:val="auto"/>
          <w:sz w:val="24"/>
          <w:highlight w:val="none"/>
          <w:shd w:val="clear" w:color="auto" w:fill="auto"/>
        </w:rPr>
        <w:t>按相应行业</w:t>
      </w:r>
      <w:r>
        <w:rPr>
          <w:rFonts w:ascii="宋体" w:hAnsi="宋体"/>
          <w:color w:val="auto"/>
          <w:sz w:val="24"/>
          <w:highlight w:val="none"/>
          <w:shd w:val="clear" w:color="auto" w:fill="auto"/>
        </w:rPr>
        <w:t>文明工地</w:t>
      </w:r>
      <w:r>
        <w:rPr>
          <w:rFonts w:hint="eastAsia" w:ascii="宋体" w:hAnsi="宋体"/>
          <w:color w:val="auto"/>
          <w:sz w:val="24"/>
          <w:highlight w:val="none"/>
          <w:shd w:val="clear" w:color="auto" w:fill="auto"/>
        </w:rPr>
        <w:t>和平安工地规程规范执行。</w:t>
      </w:r>
    </w:p>
    <w:p>
      <w:pPr>
        <w:tabs>
          <w:tab w:val="left" w:pos="720"/>
        </w:tabs>
        <w:adjustRightInd w:val="0"/>
        <w:snapToGrid w:val="0"/>
        <w:spacing w:line="312" w:lineRule="auto"/>
        <w:ind w:firstLine="482" w:firstLineChars="200"/>
        <w:rPr>
          <w:rFonts w:ascii="宋体" w:hAnsi="宋体"/>
          <w:b/>
          <w:bCs/>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6" w:name="_Toc76056700"/>
      <w:r>
        <w:rPr>
          <w:rFonts w:ascii="宋体" w:hAnsi="宋体"/>
          <w:bCs w:val="0"/>
          <w:color w:val="auto"/>
          <w:sz w:val="24"/>
          <w:szCs w:val="24"/>
          <w:highlight w:val="none"/>
          <w:shd w:val="clear" w:color="auto" w:fill="auto"/>
        </w:rPr>
        <w:t>11．开工和竣工（完工）</w:t>
      </w:r>
      <w:bookmarkEnd w:id="376"/>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11.4异常恶劣的气候条件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11.4.3  本合同工程界定异常恶劣气候条件的范围为：</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（1）日降雨量大于 100 ｍｍ的雨日超过 1 天； </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（2）风速大于 24.5 ｍ／s的 10 级以上台风灾害；</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（3）日气温超过 38 ℃的高温大于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（4）日气温低于 -3 ℃的严寒大于 3 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（5）造成工程损坏的冰雹和大雪灾害：中雹和10mm的大雪持续5天以上；</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（6）其它异常恶劣气候灾害：以湖南省气象局发布的气象资料为准。</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11.5承包人工期延误</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承包人逾期完工，比合同工期每推迟一天的违约金为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元，但其最终的累计总额不应超过合同价格的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11.6工期提前</w:t>
      </w:r>
    </w:p>
    <w:p>
      <w:pPr>
        <w:adjustRightInd w:val="0"/>
        <w:snapToGrid w:val="0"/>
        <w:spacing w:line="312" w:lineRule="auto"/>
        <w:ind w:firstLine="42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工期提前的奖金约定：</w:t>
      </w:r>
      <w:r>
        <w:rPr>
          <w:rFonts w:hint="eastAsia" w:ascii="宋体" w:hAnsi="宋体"/>
          <w:color w:val="auto"/>
          <w:sz w:val="24"/>
          <w:highlight w:val="none"/>
          <w:shd w:val="clear" w:color="auto" w:fill="auto"/>
        </w:rPr>
        <w:t>发包人要求承包人按合同工期完成；承包人自行提前竣工的，应征得发包人同意，计取提前奖：工期提前天数×</w:t>
      </w:r>
      <w:r>
        <w:rPr>
          <w:rFonts w:ascii="宋体" w:hAnsi="宋体"/>
          <w:color w:val="auto"/>
          <w:sz w:val="24"/>
          <w:highlight w:val="none"/>
          <w:shd w:val="clear" w:color="auto" w:fill="auto"/>
        </w:rPr>
        <w:t>P1</w:t>
      </w:r>
      <w:r>
        <w:rPr>
          <w:rFonts w:hint="eastAsia" w:ascii="宋体" w:hAnsi="宋体"/>
          <w:color w:val="auto"/>
          <w:sz w:val="24"/>
          <w:highlight w:val="none"/>
          <w:shd w:val="clear" w:color="auto" w:fill="auto"/>
        </w:rPr>
        <w:t>，其中</w:t>
      </w:r>
      <w:r>
        <w:rPr>
          <w:rFonts w:ascii="宋体" w:hAnsi="宋体"/>
          <w:color w:val="auto"/>
          <w:sz w:val="24"/>
          <w:highlight w:val="none"/>
          <w:shd w:val="clear" w:color="auto" w:fill="auto"/>
        </w:rPr>
        <w:t>P</w:t>
      </w:r>
      <w:r>
        <w:rPr>
          <w:rFonts w:hint="eastAsia" w:ascii="宋体" w:hAnsi="宋体"/>
          <w:color w:val="auto"/>
          <w:sz w:val="24"/>
          <w:highlight w:val="none"/>
          <w:shd w:val="clear" w:color="auto" w:fill="auto"/>
        </w:rPr>
        <w:t xml:space="preserve">1=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元，但其最终的累计金额不应超过合同支付总价的</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77" w:name="_Toc76056701"/>
      <w:r>
        <w:rPr>
          <w:rFonts w:ascii="宋体" w:hAnsi="宋体"/>
          <w:b w:val="0"/>
          <w:bCs w:val="0"/>
          <w:color w:val="auto"/>
          <w:sz w:val="24"/>
          <w:szCs w:val="24"/>
          <w:highlight w:val="none"/>
          <w:shd w:val="clear" w:color="auto" w:fill="auto"/>
        </w:rPr>
        <w:t>12．暂停施工</w:t>
      </w:r>
      <w:bookmarkEnd w:id="377"/>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12.1承包人暂停施工的责任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（5）承包人承担暂停施工责任的其它情形：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12.2发包人暂停施工的责任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（3）发包人承担暂停施工责任的其它情形：</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8" w:name="_Toc76056702"/>
      <w:r>
        <w:rPr>
          <w:rFonts w:ascii="宋体" w:hAnsi="宋体"/>
          <w:bCs w:val="0"/>
          <w:color w:val="auto"/>
          <w:sz w:val="24"/>
          <w:szCs w:val="24"/>
          <w:highlight w:val="none"/>
          <w:shd w:val="clear" w:color="auto" w:fill="auto"/>
        </w:rPr>
        <w:t>13．工程质量</w:t>
      </w:r>
      <w:bookmarkEnd w:id="378"/>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13.7质量评定</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13.7.4  重要隐蔽单元工程和关键部位单元工程质量评定的约定：</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合格</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13.7.7工程</w:t>
      </w:r>
      <w:r>
        <w:rPr>
          <w:rFonts w:hint="eastAsia" w:ascii="宋体" w:hAnsi="宋体"/>
          <w:color w:val="auto"/>
          <w:sz w:val="24"/>
          <w:highlight w:val="none"/>
          <w:shd w:val="clear" w:color="auto" w:fill="auto"/>
        </w:rPr>
        <w:t>质量等级约定</w:t>
      </w:r>
      <w:r>
        <w:rPr>
          <w:rFonts w:ascii="宋体" w:hAnsi="宋体"/>
          <w:color w:val="auto"/>
          <w:sz w:val="24"/>
          <w:highlight w:val="none"/>
          <w:shd w:val="clear" w:color="auto" w:fill="auto"/>
        </w:rPr>
        <w:t>：</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13.8质量事故处理</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13.8.4  工程竣工验收时，</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向竣工验收委员会汇报并提交历次质量缺陷处理的备案资料。</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13.9 发包人的质量管理（补充）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13.9.1  发包人（或项目法人）有权对工程的所有部位及其施工工艺、材料和工程设备进行抽样检查和检验，承包人应充分理解可能对施工作业的影响并提供方便。发包人（或项目法人）的检查和检验，不免除承包人按合同约定应负的责任。</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13.9.2  发包人（或项目法人）委托第三方检测机构检测工程质量、材料和设备不合格的，检测检验费用由承包人承担。</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79" w:name="_Toc76056703"/>
      <w:r>
        <w:rPr>
          <w:rFonts w:ascii="宋体" w:hAnsi="宋体"/>
          <w:bCs w:val="0"/>
          <w:color w:val="auto"/>
          <w:sz w:val="24"/>
          <w:szCs w:val="24"/>
          <w:highlight w:val="none"/>
          <w:shd w:val="clear" w:color="auto" w:fill="auto"/>
        </w:rPr>
        <w:t>14．试验和检验</w:t>
      </w:r>
      <w:bookmarkEnd w:id="379"/>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14.1材料、工程设备和工程的试验和检验</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14.1.5  </w:t>
      </w:r>
      <w:r>
        <w:rPr>
          <w:rFonts w:hint="eastAsia" w:ascii="宋体" w:hAnsi="宋体"/>
          <w:color w:val="auto"/>
          <w:sz w:val="24"/>
          <w:highlight w:val="none"/>
          <w:shd w:val="clear" w:color="auto" w:fill="auto"/>
        </w:rPr>
        <w:t>设备</w:t>
      </w:r>
      <w:r>
        <w:rPr>
          <w:rFonts w:ascii="宋体" w:hAnsi="宋体"/>
          <w:color w:val="auto"/>
          <w:sz w:val="24"/>
          <w:highlight w:val="none"/>
          <w:shd w:val="clear" w:color="auto" w:fill="auto"/>
        </w:rPr>
        <w:t>进场后的交货检查和验收中，承包人负责</w:t>
      </w:r>
      <w:r>
        <w:rPr>
          <w:rFonts w:ascii="宋体" w:hAnsi="宋体"/>
          <w:color w:val="auto"/>
          <w:kern w:val="0"/>
          <w:sz w:val="24"/>
          <w:highlight w:val="none"/>
          <w:shd w:val="clear" w:color="auto" w:fill="auto"/>
        </w:rPr>
        <w:t>检查产品是否有出厂合格证、设备安装说明书及有关技术文件，对在运输和存放过程中发生的变形、受潮、损坏等问题应作好记录，并进行妥善处理。</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14.1.6  本工程实行见证取样的试块、试件及有关材料：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0" w:name="_Toc76056704"/>
      <w:r>
        <w:rPr>
          <w:rFonts w:ascii="宋体" w:hAnsi="宋体"/>
          <w:bCs w:val="0"/>
          <w:color w:val="auto"/>
          <w:sz w:val="24"/>
          <w:szCs w:val="24"/>
          <w:highlight w:val="none"/>
          <w:shd w:val="clear" w:color="auto" w:fill="auto"/>
        </w:rPr>
        <w:t>15．变更</w:t>
      </w:r>
      <w:bookmarkEnd w:id="380"/>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15.1变更的范围和内容</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（6）本合同工程不因增加或减少合同工程量而调整合同单价。</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15.4 变更的估价原则</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本款</w:t>
      </w:r>
      <w:r>
        <w:rPr>
          <w:rFonts w:hint="eastAsia" w:ascii="宋体" w:hAnsi="宋体"/>
          <w:color w:val="auto"/>
          <w:sz w:val="24"/>
          <w:highlight w:val="none"/>
          <w:shd w:val="clear" w:color="auto" w:fill="auto"/>
        </w:rPr>
        <w:t>关于变更的估价原则的约定：</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15.5承包人的合理化建议</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15.5.2  承包人实现合理化建议的奖励金额为：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15.6 暂列金额</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补充：本合同工程暂列金金额按工程量清单的规定。暂列金额的使用需通过发包人批准。</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15.8暂估价</w:t>
      </w:r>
    </w:p>
    <w:p>
      <w:pPr>
        <w:adjustRightInd w:val="0"/>
        <w:snapToGrid w:val="0"/>
        <w:spacing w:line="312" w:lineRule="auto"/>
        <w:ind w:firstLine="482" w:firstLineChars="200"/>
        <w:rPr>
          <w:rFonts w:hint="eastAsia" w:ascii="宋体" w:hAnsi="宋体"/>
          <w:b/>
          <w:i/>
          <w:color w:val="auto"/>
          <w:sz w:val="24"/>
          <w:highlight w:val="none"/>
          <w:shd w:val="clear" w:color="auto" w:fill="auto"/>
        </w:rPr>
      </w:pPr>
      <w:r>
        <w:rPr>
          <w:rFonts w:hint="eastAsia" w:ascii="宋体" w:hAnsi="宋体"/>
          <w:b/>
          <w:i/>
          <w:color w:val="auto"/>
          <w:sz w:val="24"/>
          <w:highlight w:val="none"/>
          <w:shd w:val="clear" w:color="auto" w:fill="auto"/>
        </w:rPr>
        <w:t>本合同所有必须招标的暂估价项目均由发包人组织招标。</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1" w:name="_Toc76056705"/>
      <w:r>
        <w:rPr>
          <w:rFonts w:ascii="宋体" w:hAnsi="宋体"/>
          <w:bCs w:val="0"/>
          <w:color w:val="auto"/>
          <w:sz w:val="24"/>
          <w:szCs w:val="24"/>
          <w:highlight w:val="none"/>
          <w:shd w:val="clear" w:color="auto" w:fill="auto"/>
        </w:rPr>
        <w:t>16．价格调整</w:t>
      </w:r>
      <w:bookmarkEnd w:id="381"/>
    </w:p>
    <w:p>
      <w:pPr>
        <w:adjustRightInd w:val="0"/>
        <w:snapToGrid w:val="0"/>
        <w:spacing w:line="312" w:lineRule="auto"/>
        <w:ind w:firstLine="480" w:firstLineChars="200"/>
        <w:rPr>
          <w:rFonts w:hint="eastAsia" w:ascii="宋体" w:hAnsi="宋体"/>
          <w:color w:val="auto"/>
          <w:kern w:val="0"/>
          <w:sz w:val="24"/>
          <w:highlight w:val="none"/>
          <w:shd w:val="clear" w:color="auto" w:fill="auto"/>
        </w:rPr>
      </w:pPr>
      <w:r>
        <w:rPr>
          <w:rFonts w:ascii="宋体" w:hAnsi="宋体"/>
          <w:color w:val="auto"/>
          <w:kern w:val="0"/>
          <w:sz w:val="24"/>
          <w:highlight w:val="none"/>
          <w:shd w:val="clear" w:color="auto" w:fill="auto"/>
        </w:rPr>
        <w:t>16.1物价波动引起的价格调整</w:t>
      </w:r>
      <w:r>
        <w:rPr>
          <w:rFonts w:hint="eastAsia" w:ascii="宋体" w:hAnsi="宋体"/>
          <w:color w:val="auto"/>
          <w:kern w:val="0"/>
          <w:sz w:val="24"/>
          <w:highlight w:val="none"/>
          <w:shd w:val="clear" w:color="auto" w:fill="auto"/>
        </w:rPr>
        <w:t>：不</w:t>
      </w:r>
      <w:r>
        <w:rPr>
          <w:rFonts w:ascii="宋体" w:hAnsi="宋体"/>
          <w:color w:val="auto"/>
          <w:kern w:val="0"/>
          <w:sz w:val="24"/>
          <w:highlight w:val="none"/>
          <w:shd w:val="clear" w:color="auto" w:fill="auto"/>
        </w:rPr>
        <w:t>调整价格差额</w:t>
      </w:r>
      <w:r>
        <w:rPr>
          <w:rFonts w:hint="eastAsia" w:ascii="宋体" w:hAnsi="宋体"/>
          <w:color w:val="auto"/>
          <w:kern w:val="0"/>
          <w:sz w:val="24"/>
          <w:highlight w:val="none"/>
          <w:shd w:val="clear" w:color="auto" w:fill="auto"/>
        </w:rPr>
        <w:t>。本合同期内，所有人工、材料、设备和机械台班等均不进行价格调整。投标人应考虑到价格浮动风险，并摊入投标报价，发包人不再另行支付。</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16.2法律变化引起的价格调整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删除通用合同条款第16.2条，以下列条文代替：</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在本合同实施期间，只有在国家发布对企业允许列入工程造价的税率进行调整时，才允许调整本合同的税金。</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2" w:name="_Toc76056706"/>
      <w:r>
        <w:rPr>
          <w:rFonts w:ascii="宋体" w:hAnsi="宋体"/>
          <w:bCs w:val="0"/>
          <w:color w:val="auto"/>
          <w:sz w:val="24"/>
          <w:szCs w:val="24"/>
          <w:highlight w:val="none"/>
          <w:shd w:val="clear" w:color="auto" w:fill="auto"/>
        </w:rPr>
        <w:t>17．计量与支付</w:t>
      </w:r>
      <w:bookmarkEnd w:id="382"/>
    </w:p>
    <w:p>
      <w:pPr>
        <w:adjustRightInd w:val="0"/>
        <w:snapToGrid w:val="0"/>
        <w:spacing w:line="312" w:lineRule="auto"/>
        <w:ind w:firstLine="482" w:firstLineChars="200"/>
        <w:rPr>
          <w:rFonts w:ascii="宋体" w:hAnsi="宋体"/>
          <w:b/>
          <w:bCs/>
          <w:color w:val="auto"/>
          <w:sz w:val="24"/>
          <w:highlight w:val="none"/>
          <w:shd w:val="clear" w:color="auto" w:fill="auto"/>
        </w:rPr>
      </w:pPr>
      <w:bookmarkStart w:id="383" w:name="_Toc511318201"/>
      <w:r>
        <w:rPr>
          <w:rFonts w:ascii="宋体" w:hAnsi="宋体"/>
          <w:b/>
          <w:bCs/>
          <w:color w:val="auto"/>
          <w:sz w:val="24"/>
          <w:highlight w:val="none"/>
          <w:shd w:val="clear" w:color="auto" w:fill="auto"/>
        </w:rPr>
        <w:t>17.1 计量</w:t>
      </w:r>
      <w:bookmarkEnd w:id="383"/>
    </w:p>
    <w:p>
      <w:pPr>
        <w:adjustRightInd w:val="0"/>
        <w:snapToGrid w:val="0"/>
        <w:spacing w:line="312" w:lineRule="auto"/>
        <w:ind w:firstLine="482" w:firstLineChars="200"/>
        <w:rPr>
          <w:rFonts w:hint="eastAsia" w:ascii="宋体" w:hAnsi="宋体"/>
          <w:b/>
          <w:color w:val="auto"/>
          <w:sz w:val="24"/>
          <w:highlight w:val="none"/>
          <w:shd w:val="clear" w:color="auto" w:fill="auto"/>
        </w:rPr>
      </w:pPr>
      <w:r>
        <w:rPr>
          <w:rFonts w:ascii="宋体" w:hAnsi="宋体"/>
          <w:b/>
          <w:color w:val="auto"/>
          <w:sz w:val="24"/>
          <w:highlight w:val="none"/>
          <w:shd w:val="clear" w:color="auto" w:fill="auto"/>
        </w:rPr>
        <w:t>17.1.</w:t>
      </w:r>
      <w:r>
        <w:rPr>
          <w:rFonts w:hint="eastAsia" w:ascii="宋体" w:hAnsi="宋体"/>
          <w:b/>
          <w:color w:val="auto"/>
          <w:sz w:val="24"/>
          <w:highlight w:val="none"/>
          <w:shd w:val="clear" w:color="auto" w:fill="auto"/>
        </w:rPr>
        <w:t>3</w:t>
      </w:r>
      <w:r>
        <w:rPr>
          <w:rFonts w:ascii="宋体" w:hAnsi="宋体"/>
          <w:b/>
          <w:color w:val="auto"/>
          <w:kern w:val="0"/>
          <w:sz w:val="24"/>
          <w:highlight w:val="none"/>
          <w:shd w:val="clear" w:color="auto" w:fill="auto"/>
        </w:rPr>
        <w:t>计量周期</w:t>
      </w:r>
      <w:r>
        <w:rPr>
          <w:rFonts w:hint="eastAsia" w:ascii="宋体" w:hAnsi="宋体"/>
          <w:b/>
          <w:color w:val="auto"/>
          <w:kern w:val="0"/>
          <w:sz w:val="24"/>
          <w:highlight w:val="none"/>
          <w:shd w:val="clear" w:color="auto" w:fill="auto"/>
        </w:rPr>
        <w:t>：</w:t>
      </w:r>
      <w:r>
        <w:rPr>
          <w:rFonts w:ascii="宋体" w:hAnsi="宋体"/>
          <w:color w:val="auto"/>
          <w:kern w:val="0"/>
          <w:sz w:val="24"/>
          <w:highlight w:val="none"/>
          <w:shd w:val="clear" w:color="auto" w:fill="auto"/>
        </w:rPr>
        <w:t>按月计量</w:t>
      </w:r>
      <w:r>
        <w:rPr>
          <w:rFonts w:hint="eastAsia" w:ascii="宋体" w:hAnsi="宋体"/>
          <w:color w:val="auto"/>
          <w:kern w:val="0"/>
          <w:sz w:val="24"/>
          <w:highlight w:val="none"/>
          <w:shd w:val="clear" w:color="auto" w:fill="auto"/>
        </w:rPr>
        <w:t>。</w:t>
      </w:r>
    </w:p>
    <w:p>
      <w:pPr>
        <w:adjustRightInd w:val="0"/>
        <w:snapToGrid w:val="0"/>
        <w:spacing w:line="312" w:lineRule="auto"/>
        <w:ind w:firstLine="482" w:firstLineChars="200"/>
        <w:rPr>
          <w:rFonts w:hint="eastAsia" w:ascii="宋体" w:hAnsi="宋体"/>
          <w:color w:val="auto"/>
          <w:sz w:val="24"/>
          <w:highlight w:val="none"/>
          <w:shd w:val="clear" w:color="auto" w:fill="auto"/>
        </w:rPr>
      </w:pPr>
      <w:r>
        <w:rPr>
          <w:rFonts w:ascii="宋体" w:hAnsi="宋体"/>
          <w:b/>
          <w:color w:val="auto"/>
          <w:sz w:val="24"/>
          <w:highlight w:val="none"/>
          <w:shd w:val="clear" w:color="auto" w:fill="auto"/>
        </w:rPr>
        <w:t>17.1.6</w:t>
      </w:r>
      <w:r>
        <w:rPr>
          <w:rFonts w:ascii="宋体" w:hAnsi="宋体"/>
          <w:color w:val="auto"/>
          <w:sz w:val="24"/>
          <w:highlight w:val="none"/>
          <w:shd w:val="clear" w:color="auto" w:fill="auto"/>
        </w:rPr>
        <w:t xml:space="preserve">  工程的计量按</w:t>
      </w:r>
      <w:r>
        <w:rPr>
          <w:rFonts w:hint="eastAsia" w:ascii="宋体" w:hAnsi="宋体"/>
          <w:color w:val="auto"/>
          <w:sz w:val="24"/>
          <w:highlight w:val="none"/>
          <w:shd w:val="clear" w:color="auto" w:fill="auto"/>
        </w:rPr>
        <w:t>行业规程规范、</w:t>
      </w:r>
      <w:r>
        <w:rPr>
          <w:rFonts w:ascii="宋体" w:hAnsi="宋体"/>
          <w:color w:val="auto"/>
          <w:sz w:val="24"/>
          <w:highlight w:val="none"/>
          <w:shd w:val="clear" w:color="auto" w:fill="auto"/>
        </w:rPr>
        <w:t>本合同文件技术规范中的规定执行。工程量清单中任何错误和遗漏，不应免除承包人完成本合同工程的责任和义务。由于承包人在自身原因造成工程量清单中任何错误和遗漏，均不予纠正。</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17.2预付款</w:t>
      </w:r>
    </w:p>
    <w:p>
      <w:pPr>
        <w:spacing w:line="490" w:lineRule="exact"/>
        <w:ind w:firstLine="562" w:firstLineChars="200"/>
        <w:rPr>
          <w:rFonts w:eastAsia="仿宋_GB2312"/>
          <w:b/>
          <w:color w:val="auto"/>
          <w:sz w:val="28"/>
          <w:szCs w:val="32"/>
          <w:highlight w:val="none"/>
          <w:shd w:val="clear" w:color="auto" w:fill="auto"/>
        </w:rPr>
      </w:pPr>
      <w:r>
        <w:rPr>
          <w:rFonts w:eastAsia="仿宋_GB2312"/>
          <w:b/>
          <w:color w:val="auto"/>
          <w:sz w:val="28"/>
          <w:szCs w:val="32"/>
          <w:highlight w:val="none"/>
          <w:shd w:val="clear" w:color="auto" w:fill="auto"/>
        </w:rPr>
        <w:t>17.2.1  预付款：</w:t>
      </w:r>
    </w:p>
    <w:p>
      <w:pPr>
        <w:spacing w:line="312" w:lineRule="auto"/>
        <w:ind w:firstLine="482" w:firstLineChars="200"/>
        <w:rPr>
          <w:rFonts w:ascii="宋体" w:hAnsi="宋体"/>
          <w:b/>
          <w:i/>
          <w:color w:val="auto"/>
          <w:sz w:val="24"/>
          <w:highlight w:val="none"/>
          <w:shd w:val="clear" w:color="auto" w:fill="auto"/>
        </w:rPr>
      </w:pPr>
      <w:r>
        <w:rPr>
          <w:rFonts w:ascii="宋体" w:hAnsi="宋体"/>
          <w:b/>
          <w:i/>
          <w:color w:val="auto"/>
          <w:sz w:val="24"/>
          <w:highlight w:val="none"/>
          <w:shd w:val="clear" w:color="auto" w:fill="auto"/>
        </w:rPr>
        <w:t>（适用于有预付款）：</w:t>
      </w:r>
    </w:p>
    <w:p>
      <w:pPr>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（1）工程预付款的总金额为签约合同价的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30</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％，分</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次支付给承包人。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各次预付款的支付额度和付款时间为：</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1）第一次预付款金额为工程预付款总金额的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 xml:space="preserve"> ％，付款时间应在合同协议书签订后，由承包人向发包人提交了发包人认可的工程预付款担保，并经监理人出具付款证书报送发包人批准后14天内予以支付。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2）第二次预付款金额为工程预付款总金额的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％。付款时间需待承包人主要设备进入工地后，其估算价值已达到本次预付款金额时，由承包人提出书面申请，经监理人核实后出具付款证书报送发包人批准后14天内予以支付。</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3）第三次预付款……。</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（2）工程材料预付款的额度和预付办法约定为：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17.2.2  预付款保函（担保）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（2）工程材料预付款的担保约定为：</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17.2.3  预付款的扣回与还清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（1）工程预付款在合同累计完成金额达到签约合同价的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％时开始扣款，直至合同累计完成金额达到签约合同价的</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％时全部扣清。</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drawing>
          <wp:inline distT="0" distB="0" distL="114300" distR="114300">
            <wp:extent cx="2228215" cy="419100"/>
            <wp:effectExtent l="0" t="0" r="635" b="0"/>
            <wp:docPr id="1" name="图片 1" descr="说明: @H]9B]7BAKWC(ST~BN6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H]9B]7BAKWC(ST~BN6Y)[7"/>
                    <pic:cNvPicPr>
                      <a:picLocks noChangeAspect="1"/>
                    </pic:cNvPicPr>
                  </pic:nvPicPr>
                  <pic:blipFill>
                    <a:blip r:embed="rId9"/>
                    <a:stretch>
                      <a:fillRect/>
                    </a:stretch>
                  </pic:blipFill>
                  <pic:spPr>
                    <a:xfrm>
                      <a:off x="0" y="0"/>
                      <a:ext cx="2228215" cy="419100"/>
                    </a:xfrm>
                    <a:prstGeom prst="rect">
                      <a:avLst/>
                    </a:prstGeom>
                    <a:noFill/>
                    <a:ln>
                      <a:noFill/>
                    </a:ln>
                  </pic:spPr>
                </pic:pic>
              </a:graphicData>
            </a:graphic>
          </wp:inline>
        </w:drawing>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式中  R——每次进度付款中累计扣回的金额；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A——工程预付款总金额；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S——签约合同价；</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C——合同累计完成金额；</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F1——开始扣款时合同累计完成金额达到签约合同价的比例；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F2——全部扣清时合同累计完成金额达到签约合同价的比例。</w:t>
      </w:r>
    </w:p>
    <w:p>
      <w:pPr>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上述合同累计完成金额均指价格调整前未扣质量保证金的金额。</w:t>
      </w:r>
    </w:p>
    <w:p>
      <w:pPr>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（2）工程材料预付款的扣回与还清约定为：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17.3工程进度付款</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17.3.2进度付款申请单（补充）</w:t>
      </w:r>
    </w:p>
    <w:p>
      <w:pPr>
        <w:pStyle w:val="3"/>
        <w:autoSpaceDE/>
        <w:autoSpaceDN/>
        <w:snapToGrid w:val="0"/>
        <w:spacing w:line="312" w:lineRule="auto"/>
        <w:ind w:firstLine="480" w:firstLineChars="200"/>
        <w:jc w:val="both"/>
        <w:rPr>
          <w:rFonts w:hAnsi="宋体" w:cs="Times New Roman"/>
          <w:color w:val="auto"/>
          <w:kern w:val="2"/>
          <w:highlight w:val="none"/>
          <w:shd w:val="clear" w:color="auto" w:fill="auto"/>
        </w:rPr>
      </w:pPr>
      <w:r>
        <w:rPr>
          <w:rFonts w:hAnsi="宋体" w:cs="Times New Roman"/>
          <w:color w:val="auto"/>
          <w:highlight w:val="none"/>
          <w:shd w:val="clear" w:color="auto" w:fill="auto"/>
        </w:rPr>
        <w:t>承包人提交月进度付款申请单的数量：</w:t>
      </w:r>
      <w:r>
        <w:rPr>
          <w:rFonts w:hAnsi="宋体" w:cs="Times New Roman"/>
          <w:color w:val="auto"/>
          <w:highlight w:val="none"/>
          <w:u w:val="single"/>
          <w:shd w:val="clear" w:color="auto" w:fill="auto"/>
        </w:rPr>
        <w:t xml:space="preserve"> </w:t>
      </w:r>
      <w:r>
        <w:rPr>
          <w:rFonts w:hint="eastAsia" w:hAnsi="宋体" w:cs="Times New Roman"/>
          <w:color w:val="auto"/>
          <w:highlight w:val="none"/>
          <w:u w:val="single"/>
          <w:shd w:val="clear" w:color="auto" w:fill="auto"/>
        </w:rPr>
        <w:t>8</w:t>
      </w:r>
      <w:r>
        <w:rPr>
          <w:rFonts w:hAnsi="宋体" w:cs="Times New Roman"/>
          <w:color w:val="auto"/>
          <w:kern w:val="2"/>
          <w:highlight w:val="none"/>
          <w:shd w:val="clear" w:color="auto" w:fill="auto"/>
        </w:rPr>
        <w:t>份。承包人必须将企业基本账户作为工程结算款支付账户，发包人拒绝将工程款（工程款中的农民工工资与其他工程款项实行分账管理，每月足额拨付至农民工工资专用账户）支付到企业基本账户以外的任何账户。</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17.3.3 进度付款证书和支付时间</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（2）本款补充：“</w:t>
      </w:r>
      <w:r>
        <w:rPr>
          <w:rFonts w:ascii="宋体" w:hAnsi="宋体"/>
          <w:bCs/>
          <w:color w:val="auto"/>
          <w:sz w:val="24"/>
          <w:highlight w:val="none"/>
          <w:shd w:val="clear" w:color="auto" w:fill="auto"/>
        </w:rPr>
        <w:t>发包人在收到监理人签证的月进度付款证书并审批后支付给承包人，支付时间</w:t>
      </w:r>
      <w:r>
        <w:rPr>
          <w:rFonts w:ascii="宋体" w:hAnsi="宋体"/>
          <w:color w:val="auto"/>
          <w:sz w:val="24"/>
          <w:highlight w:val="none"/>
          <w:shd w:val="clear" w:color="auto" w:fill="auto"/>
        </w:rPr>
        <w:t>不应超过监理人</w:t>
      </w:r>
      <w:r>
        <w:rPr>
          <w:rFonts w:ascii="宋体" w:hAnsi="宋体"/>
          <w:bCs/>
          <w:color w:val="auto"/>
          <w:sz w:val="24"/>
          <w:highlight w:val="none"/>
          <w:shd w:val="clear" w:color="auto" w:fill="auto"/>
        </w:rPr>
        <w:t>收到月进度付款申请单后</w:t>
      </w:r>
      <w:r>
        <w:rPr>
          <w:rFonts w:ascii="宋体" w:hAnsi="宋体"/>
          <w:bCs/>
          <w:color w:val="auto"/>
          <w:sz w:val="24"/>
          <w:highlight w:val="none"/>
          <w:u w:val="single"/>
          <w:shd w:val="clear" w:color="auto" w:fill="auto"/>
        </w:rPr>
        <w:t xml:space="preserve"> </w:t>
      </w:r>
      <w:r>
        <w:rPr>
          <w:rFonts w:hint="eastAsia" w:ascii="宋体" w:hAnsi="宋体"/>
          <w:bCs/>
          <w:color w:val="auto"/>
          <w:sz w:val="24"/>
          <w:highlight w:val="none"/>
          <w:u w:val="single"/>
          <w:shd w:val="clear" w:color="auto" w:fill="auto"/>
        </w:rPr>
        <w:t>21</w:t>
      </w:r>
      <w:r>
        <w:rPr>
          <w:rFonts w:ascii="宋体" w:hAnsi="宋体"/>
          <w:bCs/>
          <w:color w:val="auto"/>
          <w:sz w:val="24"/>
          <w:highlight w:val="none"/>
          <w:shd w:val="clear" w:color="auto" w:fill="auto"/>
        </w:rPr>
        <w:t>天内。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17.4质量保证金</w:t>
      </w:r>
    </w:p>
    <w:p>
      <w:pPr>
        <w:adjustRightInd w:val="0"/>
        <w:snapToGrid w:val="0"/>
        <w:spacing w:line="312" w:lineRule="auto"/>
        <w:ind w:firstLine="480" w:firstLineChars="200"/>
        <w:rPr>
          <w:rFonts w:ascii="宋体" w:hAnsi="宋体"/>
          <w:b/>
          <w:color w:val="auto"/>
          <w:sz w:val="24"/>
          <w:highlight w:val="none"/>
          <w:shd w:val="clear" w:color="auto" w:fill="auto"/>
        </w:rPr>
      </w:pPr>
      <w:r>
        <w:rPr>
          <w:rFonts w:ascii="宋体" w:hAnsi="宋体"/>
          <w:color w:val="auto"/>
          <w:sz w:val="24"/>
          <w:highlight w:val="none"/>
          <w:shd w:val="clear" w:color="auto" w:fill="auto"/>
        </w:rPr>
        <w:t>17.4.1  每个付款周期扣留的质量保证金为工程进度付款的</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％，扣留的质量保证金总额为签约合同价的</w:t>
      </w:r>
      <w:r>
        <w:rPr>
          <w:rFonts w:hint="eastAsia" w:ascii="宋体" w:hAnsi="宋体"/>
          <w:color w:val="auto"/>
          <w:sz w:val="24"/>
          <w:highlight w:val="none"/>
          <w:u w:val="single"/>
          <w:shd w:val="clear" w:color="auto" w:fill="auto"/>
        </w:rPr>
        <w:t xml:space="preserve">  3  </w:t>
      </w:r>
      <w:r>
        <w:rPr>
          <w:rFonts w:hint="eastAsia" w:ascii="宋体" w:hAnsi="宋体"/>
          <w:color w:val="auto"/>
          <w:sz w:val="24"/>
          <w:highlight w:val="none"/>
          <w:shd w:val="clear" w:color="auto" w:fill="auto"/>
        </w:rPr>
        <w:t xml:space="preserve"> </w:t>
      </w:r>
      <w:r>
        <w:rPr>
          <w:rFonts w:ascii="宋体" w:hAnsi="宋体"/>
          <w:color w:val="auto"/>
          <w:sz w:val="24"/>
          <w:highlight w:val="none"/>
          <w:shd w:val="clear" w:color="auto" w:fill="auto"/>
        </w:rPr>
        <w:t>％。质量保证金扣取和返还按国家和湖南省相关规定执行。</w:t>
      </w:r>
      <w:r>
        <w:rPr>
          <w:rFonts w:ascii="宋体" w:hAnsi="宋体"/>
          <w:b/>
          <w:color w:val="auto"/>
          <w:sz w:val="24"/>
          <w:highlight w:val="none"/>
          <w:shd w:val="clear" w:color="auto" w:fill="auto"/>
        </w:rPr>
        <w:t>建设单位不得在收取履约担保的同时，预留工程质量保证金。</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17.5竣工（完工）结算</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17.5.1  竣工（完工）付款申请单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（1）承包人应提交完工付款申请单一式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17.6最终结清</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17.6.1  最终结清申请单</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（1）承包人应提交最终结清申请单一式</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份。</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17.7竣工财务决算</w:t>
      </w:r>
    </w:p>
    <w:p>
      <w:pPr>
        <w:adjustRightInd w:val="0"/>
        <w:snapToGrid w:val="0"/>
        <w:spacing w:line="312" w:lineRule="auto"/>
        <w:ind w:firstLine="480" w:firstLineChars="200"/>
        <w:rPr>
          <w:rFonts w:hint="eastAsia" w:ascii="宋体" w:hAnsi="宋体"/>
          <w:color w:val="auto"/>
          <w:sz w:val="24"/>
          <w:highlight w:val="none"/>
          <w:u w:val="single"/>
          <w:shd w:val="clear" w:color="auto" w:fill="auto"/>
        </w:rPr>
      </w:pPr>
      <w:r>
        <w:rPr>
          <w:rFonts w:ascii="宋体" w:hAnsi="宋体"/>
          <w:color w:val="auto"/>
          <w:sz w:val="24"/>
          <w:highlight w:val="none"/>
          <w:shd w:val="clear" w:color="auto" w:fill="auto"/>
        </w:rPr>
        <w:t>承包人应为竣工财务决算编制提供的资料：</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按行业规范、监理和发包人的指示执行。</w:t>
      </w:r>
    </w:p>
    <w:p>
      <w:pPr>
        <w:adjustRightInd w:val="0"/>
        <w:snapToGrid w:val="0"/>
        <w:spacing w:line="312" w:lineRule="auto"/>
        <w:ind w:firstLine="480" w:firstLineChars="200"/>
        <w:rPr>
          <w:rFonts w:ascii="宋体" w:hAnsi="宋体"/>
          <w:color w:val="auto"/>
          <w:sz w:val="24"/>
          <w:highlight w:val="none"/>
          <w:u w:val="single"/>
          <w:shd w:val="clear" w:color="auto" w:fill="auto"/>
        </w:rPr>
      </w:pPr>
    </w:p>
    <w:p>
      <w:pPr>
        <w:pStyle w:val="6"/>
        <w:keepNext w:val="0"/>
        <w:keepLines w:val="0"/>
        <w:adjustRightInd w:val="0"/>
        <w:snapToGrid w:val="0"/>
        <w:spacing w:before="0" w:after="0" w:line="312" w:lineRule="auto"/>
        <w:ind w:firstLine="480" w:firstLineChars="200"/>
        <w:rPr>
          <w:rFonts w:ascii="宋体" w:hAnsi="宋体"/>
          <w:b w:val="0"/>
          <w:bCs w:val="0"/>
          <w:color w:val="auto"/>
          <w:sz w:val="24"/>
          <w:szCs w:val="24"/>
          <w:highlight w:val="none"/>
          <w:shd w:val="clear" w:color="auto" w:fill="auto"/>
        </w:rPr>
      </w:pPr>
      <w:bookmarkStart w:id="384" w:name="_Toc76056707"/>
      <w:r>
        <w:rPr>
          <w:rFonts w:ascii="宋体" w:hAnsi="宋体"/>
          <w:b w:val="0"/>
          <w:bCs w:val="0"/>
          <w:color w:val="auto"/>
          <w:sz w:val="24"/>
          <w:szCs w:val="24"/>
          <w:highlight w:val="none"/>
          <w:shd w:val="clear" w:color="auto" w:fill="auto"/>
        </w:rPr>
        <w:t>18．竣工验收（验收）</w:t>
      </w:r>
      <w:bookmarkEnd w:id="384"/>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18.1验收工作分类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验收类别：由发包人确定。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18.2分部工程验收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18.2.2  本工程</w:t>
      </w:r>
      <w:r>
        <w:rPr>
          <w:rFonts w:hint="eastAsia" w:ascii="宋体" w:hAnsi="宋体"/>
          <w:color w:val="auto"/>
          <w:sz w:val="24"/>
          <w:highlight w:val="none"/>
          <w:shd w:val="clear" w:color="auto" w:fill="auto"/>
        </w:rPr>
        <w:t>分部工程验收</w:t>
      </w:r>
      <w:r>
        <w:rPr>
          <w:rFonts w:ascii="宋体" w:hAnsi="宋体"/>
          <w:color w:val="auto"/>
          <w:sz w:val="24"/>
          <w:highlight w:val="none"/>
          <w:shd w:val="clear" w:color="auto" w:fill="auto"/>
        </w:rPr>
        <w:t>由监理人主持。</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18.3单位工程验收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18.3.4  提前投入使用的单位工程包括：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18.5阶段验收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18.5.1  本合同工程阶段验收类别包括：</w:t>
      </w:r>
      <w:r>
        <w:rPr>
          <w:rFonts w:hint="eastAsia" w:ascii="宋体" w:hAnsi="宋体"/>
          <w:color w:val="auto"/>
          <w:sz w:val="24"/>
          <w:highlight w:val="none"/>
          <w:shd w:val="clear" w:color="auto" w:fill="auto"/>
        </w:rPr>
        <w:t>由发包人确定</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18.6专项验收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18.6.2  本合同工程专项验收类别包括：</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18.7竣工验收</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18.7.3  本工程竣工验收技术鉴定</w:t>
      </w:r>
      <w:r>
        <w:rPr>
          <w:rFonts w:hint="eastAsia" w:ascii="宋体" w:hAnsi="宋体"/>
          <w:color w:val="auto"/>
          <w:sz w:val="24"/>
          <w:highlight w:val="none"/>
          <w:shd w:val="clear" w:color="auto" w:fill="auto"/>
        </w:rPr>
        <w:t>：</w:t>
      </w:r>
      <w:r>
        <w:rPr>
          <w:rFonts w:hint="eastAsia" w:ascii="宋体" w:hAnsi="宋体"/>
          <w:color w:val="auto"/>
          <w:sz w:val="24"/>
          <w:highlight w:val="none"/>
          <w:u w:val="single"/>
          <w:shd w:val="clear" w:color="auto" w:fill="auto"/>
        </w:rPr>
        <w:t>由发包人确定</w:t>
      </w:r>
      <w:r>
        <w:rPr>
          <w:rFonts w:ascii="宋体" w:hAnsi="宋体"/>
          <w:color w:val="auto"/>
          <w:sz w:val="24"/>
          <w:highlight w:val="none"/>
          <w:u w:val="singl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18.8施工期运行</w:t>
      </w:r>
    </w:p>
    <w:p>
      <w:pPr>
        <w:adjustRightInd w:val="0"/>
        <w:snapToGrid w:val="0"/>
        <w:spacing w:line="312" w:lineRule="auto"/>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18.8.1  需要在施工期运行的单位工程或工程设备为：</w:t>
      </w:r>
      <w:r>
        <w:rPr>
          <w:rFonts w:ascii="宋体" w:hAnsi="宋体"/>
          <w:color w:val="auto"/>
          <w:sz w:val="24"/>
          <w:highlight w:val="none"/>
          <w:u w:val="single"/>
          <w:shd w:val="clear" w:color="auto" w:fill="auto"/>
        </w:rPr>
        <w:t>由发包人确定。</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18.9试运行</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18.9.1  试运行的组织：</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；费用承担：</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5" w:name="_Toc76056708"/>
      <w:r>
        <w:rPr>
          <w:rFonts w:ascii="宋体" w:hAnsi="宋体"/>
          <w:bCs w:val="0"/>
          <w:color w:val="auto"/>
          <w:sz w:val="24"/>
          <w:szCs w:val="24"/>
          <w:highlight w:val="none"/>
          <w:shd w:val="clear" w:color="auto" w:fill="auto"/>
        </w:rPr>
        <w:t>19．缺陷责任与保修责任</w:t>
      </w:r>
      <w:bookmarkEnd w:id="385"/>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19.1缺陷责任期（工程质量保修期）的起算时间</w:t>
      </w:r>
    </w:p>
    <w:p>
      <w:pPr>
        <w:adjustRightInd w:val="0"/>
        <w:snapToGrid w:val="0"/>
        <w:spacing w:line="312" w:lineRule="auto"/>
        <w:ind w:firstLine="480" w:firstLineChars="200"/>
        <w:rPr>
          <w:rFonts w:ascii="宋体" w:hAnsi="宋体"/>
          <w:color w:val="auto"/>
          <w:kern w:val="0"/>
          <w:sz w:val="24"/>
          <w:highlight w:val="none"/>
          <w:shd w:val="clear" w:color="auto" w:fill="auto"/>
        </w:rPr>
      </w:pPr>
      <w:r>
        <w:rPr>
          <w:rFonts w:ascii="宋体" w:hAnsi="宋体"/>
          <w:color w:val="auto"/>
          <w:kern w:val="0"/>
          <w:sz w:val="24"/>
          <w:highlight w:val="none"/>
          <w:shd w:val="clear" w:color="auto" w:fill="auto"/>
        </w:rPr>
        <w:t>本工程缺陷责任期（工程质量保修期）如下：</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kern w:val="0"/>
          <w:sz w:val="24"/>
          <w:highlight w:val="none"/>
          <w:shd w:val="clear" w:color="auto" w:fill="auto"/>
        </w:rPr>
        <w:t>。</w:t>
      </w:r>
    </w:p>
    <w:p>
      <w:pPr>
        <w:pStyle w:val="7"/>
        <w:keepNext w:val="0"/>
        <w:keepLines w:val="0"/>
        <w:adjustRightInd w:val="0"/>
        <w:snapToGrid w:val="0"/>
        <w:spacing w:before="0" w:after="0" w:line="312" w:lineRule="auto"/>
        <w:ind w:firstLine="482" w:firstLineChars="200"/>
        <w:rPr>
          <w:rFonts w:ascii="宋体" w:hAnsi="宋体" w:eastAsia="宋体"/>
          <w:color w:val="auto"/>
          <w:sz w:val="24"/>
          <w:szCs w:val="24"/>
          <w:highlight w:val="none"/>
          <w:shd w:val="clear" w:color="auto" w:fill="auto"/>
        </w:rPr>
      </w:pPr>
      <w:r>
        <w:rPr>
          <w:rFonts w:ascii="宋体" w:hAnsi="宋体" w:eastAsia="宋体"/>
          <w:color w:val="auto"/>
          <w:sz w:val="24"/>
          <w:szCs w:val="24"/>
          <w:highlight w:val="none"/>
          <w:shd w:val="clear" w:color="auto" w:fill="auto"/>
        </w:rPr>
        <w:t>19.7保修责任</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本合同工程的保修期为：</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24</w:t>
      </w:r>
      <w:r>
        <w:rPr>
          <w:rFonts w:ascii="宋体" w:hAnsi="宋体"/>
          <w:color w:val="auto"/>
          <w:sz w:val="24"/>
          <w:highlight w:val="none"/>
          <w:u w:val="single"/>
          <w:shd w:val="clear" w:color="auto" w:fill="auto"/>
        </w:rPr>
        <w:t xml:space="preserve">个月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保修范围：</w:t>
      </w:r>
      <w:r>
        <w:rPr>
          <w:rFonts w:ascii="宋体" w:hAnsi="宋体"/>
          <w:color w:val="auto"/>
          <w:sz w:val="24"/>
          <w:highlight w:val="none"/>
          <w:u w:val="single"/>
          <w:shd w:val="clear" w:color="auto" w:fill="auto"/>
        </w:rPr>
        <w:t xml:space="preserve"> </w:t>
      </w:r>
      <w:r>
        <w:rPr>
          <w:rFonts w:hint="eastAsia" w:ascii="宋体" w:hAnsi="宋体"/>
          <w:color w:val="auto"/>
          <w:kern w:val="0"/>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保修责任：由承包人负责并承担相关的一切费用。</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6"/>
        <w:keepNext w:val="0"/>
        <w:keepLines w:val="0"/>
        <w:adjustRightInd w:val="0"/>
        <w:snapToGrid w:val="0"/>
        <w:spacing w:before="0" w:after="0" w:line="312" w:lineRule="auto"/>
        <w:ind w:firstLine="480" w:firstLineChars="200"/>
        <w:rPr>
          <w:rFonts w:ascii="宋体" w:hAnsi="宋体"/>
          <w:bCs w:val="0"/>
          <w:color w:val="auto"/>
          <w:sz w:val="24"/>
          <w:szCs w:val="24"/>
          <w:highlight w:val="none"/>
          <w:shd w:val="clear" w:color="auto" w:fill="auto"/>
        </w:rPr>
      </w:pPr>
      <w:bookmarkStart w:id="386" w:name="_Toc76056709"/>
      <w:r>
        <w:rPr>
          <w:rFonts w:ascii="宋体" w:hAnsi="宋体"/>
          <w:bCs w:val="0"/>
          <w:color w:val="auto"/>
          <w:sz w:val="24"/>
          <w:szCs w:val="24"/>
          <w:highlight w:val="none"/>
          <w:shd w:val="clear" w:color="auto" w:fill="auto"/>
        </w:rPr>
        <w:t>20．保险</w:t>
      </w:r>
      <w:bookmarkEnd w:id="386"/>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20.1工程保险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本条增加如下内容：承包人负责在出现保险事故时积极采取有效措施，尽可能减少损失，并于24小时内向发包人和保险公司报案，并向发包人和保险公司提交所需资料，同时负责向保险公司索赔。由于承包人索赔不力，造成保险赔偿差额，则差额部分除免赔额外均由承包人承担。</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20.4第三者责任险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20.5其它保险</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本工程</w:t>
      </w:r>
      <w:r>
        <w:rPr>
          <w:rFonts w:hint="eastAsia" w:ascii="宋体" w:hAnsi="宋体"/>
          <w:color w:val="auto"/>
          <w:sz w:val="24"/>
          <w:highlight w:val="none"/>
          <w:shd w:val="clear" w:color="auto" w:fill="auto"/>
        </w:rPr>
        <w:t>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及其附加第三者责任险由发包人</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，承包人应投保除此之外的与承包人有关的所有险种，如施工设备险、承包人人员的工伤事故险、承包人人员的人身意外伤害险等，上述保险</w:t>
      </w:r>
      <w:r>
        <w:rPr>
          <w:rFonts w:ascii="宋体" w:hAnsi="宋体"/>
          <w:color w:val="auto"/>
          <w:sz w:val="24"/>
          <w:highlight w:val="none"/>
          <w:shd w:val="clear" w:color="auto" w:fill="auto"/>
        </w:rPr>
        <w:t>由承包人自行确定是否投保并承担相</w:t>
      </w:r>
      <w:r>
        <w:rPr>
          <w:rFonts w:hint="eastAsia" w:ascii="宋体" w:hAnsi="宋体"/>
          <w:color w:val="auto"/>
          <w:sz w:val="24"/>
          <w:highlight w:val="none"/>
          <w:shd w:val="clear" w:color="auto" w:fill="auto"/>
        </w:rPr>
        <w:t>应</w:t>
      </w:r>
      <w:r>
        <w:rPr>
          <w:rFonts w:ascii="宋体" w:hAnsi="宋体"/>
          <w:color w:val="auto"/>
          <w:sz w:val="24"/>
          <w:highlight w:val="none"/>
          <w:shd w:val="clear" w:color="auto" w:fill="auto"/>
        </w:rPr>
        <w:t>责任。</w:t>
      </w:r>
      <w:r>
        <w:rPr>
          <w:rFonts w:hint="eastAsia" w:ascii="宋体" w:hAnsi="宋体"/>
          <w:color w:val="auto"/>
          <w:sz w:val="24"/>
          <w:highlight w:val="none"/>
          <w:shd w:val="clear" w:color="auto" w:fill="auto"/>
        </w:rPr>
        <w:t>但无论是否</w:t>
      </w:r>
      <w:r>
        <w:rPr>
          <w:rFonts w:ascii="宋体" w:hAnsi="宋体"/>
          <w:color w:val="auto"/>
          <w:sz w:val="24"/>
          <w:highlight w:val="none"/>
          <w:shd w:val="clear" w:color="auto" w:fill="auto"/>
        </w:rPr>
        <w:t>投保，</w:t>
      </w:r>
      <w:r>
        <w:rPr>
          <w:rFonts w:hint="eastAsia" w:ascii="宋体" w:hAnsi="宋体"/>
          <w:color w:val="auto"/>
          <w:sz w:val="24"/>
          <w:highlight w:val="none"/>
          <w:shd w:val="clear" w:color="auto" w:fill="auto"/>
        </w:rPr>
        <w:t>发包人视同承包人上述</w:t>
      </w:r>
      <w:r>
        <w:rPr>
          <w:rFonts w:ascii="宋体" w:hAnsi="宋体"/>
          <w:color w:val="auto"/>
          <w:sz w:val="24"/>
          <w:highlight w:val="none"/>
          <w:shd w:val="clear" w:color="auto" w:fill="auto"/>
        </w:rPr>
        <w:t>保险费摊入各工程项目单价中</w:t>
      </w:r>
      <w:r>
        <w:rPr>
          <w:rFonts w:hint="eastAsia" w:ascii="宋体" w:hAnsi="宋体"/>
          <w:color w:val="auto"/>
          <w:sz w:val="24"/>
          <w:highlight w:val="none"/>
          <w:shd w:val="clear" w:color="auto" w:fill="auto"/>
        </w:rPr>
        <w:t>，结算时不另行支付。承包人不得因施工过程中设备、人员等事故向发包人提出任何费用要求</w:t>
      </w:r>
      <w:r>
        <w:rPr>
          <w:rFonts w:ascii="宋体" w:hAnsi="宋体"/>
          <w:color w:val="auto"/>
          <w:sz w:val="24"/>
          <w:highlight w:val="none"/>
          <w:shd w:val="clear" w:color="auto" w:fill="auto"/>
        </w:rPr>
        <w:t>。</w:t>
      </w:r>
    </w:p>
    <w:p>
      <w:pPr>
        <w:adjustRightInd w:val="0"/>
        <w:snapToGrid w:val="0"/>
        <w:spacing w:line="312"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20.6对各项保险的一般要求</w:t>
      </w:r>
    </w:p>
    <w:p>
      <w:pPr>
        <w:adjustRightInd w:val="0"/>
        <w:snapToGrid w:val="0"/>
        <w:spacing w:line="312" w:lineRule="auto"/>
        <w:ind w:firstLine="480" w:firstLineChars="200"/>
        <w:rPr>
          <w:rFonts w:ascii="宋体" w:hAnsi="宋体"/>
          <w:color w:val="auto"/>
          <w:sz w:val="24"/>
          <w:highlight w:val="none"/>
          <w:shd w:val="clear" w:color="auto" w:fill="auto"/>
        </w:rPr>
      </w:pPr>
      <w:bookmarkStart w:id="387" w:name="_Toc511318205"/>
      <w:r>
        <w:rPr>
          <w:rFonts w:ascii="宋体" w:hAnsi="宋体"/>
          <w:color w:val="auto"/>
          <w:sz w:val="24"/>
          <w:highlight w:val="none"/>
          <w:shd w:val="clear" w:color="auto" w:fill="auto"/>
        </w:rPr>
        <w:t>20.6.1  保险凭证</w:t>
      </w:r>
      <w:bookmarkEnd w:id="387"/>
      <w:r>
        <w:rPr>
          <w:rFonts w:hint="eastAsia" w:ascii="宋体" w:hAnsi="宋体"/>
          <w:color w:val="auto"/>
          <w:sz w:val="24"/>
          <w:highlight w:val="none"/>
          <w:shd w:val="clear" w:color="auto" w:fill="auto"/>
        </w:rPr>
        <w:t>。承包人按要求提供。</w:t>
      </w:r>
    </w:p>
    <w:p>
      <w:pPr>
        <w:adjustRightInd w:val="0"/>
        <w:snapToGrid w:val="0"/>
        <w:spacing w:line="312" w:lineRule="auto"/>
        <w:ind w:firstLine="480" w:firstLineChars="200"/>
        <w:rPr>
          <w:rFonts w:hint="eastAsia" w:ascii="宋体" w:hAnsi="宋体"/>
          <w:color w:val="auto"/>
          <w:sz w:val="24"/>
          <w:highlight w:val="none"/>
          <w:shd w:val="clear" w:color="auto" w:fill="auto"/>
        </w:rPr>
      </w:pPr>
      <w:r>
        <w:rPr>
          <w:rFonts w:ascii="宋体" w:hAnsi="宋体"/>
          <w:color w:val="auto"/>
          <w:sz w:val="24"/>
          <w:highlight w:val="none"/>
          <w:shd w:val="clear" w:color="auto" w:fill="auto"/>
        </w:rPr>
        <w:t>20.6.4  保险金不足的补偿</w:t>
      </w:r>
      <w:r>
        <w:rPr>
          <w:rFonts w:hint="eastAsia" w:ascii="宋体" w:hAnsi="宋体"/>
          <w:color w:val="auto"/>
          <w:sz w:val="24"/>
          <w:highlight w:val="none"/>
          <w:shd w:val="clear" w:color="auto" w:fill="auto"/>
        </w:rPr>
        <w:t>：发包人投保的建筑</w:t>
      </w:r>
      <w:r>
        <w:rPr>
          <w:rFonts w:ascii="宋体" w:hAnsi="宋体"/>
          <w:color w:val="auto"/>
          <w:sz w:val="24"/>
          <w:highlight w:val="none"/>
          <w:shd w:val="clear" w:color="auto" w:fill="auto"/>
        </w:rPr>
        <w:t>工程</w:t>
      </w:r>
      <w:r>
        <w:rPr>
          <w:rFonts w:hint="eastAsia" w:ascii="宋体" w:hAnsi="宋体"/>
          <w:color w:val="auto"/>
          <w:sz w:val="24"/>
          <w:highlight w:val="none"/>
          <w:shd w:val="clear" w:color="auto" w:fill="auto"/>
        </w:rPr>
        <w:t>一切</w:t>
      </w:r>
      <w:r>
        <w:rPr>
          <w:rFonts w:ascii="宋体" w:hAnsi="宋体"/>
          <w:color w:val="auto"/>
          <w:sz w:val="24"/>
          <w:highlight w:val="none"/>
          <w:shd w:val="clear" w:color="auto" w:fill="auto"/>
        </w:rPr>
        <w:t>险和（或）安装工程一切险</w:t>
      </w:r>
      <w:r>
        <w:rPr>
          <w:rFonts w:hint="eastAsia" w:ascii="宋体" w:hAnsi="宋体"/>
          <w:color w:val="auto"/>
          <w:sz w:val="24"/>
          <w:highlight w:val="none"/>
          <w:shd w:val="clear" w:color="auto" w:fill="auto"/>
        </w:rPr>
        <w:t>及其附加第三者责任险由由发包人负责，其余保险的不足部分由承包人负责</w:t>
      </w:r>
      <w:r>
        <w:rPr>
          <w:rFonts w:ascii="宋体" w:hAnsi="宋体"/>
          <w:color w:val="auto"/>
          <w:sz w:val="24"/>
          <w:highlight w:val="none"/>
          <w:shd w:val="clear" w:color="auto" w:fill="auto"/>
        </w:rPr>
        <w:t>。</w:t>
      </w:r>
    </w:p>
    <w:p>
      <w:pPr>
        <w:adjustRightInd w:val="0"/>
        <w:snapToGrid w:val="0"/>
        <w:spacing w:line="312" w:lineRule="auto"/>
        <w:ind w:firstLine="480" w:firstLineChars="200"/>
        <w:rPr>
          <w:rFonts w:ascii="宋体" w:hAnsi="宋体"/>
          <w:color w:val="auto"/>
          <w:sz w:val="24"/>
          <w:highlight w:val="none"/>
          <w:shd w:val="clear" w:color="auto" w:fill="auto"/>
        </w:rPr>
      </w:pPr>
    </w:p>
    <w:p>
      <w:pPr>
        <w:pStyle w:val="195"/>
        <w:autoSpaceDE/>
        <w:autoSpaceDN/>
        <w:adjustRightInd/>
        <w:spacing w:line="312" w:lineRule="auto"/>
        <w:jc w:val="both"/>
        <w:rPr>
          <w:rFonts w:hAnsi="宋体" w:cs="Times New Roman"/>
          <w:color w:val="000000"/>
        </w:rPr>
      </w:pPr>
    </w:p>
    <w:p>
      <w:pPr>
        <w:pStyle w:val="42"/>
      </w:pPr>
    </w:p>
    <w:p>
      <w:pPr>
        <w:pStyle w:val="42"/>
        <w:ind w:left="0" w:leftChars="0" w:firstLine="0" w:firstLineChars="0"/>
      </w:pPr>
    </w:p>
    <w:p>
      <w:pPr>
        <w:spacing w:line="600" w:lineRule="exact"/>
        <w:jc w:val="center"/>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pStyle w:val="2"/>
        <w:rPr>
          <w:rFonts w:ascii="黑体" w:hAnsi="黑体" w:eastAsia="黑体" w:cs="仿宋"/>
          <w:b/>
          <w:color w:val="000000"/>
          <w:sz w:val="36"/>
          <w:szCs w:val="36"/>
          <w:highlight w:val="yellow"/>
        </w:rPr>
      </w:pPr>
    </w:p>
    <w:p>
      <w:pPr>
        <w:pStyle w:val="3"/>
        <w:rPr>
          <w:rFonts w:ascii="黑体" w:hAnsi="黑体" w:eastAsia="黑体" w:cs="仿宋"/>
          <w:b/>
          <w:color w:val="000000"/>
          <w:sz w:val="36"/>
          <w:szCs w:val="36"/>
          <w:highlight w:val="yellow"/>
        </w:rPr>
      </w:pPr>
    </w:p>
    <w:p>
      <w:pPr>
        <w:pStyle w:val="3"/>
        <w:rPr>
          <w:rFonts w:ascii="黑体" w:hAnsi="黑体" w:eastAsia="黑体" w:cs="仿宋"/>
          <w:b/>
          <w:color w:val="000000"/>
          <w:sz w:val="36"/>
          <w:szCs w:val="36"/>
          <w:highlight w:val="yellow"/>
        </w:rPr>
      </w:pPr>
    </w:p>
    <w:p>
      <w:pPr>
        <w:spacing w:line="600" w:lineRule="exact"/>
        <w:jc w:val="center"/>
        <w:rPr>
          <w:rFonts w:ascii="黑体" w:hAnsi="黑体" w:eastAsia="黑体" w:cs="仿宋"/>
          <w:b/>
          <w:color w:val="000000"/>
          <w:sz w:val="36"/>
          <w:szCs w:val="36"/>
          <w:highlight w:val="yellow"/>
        </w:rPr>
      </w:pPr>
    </w:p>
    <w:p>
      <w:pPr>
        <w:spacing w:line="600" w:lineRule="exact"/>
        <w:jc w:val="center"/>
        <w:outlineLvl w:val="0"/>
        <w:rPr>
          <w:rFonts w:hint="eastAsia" w:ascii="黑体" w:hAnsi="黑体" w:eastAsia="黑体" w:cs="仿宋"/>
          <w:b/>
          <w:color w:val="000000"/>
          <w:sz w:val="36"/>
          <w:szCs w:val="36"/>
        </w:rPr>
      </w:pPr>
      <w:bookmarkStart w:id="388" w:name="_Toc27615"/>
    </w:p>
    <w:bookmarkEnd w:id="388"/>
    <w:p>
      <w:pPr>
        <w:spacing w:line="600" w:lineRule="exact"/>
        <w:jc w:val="center"/>
        <w:rPr>
          <w:rFonts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hint="eastAsia" w:ascii="黑体" w:hAnsi="黑体" w:eastAsia="黑体" w:cs="仿宋"/>
          <w:b/>
          <w:color w:val="auto"/>
          <w:sz w:val="36"/>
          <w:szCs w:val="36"/>
          <w:shd w:val="clear" w:color="auto" w:fill="auto"/>
        </w:rPr>
      </w:pPr>
    </w:p>
    <w:p>
      <w:pPr>
        <w:spacing w:line="600" w:lineRule="exact"/>
        <w:jc w:val="center"/>
        <w:rPr>
          <w:rFonts w:ascii="黑体" w:hAnsi="黑体" w:eastAsia="黑体" w:cs="仿宋"/>
          <w:b/>
          <w:color w:val="auto"/>
          <w:sz w:val="36"/>
          <w:szCs w:val="36"/>
          <w:shd w:val="clear" w:color="auto" w:fill="auto"/>
        </w:rPr>
      </w:pPr>
      <w:r>
        <w:rPr>
          <w:rFonts w:hint="eastAsia" w:ascii="黑体" w:hAnsi="黑体" w:eastAsia="黑体" w:cs="仿宋"/>
          <w:b/>
          <w:color w:val="auto"/>
          <w:sz w:val="36"/>
          <w:szCs w:val="36"/>
          <w:shd w:val="clear" w:color="auto" w:fill="auto"/>
        </w:rPr>
        <w:t>第五章  采购需求</w:t>
      </w:r>
    </w:p>
    <w:p>
      <w:pPr>
        <w:spacing w:before="240" w:beforeLines="100" w:after="120" w:afterLines="50" w:line="312" w:lineRule="auto"/>
        <w:jc w:val="both"/>
        <w:rPr>
          <w:rFonts w:ascii="仿宋" w:hAnsi="仿宋" w:eastAsia="仿宋" w:cs="仿宋"/>
          <w:color w:val="auto"/>
          <w:sz w:val="24"/>
          <w:shd w:val="clear" w:color="auto" w:fill="auto"/>
        </w:rPr>
      </w:pPr>
      <w:r>
        <w:rPr>
          <w:rFonts w:hint="eastAsia" w:ascii="宋体" w:hAnsi="宋体"/>
          <w:b/>
          <w:color w:val="auto"/>
          <w:sz w:val="24"/>
          <w:shd w:val="clear" w:color="auto" w:fill="auto"/>
        </w:rPr>
        <w:t>一、工程类项目编制提纲：</w:t>
      </w:r>
    </w:p>
    <w:p>
      <w:pPr>
        <w:pageBreakBefore w:val="0"/>
        <w:widowControl/>
        <w:kinsoku/>
        <w:wordWrap/>
        <w:overflowPunct/>
        <w:topLinePunct w:val="0"/>
        <w:autoSpaceDE w:val="0"/>
        <w:autoSpaceDN/>
        <w:bidi w:val="0"/>
        <w:adjustRightInd/>
        <w:snapToGrid/>
        <w:spacing w:line="360" w:lineRule="auto"/>
        <w:jc w:val="both"/>
        <w:textAlignment w:val="auto"/>
        <w:rPr>
          <w:rFonts w:hint="eastAsia" w:ascii="宋体" w:hAnsi="宋体" w:eastAsia="宋体"/>
          <w:sz w:val="24"/>
          <w:szCs w:val="24"/>
          <w:lang w:eastAsia="zh-CN"/>
        </w:rPr>
      </w:pPr>
      <w:r>
        <w:rPr>
          <w:rFonts w:hint="eastAsia" w:ascii="宋体" w:hAnsi="宋体"/>
          <w:color w:val="auto"/>
          <w:sz w:val="24"/>
          <w:shd w:val="clear" w:color="auto" w:fill="auto"/>
        </w:rPr>
        <w:t>（一</w:t>
      </w:r>
      <w:r>
        <w:rPr>
          <w:rFonts w:ascii="宋体" w:hAnsi="宋体"/>
          <w:color w:val="auto"/>
          <w:sz w:val="24"/>
          <w:shd w:val="clear" w:color="auto" w:fill="auto"/>
        </w:rPr>
        <w:t>）</w:t>
      </w:r>
      <w:r>
        <w:rPr>
          <w:rFonts w:hint="eastAsia" w:ascii="宋体" w:hAnsi="宋体"/>
          <w:color w:val="auto"/>
          <w:sz w:val="24"/>
          <w:shd w:val="clear" w:color="auto" w:fill="auto"/>
        </w:rPr>
        <w:t>采购项目名称</w:t>
      </w:r>
      <w:r>
        <w:rPr>
          <w:rFonts w:hint="eastAsia" w:ascii="宋体" w:hAnsi="宋体"/>
          <w:color w:val="auto"/>
          <w:sz w:val="24"/>
          <w:shd w:val="clear" w:color="auto" w:fill="auto"/>
          <w:lang w:eastAsia="zh-CN"/>
        </w:rPr>
        <w:t>：</w:t>
      </w:r>
      <w:r>
        <w:rPr>
          <w:rFonts w:hint="eastAsia" w:cs="Times New Roman"/>
          <w:kern w:val="2"/>
          <w:sz w:val="24"/>
          <w:szCs w:val="24"/>
        </w:rPr>
        <w:t>岳阳城陵矶</w:t>
      </w:r>
      <w:r>
        <w:rPr>
          <w:rFonts w:hint="eastAsia" w:cs="Times New Roman"/>
          <w:kern w:val="2"/>
          <w:sz w:val="24"/>
          <w:szCs w:val="24"/>
          <w:lang w:eastAsia="zh-CN"/>
        </w:rPr>
        <w:t>新港</w:t>
      </w:r>
      <w:r>
        <w:rPr>
          <w:rFonts w:hint="eastAsia" w:cs="Times New Roman"/>
          <w:kern w:val="2"/>
          <w:sz w:val="24"/>
          <w:szCs w:val="24"/>
        </w:rPr>
        <w:t>有限公司</w:t>
      </w:r>
      <w:r>
        <w:rPr>
          <w:rFonts w:hint="eastAsia" w:cs="Times New Roman"/>
          <w:kern w:val="2"/>
          <w:sz w:val="24"/>
          <w:szCs w:val="24"/>
          <w:lang w:eastAsia="zh-CN"/>
        </w:rPr>
        <w:t>一期码头缺陷修复项目</w:t>
      </w:r>
    </w:p>
    <w:p>
      <w:pPr>
        <w:adjustRightInd w:val="0"/>
        <w:snapToGrid w:val="0"/>
        <w:spacing w:line="312" w:lineRule="auto"/>
        <w:rPr>
          <w:rFonts w:hint="eastAsia" w:ascii="宋体" w:hAnsi="宋体" w:eastAsia="宋体"/>
          <w:color w:val="auto"/>
          <w:sz w:val="24"/>
          <w:shd w:val="clear" w:color="auto" w:fill="auto"/>
          <w:lang w:val="en-US" w:eastAsia="zh-CN"/>
        </w:rPr>
      </w:pPr>
      <w:r>
        <w:rPr>
          <w:rFonts w:hint="eastAsia" w:ascii="宋体" w:hAnsi="宋体"/>
          <w:color w:val="auto"/>
          <w:sz w:val="24"/>
          <w:shd w:val="clear" w:color="auto" w:fill="auto"/>
        </w:rPr>
        <w:t>（二</w:t>
      </w:r>
      <w:r>
        <w:rPr>
          <w:rFonts w:ascii="宋体" w:hAnsi="宋体"/>
          <w:color w:val="auto"/>
          <w:sz w:val="24"/>
          <w:shd w:val="clear" w:color="auto" w:fill="auto"/>
        </w:rPr>
        <w:t>）</w:t>
      </w:r>
      <w:r>
        <w:rPr>
          <w:rFonts w:hint="eastAsia" w:ascii="宋体" w:hAnsi="宋体"/>
          <w:color w:val="auto"/>
          <w:sz w:val="24"/>
          <w:shd w:val="clear" w:color="auto" w:fill="auto"/>
        </w:rPr>
        <w:t>工程条件</w:t>
      </w:r>
      <w:r>
        <w:rPr>
          <w:rFonts w:hint="eastAsia" w:ascii="宋体" w:hAnsi="宋体"/>
          <w:color w:val="auto"/>
          <w:sz w:val="24"/>
          <w:shd w:val="clear" w:color="auto" w:fill="auto"/>
          <w:lang w:val="en-US" w:eastAsia="zh-CN"/>
        </w:rPr>
        <w:t xml:space="preserve"> 工程已经具备开工条件</w:t>
      </w:r>
    </w:p>
    <w:p>
      <w:pPr>
        <w:pStyle w:val="42"/>
        <w:ind w:left="0" w:leftChars="0" w:firstLine="0" w:firstLineChars="0"/>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rPr>
        <w:t>（三）工程基本情况</w:t>
      </w:r>
      <w:r>
        <w:rPr>
          <w:rFonts w:hint="eastAsia" w:ascii="宋体" w:hAnsi="宋体"/>
          <w:color w:val="auto"/>
          <w:sz w:val="24"/>
          <w:highlight w:val="none"/>
          <w:shd w:val="clear" w:color="auto" w:fill="auto"/>
          <w:lang w:val="en-US" w:eastAsia="zh-CN"/>
        </w:rPr>
        <w:t xml:space="preserve"> </w:t>
      </w:r>
      <w:r>
        <w:rPr>
          <w:rFonts w:hint="eastAsia" w:ascii="宋体" w:hAnsi="宋体" w:eastAsia="宋体" w:cs="Times New Roman"/>
          <w:b w:val="0"/>
          <w:bCs/>
          <w:color w:val="000000"/>
          <w:sz w:val="24"/>
          <w:szCs w:val="24"/>
          <w:highlight w:val="none"/>
          <w:u w:val="none"/>
          <w:lang w:val="en-US" w:eastAsia="zh-CN"/>
        </w:rPr>
        <w:t>岳阳城陵矶新港有限公司（松阳湖）一期码头位于湖南省岳阳市云溪区沿江路，设计为3个3000吨级泊位（均需兼顾5OOO吨级江海轮靠泊作业），直立式码头，设计年吞吐量为集装箱27万TEU，水工建筑物等级为二级。码头长度为340m，宽31m，码头平台分别通过1#和2#引桥与防洪大堤相连。本次缺陷修复为一期码头，</w:t>
      </w:r>
      <w:r>
        <w:rPr>
          <w:rFonts w:hint="eastAsia" w:ascii="宋体" w:hAnsi="宋体" w:eastAsia="宋体" w:cs="Times New Roman"/>
          <w:color w:val="auto"/>
          <w:kern w:val="2"/>
          <w:sz w:val="24"/>
          <w:szCs w:val="24"/>
          <w:highlight w:val="none"/>
          <w:u w:val="none"/>
          <w:lang w:val="en-US" w:eastAsia="zh-CN" w:bidi="ar-SA"/>
        </w:rPr>
        <w:t>预计总投资98万</w:t>
      </w:r>
      <w:r>
        <w:rPr>
          <w:rFonts w:hint="eastAsia" w:ascii="宋体" w:hAnsi="宋体" w:eastAsia="宋体" w:cs="Times New Roman"/>
          <w:b w:val="0"/>
          <w:bCs/>
          <w:color w:val="auto"/>
          <w:sz w:val="24"/>
          <w:szCs w:val="24"/>
          <w:highlight w:val="none"/>
          <w:u w:val="none"/>
          <w:lang w:val="en-US" w:eastAsia="zh-CN"/>
        </w:rPr>
        <w:t>元。</w:t>
      </w:r>
    </w:p>
    <w:p>
      <w:pPr>
        <w:adjustRightInd w:val="0"/>
        <w:snapToGrid w:val="0"/>
        <w:spacing w:line="312" w:lineRule="auto"/>
        <w:rPr>
          <w:rFonts w:hint="eastAsia" w:ascii="宋体" w:hAnsi="宋体"/>
          <w:color w:val="auto"/>
          <w:sz w:val="24"/>
          <w:shd w:val="clear" w:color="auto" w:fill="auto"/>
          <w:lang w:val="en-US" w:eastAsia="zh-CN"/>
        </w:rPr>
      </w:pPr>
      <w:r>
        <w:rPr>
          <w:rFonts w:hint="eastAsia" w:ascii="宋体" w:hAnsi="宋体"/>
          <w:color w:val="auto"/>
          <w:sz w:val="24"/>
          <w:shd w:val="clear" w:color="auto" w:fill="auto"/>
        </w:rPr>
        <w:t>（四</w:t>
      </w:r>
      <w:r>
        <w:rPr>
          <w:rFonts w:ascii="宋体" w:hAnsi="宋体"/>
          <w:color w:val="auto"/>
          <w:sz w:val="24"/>
          <w:shd w:val="clear" w:color="auto" w:fill="auto"/>
        </w:rPr>
        <w:t>）</w:t>
      </w:r>
      <w:r>
        <w:rPr>
          <w:rFonts w:hint="eastAsia" w:ascii="宋体" w:hAnsi="宋体"/>
          <w:color w:val="auto"/>
          <w:sz w:val="24"/>
          <w:shd w:val="clear" w:color="auto" w:fill="auto"/>
        </w:rPr>
        <w:t>工程承包范围</w:t>
      </w:r>
      <w:r>
        <w:rPr>
          <w:rFonts w:hint="eastAsia" w:ascii="宋体" w:hAnsi="宋体"/>
          <w:color w:val="auto"/>
          <w:sz w:val="24"/>
          <w:shd w:val="clear" w:color="auto" w:fill="auto"/>
          <w:lang w:eastAsia="zh-CN"/>
        </w:rPr>
        <w:t>：</w:t>
      </w:r>
      <w:r>
        <w:rPr>
          <w:rFonts w:hint="eastAsia" w:ascii="宋体" w:hAnsi="宋体"/>
          <w:color w:val="auto"/>
          <w:sz w:val="24"/>
          <w:highlight w:val="none"/>
          <w:shd w:val="clear" w:color="auto" w:fill="auto"/>
          <w:lang w:val="en-US" w:eastAsia="zh-CN"/>
        </w:rPr>
        <w:t>岳阳城陵矶新港有限公司一期码头作业平台</w:t>
      </w:r>
      <w:r>
        <w:rPr>
          <w:rFonts w:hint="eastAsia" w:cs="Times New Roman"/>
          <w:kern w:val="2"/>
          <w:sz w:val="24"/>
          <w:szCs w:val="24"/>
          <w:lang w:eastAsia="zh-CN"/>
        </w:rPr>
        <w:t>。</w:t>
      </w:r>
    </w:p>
    <w:p>
      <w:pPr>
        <w:adjustRightInd w:val="0"/>
        <w:snapToGrid w:val="0"/>
        <w:spacing w:line="312" w:lineRule="auto"/>
        <w:rPr>
          <w:rFonts w:ascii="宋体" w:hAnsi="宋体"/>
          <w:color w:val="auto"/>
          <w:sz w:val="24"/>
          <w:shd w:val="clear" w:color="auto" w:fill="auto"/>
        </w:rPr>
      </w:pPr>
      <w:r>
        <w:rPr>
          <w:rFonts w:hint="eastAsia" w:ascii="宋体" w:hAnsi="宋体"/>
          <w:color w:val="auto"/>
          <w:sz w:val="24"/>
          <w:shd w:val="clear" w:color="auto" w:fill="auto"/>
        </w:rPr>
        <w:t>（五</w:t>
      </w:r>
      <w:r>
        <w:rPr>
          <w:rFonts w:ascii="宋体" w:hAnsi="宋体"/>
          <w:color w:val="auto"/>
          <w:sz w:val="24"/>
          <w:shd w:val="clear" w:color="auto" w:fill="auto"/>
        </w:rPr>
        <w:t>）</w:t>
      </w:r>
      <w:r>
        <w:rPr>
          <w:rFonts w:hint="eastAsia" w:ascii="宋体" w:hAnsi="宋体"/>
          <w:color w:val="auto"/>
          <w:sz w:val="24"/>
          <w:shd w:val="clear" w:color="auto" w:fill="auto"/>
        </w:rPr>
        <w:t>项目清单及说明</w:t>
      </w:r>
      <w:r>
        <w:rPr>
          <w:rFonts w:hint="eastAsia" w:ascii="宋体" w:hAnsi="宋体"/>
          <w:color w:val="auto"/>
          <w:sz w:val="24"/>
          <w:shd w:val="clear" w:color="auto" w:fill="auto"/>
          <w:lang w:eastAsia="zh-CN"/>
        </w:rPr>
        <w:t>：</w:t>
      </w:r>
      <w:r>
        <w:rPr>
          <w:rFonts w:hint="eastAsia" w:ascii="宋体" w:hAnsi="宋体"/>
          <w:color w:val="auto"/>
          <w:sz w:val="24"/>
          <w:shd w:val="clear" w:color="auto" w:fill="auto"/>
          <w:lang w:val="en-US" w:eastAsia="zh-CN"/>
        </w:rPr>
        <w:t>见附件工程明细表。</w:t>
      </w:r>
    </w:p>
    <w:p>
      <w:pPr>
        <w:adjustRightInd w:val="0"/>
        <w:snapToGrid w:val="0"/>
        <w:spacing w:line="312" w:lineRule="auto"/>
        <w:rPr>
          <w:rFonts w:hint="default"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rPr>
        <w:t>（六</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工期及质量要求</w:t>
      </w:r>
      <w:r>
        <w:rPr>
          <w:rFonts w:hint="eastAsia" w:ascii="宋体" w:hAnsi="宋体"/>
          <w:color w:val="auto"/>
          <w:sz w:val="24"/>
          <w:shd w:val="clear" w:color="auto" w:fill="auto"/>
          <w:lang w:eastAsia="zh-CN"/>
        </w:rPr>
        <w:t>：</w:t>
      </w:r>
      <w:r>
        <w:rPr>
          <w:rFonts w:hint="eastAsia" w:ascii="宋体" w:hAnsi="宋体"/>
          <w:color w:val="auto"/>
          <w:sz w:val="24"/>
          <w:highlight w:val="none"/>
          <w:shd w:val="clear" w:color="auto" w:fill="auto"/>
          <w:lang w:val="en-US" w:eastAsia="zh-CN"/>
        </w:rPr>
        <w:t xml:space="preserve"> 工期为30个日历日，质量满足港口正常运营要求</w:t>
      </w:r>
    </w:p>
    <w:p>
      <w:pPr>
        <w:adjustRightInd w:val="0"/>
        <w:snapToGrid w:val="0"/>
        <w:spacing w:line="312" w:lineRule="auto"/>
        <w:rPr>
          <w:rFonts w:ascii="宋体" w:hAnsi="宋体"/>
          <w:color w:val="auto"/>
          <w:sz w:val="24"/>
          <w:shd w:val="clear" w:color="auto" w:fill="auto"/>
        </w:rPr>
      </w:pPr>
      <w:r>
        <w:rPr>
          <w:rFonts w:hint="eastAsia" w:ascii="宋体" w:hAnsi="宋体"/>
          <w:color w:val="auto"/>
          <w:sz w:val="24"/>
          <w:shd w:val="clear" w:color="auto" w:fill="auto"/>
        </w:rPr>
        <w:t>（七</w:t>
      </w:r>
      <w:r>
        <w:rPr>
          <w:rFonts w:ascii="宋体" w:hAnsi="宋体"/>
          <w:color w:val="auto"/>
          <w:sz w:val="24"/>
          <w:shd w:val="clear" w:color="auto" w:fill="auto"/>
        </w:rPr>
        <w:t>）</w:t>
      </w:r>
      <w:r>
        <w:rPr>
          <w:rFonts w:hint="eastAsia" w:ascii="宋体" w:hAnsi="宋体"/>
          <w:color w:val="auto"/>
          <w:sz w:val="24"/>
          <w:shd w:val="clear" w:color="auto" w:fill="auto"/>
        </w:rPr>
        <w:t>项目实施要求</w:t>
      </w:r>
      <w:r>
        <w:rPr>
          <w:rFonts w:hint="eastAsia" w:ascii="宋体" w:hAnsi="宋体"/>
          <w:color w:val="auto"/>
          <w:sz w:val="24"/>
          <w:shd w:val="clear" w:color="auto" w:fill="auto"/>
          <w:lang w:eastAsia="zh-CN"/>
        </w:rPr>
        <w:t>：项目实施按照国家相关规范要求实施</w:t>
      </w:r>
    </w:p>
    <w:p>
      <w:pPr>
        <w:autoSpaceDE w:val="0"/>
        <w:spacing w:line="400" w:lineRule="exact"/>
        <w:jc w:val="left"/>
        <w:rPr>
          <w:rFonts w:hint="eastAsia" w:ascii="宋体" w:hAnsi="宋体" w:eastAsia="宋体" w:cs="宋体"/>
          <w:b/>
          <w:bCs/>
          <w:i w:val="0"/>
          <w:iCs w:val="0"/>
          <w:color w:val="000000"/>
          <w:kern w:val="0"/>
          <w:sz w:val="24"/>
          <w:szCs w:val="24"/>
          <w:u w:val="none"/>
          <w:lang w:val="en-US" w:eastAsia="zh-CN" w:bidi="ar"/>
        </w:rPr>
      </w:pPr>
      <w:r>
        <w:rPr>
          <w:rFonts w:hint="eastAsia" w:ascii="宋体" w:hAnsi="宋体"/>
          <w:b/>
          <w:bCs/>
          <w:color w:val="auto"/>
          <w:sz w:val="24"/>
          <w:szCs w:val="24"/>
          <w:shd w:val="clear" w:color="auto" w:fill="auto"/>
          <w:lang w:val="en-US" w:eastAsia="zh-CN"/>
        </w:rPr>
        <w:t>附件：</w:t>
      </w:r>
      <w:r>
        <w:rPr>
          <w:rFonts w:hint="eastAsia" w:ascii="宋体" w:hAnsi="宋体" w:eastAsia="宋体" w:cs="宋体"/>
          <w:b/>
          <w:bCs/>
          <w:i w:val="0"/>
          <w:iCs w:val="0"/>
          <w:color w:val="000000"/>
          <w:kern w:val="0"/>
          <w:sz w:val="24"/>
          <w:szCs w:val="24"/>
          <w:u w:val="none"/>
          <w:lang w:val="en-US" w:eastAsia="zh-CN" w:bidi="ar"/>
        </w:rPr>
        <w:t>工程明细表</w:t>
      </w:r>
    </w:p>
    <w:tbl>
      <w:tblPr>
        <w:tblStyle w:val="43"/>
        <w:tblW w:w="9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2411"/>
        <w:gridCol w:w="1056"/>
        <w:gridCol w:w="813"/>
        <w:gridCol w:w="1071"/>
        <w:gridCol w:w="1194"/>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分项名称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综合单价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23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梁局部混凝土剥落，钢筋锈蚀，除锈修复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凿除砼保护层</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1030.40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1.凿除原结构混凝土面层；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2.按设计要求对裂缝进行灌浆或封闭处理；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3.对钢筋进行除锈；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4.按图纸要求植入新增钢筋。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5.抹高性能复合砂浆、固化养护；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6.清理工作面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钢筋/钢构除锈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10.63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40mm厚钢筋网高性能复合砂浆抹面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1030.40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板局部混凝土剥落，钢筋锈蚀，楼板贯穿裂缝，渗水修复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239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凿除砼保护层</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312.00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9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1.凿除原结构混凝土面层；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2.按设计要求对裂缝进行灌浆或封闭处理；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3.对钢筋进行除锈；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4.按图纸要求植入新增钢筋。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5.抹高性能复合砂浆、固化养护；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6.清理工作面；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7.对开裂严重的板用高强钢丝布替换，后采用高性能复合砂浆抹面保护；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钢筋/钢构除锈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7.04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高强钢丝布注浆修复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环氧树脂注浆</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176.40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柱混凝土剥落，钢筋锈蚀，除锈修复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239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凿除砼保护层</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487.20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1.凿除原结构混凝土面层；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2.按设计要求对裂缝进行灌浆或封闭处理；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3.对钢筋进行除锈；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4.抹高性能复合砂浆、固化养护；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5.清理工作面；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钢筋/钢构除锈</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7.92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40mm厚钢筋网高性能复合砂浆抹面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487.20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四</w:t>
            </w:r>
          </w:p>
        </w:tc>
        <w:tc>
          <w:tcPr>
            <w:tcW w:w="8944"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节点处理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牛腿增加截面B/B剖面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凿除构件表面的粉刷层至混凝土基层；2.原构件修整露出骨料新面后，打出深约6mm的纹路；3.清除表面粉尘并用水冲洗干净。4.按图纸要求植入新增钢筋。5.新旧混凝土结合面应涂刷界面剂，固化前完成支模。6.采用高一级的自密实混凝土浇筑后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牛腿增加截面C/C剖面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21.60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6"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牛腿增加截面A/A剖面</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21.60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五</w:t>
            </w:r>
          </w:p>
        </w:tc>
        <w:tc>
          <w:tcPr>
            <w:tcW w:w="8944"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钻心修补</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植筋后灌浆料修补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脚手架搭设</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引桥及B~E轴顶层梁处理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水下玻纤维套筒加固桩</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潜水作业：玻纤维套筒水下环氧灌浆料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1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材料二次转运费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通过钢爬梯、吊机二次转运材料</w:t>
            </w:r>
          </w:p>
        </w:tc>
      </w:tr>
    </w:tbl>
    <w:p>
      <w:pPr>
        <w:pStyle w:val="3"/>
        <w:rPr>
          <w:rFonts w:hint="eastAsia" w:ascii="宋体" w:hAnsi="宋体" w:eastAsia="宋体" w:cs="宋体"/>
          <w:b/>
          <w:bCs/>
          <w:i w:val="0"/>
          <w:iCs w:val="0"/>
          <w:color w:val="000000"/>
          <w:kern w:val="0"/>
          <w:sz w:val="24"/>
          <w:szCs w:val="24"/>
          <w:u w:val="none"/>
          <w:lang w:val="en-US" w:eastAsia="zh-CN" w:bidi="ar"/>
        </w:rPr>
      </w:pPr>
    </w:p>
    <w:p>
      <w:pPr>
        <w:pStyle w:val="3"/>
        <w:rPr>
          <w:rFonts w:hint="eastAsia" w:ascii="宋体" w:hAnsi="宋体" w:eastAsia="宋体" w:cs="宋体"/>
          <w:b/>
          <w:bCs/>
          <w:i w:val="0"/>
          <w:iCs w:val="0"/>
          <w:color w:val="000000"/>
          <w:kern w:val="0"/>
          <w:sz w:val="24"/>
          <w:szCs w:val="24"/>
          <w:u w:val="none"/>
          <w:lang w:val="en-US" w:eastAsia="zh-CN" w:bidi="ar"/>
        </w:rPr>
      </w:pPr>
    </w:p>
    <w:p>
      <w:pPr>
        <w:pageBreakBefore w:val="0"/>
        <w:widowControl/>
        <w:kinsoku/>
        <w:wordWrap/>
        <w:overflowPunct/>
        <w:topLinePunct w:val="0"/>
        <w:autoSpaceDE w:val="0"/>
        <w:autoSpaceDN/>
        <w:bidi w:val="0"/>
        <w:adjustRightInd/>
        <w:snapToGrid/>
        <w:spacing w:line="360" w:lineRule="auto"/>
        <w:textAlignment w:val="auto"/>
        <w:rPr>
          <w:rFonts w:hint="eastAsia"/>
          <w:sz w:val="24"/>
          <w:lang w:val="en-US" w:eastAsia="zh-CN"/>
        </w:rPr>
      </w:pPr>
    </w:p>
    <w:p>
      <w:pPr>
        <w:pageBreakBefore w:val="0"/>
        <w:widowControl/>
        <w:kinsoku/>
        <w:wordWrap/>
        <w:overflowPunct/>
        <w:topLinePunct w:val="0"/>
        <w:autoSpaceDE w:val="0"/>
        <w:autoSpaceDN/>
        <w:bidi w:val="0"/>
        <w:adjustRightInd/>
        <w:snapToGrid/>
        <w:spacing w:line="360" w:lineRule="auto"/>
        <w:jc w:val="center"/>
        <w:textAlignment w:val="auto"/>
        <w:rPr>
          <w:rFonts w:ascii="黑体" w:hAnsi="黑体" w:eastAsia="黑体" w:cs="仿宋"/>
          <w:b/>
          <w:color w:val="000000"/>
          <w:sz w:val="36"/>
          <w:szCs w:val="36"/>
        </w:rPr>
      </w:pPr>
      <w:r>
        <w:rPr>
          <w:rFonts w:hint="eastAsia"/>
          <w:sz w:val="24"/>
        </w:rPr>
        <w:br w:type="page"/>
      </w:r>
      <w:bookmarkStart w:id="389" w:name="_Toc15194"/>
      <w:r>
        <w:rPr>
          <w:rFonts w:hint="eastAsia" w:ascii="黑体" w:hAnsi="黑体" w:eastAsia="黑体" w:cs="仿宋"/>
          <w:b/>
          <w:color w:val="000000"/>
          <w:sz w:val="36"/>
          <w:szCs w:val="36"/>
        </w:rPr>
        <w:t>第六章  响应文件格式</w:t>
      </w:r>
      <w:bookmarkEnd w:id="389"/>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ind w:firstLine="2400" w:firstLineChars="500"/>
        <w:jc w:val="both"/>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outlineLvl w:val="0"/>
        <w:rPr>
          <w:rFonts w:eastAsia="楷体_GB2312"/>
          <w:b/>
          <w:bCs/>
          <w:sz w:val="28"/>
          <w:szCs w:val="28"/>
        </w:rPr>
      </w:pPr>
      <w:bookmarkStart w:id="390" w:name="_Toc13028"/>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390"/>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391" w:name="_Toc14661"/>
      <w:r>
        <w:rPr>
          <w:rFonts w:hint="eastAsia" w:eastAsia="方正小标宋_GBK"/>
          <w:b/>
          <w:bCs/>
          <w:spacing w:val="160"/>
          <w:sz w:val="72"/>
          <w:szCs w:val="72"/>
        </w:rPr>
        <w:t>响应</w:t>
      </w:r>
      <w:r>
        <w:rPr>
          <w:rFonts w:eastAsia="方正小标宋_GBK"/>
          <w:b/>
          <w:bCs/>
          <w:spacing w:val="160"/>
          <w:sz w:val="72"/>
          <w:szCs w:val="72"/>
        </w:rPr>
        <w:t>文件</w:t>
      </w:r>
      <w:bookmarkEnd w:id="391"/>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392" w:name="_Toc16982"/>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392"/>
      <w:r>
        <w:rPr>
          <w:rFonts w:eastAsia="黑体"/>
          <w:bCs/>
          <w:sz w:val="30"/>
          <w:szCs w:val="30"/>
          <w:u w:val="single"/>
        </w:rPr>
        <w:t xml:space="preserve"> </w:t>
      </w:r>
    </w:p>
    <w:p>
      <w:pPr>
        <w:spacing w:line="900" w:lineRule="exact"/>
        <w:jc w:val="center"/>
        <w:outlineLvl w:val="0"/>
        <w:rPr>
          <w:rFonts w:eastAsia="黑体"/>
          <w:sz w:val="30"/>
          <w:szCs w:val="30"/>
        </w:rPr>
      </w:pPr>
      <w:bookmarkStart w:id="393" w:name="_Toc26872"/>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393"/>
    </w:p>
    <w:p>
      <w:pPr>
        <w:adjustRightInd w:val="0"/>
        <w:snapToGrid w:val="0"/>
        <w:spacing w:line="600" w:lineRule="exact"/>
        <w:jc w:val="center"/>
        <w:outlineLvl w:val="0"/>
        <w:rPr>
          <w:rFonts w:hint="eastAsia" w:ascii="黑体" w:hAnsi="黑体" w:eastAsia="黑体" w:cs="仿宋"/>
          <w:sz w:val="36"/>
          <w:szCs w:val="36"/>
        </w:rPr>
      </w:pPr>
      <w:bookmarkStart w:id="394" w:name="_Toc11324"/>
    </w:p>
    <w:p>
      <w:pPr>
        <w:adjustRightInd w:val="0"/>
        <w:snapToGrid w:val="0"/>
        <w:spacing w:line="600" w:lineRule="exact"/>
        <w:jc w:val="center"/>
        <w:outlineLvl w:val="0"/>
        <w:rPr>
          <w:rFonts w:ascii="黑体" w:hAnsi="黑体" w:eastAsia="黑体" w:cs="仿宋"/>
          <w:sz w:val="36"/>
          <w:szCs w:val="36"/>
        </w:rPr>
      </w:pPr>
      <w:r>
        <w:rPr>
          <w:rFonts w:hint="eastAsia" w:ascii="黑体" w:hAnsi="黑体" w:eastAsia="黑体" w:cs="仿宋"/>
          <w:sz w:val="36"/>
          <w:szCs w:val="36"/>
        </w:rPr>
        <w:t xml:space="preserve">目 </w:t>
      </w:r>
      <w:r>
        <w:rPr>
          <w:rFonts w:ascii="黑体" w:hAnsi="黑体" w:eastAsia="黑体" w:cs="仿宋"/>
          <w:sz w:val="36"/>
          <w:szCs w:val="36"/>
        </w:rPr>
        <w:t xml:space="preserve"> </w:t>
      </w:r>
      <w:r>
        <w:rPr>
          <w:rFonts w:hint="eastAsia" w:ascii="黑体" w:hAnsi="黑体" w:eastAsia="黑体" w:cs="仿宋"/>
          <w:sz w:val="36"/>
          <w:szCs w:val="36"/>
        </w:rPr>
        <w:t>录</w:t>
      </w:r>
      <w:bookmarkEnd w:id="394"/>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rPr>
          <w:rFonts w:ascii="宋体" w:hAnsi="宋体" w:cs="仿宋"/>
          <w:sz w:val="24"/>
        </w:rPr>
      </w:pPr>
      <w:bookmarkStart w:id="395" w:name="_Toc1763"/>
      <w:r>
        <w:rPr>
          <w:rFonts w:hint="eastAsia" w:ascii="宋体" w:hAnsi="宋体" w:cs="仿宋"/>
          <w:sz w:val="24"/>
        </w:rPr>
        <w:t>一、响应函</w:t>
      </w:r>
      <w:bookmarkEnd w:id="395"/>
    </w:p>
    <w:p>
      <w:pPr>
        <w:adjustRightInd w:val="0"/>
        <w:snapToGrid w:val="0"/>
        <w:spacing w:line="600" w:lineRule="exact"/>
        <w:jc w:val="both"/>
        <w:outlineLvl w:val="0"/>
        <w:rPr>
          <w:rFonts w:ascii="宋体" w:hAnsi="宋体" w:cs="仿宋"/>
          <w:sz w:val="24"/>
        </w:rPr>
      </w:pPr>
      <w:bookmarkStart w:id="396" w:name="_Toc27590"/>
      <w:r>
        <w:rPr>
          <w:rFonts w:hint="eastAsia" w:ascii="宋体" w:hAnsi="宋体" w:cs="仿宋"/>
          <w:sz w:val="24"/>
        </w:rPr>
        <w:t>二、授权委托书(适用于有委托代理人的情况)</w:t>
      </w:r>
      <w:bookmarkEnd w:id="396"/>
    </w:p>
    <w:p>
      <w:pPr>
        <w:adjustRightInd w:val="0"/>
        <w:snapToGrid w:val="0"/>
        <w:spacing w:line="600" w:lineRule="exact"/>
        <w:jc w:val="both"/>
        <w:outlineLvl w:val="0"/>
        <w:rPr>
          <w:rFonts w:ascii="宋体" w:hAnsi="宋体" w:cs="仿宋"/>
          <w:sz w:val="24"/>
        </w:rPr>
      </w:pPr>
      <w:bookmarkStart w:id="397" w:name="_Toc30725"/>
      <w:r>
        <w:rPr>
          <w:rFonts w:hint="eastAsia" w:ascii="宋体" w:hAnsi="宋体" w:cs="仿宋"/>
          <w:sz w:val="24"/>
        </w:rPr>
        <w:t>三、商务和技术偏差表</w:t>
      </w:r>
      <w:bookmarkEnd w:id="397"/>
    </w:p>
    <w:p>
      <w:pPr>
        <w:adjustRightInd w:val="0"/>
        <w:snapToGrid w:val="0"/>
        <w:spacing w:line="600" w:lineRule="exact"/>
        <w:jc w:val="both"/>
        <w:outlineLvl w:val="0"/>
        <w:rPr>
          <w:rFonts w:ascii="宋体" w:hAnsi="宋体" w:cs="仿宋"/>
          <w:sz w:val="24"/>
        </w:rPr>
      </w:pPr>
      <w:bookmarkStart w:id="398" w:name="_Toc5693"/>
      <w:r>
        <w:rPr>
          <w:rFonts w:hint="eastAsia" w:ascii="宋体" w:hAnsi="宋体" w:cs="仿宋"/>
          <w:sz w:val="24"/>
        </w:rPr>
        <w:t>四、报价表</w:t>
      </w:r>
      <w:bookmarkEnd w:id="398"/>
    </w:p>
    <w:p>
      <w:pPr>
        <w:adjustRightInd w:val="0"/>
        <w:snapToGrid w:val="0"/>
        <w:spacing w:line="600" w:lineRule="exact"/>
        <w:jc w:val="both"/>
        <w:outlineLvl w:val="0"/>
        <w:rPr>
          <w:rFonts w:ascii="宋体" w:hAnsi="宋体" w:cs="仿宋"/>
          <w:sz w:val="24"/>
        </w:rPr>
      </w:pPr>
      <w:bookmarkStart w:id="399" w:name="_Toc22440"/>
      <w:r>
        <w:rPr>
          <w:rFonts w:hint="eastAsia" w:ascii="宋体" w:hAnsi="宋体" w:cs="仿宋"/>
          <w:sz w:val="24"/>
        </w:rPr>
        <w:t>五、资格审查资料</w:t>
      </w:r>
      <w:bookmarkEnd w:id="399"/>
    </w:p>
    <w:p>
      <w:pPr>
        <w:adjustRightInd w:val="0"/>
        <w:snapToGrid w:val="0"/>
        <w:spacing w:line="600" w:lineRule="exact"/>
        <w:jc w:val="both"/>
        <w:outlineLvl w:val="0"/>
        <w:rPr>
          <w:rFonts w:ascii="宋体" w:hAnsi="宋体" w:cs="仿宋"/>
          <w:sz w:val="24"/>
        </w:rPr>
      </w:pPr>
      <w:bookmarkStart w:id="400" w:name="_Toc20576"/>
      <w:r>
        <w:rPr>
          <w:rFonts w:hint="eastAsia" w:ascii="宋体" w:hAnsi="宋体" w:cs="仿宋"/>
          <w:sz w:val="24"/>
        </w:rPr>
        <w:t>六、响应方案</w:t>
      </w:r>
      <w:bookmarkEnd w:id="400"/>
    </w:p>
    <w:p>
      <w:pPr>
        <w:adjustRightInd w:val="0"/>
        <w:snapToGrid w:val="0"/>
        <w:spacing w:line="600" w:lineRule="exact"/>
        <w:jc w:val="both"/>
        <w:outlineLvl w:val="0"/>
        <w:rPr>
          <w:rFonts w:ascii="宋体" w:hAnsi="宋体" w:cs="仿宋"/>
          <w:sz w:val="24"/>
        </w:rPr>
      </w:pPr>
      <w:bookmarkStart w:id="401" w:name="_Toc15295"/>
      <w:r>
        <w:rPr>
          <w:rFonts w:hint="eastAsia" w:ascii="宋体" w:hAnsi="宋体" w:cs="仿宋"/>
          <w:sz w:val="24"/>
        </w:rPr>
        <w:t>七、其他资料</w:t>
      </w:r>
      <w:bookmarkEnd w:id="401"/>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1"/>
        </w:numPr>
        <w:adjustRightInd w:val="0"/>
        <w:snapToGrid w:val="0"/>
        <w:spacing w:line="600" w:lineRule="exact"/>
        <w:jc w:val="center"/>
        <w:outlineLvl w:val="0"/>
        <w:rPr>
          <w:rFonts w:ascii="黑体" w:hAnsi="黑体" w:eastAsia="黑体" w:cs="仿宋"/>
          <w:sz w:val="36"/>
          <w:szCs w:val="36"/>
        </w:rPr>
      </w:pPr>
      <w:bookmarkStart w:id="402" w:name="_Toc5053"/>
      <w:r>
        <w:rPr>
          <w:rFonts w:hint="eastAsia" w:ascii="黑体" w:hAnsi="黑体" w:eastAsia="黑体" w:cs="仿宋"/>
          <w:sz w:val="36"/>
          <w:szCs w:val="36"/>
        </w:rPr>
        <w:t>响应函</w:t>
      </w:r>
      <w:bookmarkEnd w:id="402"/>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w:t>
      </w:r>
      <w:r>
        <w:rPr>
          <w:rFonts w:hint="eastAsia" w:cs="仿宋" w:asciiTheme="minorEastAsia" w:hAnsiTheme="minorEastAsia" w:eastAsiaTheme="minorEastAsia"/>
          <w:sz w:val="24"/>
          <w:lang w:val="en-US" w:eastAsia="zh-CN"/>
        </w:rPr>
        <w:t>率</w:t>
      </w:r>
      <w:r>
        <w:rPr>
          <w:rFonts w:hint="eastAsia" w:cs="仿宋" w:asciiTheme="minorEastAsia" w:hAnsiTheme="minorEastAsia" w:eastAsiaTheme="minorEastAsia"/>
          <w:sz w:val="24"/>
        </w:rPr>
        <w:t>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)完成服务，并按合同约定履行义务。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ascii="宋体" w:hAnsi="宋体" w:cs="仿宋"/>
          <w:sz w:val="24"/>
        </w:rPr>
      </w:pPr>
      <w:r>
        <w:rPr>
          <w:rFonts w:hint="eastAsia" w:ascii="宋体" w:hAnsi="宋体" w:cs="仿宋"/>
          <w:sz w:val="24"/>
        </w:rPr>
        <w:t>（1）响应函</w:t>
      </w:r>
    </w:p>
    <w:p>
      <w:pPr>
        <w:adjustRightInd w:val="0"/>
        <w:snapToGrid w:val="0"/>
        <w:spacing w:line="600" w:lineRule="exact"/>
        <w:jc w:val="both"/>
        <w:rPr>
          <w:rFonts w:ascii="宋体" w:hAnsi="宋体" w:cs="仿宋"/>
          <w:sz w:val="24"/>
        </w:rPr>
      </w:pPr>
      <w:r>
        <w:rPr>
          <w:rFonts w:hint="eastAsia" w:ascii="宋体" w:hAnsi="宋体" w:cs="仿宋"/>
          <w:sz w:val="24"/>
        </w:rPr>
        <w:t>（2）授权委托书(适用于有委托代理人的情况)</w:t>
      </w:r>
    </w:p>
    <w:p>
      <w:pPr>
        <w:adjustRightInd w:val="0"/>
        <w:snapToGrid w:val="0"/>
        <w:spacing w:line="600" w:lineRule="exact"/>
        <w:jc w:val="both"/>
        <w:rPr>
          <w:rFonts w:ascii="宋体" w:hAnsi="宋体" w:cs="仿宋"/>
          <w:sz w:val="24"/>
        </w:rPr>
      </w:pPr>
      <w:r>
        <w:rPr>
          <w:rFonts w:hint="eastAsia" w:ascii="宋体" w:hAnsi="宋体" w:cs="仿宋"/>
          <w:sz w:val="24"/>
        </w:rPr>
        <w:t>（3）商务和技术偏差表</w:t>
      </w:r>
    </w:p>
    <w:p>
      <w:pPr>
        <w:adjustRightInd w:val="0"/>
        <w:snapToGrid w:val="0"/>
        <w:spacing w:line="600" w:lineRule="exact"/>
        <w:jc w:val="both"/>
        <w:rPr>
          <w:rFonts w:ascii="宋体" w:hAnsi="宋体" w:cs="仿宋"/>
          <w:sz w:val="24"/>
        </w:rPr>
      </w:pPr>
      <w:r>
        <w:rPr>
          <w:rFonts w:hint="eastAsia" w:ascii="宋体" w:hAnsi="宋体" w:cs="仿宋"/>
          <w:sz w:val="24"/>
        </w:rPr>
        <w:t>（4）报价表</w:t>
      </w:r>
    </w:p>
    <w:p>
      <w:pPr>
        <w:adjustRightInd w:val="0"/>
        <w:snapToGrid w:val="0"/>
        <w:spacing w:line="600" w:lineRule="exact"/>
        <w:jc w:val="both"/>
        <w:rPr>
          <w:rFonts w:ascii="宋体" w:hAnsi="宋体" w:cs="仿宋"/>
          <w:sz w:val="24"/>
        </w:rPr>
      </w:pPr>
      <w:r>
        <w:rPr>
          <w:rFonts w:hint="eastAsia" w:ascii="宋体" w:hAnsi="宋体" w:cs="仿宋"/>
          <w:sz w:val="24"/>
        </w:rPr>
        <w:t>（5）资格审查资料</w:t>
      </w:r>
    </w:p>
    <w:p>
      <w:pPr>
        <w:adjustRightInd w:val="0"/>
        <w:snapToGrid w:val="0"/>
        <w:spacing w:line="600" w:lineRule="exact"/>
        <w:jc w:val="both"/>
        <w:rPr>
          <w:rFonts w:ascii="宋体" w:hAnsi="宋体" w:cs="仿宋"/>
          <w:sz w:val="24"/>
        </w:rPr>
      </w:pPr>
      <w:r>
        <w:rPr>
          <w:rFonts w:hint="eastAsia" w:ascii="宋体" w:hAnsi="宋体" w:cs="仿宋"/>
          <w:sz w:val="24"/>
        </w:rPr>
        <w:t>（6）响应方案</w:t>
      </w:r>
    </w:p>
    <w:p>
      <w:pPr>
        <w:adjustRightInd w:val="0"/>
        <w:snapToGrid w:val="0"/>
        <w:spacing w:line="600" w:lineRule="exact"/>
        <w:jc w:val="both"/>
        <w:rPr>
          <w:rFonts w:ascii="宋体" w:hAnsi="宋体" w:cs="仿宋"/>
          <w:sz w:val="24"/>
        </w:rPr>
      </w:pPr>
      <w:r>
        <w:rPr>
          <w:rFonts w:hint="eastAsia" w:ascii="宋体" w:hAnsi="宋体" w:cs="仿宋"/>
          <w:sz w:val="24"/>
        </w:rPr>
        <w:t>（7）其他资料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2"/>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6.我方在此声明，所递交的响应文件及有关资料内容完整、真实和准确，且不开在第一章“采购公告”中规定的供应商不得存在的情形。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ind w:firstLine="7200" w:firstLineChars="3000"/>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asciiTheme="minorEastAsia" w:hAnsiTheme="minorEastAsia" w:eastAsiaTheme="minorEastAsia"/>
          <w:color w:val="000000"/>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480" w:firstLineChars="200"/>
        <w:jc w:val="both"/>
        <w:rPr>
          <w:rFonts w:cs="仿宋" w:asciiTheme="minorEastAsia" w:hAnsiTheme="minorEastAsia" w:eastAsiaTheme="minorEastAsia"/>
          <w:sz w:val="24"/>
        </w:rPr>
      </w:pPr>
    </w:p>
    <w:p>
      <w:pPr>
        <w:spacing w:line="360" w:lineRule="auto"/>
        <w:ind w:firstLine="4320" w:firstLineChars="18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p>
    <w:p>
      <w:pPr>
        <w:spacing w:line="360" w:lineRule="auto"/>
        <w:ind w:firstLine="3600" w:firstLineChars="15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403" w:name="_Toc11617"/>
      <w:r>
        <w:rPr>
          <w:rFonts w:hint="eastAsia" w:ascii="黑体" w:hAnsi="黑体" w:eastAsia="黑体" w:cs="仿宋"/>
          <w:sz w:val="36"/>
          <w:szCs w:val="36"/>
        </w:rPr>
        <w:t>二、授权委托书</w:t>
      </w:r>
      <w:bookmarkEnd w:id="403"/>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年_月日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404" w:name="_Toc27596"/>
      <w:r>
        <w:rPr>
          <w:rFonts w:hint="eastAsia" w:ascii="黑体" w:hAnsi="黑体" w:eastAsia="黑体" w:cs="仿宋"/>
          <w:sz w:val="36"/>
          <w:szCs w:val="36"/>
        </w:rPr>
        <w:t>三、商务和技术偏差表</w:t>
      </w:r>
      <w:bookmarkEnd w:id="404"/>
    </w:p>
    <w:p>
      <w:pPr>
        <w:spacing w:line="600" w:lineRule="exact"/>
        <w:jc w:val="center"/>
        <w:rPr>
          <w:rFonts w:cs="仿宋" w:asciiTheme="minorEastAsia" w:hAnsiTheme="minorEastAsia" w:eastAsiaTheme="minorEastAsia"/>
          <w:sz w:val="24"/>
        </w:rPr>
      </w:pP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463"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464" w:type="dxa"/>
          </w:tcPr>
          <w:p>
            <w:pPr>
              <w:widowControl/>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464" w:type="dxa"/>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widowControl/>
              <w:spacing w:line="600" w:lineRule="exact"/>
              <w:jc w:val="both"/>
              <w:rPr>
                <w:rFonts w:cs="仿宋" w:asciiTheme="minorEastAsia" w:hAnsiTheme="minorEastAsia" w:eastAsiaTheme="minorEastAsia"/>
                <w:sz w:val="24"/>
              </w:rPr>
            </w:pPr>
          </w:p>
        </w:tc>
        <w:tc>
          <w:tcPr>
            <w:tcW w:w="2463"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c>
          <w:tcPr>
            <w:tcW w:w="2464"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numPr>
          <w:ilvl w:val="0"/>
          <w:numId w:val="3"/>
        </w:numPr>
        <w:spacing w:line="600" w:lineRule="exact"/>
        <w:ind w:left="420"/>
        <w:jc w:val="center"/>
        <w:outlineLvl w:val="0"/>
        <w:rPr>
          <w:rFonts w:ascii="黑体" w:hAnsi="黑体" w:eastAsia="黑体" w:cs="仿宋"/>
          <w:sz w:val="36"/>
          <w:szCs w:val="36"/>
        </w:rPr>
      </w:pPr>
      <w:bookmarkStart w:id="405" w:name="_Toc32250"/>
      <w:r>
        <w:rPr>
          <w:rFonts w:hint="eastAsia" w:ascii="黑体" w:hAnsi="黑体" w:eastAsia="黑体" w:cs="仿宋"/>
          <w:sz w:val="36"/>
          <w:szCs w:val="36"/>
        </w:rPr>
        <w:t>报价表</w:t>
      </w:r>
      <w:bookmarkEnd w:id="405"/>
    </w:p>
    <w:p>
      <w:pPr>
        <w:autoSpaceDE w:val="0"/>
        <w:spacing w:line="400" w:lineRule="exact"/>
        <w:ind w:firstLine="480" w:firstLineChars="200"/>
        <w:jc w:val="left"/>
        <w:rPr>
          <w:rFonts w:cs="仿宋" w:asciiTheme="minorEastAsia" w:hAnsiTheme="minorEastAsia" w:eastAsiaTheme="minorEastAsia"/>
          <w:color w:val="auto"/>
          <w:sz w:val="24"/>
          <w:shd w:val="clear" w:color="auto" w:fill="auto"/>
        </w:rPr>
      </w:pPr>
      <w:bookmarkStart w:id="406" w:name="_Toc20685"/>
      <w:r>
        <w:rPr>
          <w:rFonts w:hint="eastAsia" w:cs="仿宋" w:asciiTheme="minorEastAsia" w:hAnsiTheme="minorEastAsia" w:eastAsiaTheme="minorEastAsia"/>
          <w:color w:val="auto"/>
          <w:sz w:val="24"/>
          <w:shd w:val="clear" w:color="auto" w:fill="auto"/>
        </w:rPr>
        <w:t>采购人根据</w:t>
      </w:r>
      <w:r>
        <w:rPr>
          <w:rFonts w:hint="eastAsia" w:cs="仿宋" w:asciiTheme="minorEastAsia" w:hAnsiTheme="minorEastAsia" w:eastAsiaTheme="minorEastAsia"/>
          <w:color w:val="auto"/>
          <w:sz w:val="24"/>
          <w:shd w:val="clear" w:color="auto" w:fill="auto"/>
          <w:lang w:eastAsia="zh-CN"/>
        </w:rPr>
        <w:t>第五章采购需求中的</w:t>
      </w:r>
      <w:r>
        <w:rPr>
          <w:rFonts w:hint="eastAsia" w:ascii="宋体" w:hAnsi="宋体" w:eastAsia="宋体" w:cs="宋体"/>
          <w:b w:val="0"/>
          <w:bCs w:val="0"/>
          <w:i w:val="0"/>
          <w:iCs w:val="0"/>
          <w:color w:val="000000"/>
          <w:kern w:val="0"/>
          <w:sz w:val="24"/>
          <w:szCs w:val="24"/>
          <w:u w:val="none"/>
          <w:lang w:val="en-US" w:eastAsia="zh-CN" w:bidi="ar"/>
        </w:rPr>
        <w:t>工程明细表</w:t>
      </w:r>
      <w:r>
        <w:rPr>
          <w:rFonts w:hint="eastAsia" w:cs="仿宋" w:asciiTheme="minorEastAsia" w:hAnsiTheme="minorEastAsia" w:eastAsiaTheme="minorEastAsia"/>
          <w:color w:val="auto"/>
          <w:sz w:val="24"/>
          <w:shd w:val="clear" w:color="auto" w:fill="auto"/>
        </w:rPr>
        <w:t>编制</w:t>
      </w:r>
      <w:r>
        <w:rPr>
          <w:rFonts w:hint="eastAsia" w:cs="仿宋" w:asciiTheme="minorEastAsia" w:hAnsiTheme="minorEastAsia" w:eastAsiaTheme="minorEastAsia"/>
          <w:color w:val="auto"/>
          <w:sz w:val="24"/>
          <w:shd w:val="clear" w:color="auto" w:fill="auto"/>
          <w:lang w:eastAsia="zh-CN"/>
        </w:rPr>
        <w:t>本</w:t>
      </w:r>
      <w:r>
        <w:rPr>
          <w:rFonts w:hint="eastAsia" w:cs="仿宋" w:asciiTheme="minorEastAsia" w:hAnsiTheme="minorEastAsia" w:eastAsiaTheme="minorEastAsia"/>
          <w:color w:val="auto"/>
          <w:sz w:val="24"/>
          <w:shd w:val="clear" w:color="auto" w:fill="auto"/>
        </w:rPr>
        <w:t>项目的报价表。</w:t>
      </w: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hint="eastAsia" w:ascii="黑体" w:hAnsi="黑体" w:eastAsia="黑体" w:cs="仿宋"/>
          <w:sz w:val="36"/>
          <w:szCs w:val="36"/>
        </w:rPr>
      </w:pPr>
    </w:p>
    <w:p>
      <w:pPr>
        <w:spacing w:line="600" w:lineRule="exact"/>
        <w:jc w:val="center"/>
        <w:outlineLvl w:val="0"/>
        <w:rPr>
          <w:rFonts w:ascii="黑体" w:hAnsi="黑体" w:eastAsia="黑体" w:cs="仿宋"/>
          <w:sz w:val="36"/>
          <w:szCs w:val="36"/>
        </w:rPr>
      </w:pPr>
      <w:r>
        <w:rPr>
          <w:rFonts w:hint="eastAsia" w:ascii="黑体" w:hAnsi="黑体" w:eastAsia="黑体" w:cs="仿宋"/>
          <w:sz w:val="36"/>
          <w:szCs w:val="36"/>
        </w:rPr>
        <w:t>五、资格审查资料</w:t>
      </w:r>
      <w:bookmarkEnd w:id="406"/>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供应商还应根据供应商须知前附表第3.5（5）项、第3.5（7）项和第3.5（8）项的要求提供其他相关证明材料。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（二）近年财务状况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供应商应根据供应商须知前附表第3.5（3）项的要求提供近年财务会计报表复印件，没有要求则可以不提供。</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c>
          <w:tcPr>
            <w:tcW w:w="197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（四）拟委任的主要人员汇总表</w:t>
      </w:r>
    </w:p>
    <w:tbl>
      <w:tblPr>
        <w:tblStyle w:val="4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本项目任职</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姓名</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职称</w:t>
            </w:r>
          </w:p>
        </w:tc>
        <w:tc>
          <w:tcPr>
            <w:tcW w:w="1095" w:type="dxa"/>
            <w:vMerge w:val="restart"/>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专业</w:t>
            </w:r>
          </w:p>
        </w:tc>
        <w:tc>
          <w:tcPr>
            <w:tcW w:w="3285" w:type="dxa"/>
            <w:gridSpan w:val="3"/>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执业或职业资格证明</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vMerge w:val="continue"/>
          </w:tcPr>
          <w:p>
            <w:pPr>
              <w:widowControl/>
              <w:spacing w:line="288" w:lineRule="auto"/>
              <w:jc w:val="both"/>
              <w:rPr>
                <w:rFonts w:cs="仿宋" w:asciiTheme="minorEastAsia" w:hAnsiTheme="minorEastAsia" w:eastAsiaTheme="minorEastAsia"/>
                <w:sz w:val="24"/>
              </w:rPr>
            </w:pP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证书名称</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级别</w:t>
            </w:r>
          </w:p>
        </w:tc>
        <w:tc>
          <w:tcPr>
            <w:tcW w:w="1095" w:type="dxa"/>
          </w:tcPr>
          <w:p>
            <w:pPr>
              <w:widowControl/>
              <w:spacing w:line="288"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证号</w:t>
            </w:r>
          </w:p>
        </w:tc>
        <w:tc>
          <w:tcPr>
            <w:tcW w:w="1095"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c>
          <w:tcPr>
            <w:tcW w:w="1095" w:type="dxa"/>
          </w:tcPr>
          <w:p>
            <w:pPr>
              <w:widowControl/>
              <w:spacing w:line="600" w:lineRule="exact"/>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p>
    <w:p>
      <w:pPr>
        <w:pStyle w:val="4"/>
        <w:spacing w:before="0" w:after="0" w:line="380" w:lineRule="atLeast"/>
        <w:jc w:val="both"/>
        <w:rPr>
          <w:rFonts w:asciiTheme="minorEastAsia" w:hAnsiTheme="minorEastAsia" w:eastAsiaTheme="minorEastAsia"/>
          <w:b w:val="0"/>
          <w:sz w:val="24"/>
          <w:szCs w:val="24"/>
        </w:rPr>
      </w:pPr>
      <w:bookmarkStart w:id="407" w:name="_Toc10027"/>
      <w:r>
        <w:rPr>
          <w:rFonts w:hint="eastAsia" w:asciiTheme="minorEastAsia" w:hAnsiTheme="minorEastAsia" w:eastAsiaTheme="minorEastAsia"/>
          <w:b w:val="0"/>
          <w:sz w:val="24"/>
          <w:szCs w:val="24"/>
        </w:rPr>
        <w:t>（五）</w:t>
      </w:r>
      <w:r>
        <w:rPr>
          <w:rFonts w:hint="eastAsia" w:asciiTheme="minorEastAsia" w:hAnsiTheme="minorEastAsia" w:eastAsiaTheme="minorEastAsia"/>
          <w:b w:val="0"/>
          <w:sz w:val="24"/>
          <w:szCs w:val="24"/>
          <w:lang w:val="en-US" w:eastAsia="zh-CN"/>
        </w:rPr>
        <w:t>项目负责人</w:t>
      </w:r>
      <w:r>
        <w:rPr>
          <w:rFonts w:hint="eastAsia" w:asciiTheme="minorEastAsia" w:hAnsiTheme="minorEastAsia" w:eastAsiaTheme="minorEastAsia"/>
          <w:b w:val="0"/>
          <w:sz w:val="24"/>
          <w:szCs w:val="24"/>
        </w:rPr>
        <w:t>简</w:t>
      </w:r>
      <w:r>
        <w:rPr>
          <w:rFonts w:asciiTheme="minorEastAsia" w:hAnsiTheme="minorEastAsia" w:eastAsiaTheme="minorEastAsia"/>
          <w:b w:val="0"/>
          <w:sz w:val="24"/>
          <w:szCs w:val="24"/>
        </w:rPr>
        <w:t>历表</w:t>
      </w:r>
      <w:bookmarkEnd w:id="407"/>
    </w:p>
    <w:tbl>
      <w:tblPr>
        <w:tblStyle w:val="43"/>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9"/>
        <w:gridCol w:w="238"/>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姓    名</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年    龄</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cs="仿宋" w:asciiTheme="minorEastAsia" w:hAnsiTheme="minorEastAsia" w:eastAsiaTheme="minorEastAsia"/>
                <w:sz w:val="24"/>
              </w:rPr>
              <w:t>执业或职业资格证书名称</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职称</w:t>
            </w:r>
          </w:p>
        </w:tc>
        <w:tc>
          <w:tcPr>
            <w:tcW w:w="1853"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1177"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学    历</w:t>
            </w:r>
          </w:p>
        </w:tc>
        <w:tc>
          <w:tcPr>
            <w:tcW w:w="1534" w:type="dxa"/>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拟在本</w:t>
            </w:r>
            <w:r>
              <w:rPr>
                <w:rFonts w:hint="eastAsia" w:asciiTheme="minorEastAsia" w:hAnsiTheme="minorEastAsia" w:eastAsiaTheme="minorEastAsia"/>
                <w:sz w:val="24"/>
              </w:rPr>
              <w:t>项目</w:t>
            </w:r>
            <w:r>
              <w:rPr>
                <w:rFonts w:asciiTheme="minorEastAsia" w:hAnsiTheme="minorEastAsia" w:eastAsiaTheme="minorEastAsia"/>
                <w:sz w:val="24"/>
              </w:rPr>
              <w:t>任职</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89" w:type="dxa"/>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asciiTheme="minorEastAsia" w:hAnsiTheme="minorEastAsia" w:eastAsiaTheme="minorEastAsia"/>
                <w:sz w:val="24"/>
              </w:rPr>
              <w:t>工作年限</w:t>
            </w:r>
          </w:p>
        </w:tc>
        <w:tc>
          <w:tcPr>
            <w:tcW w:w="4564" w:type="dxa"/>
            <w:gridSpan w:val="4"/>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c>
          <w:tcPr>
            <w:tcW w:w="2088" w:type="dxa"/>
            <w:gridSpan w:val="2"/>
            <w:vAlign w:val="center"/>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r>
              <w:rPr>
                <w:rFonts w:hint="eastAsia" w:asciiTheme="minorEastAsia" w:hAnsiTheme="minorEastAsia" w:eastAsiaTheme="minorEastAsia"/>
                <w:sz w:val="24"/>
              </w:rPr>
              <w:t>从事</w:t>
            </w:r>
            <w:r>
              <w:rPr>
                <w:rFonts w:asciiTheme="minorEastAsia" w:hAnsiTheme="minorEastAsia" w:eastAsiaTheme="minorEastAsia"/>
                <w:sz w:val="24"/>
              </w:rPr>
              <w:t>类似</w:t>
            </w:r>
            <w:r>
              <w:rPr>
                <w:rFonts w:hint="eastAsia" w:asciiTheme="minorEastAsia" w:hAnsiTheme="minorEastAsia" w:eastAsiaTheme="minorEastAsia"/>
                <w:sz w:val="24"/>
              </w:rPr>
              <w:t>工作</w:t>
            </w:r>
            <w:r>
              <w:rPr>
                <w:rFonts w:asciiTheme="minorEastAsia" w:hAnsiTheme="minorEastAsia" w:eastAsiaTheme="minorEastAsia"/>
                <w:sz w:val="24"/>
              </w:rPr>
              <w:t>年限</w:t>
            </w:r>
          </w:p>
        </w:tc>
        <w:tc>
          <w:tcPr>
            <w:tcW w:w="1853" w:type="dxa"/>
            <w:gridSpan w:val="2"/>
          </w:tcPr>
          <w:p>
            <w:pPr>
              <w:autoSpaceDE w:val="0"/>
              <w:autoSpaceDN w:val="0"/>
              <w:spacing w:before="60" w:beforeLines="25" w:after="60" w:afterLines="25" w:line="400" w:lineRule="atLeast"/>
              <w:jc w:val="center"/>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189"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毕业学校</w:t>
            </w:r>
          </w:p>
        </w:tc>
        <w:tc>
          <w:tcPr>
            <w:tcW w:w="8505" w:type="dxa"/>
            <w:gridSpan w:val="8"/>
            <w:vAlign w:val="center"/>
          </w:tcPr>
          <w:p>
            <w:pPr>
              <w:autoSpaceDE w:val="0"/>
              <w:autoSpaceDN w:val="0"/>
              <w:spacing w:before="60" w:beforeLines="25" w:after="60" w:afterLines="25" w:line="400" w:lineRule="atLeast"/>
              <w:ind w:left="-187" w:leftChars="-89"/>
              <w:jc w:val="both"/>
              <w:textAlignment w:val="bottom"/>
              <w:rPr>
                <w:rFonts w:asciiTheme="minorEastAsia" w:hAnsiTheme="minorEastAsia" w:eastAsiaTheme="minorEastAsia"/>
                <w:sz w:val="24"/>
              </w:rPr>
            </w:pPr>
            <w:r>
              <w:rPr>
                <w:rFonts w:asciiTheme="minorEastAsia" w:hAnsiTheme="minorEastAsia" w:eastAsiaTheme="minorEastAsia"/>
                <w:sz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hint="eastAsia" w:asciiTheme="minorEastAsia" w:hAnsiTheme="minorEastAsia" w:eastAsiaTheme="minorEastAsia"/>
                <w:sz w:val="24"/>
              </w:rPr>
              <w:t>主要工作</w:t>
            </w:r>
            <w:r>
              <w:rPr>
                <w:rFonts w:asciiTheme="minorEastAsia" w:hAnsiTheme="minorEastAsia" w:eastAsiaTheme="minorEastAsia"/>
                <w:sz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时  间</w:t>
            </w:r>
          </w:p>
        </w:tc>
        <w:tc>
          <w:tcPr>
            <w:tcW w:w="4700" w:type="dxa"/>
            <w:gridSpan w:val="4"/>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参加过的类似项目</w:t>
            </w:r>
          </w:p>
        </w:tc>
        <w:tc>
          <w:tcPr>
            <w:tcW w:w="2142" w:type="dxa"/>
            <w:gridSpan w:val="2"/>
            <w:vAlign w:val="center"/>
          </w:tcPr>
          <w:p>
            <w:pPr>
              <w:pStyle w:val="187"/>
              <w:adjustRightInd/>
              <w:snapToGrid/>
              <w:spacing w:before="60" w:beforeLines="25" w:after="60" w:afterLines="25" w:line="400" w:lineRule="atLeast"/>
              <w:jc w:val="both"/>
              <w:textAlignment w:val="bottom"/>
              <w:rPr>
                <w:rFonts w:asciiTheme="minorEastAsia" w:hAnsiTheme="minorEastAsia" w:eastAsiaTheme="minorEastAsia"/>
                <w:spacing w:val="0"/>
                <w:kern w:val="2"/>
                <w:sz w:val="24"/>
                <w:szCs w:val="24"/>
              </w:rPr>
            </w:pPr>
            <w:r>
              <w:rPr>
                <w:rFonts w:asciiTheme="minorEastAsia" w:hAnsiTheme="minorEastAsia" w:eastAsiaTheme="minorEastAsia"/>
                <w:spacing w:val="0"/>
                <w:kern w:val="2"/>
                <w:sz w:val="24"/>
                <w:szCs w:val="24"/>
              </w:rPr>
              <w:t>担任职务</w:t>
            </w:r>
          </w:p>
        </w:tc>
        <w:tc>
          <w:tcPr>
            <w:tcW w:w="1425" w:type="dxa"/>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r>
              <w:rPr>
                <w:rFonts w:asciiTheme="minorEastAsia" w:hAnsiTheme="minorEastAsia" w:eastAsia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4700" w:type="dxa"/>
            <w:gridSpan w:val="4"/>
            <w:vAlign w:val="center"/>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2142" w:type="dxa"/>
            <w:gridSpan w:val="2"/>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c>
          <w:tcPr>
            <w:tcW w:w="1425" w:type="dxa"/>
          </w:tcPr>
          <w:p>
            <w:pPr>
              <w:autoSpaceDE w:val="0"/>
              <w:autoSpaceDN w:val="0"/>
              <w:spacing w:before="60" w:beforeLines="25" w:after="60" w:afterLines="25" w:line="400" w:lineRule="atLeast"/>
              <w:jc w:val="both"/>
              <w:textAlignment w:val="bottom"/>
              <w:rPr>
                <w:rFonts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注：供应商应根据供应商须知前附表第3.5（6）项的要求在本表后附相关证明材料。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408" w:name="_Toc14016"/>
      <w:r>
        <w:rPr>
          <w:rFonts w:hint="eastAsia" w:ascii="黑体" w:hAnsi="黑体" w:eastAsia="黑体" w:cs="仿宋"/>
          <w:sz w:val="36"/>
          <w:szCs w:val="36"/>
        </w:rPr>
        <w:t>六、响应方案</w:t>
      </w:r>
      <w:bookmarkEnd w:id="408"/>
    </w:p>
    <w:p>
      <w:pPr>
        <w:pStyle w:val="41"/>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(6)服务质量、进度、保密等保证措施;</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(7)服务工作重点、难点分析;</w:t>
      </w: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(8)对本项目的合理化建议。</w:t>
      </w: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409" w:name="_Toc4712"/>
      <w:r>
        <w:rPr>
          <w:rFonts w:hint="eastAsia" w:ascii="黑体" w:hAnsi="黑体" w:eastAsia="黑体" w:cs="仿宋"/>
          <w:sz w:val="36"/>
          <w:szCs w:val="36"/>
        </w:rPr>
        <w:t>七、其他资料</w:t>
      </w:r>
      <w:bookmarkEnd w:id="409"/>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rPr>
          <w:rFonts w:asciiTheme="minorEastAsia" w:hAnsiTheme="minorEastAsia" w:eastAsiaTheme="minorEastAsia"/>
          <w:sz w:val="24"/>
        </w:rPr>
      </w:pPr>
    </w:p>
    <w:sectPr>
      <w:footerReference r:id="rId7" w:type="default"/>
      <w:pgSz w:w="11906" w:h="16838"/>
      <w:pgMar w:top="1440" w:right="1080" w:bottom="1440" w:left="1080" w:header="851" w:footer="134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DD17D29-E49E-4396-BED5-FD479BC7D647}"/>
  </w:font>
  <w:font w:name="黑体">
    <w:panose1 w:val="02010609060101010101"/>
    <w:charset w:val="86"/>
    <w:family w:val="auto"/>
    <w:pitch w:val="default"/>
    <w:sig w:usb0="800002BF" w:usb1="38CF7CFA" w:usb2="00000016" w:usb3="00000000" w:csb0="00040001" w:csb1="00000000"/>
    <w:embedRegular r:id="rId2" w:fontKey="{24DDA66A-0C89-4A22-B6D2-57BB4595C4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ADBB7596-092B-436F-B634-8A2E5746B3B3}"/>
  </w:font>
  <w:font w:name="方正小标宋简体">
    <w:panose1 w:val="03000509000000000000"/>
    <w:charset w:val="86"/>
    <w:family w:val="script"/>
    <w:pitch w:val="default"/>
    <w:sig w:usb0="00000001" w:usb1="080E0000" w:usb2="00000000" w:usb3="00000000" w:csb0="00040000" w:csb1="00000000"/>
    <w:embedRegular r:id="rId4" w:fontKey="{3748773E-DE0B-4CBE-A2F8-896E94E42A6A}"/>
  </w:font>
  <w:font w:name="Wingdings 2">
    <w:panose1 w:val="05020102010507070707"/>
    <w:charset w:val="02"/>
    <w:family w:val="roman"/>
    <w:pitch w:val="default"/>
    <w:sig w:usb0="00000000" w:usb1="00000000" w:usb2="00000000" w:usb3="00000000" w:csb0="80000000" w:csb1="00000000"/>
    <w:embedRegular r:id="rId5" w:fontKey="{8F555830-45E1-4E80-9F9D-2B20426464E2}"/>
  </w:font>
  <w:font w:name="华文中宋">
    <w:panose1 w:val="02010600040101010101"/>
    <w:charset w:val="86"/>
    <w:family w:val="auto"/>
    <w:pitch w:val="default"/>
    <w:sig w:usb0="00000287" w:usb1="080F0000" w:usb2="00000000" w:usb3="00000000" w:csb0="0004009F" w:csb1="DFD70000"/>
    <w:embedRegular r:id="rId6" w:fontKey="{C2C44E57-E209-4275-80A8-135DCCCE0832}"/>
  </w:font>
  <w:font w:name="Cambria Math">
    <w:panose1 w:val="02040503050406030204"/>
    <w:charset w:val="00"/>
    <w:family w:val="roman"/>
    <w:pitch w:val="default"/>
    <w:sig w:usb0="E00006FF" w:usb1="420024FF" w:usb2="02000000" w:usb3="00000000" w:csb0="2000019F" w:csb1="00000000"/>
    <w:embedRegular r:id="rId7" w:fontKey="{F6127C00-7C61-4693-B9C1-83750890F35B}"/>
  </w:font>
  <w:font w:name="仿宋_GB2312">
    <w:panose1 w:val="02010609030101010101"/>
    <w:charset w:val="86"/>
    <w:family w:val="modern"/>
    <w:pitch w:val="default"/>
    <w:sig w:usb0="00000001" w:usb1="080E0000" w:usb2="00000000" w:usb3="00000000" w:csb0="00040000" w:csb1="00000000"/>
    <w:embedRegular r:id="rId8" w:fontKey="{6A62FDC8-78EC-47B9-9E75-1B7EA3AABF05}"/>
  </w:font>
  <w:font w:name="方正小标宋_GBK">
    <w:panose1 w:val="02000000000000000000"/>
    <w:charset w:val="86"/>
    <w:family w:val="auto"/>
    <w:pitch w:val="default"/>
    <w:sig w:usb0="A00002BF" w:usb1="38CF7CFA" w:usb2="00082016" w:usb3="00000000" w:csb0="00040001" w:csb1="00000000"/>
    <w:embedRegular r:id="rId9" w:fontKey="{A053A5FE-67D1-47AD-9E6D-FCFD509A472E}"/>
  </w:font>
  <w:font w:name="楷体_GB2312">
    <w:panose1 w:val="02010609030101010101"/>
    <w:charset w:val="86"/>
    <w:family w:val="modern"/>
    <w:pitch w:val="default"/>
    <w:sig w:usb0="00000001" w:usb1="080E0000" w:usb2="00000000" w:usb3="00000000" w:csb0="00040000" w:csb1="00000000"/>
    <w:embedRegular r:id="rId10" w:fontKey="{D4147282-7CB3-4B6E-B699-5720224CF17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0561331"/>
                    </w:sdtPr>
                    <w:sdtEndPr>
                      <w:rPr>
                        <w:sz w:val="20"/>
                      </w:rPr>
                    </w:sdtEndPr>
                    <w:sdtContent>
                      <w:p>
                        <w:pPr>
                          <w:pStyle w:val="26"/>
                          <w:spacing w:before="120" w:after="120"/>
                          <w:jc w:val="center"/>
                          <w:rPr>
                            <w:sz w:val="20"/>
                          </w:rPr>
                        </w:pPr>
                        <w:r>
                          <w:rPr>
                            <w:sz w:val="20"/>
                          </w:rPr>
                          <w:fldChar w:fldCharType="begin"/>
                        </w:r>
                        <w:r>
                          <w:rPr>
                            <w:sz w:val="20"/>
                          </w:rPr>
                          <w:instrText xml:space="preserve"> PAGE   \* MERGEFORMAT </w:instrText>
                        </w:r>
                        <w:r>
                          <w:rPr>
                            <w:sz w:val="20"/>
                          </w:rPr>
                          <w:fldChar w:fldCharType="separate"/>
                        </w:r>
                        <w:r>
                          <w:rPr>
                            <w:sz w:val="20"/>
                            <w:lang w:val="zh-CN"/>
                          </w:rPr>
                          <w:t>53</w:t>
                        </w:r>
                        <w:r>
                          <w:rPr>
                            <w:sz w:val="20"/>
                          </w:rPr>
                          <w:fldChar w:fldCharType="end"/>
                        </w:r>
                      </w:p>
                    </w:sdtContent>
                  </w:sdt>
                  <w:p>
                    <w:pPr>
                      <w:pStyle w:val="6"/>
                    </w:pP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CED67"/>
    <w:multiLevelType w:val="singleLevel"/>
    <w:tmpl w:val="03ECED67"/>
    <w:lvl w:ilvl="0" w:tentative="0">
      <w:start w:val="4"/>
      <w:numFmt w:val="decimal"/>
      <w:lvlText w:val="%1."/>
      <w:lvlJc w:val="left"/>
      <w:pPr>
        <w:tabs>
          <w:tab w:val="left" w:pos="312"/>
        </w:tabs>
      </w:pPr>
    </w:lvl>
  </w:abstractNum>
  <w:abstractNum w:abstractNumId="1">
    <w:nsid w:val="3601A173"/>
    <w:multiLevelType w:val="singleLevel"/>
    <w:tmpl w:val="3601A173"/>
    <w:lvl w:ilvl="0" w:tentative="0">
      <w:start w:val="1"/>
      <w:numFmt w:val="chineseCounting"/>
      <w:suff w:val="nothing"/>
      <w:lvlText w:val="%1、"/>
      <w:lvlJc w:val="left"/>
      <w:rPr>
        <w:rFonts w:hint="eastAsia"/>
      </w:rPr>
    </w:lvl>
  </w:abstractNum>
  <w:abstractNum w:abstractNumId="2">
    <w:nsid w:val="61E8E4BA"/>
    <w:multiLevelType w:val="singleLevel"/>
    <w:tmpl w:val="61E8E4B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3OTgzYWJlZTQ4OWUwNmU2NDgyNDg3ZTU4ZmE2OGEifQ=="/>
  </w:docVars>
  <w:rsids>
    <w:rsidRoot w:val="00124EA9"/>
    <w:rsid w:val="000021E0"/>
    <w:rsid w:val="00002637"/>
    <w:rsid w:val="00004047"/>
    <w:rsid w:val="00010F56"/>
    <w:rsid w:val="00024612"/>
    <w:rsid w:val="00044051"/>
    <w:rsid w:val="00045372"/>
    <w:rsid w:val="00045996"/>
    <w:rsid w:val="00053E1B"/>
    <w:rsid w:val="0006009C"/>
    <w:rsid w:val="00077817"/>
    <w:rsid w:val="00080B47"/>
    <w:rsid w:val="000A0047"/>
    <w:rsid w:val="000A7926"/>
    <w:rsid w:val="000B4936"/>
    <w:rsid w:val="000C4E44"/>
    <w:rsid w:val="000C5689"/>
    <w:rsid w:val="000D0FD0"/>
    <w:rsid w:val="000D3A07"/>
    <w:rsid w:val="000E5829"/>
    <w:rsid w:val="000F2F60"/>
    <w:rsid w:val="000F3D59"/>
    <w:rsid w:val="000F572C"/>
    <w:rsid w:val="000F65C5"/>
    <w:rsid w:val="00101210"/>
    <w:rsid w:val="00102E8A"/>
    <w:rsid w:val="00124EA9"/>
    <w:rsid w:val="00133753"/>
    <w:rsid w:val="00133FA7"/>
    <w:rsid w:val="00141200"/>
    <w:rsid w:val="001421A1"/>
    <w:rsid w:val="0014231F"/>
    <w:rsid w:val="001429F5"/>
    <w:rsid w:val="00143EE9"/>
    <w:rsid w:val="00144827"/>
    <w:rsid w:val="00144A0B"/>
    <w:rsid w:val="00145FF7"/>
    <w:rsid w:val="00155F5F"/>
    <w:rsid w:val="001612CF"/>
    <w:rsid w:val="0016577A"/>
    <w:rsid w:val="00172E5F"/>
    <w:rsid w:val="00175066"/>
    <w:rsid w:val="00186D78"/>
    <w:rsid w:val="0019354A"/>
    <w:rsid w:val="001A1831"/>
    <w:rsid w:val="001A77A4"/>
    <w:rsid w:val="001B2C90"/>
    <w:rsid w:val="001B336A"/>
    <w:rsid w:val="001D03F9"/>
    <w:rsid w:val="001F28D4"/>
    <w:rsid w:val="001F55EE"/>
    <w:rsid w:val="00200C8B"/>
    <w:rsid w:val="0020642B"/>
    <w:rsid w:val="00210B19"/>
    <w:rsid w:val="0021628B"/>
    <w:rsid w:val="0022239A"/>
    <w:rsid w:val="00240105"/>
    <w:rsid w:val="00244E9B"/>
    <w:rsid w:val="0026094B"/>
    <w:rsid w:val="00281C9C"/>
    <w:rsid w:val="002832EF"/>
    <w:rsid w:val="0028390B"/>
    <w:rsid w:val="0028459A"/>
    <w:rsid w:val="00292A27"/>
    <w:rsid w:val="0029714E"/>
    <w:rsid w:val="002A13A6"/>
    <w:rsid w:val="002A3646"/>
    <w:rsid w:val="002A69B8"/>
    <w:rsid w:val="002B225E"/>
    <w:rsid w:val="002B7B11"/>
    <w:rsid w:val="002D3DCC"/>
    <w:rsid w:val="002D460A"/>
    <w:rsid w:val="002E1D5F"/>
    <w:rsid w:val="002E38E3"/>
    <w:rsid w:val="002E57FF"/>
    <w:rsid w:val="002F4C12"/>
    <w:rsid w:val="00302D5A"/>
    <w:rsid w:val="0031048F"/>
    <w:rsid w:val="003220EE"/>
    <w:rsid w:val="003276E9"/>
    <w:rsid w:val="00332EC7"/>
    <w:rsid w:val="003332ED"/>
    <w:rsid w:val="00333AC7"/>
    <w:rsid w:val="003346E3"/>
    <w:rsid w:val="00335C6C"/>
    <w:rsid w:val="00340982"/>
    <w:rsid w:val="00341BE1"/>
    <w:rsid w:val="00343219"/>
    <w:rsid w:val="00350860"/>
    <w:rsid w:val="00352B11"/>
    <w:rsid w:val="003536C1"/>
    <w:rsid w:val="00371495"/>
    <w:rsid w:val="00384EDB"/>
    <w:rsid w:val="00392340"/>
    <w:rsid w:val="003A008A"/>
    <w:rsid w:val="003A21A4"/>
    <w:rsid w:val="003A35E6"/>
    <w:rsid w:val="003A47A2"/>
    <w:rsid w:val="003A7BE3"/>
    <w:rsid w:val="003B1B7D"/>
    <w:rsid w:val="003B5DE2"/>
    <w:rsid w:val="003C0E8A"/>
    <w:rsid w:val="003C71AC"/>
    <w:rsid w:val="003E7A6F"/>
    <w:rsid w:val="004179C4"/>
    <w:rsid w:val="00421015"/>
    <w:rsid w:val="004212E9"/>
    <w:rsid w:val="00445025"/>
    <w:rsid w:val="004477E9"/>
    <w:rsid w:val="004528FC"/>
    <w:rsid w:val="004529AE"/>
    <w:rsid w:val="00464986"/>
    <w:rsid w:val="00470510"/>
    <w:rsid w:val="00474349"/>
    <w:rsid w:val="00477005"/>
    <w:rsid w:val="00480E54"/>
    <w:rsid w:val="00482A85"/>
    <w:rsid w:val="00484179"/>
    <w:rsid w:val="0048561B"/>
    <w:rsid w:val="00494772"/>
    <w:rsid w:val="004A6BC6"/>
    <w:rsid w:val="004B2465"/>
    <w:rsid w:val="004B24C9"/>
    <w:rsid w:val="004B3E4A"/>
    <w:rsid w:val="004C4452"/>
    <w:rsid w:val="004D1DCD"/>
    <w:rsid w:val="004D2DC8"/>
    <w:rsid w:val="004D702E"/>
    <w:rsid w:val="004E60E1"/>
    <w:rsid w:val="004F03C7"/>
    <w:rsid w:val="004F1CF3"/>
    <w:rsid w:val="004F7BD5"/>
    <w:rsid w:val="004F7F0C"/>
    <w:rsid w:val="0050258D"/>
    <w:rsid w:val="0051116B"/>
    <w:rsid w:val="00514DA0"/>
    <w:rsid w:val="00527EEC"/>
    <w:rsid w:val="005307B3"/>
    <w:rsid w:val="005458F8"/>
    <w:rsid w:val="0054718F"/>
    <w:rsid w:val="0055203E"/>
    <w:rsid w:val="0057297F"/>
    <w:rsid w:val="0057563C"/>
    <w:rsid w:val="00580488"/>
    <w:rsid w:val="0058176A"/>
    <w:rsid w:val="005864F4"/>
    <w:rsid w:val="005932FF"/>
    <w:rsid w:val="005A24DF"/>
    <w:rsid w:val="005A43ED"/>
    <w:rsid w:val="005A70E0"/>
    <w:rsid w:val="005B251E"/>
    <w:rsid w:val="005C4BCE"/>
    <w:rsid w:val="005E5529"/>
    <w:rsid w:val="005E5C66"/>
    <w:rsid w:val="005F29AC"/>
    <w:rsid w:val="005F3C29"/>
    <w:rsid w:val="005F499C"/>
    <w:rsid w:val="00602185"/>
    <w:rsid w:val="00612206"/>
    <w:rsid w:val="00617F38"/>
    <w:rsid w:val="00620267"/>
    <w:rsid w:val="00623BDE"/>
    <w:rsid w:val="006417A4"/>
    <w:rsid w:val="006435FD"/>
    <w:rsid w:val="00645395"/>
    <w:rsid w:val="00651B0A"/>
    <w:rsid w:val="0065638A"/>
    <w:rsid w:val="00656CED"/>
    <w:rsid w:val="00660D70"/>
    <w:rsid w:val="00665B3C"/>
    <w:rsid w:val="00673382"/>
    <w:rsid w:val="00676BDB"/>
    <w:rsid w:val="00686532"/>
    <w:rsid w:val="00690B7C"/>
    <w:rsid w:val="006A12CE"/>
    <w:rsid w:val="006A499F"/>
    <w:rsid w:val="006B1EC2"/>
    <w:rsid w:val="006B3F31"/>
    <w:rsid w:val="006C735F"/>
    <w:rsid w:val="006D0C6A"/>
    <w:rsid w:val="006D3E72"/>
    <w:rsid w:val="006D4B19"/>
    <w:rsid w:val="006E037A"/>
    <w:rsid w:val="006E0909"/>
    <w:rsid w:val="006E37CB"/>
    <w:rsid w:val="006E4993"/>
    <w:rsid w:val="006E5C39"/>
    <w:rsid w:val="00702A69"/>
    <w:rsid w:val="007265BE"/>
    <w:rsid w:val="00734D60"/>
    <w:rsid w:val="007555FC"/>
    <w:rsid w:val="007623DE"/>
    <w:rsid w:val="00767FCD"/>
    <w:rsid w:val="00770FF3"/>
    <w:rsid w:val="00771629"/>
    <w:rsid w:val="00773441"/>
    <w:rsid w:val="00773E3D"/>
    <w:rsid w:val="00784672"/>
    <w:rsid w:val="00784F8A"/>
    <w:rsid w:val="00785C21"/>
    <w:rsid w:val="007964EF"/>
    <w:rsid w:val="007C2355"/>
    <w:rsid w:val="007C74E8"/>
    <w:rsid w:val="007D0497"/>
    <w:rsid w:val="007D29D4"/>
    <w:rsid w:val="007D3081"/>
    <w:rsid w:val="007E1F23"/>
    <w:rsid w:val="007E4510"/>
    <w:rsid w:val="007F1044"/>
    <w:rsid w:val="007F3D4A"/>
    <w:rsid w:val="0080745B"/>
    <w:rsid w:val="00822A51"/>
    <w:rsid w:val="00824B55"/>
    <w:rsid w:val="00840BC7"/>
    <w:rsid w:val="00855A14"/>
    <w:rsid w:val="00857A74"/>
    <w:rsid w:val="00867D79"/>
    <w:rsid w:val="008705DF"/>
    <w:rsid w:val="008762E6"/>
    <w:rsid w:val="00883782"/>
    <w:rsid w:val="00892349"/>
    <w:rsid w:val="00892DCC"/>
    <w:rsid w:val="00893136"/>
    <w:rsid w:val="008933B7"/>
    <w:rsid w:val="00896688"/>
    <w:rsid w:val="008A4531"/>
    <w:rsid w:val="008A6664"/>
    <w:rsid w:val="008B2D72"/>
    <w:rsid w:val="008C623B"/>
    <w:rsid w:val="008F63B7"/>
    <w:rsid w:val="008F6B51"/>
    <w:rsid w:val="0090589A"/>
    <w:rsid w:val="009315C2"/>
    <w:rsid w:val="00935E41"/>
    <w:rsid w:val="00935ED2"/>
    <w:rsid w:val="009413B0"/>
    <w:rsid w:val="00954F74"/>
    <w:rsid w:val="00955643"/>
    <w:rsid w:val="009573B9"/>
    <w:rsid w:val="00965E94"/>
    <w:rsid w:val="00970629"/>
    <w:rsid w:val="00983877"/>
    <w:rsid w:val="009A1BD2"/>
    <w:rsid w:val="009A24B1"/>
    <w:rsid w:val="009B084E"/>
    <w:rsid w:val="009B5405"/>
    <w:rsid w:val="009B626F"/>
    <w:rsid w:val="009B66AE"/>
    <w:rsid w:val="00A02DDD"/>
    <w:rsid w:val="00A12741"/>
    <w:rsid w:val="00A15750"/>
    <w:rsid w:val="00A1787E"/>
    <w:rsid w:val="00A2148B"/>
    <w:rsid w:val="00A24206"/>
    <w:rsid w:val="00A2462C"/>
    <w:rsid w:val="00A27204"/>
    <w:rsid w:val="00A33D67"/>
    <w:rsid w:val="00A3767B"/>
    <w:rsid w:val="00A41388"/>
    <w:rsid w:val="00A477C0"/>
    <w:rsid w:val="00A507DC"/>
    <w:rsid w:val="00A51380"/>
    <w:rsid w:val="00A54E02"/>
    <w:rsid w:val="00A67EC8"/>
    <w:rsid w:val="00A81F80"/>
    <w:rsid w:val="00A868EF"/>
    <w:rsid w:val="00A906E2"/>
    <w:rsid w:val="00AA0F15"/>
    <w:rsid w:val="00AD2A48"/>
    <w:rsid w:val="00AD2C8A"/>
    <w:rsid w:val="00AD6819"/>
    <w:rsid w:val="00AE15F3"/>
    <w:rsid w:val="00AF4CC2"/>
    <w:rsid w:val="00B01BCC"/>
    <w:rsid w:val="00B01BD9"/>
    <w:rsid w:val="00B25D89"/>
    <w:rsid w:val="00B33F50"/>
    <w:rsid w:val="00B3664B"/>
    <w:rsid w:val="00B439A9"/>
    <w:rsid w:val="00B4446C"/>
    <w:rsid w:val="00B477BC"/>
    <w:rsid w:val="00B60605"/>
    <w:rsid w:val="00B60D3D"/>
    <w:rsid w:val="00B64A25"/>
    <w:rsid w:val="00B6591E"/>
    <w:rsid w:val="00B66C84"/>
    <w:rsid w:val="00B75297"/>
    <w:rsid w:val="00B80BE7"/>
    <w:rsid w:val="00B82043"/>
    <w:rsid w:val="00B91731"/>
    <w:rsid w:val="00B9193D"/>
    <w:rsid w:val="00B92BED"/>
    <w:rsid w:val="00B938D9"/>
    <w:rsid w:val="00B95169"/>
    <w:rsid w:val="00BA4291"/>
    <w:rsid w:val="00BA6815"/>
    <w:rsid w:val="00BA6DC7"/>
    <w:rsid w:val="00BA783A"/>
    <w:rsid w:val="00BB00AF"/>
    <w:rsid w:val="00BB1B83"/>
    <w:rsid w:val="00BB53FF"/>
    <w:rsid w:val="00BC08B5"/>
    <w:rsid w:val="00BC5446"/>
    <w:rsid w:val="00BD7A21"/>
    <w:rsid w:val="00BE3A30"/>
    <w:rsid w:val="00BF2669"/>
    <w:rsid w:val="00C00CD2"/>
    <w:rsid w:val="00C03C07"/>
    <w:rsid w:val="00C12666"/>
    <w:rsid w:val="00C14B63"/>
    <w:rsid w:val="00C16814"/>
    <w:rsid w:val="00C22565"/>
    <w:rsid w:val="00C35469"/>
    <w:rsid w:val="00C35C4F"/>
    <w:rsid w:val="00C50F7B"/>
    <w:rsid w:val="00C52E06"/>
    <w:rsid w:val="00C53A90"/>
    <w:rsid w:val="00C54AC5"/>
    <w:rsid w:val="00C7182C"/>
    <w:rsid w:val="00C80A31"/>
    <w:rsid w:val="00C938B5"/>
    <w:rsid w:val="00C94DBF"/>
    <w:rsid w:val="00C9637B"/>
    <w:rsid w:val="00CB2271"/>
    <w:rsid w:val="00CB35D3"/>
    <w:rsid w:val="00CE020B"/>
    <w:rsid w:val="00CE71D2"/>
    <w:rsid w:val="00CE7226"/>
    <w:rsid w:val="00CE7D8E"/>
    <w:rsid w:val="00CF36EE"/>
    <w:rsid w:val="00D1160E"/>
    <w:rsid w:val="00D1328D"/>
    <w:rsid w:val="00D26E74"/>
    <w:rsid w:val="00D27461"/>
    <w:rsid w:val="00D30D7D"/>
    <w:rsid w:val="00D32AD3"/>
    <w:rsid w:val="00D35B47"/>
    <w:rsid w:val="00D44DE9"/>
    <w:rsid w:val="00D4514A"/>
    <w:rsid w:val="00D51582"/>
    <w:rsid w:val="00D52D42"/>
    <w:rsid w:val="00D5313A"/>
    <w:rsid w:val="00D56D4E"/>
    <w:rsid w:val="00D812B2"/>
    <w:rsid w:val="00D841AD"/>
    <w:rsid w:val="00D86B1B"/>
    <w:rsid w:val="00D90F37"/>
    <w:rsid w:val="00D92EB2"/>
    <w:rsid w:val="00D95EF5"/>
    <w:rsid w:val="00D962D6"/>
    <w:rsid w:val="00DA2E85"/>
    <w:rsid w:val="00DA3A70"/>
    <w:rsid w:val="00DA6572"/>
    <w:rsid w:val="00DB1FDD"/>
    <w:rsid w:val="00DB2007"/>
    <w:rsid w:val="00DC3790"/>
    <w:rsid w:val="00DC758D"/>
    <w:rsid w:val="00DD03AC"/>
    <w:rsid w:val="00DD081E"/>
    <w:rsid w:val="00DD63AD"/>
    <w:rsid w:val="00DD7197"/>
    <w:rsid w:val="00DE1291"/>
    <w:rsid w:val="00DF2B35"/>
    <w:rsid w:val="00E006FA"/>
    <w:rsid w:val="00E02792"/>
    <w:rsid w:val="00E07092"/>
    <w:rsid w:val="00E10A95"/>
    <w:rsid w:val="00E25112"/>
    <w:rsid w:val="00E263FD"/>
    <w:rsid w:val="00E30201"/>
    <w:rsid w:val="00E44E6A"/>
    <w:rsid w:val="00E5145F"/>
    <w:rsid w:val="00E5459C"/>
    <w:rsid w:val="00E61B4A"/>
    <w:rsid w:val="00E65DCA"/>
    <w:rsid w:val="00E828A3"/>
    <w:rsid w:val="00E839E1"/>
    <w:rsid w:val="00E8703F"/>
    <w:rsid w:val="00EA3253"/>
    <w:rsid w:val="00EB3032"/>
    <w:rsid w:val="00EB36F8"/>
    <w:rsid w:val="00EB3D32"/>
    <w:rsid w:val="00EB45C5"/>
    <w:rsid w:val="00EC1A38"/>
    <w:rsid w:val="00EC394D"/>
    <w:rsid w:val="00EC4B84"/>
    <w:rsid w:val="00EC5AF3"/>
    <w:rsid w:val="00ED0C16"/>
    <w:rsid w:val="00EE75AA"/>
    <w:rsid w:val="00F014DF"/>
    <w:rsid w:val="00F0428D"/>
    <w:rsid w:val="00F067FF"/>
    <w:rsid w:val="00F138CF"/>
    <w:rsid w:val="00F17C9D"/>
    <w:rsid w:val="00F31726"/>
    <w:rsid w:val="00F40991"/>
    <w:rsid w:val="00F449A4"/>
    <w:rsid w:val="00F51761"/>
    <w:rsid w:val="00F51B37"/>
    <w:rsid w:val="00F552F8"/>
    <w:rsid w:val="00F725CC"/>
    <w:rsid w:val="00F76C2C"/>
    <w:rsid w:val="00F86C0E"/>
    <w:rsid w:val="00F95103"/>
    <w:rsid w:val="00FA4CC3"/>
    <w:rsid w:val="00FA688E"/>
    <w:rsid w:val="00FB5348"/>
    <w:rsid w:val="00FB7FEC"/>
    <w:rsid w:val="00FC0CDA"/>
    <w:rsid w:val="00FC2557"/>
    <w:rsid w:val="00FC3155"/>
    <w:rsid w:val="00FD0360"/>
    <w:rsid w:val="00FD4D0F"/>
    <w:rsid w:val="00FD78D6"/>
    <w:rsid w:val="00FE3439"/>
    <w:rsid w:val="00FE5003"/>
    <w:rsid w:val="00FF43B1"/>
    <w:rsid w:val="00FF670A"/>
    <w:rsid w:val="01144714"/>
    <w:rsid w:val="015C7BAE"/>
    <w:rsid w:val="015D4263"/>
    <w:rsid w:val="016110F4"/>
    <w:rsid w:val="01AC7279"/>
    <w:rsid w:val="01B372CB"/>
    <w:rsid w:val="01BB3CD7"/>
    <w:rsid w:val="01CD028F"/>
    <w:rsid w:val="01D76005"/>
    <w:rsid w:val="01F71C64"/>
    <w:rsid w:val="02C82FD8"/>
    <w:rsid w:val="03EC7A55"/>
    <w:rsid w:val="047C353A"/>
    <w:rsid w:val="04A65DBC"/>
    <w:rsid w:val="05183329"/>
    <w:rsid w:val="05C8377A"/>
    <w:rsid w:val="05CD3A4B"/>
    <w:rsid w:val="05EF1FFE"/>
    <w:rsid w:val="068A5313"/>
    <w:rsid w:val="071C2DD7"/>
    <w:rsid w:val="0768291D"/>
    <w:rsid w:val="076F18AA"/>
    <w:rsid w:val="07DA03A2"/>
    <w:rsid w:val="082E2834"/>
    <w:rsid w:val="08430F2D"/>
    <w:rsid w:val="0882554E"/>
    <w:rsid w:val="08826D5B"/>
    <w:rsid w:val="08876C3D"/>
    <w:rsid w:val="09343645"/>
    <w:rsid w:val="09970B85"/>
    <w:rsid w:val="09C6304D"/>
    <w:rsid w:val="09E7100A"/>
    <w:rsid w:val="0AED2D32"/>
    <w:rsid w:val="0AF00027"/>
    <w:rsid w:val="0B0D605F"/>
    <w:rsid w:val="0B272FBD"/>
    <w:rsid w:val="0B300652"/>
    <w:rsid w:val="0B534E7F"/>
    <w:rsid w:val="0BF01CB4"/>
    <w:rsid w:val="0C905B62"/>
    <w:rsid w:val="0CCC561D"/>
    <w:rsid w:val="0CD44FE7"/>
    <w:rsid w:val="0CE02BCB"/>
    <w:rsid w:val="0D414932"/>
    <w:rsid w:val="0D8B5F9E"/>
    <w:rsid w:val="0DB72672"/>
    <w:rsid w:val="0DB759FC"/>
    <w:rsid w:val="0DBD1316"/>
    <w:rsid w:val="0DC567C6"/>
    <w:rsid w:val="0E1F3EB9"/>
    <w:rsid w:val="0E891CDE"/>
    <w:rsid w:val="0E894C6A"/>
    <w:rsid w:val="0F250657"/>
    <w:rsid w:val="0F4339B2"/>
    <w:rsid w:val="0F8B7116"/>
    <w:rsid w:val="0FD6478E"/>
    <w:rsid w:val="0FE216C6"/>
    <w:rsid w:val="100D3E04"/>
    <w:rsid w:val="101C0769"/>
    <w:rsid w:val="1029705A"/>
    <w:rsid w:val="10A157BC"/>
    <w:rsid w:val="10D715D2"/>
    <w:rsid w:val="10D814A8"/>
    <w:rsid w:val="10E35F22"/>
    <w:rsid w:val="112343A2"/>
    <w:rsid w:val="113B3D20"/>
    <w:rsid w:val="115E4704"/>
    <w:rsid w:val="119E5E08"/>
    <w:rsid w:val="11D62156"/>
    <w:rsid w:val="12362DDF"/>
    <w:rsid w:val="13692E14"/>
    <w:rsid w:val="136C60D7"/>
    <w:rsid w:val="143222F6"/>
    <w:rsid w:val="145076DA"/>
    <w:rsid w:val="149C34F4"/>
    <w:rsid w:val="14B70C0B"/>
    <w:rsid w:val="14D71FE2"/>
    <w:rsid w:val="1500069C"/>
    <w:rsid w:val="154C2B82"/>
    <w:rsid w:val="15912658"/>
    <w:rsid w:val="15CC4085"/>
    <w:rsid w:val="160A7A1D"/>
    <w:rsid w:val="160B7CDB"/>
    <w:rsid w:val="16314BAD"/>
    <w:rsid w:val="17100B20"/>
    <w:rsid w:val="17455A09"/>
    <w:rsid w:val="17594306"/>
    <w:rsid w:val="177B677A"/>
    <w:rsid w:val="17D539F2"/>
    <w:rsid w:val="17DD7BFF"/>
    <w:rsid w:val="17DF02C7"/>
    <w:rsid w:val="17FA7AA4"/>
    <w:rsid w:val="18961368"/>
    <w:rsid w:val="18A90CBA"/>
    <w:rsid w:val="18E4741C"/>
    <w:rsid w:val="19097045"/>
    <w:rsid w:val="196A4431"/>
    <w:rsid w:val="1A104EBC"/>
    <w:rsid w:val="1ABA20D4"/>
    <w:rsid w:val="1AEE5086"/>
    <w:rsid w:val="1B411176"/>
    <w:rsid w:val="1BAF1D5E"/>
    <w:rsid w:val="1C2276D5"/>
    <w:rsid w:val="1C7D1864"/>
    <w:rsid w:val="1D082A55"/>
    <w:rsid w:val="1D5D05DC"/>
    <w:rsid w:val="1DAB68D7"/>
    <w:rsid w:val="1DBB01B3"/>
    <w:rsid w:val="1DC7279C"/>
    <w:rsid w:val="1DEC3661"/>
    <w:rsid w:val="1DF50B6D"/>
    <w:rsid w:val="1E1F3B60"/>
    <w:rsid w:val="1E5803E7"/>
    <w:rsid w:val="1E901304"/>
    <w:rsid w:val="1E924450"/>
    <w:rsid w:val="1F031D0C"/>
    <w:rsid w:val="1F0F644E"/>
    <w:rsid w:val="1F2E0BFF"/>
    <w:rsid w:val="1F833B5F"/>
    <w:rsid w:val="1F9D58D9"/>
    <w:rsid w:val="1FB37BD1"/>
    <w:rsid w:val="1FBF76D7"/>
    <w:rsid w:val="205D54C9"/>
    <w:rsid w:val="20C74047"/>
    <w:rsid w:val="20F56E6A"/>
    <w:rsid w:val="210E5B18"/>
    <w:rsid w:val="212E078A"/>
    <w:rsid w:val="21391930"/>
    <w:rsid w:val="213E3A2F"/>
    <w:rsid w:val="217638AB"/>
    <w:rsid w:val="217D4062"/>
    <w:rsid w:val="22CD0ADC"/>
    <w:rsid w:val="23331D17"/>
    <w:rsid w:val="235B5479"/>
    <w:rsid w:val="23A34879"/>
    <w:rsid w:val="23BE1A45"/>
    <w:rsid w:val="23DD50AF"/>
    <w:rsid w:val="244C69D6"/>
    <w:rsid w:val="24C25045"/>
    <w:rsid w:val="24CF2408"/>
    <w:rsid w:val="25313DAC"/>
    <w:rsid w:val="25670F4C"/>
    <w:rsid w:val="2578297E"/>
    <w:rsid w:val="2584425C"/>
    <w:rsid w:val="260770CA"/>
    <w:rsid w:val="264E6DB9"/>
    <w:rsid w:val="26A05072"/>
    <w:rsid w:val="26A22F8C"/>
    <w:rsid w:val="26C45053"/>
    <w:rsid w:val="26E937DE"/>
    <w:rsid w:val="274B1A62"/>
    <w:rsid w:val="27567236"/>
    <w:rsid w:val="27637EB2"/>
    <w:rsid w:val="27E311ED"/>
    <w:rsid w:val="2872440F"/>
    <w:rsid w:val="28EE7628"/>
    <w:rsid w:val="29152BC1"/>
    <w:rsid w:val="294556CF"/>
    <w:rsid w:val="294F2DD3"/>
    <w:rsid w:val="295E13D6"/>
    <w:rsid w:val="295F1BEE"/>
    <w:rsid w:val="29E8423F"/>
    <w:rsid w:val="29FE7C6D"/>
    <w:rsid w:val="2A381933"/>
    <w:rsid w:val="2A7757C9"/>
    <w:rsid w:val="2A810C26"/>
    <w:rsid w:val="2AA915E9"/>
    <w:rsid w:val="2AB628FE"/>
    <w:rsid w:val="2AEB642C"/>
    <w:rsid w:val="2AFF24D7"/>
    <w:rsid w:val="2B1B2DAD"/>
    <w:rsid w:val="2B370856"/>
    <w:rsid w:val="2BB311E2"/>
    <w:rsid w:val="2BF10955"/>
    <w:rsid w:val="2C067D39"/>
    <w:rsid w:val="2C12050F"/>
    <w:rsid w:val="2C6F1CEE"/>
    <w:rsid w:val="2C7F01E4"/>
    <w:rsid w:val="2C9E2643"/>
    <w:rsid w:val="2D101F87"/>
    <w:rsid w:val="2D933C05"/>
    <w:rsid w:val="2DB01F60"/>
    <w:rsid w:val="2DEC6D70"/>
    <w:rsid w:val="2E1E7366"/>
    <w:rsid w:val="2E312601"/>
    <w:rsid w:val="2E41641E"/>
    <w:rsid w:val="2E944985"/>
    <w:rsid w:val="2EA27D4D"/>
    <w:rsid w:val="2EA77EE5"/>
    <w:rsid w:val="2F072B04"/>
    <w:rsid w:val="2F6261C2"/>
    <w:rsid w:val="2F744DC4"/>
    <w:rsid w:val="2F76578E"/>
    <w:rsid w:val="2FA63021"/>
    <w:rsid w:val="2FCB45CD"/>
    <w:rsid w:val="2FD26F55"/>
    <w:rsid w:val="30096558"/>
    <w:rsid w:val="30564A47"/>
    <w:rsid w:val="30DE2DAE"/>
    <w:rsid w:val="31755D3D"/>
    <w:rsid w:val="31A7659A"/>
    <w:rsid w:val="31AD6526"/>
    <w:rsid w:val="323D10CB"/>
    <w:rsid w:val="32756EB2"/>
    <w:rsid w:val="328A0351"/>
    <w:rsid w:val="32947966"/>
    <w:rsid w:val="329D4C70"/>
    <w:rsid w:val="32CB6281"/>
    <w:rsid w:val="32DA557E"/>
    <w:rsid w:val="3315374E"/>
    <w:rsid w:val="339248A7"/>
    <w:rsid w:val="347E184F"/>
    <w:rsid w:val="34874156"/>
    <w:rsid w:val="34B172B3"/>
    <w:rsid w:val="34DC45DC"/>
    <w:rsid w:val="34F111A0"/>
    <w:rsid w:val="35032B89"/>
    <w:rsid w:val="351E6AD6"/>
    <w:rsid w:val="35E068D3"/>
    <w:rsid w:val="36237A11"/>
    <w:rsid w:val="369E5F5A"/>
    <w:rsid w:val="36D57A86"/>
    <w:rsid w:val="36DA0180"/>
    <w:rsid w:val="36EC5253"/>
    <w:rsid w:val="379B30ED"/>
    <w:rsid w:val="379C1B29"/>
    <w:rsid w:val="37B50E0E"/>
    <w:rsid w:val="37E36BED"/>
    <w:rsid w:val="3806709E"/>
    <w:rsid w:val="38302D1E"/>
    <w:rsid w:val="38F94373"/>
    <w:rsid w:val="38F94F38"/>
    <w:rsid w:val="390636E6"/>
    <w:rsid w:val="3994570D"/>
    <w:rsid w:val="39C96499"/>
    <w:rsid w:val="3A1D0739"/>
    <w:rsid w:val="3A5E7CCF"/>
    <w:rsid w:val="3AB17686"/>
    <w:rsid w:val="3AF93B99"/>
    <w:rsid w:val="3B1A1435"/>
    <w:rsid w:val="3B2B40CB"/>
    <w:rsid w:val="3B786F8B"/>
    <w:rsid w:val="3C100595"/>
    <w:rsid w:val="3CCF005B"/>
    <w:rsid w:val="3CD5401F"/>
    <w:rsid w:val="3CE5260A"/>
    <w:rsid w:val="3D461FBA"/>
    <w:rsid w:val="3D5B45EF"/>
    <w:rsid w:val="3DF35B51"/>
    <w:rsid w:val="3F0013D8"/>
    <w:rsid w:val="3F044229"/>
    <w:rsid w:val="3F747742"/>
    <w:rsid w:val="3FB93C81"/>
    <w:rsid w:val="3FEA1C2A"/>
    <w:rsid w:val="402A6B1A"/>
    <w:rsid w:val="407A02DD"/>
    <w:rsid w:val="40C81736"/>
    <w:rsid w:val="40CD665F"/>
    <w:rsid w:val="41A84E5D"/>
    <w:rsid w:val="41CE0EB7"/>
    <w:rsid w:val="42B9360E"/>
    <w:rsid w:val="434A3642"/>
    <w:rsid w:val="439D4A0F"/>
    <w:rsid w:val="43BC1982"/>
    <w:rsid w:val="44553D96"/>
    <w:rsid w:val="44B15282"/>
    <w:rsid w:val="44D14A1F"/>
    <w:rsid w:val="44EF214B"/>
    <w:rsid w:val="4503099B"/>
    <w:rsid w:val="453D7EFA"/>
    <w:rsid w:val="45F2347E"/>
    <w:rsid w:val="45FD2E1E"/>
    <w:rsid w:val="46236E22"/>
    <w:rsid w:val="463D1554"/>
    <w:rsid w:val="46480423"/>
    <w:rsid w:val="46C44BD5"/>
    <w:rsid w:val="46FD0ED7"/>
    <w:rsid w:val="473A1C92"/>
    <w:rsid w:val="47592E4A"/>
    <w:rsid w:val="47BB4536"/>
    <w:rsid w:val="47D44A52"/>
    <w:rsid w:val="48B457DA"/>
    <w:rsid w:val="49055724"/>
    <w:rsid w:val="49061DFF"/>
    <w:rsid w:val="495F2766"/>
    <w:rsid w:val="4973153E"/>
    <w:rsid w:val="49A15B9F"/>
    <w:rsid w:val="49D40A5E"/>
    <w:rsid w:val="49E352A4"/>
    <w:rsid w:val="4A614654"/>
    <w:rsid w:val="4A625DAC"/>
    <w:rsid w:val="4A87331A"/>
    <w:rsid w:val="4BA044F9"/>
    <w:rsid w:val="4BA56CFA"/>
    <w:rsid w:val="4BB73BE9"/>
    <w:rsid w:val="4BEB2031"/>
    <w:rsid w:val="4C2C5768"/>
    <w:rsid w:val="4C6E0A32"/>
    <w:rsid w:val="4C8D7FB6"/>
    <w:rsid w:val="4CFB75B5"/>
    <w:rsid w:val="4D5C3D56"/>
    <w:rsid w:val="4D7D047C"/>
    <w:rsid w:val="4D992670"/>
    <w:rsid w:val="4DA67EC1"/>
    <w:rsid w:val="4DC41591"/>
    <w:rsid w:val="4DC537EF"/>
    <w:rsid w:val="4DF47F35"/>
    <w:rsid w:val="4E5E70BD"/>
    <w:rsid w:val="4E5F0909"/>
    <w:rsid w:val="4E6200BB"/>
    <w:rsid w:val="4EC14021"/>
    <w:rsid w:val="4F542C5F"/>
    <w:rsid w:val="4F544853"/>
    <w:rsid w:val="4F7855EA"/>
    <w:rsid w:val="4F940716"/>
    <w:rsid w:val="4FAF7130"/>
    <w:rsid w:val="50203001"/>
    <w:rsid w:val="50220924"/>
    <w:rsid w:val="50613214"/>
    <w:rsid w:val="515B1A65"/>
    <w:rsid w:val="519D4842"/>
    <w:rsid w:val="520004CA"/>
    <w:rsid w:val="521E5740"/>
    <w:rsid w:val="522358DC"/>
    <w:rsid w:val="523B6418"/>
    <w:rsid w:val="533D162C"/>
    <w:rsid w:val="53E549BF"/>
    <w:rsid w:val="540A51E2"/>
    <w:rsid w:val="5422279F"/>
    <w:rsid w:val="544327BF"/>
    <w:rsid w:val="54C32B11"/>
    <w:rsid w:val="54DC56F8"/>
    <w:rsid w:val="557117DE"/>
    <w:rsid w:val="56367C5B"/>
    <w:rsid w:val="56677807"/>
    <w:rsid w:val="56820D5B"/>
    <w:rsid w:val="57096D7C"/>
    <w:rsid w:val="57634CB3"/>
    <w:rsid w:val="579B0911"/>
    <w:rsid w:val="57E332D5"/>
    <w:rsid w:val="58726012"/>
    <w:rsid w:val="58D06D06"/>
    <w:rsid w:val="58EF37E0"/>
    <w:rsid w:val="58FE0B8D"/>
    <w:rsid w:val="5946045C"/>
    <w:rsid w:val="596719E0"/>
    <w:rsid w:val="59D5260B"/>
    <w:rsid w:val="59F510C8"/>
    <w:rsid w:val="5A190D99"/>
    <w:rsid w:val="5A465B9D"/>
    <w:rsid w:val="5A533C21"/>
    <w:rsid w:val="5A631C3C"/>
    <w:rsid w:val="5AC373B9"/>
    <w:rsid w:val="5AF71073"/>
    <w:rsid w:val="5AFF4E91"/>
    <w:rsid w:val="5B5A4474"/>
    <w:rsid w:val="5B6270CB"/>
    <w:rsid w:val="5B812149"/>
    <w:rsid w:val="5BB24FC7"/>
    <w:rsid w:val="5BE77BBC"/>
    <w:rsid w:val="5C9744CD"/>
    <w:rsid w:val="5D027239"/>
    <w:rsid w:val="5D1E4A62"/>
    <w:rsid w:val="5D5A5542"/>
    <w:rsid w:val="5D87033A"/>
    <w:rsid w:val="5D940B49"/>
    <w:rsid w:val="5DBD75BE"/>
    <w:rsid w:val="5DDB3A67"/>
    <w:rsid w:val="5E007081"/>
    <w:rsid w:val="5E2979F3"/>
    <w:rsid w:val="5E646A2E"/>
    <w:rsid w:val="5E96399C"/>
    <w:rsid w:val="5EA92355"/>
    <w:rsid w:val="5ED115B9"/>
    <w:rsid w:val="5EE14AF4"/>
    <w:rsid w:val="5F2E04F4"/>
    <w:rsid w:val="5F5A7169"/>
    <w:rsid w:val="5F600FC9"/>
    <w:rsid w:val="5F831A87"/>
    <w:rsid w:val="5FA558FD"/>
    <w:rsid w:val="5FBD1C78"/>
    <w:rsid w:val="5FC52CF8"/>
    <w:rsid w:val="5FC5301A"/>
    <w:rsid w:val="602D2FE8"/>
    <w:rsid w:val="608457E2"/>
    <w:rsid w:val="60CA5055"/>
    <w:rsid w:val="60E14966"/>
    <w:rsid w:val="616D757D"/>
    <w:rsid w:val="617C259E"/>
    <w:rsid w:val="61893075"/>
    <w:rsid w:val="62342CE6"/>
    <w:rsid w:val="62525166"/>
    <w:rsid w:val="62A36626"/>
    <w:rsid w:val="6329070C"/>
    <w:rsid w:val="632B72A3"/>
    <w:rsid w:val="63310F09"/>
    <w:rsid w:val="63505113"/>
    <w:rsid w:val="63B84F56"/>
    <w:rsid w:val="63ED139D"/>
    <w:rsid w:val="64337E88"/>
    <w:rsid w:val="64557A48"/>
    <w:rsid w:val="646326B7"/>
    <w:rsid w:val="64665F9D"/>
    <w:rsid w:val="64862E7E"/>
    <w:rsid w:val="65571836"/>
    <w:rsid w:val="65582AF5"/>
    <w:rsid w:val="65E54EB0"/>
    <w:rsid w:val="65FD3712"/>
    <w:rsid w:val="663E10C6"/>
    <w:rsid w:val="666552E6"/>
    <w:rsid w:val="668B7395"/>
    <w:rsid w:val="66BD298F"/>
    <w:rsid w:val="66D122B6"/>
    <w:rsid w:val="672465D3"/>
    <w:rsid w:val="67B945ED"/>
    <w:rsid w:val="67CD5453"/>
    <w:rsid w:val="67DB2C51"/>
    <w:rsid w:val="681B00BA"/>
    <w:rsid w:val="68562B5B"/>
    <w:rsid w:val="686B311E"/>
    <w:rsid w:val="68A87C0A"/>
    <w:rsid w:val="68AB6164"/>
    <w:rsid w:val="68ED7DC4"/>
    <w:rsid w:val="68F71C1C"/>
    <w:rsid w:val="69547E9C"/>
    <w:rsid w:val="6A843C76"/>
    <w:rsid w:val="6AAA1AFA"/>
    <w:rsid w:val="6AE84B3E"/>
    <w:rsid w:val="6B2F5A5F"/>
    <w:rsid w:val="6B3F724F"/>
    <w:rsid w:val="6B533C17"/>
    <w:rsid w:val="6B8307E0"/>
    <w:rsid w:val="6B860FE6"/>
    <w:rsid w:val="6C650D84"/>
    <w:rsid w:val="6C686F88"/>
    <w:rsid w:val="6C7745F7"/>
    <w:rsid w:val="6E5E463A"/>
    <w:rsid w:val="6EBD7FFE"/>
    <w:rsid w:val="6EC13E25"/>
    <w:rsid w:val="6EF262AC"/>
    <w:rsid w:val="6F251FF2"/>
    <w:rsid w:val="6F3A1809"/>
    <w:rsid w:val="6FD45398"/>
    <w:rsid w:val="70BC5E20"/>
    <w:rsid w:val="71285AAC"/>
    <w:rsid w:val="71594D33"/>
    <w:rsid w:val="715C2F1C"/>
    <w:rsid w:val="71C31377"/>
    <w:rsid w:val="71CA1F6E"/>
    <w:rsid w:val="71E74047"/>
    <w:rsid w:val="71F42B7C"/>
    <w:rsid w:val="7205398F"/>
    <w:rsid w:val="7238655B"/>
    <w:rsid w:val="729B6593"/>
    <w:rsid w:val="73163758"/>
    <w:rsid w:val="73461862"/>
    <w:rsid w:val="735008A6"/>
    <w:rsid w:val="735D2DA4"/>
    <w:rsid w:val="736C43E3"/>
    <w:rsid w:val="73BC5AD9"/>
    <w:rsid w:val="73D85E91"/>
    <w:rsid w:val="73E86E42"/>
    <w:rsid w:val="742F0E63"/>
    <w:rsid w:val="7453751A"/>
    <w:rsid w:val="746453A7"/>
    <w:rsid w:val="74E20649"/>
    <w:rsid w:val="751D57DB"/>
    <w:rsid w:val="76013066"/>
    <w:rsid w:val="76013836"/>
    <w:rsid w:val="76490038"/>
    <w:rsid w:val="764D1C01"/>
    <w:rsid w:val="76A5715B"/>
    <w:rsid w:val="76B850E0"/>
    <w:rsid w:val="77400CB2"/>
    <w:rsid w:val="77401EC1"/>
    <w:rsid w:val="7746130C"/>
    <w:rsid w:val="77A40E96"/>
    <w:rsid w:val="785F380B"/>
    <w:rsid w:val="78865DD8"/>
    <w:rsid w:val="78B44DCC"/>
    <w:rsid w:val="78BF5E4B"/>
    <w:rsid w:val="78CA23D8"/>
    <w:rsid w:val="793B59A2"/>
    <w:rsid w:val="793E01E7"/>
    <w:rsid w:val="794C72DA"/>
    <w:rsid w:val="79771CC2"/>
    <w:rsid w:val="79A347F2"/>
    <w:rsid w:val="7A0C4A94"/>
    <w:rsid w:val="7A9D3F2F"/>
    <w:rsid w:val="7ADE3A6D"/>
    <w:rsid w:val="7B2D37A3"/>
    <w:rsid w:val="7B5D7ABB"/>
    <w:rsid w:val="7B99300E"/>
    <w:rsid w:val="7B99444A"/>
    <w:rsid w:val="7BCF57C7"/>
    <w:rsid w:val="7BE401C5"/>
    <w:rsid w:val="7C375547"/>
    <w:rsid w:val="7C5F32F6"/>
    <w:rsid w:val="7D64350A"/>
    <w:rsid w:val="7DB1356C"/>
    <w:rsid w:val="7DB473AA"/>
    <w:rsid w:val="7E611BB9"/>
    <w:rsid w:val="7E850A97"/>
    <w:rsid w:val="7F190573"/>
    <w:rsid w:val="7F384243"/>
    <w:rsid w:val="7F400FC9"/>
    <w:rsid w:val="7FC46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4">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5"/>
    <w:autoRedefine/>
    <w:qFormat/>
    <w:uiPriority w:val="0"/>
    <w:pPr>
      <w:spacing w:before="100" w:beforeAutospacing="1" w:after="100" w:afterAutospacing="1"/>
      <w:outlineLvl w:val="1"/>
    </w:pPr>
    <w:rPr>
      <w:rFonts w:ascii="宋体" w:hAnsi="宋体"/>
      <w:b/>
      <w:bCs/>
      <w:kern w:val="0"/>
      <w:sz w:val="36"/>
      <w:szCs w:val="36"/>
    </w:rPr>
  </w:style>
  <w:style w:type="paragraph" w:styleId="6">
    <w:name w:val="heading 3"/>
    <w:basedOn w:val="1"/>
    <w:next w:val="1"/>
    <w:autoRedefine/>
    <w:qFormat/>
    <w:uiPriority w:val="0"/>
    <w:pPr>
      <w:keepNext/>
      <w:keepLines/>
      <w:spacing w:before="260" w:after="260" w:line="415" w:lineRule="auto"/>
      <w:outlineLvl w:val="2"/>
    </w:pPr>
    <w:rPr>
      <w:sz w:val="32"/>
      <w:szCs w:val="32"/>
    </w:rPr>
  </w:style>
  <w:style w:type="paragraph" w:styleId="7">
    <w:name w:val="heading 4"/>
    <w:basedOn w:val="1"/>
    <w:next w:val="1"/>
    <w:link w:val="190"/>
    <w:autoRedefine/>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8">
    <w:name w:val="heading 5"/>
    <w:basedOn w:val="1"/>
    <w:next w:val="1"/>
    <w:autoRedefine/>
    <w:qFormat/>
    <w:uiPriority w:val="0"/>
    <w:pPr>
      <w:keepNext/>
      <w:keepLines/>
      <w:spacing w:before="120" w:after="120"/>
      <w:outlineLvl w:val="4"/>
    </w:pPr>
    <w:rPr>
      <w:rFonts w:eastAsia="黑体"/>
      <w:bCs/>
      <w:sz w:val="28"/>
      <w:szCs w:val="28"/>
    </w:rPr>
  </w:style>
  <w:style w:type="paragraph" w:styleId="9">
    <w:name w:val="heading 6"/>
    <w:basedOn w:val="1"/>
    <w:next w:val="1"/>
    <w:autoRedefine/>
    <w:qFormat/>
    <w:uiPriority w:val="0"/>
    <w:pPr>
      <w:keepNext/>
      <w:keepLines/>
      <w:tabs>
        <w:tab w:val="left" w:pos="1440"/>
      </w:tabs>
      <w:spacing w:before="120" w:after="120"/>
      <w:ind w:hanging="1151" w:hangingChars="480"/>
      <w:outlineLvl w:val="5"/>
    </w:pPr>
    <w:rPr>
      <w:rFonts w:ascii="Arial" w:hAnsi="Arial" w:eastAsia="黑体"/>
      <w:bCs/>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8"/>
    <w:autoRedefine/>
    <w:semiHidden/>
    <w:unhideWhenUsed/>
    <w:qFormat/>
    <w:uiPriority w:val="99"/>
    <w:pPr>
      <w:spacing w:after="120"/>
    </w:pPr>
  </w:style>
  <w:style w:type="paragraph" w:customStyle="1" w:styleId="3">
    <w:name w:val="Default"/>
    <w:basedOn w:val="1"/>
    <w:autoRedefine/>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10">
    <w:name w:val="index 8"/>
    <w:basedOn w:val="1"/>
    <w:next w:val="1"/>
    <w:autoRedefine/>
    <w:qFormat/>
    <w:uiPriority w:val="0"/>
    <w:pPr>
      <w:ind w:left="1680" w:hanging="210"/>
    </w:pPr>
    <w:rPr>
      <w:rFonts w:ascii="Calibri" w:hAnsi="Calibri"/>
      <w:sz w:val="20"/>
      <w:szCs w:val="20"/>
    </w:rPr>
  </w:style>
  <w:style w:type="paragraph" w:styleId="11">
    <w:name w:val="Normal Indent"/>
    <w:basedOn w:val="1"/>
    <w:autoRedefine/>
    <w:qFormat/>
    <w:uiPriority w:val="0"/>
    <w:pPr>
      <w:spacing w:line="400" w:lineRule="exact"/>
      <w:ind w:firstLine="420"/>
    </w:pPr>
    <w:rPr>
      <w:rFonts w:ascii="Arial Narrow" w:hAnsi="Arial Narrow" w:eastAsia="华文细黑"/>
      <w:sz w:val="24"/>
      <w:szCs w:val="20"/>
    </w:rPr>
  </w:style>
  <w:style w:type="paragraph" w:styleId="12">
    <w:name w:val="caption"/>
    <w:basedOn w:val="1"/>
    <w:next w:val="1"/>
    <w:autoRedefine/>
    <w:qFormat/>
    <w:uiPriority w:val="0"/>
    <w:pPr>
      <w:spacing w:before="152" w:after="160"/>
    </w:pPr>
    <w:rPr>
      <w:rFonts w:ascii="Arial" w:hAnsi="Arial" w:eastAsia="黑体" w:cs="Arial"/>
      <w:sz w:val="20"/>
      <w:szCs w:val="20"/>
    </w:rPr>
  </w:style>
  <w:style w:type="paragraph" w:styleId="13">
    <w:name w:val="index 5"/>
    <w:basedOn w:val="1"/>
    <w:next w:val="1"/>
    <w:autoRedefine/>
    <w:qFormat/>
    <w:uiPriority w:val="0"/>
    <w:pPr>
      <w:ind w:left="1050" w:hanging="210"/>
    </w:pPr>
    <w:rPr>
      <w:rFonts w:ascii="Calibri" w:hAnsi="Calibri"/>
      <w:sz w:val="20"/>
      <w:szCs w:val="20"/>
    </w:rPr>
  </w:style>
  <w:style w:type="paragraph" w:styleId="14">
    <w:name w:val="Document Map"/>
    <w:basedOn w:val="1"/>
    <w:link w:val="175"/>
    <w:autoRedefine/>
    <w:semiHidden/>
    <w:qFormat/>
    <w:uiPriority w:val="0"/>
    <w:pPr>
      <w:shd w:val="clear" w:color="auto" w:fill="000080"/>
    </w:pPr>
    <w:rPr>
      <w:rFonts w:asciiTheme="minorHAnsi" w:hAnsiTheme="minorHAnsi" w:eastAsiaTheme="minorEastAsia" w:cstheme="minorBidi"/>
    </w:rPr>
  </w:style>
  <w:style w:type="paragraph" w:styleId="15">
    <w:name w:val="annotation text"/>
    <w:basedOn w:val="1"/>
    <w:link w:val="172"/>
    <w:autoRedefine/>
    <w:semiHidden/>
    <w:qFormat/>
    <w:uiPriority w:val="0"/>
    <w:rPr>
      <w:rFonts w:asciiTheme="minorHAnsi" w:hAnsiTheme="minorHAnsi" w:eastAsiaTheme="minorEastAsia" w:cstheme="minorBidi"/>
    </w:rPr>
  </w:style>
  <w:style w:type="paragraph" w:styleId="16">
    <w:name w:val="index 6"/>
    <w:basedOn w:val="1"/>
    <w:next w:val="1"/>
    <w:autoRedefine/>
    <w:qFormat/>
    <w:uiPriority w:val="0"/>
    <w:pPr>
      <w:ind w:left="1260" w:hanging="210"/>
    </w:pPr>
    <w:rPr>
      <w:rFonts w:ascii="Calibri" w:hAnsi="Calibri"/>
      <w:sz w:val="20"/>
      <w:szCs w:val="20"/>
    </w:rPr>
  </w:style>
  <w:style w:type="paragraph" w:styleId="17">
    <w:name w:val="Body Text 3"/>
    <w:basedOn w:val="1"/>
    <w:link w:val="183"/>
    <w:autoRedefine/>
    <w:semiHidden/>
    <w:unhideWhenUsed/>
    <w:qFormat/>
    <w:uiPriority w:val="99"/>
    <w:pPr>
      <w:spacing w:after="120"/>
    </w:pPr>
    <w:rPr>
      <w:sz w:val="16"/>
      <w:szCs w:val="16"/>
    </w:rPr>
  </w:style>
  <w:style w:type="paragraph" w:styleId="18">
    <w:name w:val="Body Text Indent"/>
    <w:basedOn w:val="1"/>
    <w:next w:val="1"/>
    <w:autoRedefine/>
    <w:unhideWhenUsed/>
    <w:qFormat/>
    <w:uiPriority w:val="99"/>
    <w:pPr>
      <w:spacing w:after="120"/>
      <w:ind w:left="420" w:leftChars="200"/>
    </w:pPr>
  </w:style>
  <w:style w:type="paragraph" w:styleId="19">
    <w:name w:val="index 4"/>
    <w:basedOn w:val="1"/>
    <w:next w:val="1"/>
    <w:autoRedefine/>
    <w:qFormat/>
    <w:uiPriority w:val="0"/>
    <w:pPr>
      <w:ind w:left="840" w:hanging="210"/>
    </w:pPr>
    <w:rPr>
      <w:rFonts w:ascii="Calibri" w:hAnsi="Calibri"/>
      <w:sz w:val="20"/>
      <w:szCs w:val="20"/>
    </w:rPr>
  </w:style>
  <w:style w:type="paragraph" w:styleId="20">
    <w:name w:val="Plain Text"/>
    <w:basedOn w:val="1"/>
    <w:link w:val="186"/>
    <w:autoRedefine/>
    <w:unhideWhenUsed/>
    <w:qFormat/>
    <w:uiPriority w:val="99"/>
    <w:pPr>
      <w:widowControl w:val="0"/>
      <w:spacing w:line="240" w:lineRule="auto"/>
      <w:jc w:val="both"/>
    </w:pPr>
    <w:rPr>
      <w:rFonts w:ascii="宋体" w:hAnsi="Courier New" w:cs="Courier New"/>
      <w:szCs w:val="21"/>
    </w:rPr>
  </w:style>
  <w:style w:type="paragraph" w:styleId="21">
    <w:name w:val="index 3"/>
    <w:basedOn w:val="1"/>
    <w:next w:val="1"/>
    <w:autoRedefine/>
    <w:qFormat/>
    <w:uiPriority w:val="0"/>
    <w:pPr>
      <w:ind w:left="630" w:hanging="210"/>
    </w:pPr>
    <w:rPr>
      <w:rFonts w:ascii="Calibri" w:hAnsi="Calibri"/>
      <w:sz w:val="20"/>
      <w:szCs w:val="20"/>
    </w:rPr>
  </w:style>
  <w:style w:type="paragraph" w:styleId="22">
    <w:name w:val="Date"/>
    <w:basedOn w:val="1"/>
    <w:next w:val="1"/>
    <w:link w:val="174"/>
    <w:autoRedefine/>
    <w:qFormat/>
    <w:uiPriority w:val="99"/>
    <w:pPr>
      <w:ind w:left="100" w:leftChars="2500"/>
    </w:pPr>
    <w:rPr>
      <w:rFonts w:asciiTheme="minorHAnsi" w:hAnsiTheme="minorHAnsi" w:eastAsiaTheme="minorEastAsia" w:cstheme="minorBidi"/>
    </w:rPr>
  </w:style>
  <w:style w:type="paragraph" w:styleId="23">
    <w:name w:val="Body Text Indent 2"/>
    <w:basedOn w:val="1"/>
    <w:link w:val="164"/>
    <w:autoRedefine/>
    <w:qFormat/>
    <w:uiPriority w:val="99"/>
    <w:pPr>
      <w:spacing w:after="120" w:line="480" w:lineRule="auto"/>
      <w:ind w:left="420" w:leftChars="200"/>
    </w:pPr>
    <w:rPr>
      <w:rFonts w:asciiTheme="minorHAnsi" w:hAnsiTheme="minorHAnsi" w:eastAsiaTheme="minorEastAsia" w:cstheme="minorBidi"/>
    </w:rPr>
  </w:style>
  <w:style w:type="paragraph" w:styleId="24">
    <w:name w:val="endnote text"/>
    <w:basedOn w:val="1"/>
    <w:link w:val="181"/>
    <w:autoRedefine/>
    <w:semiHidden/>
    <w:qFormat/>
    <w:uiPriority w:val="0"/>
    <w:pPr>
      <w:snapToGrid w:val="0"/>
    </w:pPr>
    <w:rPr>
      <w:rFonts w:asciiTheme="minorHAnsi" w:hAnsiTheme="minorHAnsi" w:eastAsiaTheme="minorEastAsia" w:cstheme="minorBidi"/>
    </w:rPr>
  </w:style>
  <w:style w:type="paragraph" w:styleId="25">
    <w:name w:val="Balloon Text"/>
    <w:basedOn w:val="1"/>
    <w:link w:val="150"/>
    <w:autoRedefine/>
    <w:qFormat/>
    <w:uiPriority w:val="99"/>
    <w:rPr>
      <w:rFonts w:asciiTheme="minorHAnsi" w:hAnsiTheme="minorHAnsi" w:eastAsiaTheme="minorEastAsia" w:cstheme="minorBidi"/>
      <w:sz w:val="18"/>
      <w:szCs w:val="18"/>
    </w:rPr>
  </w:style>
  <w:style w:type="paragraph" w:styleId="26">
    <w:name w:val="footer"/>
    <w:basedOn w:val="1"/>
    <w:link w:val="171"/>
    <w:autoRedefine/>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header"/>
    <w:basedOn w:val="1"/>
    <w:link w:val="153"/>
    <w:autoRedefine/>
    <w:qFormat/>
    <w:uiPriority w:val="99"/>
    <w:pPr>
      <w:snapToGrid w:val="0"/>
    </w:pPr>
    <w:rPr>
      <w:rFonts w:asciiTheme="minorHAnsi" w:hAnsiTheme="minorHAnsi" w:eastAsiaTheme="minorEastAsia" w:cstheme="minorBidi"/>
      <w:sz w:val="18"/>
      <w:szCs w:val="18"/>
    </w:rPr>
  </w:style>
  <w:style w:type="paragraph" w:styleId="28">
    <w:name w:val="toc 1"/>
    <w:basedOn w:val="1"/>
    <w:next w:val="1"/>
    <w:autoRedefine/>
    <w:semiHidden/>
    <w:qFormat/>
    <w:uiPriority w:val="0"/>
    <w:pPr>
      <w:tabs>
        <w:tab w:val="right" w:leader="dot" w:pos="9242"/>
      </w:tabs>
      <w:spacing w:beforeLines="25" w:afterLines="25"/>
    </w:pPr>
    <w:rPr>
      <w:rFonts w:ascii="宋体"/>
      <w:szCs w:val="21"/>
    </w:rPr>
  </w:style>
  <w:style w:type="paragraph" w:styleId="29">
    <w:name w:val="index heading"/>
    <w:basedOn w:val="1"/>
    <w:next w:val="30"/>
    <w:autoRedefine/>
    <w:qFormat/>
    <w:uiPriority w:val="0"/>
    <w:pPr>
      <w:spacing w:before="120" w:after="120"/>
      <w:jc w:val="center"/>
    </w:pPr>
    <w:rPr>
      <w:rFonts w:ascii="Calibri" w:hAnsi="Calibri"/>
      <w:b/>
      <w:bCs/>
      <w:iCs/>
      <w:szCs w:val="20"/>
    </w:rPr>
  </w:style>
  <w:style w:type="paragraph" w:styleId="30">
    <w:name w:val="index 1"/>
    <w:basedOn w:val="1"/>
    <w:next w:val="1"/>
    <w:autoRedefine/>
    <w:unhideWhenUsed/>
    <w:qFormat/>
    <w:uiPriority w:val="0"/>
  </w:style>
  <w:style w:type="paragraph" w:styleId="31">
    <w:name w:val="footnote text"/>
    <w:basedOn w:val="1"/>
    <w:link w:val="160"/>
    <w:autoRedefine/>
    <w:qFormat/>
    <w:uiPriority w:val="0"/>
    <w:pPr>
      <w:tabs>
        <w:tab w:val="left" w:pos="0"/>
      </w:tabs>
      <w:snapToGrid w:val="0"/>
      <w:ind w:left="720" w:hanging="357"/>
    </w:pPr>
    <w:rPr>
      <w:rFonts w:ascii="宋体" w:hAnsiTheme="minorHAnsi" w:eastAsiaTheme="minorEastAsia" w:cstheme="minorBidi"/>
      <w:sz w:val="18"/>
      <w:szCs w:val="18"/>
    </w:rPr>
  </w:style>
  <w:style w:type="paragraph" w:styleId="32">
    <w:name w:val="index 7"/>
    <w:basedOn w:val="1"/>
    <w:next w:val="1"/>
    <w:autoRedefine/>
    <w:qFormat/>
    <w:uiPriority w:val="0"/>
    <w:pPr>
      <w:ind w:left="1470" w:hanging="210"/>
    </w:pPr>
    <w:rPr>
      <w:rFonts w:ascii="Calibri" w:hAnsi="Calibri"/>
      <w:sz w:val="20"/>
      <w:szCs w:val="20"/>
    </w:rPr>
  </w:style>
  <w:style w:type="paragraph" w:styleId="33">
    <w:name w:val="index 9"/>
    <w:basedOn w:val="1"/>
    <w:next w:val="1"/>
    <w:autoRedefine/>
    <w:qFormat/>
    <w:uiPriority w:val="0"/>
    <w:pPr>
      <w:ind w:left="1890" w:hanging="210"/>
    </w:pPr>
    <w:rPr>
      <w:rFonts w:ascii="Calibri" w:hAnsi="Calibri"/>
      <w:sz w:val="20"/>
      <w:szCs w:val="20"/>
    </w:rPr>
  </w:style>
  <w:style w:type="paragraph" w:styleId="34">
    <w:name w:val="toc 2"/>
    <w:next w:val="1"/>
    <w:autoRedefine/>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5">
    <w:name w:val="Body Text 2"/>
    <w:basedOn w:val="1"/>
    <w:autoRedefine/>
    <w:qFormat/>
    <w:uiPriority w:val="0"/>
    <w:rPr>
      <w:bCs/>
      <w:kern w:val="0"/>
      <w:sz w:val="28"/>
      <w:szCs w:val="20"/>
    </w:rPr>
  </w:style>
  <w:style w:type="paragraph" w:styleId="36">
    <w:name w:val="HTML Preformatted"/>
    <w:basedOn w:val="1"/>
    <w:link w:val="158"/>
    <w:autoRedefine/>
    <w:qFormat/>
    <w:uiPriority w:val="0"/>
    <w:rPr>
      <w:rFonts w:ascii="Courier New" w:hAnsi="Courier New" w:cs="Courier New" w:eastAsiaTheme="minorEastAsia"/>
      <w:szCs w:val="22"/>
    </w:rPr>
  </w:style>
  <w:style w:type="paragraph" w:styleId="37">
    <w:name w:val="Normal (Web)"/>
    <w:basedOn w:val="1"/>
    <w:autoRedefine/>
    <w:unhideWhenUsed/>
    <w:qFormat/>
    <w:uiPriority w:val="99"/>
    <w:pPr>
      <w:spacing w:before="100" w:beforeAutospacing="1" w:after="100" w:afterAutospacing="1"/>
    </w:pPr>
    <w:rPr>
      <w:rFonts w:ascii="宋体" w:hAnsi="宋体" w:cs="宋体"/>
      <w:kern w:val="0"/>
      <w:sz w:val="24"/>
    </w:rPr>
  </w:style>
  <w:style w:type="paragraph" w:styleId="38">
    <w:name w:val="index 2"/>
    <w:basedOn w:val="1"/>
    <w:next w:val="1"/>
    <w:autoRedefine/>
    <w:qFormat/>
    <w:uiPriority w:val="0"/>
    <w:pPr>
      <w:ind w:left="420" w:hanging="210"/>
    </w:pPr>
    <w:rPr>
      <w:rFonts w:ascii="Calibri" w:hAnsi="Calibri"/>
      <w:sz w:val="20"/>
      <w:szCs w:val="20"/>
    </w:rPr>
  </w:style>
  <w:style w:type="paragraph" w:styleId="39">
    <w:name w:val="Title"/>
    <w:basedOn w:val="1"/>
    <w:link w:val="184"/>
    <w:autoRedefine/>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180"/>
    <w:autoRedefine/>
    <w:semiHidden/>
    <w:qFormat/>
    <w:uiPriority w:val="0"/>
    <w:rPr>
      <w:b/>
      <w:bCs/>
    </w:rPr>
  </w:style>
  <w:style w:type="paragraph" w:styleId="41">
    <w:name w:val="Body Text First Indent"/>
    <w:basedOn w:val="2"/>
    <w:autoRedefine/>
    <w:qFormat/>
    <w:uiPriority w:val="0"/>
    <w:pPr>
      <w:autoSpaceDE w:val="0"/>
      <w:autoSpaceDN w:val="0"/>
      <w:adjustRightInd w:val="0"/>
      <w:ind w:firstLine="420"/>
      <w:textAlignment w:val="baseline"/>
    </w:pPr>
    <w:rPr>
      <w:rFonts w:ascii="宋体"/>
      <w:sz w:val="34"/>
    </w:rPr>
  </w:style>
  <w:style w:type="paragraph" w:styleId="42">
    <w:name w:val="Body Text First Indent 2"/>
    <w:basedOn w:val="18"/>
    <w:next w:val="1"/>
    <w:autoRedefine/>
    <w:semiHidden/>
    <w:unhideWhenUsed/>
    <w:qFormat/>
    <w:uiPriority w:val="99"/>
    <w:pPr>
      <w:ind w:firstLine="420" w:firstLineChars="200"/>
    </w:p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22"/>
    <w:rPr>
      <w:b/>
      <w:bCs/>
    </w:rPr>
  </w:style>
  <w:style w:type="character" w:styleId="47">
    <w:name w:val="page number"/>
    <w:basedOn w:val="45"/>
    <w:autoRedefine/>
    <w:qFormat/>
    <w:uiPriority w:val="99"/>
    <w:rPr>
      <w:rFonts w:ascii="Times New Roman" w:hAnsi="Times New Roman" w:eastAsia="宋体"/>
      <w:sz w:val="18"/>
    </w:rPr>
  </w:style>
  <w:style w:type="character" w:styleId="48">
    <w:name w:val="FollowedHyperlink"/>
    <w:autoRedefine/>
    <w:qFormat/>
    <w:uiPriority w:val="0"/>
    <w:rPr>
      <w:color w:val="800080"/>
      <w:u w:val="single"/>
    </w:rPr>
  </w:style>
  <w:style w:type="character" w:styleId="49">
    <w:name w:val="Emphasis"/>
    <w:autoRedefine/>
    <w:qFormat/>
    <w:uiPriority w:val="20"/>
    <w:rPr>
      <w:color w:val="CC0000"/>
    </w:rPr>
  </w:style>
  <w:style w:type="character" w:styleId="50">
    <w:name w:val="Hyperlink"/>
    <w:autoRedefine/>
    <w:qFormat/>
    <w:uiPriority w:val="99"/>
    <w:rPr>
      <w:color w:val="0000FF"/>
      <w:spacing w:val="0"/>
      <w:w w:val="100"/>
      <w:szCs w:val="21"/>
      <w:u w:val="single"/>
      <w:lang w:val="en-US" w:eastAsia="zh-CN"/>
    </w:rPr>
  </w:style>
  <w:style w:type="character" w:styleId="51">
    <w:name w:val="annotation reference"/>
    <w:basedOn w:val="45"/>
    <w:autoRedefine/>
    <w:semiHidden/>
    <w:unhideWhenUsed/>
    <w:qFormat/>
    <w:uiPriority w:val="0"/>
    <w:rPr>
      <w:sz w:val="21"/>
      <w:szCs w:val="21"/>
    </w:rPr>
  </w:style>
  <w:style w:type="character" w:styleId="52">
    <w:name w:val="footnote reference"/>
    <w:autoRedefine/>
    <w:qFormat/>
    <w:uiPriority w:val="0"/>
    <w:rPr>
      <w:vertAlign w:val="superscript"/>
    </w:rPr>
  </w:style>
  <w:style w:type="paragraph" w:customStyle="1" w:styleId="53">
    <w:name w:val="Body Text Indent 21"/>
    <w:basedOn w:val="1"/>
    <w:next w:val="27"/>
    <w:autoRedefine/>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54">
    <w:name w:val="标题 1 字符"/>
    <w:basedOn w:val="45"/>
    <w:link w:val="4"/>
    <w:autoRedefine/>
    <w:qFormat/>
    <w:uiPriority w:val="0"/>
    <w:rPr>
      <w:rFonts w:ascii="Times New Roman" w:hAnsi="Times New Roman" w:eastAsia="宋体" w:cs="Times New Roman"/>
      <w:b/>
      <w:bCs/>
      <w:kern w:val="44"/>
      <w:sz w:val="44"/>
      <w:szCs w:val="44"/>
    </w:rPr>
  </w:style>
  <w:style w:type="character" w:customStyle="1" w:styleId="55">
    <w:name w:val="标题 2 字符"/>
    <w:basedOn w:val="45"/>
    <w:link w:val="5"/>
    <w:autoRedefine/>
    <w:qFormat/>
    <w:uiPriority w:val="0"/>
    <w:rPr>
      <w:rFonts w:ascii="宋体" w:hAnsi="宋体" w:eastAsia="宋体" w:cs="Times New Roman"/>
      <w:b/>
      <w:bCs/>
      <w:kern w:val="0"/>
      <w:sz w:val="36"/>
      <w:szCs w:val="36"/>
    </w:rPr>
  </w:style>
  <w:style w:type="character" w:customStyle="1" w:styleId="56">
    <w:name w:val="批注文字 Char"/>
    <w:autoRedefine/>
    <w:semiHidden/>
    <w:qFormat/>
    <w:uiPriority w:val="0"/>
    <w:rPr>
      <w:szCs w:val="24"/>
    </w:rPr>
  </w:style>
  <w:style w:type="character" w:customStyle="1" w:styleId="57">
    <w:name w:val="批注主题 Char"/>
    <w:autoRedefine/>
    <w:semiHidden/>
    <w:qFormat/>
    <w:uiPriority w:val="0"/>
    <w:rPr>
      <w:b/>
      <w:bCs/>
      <w:szCs w:val="24"/>
    </w:rPr>
  </w:style>
  <w:style w:type="character" w:customStyle="1" w:styleId="58">
    <w:name w:val="文档结构图 Char"/>
    <w:autoRedefine/>
    <w:semiHidden/>
    <w:qFormat/>
    <w:uiPriority w:val="0"/>
    <w:rPr>
      <w:szCs w:val="24"/>
      <w:shd w:val="clear" w:color="auto" w:fill="000080"/>
    </w:rPr>
  </w:style>
  <w:style w:type="character" w:customStyle="1" w:styleId="59">
    <w:name w:val="脚注文本 Char"/>
    <w:autoRedefine/>
    <w:qFormat/>
    <w:uiPriority w:val="0"/>
    <w:rPr>
      <w:rFonts w:ascii="宋体"/>
      <w:sz w:val="18"/>
      <w:szCs w:val="18"/>
    </w:rPr>
  </w:style>
  <w:style w:type="character" w:customStyle="1" w:styleId="60">
    <w:name w:val="con"/>
    <w:autoRedefine/>
    <w:qFormat/>
    <w:uiPriority w:val="0"/>
  </w:style>
  <w:style w:type="character" w:customStyle="1" w:styleId="61">
    <w:name w:val="bar-label2"/>
    <w:autoRedefine/>
    <w:qFormat/>
    <w:uiPriority w:val="99"/>
  </w:style>
  <w:style w:type="character" w:customStyle="1" w:styleId="62">
    <w:name w:val="正文文本缩进 2 Char"/>
    <w:autoRedefine/>
    <w:qFormat/>
    <w:uiPriority w:val="99"/>
    <w:rPr>
      <w:szCs w:val="24"/>
    </w:rPr>
  </w:style>
  <w:style w:type="character" w:customStyle="1" w:styleId="63">
    <w:name w:val="日期 Char"/>
    <w:autoRedefine/>
    <w:qFormat/>
    <w:uiPriority w:val="99"/>
    <w:rPr>
      <w:szCs w:val="24"/>
    </w:rPr>
  </w:style>
  <w:style w:type="character" w:customStyle="1" w:styleId="64">
    <w:name w:val="页脚 Char"/>
    <w:autoRedefine/>
    <w:qFormat/>
    <w:locked/>
    <w:uiPriority w:val="99"/>
    <w:rPr>
      <w:sz w:val="18"/>
      <w:szCs w:val="18"/>
    </w:rPr>
  </w:style>
  <w:style w:type="character" w:customStyle="1" w:styleId="65">
    <w:name w:val="apple-converted-space"/>
    <w:basedOn w:val="45"/>
    <w:autoRedefine/>
    <w:qFormat/>
    <w:uiPriority w:val="0"/>
  </w:style>
  <w:style w:type="character" w:customStyle="1" w:styleId="66">
    <w:name w:val="批注框文本 Char"/>
    <w:autoRedefine/>
    <w:qFormat/>
    <w:uiPriority w:val="99"/>
    <w:rPr>
      <w:sz w:val="18"/>
      <w:szCs w:val="18"/>
    </w:rPr>
  </w:style>
  <w:style w:type="character" w:customStyle="1" w:styleId="67">
    <w:name w:val="页眉 Char"/>
    <w:autoRedefine/>
    <w:qFormat/>
    <w:locked/>
    <w:uiPriority w:val="99"/>
    <w:rPr>
      <w:sz w:val="18"/>
      <w:szCs w:val="18"/>
    </w:rPr>
  </w:style>
  <w:style w:type="character" w:customStyle="1" w:styleId="68">
    <w:name w:val="首示例 Char"/>
    <w:link w:val="69"/>
    <w:autoRedefine/>
    <w:qFormat/>
    <w:uiPriority w:val="0"/>
    <w:rPr>
      <w:rFonts w:ascii="宋体" w:hAnsi="宋体"/>
      <w:sz w:val="18"/>
      <w:szCs w:val="18"/>
    </w:rPr>
  </w:style>
  <w:style w:type="paragraph" w:customStyle="1" w:styleId="69">
    <w:name w:val="首示例"/>
    <w:next w:val="70"/>
    <w:link w:val="68"/>
    <w:autoRedefine/>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70">
    <w:name w:val="段"/>
    <w:link w:val="71"/>
    <w:autoRedefine/>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71">
    <w:name w:val="段 Char"/>
    <w:link w:val="70"/>
    <w:autoRedefine/>
    <w:qFormat/>
    <w:uiPriority w:val="0"/>
    <w:rPr>
      <w:rFonts w:ascii="宋体"/>
    </w:rPr>
  </w:style>
  <w:style w:type="character" w:customStyle="1" w:styleId="72">
    <w:name w:val="附录公式 Char"/>
    <w:basedOn w:val="71"/>
    <w:link w:val="73"/>
    <w:autoRedefine/>
    <w:qFormat/>
    <w:uiPriority w:val="0"/>
    <w:rPr>
      <w:rFonts w:ascii="宋体"/>
    </w:rPr>
  </w:style>
  <w:style w:type="paragraph" w:customStyle="1" w:styleId="73">
    <w:name w:val="附录公式"/>
    <w:basedOn w:val="70"/>
    <w:next w:val="70"/>
    <w:link w:val="72"/>
    <w:autoRedefine/>
    <w:qFormat/>
    <w:uiPriority w:val="0"/>
  </w:style>
  <w:style w:type="character" w:customStyle="1" w:styleId="74">
    <w:name w:val="发布"/>
    <w:autoRedefine/>
    <w:qFormat/>
    <w:uiPriority w:val="0"/>
    <w:rPr>
      <w:rFonts w:ascii="黑体" w:eastAsia="黑体"/>
      <w:spacing w:val="85"/>
      <w:w w:val="100"/>
      <w:position w:val="3"/>
      <w:sz w:val="28"/>
      <w:szCs w:val="28"/>
    </w:rPr>
  </w:style>
  <w:style w:type="character" w:customStyle="1" w:styleId="75">
    <w:name w:val="一级条标题 Char"/>
    <w:link w:val="76"/>
    <w:autoRedefine/>
    <w:qFormat/>
    <w:uiPriority w:val="0"/>
    <w:rPr>
      <w:rFonts w:ascii="黑体" w:eastAsia="黑体"/>
      <w:szCs w:val="21"/>
    </w:rPr>
  </w:style>
  <w:style w:type="paragraph" w:customStyle="1" w:styleId="76">
    <w:name w:val="一级条标题"/>
    <w:next w:val="70"/>
    <w:link w:val="75"/>
    <w:autoRedefine/>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7">
    <w:name w:val="HTML 预设格式 Char"/>
    <w:autoRedefine/>
    <w:qFormat/>
    <w:uiPriority w:val="0"/>
    <w:rPr>
      <w:rFonts w:ascii="Courier New" w:hAnsi="Courier New" w:cs="Courier New"/>
    </w:rPr>
  </w:style>
  <w:style w:type="character" w:customStyle="1" w:styleId="78">
    <w:name w:val="尾注文本 Char"/>
    <w:autoRedefine/>
    <w:semiHidden/>
    <w:qFormat/>
    <w:uiPriority w:val="0"/>
    <w:rPr>
      <w:szCs w:val="24"/>
    </w:rPr>
  </w:style>
  <w:style w:type="paragraph" w:customStyle="1" w:styleId="79">
    <w:name w:val="trs_editor"/>
    <w:basedOn w:val="1"/>
    <w:autoRedefine/>
    <w:qFormat/>
    <w:uiPriority w:val="0"/>
    <w:pPr>
      <w:spacing w:before="100" w:beforeAutospacing="1" w:after="100" w:afterAutospacing="1" w:line="240" w:lineRule="auto"/>
    </w:pPr>
    <w:rPr>
      <w:rFonts w:ascii="宋体" w:hAnsi="宋体" w:cs="宋体"/>
      <w:kern w:val="0"/>
      <w:sz w:val="24"/>
    </w:rPr>
  </w:style>
  <w:style w:type="paragraph" w:customStyle="1" w:styleId="80">
    <w:name w:val="reader-word-layer"/>
    <w:basedOn w:val="1"/>
    <w:autoRedefine/>
    <w:qFormat/>
    <w:uiPriority w:val="0"/>
    <w:pPr>
      <w:spacing w:before="100" w:beforeAutospacing="1" w:after="100" w:afterAutospacing="1" w:line="240" w:lineRule="auto"/>
    </w:pPr>
    <w:rPr>
      <w:rFonts w:ascii="宋体" w:hAnsi="宋体" w:cs="宋体"/>
      <w:kern w:val="0"/>
      <w:sz w:val="24"/>
    </w:rPr>
  </w:style>
  <w:style w:type="paragraph" w:styleId="81">
    <w:name w:val="List Paragraph"/>
    <w:basedOn w:val="1"/>
    <w:autoRedefine/>
    <w:qFormat/>
    <w:uiPriority w:val="34"/>
    <w:pPr>
      <w:ind w:firstLine="420" w:firstLineChars="200"/>
    </w:pPr>
    <w:rPr>
      <w:rFonts w:ascii="宋体" w:hAnsi="宋体" w:cs="宋体"/>
      <w:kern w:val="0"/>
      <w:sz w:val="24"/>
    </w:rPr>
  </w:style>
  <w:style w:type="paragraph" w:customStyle="1" w:styleId="82">
    <w:name w:val="封面一致性程度标识2"/>
    <w:basedOn w:val="83"/>
    <w:autoRedefine/>
    <w:qFormat/>
    <w:uiPriority w:val="0"/>
    <w:pPr>
      <w:framePr w:y="4469"/>
    </w:pPr>
  </w:style>
  <w:style w:type="paragraph" w:customStyle="1" w:styleId="83">
    <w:name w:val="封面一致性程度标识"/>
    <w:basedOn w:val="84"/>
    <w:autoRedefine/>
    <w:qFormat/>
    <w:uiPriority w:val="0"/>
    <w:pPr>
      <w:spacing w:before="440"/>
    </w:pPr>
    <w:rPr>
      <w:rFonts w:ascii="宋体" w:eastAsia="宋体"/>
    </w:rPr>
  </w:style>
  <w:style w:type="paragraph" w:customStyle="1" w:styleId="84">
    <w:name w:val="封面标准英文名称"/>
    <w:basedOn w:val="85"/>
    <w:autoRedefine/>
    <w:qFormat/>
    <w:uiPriority w:val="0"/>
    <w:pPr>
      <w:spacing w:before="370" w:line="400" w:lineRule="exact"/>
    </w:pPr>
    <w:rPr>
      <w:rFonts w:ascii="Times New Roman"/>
      <w:sz w:val="28"/>
      <w:szCs w:val="28"/>
    </w:rPr>
  </w:style>
  <w:style w:type="paragraph" w:customStyle="1" w:styleId="85">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2"/>
    <w:basedOn w:val="84"/>
    <w:autoRedefine/>
    <w:qFormat/>
    <w:uiPriority w:val="0"/>
    <w:pPr>
      <w:framePr w:y="4469"/>
    </w:pPr>
  </w:style>
  <w:style w:type="paragraph" w:customStyle="1" w:styleId="87">
    <w:name w:val="其他发布日期"/>
    <w:basedOn w:val="88"/>
    <w:autoRedefine/>
    <w:qFormat/>
    <w:uiPriority w:val="0"/>
    <w:pPr>
      <w:framePr w:vAnchor="page" w:hAnchor="text" w:x="1419"/>
    </w:pPr>
  </w:style>
  <w:style w:type="paragraph" w:customStyle="1" w:styleId="88">
    <w:name w:val="发布日期"/>
    <w:autoRedefine/>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9">
    <w:name w:val="正文公式编号制表符"/>
    <w:basedOn w:val="70"/>
    <w:next w:val="70"/>
    <w:autoRedefine/>
    <w:qFormat/>
    <w:uiPriority w:val="0"/>
    <w:pPr>
      <w:ind w:firstLine="0" w:firstLineChars="0"/>
    </w:pPr>
  </w:style>
  <w:style w:type="paragraph" w:customStyle="1" w:styleId="90">
    <w:name w:val="正文表标题"/>
    <w:next w:val="70"/>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91">
    <w:name w:val="文献分类号"/>
    <w:autoRedefine/>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92">
    <w:name w:val="一级无"/>
    <w:basedOn w:val="76"/>
    <w:autoRedefine/>
    <w:qFormat/>
    <w:uiPriority w:val="0"/>
  </w:style>
  <w:style w:type="paragraph" w:customStyle="1" w:styleId="93">
    <w:name w:val="图的脚注"/>
    <w:next w:val="70"/>
    <w:autoRedefine/>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94">
    <w:name w:val="图标脚注说明"/>
    <w:basedOn w:val="70"/>
    <w:autoRedefine/>
    <w:qFormat/>
    <w:uiPriority w:val="0"/>
    <w:pPr>
      <w:ind w:left="840" w:hanging="420" w:firstLineChars="0"/>
    </w:pPr>
    <w:rPr>
      <w:sz w:val="18"/>
      <w:szCs w:val="18"/>
    </w:rPr>
  </w:style>
  <w:style w:type="paragraph" w:customStyle="1" w:styleId="95">
    <w:name w:val="示例后文字"/>
    <w:basedOn w:val="70"/>
    <w:next w:val="70"/>
    <w:autoRedefine/>
    <w:qFormat/>
    <w:uiPriority w:val="0"/>
    <w:pPr>
      <w:ind w:firstLine="360"/>
    </w:pPr>
    <w:rPr>
      <w:sz w:val="18"/>
    </w:rPr>
  </w:style>
  <w:style w:type="paragraph" w:customStyle="1" w:styleId="96">
    <w:name w:val="实施日期"/>
    <w:basedOn w:val="88"/>
    <w:autoRedefine/>
    <w:qFormat/>
    <w:uiPriority w:val="0"/>
    <w:pPr>
      <w:framePr w:vAnchor="page" w:hAnchor="text"/>
      <w:jc w:val="right"/>
    </w:pPr>
  </w:style>
  <w:style w:type="paragraph" w:customStyle="1" w:styleId="97">
    <w:name w:val="前言、引言标题"/>
    <w:next w:val="70"/>
    <w:autoRedefine/>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8">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出段落1"/>
    <w:basedOn w:val="1"/>
    <w:autoRedefine/>
    <w:qFormat/>
    <w:uiPriority w:val="0"/>
    <w:pPr>
      <w:widowControl w:val="0"/>
      <w:spacing w:line="240" w:lineRule="auto"/>
      <w:ind w:firstLine="420" w:firstLineChars="200"/>
      <w:jc w:val="both"/>
    </w:pPr>
    <w:rPr>
      <w:rFonts w:ascii="Calibri" w:hAnsi="Calibri"/>
      <w:szCs w:val="22"/>
    </w:rPr>
  </w:style>
  <w:style w:type="paragraph" w:customStyle="1" w:styleId="101">
    <w:name w:val="列项说明"/>
    <w:basedOn w:val="1"/>
    <w:autoRedefine/>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102">
    <w:name w:val="附录字母编号列项（一级）"/>
    <w:autoRedefine/>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103">
    <w:name w:val="条文脚注"/>
    <w:basedOn w:val="31"/>
    <w:autoRedefine/>
    <w:qFormat/>
    <w:uiPriority w:val="0"/>
    <w:pPr>
      <w:ind w:left="0" w:firstLine="0"/>
      <w:jc w:val="both"/>
    </w:pPr>
  </w:style>
  <w:style w:type="paragraph" w:customStyle="1" w:styleId="104">
    <w:name w:val="附录一级无"/>
    <w:basedOn w:val="105"/>
    <w:autoRedefine/>
    <w:qFormat/>
    <w:uiPriority w:val="0"/>
    <w:pPr>
      <w:tabs>
        <w:tab w:val="left" w:pos="360"/>
      </w:tabs>
      <w:spacing w:beforeLines="0" w:afterLines="0"/>
    </w:pPr>
    <w:rPr>
      <w:rFonts w:ascii="宋体" w:eastAsia="宋体"/>
      <w:szCs w:val="21"/>
    </w:rPr>
  </w:style>
  <w:style w:type="paragraph" w:customStyle="1" w:styleId="105">
    <w:name w:val="附录一级条标题"/>
    <w:basedOn w:val="106"/>
    <w:next w:val="70"/>
    <w:autoRedefine/>
    <w:qFormat/>
    <w:uiPriority w:val="0"/>
    <w:pPr>
      <w:tabs>
        <w:tab w:val="left" w:pos="360"/>
      </w:tabs>
      <w:autoSpaceDN w:val="0"/>
      <w:spacing w:beforeLines="50" w:afterLines="50"/>
      <w:outlineLvl w:val="2"/>
    </w:pPr>
  </w:style>
  <w:style w:type="paragraph" w:customStyle="1" w:styleId="106">
    <w:name w:val="附录章标题"/>
    <w:next w:val="70"/>
    <w:autoRedefine/>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五级无"/>
    <w:basedOn w:val="108"/>
    <w:autoRedefine/>
    <w:qFormat/>
    <w:uiPriority w:val="0"/>
    <w:pPr>
      <w:tabs>
        <w:tab w:val="left" w:pos="360"/>
      </w:tabs>
      <w:spacing w:beforeLines="0" w:afterLines="0"/>
    </w:pPr>
    <w:rPr>
      <w:rFonts w:ascii="宋体" w:eastAsia="宋体"/>
      <w:szCs w:val="21"/>
    </w:rPr>
  </w:style>
  <w:style w:type="paragraph" w:customStyle="1" w:styleId="108">
    <w:name w:val="附录五级条标题"/>
    <w:basedOn w:val="109"/>
    <w:next w:val="70"/>
    <w:autoRedefine/>
    <w:qFormat/>
    <w:uiPriority w:val="0"/>
    <w:pPr>
      <w:tabs>
        <w:tab w:val="left" w:pos="360"/>
      </w:tabs>
      <w:outlineLvl w:val="6"/>
    </w:pPr>
  </w:style>
  <w:style w:type="paragraph" w:customStyle="1" w:styleId="109">
    <w:name w:val="附录四级条标题"/>
    <w:basedOn w:val="110"/>
    <w:next w:val="70"/>
    <w:autoRedefine/>
    <w:qFormat/>
    <w:uiPriority w:val="0"/>
    <w:pPr>
      <w:tabs>
        <w:tab w:val="left" w:pos="360"/>
      </w:tabs>
    </w:pPr>
  </w:style>
  <w:style w:type="paragraph" w:customStyle="1" w:styleId="110">
    <w:name w:val="附录三级条标题"/>
    <w:basedOn w:val="111"/>
    <w:next w:val="70"/>
    <w:autoRedefine/>
    <w:qFormat/>
    <w:uiPriority w:val="0"/>
    <w:pPr>
      <w:tabs>
        <w:tab w:val="left" w:pos="360"/>
      </w:tabs>
    </w:pPr>
  </w:style>
  <w:style w:type="paragraph" w:customStyle="1" w:styleId="111">
    <w:name w:val="附录二级条标题"/>
    <w:basedOn w:val="1"/>
    <w:next w:val="70"/>
    <w:autoRedefine/>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图标题"/>
    <w:basedOn w:val="1"/>
    <w:next w:val="70"/>
    <w:autoRedefine/>
    <w:qFormat/>
    <w:uiPriority w:val="0"/>
    <w:pPr>
      <w:tabs>
        <w:tab w:val="left" w:pos="363"/>
      </w:tabs>
      <w:spacing w:beforeLines="50" w:afterLines="50"/>
      <w:jc w:val="center"/>
    </w:pPr>
    <w:rPr>
      <w:rFonts w:ascii="黑体" w:eastAsia="黑体"/>
      <w:szCs w:val="21"/>
    </w:rPr>
  </w:style>
  <w:style w:type="paragraph" w:customStyle="1" w:styleId="113">
    <w:name w:val="附录图标号"/>
    <w:basedOn w:val="1"/>
    <w:autoRedefine/>
    <w:qFormat/>
    <w:uiPriority w:val="0"/>
    <w:pPr>
      <w:keepNext/>
      <w:pageBreakBefore/>
      <w:spacing w:line="14" w:lineRule="exact"/>
      <w:ind w:firstLine="363"/>
      <w:jc w:val="center"/>
      <w:outlineLvl w:val="0"/>
    </w:pPr>
    <w:rPr>
      <w:color w:val="FFFFFF"/>
    </w:rPr>
  </w:style>
  <w:style w:type="paragraph" w:customStyle="1" w:styleId="114">
    <w:name w:val="附录四级无"/>
    <w:basedOn w:val="109"/>
    <w:autoRedefine/>
    <w:qFormat/>
    <w:uiPriority w:val="0"/>
    <w:pPr>
      <w:tabs>
        <w:tab w:val="clear" w:pos="360"/>
      </w:tabs>
      <w:spacing w:beforeLines="0" w:afterLines="0"/>
      <w:outlineLvl w:val="5"/>
    </w:pPr>
    <w:rPr>
      <w:rFonts w:ascii="宋体" w:eastAsia="宋体"/>
      <w:szCs w:val="21"/>
    </w:rPr>
  </w:style>
  <w:style w:type="paragraph" w:customStyle="1" w:styleId="115">
    <w:name w:val="附录三级无"/>
    <w:basedOn w:val="110"/>
    <w:autoRedefine/>
    <w:qFormat/>
    <w:uiPriority w:val="0"/>
  </w:style>
  <w:style w:type="paragraph" w:customStyle="1" w:styleId="116">
    <w:name w:val="注："/>
    <w:next w:val="70"/>
    <w:autoRedefine/>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7">
    <w:name w:val="附录公式编号制表符"/>
    <w:basedOn w:val="1"/>
    <w:next w:val="70"/>
    <w:autoRedefine/>
    <w:qFormat/>
    <w:uiPriority w:val="0"/>
    <w:pPr>
      <w:tabs>
        <w:tab w:val="center" w:pos="4201"/>
        <w:tab w:val="right" w:leader="dot" w:pos="9298"/>
      </w:tabs>
      <w:autoSpaceDE w:val="0"/>
      <w:autoSpaceDN w:val="0"/>
    </w:pPr>
    <w:rPr>
      <w:rFonts w:ascii="宋体"/>
      <w:kern w:val="0"/>
      <w:szCs w:val="20"/>
    </w:rPr>
  </w:style>
  <w:style w:type="paragraph" w:customStyle="1" w:styleId="118">
    <w:name w:val="附录二级无"/>
    <w:basedOn w:val="111"/>
    <w:autoRedefine/>
    <w:qFormat/>
    <w:uiPriority w:val="0"/>
  </w:style>
  <w:style w:type="paragraph" w:customStyle="1" w:styleId="119">
    <w:name w:val="附录标题"/>
    <w:basedOn w:val="70"/>
    <w:next w:val="70"/>
    <w:autoRedefine/>
    <w:qFormat/>
    <w:uiPriority w:val="0"/>
    <w:pPr>
      <w:ind w:firstLine="0" w:firstLineChars="0"/>
      <w:jc w:val="center"/>
    </w:pPr>
    <w:rPr>
      <w:rFonts w:ascii="黑体" w:eastAsia="黑体"/>
    </w:rPr>
  </w:style>
  <w:style w:type="paragraph" w:customStyle="1" w:styleId="120">
    <w:name w:val="参考文献"/>
    <w:basedOn w:val="1"/>
    <w:next w:val="70"/>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1">
    <w:name w:val="封面正文"/>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22">
    <w:name w:val="封面标准文稿类别"/>
    <w:basedOn w:val="83"/>
    <w:autoRedefine/>
    <w:qFormat/>
    <w:uiPriority w:val="0"/>
    <w:pPr>
      <w:spacing w:after="160" w:line="240" w:lineRule="auto"/>
    </w:pPr>
    <w:rPr>
      <w:sz w:val="24"/>
    </w:rPr>
  </w:style>
  <w:style w:type="paragraph" w:customStyle="1" w:styleId="123">
    <w:name w:val="封面标准号1"/>
    <w:autoRedefine/>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24">
    <w:name w:val="其他实施日期"/>
    <w:basedOn w:val="96"/>
    <w:autoRedefine/>
    <w:qFormat/>
    <w:uiPriority w:val="0"/>
    <w:pPr>
      <w:framePr w:vAnchor="margin" w:hAnchor="page"/>
    </w:pPr>
  </w:style>
  <w:style w:type="paragraph" w:customStyle="1" w:styleId="1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发布部门"/>
    <w:next w:val="70"/>
    <w:autoRedefine/>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7">
    <w:name w:val="注：（正文）"/>
    <w:basedOn w:val="116"/>
    <w:next w:val="70"/>
    <w:autoRedefine/>
    <w:qFormat/>
    <w:uiPriority w:val="0"/>
  </w:style>
  <w:style w:type="paragraph" w:customStyle="1" w:styleId="128">
    <w:name w:val="参考文献、索引标题"/>
    <w:basedOn w:val="1"/>
    <w:next w:val="70"/>
    <w:autoRedefine/>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9">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0">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1">
    <w:name w:val="附录数字编号列项（二级）"/>
    <w:autoRedefine/>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32">
    <w:name w:val="注×：（正文）"/>
    <w:autoRedefine/>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示例内容"/>
    <w:autoRedefine/>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34">
    <w:name w:val="示例×："/>
    <w:basedOn w:val="135"/>
    <w:autoRedefine/>
    <w:qFormat/>
    <w:uiPriority w:val="0"/>
    <w:pPr>
      <w:spacing w:beforeLines="0" w:afterLines="0"/>
      <w:ind w:firstLine="363"/>
      <w:outlineLvl w:val="9"/>
    </w:pPr>
    <w:rPr>
      <w:rFonts w:ascii="宋体" w:eastAsia="宋体"/>
      <w:sz w:val="18"/>
      <w:szCs w:val="18"/>
    </w:rPr>
  </w:style>
  <w:style w:type="paragraph" w:customStyle="1" w:styleId="135">
    <w:name w:val="章标题"/>
    <w:next w:val="70"/>
    <w:autoRedefine/>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6">
    <w:name w:val="编号列项（三级）"/>
    <w:autoRedefine/>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7">
    <w:name w:val="注×："/>
    <w:autoRedefine/>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8">
    <w:name w:val="数字编号列项（二级）"/>
    <w:autoRedefine/>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9">
    <w:name w:val="五级无"/>
    <w:basedOn w:val="140"/>
    <w:autoRedefine/>
    <w:qFormat/>
    <w:uiPriority w:val="0"/>
    <w:pPr>
      <w:spacing w:beforeLines="0" w:afterLines="0"/>
      <w:outlineLvl w:val="6"/>
    </w:pPr>
    <w:rPr>
      <w:rFonts w:ascii="宋体" w:eastAsia="宋体"/>
    </w:rPr>
  </w:style>
  <w:style w:type="paragraph" w:customStyle="1" w:styleId="140">
    <w:name w:val="五级条标题"/>
    <w:basedOn w:val="141"/>
    <w:next w:val="70"/>
    <w:autoRedefine/>
    <w:qFormat/>
    <w:uiPriority w:val="0"/>
  </w:style>
  <w:style w:type="paragraph" w:customStyle="1" w:styleId="141">
    <w:name w:val="四级条标题"/>
    <w:basedOn w:val="142"/>
    <w:next w:val="70"/>
    <w:autoRedefine/>
    <w:qFormat/>
    <w:uiPriority w:val="0"/>
  </w:style>
  <w:style w:type="paragraph" w:customStyle="1" w:styleId="142">
    <w:name w:val="三级条标题"/>
    <w:basedOn w:val="143"/>
    <w:next w:val="70"/>
    <w:autoRedefine/>
    <w:qFormat/>
    <w:uiPriority w:val="0"/>
  </w:style>
  <w:style w:type="paragraph" w:customStyle="1" w:styleId="143">
    <w:name w:val="二级条标题"/>
    <w:basedOn w:val="76"/>
    <w:next w:val="70"/>
    <w:autoRedefine/>
    <w:qFormat/>
    <w:uiPriority w:val="0"/>
  </w:style>
  <w:style w:type="paragraph" w:customStyle="1" w:styleId="144">
    <w:name w:val="四级无"/>
    <w:basedOn w:val="141"/>
    <w:autoRedefine/>
    <w:qFormat/>
    <w:uiPriority w:val="0"/>
  </w:style>
  <w:style w:type="paragraph" w:customStyle="1" w:styleId="145">
    <w:name w:val="三级无"/>
    <w:basedOn w:val="142"/>
    <w:autoRedefine/>
    <w:qFormat/>
    <w:uiPriority w:val="0"/>
  </w:style>
  <w:style w:type="paragraph" w:customStyle="1" w:styleId="146">
    <w:name w:val="其他标准标志"/>
    <w:basedOn w:val="130"/>
    <w:autoRedefine/>
    <w:qFormat/>
    <w:uiPriority w:val="0"/>
    <w:pPr>
      <w:framePr w:w="6101" w:vAnchor="page" w:hAnchor="page" w:x="4673" w:y="942"/>
    </w:pPr>
    <w:rPr>
      <w:w w:val="130"/>
    </w:rPr>
  </w:style>
  <w:style w:type="paragraph" w:customStyle="1" w:styleId="147">
    <w:name w:val="目次、标准名称标题"/>
    <w:basedOn w:val="1"/>
    <w:next w:val="70"/>
    <w:autoRedefine/>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列项——（一级）"/>
    <w:autoRedefine/>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50">
    <w:name w:val="批注框文本 字符"/>
    <w:basedOn w:val="45"/>
    <w:link w:val="25"/>
    <w:autoRedefine/>
    <w:semiHidden/>
    <w:qFormat/>
    <w:uiPriority w:val="99"/>
    <w:rPr>
      <w:rFonts w:ascii="Times New Roman" w:hAnsi="Times New Roman" w:eastAsia="宋体" w:cs="Times New Roman"/>
      <w:sz w:val="18"/>
      <w:szCs w:val="18"/>
    </w:rPr>
  </w:style>
  <w:style w:type="paragraph" w:customStyle="1" w:styleId="151">
    <w:name w:val="列项◆（三级）"/>
    <w:basedOn w:val="1"/>
    <w:autoRedefine/>
    <w:qFormat/>
    <w:uiPriority w:val="99"/>
    <w:pPr>
      <w:tabs>
        <w:tab w:val="left" w:pos="969"/>
      </w:tabs>
      <w:ind w:left="969" w:hanging="414"/>
    </w:pPr>
    <w:rPr>
      <w:rFonts w:ascii="宋体"/>
      <w:szCs w:val="21"/>
    </w:rPr>
  </w:style>
  <w:style w:type="paragraph" w:customStyle="1" w:styleId="152">
    <w:name w:val="标准书眉_奇数页"/>
    <w:next w:val="1"/>
    <w:autoRedefine/>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53">
    <w:name w:val="页眉 字符"/>
    <w:basedOn w:val="45"/>
    <w:link w:val="27"/>
    <w:autoRedefine/>
    <w:semiHidden/>
    <w:qFormat/>
    <w:uiPriority w:val="99"/>
    <w:rPr>
      <w:rFonts w:ascii="Times New Roman" w:hAnsi="Times New Roman" w:eastAsia="宋体" w:cs="Times New Roman"/>
      <w:sz w:val="18"/>
      <w:szCs w:val="18"/>
    </w:rPr>
  </w:style>
  <w:style w:type="paragraph" w:customStyle="1" w:styleId="154">
    <w:name w:val="标准书脚_奇数页"/>
    <w:autoRedefine/>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5">
    <w:name w:val="其他发布部门"/>
    <w:basedOn w:val="126"/>
    <w:autoRedefine/>
    <w:qFormat/>
    <w:uiPriority w:val="0"/>
    <w:pPr>
      <w:framePr w:y="15310"/>
      <w:spacing w:line="0" w:lineRule="atLeast"/>
    </w:pPr>
    <w:rPr>
      <w:rFonts w:ascii="黑体" w:eastAsia="黑体"/>
      <w:b w:val="0"/>
    </w:rPr>
  </w:style>
  <w:style w:type="paragraph" w:customStyle="1" w:styleId="156">
    <w:name w:val="列项说明数字编号"/>
    <w:autoRedefine/>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7">
    <w:name w:val="正文图标题"/>
    <w:next w:val="70"/>
    <w:autoRedefine/>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8">
    <w:name w:val="HTML 预设格式 字符"/>
    <w:basedOn w:val="45"/>
    <w:link w:val="36"/>
    <w:autoRedefine/>
    <w:semiHidden/>
    <w:qFormat/>
    <w:uiPriority w:val="99"/>
    <w:rPr>
      <w:rFonts w:ascii="Courier New" w:hAnsi="Courier New" w:eastAsia="宋体" w:cs="Courier New"/>
      <w:sz w:val="20"/>
      <w:szCs w:val="20"/>
    </w:rPr>
  </w:style>
  <w:style w:type="paragraph" w:customStyle="1" w:styleId="159">
    <w:name w:val="附录标识"/>
    <w:basedOn w:val="1"/>
    <w:next w:val="70"/>
    <w:autoRedefine/>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60">
    <w:name w:val="脚注文本 字符"/>
    <w:basedOn w:val="45"/>
    <w:link w:val="31"/>
    <w:autoRedefine/>
    <w:semiHidden/>
    <w:qFormat/>
    <w:uiPriority w:val="99"/>
    <w:rPr>
      <w:rFonts w:ascii="Times New Roman" w:hAnsi="Times New Roman" w:eastAsia="宋体" w:cs="Times New Roman"/>
      <w:sz w:val="18"/>
      <w:szCs w:val="18"/>
    </w:rPr>
  </w:style>
  <w:style w:type="paragraph" w:customStyle="1" w:styleId="161">
    <w:name w:val="字母编号列项（一级）"/>
    <w:autoRedefine/>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62">
    <w:name w:val="二级无"/>
    <w:basedOn w:val="143"/>
    <w:autoRedefine/>
    <w:qFormat/>
    <w:uiPriority w:val="0"/>
  </w:style>
  <w:style w:type="paragraph" w:customStyle="1" w:styleId="163">
    <w:name w:val="列项●（二级）"/>
    <w:autoRedefine/>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64">
    <w:name w:val="正文文本缩进 2 字符"/>
    <w:basedOn w:val="45"/>
    <w:link w:val="23"/>
    <w:autoRedefine/>
    <w:semiHidden/>
    <w:qFormat/>
    <w:uiPriority w:val="99"/>
    <w:rPr>
      <w:rFonts w:ascii="Times New Roman" w:hAnsi="Times New Roman" w:eastAsia="宋体" w:cs="Times New Roman"/>
      <w:szCs w:val="24"/>
    </w:rPr>
  </w:style>
  <w:style w:type="paragraph" w:customStyle="1" w:styleId="165">
    <w:name w:val="封面标准文稿编辑信息2"/>
    <w:basedOn w:val="166"/>
    <w:autoRedefine/>
    <w:qFormat/>
    <w:uiPriority w:val="0"/>
    <w:pPr>
      <w:framePr w:y="4469"/>
    </w:pPr>
  </w:style>
  <w:style w:type="paragraph" w:customStyle="1" w:styleId="166">
    <w:name w:val="封面标准文稿编辑信息"/>
    <w:basedOn w:val="122"/>
    <w:autoRedefine/>
    <w:qFormat/>
    <w:uiPriority w:val="0"/>
    <w:pPr>
      <w:spacing w:before="180" w:line="180" w:lineRule="exact"/>
    </w:pPr>
    <w:rPr>
      <w:sz w:val="21"/>
    </w:rPr>
  </w:style>
  <w:style w:type="paragraph" w:customStyle="1" w:styleId="167">
    <w:name w:val="附录表标题"/>
    <w:basedOn w:val="1"/>
    <w:next w:val="70"/>
    <w:autoRedefine/>
    <w:qFormat/>
    <w:uiPriority w:val="0"/>
    <w:pPr>
      <w:tabs>
        <w:tab w:val="left" w:pos="180"/>
      </w:tabs>
      <w:spacing w:beforeLines="50" w:afterLines="50"/>
      <w:jc w:val="center"/>
    </w:pPr>
    <w:rPr>
      <w:rFonts w:ascii="黑体" w:eastAsia="黑体"/>
      <w:szCs w:val="21"/>
    </w:rPr>
  </w:style>
  <w:style w:type="paragraph" w:customStyle="1" w:styleId="168">
    <w:name w:val="标准书眉_偶数页"/>
    <w:basedOn w:val="152"/>
    <w:next w:val="1"/>
    <w:autoRedefine/>
    <w:qFormat/>
    <w:uiPriority w:val="0"/>
    <w:pPr>
      <w:jc w:val="left"/>
    </w:pPr>
  </w:style>
  <w:style w:type="paragraph" w:customStyle="1" w:styleId="169">
    <w:name w:val="附录表标号"/>
    <w:basedOn w:val="1"/>
    <w:next w:val="70"/>
    <w:autoRedefine/>
    <w:qFormat/>
    <w:uiPriority w:val="0"/>
    <w:pPr>
      <w:spacing w:line="14" w:lineRule="exact"/>
      <w:ind w:left="811" w:hanging="448"/>
      <w:jc w:val="center"/>
      <w:outlineLvl w:val="0"/>
    </w:pPr>
    <w:rPr>
      <w:color w:val="FFFFFF"/>
    </w:rPr>
  </w:style>
  <w:style w:type="paragraph" w:customStyle="1" w:styleId="170">
    <w:name w:val="图表脚注说明"/>
    <w:basedOn w:val="1"/>
    <w:autoRedefine/>
    <w:qFormat/>
    <w:uiPriority w:val="0"/>
    <w:pPr>
      <w:ind w:left="544" w:hanging="181"/>
    </w:pPr>
    <w:rPr>
      <w:rFonts w:ascii="宋体"/>
      <w:sz w:val="18"/>
      <w:szCs w:val="18"/>
    </w:rPr>
  </w:style>
  <w:style w:type="character" w:customStyle="1" w:styleId="171">
    <w:name w:val="页脚 字符"/>
    <w:basedOn w:val="45"/>
    <w:link w:val="26"/>
    <w:autoRedefine/>
    <w:semiHidden/>
    <w:qFormat/>
    <w:uiPriority w:val="99"/>
    <w:rPr>
      <w:rFonts w:ascii="Times New Roman" w:hAnsi="Times New Roman" w:eastAsia="宋体" w:cs="Times New Roman"/>
      <w:sz w:val="18"/>
      <w:szCs w:val="18"/>
    </w:rPr>
  </w:style>
  <w:style w:type="character" w:customStyle="1" w:styleId="172">
    <w:name w:val="批注文字 字符"/>
    <w:basedOn w:val="45"/>
    <w:link w:val="15"/>
    <w:autoRedefine/>
    <w:semiHidden/>
    <w:qFormat/>
    <w:uiPriority w:val="99"/>
    <w:rPr>
      <w:rFonts w:ascii="Times New Roman" w:hAnsi="Times New Roman" w:eastAsia="宋体" w:cs="Times New Roman"/>
      <w:szCs w:val="24"/>
    </w:rPr>
  </w:style>
  <w:style w:type="paragraph" w:customStyle="1" w:styleId="173">
    <w:name w:val="封面标准名称2"/>
    <w:basedOn w:val="85"/>
    <w:autoRedefine/>
    <w:qFormat/>
    <w:uiPriority w:val="0"/>
    <w:pPr>
      <w:framePr w:y="4469"/>
      <w:spacing w:beforeLines="630"/>
    </w:pPr>
  </w:style>
  <w:style w:type="character" w:customStyle="1" w:styleId="174">
    <w:name w:val="日期 字符"/>
    <w:basedOn w:val="45"/>
    <w:link w:val="22"/>
    <w:autoRedefine/>
    <w:semiHidden/>
    <w:qFormat/>
    <w:uiPriority w:val="99"/>
    <w:rPr>
      <w:rFonts w:ascii="Times New Roman" w:hAnsi="Times New Roman" w:eastAsia="宋体" w:cs="Times New Roman"/>
      <w:szCs w:val="24"/>
    </w:rPr>
  </w:style>
  <w:style w:type="character" w:customStyle="1" w:styleId="175">
    <w:name w:val="文档结构图 字符"/>
    <w:basedOn w:val="45"/>
    <w:link w:val="14"/>
    <w:autoRedefine/>
    <w:semiHidden/>
    <w:qFormat/>
    <w:uiPriority w:val="99"/>
    <w:rPr>
      <w:rFonts w:ascii="宋体" w:hAnsi="Times New Roman" w:eastAsia="宋体" w:cs="Times New Roman"/>
      <w:sz w:val="18"/>
      <w:szCs w:val="18"/>
    </w:rPr>
  </w:style>
  <w:style w:type="paragraph" w:customStyle="1" w:styleId="176">
    <w:name w:val="标准书眉一"/>
    <w:autoRedefine/>
    <w:qFormat/>
    <w:uiPriority w:val="0"/>
    <w:pPr>
      <w:spacing w:line="360" w:lineRule="exact"/>
      <w:jc w:val="both"/>
    </w:pPr>
    <w:rPr>
      <w:rFonts w:ascii="Times New Roman" w:hAnsi="Times New Roman" w:eastAsia="宋体" w:cs="Times New Roman"/>
      <w:lang w:val="en-US" w:eastAsia="zh-CN" w:bidi="ar-SA"/>
    </w:rPr>
  </w:style>
  <w:style w:type="paragraph" w:customStyle="1" w:styleId="177">
    <w:name w:val="封面标准文稿类别2"/>
    <w:basedOn w:val="122"/>
    <w:autoRedefine/>
    <w:qFormat/>
    <w:uiPriority w:val="0"/>
    <w:pPr>
      <w:framePr w:y="4469"/>
    </w:pPr>
  </w:style>
  <w:style w:type="paragraph" w:customStyle="1" w:styleId="178">
    <w:name w:val="标准书脚_偶数页"/>
    <w:autoRedefine/>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9">
    <w:name w:val="终结线"/>
    <w:basedOn w:val="1"/>
    <w:autoRedefine/>
    <w:qFormat/>
    <w:uiPriority w:val="0"/>
    <w:pPr>
      <w:framePr w:hSpace="181" w:vSpace="181" w:wrap="around" w:vAnchor="text" w:hAnchor="margin" w:xAlign="center" w:y="285"/>
    </w:pPr>
  </w:style>
  <w:style w:type="character" w:customStyle="1" w:styleId="180">
    <w:name w:val="批注主题 字符"/>
    <w:basedOn w:val="172"/>
    <w:link w:val="40"/>
    <w:autoRedefine/>
    <w:semiHidden/>
    <w:qFormat/>
    <w:uiPriority w:val="99"/>
    <w:rPr>
      <w:rFonts w:ascii="Times New Roman" w:hAnsi="Times New Roman" w:eastAsia="宋体" w:cs="Times New Roman"/>
      <w:b/>
      <w:bCs/>
      <w:szCs w:val="24"/>
    </w:rPr>
  </w:style>
  <w:style w:type="character" w:customStyle="1" w:styleId="181">
    <w:name w:val="尾注文本 字符"/>
    <w:basedOn w:val="45"/>
    <w:link w:val="24"/>
    <w:autoRedefine/>
    <w:semiHidden/>
    <w:qFormat/>
    <w:uiPriority w:val="99"/>
    <w:rPr>
      <w:rFonts w:ascii="Times New Roman" w:hAnsi="Times New Roman" w:eastAsia="宋体" w:cs="Times New Roman"/>
      <w:szCs w:val="24"/>
    </w:rPr>
  </w:style>
  <w:style w:type="paragraph" w:customStyle="1" w:styleId="182">
    <w:name w:val="示例"/>
    <w:next w:val="133"/>
    <w:autoRedefine/>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83">
    <w:name w:val="正文文本 3 字符"/>
    <w:basedOn w:val="45"/>
    <w:link w:val="17"/>
    <w:autoRedefine/>
    <w:semiHidden/>
    <w:qFormat/>
    <w:uiPriority w:val="99"/>
    <w:rPr>
      <w:rFonts w:ascii="Times New Roman" w:hAnsi="Times New Roman" w:eastAsia="宋体" w:cs="Times New Roman"/>
      <w:sz w:val="16"/>
      <w:szCs w:val="16"/>
    </w:rPr>
  </w:style>
  <w:style w:type="character" w:customStyle="1" w:styleId="184">
    <w:name w:val="标题 字符"/>
    <w:basedOn w:val="45"/>
    <w:link w:val="39"/>
    <w:autoRedefine/>
    <w:qFormat/>
    <w:uiPriority w:val="0"/>
    <w:rPr>
      <w:rFonts w:ascii="Arial" w:hAnsi="Arial" w:eastAsia="宋体" w:cs="Times New Roman"/>
      <w:b/>
      <w:kern w:val="0"/>
      <w:sz w:val="32"/>
      <w:szCs w:val="20"/>
    </w:rPr>
  </w:style>
  <w:style w:type="paragraph" w:customStyle="1" w:styleId="185">
    <w:name w:val="p0"/>
    <w:basedOn w:val="1"/>
    <w:autoRedefine/>
    <w:qFormat/>
    <w:uiPriority w:val="0"/>
    <w:pPr>
      <w:spacing w:line="240" w:lineRule="auto"/>
      <w:jc w:val="both"/>
    </w:pPr>
    <w:rPr>
      <w:kern w:val="0"/>
      <w:szCs w:val="21"/>
    </w:rPr>
  </w:style>
  <w:style w:type="character" w:customStyle="1" w:styleId="186">
    <w:name w:val="纯文本 字符"/>
    <w:basedOn w:val="45"/>
    <w:link w:val="20"/>
    <w:autoRedefine/>
    <w:qFormat/>
    <w:uiPriority w:val="99"/>
    <w:rPr>
      <w:rFonts w:ascii="宋体" w:hAnsi="Courier New" w:eastAsia="宋体" w:cs="Courier New"/>
      <w:szCs w:val="21"/>
    </w:rPr>
  </w:style>
  <w:style w:type="paragraph" w:customStyle="1" w:styleId="18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8">
    <w:name w:val="正文文本 字符"/>
    <w:basedOn w:val="45"/>
    <w:link w:val="2"/>
    <w:autoRedefine/>
    <w:semiHidden/>
    <w:qFormat/>
    <w:uiPriority w:val="99"/>
    <w:rPr>
      <w:kern w:val="2"/>
      <w:sz w:val="21"/>
      <w:szCs w:val="24"/>
    </w:rPr>
  </w:style>
  <w:style w:type="paragraph" w:customStyle="1" w:styleId="189">
    <w:name w:val="Table Paragraph"/>
    <w:basedOn w:val="1"/>
    <w:autoRedefine/>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90">
    <w:name w:val="标题 4 字符"/>
    <w:basedOn w:val="45"/>
    <w:link w:val="7"/>
    <w:autoRedefine/>
    <w:semiHidden/>
    <w:qFormat/>
    <w:uiPriority w:val="9"/>
    <w:rPr>
      <w:rFonts w:asciiTheme="majorHAnsi" w:hAnsiTheme="majorHAnsi" w:eastAsiaTheme="majorEastAsia" w:cstheme="majorBidi"/>
      <w:b/>
      <w:bCs/>
      <w:kern w:val="2"/>
      <w:sz w:val="28"/>
      <w:szCs w:val="28"/>
    </w:rPr>
  </w:style>
  <w:style w:type="paragraph" w:customStyle="1" w:styleId="191">
    <w:name w:val="_Style 2"/>
    <w:basedOn w:val="4"/>
    <w:next w:val="1"/>
    <w:autoRedefine/>
    <w:qFormat/>
    <w:uiPriority w:val="0"/>
    <w:pPr>
      <w:spacing w:before="480" w:after="0" w:line="276" w:lineRule="auto"/>
      <w:outlineLvl w:val="9"/>
    </w:pPr>
    <w:rPr>
      <w:rFonts w:ascii="Cambria" w:hAnsi="Cambria"/>
      <w:color w:val="365F91"/>
      <w:kern w:val="0"/>
      <w:sz w:val="28"/>
      <w:szCs w:val="28"/>
    </w:rPr>
  </w:style>
  <w:style w:type="character" w:customStyle="1" w:styleId="192">
    <w:name w:val="_Style 4"/>
    <w:autoRedefine/>
    <w:qFormat/>
    <w:uiPriority w:val="31"/>
    <w:rPr>
      <w:smallCaps/>
      <w:color w:val="C0504D"/>
      <w:u w:val="single"/>
    </w:rPr>
  </w:style>
  <w:style w:type="paragraph" w:customStyle="1" w:styleId="193">
    <w:name w:val="纯文本1"/>
    <w:basedOn w:val="1"/>
    <w:autoRedefine/>
    <w:qFormat/>
    <w:uiPriority w:val="0"/>
    <w:rPr>
      <w:rFonts w:ascii="宋体" w:hAnsi="Courier New" w:cs="Courier New"/>
      <w:szCs w:val="21"/>
    </w:rPr>
  </w:style>
  <w:style w:type="paragraph" w:customStyle="1" w:styleId="194">
    <w:name w:val="CM99"/>
    <w:basedOn w:val="3"/>
    <w:next w:val="3"/>
    <w:autoRedefine/>
    <w:qFormat/>
    <w:uiPriority w:val="0"/>
    <w:pPr>
      <w:spacing w:after="443"/>
    </w:pPr>
  </w:style>
  <w:style w:type="paragraph" w:customStyle="1" w:styleId="195">
    <w:name w:val="CM80"/>
    <w:basedOn w:val="3"/>
    <w:next w:val="3"/>
    <w:autoRedefine/>
    <w:qFormat/>
    <w:uiPriority w:val="0"/>
    <w:pPr>
      <w:spacing w:line="440" w:lineRule="atLeast"/>
    </w:pPr>
  </w:style>
  <w:style w:type="paragraph" w:customStyle="1" w:styleId="196">
    <w:name w:val="qg标题 2 + 橙色"/>
    <w:basedOn w:val="5"/>
    <w:autoRedefine/>
    <w:qFormat/>
    <w:uiPriority w:val="0"/>
    <w:pPr>
      <w:autoSpaceDE w:val="0"/>
      <w:spacing w:before="0" w:after="0" w:line="360" w:lineRule="auto"/>
    </w:pPr>
    <w:rPr>
      <w:sz w:val="30"/>
      <w:szCs w:val="30"/>
    </w:rPr>
  </w:style>
  <w:style w:type="paragraph" w:customStyle="1" w:styleId="197">
    <w:name w:val="WPSOffice手动目录 1"/>
    <w:autoRedefine/>
    <w:qFormat/>
    <w:uiPriority w:val="0"/>
    <w:rPr>
      <w:rFonts w:ascii="Times New Roman" w:hAnsi="Times New Roman" w:eastAsia="宋体" w:cs="Times New Roman"/>
      <w:lang w:val="en-US" w:eastAsia="zh-CN" w:bidi="ar-SA"/>
    </w:rPr>
  </w:style>
  <w:style w:type="character" w:customStyle="1" w:styleId="198">
    <w:name w:val="font21"/>
    <w:basedOn w:val="45"/>
    <w:autoRedefine/>
    <w:qFormat/>
    <w:uiPriority w:val="0"/>
    <w:rPr>
      <w:rFonts w:hint="default" w:ascii="Calibri" w:hAnsi="Calibri" w:cs="Calibri"/>
      <w:color w:val="000000"/>
      <w:sz w:val="21"/>
      <w:szCs w:val="21"/>
      <w:u w:val="none"/>
    </w:rPr>
  </w:style>
  <w:style w:type="character" w:customStyle="1" w:styleId="199">
    <w:name w:val="font11"/>
    <w:basedOn w:val="45"/>
    <w:autoRedefine/>
    <w:qFormat/>
    <w:uiPriority w:val="0"/>
    <w:rPr>
      <w:rFonts w:hint="eastAsia" w:ascii="宋体" w:hAnsi="宋体" w:eastAsia="宋体" w:cs="宋体"/>
      <w:color w:val="000000"/>
      <w:sz w:val="21"/>
      <w:szCs w:val="21"/>
      <w:u w:val="none"/>
    </w:rPr>
  </w:style>
  <w:style w:type="character" w:customStyle="1" w:styleId="200">
    <w:name w:val="font31"/>
    <w:basedOn w:val="45"/>
    <w:autoRedefine/>
    <w:qFormat/>
    <w:uiPriority w:val="0"/>
    <w:rPr>
      <w:rFonts w:hint="eastAsia" w:ascii="宋体" w:hAnsi="宋体" w:eastAsia="宋体" w:cs="宋体"/>
      <w:color w:val="000000"/>
      <w:sz w:val="18"/>
      <w:szCs w:val="18"/>
      <w:u w:val="none"/>
    </w:rPr>
  </w:style>
  <w:style w:type="character" w:customStyle="1" w:styleId="201">
    <w:name w:val="font41"/>
    <w:basedOn w:val="45"/>
    <w:autoRedefine/>
    <w:qFormat/>
    <w:uiPriority w:val="0"/>
    <w:rPr>
      <w:rFonts w:hint="default" w:ascii="Times New Roman" w:hAnsi="Times New Roman" w:cs="Times New Roman"/>
      <w:color w:val="000000"/>
      <w:sz w:val="18"/>
      <w:szCs w:val="18"/>
      <w:u w:val="none"/>
    </w:rPr>
  </w:style>
  <w:style w:type="paragraph" w:styleId="202">
    <w:name w:val="No Spacing"/>
    <w:autoRedefine/>
    <w:qFormat/>
    <w:uiPriority w:val="1"/>
    <w:pPr>
      <w:widowControl w:val="0"/>
      <w:spacing w:after="156" w:afterLines="5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16EBD-84D7-465C-9D48-DC375561F60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97</Pages>
  <Words>58107</Words>
  <Characters>62787</Characters>
  <Lines>182</Lines>
  <Paragraphs>51</Paragraphs>
  <TotalTime>9</TotalTime>
  <ScaleCrop>false</ScaleCrop>
  <LinksUpToDate>false</LinksUpToDate>
  <CharactersWithSpaces>65757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2022-04-06T04:02:00Z</dcterms:created>
  <dc:creator>lenovo</dc:creator>
  <cp:lastModifiedBy>咸鱼</cp:lastModifiedBy>
  <cp:lastPrinted>2022-04-13T08:22:00Z</cp:lastPrinted>
  <dcterms:modified xsi:type="dcterms:W3CDTF">2024-06-12T07:11:28Z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56DAF16339EE4BD98CA9057339B7E8CC_13</vt:lpwstr>
  </property>
</Properties>
</file>