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
          <w:bCs w:val="0"/>
          <w:sz w:val="52"/>
          <w:szCs w:val="52"/>
          <w:lang w:eastAsia="zh-CN"/>
        </w:rPr>
      </w:pPr>
      <w:r>
        <w:rPr>
          <w:rFonts w:hint="eastAsia" w:ascii="黑体" w:hAnsi="黑体" w:eastAsia="黑体"/>
          <w:b/>
          <w:bCs w:val="0"/>
          <w:sz w:val="52"/>
          <w:szCs w:val="52"/>
        </w:rPr>
        <w:t>岳阳城陵矶</w:t>
      </w:r>
      <w:r>
        <w:rPr>
          <w:rFonts w:hint="eastAsia" w:ascii="黑体" w:hAnsi="黑体" w:eastAsia="黑体"/>
          <w:b/>
          <w:bCs w:val="0"/>
          <w:sz w:val="52"/>
          <w:szCs w:val="52"/>
          <w:lang w:eastAsia="zh-CN"/>
        </w:rPr>
        <w:t>危险品储运有限公司</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rPr>
        <w:t>港口装卸辅助劳务外包项目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省港服（202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yellow"/>
          <w:lang w:val="en-US" w:eastAsia="zh-CN"/>
        </w:rPr>
        <w:t xml:space="preserve">  </w:t>
      </w:r>
      <w:r>
        <w:rPr>
          <w:rFonts w:hint="eastAsia"/>
          <w:b/>
          <w:bCs/>
          <w:sz w:val="28"/>
          <w:szCs w:val="28"/>
          <w:highlight w:val="none"/>
        </w:rPr>
        <w:t>号【</w:t>
      </w:r>
      <w:r>
        <w:rPr>
          <w:rFonts w:hint="eastAsia" w:ascii="宋体" w:hAnsi="宋体" w:eastAsia="宋体" w:cs="宋体"/>
          <w:b/>
          <w:bCs w:val="0"/>
          <w:sz w:val="28"/>
          <w:szCs w:val="28"/>
        </w:rPr>
        <w:t>危储</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3"/>
      </w:pPr>
    </w:p>
    <w:p>
      <w:pPr>
        <w:pStyle w:val="14"/>
      </w:pPr>
    </w:p>
    <w:p>
      <w:pPr>
        <w:pStyle w:val="14"/>
      </w:pPr>
    </w:p>
    <w:p>
      <w:pPr>
        <w:pStyle w:val="14"/>
      </w:pPr>
    </w:p>
    <w:p>
      <w:pPr>
        <w:pStyle w:val="14"/>
      </w:pPr>
    </w:p>
    <w:p>
      <w:pPr>
        <w:pStyle w:val="14"/>
      </w:pPr>
    </w:p>
    <w:p>
      <w:pPr>
        <w:pStyle w:val="14"/>
      </w:pPr>
    </w:p>
    <w:p>
      <w:pPr>
        <w:pStyle w:val="14"/>
      </w:pPr>
    </w:p>
    <w:p>
      <w:pPr>
        <w:pStyle w:val="14"/>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五</w:t>
      </w:r>
      <w:r>
        <w:rPr>
          <w:rFonts w:hint="eastAsia" w:ascii="黑体" w:hAnsi="黑体" w:eastAsia="黑体"/>
          <w:bCs/>
          <w:sz w:val="48"/>
          <w:szCs w:val="48"/>
        </w:rPr>
        <w:t>月</w:t>
      </w:r>
    </w:p>
    <w:p>
      <w:pPr>
        <w:pStyle w:val="2"/>
        <w:ind w:firstLine="0"/>
        <w:sectPr>
          <w:footerReference r:id="rId5" w:type="default"/>
          <w:pgSz w:w="11906" w:h="16838"/>
          <w:pgMar w:top="1440" w:right="1080" w:bottom="1440" w:left="1080" w:header="851" w:footer="1344" w:gutter="0"/>
          <w:pgNumType w:start="1"/>
          <w:cols w:space="720" w:num="1"/>
          <w:docGrid w:linePitch="312" w:charSpace="0"/>
        </w:sectPr>
      </w:pPr>
    </w:p>
    <w:p>
      <w:pPr>
        <w:pStyle w:val="2"/>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8"/>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8"/>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
        <w:rPr>
          <w:szCs w:val="21"/>
        </w:rPr>
      </w:pPr>
    </w:p>
    <w:p>
      <w:pPr>
        <w:rPr>
          <w:szCs w:val="21"/>
        </w:rPr>
      </w:pPr>
    </w:p>
    <w:p>
      <w:pPr>
        <w:pStyle w:val="8"/>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2"/>
        <w:numPr>
          <w:ilvl w:val="0"/>
          <w:numId w:val="0"/>
        </w:numPr>
        <w:spacing w:line="600" w:lineRule="exact"/>
        <w:ind w:firstLine="3092" w:firstLineChars="700"/>
        <w:jc w:val="left"/>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keepNext w:val="0"/>
        <w:keepLines w:val="0"/>
        <w:pageBreakBefore w:val="0"/>
        <w:widowControl/>
        <w:kinsoku/>
        <w:wordWrap/>
        <w:overflowPunct/>
        <w:topLinePunct w:val="0"/>
        <w:autoSpaceDE/>
        <w:autoSpaceDN/>
        <w:bidi w:val="0"/>
        <w:adjustRightInd/>
        <w:snapToGrid w:val="0"/>
        <w:spacing w:line="578" w:lineRule="exact"/>
        <w:jc w:val="center"/>
        <w:textAlignment w:val="auto"/>
        <w:rPr>
          <w:rFonts w:hint="eastAsia" w:ascii="黑体" w:hAnsi="黑体" w:eastAsia="黑体"/>
          <w:bCs/>
          <w:sz w:val="30"/>
          <w:szCs w:val="30"/>
        </w:rPr>
      </w:pPr>
      <w:r>
        <w:rPr>
          <w:rFonts w:hint="eastAsia" w:ascii="黑体" w:hAnsi="黑体" w:eastAsia="黑体"/>
          <w:bCs/>
          <w:sz w:val="30"/>
          <w:szCs w:val="30"/>
        </w:rPr>
        <w:t>岳阳城陵矶</w:t>
      </w:r>
      <w:r>
        <w:rPr>
          <w:rFonts w:hint="eastAsia" w:ascii="黑体" w:hAnsi="黑体" w:eastAsia="黑体"/>
          <w:bCs/>
          <w:sz w:val="30"/>
          <w:szCs w:val="30"/>
          <w:lang w:eastAsia="zh-CN"/>
        </w:rPr>
        <w:t>危险品储运</w:t>
      </w:r>
      <w:r>
        <w:rPr>
          <w:rFonts w:hint="eastAsia" w:ascii="黑体" w:hAnsi="黑体" w:eastAsia="黑体"/>
          <w:bCs/>
          <w:sz w:val="30"/>
          <w:szCs w:val="30"/>
        </w:rPr>
        <w:t>有限公司</w:t>
      </w:r>
    </w:p>
    <w:p>
      <w:pPr>
        <w:keepNext w:val="0"/>
        <w:keepLines w:val="0"/>
        <w:pageBreakBefore w:val="0"/>
        <w:widowControl/>
        <w:kinsoku/>
        <w:wordWrap/>
        <w:overflowPunct/>
        <w:topLinePunct w:val="0"/>
        <w:autoSpaceDE/>
        <w:autoSpaceDN/>
        <w:bidi w:val="0"/>
        <w:adjustRightInd/>
        <w:snapToGrid w:val="0"/>
        <w:spacing w:line="578" w:lineRule="exact"/>
        <w:jc w:val="center"/>
        <w:textAlignment w:val="auto"/>
        <w:rPr>
          <w:rFonts w:ascii="黑体" w:hAnsi="黑体" w:eastAsia="黑体"/>
          <w:sz w:val="30"/>
          <w:szCs w:val="30"/>
        </w:rPr>
      </w:pPr>
      <w:r>
        <w:rPr>
          <w:rFonts w:hint="eastAsia" w:ascii="黑体" w:hAnsi="黑体" w:eastAsia="黑体"/>
          <w:bCs/>
          <w:sz w:val="30"/>
          <w:szCs w:val="30"/>
          <w:lang w:eastAsia="zh-CN"/>
        </w:rPr>
        <w:t>港口装卸辅助劳务外包项目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40"/>
        <w:spacing w:before="0" w:beforeAutospacing="0" w:after="0" w:afterAutospacing="0"/>
        <w:jc w:val="both"/>
        <w:rPr>
          <w:rFonts w:cs="Times New Roman"/>
          <w:kern w:val="2"/>
        </w:rPr>
      </w:pPr>
      <w:r>
        <w:rPr>
          <w:rFonts w:hint="eastAsia" w:cs="Times New Roman"/>
          <w:kern w:val="2"/>
        </w:rPr>
        <w:t xml:space="preserve"> </w:t>
      </w:r>
    </w:p>
    <w:p>
      <w:pPr>
        <w:pStyle w:val="40"/>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w:t>
      </w:r>
      <w:r>
        <w:rPr>
          <w:rFonts w:hint="eastAsia" w:cs="Times New Roman"/>
          <w:kern w:val="2"/>
          <w:lang w:eastAsia="zh-CN"/>
        </w:rPr>
        <w:t>危险品储运有限公司</w:t>
      </w:r>
      <w:r>
        <w:rPr>
          <w:rFonts w:hint="eastAsia" w:cs="Times New Roman"/>
          <w:kern w:val="2"/>
          <w:lang w:val="en-US" w:eastAsia="zh-CN"/>
        </w:rPr>
        <w:t>港口装卸辅助劳务外包</w:t>
      </w:r>
      <w:r>
        <w:rPr>
          <w:rFonts w:hint="eastAsia" w:cs="Times New Roman"/>
          <w:kern w:val="2"/>
          <w:lang w:eastAsia="zh-CN"/>
        </w:rPr>
        <w:t>项目</w:t>
      </w:r>
      <w:r>
        <w:rPr>
          <w:rFonts w:hint="eastAsia" w:cs="Times New Roman"/>
          <w:kern w:val="2"/>
        </w:rPr>
        <w:t xml:space="preserve">已具备采购条件，现公开邀请供应商参加采购活动。 </w:t>
      </w:r>
    </w:p>
    <w:p>
      <w:pPr>
        <w:pStyle w:val="9"/>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ascii="宋体" w:hAnsi="宋体" w:eastAsia="宋体" w:cs="宋体"/>
          <w:sz w:val="24"/>
          <w:szCs w:val="24"/>
        </w:rPr>
        <w:t xml:space="preserve"> </w:t>
      </w:r>
      <w:r>
        <w:rPr>
          <w:rFonts w:hint="eastAsia" w:ascii="宋体" w:hAnsi="宋体" w:eastAsia="宋体" w:cs="宋体"/>
          <w:kern w:val="2"/>
          <w:sz w:val="24"/>
          <w:szCs w:val="24"/>
        </w:rPr>
        <w:t>岳阳城陵矶</w:t>
      </w:r>
      <w:r>
        <w:rPr>
          <w:rFonts w:hint="eastAsia" w:ascii="宋体" w:hAnsi="宋体" w:eastAsia="宋体" w:cs="宋体"/>
          <w:kern w:val="2"/>
          <w:sz w:val="24"/>
          <w:szCs w:val="24"/>
          <w:lang w:eastAsia="zh-CN"/>
        </w:rPr>
        <w:t>危险品储运有限公</w:t>
      </w:r>
      <w:r>
        <w:rPr>
          <w:rFonts w:hint="eastAsia" w:ascii="宋体" w:hAnsi="宋体" w:cs="宋体"/>
          <w:kern w:val="2"/>
          <w:sz w:val="24"/>
          <w:szCs w:val="24"/>
          <w:lang w:val="en-US" w:eastAsia="zh-CN"/>
        </w:rPr>
        <w:t>司</w:t>
      </w:r>
      <w:r>
        <w:rPr>
          <w:rFonts w:hint="eastAsia" w:ascii="宋体" w:hAnsi="宋体" w:eastAsia="宋体" w:cs="宋体"/>
          <w:kern w:val="2"/>
          <w:sz w:val="24"/>
          <w:szCs w:val="24"/>
          <w:lang w:val="en-US" w:eastAsia="zh-CN"/>
        </w:rPr>
        <w:t>港口装卸辅助劳务外包</w:t>
      </w:r>
      <w:r>
        <w:rPr>
          <w:rFonts w:hint="eastAsia" w:ascii="宋体" w:hAnsi="宋体" w:eastAsia="宋体" w:cs="宋体"/>
          <w:kern w:val="2"/>
          <w:sz w:val="24"/>
          <w:szCs w:val="24"/>
          <w:lang w:eastAsia="zh-CN"/>
        </w:rPr>
        <w:t>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w:t>
      </w:r>
      <w:r>
        <w:rPr>
          <w:rFonts w:hint="eastAsia" w:cs="Times New Roman"/>
          <w:kern w:val="2"/>
          <w:sz w:val="24"/>
          <w:szCs w:val="24"/>
          <w:lang w:eastAsia="zh-CN"/>
        </w:rPr>
        <w:t>危险品储运有限公司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Style w:val="44"/>
        <w:ind w:left="0" w:leftChars="0" w:firstLine="0" w:firstLineChars="0"/>
        <w:rPr>
          <w:rFonts w:hint="eastAsia" w:ascii="宋体" w:hAnsi="宋体"/>
          <w:color w:val="auto"/>
          <w:sz w:val="24"/>
          <w:highlight w:val="none"/>
          <w:shd w:val="clear" w:color="auto" w:fill="auto"/>
          <w:lang w:val="en-US" w:eastAsia="zh-CN"/>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r>
        <w:rPr>
          <w:rFonts w:hint="eastAsia" w:ascii="宋体" w:hAnsi="宋体" w:eastAsia="宋体" w:cs="宋体"/>
          <w:bCs/>
          <w:sz w:val="24"/>
          <w:szCs w:val="24"/>
          <w:lang w:eastAsia="zh-CN"/>
        </w:rPr>
        <w:t>岳阳城陵矶危险品储运有限公司为湖南省港务集团有限公司的控股子公司。是湖南省唯一一家危险品储运公司。公司主营危险品货物运输、储存、装卸以及国内外中转、多式联运等业务。具有烟花爆竹、危化品等180多种危险货物作业资质。公司堆场占地55.8亩，设有烟花爆竹集装箱堆场和其他危化品集装箱堆场及烟花爆竹、危险品查验堆场，设计年吞吐能力6.7万标箱。配有2台场桥以及叉车等流动机械，拥有现代化的生产管理系统，电子闸口、海关监管查验区等相关设施。</w:t>
      </w:r>
      <w:r>
        <w:rPr>
          <w:rFonts w:hint="eastAsia" w:ascii="宋体" w:hAnsi="宋体" w:eastAsia="宋体" w:cs="宋体"/>
          <w:bCs w:val="0"/>
          <w:color w:val="auto"/>
          <w:sz w:val="24"/>
          <w:szCs w:val="24"/>
          <w:highlight w:val="none"/>
          <w:u w:val="none"/>
          <w:lang w:val="en-US" w:eastAsia="zh-CN"/>
        </w:rPr>
        <w:t>岳阳城陵矶危险品储运有限公司集装箱货物装卸辅助业务，场地清扫等需要劳务人员辅助配合的作业。未来壹年预计箱量</w:t>
      </w:r>
      <w:r>
        <w:rPr>
          <w:rFonts w:hint="eastAsia" w:ascii="宋体" w:hAnsi="宋体" w:cs="宋体"/>
          <w:bCs w:val="0"/>
          <w:color w:val="auto"/>
          <w:sz w:val="24"/>
          <w:szCs w:val="24"/>
          <w:highlight w:val="none"/>
          <w:u w:val="none"/>
          <w:lang w:val="en-US" w:eastAsia="zh-CN"/>
        </w:rPr>
        <w:t>2000至3000自然</w:t>
      </w:r>
      <w:r>
        <w:rPr>
          <w:rFonts w:hint="eastAsia" w:ascii="宋体" w:hAnsi="宋体" w:eastAsia="宋体" w:cs="宋体"/>
          <w:bCs w:val="0"/>
          <w:color w:val="auto"/>
          <w:sz w:val="24"/>
          <w:szCs w:val="24"/>
          <w:highlight w:val="none"/>
          <w:u w:val="none"/>
          <w:lang w:val="en-US" w:eastAsia="zh-CN"/>
        </w:rPr>
        <w:t>箱。</w:t>
      </w:r>
    </w:p>
    <w:p>
      <w:pPr>
        <w:pStyle w:val="9"/>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ascii="宋体" w:hAnsi="宋体" w:eastAsia="宋体" w:cs="宋体"/>
          <w:bCs w:val="0"/>
          <w:color w:val="auto"/>
          <w:sz w:val="24"/>
          <w:szCs w:val="24"/>
          <w:highlight w:val="none"/>
          <w:u w:val="none"/>
          <w:lang w:val="en-US" w:eastAsia="zh-CN"/>
        </w:rPr>
        <w:t>岳阳城陵矶危险品储运有限公司集装箱货物装卸辅助业务，场地清扫等需要劳务人员辅助配合的作业。未来壹年预计箱量</w:t>
      </w:r>
      <w:r>
        <w:rPr>
          <w:rFonts w:hint="eastAsia" w:ascii="宋体" w:hAnsi="宋体" w:cs="宋体"/>
          <w:bCs w:val="0"/>
          <w:color w:val="auto"/>
          <w:sz w:val="24"/>
          <w:szCs w:val="24"/>
          <w:highlight w:val="none"/>
          <w:u w:val="none"/>
          <w:lang w:val="en-US" w:eastAsia="zh-CN"/>
        </w:rPr>
        <w:t>2000至3000自然</w:t>
      </w:r>
      <w:r>
        <w:rPr>
          <w:rFonts w:hint="eastAsia" w:ascii="宋体" w:hAnsi="宋体" w:eastAsia="宋体" w:cs="宋体"/>
          <w:bCs w:val="0"/>
          <w:color w:val="auto"/>
          <w:sz w:val="24"/>
          <w:szCs w:val="24"/>
          <w:highlight w:val="none"/>
          <w:u w:val="none"/>
          <w:lang w:val="en-US" w:eastAsia="zh-CN"/>
        </w:rPr>
        <w:t>箱</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highlight w:val="yellow"/>
        </w:rPr>
      </w:pPr>
      <w:r>
        <w:rPr>
          <w:rFonts w:hint="eastAsia" w:ascii="宋体" w:hAnsi="宋体"/>
          <w:b/>
          <w:bCs/>
          <w:sz w:val="24"/>
          <w:highlight w:val="none"/>
        </w:rPr>
        <w:t>（二）</w:t>
      </w:r>
      <w:r>
        <w:rPr>
          <w:rFonts w:hint="eastAsia" w:ascii="宋体" w:hAnsi="宋体"/>
          <w:sz w:val="24"/>
          <w:highlight w:val="none"/>
        </w:rPr>
        <w:t xml:space="preserve">服务期限: </w:t>
      </w:r>
      <w:r>
        <w:rPr>
          <w:rFonts w:hint="eastAsia" w:ascii="宋体" w:hAnsi="宋体" w:eastAsia="宋体" w:cs="宋体"/>
          <w:color w:val="auto"/>
          <w:sz w:val="24"/>
          <w:szCs w:val="24"/>
        </w:rPr>
        <w:t>合同签订之日起，有效期</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年。</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 xml:space="preserve">服务地点: </w:t>
      </w:r>
      <w:r>
        <w:rPr>
          <w:rFonts w:hint="eastAsia" w:ascii="宋体" w:hAnsi="宋体"/>
          <w:sz w:val="24"/>
          <w:lang w:eastAsia="zh-CN"/>
        </w:rPr>
        <w:t>城陵矶新港区（云港路邓家坡加油站东200米）危险品储运公司堆场</w:t>
      </w:r>
      <w:r>
        <w:rPr>
          <w:rFonts w:hint="eastAsia" w:cs="Times New Roman"/>
          <w:kern w:val="2"/>
          <w:sz w:val="24"/>
          <w:szCs w:val="24"/>
          <w:lang w:eastAsia="zh-CN"/>
        </w:rPr>
        <w:t>。</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pStyle w:val="3"/>
        <w:rPr>
          <w:rFonts w:hint="eastAsia"/>
          <w:lang w:eastAsia="zh-CN"/>
        </w:rPr>
      </w:pPr>
    </w:p>
    <w:p>
      <w:pPr>
        <w:autoSpaceDE w:val="0"/>
        <w:spacing w:line="400" w:lineRule="exact"/>
        <w:jc w:val="both"/>
        <w:rPr>
          <w:rFonts w:ascii="Arial" w:hAnsi="Arial"/>
          <w:b/>
          <w:bCs/>
          <w:sz w:val="28"/>
          <w:szCs w:val="28"/>
        </w:rPr>
      </w:pPr>
      <w:r>
        <w:rPr>
          <w:rFonts w:hint="eastAsia"/>
          <w:b/>
          <w:bCs/>
          <w:sz w:val="28"/>
          <w:szCs w:val="28"/>
        </w:rPr>
        <w:t>三、</w:t>
      </w:r>
      <w:r>
        <w:rPr>
          <w:rFonts w:hint="eastAsia" w:ascii="黑体" w:hAnsi="黑体"/>
          <w:b/>
          <w:bCs/>
          <w:sz w:val="28"/>
          <w:szCs w:val="28"/>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b/>
          <w:bCs/>
          <w:sz w:val="24"/>
        </w:rPr>
      </w:pP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8"/>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8"/>
                <w:rFonts w:hint="eastAsia"/>
                <w:sz w:val="21"/>
                <w:szCs w:val="21"/>
                <w:u w:val="single"/>
              </w:rPr>
              <w:t xml:space="preserve">不适用  </w:t>
            </w:r>
          </w:p>
        </w:tc>
        <w:tc>
          <w:tcPr>
            <w:tcW w:w="5443" w:type="dxa"/>
          </w:tcPr>
          <w:p>
            <w:pPr>
              <w:widowControl w:val="0"/>
              <w:spacing w:line="320" w:lineRule="exact"/>
              <w:jc w:val="both"/>
              <w:rPr>
                <w:rStyle w:val="48"/>
                <w:sz w:val="21"/>
                <w:szCs w:val="21"/>
                <w:u w:val="single"/>
              </w:rPr>
            </w:pPr>
            <w:r>
              <w:rPr>
                <w:rFonts w:hint="eastAsia" w:cs="仿宋" w:asciiTheme="minorEastAsia" w:hAnsiTheme="minorEastAsia" w:eastAsiaTheme="minorEastAsia"/>
                <w:sz w:val="21"/>
                <w:szCs w:val="21"/>
              </w:rPr>
              <w:t>☑</w:t>
            </w:r>
            <w:r>
              <w:rPr>
                <w:rStyle w:val="48"/>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9"/>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hint="eastAsia" w:ascii="宋体" w:hAnsi="宋体" w:eastAsia="宋体"/>
          <w:sz w:val="24"/>
          <w:lang w:val="en-US" w:eastAsia="zh-CN"/>
        </w:rPr>
      </w:pPr>
      <w:r>
        <w:rPr>
          <w:rFonts w:hint="eastAsia" w:ascii="宋体" w:hAnsi="宋体"/>
          <w:b/>
          <w:bCs/>
          <w:sz w:val="24"/>
        </w:rPr>
        <w:t>（一）</w:t>
      </w:r>
      <w:r>
        <w:rPr>
          <w:rFonts w:hint="eastAsia" w:ascii="宋体" w:hAnsi="宋体"/>
          <w:b/>
          <w:bCs/>
          <w:sz w:val="24"/>
          <w:lang w:eastAsia="zh-CN"/>
        </w:rPr>
        <w:t>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9"/>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highlight w:val="none"/>
        </w:rPr>
      </w:pPr>
      <w:bookmarkStart w:id="1" w:name="_Toc40274970"/>
      <w:bookmarkStart w:id="2" w:name="_Toc38287094"/>
      <w:r>
        <w:rPr>
          <w:rFonts w:hint="eastAsia" w:ascii="宋体" w:hAnsi="宋体"/>
          <w:b/>
          <w:bCs/>
          <w:sz w:val="24"/>
          <w:highlight w:val="none"/>
        </w:rPr>
        <w:t>（一）</w:t>
      </w:r>
      <w:r>
        <w:rPr>
          <w:rFonts w:hint="eastAsia" w:ascii="宋体" w:hAnsi="宋体"/>
          <w:sz w:val="24"/>
          <w:highlight w:val="none"/>
        </w:rPr>
        <w:t>询价人为本次招标编制了最高投标限价，最高限价：</w:t>
      </w:r>
      <w:r>
        <w:rPr>
          <w:rFonts w:hint="eastAsia" w:ascii="宋体" w:hAnsi="宋体"/>
          <w:sz w:val="24"/>
          <w:highlight w:val="none"/>
          <w:lang w:val="en-US" w:eastAsia="zh-CN"/>
        </w:rPr>
        <w:t>130元</w:t>
      </w:r>
      <w:r>
        <w:rPr>
          <w:rFonts w:hint="eastAsia" w:ascii="宋体" w:hAnsi="宋体" w:cs="宋体"/>
          <w:b w:val="0"/>
          <w:bCs w:val="0"/>
          <w:sz w:val="24"/>
          <w:highlight w:val="none"/>
          <w:lang w:val="en-US" w:eastAsia="zh-CN"/>
        </w:rPr>
        <w:t>/自然箱（</w:t>
      </w:r>
      <w:r>
        <w:rPr>
          <w:rFonts w:hint="eastAsia" w:ascii="宋体" w:hAnsi="宋体"/>
          <w:sz w:val="24"/>
          <w:highlight w:val="none"/>
        </w:rPr>
        <w:t>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1"/>
      <w:bookmarkEnd w:id="2"/>
    </w:p>
    <w:p>
      <w:pPr>
        <w:pStyle w:val="9"/>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6  </w:t>
      </w:r>
      <w:r>
        <w:rPr>
          <w:rFonts w:hint="eastAsia" w:ascii="宋体" w:hAnsi="宋体"/>
          <w:sz w:val="24"/>
          <w:highlight w:val="yellow"/>
        </w:rPr>
        <w:t>月</w:t>
      </w:r>
      <w:r>
        <w:rPr>
          <w:rFonts w:hint="eastAsia" w:ascii="宋体" w:hAnsi="宋体"/>
          <w:sz w:val="24"/>
          <w:highlight w:val="yellow"/>
          <w:lang w:val="en-US" w:eastAsia="zh-CN"/>
        </w:rPr>
        <w:t xml:space="preserve">  6 </w:t>
      </w:r>
      <w:r>
        <w:rPr>
          <w:rFonts w:hint="eastAsia" w:ascii="宋体" w:hAnsi="宋体"/>
          <w:sz w:val="24"/>
          <w:highlight w:val="yellow"/>
        </w:rPr>
        <w:t>日至</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6  </w:t>
      </w:r>
      <w:r>
        <w:rPr>
          <w:rFonts w:hint="eastAsia" w:ascii="宋体" w:hAnsi="宋体"/>
          <w:sz w:val="24"/>
          <w:highlight w:val="yellow"/>
        </w:rPr>
        <w:t>月</w:t>
      </w:r>
      <w:r>
        <w:rPr>
          <w:rFonts w:hint="eastAsia" w:ascii="宋体" w:hAnsi="宋体"/>
          <w:sz w:val="24"/>
          <w:highlight w:val="yellow"/>
          <w:lang w:val="en-US" w:eastAsia="zh-CN"/>
        </w:rPr>
        <w:t xml:space="preserve"> 10</w:t>
      </w:r>
      <w:bookmarkStart w:id="411" w:name="_GoBack"/>
      <w:bookmarkEnd w:id="411"/>
      <w:r>
        <w:rPr>
          <w:rFonts w:hint="eastAsia" w:ascii="宋体" w:hAnsi="宋体"/>
          <w:sz w:val="24"/>
          <w:highlight w:val="yellow"/>
          <w:lang w:val="en-US" w:eastAsia="zh-CN"/>
        </w:rPr>
        <w:t xml:space="preserve">  </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集团有限公司网站（http：//www.hnsxsjt.com）、湖南省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highlight w:val="yellow"/>
          <w:lang w:val="en-US" w:eastAsia="zh-CN"/>
        </w:rPr>
        <w:t xml:space="preserve"> 2024  年  6  月  13  日 12  时 00  分；</w:t>
      </w: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6  </w:t>
      </w:r>
      <w:r>
        <w:rPr>
          <w:rFonts w:hint="eastAsia" w:ascii="宋体" w:hAnsi="宋体"/>
          <w:sz w:val="24"/>
          <w:highlight w:val="yellow"/>
        </w:rPr>
        <w:t>月</w:t>
      </w:r>
      <w:r>
        <w:rPr>
          <w:rFonts w:hint="eastAsia" w:ascii="宋体" w:hAnsi="宋体"/>
          <w:sz w:val="24"/>
          <w:highlight w:val="yellow"/>
          <w:lang w:val="en-US" w:eastAsia="zh-CN"/>
        </w:rPr>
        <w:t xml:space="preserve"> 11  </w:t>
      </w:r>
      <w:r>
        <w:rPr>
          <w:rFonts w:hint="eastAsia" w:ascii="宋体" w:hAnsi="宋体"/>
          <w:sz w:val="24"/>
          <w:highlight w:val="yellow"/>
        </w:rPr>
        <w:t>日</w:t>
      </w:r>
      <w:r>
        <w:rPr>
          <w:rFonts w:hint="eastAsia" w:ascii="宋体" w:hAnsi="宋体"/>
          <w:sz w:val="24"/>
          <w:highlight w:val="yellow"/>
          <w:lang w:val="en-US" w:eastAsia="zh-CN"/>
        </w:rPr>
        <w:t xml:space="preserve">   17 </w:t>
      </w:r>
      <w:r>
        <w:rPr>
          <w:rFonts w:hint="eastAsia" w:ascii="宋体" w:hAnsi="宋体"/>
          <w:sz w:val="24"/>
          <w:highlight w:val="yellow"/>
        </w:rPr>
        <w:t>时</w:t>
      </w:r>
      <w:r>
        <w:rPr>
          <w:rFonts w:hint="eastAsia" w:ascii="宋体" w:hAnsi="宋体"/>
          <w:sz w:val="24"/>
          <w:highlight w:val="yellow"/>
          <w:lang w:val="en-US" w:eastAsia="zh-CN"/>
        </w:rPr>
        <w:t xml:space="preserve"> 00  </w:t>
      </w:r>
      <w:r>
        <w:rPr>
          <w:rFonts w:hint="eastAsia" w:ascii="宋体" w:hAnsi="宋体"/>
          <w:sz w:val="24"/>
          <w:highlight w:val="yellow"/>
        </w:rPr>
        <w:t>分前向采购人提出澄清要求。</w:t>
      </w:r>
    </w:p>
    <w:p>
      <w:pPr>
        <w:pStyle w:val="9"/>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集团有限公司网站（http://www.hnsghsljt.com/）、                                   湖南省</w:t>
      </w:r>
      <w:r>
        <w:rPr>
          <w:rFonts w:hint="eastAsia" w:ascii="宋体" w:hAnsi="宋体"/>
          <w:sz w:val="24"/>
          <w:lang w:eastAsia="zh-CN"/>
        </w:rPr>
        <w:t>城陵矶港口</w:t>
      </w:r>
      <w:r>
        <w:rPr>
          <w:rFonts w:hint="eastAsia" w:ascii="宋体" w:hAnsi="宋体"/>
          <w:sz w:val="24"/>
        </w:rPr>
        <w:t>集团有限公司（https://www.hnsgwjt.com/）上发布。</w:t>
      </w:r>
      <w:bookmarkStart w:id="3" w:name="_Toc76635692"/>
      <w:bookmarkStart w:id="4" w:name="_Toc77254104"/>
      <w:bookmarkStart w:id="5" w:name="_Toc512257471"/>
      <w:bookmarkStart w:id="6" w:name="_Toc79596547"/>
    </w:p>
    <w:p>
      <w:pPr>
        <w:pStyle w:val="9"/>
        <w:jc w:val="both"/>
      </w:pPr>
      <w:r>
        <w:rPr>
          <w:rFonts w:hint="eastAsia"/>
        </w:rPr>
        <w:t>八、监督</w:t>
      </w:r>
      <w:bookmarkEnd w:id="3"/>
      <w:bookmarkEnd w:id="4"/>
      <w:bookmarkEnd w:id="5"/>
      <w:r>
        <w:rPr>
          <w:rFonts w:hint="eastAsia"/>
        </w:rPr>
        <w:t>部门</w:t>
      </w:r>
      <w:bookmarkEnd w:id="6"/>
    </w:p>
    <w:p>
      <w:pPr>
        <w:pStyle w:val="9"/>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auto"/>
          <w:sz w:val="24"/>
          <w:szCs w:val="24"/>
          <w:highlight w:val="none"/>
          <w:u w:val="none"/>
          <w:lang w:eastAsia="zh-CN"/>
        </w:rPr>
        <w:t>岳阳城陵矶危险品储运有限公司综合管理部</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sz w:val="24"/>
          <w:szCs w:val="24"/>
          <w:u w:val="single"/>
          <w:lang w:val="en-US" w:eastAsia="zh-CN"/>
        </w:rPr>
        <w:t>13786080026</w:t>
      </w:r>
      <w:r>
        <w:rPr>
          <w:rFonts w:hint="eastAsia" w:ascii="宋体" w:hAnsi="宋体" w:eastAsia="宋体" w:cs="宋体"/>
          <w:b w:val="0"/>
          <w:bCs w:val="0"/>
          <w:color w:val="000000"/>
          <w:sz w:val="24"/>
          <w:szCs w:val="24"/>
          <w:highlight w:val="none"/>
        </w:rPr>
        <w:t>。</w:t>
      </w:r>
    </w:p>
    <w:p>
      <w:pPr>
        <w:pStyle w:val="9"/>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bCs/>
          <w:color w:val="auto"/>
          <w:sz w:val="24"/>
          <w:szCs w:val="24"/>
          <w:highlight w:val="none"/>
          <w:u w:val="none"/>
          <w:lang w:eastAsia="zh-CN"/>
        </w:rPr>
        <w:t>岳阳城陵矶危险品储运有限公司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地    址： </w:t>
      </w:r>
      <w:r>
        <w:rPr>
          <w:rFonts w:hint="eastAsia" w:ascii="宋体" w:hAnsi="宋体"/>
          <w:sz w:val="24"/>
          <w:lang w:eastAsia="zh-CN"/>
        </w:rPr>
        <w:t>城陵矶新港区（云港路邓家坡加油站东200米）危险品储运公司</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val="en-US" w:eastAsia="zh-CN"/>
        </w:rPr>
        <w:t>文轶</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FF"/>
          <w:sz w:val="24"/>
          <w:u w:val="none"/>
        </w:rPr>
      </w:pPr>
      <w:r>
        <w:rPr>
          <w:rFonts w:hint="eastAsia" w:ascii="宋体" w:hAnsi="宋体" w:eastAsia="宋体" w:cs="宋体"/>
          <w:color w:val="000000"/>
          <w:sz w:val="24"/>
          <w:highlight w:val="none"/>
          <w:u w:val="none"/>
        </w:rPr>
        <w:t xml:space="preserve">电    话： </w:t>
      </w:r>
      <w:r>
        <w:rPr>
          <w:rFonts w:hint="eastAsia" w:ascii="宋体" w:hAnsi="宋体" w:cs="宋体"/>
          <w:color w:val="000000"/>
          <w:sz w:val="24"/>
          <w:highlight w:val="none"/>
          <w:u w:val="none"/>
          <w:lang w:val="en-US" w:eastAsia="zh-CN"/>
        </w:rPr>
        <w:t>13762087210</w:t>
      </w:r>
      <w:r>
        <w:rPr>
          <w:rFonts w:hint="eastAsia" w:ascii="宋体" w:hAnsi="宋体" w:eastAsia="宋体" w:cs="宋体"/>
          <w:color w:val="0000FF"/>
          <w:sz w:val="24"/>
          <w:u w:val="none"/>
        </w:rPr>
        <w:t xml:space="preserve">                   </w:t>
      </w:r>
      <w:r>
        <w:rPr>
          <w:rFonts w:hint="eastAsia" w:ascii="宋体" w:hAnsi="宋体" w:eastAsia="宋体" w:cs="宋体"/>
          <w:color w:val="0000FF"/>
          <w:sz w:val="24"/>
          <w:u w:val="none"/>
          <w:lang w:val="en-US" w:eastAsia="zh-CN"/>
        </w:rPr>
        <w:t xml:space="preserve">   </w:t>
      </w:r>
    </w:p>
    <w:p>
      <w:pPr>
        <w:pStyle w:val="9"/>
        <w:jc w:val="both"/>
        <w:rPr>
          <w:rFonts w:hint="eastAsia"/>
        </w:rPr>
      </w:pPr>
      <w:r>
        <w:rPr>
          <w:rFonts w:hint="eastAsia"/>
        </w:rPr>
        <w:t>十、附件下载</w:t>
      </w:r>
    </w:p>
    <w:p>
      <w:pPr>
        <w:spacing w:line="240" w:lineRule="auto"/>
        <w:jc w:val="center"/>
        <w:rPr>
          <w:rFonts w:ascii="黑体" w:hAnsi="黑体" w:eastAsia="黑体"/>
          <w:sz w:val="32"/>
          <w:szCs w:val="32"/>
        </w:rPr>
      </w:pPr>
      <w:bookmarkStart w:id="7" w:name="_Toc234832861"/>
      <w:bookmarkStart w:id="8" w:name="_Toc517787494"/>
    </w:p>
    <w:p>
      <w:pPr>
        <w:spacing w:line="240" w:lineRule="auto"/>
        <w:ind w:firstLine="3200" w:firstLineChars="1000"/>
        <w:jc w:val="both"/>
        <w:outlineLvl w:val="0"/>
        <w:rPr>
          <w:rFonts w:ascii="黑体" w:hAnsi="黑体" w:eastAsia="黑体"/>
          <w:sz w:val="32"/>
          <w:szCs w:val="32"/>
        </w:rPr>
      </w:pPr>
      <w:bookmarkStart w:id="9" w:name="_Toc6132"/>
      <w:r>
        <w:rPr>
          <w:rFonts w:hint="eastAsia" w:ascii="黑体" w:hAnsi="黑体" w:eastAsia="黑体"/>
          <w:sz w:val="32"/>
          <w:szCs w:val="32"/>
        </w:rPr>
        <w:t>第二章  供应商须知</w:t>
      </w:r>
      <w:bookmarkEnd w:id="7"/>
      <w:bookmarkEnd w:id="8"/>
      <w:bookmarkEnd w:id="9"/>
    </w:p>
    <w:p>
      <w:pPr>
        <w:pStyle w:val="6"/>
        <w:spacing w:before="240" w:after="240" w:line="600" w:lineRule="exact"/>
        <w:jc w:val="center"/>
        <w:rPr>
          <w:rFonts w:ascii="仿宋" w:hAnsi="仿宋" w:eastAsia="仿宋" w:cs="仿宋"/>
          <w:sz w:val="30"/>
          <w:szCs w:val="30"/>
        </w:rPr>
      </w:pPr>
      <w:bookmarkStart w:id="10" w:name="_Toc234832862"/>
      <w:bookmarkStart w:id="11" w:name="_Toc517787495"/>
      <w:bookmarkStart w:id="12" w:name="_Toc29571"/>
      <w:r>
        <w:rPr>
          <w:rFonts w:hint="eastAsia" w:ascii="仿宋" w:hAnsi="仿宋" w:eastAsia="仿宋" w:cs="仿宋"/>
          <w:sz w:val="30"/>
          <w:szCs w:val="30"/>
        </w:rPr>
        <w:t>供应商须知前附表</w:t>
      </w:r>
      <w:bookmarkEnd w:id="10"/>
      <w:bookmarkEnd w:id="11"/>
      <w:bookmarkEnd w:id="12"/>
    </w:p>
    <w:tbl>
      <w:tblPr>
        <w:tblStyle w:val="45"/>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w:t>
            </w:r>
            <w:r>
              <w:rPr>
                <w:rFonts w:hint="eastAsia" w:cs="仿宋" w:asciiTheme="minorEastAsia" w:hAnsiTheme="minorEastAsia" w:eastAsiaTheme="minorEastAsia"/>
                <w:sz w:val="24"/>
                <w:highlight w:val="yellow"/>
                <w:lang w:val="en-US" w:eastAsia="zh-CN"/>
              </w:rPr>
              <w:t xml:space="preserve">2024   </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 xml:space="preserve"> 6  </w:t>
            </w:r>
            <w:r>
              <w:rPr>
                <w:rFonts w:hint="eastAsia" w:cs="仿宋" w:asciiTheme="minorEastAsia" w:hAnsiTheme="minorEastAsia" w:eastAsiaTheme="minorEastAsia"/>
                <w:sz w:val="24"/>
                <w:highlight w:val="yellow"/>
              </w:rPr>
              <w:t xml:space="preserve">月 </w:t>
            </w:r>
            <w:r>
              <w:rPr>
                <w:rFonts w:hint="eastAsia" w:cs="仿宋" w:asciiTheme="minorEastAsia" w:hAnsiTheme="minorEastAsia" w:eastAsiaTheme="minorEastAsia"/>
                <w:sz w:val="24"/>
                <w:highlight w:val="yellow"/>
                <w:lang w:val="en-US" w:eastAsia="zh-CN"/>
              </w:rPr>
              <w:t xml:space="preserve">11   </w:t>
            </w:r>
            <w:r>
              <w:rPr>
                <w:rFonts w:hint="eastAsia" w:cs="仿宋" w:asciiTheme="minorEastAsia" w:hAnsiTheme="minorEastAsia" w:eastAsiaTheme="minorEastAsia"/>
                <w:sz w:val="24"/>
                <w:highlight w:val="yellow"/>
              </w:rPr>
              <w:t>日</w:t>
            </w:r>
            <w:r>
              <w:rPr>
                <w:rFonts w:hint="eastAsia" w:cs="仿宋" w:asciiTheme="minorEastAsia" w:hAnsiTheme="minorEastAsia" w:eastAsiaTheme="minorEastAsia"/>
                <w:sz w:val="24"/>
                <w:highlight w:val="yellow"/>
                <w:lang w:val="en-US" w:eastAsia="zh-CN"/>
              </w:rPr>
              <w:t xml:space="preserve"> 17  </w:t>
            </w:r>
            <w:r>
              <w:rPr>
                <w:rFonts w:hint="eastAsia" w:cs="仿宋" w:asciiTheme="minorEastAsia" w:hAnsiTheme="minorEastAsia" w:eastAsiaTheme="minorEastAsia"/>
                <w:sz w:val="24"/>
                <w:highlight w:val="yellow"/>
              </w:rPr>
              <w:t>时</w:t>
            </w:r>
            <w:r>
              <w:rPr>
                <w:rFonts w:hint="eastAsia" w:cs="仿宋" w:asciiTheme="minorEastAsia" w:hAnsiTheme="minorEastAsia" w:eastAsiaTheme="minorEastAsia"/>
                <w:sz w:val="24"/>
                <w:highlight w:val="yellow"/>
                <w:lang w:val="en-US" w:eastAsia="zh-CN"/>
              </w:rPr>
              <w:t xml:space="preserve">   00</w:t>
            </w:r>
            <w:r>
              <w:rPr>
                <w:rFonts w:hint="eastAsia" w:cs="仿宋" w:asciiTheme="minorEastAsia" w:hAnsiTheme="minorEastAsia" w:eastAsiaTheme="minorEastAsia"/>
                <w:sz w:val="24"/>
                <w:highlight w:val="yellow"/>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ascii="宋体" w:hAnsi="宋体"/>
                <w:sz w:val="24"/>
                <w:highlight w:val="none"/>
              </w:rPr>
              <w:t>最高限价：</w:t>
            </w:r>
            <w:r>
              <w:rPr>
                <w:rFonts w:hint="eastAsia" w:ascii="宋体" w:hAnsi="宋体"/>
                <w:sz w:val="24"/>
                <w:highlight w:val="none"/>
                <w:lang w:val="en-US" w:eastAsia="zh-CN"/>
              </w:rPr>
              <w:t>130元</w:t>
            </w:r>
            <w:r>
              <w:rPr>
                <w:rFonts w:hint="eastAsia" w:ascii="宋体" w:hAnsi="宋体" w:cs="宋体"/>
                <w:b w:val="0"/>
                <w:bCs w:val="0"/>
                <w:sz w:val="24"/>
                <w:highlight w:val="none"/>
                <w:lang w:val="en-US" w:eastAsia="zh-CN"/>
              </w:rPr>
              <w:t>/自然箱（</w:t>
            </w:r>
            <w:r>
              <w:rPr>
                <w:rFonts w:hint="eastAsia" w:ascii="宋体" w:hAnsi="宋体"/>
                <w:sz w:val="24"/>
                <w:highlight w:val="none"/>
              </w:rPr>
              <w:t>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8"/>
                <w:rFonts w:asciiTheme="minorEastAsia" w:hAnsiTheme="minorEastAsia" w:eastAsiaTheme="minorEastAsia"/>
                <w:b w:val="0"/>
                <w:sz w:val="24"/>
              </w:rPr>
            </w:pPr>
            <w:r>
              <w:rPr>
                <w:rStyle w:val="48"/>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8"/>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sz w:val="24"/>
                <w:highlight w:val="none"/>
                <w:shd w:val="clear" w:color="auto" w:fill="auto"/>
              </w:rPr>
              <w:t>供应商应提供</w:t>
            </w:r>
            <w:r>
              <w:rPr>
                <w:rFonts w:hint="eastAsia" w:ascii="宋体" w:hAnsi="宋体" w:eastAsia="宋体" w:cs="宋体"/>
                <w:color w:val="auto"/>
                <w:sz w:val="24"/>
                <w:szCs w:val="24"/>
              </w:rPr>
              <w:t>有效的营业执照</w:t>
            </w:r>
            <w:r>
              <w:rPr>
                <w:rFonts w:hint="eastAsia" w:ascii="宋体" w:hAnsi="宋体" w:eastAsia="宋体" w:cs="宋体"/>
                <w:color w:val="auto"/>
                <w:sz w:val="24"/>
                <w:szCs w:val="24"/>
                <w:lang w:val="en-US" w:eastAsia="zh-CN"/>
              </w:rPr>
              <w:t>并含有装卸搬运营业范围</w:t>
            </w:r>
            <w:r>
              <w:rPr>
                <w:rFonts w:hint="eastAsia" w:ascii="宋体" w:hAnsi="宋体" w:cs="宋体"/>
                <w:color w:val="auto"/>
                <w:sz w:val="24"/>
                <w:szCs w:val="24"/>
                <w:lang w:val="en-US" w:eastAsia="zh-CN"/>
              </w:rPr>
              <w:t>，</w:t>
            </w:r>
            <w:r>
              <w:rPr>
                <w:rFonts w:hint="eastAsia" w:cs="宋体" w:asciiTheme="minorEastAsia" w:hAnsiTheme="minorEastAsia" w:eastAsiaTheme="minorEastAsia"/>
                <w:color w:val="auto"/>
                <w:sz w:val="24"/>
                <w:lang w:eastAsia="zh-CN"/>
              </w:rPr>
              <w:t>提供以上资质文件</w:t>
            </w:r>
            <w:r>
              <w:rPr>
                <w:rFonts w:hint="eastAsia" w:cs="宋体" w:asciiTheme="minorEastAsia" w:hAnsiTheme="minorEastAsia" w:eastAsiaTheme="minorEastAsia"/>
                <w:color w:val="auto"/>
                <w:sz w:val="24"/>
              </w:rPr>
              <w:t>的复印件</w:t>
            </w:r>
            <w:r>
              <w:rPr>
                <w:rFonts w:hint="eastAsia" w:cs="宋体" w:asciiTheme="minorEastAsia" w:hAnsiTheme="minorEastAsia" w:eastAsiaTheme="minorEastAsia"/>
                <w:color w:val="auto"/>
                <w:sz w:val="24"/>
                <w:lang w:eastAsia="zh-CN"/>
              </w:rPr>
              <w:t>并盖章</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8"/>
                <w:rFonts w:asciiTheme="minorEastAsia" w:hAnsiTheme="minorEastAsia" w:eastAsiaTheme="minorEastAsia"/>
                <w:b w:val="0"/>
                <w:sz w:val="24"/>
              </w:rPr>
            </w:pPr>
            <w:r>
              <w:rPr>
                <w:rStyle w:val="48"/>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☑适用。</w:t>
            </w:r>
            <w:r>
              <w:rPr>
                <w:rFonts w:hint="eastAsia" w:ascii="宋体" w:hAnsi="宋体" w:eastAsia="宋体"/>
                <w:sz w:val="24"/>
                <w:szCs w:val="24"/>
              </w:rPr>
              <w:t>本次招标要求投标人在近</w:t>
            </w:r>
            <w:r>
              <w:rPr>
                <w:rFonts w:hint="eastAsia" w:ascii="宋体" w:hAnsi="宋体" w:eastAsia="宋体"/>
                <w:sz w:val="24"/>
                <w:szCs w:val="24"/>
                <w:lang w:val="en-US" w:eastAsia="zh-CN"/>
              </w:rPr>
              <w:t>3</w:t>
            </w:r>
            <w:r>
              <w:rPr>
                <w:rFonts w:hint="eastAsia" w:ascii="宋体" w:hAnsi="宋体" w:eastAsia="宋体"/>
                <w:sz w:val="24"/>
                <w:szCs w:val="24"/>
              </w:rPr>
              <w:t>年内（20</w:t>
            </w:r>
            <w:r>
              <w:rPr>
                <w:rFonts w:hint="eastAsia" w:ascii="宋体" w:hAnsi="宋体" w:eastAsia="宋体"/>
                <w:sz w:val="24"/>
                <w:szCs w:val="24"/>
                <w:lang w:val="en-US" w:eastAsia="zh-CN"/>
              </w:rPr>
              <w:t>21</w:t>
            </w:r>
            <w:r>
              <w:rPr>
                <w:rFonts w:hint="eastAsia" w:ascii="宋体" w:hAnsi="宋体" w:eastAsia="宋体"/>
                <w:sz w:val="24"/>
                <w:szCs w:val="24"/>
              </w:rPr>
              <w:t xml:space="preserve"> 年</w:t>
            </w:r>
            <w:r>
              <w:rPr>
                <w:rFonts w:hint="eastAsia" w:ascii="宋体" w:hAnsi="宋体" w:eastAsia="宋体"/>
                <w:sz w:val="24"/>
                <w:szCs w:val="24"/>
                <w:lang w:val="en-US" w:eastAsia="zh-CN"/>
              </w:rPr>
              <w:t>5</w:t>
            </w:r>
            <w:r>
              <w:rPr>
                <w:rFonts w:hint="eastAsia" w:ascii="宋体" w:hAnsi="宋体" w:eastAsia="宋体"/>
                <w:sz w:val="24"/>
                <w:szCs w:val="24"/>
              </w:rPr>
              <w:t>月</w:t>
            </w:r>
            <w:r>
              <w:rPr>
                <w:rFonts w:hint="eastAsia" w:ascii="宋体" w:hAnsi="宋体" w:eastAsia="宋体"/>
                <w:sz w:val="24"/>
                <w:szCs w:val="24"/>
                <w:lang w:val="en-US" w:eastAsia="zh-CN"/>
              </w:rPr>
              <w:t>1日</w:t>
            </w:r>
            <w:r>
              <w:rPr>
                <w:rFonts w:hint="eastAsia" w:ascii="宋体" w:hAnsi="宋体" w:eastAsia="宋体"/>
                <w:sz w:val="24"/>
                <w:szCs w:val="24"/>
              </w:rPr>
              <w:t>～投标截止时间），至少承担过1</w:t>
            </w:r>
            <w:r>
              <w:rPr>
                <w:rFonts w:hint="eastAsia" w:ascii="宋体" w:hAnsi="宋体" w:eastAsia="宋体"/>
                <w:sz w:val="24"/>
                <w:szCs w:val="24"/>
                <w:lang w:val="en-US" w:eastAsia="zh-CN"/>
              </w:rPr>
              <w:t>个</w:t>
            </w:r>
            <w:r>
              <w:rPr>
                <w:rFonts w:hint="eastAsia" w:ascii="宋体" w:hAnsi="宋体"/>
                <w:sz w:val="24"/>
                <w:szCs w:val="24"/>
                <w:lang w:val="en-US" w:eastAsia="zh-CN"/>
              </w:rPr>
              <w:t>合同金额10万以上</w:t>
            </w:r>
            <w:r>
              <w:rPr>
                <w:rFonts w:hint="eastAsia" w:ascii="宋体" w:hAnsi="宋体" w:eastAsia="宋体"/>
                <w:sz w:val="24"/>
                <w:szCs w:val="24"/>
              </w:rPr>
              <w:t>劳务服务业务的业绩</w:t>
            </w:r>
            <w:r>
              <w:rPr>
                <w:rFonts w:hint="eastAsia" w:cs="宋体" w:asciiTheme="minorEastAsia" w:hAnsiTheme="minorEastAsia" w:eastAsiaTheme="minorEastAsia"/>
                <w:color w:val="000000"/>
                <w:sz w:val="24"/>
                <w:shd w:val="clear" w:color="auto" w:fill="auto"/>
                <w:lang w:val="en-US" w:eastAsia="zh-CN"/>
              </w:rPr>
              <w:t>，</w:t>
            </w:r>
            <w:r>
              <w:rPr>
                <w:rFonts w:hint="eastAsia" w:cs="宋体" w:asciiTheme="minorEastAsia" w:hAnsiTheme="minorEastAsia" w:eastAsiaTheme="minorEastAsia"/>
                <w:color w:val="000000"/>
                <w:sz w:val="24"/>
                <w:shd w:val="clear" w:color="auto" w:fill="auto"/>
              </w:rPr>
              <w:t>以证明供应商具有承担本项目要求的业绩。</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21"/>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21"/>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cs="宋体" w:asciiTheme="minorEastAsia" w:hAnsiTheme="minorEastAsia" w:eastAsiaTheme="minorEastAsia"/>
                <w:color w:val="000000"/>
                <w:sz w:val="24"/>
                <w:highlight w:val="none"/>
                <w:shd w:val="clear" w:color="auto" w:fill="auto"/>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供应商应提供拟委任的主要人员汇总表和主要人员简历表（格式见第六章“响应文件格式”七、资格审查资料（四）拟委任的主要人员汇总表和（五）主要人员简历表）。</w:t>
            </w:r>
          </w:p>
          <w:p>
            <w:pPr>
              <w:bidi w:val="0"/>
              <w:rPr>
                <w:rFonts w:hint="eastAsia"/>
                <w:sz w:val="24"/>
                <w:szCs w:val="24"/>
                <w:lang w:val="en-US" w:eastAsia="zh-CN"/>
              </w:rPr>
            </w:pPr>
            <w:r>
              <w:rPr>
                <w:rFonts w:hint="eastAsia"/>
                <w:sz w:val="24"/>
                <w:szCs w:val="24"/>
                <w:lang w:val="en-US" w:eastAsia="zh-CN"/>
              </w:rPr>
              <w:t>项目主要负责人须具备国家行政机构颁发的安全管理人员证书（危险化学品类），并在有效期内。（或中标后一个月内取得此证）</w:t>
            </w:r>
          </w:p>
          <w:p>
            <w:pPr>
              <w:bidi w:val="0"/>
              <w:rPr>
                <w:rFonts w:hint="eastAsia"/>
                <w:sz w:val="24"/>
                <w:szCs w:val="24"/>
                <w:lang w:val="en-US" w:eastAsia="zh-CN"/>
              </w:rPr>
            </w:pPr>
            <w:r>
              <w:rPr>
                <w:rFonts w:hint="eastAsia"/>
                <w:sz w:val="24"/>
                <w:szCs w:val="24"/>
                <w:lang w:val="en-US" w:eastAsia="zh-CN"/>
              </w:rPr>
              <w:t>项目安全现场管理人员必须具备国家行政机构颁发的安全管理人员证书（危险化学品类），并在有效期内。</w:t>
            </w:r>
          </w:p>
          <w:p>
            <w:pPr>
              <w:widowControl w:val="0"/>
              <w:spacing w:line="288" w:lineRule="auto"/>
              <w:jc w:val="both"/>
              <w:rPr>
                <w:rFonts w:hint="eastAsia"/>
                <w:sz w:val="24"/>
                <w:szCs w:val="24"/>
                <w:lang w:val="en-US" w:eastAsia="zh-CN"/>
              </w:rPr>
            </w:pPr>
            <w:r>
              <w:rPr>
                <w:rFonts w:hint="eastAsia"/>
                <w:sz w:val="24"/>
                <w:szCs w:val="24"/>
                <w:lang w:val="en-US" w:eastAsia="zh-CN"/>
              </w:rPr>
              <w:t>项目劳务人员必须具备国家行政机构颁发的从业资格证书（危险货物装卸管理人员），并在有效期内。</w:t>
            </w:r>
          </w:p>
          <w:p>
            <w:pPr>
              <w:pStyle w:val="2"/>
              <w:ind w:left="0" w:leftChars="0" w:firstLine="0" w:firstLineChars="0"/>
            </w:pPr>
            <w:r>
              <w:rPr>
                <w:rFonts w:hint="eastAsia"/>
                <w:sz w:val="24"/>
                <w:szCs w:val="24"/>
                <w:highlight w:val="none"/>
                <w:lang w:val="en-US" w:eastAsia="zh-CN"/>
              </w:rPr>
              <w:t>作业人员必须购买工伤保险或商业险，商业险必须大于或等于100万的。</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none"/>
                <w:lang w:val="en-US" w:eastAsia="zh-CN"/>
              </w:rPr>
              <w:t>；项目名称：</w:t>
            </w:r>
            <w:r>
              <w:rPr>
                <w:rFonts w:hint="eastAsia" w:ascii="宋体" w:hAnsi="宋体" w:eastAsia="宋体" w:cs="宋体"/>
                <w:kern w:val="2"/>
                <w:sz w:val="24"/>
                <w:szCs w:val="24"/>
              </w:rPr>
              <w:t>岳阳城陵矶</w:t>
            </w:r>
            <w:r>
              <w:rPr>
                <w:rFonts w:hint="eastAsia" w:ascii="宋体" w:hAnsi="宋体" w:eastAsia="宋体" w:cs="宋体"/>
                <w:kern w:val="2"/>
                <w:sz w:val="24"/>
                <w:szCs w:val="24"/>
                <w:lang w:eastAsia="zh-CN"/>
              </w:rPr>
              <w:t>危险品储运有限公司</w:t>
            </w:r>
            <w:r>
              <w:rPr>
                <w:rFonts w:hint="eastAsia" w:ascii="宋体" w:hAnsi="宋体" w:eastAsia="宋体" w:cs="宋体"/>
                <w:kern w:val="2"/>
                <w:sz w:val="24"/>
                <w:szCs w:val="24"/>
                <w:lang w:val="en-US" w:eastAsia="zh-CN"/>
              </w:rPr>
              <w:t>港口装卸辅助劳务外包</w:t>
            </w:r>
            <w:r>
              <w:rPr>
                <w:rFonts w:hint="eastAsia" w:ascii="宋体" w:hAnsi="宋体" w:eastAsia="宋体" w:cs="宋体"/>
                <w:kern w:val="2"/>
                <w:sz w:val="24"/>
                <w:szCs w:val="24"/>
                <w:lang w:eastAsia="zh-CN"/>
              </w:rPr>
              <w:t>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none"/>
              </w:rPr>
              <w:t>截止时间：</w:t>
            </w:r>
            <w:r>
              <w:rPr>
                <w:rFonts w:hint="eastAsia" w:cs="宋体" w:asciiTheme="minorEastAsia" w:hAnsiTheme="minorEastAsia" w:eastAsiaTheme="minorEastAsia"/>
                <w:sz w:val="24"/>
                <w:highlight w:val="yellow"/>
                <w:lang w:val="en-US" w:eastAsia="zh-CN"/>
              </w:rPr>
              <w:t xml:space="preserve"> 2024  </w:t>
            </w:r>
            <w:r>
              <w:rPr>
                <w:rFonts w:hint="eastAsia" w:cs="宋体" w:asciiTheme="minorEastAsia" w:hAnsiTheme="minorEastAsia" w:eastAsiaTheme="minorEastAsia"/>
                <w:sz w:val="24"/>
                <w:highlight w:val="yellow"/>
              </w:rPr>
              <w:t xml:space="preserve">年 </w:t>
            </w:r>
            <w:r>
              <w:rPr>
                <w:rFonts w:hint="eastAsia" w:cs="宋体" w:asciiTheme="minorEastAsia" w:hAnsiTheme="minorEastAsia" w:eastAsiaTheme="minorEastAsia"/>
                <w:sz w:val="24"/>
                <w:highlight w:val="yellow"/>
                <w:lang w:val="en-US" w:eastAsia="zh-CN"/>
              </w:rPr>
              <w:t xml:space="preserve">6   </w:t>
            </w:r>
            <w:r>
              <w:rPr>
                <w:rFonts w:hint="eastAsia" w:cs="宋体" w:asciiTheme="minorEastAsia" w:hAnsiTheme="minorEastAsia" w:eastAsiaTheme="minorEastAsia"/>
                <w:sz w:val="24"/>
                <w:highlight w:val="yellow"/>
              </w:rPr>
              <w:t>月</w:t>
            </w:r>
            <w:r>
              <w:rPr>
                <w:rFonts w:hint="eastAsia" w:cs="宋体" w:asciiTheme="minorEastAsia" w:hAnsiTheme="minorEastAsia" w:eastAsiaTheme="minorEastAsia"/>
                <w:sz w:val="24"/>
                <w:highlight w:val="yellow"/>
                <w:lang w:val="en-US" w:eastAsia="zh-CN"/>
              </w:rPr>
              <w:t xml:space="preserve"> 13  </w:t>
            </w:r>
            <w:r>
              <w:rPr>
                <w:rFonts w:hint="eastAsia" w:cs="宋体" w:asciiTheme="minorEastAsia" w:hAnsiTheme="minorEastAsia" w:eastAsiaTheme="minorEastAsia"/>
                <w:sz w:val="24"/>
                <w:highlight w:val="yellow"/>
              </w:rPr>
              <w:t>日</w:t>
            </w:r>
            <w:r>
              <w:rPr>
                <w:rFonts w:hint="eastAsia" w:cs="宋体" w:asciiTheme="minorEastAsia" w:hAnsiTheme="minorEastAsia" w:eastAsiaTheme="minorEastAsia"/>
                <w:sz w:val="24"/>
                <w:highlight w:val="yellow"/>
                <w:lang w:val="en-US" w:eastAsia="zh-CN"/>
              </w:rPr>
              <w:t xml:space="preserve"> 12  </w:t>
            </w:r>
            <w:r>
              <w:rPr>
                <w:rFonts w:hint="eastAsia" w:cs="宋体" w:asciiTheme="minorEastAsia" w:hAnsiTheme="minorEastAsia" w:eastAsiaTheme="minorEastAsia"/>
                <w:sz w:val="24"/>
                <w:highlight w:val="yellow"/>
              </w:rPr>
              <w:t>时</w:t>
            </w:r>
            <w:r>
              <w:rPr>
                <w:rFonts w:hint="eastAsia" w:cs="宋体" w:asciiTheme="minorEastAsia" w:hAnsiTheme="minorEastAsia" w:eastAsiaTheme="minorEastAsia"/>
                <w:sz w:val="24"/>
                <w:highlight w:val="yellow"/>
                <w:lang w:val="en-US" w:eastAsia="zh-CN"/>
              </w:rPr>
              <w:t xml:space="preserve">   00</w:t>
            </w:r>
            <w:r>
              <w:rPr>
                <w:rFonts w:hint="eastAsia" w:cs="宋体" w:asciiTheme="minorEastAsia" w:hAnsiTheme="minorEastAsia" w:eastAsiaTheme="minorEastAsia"/>
                <w:sz w:val="24"/>
                <w:highlight w:val="yellow"/>
              </w:rPr>
              <w:t xml:space="preserve">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yellow"/>
              </w:rPr>
              <w:t>递交响应文件的地点：</w:t>
            </w:r>
            <w:r>
              <w:rPr>
                <w:rFonts w:hint="eastAsia" w:ascii="宋体" w:hAnsi="宋体"/>
                <w:sz w:val="24"/>
                <w:lang w:eastAsia="zh-CN"/>
              </w:rPr>
              <w:t>城陵矶新港区（云港路邓家坡加油站东200米）危险品储运公司</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2"/>
                <w:szCs w:val="22"/>
              </w:rPr>
              <w:t>公示媒介：</w:t>
            </w:r>
            <w:r>
              <w:rPr>
                <w:rFonts w:hint="eastAsia" w:ascii="宋体" w:hAnsi="宋体" w:cs="宋体"/>
                <w:color w:val="auto"/>
                <w:sz w:val="22"/>
                <w:szCs w:val="22"/>
                <w:highlight w:val="none"/>
                <w:u w:val="single"/>
              </w:rPr>
              <w:t>中国招标投标公共服务平台（http://www.cebpubservice.com/）、</w:t>
            </w:r>
            <w:r>
              <w:rPr>
                <w:rFonts w:hint="eastAsia" w:asciiTheme="minorEastAsia" w:hAnsiTheme="minorEastAsia" w:eastAsiaTheme="minorEastAsia" w:cstheme="minorEastAsia"/>
                <w:b w:val="0"/>
                <w:bCs w:val="0"/>
                <w:color w:val="auto"/>
                <w:kern w:val="2"/>
                <w:sz w:val="22"/>
                <w:szCs w:val="22"/>
                <w:lang w:val="en-US" w:eastAsia="zh-CN" w:bidi="ar-SA"/>
              </w:rPr>
              <w:t>湖南省港航水利集团有限公司网站（http://www.hnsghsljt.com/）</w:t>
            </w:r>
            <w:r>
              <w:rPr>
                <w:rFonts w:hint="eastAsia" w:ascii="宋体" w:hAnsi="宋体" w:cs="宋体"/>
                <w:color w:val="auto"/>
                <w:sz w:val="22"/>
                <w:szCs w:val="22"/>
                <w:highlight w:val="none"/>
                <w:u w:val="single"/>
                <w:lang w:eastAsia="zh-CN"/>
              </w:rPr>
              <w:t>、湖南省</w:t>
            </w:r>
            <w:r>
              <w:rPr>
                <w:rFonts w:hint="eastAsia" w:ascii="宋体" w:hAnsi="宋体" w:cs="宋体"/>
                <w:color w:val="auto"/>
                <w:sz w:val="22"/>
                <w:szCs w:val="22"/>
                <w:highlight w:val="none"/>
                <w:u w:val="single"/>
                <w:lang w:val="en-US" w:eastAsia="zh-CN"/>
              </w:rPr>
              <w:t>城陵矶港口集团</w:t>
            </w:r>
            <w:r>
              <w:rPr>
                <w:rFonts w:hint="eastAsia" w:ascii="宋体" w:hAnsi="宋体" w:cs="宋体"/>
                <w:color w:val="auto"/>
                <w:sz w:val="22"/>
                <w:szCs w:val="22"/>
                <w:highlight w:val="none"/>
                <w:u w:val="single"/>
                <w:lang w:eastAsia="zh-CN"/>
              </w:rPr>
              <w:t>有限公司网站（</w:t>
            </w:r>
            <w:r>
              <w:rPr>
                <w:rFonts w:hint="eastAsia" w:ascii="宋体" w:hAnsi="宋体" w:cs="宋体"/>
                <w:color w:val="auto"/>
                <w:sz w:val="22"/>
                <w:szCs w:val="22"/>
                <w:highlight w:val="none"/>
                <w:u w:val="single"/>
              </w:rPr>
              <w:t>http://www.hnsgwjt.com/</w:t>
            </w:r>
            <w:r>
              <w:rPr>
                <w:rFonts w:hint="eastAsia" w:ascii="宋体" w:hAnsi="宋体" w:cs="宋体"/>
                <w:color w:val="auto"/>
                <w:sz w:val="22"/>
                <w:szCs w:val="22"/>
                <w:highlight w:val="none"/>
                <w:u w:val="single"/>
                <w:lang w:eastAsia="zh-CN"/>
              </w:rPr>
              <w:t>）</w:t>
            </w:r>
            <w:r>
              <w:rPr>
                <w:rFonts w:hint="eastAsia" w:asciiTheme="minorEastAsia" w:hAnsiTheme="minorEastAsia" w:eastAsiaTheme="minorEastAsia" w:cstheme="minorEastAsia"/>
                <w:b w:val="0"/>
                <w:bCs w:val="0"/>
                <w:color w:val="auto"/>
                <w:kern w:val="2"/>
                <w:sz w:val="22"/>
                <w:szCs w:val="22"/>
                <w:lang w:val="en-US" w:eastAsia="zh-CN" w:bidi="ar-SA"/>
              </w:rPr>
              <w:t>上</w:t>
            </w:r>
            <w:r>
              <w:rPr>
                <w:rFonts w:hint="eastAsia" w:ascii="宋体" w:hAnsi="宋体" w:cs="宋体"/>
                <w:sz w:val="22"/>
                <w:szCs w:val="22"/>
              </w:rPr>
              <w:t>发布。</w:t>
            </w:r>
            <w:r>
              <w:rPr>
                <w:rFonts w:hint="eastAsia" w:cs="宋体" w:asciiTheme="minorEastAsia" w:hAnsiTheme="minorEastAsia" w:eastAsiaTheme="minorEastAsia"/>
                <w:sz w:val="22"/>
                <w:szCs w:val="22"/>
              </w:rPr>
              <w:t xml:space="preserve">   </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岳阳城陵矶危险品储运有限公司综合运营部。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w:t>
            </w:r>
            <w:r>
              <w:rPr>
                <w:rFonts w:hint="eastAsia" w:ascii="宋体" w:hAnsi="宋体"/>
                <w:sz w:val="24"/>
                <w:lang w:eastAsia="zh-CN"/>
              </w:rPr>
              <w:t>城陵矶新港区（云港路邓家坡加油站东200米）危险品储运公司。</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3" w:name="_Toc590"/>
      <w:r>
        <w:rPr>
          <w:rFonts w:hint="eastAsia" w:ascii="华文中宋" w:hAnsi="华文中宋" w:eastAsia="华文中宋" w:cs="仿宋"/>
          <w:b/>
          <w:bCs/>
          <w:sz w:val="30"/>
          <w:szCs w:val="30"/>
        </w:rPr>
        <w:t>第二章 供应商须知正文</w:t>
      </w:r>
      <w:bookmarkEnd w:id="13"/>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7"/>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4" w:name="_Toc24135"/>
      <w:r>
        <w:rPr>
          <w:rFonts w:hint="eastAsia" w:ascii="宋体" w:hAnsi="宋体" w:cs="宋体"/>
          <w:b/>
          <w:bCs/>
          <w:sz w:val="24"/>
        </w:rPr>
        <w:t>7.3成交结果异议</w:t>
      </w:r>
      <w:bookmarkEnd w:id="14"/>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6"/>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r>
        <w:rPr>
          <w:rFonts w:hint="eastAsia" w:ascii="宋体" w:hAnsi="宋体" w:cs="仿宋"/>
          <w:sz w:val="24"/>
          <w:highlight w:val="green"/>
        </w:rPr>
        <w:t>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2"/>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5" w:name="_Toc23541"/>
      <w:bookmarkStart w:id="16" w:name="_Toc77254130"/>
      <w:bookmarkStart w:id="17" w:name="_Toc76635709"/>
      <w:r>
        <w:rPr>
          <w:rFonts w:hint="eastAsia" w:ascii="黑体" w:hAnsi="黑体" w:eastAsia="黑体" w:cs="仿宋"/>
          <w:bCs/>
          <w:sz w:val="36"/>
          <w:szCs w:val="36"/>
        </w:rPr>
        <w:t>第三章 评审办法</w:t>
      </w:r>
      <w:bookmarkEnd w:id="15"/>
    </w:p>
    <w:p>
      <w:pPr>
        <w:adjustRightInd w:val="0"/>
        <w:snapToGrid w:val="0"/>
        <w:spacing w:before="120" w:beforeLines="50" w:after="120" w:afterLines="50" w:line="240" w:lineRule="auto"/>
        <w:jc w:val="center"/>
      </w:pPr>
      <w:r>
        <w:rPr>
          <w:rFonts w:hint="eastAsia" w:ascii="黑体" w:hAnsi="黑体" w:eastAsia="黑体" w:cs="仿宋"/>
          <w:bCs/>
          <w:sz w:val="32"/>
          <w:szCs w:val="32"/>
        </w:rPr>
        <w:t>评审办法前附表</w:t>
      </w:r>
    </w:p>
    <w:tbl>
      <w:tblPr>
        <w:tblStyle w:val="46"/>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74"/>
        <w:gridCol w:w="583"/>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74"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人员要求</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130" w:type="dxa"/>
            <w:gridSpan w:val="3"/>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22" w:type="dxa"/>
            <w:gridSpan w:val="3"/>
            <w:noWrap w:val="0"/>
            <w:vAlign w:val="top"/>
          </w:tcPr>
          <w:p>
            <w:pPr>
              <w:widowControl/>
              <w:adjustRightInd w:val="0"/>
              <w:snapToGrid w:val="0"/>
              <w:spacing w:line="288" w:lineRule="auto"/>
              <w:jc w:val="both"/>
              <w:rPr>
                <w:rFonts w:ascii="宋体" w:hAnsi="宋体" w:eastAsia="宋体" w:cs="仿宋"/>
                <w:szCs w:val="21"/>
              </w:rPr>
            </w:pPr>
            <w:r>
              <w:rPr>
                <w:rFonts w:hint="eastAsia" w:cs="仿宋" w:asciiTheme="minorEastAsia" w:hAnsiTheme="minorEastAsia" w:eastAsiaTheme="minorEastAsia"/>
                <w:szCs w:val="21"/>
              </w:rPr>
              <w:t>条款号</w:t>
            </w:r>
          </w:p>
        </w:tc>
        <w:tc>
          <w:tcPr>
            <w:tcW w:w="1573" w:type="dxa"/>
            <w:noWrap w:val="0"/>
            <w:vAlign w:val="top"/>
          </w:tcPr>
          <w:p>
            <w:pPr>
              <w:widowControl/>
              <w:adjustRightInd w:val="0"/>
              <w:snapToGrid w:val="0"/>
              <w:spacing w:line="288" w:lineRule="auto"/>
              <w:jc w:val="both"/>
              <w:rPr>
                <w:rFonts w:ascii="宋体" w:hAnsi="宋体" w:eastAsia="宋体" w:cs="仿宋"/>
                <w:szCs w:val="21"/>
              </w:rPr>
            </w:pPr>
            <w:r>
              <w:rPr>
                <w:rFonts w:hint="eastAsia" w:cs="仿宋" w:asciiTheme="minorEastAsia" w:hAnsiTheme="minorEastAsia" w:eastAsiaTheme="minorEastAsia"/>
                <w:szCs w:val="21"/>
              </w:rPr>
              <w:t>条款内容</w:t>
            </w:r>
          </w:p>
        </w:tc>
        <w:tc>
          <w:tcPr>
            <w:tcW w:w="5676" w:type="dxa"/>
            <w:noWrap w:val="0"/>
            <w:vAlign w:val="top"/>
          </w:tcPr>
          <w:p>
            <w:pPr>
              <w:widowControl/>
              <w:adjustRightInd w:val="0"/>
              <w:snapToGrid w:val="0"/>
              <w:spacing w:line="288" w:lineRule="auto"/>
              <w:jc w:val="both"/>
              <w:rPr>
                <w:rFonts w:ascii="宋体" w:hAnsi="宋体" w:eastAsia="宋体" w:cs="仿宋"/>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22" w:type="dxa"/>
            <w:gridSpan w:val="3"/>
            <w:noWrap w:val="0"/>
            <w:vAlign w:val="top"/>
          </w:tcPr>
          <w:p>
            <w:pPr>
              <w:widowControl/>
              <w:adjustRightInd w:val="0"/>
              <w:snapToGrid w:val="0"/>
              <w:spacing w:line="288" w:lineRule="auto"/>
              <w:jc w:val="both"/>
              <w:rPr>
                <w:rFonts w:ascii="宋体" w:hAnsi="宋体" w:eastAsia="宋体" w:cs="仿宋"/>
                <w:szCs w:val="21"/>
              </w:rPr>
            </w:pPr>
            <w:r>
              <w:rPr>
                <w:rFonts w:hint="eastAsia" w:cs="仿宋" w:asciiTheme="minorEastAsia" w:hAnsiTheme="minorEastAsia" w:eastAsiaTheme="minorEastAsia"/>
                <w:szCs w:val="21"/>
              </w:rPr>
              <w:t>3</w:t>
            </w:r>
          </w:p>
        </w:tc>
        <w:tc>
          <w:tcPr>
            <w:tcW w:w="1573" w:type="dxa"/>
            <w:noWrap w:val="0"/>
            <w:vAlign w:val="center"/>
          </w:tcPr>
          <w:p>
            <w:pPr>
              <w:widowControl w:val="0"/>
              <w:spacing w:line="288" w:lineRule="auto"/>
              <w:jc w:val="center"/>
              <w:rPr>
                <w:rFonts w:ascii="宋体" w:hAnsi="宋体" w:eastAsia="宋体"/>
                <w:szCs w:val="21"/>
              </w:rPr>
            </w:pPr>
            <w:r>
              <w:rPr>
                <w:rFonts w:hint="eastAsia" w:asciiTheme="minorEastAsia" w:hAnsiTheme="minorEastAsia" w:eastAsiaTheme="minorEastAsia"/>
                <w:szCs w:val="21"/>
              </w:rPr>
              <w:t>报价</w:t>
            </w:r>
          </w:p>
        </w:tc>
        <w:tc>
          <w:tcPr>
            <w:tcW w:w="5676" w:type="dxa"/>
            <w:noWrap w:val="0"/>
            <w:vAlign w:val="top"/>
          </w:tcPr>
          <w:p>
            <w:pPr>
              <w:widowControl w:val="0"/>
              <w:adjustRightInd w:val="0"/>
              <w:snapToGrid w:val="0"/>
              <w:spacing w:line="288" w:lineRule="auto"/>
              <w:jc w:val="both"/>
              <w:rPr>
                <w:rFonts w:ascii="宋体" w:hAnsi="宋体" w:eastAsia="宋体" w:cs="仿宋"/>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bl>
    <w:p>
      <w:pPr>
        <w:adjustRightInd w:val="0"/>
        <w:snapToGrid w:val="0"/>
        <w:spacing w:line="312" w:lineRule="auto"/>
        <w:jc w:val="both"/>
        <w:rPr>
          <w:rFonts w:hint="eastAsia" w:ascii="宋体" w:hAnsi="宋体" w:eastAsia="宋体" w:cs="宋体"/>
          <w:b/>
          <w:bCs/>
          <w:sz w:val="44"/>
          <w:szCs w:val="44"/>
        </w:rPr>
      </w:pPr>
    </w:p>
    <w:p>
      <w:pPr>
        <w:adjustRightInd w:val="0"/>
        <w:snapToGrid w:val="0"/>
        <w:spacing w:line="312" w:lineRule="auto"/>
        <w:jc w:val="both"/>
        <w:rPr>
          <w:rFonts w:hint="eastAsia" w:ascii="宋体" w:hAnsi="宋体" w:cs="仿宋"/>
          <w:b/>
          <w:bCs/>
          <w:sz w:val="36"/>
          <w:szCs w:val="36"/>
        </w:rPr>
      </w:pPr>
    </w:p>
    <w:p>
      <w:pPr>
        <w:adjustRightInd w:val="0"/>
        <w:snapToGrid w:val="0"/>
        <w:spacing w:line="312" w:lineRule="auto"/>
        <w:ind w:firstLine="3614" w:firstLineChars="1000"/>
        <w:jc w:val="both"/>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pStyle w:val="82"/>
        <w:spacing w:line="600" w:lineRule="exact"/>
        <w:ind w:left="420" w:firstLine="0" w:firstLineChars="0"/>
        <w:jc w:val="both"/>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rPr>
        <w:br w:type="page"/>
      </w:r>
      <w:bookmarkEnd w:id="16"/>
      <w:bookmarkEnd w:id="17"/>
      <w:bookmarkStart w:id="18" w:name="_Toc15767"/>
      <w:r>
        <w:rPr>
          <w:rFonts w:hint="eastAsia" w:ascii="黑体" w:hAnsi="黑体" w:eastAsia="黑体" w:cs="仿宋"/>
          <w:b/>
          <w:color w:val="000000"/>
          <w:sz w:val="36"/>
          <w:szCs w:val="36"/>
          <w:lang w:val="en-US" w:eastAsia="zh-CN"/>
        </w:rPr>
        <w:t xml:space="preserve">             </w:t>
      </w:r>
      <w:bookmarkEnd w:id="18"/>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19" w:name="_Toc189386103"/>
    </w:p>
    <w:p>
      <w:pPr>
        <w:pStyle w:val="8"/>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20" w:name="_Toc76056666"/>
      <w:r>
        <w:rPr>
          <w:rFonts w:ascii="宋体" w:hAnsi="宋体"/>
          <w:bCs w:val="0"/>
          <w:color w:val="000000"/>
          <w:sz w:val="24"/>
          <w:szCs w:val="24"/>
          <w:highlight w:val="none"/>
          <w:shd w:val="clear" w:color="auto" w:fill="auto"/>
        </w:rPr>
        <w:t>1．一般约定</w:t>
      </w:r>
      <w:bookmarkEnd w:id="19"/>
      <w:bookmarkEnd w:id="2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1" w:name="_Toc511318046"/>
      <w:bookmarkStart w:id="22" w:name="_Toc511317297"/>
      <w:bookmarkStart w:id="23" w:name="_Toc189386104"/>
      <w:r>
        <w:rPr>
          <w:rFonts w:ascii="宋体" w:hAnsi="宋体"/>
          <w:b/>
          <w:bCs/>
          <w:color w:val="000000"/>
          <w:kern w:val="0"/>
          <w:sz w:val="24"/>
          <w:highlight w:val="none"/>
          <w:shd w:val="clear" w:color="auto" w:fill="auto"/>
        </w:rPr>
        <w:t>1.1 词语定义</w:t>
      </w:r>
      <w:bookmarkEnd w:id="21"/>
      <w:bookmarkEnd w:id="22"/>
      <w:bookmarkEnd w:id="2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4" w:name="_Toc189386105"/>
      <w:bookmarkStart w:id="25" w:name="_Toc511317298"/>
      <w:bookmarkStart w:id="26" w:name="_Toc511318047"/>
      <w:r>
        <w:rPr>
          <w:rFonts w:ascii="宋体" w:hAnsi="宋体"/>
          <w:b/>
          <w:bCs/>
          <w:color w:val="000000"/>
          <w:kern w:val="0"/>
          <w:sz w:val="24"/>
          <w:highlight w:val="none"/>
          <w:shd w:val="clear" w:color="auto" w:fill="auto"/>
        </w:rPr>
        <w:t>1.2 语言文字</w:t>
      </w:r>
      <w:bookmarkEnd w:id="24"/>
      <w:bookmarkEnd w:id="25"/>
      <w:bookmarkEnd w:id="2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7" w:name="_Toc189386106"/>
      <w:bookmarkStart w:id="28" w:name="_Toc511318048"/>
      <w:bookmarkStart w:id="29" w:name="_Toc511317299"/>
      <w:r>
        <w:rPr>
          <w:rFonts w:ascii="宋体" w:hAnsi="宋体"/>
          <w:b/>
          <w:bCs/>
          <w:color w:val="000000"/>
          <w:kern w:val="0"/>
          <w:sz w:val="24"/>
          <w:highlight w:val="none"/>
          <w:shd w:val="clear" w:color="auto" w:fill="auto"/>
        </w:rPr>
        <w:t>1.3 法律</w:t>
      </w:r>
      <w:bookmarkEnd w:id="27"/>
      <w:bookmarkEnd w:id="28"/>
      <w:bookmarkEnd w:id="2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0" w:name="_Toc511317300"/>
      <w:bookmarkStart w:id="31" w:name="_Toc189386107"/>
      <w:bookmarkStart w:id="32" w:name="_Toc511318049"/>
      <w:r>
        <w:rPr>
          <w:rFonts w:ascii="宋体" w:hAnsi="宋体"/>
          <w:b/>
          <w:bCs/>
          <w:color w:val="000000"/>
          <w:kern w:val="0"/>
          <w:sz w:val="24"/>
          <w:highlight w:val="none"/>
          <w:shd w:val="clear" w:color="auto" w:fill="auto"/>
        </w:rPr>
        <w:t>1.4 合同文件的优先顺序</w:t>
      </w:r>
      <w:bookmarkEnd w:id="30"/>
      <w:bookmarkEnd w:id="31"/>
      <w:bookmarkEnd w:id="3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3" w:name="_Toc189386108"/>
      <w:bookmarkStart w:id="34" w:name="_Toc511318050"/>
      <w:bookmarkStart w:id="35" w:name="_Toc511317301"/>
      <w:r>
        <w:rPr>
          <w:rFonts w:ascii="宋体" w:hAnsi="宋体"/>
          <w:b/>
          <w:bCs/>
          <w:color w:val="000000"/>
          <w:kern w:val="0"/>
          <w:sz w:val="24"/>
          <w:highlight w:val="none"/>
          <w:shd w:val="clear" w:color="auto" w:fill="auto"/>
        </w:rPr>
        <w:t>1.5 合同协议书</w:t>
      </w:r>
      <w:bookmarkEnd w:id="33"/>
      <w:bookmarkEnd w:id="34"/>
      <w:bookmarkEnd w:id="3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6" w:name="_Toc511317302"/>
      <w:bookmarkStart w:id="37" w:name="_Toc189386109"/>
      <w:bookmarkStart w:id="38" w:name="_Toc511318051"/>
      <w:r>
        <w:rPr>
          <w:rFonts w:ascii="宋体" w:hAnsi="宋体"/>
          <w:b/>
          <w:bCs/>
          <w:color w:val="000000"/>
          <w:kern w:val="0"/>
          <w:sz w:val="24"/>
          <w:highlight w:val="none"/>
          <w:shd w:val="clear" w:color="auto" w:fill="auto"/>
        </w:rPr>
        <w:t>1.6 图纸和承包人文件</w:t>
      </w:r>
      <w:bookmarkEnd w:id="36"/>
      <w:bookmarkEnd w:id="37"/>
      <w:bookmarkEnd w:id="38"/>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9" w:name="_Toc189386110"/>
      <w:bookmarkStart w:id="40" w:name="_Toc511318052"/>
      <w:bookmarkStart w:id="41" w:name="_Toc511317303"/>
      <w:r>
        <w:rPr>
          <w:rFonts w:ascii="宋体" w:hAnsi="宋体"/>
          <w:b/>
          <w:bCs/>
          <w:color w:val="000000"/>
          <w:kern w:val="0"/>
          <w:sz w:val="24"/>
          <w:highlight w:val="none"/>
          <w:shd w:val="clear" w:color="auto" w:fill="auto"/>
        </w:rPr>
        <w:t>1.7 联络</w:t>
      </w:r>
      <w:bookmarkEnd w:id="39"/>
      <w:bookmarkEnd w:id="40"/>
      <w:bookmarkEnd w:id="4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2" w:name="_Toc511317304"/>
      <w:bookmarkStart w:id="43" w:name="_Toc511318053"/>
      <w:bookmarkStart w:id="44" w:name="_Toc189386111"/>
      <w:r>
        <w:rPr>
          <w:rFonts w:ascii="宋体" w:hAnsi="宋体"/>
          <w:b/>
          <w:bCs/>
          <w:color w:val="000000"/>
          <w:kern w:val="0"/>
          <w:sz w:val="24"/>
          <w:highlight w:val="none"/>
          <w:shd w:val="clear" w:color="auto" w:fill="auto"/>
        </w:rPr>
        <w:t>1.8 转让</w:t>
      </w:r>
      <w:bookmarkEnd w:id="42"/>
      <w:bookmarkEnd w:id="43"/>
      <w:bookmarkEnd w:id="4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5" w:name="_Toc511318054"/>
      <w:bookmarkStart w:id="46" w:name="_Toc189386112"/>
      <w:bookmarkStart w:id="47" w:name="_Toc511317305"/>
      <w:r>
        <w:rPr>
          <w:rFonts w:ascii="宋体" w:hAnsi="宋体"/>
          <w:b/>
          <w:bCs/>
          <w:color w:val="000000"/>
          <w:kern w:val="0"/>
          <w:sz w:val="24"/>
          <w:highlight w:val="none"/>
          <w:shd w:val="clear" w:color="auto" w:fill="auto"/>
        </w:rPr>
        <w:t>1.9 严禁贿赂</w:t>
      </w:r>
      <w:bookmarkEnd w:id="45"/>
      <w:bookmarkEnd w:id="46"/>
      <w:bookmarkEnd w:id="4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8" w:name="_Toc189386113"/>
      <w:bookmarkStart w:id="49" w:name="_Toc511317306"/>
      <w:bookmarkStart w:id="50" w:name="_Toc511318055"/>
      <w:r>
        <w:rPr>
          <w:rFonts w:ascii="宋体" w:hAnsi="宋体"/>
          <w:b/>
          <w:bCs/>
          <w:color w:val="000000"/>
          <w:kern w:val="0"/>
          <w:sz w:val="24"/>
          <w:highlight w:val="none"/>
          <w:shd w:val="clear" w:color="auto" w:fill="auto"/>
        </w:rPr>
        <w:t>1.10 化石、文物</w:t>
      </w:r>
      <w:bookmarkEnd w:id="48"/>
      <w:bookmarkEnd w:id="49"/>
      <w:bookmarkEnd w:id="5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1" w:name="_Toc511318056"/>
      <w:bookmarkStart w:id="52" w:name="_Toc511317307"/>
      <w:bookmarkStart w:id="53" w:name="_Toc189386114"/>
      <w:r>
        <w:rPr>
          <w:rFonts w:ascii="宋体" w:hAnsi="宋体"/>
          <w:b/>
          <w:bCs/>
          <w:color w:val="000000"/>
          <w:kern w:val="0"/>
          <w:sz w:val="24"/>
          <w:highlight w:val="none"/>
          <w:shd w:val="clear" w:color="auto" w:fill="auto"/>
        </w:rPr>
        <w:t>1.11 专利技术</w:t>
      </w:r>
      <w:bookmarkEnd w:id="51"/>
      <w:bookmarkEnd w:id="52"/>
      <w:bookmarkEnd w:id="5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4" w:name="_Toc511318057"/>
      <w:bookmarkStart w:id="55" w:name="_Toc511317308"/>
      <w:bookmarkStart w:id="56" w:name="_Toc189386115"/>
      <w:r>
        <w:rPr>
          <w:rFonts w:ascii="宋体" w:hAnsi="宋体"/>
          <w:b/>
          <w:bCs/>
          <w:color w:val="000000"/>
          <w:kern w:val="0"/>
          <w:sz w:val="24"/>
          <w:highlight w:val="none"/>
          <w:shd w:val="clear" w:color="auto" w:fill="auto"/>
        </w:rPr>
        <w:t>1.12 图纸和文件的保密</w:t>
      </w:r>
      <w:bookmarkEnd w:id="54"/>
      <w:bookmarkEnd w:id="55"/>
      <w:bookmarkEnd w:id="5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7" w:name="_Toc189386116"/>
      <w:bookmarkStart w:id="58" w:name="_Toc76056667"/>
      <w:r>
        <w:rPr>
          <w:rFonts w:ascii="宋体" w:hAnsi="宋体"/>
          <w:bCs w:val="0"/>
          <w:color w:val="000000"/>
          <w:sz w:val="24"/>
          <w:szCs w:val="24"/>
          <w:highlight w:val="none"/>
          <w:shd w:val="clear" w:color="auto" w:fill="auto"/>
        </w:rPr>
        <w:t>2．发包人义务</w:t>
      </w:r>
      <w:bookmarkEnd w:id="57"/>
      <w:bookmarkEnd w:id="58"/>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9" w:name="_Toc511317310"/>
      <w:bookmarkStart w:id="60" w:name="_Toc511318059"/>
      <w:bookmarkStart w:id="61" w:name="_Toc189386117"/>
      <w:r>
        <w:rPr>
          <w:rFonts w:ascii="宋体" w:hAnsi="宋体"/>
          <w:b/>
          <w:bCs/>
          <w:color w:val="000000"/>
          <w:kern w:val="0"/>
          <w:sz w:val="24"/>
          <w:highlight w:val="none"/>
          <w:shd w:val="clear" w:color="auto" w:fill="auto"/>
        </w:rPr>
        <w:t>2.1 遵守法律</w:t>
      </w:r>
      <w:bookmarkEnd w:id="59"/>
      <w:bookmarkEnd w:id="60"/>
      <w:bookmarkEnd w:id="6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2" w:name="_Toc511318060"/>
      <w:bookmarkStart w:id="63" w:name="_Toc189386118"/>
      <w:bookmarkStart w:id="64" w:name="_Toc511317311"/>
      <w:r>
        <w:rPr>
          <w:rFonts w:ascii="宋体" w:hAnsi="宋体"/>
          <w:b/>
          <w:bCs/>
          <w:color w:val="000000"/>
          <w:kern w:val="0"/>
          <w:sz w:val="24"/>
          <w:highlight w:val="none"/>
          <w:shd w:val="clear" w:color="auto" w:fill="auto"/>
        </w:rPr>
        <w:t>2.2 发出开工通知</w:t>
      </w:r>
      <w:bookmarkEnd w:id="62"/>
      <w:bookmarkEnd w:id="63"/>
      <w:bookmarkEnd w:id="6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5" w:name="_Toc511317312"/>
      <w:bookmarkStart w:id="66" w:name="_Toc511318061"/>
      <w:bookmarkStart w:id="67" w:name="_Toc189386119"/>
      <w:r>
        <w:rPr>
          <w:rFonts w:ascii="宋体" w:hAnsi="宋体"/>
          <w:b/>
          <w:bCs/>
          <w:color w:val="000000"/>
          <w:kern w:val="0"/>
          <w:sz w:val="24"/>
          <w:highlight w:val="none"/>
          <w:shd w:val="clear" w:color="auto" w:fill="auto"/>
        </w:rPr>
        <w:t>2.3 提供施工场地</w:t>
      </w:r>
      <w:bookmarkEnd w:id="65"/>
      <w:bookmarkEnd w:id="66"/>
      <w:bookmarkEnd w:id="6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8" w:name="_Toc189386120"/>
      <w:bookmarkStart w:id="69" w:name="_Toc511317313"/>
      <w:bookmarkStart w:id="70" w:name="_Toc511318062"/>
      <w:r>
        <w:rPr>
          <w:rFonts w:ascii="宋体" w:hAnsi="宋体"/>
          <w:b/>
          <w:bCs/>
          <w:color w:val="000000"/>
          <w:kern w:val="0"/>
          <w:sz w:val="24"/>
          <w:highlight w:val="none"/>
          <w:shd w:val="clear" w:color="auto" w:fill="auto"/>
        </w:rPr>
        <w:t>2.4 协助承包人办理证件和批件</w:t>
      </w:r>
      <w:bookmarkEnd w:id="68"/>
      <w:bookmarkEnd w:id="69"/>
      <w:bookmarkEnd w:id="7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1" w:name="_Toc189386121"/>
      <w:bookmarkStart w:id="72" w:name="_Toc511317314"/>
      <w:bookmarkStart w:id="73" w:name="_Toc511318063"/>
      <w:r>
        <w:rPr>
          <w:rFonts w:ascii="宋体" w:hAnsi="宋体"/>
          <w:b/>
          <w:bCs/>
          <w:color w:val="000000"/>
          <w:kern w:val="0"/>
          <w:sz w:val="24"/>
          <w:highlight w:val="none"/>
          <w:shd w:val="clear" w:color="auto" w:fill="auto"/>
        </w:rPr>
        <w:t>2.5 组织设计交底</w:t>
      </w:r>
      <w:bookmarkEnd w:id="71"/>
      <w:bookmarkEnd w:id="72"/>
      <w:bookmarkEnd w:id="7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4" w:name="_Toc189386122"/>
      <w:bookmarkStart w:id="75" w:name="_Toc511318064"/>
      <w:bookmarkStart w:id="76" w:name="_Toc511317315"/>
      <w:r>
        <w:rPr>
          <w:rFonts w:ascii="宋体" w:hAnsi="宋体"/>
          <w:b/>
          <w:bCs/>
          <w:color w:val="000000"/>
          <w:kern w:val="0"/>
          <w:sz w:val="24"/>
          <w:highlight w:val="none"/>
          <w:shd w:val="clear" w:color="auto" w:fill="auto"/>
        </w:rPr>
        <w:t>2.6 支付合同价款</w:t>
      </w:r>
      <w:bookmarkEnd w:id="74"/>
      <w:bookmarkEnd w:id="75"/>
      <w:bookmarkEnd w:id="7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7" w:name="_Toc511317316"/>
      <w:bookmarkStart w:id="78" w:name="_Toc511318065"/>
      <w:r>
        <w:rPr>
          <w:rFonts w:ascii="宋体" w:hAnsi="宋体"/>
          <w:b/>
          <w:bCs/>
          <w:color w:val="000000"/>
          <w:kern w:val="0"/>
          <w:sz w:val="24"/>
          <w:highlight w:val="none"/>
          <w:shd w:val="clear" w:color="auto" w:fill="auto"/>
        </w:rPr>
        <w:t>2.7  组织竣工验收（组织法人验收）</w:t>
      </w:r>
      <w:bookmarkEnd w:id="77"/>
      <w:bookmarkEnd w:id="78"/>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9" w:name="_Toc511318066"/>
      <w:bookmarkStart w:id="80" w:name="_Toc189386124"/>
      <w:bookmarkStart w:id="81" w:name="_Toc511317317"/>
      <w:r>
        <w:rPr>
          <w:rFonts w:ascii="宋体" w:hAnsi="宋体"/>
          <w:b/>
          <w:bCs/>
          <w:color w:val="000000"/>
          <w:kern w:val="0"/>
          <w:sz w:val="24"/>
          <w:highlight w:val="none"/>
          <w:shd w:val="clear" w:color="auto" w:fill="auto"/>
        </w:rPr>
        <w:t>2.8 其他义务</w:t>
      </w:r>
      <w:bookmarkEnd w:id="79"/>
      <w:bookmarkEnd w:id="80"/>
      <w:bookmarkEnd w:id="81"/>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2" w:name="_Toc76056668"/>
      <w:bookmarkStart w:id="83" w:name="_Toc189386125"/>
      <w:r>
        <w:rPr>
          <w:rFonts w:ascii="宋体" w:hAnsi="宋体"/>
          <w:bCs w:val="0"/>
          <w:color w:val="000000"/>
          <w:sz w:val="24"/>
          <w:szCs w:val="24"/>
          <w:highlight w:val="none"/>
          <w:shd w:val="clear" w:color="auto" w:fill="auto"/>
        </w:rPr>
        <w:t>3．监理人</w:t>
      </w:r>
      <w:bookmarkEnd w:id="82"/>
      <w:bookmarkEnd w:id="83"/>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4" w:name="_Toc511317319"/>
      <w:bookmarkStart w:id="85" w:name="_Toc511318068"/>
      <w:bookmarkStart w:id="86" w:name="_Toc189386126"/>
      <w:r>
        <w:rPr>
          <w:rFonts w:ascii="宋体" w:hAnsi="宋体"/>
          <w:b/>
          <w:bCs/>
          <w:color w:val="000000"/>
          <w:kern w:val="0"/>
          <w:sz w:val="24"/>
          <w:highlight w:val="none"/>
          <w:shd w:val="clear" w:color="auto" w:fill="auto"/>
        </w:rPr>
        <w:t>3.1 监理人的职责和权力</w:t>
      </w:r>
      <w:bookmarkEnd w:id="84"/>
      <w:bookmarkEnd w:id="85"/>
      <w:bookmarkEnd w:id="8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7" w:name="_Toc511317320"/>
      <w:bookmarkStart w:id="88" w:name="_Toc189386127"/>
      <w:bookmarkStart w:id="89" w:name="_Toc511318069"/>
      <w:r>
        <w:rPr>
          <w:rFonts w:ascii="宋体" w:hAnsi="宋体"/>
          <w:b/>
          <w:bCs/>
          <w:color w:val="000000"/>
          <w:kern w:val="0"/>
          <w:sz w:val="24"/>
          <w:highlight w:val="none"/>
          <w:shd w:val="clear" w:color="auto" w:fill="auto"/>
        </w:rPr>
        <w:t>3.2 总监理工程师</w:t>
      </w:r>
      <w:bookmarkEnd w:id="87"/>
      <w:bookmarkEnd w:id="88"/>
      <w:bookmarkEnd w:id="8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0" w:name="_Toc511317321"/>
      <w:bookmarkStart w:id="91" w:name="_Toc189386128"/>
      <w:bookmarkStart w:id="92" w:name="_Toc511318070"/>
      <w:r>
        <w:rPr>
          <w:rFonts w:ascii="宋体" w:hAnsi="宋体"/>
          <w:b/>
          <w:bCs/>
          <w:color w:val="000000"/>
          <w:kern w:val="0"/>
          <w:sz w:val="24"/>
          <w:highlight w:val="none"/>
          <w:shd w:val="clear" w:color="auto" w:fill="auto"/>
        </w:rPr>
        <w:t>3.3 监理人员</w:t>
      </w:r>
      <w:bookmarkEnd w:id="90"/>
      <w:bookmarkEnd w:id="91"/>
      <w:bookmarkEnd w:id="9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3" w:name="_Toc511317322"/>
      <w:bookmarkStart w:id="94" w:name="_Toc189386129"/>
      <w:bookmarkStart w:id="95" w:name="_Toc511318071"/>
      <w:r>
        <w:rPr>
          <w:rFonts w:ascii="宋体" w:hAnsi="宋体"/>
          <w:b/>
          <w:bCs/>
          <w:color w:val="000000"/>
          <w:kern w:val="0"/>
          <w:sz w:val="24"/>
          <w:highlight w:val="none"/>
          <w:shd w:val="clear" w:color="auto" w:fill="auto"/>
        </w:rPr>
        <w:t>3.4 监理人的指示</w:t>
      </w:r>
      <w:bookmarkEnd w:id="93"/>
      <w:bookmarkEnd w:id="94"/>
      <w:bookmarkEnd w:id="9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6" w:name="_Toc511318072"/>
      <w:bookmarkStart w:id="97" w:name="_Toc511317323"/>
      <w:bookmarkStart w:id="98" w:name="_Toc189386130"/>
      <w:r>
        <w:rPr>
          <w:rFonts w:ascii="宋体" w:hAnsi="宋体"/>
          <w:b/>
          <w:bCs/>
          <w:color w:val="000000"/>
          <w:kern w:val="0"/>
          <w:sz w:val="24"/>
          <w:highlight w:val="none"/>
          <w:shd w:val="clear" w:color="auto" w:fill="auto"/>
        </w:rPr>
        <w:t>3.5 商定或确定</w:t>
      </w:r>
      <w:bookmarkEnd w:id="96"/>
      <w:bookmarkEnd w:id="97"/>
      <w:bookmarkEnd w:id="9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99" w:name="_Toc76056669"/>
      <w:bookmarkStart w:id="100" w:name="_Toc189386131"/>
      <w:r>
        <w:rPr>
          <w:rFonts w:ascii="宋体" w:hAnsi="宋体"/>
          <w:bCs w:val="0"/>
          <w:color w:val="000000"/>
          <w:sz w:val="24"/>
          <w:szCs w:val="24"/>
          <w:highlight w:val="none"/>
          <w:shd w:val="clear" w:color="auto" w:fill="auto"/>
        </w:rPr>
        <w:t>4．承包人</w:t>
      </w:r>
      <w:bookmarkEnd w:id="99"/>
      <w:bookmarkEnd w:id="10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1" w:name="_Toc189386132"/>
      <w:bookmarkStart w:id="102" w:name="_Toc511318074"/>
      <w:bookmarkStart w:id="103" w:name="_Toc511317325"/>
      <w:r>
        <w:rPr>
          <w:rFonts w:ascii="宋体" w:hAnsi="宋体"/>
          <w:b/>
          <w:bCs/>
          <w:color w:val="000000"/>
          <w:kern w:val="0"/>
          <w:sz w:val="24"/>
          <w:highlight w:val="none"/>
          <w:shd w:val="clear" w:color="auto" w:fill="auto"/>
        </w:rPr>
        <w:t>4.1 承包人的一般义务</w:t>
      </w:r>
      <w:bookmarkEnd w:id="101"/>
      <w:bookmarkEnd w:id="102"/>
      <w:bookmarkEnd w:id="103"/>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4" w:name="_Toc189386133"/>
      <w:bookmarkStart w:id="105" w:name="_Toc511317326"/>
      <w:bookmarkStart w:id="106" w:name="_Toc511318075"/>
      <w:r>
        <w:rPr>
          <w:rFonts w:ascii="宋体" w:hAnsi="宋体"/>
          <w:b/>
          <w:bCs/>
          <w:color w:val="000000"/>
          <w:kern w:val="0"/>
          <w:sz w:val="24"/>
          <w:highlight w:val="none"/>
          <w:shd w:val="clear" w:color="auto" w:fill="auto"/>
        </w:rPr>
        <w:t>4.2 履约担保</w:t>
      </w:r>
      <w:bookmarkEnd w:id="104"/>
      <w:bookmarkEnd w:id="105"/>
      <w:bookmarkEnd w:id="10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7" w:name="_Toc511317327"/>
      <w:bookmarkStart w:id="108" w:name="_Toc189386134"/>
      <w:bookmarkStart w:id="109" w:name="_Toc511318076"/>
      <w:r>
        <w:rPr>
          <w:rFonts w:ascii="宋体" w:hAnsi="宋体"/>
          <w:b/>
          <w:bCs/>
          <w:color w:val="000000"/>
          <w:kern w:val="0"/>
          <w:sz w:val="24"/>
          <w:highlight w:val="none"/>
          <w:shd w:val="clear" w:color="auto" w:fill="auto"/>
        </w:rPr>
        <w:t>4.3 分包</w:t>
      </w:r>
      <w:bookmarkEnd w:id="107"/>
      <w:bookmarkEnd w:id="108"/>
      <w:bookmarkEnd w:id="10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10" w:name="_Toc189386135"/>
      <w:bookmarkStart w:id="111" w:name="_Toc511317328"/>
      <w:bookmarkStart w:id="112" w:name="_Toc511318077"/>
      <w:r>
        <w:rPr>
          <w:rFonts w:ascii="宋体" w:hAnsi="宋体"/>
          <w:b/>
          <w:bCs/>
          <w:color w:val="000000"/>
          <w:kern w:val="0"/>
          <w:sz w:val="24"/>
          <w:highlight w:val="none"/>
          <w:shd w:val="clear" w:color="auto" w:fill="auto"/>
        </w:rPr>
        <w:t>4.4 联合体</w:t>
      </w:r>
      <w:bookmarkEnd w:id="110"/>
      <w:bookmarkEnd w:id="111"/>
      <w:bookmarkEnd w:id="11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3" w:name="_Toc511318078"/>
      <w:bookmarkStart w:id="114" w:name="_Toc511317329"/>
      <w:bookmarkStart w:id="115" w:name="_Toc189386136"/>
      <w:r>
        <w:rPr>
          <w:rFonts w:ascii="宋体" w:hAnsi="宋体"/>
          <w:b/>
          <w:color w:val="auto"/>
          <w:kern w:val="0"/>
          <w:sz w:val="24"/>
          <w:highlight w:val="none"/>
          <w:shd w:val="clear" w:color="auto" w:fill="auto"/>
        </w:rPr>
        <w:t>4.5 承包人项目经理</w:t>
      </w:r>
      <w:bookmarkEnd w:id="113"/>
      <w:bookmarkEnd w:id="114"/>
      <w:bookmarkEnd w:id="1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6" w:name="_Toc189386137"/>
      <w:bookmarkStart w:id="117" w:name="_Toc511318079"/>
      <w:bookmarkStart w:id="118" w:name="_Toc511317330"/>
      <w:r>
        <w:rPr>
          <w:rFonts w:ascii="宋体" w:hAnsi="宋体"/>
          <w:b/>
          <w:bCs/>
          <w:color w:val="auto"/>
          <w:kern w:val="0"/>
          <w:sz w:val="24"/>
          <w:highlight w:val="none"/>
          <w:shd w:val="clear" w:color="auto" w:fill="auto"/>
        </w:rPr>
        <w:t>4.6 承包人人员的管理</w:t>
      </w:r>
      <w:bookmarkEnd w:id="116"/>
      <w:bookmarkEnd w:id="117"/>
      <w:bookmarkEnd w:id="1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9" w:name="_Toc511318080"/>
      <w:bookmarkStart w:id="120" w:name="_Toc189386138"/>
      <w:bookmarkStart w:id="121" w:name="_Toc511317331"/>
      <w:r>
        <w:rPr>
          <w:rFonts w:ascii="宋体" w:hAnsi="宋体"/>
          <w:b/>
          <w:bCs/>
          <w:color w:val="auto"/>
          <w:kern w:val="0"/>
          <w:sz w:val="24"/>
          <w:highlight w:val="none"/>
          <w:shd w:val="clear" w:color="auto" w:fill="auto"/>
        </w:rPr>
        <w:t>4.7 撤换承包人项目经理和其他人员</w:t>
      </w:r>
      <w:bookmarkEnd w:id="119"/>
      <w:bookmarkEnd w:id="120"/>
      <w:bookmarkEnd w:id="1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2" w:name="_Toc189386139"/>
      <w:bookmarkStart w:id="123" w:name="_Toc511318081"/>
      <w:bookmarkStart w:id="124" w:name="_Toc511317332"/>
      <w:r>
        <w:rPr>
          <w:rFonts w:ascii="宋体" w:hAnsi="宋体"/>
          <w:b/>
          <w:bCs/>
          <w:color w:val="auto"/>
          <w:kern w:val="0"/>
          <w:sz w:val="24"/>
          <w:highlight w:val="none"/>
          <w:shd w:val="clear" w:color="auto" w:fill="auto"/>
        </w:rPr>
        <w:t>4.8 保障承包人人员的合法权益</w:t>
      </w:r>
      <w:bookmarkEnd w:id="122"/>
      <w:bookmarkEnd w:id="123"/>
      <w:bookmarkEnd w:id="12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5" w:name="_Toc511318082"/>
      <w:bookmarkStart w:id="126" w:name="_Toc189386140"/>
      <w:bookmarkStart w:id="127" w:name="_Toc511317333"/>
      <w:r>
        <w:rPr>
          <w:rFonts w:ascii="宋体" w:hAnsi="宋体"/>
          <w:b/>
          <w:bCs/>
          <w:color w:val="auto"/>
          <w:kern w:val="0"/>
          <w:sz w:val="24"/>
          <w:highlight w:val="none"/>
          <w:shd w:val="clear" w:color="auto" w:fill="auto"/>
        </w:rPr>
        <w:t>4.9 工程价款应专款专用</w:t>
      </w:r>
      <w:bookmarkEnd w:id="125"/>
      <w:bookmarkEnd w:id="126"/>
      <w:bookmarkEnd w:id="1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8" w:name="_Toc511317334"/>
      <w:bookmarkStart w:id="129" w:name="_Toc189386141"/>
      <w:bookmarkStart w:id="130" w:name="_Toc511318083"/>
      <w:r>
        <w:rPr>
          <w:rFonts w:ascii="宋体" w:hAnsi="宋体"/>
          <w:b/>
          <w:bCs/>
          <w:color w:val="auto"/>
          <w:kern w:val="0"/>
          <w:sz w:val="24"/>
          <w:highlight w:val="none"/>
          <w:shd w:val="clear" w:color="auto" w:fill="auto"/>
        </w:rPr>
        <w:t>4.10 承包人现场查勘</w:t>
      </w:r>
      <w:bookmarkEnd w:id="128"/>
      <w:bookmarkEnd w:id="129"/>
      <w:bookmarkEnd w:id="1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1" w:name="_Toc511317335"/>
      <w:bookmarkStart w:id="132" w:name="_Toc511318084"/>
      <w:bookmarkStart w:id="133" w:name="_Toc189386142"/>
      <w:r>
        <w:rPr>
          <w:rFonts w:ascii="宋体" w:hAnsi="宋体"/>
          <w:b/>
          <w:bCs/>
          <w:color w:val="auto"/>
          <w:kern w:val="0"/>
          <w:sz w:val="24"/>
          <w:highlight w:val="none"/>
          <w:shd w:val="clear" w:color="auto" w:fill="auto"/>
        </w:rPr>
        <w:t>4.11 不利物质条件</w:t>
      </w:r>
      <w:bookmarkEnd w:id="131"/>
      <w:bookmarkEnd w:id="132"/>
      <w:bookmarkEnd w:id="1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4" w:name="_Toc189386143"/>
      <w:bookmarkStart w:id="135" w:name="_Toc76056670"/>
      <w:r>
        <w:rPr>
          <w:rFonts w:ascii="宋体" w:hAnsi="宋体"/>
          <w:bCs w:val="0"/>
          <w:color w:val="auto"/>
          <w:sz w:val="24"/>
          <w:szCs w:val="24"/>
          <w:highlight w:val="none"/>
          <w:shd w:val="clear" w:color="auto" w:fill="auto"/>
        </w:rPr>
        <w:t>5．材料和工程设备</w:t>
      </w:r>
      <w:bookmarkEnd w:id="134"/>
      <w:bookmarkEnd w:id="13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6" w:name="_Toc189386144"/>
      <w:bookmarkStart w:id="137" w:name="_Toc511317337"/>
      <w:bookmarkStart w:id="138" w:name="_Toc511318086"/>
      <w:r>
        <w:rPr>
          <w:rFonts w:ascii="宋体" w:hAnsi="宋体"/>
          <w:b/>
          <w:bCs/>
          <w:color w:val="auto"/>
          <w:kern w:val="0"/>
          <w:sz w:val="24"/>
          <w:highlight w:val="none"/>
          <w:shd w:val="clear" w:color="auto" w:fill="auto"/>
        </w:rPr>
        <w:t>5.1承包人提供的材料和工程设备</w:t>
      </w:r>
      <w:bookmarkEnd w:id="136"/>
      <w:bookmarkEnd w:id="137"/>
      <w:bookmarkEnd w:id="1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9" w:name="_Toc189386145"/>
      <w:r>
        <w:rPr>
          <w:rFonts w:ascii="宋体" w:hAnsi="宋体"/>
          <w:b/>
          <w:bCs/>
          <w:color w:val="auto"/>
          <w:kern w:val="0"/>
          <w:sz w:val="24"/>
          <w:highlight w:val="none"/>
          <w:shd w:val="clear" w:color="auto" w:fill="auto"/>
        </w:rPr>
        <w:t>5.2 发包人提供的材料和工程设备</w:t>
      </w:r>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6"/>
      <w:r>
        <w:rPr>
          <w:rFonts w:ascii="宋体" w:hAnsi="宋体"/>
          <w:b/>
          <w:bCs/>
          <w:color w:val="auto"/>
          <w:kern w:val="0"/>
          <w:sz w:val="24"/>
          <w:highlight w:val="none"/>
          <w:shd w:val="clear" w:color="auto" w:fill="auto"/>
        </w:rPr>
        <w:t>5.3 材料和工程设备专用于合同工程</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1" w:name="_Toc189386147"/>
      <w:r>
        <w:rPr>
          <w:rFonts w:ascii="宋体" w:hAnsi="宋体"/>
          <w:b/>
          <w:bCs/>
          <w:color w:val="auto"/>
          <w:kern w:val="0"/>
          <w:sz w:val="24"/>
          <w:highlight w:val="none"/>
          <w:shd w:val="clear" w:color="auto" w:fill="auto"/>
        </w:rPr>
        <w:t>5.4 禁止使用不合格的材料和工程设备</w:t>
      </w:r>
      <w:bookmarkEnd w:id="1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2" w:name="_Toc76056671"/>
      <w:bookmarkStart w:id="143" w:name="_Toc189386148"/>
      <w:r>
        <w:rPr>
          <w:rFonts w:ascii="宋体" w:hAnsi="宋体"/>
          <w:bCs w:val="0"/>
          <w:color w:val="auto"/>
          <w:sz w:val="24"/>
          <w:szCs w:val="24"/>
          <w:highlight w:val="none"/>
          <w:shd w:val="clear" w:color="auto" w:fill="auto"/>
        </w:rPr>
        <w:t>6．施工设备和临时设施</w:t>
      </w:r>
      <w:bookmarkEnd w:id="142"/>
      <w:bookmarkEnd w:id="14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4" w:name="_Toc189386149"/>
      <w:r>
        <w:rPr>
          <w:rFonts w:ascii="宋体" w:hAnsi="宋体"/>
          <w:b/>
          <w:bCs/>
          <w:color w:val="auto"/>
          <w:kern w:val="0"/>
          <w:sz w:val="24"/>
          <w:highlight w:val="none"/>
          <w:shd w:val="clear" w:color="auto" w:fill="auto"/>
        </w:rPr>
        <w:t>6.1承包人提供的施工设备和临时设施</w:t>
      </w:r>
      <w:bookmarkEnd w:id="1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50"/>
      <w:r>
        <w:rPr>
          <w:rFonts w:ascii="宋体" w:hAnsi="宋体"/>
          <w:b/>
          <w:bCs/>
          <w:color w:val="auto"/>
          <w:kern w:val="0"/>
          <w:sz w:val="24"/>
          <w:highlight w:val="none"/>
          <w:shd w:val="clear" w:color="auto" w:fill="auto"/>
        </w:rPr>
        <w:t>6.2 发包人提供的施工设备和临时设施</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1"/>
      <w:r>
        <w:rPr>
          <w:rFonts w:ascii="宋体" w:hAnsi="宋体"/>
          <w:b/>
          <w:bCs/>
          <w:color w:val="auto"/>
          <w:kern w:val="0"/>
          <w:sz w:val="24"/>
          <w:highlight w:val="none"/>
          <w:shd w:val="clear" w:color="auto" w:fill="auto"/>
        </w:rPr>
        <w:t>6.3 要求承包人增加或更换施工设备</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7" w:name="_Toc189386152"/>
      <w:r>
        <w:rPr>
          <w:rFonts w:ascii="宋体" w:hAnsi="宋体"/>
          <w:b/>
          <w:bCs/>
          <w:color w:val="auto"/>
          <w:kern w:val="0"/>
          <w:sz w:val="24"/>
          <w:highlight w:val="none"/>
          <w:shd w:val="clear" w:color="auto" w:fill="auto"/>
        </w:rPr>
        <w:t>6.4 施工设备和临时设施专用于合同工程</w:t>
      </w:r>
      <w:bookmarkEnd w:id="1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8" w:name="_Toc76056672"/>
      <w:bookmarkStart w:id="149" w:name="_Toc189386153"/>
      <w:r>
        <w:rPr>
          <w:rFonts w:ascii="宋体" w:hAnsi="宋体"/>
          <w:bCs w:val="0"/>
          <w:color w:val="auto"/>
          <w:sz w:val="24"/>
          <w:szCs w:val="24"/>
          <w:highlight w:val="none"/>
          <w:shd w:val="clear" w:color="auto" w:fill="auto"/>
        </w:rPr>
        <w:t>7．交通运输</w:t>
      </w:r>
      <w:bookmarkEnd w:id="148"/>
      <w:bookmarkEnd w:id="14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0" w:name="_Toc189386154"/>
      <w:r>
        <w:rPr>
          <w:rFonts w:ascii="宋体" w:hAnsi="宋体"/>
          <w:b/>
          <w:bCs/>
          <w:color w:val="auto"/>
          <w:kern w:val="0"/>
          <w:sz w:val="24"/>
          <w:highlight w:val="none"/>
          <w:shd w:val="clear" w:color="auto" w:fill="auto"/>
        </w:rPr>
        <w:t>7.1道路通行权和场外设施</w:t>
      </w:r>
      <w:bookmarkEnd w:id="15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1" w:name="_Toc189386155"/>
      <w:bookmarkStart w:id="152" w:name="_Toc511318089"/>
      <w:bookmarkStart w:id="153" w:name="_Toc511317340"/>
      <w:r>
        <w:rPr>
          <w:rFonts w:ascii="宋体" w:hAnsi="宋体"/>
          <w:b/>
          <w:bCs/>
          <w:color w:val="auto"/>
          <w:kern w:val="0"/>
          <w:sz w:val="24"/>
          <w:highlight w:val="none"/>
          <w:shd w:val="clear" w:color="auto" w:fill="auto"/>
        </w:rPr>
        <w:t>7.2 场内施工道路</w:t>
      </w:r>
      <w:bookmarkEnd w:id="151"/>
      <w:bookmarkEnd w:id="152"/>
      <w:bookmarkEnd w:id="1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4" w:name="_Toc511318090"/>
      <w:bookmarkStart w:id="155" w:name="_Toc189386156"/>
      <w:bookmarkStart w:id="156" w:name="_Toc511317341"/>
      <w:r>
        <w:rPr>
          <w:rFonts w:ascii="宋体" w:hAnsi="宋体"/>
          <w:b/>
          <w:bCs/>
          <w:color w:val="auto"/>
          <w:kern w:val="0"/>
          <w:sz w:val="24"/>
          <w:highlight w:val="none"/>
          <w:shd w:val="clear" w:color="auto" w:fill="auto"/>
        </w:rPr>
        <w:t>7.3 场外交通</w:t>
      </w:r>
      <w:bookmarkEnd w:id="154"/>
      <w:bookmarkEnd w:id="155"/>
      <w:bookmarkEnd w:id="1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7" w:name="_Toc511317342"/>
      <w:bookmarkStart w:id="158" w:name="_Toc189386157"/>
      <w:bookmarkStart w:id="159" w:name="_Toc511318091"/>
      <w:r>
        <w:rPr>
          <w:rFonts w:ascii="宋体" w:hAnsi="宋体"/>
          <w:b/>
          <w:bCs/>
          <w:color w:val="auto"/>
          <w:kern w:val="0"/>
          <w:sz w:val="24"/>
          <w:highlight w:val="none"/>
          <w:shd w:val="clear" w:color="auto" w:fill="auto"/>
        </w:rPr>
        <w:t>7.4 超大件和超重件的运输</w:t>
      </w:r>
      <w:bookmarkEnd w:id="157"/>
      <w:bookmarkEnd w:id="158"/>
      <w:bookmarkEnd w:id="15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0" w:name="_Toc511318092"/>
      <w:bookmarkStart w:id="161" w:name="_Toc189386158"/>
      <w:bookmarkStart w:id="162" w:name="_Toc511317343"/>
      <w:r>
        <w:rPr>
          <w:rFonts w:ascii="宋体" w:hAnsi="宋体"/>
          <w:b/>
          <w:bCs/>
          <w:color w:val="auto"/>
          <w:kern w:val="0"/>
          <w:sz w:val="24"/>
          <w:highlight w:val="none"/>
          <w:shd w:val="clear" w:color="auto" w:fill="auto"/>
        </w:rPr>
        <w:t>7.5 道路和桥梁的损坏责任</w:t>
      </w:r>
      <w:bookmarkEnd w:id="160"/>
      <w:bookmarkEnd w:id="161"/>
      <w:bookmarkEnd w:id="1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3" w:name="_Toc189386159"/>
      <w:bookmarkStart w:id="164" w:name="_Toc511317344"/>
      <w:bookmarkStart w:id="165" w:name="_Toc511318093"/>
      <w:r>
        <w:rPr>
          <w:rFonts w:ascii="宋体" w:hAnsi="宋体"/>
          <w:b/>
          <w:bCs/>
          <w:color w:val="auto"/>
          <w:kern w:val="0"/>
          <w:sz w:val="24"/>
          <w:highlight w:val="none"/>
          <w:shd w:val="clear" w:color="auto" w:fill="auto"/>
        </w:rPr>
        <w:t>7.6 水路和航空运输</w:t>
      </w:r>
      <w:bookmarkEnd w:id="163"/>
      <w:bookmarkEnd w:id="164"/>
      <w:bookmarkEnd w:id="165"/>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6" w:name="_Toc76056673"/>
      <w:bookmarkStart w:id="167" w:name="_Toc189386160"/>
      <w:r>
        <w:rPr>
          <w:rFonts w:ascii="宋体" w:hAnsi="宋体"/>
          <w:bCs w:val="0"/>
          <w:color w:val="auto"/>
          <w:sz w:val="24"/>
          <w:szCs w:val="24"/>
          <w:highlight w:val="none"/>
          <w:shd w:val="clear" w:color="auto" w:fill="auto"/>
        </w:rPr>
        <w:t>8．测量放线</w:t>
      </w:r>
      <w:bookmarkEnd w:id="166"/>
      <w:bookmarkEnd w:id="16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8" w:name="_Toc189386161"/>
      <w:r>
        <w:rPr>
          <w:rFonts w:ascii="宋体" w:hAnsi="宋体"/>
          <w:b/>
          <w:bCs/>
          <w:color w:val="auto"/>
          <w:kern w:val="0"/>
          <w:sz w:val="24"/>
          <w:highlight w:val="none"/>
          <w:shd w:val="clear" w:color="auto" w:fill="auto"/>
        </w:rPr>
        <w:t>8.1施工控制网</w:t>
      </w:r>
      <w:bookmarkEnd w:id="1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2"/>
      <w:r>
        <w:rPr>
          <w:rFonts w:ascii="宋体" w:hAnsi="宋体"/>
          <w:b/>
          <w:bCs/>
          <w:color w:val="auto"/>
          <w:kern w:val="0"/>
          <w:sz w:val="24"/>
          <w:highlight w:val="none"/>
          <w:shd w:val="clear" w:color="auto" w:fill="auto"/>
        </w:rPr>
        <w:t>8.2 施工测量</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3"/>
      <w:r>
        <w:rPr>
          <w:rFonts w:ascii="宋体" w:hAnsi="宋体"/>
          <w:b/>
          <w:bCs/>
          <w:color w:val="auto"/>
          <w:kern w:val="0"/>
          <w:sz w:val="24"/>
          <w:highlight w:val="none"/>
          <w:shd w:val="clear" w:color="auto" w:fill="auto"/>
        </w:rPr>
        <w:t>8.3 基准资料错误的责任</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1" w:name="_Toc189386164"/>
      <w:r>
        <w:rPr>
          <w:rFonts w:ascii="宋体" w:hAnsi="宋体"/>
          <w:b/>
          <w:bCs/>
          <w:color w:val="auto"/>
          <w:kern w:val="0"/>
          <w:sz w:val="24"/>
          <w:highlight w:val="none"/>
          <w:shd w:val="clear" w:color="auto" w:fill="auto"/>
        </w:rPr>
        <w:t>8.4 监理人使用施工控制网</w:t>
      </w:r>
      <w:bookmarkEnd w:id="1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2" w:name="_Toc189386165"/>
      <w:bookmarkStart w:id="173" w:name="_Toc76056674"/>
      <w:r>
        <w:rPr>
          <w:rFonts w:ascii="宋体" w:hAnsi="宋体"/>
          <w:bCs w:val="0"/>
          <w:color w:val="auto"/>
          <w:sz w:val="24"/>
          <w:szCs w:val="24"/>
          <w:highlight w:val="none"/>
          <w:shd w:val="clear" w:color="auto" w:fill="auto"/>
        </w:rPr>
        <w:t>9．施工安全、治安保卫和环境保护</w:t>
      </w:r>
      <w:bookmarkEnd w:id="172"/>
      <w:bookmarkEnd w:id="17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4" w:name="_Toc189386166"/>
      <w:r>
        <w:rPr>
          <w:rFonts w:ascii="宋体" w:hAnsi="宋体"/>
          <w:b/>
          <w:bCs/>
          <w:color w:val="auto"/>
          <w:kern w:val="0"/>
          <w:sz w:val="24"/>
          <w:highlight w:val="none"/>
          <w:shd w:val="clear" w:color="auto" w:fill="auto"/>
        </w:rPr>
        <w:t>9.1发包人的施工安全责任</w:t>
      </w:r>
      <w:bookmarkEnd w:id="1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5" w:name="_Toc511318096"/>
      <w:bookmarkStart w:id="176" w:name="_Toc511317347"/>
      <w:bookmarkStart w:id="177" w:name="_Toc189386167"/>
      <w:r>
        <w:rPr>
          <w:rFonts w:ascii="宋体" w:hAnsi="宋体"/>
          <w:b/>
          <w:bCs/>
          <w:color w:val="auto"/>
          <w:kern w:val="0"/>
          <w:sz w:val="24"/>
          <w:highlight w:val="none"/>
          <w:shd w:val="clear" w:color="auto" w:fill="auto"/>
        </w:rPr>
        <w:t>9.2 承包人的施工安全责任</w:t>
      </w:r>
      <w:bookmarkEnd w:id="175"/>
      <w:bookmarkEnd w:id="176"/>
      <w:bookmarkEnd w:id="17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8" w:name="_Toc511318097"/>
      <w:bookmarkStart w:id="179" w:name="_Toc189386168"/>
      <w:bookmarkStart w:id="180" w:name="_Toc511317348"/>
      <w:r>
        <w:rPr>
          <w:rFonts w:ascii="宋体" w:hAnsi="宋体"/>
          <w:b/>
          <w:bCs/>
          <w:color w:val="auto"/>
          <w:kern w:val="0"/>
          <w:sz w:val="24"/>
          <w:highlight w:val="none"/>
          <w:shd w:val="clear" w:color="auto" w:fill="auto"/>
        </w:rPr>
        <w:t>9.3 治安保卫</w:t>
      </w:r>
      <w:bookmarkEnd w:id="178"/>
      <w:bookmarkEnd w:id="179"/>
      <w:bookmarkEnd w:id="1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1" w:name="_Toc511317349"/>
      <w:bookmarkStart w:id="182" w:name="_Toc189386169"/>
      <w:bookmarkStart w:id="183" w:name="_Toc511318098"/>
      <w:r>
        <w:rPr>
          <w:rFonts w:ascii="宋体" w:hAnsi="宋体"/>
          <w:b/>
          <w:bCs/>
          <w:color w:val="auto"/>
          <w:kern w:val="0"/>
          <w:sz w:val="24"/>
          <w:highlight w:val="none"/>
          <w:shd w:val="clear" w:color="auto" w:fill="auto"/>
        </w:rPr>
        <w:t>9.4 环境保护</w:t>
      </w:r>
      <w:bookmarkEnd w:id="181"/>
      <w:bookmarkEnd w:id="182"/>
      <w:bookmarkEnd w:id="18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4" w:name="_Toc511318099"/>
      <w:bookmarkStart w:id="185" w:name="_Toc189386170"/>
      <w:bookmarkStart w:id="186" w:name="_Toc511317350"/>
      <w:r>
        <w:rPr>
          <w:rFonts w:ascii="宋体" w:hAnsi="宋体"/>
          <w:b/>
          <w:bCs/>
          <w:color w:val="auto"/>
          <w:kern w:val="0"/>
          <w:sz w:val="24"/>
          <w:highlight w:val="none"/>
          <w:shd w:val="clear" w:color="auto" w:fill="auto"/>
        </w:rPr>
        <w:t>9.5 事故处理</w:t>
      </w:r>
      <w:bookmarkEnd w:id="184"/>
      <w:bookmarkEnd w:id="185"/>
      <w:bookmarkEnd w:id="18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7" w:name="_Toc511318100"/>
      <w:bookmarkStart w:id="188" w:name="_Toc511317351"/>
      <w:r>
        <w:rPr>
          <w:rFonts w:ascii="宋体" w:hAnsi="宋体"/>
          <w:b/>
          <w:bCs/>
          <w:color w:val="auto"/>
          <w:kern w:val="0"/>
          <w:sz w:val="24"/>
          <w:highlight w:val="none"/>
          <w:shd w:val="clear" w:color="auto" w:fill="auto"/>
        </w:rPr>
        <w:t>9.6  水土保持</w:t>
      </w:r>
      <w:bookmarkEnd w:id="187"/>
      <w:bookmarkEnd w:id="18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9" w:name="_Toc511317352"/>
      <w:bookmarkStart w:id="190" w:name="_Toc511318101"/>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89"/>
      <w:bookmarkEnd w:id="190"/>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1" w:name="_Toc511318102"/>
      <w:bookmarkStart w:id="192" w:name="_Toc511317353"/>
      <w:r>
        <w:rPr>
          <w:rFonts w:ascii="宋体" w:hAnsi="宋体"/>
          <w:b/>
          <w:bCs/>
          <w:color w:val="auto"/>
          <w:kern w:val="0"/>
          <w:sz w:val="24"/>
          <w:highlight w:val="none"/>
          <w:shd w:val="clear" w:color="auto" w:fill="auto"/>
        </w:rPr>
        <w:t>9.8  防汛度汛</w:t>
      </w:r>
      <w:bookmarkEnd w:id="191"/>
      <w:bookmarkEnd w:id="19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3" w:name="_Toc76056675"/>
      <w:bookmarkStart w:id="194" w:name="_Toc189386171"/>
      <w:r>
        <w:rPr>
          <w:rFonts w:ascii="宋体" w:hAnsi="宋体"/>
          <w:bCs w:val="0"/>
          <w:color w:val="auto"/>
          <w:sz w:val="24"/>
          <w:szCs w:val="24"/>
          <w:highlight w:val="none"/>
          <w:shd w:val="clear" w:color="auto" w:fill="auto"/>
        </w:rPr>
        <w:t>10．进度计划</w:t>
      </w:r>
      <w:bookmarkEnd w:id="193"/>
      <w:bookmarkEnd w:id="19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5" w:name="_Toc511318104"/>
      <w:bookmarkStart w:id="196" w:name="_Toc189386172"/>
      <w:bookmarkStart w:id="197" w:name="_Toc511317355"/>
      <w:r>
        <w:rPr>
          <w:rFonts w:ascii="宋体" w:hAnsi="宋体"/>
          <w:b/>
          <w:bCs/>
          <w:color w:val="auto"/>
          <w:kern w:val="0"/>
          <w:sz w:val="24"/>
          <w:highlight w:val="none"/>
          <w:shd w:val="clear" w:color="auto" w:fill="auto"/>
        </w:rPr>
        <w:t>10.1 合同进度计划</w:t>
      </w:r>
      <w:bookmarkEnd w:id="195"/>
      <w:bookmarkEnd w:id="196"/>
      <w:bookmarkEnd w:id="19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8" w:name="_Toc511318105"/>
      <w:bookmarkStart w:id="199" w:name="_Toc189386173"/>
      <w:bookmarkStart w:id="200" w:name="_Toc511317356"/>
      <w:r>
        <w:rPr>
          <w:rFonts w:ascii="宋体" w:hAnsi="宋体"/>
          <w:b/>
          <w:bCs/>
          <w:color w:val="auto"/>
          <w:kern w:val="0"/>
          <w:sz w:val="24"/>
          <w:highlight w:val="none"/>
          <w:shd w:val="clear" w:color="auto" w:fill="auto"/>
        </w:rPr>
        <w:t>10.2 合同进度计划的修订</w:t>
      </w:r>
      <w:bookmarkEnd w:id="198"/>
      <w:bookmarkEnd w:id="199"/>
      <w:bookmarkEnd w:id="2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1" w:name="_Toc511317357"/>
      <w:bookmarkStart w:id="202" w:name="_Toc511318106"/>
      <w:r>
        <w:rPr>
          <w:rFonts w:ascii="宋体" w:hAnsi="宋体"/>
          <w:b/>
          <w:bCs/>
          <w:color w:val="auto"/>
          <w:kern w:val="0"/>
          <w:sz w:val="24"/>
          <w:highlight w:val="none"/>
          <w:shd w:val="clear" w:color="auto" w:fill="auto"/>
        </w:rPr>
        <w:t>10.3  单位工程进度计划</w:t>
      </w:r>
      <w:bookmarkEnd w:id="201"/>
      <w:bookmarkEnd w:id="2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8"/>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3" w:name="_Toc189386174"/>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4" w:name="_Toc76056676"/>
      <w:r>
        <w:rPr>
          <w:rFonts w:ascii="宋体" w:hAnsi="宋体"/>
          <w:bCs w:val="0"/>
          <w:color w:val="auto"/>
          <w:sz w:val="24"/>
          <w:szCs w:val="24"/>
          <w:highlight w:val="none"/>
          <w:shd w:val="clear" w:color="auto" w:fill="auto"/>
        </w:rPr>
        <w:t>11．开工和竣工</w:t>
      </w:r>
      <w:bookmarkEnd w:id="203"/>
      <w:bookmarkEnd w:id="20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5" w:name="_Toc511318109"/>
      <w:bookmarkStart w:id="206" w:name="_Toc189386175"/>
      <w:bookmarkStart w:id="207" w:name="_Toc511317360"/>
      <w:r>
        <w:rPr>
          <w:rFonts w:ascii="宋体" w:hAnsi="宋体"/>
          <w:b/>
          <w:bCs/>
          <w:color w:val="auto"/>
          <w:kern w:val="0"/>
          <w:sz w:val="24"/>
          <w:highlight w:val="none"/>
          <w:shd w:val="clear" w:color="auto" w:fill="auto"/>
        </w:rPr>
        <w:t>11.1 开工</w:t>
      </w:r>
      <w:bookmarkEnd w:id="205"/>
      <w:bookmarkEnd w:id="206"/>
      <w:bookmarkEnd w:id="2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8" w:name="_Toc189386176"/>
      <w:r>
        <w:rPr>
          <w:rFonts w:ascii="宋体" w:hAnsi="宋体"/>
          <w:b/>
          <w:bCs/>
          <w:color w:val="auto"/>
          <w:kern w:val="0"/>
          <w:sz w:val="24"/>
          <w:highlight w:val="none"/>
          <w:shd w:val="clear" w:color="auto" w:fill="auto"/>
        </w:rPr>
        <w:t>11.2竣工</w:t>
      </w:r>
      <w:bookmarkEnd w:id="2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9" w:name="_Toc511317361"/>
      <w:bookmarkStart w:id="210" w:name="_Toc189386177"/>
      <w:bookmarkStart w:id="211" w:name="_Toc511318110"/>
      <w:r>
        <w:rPr>
          <w:rFonts w:ascii="宋体" w:hAnsi="宋体"/>
          <w:b/>
          <w:bCs/>
          <w:color w:val="auto"/>
          <w:kern w:val="0"/>
          <w:sz w:val="24"/>
          <w:highlight w:val="none"/>
          <w:shd w:val="clear" w:color="auto" w:fill="auto"/>
        </w:rPr>
        <w:t>11.3 发包人的工期延误</w:t>
      </w:r>
      <w:bookmarkEnd w:id="209"/>
      <w:bookmarkEnd w:id="210"/>
      <w:bookmarkEnd w:id="21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2" w:name="_Toc189386178"/>
      <w:bookmarkStart w:id="213" w:name="_Toc511318111"/>
      <w:bookmarkStart w:id="214" w:name="_Toc511317362"/>
      <w:r>
        <w:rPr>
          <w:rFonts w:ascii="宋体" w:hAnsi="宋体"/>
          <w:b/>
          <w:bCs/>
          <w:color w:val="auto"/>
          <w:kern w:val="0"/>
          <w:sz w:val="24"/>
          <w:highlight w:val="none"/>
          <w:shd w:val="clear" w:color="auto" w:fill="auto"/>
        </w:rPr>
        <w:t>11.4 异常恶劣的气候条件</w:t>
      </w:r>
      <w:bookmarkEnd w:id="212"/>
      <w:bookmarkEnd w:id="213"/>
      <w:bookmarkEnd w:id="2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5" w:name="_Toc511317363"/>
      <w:bookmarkStart w:id="216" w:name="_Toc511318112"/>
      <w:bookmarkStart w:id="217" w:name="_Toc189386179"/>
      <w:r>
        <w:rPr>
          <w:rFonts w:ascii="宋体" w:hAnsi="宋体"/>
          <w:b/>
          <w:bCs/>
          <w:color w:val="auto"/>
          <w:kern w:val="0"/>
          <w:sz w:val="24"/>
          <w:highlight w:val="none"/>
          <w:shd w:val="clear" w:color="auto" w:fill="auto"/>
        </w:rPr>
        <w:t>11.5 承包人的工期延误</w:t>
      </w:r>
      <w:bookmarkEnd w:id="215"/>
      <w:bookmarkEnd w:id="216"/>
      <w:bookmarkEnd w:id="2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8" w:name="_Toc189386180"/>
      <w:bookmarkStart w:id="219" w:name="_Toc511317364"/>
      <w:bookmarkStart w:id="220" w:name="_Toc511318113"/>
      <w:r>
        <w:rPr>
          <w:rFonts w:ascii="宋体" w:hAnsi="宋体"/>
          <w:b/>
          <w:bCs/>
          <w:color w:val="auto"/>
          <w:kern w:val="0"/>
          <w:sz w:val="24"/>
          <w:highlight w:val="none"/>
          <w:shd w:val="clear" w:color="auto" w:fill="auto"/>
        </w:rPr>
        <w:t>11.6 工期提前</w:t>
      </w:r>
      <w:bookmarkEnd w:id="218"/>
      <w:bookmarkEnd w:id="219"/>
      <w:bookmarkEnd w:id="2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1" w:name="_Toc189386181"/>
      <w:bookmarkStart w:id="222" w:name="_Toc76056677"/>
      <w:r>
        <w:rPr>
          <w:rFonts w:ascii="宋体" w:hAnsi="宋体"/>
          <w:bCs w:val="0"/>
          <w:color w:val="auto"/>
          <w:sz w:val="24"/>
          <w:szCs w:val="24"/>
          <w:highlight w:val="none"/>
          <w:shd w:val="clear" w:color="auto" w:fill="auto"/>
        </w:rPr>
        <w:t>12．暂停施工</w:t>
      </w:r>
      <w:bookmarkEnd w:id="221"/>
      <w:bookmarkEnd w:id="22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3" w:name="_Toc511317366"/>
      <w:bookmarkStart w:id="224" w:name="_Toc511318115"/>
      <w:bookmarkStart w:id="225" w:name="_Toc189386182"/>
      <w:r>
        <w:rPr>
          <w:rFonts w:ascii="宋体" w:hAnsi="宋体"/>
          <w:b/>
          <w:bCs/>
          <w:color w:val="auto"/>
          <w:kern w:val="0"/>
          <w:sz w:val="24"/>
          <w:highlight w:val="none"/>
          <w:shd w:val="clear" w:color="auto" w:fill="auto"/>
        </w:rPr>
        <w:t>12.1 承包人暂停施工的责任</w:t>
      </w:r>
      <w:bookmarkEnd w:id="223"/>
      <w:bookmarkEnd w:id="224"/>
      <w:bookmarkEnd w:id="2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6" w:name="_Toc511317367"/>
      <w:bookmarkStart w:id="227" w:name="_Toc511318116"/>
      <w:bookmarkStart w:id="228" w:name="_Toc189386183"/>
      <w:r>
        <w:rPr>
          <w:rFonts w:ascii="宋体" w:hAnsi="宋体"/>
          <w:b/>
          <w:bCs/>
          <w:color w:val="auto"/>
          <w:kern w:val="0"/>
          <w:sz w:val="24"/>
          <w:highlight w:val="none"/>
          <w:shd w:val="clear" w:color="auto" w:fill="auto"/>
        </w:rPr>
        <w:t>12.2 发包人暂停施工的责任</w:t>
      </w:r>
      <w:bookmarkEnd w:id="226"/>
      <w:bookmarkEnd w:id="227"/>
      <w:bookmarkEnd w:id="2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9" w:name="_Toc189386184"/>
      <w:r>
        <w:rPr>
          <w:rFonts w:ascii="宋体" w:hAnsi="宋体"/>
          <w:b/>
          <w:bCs/>
          <w:color w:val="auto"/>
          <w:kern w:val="0"/>
          <w:sz w:val="24"/>
          <w:highlight w:val="none"/>
          <w:shd w:val="clear" w:color="auto" w:fill="auto"/>
        </w:rPr>
        <w:t>12.3 监理人暂停施工指示</w:t>
      </w:r>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5"/>
      <w:r>
        <w:rPr>
          <w:rFonts w:ascii="宋体" w:hAnsi="宋体"/>
          <w:b/>
          <w:bCs/>
          <w:color w:val="auto"/>
          <w:kern w:val="0"/>
          <w:sz w:val="24"/>
          <w:highlight w:val="none"/>
          <w:shd w:val="clear" w:color="auto" w:fill="auto"/>
        </w:rPr>
        <w:t>12.4 暂停施工后的复工</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1" w:name="_Toc189386186"/>
      <w:r>
        <w:rPr>
          <w:rFonts w:ascii="宋体" w:hAnsi="宋体"/>
          <w:b/>
          <w:bCs/>
          <w:color w:val="auto"/>
          <w:kern w:val="0"/>
          <w:sz w:val="24"/>
          <w:highlight w:val="none"/>
          <w:shd w:val="clear" w:color="auto" w:fill="auto"/>
        </w:rPr>
        <w:t>12.5 暂停施工持续56天以上</w:t>
      </w:r>
      <w:bookmarkEnd w:id="2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2" w:name="_Toc76056678"/>
      <w:bookmarkStart w:id="233" w:name="_Toc189386187"/>
      <w:r>
        <w:rPr>
          <w:rFonts w:ascii="宋体" w:hAnsi="宋体"/>
          <w:bCs w:val="0"/>
          <w:color w:val="auto"/>
          <w:sz w:val="24"/>
          <w:szCs w:val="24"/>
          <w:highlight w:val="none"/>
          <w:shd w:val="clear" w:color="auto" w:fill="auto"/>
        </w:rPr>
        <w:t>13．工程质量</w:t>
      </w:r>
      <w:bookmarkEnd w:id="232"/>
      <w:bookmarkEnd w:id="23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4" w:name="_Toc511318118"/>
      <w:bookmarkStart w:id="235" w:name="_Toc511317369"/>
      <w:bookmarkStart w:id="236" w:name="_Toc189386188"/>
      <w:r>
        <w:rPr>
          <w:rFonts w:ascii="宋体" w:hAnsi="宋体"/>
          <w:b/>
          <w:bCs/>
          <w:color w:val="auto"/>
          <w:kern w:val="0"/>
          <w:sz w:val="24"/>
          <w:highlight w:val="none"/>
          <w:shd w:val="clear" w:color="auto" w:fill="auto"/>
        </w:rPr>
        <w:t>13.1 工程质量要求</w:t>
      </w:r>
      <w:bookmarkEnd w:id="234"/>
      <w:bookmarkEnd w:id="235"/>
      <w:bookmarkEnd w:id="23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7" w:name="_Toc189386189"/>
      <w:bookmarkStart w:id="238" w:name="_Toc511318119"/>
      <w:bookmarkStart w:id="239" w:name="_Toc511317370"/>
      <w:r>
        <w:rPr>
          <w:rFonts w:ascii="宋体" w:hAnsi="宋体"/>
          <w:b/>
          <w:bCs/>
          <w:color w:val="auto"/>
          <w:kern w:val="0"/>
          <w:sz w:val="24"/>
          <w:highlight w:val="none"/>
          <w:shd w:val="clear" w:color="auto" w:fill="auto"/>
        </w:rPr>
        <w:t>13.2 承包人的质量管理</w:t>
      </w:r>
      <w:bookmarkEnd w:id="237"/>
      <w:bookmarkEnd w:id="238"/>
      <w:bookmarkEnd w:id="2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0" w:name="_Toc511317371"/>
      <w:bookmarkStart w:id="241" w:name="_Toc511318120"/>
      <w:bookmarkStart w:id="242" w:name="_Toc189386190"/>
      <w:r>
        <w:rPr>
          <w:rFonts w:ascii="宋体" w:hAnsi="宋体"/>
          <w:b/>
          <w:bCs/>
          <w:color w:val="auto"/>
          <w:kern w:val="0"/>
          <w:sz w:val="24"/>
          <w:highlight w:val="none"/>
          <w:shd w:val="clear" w:color="auto" w:fill="auto"/>
        </w:rPr>
        <w:t>13.3 承包人的质量检查</w:t>
      </w:r>
      <w:bookmarkEnd w:id="240"/>
      <w:bookmarkEnd w:id="241"/>
      <w:bookmarkEnd w:id="2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3" w:name="_Toc511318121"/>
      <w:bookmarkStart w:id="244" w:name="_Toc511317372"/>
      <w:bookmarkStart w:id="245" w:name="_Toc189386191"/>
      <w:r>
        <w:rPr>
          <w:rFonts w:ascii="宋体" w:hAnsi="宋体"/>
          <w:b/>
          <w:bCs/>
          <w:color w:val="auto"/>
          <w:kern w:val="0"/>
          <w:sz w:val="24"/>
          <w:highlight w:val="none"/>
          <w:shd w:val="clear" w:color="auto" w:fill="auto"/>
        </w:rPr>
        <w:t>13.4 监理人的质量检查</w:t>
      </w:r>
      <w:bookmarkEnd w:id="243"/>
      <w:bookmarkEnd w:id="244"/>
      <w:bookmarkEnd w:id="2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6" w:name="_Toc511317373"/>
      <w:bookmarkStart w:id="247" w:name="_Toc511318122"/>
      <w:bookmarkStart w:id="248" w:name="_Toc189386192"/>
      <w:r>
        <w:rPr>
          <w:rFonts w:ascii="宋体" w:hAnsi="宋体"/>
          <w:b/>
          <w:bCs/>
          <w:color w:val="auto"/>
          <w:kern w:val="0"/>
          <w:sz w:val="24"/>
          <w:highlight w:val="none"/>
          <w:shd w:val="clear" w:color="auto" w:fill="auto"/>
        </w:rPr>
        <w:t>13.5 工程隐蔽部位覆盖前的检查</w:t>
      </w:r>
      <w:bookmarkEnd w:id="246"/>
      <w:bookmarkEnd w:id="247"/>
      <w:bookmarkEnd w:id="24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9" w:name="_Toc511317374"/>
      <w:bookmarkStart w:id="250" w:name="_Toc511318123"/>
      <w:bookmarkStart w:id="251" w:name="_Toc189386193"/>
      <w:r>
        <w:rPr>
          <w:rFonts w:ascii="宋体" w:hAnsi="宋体"/>
          <w:b/>
          <w:bCs/>
          <w:color w:val="auto"/>
          <w:kern w:val="0"/>
          <w:sz w:val="24"/>
          <w:highlight w:val="none"/>
          <w:shd w:val="clear" w:color="auto" w:fill="auto"/>
        </w:rPr>
        <w:t>13.6  清除不合格工程</w:t>
      </w:r>
      <w:bookmarkEnd w:id="249"/>
      <w:bookmarkEnd w:id="250"/>
      <w:bookmarkEnd w:id="2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2" w:name="_Toc511318124"/>
      <w:r>
        <w:rPr>
          <w:rFonts w:ascii="宋体" w:hAnsi="宋体"/>
          <w:b/>
          <w:bCs/>
          <w:color w:val="auto"/>
          <w:kern w:val="0"/>
          <w:sz w:val="24"/>
          <w:highlight w:val="none"/>
          <w:shd w:val="clear" w:color="auto" w:fill="auto"/>
        </w:rPr>
        <w:t>13.7  质量评定</w:t>
      </w:r>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3" w:name="_Toc511318125"/>
      <w:r>
        <w:rPr>
          <w:rFonts w:ascii="宋体" w:hAnsi="宋体"/>
          <w:b/>
          <w:bCs/>
          <w:color w:val="auto"/>
          <w:kern w:val="0"/>
          <w:sz w:val="24"/>
          <w:highlight w:val="none"/>
          <w:shd w:val="clear" w:color="auto" w:fill="auto"/>
        </w:rPr>
        <w:t>13.8  质量事故处理</w:t>
      </w:r>
      <w:bookmarkEnd w:id="2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4" w:name="_Toc189386194"/>
      <w:bookmarkStart w:id="255" w:name="_Toc76056679"/>
      <w:r>
        <w:rPr>
          <w:rFonts w:ascii="宋体" w:hAnsi="宋体"/>
          <w:bCs w:val="0"/>
          <w:color w:val="auto"/>
          <w:sz w:val="24"/>
          <w:szCs w:val="24"/>
          <w:highlight w:val="none"/>
          <w:shd w:val="clear" w:color="auto" w:fill="auto"/>
        </w:rPr>
        <w:t>14．试验和检验</w:t>
      </w:r>
      <w:bookmarkEnd w:id="254"/>
      <w:bookmarkEnd w:id="25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6" w:name="_Toc189386195"/>
      <w:r>
        <w:rPr>
          <w:rFonts w:ascii="宋体" w:hAnsi="宋体"/>
          <w:b/>
          <w:bCs/>
          <w:color w:val="auto"/>
          <w:kern w:val="0"/>
          <w:sz w:val="24"/>
          <w:highlight w:val="none"/>
          <w:shd w:val="clear" w:color="auto" w:fill="auto"/>
        </w:rPr>
        <w:t>14.1材料、工程设备和工程的试验和检验</w:t>
      </w:r>
      <w:bookmarkEnd w:id="2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6"/>
      <w:r>
        <w:rPr>
          <w:rFonts w:ascii="宋体" w:hAnsi="宋体"/>
          <w:b/>
          <w:bCs/>
          <w:color w:val="auto"/>
          <w:kern w:val="0"/>
          <w:sz w:val="24"/>
          <w:highlight w:val="none"/>
          <w:shd w:val="clear" w:color="auto" w:fill="auto"/>
        </w:rPr>
        <w:t>14.2 现场材料试验</w:t>
      </w:r>
      <w:bookmarkEnd w:id="2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8" w:name="_Toc189386197"/>
      <w:r>
        <w:rPr>
          <w:rFonts w:ascii="宋体" w:hAnsi="宋体"/>
          <w:b/>
          <w:bCs/>
          <w:color w:val="auto"/>
          <w:kern w:val="0"/>
          <w:sz w:val="24"/>
          <w:highlight w:val="none"/>
          <w:shd w:val="clear" w:color="auto" w:fill="auto"/>
        </w:rPr>
        <w:t>14.3 现场工艺试验</w:t>
      </w:r>
      <w:bookmarkEnd w:id="258"/>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9" w:name="_Toc189386198"/>
      <w:bookmarkStart w:id="260" w:name="_Toc76056680"/>
      <w:r>
        <w:rPr>
          <w:rFonts w:ascii="宋体" w:hAnsi="宋体"/>
          <w:bCs w:val="0"/>
          <w:color w:val="auto"/>
          <w:sz w:val="24"/>
          <w:szCs w:val="24"/>
          <w:highlight w:val="none"/>
          <w:shd w:val="clear" w:color="auto" w:fill="auto"/>
        </w:rPr>
        <w:t>15．变更</w:t>
      </w:r>
      <w:bookmarkEnd w:id="259"/>
      <w:bookmarkEnd w:id="2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1" w:name="_Toc511318128"/>
      <w:bookmarkStart w:id="262" w:name="_Toc189386199"/>
      <w:r>
        <w:rPr>
          <w:rFonts w:ascii="宋体" w:hAnsi="宋体"/>
          <w:b/>
          <w:bCs/>
          <w:color w:val="auto"/>
          <w:kern w:val="0"/>
          <w:sz w:val="24"/>
          <w:highlight w:val="none"/>
          <w:shd w:val="clear" w:color="auto" w:fill="auto"/>
        </w:rPr>
        <w:t>15.1 变更的范围和内容</w:t>
      </w:r>
      <w:bookmarkEnd w:id="261"/>
      <w:bookmarkEnd w:id="2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3" w:name="_Toc511318129"/>
      <w:bookmarkStart w:id="264" w:name="_Toc189386200"/>
      <w:r>
        <w:rPr>
          <w:rFonts w:ascii="宋体" w:hAnsi="宋体"/>
          <w:b/>
          <w:bCs/>
          <w:color w:val="auto"/>
          <w:kern w:val="0"/>
          <w:sz w:val="24"/>
          <w:highlight w:val="none"/>
          <w:shd w:val="clear" w:color="auto" w:fill="auto"/>
        </w:rPr>
        <w:t>15.2 变更权</w:t>
      </w:r>
      <w:bookmarkEnd w:id="263"/>
      <w:bookmarkEnd w:id="2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5" w:name="_Toc189386201"/>
      <w:bookmarkStart w:id="266" w:name="_Toc511318130"/>
      <w:r>
        <w:rPr>
          <w:rFonts w:ascii="宋体" w:hAnsi="宋体"/>
          <w:b/>
          <w:bCs/>
          <w:color w:val="auto"/>
          <w:kern w:val="0"/>
          <w:sz w:val="24"/>
          <w:highlight w:val="none"/>
          <w:shd w:val="clear" w:color="auto" w:fill="auto"/>
        </w:rPr>
        <w:t>15.3 变更程序</w:t>
      </w:r>
      <w:bookmarkEnd w:id="265"/>
      <w:bookmarkEnd w:id="26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7" w:name="_Toc511318131"/>
      <w:bookmarkStart w:id="268" w:name="_Toc189386202"/>
      <w:r>
        <w:rPr>
          <w:rFonts w:ascii="宋体" w:hAnsi="宋体"/>
          <w:b/>
          <w:bCs/>
          <w:color w:val="auto"/>
          <w:kern w:val="0"/>
          <w:sz w:val="24"/>
          <w:highlight w:val="none"/>
          <w:shd w:val="clear" w:color="auto" w:fill="auto"/>
        </w:rPr>
        <w:t>15.4 变更的估价原则</w:t>
      </w:r>
      <w:bookmarkEnd w:id="267"/>
      <w:bookmarkEnd w:id="2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9" w:name="_Toc511318132"/>
      <w:bookmarkStart w:id="270" w:name="_Toc189386203"/>
      <w:r>
        <w:rPr>
          <w:rFonts w:ascii="宋体" w:hAnsi="宋体"/>
          <w:b/>
          <w:bCs/>
          <w:color w:val="auto"/>
          <w:kern w:val="0"/>
          <w:sz w:val="24"/>
          <w:highlight w:val="none"/>
          <w:shd w:val="clear" w:color="auto" w:fill="auto"/>
        </w:rPr>
        <w:t>15.5 承包人的合理化建议</w:t>
      </w:r>
      <w:bookmarkEnd w:id="269"/>
      <w:bookmarkEnd w:id="2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1" w:name="_Toc511318133"/>
      <w:bookmarkStart w:id="272" w:name="_Toc189386204"/>
      <w:r>
        <w:rPr>
          <w:rFonts w:ascii="宋体" w:hAnsi="宋体"/>
          <w:b/>
          <w:bCs/>
          <w:color w:val="auto"/>
          <w:kern w:val="0"/>
          <w:sz w:val="24"/>
          <w:highlight w:val="none"/>
          <w:shd w:val="clear" w:color="auto" w:fill="auto"/>
        </w:rPr>
        <w:t>15.6 暂列金额</w:t>
      </w:r>
      <w:bookmarkEnd w:id="271"/>
      <w:bookmarkEnd w:id="27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3" w:name="_Toc189386205"/>
      <w:bookmarkStart w:id="274" w:name="_Toc511318134"/>
      <w:r>
        <w:rPr>
          <w:rFonts w:ascii="宋体" w:hAnsi="宋体"/>
          <w:b/>
          <w:bCs/>
          <w:color w:val="auto"/>
          <w:kern w:val="0"/>
          <w:sz w:val="24"/>
          <w:highlight w:val="none"/>
          <w:shd w:val="clear" w:color="auto" w:fill="auto"/>
        </w:rPr>
        <w:t>15.7 计日工</w:t>
      </w:r>
      <w:bookmarkEnd w:id="273"/>
      <w:bookmarkEnd w:id="2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5" w:name="_Toc189386206"/>
      <w:bookmarkStart w:id="276" w:name="_Toc511318135"/>
      <w:r>
        <w:rPr>
          <w:rFonts w:ascii="宋体" w:hAnsi="宋体"/>
          <w:b/>
          <w:bCs/>
          <w:color w:val="auto"/>
          <w:kern w:val="0"/>
          <w:sz w:val="24"/>
          <w:highlight w:val="none"/>
          <w:shd w:val="clear" w:color="auto" w:fill="auto"/>
        </w:rPr>
        <w:t>15.8 暂估价</w:t>
      </w:r>
      <w:bookmarkEnd w:id="275"/>
      <w:bookmarkEnd w:id="27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7" w:name="_Toc76056681"/>
      <w:bookmarkStart w:id="278" w:name="_Toc189386207"/>
      <w:r>
        <w:rPr>
          <w:rFonts w:ascii="宋体" w:hAnsi="宋体"/>
          <w:bCs w:val="0"/>
          <w:color w:val="auto"/>
          <w:sz w:val="24"/>
          <w:szCs w:val="24"/>
          <w:highlight w:val="none"/>
          <w:shd w:val="clear" w:color="auto" w:fill="auto"/>
        </w:rPr>
        <w:t>16．价格调整</w:t>
      </w:r>
      <w:bookmarkEnd w:id="277"/>
      <w:bookmarkEnd w:id="27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9" w:name="_Toc511318137"/>
      <w:bookmarkStart w:id="280" w:name="_Toc189386208"/>
      <w:r>
        <w:rPr>
          <w:rFonts w:ascii="宋体" w:hAnsi="宋体"/>
          <w:b/>
          <w:bCs/>
          <w:color w:val="auto"/>
          <w:kern w:val="0"/>
          <w:sz w:val="24"/>
          <w:highlight w:val="none"/>
          <w:shd w:val="clear" w:color="auto" w:fill="auto"/>
        </w:rPr>
        <w:t>16.1 物价波动引起的价格调整</w:t>
      </w:r>
      <w:bookmarkEnd w:id="279"/>
      <w:bookmarkEnd w:id="2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1" w:name="_Toc511318138"/>
      <w:bookmarkStart w:id="282" w:name="_Toc189386209"/>
      <w:r>
        <w:rPr>
          <w:rFonts w:ascii="宋体" w:hAnsi="宋体"/>
          <w:b/>
          <w:bCs/>
          <w:color w:val="auto"/>
          <w:kern w:val="0"/>
          <w:sz w:val="24"/>
          <w:highlight w:val="none"/>
          <w:shd w:val="clear" w:color="auto" w:fill="auto"/>
        </w:rPr>
        <w:t>16.2 法律变化引起的价格调整</w:t>
      </w:r>
      <w:bookmarkEnd w:id="281"/>
      <w:bookmarkEnd w:id="2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3" w:name="_Toc189386210"/>
      <w:bookmarkStart w:id="284" w:name="_Toc76056682"/>
      <w:r>
        <w:rPr>
          <w:rFonts w:ascii="宋体" w:hAnsi="宋体"/>
          <w:bCs w:val="0"/>
          <w:color w:val="auto"/>
          <w:sz w:val="24"/>
          <w:szCs w:val="24"/>
          <w:highlight w:val="none"/>
          <w:shd w:val="clear" w:color="auto" w:fill="auto"/>
        </w:rPr>
        <w:t>17．计量与支付</w:t>
      </w:r>
      <w:bookmarkEnd w:id="283"/>
      <w:bookmarkEnd w:id="28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5" w:name="_Toc511318140"/>
      <w:bookmarkStart w:id="286" w:name="_Toc189386211"/>
      <w:r>
        <w:rPr>
          <w:rFonts w:ascii="宋体" w:hAnsi="宋体"/>
          <w:b/>
          <w:bCs/>
          <w:color w:val="auto"/>
          <w:kern w:val="0"/>
          <w:sz w:val="24"/>
          <w:highlight w:val="none"/>
          <w:shd w:val="clear" w:color="auto" w:fill="auto"/>
        </w:rPr>
        <w:t>17.1 计量</w:t>
      </w:r>
      <w:bookmarkEnd w:id="285"/>
      <w:bookmarkEnd w:id="28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7" w:name="_Toc189386212"/>
      <w:r>
        <w:rPr>
          <w:rFonts w:ascii="宋体" w:hAnsi="宋体"/>
          <w:b/>
          <w:bCs/>
          <w:color w:val="auto"/>
          <w:kern w:val="0"/>
          <w:sz w:val="24"/>
          <w:highlight w:val="none"/>
          <w:shd w:val="clear" w:color="auto" w:fill="auto"/>
        </w:rPr>
        <w:t>17.2 预付款</w:t>
      </w:r>
      <w:bookmarkEnd w:id="28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8" w:name="_Toc511318141"/>
      <w:bookmarkStart w:id="289" w:name="_Toc189386213"/>
      <w:r>
        <w:rPr>
          <w:rFonts w:ascii="宋体" w:hAnsi="宋体"/>
          <w:b/>
          <w:bCs/>
          <w:color w:val="auto"/>
          <w:kern w:val="0"/>
          <w:sz w:val="24"/>
          <w:highlight w:val="none"/>
          <w:shd w:val="clear" w:color="auto" w:fill="auto"/>
        </w:rPr>
        <w:t>17.3 工程进度付款</w:t>
      </w:r>
      <w:bookmarkEnd w:id="288"/>
      <w:bookmarkEnd w:id="289"/>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0" w:name="_Toc511318142"/>
      <w:bookmarkStart w:id="291" w:name="_Toc189386214"/>
      <w:r>
        <w:rPr>
          <w:rFonts w:ascii="宋体" w:hAnsi="宋体"/>
          <w:b/>
          <w:bCs/>
          <w:color w:val="auto"/>
          <w:kern w:val="0"/>
          <w:sz w:val="24"/>
          <w:highlight w:val="none"/>
          <w:shd w:val="clear" w:color="auto" w:fill="auto"/>
        </w:rPr>
        <w:t>17.4 质量保证金</w:t>
      </w:r>
      <w:bookmarkEnd w:id="290"/>
      <w:bookmarkEnd w:id="29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2" w:name="_Toc189386215"/>
      <w:bookmarkStart w:id="293" w:name="_Toc511318143"/>
      <w:r>
        <w:rPr>
          <w:rFonts w:ascii="宋体" w:hAnsi="宋体"/>
          <w:b/>
          <w:bCs/>
          <w:color w:val="auto"/>
          <w:kern w:val="0"/>
          <w:sz w:val="24"/>
          <w:highlight w:val="none"/>
          <w:shd w:val="clear" w:color="auto" w:fill="auto"/>
        </w:rPr>
        <w:t>17.5 竣工结算</w:t>
      </w:r>
      <w:bookmarkEnd w:id="292"/>
      <w:r>
        <w:rPr>
          <w:rFonts w:ascii="宋体" w:hAnsi="宋体"/>
          <w:b/>
          <w:bCs/>
          <w:color w:val="auto"/>
          <w:kern w:val="0"/>
          <w:sz w:val="24"/>
          <w:highlight w:val="none"/>
          <w:shd w:val="clear" w:color="auto" w:fill="auto"/>
        </w:rPr>
        <w:t>（完工结算）</w:t>
      </w:r>
      <w:bookmarkEnd w:id="29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4" w:name="_Toc189386216"/>
      <w:r>
        <w:rPr>
          <w:rFonts w:ascii="宋体" w:hAnsi="宋体"/>
          <w:b/>
          <w:bCs/>
          <w:color w:val="auto"/>
          <w:kern w:val="0"/>
          <w:sz w:val="24"/>
          <w:highlight w:val="none"/>
          <w:shd w:val="clear" w:color="auto" w:fill="auto"/>
        </w:rPr>
        <w:t>17.6 最终结清</w:t>
      </w:r>
      <w:bookmarkEnd w:id="29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511318144"/>
      <w:r>
        <w:rPr>
          <w:rFonts w:ascii="宋体" w:hAnsi="宋体"/>
          <w:b/>
          <w:bCs/>
          <w:color w:val="auto"/>
          <w:kern w:val="0"/>
          <w:sz w:val="24"/>
          <w:highlight w:val="none"/>
          <w:shd w:val="clear" w:color="auto" w:fill="auto"/>
        </w:rPr>
        <w:t>17.7  竣工财务决算</w:t>
      </w:r>
      <w:bookmarkEnd w:id="29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6" w:name="_Toc511318145"/>
      <w:r>
        <w:rPr>
          <w:rFonts w:ascii="宋体" w:hAnsi="宋体"/>
          <w:b/>
          <w:bCs/>
          <w:color w:val="auto"/>
          <w:kern w:val="0"/>
          <w:sz w:val="24"/>
          <w:highlight w:val="none"/>
          <w:shd w:val="clear" w:color="auto" w:fill="auto"/>
        </w:rPr>
        <w:t>17.8  竣工审计</w:t>
      </w:r>
      <w:bookmarkEnd w:id="296"/>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7" w:name="_Toc189386217"/>
      <w:bookmarkStart w:id="298" w:name="_Toc76056683"/>
      <w:r>
        <w:rPr>
          <w:rFonts w:ascii="宋体" w:hAnsi="宋体"/>
          <w:bCs w:val="0"/>
          <w:color w:val="auto"/>
          <w:sz w:val="24"/>
          <w:szCs w:val="24"/>
          <w:highlight w:val="none"/>
          <w:shd w:val="clear" w:color="auto" w:fill="auto"/>
        </w:rPr>
        <w:t>18．竣工验收</w:t>
      </w:r>
      <w:bookmarkEnd w:id="297"/>
      <w:r>
        <w:rPr>
          <w:rFonts w:ascii="宋体" w:hAnsi="宋体"/>
          <w:bCs w:val="0"/>
          <w:color w:val="auto"/>
          <w:sz w:val="24"/>
          <w:szCs w:val="24"/>
          <w:highlight w:val="none"/>
          <w:shd w:val="clear" w:color="auto" w:fill="auto"/>
        </w:rPr>
        <w:t>（验收）</w:t>
      </w:r>
      <w:bookmarkEnd w:id="29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9" w:name="_Toc511318147"/>
      <w:r>
        <w:rPr>
          <w:rFonts w:ascii="宋体" w:hAnsi="宋体"/>
          <w:b/>
          <w:bCs/>
          <w:color w:val="auto"/>
          <w:kern w:val="0"/>
          <w:sz w:val="24"/>
          <w:highlight w:val="none"/>
          <w:shd w:val="clear" w:color="auto" w:fill="auto"/>
        </w:rPr>
        <w:t>18.1  验收工作分类</w:t>
      </w:r>
      <w:bookmarkEnd w:id="2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8"/>
      <w:r>
        <w:rPr>
          <w:rFonts w:ascii="宋体" w:hAnsi="宋体"/>
          <w:b/>
          <w:bCs/>
          <w:color w:val="auto"/>
          <w:kern w:val="0"/>
          <w:sz w:val="24"/>
          <w:highlight w:val="none"/>
          <w:shd w:val="clear" w:color="auto" w:fill="auto"/>
        </w:rPr>
        <w:t>18.2  分部工程验收</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49"/>
      <w:r>
        <w:rPr>
          <w:rFonts w:ascii="宋体" w:hAnsi="宋体"/>
          <w:b/>
          <w:bCs/>
          <w:color w:val="auto"/>
          <w:kern w:val="0"/>
          <w:sz w:val="24"/>
          <w:highlight w:val="none"/>
          <w:shd w:val="clear" w:color="auto" w:fill="auto"/>
        </w:rPr>
        <w:t>18.3  单位工程验收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50"/>
      <w:r>
        <w:rPr>
          <w:rFonts w:ascii="宋体" w:hAnsi="宋体"/>
          <w:b/>
          <w:bCs/>
          <w:color w:val="auto"/>
          <w:kern w:val="0"/>
          <w:sz w:val="24"/>
          <w:highlight w:val="none"/>
          <w:shd w:val="clear" w:color="auto" w:fill="auto"/>
        </w:rPr>
        <w:t>18.4  合同工程完工验收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1"/>
      <w:r>
        <w:rPr>
          <w:rFonts w:ascii="宋体" w:hAnsi="宋体"/>
          <w:b/>
          <w:bCs/>
          <w:color w:val="auto"/>
          <w:kern w:val="0"/>
          <w:sz w:val="24"/>
          <w:highlight w:val="none"/>
          <w:shd w:val="clear" w:color="auto" w:fill="auto"/>
        </w:rPr>
        <w:t>18.5  阶段验收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2"/>
      <w:r>
        <w:rPr>
          <w:rFonts w:ascii="宋体" w:hAnsi="宋体"/>
          <w:b/>
          <w:bCs/>
          <w:color w:val="auto"/>
          <w:kern w:val="0"/>
          <w:sz w:val="24"/>
          <w:highlight w:val="none"/>
          <w:shd w:val="clear" w:color="auto" w:fill="auto"/>
        </w:rPr>
        <w:t>18.6  专项验收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3"/>
      <w:r>
        <w:rPr>
          <w:rFonts w:ascii="宋体" w:hAnsi="宋体"/>
          <w:b/>
          <w:bCs/>
          <w:color w:val="auto"/>
          <w:kern w:val="0"/>
          <w:sz w:val="24"/>
          <w:highlight w:val="none"/>
          <w:shd w:val="clear" w:color="auto" w:fill="auto"/>
        </w:rPr>
        <w:t>18.7  竣工验收</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4"/>
      <w:r>
        <w:rPr>
          <w:rFonts w:ascii="宋体" w:hAnsi="宋体"/>
          <w:b/>
          <w:bCs/>
          <w:color w:val="auto"/>
          <w:kern w:val="0"/>
          <w:sz w:val="24"/>
          <w:highlight w:val="none"/>
          <w:shd w:val="clear" w:color="auto" w:fill="auto"/>
        </w:rPr>
        <w:t>18.8  施工期运行</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5"/>
      <w:r>
        <w:rPr>
          <w:rFonts w:ascii="宋体" w:hAnsi="宋体"/>
          <w:b/>
          <w:bCs/>
          <w:color w:val="auto"/>
          <w:kern w:val="0"/>
          <w:sz w:val="24"/>
          <w:highlight w:val="none"/>
          <w:shd w:val="clear" w:color="auto" w:fill="auto"/>
        </w:rPr>
        <w:t>18.9  试运行</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6"/>
      <w:r>
        <w:rPr>
          <w:rFonts w:ascii="宋体" w:hAnsi="宋体"/>
          <w:b/>
          <w:bCs/>
          <w:color w:val="auto"/>
          <w:kern w:val="0"/>
          <w:sz w:val="24"/>
          <w:highlight w:val="none"/>
          <w:shd w:val="clear" w:color="auto" w:fill="auto"/>
        </w:rPr>
        <w:t>18.10  竣工（完工）清场</w:t>
      </w:r>
      <w:bookmarkEnd w:id="3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9" w:name="_Toc511318157"/>
      <w:r>
        <w:rPr>
          <w:rFonts w:ascii="宋体" w:hAnsi="宋体"/>
          <w:b/>
          <w:bCs/>
          <w:color w:val="auto"/>
          <w:kern w:val="0"/>
          <w:sz w:val="24"/>
          <w:highlight w:val="none"/>
          <w:shd w:val="clear" w:color="auto" w:fill="auto"/>
        </w:rPr>
        <w:t>18.11  施工队伍的撤离</w:t>
      </w:r>
      <w:bookmarkEnd w:id="309"/>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10" w:name="_Toc189386226"/>
      <w:bookmarkStart w:id="311" w:name="_Toc76056684"/>
      <w:r>
        <w:rPr>
          <w:rFonts w:ascii="宋体" w:hAnsi="宋体"/>
          <w:bCs w:val="0"/>
          <w:color w:val="auto"/>
          <w:sz w:val="24"/>
          <w:szCs w:val="24"/>
          <w:highlight w:val="none"/>
          <w:shd w:val="clear" w:color="auto" w:fill="auto"/>
        </w:rPr>
        <w:t>19．缺陷责任与保修责任</w:t>
      </w:r>
      <w:bookmarkEnd w:id="310"/>
      <w:bookmarkEnd w:id="31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2" w:name="_Toc189386227"/>
      <w:r>
        <w:rPr>
          <w:rFonts w:ascii="宋体" w:hAnsi="宋体"/>
          <w:b/>
          <w:bCs/>
          <w:color w:val="auto"/>
          <w:kern w:val="0"/>
          <w:sz w:val="24"/>
          <w:highlight w:val="none"/>
          <w:shd w:val="clear" w:color="auto" w:fill="auto"/>
        </w:rPr>
        <w:t>19.1缺陷责任期的起算时间</w:t>
      </w:r>
      <w:bookmarkEnd w:id="31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3" w:name="_Toc511318159"/>
      <w:bookmarkStart w:id="314" w:name="_Toc189386228"/>
      <w:r>
        <w:rPr>
          <w:rFonts w:ascii="宋体" w:hAnsi="宋体"/>
          <w:b/>
          <w:bCs/>
          <w:color w:val="auto"/>
          <w:kern w:val="0"/>
          <w:sz w:val="24"/>
          <w:highlight w:val="none"/>
          <w:shd w:val="clear" w:color="auto" w:fill="auto"/>
        </w:rPr>
        <w:t>19.2 缺陷责任</w:t>
      </w:r>
      <w:bookmarkEnd w:id="313"/>
      <w:bookmarkEnd w:id="3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5" w:name="_Toc189386229"/>
      <w:bookmarkStart w:id="316" w:name="_Toc511318160"/>
      <w:r>
        <w:rPr>
          <w:rFonts w:ascii="宋体" w:hAnsi="宋体"/>
          <w:b/>
          <w:bCs/>
          <w:color w:val="auto"/>
          <w:kern w:val="0"/>
          <w:sz w:val="24"/>
          <w:highlight w:val="none"/>
          <w:shd w:val="clear" w:color="auto" w:fill="auto"/>
        </w:rPr>
        <w:t>19.3 缺陷责任期的延长</w:t>
      </w:r>
      <w:bookmarkEnd w:id="315"/>
      <w:bookmarkEnd w:id="3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7" w:name="_Toc189386230"/>
      <w:bookmarkStart w:id="318" w:name="_Toc511318161"/>
      <w:r>
        <w:rPr>
          <w:rFonts w:ascii="宋体" w:hAnsi="宋体"/>
          <w:b/>
          <w:bCs/>
          <w:color w:val="auto"/>
          <w:kern w:val="0"/>
          <w:sz w:val="24"/>
          <w:highlight w:val="none"/>
          <w:shd w:val="clear" w:color="auto" w:fill="auto"/>
        </w:rPr>
        <w:t>19.4 进一步试验和试运行</w:t>
      </w:r>
      <w:bookmarkEnd w:id="317"/>
      <w:bookmarkEnd w:id="3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9" w:name="_Toc189386231"/>
      <w:bookmarkStart w:id="320" w:name="_Toc511318162"/>
      <w:r>
        <w:rPr>
          <w:rFonts w:ascii="宋体" w:hAnsi="宋体"/>
          <w:b/>
          <w:bCs/>
          <w:color w:val="auto"/>
          <w:kern w:val="0"/>
          <w:sz w:val="24"/>
          <w:highlight w:val="none"/>
          <w:shd w:val="clear" w:color="auto" w:fill="auto"/>
        </w:rPr>
        <w:t>19.5 承包人的进入权</w:t>
      </w:r>
      <w:bookmarkEnd w:id="319"/>
      <w:bookmarkEnd w:id="3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1" w:name="_Toc511318163"/>
      <w:r>
        <w:rPr>
          <w:rFonts w:ascii="宋体" w:hAnsi="宋体"/>
          <w:b/>
          <w:bCs/>
          <w:color w:val="auto"/>
          <w:kern w:val="0"/>
          <w:sz w:val="24"/>
          <w:highlight w:val="none"/>
          <w:shd w:val="clear" w:color="auto" w:fill="auto"/>
        </w:rPr>
        <w:t>19.6  缺陷责任期终止证书（工程质量保修责任终止证书）</w:t>
      </w:r>
      <w:bookmarkEnd w:id="3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2" w:name="_Toc189386233"/>
      <w:bookmarkStart w:id="323" w:name="_Toc511318164"/>
      <w:r>
        <w:rPr>
          <w:rFonts w:ascii="宋体" w:hAnsi="宋体"/>
          <w:b/>
          <w:bCs/>
          <w:color w:val="auto"/>
          <w:kern w:val="0"/>
          <w:sz w:val="24"/>
          <w:highlight w:val="none"/>
          <w:shd w:val="clear" w:color="auto" w:fill="auto"/>
        </w:rPr>
        <w:t>19.7 保修责任</w:t>
      </w:r>
      <w:bookmarkEnd w:id="322"/>
      <w:bookmarkEnd w:id="32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4" w:name="_Toc76056685"/>
      <w:bookmarkStart w:id="325" w:name="_Toc189386234"/>
      <w:r>
        <w:rPr>
          <w:rFonts w:ascii="宋体" w:hAnsi="宋体"/>
          <w:bCs w:val="0"/>
          <w:color w:val="auto"/>
          <w:sz w:val="24"/>
          <w:szCs w:val="24"/>
          <w:highlight w:val="none"/>
          <w:shd w:val="clear" w:color="auto" w:fill="auto"/>
        </w:rPr>
        <w:t>20．保险</w:t>
      </w:r>
      <w:bookmarkEnd w:id="324"/>
      <w:bookmarkEnd w:id="32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6" w:name="_Toc189386235"/>
      <w:r>
        <w:rPr>
          <w:rFonts w:ascii="宋体" w:hAnsi="宋体"/>
          <w:b/>
          <w:bCs/>
          <w:color w:val="auto"/>
          <w:kern w:val="0"/>
          <w:sz w:val="24"/>
          <w:highlight w:val="none"/>
          <w:shd w:val="clear" w:color="auto" w:fill="auto"/>
        </w:rPr>
        <w:t>20.1工程保险</w:t>
      </w:r>
      <w:bookmarkEnd w:id="3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189386236"/>
      <w:r>
        <w:rPr>
          <w:rFonts w:ascii="宋体" w:hAnsi="宋体"/>
          <w:b/>
          <w:bCs/>
          <w:color w:val="auto"/>
          <w:kern w:val="0"/>
          <w:sz w:val="24"/>
          <w:highlight w:val="none"/>
          <w:shd w:val="clear" w:color="auto" w:fill="auto"/>
        </w:rPr>
        <w:t>20.2 人员工伤事故的保险</w:t>
      </w:r>
      <w:bookmarkEnd w:id="32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8" w:name="_Toc511318166"/>
      <w:bookmarkStart w:id="329" w:name="_Toc189386237"/>
      <w:r>
        <w:rPr>
          <w:rFonts w:ascii="宋体" w:hAnsi="宋体"/>
          <w:b/>
          <w:bCs/>
          <w:color w:val="auto"/>
          <w:kern w:val="0"/>
          <w:sz w:val="24"/>
          <w:highlight w:val="none"/>
          <w:shd w:val="clear" w:color="auto" w:fill="auto"/>
        </w:rPr>
        <w:t>20.3 人身意外伤害险</w:t>
      </w:r>
      <w:bookmarkEnd w:id="328"/>
      <w:bookmarkEnd w:id="3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0" w:name="_Toc189386238"/>
      <w:bookmarkStart w:id="331" w:name="_Toc511318167"/>
      <w:r>
        <w:rPr>
          <w:rFonts w:ascii="宋体" w:hAnsi="宋体"/>
          <w:b/>
          <w:bCs/>
          <w:color w:val="auto"/>
          <w:kern w:val="0"/>
          <w:sz w:val="24"/>
          <w:highlight w:val="none"/>
          <w:shd w:val="clear" w:color="auto" w:fill="auto"/>
        </w:rPr>
        <w:t>20.4 第三者责任险</w:t>
      </w:r>
      <w:bookmarkEnd w:id="330"/>
      <w:bookmarkEnd w:id="3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2" w:name="_Toc511318168"/>
      <w:bookmarkStart w:id="333" w:name="_Toc189386239"/>
      <w:r>
        <w:rPr>
          <w:rFonts w:ascii="宋体" w:hAnsi="宋体"/>
          <w:b/>
          <w:bCs/>
          <w:color w:val="auto"/>
          <w:kern w:val="0"/>
          <w:sz w:val="24"/>
          <w:highlight w:val="none"/>
          <w:shd w:val="clear" w:color="auto" w:fill="auto"/>
        </w:rPr>
        <w:t>20.5 其他保险</w:t>
      </w:r>
      <w:bookmarkEnd w:id="332"/>
      <w:bookmarkEnd w:id="3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4" w:name="_Toc189386240"/>
      <w:bookmarkStart w:id="335" w:name="_Toc511318169"/>
      <w:r>
        <w:rPr>
          <w:rFonts w:ascii="宋体" w:hAnsi="宋体"/>
          <w:b/>
          <w:bCs/>
          <w:color w:val="auto"/>
          <w:kern w:val="0"/>
          <w:sz w:val="24"/>
          <w:highlight w:val="none"/>
          <w:shd w:val="clear" w:color="auto" w:fill="auto"/>
        </w:rPr>
        <w:t>20.6 对各项保险的一般要求</w:t>
      </w:r>
      <w:bookmarkEnd w:id="334"/>
      <w:bookmarkEnd w:id="33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6" w:name="_Toc76056686"/>
      <w:bookmarkStart w:id="337" w:name="_Toc189386241"/>
      <w:r>
        <w:rPr>
          <w:rFonts w:ascii="宋体" w:hAnsi="宋体"/>
          <w:bCs w:val="0"/>
          <w:color w:val="auto"/>
          <w:sz w:val="24"/>
          <w:szCs w:val="24"/>
          <w:highlight w:val="none"/>
          <w:shd w:val="clear" w:color="auto" w:fill="auto"/>
        </w:rPr>
        <w:t>21．不可抗力</w:t>
      </w:r>
      <w:bookmarkEnd w:id="336"/>
      <w:bookmarkEnd w:id="33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8" w:name="_Toc189386242"/>
      <w:bookmarkStart w:id="339" w:name="_Toc511318171"/>
      <w:r>
        <w:rPr>
          <w:rFonts w:ascii="宋体" w:hAnsi="宋体"/>
          <w:b/>
          <w:bCs/>
          <w:color w:val="auto"/>
          <w:kern w:val="0"/>
          <w:sz w:val="24"/>
          <w:highlight w:val="none"/>
          <w:shd w:val="clear" w:color="auto" w:fill="auto"/>
        </w:rPr>
        <w:t>21.1 不可抗力的确认</w:t>
      </w:r>
      <w:bookmarkEnd w:id="338"/>
      <w:bookmarkEnd w:id="3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0" w:name="_Toc189386243"/>
      <w:bookmarkStart w:id="341" w:name="_Toc511318172"/>
      <w:r>
        <w:rPr>
          <w:rFonts w:ascii="宋体" w:hAnsi="宋体"/>
          <w:b/>
          <w:bCs/>
          <w:color w:val="auto"/>
          <w:kern w:val="0"/>
          <w:sz w:val="24"/>
          <w:highlight w:val="none"/>
          <w:shd w:val="clear" w:color="auto" w:fill="auto"/>
        </w:rPr>
        <w:t>21.2 不可抗力的通知</w:t>
      </w:r>
      <w:bookmarkEnd w:id="340"/>
      <w:bookmarkEnd w:id="3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2" w:name="_Toc511318173"/>
      <w:bookmarkStart w:id="343" w:name="_Toc189386244"/>
      <w:r>
        <w:rPr>
          <w:rFonts w:ascii="宋体" w:hAnsi="宋体"/>
          <w:b/>
          <w:bCs/>
          <w:color w:val="auto"/>
          <w:kern w:val="0"/>
          <w:sz w:val="24"/>
          <w:highlight w:val="none"/>
          <w:shd w:val="clear" w:color="auto" w:fill="auto"/>
        </w:rPr>
        <w:t>21.3 不可抗力后果及其处理</w:t>
      </w:r>
      <w:bookmarkEnd w:id="342"/>
      <w:bookmarkEnd w:id="34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4" w:name="_Toc76056687"/>
      <w:bookmarkStart w:id="345" w:name="_Toc189386245"/>
      <w:r>
        <w:rPr>
          <w:rFonts w:ascii="宋体" w:hAnsi="宋体"/>
          <w:bCs w:val="0"/>
          <w:color w:val="auto"/>
          <w:sz w:val="24"/>
          <w:szCs w:val="24"/>
          <w:highlight w:val="none"/>
          <w:shd w:val="clear" w:color="auto" w:fill="auto"/>
        </w:rPr>
        <w:t>22．违约</w:t>
      </w:r>
      <w:bookmarkEnd w:id="344"/>
      <w:bookmarkEnd w:id="34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6" w:name="_Toc189386246"/>
      <w:r>
        <w:rPr>
          <w:rFonts w:ascii="宋体" w:hAnsi="宋体"/>
          <w:b/>
          <w:bCs/>
          <w:color w:val="auto"/>
          <w:kern w:val="0"/>
          <w:sz w:val="24"/>
          <w:highlight w:val="none"/>
          <w:shd w:val="clear" w:color="auto" w:fill="auto"/>
        </w:rPr>
        <w:t>22.1承包人违约</w:t>
      </w:r>
      <w:bookmarkEnd w:id="34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7"/>
      <w:r>
        <w:rPr>
          <w:rFonts w:ascii="宋体" w:hAnsi="宋体"/>
          <w:b/>
          <w:bCs/>
          <w:color w:val="auto"/>
          <w:kern w:val="0"/>
          <w:sz w:val="24"/>
          <w:highlight w:val="none"/>
          <w:shd w:val="clear" w:color="auto" w:fill="auto"/>
        </w:rPr>
        <w:t>22.2 发包人违约</w:t>
      </w:r>
      <w:bookmarkEnd w:id="3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8" w:name="_Toc189386248"/>
      <w:r>
        <w:rPr>
          <w:rFonts w:ascii="宋体" w:hAnsi="宋体"/>
          <w:b/>
          <w:bCs/>
          <w:color w:val="auto"/>
          <w:kern w:val="0"/>
          <w:sz w:val="24"/>
          <w:highlight w:val="none"/>
          <w:shd w:val="clear" w:color="auto" w:fill="auto"/>
        </w:rPr>
        <w:t>22.3第三人造成的违约</w:t>
      </w:r>
      <w:bookmarkEnd w:id="34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9" w:name="_Toc76056688"/>
      <w:bookmarkStart w:id="350" w:name="_Toc189386249"/>
      <w:r>
        <w:rPr>
          <w:rFonts w:ascii="宋体" w:hAnsi="宋体"/>
          <w:bCs w:val="0"/>
          <w:color w:val="auto"/>
          <w:sz w:val="24"/>
          <w:szCs w:val="24"/>
          <w:highlight w:val="none"/>
          <w:shd w:val="clear" w:color="auto" w:fill="auto"/>
        </w:rPr>
        <w:t>23．索赔</w:t>
      </w:r>
      <w:bookmarkEnd w:id="349"/>
      <w:bookmarkEnd w:id="35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1" w:name="_Toc511318176"/>
      <w:bookmarkStart w:id="352" w:name="_Toc189386250"/>
      <w:r>
        <w:rPr>
          <w:rFonts w:ascii="宋体" w:hAnsi="宋体"/>
          <w:b/>
          <w:bCs/>
          <w:color w:val="auto"/>
          <w:kern w:val="0"/>
          <w:sz w:val="24"/>
          <w:highlight w:val="none"/>
          <w:shd w:val="clear" w:color="auto" w:fill="auto"/>
        </w:rPr>
        <w:t>23.1 承包人索赔的提出</w:t>
      </w:r>
      <w:bookmarkEnd w:id="351"/>
      <w:bookmarkEnd w:id="3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3" w:name="_Toc511318177"/>
      <w:bookmarkStart w:id="354" w:name="_Toc189386251"/>
      <w:r>
        <w:rPr>
          <w:rFonts w:ascii="宋体" w:hAnsi="宋体"/>
          <w:b/>
          <w:bCs/>
          <w:color w:val="auto"/>
          <w:kern w:val="0"/>
          <w:sz w:val="24"/>
          <w:highlight w:val="none"/>
          <w:shd w:val="clear" w:color="auto" w:fill="auto"/>
        </w:rPr>
        <w:t>23.2 承包人索赔处理程序</w:t>
      </w:r>
      <w:bookmarkEnd w:id="353"/>
      <w:bookmarkEnd w:id="3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5" w:name="_Toc511318178"/>
      <w:bookmarkStart w:id="356" w:name="_Toc189386252"/>
      <w:r>
        <w:rPr>
          <w:rFonts w:ascii="宋体" w:hAnsi="宋体"/>
          <w:b/>
          <w:bCs/>
          <w:color w:val="auto"/>
          <w:kern w:val="0"/>
          <w:sz w:val="24"/>
          <w:highlight w:val="none"/>
          <w:shd w:val="clear" w:color="auto" w:fill="auto"/>
        </w:rPr>
        <w:t>23.3 承包人提出索赔的期限</w:t>
      </w:r>
      <w:bookmarkEnd w:id="355"/>
      <w:bookmarkEnd w:id="3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7" w:name="_Toc189386253"/>
      <w:bookmarkStart w:id="358" w:name="_Toc511318179"/>
      <w:r>
        <w:rPr>
          <w:rFonts w:ascii="宋体" w:hAnsi="宋体"/>
          <w:b/>
          <w:bCs/>
          <w:color w:val="auto"/>
          <w:kern w:val="0"/>
          <w:sz w:val="24"/>
          <w:highlight w:val="none"/>
          <w:shd w:val="clear" w:color="auto" w:fill="auto"/>
        </w:rPr>
        <w:t>23.4 发包人的索赔</w:t>
      </w:r>
      <w:bookmarkEnd w:id="357"/>
      <w:bookmarkEnd w:id="3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9" w:name="_Toc76056689"/>
      <w:bookmarkStart w:id="360" w:name="_Toc189386254"/>
      <w:r>
        <w:rPr>
          <w:rFonts w:ascii="宋体" w:hAnsi="宋体"/>
          <w:bCs w:val="0"/>
          <w:color w:val="auto"/>
          <w:sz w:val="24"/>
          <w:szCs w:val="24"/>
          <w:highlight w:val="none"/>
          <w:shd w:val="clear" w:color="auto" w:fill="auto"/>
        </w:rPr>
        <w:t>24．争议的解决</w:t>
      </w:r>
      <w:bookmarkEnd w:id="359"/>
      <w:bookmarkEnd w:id="3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1" w:name="_Toc189386255"/>
      <w:r>
        <w:rPr>
          <w:rFonts w:ascii="宋体" w:hAnsi="宋体"/>
          <w:b/>
          <w:bCs/>
          <w:color w:val="auto"/>
          <w:kern w:val="0"/>
          <w:sz w:val="24"/>
          <w:highlight w:val="none"/>
          <w:shd w:val="clear" w:color="auto" w:fill="auto"/>
        </w:rPr>
        <w:t>24.1争议的解决方式</w:t>
      </w:r>
      <w:bookmarkEnd w:id="3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2" w:name="_Toc189386256"/>
      <w:bookmarkStart w:id="363" w:name="_Toc511318181"/>
      <w:r>
        <w:rPr>
          <w:rFonts w:ascii="宋体" w:hAnsi="宋体"/>
          <w:b/>
          <w:bCs/>
          <w:color w:val="auto"/>
          <w:kern w:val="0"/>
          <w:sz w:val="24"/>
          <w:highlight w:val="none"/>
          <w:shd w:val="clear" w:color="auto" w:fill="auto"/>
        </w:rPr>
        <w:t>24.2 友好解决</w:t>
      </w:r>
      <w:bookmarkEnd w:id="362"/>
      <w:bookmarkEnd w:id="3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4" w:name="_Toc511318182"/>
      <w:bookmarkStart w:id="365" w:name="_Toc189386257"/>
      <w:r>
        <w:rPr>
          <w:rFonts w:ascii="宋体" w:hAnsi="宋体"/>
          <w:b/>
          <w:bCs/>
          <w:color w:val="auto"/>
          <w:kern w:val="0"/>
          <w:sz w:val="24"/>
          <w:highlight w:val="none"/>
          <w:shd w:val="clear" w:color="auto" w:fill="auto"/>
        </w:rPr>
        <w:t>24.3 争议评审</w:t>
      </w:r>
      <w:bookmarkEnd w:id="364"/>
      <w:bookmarkEnd w:id="3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6" w:name="_Toc511318183"/>
      <w:r>
        <w:rPr>
          <w:rFonts w:ascii="宋体" w:hAnsi="宋体"/>
          <w:b/>
          <w:bCs/>
          <w:color w:val="auto"/>
          <w:kern w:val="0"/>
          <w:sz w:val="24"/>
          <w:highlight w:val="none"/>
          <w:shd w:val="clear" w:color="auto" w:fill="auto"/>
        </w:rPr>
        <w:t>24.4  仲裁</w:t>
      </w:r>
      <w:bookmarkEnd w:id="36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7"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7"/>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8" w:name="_Toc76056691"/>
      <w:r>
        <w:rPr>
          <w:rFonts w:ascii="宋体" w:hAnsi="宋体"/>
          <w:bCs w:val="0"/>
          <w:color w:val="auto"/>
          <w:sz w:val="24"/>
          <w:szCs w:val="24"/>
          <w:highlight w:val="none"/>
          <w:shd w:val="clear" w:color="auto" w:fill="auto"/>
        </w:rPr>
        <w:t>1．一般约定</w:t>
      </w:r>
      <w:bookmarkEnd w:id="3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2"/>
      <w:r>
        <w:rPr>
          <w:rFonts w:ascii="宋体" w:hAnsi="宋体"/>
          <w:bCs w:val="0"/>
          <w:color w:val="auto"/>
          <w:sz w:val="24"/>
          <w:szCs w:val="24"/>
          <w:highlight w:val="none"/>
          <w:shd w:val="clear" w:color="auto" w:fill="auto"/>
        </w:rPr>
        <w:t>2．发包人义务</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6"/>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3"/>
      <w:r>
        <w:rPr>
          <w:rFonts w:ascii="宋体" w:hAnsi="宋体"/>
          <w:bCs w:val="0"/>
          <w:color w:val="auto"/>
          <w:sz w:val="24"/>
          <w:szCs w:val="24"/>
          <w:highlight w:val="none"/>
          <w:shd w:val="clear" w:color="auto" w:fill="auto"/>
        </w:rPr>
        <w:t>3．监理人</w:t>
      </w:r>
      <w:bookmarkEnd w:id="37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4"/>
      <w:r>
        <w:rPr>
          <w:rFonts w:ascii="宋体" w:hAnsi="宋体"/>
          <w:bCs w:val="0"/>
          <w:color w:val="auto"/>
          <w:sz w:val="24"/>
          <w:szCs w:val="24"/>
          <w:highlight w:val="none"/>
          <w:shd w:val="clear" w:color="auto" w:fill="auto"/>
        </w:rPr>
        <w:t>4．承包人</w:t>
      </w:r>
      <w:bookmarkEnd w:id="371"/>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9"/>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5"/>
      <w:r>
        <w:rPr>
          <w:rFonts w:ascii="宋体" w:hAnsi="宋体"/>
          <w:bCs w:val="0"/>
          <w:color w:val="auto"/>
          <w:sz w:val="24"/>
          <w:szCs w:val="24"/>
          <w:highlight w:val="none"/>
          <w:shd w:val="clear" w:color="auto" w:fill="auto"/>
        </w:rPr>
        <w:t>5．材料和工程设备</w:t>
      </w:r>
      <w:bookmarkEnd w:id="372"/>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6"/>
      <w:r>
        <w:rPr>
          <w:rFonts w:ascii="宋体" w:hAnsi="宋体"/>
          <w:bCs w:val="0"/>
          <w:color w:val="auto"/>
          <w:sz w:val="24"/>
          <w:szCs w:val="24"/>
          <w:highlight w:val="none"/>
          <w:shd w:val="clear" w:color="auto" w:fill="auto"/>
        </w:rPr>
        <w:t>6．施工设备和临时设施</w:t>
      </w:r>
      <w:bookmarkEnd w:id="373"/>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8"/>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7"/>
      <w:r>
        <w:rPr>
          <w:rFonts w:ascii="宋体" w:hAnsi="宋体"/>
          <w:bCs w:val="0"/>
          <w:color w:val="auto"/>
          <w:sz w:val="24"/>
          <w:szCs w:val="24"/>
          <w:highlight w:val="none"/>
          <w:shd w:val="clear" w:color="auto" w:fill="auto"/>
        </w:rPr>
        <w:t>7．交通运输</w:t>
      </w:r>
      <w:bookmarkEnd w:id="374"/>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8"/>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8"/>
      <w:r>
        <w:rPr>
          <w:rFonts w:ascii="宋体" w:hAnsi="宋体"/>
          <w:bCs w:val="0"/>
          <w:color w:val="auto"/>
          <w:sz w:val="24"/>
          <w:szCs w:val="24"/>
          <w:highlight w:val="none"/>
          <w:shd w:val="clear" w:color="auto" w:fill="auto"/>
        </w:rPr>
        <w:t>8．测量放线</w:t>
      </w:r>
      <w:bookmarkEnd w:id="375"/>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8"/>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699"/>
      <w:r>
        <w:rPr>
          <w:rFonts w:ascii="宋体" w:hAnsi="宋体"/>
          <w:bCs w:val="0"/>
          <w:color w:val="auto"/>
          <w:sz w:val="24"/>
          <w:szCs w:val="24"/>
          <w:highlight w:val="none"/>
          <w:shd w:val="clear" w:color="auto" w:fill="auto"/>
        </w:rPr>
        <w:t>9．施工安全、治安保卫和环境保护</w:t>
      </w:r>
      <w:bookmarkEnd w:id="376"/>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7" w:name="_Toc76056700"/>
      <w:r>
        <w:rPr>
          <w:rFonts w:ascii="宋体" w:hAnsi="宋体"/>
          <w:bCs w:val="0"/>
          <w:color w:val="auto"/>
          <w:sz w:val="24"/>
          <w:szCs w:val="24"/>
          <w:highlight w:val="none"/>
          <w:shd w:val="clear" w:color="auto" w:fill="auto"/>
        </w:rPr>
        <w:t>11．开工和竣工（完工）</w:t>
      </w:r>
      <w:bookmarkEnd w:id="377"/>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8" w:name="_Toc76056701"/>
      <w:r>
        <w:rPr>
          <w:rFonts w:ascii="宋体" w:hAnsi="宋体"/>
          <w:b w:val="0"/>
          <w:bCs w:val="0"/>
          <w:color w:val="auto"/>
          <w:sz w:val="24"/>
          <w:szCs w:val="24"/>
          <w:highlight w:val="none"/>
          <w:shd w:val="clear" w:color="auto" w:fill="auto"/>
        </w:rPr>
        <w:t>12．暂停施工</w:t>
      </w:r>
      <w:bookmarkEnd w:id="378"/>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9" w:name="_Toc76056702"/>
      <w:r>
        <w:rPr>
          <w:rFonts w:ascii="宋体" w:hAnsi="宋体"/>
          <w:bCs w:val="0"/>
          <w:color w:val="auto"/>
          <w:sz w:val="24"/>
          <w:szCs w:val="24"/>
          <w:highlight w:val="none"/>
          <w:shd w:val="clear" w:color="auto" w:fill="auto"/>
        </w:rPr>
        <w:t>13．工程质量</w:t>
      </w:r>
      <w:bookmarkEnd w:id="379"/>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3"/>
      <w:r>
        <w:rPr>
          <w:rFonts w:ascii="宋体" w:hAnsi="宋体"/>
          <w:bCs w:val="0"/>
          <w:color w:val="auto"/>
          <w:sz w:val="24"/>
          <w:szCs w:val="24"/>
          <w:highlight w:val="none"/>
          <w:shd w:val="clear" w:color="auto" w:fill="auto"/>
        </w:rPr>
        <w:t>14．试验和检验</w:t>
      </w:r>
      <w:bookmarkEnd w:id="380"/>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4"/>
      <w:r>
        <w:rPr>
          <w:rFonts w:ascii="宋体" w:hAnsi="宋体"/>
          <w:bCs w:val="0"/>
          <w:color w:val="auto"/>
          <w:sz w:val="24"/>
          <w:szCs w:val="24"/>
          <w:highlight w:val="none"/>
          <w:shd w:val="clear" w:color="auto" w:fill="auto"/>
        </w:rPr>
        <w:t>15．变更</w:t>
      </w:r>
      <w:bookmarkEnd w:id="381"/>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5"/>
      <w:r>
        <w:rPr>
          <w:rFonts w:ascii="宋体" w:hAnsi="宋体"/>
          <w:bCs w:val="0"/>
          <w:color w:val="auto"/>
          <w:sz w:val="24"/>
          <w:szCs w:val="24"/>
          <w:highlight w:val="none"/>
          <w:shd w:val="clear" w:color="auto" w:fill="auto"/>
        </w:rPr>
        <w:t>16．价格调整</w:t>
      </w:r>
      <w:bookmarkEnd w:id="3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3" w:name="_Toc76056706"/>
      <w:r>
        <w:rPr>
          <w:rFonts w:ascii="宋体" w:hAnsi="宋体"/>
          <w:bCs w:val="0"/>
          <w:color w:val="auto"/>
          <w:sz w:val="24"/>
          <w:szCs w:val="24"/>
          <w:highlight w:val="none"/>
          <w:shd w:val="clear" w:color="auto" w:fill="auto"/>
        </w:rPr>
        <w:t>17．计量与支付</w:t>
      </w:r>
      <w:bookmarkEnd w:id="383"/>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4" w:name="_Toc511318201"/>
      <w:r>
        <w:rPr>
          <w:rFonts w:ascii="宋体" w:hAnsi="宋体"/>
          <w:b/>
          <w:bCs/>
          <w:color w:val="auto"/>
          <w:sz w:val="24"/>
          <w:highlight w:val="none"/>
          <w:shd w:val="clear" w:color="auto" w:fill="auto"/>
        </w:rPr>
        <w:t>17.1 计量</w:t>
      </w:r>
      <w:bookmarkEnd w:id="384"/>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14"/>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8"/>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5" w:name="_Toc76056707"/>
      <w:r>
        <w:rPr>
          <w:rFonts w:ascii="宋体" w:hAnsi="宋体"/>
          <w:b w:val="0"/>
          <w:bCs w:val="0"/>
          <w:color w:val="auto"/>
          <w:sz w:val="24"/>
          <w:szCs w:val="24"/>
          <w:highlight w:val="none"/>
          <w:shd w:val="clear" w:color="auto" w:fill="auto"/>
        </w:rPr>
        <w:t>18．竣工验收（验收）</w:t>
      </w:r>
      <w:bookmarkEnd w:id="385"/>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6" w:name="_Toc76056708"/>
      <w:r>
        <w:rPr>
          <w:rFonts w:ascii="宋体" w:hAnsi="宋体"/>
          <w:bCs w:val="0"/>
          <w:color w:val="auto"/>
          <w:sz w:val="24"/>
          <w:szCs w:val="24"/>
          <w:highlight w:val="none"/>
          <w:shd w:val="clear" w:color="auto" w:fill="auto"/>
        </w:rPr>
        <w:t>19．缺陷责任与保修责任</w:t>
      </w:r>
      <w:bookmarkEnd w:id="386"/>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9"/>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8"/>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7" w:name="_Toc76056709"/>
      <w:r>
        <w:rPr>
          <w:rFonts w:ascii="宋体" w:hAnsi="宋体"/>
          <w:bCs w:val="0"/>
          <w:color w:val="auto"/>
          <w:sz w:val="24"/>
          <w:szCs w:val="24"/>
          <w:highlight w:val="none"/>
          <w:shd w:val="clear" w:color="auto" w:fill="auto"/>
        </w:rPr>
        <w:t>20．保险</w:t>
      </w:r>
      <w:bookmarkEnd w:id="387"/>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8" w:name="_Toc511318205"/>
      <w:r>
        <w:rPr>
          <w:rFonts w:ascii="宋体" w:hAnsi="宋体"/>
          <w:color w:val="auto"/>
          <w:sz w:val="24"/>
          <w:highlight w:val="none"/>
          <w:shd w:val="clear" w:color="auto" w:fill="auto"/>
        </w:rPr>
        <w:t>20.6.1  保险凭证</w:t>
      </w:r>
      <w:bookmarkEnd w:id="388"/>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6"/>
        <w:autoSpaceDE/>
        <w:autoSpaceDN/>
        <w:adjustRightInd/>
        <w:spacing w:line="312" w:lineRule="auto"/>
        <w:jc w:val="both"/>
        <w:rPr>
          <w:rFonts w:hAnsi="宋体" w:cs="Times New Roman"/>
          <w:color w:val="000000"/>
        </w:rPr>
      </w:pPr>
    </w:p>
    <w:p>
      <w:pPr>
        <w:pStyle w:val="44"/>
      </w:pPr>
    </w:p>
    <w:p>
      <w:pPr>
        <w:pStyle w:val="44"/>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pStyle w:val="14"/>
        <w:rPr>
          <w:rFonts w:ascii="黑体" w:hAnsi="黑体" w:eastAsia="黑体" w:cs="仿宋"/>
          <w:b/>
          <w:color w:val="000000"/>
          <w:sz w:val="36"/>
          <w:szCs w:val="36"/>
          <w:highlight w:val="yellow"/>
        </w:rPr>
      </w:pPr>
    </w:p>
    <w:p>
      <w:pPr>
        <w:pStyle w:val="14"/>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89" w:name="_Toc27615"/>
    </w:p>
    <w:bookmarkEnd w:id="389"/>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hint="eastAsia" w:ascii="宋体" w:hAnsi="宋体" w:eastAsia="宋体" w:cs="宋体"/>
          <w:sz w:val="24"/>
          <w:szCs w:val="24"/>
          <w:lang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w:t>
      </w:r>
      <w:r>
        <w:rPr>
          <w:rFonts w:hint="eastAsia" w:ascii="宋体" w:hAnsi="宋体" w:eastAsia="宋体" w:cs="宋体"/>
          <w:kern w:val="2"/>
          <w:sz w:val="24"/>
          <w:szCs w:val="24"/>
        </w:rPr>
        <w:t>岳阳城陵矶</w:t>
      </w:r>
      <w:r>
        <w:rPr>
          <w:rFonts w:hint="eastAsia" w:ascii="宋体" w:hAnsi="宋体" w:eastAsia="宋体" w:cs="宋体"/>
          <w:kern w:val="2"/>
          <w:sz w:val="24"/>
          <w:szCs w:val="24"/>
          <w:lang w:eastAsia="zh-CN"/>
        </w:rPr>
        <w:t>危险品储运有限公司</w:t>
      </w:r>
      <w:r>
        <w:rPr>
          <w:rFonts w:hint="eastAsia" w:ascii="宋体" w:hAnsi="宋体" w:eastAsia="宋体" w:cs="宋体"/>
          <w:kern w:val="2"/>
          <w:sz w:val="24"/>
          <w:szCs w:val="24"/>
          <w:lang w:val="en-US" w:eastAsia="zh-CN"/>
        </w:rPr>
        <w:t>港口装卸辅助劳务外包</w:t>
      </w:r>
      <w:r>
        <w:rPr>
          <w:rFonts w:hint="eastAsia" w:ascii="宋体" w:hAnsi="宋体" w:eastAsia="宋体" w:cs="宋体"/>
          <w:kern w:val="2"/>
          <w:sz w:val="24"/>
          <w:szCs w:val="24"/>
          <w:lang w:eastAsia="zh-CN"/>
        </w:rPr>
        <w:t>项目</w:t>
      </w:r>
    </w:p>
    <w:p>
      <w:pPr>
        <w:adjustRightInd w:val="0"/>
        <w:snapToGrid w:val="0"/>
        <w:spacing w:line="312" w:lineRule="auto"/>
        <w:ind w:firstLine="240" w:firstLineChars="1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val="en-US" w:eastAsia="zh-CN"/>
        </w:rPr>
        <w:t>：工程已经具备开工条件</w:t>
      </w:r>
    </w:p>
    <w:p>
      <w:pPr>
        <w:pStyle w:val="44"/>
        <w:ind w:left="0" w:leftChars="0" w:firstLine="240" w:firstLineChars="10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val="en-US" w:eastAsia="zh-CN"/>
        </w:rPr>
        <w:t>：</w:t>
      </w:r>
      <w:r>
        <w:rPr>
          <w:rFonts w:hint="eastAsia" w:ascii="宋体" w:hAnsi="宋体" w:eastAsia="宋体" w:cs="宋体"/>
          <w:bCs/>
          <w:sz w:val="24"/>
          <w:szCs w:val="24"/>
          <w:lang w:eastAsia="zh-CN"/>
        </w:rPr>
        <w:t>岳阳城陵矶危险品储运有限公司为湖南省港务集团有限公司的控股子公司。是湖南省唯一一家危险品储运公司。公司主营危险品货物运输、储存、装卸以及国内外中转、多式联运等业务。具有烟花爆竹、危化品等180多种危险货物作业资质。公司堆场占地55.8亩，设有烟花爆竹集装箱堆场和其他危化品集装箱堆场及烟花爆竹、危险品查验堆场，设计年吞吐能力6.7万标箱。配有2台场桥以及叉车等流动机械，拥有现代化的生产管理系统，电子闸口、海关监管查验区等相关设施。</w:t>
      </w:r>
      <w:r>
        <w:rPr>
          <w:rFonts w:hint="eastAsia" w:ascii="宋体" w:hAnsi="宋体" w:eastAsia="宋体" w:cs="宋体"/>
          <w:bCs w:val="0"/>
          <w:color w:val="auto"/>
          <w:sz w:val="24"/>
          <w:szCs w:val="24"/>
          <w:highlight w:val="none"/>
          <w:u w:val="none"/>
          <w:lang w:val="en-US" w:eastAsia="zh-CN"/>
        </w:rPr>
        <w:t>岳阳城陵矶危险品储运有限公司集装箱货物装卸辅助业务，场地清扫等需要劳务人员辅助配合的作业。未来壹年预计箱量</w:t>
      </w:r>
      <w:r>
        <w:rPr>
          <w:rFonts w:hint="eastAsia" w:ascii="宋体" w:hAnsi="宋体" w:cs="宋体"/>
          <w:bCs w:val="0"/>
          <w:color w:val="auto"/>
          <w:sz w:val="24"/>
          <w:szCs w:val="24"/>
          <w:highlight w:val="none"/>
          <w:u w:val="none"/>
          <w:lang w:val="en-US" w:eastAsia="zh-CN"/>
        </w:rPr>
        <w:t>2000至3000自然</w:t>
      </w:r>
      <w:r>
        <w:rPr>
          <w:rFonts w:hint="eastAsia" w:ascii="宋体" w:hAnsi="宋体" w:eastAsia="宋体" w:cs="宋体"/>
          <w:bCs w:val="0"/>
          <w:color w:val="auto"/>
          <w:sz w:val="24"/>
          <w:szCs w:val="24"/>
          <w:highlight w:val="none"/>
          <w:u w:val="none"/>
          <w:lang w:val="en-US" w:eastAsia="zh-CN"/>
        </w:rPr>
        <w:t>箱。</w:t>
      </w:r>
    </w:p>
    <w:p>
      <w:pPr>
        <w:pageBreakBefore w:val="0"/>
        <w:widowControl/>
        <w:kinsoku/>
        <w:wordWrap/>
        <w:overflowPunct/>
        <w:topLinePunct w:val="0"/>
        <w:autoSpaceDE w:val="0"/>
        <w:autoSpaceDN/>
        <w:bidi w:val="0"/>
        <w:adjustRightInd/>
        <w:snapToGrid/>
        <w:spacing w:line="360" w:lineRule="auto"/>
        <w:ind w:firstLine="240" w:firstLineChars="100"/>
        <w:textAlignment w:val="auto"/>
        <w:rPr>
          <w:rFonts w:hint="eastAsia" w:ascii="宋体" w:hAnsi="宋体"/>
          <w:color w:val="auto"/>
          <w:sz w:val="24"/>
          <w:shd w:val="clear" w:color="auto" w:fill="auto"/>
          <w:lang w:eastAsia="zh-CN"/>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w:t>
      </w:r>
      <w:r>
        <w:rPr>
          <w:rFonts w:hint="eastAsia" w:ascii="宋体" w:hAnsi="宋体" w:eastAsia="宋体" w:cs="宋体"/>
          <w:bCs w:val="0"/>
          <w:color w:val="auto"/>
          <w:sz w:val="24"/>
          <w:szCs w:val="24"/>
          <w:highlight w:val="none"/>
          <w:u w:val="none"/>
          <w:lang w:val="en-US" w:eastAsia="zh-CN"/>
        </w:rPr>
        <w:t>岳阳城陵矶危险品储运有限公司集装箱货物装卸辅助业务，开箱门、配合叉车挂袋</w:t>
      </w:r>
      <w:r>
        <w:rPr>
          <w:rFonts w:hint="eastAsia" w:ascii="宋体" w:hAnsi="宋体" w:cs="宋体"/>
          <w:bCs w:val="0"/>
          <w:color w:val="auto"/>
          <w:sz w:val="24"/>
          <w:szCs w:val="24"/>
          <w:highlight w:val="none"/>
          <w:u w:val="none"/>
          <w:lang w:val="en-US" w:eastAsia="zh-CN"/>
        </w:rPr>
        <w:t>、清理作业现场卫生</w:t>
      </w:r>
      <w:r>
        <w:rPr>
          <w:rFonts w:hint="eastAsia" w:ascii="宋体" w:hAnsi="宋体" w:eastAsia="宋体" w:cs="宋体"/>
          <w:bCs w:val="0"/>
          <w:color w:val="auto"/>
          <w:sz w:val="24"/>
          <w:szCs w:val="24"/>
          <w:highlight w:val="none"/>
          <w:u w:val="none"/>
          <w:lang w:val="en-US" w:eastAsia="zh-CN"/>
        </w:rPr>
        <w:t>、清扫集装箱（撕危标、破包包扎、清理危废、清扫后拖去粉尘等）等需要劳务人员辅助配合的作业</w:t>
      </w:r>
      <w:r>
        <w:rPr>
          <w:rFonts w:hint="eastAsia" w:ascii="宋体" w:hAnsi="宋体" w:cs="宋体"/>
          <w:bCs w:val="0"/>
          <w:color w:val="auto"/>
          <w:sz w:val="24"/>
          <w:szCs w:val="24"/>
          <w:highlight w:val="none"/>
          <w:u w:val="none"/>
          <w:lang w:val="en-US" w:eastAsia="zh-CN"/>
        </w:rPr>
        <w:t>（</w:t>
      </w:r>
      <w:r>
        <w:rPr>
          <w:rFonts w:hint="eastAsia" w:ascii="宋体" w:hAnsi="宋体" w:eastAsia="宋体" w:cs="宋体"/>
          <w:bCs w:val="0"/>
          <w:color w:val="auto"/>
          <w:sz w:val="24"/>
          <w:szCs w:val="24"/>
          <w:highlight w:val="none"/>
          <w:u w:val="none"/>
          <w:lang w:val="en-US" w:eastAsia="zh-CN"/>
        </w:rPr>
        <w:t>相关作业工具自备</w:t>
      </w:r>
      <w:r>
        <w:rPr>
          <w:rFonts w:hint="eastAsia" w:ascii="宋体" w:hAnsi="宋体" w:cs="宋体"/>
          <w:bCs w:val="0"/>
          <w:color w:val="auto"/>
          <w:sz w:val="24"/>
          <w:szCs w:val="24"/>
          <w:highlight w:val="none"/>
          <w:u w:val="none"/>
          <w:lang w:val="en-US" w:eastAsia="zh-CN"/>
        </w:rPr>
        <w:t>）</w:t>
      </w:r>
      <w:r>
        <w:rPr>
          <w:rFonts w:hint="eastAsia" w:ascii="宋体" w:hAnsi="宋体" w:eastAsia="宋体" w:cs="宋体"/>
          <w:bCs w:val="0"/>
          <w:color w:val="auto"/>
          <w:sz w:val="24"/>
          <w:szCs w:val="24"/>
          <w:highlight w:val="none"/>
          <w:u w:val="none"/>
          <w:lang w:val="en-US" w:eastAsia="zh-CN"/>
        </w:rPr>
        <w:t>。未来壹年预计箱量</w:t>
      </w:r>
      <w:r>
        <w:rPr>
          <w:rFonts w:hint="eastAsia" w:ascii="宋体" w:hAnsi="宋体" w:cs="宋体"/>
          <w:bCs w:val="0"/>
          <w:color w:val="auto"/>
          <w:sz w:val="24"/>
          <w:szCs w:val="24"/>
          <w:highlight w:val="none"/>
          <w:u w:val="none"/>
          <w:lang w:val="en-US" w:eastAsia="zh-CN"/>
        </w:rPr>
        <w:t>2000至3000自然</w:t>
      </w:r>
      <w:r>
        <w:rPr>
          <w:rFonts w:hint="eastAsia" w:ascii="宋体" w:hAnsi="宋体" w:eastAsia="宋体" w:cs="宋体"/>
          <w:bCs w:val="0"/>
          <w:color w:val="auto"/>
          <w:sz w:val="24"/>
          <w:szCs w:val="24"/>
          <w:highlight w:val="none"/>
          <w:u w:val="none"/>
          <w:lang w:val="en-US" w:eastAsia="zh-CN"/>
        </w:rPr>
        <w:t>箱</w:t>
      </w:r>
      <w:r>
        <w:rPr>
          <w:rFonts w:hint="eastAsia" w:ascii="宋体" w:hAnsi="宋体"/>
          <w:sz w:val="24"/>
        </w:rPr>
        <w:t>。</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val="en-US" w:eastAsia="zh-CN"/>
        </w:rPr>
        <w:t>;见附件工程明细表。</w:t>
      </w:r>
    </w:p>
    <w:p>
      <w:pPr>
        <w:adjustRightInd w:val="0"/>
        <w:snapToGrid w:val="0"/>
        <w:spacing w:line="312" w:lineRule="auto"/>
        <w:ind w:firstLine="240" w:firstLineChars="100"/>
        <w:rPr>
          <w:rFonts w:hint="eastAsia" w:ascii="宋体" w:hAnsi="宋体"/>
          <w:color w:val="auto"/>
          <w:sz w:val="24"/>
          <w:highlight w:val="yellow"/>
          <w:shd w:val="clear" w:color="auto" w:fill="auto"/>
          <w:lang w:val="en-US" w:eastAsia="zh-CN"/>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工期及质量要求</w:t>
      </w:r>
      <w:r>
        <w:rPr>
          <w:rFonts w:hint="eastAsia" w:ascii="宋体" w:hAnsi="宋体"/>
          <w:color w:val="auto"/>
          <w:sz w:val="24"/>
          <w:highlight w:val="none"/>
          <w:shd w:val="clear" w:color="auto" w:fill="auto"/>
          <w:lang w:eastAsia="zh-CN"/>
        </w:rPr>
        <w:t>：</w:t>
      </w:r>
      <w:r>
        <w:rPr>
          <w:rFonts w:hint="eastAsia" w:ascii="宋体" w:hAnsi="宋体" w:eastAsia="宋体" w:cs="宋体"/>
          <w:color w:val="auto"/>
          <w:sz w:val="24"/>
          <w:szCs w:val="24"/>
        </w:rPr>
        <w:t>合同签订之日起，有效期</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r>
        <w:rPr>
          <w:rFonts w:hint="eastAsia" w:ascii="宋体" w:hAnsi="宋体"/>
          <w:color w:val="auto"/>
          <w:sz w:val="24"/>
          <w:highlight w:val="none"/>
          <w:shd w:val="clear" w:color="auto" w:fill="auto"/>
          <w:lang w:val="en-US" w:eastAsia="zh-CN"/>
        </w:rPr>
        <w:t xml:space="preserve"> </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p>
      <w:pPr>
        <w:pStyle w:val="14"/>
        <w:rPr>
          <w:rFonts w:hint="eastAsia" w:ascii="宋体" w:hAnsi="宋体" w:eastAsia="宋体" w:cs="宋体"/>
          <w:b/>
          <w:bCs/>
          <w:i w:val="0"/>
          <w:iCs w:val="0"/>
          <w:color w:val="000000"/>
          <w:kern w:val="0"/>
          <w:sz w:val="24"/>
          <w:szCs w:val="24"/>
          <w:u w:val="none"/>
          <w:lang w:val="en-US" w:eastAsia="zh-CN" w:bidi="ar"/>
        </w:rPr>
      </w:pPr>
    </w:p>
    <w:tbl>
      <w:tblPr>
        <w:tblStyle w:val="45"/>
        <w:tblW w:w="9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1483"/>
        <w:gridCol w:w="2705"/>
        <w:gridCol w:w="301"/>
        <w:gridCol w:w="541"/>
        <w:gridCol w:w="1235"/>
        <w:gridCol w:w="1338"/>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406" w:type="dxa"/>
          <w:trHeight w:val="546" w:hRule="atLeast"/>
        </w:trPr>
        <w:tc>
          <w:tcPr>
            <w:tcW w:w="5045" w:type="dxa"/>
            <w:gridSpan w:val="4"/>
            <w:tcBorders>
              <w:top w:val="nil"/>
              <w:left w:val="nil"/>
              <w:bottom w:val="nil"/>
              <w:right w:val="nil"/>
            </w:tcBorders>
            <w:shd w:val="clear" w:color="FFFFFF" w:fill="FFFFFF"/>
            <w:vAlign w:val="center"/>
          </w:tcPr>
          <w:p>
            <w:pPr>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kern w:val="2"/>
                <w:sz w:val="20"/>
                <w:szCs w:val="20"/>
                <w:lang w:val="en-US" w:eastAsia="zh-CN"/>
              </w:rPr>
              <w:t>港口装卸辅助劳务外包项目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5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8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84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计算式</w:t>
            </w:r>
          </w:p>
        </w:tc>
        <w:tc>
          <w:tcPr>
            <w:tcW w:w="1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6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5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4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55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港口装卸辅助劳务外包</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开箱门、配合叉车挂袋、清扫集装箱（撕危标、破包包扎、清理危废、清扫后拖去粉尘等）</w:t>
            </w:r>
            <w:r>
              <w:rPr>
                <w:rFonts w:hint="eastAsia" w:ascii="宋体" w:hAnsi="宋体" w:cs="宋体"/>
                <w:i w:val="0"/>
                <w:iCs w:val="0"/>
                <w:color w:val="000000"/>
                <w:kern w:val="0"/>
                <w:sz w:val="20"/>
                <w:szCs w:val="20"/>
                <w:u w:val="none"/>
                <w:lang w:val="en-US" w:eastAsia="zh-CN" w:bidi="ar"/>
              </w:rPr>
              <w:t>,相关作业工具自备</w:t>
            </w:r>
          </w:p>
        </w:tc>
        <w:tc>
          <w:tcPr>
            <w:tcW w:w="8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箱</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ind w:left="420" w:leftChars="200" w:firstLine="0" w:firstLineChars="0"/>
              <w:jc w:val="center"/>
              <w:rPr>
                <w:rFonts w:hint="eastAsia" w:ascii="宋体" w:hAnsi="宋体" w:eastAsia="宋体" w:cs="宋体"/>
                <w:i w:val="0"/>
                <w:iCs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pStyle w:val="14"/>
        <w:rPr>
          <w:rFonts w:hint="eastAsia" w:ascii="宋体" w:hAnsi="宋体" w:eastAsia="宋体" w:cs="宋体"/>
          <w:b/>
          <w:bCs/>
          <w:i w:val="0"/>
          <w:iCs w:val="0"/>
          <w:color w:val="000000"/>
          <w:kern w:val="0"/>
          <w:sz w:val="24"/>
          <w:szCs w:val="24"/>
          <w:u w:val="none"/>
          <w:lang w:val="en-US" w:eastAsia="zh-CN" w:bidi="ar"/>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eastAsia="zh-CN"/>
        </w:rPr>
      </w:pPr>
      <w:r>
        <w:rPr>
          <w:rFonts w:hint="eastAsia"/>
          <w:sz w:val="24"/>
          <w:highlight w:val="none"/>
          <w:lang w:val="en-US" w:eastAsia="zh-CN"/>
        </w:rPr>
        <w:t>五、</w:t>
      </w:r>
      <w:r>
        <w:rPr>
          <w:rFonts w:hint="default"/>
          <w:sz w:val="24"/>
          <w:highlight w:val="none"/>
        </w:rPr>
        <w:t>工期</w:t>
      </w:r>
      <w:r>
        <w:rPr>
          <w:rFonts w:hint="eastAsia"/>
          <w:sz w:val="24"/>
          <w:highlight w:val="none"/>
          <w:lang w:eastAsia="zh-CN"/>
        </w:rPr>
        <w:t>要求</w:t>
      </w:r>
      <w:r>
        <w:rPr>
          <w:rFonts w:hint="default"/>
          <w:sz w:val="24"/>
          <w:highlight w:val="none"/>
        </w:rPr>
        <w:t>：</w:t>
      </w:r>
      <w:r>
        <w:rPr>
          <w:rFonts w:hint="eastAsia" w:ascii="宋体" w:hAnsi="宋体" w:eastAsia="宋体" w:cs="宋体"/>
          <w:color w:val="auto"/>
          <w:sz w:val="24"/>
          <w:szCs w:val="24"/>
          <w:highlight w:val="none"/>
        </w:rPr>
        <w:t>合同签订之日起，有效期</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年</w:t>
      </w:r>
      <w:r>
        <w:rPr>
          <w:rFonts w:hint="eastAsia"/>
          <w:sz w:val="24"/>
          <w:highlight w:val="none"/>
          <w:lang w:eastAsia="zh-CN"/>
        </w:rPr>
        <w:t>。</w:t>
      </w: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90" w:name="_Toc15194"/>
      <w:r>
        <w:rPr>
          <w:rFonts w:hint="eastAsia" w:ascii="黑体" w:hAnsi="黑体" w:eastAsia="黑体" w:cs="仿宋"/>
          <w:b/>
          <w:color w:val="000000"/>
          <w:sz w:val="36"/>
          <w:szCs w:val="36"/>
        </w:rPr>
        <w:t>第六章  响应文件格式</w:t>
      </w:r>
      <w:bookmarkEnd w:id="39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1"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1"/>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2" w:name="_Toc14661"/>
      <w:r>
        <w:rPr>
          <w:rFonts w:hint="eastAsia" w:eastAsia="方正小标宋_GBK"/>
          <w:b/>
          <w:bCs/>
          <w:spacing w:val="160"/>
          <w:sz w:val="72"/>
          <w:szCs w:val="72"/>
        </w:rPr>
        <w:t>响应</w:t>
      </w:r>
      <w:r>
        <w:rPr>
          <w:rFonts w:eastAsia="方正小标宋_GBK"/>
          <w:b/>
          <w:bCs/>
          <w:spacing w:val="160"/>
          <w:sz w:val="72"/>
          <w:szCs w:val="72"/>
        </w:rPr>
        <w:t>文件</w:t>
      </w:r>
      <w:bookmarkEnd w:id="39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3"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3"/>
      <w:r>
        <w:rPr>
          <w:rFonts w:eastAsia="黑体"/>
          <w:bCs/>
          <w:sz w:val="30"/>
          <w:szCs w:val="30"/>
          <w:u w:val="single"/>
        </w:rPr>
        <w:t xml:space="preserve"> </w:t>
      </w:r>
    </w:p>
    <w:p>
      <w:pPr>
        <w:spacing w:line="900" w:lineRule="exact"/>
        <w:jc w:val="center"/>
        <w:outlineLvl w:val="0"/>
        <w:rPr>
          <w:rFonts w:eastAsia="黑体"/>
          <w:sz w:val="30"/>
          <w:szCs w:val="30"/>
        </w:rPr>
      </w:pPr>
      <w:bookmarkStart w:id="394"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4"/>
    </w:p>
    <w:p>
      <w:pPr>
        <w:adjustRightInd w:val="0"/>
        <w:snapToGrid w:val="0"/>
        <w:spacing w:line="600" w:lineRule="exact"/>
        <w:jc w:val="center"/>
        <w:outlineLvl w:val="0"/>
        <w:rPr>
          <w:rFonts w:hint="eastAsia" w:ascii="黑体" w:hAnsi="黑体" w:eastAsia="黑体" w:cs="仿宋"/>
          <w:sz w:val="36"/>
          <w:szCs w:val="36"/>
        </w:rPr>
      </w:pPr>
      <w:bookmarkStart w:id="395" w:name="_Toc11324"/>
    </w:p>
    <w:p>
      <w:pPr>
        <w:adjustRightInd w:val="0"/>
        <w:snapToGrid w:val="0"/>
        <w:spacing w:line="600" w:lineRule="exact"/>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5"/>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6" w:name="_Toc1763"/>
      <w:r>
        <w:rPr>
          <w:rFonts w:hint="eastAsia" w:ascii="宋体" w:hAnsi="宋体" w:cs="仿宋"/>
          <w:sz w:val="24"/>
        </w:rPr>
        <w:t>一、响应函</w:t>
      </w:r>
      <w:bookmarkEnd w:id="396"/>
    </w:p>
    <w:p>
      <w:pPr>
        <w:adjustRightInd w:val="0"/>
        <w:snapToGrid w:val="0"/>
        <w:spacing w:line="600" w:lineRule="exact"/>
        <w:jc w:val="both"/>
        <w:outlineLvl w:val="0"/>
        <w:rPr>
          <w:rFonts w:ascii="宋体" w:hAnsi="宋体" w:cs="仿宋"/>
          <w:sz w:val="24"/>
        </w:rPr>
      </w:pPr>
      <w:bookmarkStart w:id="397" w:name="_Toc27590"/>
      <w:r>
        <w:rPr>
          <w:rFonts w:hint="eastAsia" w:ascii="宋体" w:hAnsi="宋体" w:cs="仿宋"/>
          <w:sz w:val="24"/>
        </w:rPr>
        <w:t>二、授权委托书(适用于有委托代理人的情况)</w:t>
      </w:r>
      <w:bookmarkEnd w:id="397"/>
    </w:p>
    <w:p>
      <w:pPr>
        <w:adjustRightInd w:val="0"/>
        <w:snapToGrid w:val="0"/>
        <w:spacing w:line="600" w:lineRule="exact"/>
        <w:jc w:val="both"/>
        <w:outlineLvl w:val="0"/>
        <w:rPr>
          <w:rFonts w:ascii="宋体" w:hAnsi="宋体" w:cs="仿宋"/>
          <w:sz w:val="24"/>
        </w:rPr>
      </w:pPr>
      <w:bookmarkStart w:id="398" w:name="_Toc30725"/>
      <w:r>
        <w:rPr>
          <w:rFonts w:hint="eastAsia" w:ascii="宋体" w:hAnsi="宋体" w:cs="仿宋"/>
          <w:sz w:val="24"/>
        </w:rPr>
        <w:t>三、商务和技术偏差表</w:t>
      </w:r>
      <w:bookmarkEnd w:id="398"/>
    </w:p>
    <w:p>
      <w:pPr>
        <w:adjustRightInd w:val="0"/>
        <w:snapToGrid w:val="0"/>
        <w:spacing w:line="600" w:lineRule="exact"/>
        <w:jc w:val="both"/>
        <w:outlineLvl w:val="0"/>
        <w:rPr>
          <w:rFonts w:ascii="宋体" w:hAnsi="宋体" w:cs="仿宋"/>
          <w:sz w:val="24"/>
        </w:rPr>
      </w:pPr>
      <w:bookmarkStart w:id="399" w:name="_Toc5693"/>
      <w:r>
        <w:rPr>
          <w:rFonts w:hint="eastAsia" w:ascii="宋体" w:hAnsi="宋体" w:cs="仿宋"/>
          <w:sz w:val="24"/>
        </w:rPr>
        <w:t>四、报价表</w:t>
      </w:r>
      <w:bookmarkEnd w:id="399"/>
    </w:p>
    <w:p>
      <w:pPr>
        <w:adjustRightInd w:val="0"/>
        <w:snapToGrid w:val="0"/>
        <w:spacing w:line="600" w:lineRule="exact"/>
        <w:jc w:val="both"/>
        <w:outlineLvl w:val="0"/>
        <w:rPr>
          <w:rFonts w:ascii="宋体" w:hAnsi="宋体" w:cs="仿宋"/>
          <w:sz w:val="24"/>
        </w:rPr>
      </w:pPr>
      <w:bookmarkStart w:id="400" w:name="_Toc22440"/>
      <w:r>
        <w:rPr>
          <w:rFonts w:hint="eastAsia" w:ascii="宋体" w:hAnsi="宋体" w:cs="仿宋"/>
          <w:sz w:val="24"/>
        </w:rPr>
        <w:t>五、资格审查资料</w:t>
      </w:r>
      <w:bookmarkEnd w:id="400"/>
    </w:p>
    <w:p>
      <w:pPr>
        <w:adjustRightInd w:val="0"/>
        <w:snapToGrid w:val="0"/>
        <w:spacing w:line="600" w:lineRule="exact"/>
        <w:jc w:val="both"/>
        <w:outlineLvl w:val="0"/>
        <w:rPr>
          <w:rFonts w:ascii="宋体" w:hAnsi="宋体" w:cs="仿宋"/>
          <w:sz w:val="24"/>
        </w:rPr>
      </w:pPr>
      <w:bookmarkStart w:id="401" w:name="_Toc20576"/>
      <w:r>
        <w:rPr>
          <w:rFonts w:hint="eastAsia" w:ascii="宋体" w:hAnsi="宋体" w:cs="仿宋"/>
          <w:sz w:val="24"/>
        </w:rPr>
        <w:t>六、响应方案</w:t>
      </w:r>
      <w:bookmarkEnd w:id="401"/>
    </w:p>
    <w:p>
      <w:pPr>
        <w:adjustRightInd w:val="0"/>
        <w:snapToGrid w:val="0"/>
        <w:spacing w:line="600" w:lineRule="exact"/>
        <w:jc w:val="both"/>
        <w:outlineLvl w:val="0"/>
        <w:rPr>
          <w:rFonts w:ascii="宋体" w:hAnsi="宋体" w:cs="仿宋"/>
          <w:sz w:val="24"/>
        </w:rPr>
      </w:pPr>
      <w:bookmarkStart w:id="402" w:name="_Toc15295"/>
      <w:r>
        <w:rPr>
          <w:rFonts w:hint="eastAsia" w:ascii="宋体" w:hAnsi="宋体" w:cs="仿宋"/>
          <w:sz w:val="24"/>
        </w:rPr>
        <w:t>七、其他资料</w:t>
      </w:r>
      <w:bookmarkEnd w:id="402"/>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3" w:name="_Toc5053"/>
      <w:r>
        <w:rPr>
          <w:rFonts w:hint="eastAsia" w:ascii="黑体" w:hAnsi="黑体" w:eastAsia="黑体" w:cs="仿宋"/>
          <w:sz w:val="36"/>
          <w:szCs w:val="36"/>
        </w:rPr>
        <w:t>响应函</w:t>
      </w:r>
      <w:bookmarkEnd w:id="403"/>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val="en-US"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4" w:name="_Toc11617"/>
      <w:r>
        <w:rPr>
          <w:rFonts w:hint="eastAsia" w:ascii="黑体" w:hAnsi="黑体" w:eastAsia="黑体" w:cs="仿宋"/>
          <w:sz w:val="36"/>
          <w:szCs w:val="36"/>
        </w:rPr>
        <w:t>二、授权委托书</w:t>
      </w:r>
      <w:bookmarkEnd w:id="40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5" w:name="_Toc27596"/>
      <w:r>
        <w:rPr>
          <w:rFonts w:hint="eastAsia" w:ascii="黑体" w:hAnsi="黑体" w:eastAsia="黑体" w:cs="仿宋"/>
          <w:sz w:val="36"/>
          <w:szCs w:val="36"/>
        </w:rPr>
        <w:t>三、商务和技术偏差表</w:t>
      </w:r>
      <w:bookmarkEnd w:id="405"/>
    </w:p>
    <w:p>
      <w:pPr>
        <w:spacing w:line="600" w:lineRule="exact"/>
        <w:jc w:val="center"/>
        <w:rPr>
          <w:rFonts w:cs="仿宋" w:asciiTheme="minorEastAsia" w:hAnsiTheme="minorEastAsia" w:eastAsiaTheme="minorEastAsia"/>
          <w:sz w:val="24"/>
        </w:rPr>
      </w:pP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6" w:name="_Toc32250"/>
      <w:r>
        <w:rPr>
          <w:rFonts w:hint="eastAsia" w:ascii="黑体" w:hAnsi="黑体" w:eastAsia="黑体" w:cs="仿宋"/>
          <w:sz w:val="36"/>
          <w:szCs w:val="36"/>
        </w:rPr>
        <w:t>报价表</w:t>
      </w:r>
      <w:bookmarkEnd w:id="406"/>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7"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7"/>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6"/>
        <w:spacing w:before="0" w:after="0" w:line="380" w:lineRule="atLeast"/>
        <w:jc w:val="both"/>
        <w:rPr>
          <w:rFonts w:asciiTheme="minorEastAsia" w:hAnsiTheme="minorEastAsia" w:eastAsiaTheme="minorEastAsia"/>
          <w:b w:val="0"/>
          <w:sz w:val="24"/>
          <w:szCs w:val="24"/>
        </w:rPr>
      </w:pPr>
      <w:bookmarkStart w:id="408"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8"/>
    </w:p>
    <w:tbl>
      <w:tblPr>
        <w:tblStyle w:val="45"/>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8"/>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8"/>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09" w:name="_Toc14016"/>
      <w:r>
        <w:rPr>
          <w:rFonts w:hint="eastAsia" w:ascii="黑体" w:hAnsi="黑体" w:eastAsia="黑体" w:cs="仿宋"/>
          <w:sz w:val="36"/>
          <w:szCs w:val="36"/>
        </w:rPr>
        <w:t>六、响应方案</w:t>
      </w:r>
      <w:bookmarkEnd w:id="409"/>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10" w:name="_Toc4712"/>
      <w:r>
        <w:rPr>
          <w:rFonts w:hint="eastAsia" w:ascii="黑体" w:hAnsi="黑体" w:eastAsia="黑体" w:cs="仿宋"/>
          <w:sz w:val="36"/>
          <w:szCs w:val="36"/>
        </w:rPr>
        <w:t>七、其他资料</w:t>
      </w:r>
      <w:bookmarkEnd w:id="41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A4A9AD-59E9-473D-9D1A-A0975EC18101}"/>
  </w:font>
  <w:font w:name="黑体">
    <w:panose1 w:val="02010609060101010101"/>
    <w:charset w:val="86"/>
    <w:family w:val="auto"/>
    <w:pitch w:val="default"/>
    <w:sig w:usb0="800002BF" w:usb1="38CF7CFA" w:usb2="00000016" w:usb3="00000000" w:csb0="00040001" w:csb1="00000000"/>
    <w:embedRegular r:id="rId2" w:fontKey="{49E4415C-993A-4736-B1EA-3C71CB8F86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871CAA6D-F951-4282-B82F-76163BA3A81A}"/>
  </w:font>
  <w:font w:name="仿宋_GB2312">
    <w:panose1 w:val="02010609030101010101"/>
    <w:charset w:val="86"/>
    <w:family w:val="modern"/>
    <w:pitch w:val="default"/>
    <w:sig w:usb0="00000001" w:usb1="080E0000" w:usb2="00000000" w:usb3="00000000" w:csb0="00040000" w:csb1="00000000"/>
    <w:embedRegular r:id="rId4" w:fontKey="{303ECDFF-5E77-4F93-902D-2B753C50261E}"/>
  </w:font>
  <w:font w:name="方正小标宋简体">
    <w:panose1 w:val="03000509000000000000"/>
    <w:charset w:val="86"/>
    <w:family w:val="script"/>
    <w:pitch w:val="default"/>
    <w:sig w:usb0="00000001" w:usb1="080E0000" w:usb2="00000000" w:usb3="00000000" w:csb0="00040000" w:csb1="00000000"/>
    <w:embedRegular r:id="rId5" w:fontKey="{ABB56DD8-EDEC-435C-95A8-B03B967FC6A7}"/>
  </w:font>
  <w:font w:name="Wingdings 2">
    <w:panose1 w:val="05020102010507070707"/>
    <w:charset w:val="02"/>
    <w:family w:val="roman"/>
    <w:pitch w:val="default"/>
    <w:sig w:usb0="00000000" w:usb1="00000000" w:usb2="00000000" w:usb3="00000000" w:csb0="80000000" w:csb1="00000000"/>
    <w:embedRegular r:id="rId6" w:fontKey="{AB26429D-66A4-4C84-8A55-3E6363E74E91}"/>
  </w:font>
  <w:font w:name="华文中宋">
    <w:panose1 w:val="02010600040101010101"/>
    <w:charset w:val="86"/>
    <w:family w:val="auto"/>
    <w:pitch w:val="default"/>
    <w:sig w:usb0="00000287" w:usb1="080F0000" w:usb2="00000000" w:usb3="00000000" w:csb0="0004009F" w:csb1="DFD70000"/>
    <w:embedRegular r:id="rId7" w:fontKey="{A2C98780-2159-49C2-B01E-D0CBB575D2EE}"/>
  </w:font>
  <w:font w:name="Cambria Math">
    <w:panose1 w:val="02040503050406030204"/>
    <w:charset w:val="00"/>
    <w:family w:val="roman"/>
    <w:pitch w:val="default"/>
    <w:sig w:usb0="E00006FF" w:usb1="420024FF" w:usb2="02000000" w:usb3="00000000" w:csb0="2000019F" w:csb1="00000000"/>
    <w:embedRegular r:id="rId8" w:fontKey="{DDCD4E3A-5CFB-4CB5-810E-31638F6686CC}"/>
  </w:font>
  <w:font w:name="方正小标宋_GBK">
    <w:panose1 w:val="02000000000000000000"/>
    <w:charset w:val="86"/>
    <w:family w:val="auto"/>
    <w:pitch w:val="default"/>
    <w:sig w:usb0="A00002BF" w:usb1="38CF7CFA" w:usb2="00082016" w:usb3="00000000" w:csb0="00040001" w:csb1="00000000"/>
    <w:embedRegular r:id="rId9" w:fontKey="{16E9B65E-9ACD-4044-9083-30847D82102F}"/>
  </w:font>
  <w:font w:name="楷体_GB2312">
    <w:panose1 w:val="02010609030101010101"/>
    <w:charset w:val="86"/>
    <w:family w:val="modern"/>
    <w:pitch w:val="default"/>
    <w:sig w:usb0="00000001" w:usb1="080E0000" w:usb2="00000000" w:usb3="00000000" w:csb0="00040000" w:csb1="00000000"/>
    <w:embedRegular r:id="rId10" w:fontKey="{BECDE25A-1FB1-41CE-B9D2-D08398BE24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9"/>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9"/>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8"/>
                    </w:pPr>
                  </w:p>
                </w:txbxContent>
              </v:textbox>
            </v:shape>
          </w:pict>
        </mc:Fallback>
      </mc:AlternateContent>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F18AA"/>
    <w:rsid w:val="07DA03A2"/>
    <w:rsid w:val="082E2834"/>
    <w:rsid w:val="08430F2D"/>
    <w:rsid w:val="0882554E"/>
    <w:rsid w:val="08826D5B"/>
    <w:rsid w:val="08876C3D"/>
    <w:rsid w:val="09343645"/>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A554E2"/>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2D50031"/>
    <w:rsid w:val="13692E14"/>
    <w:rsid w:val="136C60D7"/>
    <w:rsid w:val="143222F6"/>
    <w:rsid w:val="145076DA"/>
    <w:rsid w:val="149C34F4"/>
    <w:rsid w:val="14B70C0B"/>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53213F"/>
    <w:rsid w:val="196A4431"/>
    <w:rsid w:val="1A104EBC"/>
    <w:rsid w:val="1ABA20D4"/>
    <w:rsid w:val="1AEE5086"/>
    <w:rsid w:val="1BAF1D5E"/>
    <w:rsid w:val="1C2276D5"/>
    <w:rsid w:val="1C7D1864"/>
    <w:rsid w:val="1D082A55"/>
    <w:rsid w:val="1D5D05DC"/>
    <w:rsid w:val="1DAB68D7"/>
    <w:rsid w:val="1DBB01B3"/>
    <w:rsid w:val="1DC7279C"/>
    <w:rsid w:val="1DEC3661"/>
    <w:rsid w:val="1DF50B6D"/>
    <w:rsid w:val="1E1F3B60"/>
    <w:rsid w:val="1E5803E7"/>
    <w:rsid w:val="1E901304"/>
    <w:rsid w:val="1E924450"/>
    <w:rsid w:val="1F031D0C"/>
    <w:rsid w:val="1F0F644E"/>
    <w:rsid w:val="1F2E0BFF"/>
    <w:rsid w:val="1F833B5F"/>
    <w:rsid w:val="1F9D58D9"/>
    <w:rsid w:val="1FB37BD1"/>
    <w:rsid w:val="1FBF76D7"/>
    <w:rsid w:val="205D54C9"/>
    <w:rsid w:val="20C74047"/>
    <w:rsid w:val="20F56E6A"/>
    <w:rsid w:val="210E5B18"/>
    <w:rsid w:val="212E078A"/>
    <w:rsid w:val="21391930"/>
    <w:rsid w:val="213E3A2F"/>
    <w:rsid w:val="217D4062"/>
    <w:rsid w:val="22CD0ADC"/>
    <w:rsid w:val="23331D17"/>
    <w:rsid w:val="235B5479"/>
    <w:rsid w:val="23A34879"/>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12050F"/>
    <w:rsid w:val="2C6F1CEE"/>
    <w:rsid w:val="2C7F01E4"/>
    <w:rsid w:val="2D101F87"/>
    <w:rsid w:val="2D933C05"/>
    <w:rsid w:val="2DB01F60"/>
    <w:rsid w:val="2DEC6D70"/>
    <w:rsid w:val="2E1E7366"/>
    <w:rsid w:val="2E312601"/>
    <w:rsid w:val="2E41641E"/>
    <w:rsid w:val="2E944985"/>
    <w:rsid w:val="2EA27D4D"/>
    <w:rsid w:val="2EA77EE5"/>
    <w:rsid w:val="2F6261C2"/>
    <w:rsid w:val="2F744DC4"/>
    <w:rsid w:val="2F76578E"/>
    <w:rsid w:val="2F7B1024"/>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315374E"/>
    <w:rsid w:val="339248A7"/>
    <w:rsid w:val="347E184F"/>
    <w:rsid w:val="34874156"/>
    <w:rsid w:val="34B172B3"/>
    <w:rsid w:val="34DC45DC"/>
    <w:rsid w:val="34F111A0"/>
    <w:rsid w:val="35032B89"/>
    <w:rsid w:val="351E6AD6"/>
    <w:rsid w:val="355F0BE9"/>
    <w:rsid w:val="35E068D3"/>
    <w:rsid w:val="36237A11"/>
    <w:rsid w:val="369E5F5A"/>
    <w:rsid w:val="36D57A86"/>
    <w:rsid w:val="36DA0180"/>
    <w:rsid w:val="36EC5253"/>
    <w:rsid w:val="379B30ED"/>
    <w:rsid w:val="379C1B29"/>
    <w:rsid w:val="37B50E0E"/>
    <w:rsid w:val="37D11C68"/>
    <w:rsid w:val="37E36BED"/>
    <w:rsid w:val="3806709E"/>
    <w:rsid w:val="38302D1E"/>
    <w:rsid w:val="38F94373"/>
    <w:rsid w:val="38F94F38"/>
    <w:rsid w:val="390636E6"/>
    <w:rsid w:val="3994570D"/>
    <w:rsid w:val="39C96499"/>
    <w:rsid w:val="3A1D0739"/>
    <w:rsid w:val="3A5E7CCF"/>
    <w:rsid w:val="3AB17686"/>
    <w:rsid w:val="3AF93B99"/>
    <w:rsid w:val="3B1A1435"/>
    <w:rsid w:val="3B2B40CB"/>
    <w:rsid w:val="3B5661B5"/>
    <w:rsid w:val="3B786F8B"/>
    <w:rsid w:val="3C100595"/>
    <w:rsid w:val="3C2F56E7"/>
    <w:rsid w:val="3CCF005B"/>
    <w:rsid w:val="3CD5401F"/>
    <w:rsid w:val="3CE5260A"/>
    <w:rsid w:val="3D461FBA"/>
    <w:rsid w:val="3D5B45EF"/>
    <w:rsid w:val="3DF35B51"/>
    <w:rsid w:val="3F0013D8"/>
    <w:rsid w:val="3F044229"/>
    <w:rsid w:val="3F747742"/>
    <w:rsid w:val="3FB93C81"/>
    <w:rsid w:val="3FEA1C2A"/>
    <w:rsid w:val="402A6B1A"/>
    <w:rsid w:val="405D5DAC"/>
    <w:rsid w:val="407A02DD"/>
    <w:rsid w:val="40C81736"/>
    <w:rsid w:val="40CD665F"/>
    <w:rsid w:val="41A84E5D"/>
    <w:rsid w:val="41CE0EB7"/>
    <w:rsid w:val="42B9360E"/>
    <w:rsid w:val="434A3642"/>
    <w:rsid w:val="439D4A0F"/>
    <w:rsid w:val="43BC1982"/>
    <w:rsid w:val="44553D96"/>
    <w:rsid w:val="44B15282"/>
    <w:rsid w:val="44D14A1F"/>
    <w:rsid w:val="44EF214B"/>
    <w:rsid w:val="4503099B"/>
    <w:rsid w:val="453D7EFA"/>
    <w:rsid w:val="45842D27"/>
    <w:rsid w:val="45F2347E"/>
    <w:rsid w:val="45FD2E1E"/>
    <w:rsid w:val="46236E22"/>
    <w:rsid w:val="463D1554"/>
    <w:rsid w:val="46480423"/>
    <w:rsid w:val="46C44BD5"/>
    <w:rsid w:val="46FD0ED7"/>
    <w:rsid w:val="473A1C92"/>
    <w:rsid w:val="47592E4A"/>
    <w:rsid w:val="47BB4536"/>
    <w:rsid w:val="47D44A52"/>
    <w:rsid w:val="48B457DA"/>
    <w:rsid w:val="49055724"/>
    <w:rsid w:val="49061DFF"/>
    <w:rsid w:val="495F2766"/>
    <w:rsid w:val="4973153E"/>
    <w:rsid w:val="49A15B9F"/>
    <w:rsid w:val="49D40A5E"/>
    <w:rsid w:val="49E352A4"/>
    <w:rsid w:val="4A614654"/>
    <w:rsid w:val="4A625DAC"/>
    <w:rsid w:val="4A87331A"/>
    <w:rsid w:val="4BA044F9"/>
    <w:rsid w:val="4BA56CFA"/>
    <w:rsid w:val="4BB73BE9"/>
    <w:rsid w:val="4BEB2031"/>
    <w:rsid w:val="4C141675"/>
    <w:rsid w:val="4C2C5768"/>
    <w:rsid w:val="4C6E0A32"/>
    <w:rsid w:val="4C8D7FB6"/>
    <w:rsid w:val="4CFB75B5"/>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0D1C6B"/>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7117DE"/>
    <w:rsid w:val="56367C5B"/>
    <w:rsid w:val="56677807"/>
    <w:rsid w:val="56820D5B"/>
    <w:rsid w:val="56963547"/>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C373B9"/>
    <w:rsid w:val="5AF71073"/>
    <w:rsid w:val="5AFF4E91"/>
    <w:rsid w:val="5B6270CB"/>
    <w:rsid w:val="5B812149"/>
    <w:rsid w:val="5BB24FC7"/>
    <w:rsid w:val="5BBC18ED"/>
    <w:rsid w:val="5BE77BBC"/>
    <w:rsid w:val="5C9744CD"/>
    <w:rsid w:val="5D027239"/>
    <w:rsid w:val="5D1E4A62"/>
    <w:rsid w:val="5D5A5542"/>
    <w:rsid w:val="5D87033A"/>
    <w:rsid w:val="5D940B49"/>
    <w:rsid w:val="5DBD75BE"/>
    <w:rsid w:val="5DDB3A67"/>
    <w:rsid w:val="5E007081"/>
    <w:rsid w:val="5E2979F3"/>
    <w:rsid w:val="5E646A2E"/>
    <w:rsid w:val="5E96399C"/>
    <w:rsid w:val="5EA92355"/>
    <w:rsid w:val="5ED115B9"/>
    <w:rsid w:val="5EE14AF4"/>
    <w:rsid w:val="5F2E04F4"/>
    <w:rsid w:val="5F5A7169"/>
    <w:rsid w:val="5F600FC9"/>
    <w:rsid w:val="5F831A87"/>
    <w:rsid w:val="5FA558FD"/>
    <w:rsid w:val="5FC52CF8"/>
    <w:rsid w:val="5FC5301A"/>
    <w:rsid w:val="602D2FE8"/>
    <w:rsid w:val="608457E2"/>
    <w:rsid w:val="60CA5055"/>
    <w:rsid w:val="60E14966"/>
    <w:rsid w:val="616D757D"/>
    <w:rsid w:val="617C259E"/>
    <w:rsid w:val="61893075"/>
    <w:rsid w:val="62342CE6"/>
    <w:rsid w:val="62525166"/>
    <w:rsid w:val="6329070C"/>
    <w:rsid w:val="632B72A3"/>
    <w:rsid w:val="63310F09"/>
    <w:rsid w:val="63505113"/>
    <w:rsid w:val="63B84F56"/>
    <w:rsid w:val="63ED139D"/>
    <w:rsid w:val="64337E88"/>
    <w:rsid w:val="64557A48"/>
    <w:rsid w:val="646326B7"/>
    <w:rsid w:val="64665F9D"/>
    <w:rsid w:val="64862E7E"/>
    <w:rsid w:val="65252314"/>
    <w:rsid w:val="65571836"/>
    <w:rsid w:val="65582AF5"/>
    <w:rsid w:val="65E54EB0"/>
    <w:rsid w:val="65FD3712"/>
    <w:rsid w:val="663E10C6"/>
    <w:rsid w:val="666552E6"/>
    <w:rsid w:val="668B7395"/>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B740B8"/>
    <w:rsid w:val="6AE84B3E"/>
    <w:rsid w:val="6B2F5A5F"/>
    <w:rsid w:val="6B3F724F"/>
    <w:rsid w:val="6B533C17"/>
    <w:rsid w:val="6B8307E0"/>
    <w:rsid w:val="6B860FE6"/>
    <w:rsid w:val="6BCD5E90"/>
    <w:rsid w:val="6C650D84"/>
    <w:rsid w:val="6C686F88"/>
    <w:rsid w:val="6C7745F7"/>
    <w:rsid w:val="6E5E463A"/>
    <w:rsid w:val="6EBD7FFE"/>
    <w:rsid w:val="6EC13E25"/>
    <w:rsid w:val="6EF262AC"/>
    <w:rsid w:val="6F251FF2"/>
    <w:rsid w:val="6F3A1809"/>
    <w:rsid w:val="6FD45398"/>
    <w:rsid w:val="70BC5E20"/>
    <w:rsid w:val="71285AAC"/>
    <w:rsid w:val="71594D33"/>
    <w:rsid w:val="715C2F1C"/>
    <w:rsid w:val="71C31377"/>
    <w:rsid w:val="71CA1F6E"/>
    <w:rsid w:val="71E74047"/>
    <w:rsid w:val="71F42B7C"/>
    <w:rsid w:val="7205398F"/>
    <w:rsid w:val="7238655B"/>
    <w:rsid w:val="73163758"/>
    <w:rsid w:val="73461862"/>
    <w:rsid w:val="735008A6"/>
    <w:rsid w:val="735D2DA4"/>
    <w:rsid w:val="736C43E3"/>
    <w:rsid w:val="73BC5AD9"/>
    <w:rsid w:val="73D85E91"/>
    <w:rsid w:val="742F0E63"/>
    <w:rsid w:val="7453751A"/>
    <w:rsid w:val="746453A7"/>
    <w:rsid w:val="74E20649"/>
    <w:rsid w:val="751D57DB"/>
    <w:rsid w:val="76013066"/>
    <w:rsid w:val="76013836"/>
    <w:rsid w:val="76490038"/>
    <w:rsid w:val="764D1C01"/>
    <w:rsid w:val="76A5715B"/>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5F32F6"/>
    <w:rsid w:val="7D29184D"/>
    <w:rsid w:val="7D6D7882"/>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6"/>
    <w:autoRedefine/>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1"/>
    <w:next w:val="1"/>
    <w:autoRedefine/>
    <w:qFormat/>
    <w:uiPriority w:val="0"/>
    <w:pPr>
      <w:keepNext/>
      <w:keepLines/>
      <w:spacing w:before="260" w:after="260" w:line="415" w:lineRule="auto"/>
      <w:outlineLvl w:val="2"/>
    </w:pPr>
    <w:rPr>
      <w:sz w:val="32"/>
      <w:szCs w:val="32"/>
    </w:rPr>
  </w:style>
  <w:style w:type="paragraph" w:styleId="9">
    <w:name w:val="heading 4"/>
    <w:basedOn w:val="1"/>
    <w:next w:val="1"/>
    <w:link w:val="191"/>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0">
    <w:name w:val="heading 5"/>
    <w:basedOn w:val="1"/>
    <w:next w:val="1"/>
    <w:autoRedefine/>
    <w:qFormat/>
    <w:uiPriority w:val="0"/>
    <w:pPr>
      <w:keepNext/>
      <w:keepLines/>
      <w:spacing w:before="120" w:after="120"/>
      <w:outlineLvl w:val="4"/>
    </w:pPr>
    <w:rPr>
      <w:rFonts w:eastAsia="黑体"/>
      <w:bCs/>
      <w:sz w:val="28"/>
      <w:szCs w:val="28"/>
    </w:rPr>
  </w:style>
  <w:style w:type="paragraph" w:styleId="11">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val="0"/>
      <w:autoSpaceDN w:val="0"/>
      <w:adjustRightInd w:val="0"/>
      <w:ind w:firstLine="420"/>
      <w:textAlignment w:val="baseline"/>
    </w:pPr>
    <w:rPr>
      <w:rFonts w:ascii="宋体"/>
      <w:sz w:val="34"/>
    </w:rPr>
  </w:style>
  <w:style w:type="paragraph" w:styleId="3">
    <w:name w:val="Body Text"/>
    <w:basedOn w:val="1"/>
    <w:next w:val="4"/>
    <w:link w:val="189"/>
    <w:autoRedefine/>
    <w:semiHidden/>
    <w:unhideWhenUsed/>
    <w:qFormat/>
    <w:uiPriority w:val="99"/>
    <w:pPr>
      <w:spacing w:after="120"/>
    </w:pPr>
  </w:style>
  <w:style w:type="paragraph" w:customStyle="1" w:styleId="4">
    <w:name w:val="Body Text Indent 21"/>
    <w:basedOn w:val="1"/>
    <w:next w:val="5"/>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54"/>
    <w:autoRedefine/>
    <w:qFormat/>
    <w:uiPriority w:val="99"/>
    <w:pPr>
      <w:snapToGrid w:val="0"/>
    </w:pPr>
    <w:rPr>
      <w:rFonts w:asciiTheme="minorHAnsi" w:hAnsiTheme="minorHAnsi" w:eastAsiaTheme="minorEastAsia" w:cstheme="minorBidi"/>
      <w:sz w:val="18"/>
      <w:szCs w:val="18"/>
    </w:rPr>
  </w:style>
  <w:style w:type="paragraph" w:styleId="12">
    <w:name w:val="index 8"/>
    <w:basedOn w:val="1"/>
    <w:next w:val="1"/>
    <w:autoRedefine/>
    <w:qFormat/>
    <w:uiPriority w:val="0"/>
    <w:pPr>
      <w:ind w:left="1680" w:hanging="210"/>
    </w:pPr>
    <w:rPr>
      <w:rFonts w:ascii="Calibri" w:hAnsi="Calibri"/>
      <w:sz w:val="20"/>
      <w:szCs w:val="20"/>
    </w:rPr>
  </w:style>
  <w:style w:type="paragraph" w:styleId="13">
    <w:name w:val="Normal Indent"/>
    <w:basedOn w:val="1"/>
    <w:next w:val="14"/>
    <w:autoRedefine/>
    <w:qFormat/>
    <w:uiPriority w:val="0"/>
    <w:pPr>
      <w:spacing w:line="400" w:lineRule="exact"/>
      <w:ind w:firstLine="420"/>
    </w:pPr>
    <w:rPr>
      <w:rFonts w:ascii="Arial Narrow" w:hAnsi="Arial Narrow" w:eastAsia="华文细黑"/>
      <w:sz w:val="24"/>
      <w:szCs w:val="20"/>
    </w:rPr>
  </w:style>
  <w:style w:type="paragraph" w:customStyle="1" w:styleId="14">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autoRedefine/>
    <w:qFormat/>
    <w:uiPriority w:val="0"/>
    <w:pPr>
      <w:ind w:left="1050" w:hanging="210"/>
    </w:pPr>
    <w:rPr>
      <w:rFonts w:ascii="Calibri" w:hAnsi="Calibri"/>
      <w:sz w:val="20"/>
      <w:szCs w:val="20"/>
    </w:rPr>
  </w:style>
  <w:style w:type="paragraph" w:styleId="17">
    <w:name w:val="Document Map"/>
    <w:basedOn w:val="1"/>
    <w:link w:val="176"/>
    <w:autoRedefine/>
    <w:semiHidden/>
    <w:qFormat/>
    <w:uiPriority w:val="0"/>
    <w:pPr>
      <w:shd w:val="clear" w:color="auto" w:fill="000080"/>
    </w:pPr>
    <w:rPr>
      <w:rFonts w:asciiTheme="minorHAnsi" w:hAnsiTheme="minorHAnsi" w:eastAsiaTheme="minorEastAsia" w:cstheme="minorBidi"/>
    </w:rPr>
  </w:style>
  <w:style w:type="paragraph" w:styleId="18">
    <w:name w:val="annotation text"/>
    <w:basedOn w:val="1"/>
    <w:link w:val="173"/>
    <w:autoRedefine/>
    <w:semiHidden/>
    <w:qFormat/>
    <w:uiPriority w:val="0"/>
    <w:rPr>
      <w:rFonts w:asciiTheme="minorHAnsi" w:hAnsiTheme="minorHAnsi" w:eastAsiaTheme="minorEastAsia" w:cstheme="minorBidi"/>
    </w:rPr>
  </w:style>
  <w:style w:type="paragraph" w:styleId="19">
    <w:name w:val="index 6"/>
    <w:basedOn w:val="1"/>
    <w:next w:val="1"/>
    <w:autoRedefine/>
    <w:qFormat/>
    <w:uiPriority w:val="0"/>
    <w:pPr>
      <w:ind w:left="1260" w:hanging="210"/>
    </w:pPr>
    <w:rPr>
      <w:rFonts w:ascii="Calibri" w:hAnsi="Calibri"/>
      <w:sz w:val="20"/>
      <w:szCs w:val="20"/>
    </w:rPr>
  </w:style>
  <w:style w:type="paragraph" w:styleId="20">
    <w:name w:val="Body Text 3"/>
    <w:basedOn w:val="1"/>
    <w:link w:val="184"/>
    <w:autoRedefine/>
    <w:semiHidden/>
    <w:unhideWhenUsed/>
    <w:qFormat/>
    <w:uiPriority w:val="99"/>
    <w:pPr>
      <w:spacing w:after="120"/>
    </w:pPr>
    <w:rPr>
      <w:sz w:val="16"/>
      <w:szCs w:val="16"/>
    </w:rPr>
  </w:style>
  <w:style w:type="paragraph" w:styleId="21">
    <w:name w:val="Body Text Indent"/>
    <w:basedOn w:val="1"/>
    <w:next w:val="22"/>
    <w:autoRedefine/>
    <w:unhideWhenUsed/>
    <w:qFormat/>
    <w:uiPriority w:val="99"/>
    <w:pPr>
      <w:spacing w:after="120"/>
      <w:ind w:left="420" w:leftChars="200"/>
    </w:pPr>
  </w:style>
  <w:style w:type="paragraph" w:styleId="22">
    <w:name w:val="Body Text Indent 2"/>
    <w:basedOn w:val="1"/>
    <w:link w:val="165"/>
    <w:autoRedefine/>
    <w:qFormat/>
    <w:uiPriority w:val="99"/>
    <w:pPr>
      <w:spacing w:after="120" w:line="480" w:lineRule="auto"/>
      <w:ind w:left="420" w:leftChars="200"/>
    </w:pPr>
    <w:rPr>
      <w:rFonts w:asciiTheme="minorHAnsi" w:hAnsiTheme="minorHAnsi" w:eastAsiaTheme="minorEastAsia" w:cstheme="minorBidi"/>
    </w:rPr>
  </w:style>
  <w:style w:type="paragraph" w:styleId="23">
    <w:name w:val="index 4"/>
    <w:basedOn w:val="1"/>
    <w:next w:val="1"/>
    <w:autoRedefine/>
    <w:qFormat/>
    <w:uiPriority w:val="0"/>
    <w:pPr>
      <w:ind w:left="840" w:hanging="210"/>
    </w:pPr>
    <w:rPr>
      <w:rFonts w:ascii="Calibri" w:hAnsi="Calibri"/>
      <w:sz w:val="20"/>
      <w:szCs w:val="20"/>
    </w:rPr>
  </w:style>
  <w:style w:type="paragraph" w:styleId="24">
    <w:name w:val="Plain Text"/>
    <w:basedOn w:val="1"/>
    <w:link w:val="187"/>
    <w:autoRedefine/>
    <w:unhideWhenUsed/>
    <w:qFormat/>
    <w:uiPriority w:val="99"/>
    <w:pPr>
      <w:widowControl w:val="0"/>
      <w:spacing w:line="240" w:lineRule="auto"/>
      <w:jc w:val="both"/>
    </w:pPr>
    <w:rPr>
      <w:rFonts w:ascii="宋体" w:hAnsi="Courier New" w:cs="Courier New"/>
      <w:szCs w:val="21"/>
    </w:rPr>
  </w:style>
  <w:style w:type="paragraph" w:styleId="25">
    <w:name w:val="index 3"/>
    <w:basedOn w:val="1"/>
    <w:next w:val="1"/>
    <w:autoRedefine/>
    <w:qFormat/>
    <w:uiPriority w:val="0"/>
    <w:pPr>
      <w:ind w:left="630" w:hanging="210"/>
    </w:pPr>
    <w:rPr>
      <w:rFonts w:ascii="Calibri" w:hAnsi="Calibri"/>
      <w:sz w:val="20"/>
      <w:szCs w:val="20"/>
    </w:rPr>
  </w:style>
  <w:style w:type="paragraph" w:styleId="26">
    <w:name w:val="Date"/>
    <w:basedOn w:val="1"/>
    <w:next w:val="1"/>
    <w:link w:val="175"/>
    <w:autoRedefine/>
    <w:qFormat/>
    <w:uiPriority w:val="99"/>
    <w:pPr>
      <w:ind w:left="100" w:leftChars="2500"/>
    </w:pPr>
    <w:rPr>
      <w:rFonts w:asciiTheme="minorHAnsi" w:hAnsiTheme="minorHAnsi" w:eastAsiaTheme="minorEastAsia" w:cstheme="minorBidi"/>
    </w:rPr>
  </w:style>
  <w:style w:type="paragraph" w:styleId="27">
    <w:name w:val="endnote text"/>
    <w:basedOn w:val="1"/>
    <w:link w:val="182"/>
    <w:autoRedefine/>
    <w:semiHidden/>
    <w:qFormat/>
    <w:uiPriority w:val="0"/>
    <w:pPr>
      <w:snapToGrid w:val="0"/>
    </w:pPr>
    <w:rPr>
      <w:rFonts w:asciiTheme="minorHAnsi" w:hAnsiTheme="minorHAnsi" w:eastAsiaTheme="minorEastAsia" w:cstheme="minorBidi"/>
    </w:rPr>
  </w:style>
  <w:style w:type="paragraph" w:styleId="28">
    <w:name w:val="Balloon Text"/>
    <w:basedOn w:val="1"/>
    <w:link w:val="151"/>
    <w:autoRedefine/>
    <w:qFormat/>
    <w:uiPriority w:val="99"/>
    <w:rPr>
      <w:rFonts w:asciiTheme="minorHAnsi" w:hAnsiTheme="minorHAnsi" w:eastAsiaTheme="minorEastAsia" w:cstheme="minorBidi"/>
      <w:sz w:val="18"/>
      <w:szCs w:val="18"/>
    </w:rPr>
  </w:style>
  <w:style w:type="paragraph" w:styleId="29">
    <w:name w:val="footer"/>
    <w:basedOn w:val="1"/>
    <w:link w:val="172"/>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30">
    <w:name w:val="toc 1"/>
    <w:basedOn w:val="1"/>
    <w:next w:val="1"/>
    <w:autoRedefine/>
    <w:semiHidden/>
    <w:qFormat/>
    <w:uiPriority w:val="0"/>
    <w:pPr>
      <w:tabs>
        <w:tab w:val="right" w:leader="dot" w:pos="9242"/>
      </w:tabs>
      <w:spacing w:beforeLines="25" w:afterLines="25"/>
    </w:pPr>
    <w:rPr>
      <w:rFonts w:ascii="宋体"/>
      <w:szCs w:val="21"/>
    </w:rPr>
  </w:style>
  <w:style w:type="paragraph" w:styleId="31">
    <w:name w:val="index heading"/>
    <w:basedOn w:val="1"/>
    <w:next w:val="32"/>
    <w:autoRedefine/>
    <w:qFormat/>
    <w:uiPriority w:val="0"/>
    <w:pPr>
      <w:spacing w:before="120" w:after="120"/>
      <w:jc w:val="center"/>
    </w:pPr>
    <w:rPr>
      <w:rFonts w:ascii="Calibri" w:hAnsi="Calibri"/>
      <w:b/>
      <w:bCs/>
      <w:iCs/>
      <w:szCs w:val="20"/>
    </w:rPr>
  </w:style>
  <w:style w:type="paragraph" w:styleId="32">
    <w:name w:val="index 1"/>
    <w:basedOn w:val="1"/>
    <w:next w:val="1"/>
    <w:autoRedefine/>
    <w:unhideWhenUsed/>
    <w:qFormat/>
    <w:uiPriority w:val="0"/>
  </w:style>
  <w:style w:type="paragraph" w:styleId="33">
    <w:name w:val="List"/>
    <w:basedOn w:val="1"/>
    <w:autoRedefine/>
    <w:qFormat/>
    <w:uiPriority w:val="0"/>
    <w:pPr>
      <w:ind w:left="200" w:hanging="200" w:hangingChars="200"/>
    </w:pPr>
  </w:style>
  <w:style w:type="paragraph" w:styleId="34">
    <w:name w:val="footnote text"/>
    <w:basedOn w:val="1"/>
    <w:link w:val="161"/>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5">
    <w:name w:val="index 7"/>
    <w:basedOn w:val="1"/>
    <w:next w:val="1"/>
    <w:autoRedefine/>
    <w:qFormat/>
    <w:uiPriority w:val="0"/>
    <w:pPr>
      <w:ind w:left="1470" w:hanging="210"/>
    </w:pPr>
    <w:rPr>
      <w:rFonts w:ascii="Calibri" w:hAnsi="Calibri"/>
      <w:sz w:val="20"/>
      <w:szCs w:val="20"/>
    </w:rPr>
  </w:style>
  <w:style w:type="paragraph" w:styleId="36">
    <w:name w:val="index 9"/>
    <w:basedOn w:val="1"/>
    <w:next w:val="1"/>
    <w:autoRedefine/>
    <w:qFormat/>
    <w:uiPriority w:val="0"/>
    <w:pPr>
      <w:ind w:left="1890" w:hanging="210"/>
    </w:pPr>
    <w:rPr>
      <w:rFonts w:ascii="Calibri" w:hAnsi="Calibri"/>
      <w:sz w:val="20"/>
      <w:szCs w:val="20"/>
    </w:rPr>
  </w:style>
  <w:style w:type="paragraph" w:styleId="37">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8">
    <w:name w:val="Body Text 2"/>
    <w:basedOn w:val="1"/>
    <w:autoRedefine/>
    <w:qFormat/>
    <w:uiPriority w:val="0"/>
    <w:rPr>
      <w:bCs/>
      <w:kern w:val="0"/>
      <w:sz w:val="28"/>
      <w:szCs w:val="20"/>
    </w:rPr>
  </w:style>
  <w:style w:type="paragraph" w:styleId="39">
    <w:name w:val="HTML Preformatted"/>
    <w:basedOn w:val="1"/>
    <w:link w:val="159"/>
    <w:autoRedefine/>
    <w:qFormat/>
    <w:uiPriority w:val="0"/>
    <w:rPr>
      <w:rFonts w:ascii="Courier New" w:hAnsi="Courier New" w:cs="Courier New" w:eastAsiaTheme="minorEastAsia"/>
      <w:szCs w:val="22"/>
    </w:rPr>
  </w:style>
  <w:style w:type="paragraph" w:styleId="40">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41">
    <w:name w:val="index 2"/>
    <w:basedOn w:val="1"/>
    <w:next w:val="1"/>
    <w:autoRedefine/>
    <w:qFormat/>
    <w:uiPriority w:val="0"/>
    <w:pPr>
      <w:ind w:left="420" w:hanging="210"/>
    </w:pPr>
    <w:rPr>
      <w:rFonts w:ascii="Calibri" w:hAnsi="Calibri"/>
      <w:sz w:val="20"/>
      <w:szCs w:val="20"/>
    </w:rPr>
  </w:style>
  <w:style w:type="paragraph" w:styleId="42">
    <w:name w:val="Title"/>
    <w:basedOn w:val="1"/>
    <w:link w:val="185"/>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8"/>
    <w:next w:val="18"/>
    <w:link w:val="181"/>
    <w:autoRedefine/>
    <w:semiHidden/>
    <w:qFormat/>
    <w:uiPriority w:val="0"/>
    <w:rPr>
      <w:b/>
      <w:bCs/>
    </w:rPr>
  </w:style>
  <w:style w:type="paragraph" w:styleId="44">
    <w:name w:val="Body Text First Indent 2"/>
    <w:basedOn w:val="21"/>
    <w:next w:val="13"/>
    <w:autoRedefine/>
    <w:semiHidden/>
    <w:unhideWhenUsed/>
    <w:qFormat/>
    <w:uiPriority w:val="99"/>
    <w:pPr>
      <w:ind w:firstLine="420" w:firstLineChars="200"/>
    </w:pPr>
  </w:style>
  <w:style w:type="table" w:styleId="46">
    <w:name w:val="Table Grid"/>
    <w:basedOn w:val="4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bCs/>
    </w:rPr>
  </w:style>
  <w:style w:type="character" w:styleId="49">
    <w:name w:val="page number"/>
    <w:basedOn w:val="47"/>
    <w:autoRedefine/>
    <w:qFormat/>
    <w:uiPriority w:val="99"/>
    <w:rPr>
      <w:rFonts w:ascii="Times New Roman" w:hAnsi="Times New Roman" w:eastAsia="宋体"/>
      <w:sz w:val="18"/>
    </w:rPr>
  </w:style>
  <w:style w:type="character" w:styleId="50">
    <w:name w:val="FollowedHyperlink"/>
    <w:autoRedefine/>
    <w:qFormat/>
    <w:uiPriority w:val="0"/>
    <w:rPr>
      <w:color w:val="800080"/>
      <w:u w:val="single"/>
    </w:rPr>
  </w:style>
  <w:style w:type="character" w:styleId="51">
    <w:name w:val="Emphasis"/>
    <w:autoRedefine/>
    <w:qFormat/>
    <w:uiPriority w:val="20"/>
    <w:rPr>
      <w:color w:val="CC0000"/>
    </w:rPr>
  </w:style>
  <w:style w:type="character" w:styleId="52">
    <w:name w:val="Hyperlink"/>
    <w:autoRedefine/>
    <w:qFormat/>
    <w:uiPriority w:val="99"/>
    <w:rPr>
      <w:color w:val="0000FF"/>
      <w:spacing w:val="0"/>
      <w:w w:val="100"/>
      <w:szCs w:val="21"/>
      <w:u w:val="single"/>
      <w:lang w:val="en-US" w:eastAsia="zh-CN"/>
    </w:rPr>
  </w:style>
  <w:style w:type="character" w:styleId="53">
    <w:name w:val="annotation reference"/>
    <w:basedOn w:val="47"/>
    <w:autoRedefine/>
    <w:semiHidden/>
    <w:unhideWhenUsed/>
    <w:qFormat/>
    <w:uiPriority w:val="0"/>
    <w:rPr>
      <w:sz w:val="21"/>
      <w:szCs w:val="21"/>
    </w:rPr>
  </w:style>
  <w:style w:type="character" w:styleId="54">
    <w:name w:val="footnote reference"/>
    <w:autoRedefine/>
    <w:qFormat/>
    <w:uiPriority w:val="0"/>
    <w:rPr>
      <w:vertAlign w:val="superscript"/>
    </w:rPr>
  </w:style>
  <w:style w:type="character" w:customStyle="1" w:styleId="55">
    <w:name w:val="标题 1 字符"/>
    <w:basedOn w:val="47"/>
    <w:link w:val="6"/>
    <w:autoRedefine/>
    <w:qFormat/>
    <w:uiPriority w:val="0"/>
    <w:rPr>
      <w:rFonts w:ascii="Times New Roman" w:hAnsi="Times New Roman" w:eastAsia="宋体" w:cs="Times New Roman"/>
      <w:b/>
      <w:bCs/>
      <w:kern w:val="44"/>
      <w:sz w:val="44"/>
      <w:szCs w:val="44"/>
    </w:rPr>
  </w:style>
  <w:style w:type="character" w:customStyle="1" w:styleId="56">
    <w:name w:val="标题 2 字符"/>
    <w:basedOn w:val="47"/>
    <w:link w:val="7"/>
    <w:autoRedefine/>
    <w:qFormat/>
    <w:uiPriority w:val="0"/>
    <w:rPr>
      <w:rFonts w:ascii="宋体" w:hAnsi="宋体" w:eastAsia="宋体" w:cs="Times New Roman"/>
      <w:b/>
      <w:bCs/>
      <w:kern w:val="0"/>
      <w:sz w:val="36"/>
      <w:szCs w:val="36"/>
    </w:rPr>
  </w:style>
  <w:style w:type="character" w:customStyle="1" w:styleId="57">
    <w:name w:val="批注文字 Char"/>
    <w:autoRedefine/>
    <w:semiHidden/>
    <w:qFormat/>
    <w:uiPriority w:val="0"/>
    <w:rPr>
      <w:szCs w:val="24"/>
    </w:rPr>
  </w:style>
  <w:style w:type="character" w:customStyle="1" w:styleId="58">
    <w:name w:val="批注主题 Char"/>
    <w:autoRedefine/>
    <w:semiHidden/>
    <w:qFormat/>
    <w:uiPriority w:val="0"/>
    <w:rPr>
      <w:b/>
      <w:bCs/>
      <w:szCs w:val="24"/>
    </w:rPr>
  </w:style>
  <w:style w:type="character" w:customStyle="1" w:styleId="59">
    <w:name w:val="文档结构图 Char"/>
    <w:autoRedefine/>
    <w:semiHidden/>
    <w:qFormat/>
    <w:uiPriority w:val="0"/>
    <w:rPr>
      <w:szCs w:val="24"/>
      <w:shd w:val="clear" w:color="auto" w:fill="000080"/>
    </w:rPr>
  </w:style>
  <w:style w:type="character" w:customStyle="1" w:styleId="60">
    <w:name w:val="脚注文本 Char"/>
    <w:autoRedefine/>
    <w:qFormat/>
    <w:uiPriority w:val="0"/>
    <w:rPr>
      <w:rFonts w:ascii="宋体"/>
      <w:sz w:val="18"/>
      <w:szCs w:val="18"/>
    </w:rPr>
  </w:style>
  <w:style w:type="character" w:customStyle="1" w:styleId="61">
    <w:name w:val="con"/>
    <w:autoRedefine/>
    <w:qFormat/>
    <w:uiPriority w:val="0"/>
  </w:style>
  <w:style w:type="character" w:customStyle="1" w:styleId="62">
    <w:name w:val="bar-label2"/>
    <w:autoRedefine/>
    <w:qFormat/>
    <w:uiPriority w:val="99"/>
  </w:style>
  <w:style w:type="character" w:customStyle="1" w:styleId="63">
    <w:name w:val="正文文本缩进 2 Char"/>
    <w:autoRedefine/>
    <w:qFormat/>
    <w:uiPriority w:val="99"/>
    <w:rPr>
      <w:szCs w:val="24"/>
    </w:rPr>
  </w:style>
  <w:style w:type="character" w:customStyle="1" w:styleId="64">
    <w:name w:val="日期 Char"/>
    <w:autoRedefine/>
    <w:qFormat/>
    <w:uiPriority w:val="99"/>
    <w:rPr>
      <w:szCs w:val="24"/>
    </w:rPr>
  </w:style>
  <w:style w:type="character" w:customStyle="1" w:styleId="65">
    <w:name w:val="页脚 Char"/>
    <w:autoRedefine/>
    <w:qFormat/>
    <w:locked/>
    <w:uiPriority w:val="99"/>
    <w:rPr>
      <w:sz w:val="18"/>
      <w:szCs w:val="18"/>
    </w:rPr>
  </w:style>
  <w:style w:type="character" w:customStyle="1" w:styleId="66">
    <w:name w:val="apple-converted-space"/>
    <w:basedOn w:val="47"/>
    <w:autoRedefine/>
    <w:qFormat/>
    <w:uiPriority w:val="0"/>
  </w:style>
  <w:style w:type="character" w:customStyle="1" w:styleId="67">
    <w:name w:val="批注框文本 Char"/>
    <w:autoRedefine/>
    <w:qFormat/>
    <w:uiPriority w:val="99"/>
    <w:rPr>
      <w:sz w:val="18"/>
      <w:szCs w:val="18"/>
    </w:rPr>
  </w:style>
  <w:style w:type="character" w:customStyle="1" w:styleId="68">
    <w:name w:val="页眉 Char"/>
    <w:autoRedefine/>
    <w:qFormat/>
    <w:locked/>
    <w:uiPriority w:val="99"/>
    <w:rPr>
      <w:sz w:val="18"/>
      <w:szCs w:val="18"/>
    </w:rPr>
  </w:style>
  <w:style w:type="character" w:customStyle="1" w:styleId="69">
    <w:name w:val="首示例 Char"/>
    <w:link w:val="70"/>
    <w:autoRedefine/>
    <w:qFormat/>
    <w:uiPriority w:val="0"/>
    <w:rPr>
      <w:rFonts w:ascii="宋体" w:hAnsi="宋体"/>
      <w:sz w:val="18"/>
      <w:szCs w:val="18"/>
    </w:rPr>
  </w:style>
  <w:style w:type="paragraph" w:customStyle="1" w:styleId="70">
    <w:name w:val="首示例"/>
    <w:next w:val="71"/>
    <w:link w:val="69"/>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autoRedefine/>
    <w:qFormat/>
    <w:uiPriority w:val="0"/>
    <w:rPr>
      <w:rFonts w:ascii="宋体"/>
    </w:rPr>
  </w:style>
  <w:style w:type="character" w:customStyle="1" w:styleId="73">
    <w:name w:val="附录公式 Char"/>
    <w:basedOn w:val="72"/>
    <w:link w:val="74"/>
    <w:autoRedefine/>
    <w:qFormat/>
    <w:uiPriority w:val="0"/>
    <w:rPr>
      <w:rFonts w:ascii="宋体"/>
    </w:rPr>
  </w:style>
  <w:style w:type="paragraph" w:customStyle="1" w:styleId="74">
    <w:name w:val="附录公式"/>
    <w:basedOn w:val="71"/>
    <w:next w:val="71"/>
    <w:link w:val="73"/>
    <w:autoRedefine/>
    <w:qFormat/>
    <w:uiPriority w:val="0"/>
  </w:style>
  <w:style w:type="character" w:customStyle="1" w:styleId="75">
    <w:name w:val="发布"/>
    <w:autoRedefine/>
    <w:qFormat/>
    <w:uiPriority w:val="0"/>
    <w:rPr>
      <w:rFonts w:ascii="黑体" w:eastAsia="黑体"/>
      <w:spacing w:val="85"/>
      <w:w w:val="100"/>
      <w:position w:val="3"/>
      <w:sz w:val="28"/>
      <w:szCs w:val="28"/>
    </w:rPr>
  </w:style>
  <w:style w:type="character" w:customStyle="1" w:styleId="76">
    <w:name w:val="一级条标题 Char"/>
    <w:link w:val="77"/>
    <w:autoRedefine/>
    <w:qFormat/>
    <w:uiPriority w:val="0"/>
    <w:rPr>
      <w:rFonts w:ascii="黑体" w:eastAsia="黑体"/>
      <w:szCs w:val="21"/>
    </w:rPr>
  </w:style>
  <w:style w:type="paragraph" w:customStyle="1" w:styleId="77">
    <w:name w:val="一级条标题"/>
    <w:next w:val="71"/>
    <w:link w:val="76"/>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autoRedefine/>
    <w:qFormat/>
    <w:uiPriority w:val="0"/>
    <w:rPr>
      <w:rFonts w:ascii="Courier New" w:hAnsi="Courier New" w:cs="Courier New"/>
    </w:rPr>
  </w:style>
  <w:style w:type="character" w:customStyle="1" w:styleId="79">
    <w:name w:val="尾注文本 Char"/>
    <w:autoRedefine/>
    <w:semiHidden/>
    <w:qFormat/>
    <w:uiPriority w:val="0"/>
    <w:rPr>
      <w:szCs w:val="24"/>
    </w:rPr>
  </w:style>
  <w:style w:type="paragraph" w:customStyle="1" w:styleId="80">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autoRedefine/>
    <w:qFormat/>
    <w:uiPriority w:val="34"/>
    <w:pPr>
      <w:ind w:firstLine="420" w:firstLineChars="200"/>
    </w:pPr>
    <w:rPr>
      <w:rFonts w:ascii="宋体" w:hAnsi="宋体" w:cs="宋体"/>
      <w:kern w:val="0"/>
      <w:sz w:val="24"/>
    </w:rPr>
  </w:style>
  <w:style w:type="paragraph" w:customStyle="1" w:styleId="83">
    <w:name w:val="封面一致性程度标识2"/>
    <w:basedOn w:val="84"/>
    <w:autoRedefine/>
    <w:qFormat/>
    <w:uiPriority w:val="0"/>
    <w:pPr>
      <w:framePr w:y="4469"/>
    </w:pPr>
  </w:style>
  <w:style w:type="paragraph" w:customStyle="1" w:styleId="84">
    <w:name w:val="封面一致性程度标识"/>
    <w:basedOn w:val="85"/>
    <w:autoRedefine/>
    <w:qFormat/>
    <w:uiPriority w:val="0"/>
    <w:pPr>
      <w:spacing w:before="440"/>
    </w:pPr>
    <w:rPr>
      <w:rFonts w:ascii="宋体" w:eastAsia="宋体"/>
    </w:rPr>
  </w:style>
  <w:style w:type="paragraph" w:customStyle="1" w:styleId="85">
    <w:name w:val="封面标准英文名称"/>
    <w:basedOn w:val="86"/>
    <w:autoRedefine/>
    <w:qFormat/>
    <w:uiPriority w:val="0"/>
    <w:pPr>
      <w:spacing w:before="370" w:line="400" w:lineRule="exact"/>
    </w:pPr>
    <w:rPr>
      <w:rFonts w:ascii="Times New Roman"/>
      <w:sz w:val="28"/>
      <w:szCs w:val="28"/>
    </w:rPr>
  </w:style>
  <w:style w:type="paragraph" w:customStyle="1" w:styleId="8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autoRedefine/>
    <w:qFormat/>
    <w:uiPriority w:val="0"/>
    <w:pPr>
      <w:framePr w:y="4469"/>
    </w:pPr>
  </w:style>
  <w:style w:type="paragraph" w:customStyle="1" w:styleId="88">
    <w:name w:val="其他发布日期"/>
    <w:basedOn w:val="89"/>
    <w:autoRedefine/>
    <w:qFormat/>
    <w:uiPriority w:val="0"/>
    <w:pPr>
      <w:framePr w:vAnchor="page" w:hAnchor="text" w:x="1419"/>
    </w:pPr>
  </w:style>
  <w:style w:type="paragraph" w:customStyle="1" w:styleId="89">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autoRedefine/>
    <w:qFormat/>
    <w:uiPriority w:val="0"/>
    <w:pPr>
      <w:ind w:firstLine="0" w:firstLineChars="0"/>
    </w:pPr>
  </w:style>
  <w:style w:type="paragraph" w:customStyle="1" w:styleId="91">
    <w:name w:val="正文表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autoRedefine/>
    <w:qFormat/>
    <w:uiPriority w:val="0"/>
  </w:style>
  <w:style w:type="paragraph" w:customStyle="1" w:styleId="94">
    <w:name w:val="图的脚注"/>
    <w:next w:val="71"/>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autoRedefine/>
    <w:qFormat/>
    <w:uiPriority w:val="0"/>
    <w:pPr>
      <w:ind w:left="840" w:hanging="420" w:firstLineChars="0"/>
    </w:pPr>
    <w:rPr>
      <w:sz w:val="18"/>
      <w:szCs w:val="18"/>
    </w:rPr>
  </w:style>
  <w:style w:type="paragraph" w:customStyle="1" w:styleId="96">
    <w:name w:val="示例后文字"/>
    <w:basedOn w:val="71"/>
    <w:next w:val="71"/>
    <w:autoRedefine/>
    <w:qFormat/>
    <w:uiPriority w:val="0"/>
    <w:pPr>
      <w:ind w:firstLine="360"/>
    </w:pPr>
    <w:rPr>
      <w:sz w:val="18"/>
    </w:rPr>
  </w:style>
  <w:style w:type="paragraph" w:customStyle="1" w:styleId="97">
    <w:name w:val="实施日期"/>
    <w:basedOn w:val="89"/>
    <w:autoRedefine/>
    <w:qFormat/>
    <w:uiPriority w:val="0"/>
    <w:pPr>
      <w:framePr w:vAnchor="page" w:hAnchor="text"/>
      <w:jc w:val="right"/>
    </w:pPr>
  </w:style>
  <w:style w:type="paragraph" w:customStyle="1" w:styleId="98">
    <w:name w:val="前言、引言标题"/>
    <w:next w:val="71"/>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2">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3">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4">
    <w:name w:val="条文脚注"/>
    <w:basedOn w:val="34"/>
    <w:autoRedefine/>
    <w:qFormat/>
    <w:uiPriority w:val="0"/>
    <w:pPr>
      <w:ind w:left="0" w:firstLine="0"/>
      <w:jc w:val="both"/>
    </w:pPr>
  </w:style>
  <w:style w:type="paragraph" w:customStyle="1" w:styleId="105">
    <w:name w:val="附录一级无"/>
    <w:basedOn w:val="106"/>
    <w:autoRedefine/>
    <w:qFormat/>
    <w:uiPriority w:val="0"/>
    <w:pPr>
      <w:tabs>
        <w:tab w:val="left" w:pos="360"/>
      </w:tabs>
      <w:spacing w:beforeLines="0" w:afterLines="0"/>
    </w:pPr>
    <w:rPr>
      <w:rFonts w:ascii="宋体" w:eastAsia="宋体"/>
      <w:szCs w:val="21"/>
    </w:rPr>
  </w:style>
  <w:style w:type="paragraph" w:customStyle="1" w:styleId="106">
    <w:name w:val="附录一级条标题"/>
    <w:basedOn w:val="107"/>
    <w:next w:val="71"/>
    <w:autoRedefine/>
    <w:qFormat/>
    <w:uiPriority w:val="0"/>
    <w:pPr>
      <w:tabs>
        <w:tab w:val="left" w:pos="360"/>
      </w:tabs>
      <w:autoSpaceDN w:val="0"/>
      <w:spacing w:beforeLines="50" w:afterLines="50"/>
      <w:outlineLvl w:val="2"/>
    </w:pPr>
  </w:style>
  <w:style w:type="paragraph" w:customStyle="1" w:styleId="107">
    <w:name w:val="附录章标题"/>
    <w:next w:val="71"/>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五级无"/>
    <w:basedOn w:val="109"/>
    <w:autoRedefine/>
    <w:qFormat/>
    <w:uiPriority w:val="0"/>
    <w:pPr>
      <w:tabs>
        <w:tab w:val="left" w:pos="360"/>
      </w:tabs>
      <w:spacing w:beforeLines="0" w:afterLines="0"/>
    </w:pPr>
    <w:rPr>
      <w:rFonts w:ascii="宋体" w:eastAsia="宋体"/>
      <w:szCs w:val="21"/>
    </w:rPr>
  </w:style>
  <w:style w:type="paragraph" w:customStyle="1" w:styleId="109">
    <w:name w:val="附录五级条标题"/>
    <w:basedOn w:val="110"/>
    <w:next w:val="71"/>
    <w:autoRedefine/>
    <w:qFormat/>
    <w:uiPriority w:val="0"/>
    <w:pPr>
      <w:tabs>
        <w:tab w:val="left" w:pos="360"/>
      </w:tabs>
      <w:outlineLvl w:val="6"/>
    </w:pPr>
  </w:style>
  <w:style w:type="paragraph" w:customStyle="1" w:styleId="110">
    <w:name w:val="附录四级条标题"/>
    <w:basedOn w:val="111"/>
    <w:next w:val="71"/>
    <w:autoRedefine/>
    <w:qFormat/>
    <w:uiPriority w:val="0"/>
    <w:pPr>
      <w:tabs>
        <w:tab w:val="left" w:pos="360"/>
      </w:tabs>
    </w:pPr>
  </w:style>
  <w:style w:type="paragraph" w:customStyle="1" w:styleId="111">
    <w:name w:val="附录三级条标题"/>
    <w:basedOn w:val="112"/>
    <w:next w:val="71"/>
    <w:autoRedefine/>
    <w:qFormat/>
    <w:uiPriority w:val="0"/>
    <w:pPr>
      <w:tabs>
        <w:tab w:val="left" w:pos="360"/>
      </w:tabs>
    </w:pPr>
  </w:style>
  <w:style w:type="paragraph" w:customStyle="1" w:styleId="112">
    <w:name w:val="附录二级条标题"/>
    <w:basedOn w:val="1"/>
    <w:next w:val="71"/>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图标题"/>
    <w:basedOn w:val="1"/>
    <w:next w:val="71"/>
    <w:autoRedefine/>
    <w:qFormat/>
    <w:uiPriority w:val="0"/>
    <w:pPr>
      <w:tabs>
        <w:tab w:val="left" w:pos="363"/>
      </w:tabs>
      <w:spacing w:beforeLines="50" w:afterLines="50"/>
      <w:jc w:val="center"/>
    </w:pPr>
    <w:rPr>
      <w:rFonts w:ascii="黑体" w:eastAsia="黑体"/>
      <w:szCs w:val="21"/>
    </w:rPr>
  </w:style>
  <w:style w:type="paragraph" w:customStyle="1" w:styleId="114">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5">
    <w:name w:val="附录四级无"/>
    <w:basedOn w:val="110"/>
    <w:autoRedefine/>
    <w:qFormat/>
    <w:uiPriority w:val="0"/>
    <w:pPr>
      <w:tabs>
        <w:tab w:val="clear" w:pos="360"/>
      </w:tabs>
      <w:spacing w:beforeLines="0" w:afterLines="0"/>
      <w:outlineLvl w:val="5"/>
    </w:pPr>
    <w:rPr>
      <w:rFonts w:ascii="宋体" w:eastAsia="宋体"/>
      <w:szCs w:val="21"/>
    </w:rPr>
  </w:style>
  <w:style w:type="paragraph" w:customStyle="1" w:styleId="116">
    <w:name w:val="附录三级无"/>
    <w:basedOn w:val="111"/>
    <w:autoRedefine/>
    <w:qFormat/>
    <w:uiPriority w:val="0"/>
  </w:style>
  <w:style w:type="paragraph" w:customStyle="1" w:styleId="117">
    <w:name w:val="注："/>
    <w:next w:val="71"/>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8">
    <w:name w:val="附录公式编号制表符"/>
    <w:basedOn w:val="1"/>
    <w:next w:val="71"/>
    <w:autoRedefine/>
    <w:qFormat/>
    <w:uiPriority w:val="0"/>
    <w:pPr>
      <w:tabs>
        <w:tab w:val="center" w:pos="4201"/>
        <w:tab w:val="right" w:leader="dot" w:pos="9298"/>
      </w:tabs>
      <w:autoSpaceDE w:val="0"/>
      <w:autoSpaceDN w:val="0"/>
    </w:pPr>
    <w:rPr>
      <w:rFonts w:ascii="宋体"/>
      <w:kern w:val="0"/>
      <w:szCs w:val="20"/>
    </w:rPr>
  </w:style>
  <w:style w:type="paragraph" w:customStyle="1" w:styleId="119">
    <w:name w:val="附录二级无"/>
    <w:basedOn w:val="112"/>
    <w:autoRedefine/>
    <w:qFormat/>
    <w:uiPriority w:val="0"/>
  </w:style>
  <w:style w:type="paragraph" w:customStyle="1" w:styleId="120">
    <w:name w:val="附录标题"/>
    <w:basedOn w:val="71"/>
    <w:next w:val="71"/>
    <w:autoRedefine/>
    <w:qFormat/>
    <w:uiPriority w:val="0"/>
    <w:pPr>
      <w:ind w:firstLine="0" w:firstLineChars="0"/>
      <w:jc w:val="center"/>
    </w:pPr>
    <w:rPr>
      <w:rFonts w:ascii="黑体" w:eastAsia="黑体"/>
    </w:rPr>
  </w:style>
  <w:style w:type="paragraph" w:customStyle="1" w:styleId="121">
    <w:name w:val="参考文献"/>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3">
    <w:name w:val="封面标准文稿类别"/>
    <w:basedOn w:val="84"/>
    <w:autoRedefine/>
    <w:qFormat/>
    <w:uiPriority w:val="0"/>
    <w:pPr>
      <w:spacing w:after="160" w:line="240" w:lineRule="auto"/>
    </w:pPr>
    <w:rPr>
      <w:sz w:val="24"/>
    </w:rPr>
  </w:style>
  <w:style w:type="paragraph" w:customStyle="1" w:styleId="124">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5">
    <w:name w:val="其他实施日期"/>
    <w:basedOn w:val="97"/>
    <w:autoRedefine/>
    <w:qFormat/>
    <w:uiPriority w:val="0"/>
    <w:pPr>
      <w:framePr w:vAnchor="margin" w:hAnchor="page"/>
    </w:pPr>
  </w:style>
  <w:style w:type="paragraph" w:customStyle="1" w:styleId="12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发布部门"/>
    <w:next w:val="71"/>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8">
    <w:name w:val="注：（正文）"/>
    <w:basedOn w:val="117"/>
    <w:next w:val="71"/>
    <w:autoRedefine/>
    <w:qFormat/>
    <w:uiPriority w:val="0"/>
  </w:style>
  <w:style w:type="paragraph" w:customStyle="1" w:styleId="129">
    <w:name w:val="参考文献、索引标题"/>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2">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3">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5">
    <w:name w:val="示例×："/>
    <w:basedOn w:val="136"/>
    <w:autoRedefine/>
    <w:qFormat/>
    <w:uiPriority w:val="0"/>
    <w:pPr>
      <w:spacing w:beforeLines="0" w:afterLines="0"/>
      <w:ind w:firstLine="363"/>
      <w:outlineLvl w:val="9"/>
    </w:pPr>
    <w:rPr>
      <w:rFonts w:ascii="宋体" w:eastAsia="宋体"/>
      <w:sz w:val="18"/>
      <w:szCs w:val="18"/>
    </w:rPr>
  </w:style>
  <w:style w:type="paragraph" w:customStyle="1" w:styleId="136">
    <w:name w:val="章标题"/>
    <w:next w:val="71"/>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7">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8">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9">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0">
    <w:name w:val="五级无"/>
    <w:basedOn w:val="141"/>
    <w:autoRedefine/>
    <w:qFormat/>
    <w:uiPriority w:val="0"/>
    <w:pPr>
      <w:spacing w:beforeLines="0" w:afterLines="0"/>
      <w:outlineLvl w:val="6"/>
    </w:pPr>
    <w:rPr>
      <w:rFonts w:ascii="宋体" w:eastAsia="宋体"/>
    </w:rPr>
  </w:style>
  <w:style w:type="paragraph" w:customStyle="1" w:styleId="141">
    <w:name w:val="五级条标题"/>
    <w:basedOn w:val="142"/>
    <w:next w:val="71"/>
    <w:autoRedefine/>
    <w:qFormat/>
    <w:uiPriority w:val="0"/>
  </w:style>
  <w:style w:type="paragraph" w:customStyle="1" w:styleId="142">
    <w:name w:val="四级条标题"/>
    <w:basedOn w:val="143"/>
    <w:next w:val="71"/>
    <w:autoRedefine/>
    <w:qFormat/>
    <w:uiPriority w:val="0"/>
  </w:style>
  <w:style w:type="paragraph" w:customStyle="1" w:styleId="143">
    <w:name w:val="三级条标题"/>
    <w:basedOn w:val="144"/>
    <w:next w:val="71"/>
    <w:autoRedefine/>
    <w:qFormat/>
    <w:uiPriority w:val="0"/>
  </w:style>
  <w:style w:type="paragraph" w:customStyle="1" w:styleId="144">
    <w:name w:val="二级条标题"/>
    <w:basedOn w:val="77"/>
    <w:next w:val="71"/>
    <w:autoRedefine/>
    <w:qFormat/>
    <w:uiPriority w:val="0"/>
  </w:style>
  <w:style w:type="paragraph" w:customStyle="1" w:styleId="145">
    <w:name w:val="四级无"/>
    <w:basedOn w:val="142"/>
    <w:autoRedefine/>
    <w:qFormat/>
    <w:uiPriority w:val="0"/>
  </w:style>
  <w:style w:type="paragraph" w:customStyle="1" w:styleId="146">
    <w:name w:val="三级无"/>
    <w:basedOn w:val="143"/>
    <w:autoRedefine/>
    <w:qFormat/>
    <w:uiPriority w:val="0"/>
  </w:style>
  <w:style w:type="paragraph" w:customStyle="1" w:styleId="147">
    <w:name w:val="其他标准标志"/>
    <w:basedOn w:val="131"/>
    <w:autoRedefine/>
    <w:qFormat/>
    <w:uiPriority w:val="0"/>
    <w:pPr>
      <w:framePr w:w="6101" w:vAnchor="page" w:hAnchor="page" w:x="4673" w:y="942"/>
    </w:pPr>
    <w:rPr>
      <w:w w:val="130"/>
    </w:rPr>
  </w:style>
  <w:style w:type="paragraph" w:customStyle="1" w:styleId="148">
    <w:name w:val="目次、标准名称标题"/>
    <w:basedOn w:val="1"/>
    <w:next w:val="71"/>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0">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1">
    <w:name w:val="批注框文本 字符"/>
    <w:basedOn w:val="47"/>
    <w:link w:val="28"/>
    <w:autoRedefine/>
    <w:semiHidden/>
    <w:qFormat/>
    <w:uiPriority w:val="99"/>
    <w:rPr>
      <w:rFonts w:ascii="Times New Roman" w:hAnsi="Times New Roman" w:eastAsia="宋体" w:cs="Times New Roman"/>
      <w:sz w:val="18"/>
      <w:szCs w:val="18"/>
    </w:rPr>
  </w:style>
  <w:style w:type="paragraph" w:customStyle="1" w:styleId="152">
    <w:name w:val="列项◆（三级）"/>
    <w:basedOn w:val="1"/>
    <w:autoRedefine/>
    <w:qFormat/>
    <w:uiPriority w:val="99"/>
    <w:pPr>
      <w:tabs>
        <w:tab w:val="left" w:pos="969"/>
      </w:tabs>
      <w:ind w:left="969" w:hanging="414"/>
    </w:pPr>
    <w:rPr>
      <w:rFonts w:ascii="宋体"/>
      <w:szCs w:val="21"/>
    </w:rPr>
  </w:style>
  <w:style w:type="paragraph" w:customStyle="1" w:styleId="153">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4">
    <w:name w:val="页眉 字符"/>
    <w:basedOn w:val="47"/>
    <w:link w:val="5"/>
    <w:autoRedefine/>
    <w:semiHidden/>
    <w:qFormat/>
    <w:uiPriority w:val="99"/>
    <w:rPr>
      <w:rFonts w:ascii="Times New Roman" w:hAnsi="Times New Roman" w:eastAsia="宋体" w:cs="Times New Roman"/>
      <w:sz w:val="18"/>
      <w:szCs w:val="18"/>
    </w:rPr>
  </w:style>
  <w:style w:type="paragraph" w:customStyle="1" w:styleId="155">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6">
    <w:name w:val="其他发布部门"/>
    <w:basedOn w:val="127"/>
    <w:autoRedefine/>
    <w:qFormat/>
    <w:uiPriority w:val="0"/>
    <w:pPr>
      <w:framePr w:y="15310"/>
      <w:spacing w:line="0" w:lineRule="atLeast"/>
    </w:pPr>
    <w:rPr>
      <w:rFonts w:ascii="黑体" w:eastAsia="黑体"/>
      <w:b w:val="0"/>
    </w:rPr>
  </w:style>
  <w:style w:type="paragraph" w:customStyle="1" w:styleId="157">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8">
    <w:name w:val="正文图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9">
    <w:name w:val="HTML 预设格式 字符"/>
    <w:basedOn w:val="47"/>
    <w:link w:val="39"/>
    <w:autoRedefine/>
    <w:semiHidden/>
    <w:qFormat/>
    <w:uiPriority w:val="99"/>
    <w:rPr>
      <w:rFonts w:ascii="Courier New" w:hAnsi="Courier New" w:eastAsia="宋体" w:cs="Courier New"/>
      <w:sz w:val="20"/>
      <w:szCs w:val="20"/>
    </w:rPr>
  </w:style>
  <w:style w:type="paragraph" w:customStyle="1" w:styleId="160">
    <w:name w:val="附录标识"/>
    <w:basedOn w:val="1"/>
    <w:next w:val="71"/>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1">
    <w:name w:val="脚注文本 字符"/>
    <w:basedOn w:val="47"/>
    <w:link w:val="34"/>
    <w:autoRedefine/>
    <w:semiHidden/>
    <w:qFormat/>
    <w:uiPriority w:val="99"/>
    <w:rPr>
      <w:rFonts w:ascii="Times New Roman" w:hAnsi="Times New Roman" w:eastAsia="宋体" w:cs="Times New Roman"/>
      <w:sz w:val="18"/>
      <w:szCs w:val="18"/>
    </w:rPr>
  </w:style>
  <w:style w:type="paragraph" w:customStyle="1" w:styleId="162">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3">
    <w:name w:val="二级无"/>
    <w:basedOn w:val="144"/>
    <w:autoRedefine/>
    <w:qFormat/>
    <w:uiPriority w:val="0"/>
  </w:style>
  <w:style w:type="paragraph" w:customStyle="1" w:styleId="164">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5">
    <w:name w:val="正文文本缩进 2 字符"/>
    <w:basedOn w:val="47"/>
    <w:link w:val="22"/>
    <w:autoRedefine/>
    <w:semiHidden/>
    <w:qFormat/>
    <w:uiPriority w:val="99"/>
    <w:rPr>
      <w:rFonts w:ascii="Times New Roman" w:hAnsi="Times New Roman" w:eastAsia="宋体" w:cs="Times New Roman"/>
      <w:szCs w:val="24"/>
    </w:rPr>
  </w:style>
  <w:style w:type="paragraph" w:customStyle="1" w:styleId="166">
    <w:name w:val="封面标准文稿编辑信息2"/>
    <w:basedOn w:val="167"/>
    <w:autoRedefine/>
    <w:qFormat/>
    <w:uiPriority w:val="0"/>
    <w:pPr>
      <w:framePr w:y="4469"/>
    </w:pPr>
  </w:style>
  <w:style w:type="paragraph" w:customStyle="1" w:styleId="167">
    <w:name w:val="封面标准文稿编辑信息"/>
    <w:basedOn w:val="123"/>
    <w:autoRedefine/>
    <w:qFormat/>
    <w:uiPriority w:val="0"/>
    <w:pPr>
      <w:spacing w:before="180" w:line="180" w:lineRule="exact"/>
    </w:pPr>
    <w:rPr>
      <w:sz w:val="21"/>
    </w:rPr>
  </w:style>
  <w:style w:type="paragraph" w:customStyle="1" w:styleId="168">
    <w:name w:val="附录表标题"/>
    <w:basedOn w:val="1"/>
    <w:next w:val="71"/>
    <w:autoRedefine/>
    <w:qFormat/>
    <w:uiPriority w:val="0"/>
    <w:pPr>
      <w:tabs>
        <w:tab w:val="left" w:pos="180"/>
      </w:tabs>
      <w:spacing w:beforeLines="50" w:afterLines="50"/>
      <w:jc w:val="center"/>
    </w:pPr>
    <w:rPr>
      <w:rFonts w:ascii="黑体" w:eastAsia="黑体"/>
      <w:szCs w:val="21"/>
    </w:rPr>
  </w:style>
  <w:style w:type="paragraph" w:customStyle="1" w:styleId="169">
    <w:name w:val="标准书眉_偶数页"/>
    <w:basedOn w:val="153"/>
    <w:next w:val="1"/>
    <w:autoRedefine/>
    <w:qFormat/>
    <w:uiPriority w:val="0"/>
    <w:pPr>
      <w:jc w:val="left"/>
    </w:pPr>
  </w:style>
  <w:style w:type="paragraph" w:customStyle="1" w:styleId="170">
    <w:name w:val="附录表标号"/>
    <w:basedOn w:val="1"/>
    <w:next w:val="71"/>
    <w:autoRedefine/>
    <w:qFormat/>
    <w:uiPriority w:val="0"/>
    <w:pPr>
      <w:spacing w:line="14" w:lineRule="exact"/>
      <w:ind w:left="811" w:hanging="448"/>
      <w:jc w:val="center"/>
      <w:outlineLvl w:val="0"/>
    </w:pPr>
    <w:rPr>
      <w:color w:val="FFFFFF"/>
    </w:rPr>
  </w:style>
  <w:style w:type="paragraph" w:customStyle="1" w:styleId="171">
    <w:name w:val="图表脚注说明"/>
    <w:basedOn w:val="1"/>
    <w:autoRedefine/>
    <w:qFormat/>
    <w:uiPriority w:val="0"/>
    <w:pPr>
      <w:ind w:left="544" w:hanging="181"/>
    </w:pPr>
    <w:rPr>
      <w:rFonts w:ascii="宋体"/>
      <w:sz w:val="18"/>
      <w:szCs w:val="18"/>
    </w:rPr>
  </w:style>
  <w:style w:type="character" w:customStyle="1" w:styleId="172">
    <w:name w:val="页脚 字符"/>
    <w:basedOn w:val="47"/>
    <w:link w:val="29"/>
    <w:autoRedefine/>
    <w:semiHidden/>
    <w:qFormat/>
    <w:uiPriority w:val="99"/>
    <w:rPr>
      <w:rFonts w:ascii="Times New Roman" w:hAnsi="Times New Roman" w:eastAsia="宋体" w:cs="Times New Roman"/>
      <w:sz w:val="18"/>
      <w:szCs w:val="18"/>
    </w:rPr>
  </w:style>
  <w:style w:type="character" w:customStyle="1" w:styleId="173">
    <w:name w:val="批注文字 字符"/>
    <w:basedOn w:val="47"/>
    <w:link w:val="18"/>
    <w:autoRedefine/>
    <w:semiHidden/>
    <w:qFormat/>
    <w:uiPriority w:val="99"/>
    <w:rPr>
      <w:rFonts w:ascii="Times New Roman" w:hAnsi="Times New Roman" w:eastAsia="宋体" w:cs="Times New Roman"/>
      <w:szCs w:val="24"/>
    </w:rPr>
  </w:style>
  <w:style w:type="paragraph" w:customStyle="1" w:styleId="174">
    <w:name w:val="封面标准名称2"/>
    <w:basedOn w:val="86"/>
    <w:autoRedefine/>
    <w:qFormat/>
    <w:uiPriority w:val="0"/>
    <w:pPr>
      <w:framePr w:y="4469"/>
      <w:spacing w:beforeLines="630"/>
    </w:pPr>
  </w:style>
  <w:style w:type="character" w:customStyle="1" w:styleId="175">
    <w:name w:val="日期 字符"/>
    <w:basedOn w:val="47"/>
    <w:link w:val="26"/>
    <w:autoRedefine/>
    <w:semiHidden/>
    <w:qFormat/>
    <w:uiPriority w:val="99"/>
    <w:rPr>
      <w:rFonts w:ascii="Times New Roman" w:hAnsi="Times New Roman" w:eastAsia="宋体" w:cs="Times New Roman"/>
      <w:szCs w:val="24"/>
    </w:rPr>
  </w:style>
  <w:style w:type="character" w:customStyle="1" w:styleId="176">
    <w:name w:val="文档结构图 字符"/>
    <w:basedOn w:val="47"/>
    <w:link w:val="17"/>
    <w:autoRedefine/>
    <w:semiHidden/>
    <w:qFormat/>
    <w:uiPriority w:val="99"/>
    <w:rPr>
      <w:rFonts w:ascii="宋体" w:hAnsi="Times New Roman" w:eastAsia="宋体" w:cs="Times New Roman"/>
      <w:sz w:val="18"/>
      <w:szCs w:val="18"/>
    </w:rPr>
  </w:style>
  <w:style w:type="paragraph" w:customStyle="1" w:styleId="177">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8">
    <w:name w:val="封面标准文稿类别2"/>
    <w:basedOn w:val="123"/>
    <w:autoRedefine/>
    <w:qFormat/>
    <w:uiPriority w:val="0"/>
    <w:pPr>
      <w:framePr w:y="4469"/>
    </w:pPr>
  </w:style>
  <w:style w:type="paragraph" w:customStyle="1" w:styleId="179">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0">
    <w:name w:val="终结线"/>
    <w:basedOn w:val="1"/>
    <w:autoRedefine/>
    <w:qFormat/>
    <w:uiPriority w:val="0"/>
    <w:pPr>
      <w:framePr w:hSpace="181" w:vSpace="181" w:wrap="around" w:vAnchor="text" w:hAnchor="margin" w:xAlign="center" w:y="285"/>
    </w:pPr>
  </w:style>
  <w:style w:type="character" w:customStyle="1" w:styleId="181">
    <w:name w:val="批注主题 字符"/>
    <w:basedOn w:val="173"/>
    <w:link w:val="43"/>
    <w:autoRedefine/>
    <w:semiHidden/>
    <w:qFormat/>
    <w:uiPriority w:val="99"/>
    <w:rPr>
      <w:rFonts w:ascii="Times New Roman" w:hAnsi="Times New Roman" w:eastAsia="宋体" w:cs="Times New Roman"/>
      <w:b/>
      <w:bCs/>
      <w:szCs w:val="24"/>
    </w:rPr>
  </w:style>
  <w:style w:type="character" w:customStyle="1" w:styleId="182">
    <w:name w:val="尾注文本 字符"/>
    <w:basedOn w:val="47"/>
    <w:link w:val="27"/>
    <w:autoRedefine/>
    <w:semiHidden/>
    <w:qFormat/>
    <w:uiPriority w:val="99"/>
    <w:rPr>
      <w:rFonts w:ascii="Times New Roman" w:hAnsi="Times New Roman" w:eastAsia="宋体" w:cs="Times New Roman"/>
      <w:szCs w:val="24"/>
    </w:rPr>
  </w:style>
  <w:style w:type="paragraph" w:customStyle="1" w:styleId="183">
    <w:name w:val="示例"/>
    <w:next w:val="134"/>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4">
    <w:name w:val="正文文本 3 字符"/>
    <w:basedOn w:val="47"/>
    <w:link w:val="20"/>
    <w:autoRedefine/>
    <w:semiHidden/>
    <w:qFormat/>
    <w:uiPriority w:val="99"/>
    <w:rPr>
      <w:rFonts w:ascii="Times New Roman" w:hAnsi="Times New Roman" w:eastAsia="宋体" w:cs="Times New Roman"/>
      <w:sz w:val="16"/>
      <w:szCs w:val="16"/>
    </w:rPr>
  </w:style>
  <w:style w:type="character" w:customStyle="1" w:styleId="185">
    <w:name w:val="标题 字符"/>
    <w:basedOn w:val="47"/>
    <w:link w:val="42"/>
    <w:autoRedefine/>
    <w:qFormat/>
    <w:uiPriority w:val="0"/>
    <w:rPr>
      <w:rFonts w:ascii="Arial" w:hAnsi="Arial" w:eastAsia="宋体" w:cs="Times New Roman"/>
      <w:b/>
      <w:kern w:val="0"/>
      <w:sz w:val="32"/>
      <w:szCs w:val="20"/>
    </w:rPr>
  </w:style>
  <w:style w:type="paragraph" w:customStyle="1" w:styleId="186">
    <w:name w:val="p0"/>
    <w:basedOn w:val="1"/>
    <w:autoRedefine/>
    <w:qFormat/>
    <w:uiPriority w:val="0"/>
    <w:pPr>
      <w:spacing w:line="240" w:lineRule="auto"/>
      <w:jc w:val="both"/>
    </w:pPr>
    <w:rPr>
      <w:kern w:val="0"/>
      <w:szCs w:val="21"/>
    </w:rPr>
  </w:style>
  <w:style w:type="character" w:customStyle="1" w:styleId="187">
    <w:name w:val="纯文本 字符"/>
    <w:basedOn w:val="47"/>
    <w:link w:val="24"/>
    <w:autoRedefine/>
    <w:qFormat/>
    <w:uiPriority w:val="99"/>
    <w:rPr>
      <w:rFonts w:ascii="宋体" w:hAnsi="Courier New" w:eastAsia="宋体" w:cs="Courier New"/>
      <w:szCs w:val="21"/>
    </w:rPr>
  </w:style>
  <w:style w:type="paragraph" w:customStyle="1" w:styleId="18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9">
    <w:name w:val="正文文本 字符"/>
    <w:basedOn w:val="47"/>
    <w:link w:val="3"/>
    <w:autoRedefine/>
    <w:semiHidden/>
    <w:qFormat/>
    <w:uiPriority w:val="99"/>
    <w:rPr>
      <w:kern w:val="2"/>
      <w:sz w:val="21"/>
      <w:szCs w:val="24"/>
    </w:rPr>
  </w:style>
  <w:style w:type="paragraph" w:customStyle="1" w:styleId="190">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1">
    <w:name w:val="标题 4 字符"/>
    <w:basedOn w:val="47"/>
    <w:link w:val="9"/>
    <w:autoRedefine/>
    <w:semiHidden/>
    <w:qFormat/>
    <w:uiPriority w:val="9"/>
    <w:rPr>
      <w:rFonts w:asciiTheme="majorHAnsi" w:hAnsiTheme="majorHAnsi" w:eastAsiaTheme="majorEastAsia" w:cstheme="majorBidi"/>
      <w:b/>
      <w:bCs/>
      <w:kern w:val="2"/>
      <w:sz w:val="28"/>
      <w:szCs w:val="28"/>
    </w:rPr>
  </w:style>
  <w:style w:type="paragraph" w:customStyle="1" w:styleId="192">
    <w:name w:val="_Style 2"/>
    <w:basedOn w:val="6"/>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3">
    <w:name w:val="_Style 4"/>
    <w:autoRedefine/>
    <w:qFormat/>
    <w:uiPriority w:val="31"/>
    <w:rPr>
      <w:smallCaps/>
      <w:color w:val="C0504D"/>
      <w:u w:val="single"/>
    </w:rPr>
  </w:style>
  <w:style w:type="paragraph" w:customStyle="1" w:styleId="194">
    <w:name w:val="纯文本1"/>
    <w:basedOn w:val="1"/>
    <w:autoRedefine/>
    <w:qFormat/>
    <w:uiPriority w:val="0"/>
    <w:rPr>
      <w:rFonts w:ascii="宋体" w:hAnsi="Courier New" w:cs="Courier New"/>
      <w:szCs w:val="21"/>
    </w:rPr>
  </w:style>
  <w:style w:type="paragraph" w:customStyle="1" w:styleId="195">
    <w:name w:val="CM99"/>
    <w:basedOn w:val="14"/>
    <w:next w:val="14"/>
    <w:autoRedefine/>
    <w:qFormat/>
    <w:uiPriority w:val="0"/>
    <w:pPr>
      <w:spacing w:after="443"/>
    </w:pPr>
  </w:style>
  <w:style w:type="paragraph" w:customStyle="1" w:styleId="196">
    <w:name w:val="CM80"/>
    <w:basedOn w:val="14"/>
    <w:next w:val="14"/>
    <w:autoRedefine/>
    <w:qFormat/>
    <w:uiPriority w:val="0"/>
    <w:pPr>
      <w:spacing w:line="440" w:lineRule="atLeast"/>
    </w:pPr>
  </w:style>
  <w:style w:type="paragraph" w:customStyle="1" w:styleId="197">
    <w:name w:val="qg标题 2 + 橙色"/>
    <w:basedOn w:val="7"/>
    <w:autoRedefine/>
    <w:qFormat/>
    <w:uiPriority w:val="0"/>
    <w:pPr>
      <w:autoSpaceDE w:val="0"/>
      <w:spacing w:before="0" w:after="0" w:line="360" w:lineRule="auto"/>
    </w:pPr>
    <w:rPr>
      <w:sz w:val="30"/>
      <w:szCs w:val="30"/>
    </w:rPr>
  </w:style>
  <w:style w:type="paragraph" w:customStyle="1" w:styleId="198">
    <w:name w:val="WPSOffice手动目录 1"/>
    <w:autoRedefine/>
    <w:qFormat/>
    <w:uiPriority w:val="0"/>
    <w:rPr>
      <w:rFonts w:ascii="Times New Roman" w:hAnsi="Times New Roman" w:eastAsia="宋体" w:cs="Times New Roman"/>
      <w:lang w:val="en-US" w:eastAsia="zh-CN" w:bidi="ar-SA"/>
    </w:rPr>
  </w:style>
  <w:style w:type="character" w:customStyle="1" w:styleId="199">
    <w:name w:val="font21"/>
    <w:basedOn w:val="47"/>
    <w:autoRedefine/>
    <w:qFormat/>
    <w:uiPriority w:val="0"/>
    <w:rPr>
      <w:rFonts w:hint="default" w:ascii="Calibri" w:hAnsi="Calibri" w:cs="Calibri"/>
      <w:color w:val="000000"/>
      <w:sz w:val="21"/>
      <w:szCs w:val="21"/>
      <w:u w:val="none"/>
    </w:rPr>
  </w:style>
  <w:style w:type="character" w:customStyle="1" w:styleId="200">
    <w:name w:val="font11"/>
    <w:basedOn w:val="47"/>
    <w:autoRedefine/>
    <w:qFormat/>
    <w:uiPriority w:val="0"/>
    <w:rPr>
      <w:rFonts w:hint="eastAsia" w:ascii="宋体" w:hAnsi="宋体" w:eastAsia="宋体" w:cs="宋体"/>
      <w:color w:val="000000"/>
      <w:sz w:val="21"/>
      <w:szCs w:val="21"/>
      <w:u w:val="none"/>
    </w:rPr>
  </w:style>
  <w:style w:type="character" w:customStyle="1" w:styleId="201">
    <w:name w:val="font31"/>
    <w:basedOn w:val="47"/>
    <w:autoRedefine/>
    <w:qFormat/>
    <w:uiPriority w:val="0"/>
    <w:rPr>
      <w:rFonts w:hint="eastAsia" w:ascii="宋体" w:hAnsi="宋体" w:eastAsia="宋体" w:cs="宋体"/>
      <w:color w:val="000000"/>
      <w:sz w:val="18"/>
      <w:szCs w:val="18"/>
      <w:u w:val="none"/>
    </w:rPr>
  </w:style>
  <w:style w:type="character" w:customStyle="1" w:styleId="202">
    <w:name w:val="font41"/>
    <w:basedOn w:val="47"/>
    <w:autoRedefine/>
    <w:qFormat/>
    <w:uiPriority w:val="0"/>
    <w:rPr>
      <w:rFonts w:hint="default" w:ascii="Times New Roman" w:hAnsi="Times New Roman" w:cs="Times New Roman"/>
      <w:color w:val="000000"/>
      <w:sz w:val="18"/>
      <w:szCs w:val="18"/>
      <w:u w:val="none"/>
    </w:rPr>
  </w:style>
  <w:style w:type="character" w:customStyle="1" w:styleId="203">
    <w:name w:val="font61"/>
    <w:basedOn w:val="47"/>
    <w:autoRedefine/>
    <w:qFormat/>
    <w:uiPriority w:val="0"/>
    <w:rPr>
      <w:rFonts w:ascii="仿宋_GB2312" w:eastAsia="仿宋_GB2312" w:cs="仿宋_GB2312"/>
      <w:b/>
      <w:bCs/>
      <w:color w:val="000000"/>
      <w:sz w:val="21"/>
      <w:szCs w:val="21"/>
      <w:u w:val="none"/>
    </w:rPr>
  </w:style>
  <w:style w:type="character" w:customStyle="1" w:styleId="204">
    <w:name w:val="font01"/>
    <w:basedOn w:val="47"/>
    <w:autoRedefine/>
    <w:qFormat/>
    <w:uiPriority w:val="0"/>
    <w:rPr>
      <w:rFonts w:hint="eastAsia" w:ascii="宋体" w:hAnsi="宋体" w:eastAsia="宋体" w:cs="宋体"/>
      <w:color w:val="000000"/>
      <w:sz w:val="22"/>
      <w:szCs w:val="22"/>
      <w:u w:val="none"/>
    </w:rPr>
  </w:style>
  <w:style w:type="character" w:customStyle="1" w:styleId="205">
    <w:name w:val="font112"/>
    <w:basedOn w:val="47"/>
    <w:autoRedefine/>
    <w:qFormat/>
    <w:uiPriority w:val="0"/>
    <w:rPr>
      <w:rFonts w:hint="default" w:ascii="Times New Roman" w:hAnsi="Times New Roman" w:cs="Times New Roman"/>
      <w:color w:val="000000"/>
      <w:sz w:val="21"/>
      <w:szCs w:val="21"/>
      <w:u w:val="none"/>
    </w:rPr>
  </w:style>
  <w:style w:type="paragraph" w:customStyle="1" w:styleId="206">
    <w:name w:val="目录 81"/>
    <w:basedOn w:val="1"/>
    <w:next w:val="1"/>
    <w:autoRedefine/>
    <w:qFormat/>
    <w:uiPriority w:val="99"/>
    <w:pPr>
      <w:ind w:left="2940"/>
    </w:pPr>
    <w:rPr>
      <w:rFonts w:hAnsi="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95</Pages>
  <Words>57834</Words>
  <Characters>62346</Characters>
  <Lines>182</Lines>
  <Paragraphs>51</Paragraphs>
  <TotalTime>21</TotalTime>
  <ScaleCrop>false</ScaleCrop>
  <LinksUpToDate>false</LinksUpToDate>
  <CharactersWithSpaces>65292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2024-06-05T00:00:42Z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0C69C41BC832413F91E7B16A74D2704A_13</vt:lpwstr>
  </property>
</Properties>
</file>