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 xml:space="preserve">   </w:t>
      </w:r>
    </w:p>
    <w:p>
      <w:pPr>
        <w:snapToGrid w:val="0"/>
        <w:spacing w:line="900" w:lineRule="exact"/>
        <w:jc w:val="center"/>
        <w:outlineLvl w:val="0"/>
        <w:rPr>
          <w:rFonts w:hint="eastAsia" w:ascii="黑体" w:hAnsi="黑体" w:eastAsia="黑体"/>
          <w:bCs/>
          <w:sz w:val="48"/>
          <w:szCs w:val="48"/>
          <w:highlight w:val="none"/>
          <w:lang w:eastAsia="zh-CN"/>
        </w:rPr>
      </w:pPr>
      <w:bookmarkStart w:id="0" w:name="_Toc15933"/>
      <w:r>
        <w:rPr>
          <w:rFonts w:hint="eastAsia" w:ascii="黑体" w:hAnsi="黑体" w:eastAsia="黑体"/>
          <w:bCs/>
          <w:sz w:val="48"/>
          <w:szCs w:val="48"/>
          <w:highlight w:val="none"/>
          <w:lang w:eastAsia="zh-CN"/>
        </w:rPr>
        <w:t>湖南省虞公港建设投资有限公司</w:t>
      </w:r>
      <w:bookmarkEnd w:id="0"/>
    </w:p>
    <w:p>
      <w:pPr>
        <w:autoSpaceDE w:val="0"/>
        <w:autoSpaceDN w:val="0"/>
        <w:spacing w:line="240" w:lineRule="auto"/>
        <w:jc w:val="center"/>
        <w:rPr>
          <w:rFonts w:hint="eastAsia" w:ascii="黑体" w:hAnsi="Times New Roman" w:eastAsia="黑体"/>
          <w:sz w:val="48"/>
          <w:szCs w:val="52"/>
          <w:highlight w:val="none"/>
          <w:u w:val="single"/>
          <w:lang w:val="zh-CN"/>
        </w:rPr>
      </w:pPr>
    </w:p>
    <w:p>
      <w:pPr>
        <w:pStyle w:val="6"/>
        <w:rPr>
          <w:rFonts w:hint="eastAsia"/>
          <w:lang w:val="zh-CN"/>
        </w:rPr>
      </w:pPr>
    </w:p>
    <w:p>
      <w:pPr>
        <w:autoSpaceDE w:val="0"/>
        <w:autoSpaceDN w:val="0"/>
        <w:spacing w:line="240" w:lineRule="auto"/>
        <w:jc w:val="center"/>
        <w:outlineLvl w:val="0"/>
        <w:rPr>
          <w:rFonts w:hint="default" w:ascii="黑体" w:hAnsi="Times New Roman" w:eastAsia="黑体"/>
          <w:sz w:val="48"/>
          <w:szCs w:val="52"/>
          <w:highlight w:val="none"/>
          <w:u w:val="none"/>
          <w:lang w:val="en-US" w:eastAsia="zh-CN"/>
        </w:rPr>
      </w:pPr>
      <w:bookmarkStart w:id="1" w:name="_Toc647"/>
      <w:r>
        <w:rPr>
          <w:rFonts w:hint="eastAsia" w:ascii="黑体" w:eastAsia="黑体"/>
          <w:sz w:val="48"/>
          <w:szCs w:val="52"/>
          <w:highlight w:val="none"/>
          <w:u w:val="none"/>
          <w:lang w:val="zh-CN"/>
        </w:rPr>
        <w:t>湘阴虞公港</w:t>
      </w:r>
      <w:bookmarkEnd w:id="1"/>
      <w:r>
        <w:rPr>
          <w:rFonts w:hint="eastAsia" w:ascii="黑体" w:eastAsia="黑体"/>
          <w:sz w:val="48"/>
          <w:szCs w:val="52"/>
          <w:highlight w:val="none"/>
          <w:u w:val="none"/>
          <w:lang w:val="en-US" w:eastAsia="zh-CN"/>
        </w:rPr>
        <w:t>场内运输外包项目</w:t>
      </w:r>
    </w:p>
    <w:p>
      <w:pPr>
        <w:snapToGrid w:val="0"/>
        <w:spacing w:line="900" w:lineRule="exact"/>
        <w:jc w:val="both"/>
        <w:rPr>
          <w:rFonts w:ascii="黑体" w:hAnsi="黑体" w:eastAsia="黑体"/>
          <w:sz w:val="36"/>
          <w:szCs w:val="36"/>
          <w:highlight w:val="none"/>
        </w:rPr>
      </w:pPr>
    </w:p>
    <w:p>
      <w:pPr>
        <w:snapToGrid w:val="0"/>
        <w:spacing w:line="900" w:lineRule="exact"/>
        <w:jc w:val="center"/>
        <w:rPr>
          <w:highlight w:val="none"/>
        </w:rPr>
      </w:pPr>
      <w:r>
        <w:rPr>
          <w:rFonts w:hint="eastAsia" w:ascii="黑体" w:hAnsi="黑体" w:eastAsia="黑体" w:cs="宋体"/>
          <w:b/>
          <w:color w:val="000000"/>
          <w:kern w:val="0"/>
          <w:sz w:val="72"/>
          <w:szCs w:val="72"/>
          <w:highlight w:val="none"/>
          <w:lang w:val="en-US" w:eastAsia="zh-CN"/>
        </w:rPr>
        <w:t xml:space="preserve">采  购  </w:t>
      </w:r>
      <w:r>
        <w:rPr>
          <w:rFonts w:hint="eastAsia" w:ascii="黑体" w:hAnsi="黑体" w:eastAsia="黑体" w:cs="宋体"/>
          <w:b/>
          <w:color w:val="000000"/>
          <w:kern w:val="0"/>
          <w:sz w:val="72"/>
          <w:szCs w:val="72"/>
          <w:highlight w:val="none"/>
        </w:rPr>
        <w:t>文</w:t>
      </w:r>
      <w:r>
        <w:rPr>
          <w:rFonts w:hint="eastAsia" w:ascii="黑体" w:hAnsi="黑体" w:eastAsia="黑体" w:cs="宋体"/>
          <w:b/>
          <w:color w:val="000000"/>
          <w:kern w:val="0"/>
          <w:sz w:val="72"/>
          <w:szCs w:val="72"/>
          <w:highlight w:val="none"/>
          <w:lang w:val="en-US" w:eastAsia="zh-CN"/>
        </w:rPr>
        <w:t xml:space="preserve"> </w:t>
      </w:r>
      <w:r>
        <w:rPr>
          <w:rFonts w:hint="eastAsia" w:ascii="黑体" w:hAnsi="黑体" w:eastAsia="黑体" w:cs="宋体"/>
          <w:b/>
          <w:color w:val="000000"/>
          <w:kern w:val="0"/>
          <w:sz w:val="72"/>
          <w:szCs w:val="72"/>
          <w:highlight w:val="none"/>
        </w:rPr>
        <w:t xml:space="preserve"> 件</w:t>
      </w:r>
    </w:p>
    <w:p>
      <w:pPr>
        <w:spacing w:line="600" w:lineRule="exact"/>
        <w:rPr>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pStyle w:val="6"/>
        <w:outlineLvl w:val="9"/>
        <w:rPr>
          <w:rFonts w:hint="eastAsia"/>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both"/>
        <w:rPr>
          <w:rFonts w:hint="eastAsia" w:ascii="黑体" w:hAnsi="黑体" w:eastAsia="黑体"/>
          <w:bCs/>
          <w:sz w:val="48"/>
          <w:szCs w:val="48"/>
          <w:highlight w:val="none"/>
        </w:rPr>
      </w:pPr>
    </w:p>
    <w:p>
      <w:pPr>
        <w:tabs>
          <w:tab w:val="left" w:pos="0"/>
          <w:tab w:val="left" w:pos="4185"/>
        </w:tabs>
        <w:spacing w:line="288" w:lineRule="auto"/>
        <w:ind w:right="-6"/>
        <w:jc w:val="center"/>
        <w:rPr>
          <w:rFonts w:hint="eastAsia" w:ascii="黑体" w:hAnsi="黑体" w:eastAsia="黑体"/>
          <w:bCs/>
          <w:sz w:val="48"/>
          <w:szCs w:val="48"/>
          <w:highlight w:val="none"/>
        </w:rPr>
      </w:pPr>
    </w:p>
    <w:p>
      <w:pPr>
        <w:tabs>
          <w:tab w:val="left" w:pos="0"/>
          <w:tab w:val="left" w:pos="4185"/>
        </w:tabs>
        <w:spacing w:line="288" w:lineRule="auto"/>
        <w:ind w:right="-6"/>
        <w:jc w:val="center"/>
        <w:rPr>
          <w:rFonts w:ascii="方正小标宋简体" w:hAnsi="黑体" w:eastAsia="方正小标宋简体"/>
          <w:color w:val="auto"/>
          <w:sz w:val="36"/>
          <w:szCs w:val="36"/>
          <w:highlight w:val="none"/>
        </w:rPr>
      </w:pPr>
      <w:r>
        <w:rPr>
          <w:rFonts w:hint="eastAsia" w:ascii="黑体" w:hAnsi="黑体" w:eastAsia="黑体"/>
          <w:bCs/>
          <w:sz w:val="48"/>
          <w:szCs w:val="48"/>
          <w:highlight w:val="none"/>
        </w:rPr>
        <w:t>二О二</w:t>
      </w:r>
      <w:r>
        <w:rPr>
          <w:rFonts w:hint="eastAsia" w:ascii="黑体" w:hAnsi="黑体" w:eastAsia="黑体"/>
          <w:bCs/>
          <w:sz w:val="48"/>
          <w:szCs w:val="48"/>
          <w:highlight w:val="none"/>
          <w:lang w:val="en-US" w:eastAsia="zh-CN"/>
        </w:rPr>
        <w:t>四</w:t>
      </w:r>
      <w:r>
        <w:rPr>
          <w:rFonts w:hint="eastAsia" w:ascii="黑体" w:hAnsi="黑体" w:eastAsia="黑体"/>
          <w:bCs/>
          <w:sz w:val="48"/>
          <w:szCs w:val="48"/>
          <w:highlight w:val="none"/>
        </w:rPr>
        <w:t>年</w:t>
      </w:r>
      <w:r>
        <w:rPr>
          <w:rFonts w:hint="eastAsia" w:ascii="黑体" w:hAnsi="黑体" w:eastAsia="黑体"/>
          <w:bCs/>
          <w:sz w:val="48"/>
          <w:szCs w:val="48"/>
          <w:highlight w:val="none"/>
          <w:lang w:val="en-US" w:eastAsia="zh-CN"/>
        </w:rPr>
        <w:t>五</w:t>
      </w:r>
      <w:r>
        <w:rPr>
          <w:rFonts w:hint="eastAsia" w:ascii="黑体" w:hAnsi="黑体" w:eastAsia="黑体"/>
          <w:bCs/>
          <w:color w:val="auto"/>
          <w:sz w:val="48"/>
          <w:szCs w:val="48"/>
          <w:highlight w:val="none"/>
        </w:rPr>
        <w:t>月</w:t>
      </w:r>
    </w:p>
    <w:p>
      <w:pPr>
        <w:pStyle w:val="189"/>
        <w:keepNext w:val="0"/>
        <w:keepLines w:val="0"/>
        <w:widowControl w:val="0"/>
        <w:spacing w:before="0" w:line="600" w:lineRule="exact"/>
        <w:ind w:left="440"/>
        <w:jc w:val="center"/>
        <w:outlineLvl w:val="0"/>
        <w:rPr>
          <w:rFonts w:ascii="黑体" w:hAnsi="黑体" w:eastAsia="黑体"/>
          <w:b w:val="0"/>
          <w:color w:val="auto"/>
          <w:sz w:val="44"/>
          <w:szCs w:val="44"/>
          <w:highlight w:val="none"/>
          <w:lang w:val="zh-CN"/>
        </w:rPr>
        <w:sectPr>
          <w:footerReference r:id="rId5"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pPr>
      <w:bookmarkStart w:id="2" w:name="_Toc9655"/>
    </w:p>
    <w:p>
      <w:pPr>
        <w:rPr>
          <w:lang w:val="zh-CN"/>
        </w:rPr>
      </w:pPr>
    </w:p>
    <w:p>
      <w:pPr>
        <w:pStyle w:val="189"/>
        <w:keepNext w:val="0"/>
        <w:keepLines w:val="0"/>
        <w:widowControl w:val="0"/>
        <w:spacing w:before="0" w:line="600" w:lineRule="exact"/>
        <w:ind w:left="440"/>
        <w:jc w:val="center"/>
        <w:outlineLvl w:val="0"/>
        <w:rPr>
          <w:rFonts w:ascii="黑体" w:hAnsi="黑体" w:eastAsia="黑体"/>
          <w:b w:val="0"/>
          <w:color w:val="auto"/>
          <w:sz w:val="44"/>
          <w:szCs w:val="44"/>
          <w:highlight w:val="none"/>
          <w:lang w:val="zh-CN"/>
        </w:rPr>
      </w:pPr>
      <w:r>
        <w:rPr>
          <w:rFonts w:ascii="黑体" w:hAnsi="黑体" w:eastAsia="黑体"/>
          <w:b w:val="0"/>
          <w:color w:val="auto"/>
          <w:sz w:val="44"/>
          <w:szCs w:val="44"/>
          <w:highlight w:val="none"/>
          <w:lang w:val="zh-CN"/>
        </w:rPr>
        <w:t>目    录</w:t>
      </w:r>
      <w:bookmarkEnd w:id="2"/>
    </w:p>
    <w:p>
      <w:pPr>
        <w:jc w:val="center"/>
        <w:rPr>
          <w:rFonts w:eastAsia="华文楷体"/>
          <w:sz w:val="28"/>
          <w:szCs w:val="28"/>
          <w:highlight w:val="none"/>
          <w:lang w:val="zh-CN"/>
        </w:rPr>
      </w:pPr>
    </w:p>
    <w:sdt>
      <w:sdtPr>
        <w:rPr>
          <w:rFonts w:ascii="宋体" w:hAnsi="宋体" w:eastAsia="宋体" w:cs="Times New Roman"/>
          <w:kern w:val="2"/>
          <w:sz w:val="21"/>
          <w:szCs w:val="24"/>
          <w:lang w:val="en-US" w:eastAsia="zh-CN" w:bidi="ar-SA"/>
        </w:rPr>
        <w:id w:val="147462830"/>
        <w15:color w:val="DBDBDB"/>
        <w:docPartObj>
          <w:docPartGallery w:val="Table of Contents"/>
          <w:docPartUnique/>
        </w:docPartObj>
      </w:sdtPr>
      <w:sdtEndPr>
        <w:rPr>
          <w:rFonts w:ascii="Times New Roman" w:hAnsi="Times New Roman" w:eastAsia="宋体" w:cs="Times New Roman"/>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pPr>
        </w:p>
        <w:p>
          <w:pPr>
            <w:pStyle w:val="195"/>
            <w:tabs>
              <w:tab w:val="right" w:leader="dot" w:pos="9746"/>
            </w:tabs>
            <w:rPr>
              <w:rFonts w:hint="eastAsia" w:ascii="宋体" w:hAnsi="宋体" w:eastAsia="宋体" w:cs="宋体"/>
              <w:sz w:val="24"/>
              <w:szCs w:val="24"/>
            </w:rPr>
          </w:pPr>
          <w:r>
            <w:rPr>
              <w:rFonts w:ascii="Times New Roman"/>
              <w:sz w:val="24"/>
              <w:szCs w:val="24"/>
              <w:highlight w:val="none"/>
            </w:rPr>
            <w:fldChar w:fldCharType="begin"/>
          </w:r>
          <w:r>
            <w:rPr>
              <w:rFonts w:ascii="Times New Roman"/>
              <w:sz w:val="24"/>
              <w:szCs w:val="24"/>
              <w:highlight w:val="none"/>
            </w:rPr>
            <w:instrText xml:space="preserve">TOC \o "1-1" \h \u </w:instrText>
          </w:r>
          <w:r>
            <w:rPr>
              <w:rFonts w:ascii="Times New Roman"/>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_Toc15915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 xml:space="preserve">第一章 </w:t>
          </w:r>
          <w:r>
            <w:rPr>
              <w:rFonts w:hint="eastAsia" w:ascii="宋体" w:hAnsi="宋体" w:eastAsia="宋体" w:cs="宋体"/>
              <w:sz w:val="24"/>
              <w:szCs w:val="24"/>
              <w:highlight w:val="none"/>
            </w:rPr>
            <w:t>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_Toc15915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_Toc14390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_Toc14390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_Toc10726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第二章 供应商须知正文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_Toc10726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_Toc17603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第三章 评审办法</w:t>
          </w:r>
          <w:r>
            <w:rPr>
              <w:rFonts w:hint="eastAsia" w:ascii="宋体" w:hAnsi="宋体" w:eastAsia="宋体" w:cs="宋体"/>
              <w:bCs/>
              <w:sz w:val="24"/>
              <w:szCs w:val="24"/>
              <w:highlight w:val="none"/>
              <w:lang w:eastAsia="zh-CN"/>
            </w:rPr>
            <w:t>（经评审的最低价法）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_Toc17603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_Toc23090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协议</w:t>
          </w:r>
          <w:r>
            <w:rPr>
              <w:rFonts w:hint="eastAsia" w:ascii="宋体" w:hAnsi="宋体" w:eastAsia="宋体" w:cs="宋体"/>
              <w:sz w:val="24"/>
              <w:szCs w:val="24"/>
              <w:highlight w:val="none"/>
            </w:rPr>
            <w:t>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_Toc23090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_Toc24337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_Toc24337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195"/>
            <w:tabs>
              <w:tab w:val="right" w:leader="dot" w:pos="9746"/>
            </w:tabs>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_Toc7790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_Toc7790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pPr>
            <w:pStyle w:val="27"/>
            <w:widowControl w:val="0"/>
            <w:tabs>
              <w:tab w:val="right" w:leader="dot" w:pos="8948"/>
              <w:tab w:val="clear" w:pos="9242"/>
            </w:tabs>
            <w:adjustRightInd w:val="0"/>
            <w:snapToGrid w:val="0"/>
            <w:spacing w:before="60" w:after="60" w:line="312" w:lineRule="auto"/>
            <w:rPr>
              <w:rFonts w:ascii="Times New Roman"/>
              <w:sz w:val="24"/>
              <w:szCs w:val="24"/>
              <w:highlight w:val="none"/>
            </w:rPr>
          </w:pPr>
          <w:r>
            <w:rPr>
              <w:rFonts w:ascii="Times New Roman"/>
              <w:szCs w:val="24"/>
              <w:highlight w:val="none"/>
            </w:rPr>
            <w:fldChar w:fldCharType="end"/>
          </w:r>
        </w:p>
      </w:sdtContent>
    </w:sdt>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pStyle w:val="6"/>
        <w:rPr>
          <w:szCs w:val="21"/>
          <w:highlight w:val="none"/>
        </w:rPr>
      </w:pPr>
    </w:p>
    <w:p>
      <w:pPr>
        <w:rPr>
          <w:szCs w:val="21"/>
          <w:highlight w:val="none"/>
        </w:rPr>
      </w:pPr>
    </w:p>
    <w:p>
      <w:pPr>
        <w:pStyle w:val="6"/>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widowControl w:val="0"/>
        <w:adjustRightInd w:val="0"/>
        <w:snapToGrid w:val="0"/>
        <w:spacing w:line="240" w:lineRule="auto"/>
        <w:ind w:firstLine="420" w:firstLineChars="200"/>
        <w:rPr>
          <w:szCs w:val="21"/>
          <w:highlight w:val="none"/>
        </w:rPr>
      </w:pPr>
    </w:p>
    <w:p>
      <w:pPr>
        <w:pStyle w:val="40"/>
        <w:rPr>
          <w:highlight w:val="none"/>
        </w:rPr>
      </w:pPr>
    </w:p>
    <w:p>
      <w:pPr>
        <w:pStyle w:val="40"/>
        <w:rPr>
          <w:highlight w:val="none"/>
        </w:rPr>
      </w:pPr>
    </w:p>
    <w:p>
      <w:pPr>
        <w:widowControl w:val="0"/>
        <w:adjustRightInd w:val="0"/>
        <w:snapToGrid w:val="0"/>
        <w:spacing w:line="240" w:lineRule="auto"/>
        <w:rPr>
          <w:szCs w:val="21"/>
          <w:highlight w:val="none"/>
        </w:rPr>
      </w:pPr>
    </w:p>
    <w:p>
      <w:pPr>
        <w:pStyle w:val="79"/>
        <w:numPr>
          <w:ilvl w:val="0"/>
          <w:numId w:val="1"/>
        </w:numPr>
        <w:spacing w:line="600" w:lineRule="exact"/>
        <w:ind w:left="0" w:firstLine="0" w:firstLineChars="0"/>
        <w:jc w:val="center"/>
        <w:outlineLvl w:val="0"/>
        <w:rPr>
          <w:rFonts w:ascii="黑体" w:hAnsi="黑体" w:eastAsia="黑体" w:cs="仿宋"/>
          <w:b/>
          <w:color w:val="000000"/>
          <w:sz w:val="44"/>
          <w:szCs w:val="44"/>
          <w:highlight w:val="none"/>
        </w:rPr>
        <w:sectPr>
          <w:footerReference r:id="rId6"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pPr>
      <w:bookmarkStart w:id="3" w:name="_Toc15915"/>
    </w:p>
    <w:p>
      <w:pPr>
        <w:pStyle w:val="79"/>
        <w:numPr>
          <w:ilvl w:val="0"/>
          <w:numId w:val="1"/>
        </w:numPr>
        <w:spacing w:line="600" w:lineRule="exact"/>
        <w:ind w:left="0" w:firstLine="0" w:firstLineChars="0"/>
        <w:jc w:val="center"/>
        <w:outlineLvl w:val="0"/>
        <w:rPr>
          <w:rFonts w:ascii="黑体" w:hAnsi="黑体" w:eastAsia="黑体" w:cs="仿宋"/>
          <w:b/>
          <w:color w:val="000000"/>
          <w:sz w:val="44"/>
          <w:szCs w:val="44"/>
          <w:highlight w:val="none"/>
        </w:rPr>
      </w:pPr>
      <w:r>
        <w:rPr>
          <w:rFonts w:hint="eastAsia" w:ascii="黑体" w:hAnsi="黑体" w:eastAsia="黑体" w:cs="仿宋"/>
          <w:b/>
          <w:color w:val="000000"/>
          <w:sz w:val="44"/>
          <w:szCs w:val="44"/>
          <w:highlight w:val="none"/>
        </w:rPr>
        <w:t>采购公告</w:t>
      </w:r>
      <w:bookmarkEnd w:id="3"/>
    </w:p>
    <w:p>
      <w:pPr>
        <w:pStyle w:val="36"/>
        <w:spacing w:before="0" w:beforeAutospacing="0" w:after="0" w:afterAutospacing="0"/>
        <w:jc w:val="center"/>
        <w:rPr>
          <w:rFonts w:ascii="黑体" w:hAnsi="黑体" w:eastAsia="黑体"/>
          <w:sz w:val="32"/>
          <w:szCs w:val="32"/>
          <w:highlight w:val="none"/>
        </w:rPr>
      </w:pPr>
    </w:p>
    <w:p>
      <w:pPr>
        <w:pStyle w:val="36"/>
        <w:spacing w:before="0" w:beforeAutospacing="0" w:after="0" w:afterAutospacing="0"/>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湖南省虞公港建设投资有限公司</w:t>
      </w:r>
    </w:p>
    <w:p>
      <w:pPr>
        <w:pStyle w:val="36"/>
        <w:spacing w:before="0" w:beforeAutospacing="0" w:after="0" w:afterAutospacing="0"/>
        <w:jc w:val="center"/>
        <w:rPr>
          <w:rFonts w:ascii="黑体" w:hAnsi="黑体" w:eastAsia="黑体"/>
          <w:sz w:val="32"/>
          <w:szCs w:val="32"/>
          <w:highlight w:val="none"/>
        </w:rPr>
      </w:pPr>
      <w:r>
        <w:rPr>
          <w:rFonts w:hint="eastAsia" w:ascii="黑体" w:hAnsi="黑体" w:eastAsia="黑体"/>
          <w:sz w:val="32"/>
          <w:szCs w:val="32"/>
          <w:highlight w:val="none"/>
        </w:rPr>
        <w:t>湘阴虞公港场内运输外包项目询价公告</w:t>
      </w:r>
    </w:p>
    <w:p>
      <w:pPr>
        <w:pStyle w:val="36"/>
        <w:spacing w:before="0" w:beforeAutospacing="0" w:after="0" w:afterAutospacing="0"/>
        <w:jc w:val="both"/>
        <w:rPr>
          <w:rFonts w:cs="Times New Roman"/>
          <w:kern w:val="2"/>
          <w:highlight w:val="none"/>
        </w:rPr>
      </w:pPr>
      <w:r>
        <w:rPr>
          <w:rFonts w:hint="eastAsia" w:cs="Times New Roman"/>
          <w:kern w:val="2"/>
          <w:highlight w:val="none"/>
        </w:rPr>
        <w:t xml:space="preserve"> </w:t>
      </w:r>
    </w:p>
    <w:p>
      <w:pPr>
        <w:pStyle w:val="36"/>
        <w:spacing w:before="0" w:beforeAutospacing="0" w:after="0" w:afterAutospacing="0"/>
        <w:ind w:firstLine="480" w:firstLineChars="200"/>
        <w:jc w:val="both"/>
        <w:rPr>
          <w:rFonts w:cs="Times New Roman"/>
          <w:kern w:val="2"/>
          <w:highlight w:val="none"/>
        </w:rPr>
      </w:pPr>
      <w:r>
        <w:rPr>
          <w:rFonts w:hint="eastAsia" w:cs="Times New Roman"/>
          <w:kern w:val="2"/>
          <w:highlight w:val="none"/>
        </w:rPr>
        <w:t xml:space="preserve">湘阴虞公港场内运输外包项目询价公告已具备采购条件，现公开邀请供应商参加采购活动。 </w:t>
      </w:r>
    </w:p>
    <w:p>
      <w:pPr>
        <w:pStyle w:val="7"/>
        <w:jc w:val="both"/>
        <w:rPr>
          <w:rFonts w:ascii="Arial" w:hAnsi="Arial"/>
          <w:highlight w:val="none"/>
        </w:rPr>
      </w:pPr>
      <w:r>
        <w:rPr>
          <w:rFonts w:hint="eastAsia"/>
          <w:highlight w:val="none"/>
          <w:lang w:val="en-US" w:eastAsia="zh-CN"/>
        </w:rPr>
        <w:t>一、</w:t>
      </w:r>
      <w:r>
        <w:rPr>
          <w:rFonts w:hint="eastAsia"/>
          <w:highlight w:val="none"/>
        </w:rPr>
        <w:t xml:space="preserve"> </w:t>
      </w:r>
      <w:r>
        <w:rPr>
          <w:rFonts w:hint="eastAsia" w:ascii="黑体" w:hAnsi="黑体"/>
          <w:highlight w:val="none"/>
        </w:rPr>
        <w:t xml:space="preserve">采购项目简介 </w:t>
      </w:r>
    </w:p>
    <w:p>
      <w:pPr>
        <w:autoSpaceDE w:val="0"/>
        <w:spacing w:line="400" w:lineRule="exact"/>
        <w:jc w:val="both"/>
        <w:rPr>
          <w:rFonts w:hint="eastAsia" w:ascii="宋体" w:hAnsi="宋体" w:eastAsia="宋体"/>
          <w:sz w:val="24"/>
          <w:highlight w:val="none"/>
          <w:lang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一</w:t>
      </w:r>
      <w:r>
        <w:rPr>
          <w:rFonts w:hint="eastAsia" w:ascii="宋体" w:hAnsi="宋体"/>
          <w:b/>
          <w:bCs/>
          <w:sz w:val="24"/>
          <w:highlight w:val="none"/>
          <w:lang w:eastAsia="zh-CN"/>
        </w:rPr>
        <w:t>）</w:t>
      </w:r>
      <w:r>
        <w:rPr>
          <w:rFonts w:hint="eastAsia" w:ascii="宋体" w:hAnsi="宋体"/>
          <w:sz w:val="24"/>
          <w:highlight w:val="none"/>
        </w:rPr>
        <w:t>采购项目名称</w:t>
      </w:r>
      <w:r>
        <w:rPr>
          <w:rFonts w:hint="eastAsia" w:ascii="宋体" w:hAnsi="宋体"/>
          <w:sz w:val="24"/>
          <w:highlight w:val="none"/>
          <w:lang w:eastAsia="zh-CN"/>
        </w:rPr>
        <w:t>：湘阴虞公港场内运输外包项目</w:t>
      </w:r>
    </w:p>
    <w:p>
      <w:pPr>
        <w:autoSpaceDE w:val="0"/>
        <w:spacing w:line="400" w:lineRule="exact"/>
        <w:rPr>
          <w:rFonts w:hint="eastAsia" w:ascii="宋体" w:hAnsi="宋体" w:eastAsia="宋体"/>
          <w:sz w:val="24"/>
          <w:highlight w:val="none"/>
          <w:lang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采购人</w:t>
      </w:r>
      <w:r>
        <w:rPr>
          <w:rFonts w:hint="eastAsia" w:ascii="宋体" w:hAnsi="宋体"/>
          <w:sz w:val="24"/>
          <w:highlight w:val="none"/>
          <w:lang w:eastAsia="zh-CN"/>
        </w:rPr>
        <w:t>：湖南省虞公港建设投资有限公司</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三</w:t>
      </w:r>
      <w:r>
        <w:rPr>
          <w:rFonts w:hint="eastAsia" w:ascii="宋体" w:hAnsi="宋体"/>
          <w:b/>
          <w:bCs/>
          <w:sz w:val="24"/>
          <w:highlight w:val="none"/>
          <w:lang w:eastAsia="zh-CN"/>
        </w:rPr>
        <w:t>）</w:t>
      </w:r>
      <w:r>
        <w:rPr>
          <w:rFonts w:hint="eastAsia" w:ascii="宋体" w:hAnsi="宋体"/>
          <w:sz w:val="24"/>
          <w:highlight w:val="none"/>
        </w:rPr>
        <w:t>采购代理机构</w:t>
      </w:r>
      <w:r>
        <w:rPr>
          <w:rFonts w:hint="eastAsia" w:ascii="宋体" w:hAnsi="宋体"/>
          <w:sz w:val="24"/>
          <w:highlight w:val="none"/>
          <w:lang w:eastAsia="zh-CN"/>
        </w:rPr>
        <w:t>：</w:t>
      </w:r>
      <w:r>
        <w:rPr>
          <w:rFonts w:hint="eastAsia" w:ascii="宋体" w:hAnsi="宋体"/>
          <w:sz w:val="24"/>
          <w:highlight w:val="none"/>
        </w:rPr>
        <w:t>无</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四</w:t>
      </w:r>
      <w:r>
        <w:rPr>
          <w:rFonts w:hint="eastAsia" w:ascii="宋体" w:hAnsi="宋体"/>
          <w:b/>
          <w:bCs/>
          <w:sz w:val="24"/>
          <w:highlight w:val="none"/>
          <w:lang w:eastAsia="zh-CN"/>
        </w:rPr>
        <w:t>）</w:t>
      </w:r>
      <w:r>
        <w:rPr>
          <w:rFonts w:hint="eastAsia" w:ascii="宋体" w:hAnsi="宋体"/>
          <w:sz w:val="24"/>
          <w:highlight w:val="none"/>
        </w:rPr>
        <w:t>采购项目资金落实情况</w:t>
      </w:r>
      <w:r>
        <w:rPr>
          <w:rFonts w:hint="eastAsia" w:ascii="宋体" w:hAnsi="宋体"/>
          <w:sz w:val="24"/>
          <w:highlight w:val="none"/>
          <w:lang w:eastAsia="zh-CN"/>
        </w:rPr>
        <w:t>：</w:t>
      </w:r>
      <w:r>
        <w:rPr>
          <w:rFonts w:hint="eastAsia" w:ascii="宋体" w:hAnsi="宋体"/>
          <w:sz w:val="24"/>
          <w:highlight w:val="none"/>
        </w:rPr>
        <w:t>已落实</w:t>
      </w:r>
    </w:p>
    <w:p>
      <w:pPr>
        <w:autoSpaceDE w:val="0"/>
        <w:spacing w:line="400" w:lineRule="exact"/>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五</w:t>
      </w:r>
      <w:r>
        <w:rPr>
          <w:rFonts w:hint="eastAsia" w:ascii="宋体" w:hAnsi="宋体"/>
          <w:b/>
          <w:bCs/>
          <w:sz w:val="24"/>
          <w:highlight w:val="none"/>
          <w:lang w:eastAsia="zh-CN"/>
        </w:rPr>
        <w:t>）</w:t>
      </w:r>
      <w:r>
        <w:rPr>
          <w:rFonts w:hint="eastAsia" w:ascii="宋体" w:hAnsi="宋体"/>
          <w:sz w:val="24"/>
          <w:highlight w:val="none"/>
        </w:rPr>
        <w:t>采购项目概况</w:t>
      </w:r>
      <w:r>
        <w:rPr>
          <w:rFonts w:hint="eastAsia" w:ascii="宋体" w:hAnsi="宋体"/>
          <w:sz w:val="24"/>
          <w:highlight w:val="none"/>
          <w:lang w:eastAsia="zh-CN"/>
        </w:rPr>
        <w:t>：</w:t>
      </w:r>
      <w:r>
        <w:rPr>
          <w:rFonts w:hint="eastAsia" w:ascii="宋体" w:hAnsi="宋体"/>
          <w:sz w:val="24"/>
          <w:highlight w:val="none"/>
        </w:rPr>
        <w:t>本项目位于岳阳市湘阴县三塘镇黄陵港村，湘江右岸，湘阴湘江大桥下游16公里处。项目拟新建4个3000吨级（兼顾5000吨级）泊位，其中多用途、散货泊位各2个，均位于规划多用途泊位区和散货泊位区的下游端，其中2个多用途泊位占用岸线259米，2个散货泊位占用岸线263米，工程设计吞吐量990万吨/年（含8万TEU）。</w:t>
      </w:r>
    </w:p>
    <w:p>
      <w:pPr>
        <w:pStyle w:val="7"/>
        <w:jc w:val="both"/>
        <w:rPr>
          <w:highlight w:val="none"/>
          <w:shd w:val="clear" w:color="FFFFFF" w:fill="D9D9D9"/>
        </w:rPr>
      </w:pPr>
      <w:r>
        <w:rPr>
          <w:rFonts w:hint="eastAsia"/>
          <w:highlight w:val="none"/>
          <w:shd w:val="clear" w:color="FFFFFF" w:fill="D9D9D9"/>
          <w:lang w:val="en-US" w:eastAsia="zh-CN"/>
        </w:rPr>
        <w:t>二、</w:t>
      </w:r>
      <w:r>
        <w:rPr>
          <w:rFonts w:hint="eastAsia"/>
          <w:highlight w:val="none"/>
          <w:shd w:val="clear" w:color="FFFFFF" w:fill="D9D9D9"/>
        </w:rPr>
        <w:t>采购范围及相关要求</w:t>
      </w:r>
    </w:p>
    <w:p>
      <w:pPr>
        <w:widowControl/>
        <w:jc w:val="left"/>
        <w:rPr>
          <w:rFonts w:hint="eastAsia" w:ascii="宋体" w:hAnsi="宋体"/>
          <w:color w:val="auto"/>
          <w:sz w:val="24"/>
          <w:highlight w:val="yellow"/>
          <w:lang w:eastAsia="zh-CN"/>
        </w:rPr>
      </w:pPr>
      <w:r>
        <w:rPr>
          <w:rFonts w:hint="eastAsia" w:ascii="宋体" w:hAnsi="宋体"/>
          <w:b/>
          <w:bCs/>
          <w:sz w:val="24"/>
          <w:highlight w:val="yellow"/>
          <w:lang w:eastAsia="zh-CN"/>
        </w:rPr>
        <w:t>（</w:t>
      </w:r>
      <w:r>
        <w:rPr>
          <w:rFonts w:hint="eastAsia" w:ascii="宋体" w:hAnsi="宋体"/>
          <w:b/>
          <w:bCs/>
          <w:sz w:val="24"/>
          <w:highlight w:val="yellow"/>
          <w:lang w:val="en-US" w:eastAsia="zh-CN"/>
        </w:rPr>
        <w:t>一</w:t>
      </w:r>
      <w:r>
        <w:rPr>
          <w:rFonts w:hint="eastAsia" w:ascii="宋体" w:hAnsi="宋体"/>
          <w:b/>
          <w:bCs/>
          <w:sz w:val="24"/>
          <w:highlight w:val="yellow"/>
          <w:lang w:eastAsia="zh-CN"/>
        </w:rPr>
        <w:t>）</w:t>
      </w:r>
      <w:r>
        <w:rPr>
          <w:rFonts w:hint="eastAsia" w:ascii="宋体" w:hAnsi="宋体"/>
          <w:sz w:val="24"/>
          <w:highlight w:val="yellow"/>
        </w:rPr>
        <w:t>采</w:t>
      </w:r>
      <w:r>
        <w:rPr>
          <w:rFonts w:hint="eastAsia" w:ascii="宋体" w:hAnsi="宋体"/>
          <w:color w:val="auto"/>
          <w:sz w:val="24"/>
          <w:highlight w:val="yellow"/>
        </w:rPr>
        <w:t>购范围</w:t>
      </w:r>
      <w:r>
        <w:rPr>
          <w:rFonts w:hint="eastAsia" w:ascii="宋体" w:hAnsi="宋体"/>
          <w:color w:val="auto"/>
          <w:sz w:val="24"/>
          <w:highlight w:val="yellow"/>
          <w:lang w:eastAsia="zh-CN"/>
        </w:rPr>
        <w:t>：湘阴虞公港场内货物转场（</w:t>
      </w:r>
      <w:r>
        <w:rPr>
          <w:rFonts w:hint="eastAsia" w:ascii="宋体" w:hAnsi="宋体"/>
          <w:color w:val="auto"/>
          <w:sz w:val="24"/>
          <w:highlight w:val="yellow"/>
          <w:lang w:val="en-US" w:eastAsia="zh-CN"/>
        </w:rPr>
        <w:t>最长运输距离约为1公里）</w:t>
      </w:r>
      <w:r>
        <w:rPr>
          <w:rFonts w:hint="eastAsia" w:ascii="宋体" w:hAnsi="宋体"/>
          <w:color w:val="auto"/>
          <w:sz w:val="24"/>
          <w:highlight w:val="yellow"/>
          <w:lang w:eastAsia="zh-CN"/>
        </w:rPr>
        <w:t>，设备和人员由中标单位提供并由我司进行生产调度。因前期货源不确定，预估未来一年场内货物转场费用为</w:t>
      </w:r>
      <w:r>
        <w:rPr>
          <w:rFonts w:hint="eastAsia" w:ascii="宋体" w:hAnsi="宋体"/>
          <w:color w:val="auto"/>
          <w:sz w:val="24"/>
          <w:highlight w:val="yellow"/>
          <w:lang w:val="en-US" w:eastAsia="zh-CN"/>
        </w:rPr>
        <w:t>42</w:t>
      </w:r>
      <w:r>
        <w:rPr>
          <w:rFonts w:hint="eastAsia" w:ascii="宋体" w:hAnsi="宋体"/>
          <w:color w:val="auto"/>
          <w:sz w:val="24"/>
          <w:highlight w:val="yellow"/>
          <w:lang w:eastAsia="zh-CN"/>
        </w:rPr>
        <w:t>万元。</w:t>
      </w:r>
    </w:p>
    <w:p>
      <w:pPr>
        <w:widowControl/>
        <w:ind w:firstLine="720" w:firstLineChars="300"/>
        <w:jc w:val="left"/>
        <w:rPr>
          <w:rFonts w:hint="eastAsia" w:ascii="宋体" w:hAnsi="宋体" w:eastAsia="宋体" w:cs="宋体"/>
          <w:color w:val="auto"/>
          <w:sz w:val="24"/>
          <w:szCs w:val="24"/>
          <w:highlight w:val="yellow"/>
          <w:lang w:val="en-US" w:eastAsia="zh-CN"/>
        </w:rPr>
      </w:pPr>
      <w:r>
        <w:rPr>
          <w:rFonts w:hint="eastAsia" w:ascii="宋体" w:hAnsi="宋体"/>
          <w:color w:val="auto"/>
          <w:sz w:val="24"/>
          <w:highlight w:val="yellow"/>
          <w:lang w:eastAsia="zh-CN"/>
        </w:rPr>
        <w:t>注：此</w:t>
      </w:r>
      <w:r>
        <w:rPr>
          <w:rFonts w:hint="eastAsia" w:ascii="宋体" w:hAnsi="宋体"/>
          <w:color w:val="auto"/>
          <w:sz w:val="24"/>
          <w:highlight w:val="yellow"/>
          <w:lang w:val="en-US" w:eastAsia="zh-CN"/>
        </w:rPr>
        <w:t>费用通过</w:t>
      </w:r>
      <w:r>
        <w:rPr>
          <w:rFonts w:hint="eastAsia" w:ascii="宋体" w:hAnsi="宋体"/>
          <w:color w:val="auto"/>
          <w:sz w:val="24"/>
          <w:highlight w:val="yellow"/>
          <w:lang w:eastAsia="zh-CN"/>
        </w:rPr>
        <w:t>估计量</w:t>
      </w:r>
      <w:r>
        <w:rPr>
          <w:rFonts w:hint="eastAsia" w:ascii="宋体" w:hAnsi="宋体"/>
          <w:color w:val="auto"/>
          <w:sz w:val="24"/>
          <w:highlight w:val="yellow"/>
          <w:lang w:val="en-US" w:eastAsia="zh-CN"/>
        </w:rPr>
        <w:t>计算</w:t>
      </w:r>
      <w:r>
        <w:rPr>
          <w:rFonts w:hint="eastAsia" w:ascii="宋体" w:hAnsi="宋体"/>
          <w:color w:val="auto"/>
          <w:sz w:val="24"/>
          <w:highlight w:val="yellow"/>
          <w:lang w:eastAsia="zh-CN"/>
        </w:rPr>
        <w:t>，供投标人参考，不做为结算依据，最终结算以实际量为准。投标人应对市场进行考察预判，自行承担风险与收益。</w:t>
      </w:r>
    </w:p>
    <w:p>
      <w:pPr>
        <w:autoSpaceDE w:val="0"/>
        <w:spacing w:line="400" w:lineRule="exact"/>
        <w:rPr>
          <w:rFonts w:hint="eastAsia" w:ascii="宋体" w:hAnsi="宋体"/>
          <w:sz w:val="24"/>
          <w:highlight w:val="yellow"/>
          <w:u w:val="single"/>
          <w:lang w:val="en-US" w:eastAsia="zh-CN"/>
        </w:rPr>
      </w:pPr>
      <w:r>
        <w:rPr>
          <w:rFonts w:hint="eastAsia" w:ascii="宋体" w:hAnsi="宋体"/>
          <w:b/>
          <w:bCs/>
          <w:sz w:val="24"/>
          <w:highlight w:val="yellow"/>
          <w:lang w:eastAsia="zh-CN"/>
        </w:rPr>
        <w:t>（</w:t>
      </w:r>
      <w:r>
        <w:rPr>
          <w:rFonts w:hint="eastAsia" w:ascii="宋体" w:hAnsi="宋体"/>
          <w:b/>
          <w:bCs/>
          <w:sz w:val="24"/>
          <w:highlight w:val="yellow"/>
          <w:lang w:val="en-US" w:eastAsia="zh-CN"/>
        </w:rPr>
        <w:t>二</w:t>
      </w:r>
      <w:r>
        <w:rPr>
          <w:rFonts w:hint="eastAsia" w:ascii="宋体" w:hAnsi="宋体"/>
          <w:b/>
          <w:bCs/>
          <w:sz w:val="24"/>
          <w:highlight w:val="yellow"/>
          <w:lang w:eastAsia="zh-CN"/>
        </w:rPr>
        <w:t>）</w:t>
      </w:r>
      <w:r>
        <w:rPr>
          <w:rFonts w:hint="eastAsia" w:ascii="宋体" w:hAnsi="宋体"/>
          <w:sz w:val="24"/>
          <w:highlight w:val="yellow"/>
        </w:rPr>
        <w:t>服务期限</w:t>
      </w:r>
      <w:r>
        <w:rPr>
          <w:rFonts w:hint="eastAsia" w:ascii="宋体" w:hAnsi="宋体"/>
          <w:sz w:val="24"/>
          <w:highlight w:val="yellow"/>
          <w:lang w:eastAsia="zh-CN"/>
        </w:rPr>
        <w:t>：</w:t>
      </w:r>
      <w:r>
        <w:rPr>
          <w:rFonts w:hint="eastAsia" w:ascii="宋体" w:hAnsi="宋体"/>
          <w:sz w:val="24"/>
          <w:highlight w:val="yellow"/>
          <w:u w:val="single"/>
        </w:rPr>
        <w:t xml:space="preserve"> 签订合同之日起1年。</w:t>
      </w:r>
    </w:p>
    <w:p>
      <w:pPr>
        <w:autoSpaceDE w:val="0"/>
        <w:spacing w:line="400" w:lineRule="exact"/>
        <w:rPr>
          <w:rFonts w:ascii="宋体" w:hAnsi="宋体"/>
          <w:sz w:val="24"/>
          <w:highlight w:val="yellow"/>
        </w:rPr>
      </w:pPr>
      <w:r>
        <w:rPr>
          <w:rFonts w:hint="eastAsia" w:ascii="宋体" w:hAnsi="宋体"/>
          <w:b/>
          <w:bCs/>
          <w:sz w:val="24"/>
          <w:highlight w:val="yellow"/>
          <w:lang w:eastAsia="zh-CN"/>
        </w:rPr>
        <w:t>（</w:t>
      </w:r>
      <w:r>
        <w:rPr>
          <w:rFonts w:hint="eastAsia" w:ascii="宋体" w:hAnsi="宋体"/>
          <w:b/>
          <w:bCs/>
          <w:sz w:val="24"/>
          <w:highlight w:val="yellow"/>
          <w:lang w:val="en-US" w:eastAsia="zh-CN"/>
        </w:rPr>
        <w:t>三</w:t>
      </w:r>
      <w:r>
        <w:rPr>
          <w:rFonts w:hint="eastAsia" w:ascii="宋体" w:hAnsi="宋体"/>
          <w:b/>
          <w:bCs/>
          <w:sz w:val="24"/>
          <w:highlight w:val="yellow"/>
          <w:lang w:eastAsia="zh-CN"/>
        </w:rPr>
        <w:t>）</w:t>
      </w:r>
      <w:r>
        <w:rPr>
          <w:rFonts w:hint="eastAsia" w:ascii="宋体" w:hAnsi="宋体"/>
          <w:sz w:val="24"/>
          <w:highlight w:val="yellow"/>
        </w:rPr>
        <w:t>服务地点</w:t>
      </w:r>
      <w:r>
        <w:rPr>
          <w:rFonts w:hint="eastAsia" w:ascii="宋体" w:hAnsi="宋体"/>
          <w:sz w:val="24"/>
          <w:highlight w:val="yellow"/>
          <w:lang w:eastAsia="zh-CN"/>
        </w:rPr>
        <w:t>：</w:t>
      </w:r>
      <w:r>
        <w:rPr>
          <w:rFonts w:hint="eastAsia" w:ascii="宋体" w:hAnsi="宋体"/>
          <w:sz w:val="24"/>
          <w:highlight w:val="yellow"/>
          <w:lang w:val="en-US" w:eastAsia="zh-CN"/>
        </w:rPr>
        <w:t>湘阴虞公港</w:t>
      </w:r>
      <w:r>
        <w:rPr>
          <w:rFonts w:hint="eastAsia" w:ascii="宋体" w:hAnsi="宋体"/>
          <w:sz w:val="24"/>
          <w:highlight w:val="yellow"/>
        </w:rPr>
        <w:t>。</w:t>
      </w:r>
    </w:p>
    <w:p>
      <w:pPr>
        <w:autoSpaceDE w:val="0"/>
        <w:spacing w:line="400" w:lineRule="exact"/>
        <w:rPr>
          <w:rFonts w:ascii="宋体" w:hAnsi="宋体"/>
          <w:sz w:val="24"/>
          <w:highlight w:val="yellow"/>
        </w:rPr>
      </w:pPr>
      <w:r>
        <w:rPr>
          <w:rFonts w:hint="eastAsia" w:ascii="宋体" w:hAnsi="宋体"/>
          <w:b/>
          <w:bCs/>
          <w:sz w:val="24"/>
          <w:highlight w:val="yellow"/>
          <w:lang w:eastAsia="zh-CN"/>
        </w:rPr>
        <w:t>（</w:t>
      </w:r>
      <w:r>
        <w:rPr>
          <w:rFonts w:hint="eastAsia" w:ascii="宋体" w:hAnsi="宋体"/>
          <w:b/>
          <w:bCs/>
          <w:sz w:val="24"/>
          <w:highlight w:val="yellow"/>
          <w:lang w:val="en-US" w:eastAsia="zh-CN"/>
        </w:rPr>
        <w:t>四</w:t>
      </w:r>
      <w:r>
        <w:rPr>
          <w:rFonts w:hint="eastAsia" w:ascii="宋体" w:hAnsi="宋体"/>
          <w:b/>
          <w:bCs/>
          <w:sz w:val="24"/>
          <w:highlight w:val="yellow"/>
          <w:lang w:eastAsia="zh-CN"/>
        </w:rPr>
        <w:t>）</w:t>
      </w:r>
      <w:r>
        <w:rPr>
          <w:rFonts w:hint="eastAsia" w:ascii="宋体" w:hAnsi="宋体"/>
          <w:sz w:val="24"/>
          <w:highlight w:val="yellow"/>
        </w:rPr>
        <w:t>相关要求</w:t>
      </w:r>
      <w:r>
        <w:rPr>
          <w:rFonts w:hint="eastAsia" w:ascii="宋体" w:hAnsi="宋体"/>
          <w:sz w:val="24"/>
          <w:highlight w:val="yellow"/>
          <w:lang w:eastAsia="zh-CN"/>
        </w:rPr>
        <w:t>：</w:t>
      </w:r>
      <w:r>
        <w:rPr>
          <w:rFonts w:hint="eastAsia" w:ascii="宋体" w:hAnsi="宋体"/>
          <w:sz w:val="24"/>
          <w:highlight w:val="yellow"/>
        </w:rPr>
        <w:t xml:space="preserve"> 详见“第五章 采购要求”</w:t>
      </w:r>
    </w:p>
    <w:p>
      <w:pPr>
        <w:pStyle w:val="7"/>
        <w:jc w:val="both"/>
        <w:rPr>
          <w:rFonts w:ascii="Arial" w:hAnsi="Arial"/>
          <w:highlight w:val="none"/>
        </w:rPr>
      </w:pPr>
      <w:r>
        <w:rPr>
          <w:rFonts w:hint="eastAsia"/>
          <w:highlight w:val="none"/>
          <w:lang w:val="en-US" w:eastAsia="zh-CN"/>
        </w:rPr>
        <w:t>三、</w:t>
      </w:r>
      <w:r>
        <w:rPr>
          <w:rFonts w:hint="eastAsia" w:ascii="黑体" w:hAnsi="黑体"/>
          <w:highlight w:val="none"/>
        </w:rPr>
        <w:t>供应商资格要求</w:t>
      </w:r>
    </w:p>
    <w:p>
      <w:pPr>
        <w:autoSpaceDE w:val="0"/>
        <w:spacing w:line="400" w:lineRule="exact"/>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一</w:t>
      </w:r>
      <w:r>
        <w:rPr>
          <w:rFonts w:hint="eastAsia" w:ascii="宋体" w:hAnsi="宋体"/>
          <w:b/>
          <w:bCs/>
          <w:sz w:val="24"/>
          <w:highlight w:val="none"/>
          <w:lang w:eastAsia="zh-CN"/>
        </w:rPr>
        <w:t>）</w:t>
      </w:r>
      <w:r>
        <w:rPr>
          <w:rFonts w:hint="eastAsia" w:ascii="宋体" w:hAnsi="宋体"/>
          <w:sz w:val="24"/>
          <w:highlight w:val="none"/>
        </w:rPr>
        <w:t>供应商不得存在下列情形之一</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（1）处于被责令停产停业、暂扣或者吊销执照、暂扣或者吊销许可证、吊销资质证书状态</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（2）进入清算程序，或被宣告破产，或其他丧失履约能力的情形</w:t>
      </w:r>
      <w:r>
        <w:rPr>
          <w:rFonts w:hint="eastAsia" w:ascii="宋体" w:hAnsi="宋体"/>
          <w:sz w:val="24"/>
          <w:highlight w:val="none"/>
          <w:lang w:eastAsia="zh-CN"/>
        </w:rPr>
        <w:t>；</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（3）被采购人或采购人上级单位纳入黑名单；</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（4）为投资参股本项目的法人单位；</w:t>
      </w:r>
    </w:p>
    <w:p>
      <w:pPr>
        <w:autoSpaceDE w:val="0"/>
        <w:spacing w:line="400" w:lineRule="exact"/>
        <w:ind w:firstLine="240" w:firstLineChars="100"/>
        <w:jc w:val="both"/>
        <w:rPr>
          <w:rFonts w:ascii="宋体" w:hAnsi="宋体"/>
          <w:sz w:val="24"/>
          <w:highlight w:val="none"/>
        </w:rPr>
      </w:pPr>
      <w:r>
        <w:rPr>
          <w:rFonts w:hint="eastAsia" w:ascii="宋体" w:hAnsi="宋体"/>
          <w:sz w:val="24"/>
          <w:highlight w:val="none"/>
        </w:rPr>
        <w:t>（5）具有直接管理和被管理关系的母子</w:t>
      </w:r>
      <w:r>
        <w:rPr>
          <w:rFonts w:hint="eastAsia" w:ascii="宋体" w:hAnsi="宋体"/>
          <w:sz w:val="24"/>
          <w:highlight w:val="none"/>
          <w:lang w:eastAsia="zh-CN"/>
        </w:rPr>
        <w:t>（</w:t>
      </w:r>
      <w:r>
        <w:rPr>
          <w:rFonts w:hint="eastAsia" w:ascii="宋体" w:hAnsi="宋体"/>
          <w:sz w:val="24"/>
          <w:highlight w:val="none"/>
        </w:rPr>
        <w:t>分</w:t>
      </w:r>
      <w:r>
        <w:rPr>
          <w:rFonts w:hint="eastAsia" w:ascii="宋体" w:hAnsi="宋体"/>
          <w:sz w:val="24"/>
          <w:highlight w:val="none"/>
          <w:lang w:eastAsia="zh-CN"/>
        </w:rPr>
        <w:t>）</w:t>
      </w:r>
      <w:r>
        <w:rPr>
          <w:rFonts w:hint="eastAsia" w:ascii="宋体" w:hAnsi="宋体"/>
          <w:sz w:val="24"/>
          <w:highlight w:val="none"/>
        </w:rPr>
        <w:t>公司，或同一母公司的子</w:t>
      </w:r>
      <w:r>
        <w:rPr>
          <w:rFonts w:hint="eastAsia" w:ascii="宋体" w:hAnsi="宋体"/>
          <w:sz w:val="24"/>
          <w:highlight w:val="none"/>
          <w:lang w:eastAsia="zh-CN"/>
        </w:rPr>
        <w:t>（</w:t>
      </w:r>
      <w:r>
        <w:rPr>
          <w:rFonts w:hint="eastAsia" w:ascii="宋体" w:hAnsi="宋体"/>
          <w:sz w:val="24"/>
          <w:highlight w:val="none"/>
        </w:rPr>
        <w:t>分</w:t>
      </w:r>
      <w:r>
        <w:rPr>
          <w:rFonts w:hint="eastAsia" w:ascii="宋体" w:hAnsi="宋体"/>
          <w:sz w:val="24"/>
          <w:highlight w:val="none"/>
          <w:lang w:eastAsia="zh-CN"/>
        </w:rPr>
        <w:t>）</w:t>
      </w:r>
      <w:r>
        <w:rPr>
          <w:rFonts w:hint="eastAsia" w:ascii="宋体" w:hAnsi="宋体"/>
          <w:sz w:val="24"/>
          <w:highlight w:val="none"/>
        </w:rPr>
        <w:t>公司，或法定代表人为同一人的两个或两个以上法人，同时投同一标段。</w:t>
      </w:r>
    </w:p>
    <w:p>
      <w:pPr>
        <w:autoSpaceDE w:val="0"/>
        <w:spacing w:line="400" w:lineRule="exact"/>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二</w:t>
      </w:r>
      <w:r>
        <w:rPr>
          <w:rFonts w:hint="eastAsia" w:ascii="宋体" w:hAnsi="宋体"/>
          <w:b/>
          <w:bCs/>
          <w:sz w:val="24"/>
          <w:highlight w:val="none"/>
          <w:lang w:eastAsia="zh-CN"/>
        </w:rPr>
        <w:t>）</w:t>
      </w:r>
      <w:r>
        <w:rPr>
          <w:rFonts w:hint="eastAsia" w:ascii="宋体" w:hAnsi="宋体"/>
          <w:sz w:val="24"/>
          <w:highlight w:val="none"/>
        </w:rPr>
        <w:t>供应商应满足如下要求</w:t>
      </w:r>
      <w:r>
        <w:rPr>
          <w:rFonts w:hint="eastAsia" w:ascii="宋体" w:hAnsi="宋体"/>
          <w:sz w:val="24"/>
          <w:highlight w:val="none"/>
          <w:lang w:eastAsia="zh-CN"/>
        </w:rPr>
        <w:t>：</w:t>
      </w:r>
    </w:p>
    <w:tbl>
      <w:tblPr>
        <w:tblStyle w:val="4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highlight w:val="none"/>
              </w:rPr>
            </w:pPr>
            <w:r>
              <w:rPr>
                <w:rFonts w:hint="eastAsia" w:ascii="宋体" w:hAnsi="宋体"/>
                <w:sz w:val="24"/>
                <w:highlight w:val="none"/>
              </w:rPr>
              <w:t>资格条件</w:t>
            </w:r>
          </w:p>
        </w:tc>
        <w:tc>
          <w:tcPr>
            <w:tcW w:w="1786" w:type="dxa"/>
          </w:tcPr>
          <w:p>
            <w:pPr>
              <w:widowControl w:val="0"/>
              <w:spacing w:line="320" w:lineRule="exact"/>
              <w:jc w:val="center"/>
              <w:rPr>
                <w:rFonts w:ascii="宋体" w:hAnsi="宋体"/>
                <w:sz w:val="24"/>
                <w:highlight w:val="none"/>
              </w:rPr>
            </w:pPr>
            <w:r>
              <w:rPr>
                <w:rFonts w:hint="eastAsia" w:ascii="宋体" w:hAnsi="宋体"/>
                <w:sz w:val="24"/>
                <w:highlight w:val="none"/>
              </w:rPr>
              <w:t>对供应商要求</w:t>
            </w:r>
          </w:p>
        </w:tc>
        <w:tc>
          <w:tcPr>
            <w:tcW w:w="5443" w:type="dxa"/>
          </w:tcPr>
          <w:p>
            <w:pPr>
              <w:widowControl w:val="0"/>
              <w:spacing w:line="320" w:lineRule="exact"/>
              <w:jc w:val="center"/>
              <w:rPr>
                <w:rFonts w:ascii="宋体" w:hAnsi="宋体"/>
                <w:sz w:val="24"/>
                <w:highlight w:val="none"/>
              </w:rPr>
            </w:pPr>
            <w:r>
              <w:rPr>
                <w:rFonts w:hint="eastAsia" w:ascii="宋体" w:hAnsi="宋体"/>
                <w:sz w:val="24"/>
                <w:highlight w:val="none"/>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（1）依法设立</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（2）资质要求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（3）财务要求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（4）业绩要求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（5）信誉要求</w:t>
            </w:r>
          </w:p>
        </w:tc>
        <w:tc>
          <w:tcPr>
            <w:tcW w:w="1786"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color w:val="auto"/>
                <w:sz w:val="24"/>
                <w:highlight w:val="none"/>
              </w:rPr>
            </w:pPr>
            <w:r>
              <w:rPr>
                <w:rFonts w:hint="eastAsia" w:ascii="宋体" w:hAnsi="宋体"/>
                <w:color w:val="auto"/>
                <w:sz w:val="24"/>
                <w:highlight w:val="none"/>
              </w:rPr>
              <w:t>（6）承担本项目的主要人员要求</w:t>
            </w:r>
          </w:p>
        </w:tc>
        <w:tc>
          <w:tcPr>
            <w:tcW w:w="1786" w:type="dxa"/>
          </w:tcPr>
          <w:p>
            <w:pPr>
              <w:widowControl w:val="0"/>
              <w:spacing w:line="320" w:lineRule="exact"/>
              <w:jc w:val="both"/>
              <w:rPr>
                <w:rStyle w:val="44"/>
                <w:color w:val="auto"/>
                <w:highlight w:val="none"/>
                <w:u w:val="single"/>
              </w:rPr>
            </w:pPr>
            <w:r>
              <w:rPr>
                <w:rFonts w:hint="eastAsia" w:cs="仿宋" w:asciiTheme="minorEastAsia" w:hAnsiTheme="minorEastAsia" w:eastAsiaTheme="minorEastAsia"/>
                <w:color w:val="auto"/>
                <w:sz w:val="24"/>
                <w:highlight w:val="none"/>
                <w:lang w:eastAsia="zh-CN"/>
              </w:rPr>
              <w:t>□</w:t>
            </w:r>
            <w:r>
              <w:rPr>
                <w:rStyle w:val="44"/>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Fonts w:hint="eastAsia" w:cs="仿宋" w:asciiTheme="minorEastAsia" w:hAnsiTheme="minorEastAsia" w:eastAsiaTheme="minorEastAsia"/>
                <w:sz w:val="24"/>
                <w:highlight w:val="none"/>
                <w:lang w:eastAsia="zh-CN"/>
              </w:rPr>
              <w:t>☑</w:t>
            </w:r>
            <w:r>
              <w:rPr>
                <w:rStyle w:val="44"/>
                <w:rFonts w:hint="eastAsia"/>
                <w:color w:val="auto"/>
                <w:highlight w:val="none"/>
                <w:u w:val="single"/>
              </w:rPr>
              <w:t>适用</w:t>
            </w:r>
          </w:p>
        </w:tc>
        <w:tc>
          <w:tcPr>
            <w:tcW w:w="5443" w:type="dxa"/>
          </w:tcPr>
          <w:p>
            <w:pPr>
              <w:widowControl w:val="0"/>
              <w:spacing w:line="320" w:lineRule="exact"/>
              <w:jc w:val="both"/>
              <w:rPr>
                <w:rStyle w:val="44"/>
                <w:color w:val="auto"/>
                <w:highlight w:val="none"/>
                <w:u w:val="single"/>
              </w:rPr>
            </w:pPr>
            <w:r>
              <w:rPr>
                <w:rFonts w:hint="eastAsia" w:cs="仿宋" w:asciiTheme="minorEastAsia" w:hAnsiTheme="minorEastAsia" w:eastAsiaTheme="minorEastAsia"/>
                <w:color w:val="auto"/>
                <w:sz w:val="24"/>
                <w:highlight w:val="none"/>
                <w:lang w:eastAsia="zh-CN"/>
              </w:rPr>
              <w:t>□</w:t>
            </w:r>
            <w:r>
              <w:rPr>
                <w:rStyle w:val="44"/>
                <w:rFonts w:hint="eastAsia"/>
                <w:color w:val="auto"/>
                <w:highlight w:val="none"/>
                <w:u w:val="single"/>
              </w:rPr>
              <w:t xml:space="preserve">不适用  </w:t>
            </w:r>
          </w:p>
          <w:p>
            <w:pPr>
              <w:widowControl w:val="0"/>
              <w:spacing w:line="320" w:lineRule="exact"/>
              <w:jc w:val="both"/>
              <w:rPr>
                <w:rFonts w:ascii="宋体" w:hAnsi="宋体"/>
                <w:color w:val="auto"/>
                <w:sz w:val="24"/>
                <w:highlight w:val="none"/>
              </w:rPr>
            </w:pPr>
            <w:r>
              <w:rPr>
                <w:rFonts w:hint="eastAsia" w:cs="仿宋" w:asciiTheme="minorEastAsia" w:hAnsiTheme="minorEastAsia" w:eastAsiaTheme="minorEastAsia"/>
                <w:sz w:val="24"/>
                <w:highlight w:val="none"/>
                <w:lang w:eastAsia="zh-CN"/>
              </w:rPr>
              <w:t>☑</w:t>
            </w:r>
            <w:r>
              <w:rPr>
                <w:rStyle w:val="44"/>
                <w:rFonts w:hint="eastAsia"/>
                <w:color w:val="auto"/>
                <w:highlight w:val="none"/>
                <w:u w:val="single"/>
              </w:rPr>
              <w:t>适用</w:t>
            </w:r>
            <w:r>
              <w:rPr>
                <w:rStyle w:val="44"/>
                <w:rFonts w:hint="eastAsia"/>
                <w:color w:val="auto"/>
                <w:highlight w:val="none"/>
                <w:u w:val="single"/>
                <w:lang w:eastAsia="zh-CN"/>
              </w:rPr>
              <w:t>，</w:t>
            </w:r>
            <w:r>
              <w:rPr>
                <w:rStyle w:val="44"/>
                <w:rFonts w:hint="eastAsia"/>
                <w:color w:val="auto"/>
                <w:highlight w:val="none"/>
                <w:u w:val="single"/>
              </w:rPr>
              <w:t>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highlight w:val="none"/>
              </w:rPr>
            </w:pPr>
            <w:r>
              <w:rPr>
                <w:rFonts w:hint="eastAsia" w:ascii="宋体" w:hAnsi="宋体"/>
                <w:sz w:val="24"/>
                <w:highlight w:val="none"/>
              </w:rPr>
              <w:t>（7）其他要求</w:t>
            </w:r>
          </w:p>
        </w:tc>
        <w:tc>
          <w:tcPr>
            <w:tcW w:w="1786" w:type="dxa"/>
          </w:tcPr>
          <w:p>
            <w:pPr>
              <w:widowControl w:val="0"/>
              <w:spacing w:line="320" w:lineRule="exact"/>
              <w:jc w:val="both"/>
              <w:rPr>
                <w:rStyle w:val="44"/>
                <w:highlight w:val="none"/>
                <w:u w:val="singl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Style w:val="44"/>
                <w:rFonts w:hint="eastAsia"/>
                <w:highlight w:val="none"/>
                <w:u w:val="singl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highlight w:val="none"/>
              </w:rPr>
            </w:pPr>
            <w:r>
              <w:rPr>
                <w:rFonts w:hint="eastAsia" w:ascii="宋体" w:hAnsi="宋体"/>
                <w:sz w:val="24"/>
                <w:highlight w:val="none"/>
              </w:rPr>
              <w:t>（8）供应商不存在第一章3.1款情形的证明材料</w:t>
            </w:r>
          </w:p>
        </w:tc>
        <w:tc>
          <w:tcPr>
            <w:tcW w:w="1786" w:type="dxa"/>
          </w:tcPr>
          <w:p>
            <w:pPr>
              <w:widowControl w:val="0"/>
              <w:spacing w:line="320" w:lineRule="exact"/>
              <w:jc w:val="both"/>
              <w:rPr>
                <w:rStyle w:val="44"/>
                <w:highlight w:val="none"/>
                <w:u w:val="single"/>
              </w:rPr>
            </w:pPr>
            <w:r>
              <w:rPr>
                <w:rStyle w:val="44"/>
                <w:rFonts w:hint="eastAsia"/>
                <w:highlight w:val="none"/>
                <w:u w:val="single"/>
              </w:rPr>
              <w:sym w:font="Wingdings 2" w:char="0052"/>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p>
        </w:tc>
        <w:tc>
          <w:tcPr>
            <w:tcW w:w="5443" w:type="dxa"/>
          </w:tcPr>
          <w:p>
            <w:pPr>
              <w:widowControl w:val="0"/>
              <w:spacing w:line="320" w:lineRule="exact"/>
              <w:jc w:val="both"/>
              <w:rPr>
                <w:rStyle w:val="44"/>
                <w:highlight w:val="none"/>
                <w:u w:val="single"/>
              </w:rPr>
            </w:pPr>
            <w:r>
              <w:rPr>
                <w:rStyle w:val="44"/>
                <w:rFonts w:hint="eastAsia"/>
                <w:highlight w:val="none"/>
                <w:u w:val="single"/>
              </w:rPr>
              <w:sym w:font="Wingdings 2" w:char="0052"/>
            </w:r>
            <w:r>
              <w:rPr>
                <w:rStyle w:val="44"/>
                <w:rFonts w:hint="eastAsia"/>
                <w:highlight w:val="none"/>
                <w:u w:val="single"/>
              </w:rPr>
              <w:t xml:space="preserve">不适用  </w:t>
            </w:r>
          </w:p>
          <w:p>
            <w:pPr>
              <w:widowControl w:val="0"/>
              <w:spacing w:line="320" w:lineRule="exact"/>
              <w:jc w:val="both"/>
              <w:rPr>
                <w:rFonts w:ascii="宋体" w:hAnsi="宋体"/>
                <w:sz w:val="24"/>
                <w:highlight w:val="none"/>
              </w:rPr>
            </w:pPr>
            <w:r>
              <w:rPr>
                <w:rFonts w:hint="eastAsia" w:cs="仿宋" w:asciiTheme="minorEastAsia" w:hAnsiTheme="minorEastAsia" w:eastAsiaTheme="minorEastAsia"/>
                <w:sz w:val="24"/>
                <w:highlight w:val="none"/>
                <w:lang w:eastAsia="zh-CN"/>
              </w:rPr>
              <w:t>□</w:t>
            </w:r>
            <w:r>
              <w:rPr>
                <w:rStyle w:val="44"/>
                <w:rFonts w:hint="eastAsia"/>
                <w:highlight w:val="none"/>
                <w:u w:val="single"/>
              </w:rPr>
              <w:t>适用</w:t>
            </w:r>
            <w:r>
              <w:rPr>
                <w:rStyle w:val="44"/>
                <w:rFonts w:hint="eastAsia"/>
                <w:highlight w:val="none"/>
                <w:u w:val="single"/>
                <w:lang w:eastAsia="zh-CN"/>
              </w:rPr>
              <w:t>，</w:t>
            </w:r>
            <w:r>
              <w:rPr>
                <w:rStyle w:val="44"/>
                <w:rFonts w:hint="eastAsia"/>
                <w:highlight w:val="none"/>
                <w:u w:val="single"/>
              </w:rPr>
              <w:t>见采购文件供应商须知前附表3.5（8）。</w:t>
            </w:r>
          </w:p>
        </w:tc>
      </w:tr>
    </w:tbl>
    <w:p>
      <w:pPr>
        <w:wordWrap w:val="0"/>
        <w:ind w:firstLine="482"/>
        <w:jc w:val="both"/>
        <w:rPr>
          <w:rFonts w:hint="eastAsia" w:ascii="宋体" w:hAnsi="宋体"/>
          <w:szCs w:val="24"/>
          <w:highlight w:val="none"/>
        </w:rPr>
      </w:pPr>
    </w:p>
    <w:p>
      <w:pPr>
        <w:pStyle w:val="7"/>
        <w:jc w:val="both"/>
        <w:rPr>
          <w:rFonts w:ascii="Arial" w:hAnsi="Arial"/>
          <w:highlight w:val="none"/>
        </w:rPr>
      </w:pPr>
      <w:r>
        <w:rPr>
          <w:rFonts w:hint="eastAsia"/>
          <w:highlight w:val="none"/>
          <w:lang w:val="en-US" w:eastAsia="zh-CN"/>
        </w:rPr>
        <w:t>四、</w:t>
      </w:r>
      <w:r>
        <w:rPr>
          <w:rFonts w:hint="eastAsia" w:ascii="黑体" w:hAnsi="黑体"/>
          <w:highlight w:val="none"/>
        </w:rPr>
        <w:t>确定成交供应商的方法</w:t>
      </w:r>
    </w:p>
    <w:p>
      <w:pPr>
        <w:autoSpaceDE w:val="0"/>
        <w:spacing w:line="400" w:lineRule="exact"/>
        <w:ind w:firstLine="480" w:firstLineChars="200"/>
        <w:jc w:val="both"/>
        <w:rPr>
          <w:rFonts w:hint="eastAsia" w:ascii="宋体" w:hAnsi="宋体"/>
          <w:sz w:val="24"/>
          <w:highlight w:val="none"/>
        </w:rPr>
      </w:pPr>
      <w:r>
        <w:rPr>
          <w:rFonts w:hint="eastAsia" w:ascii="宋体" w:hAnsi="宋体"/>
          <w:sz w:val="24"/>
          <w:highlight w:val="none"/>
        </w:rPr>
        <w:t>（一）最低价法。</w:t>
      </w:r>
    </w:p>
    <w:p>
      <w:pPr>
        <w:autoSpaceDE w:val="0"/>
        <w:spacing w:line="400" w:lineRule="exact"/>
        <w:ind w:firstLine="480" w:firstLineChars="200"/>
        <w:jc w:val="both"/>
        <w:rPr>
          <w:rFonts w:ascii="宋体" w:hAnsi="宋体"/>
          <w:sz w:val="24"/>
          <w:highlight w:val="none"/>
        </w:rPr>
      </w:pPr>
      <w:r>
        <w:rPr>
          <w:rFonts w:hint="eastAsia" w:ascii="宋体" w:hAnsi="宋体"/>
          <w:sz w:val="24"/>
          <w:highlight w:val="none"/>
        </w:rPr>
        <w:t xml:space="preserve">（二）采购人应当确定排名第一的成交候选供应商为成交供应商。若排名第一的成交候选供应商未通过履约能力和报价核查，采购人应按推荐的名单排序依次确定其他成交候选供应商为成交供应商。 </w:t>
      </w:r>
    </w:p>
    <w:p>
      <w:pPr>
        <w:pStyle w:val="7"/>
        <w:keepNext w:val="0"/>
        <w:keepLines w:val="0"/>
        <w:widowControl w:val="0"/>
        <w:adjustRightInd w:val="0"/>
        <w:snapToGrid w:val="0"/>
        <w:spacing w:after="0" w:line="312" w:lineRule="auto"/>
        <w:jc w:val="both"/>
        <w:rPr>
          <w:color w:val="auto"/>
          <w:highlight w:val="none"/>
        </w:rPr>
      </w:pPr>
      <w:r>
        <w:rPr>
          <w:rFonts w:hint="eastAsia"/>
          <w:color w:val="000000"/>
          <w:highlight w:val="none"/>
          <w:lang w:val="en-US" w:eastAsia="zh-CN"/>
        </w:rPr>
        <w:t>五、</w:t>
      </w:r>
      <w:r>
        <w:rPr>
          <w:rFonts w:hint="eastAsia"/>
          <w:color w:val="000000"/>
          <w:highlight w:val="none"/>
        </w:rPr>
        <w:t>最高</w:t>
      </w:r>
      <w:r>
        <w:rPr>
          <w:rFonts w:hint="eastAsia"/>
          <w:color w:val="000000"/>
          <w:highlight w:val="none"/>
          <w:lang w:eastAsia="zh-CN"/>
        </w:rPr>
        <w:t>响应</w:t>
      </w:r>
      <w:r>
        <w:rPr>
          <w:rFonts w:hint="eastAsia"/>
          <w:color w:val="000000"/>
          <w:highlight w:val="none"/>
        </w:rPr>
        <w:t>限价</w:t>
      </w:r>
    </w:p>
    <w:p>
      <w:pPr>
        <w:autoSpaceDE w:val="0"/>
        <w:spacing w:line="400" w:lineRule="exact"/>
        <w:ind w:firstLine="482" w:firstLineChars="200"/>
        <w:jc w:val="both"/>
        <w:rPr>
          <w:rFonts w:hint="eastAsia" w:ascii="宋体" w:hAnsi="宋体" w:eastAsia="宋体" w:cs="宋体"/>
          <w:color w:val="auto"/>
          <w:sz w:val="24"/>
          <w:szCs w:val="24"/>
          <w:highlight w:val="none"/>
        </w:rPr>
      </w:pPr>
      <w:bookmarkStart w:id="4" w:name="_Toc40274970"/>
      <w:bookmarkStart w:id="5" w:name="_Toc38287094"/>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询价人为本次</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编制了最高</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限价，最高限价</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rPr>
        <w:t>：</w:t>
      </w:r>
    </w:p>
    <w:p>
      <w:pPr>
        <w:widowControl w:val="0"/>
        <w:spacing w:line="288" w:lineRule="auto"/>
        <w:ind w:firstLine="480" w:firstLineChars="200"/>
        <w:rPr>
          <w:rFonts w:hint="default" w:ascii="宋体" w:hAnsi="宋体" w:eastAsia="宋体" w:cs="宋体"/>
          <w:sz w:val="24"/>
          <w:szCs w:val="24"/>
          <w:lang w:val="en-US" w:eastAsia="zh-CN"/>
        </w:rPr>
      </w:pPr>
    </w:p>
    <w:p>
      <w:pPr>
        <w:pStyle w:val="2"/>
        <w:rPr>
          <w:rFonts w:hint="default" w:ascii="宋体" w:hAnsi="宋体" w:eastAsia="宋体" w:cs="宋体"/>
          <w:sz w:val="24"/>
          <w:szCs w:val="24"/>
          <w:lang w:val="en-US" w:eastAsia="zh-CN"/>
        </w:rPr>
      </w:pPr>
    </w:p>
    <w:p>
      <w:pPr>
        <w:pStyle w:val="3"/>
        <w:rPr>
          <w:rFonts w:hint="default"/>
          <w:lang w:val="en-US" w:eastAsia="zh-CN"/>
        </w:rPr>
      </w:pPr>
    </w:p>
    <w:tbl>
      <w:tblPr>
        <w:tblStyle w:val="42"/>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424"/>
        <w:gridCol w:w="1517"/>
        <w:gridCol w:w="1422"/>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09"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424"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1517"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最高限价</w:t>
            </w:r>
          </w:p>
        </w:tc>
        <w:tc>
          <w:tcPr>
            <w:tcW w:w="1422"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预估量</w:t>
            </w:r>
          </w:p>
        </w:tc>
        <w:tc>
          <w:tcPr>
            <w:tcW w:w="2647"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09"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424" w:type="dxa"/>
            <w:vAlign w:val="center"/>
          </w:tcPr>
          <w:p>
            <w:pPr>
              <w:pStyle w:val="2"/>
              <w:widowControl w:val="0"/>
              <w:jc w:val="center"/>
              <w:rPr>
                <w:rFonts w:hint="eastAsia" w:ascii="宋体" w:hAnsi="宋体" w:eastAsia="宋体" w:cs="宋体"/>
                <w:sz w:val="24"/>
                <w:szCs w:val="24"/>
                <w:vertAlign w:val="baseline"/>
                <w:lang w:eastAsia="zh-CN"/>
              </w:rPr>
            </w:pPr>
            <w:r>
              <w:rPr>
                <w:rFonts w:hint="eastAsia" w:ascii="宋体" w:hAnsi="宋体" w:eastAsia="宋体" w:cs="宋体"/>
                <w:b/>
                <w:bCs/>
                <w:sz w:val="24"/>
                <w:szCs w:val="24"/>
                <w:u w:val="single"/>
                <w:lang w:val="en-US" w:eastAsia="zh-CN"/>
              </w:rPr>
              <w:t>集装箱</w:t>
            </w:r>
          </w:p>
        </w:tc>
        <w:tc>
          <w:tcPr>
            <w:tcW w:w="1517"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35元每箱</w:t>
            </w:r>
          </w:p>
        </w:tc>
        <w:tc>
          <w:tcPr>
            <w:tcW w:w="1422" w:type="dxa"/>
            <w:vAlign w:val="center"/>
          </w:tcPr>
          <w:p>
            <w:pPr>
              <w:pStyle w:val="2"/>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4000箱</w:t>
            </w:r>
          </w:p>
        </w:tc>
        <w:tc>
          <w:tcPr>
            <w:tcW w:w="2647" w:type="dxa"/>
            <w:vAlign w:val="center"/>
          </w:tcPr>
          <w:p>
            <w:pPr>
              <w:pStyle w:val="2"/>
              <w:widowControl w:val="0"/>
              <w:jc w:val="center"/>
              <w:rPr>
                <w:rFonts w:hint="eastAsia" w:ascii="宋体" w:hAnsi="宋体" w:eastAsia="宋体" w:cs="宋体"/>
                <w:sz w:val="24"/>
                <w:szCs w:val="24"/>
                <w:vertAlign w:val="baseline"/>
                <w:lang w:eastAsia="zh-CN"/>
              </w:rPr>
            </w:pPr>
            <w:r>
              <w:rPr>
                <w:rFonts w:hint="eastAsia" w:ascii="宋体" w:hAnsi="宋体" w:eastAsia="宋体" w:cs="宋体"/>
                <w:b/>
                <w:bCs/>
                <w:sz w:val="24"/>
                <w:szCs w:val="24"/>
                <w:u w:val="single"/>
                <w:lang w:val="en-US" w:eastAsia="zh-CN"/>
              </w:rPr>
              <w:t>含大、小、空、重箱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09"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424" w:type="dxa"/>
            <w:vAlign w:val="center"/>
          </w:tcPr>
          <w:p>
            <w:pPr>
              <w:pStyle w:val="2"/>
              <w:widowControl w:val="0"/>
              <w:jc w:val="center"/>
              <w:rPr>
                <w:rFonts w:hint="eastAsia" w:ascii="宋体" w:hAnsi="宋体" w:eastAsia="宋体" w:cs="宋体"/>
                <w:sz w:val="24"/>
                <w:szCs w:val="24"/>
                <w:vertAlign w:val="baseline"/>
                <w:lang w:eastAsia="zh-CN"/>
              </w:rPr>
            </w:pPr>
            <w:r>
              <w:rPr>
                <w:rFonts w:hint="eastAsia" w:ascii="宋体" w:hAnsi="宋体" w:eastAsia="宋体" w:cs="宋体"/>
                <w:b/>
                <w:bCs/>
                <w:sz w:val="24"/>
                <w:szCs w:val="24"/>
                <w:u w:val="single"/>
                <w:lang w:val="en-US" w:eastAsia="zh-CN"/>
              </w:rPr>
              <w:t>港内矿石（场-场）</w:t>
            </w:r>
          </w:p>
        </w:tc>
        <w:tc>
          <w:tcPr>
            <w:tcW w:w="1517"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1.3元每吨</w:t>
            </w:r>
          </w:p>
        </w:tc>
        <w:tc>
          <w:tcPr>
            <w:tcW w:w="1422" w:type="dxa"/>
            <w:vAlign w:val="center"/>
          </w:tcPr>
          <w:p>
            <w:pPr>
              <w:pStyle w:val="2"/>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60000吨</w:t>
            </w:r>
          </w:p>
        </w:tc>
        <w:tc>
          <w:tcPr>
            <w:tcW w:w="2647" w:type="dxa"/>
            <w:vAlign w:val="center"/>
          </w:tcPr>
          <w:p>
            <w:pPr>
              <w:pStyle w:val="2"/>
              <w:widowControl w:val="0"/>
              <w:ind w:leftChars="200"/>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09"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424" w:type="dxa"/>
            <w:vAlign w:val="center"/>
          </w:tcPr>
          <w:p>
            <w:pPr>
              <w:pStyle w:val="2"/>
              <w:widowControl w:val="0"/>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港内矿石（船-场）</w:t>
            </w:r>
          </w:p>
        </w:tc>
        <w:tc>
          <w:tcPr>
            <w:tcW w:w="1517" w:type="dxa"/>
            <w:vAlign w:val="center"/>
          </w:tcPr>
          <w:p>
            <w:pPr>
              <w:pStyle w:val="2"/>
              <w:widowControl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1.6元每吨</w:t>
            </w:r>
          </w:p>
        </w:tc>
        <w:tc>
          <w:tcPr>
            <w:tcW w:w="1422" w:type="dxa"/>
            <w:vAlign w:val="center"/>
          </w:tcPr>
          <w:p>
            <w:pPr>
              <w:pStyle w:val="2"/>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60000吨</w:t>
            </w:r>
          </w:p>
        </w:tc>
        <w:tc>
          <w:tcPr>
            <w:tcW w:w="2647" w:type="dxa"/>
            <w:vAlign w:val="center"/>
          </w:tcPr>
          <w:p>
            <w:pPr>
              <w:pStyle w:val="2"/>
              <w:widowControl w:val="0"/>
              <w:ind w:leftChars="200"/>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09"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424" w:type="dxa"/>
            <w:vAlign w:val="center"/>
          </w:tcPr>
          <w:p>
            <w:pPr>
              <w:pStyle w:val="2"/>
              <w:widowControl w:val="0"/>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场内煤炭（场-场）</w:t>
            </w:r>
          </w:p>
        </w:tc>
        <w:tc>
          <w:tcPr>
            <w:tcW w:w="1517" w:type="dxa"/>
            <w:vAlign w:val="center"/>
          </w:tcPr>
          <w:p>
            <w:pPr>
              <w:pStyle w:val="2"/>
              <w:widowControl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1.9元每吨</w:t>
            </w:r>
          </w:p>
        </w:tc>
        <w:tc>
          <w:tcPr>
            <w:tcW w:w="1422" w:type="dxa"/>
            <w:vAlign w:val="center"/>
          </w:tcPr>
          <w:p>
            <w:pPr>
              <w:pStyle w:val="2"/>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25000吨</w:t>
            </w:r>
          </w:p>
        </w:tc>
        <w:tc>
          <w:tcPr>
            <w:tcW w:w="2647" w:type="dxa"/>
            <w:vAlign w:val="center"/>
          </w:tcPr>
          <w:p>
            <w:pPr>
              <w:pStyle w:val="2"/>
              <w:widowControl w:val="0"/>
              <w:ind w:leftChars="200"/>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09"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424" w:type="dxa"/>
            <w:vAlign w:val="center"/>
          </w:tcPr>
          <w:p>
            <w:pPr>
              <w:pStyle w:val="2"/>
              <w:widowControl w:val="0"/>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场内煤炭（船-场）</w:t>
            </w:r>
          </w:p>
        </w:tc>
        <w:tc>
          <w:tcPr>
            <w:tcW w:w="1517" w:type="dxa"/>
            <w:vAlign w:val="center"/>
          </w:tcPr>
          <w:p>
            <w:pPr>
              <w:pStyle w:val="2"/>
              <w:widowControl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2.4元每吨</w:t>
            </w:r>
          </w:p>
        </w:tc>
        <w:tc>
          <w:tcPr>
            <w:tcW w:w="1422" w:type="dxa"/>
            <w:vAlign w:val="center"/>
          </w:tcPr>
          <w:p>
            <w:pPr>
              <w:pStyle w:val="2"/>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25000吨</w:t>
            </w:r>
          </w:p>
        </w:tc>
        <w:tc>
          <w:tcPr>
            <w:tcW w:w="2647" w:type="dxa"/>
            <w:vAlign w:val="center"/>
          </w:tcPr>
          <w:p>
            <w:pPr>
              <w:pStyle w:val="2"/>
              <w:widowControl w:val="0"/>
              <w:ind w:leftChars="200"/>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09"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424" w:type="dxa"/>
            <w:vAlign w:val="center"/>
          </w:tcPr>
          <w:p>
            <w:pPr>
              <w:pStyle w:val="2"/>
              <w:widowControl w:val="0"/>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服务总价</w:t>
            </w:r>
          </w:p>
        </w:tc>
        <w:tc>
          <w:tcPr>
            <w:tcW w:w="1517" w:type="dxa"/>
            <w:vAlign w:val="center"/>
          </w:tcPr>
          <w:p>
            <w:pPr>
              <w:pStyle w:val="2"/>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420000元</w:t>
            </w:r>
          </w:p>
        </w:tc>
        <w:tc>
          <w:tcPr>
            <w:tcW w:w="1422" w:type="dxa"/>
            <w:vAlign w:val="center"/>
          </w:tcPr>
          <w:p>
            <w:pPr>
              <w:pStyle w:val="2"/>
              <w:widowControl w:val="0"/>
              <w:ind w:leftChars="200"/>
              <w:jc w:val="center"/>
              <w:rPr>
                <w:rFonts w:hint="eastAsia" w:ascii="宋体" w:hAnsi="宋体" w:eastAsia="宋体" w:cs="宋体"/>
                <w:sz w:val="24"/>
                <w:szCs w:val="24"/>
                <w:vertAlign w:val="baseline"/>
                <w:lang w:val="en-US" w:eastAsia="zh-CN"/>
              </w:rPr>
            </w:pPr>
          </w:p>
        </w:tc>
        <w:tc>
          <w:tcPr>
            <w:tcW w:w="2647" w:type="dxa"/>
            <w:vAlign w:val="center"/>
          </w:tcPr>
          <w:p>
            <w:pPr>
              <w:pStyle w:val="2"/>
              <w:widowControl w:val="0"/>
              <w:jc w:val="center"/>
              <w:rPr>
                <w:rFonts w:hint="eastAsia" w:ascii="宋体" w:hAnsi="宋体" w:eastAsia="宋体" w:cs="宋体"/>
                <w:sz w:val="24"/>
                <w:szCs w:val="24"/>
                <w:vertAlign w:val="baseline"/>
                <w:lang w:eastAsia="zh-CN"/>
              </w:rPr>
            </w:pPr>
          </w:p>
        </w:tc>
      </w:tr>
    </w:tbl>
    <w:p>
      <w:pPr>
        <w:autoSpaceDE w:val="0"/>
        <w:spacing w:line="400" w:lineRule="exact"/>
        <w:ind w:firstLine="720" w:firstLineChars="300"/>
        <w:jc w:val="both"/>
        <w:rPr>
          <w:rFonts w:hint="eastAsia"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预估量</w:t>
      </w:r>
      <w:r>
        <w:rPr>
          <w:rFonts w:hint="eastAsia" w:ascii="宋体" w:hAnsi="宋体" w:eastAsia="宋体" w:cs="宋体"/>
          <w:sz w:val="24"/>
          <w:szCs w:val="24"/>
          <w:vertAlign w:val="baseline"/>
          <w:lang w:eastAsia="zh-CN"/>
        </w:rPr>
        <w:t>为</w:t>
      </w:r>
      <w:r>
        <w:rPr>
          <w:rFonts w:hint="eastAsia" w:ascii="宋体" w:hAnsi="宋体" w:eastAsia="宋体" w:cs="宋体"/>
          <w:sz w:val="24"/>
          <w:szCs w:val="24"/>
          <w:vertAlign w:val="baseline"/>
          <w:lang w:val="en-US" w:eastAsia="zh-CN"/>
        </w:rPr>
        <w:t>合同</w:t>
      </w:r>
      <w:r>
        <w:rPr>
          <w:rFonts w:hint="eastAsia" w:ascii="宋体" w:hAnsi="宋体" w:eastAsia="宋体" w:cs="宋体"/>
          <w:sz w:val="24"/>
          <w:szCs w:val="24"/>
          <w:vertAlign w:val="baseline"/>
          <w:lang w:eastAsia="zh-CN"/>
        </w:rPr>
        <w:t>估计量，不作为结算依据，具体按实结算。</w:t>
      </w:r>
      <w:r>
        <w:rPr>
          <w:rFonts w:hint="eastAsia" w:ascii="宋体" w:hAnsi="宋体" w:eastAsia="宋体" w:cs="宋体"/>
          <w:sz w:val="24"/>
          <w:szCs w:val="24"/>
          <w:vertAlign w:val="baseline"/>
          <w:lang w:val="en-US" w:eastAsia="zh-CN"/>
        </w:rPr>
        <w:t>供应商</w:t>
      </w:r>
      <w:r>
        <w:rPr>
          <w:rFonts w:hint="eastAsia" w:ascii="宋体" w:hAnsi="宋体" w:eastAsia="宋体" w:cs="宋体"/>
          <w:sz w:val="24"/>
          <w:szCs w:val="24"/>
          <w:vertAlign w:val="baseline"/>
          <w:lang w:eastAsia="zh-CN"/>
        </w:rPr>
        <w:t>可以自行进行市场考察综合预判，风险收益自担。</w:t>
      </w:r>
    </w:p>
    <w:p>
      <w:pPr>
        <w:autoSpaceDE w:val="0"/>
        <w:spacing w:line="400" w:lineRule="exact"/>
        <w:ind w:firstLine="480" w:firstLineChars="200"/>
        <w:jc w:val="both"/>
        <w:rPr>
          <w:rFonts w:hint="eastAsia" w:ascii="宋体" w:hAnsi="宋体" w:eastAsia="宋体" w:cs="宋体"/>
          <w:color w:val="auto"/>
          <w:sz w:val="24"/>
          <w:szCs w:val="24"/>
          <w:highlight w:val="yellow"/>
        </w:rPr>
      </w:pPr>
      <w:r>
        <w:rPr>
          <w:rFonts w:hint="eastAsia" w:ascii="宋体" w:hAnsi="宋体" w:eastAsia="宋体" w:cs="宋体"/>
          <w:sz w:val="24"/>
          <w:szCs w:val="24"/>
          <w:lang w:eastAsia="zh-CN"/>
        </w:rPr>
        <w:t>投标人报价超过最高限价的作废，如果报价人提供其他税率的增值税专用发票，招标人按9%的税率调整后计算报价参与排序。</w:t>
      </w:r>
      <w:r>
        <w:rPr>
          <w:rFonts w:hint="eastAsia" w:ascii="宋体" w:hAnsi="宋体" w:eastAsia="宋体" w:cs="宋体"/>
          <w:sz w:val="24"/>
          <w:szCs w:val="24"/>
          <w:lang w:val="en-US" w:eastAsia="zh-CN"/>
        </w:rPr>
        <w:t>提供9%的增值税发票，如提供其他税率采购人按9%调整后参与评审</w:t>
      </w:r>
      <w:r>
        <w:rPr>
          <w:rFonts w:hint="eastAsia" w:ascii="宋体" w:hAnsi="宋体" w:eastAsia="宋体" w:cs="宋体"/>
          <w:sz w:val="24"/>
          <w:szCs w:val="24"/>
        </w:rPr>
        <w:t>。</w:t>
      </w:r>
      <w:r>
        <w:rPr>
          <w:rFonts w:hint="eastAsia" w:ascii="宋体" w:hAnsi="宋体" w:cs="宋体"/>
          <w:color w:val="auto"/>
          <w:sz w:val="24"/>
          <w:szCs w:val="24"/>
          <w:highlight w:val="none"/>
          <w:lang w:val="en-US" w:eastAsia="zh-CN"/>
        </w:rPr>
        <w:t>表中所列项目为现行港口中转货物种类和作业工艺，如出现表中未列项目将参照市场单价双方协商解决，在协商解决前双方不得以单价未协商而停止履行权利义务。</w:t>
      </w:r>
    </w:p>
    <w:p>
      <w:pPr>
        <w:numPr>
          <w:ilvl w:val="0"/>
          <w:numId w:val="2"/>
        </w:numPr>
        <w:autoSpaceDE w:val="0"/>
        <w:spacing w:line="400" w:lineRule="exact"/>
        <w:ind w:firstLine="480" w:firstLineChars="200"/>
        <w:jc w:val="both"/>
        <w:rPr>
          <w:rFonts w:hint="eastAsia"/>
        </w:rPr>
      </w:pPr>
      <w:r>
        <w:rPr>
          <w:rFonts w:hint="eastAsia" w:ascii="宋体" w:hAnsi="宋体" w:eastAsia="宋体" w:cs="宋体"/>
          <w:color w:val="auto"/>
          <w:sz w:val="24"/>
          <w:szCs w:val="24"/>
          <w:highlight w:val="none"/>
        </w:rPr>
        <w:t>报价人</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报价应不高于最高</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限价，否则其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将被否决。</w:t>
      </w:r>
      <w:bookmarkEnd w:id="4"/>
      <w:bookmarkEnd w:id="5"/>
    </w:p>
    <w:p>
      <w:pPr>
        <w:pStyle w:val="7"/>
        <w:jc w:val="both"/>
        <w:rPr>
          <w:rFonts w:ascii="Arial" w:hAnsi="Arial"/>
          <w:color w:val="auto"/>
          <w:highlight w:val="none"/>
        </w:rPr>
      </w:pPr>
      <w:r>
        <w:rPr>
          <w:rFonts w:hint="eastAsia"/>
          <w:color w:val="auto"/>
          <w:highlight w:val="none"/>
          <w:lang w:val="en-US" w:eastAsia="zh-CN"/>
        </w:rPr>
        <w:t>六、</w:t>
      </w:r>
      <w:r>
        <w:rPr>
          <w:rFonts w:hint="eastAsia" w:ascii="黑体" w:hAnsi="黑体"/>
          <w:color w:val="auto"/>
          <w:highlight w:val="none"/>
        </w:rPr>
        <w:t>采购文件获取</w:t>
      </w:r>
    </w:p>
    <w:p>
      <w:pPr>
        <w:autoSpaceDE w:val="0"/>
        <w:spacing w:line="400" w:lineRule="exact"/>
        <w:ind w:firstLine="482" w:firstLineChars="200"/>
        <w:jc w:val="both"/>
        <w:rPr>
          <w:rFonts w:ascii="宋体" w:hAnsi="宋体"/>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color w:val="auto"/>
          <w:sz w:val="24"/>
          <w:highlight w:val="yellow"/>
        </w:rPr>
        <w:t>供应商应当于</w:t>
      </w:r>
      <w:r>
        <w:rPr>
          <w:rFonts w:hint="eastAsia" w:ascii="宋体" w:hAnsi="宋体"/>
          <w:color w:val="auto"/>
          <w:sz w:val="24"/>
          <w:highlight w:val="yellow"/>
          <w:u w:val="single"/>
          <w:lang w:val="en-US" w:eastAsia="zh-CN"/>
        </w:rPr>
        <w:t xml:space="preserve"> </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 xml:space="preserve">4 </w:t>
      </w:r>
      <w:r>
        <w:rPr>
          <w:rFonts w:hint="eastAsia" w:ascii="宋体" w:hAnsi="宋体"/>
          <w:color w:val="auto"/>
          <w:sz w:val="24"/>
          <w:highlight w:val="yellow"/>
        </w:rPr>
        <w:t>年</w:t>
      </w:r>
      <w:r>
        <w:rPr>
          <w:rFonts w:hint="eastAsia" w:ascii="宋体" w:hAnsi="宋体"/>
          <w:color w:val="auto"/>
          <w:sz w:val="24"/>
          <w:highlight w:val="yellow"/>
          <w:u w:val="single"/>
          <w:lang w:val="en-US" w:eastAsia="zh-CN"/>
        </w:rPr>
        <w:t xml:space="preserve"> 5 </w:t>
      </w:r>
      <w:r>
        <w:rPr>
          <w:rFonts w:hint="eastAsia" w:ascii="宋体" w:hAnsi="宋体"/>
          <w:color w:val="auto"/>
          <w:sz w:val="24"/>
          <w:highlight w:val="yellow"/>
        </w:rPr>
        <w:t>月</w:t>
      </w:r>
      <w:r>
        <w:rPr>
          <w:rFonts w:hint="eastAsia" w:ascii="宋体" w:hAnsi="宋体"/>
          <w:color w:val="auto"/>
          <w:sz w:val="24"/>
          <w:highlight w:val="yellow"/>
          <w:lang w:val="en-US" w:eastAsia="zh-CN"/>
        </w:rPr>
        <w:t>31</w:t>
      </w:r>
      <w:r>
        <w:rPr>
          <w:rFonts w:hint="eastAsia" w:ascii="宋体" w:hAnsi="宋体"/>
          <w:color w:val="auto"/>
          <w:sz w:val="24"/>
          <w:highlight w:val="yellow"/>
        </w:rPr>
        <w:t>日至</w:t>
      </w:r>
      <w:r>
        <w:rPr>
          <w:rFonts w:hint="eastAsia" w:ascii="宋体" w:hAnsi="宋体"/>
          <w:color w:val="auto"/>
          <w:sz w:val="24"/>
          <w:highlight w:val="yellow"/>
          <w:u w:val="single"/>
          <w:lang w:val="en-US" w:eastAsia="zh-CN"/>
        </w:rPr>
        <w:t>2024</w:t>
      </w:r>
      <w:r>
        <w:rPr>
          <w:rFonts w:hint="eastAsia" w:ascii="宋体" w:hAnsi="宋体"/>
          <w:color w:val="auto"/>
          <w:sz w:val="24"/>
          <w:highlight w:val="yellow"/>
        </w:rPr>
        <w:t>年</w:t>
      </w:r>
      <w:r>
        <w:rPr>
          <w:rFonts w:hint="eastAsia" w:ascii="宋体" w:hAnsi="宋体"/>
          <w:color w:val="auto"/>
          <w:sz w:val="24"/>
          <w:highlight w:val="yellow"/>
          <w:lang w:val="en-US" w:eastAsia="zh-CN"/>
        </w:rPr>
        <w:t>6</w:t>
      </w:r>
      <w:r>
        <w:rPr>
          <w:rFonts w:hint="eastAsia" w:ascii="宋体" w:hAnsi="宋体"/>
          <w:color w:val="auto"/>
          <w:sz w:val="24"/>
          <w:highlight w:val="yellow"/>
        </w:rPr>
        <w:t>月</w:t>
      </w:r>
      <w:r>
        <w:rPr>
          <w:rFonts w:hint="eastAsia" w:ascii="宋体" w:hAnsi="宋体"/>
          <w:color w:val="auto"/>
          <w:sz w:val="24"/>
          <w:highlight w:val="yellow"/>
          <w:lang w:val="en-US" w:eastAsia="zh-CN"/>
        </w:rPr>
        <w:t>4</w:t>
      </w:r>
      <w:r>
        <w:rPr>
          <w:rFonts w:hint="eastAsia" w:ascii="宋体" w:hAnsi="宋体"/>
          <w:color w:val="auto"/>
          <w:sz w:val="24"/>
          <w:highlight w:val="yellow"/>
        </w:rPr>
        <w:t>日，</w:t>
      </w:r>
      <w:r>
        <w:rPr>
          <w:rFonts w:hint="eastAsia" w:ascii="宋体" w:hAnsi="宋体"/>
          <w:color w:val="auto"/>
          <w:sz w:val="24"/>
          <w:highlight w:val="yellow"/>
          <w:u w:val="single"/>
        </w:rPr>
        <w:t>网上直接下载</w:t>
      </w:r>
      <w:r>
        <w:rPr>
          <w:rFonts w:hint="eastAsia" w:ascii="宋体" w:hAnsi="宋体"/>
          <w:color w:val="auto"/>
          <w:sz w:val="24"/>
          <w:highlight w:val="yellow"/>
        </w:rPr>
        <w:t>获取采购文件，报价文件最迟应于</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4</w:t>
      </w:r>
      <w:r>
        <w:rPr>
          <w:rFonts w:hint="eastAsia" w:ascii="宋体" w:hAnsi="宋体"/>
          <w:color w:val="auto"/>
          <w:sz w:val="24"/>
          <w:highlight w:val="yellow"/>
        </w:rPr>
        <w:t>年</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6</w:t>
      </w:r>
      <w:r>
        <w:rPr>
          <w:rFonts w:hint="eastAsia" w:ascii="宋体" w:hAnsi="宋体"/>
          <w:color w:val="auto"/>
          <w:sz w:val="24"/>
          <w:highlight w:val="yellow"/>
        </w:rPr>
        <w:t>月</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 xml:space="preserve">5 </w:t>
      </w:r>
      <w:r>
        <w:rPr>
          <w:rFonts w:hint="eastAsia" w:ascii="宋体" w:hAnsi="宋体"/>
          <w:color w:val="auto"/>
          <w:sz w:val="24"/>
          <w:highlight w:val="yellow"/>
        </w:rPr>
        <w:t>日</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12</w:t>
      </w:r>
      <w:r>
        <w:rPr>
          <w:rFonts w:hint="eastAsia" w:ascii="宋体" w:hAnsi="宋体"/>
          <w:color w:val="auto"/>
          <w:sz w:val="24"/>
          <w:highlight w:val="yellow"/>
        </w:rPr>
        <w:t>时</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0</w:t>
      </w:r>
      <w:r>
        <w:rPr>
          <w:rFonts w:hint="eastAsia" w:ascii="宋体" w:hAnsi="宋体"/>
          <w:color w:val="auto"/>
          <w:sz w:val="24"/>
          <w:highlight w:val="yellow"/>
          <w:u w:val="single"/>
        </w:rPr>
        <w:t xml:space="preserve"> </w:t>
      </w:r>
      <w:r>
        <w:rPr>
          <w:rFonts w:hint="eastAsia" w:ascii="宋体" w:hAnsi="宋体"/>
          <w:color w:val="auto"/>
          <w:sz w:val="24"/>
          <w:highlight w:val="yellow"/>
        </w:rPr>
        <w:t>分送达</w:t>
      </w:r>
      <w:r>
        <w:rPr>
          <w:rFonts w:hint="eastAsia" w:ascii="宋体" w:hAnsi="宋体"/>
          <w:color w:val="auto"/>
          <w:sz w:val="24"/>
          <w:highlight w:val="none"/>
          <w:u w:val="single"/>
          <w:lang w:eastAsia="zh-CN"/>
        </w:rPr>
        <w:t>湖南省</w:t>
      </w:r>
      <w:r>
        <w:rPr>
          <w:rFonts w:hint="eastAsia" w:ascii="宋体" w:hAnsi="宋体"/>
          <w:color w:val="auto"/>
          <w:sz w:val="24"/>
          <w:highlight w:val="none"/>
          <w:u w:val="single"/>
          <w:lang w:val="en-US" w:eastAsia="zh-CN"/>
        </w:rPr>
        <w:t>虞公港建设投资</w:t>
      </w:r>
      <w:r>
        <w:rPr>
          <w:rFonts w:hint="eastAsia" w:ascii="宋体" w:hAnsi="宋体"/>
          <w:color w:val="auto"/>
          <w:sz w:val="24"/>
          <w:highlight w:val="none"/>
          <w:u w:val="single"/>
          <w:lang w:eastAsia="zh-CN"/>
        </w:rPr>
        <w:t>有限公司</w:t>
      </w:r>
      <w:r>
        <w:rPr>
          <w:rFonts w:hint="eastAsia" w:ascii="宋体" w:hAnsi="宋体"/>
          <w:color w:val="auto"/>
          <w:sz w:val="24"/>
          <w:highlight w:val="none"/>
          <w:u w:val="single"/>
          <w:lang w:val="en-US" w:eastAsia="zh-CN"/>
        </w:rPr>
        <w:t>生产运营部</w:t>
      </w:r>
      <w:r>
        <w:rPr>
          <w:rFonts w:hint="eastAsia" w:ascii="宋体" w:hAnsi="宋体"/>
          <w:color w:val="auto"/>
          <w:sz w:val="24"/>
          <w:highlight w:val="none"/>
          <w:u w:val="single"/>
        </w:rPr>
        <w:t>（岳阳市</w:t>
      </w:r>
      <w:r>
        <w:rPr>
          <w:rFonts w:hint="eastAsia" w:ascii="宋体" w:hAnsi="宋体"/>
          <w:color w:val="auto"/>
          <w:sz w:val="24"/>
          <w:highlight w:val="none"/>
          <w:u w:val="single"/>
          <w:lang w:val="en-US" w:eastAsia="zh-CN"/>
        </w:rPr>
        <w:t>湘阴县自然资源局205</w:t>
      </w:r>
      <w:r>
        <w:rPr>
          <w:rFonts w:hint="eastAsia" w:ascii="宋体" w:hAnsi="宋体"/>
          <w:color w:val="auto"/>
          <w:sz w:val="24"/>
          <w:highlight w:val="none"/>
          <w:u w:val="single"/>
        </w:rPr>
        <w:t>室）</w:t>
      </w:r>
      <w:r>
        <w:rPr>
          <w:rFonts w:hint="eastAsia" w:ascii="宋体" w:hAnsi="宋体"/>
          <w:color w:val="auto"/>
          <w:sz w:val="24"/>
          <w:highlight w:val="none"/>
        </w:rPr>
        <w:t>，逾期送达的或者未送达指定地点的文件，不予受理。</w:t>
      </w:r>
    </w:p>
    <w:p>
      <w:pPr>
        <w:widowControl w:val="0"/>
        <w:spacing w:line="312" w:lineRule="auto"/>
        <w:ind w:firstLine="482" w:firstLineChars="200"/>
        <w:jc w:val="both"/>
        <w:rPr>
          <w:rFonts w:ascii="宋体" w:hAnsi="宋体"/>
          <w:sz w:val="24"/>
          <w:highlight w:val="yellow"/>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 xml:space="preserve"> </w:t>
      </w:r>
      <w:r>
        <w:rPr>
          <w:rFonts w:hint="eastAsia" w:ascii="宋体" w:hAnsi="宋体"/>
          <w:color w:val="auto"/>
          <w:sz w:val="24"/>
          <w:highlight w:val="none"/>
        </w:rPr>
        <w:t>供应商若对本项目采购需求、资格要求等有疑问的，</w:t>
      </w:r>
      <w:r>
        <w:rPr>
          <w:rFonts w:hint="eastAsia" w:ascii="宋体" w:hAnsi="宋体"/>
          <w:color w:val="auto"/>
          <w:sz w:val="24"/>
          <w:highlight w:val="yellow"/>
        </w:rPr>
        <w:t>应当于</w:t>
      </w:r>
      <w:r>
        <w:rPr>
          <w:rFonts w:hint="eastAsia" w:ascii="宋体" w:hAnsi="宋体"/>
          <w:color w:val="auto"/>
          <w:sz w:val="24"/>
          <w:highlight w:val="yellow"/>
          <w:u w:val="single"/>
          <w:lang w:val="en-US" w:eastAsia="zh-CN"/>
        </w:rPr>
        <w:t xml:space="preserve"> </w:t>
      </w:r>
      <w:r>
        <w:rPr>
          <w:rFonts w:hint="eastAsia" w:ascii="宋体" w:hAnsi="宋体"/>
          <w:color w:val="auto"/>
          <w:sz w:val="24"/>
          <w:highlight w:val="yellow"/>
          <w:u w:val="single"/>
        </w:rPr>
        <w:t>202</w:t>
      </w:r>
      <w:r>
        <w:rPr>
          <w:rFonts w:hint="eastAsia" w:ascii="宋体" w:hAnsi="宋体"/>
          <w:color w:val="auto"/>
          <w:sz w:val="24"/>
          <w:highlight w:val="yellow"/>
          <w:u w:val="single"/>
          <w:lang w:val="en-US" w:eastAsia="zh-CN"/>
        </w:rPr>
        <w:t xml:space="preserve">4 </w:t>
      </w:r>
      <w:r>
        <w:rPr>
          <w:rFonts w:hint="eastAsia" w:ascii="宋体" w:hAnsi="宋体"/>
          <w:color w:val="auto"/>
          <w:sz w:val="24"/>
          <w:highlight w:val="yellow"/>
        </w:rPr>
        <w:t>年</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6</w:t>
      </w:r>
      <w:r>
        <w:rPr>
          <w:rFonts w:hint="eastAsia" w:ascii="宋体" w:hAnsi="宋体"/>
          <w:color w:val="auto"/>
          <w:sz w:val="24"/>
          <w:highlight w:val="yellow"/>
          <w:u w:val="single"/>
        </w:rPr>
        <w:t xml:space="preserve"> </w:t>
      </w:r>
      <w:r>
        <w:rPr>
          <w:rFonts w:hint="eastAsia" w:ascii="宋体" w:hAnsi="宋体"/>
          <w:color w:val="auto"/>
          <w:sz w:val="24"/>
          <w:highlight w:val="yellow"/>
        </w:rPr>
        <w:t>月</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4</w:t>
      </w:r>
      <w:r>
        <w:rPr>
          <w:rFonts w:hint="eastAsia" w:ascii="宋体" w:hAnsi="宋体"/>
          <w:color w:val="auto"/>
          <w:sz w:val="24"/>
          <w:highlight w:val="yellow"/>
          <w:u w:val="single"/>
        </w:rPr>
        <w:t xml:space="preserve"> </w:t>
      </w:r>
      <w:r>
        <w:rPr>
          <w:rFonts w:hint="eastAsia" w:ascii="宋体" w:hAnsi="宋体"/>
          <w:color w:val="auto"/>
          <w:sz w:val="24"/>
          <w:highlight w:val="yellow"/>
        </w:rPr>
        <w:t>日</w:t>
      </w:r>
      <w:r>
        <w:rPr>
          <w:rFonts w:hint="eastAsia" w:ascii="宋体" w:hAnsi="宋体"/>
          <w:color w:val="auto"/>
          <w:sz w:val="24"/>
          <w:highlight w:val="yellow"/>
          <w:u w:val="single"/>
        </w:rPr>
        <w:t xml:space="preserve"> </w:t>
      </w:r>
      <w:r>
        <w:rPr>
          <w:rFonts w:hint="eastAsia" w:ascii="宋体" w:hAnsi="宋体"/>
          <w:color w:val="auto"/>
          <w:sz w:val="24"/>
          <w:highlight w:val="yellow"/>
          <w:u w:val="single"/>
          <w:lang w:val="en-US" w:eastAsia="zh-CN"/>
        </w:rPr>
        <w:t>17</w:t>
      </w:r>
      <w:r>
        <w:rPr>
          <w:rFonts w:hint="eastAsia" w:ascii="宋体" w:hAnsi="宋体"/>
          <w:color w:val="auto"/>
          <w:sz w:val="24"/>
          <w:highlight w:val="yellow"/>
          <w:u w:val="single"/>
        </w:rPr>
        <w:t xml:space="preserve"> </w:t>
      </w:r>
      <w:r>
        <w:rPr>
          <w:rFonts w:hint="eastAsia" w:ascii="宋体" w:hAnsi="宋体"/>
          <w:color w:val="auto"/>
          <w:sz w:val="24"/>
          <w:highlight w:val="yellow"/>
        </w:rPr>
        <w:t xml:space="preserve">时 </w:t>
      </w:r>
      <w:r>
        <w:rPr>
          <w:rFonts w:hint="eastAsia" w:ascii="宋体" w:hAnsi="宋体"/>
          <w:color w:val="auto"/>
          <w:sz w:val="24"/>
          <w:highlight w:val="yellow"/>
          <w:lang w:val="en-US" w:eastAsia="zh-CN"/>
        </w:rPr>
        <w:t>0</w:t>
      </w:r>
      <w:r>
        <w:rPr>
          <w:rFonts w:hint="eastAsia" w:ascii="宋体" w:hAnsi="宋体"/>
          <w:color w:val="auto"/>
          <w:sz w:val="24"/>
          <w:highlight w:val="yellow"/>
        </w:rPr>
        <w:t xml:space="preserve"> 分</w:t>
      </w:r>
      <w:r>
        <w:rPr>
          <w:rFonts w:hint="eastAsia" w:ascii="宋体" w:hAnsi="宋体"/>
          <w:sz w:val="24"/>
          <w:highlight w:val="yellow"/>
        </w:rPr>
        <w:t>前向采购人提出澄清要求。</w:t>
      </w:r>
    </w:p>
    <w:p>
      <w:pPr>
        <w:widowControl w:val="0"/>
        <w:spacing w:line="312" w:lineRule="auto"/>
        <w:ind w:firstLine="482" w:firstLineChars="200"/>
        <w:jc w:val="both"/>
        <w:rPr>
          <w:rFonts w:ascii="宋体" w:hAnsi="宋体"/>
          <w:sz w:val="24"/>
          <w:highlight w:val="none"/>
        </w:rPr>
      </w:pPr>
      <w:r>
        <w:rPr>
          <w:rFonts w:hint="eastAsia" w:ascii="宋体" w:hAnsi="宋体"/>
          <w:b/>
          <w:bCs/>
          <w:sz w:val="24"/>
          <w:highlight w:val="none"/>
          <w:lang w:eastAsia="zh-CN"/>
        </w:rPr>
        <w:t>（</w:t>
      </w:r>
      <w:r>
        <w:rPr>
          <w:rFonts w:hint="eastAsia" w:ascii="宋体" w:hAnsi="宋体"/>
          <w:b/>
          <w:bCs/>
          <w:sz w:val="24"/>
          <w:highlight w:val="none"/>
          <w:lang w:val="en-US" w:eastAsia="zh-CN"/>
        </w:rPr>
        <w:t>三</w:t>
      </w:r>
      <w:r>
        <w:rPr>
          <w:rFonts w:hint="eastAsia" w:ascii="宋体" w:hAnsi="宋体"/>
          <w:b/>
          <w:bCs/>
          <w:sz w:val="24"/>
          <w:highlight w:val="none"/>
          <w:lang w:eastAsia="zh-CN"/>
        </w:rPr>
        <w:t>）</w:t>
      </w:r>
      <w:r>
        <w:rPr>
          <w:rFonts w:hint="eastAsia" w:ascii="宋体" w:hAnsi="宋体"/>
          <w:sz w:val="24"/>
          <w:highlight w:val="none"/>
        </w:rPr>
        <w:t>本次询价不接受联合体报价。</w:t>
      </w:r>
    </w:p>
    <w:p>
      <w:pPr>
        <w:pStyle w:val="7"/>
        <w:jc w:val="both"/>
        <w:rPr>
          <w:highlight w:val="none"/>
        </w:rPr>
      </w:pPr>
      <w:r>
        <w:rPr>
          <w:rFonts w:hint="eastAsia"/>
          <w:highlight w:val="none"/>
          <w:lang w:val="en-US" w:eastAsia="zh-CN"/>
        </w:rPr>
        <w:t>七、</w:t>
      </w:r>
      <w:r>
        <w:rPr>
          <w:rFonts w:hint="eastAsia"/>
          <w:highlight w:val="none"/>
        </w:rPr>
        <w:t>发布</w:t>
      </w:r>
      <w:r>
        <w:rPr>
          <w:rFonts w:hint="eastAsia" w:ascii="黑体" w:hAnsi="黑体"/>
          <w:highlight w:val="none"/>
        </w:rPr>
        <w:t>公告的</w:t>
      </w:r>
      <w:r>
        <w:rPr>
          <w:rFonts w:hint="eastAsia"/>
          <w:highlight w:val="none"/>
        </w:rPr>
        <w:t>媒介</w:t>
      </w:r>
    </w:p>
    <w:p>
      <w:pPr>
        <w:widowControl w:val="0"/>
        <w:spacing w:line="312" w:lineRule="auto"/>
        <w:ind w:firstLine="480" w:firstLineChars="200"/>
        <w:jc w:val="left"/>
        <w:rPr>
          <w:rFonts w:ascii="宋体" w:hAnsi="宋体" w:cs="宋体"/>
          <w:sz w:val="24"/>
          <w:highlight w:val="none"/>
        </w:rPr>
      </w:pPr>
      <w:r>
        <w:rPr>
          <w:rFonts w:hint="eastAsia" w:ascii="宋体" w:hAnsi="宋体"/>
          <w:bCs/>
          <w:sz w:val="24"/>
          <w:highlight w:val="none"/>
        </w:rPr>
        <w:t>本次采购公告</w:t>
      </w:r>
      <w:r>
        <w:rPr>
          <w:rFonts w:hint="eastAsia" w:ascii="宋体" w:hAnsi="宋体"/>
          <w:sz w:val="24"/>
          <w:highlight w:val="none"/>
        </w:rPr>
        <w:t>发布的媒介</w:t>
      </w:r>
      <w:r>
        <w:rPr>
          <w:rFonts w:hint="eastAsia" w:ascii="宋体" w:hAnsi="宋体"/>
          <w:sz w:val="24"/>
          <w:highlight w:val="none"/>
          <w:lang w:eastAsia="zh-CN"/>
        </w:rPr>
        <w:t>：</w:t>
      </w:r>
      <w:r>
        <w:rPr>
          <w:rFonts w:hint="eastAsia" w:ascii="宋体" w:hAnsi="宋体" w:cs="宋体"/>
          <w:sz w:val="24"/>
          <w:highlight w:val="none"/>
        </w:rPr>
        <w:t xml:space="preserve"> 中国</w:t>
      </w:r>
      <w:r>
        <w:rPr>
          <w:rFonts w:hint="eastAsia" w:ascii="宋体" w:hAnsi="宋体" w:cs="宋体"/>
          <w:sz w:val="24"/>
          <w:highlight w:val="none"/>
          <w:lang w:eastAsia="zh-CN"/>
        </w:rPr>
        <w:t>询价响应</w:t>
      </w:r>
      <w:r>
        <w:rPr>
          <w:rFonts w:hint="eastAsia" w:ascii="宋体" w:hAnsi="宋体" w:cs="宋体"/>
          <w:sz w:val="24"/>
          <w:highlight w:val="none"/>
        </w:rPr>
        <w:t>公共服务平台（</w:t>
      </w:r>
      <w:r>
        <w:rPr>
          <w:rFonts w:hint="eastAsia" w:ascii="宋体" w:hAnsi="宋体" w:cs="宋体"/>
          <w:sz w:val="24"/>
          <w:highlight w:val="none"/>
          <w:lang w:eastAsia="zh-CN"/>
        </w:rPr>
        <w:t>http:</w:t>
      </w:r>
      <w:r>
        <w:rPr>
          <w:rFonts w:hint="eastAsia" w:ascii="宋体" w:hAnsi="宋体" w:cs="宋体"/>
          <w:sz w:val="24"/>
          <w:highlight w:val="none"/>
          <w:lang w:val="en-US" w:eastAsia="zh-CN"/>
        </w:rPr>
        <w:t>//</w:t>
      </w:r>
      <w:r>
        <w:rPr>
          <w:rFonts w:hint="eastAsia" w:ascii="宋体" w:hAnsi="宋体" w:cs="宋体"/>
          <w:sz w:val="24"/>
          <w:highlight w:val="none"/>
        </w:rPr>
        <w:t>www.cebpubservice.com）、</w:t>
      </w:r>
      <w:r>
        <w:rPr>
          <w:rFonts w:hint="eastAsia" w:ascii="宋体" w:hAnsi="宋体" w:cs="宋体"/>
          <w:sz w:val="24"/>
          <w:highlight w:val="none"/>
          <w:lang w:eastAsia="zh-CN"/>
        </w:rPr>
        <w:t>湖南省港航水利集团有限公司</w:t>
      </w:r>
      <w:r>
        <w:rPr>
          <w:rFonts w:hint="eastAsia" w:ascii="宋体" w:hAnsi="宋体" w:cs="宋体"/>
          <w:sz w:val="24"/>
          <w:highlight w:val="none"/>
        </w:rPr>
        <w:t>网站（</w:t>
      </w:r>
      <w:r>
        <w:rPr>
          <w:rFonts w:hint="eastAsia" w:ascii="宋体" w:hAnsi="宋体" w:cs="宋体"/>
          <w:sz w:val="24"/>
          <w:highlight w:val="none"/>
          <w:lang w:eastAsia="zh-CN"/>
        </w:rPr>
        <w:t>http://www.hnsghsljt.com</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湖南省</w:t>
      </w:r>
      <w:r>
        <w:rPr>
          <w:rFonts w:hint="eastAsia" w:ascii="宋体" w:hAnsi="宋体" w:cs="宋体"/>
          <w:sz w:val="24"/>
          <w:highlight w:val="none"/>
          <w:u w:val="single"/>
          <w:lang w:val="en-US" w:eastAsia="zh-CN"/>
        </w:rPr>
        <w:t>城陵矶港口集团</w:t>
      </w:r>
      <w:r>
        <w:rPr>
          <w:rFonts w:hint="eastAsia" w:ascii="宋体" w:hAnsi="宋体" w:cs="宋体"/>
          <w:sz w:val="24"/>
          <w:highlight w:val="none"/>
          <w:u w:val="single"/>
          <w:lang w:eastAsia="zh-CN"/>
        </w:rPr>
        <w:t>有限公司</w:t>
      </w:r>
      <w:r>
        <w:rPr>
          <w:rFonts w:hint="eastAsia" w:ascii="宋体" w:hAnsi="宋体" w:cs="宋体"/>
          <w:sz w:val="24"/>
          <w:highlight w:val="none"/>
        </w:rPr>
        <w:t>（http://www.hnsgwjt.com）上发布。</w:t>
      </w:r>
    </w:p>
    <w:p>
      <w:pPr>
        <w:pStyle w:val="7"/>
        <w:jc w:val="both"/>
        <w:rPr>
          <w:highlight w:val="none"/>
        </w:rPr>
      </w:pPr>
      <w:bookmarkStart w:id="6" w:name="_Toc512257471"/>
      <w:bookmarkStart w:id="7" w:name="_Toc76635692"/>
      <w:bookmarkStart w:id="8" w:name="_Toc77254104"/>
      <w:bookmarkStart w:id="9" w:name="_Toc79596547"/>
      <w:r>
        <w:rPr>
          <w:rFonts w:hint="eastAsia"/>
          <w:highlight w:val="none"/>
          <w:lang w:val="en-US" w:eastAsia="zh-CN"/>
        </w:rPr>
        <w:t>八、</w:t>
      </w:r>
      <w:r>
        <w:rPr>
          <w:highlight w:val="none"/>
        </w:rPr>
        <w:t>监督</w:t>
      </w:r>
      <w:bookmarkEnd w:id="6"/>
      <w:bookmarkEnd w:id="7"/>
      <w:bookmarkEnd w:id="8"/>
      <w:r>
        <w:rPr>
          <w:rFonts w:hint="eastAsia"/>
          <w:highlight w:val="none"/>
        </w:rPr>
        <w:t>部门</w:t>
      </w:r>
      <w:bookmarkEnd w:id="9"/>
    </w:p>
    <w:p>
      <w:pPr>
        <w:widowControl w:val="0"/>
        <w:spacing w:line="312" w:lineRule="auto"/>
        <w:ind w:firstLine="480" w:firstLineChars="200"/>
        <w:jc w:val="both"/>
        <w:rPr>
          <w:rFonts w:ascii="宋体" w:hAnsi="宋体"/>
          <w:bCs/>
          <w:sz w:val="24"/>
          <w:highlight w:val="none"/>
        </w:rPr>
      </w:pPr>
      <w:r>
        <w:rPr>
          <w:rFonts w:hint="eastAsia" w:ascii="宋体" w:hAnsi="宋体"/>
          <w:bCs/>
          <w:sz w:val="24"/>
          <w:highlight w:val="none"/>
        </w:rPr>
        <w:t>本次采购监督部门为湖南省</w:t>
      </w:r>
      <w:r>
        <w:rPr>
          <w:rFonts w:hint="eastAsia" w:ascii="宋体" w:hAnsi="宋体"/>
          <w:bCs/>
          <w:sz w:val="24"/>
          <w:highlight w:val="none"/>
          <w:lang w:val="en-US" w:eastAsia="zh-CN"/>
        </w:rPr>
        <w:t>虞公港建设投资有限公司党政办公室</w:t>
      </w:r>
      <w:r>
        <w:rPr>
          <w:rFonts w:hint="eastAsia" w:ascii="宋体" w:hAnsi="宋体"/>
          <w:bCs/>
          <w:sz w:val="24"/>
          <w:highlight w:val="none"/>
        </w:rPr>
        <w:t xml:space="preserve"> ，电话： </w:t>
      </w:r>
      <w:r>
        <w:rPr>
          <w:rFonts w:hint="eastAsia" w:ascii="宋体" w:hAnsi="宋体"/>
          <w:bCs/>
          <w:sz w:val="24"/>
          <w:highlight w:val="none"/>
          <w:lang w:val="zh-CN"/>
        </w:rPr>
        <w:t>0730-8426255</w:t>
      </w:r>
      <w:r>
        <w:rPr>
          <w:rFonts w:hint="eastAsia" w:ascii="宋体" w:hAnsi="宋体"/>
          <w:bCs/>
          <w:sz w:val="24"/>
          <w:highlight w:val="none"/>
        </w:rPr>
        <w:t>。</w:t>
      </w:r>
    </w:p>
    <w:p>
      <w:pPr>
        <w:pStyle w:val="7"/>
        <w:jc w:val="both"/>
        <w:rPr>
          <w:rFonts w:ascii="Arial" w:hAnsi="Arial"/>
          <w:highlight w:val="none"/>
        </w:rPr>
      </w:pPr>
      <w:r>
        <w:rPr>
          <w:rFonts w:hint="eastAsia"/>
          <w:highlight w:val="none"/>
          <w:lang w:val="en-US" w:eastAsia="zh-CN"/>
        </w:rPr>
        <w:t>九、</w:t>
      </w:r>
      <w:r>
        <w:rPr>
          <w:rFonts w:hint="eastAsia" w:ascii="黑体" w:hAnsi="黑体"/>
          <w:highlight w:val="none"/>
        </w:rPr>
        <w:t>联系方式</w:t>
      </w:r>
    </w:p>
    <w:p>
      <w:pPr>
        <w:topLinePunct/>
        <w:adjustRightInd w:val="0"/>
        <w:snapToGrid w:val="0"/>
        <w:spacing w:after="0" w:line="312" w:lineRule="auto"/>
        <w:ind w:firstLine="480" w:firstLineChars="200"/>
        <w:rPr>
          <w:rFonts w:hint="eastAsia" w:ascii="宋体" w:hAnsi="宋体" w:eastAsia="宋体" w:cs="Times New Roman"/>
          <w:sz w:val="24"/>
          <w:szCs w:val="24"/>
        </w:rPr>
      </w:pPr>
      <w:bookmarkStart w:id="10" w:name="_Toc517787494"/>
      <w:bookmarkStart w:id="11" w:name="_Toc234832861"/>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人：</w:t>
      </w:r>
      <w:r>
        <w:rPr>
          <w:rFonts w:hint="eastAsia" w:ascii="宋体" w:hAnsi="宋体" w:eastAsia="宋体" w:cs="Times New Roman"/>
          <w:sz w:val="24"/>
          <w:szCs w:val="24"/>
          <w:u w:val="single"/>
        </w:rPr>
        <w:t>湖南省虞公港建设投资有限公司</w:t>
      </w:r>
    </w:p>
    <w:p>
      <w:pPr>
        <w:topLinePunct/>
        <w:adjustRightInd w:val="0"/>
        <w:snapToGrid w:val="0"/>
        <w:spacing w:after="0" w:line="312"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湖南岳阳湘阴县自然资源局2楼</w:t>
      </w:r>
    </w:p>
    <w:p>
      <w:pPr>
        <w:topLinePunct/>
        <w:adjustRightInd w:val="0"/>
        <w:snapToGrid w:val="0"/>
        <w:spacing w:after="0" w:line="312" w:lineRule="auto"/>
        <w:ind w:firstLine="480" w:firstLineChars="200"/>
        <w:rPr>
          <w:rFonts w:hint="default" w:ascii="宋体" w:hAnsi="宋体" w:eastAsia="宋体" w:cs="Times New Roman"/>
          <w:sz w:val="24"/>
          <w:szCs w:val="24"/>
          <w:lang w:val="en-US"/>
        </w:rPr>
      </w:pPr>
      <w:r>
        <w:rPr>
          <w:rFonts w:hint="eastAsia" w:ascii="宋体" w:hAnsi="宋体" w:eastAsia="宋体" w:cs="Times New Roman"/>
          <w:sz w:val="24"/>
          <w:szCs w:val="24"/>
        </w:rPr>
        <w:t>邮  编：</w:t>
      </w:r>
      <w:r>
        <w:rPr>
          <w:rFonts w:hint="eastAsia" w:ascii="宋体" w:hAnsi="宋体" w:eastAsia="宋体" w:cs="Times New Roman"/>
          <w:sz w:val="24"/>
          <w:szCs w:val="24"/>
          <w:u w:val="single"/>
        </w:rPr>
        <w:t>41</w:t>
      </w:r>
      <w:r>
        <w:rPr>
          <w:rFonts w:hint="eastAsia" w:ascii="宋体" w:hAnsi="宋体" w:eastAsia="宋体" w:cs="Times New Roman"/>
          <w:sz w:val="24"/>
          <w:szCs w:val="24"/>
          <w:u w:val="single"/>
          <w:lang w:val="en-US" w:eastAsia="zh-CN"/>
        </w:rPr>
        <w:t>0500</w:t>
      </w:r>
    </w:p>
    <w:p>
      <w:pPr>
        <w:topLinePunct/>
        <w:adjustRightInd w:val="0"/>
        <w:snapToGrid w:val="0"/>
        <w:spacing w:after="0" w:line="312"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联系人：</w:t>
      </w:r>
      <w:r>
        <w:rPr>
          <w:rFonts w:hint="eastAsia" w:ascii="宋体" w:hAnsi="宋体" w:eastAsia="宋体" w:cs="Times New Roman"/>
          <w:sz w:val="24"/>
          <w:szCs w:val="24"/>
          <w:u w:val="single"/>
          <w:lang w:val="en-US" w:eastAsia="zh-CN"/>
        </w:rPr>
        <w:t>蒋</w:t>
      </w:r>
      <w:r>
        <w:rPr>
          <w:rFonts w:hint="eastAsia" w:ascii="宋体" w:hAnsi="宋体" w:eastAsia="宋体" w:cs="Times New Roman"/>
          <w:sz w:val="24"/>
          <w:szCs w:val="24"/>
          <w:u w:val="single"/>
        </w:rPr>
        <w:t>先生</w:t>
      </w:r>
    </w:p>
    <w:p>
      <w:pPr>
        <w:topLinePunct/>
        <w:adjustRightInd w:val="0"/>
        <w:snapToGrid w:val="0"/>
        <w:spacing w:after="0" w:line="312"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电 子 邮箱：</w:t>
      </w:r>
      <w:r>
        <w:rPr>
          <w:rFonts w:hint="eastAsia" w:ascii="宋体" w:hAnsi="宋体" w:eastAsia="宋体" w:cs="Times New Roman"/>
          <w:sz w:val="24"/>
          <w:szCs w:val="24"/>
          <w:u w:val="single"/>
        </w:rPr>
        <w:t>hnsgwjt@163.com</w:t>
      </w:r>
    </w:p>
    <w:p>
      <w:pPr>
        <w:topLinePunct/>
        <w:adjustRightInd w:val="0"/>
        <w:snapToGrid w:val="0"/>
        <w:spacing w:after="0" w:line="312"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 话：</w:t>
      </w:r>
      <w:r>
        <w:rPr>
          <w:rFonts w:hint="eastAsia" w:ascii="宋体" w:hAnsi="宋体" w:eastAsia="宋体" w:cs="Times New Roman"/>
          <w:sz w:val="24"/>
          <w:szCs w:val="24"/>
          <w:u w:val="single"/>
        </w:rPr>
        <w:t xml:space="preserve"> 13</w:t>
      </w:r>
      <w:r>
        <w:rPr>
          <w:rFonts w:hint="eastAsia" w:ascii="宋体" w:hAnsi="宋体" w:eastAsia="宋体" w:cs="Times New Roman"/>
          <w:sz w:val="24"/>
          <w:szCs w:val="24"/>
          <w:u w:val="single"/>
          <w:lang w:val="en-US" w:eastAsia="zh-CN"/>
        </w:rPr>
        <w:t>707307729</w:t>
      </w:r>
      <w:r>
        <w:rPr>
          <w:rFonts w:hint="eastAsia" w:ascii="宋体" w:hAnsi="宋体" w:eastAsia="宋体" w:cs="Times New Roman"/>
          <w:sz w:val="24"/>
          <w:szCs w:val="24"/>
          <w:u w:val="single"/>
        </w:rPr>
        <w:t xml:space="preserve"> </w:t>
      </w:r>
    </w:p>
    <w:p>
      <w:pPr>
        <w:spacing w:line="240" w:lineRule="auto"/>
        <w:jc w:val="center"/>
        <w:rPr>
          <w:rFonts w:ascii="黑体" w:hAnsi="黑体" w:eastAsia="黑体"/>
          <w:sz w:val="32"/>
          <w:szCs w:val="32"/>
          <w:highlight w:val="none"/>
          <w:u w:val="none"/>
        </w:rPr>
      </w:pPr>
    </w:p>
    <w:p>
      <w:pPr>
        <w:spacing w:line="240" w:lineRule="auto"/>
        <w:jc w:val="center"/>
        <w:rPr>
          <w:rFonts w:ascii="黑体" w:hAnsi="黑体" w:eastAsia="黑体"/>
          <w:sz w:val="32"/>
          <w:szCs w:val="32"/>
          <w:highlight w:val="none"/>
        </w:rPr>
      </w:pPr>
    </w:p>
    <w:p>
      <w:pPr>
        <w:spacing w:line="240" w:lineRule="auto"/>
        <w:jc w:val="center"/>
        <w:rPr>
          <w:rFonts w:ascii="黑体" w:hAnsi="黑体" w:eastAsia="黑体"/>
          <w:sz w:val="32"/>
          <w:szCs w:val="32"/>
          <w:highlight w:val="none"/>
        </w:rPr>
      </w:pPr>
    </w:p>
    <w:p>
      <w:pPr>
        <w:pStyle w:val="6"/>
        <w:outlineLvl w:val="9"/>
        <w:rPr>
          <w:highlight w:val="none"/>
        </w:rPr>
      </w:pPr>
    </w:p>
    <w:p>
      <w:pPr>
        <w:rPr>
          <w:rFonts w:hint="eastAsia"/>
          <w:highlight w:val="none"/>
          <w:lang w:eastAsia="zh-CN"/>
        </w:rPr>
      </w:pPr>
      <w:r>
        <w:rPr>
          <w:rFonts w:hint="eastAsia"/>
          <w:highlight w:val="none"/>
          <w:lang w:eastAsia="zh-CN"/>
        </w:rPr>
        <w:t>、</w:t>
      </w:r>
    </w:p>
    <w:p>
      <w:pPr>
        <w:rPr>
          <w:rFonts w:hint="eastAsia"/>
          <w:highlight w:val="none"/>
          <w:lang w:eastAsia="zh-CN"/>
        </w:rPr>
      </w:pPr>
      <w:r>
        <w:rPr>
          <w:rFonts w:hint="eastAsia"/>
          <w:highlight w:val="none"/>
          <w:lang w:eastAsia="zh-CN"/>
        </w:rPr>
        <w:br w:type="page"/>
      </w:r>
    </w:p>
    <w:p>
      <w:pPr>
        <w:rPr>
          <w:rFonts w:hint="eastAsia"/>
          <w:highlight w:val="none"/>
          <w:lang w:eastAsia="zh-CN"/>
        </w:rPr>
      </w:pPr>
    </w:p>
    <w:p>
      <w:pPr>
        <w:spacing w:line="240" w:lineRule="auto"/>
        <w:jc w:val="center"/>
        <w:outlineLvl w:val="0"/>
        <w:rPr>
          <w:rFonts w:ascii="黑体" w:hAnsi="黑体" w:eastAsia="黑体"/>
          <w:sz w:val="32"/>
          <w:szCs w:val="32"/>
          <w:highlight w:val="none"/>
        </w:rPr>
      </w:pPr>
      <w:bookmarkStart w:id="12" w:name="_Toc14390"/>
      <w:r>
        <w:rPr>
          <w:rFonts w:hint="eastAsia" w:ascii="黑体" w:hAnsi="黑体" w:eastAsia="黑体"/>
          <w:sz w:val="32"/>
          <w:szCs w:val="32"/>
          <w:highlight w:val="none"/>
        </w:rPr>
        <w:t>第二章  供应商须知</w:t>
      </w:r>
      <w:bookmarkEnd w:id="10"/>
      <w:bookmarkEnd w:id="11"/>
      <w:bookmarkEnd w:id="12"/>
    </w:p>
    <w:p>
      <w:pPr>
        <w:pStyle w:val="4"/>
        <w:spacing w:before="240" w:after="240" w:line="600" w:lineRule="exact"/>
        <w:jc w:val="both"/>
        <w:rPr>
          <w:rFonts w:ascii="仿宋" w:hAnsi="仿宋" w:eastAsia="仿宋" w:cs="仿宋"/>
          <w:sz w:val="30"/>
          <w:szCs w:val="30"/>
          <w:highlight w:val="none"/>
        </w:rPr>
      </w:pPr>
      <w:bookmarkStart w:id="13" w:name="_Toc234832862"/>
      <w:bookmarkStart w:id="14" w:name="_Toc25493"/>
      <w:bookmarkStart w:id="15" w:name="_Toc517787495"/>
      <w:r>
        <w:rPr>
          <w:rFonts w:hint="eastAsia" w:ascii="仿宋" w:hAnsi="仿宋" w:eastAsia="仿宋" w:cs="仿宋"/>
          <w:sz w:val="30"/>
          <w:szCs w:val="30"/>
          <w:highlight w:val="none"/>
        </w:rPr>
        <w:t>供应商须知前附表</w:t>
      </w:r>
      <w:bookmarkEnd w:id="13"/>
      <w:bookmarkEnd w:id="14"/>
      <w:bookmarkEnd w:id="15"/>
    </w:p>
    <w:tbl>
      <w:tblPr>
        <w:tblStyle w:val="41"/>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询价</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□竞争性谈判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□单一来源</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□直接采购</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最低价法（同质比价法和同价比质法）</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sym w:font="Wingdings 2" w:char="00A3"/>
            </w:r>
            <w:r>
              <w:rPr>
                <w:rFonts w:hint="eastAsia" w:cs="仿宋" w:asciiTheme="minorEastAsia" w:hAnsiTheme="minorEastAsia" w:eastAsiaTheme="minorEastAsia"/>
                <w:color w:val="auto"/>
                <w:sz w:val="24"/>
                <w:highlight w:val="none"/>
              </w:rPr>
              <w:t>综合评分法（性价比法）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不组织</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□组织，踏勘时间：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踏勘集中地点：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不召开</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sym w:font="Wingdings 2" w:char="00A3"/>
            </w:r>
            <w:r>
              <w:rPr>
                <w:rFonts w:hint="eastAsia" w:cs="仿宋" w:asciiTheme="minorEastAsia" w:hAnsiTheme="minorEastAsia" w:eastAsiaTheme="minorEastAsia"/>
                <w:color w:val="auto"/>
                <w:sz w:val="24"/>
                <w:highlight w:val="none"/>
              </w:rPr>
              <w:t xml:space="preserve">召开，召开时间：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召开地点：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不允许分包</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对分包供应商的要求：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允许偏差的范围：不允许重大偏差，允许细微偏差</w:t>
            </w:r>
            <w:r>
              <w:rPr>
                <w:rFonts w:hint="eastAsia" w:cs="仿宋" w:asciiTheme="minorEastAsia" w:hAnsiTheme="minorEastAsia" w:eastAsiaTheme="minorEastAsia"/>
                <w:color w:val="auto"/>
                <w:sz w:val="24"/>
                <w:highlight w:val="none"/>
                <w:lang w:val="en-US" w:eastAsia="zh-CN"/>
              </w:rPr>
              <w:t>2项。</w:t>
            </w:r>
            <w:r>
              <w:rPr>
                <w:rFonts w:hint="eastAsia" w:cs="仿宋"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yellow"/>
              </w:rPr>
              <w:t>截止时间：202</w:t>
            </w:r>
            <w:r>
              <w:rPr>
                <w:rFonts w:hint="eastAsia" w:cs="仿宋" w:asciiTheme="minorEastAsia" w:hAnsiTheme="minorEastAsia" w:eastAsiaTheme="minorEastAsia"/>
                <w:color w:val="auto"/>
                <w:sz w:val="24"/>
                <w:highlight w:val="yellow"/>
                <w:lang w:val="en-US" w:eastAsia="zh-CN"/>
              </w:rPr>
              <w:t>4</w:t>
            </w:r>
            <w:r>
              <w:rPr>
                <w:rFonts w:hint="eastAsia" w:cs="仿宋" w:asciiTheme="minorEastAsia" w:hAnsiTheme="minorEastAsia" w:eastAsiaTheme="minorEastAsia"/>
                <w:color w:val="auto"/>
                <w:sz w:val="24"/>
                <w:highlight w:val="yellow"/>
              </w:rPr>
              <w:t xml:space="preserve">年 </w:t>
            </w:r>
            <w:r>
              <w:rPr>
                <w:rFonts w:hint="eastAsia" w:cs="仿宋" w:asciiTheme="minorEastAsia" w:hAnsiTheme="minorEastAsia" w:eastAsiaTheme="minorEastAsia"/>
                <w:color w:val="auto"/>
                <w:sz w:val="24"/>
                <w:highlight w:val="yellow"/>
                <w:lang w:val="en-US" w:eastAsia="zh-CN"/>
              </w:rPr>
              <w:t xml:space="preserve">6 </w:t>
            </w:r>
            <w:r>
              <w:rPr>
                <w:rFonts w:hint="eastAsia" w:cs="仿宋" w:asciiTheme="minorEastAsia" w:hAnsiTheme="minorEastAsia" w:eastAsiaTheme="minorEastAsia"/>
                <w:color w:val="auto"/>
                <w:sz w:val="24"/>
                <w:highlight w:val="yellow"/>
              </w:rPr>
              <w:t xml:space="preserve">月 </w:t>
            </w:r>
            <w:r>
              <w:rPr>
                <w:rFonts w:hint="eastAsia" w:cs="仿宋" w:asciiTheme="minorEastAsia" w:hAnsiTheme="minorEastAsia" w:eastAsiaTheme="minorEastAsia"/>
                <w:color w:val="auto"/>
                <w:sz w:val="24"/>
                <w:highlight w:val="yellow"/>
                <w:lang w:val="en-US" w:eastAsia="zh-CN"/>
              </w:rPr>
              <w:t>4</w:t>
            </w:r>
            <w:r>
              <w:rPr>
                <w:rFonts w:hint="eastAsia" w:cs="仿宋" w:asciiTheme="minorEastAsia" w:hAnsiTheme="minorEastAsia" w:eastAsiaTheme="minorEastAsia"/>
                <w:color w:val="auto"/>
                <w:sz w:val="24"/>
                <w:highlight w:val="yellow"/>
              </w:rPr>
              <w:t xml:space="preserve"> 日 </w:t>
            </w:r>
            <w:r>
              <w:rPr>
                <w:rFonts w:hint="eastAsia" w:cs="仿宋" w:asciiTheme="minorEastAsia" w:hAnsiTheme="minorEastAsia" w:eastAsiaTheme="minorEastAsia"/>
                <w:color w:val="auto"/>
                <w:sz w:val="24"/>
                <w:highlight w:val="yellow"/>
                <w:lang w:val="en-US" w:eastAsia="zh-CN"/>
              </w:rPr>
              <w:t>17</w:t>
            </w:r>
            <w:r>
              <w:rPr>
                <w:rFonts w:hint="eastAsia" w:cs="仿宋" w:asciiTheme="minorEastAsia" w:hAnsiTheme="minorEastAsia" w:eastAsiaTheme="minorEastAsia"/>
                <w:color w:val="auto"/>
                <w:sz w:val="24"/>
                <w:highlight w:val="yellow"/>
              </w:rPr>
              <w:t xml:space="preserve"> 时 </w:t>
            </w:r>
            <w:r>
              <w:rPr>
                <w:rFonts w:hint="eastAsia" w:cs="仿宋" w:asciiTheme="minorEastAsia" w:hAnsiTheme="minorEastAsia" w:eastAsiaTheme="minorEastAsia"/>
                <w:color w:val="auto"/>
                <w:sz w:val="24"/>
                <w:highlight w:val="yellow"/>
                <w:lang w:val="en-US" w:eastAsia="zh-CN"/>
              </w:rPr>
              <w:t>0</w:t>
            </w:r>
            <w:r>
              <w:rPr>
                <w:rFonts w:hint="eastAsia" w:cs="仿宋" w:asciiTheme="minorEastAsia" w:hAnsiTheme="minorEastAsia" w:eastAsiaTheme="minorEastAsia"/>
                <w:color w:val="auto"/>
                <w:sz w:val="24"/>
                <w:highlight w:val="yellow"/>
              </w:rPr>
              <w:t xml:space="preserve"> 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yellow"/>
              </w:rPr>
            </w:pPr>
            <w:r>
              <w:rPr>
                <w:rFonts w:hint="eastAsia" w:cs="仿宋" w:asciiTheme="minorEastAsia" w:hAnsiTheme="minorEastAsia" w:eastAsiaTheme="minorEastAsia"/>
                <w:color w:val="auto"/>
                <w:sz w:val="24"/>
                <w:highlight w:val="yellow"/>
              </w:rPr>
              <w:t>确认的最晚时间：202</w:t>
            </w:r>
            <w:r>
              <w:rPr>
                <w:rFonts w:hint="eastAsia" w:cs="仿宋" w:asciiTheme="minorEastAsia" w:hAnsiTheme="minorEastAsia" w:eastAsiaTheme="minorEastAsia"/>
                <w:color w:val="auto"/>
                <w:sz w:val="24"/>
                <w:highlight w:val="yellow"/>
                <w:lang w:val="en-US" w:eastAsia="zh-CN"/>
              </w:rPr>
              <w:t>4</w:t>
            </w:r>
            <w:r>
              <w:rPr>
                <w:rFonts w:hint="eastAsia" w:cs="仿宋" w:asciiTheme="minorEastAsia" w:hAnsiTheme="minorEastAsia" w:eastAsiaTheme="minorEastAsia"/>
                <w:color w:val="auto"/>
                <w:sz w:val="24"/>
                <w:highlight w:val="yellow"/>
              </w:rPr>
              <w:t>年</w:t>
            </w:r>
            <w:r>
              <w:rPr>
                <w:rFonts w:hint="eastAsia" w:cs="仿宋" w:asciiTheme="minorEastAsia" w:hAnsiTheme="minorEastAsia" w:eastAsiaTheme="minorEastAsia"/>
                <w:color w:val="auto"/>
                <w:sz w:val="24"/>
                <w:highlight w:val="yellow"/>
                <w:lang w:val="en-US" w:eastAsia="zh-CN"/>
              </w:rPr>
              <w:t xml:space="preserve"> 6</w:t>
            </w:r>
            <w:r>
              <w:rPr>
                <w:rFonts w:hint="eastAsia" w:cs="仿宋" w:asciiTheme="minorEastAsia" w:hAnsiTheme="minorEastAsia" w:eastAsiaTheme="minorEastAsia"/>
                <w:color w:val="auto"/>
                <w:sz w:val="24"/>
                <w:highlight w:val="yellow"/>
              </w:rPr>
              <w:t xml:space="preserve"> 月</w:t>
            </w:r>
            <w:r>
              <w:rPr>
                <w:rFonts w:hint="eastAsia" w:cs="仿宋" w:asciiTheme="minorEastAsia" w:hAnsiTheme="minorEastAsia" w:eastAsiaTheme="minorEastAsia"/>
                <w:color w:val="auto"/>
                <w:sz w:val="24"/>
                <w:highlight w:val="yellow"/>
                <w:lang w:val="en-US" w:eastAsia="zh-CN"/>
              </w:rPr>
              <w:t xml:space="preserve"> 4</w:t>
            </w:r>
            <w:r>
              <w:rPr>
                <w:rFonts w:hint="eastAsia" w:cs="仿宋" w:asciiTheme="minorEastAsia" w:hAnsiTheme="minorEastAsia" w:eastAsiaTheme="minorEastAsia"/>
                <w:color w:val="auto"/>
                <w:sz w:val="24"/>
                <w:highlight w:val="yellow"/>
              </w:rPr>
              <w:t xml:space="preserve"> 日</w:t>
            </w:r>
            <w:r>
              <w:rPr>
                <w:rFonts w:hint="eastAsia" w:cs="仿宋" w:asciiTheme="minorEastAsia" w:hAnsiTheme="minorEastAsia" w:eastAsiaTheme="minorEastAsia"/>
                <w:color w:val="auto"/>
                <w:sz w:val="24"/>
                <w:highlight w:val="yellow"/>
                <w:lang w:val="en-US" w:eastAsia="zh-CN"/>
              </w:rPr>
              <w:t>17</w:t>
            </w:r>
            <w:r>
              <w:rPr>
                <w:rFonts w:hint="eastAsia" w:cs="仿宋" w:asciiTheme="minorEastAsia" w:hAnsiTheme="minorEastAsia" w:eastAsiaTheme="minorEastAsia"/>
                <w:color w:val="auto"/>
                <w:sz w:val="24"/>
                <w:highlight w:val="yellow"/>
              </w:rPr>
              <w:t>时</w:t>
            </w:r>
            <w:r>
              <w:rPr>
                <w:rFonts w:hint="eastAsia" w:cs="仿宋" w:asciiTheme="minorEastAsia" w:hAnsiTheme="minorEastAsia" w:eastAsiaTheme="minorEastAsia"/>
                <w:color w:val="auto"/>
                <w:sz w:val="24"/>
                <w:highlight w:val="yellow"/>
                <w:lang w:val="en-US" w:eastAsia="zh-CN"/>
              </w:rPr>
              <w:t>0</w:t>
            </w:r>
            <w:r>
              <w:rPr>
                <w:rFonts w:hint="eastAsia" w:cs="仿宋" w:asciiTheme="minorEastAsia" w:hAnsiTheme="minorEastAsia" w:eastAsiaTheme="minorEastAsia"/>
                <w:color w:val="auto"/>
                <w:sz w:val="24"/>
                <w:highlight w:val="yellow"/>
              </w:rPr>
              <w:t>分。</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yellow"/>
              </w:rPr>
              <w:t xml:space="preserve">确定的方式：收到纸质版文件为准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□无</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有，</w:t>
            </w:r>
            <w:r>
              <w:rPr>
                <w:rFonts w:hint="eastAsia" w:cs="仿宋" w:asciiTheme="minorEastAsia" w:hAnsiTheme="minorEastAsia" w:eastAsiaTheme="minorEastAsia"/>
                <w:sz w:val="24"/>
              </w:rPr>
              <w:t>最高限价或其计算方法：</w:t>
            </w:r>
            <w:r>
              <w:rPr>
                <w:rFonts w:hint="eastAsia" w:ascii="Arial" w:hAnsi="Arial" w:cs="Arial" w:eastAsiaTheme="minorEastAsia"/>
                <w:sz w:val="24"/>
                <w:lang w:val="en-US" w:eastAsia="zh-CN"/>
              </w:rPr>
              <w:t>见第一章采购公告</w:t>
            </w:r>
            <w:r>
              <w:rPr>
                <w:rFonts w:hint="eastAsia" w:ascii="宋体" w:hAnsi="宋体"/>
                <w:sz w:val="24"/>
              </w:rPr>
              <w:t>。</w:t>
            </w:r>
            <w:r>
              <w:rPr>
                <w:rFonts w:hint="eastAsia" w:cs="仿宋" w:asciiTheme="minorEastAsia" w:hAnsiTheme="minorEastAsia" w:eastAsiaTheme="minorEastAsia"/>
                <w:color w:val="auto"/>
                <w:sz w:val="24"/>
                <w:highlight w:val="none"/>
                <w:lang w:val="en-US" w:eastAsia="zh-CN"/>
              </w:rPr>
              <w:t xml:space="preserve">      </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不要求递交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要求递交，</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保证金的金额：              </w:t>
            </w:r>
          </w:p>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保证金的形式：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highlight w:val="none"/>
              </w:rPr>
            </w:pPr>
            <w:r>
              <w:rPr>
                <w:rStyle w:val="44"/>
                <w:rFonts w:hint="eastAsia" w:asciiTheme="minorEastAsia" w:hAnsiTheme="minorEastAsia" w:eastAsiaTheme="minorEastAsia"/>
                <w:b w:val="0"/>
                <w:color w:val="auto"/>
                <w:sz w:val="24"/>
                <w:highlight w:val="none"/>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color w:val="auto"/>
                <w:sz w:val="24"/>
                <w:highlight w:val="none"/>
              </w:rPr>
            </w:pPr>
            <w:r>
              <w:rPr>
                <w:rFonts w:hint="eastAsia" w:cs="仿宋" w:asciiTheme="minorEastAsia" w:hAnsiTheme="minorEastAsia" w:eastAsiaTheme="minorEastAsia"/>
                <w:color w:val="auto"/>
                <w:sz w:val="24"/>
                <w:highlight w:val="none"/>
              </w:rPr>
              <w:t>□</w:t>
            </w:r>
            <w:r>
              <w:rPr>
                <w:rFonts w:hint="eastAsia"/>
                <w:color w:val="auto"/>
                <w:sz w:val="24"/>
                <w:highlight w:val="none"/>
              </w:rPr>
              <w:t>不适用。</w:t>
            </w:r>
          </w:p>
          <w:p>
            <w:pPr>
              <w:spacing w:line="440" w:lineRule="exact"/>
              <w:rPr>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olor w:val="auto"/>
                <w:sz w:val="24"/>
                <w:highlight w:val="none"/>
              </w:rPr>
              <w:t>适用。在中华人民共和国合法注册、具有独立法人资格，具有有效的营业执照，符合本次</w:t>
            </w:r>
            <w:r>
              <w:rPr>
                <w:rFonts w:hint="eastAsia"/>
                <w:color w:val="auto"/>
                <w:sz w:val="24"/>
                <w:highlight w:val="none"/>
                <w:lang w:eastAsia="zh-CN"/>
              </w:rPr>
              <w:t>询价</w:t>
            </w:r>
            <w:r>
              <w:rPr>
                <w:rFonts w:hint="eastAsia"/>
                <w:color w:val="auto"/>
                <w:sz w:val="24"/>
                <w:highlight w:val="none"/>
              </w:rPr>
              <w:t>采购项目的营业范围，有能力完成本次</w:t>
            </w:r>
            <w:r>
              <w:rPr>
                <w:rFonts w:hint="eastAsia"/>
                <w:color w:val="auto"/>
                <w:sz w:val="24"/>
                <w:highlight w:val="none"/>
                <w:lang w:eastAsia="zh-CN"/>
              </w:rPr>
              <w:t>询价</w:t>
            </w:r>
            <w:r>
              <w:rPr>
                <w:rFonts w:hint="eastAsia"/>
                <w:color w:val="auto"/>
                <w:sz w:val="24"/>
                <w:highlight w:val="none"/>
              </w:rPr>
              <w:t>采购项目</w:t>
            </w:r>
            <w:r>
              <w:rPr>
                <w:rFonts w:hint="eastAsia"/>
                <w:color w:val="auto"/>
                <w:sz w:val="24"/>
                <w:highlight w:val="none"/>
                <w:lang w:eastAsia="zh-CN"/>
              </w:rPr>
              <w:t>及其</w:t>
            </w:r>
            <w:r>
              <w:rPr>
                <w:rFonts w:hint="eastAsia"/>
                <w:color w:val="auto"/>
                <w:sz w:val="24"/>
                <w:highlight w:val="none"/>
              </w:rPr>
              <w:t>所要求的服务；需提供法人营业执照</w:t>
            </w:r>
            <w:r>
              <w:rPr>
                <w:rFonts w:hint="eastAsia"/>
                <w:color w:val="auto"/>
                <w:sz w:val="24"/>
                <w:highlight w:val="none"/>
                <w:lang w:eastAsia="zh-CN"/>
              </w:rPr>
              <w:t>（</w:t>
            </w:r>
            <w:r>
              <w:rPr>
                <w:rFonts w:hint="eastAsia"/>
                <w:color w:val="auto"/>
                <w:sz w:val="24"/>
                <w:highlight w:val="none"/>
              </w:rPr>
              <w:t>或事业单位法人证书</w:t>
            </w:r>
            <w:r>
              <w:rPr>
                <w:rFonts w:hint="eastAsia"/>
                <w:color w:val="auto"/>
                <w:sz w:val="24"/>
                <w:highlight w:val="none"/>
                <w:lang w:eastAsia="zh-CN"/>
              </w:rPr>
              <w:t>）</w:t>
            </w:r>
            <w:r>
              <w:rPr>
                <w:rFonts w:hint="eastAsia"/>
                <w:color w:val="auto"/>
                <w:sz w:val="24"/>
                <w:highlight w:val="none"/>
              </w:rPr>
              <w:t>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Style w:val="44"/>
                <w:rFonts w:hint="eastAsia" w:asciiTheme="minorEastAsia" w:hAnsiTheme="minorEastAsia" w:eastAsiaTheme="minorEastAsia"/>
                <w:b w:val="0"/>
                <w:color w:val="auto"/>
                <w:sz w:val="24"/>
                <w:highlight w:val="none"/>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4"/>
                <w:rFonts w:asciiTheme="minorEastAsia" w:hAnsiTheme="minorEastAsia" w:eastAsiaTheme="minorEastAsia"/>
                <w:b w:val="0"/>
                <w:color w:val="auto"/>
                <w:sz w:val="24"/>
                <w:highlight w:val="none"/>
              </w:rPr>
            </w:pPr>
            <w:r>
              <w:rPr>
                <w:rStyle w:val="44"/>
                <w:rFonts w:hint="eastAsia" w:asciiTheme="minorEastAsia" w:hAnsiTheme="minorEastAsia" w:eastAsiaTheme="minorEastAsia"/>
                <w:b w:val="0"/>
                <w:color w:val="auto"/>
                <w:sz w:val="24"/>
                <w:highlight w:val="none"/>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年（供应商的成立时间少于该规定年份的，应提供成立以来的财务会计报表）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至</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年（供应商的成立时间少于该规定年份的，应提供成立以来的财务会计报表）</w:t>
            </w:r>
          </w:p>
          <w:p>
            <w:pPr>
              <w:spacing w:line="288" w:lineRule="auto"/>
              <w:jc w:val="both"/>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（注：有财务要求的，应选择两种财务会计报表中的一种作为财务证明资料。）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w:t>
            </w:r>
            <w:r>
              <w:rPr>
                <w:rFonts w:hint="eastAsia"/>
                <w:color w:val="auto"/>
                <w:sz w:val="24"/>
                <w:highlight w:val="none"/>
              </w:rPr>
              <w:t>供应商近</w:t>
            </w:r>
            <w:r>
              <w:rPr>
                <w:rFonts w:hint="eastAsia"/>
                <w:color w:val="auto"/>
                <w:sz w:val="24"/>
                <w:highlight w:val="none"/>
                <w:lang w:val="en-US" w:eastAsia="zh-CN"/>
              </w:rPr>
              <w:t>3</w:t>
            </w:r>
            <w:r>
              <w:rPr>
                <w:rFonts w:hint="eastAsia"/>
                <w:color w:val="auto"/>
                <w:sz w:val="24"/>
                <w:highlight w:val="none"/>
              </w:rPr>
              <w:t>年（从报价文件提交截止日期往前推算）内</w:t>
            </w:r>
            <w:r>
              <w:rPr>
                <w:rFonts w:ascii="宋体" w:hAnsi="宋体" w:eastAsia="宋体" w:cs="宋体"/>
                <w:sz w:val="24"/>
                <w:szCs w:val="24"/>
                <w:highlight w:val="none"/>
                <w:u w:val="single"/>
              </w:rPr>
              <w:t>成功完成过一个</w:t>
            </w:r>
            <w:r>
              <w:rPr>
                <w:rFonts w:hint="eastAsia" w:ascii="宋体" w:hAnsi="宋体" w:cs="宋体"/>
                <w:sz w:val="24"/>
                <w:szCs w:val="24"/>
                <w:highlight w:val="none"/>
                <w:u w:val="single"/>
                <w:lang w:val="en-US" w:eastAsia="zh-CN"/>
              </w:rPr>
              <w:t xml:space="preserve">商品车整车服务且合同金额不低于40万元 </w:t>
            </w:r>
            <w:r>
              <w:rPr>
                <w:rFonts w:hint="eastAsia" w:cs="宋体" w:asciiTheme="minorEastAsia" w:hAnsiTheme="minorEastAsia" w:eastAsiaTheme="minorEastAsia"/>
                <w:color w:val="auto"/>
                <w:sz w:val="24"/>
                <w:highlight w:val="none"/>
              </w:rPr>
              <w:t>业绩证明材料：</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sym w:font="Wingdings 2" w:char="0052"/>
            </w:r>
            <w:r>
              <w:rPr>
                <w:rFonts w:hint="eastAsia" w:cs="宋体" w:asciiTheme="minorEastAsia" w:hAnsiTheme="minorEastAsia" w:eastAsiaTheme="minorEastAsia"/>
                <w:color w:val="auto"/>
                <w:sz w:val="24"/>
                <w:highlight w:val="none"/>
              </w:rPr>
              <w:t>合同/订单</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sym w:font="Wingdings" w:char="00A8"/>
            </w:r>
            <w:r>
              <w:rPr>
                <w:rFonts w:hint="eastAsia" w:cs="宋体" w:asciiTheme="minorEastAsia" w:hAnsiTheme="minorEastAsia" w:eastAsiaTheme="minorEastAsia"/>
                <w:color w:val="auto"/>
                <w:sz w:val="24"/>
                <w:highlight w:val="none"/>
                <w:lang w:eastAsia="zh-CN"/>
              </w:rPr>
              <w:t>成交</w:t>
            </w:r>
            <w:r>
              <w:rPr>
                <w:rFonts w:hint="eastAsia" w:cs="宋体" w:asciiTheme="minorEastAsia" w:hAnsiTheme="minorEastAsia" w:eastAsiaTheme="minorEastAsia"/>
                <w:color w:val="auto"/>
                <w:sz w:val="24"/>
                <w:highlight w:val="none"/>
              </w:rPr>
              <w:t>通知书/成交通知书</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竣工 验收报告/验收证明</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业主证明</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A3"/>
            </w:r>
            <w:r>
              <w:rPr>
                <w:rFonts w:hint="eastAsia" w:cs="宋体" w:asciiTheme="minorEastAsia" w:hAnsiTheme="minorEastAsia" w:eastAsiaTheme="minorEastAsia"/>
                <w:color w:val="auto"/>
                <w:sz w:val="24"/>
                <w:highlight w:val="none"/>
              </w:rPr>
              <w:t>其他材料：</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业绩证明材料种类要求：</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需同时提供上述勾选的所有证明材料</w:t>
            </w:r>
          </w:p>
          <w:p>
            <w:pPr>
              <w:spacing w:line="288" w:lineRule="auto"/>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不适用</w:t>
            </w:r>
          </w:p>
          <w:p>
            <w:pPr>
              <w:pStyle w:val="17"/>
              <w:spacing w:after="0" w:line="312" w:lineRule="auto"/>
              <w:ind w:left="0" w:leftChars="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适用。供应商应提供相关信誉情况的证明材料，  包括：</w:t>
            </w:r>
          </w:p>
          <w:p>
            <w:pPr>
              <w:pStyle w:val="17"/>
              <w:spacing w:after="0" w:line="312" w:lineRule="auto"/>
              <w:ind w:left="0" w:leftChars="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1．全国企业信用信息公示系统中未列入严重违法失信企业名单的网页截图，加盖公章。</w:t>
            </w:r>
          </w:p>
          <w:p>
            <w:pPr>
              <w:spacing w:line="288" w:lineRule="auto"/>
              <w:ind w:firstLine="480" w:firstLineChars="200"/>
              <w:jc w:val="both"/>
              <w:rPr>
                <w:rFonts w:cs="仿宋"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2．被最高人民法院在“信用中国”网站（www.creditchina.gov.cn）中未列入失信被执行人名单的网页截图，加盖公章。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rPr>
                <w:rFonts w:hint="eastAsia"/>
                <w:sz w:val="24"/>
                <w:szCs w:val="32"/>
              </w:rPr>
            </w:pPr>
            <w:r>
              <w:rPr>
                <w:rFonts w:hint="eastAsia"/>
                <w:sz w:val="24"/>
                <w:szCs w:val="32"/>
              </w:rPr>
              <w:sym w:font="Wingdings 2" w:char="00A3"/>
            </w:r>
            <w:r>
              <w:rPr>
                <w:rFonts w:hint="eastAsia"/>
                <w:sz w:val="24"/>
                <w:szCs w:val="32"/>
              </w:rPr>
              <w:t>不适用</w:t>
            </w:r>
          </w:p>
          <w:p>
            <w:pPr>
              <w:rPr>
                <w:rFonts w:hint="eastAsia"/>
                <w:sz w:val="24"/>
                <w:szCs w:val="32"/>
                <w:lang w:eastAsia="zh-CN"/>
              </w:rPr>
            </w:pPr>
            <w:r>
              <w:rPr>
                <w:rFonts w:hint="eastAsia"/>
                <w:sz w:val="24"/>
                <w:szCs w:val="32"/>
              </w:rPr>
              <w:sym w:font="Wingdings 2" w:char="0052"/>
            </w:r>
            <w:r>
              <w:rPr>
                <w:rFonts w:hint="eastAsia"/>
                <w:sz w:val="24"/>
                <w:szCs w:val="32"/>
              </w:rPr>
              <w:t>适用。供应商应提供</w:t>
            </w:r>
            <w:r>
              <w:rPr>
                <w:rFonts w:hint="eastAsia"/>
                <w:sz w:val="24"/>
                <w:szCs w:val="32"/>
                <w:lang w:val="en-US" w:eastAsia="zh-CN"/>
              </w:rPr>
              <w:t>符合以下要求的</w:t>
            </w:r>
            <w:r>
              <w:rPr>
                <w:rFonts w:hint="eastAsia"/>
                <w:sz w:val="24"/>
                <w:szCs w:val="32"/>
              </w:rPr>
              <w:t>人员汇总表（格式见第六章“响应文件格式”五、资格审查资料（三）拟委任的人员汇总表</w:t>
            </w:r>
            <w:r>
              <w:rPr>
                <w:rFonts w:hint="eastAsia"/>
                <w:sz w:val="24"/>
                <w:szCs w:val="32"/>
                <w:lang w:eastAsia="zh-CN"/>
              </w:rPr>
              <w:t>：</w:t>
            </w:r>
          </w:p>
          <w:p>
            <w:pPr>
              <w:ind w:firstLine="480" w:firstLineChars="200"/>
              <w:rPr>
                <w:rFonts w:hint="eastAsia"/>
                <w:sz w:val="24"/>
                <w:szCs w:val="32"/>
                <w:lang w:val="en-US" w:eastAsia="zh-CN"/>
              </w:rPr>
            </w:pPr>
            <w:r>
              <w:rPr>
                <w:rFonts w:hint="eastAsia"/>
                <w:sz w:val="24"/>
                <w:szCs w:val="32"/>
                <w:lang w:val="en-US" w:eastAsia="zh-CN"/>
              </w:rPr>
              <w:t>1.需具备至少8名</w:t>
            </w:r>
            <w:r>
              <w:rPr>
                <w:rFonts w:hint="eastAsia"/>
                <w:sz w:val="24"/>
                <w:szCs w:val="32"/>
              </w:rPr>
              <w:t>驾驶员具备C1或以上驾驶证</w:t>
            </w:r>
            <w:r>
              <w:rPr>
                <w:rFonts w:hint="eastAsia"/>
                <w:sz w:val="24"/>
                <w:szCs w:val="32"/>
                <w:lang w:eastAsia="zh-CN"/>
              </w:rPr>
              <w:t>。</w:t>
            </w:r>
          </w:p>
          <w:p>
            <w:pPr>
              <w:ind w:firstLine="480" w:firstLineChars="200"/>
              <w:rPr>
                <w:rFonts w:hint="default"/>
                <w:highlight w:val="none"/>
                <w:lang w:val="en-US" w:eastAsia="zh-CN"/>
              </w:rPr>
            </w:pPr>
            <w:r>
              <w:rPr>
                <w:rFonts w:hint="eastAsia"/>
                <w:sz w:val="24"/>
                <w:szCs w:val="32"/>
                <w:lang w:val="en-US" w:eastAsia="zh-CN"/>
              </w:rPr>
              <w:t>2.需配备1名项目负责人，</w:t>
            </w:r>
            <w:r>
              <w:rPr>
                <w:rFonts w:hint="eastAsia"/>
                <w:sz w:val="24"/>
                <w:szCs w:val="32"/>
              </w:rPr>
              <w:t>拟任项目负责人有3年或以上商品车整车服务管理经验，提供项目负责人履历</w:t>
            </w:r>
            <w:r>
              <w:rPr>
                <w:rFonts w:hint="eastAsia"/>
                <w:sz w:val="24"/>
                <w:szCs w:val="32"/>
                <w:lang w:val="en-US" w:eastAsia="zh-CN"/>
              </w:rPr>
              <w:t>介绍。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80" w:firstLineChars="200"/>
              <w:jc w:val="both"/>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1.供方需承诺在签订合同后15天内为员工购买</w:t>
            </w:r>
            <w:r>
              <w:rPr>
                <w:rFonts w:hint="eastAsia" w:cs="宋体" w:asciiTheme="minorEastAsia" w:hAnsiTheme="minorEastAsia" w:eastAsiaTheme="minorEastAsia"/>
                <w:color w:val="auto"/>
                <w:sz w:val="24"/>
                <w:highlight w:val="none"/>
                <w:lang w:val="en-US" w:eastAsia="zh-CN"/>
              </w:rPr>
              <w:t>工伤保险和人身意外险</w:t>
            </w:r>
            <w:r>
              <w:rPr>
                <w:rFonts w:hint="eastAsia" w:cs="宋体" w:asciiTheme="minorEastAsia" w:hAnsiTheme="minorEastAsia" w:eastAsiaTheme="minorEastAsia"/>
                <w:color w:val="auto"/>
                <w:sz w:val="24"/>
                <w:highlight w:val="none"/>
              </w:rPr>
              <w:t>，提供承诺函盖公章或法人代表签名或授权代理人签名。</w:t>
            </w:r>
          </w:p>
          <w:p>
            <w:pPr>
              <w:spacing w:line="288" w:lineRule="auto"/>
              <w:ind w:firstLine="480" w:firstLineChars="200"/>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2.供方需提供集卡车至少2台、散货车至少3台自有或租赁证明文件（租赁期自本公告发布之日起不少于一年）。</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sym w:font="Wingdings 2" w:char="00A3"/>
            </w:r>
            <w:r>
              <w:rPr>
                <w:rFonts w:hint="eastAsia" w:cs="宋体" w:asciiTheme="minorEastAsia" w:hAnsiTheme="minorEastAsia" w:eastAsiaTheme="minorEastAsia"/>
                <w:color w:val="auto"/>
                <w:sz w:val="24"/>
                <w:highlight w:val="none"/>
              </w:rPr>
              <w:t>不需要提供证明材料</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需要提供证明材料，包括：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提供承诺书</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供应商只能提出唯一响应方案</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□供应商可提出多个响应方案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提供纸质版响应文件三份：一正两副          是否要求提供电子版响应文件：</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w:t>
            </w:r>
          </w:p>
          <w:p>
            <w:pPr>
              <w:spacing w:line="288" w:lineRule="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要求，提供电子版响应文件壹份（U盘）</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p>
            <w:pPr>
              <w:pStyle w:val="36"/>
              <w:spacing w:before="0" w:beforeAutospacing="0" w:after="0" w:afterAutospacing="0"/>
              <w:jc w:val="left"/>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适用，供应商名称、（</w:t>
            </w:r>
            <w:r>
              <w:rPr>
                <w:rFonts w:hint="eastAsia" w:ascii="宋体" w:hAnsi="宋体" w:cs="宋体"/>
                <w:sz w:val="24"/>
                <w:u w:val="none"/>
                <w:lang w:eastAsia="zh-CN"/>
              </w:rPr>
              <w:t>湖南省虞公港建设投资有限公司</w:t>
            </w:r>
            <w:r>
              <w:rPr>
                <w:rFonts w:hint="eastAsia" w:ascii="宋体" w:hAnsi="宋体" w:cs="宋体"/>
                <w:sz w:val="24"/>
                <w:u w:val="none"/>
                <w:lang w:val="en-US" w:eastAsia="zh-CN"/>
              </w:rPr>
              <w:t>场内运输外包项目</w:t>
            </w:r>
            <w:r>
              <w:rPr>
                <w:rFonts w:hint="eastAsia" w:cs="宋体" w:asciiTheme="minorEastAsia" w:hAnsiTheme="minorEastAsia" w:eastAsiaTheme="minorEastAsia"/>
                <w:color w:val="auto"/>
                <w:sz w:val="24"/>
                <w:highlight w:val="none"/>
                <w:u w:val="single"/>
              </w:rPr>
              <w:t>）响应文件、联系</w:t>
            </w:r>
            <w:r>
              <w:rPr>
                <w:rFonts w:hint="eastAsia" w:cs="宋体" w:asciiTheme="minorEastAsia" w:hAnsiTheme="minorEastAsia" w:eastAsiaTheme="minorEastAsia"/>
                <w:color w:val="auto"/>
                <w:sz w:val="24"/>
                <w:highlight w:val="none"/>
                <w:u w:val="single"/>
                <w:lang w:val="en-US" w:eastAsia="zh-CN"/>
              </w:rPr>
              <w:t>方</w:t>
            </w:r>
            <w:r>
              <w:rPr>
                <w:rFonts w:hint="eastAsia" w:cs="宋体" w:asciiTheme="minorEastAsia" w:hAnsiTheme="minorEastAsia" w:eastAsiaTheme="minorEastAsia"/>
                <w:color w:val="auto"/>
                <w:sz w:val="24"/>
                <w:highlight w:val="none"/>
                <w:u w:val="single"/>
              </w:rPr>
              <w:t xml:space="preserve">式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yellow"/>
                <w:u w:val="single"/>
              </w:rPr>
            </w:pPr>
            <w:r>
              <w:rPr>
                <w:rFonts w:hint="eastAsia" w:cs="宋体" w:asciiTheme="minorEastAsia" w:hAnsiTheme="minorEastAsia" w:eastAsiaTheme="minorEastAsia"/>
                <w:color w:val="auto"/>
                <w:sz w:val="24"/>
                <w:highlight w:val="none"/>
              </w:rPr>
              <w:t>截止时间</w:t>
            </w:r>
            <w:r>
              <w:rPr>
                <w:rFonts w:hint="eastAsia" w:cs="宋体" w:asciiTheme="minorEastAsia" w:hAnsiTheme="minorEastAsia" w:eastAsiaTheme="minorEastAsia"/>
                <w:color w:val="auto"/>
                <w:sz w:val="24"/>
                <w:highlight w:val="yellow"/>
              </w:rPr>
              <w:t>：</w:t>
            </w:r>
            <w:r>
              <w:rPr>
                <w:rFonts w:hint="eastAsia" w:cs="宋体" w:asciiTheme="minorEastAsia" w:hAnsiTheme="minorEastAsia" w:eastAsiaTheme="minorEastAsia"/>
                <w:color w:val="auto"/>
                <w:sz w:val="24"/>
                <w:highlight w:val="yellow"/>
                <w:u w:val="single"/>
              </w:rPr>
              <w:t xml:space="preserve"> 202</w:t>
            </w:r>
            <w:r>
              <w:rPr>
                <w:rFonts w:hint="eastAsia" w:cs="宋体" w:asciiTheme="minorEastAsia" w:hAnsiTheme="minorEastAsia" w:eastAsiaTheme="minorEastAsia"/>
                <w:color w:val="auto"/>
                <w:sz w:val="24"/>
                <w:highlight w:val="yellow"/>
                <w:u w:val="single"/>
                <w:lang w:val="en-US" w:eastAsia="zh-CN"/>
              </w:rPr>
              <w:t>4</w:t>
            </w:r>
            <w:r>
              <w:rPr>
                <w:rFonts w:hint="eastAsia" w:cs="宋体" w:asciiTheme="minorEastAsia" w:hAnsiTheme="minorEastAsia" w:eastAsiaTheme="minorEastAsia"/>
                <w:color w:val="auto"/>
                <w:sz w:val="24"/>
                <w:highlight w:val="yellow"/>
                <w:u w:val="single"/>
              </w:rPr>
              <w:t xml:space="preserve">年 </w:t>
            </w:r>
            <w:r>
              <w:rPr>
                <w:rFonts w:hint="eastAsia" w:cs="宋体" w:asciiTheme="minorEastAsia" w:hAnsiTheme="minorEastAsia" w:eastAsiaTheme="minorEastAsia"/>
                <w:color w:val="auto"/>
                <w:sz w:val="24"/>
                <w:highlight w:val="yellow"/>
                <w:u w:val="single"/>
                <w:lang w:val="en-US" w:eastAsia="zh-CN"/>
              </w:rPr>
              <w:t>6</w:t>
            </w:r>
            <w:r>
              <w:rPr>
                <w:rFonts w:hint="eastAsia" w:cs="宋体" w:asciiTheme="minorEastAsia" w:hAnsiTheme="minorEastAsia" w:eastAsiaTheme="minorEastAsia"/>
                <w:color w:val="auto"/>
                <w:sz w:val="24"/>
                <w:highlight w:val="yellow"/>
                <w:u w:val="single"/>
              </w:rPr>
              <w:t xml:space="preserve"> 月 </w:t>
            </w:r>
            <w:r>
              <w:rPr>
                <w:rFonts w:hint="eastAsia" w:cs="宋体" w:asciiTheme="minorEastAsia" w:hAnsiTheme="minorEastAsia" w:eastAsiaTheme="minorEastAsia"/>
                <w:color w:val="auto"/>
                <w:sz w:val="24"/>
                <w:highlight w:val="yellow"/>
                <w:u w:val="single"/>
                <w:lang w:val="en-US" w:eastAsia="zh-CN"/>
              </w:rPr>
              <w:t>5</w:t>
            </w:r>
            <w:r>
              <w:rPr>
                <w:rFonts w:hint="eastAsia" w:cs="宋体" w:asciiTheme="minorEastAsia" w:hAnsiTheme="minorEastAsia" w:eastAsiaTheme="minorEastAsia"/>
                <w:color w:val="auto"/>
                <w:sz w:val="24"/>
                <w:highlight w:val="yellow"/>
                <w:u w:val="single"/>
              </w:rPr>
              <w:t xml:space="preserve"> 日 </w:t>
            </w:r>
            <w:r>
              <w:rPr>
                <w:rFonts w:hint="eastAsia" w:cs="宋体" w:asciiTheme="minorEastAsia" w:hAnsiTheme="minorEastAsia" w:eastAsiaTheme="minorEastAsia"/>
                <w:color w:val="auto"/>
                <w:sz w:val="24"/>
                <w:highlight w:val="yellow"/>
                <w:u w:val="single"/>
                <w:lang w:val="en-US" w:eastAsia="zh-CN"/>
              </w:rPr>
              <w:t>1</w:t>
            </w:r>
            <w:bookmarkStart w:id="60" w:name="_GoBack"/>
            <w:bookmarkEnd w:id="60"/>
            <w:r>
              <w:rPr>
                <w:rFonts w:hint="eastAsia" w:cs="宋体" w:asciiTheme="minorEastAsia" w:hAnsiTheme="minorEastAsia" w:eastAsiaTheme="minorEastAsia"/>
                <w:color w:val="auto"/>
                <w:sz w:val="24"/>
                <w:highlight w:val="yellow"/>
                <w:u w:val="single"/>
                <w:lang w:val="en-US" w:eastAsia="zh-CN"/>
              </w:rPr>
              <w:t>2</w:t>
            </w:r>
            <w:r>
              <w:rPr>
                <w:rFonts w:hint="eastAsia" w:cs="宋体" w:asciiTheme="minorEastAsia" w:hAnsiTheme="minorEastAsia" w:eastAsiaTheme="minorEastAsia"/>
                <w:color w:val="auto"/>
                <w:sz w:val="24"/>
                <w:highlight w:val="yellow"/>
                <w:u w:val="single"/>
              </w:rPr>
              <w:t xml:space="preserve"> 时 </w:t>
            </w:r>
            <w:r>
              <w:rPr>
                <w:rFonts w:hint="eastAsia" w:cs="宋体" w:asciiTheme="minorEastAsia" w:hAnsiTheme="minorEastAsia" w:eastAsiaTheme="minorEastAsia"/>
                <w:color w:val="auto"/>
                <w:sz w:val="24"/>
                <w:highlight w:val="yellow"/>
                <w:u w:val="single"/>
                <w:lang w:val="en-US" w:eastAsia="zh-CN"/>
              </w:rPr>
              <w:t>0</w:t>
            </w:r>
            <w:r>
              <w:rPr>
                <w:rFonts w:hint="eastAsia" w:cs="宋体" w:asciiTheme="minorEastAsia" w:hAnsiTheme="minorEastAsia" w:eastAsiaTheme="minorEastAsia"/>
                <w:color w:val="auto"/>
                <w:sz w:val="24"/>
                <w:highlight w:val="yellow"/>
                <w:u w:val="single"/>
              </w:rPr>
              <w:t xml:space="preserve"> 分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yellow"/>
              </w:rPr>
              <w:t>递交响应文件的地点：</w:t>
            </w:r>
            <w:r>
              <w:rPr>
                <w:rFonts w:hint="eastAsia" w:cs="宋体" w:asciiTheme="minorEastAsia" w:hAnsiTheme="minorEastAsia" w:eastAsiaTheme="minorEastAsia"/>
                <w:color w:val="auto"/>
                <w:sz w:val="24"/>
                <w:highlight w:val="yellow"/>
                <w:u w:val="single"/>
              </w:rPr>
              <w:t xml:space="preserve"> </w:t>
            </w:r>
            <w:r>
              <w:rPr>
                <w:rFonts w:hint="eastAsia" w:asciiTheme="minorEastAsia" w:hAnsiTheme="minorEastAsia" w:eastAsiaTheme="minorEastAsia"/>
                <w:snapToGrid w:val="0"/>
                <w:color w:val="auto"/>
                <w:sz w:val="24"/>
                <w:highlight w:val="yellow"/>
                <w:u w:val="single"/>
                <w:lang w:val="en-US" w:eastAsia="zh-CN"/>
              </w:rPr>
              <w:t>湘阴县自然资源局205办公室</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否</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□是，退还时间：</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否</w:t>
            </w:r>
          </w:p>
          <w:p>
            <w:pPr>
              <w:spacing w:line="288" w:lineRule="auto"/>
              <w:jc w:val="both"/>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□是</w:t>
            </w:r>
            <w:r>
              <w:rPr>
                <w:rFonts w:hint="eastAsia" w:cs="宋体" w:asciiTheme="minorEastAsia" w:hAnsiTheme="minorEastAsia" w:eastAsiaTheme="minorEastAsia"/>
                <w:color w:val="auto"/>
                <w:sz w:val="24"/>
                <w:highlight w:val="none"/>
                <w:lang w:val="en-US" w:eastAsia="zh-CN"/>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湖南省</w:t>
            </w:r>
            <w:r>
              <w:rPr>
                <w:rFonts w:hint="eastAsia" w:cs="宋体" w:asciiTheme="minorEastAsia" w:hAnsiTheme="minorEastAsia" w:eastAsiaTheme="minorEastAsia"/>
                <w:color w:val="auto"/>
                <w:sz w:val="24"/>
                <w:highlight w:val="none"/>
                <w:lang w:val="en-US" w:eastAsia="zh-CN"/>
              </w:rPr>
              <w:t>港务集团</w:t>
            </w:r>
            <w:r>
              <w:rPr>
                <w:rFonts w:hint="eastAsia" w:cs="宋体" w:asciiTheme="minorEastAsia" w:hAnsiTheme="minorEastAsia" w:eastAsiaTheme="minorEastAsia"/>
                <w:color w:val="auto"/>
                <w:sz w:val="24"/>
                <w:highlight w:val="none"/>
                <w:lang w:eastAsia="zh-CN"/>
              </w:rPr>
              <w:t>有限公司</w:t>
            </w:r>
            <w:r>
              <w:rPr>
                <w:rFonts w:hint="eastAsia" w:cs="宋体" w:asciiTheme="minorEastAsia" w:hAnsiTheme="minorEastAsia" w:eastAsiaTheme="minorEastAsia"/>
                <w:color w:val="auto"/>
                <w:sz w:val="24"/>
                <w:highlight w:val="none"/>
              </w:rPr>
              <w:t>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开启顺序：</w:t>
            </w:r>
            <w:r>
              <w:rPr>
                <w:rFonts w:hint="eastAsia" w:cs="宋体" w:asciiTheme="minorEastAsia" w:hAnsiTheme="minorEastAsia" w:eastAsiaTheme="minorEastAsia"/>
                <w:color w:val="auto"/>
                <w:sz w:val="24"/>
                <w:highlight w:val="none"/>
                <w:u w:val="single"/>
              </w:rPr>
              <w:t xml:space="preserve">   随机 </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其他应公布的信息：</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评标小组构成：</w:t>
            </w:r>
            <w:r>
              <w:rPr>
                <w:rFonts w:hint="eastAsia" w:cs="宋体" w:asciiTheme="minorEastAsia" w:hAnsiTheme="minorEastAsia" w:eastAsiaTheme="minorEastAsia"/>
                <w:color w:val="000000"/>
                <w:sz w:val="24"/>
                <w:lang w:val="en-US" w:eastAsia="zh-CN"/>
              </w:rPr>
              <w:t>3</w:t>
            </w:r>
            <w:r>
              <w:rPr>
                <w:rFonts w:hint="eastAsia" w:cs="宋体" w:asciiTheme="minorEastAsia" w:hAnsiTheme="minorEastAsia" w:eastAsiaTheme="minorEastAsia"/>
                <w:color w:val="000000"/>
                <w:sz w:val="24"/>
              </w:rPr>
              <w:t>人。</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sz w:val="24"/>
              </w:rPr>
              <w:t>评审专家确定方式：在湖南省</w:t>
            </w:r>
            <w:r>
              <w:rPr>
                <w:rFonts w:hint="eastAsia" w:cs="宋体" w:asciiTheme="minorEastAsia" w:hAnsiTheme="minorEastAsia" w:eastAsiaTheme="minorEastAsia"/>
                <w:sz w:val="24"/>
                <w:lang w:val="en-US" w:eastAsia="zh-CN"/>
              </w:rPr>
              <w:t>港水</w:t>
            </w:r>
            <w:r>
              <w:rPr>
                <w:rFonts w:hint="eastAsia" w:cs="宋体" w:asciiTheme="minorEastAsia" w:hAnsiTheme="minorEastAsia" w:eastAsiaTheme="minorEastAsia"/>
                <w:sz w:val="24"/>
              </w:rPr>
              <w:t>集团有限公司综合评标专家库中随机抽取</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人，业主代表</w:t>
            </w:r>
            <w:r>
              <w:rPr>
                <w:rFonts w:hint="eastAsia" w:cs="宋体" w:asciiTheme="minorEastAsia" w:hAnsiTheme="minorEastAsia" w:eastAsiaTheme="minorEastAsia"/>
                <w:sz w:val="24"/>
                <w:u w:val="single"/>
              </w:rPr>
              <w:t>1</w:t>
            </w:r>
            <w:r>
              <w:rPr>
                <w:rFonts w:hint="eastAsia" w:cs="宋体" w:asciiTheme="minorEastAsia" w:hAnsiTheme="minorEastAsia" w:eastAsiaTheme="minorEastAsia"/>
                <w:sz w:val="24"/>
              </w:rPr>
              <w:t>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是否排序：</w:t>
            </w:r>
          </w:p>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排序</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□不排序</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数量：</w:t>
            </w:r>
            <w:r>
              <w:rPr>
                <w:rFonts w:hint="eastAsia" w:cs="宋体" w:asciiTheme="minorEastAsia" w:hAnsiTheme="minorEastAsia" w:eastAsiaTheme="minorEastAsia"/>
                <w:color w:val="auto"/>
                <w:sz w:val="24"/>
                <w:highlight w:val="none"/>
                <w:u w:val="single"/>
                <w:lang w:val="en-US" w:eastAsia="zh-CN"/>
              </w:rPr>
              <w:t xml:space="preserve">  1</w:t>
            </w:r>
            <w:r>
              <w:rPr>
                <w:rFonts w:hint="eastAsia" w:cs="宋体" w:asciiTheme="minorEastAsia" w:hAnsiTheme="minorEastAsia" w:eastAsiaTheme="minorEastAsia"/>
                <w:color w:val="auto"/>
                <w:sz w:val="24"/>
                <w:highlight w:val="none"/>
                <w:u w:val="single"/>
              </w:rPr>
              <w:t xml:space="preserve">-3 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公示媒介：</w:t>
            </w:r>
            <w:r>
              <w:rPr>
                <w:rFonts w:hint="eastAsia" w:ascii="宋体" w:hAnsi="宋体" w:cs="宋体"/>
                <w:color w:val="auto"/>
                <w:sz w:val="24"/>
                <w:highlight w:val="none"/>
              </w:rPr>
              <w:t>中国</w:t>
            </w:r>
            <w:r>
              <w:rPr>
                <w:rFonts w:hint="eastAsia" w:ascii="宋体" w:hAnsi="宋体" w:cs="宋体"/>
                <w:color w:val="auto"/>
                <w:sz w:val="24"/>
                <w:highlight w:val="none"/>
                <w:lang w:eastAsia="zh-CN"/>
              </w:rPr>
              <w:t>询价响应</w:t>
            </w:r>
            <w:r>
              <w:rPr>
                <w:rFonts w:hint="eastAsia" w:ascii="宋体" w:hAnsi="宋体" w:cs="宋体"/>
                <w:color w:val="auto"/>
                <w:sz w:val="24"/>
                <w:highlight w:val="none"/>
              </w:rPr>
              <w:t>公共服务平台（http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rPr>
              <w:t>：//www.cebpubservice.com）、</w:t>
            </w:r>
            <w:r>
              <w:rPr>
                <w:rFonts w:hint="eastAsia" w:ascii="宋体" w:hAnsi="宋体" w:cs="宋体"/>
                <w:color w:val="auto"/>
                <w:sz w:val="24"/>
                <w:highlight w:val="none"/>
                <w:lang w:eastAsia="zh-CN"/>
              </w:rPr>
              <w:t>湖南省港航水利集团有限公司</w:t>
            </w:r>
            <w:r>
              <w:rPr>
                <w:rFonts w:hint="eastAsia" w:ascii="宋体" w:hAnsi="宋体" w:cs="宋体"/>
                <w:color w:val="auto"/>
                <w:sz w:val="24"/>
                <w:highlight w:val="none"/>
              </w:rPr>
              <w:t>网站（</w:t>
            </w:r>
            <w:r>
              <w:rPr>
                <w:rFonts w:hint="eastAsia" w:ascii="宋体" w:hAnsi="宋体" w:cs="宋体"/>
                <w:color w:val="auto"/>
                <w:sz w:val="24"/>
                <w:highlight w:val="none"/>
                <w:lang w:eastAsia="zh-CN"/>
              </w:rPr>
              <w:t>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www.hns</w:t>
            </w:r>
            <w:r>
              <w:rPr>
                <w:rFonts w:hint="eastAsia" w:ascii="宋体" w:hAnsi="宋体" w:cs="宋体"/>
                <w:color w:val="auto"/>
                <w:sz w:val="24"/>
                <w:highlight w:val="none"/>
                <w:lang w:val="en-US" w:eastAsia="zh-CN"/>
              </w:rPr>
              <w:t>ghsl</w:t>
            </w:r>
            <w:r>
              <w:rPr>
                <w:rFonts w:hint="eastAsia" w:ascii="宋体" w:hAnsi="宋体" w:cs="宋体"/>
                <w:color w:val="auto"/>
                <w:sz w:val="24"/>
                <w:highlight w:val="none"/>
              </w:rPr>
              <w:t>jt.com）、</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湖南</w:t>
            </w:r>
            <w:r>
              <w:rPr>
                <w:rFonts w:hint="eastAsia" w:ascii="宋体" w:hAnsi="宋体" w:cs="宋体"/>
                <w:color w:val="auto"/>
                <w:sz w:val="24"/>
                <w:highlight w:val="none"/>
                <w:u w:val="single"/>
                <w:lang w:val="en-US" w:eastAsia="zh-CN"/>
              </w:rPr>
              <w:t>省港务集团</w:t>
            </w:r>
            <w:r>
              <w:rPr>
                <w:rFonts w:hint="eastAsia" w:ascii="宋体" w:hAnsi="宋体" w:cs="宋体"/>
                <w:color w:val="auto"/>
                <w:sz w:val="24"/>
                <w:highlight w:val="none"/>
                <w:u w:val="single"/>
                <w:lang w:eastAsia="zh-CN"/>
              </w:rPr>
              <w:t>有限</w:t>
            </w:r>
            <w:r>
              <w:rPr>
                <w:rFonts w:hint="eastAsia" w:ascii="宋体" w:hAnsi="宋体" w:cs="宋体"/>
                <w:color w:val="auto"/>
                <w:sz w:val="24"/>
                <w:highlight w:val="none"/>
                <w:u w:val="single"/>
                <w:lang w:val="en-US" w:eastAsia="zh-CN"/>
              </w:rPr>
              <w:t>公司</w:t>
            </w:r>
            <w:r>
              <w:rPr>
                <w:rFonts w:hint="eastAsia" w:ascii="宋体" w:hAnsi="宋体" w:cs="宋体"/>
                <w:color w:val="auto"/>
                <w:sz w:val="24"/>
                <w:highlight w:val="none"/>
              </w:rPr>
              <w:t>（http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rPr>
              <w:t>://www.hnsgwjt.com）上发布。</w:t>
            </w:r>
            <w:r>
              <w:rPr>
                <w:rFonts w:hint="eastAsia" w:cs="宋体" w:asciiTheme="minorEastAsia" w:hAnsiTheme="minorEastAsia" w:eastAsiaTheme="minorEastAsia"/>
                <w:color w:val="auto"/>
                <w:sz w:val="24"/>
                <w:highlight w:val="none"/>
                <w:u w:val="none"/>
              </w:rPr>
              <w:t xml:space="preserve">         </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公示期限：</w:t>
            </w:r>
            <w:r>
              <w:rPr>
                <w:rFonts w:hint="eastAsia" w:cs="宋体" w:asciiTheme="minorEastAsia" w:hAnsiTheme="minorEastAsia" w:eastAsiaTheme="minorEastAsia"/>
                <w:color w:val="auto"/>
                <w:sz w:val="24"/>
                <w:highlight w:val="none"/>
                <w:u w:val="single"/>
              </w:rPr>
              <w:t xml:space="preserve">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hd w:val="clea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不要求提交</w:t>
            </w:r>
          </w:p>
          <w:p>
            <w:pPr>
              <w:shd w:val="clea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要求递交</w:t>
            </w:r>
          </w:p>
          <w:p>
            <w:pPr>
              <w:shd w:val="clea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履约保证金金额：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合同签约金额的10%</w:t>
            </w:r>
            <w:r>
              <w:rPr>
                <w:rFonts w:hint="eastAsia" w:cs="宋体" w:asciiTheme="minorEastAsia" w:hAnsiTheme="minorEastAsia" w:eastAsiaTheme="minorEastAsia"/>
                <w:color w:val="auto"/>
                <w:sz w:val="24"/>
                <w:highlight w:val="none"/>
                <w:u w:val="single"/>
              </w:rPr>
              <w:t xml:space="preserve">                </w:t>
            </w:r>
          </w:p>
          <w:p>
            <w:pPr>
              <w:shd w:val="clea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履约保证金形式：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现金</w:t>
            </w:r>
            <w:r>
              <w:rPr>
                <w:rFonts w:hint="eastAsia" w:cs="宋体" w:asciiTheme="minorEastAsia" w:hAnsiTheme="minorEastAsia" w:eastAsiaTheme="minorEastAsia"/>
                <w:color w:val="auto"/>
                <w:sz w:val="24"/>
                <w:highlight w:val="none"/>
                <w:u w:val="single"/>
              </w:rPr>
              <w:t xml:space="preserve">              </w:t>
            </w:r>
          </w:p>
          <w:p>
            <w:pPr>
              <w:shd w:val="clea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履约保证金有效期限：</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一年</w:t>
            </w:r>
            <w:r>
              <w:rPr>
                <w:rFonts w:hint="eastAsia" w:cs="宋体" w:asciiTheme="minorEastAsia" w:hAnsiTheme="minorEastAsia" w:eastAsiaTheme="minorEastAsia"/>
                <w:color w:val="auto"/>
                <w:sz w:val="24"/>
                <w:highlight w:val="none"/>
                <w:u w:val="single"/>
              </w:rPr>
              <w:t xml:space="preserve">             </w:t>
            </w:r>
          </w:p>
          <w:p>
            <w:pPr>
              <w:shd w:val="clea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递交时间：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成交通知书发出3日内</w:t>
            </w:r>
            <w:r>
              <w:rPr>
                <w:rFonts w:hint="eastAsia" w:cs="宋体" w:asciiTheme="minorEastAsia" w:hAnsiTheme="minorEastAsia" w:eastAsiaTheme="minorEastAsia"/>
                <w:color w:val="auto"/>
                <w:sz w:val="24"/>
                <w:highlight w:val="none"/>
                <w:u w:val="single"/>
              </w:rPr>
              <w:t xml:space="preserve">              </w:t>
            </w:r>
          </w:p>
          <w:p>
            <w:pPr>
              <w:shd w:val="clea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其他要求：</w:t>
            </w:r>
            <w:r>
              <w:rPr>
                <w:rFonts w:hint="eastAsia" w:cs="宋体" w:asciiTheme="minorEastAsia" w:hAnsiTheme="minorEastAsia" w:eastAsiaTheme="minorEastAsia"/>
                <w:color w:val="auto"/>
                <w:sz w:val="24"/>
                <w:highlight w:val="none"/>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bCs/>
                <w:color w:val="000000"/>
                <w:sz w:val="24"/>
                <w:szCs w:val="24"/>
                <w:highlight w:val="none"/>
              </w:rPr>
            </w:pPr>
            <w:r>
              <w:rPr>
                <w:rFonts w:hint="eastAsia" w:cs="宋体" w:asciiTheme="minorEastAsia" w:hAnsiTheme="minorEastAsia" w:eastAsiaTheme="minorEastAsia"/>
                <w:color w:val="000000"/>
                <w:sz w:val="24"/>
                <w:lang w:eastAsia="zh-CN"/>
              </w:rPr>
              <w:t>湖南省虞公港建设投资有限公司</w:t>
            </w:r>
            <w:r>
              <w:rPr>
                <w:rFonts w:hint="eastAsia" w:ascii="宋体" w:hAnsi="宋体" w:cs="宋体"/>
                <w:b w:val="0"/>
                <w:bCs/>
                <w:sz w:val="24"/>
                <w:szCs w:val="24"/>
                <w:highlight w:val="none"/>
                <w:u w:val="none"/>
                <w:lang w:val="en-US" w:eastAsia="zh-CN"/>
              </w:rPr>
              <w:t>党政办公室</w:t>
            </w:r>
            <w:r>
              <w:rPr>
                <w:rFonts w:hint="eastAsia" w:ascii="宋体" w:hAnsi="宋体" w:eastAsia="宋体" w:cs="宋体"/>
                <w:bCs/>
                <w:sz w:val="24"/>
                <w:szCs w:val="24"/>
                <w:highlight w:val="none"/>
              </w:rPr>
              <w:t>，电话：</w:t>
            </w:r>
            <w:r>
              <w:rPr>
                <w:rFonts w:hint="eastAsia" w:ascii="宋体" w:hAnsi="宋体" w:eastAsia="宋体" w:cs="宋体"/>
                <w:bCs/>
                <w:color w:val="000000"/>
                <w:sz w:val="24"/>
                <w:szCs w:val="24"/>
                <w:highlight w:val="none"/>
                <w:lang w:val="en-US" w:eastAsia="zh-CN"/>
              </w:rPr>
              <w:t>0730-</w:t>
            </w:r>
            <w:r>
              <w:rPr>
                <w:rFonts w:hint="eastAsia" w:ascii="宋体" w:hAnsi="宋体" w:cs="宋体"/>
                <w:bCs/>
                <w:color w:val="000000"/>
                <w:sz w:val="24"/>
                <w:szCs w:val="24"/>
                <w:highlight w:val="none"/>
                <w:lang w:val="en-US" w:eastAsia="zh-CN"/>
              </w:rPr>
              <w:t>8426255</w:t>
            </w:r>
            <w:r>
              <w:rPr>
                <w:rFonts w:hint="eastAsia" w:ascii="宋体" w:hAnsi="宋体" w:eastAsia="宋体" w:cs="宋体"/>
                <w:bCs/>
                <w:color w:val="000000"/>
                <w:sz w:val="24"/>
                <w:szCs w:val="24"/>
                <w:highlight w:val="non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通信地址：</w:t>
            </w:r>
            <w:r>
              <w:rPr>
                <w:rFonts w:hint="eastAsia" w:cs="宋体" w:asciiTheme="minorEastAsia" w:hAnsiTheme="minorEastAsia" w:eastAsiaTheme="minorEastAsia"/>
                <w:color w:val="auto"/>
                <w:sz w:val="24"/>
                <w:highlight w:val="none"/>
                <w:u w:val="single"/>
              </w:rPr>
              <w:t>湖南省岳阳市</w:t>
            </w:r>
            <w:r>
              <w:rPr>
                <w:rFonts w:hint="eastAsia" w:cs="宋体" w:asciiTheme="minorEastAsia" w:hAnsiTheme="minorEastAsia" w:eastAsiaTheme="minorEastAsia"/>
                <w:color w:val="auto"/>
                <w:sz w:val="24"/>
                <w:highlight w:val="none"/>
                <w:u w:val="single"/>
                <w:lang w:val="en-US" w:eastAsia="zh-CN"/>
              </w:rPr>
              <w:t>湘阴县自然资源局2楼</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不要求承担</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□要求承担</w:t>
            </w:r>
          </w:p>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费用标准或金额：</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lang w:eastAsia="zh-CN"/>
              </w:rPr>
              <w:t>缴费</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p>
          <w:p>
            <w:pPr>
              <w:spacing w:line="288" w:lineRule="auto"/>
              <w:jc w:val="both"/>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缴费</w:t>
            </w:r>
            <w:r>
              <w:rPr>
                <w:rFonts w:hint="eastAsia" w:cs="宋体" w:asciiTheme="minorEastAsia" w:hAnsiTheme="minorEastAsia" w:eastAsiaTheme="minorEastAsia"/>
                <w:color w:val="auto"/>
                <w:sz w:val="24"/>
                <w:highlight w:val="none"/>
              </w:rPr>
              <w:t>方式：</w:t>
            </w:r>
            <w:r>
              <w:rPr>
                <w:rFonts w:hint="eastAsia" w:cs="宋体" w:asciiTheme="minorEastAsia" w:hAnsiTheme="minorEastAsia" w:eastAsiaTheme="minorEastAsia"/>
                <w:color w:val="auto"/>
                <w:sz w:val="24"/>
                <w:highlight w:val="none"/>
                <w:u w:val="single"/>
              </w:rPr>
              <w:t xml:space="preserve">                  </w:t>
            </w:r>
          </w:p>
        </w:tc>
      </w:tr>
    </w:tbl>
    <w:p>
      <w:pPr>
        <w:wordWrap w:val="0"/>
        <w:ind w:firstLine="482"/>
        <w:jc w:val="center"/>
        <w:rPr>
          <w:rFonts w:hint="eastAsia" w:ascii="黑体" w:hAnsi="黑体" w:eastAsia="黑体" w:cs="黑体"/>
          <w:sz w:val="24"/>
          <w:szCs w:val="24"/>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rPr>
          <w:rFonts w:hint="eastAsia" w:ascii="华文中宋" w:hAnsi="华文中宋" w:eastAsia="华文中宋" w:cs="仿宋"/>
          <w:b/>
          <w:bCs/>
          <w:sz w:val="30"/>
          <w:szCs w:val="30"/>
          <w:highlight w:val="none"/>
        </w:rPr>
      </w:pPr>
    </w:p>
    <w:p>
      <w:pPr>
        <w:spacing w:line="240" w:lineRule="auto"/>
        <w:jc w:val="center"/>
        <w:outlineLvl w:val="0"/>
        <w:rPr>
          <w:rFonts w:ascii="仿宋" w:hAnsi="仿宋" w:eastAsia="仿宋" w:cs="仿宋"/>
          <w:sz w:val="30"/>
          <w:szCs w:val="30"/>
          <w:highlight w:val="none"/>
        </w:rPr>
      </w:pPr>
      <w:bookmarkStart w:id="16" w:name="_Toc10726"/>
      <w:r>
        <w:rPr>
          <w:rFonts w:hint="eastAsia" w:ascii="华文中宋" w:hAnsi="华文中宋" w:eastAsia="华文中宋" w:cs="仿宋"/>
          <w:b/>
          <w:bCs/>
          <w:sz w:val="30"/>
          <w:szCs w:val="30"/>
          <w:highlight w:val="none"/>
        </w:rPr>
        <w:t>第二章 供应商须知正文</w:t>
      </w:r>
      <w:bookmarkEnd w:id="16"/>
    </w:p>
    <w:p>
      <w:pPr>
        <w:adjustRightInd w:val="0"/>
        <w:snapToGrid w:val="0"/>
        <w:spacing w:before="120" w:beforeLines="50" w:after="120" w:afterLines="50" w:line="312" w:lineRule="auto"/>
        <w:jc w:val="both"/>
        <w:rPr>
          <w:rFonts w:ascii="宋体" w:hAnsi="宋体" w:cs="仿宋"/>
          <w:b/>
          <w:bCs/>
          <w:sz w:val="24"/>
          <w:highlight w:val="none"/>
        </w:rPr>
      </w:pPr>
      <w:r>
        <w:rPr>
          <w:rFonts w:hint="eastAsia" w:ascii="宋体" w:hAnsi="宋体" w:cs="仿宋"/>
          <w:b/>
          <w:bCs/>
          <w:sz w:val="24"/>
          <w:highlight w:val="none"/>
        </w:rPr>
        <w:t>1 总则</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1.1采购方法和评审办法</w:t>
      </w:r>
    </w:p>
    <w:p>
      <w:pPr>
        <w:pStyle w:val="74"/>
        <w:spacing w:before="120" w:after="120" w:line="312" w:lineRule="auto"/>
        <w:ind w:left="426" w:firstLine="48" w:firstLineChars="20"/>
        <w:jc w:val="both"/>
        <w:rPr>
          <w:rFonts w:ascii="宋体" w:hAnsi="宋体" w:eastAsia="宋体" w:cs="仿宋"/>
          <w:sz w:val="24"/>
          <w:szCs w:val="24"/>
          <w:highlight w:val="none"/>
        </w:rPr>
      </w:pPr>
      <w:r>
        <w:rPr>
          <w:rFonts w:hint="eastAsia" w:ascii="宋体" w:hAnsi="宋体" w:eastAsia="宋体" w:cs="仿宋"/>
          <w:sz w:val="24"/>
          <w:szCs w:val="24"/>
          <w:highlight w:val="none"/>
        </w:rPr>
        <w:t>本项目采用供应商须知前附表规定的采购方式和评审办法。</w:t>
      </w:r>
    </w:p>
    <w:p>
      <w:pPr>
        <w:pStyle w:val="68"/>
        <w:spacing w:line="312" w:lineRule="auto"/>
        <w:ind w:firstLine="0" w:firstLineChars="0"/>
        <w:rPr>
          <w:rFonts w:hAnsi="宋体" w:eastAsia="宋体" w:cs="仿宋"/>
          <w:sz w:val="24"/>
          <w:szCs w:val="24"/>
          <w:highlight w:val="none"/>
        </w:rPr>
      </w:pPr>
      <w:r>
        <w:rPr>
          <w:rFonts w:hint="eastAsia" w:hAnsi="宋体" w:eastAsia="宋体" w:cs="仿宋"/>
          <w:sz w:val="24"/>
          <w:szCs w:val="24"/>
          <w:highlight w:val="none"/>
        </w:rPr>
        <w:t>1.1.1采购方法</w:t>
      </w:r>
    </w:p>
    <w:p>
      <w:pPr>
        <w:pStyle w:val="68"/>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ind w:firstLine="453" w:firstLineChars="189"/>
        <w:rPr>
          <w:rFonts w:hAnsi="宋体" w:cs="仿宋"/>
          <w:sz w:val="24"/>
        </w:rPr>
      </w:pPr>
      <w:r>
        <w:rPr>
          <w:rFonts w:hint="eastAsia" w:ascii="宋体" w:hAnsi="宋体" w:cs="仿宋"/>
          <w:sz w:val="24"/>
        </w:rPr>
        <w:t>同质比价法，遵循最低价法评审原则，在资质、业绩、信誉等条件均满足询价文件要求的前提下，按价格最低原则确定成交供应商。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1.2采购项目概况和供应商资格要求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采购项目概况和供应商资格要求见第一章“采购公告”。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1.3 费用承担</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供应商准备和参加采购活动所发生的各种费用由供应商自行承担。</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1.4保密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1.5语言文字</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highlight w:val="none"/>
          <w14:textFill>
            <w14:solidFill>
              <w14:schemeClr w14:val="tx1"/>
            </w14:solidFill>
          </w14:textFill>
        </w:rPr>
      </w:pPr>
      <w:r>
        <w:rPr>
          <w:rFonts w:hint="eastAsia" w:ascii="宋体" w:hAnsi="宋体" w:cs="仿宋"/>
          <w:b/>
          <w:bCs/>
          <w:color w:val="000000" w:themeColor="text1"/>
          <w:sz w:val="24"/>
          <w:highlight w:val="none"/>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1.7踏勘现场</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highlight w:val="none"/>
          <w14:textFill>
            <w14:solidFill>
              <w14:schemeClr w14:val="accent6"/>
            </w14:solidFill>
          </w14:textFill>
        </w:rPr>
      </w:pPr>
      <w:r>
        <w:rPr>
          <w:rFonts w:hint="eastAsia" w:ascii="宋体" w:hAnsi="宋体" w:cs="仿宋"/>
          <w:sz w:val="24"/>
          <w:highlight w:val="none"/>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1.8采购预备会</w:t>
      </w:r>
      <w:r>
        <w:rPr>
          <w:rFonts w:hint="eastAsia" w:ascii="宋体" w:hAnsi="宋体" w:cs="仿宋"/>
          <w:b/>
          <w:bCs/>
          <w:sz w:val="24"/>
          <w:highlight w:val="none"/>
          <w:lang w:eastAsia="zh-CN"/>
        </w:rPr>
        <w:t>（</w:t>
      </w:r>
      <w:r>
        <w:rPr>
          <w:rFonts w:hint="eastAsia" w:ascii="宋体" w:hAnsi="宋体" w:cs="仿宋"/>
          <w:b/>
          <w:bCs/>
          <w:sz w:val="24"/>
          <w:highlight w:val="none"/>
          <w:lang w:val="en-US" w:eastAsia="zh-CN"/>
        </w:rPr>
        <w:t>本项目不召开</w:t>
      </w:r>
      <w:r>
        <w:rPr>
          <w:rFonts w:hint="eastAsia" w:ascii="宋体" w:hAnsi="宋体" w:cs="仿宋"/>
          <w:b/>
          <w:bCs/>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1.9分包</w:t>
      </w:r>
      <w:r>
        <w:rPr>
          <w:rFonts w:hint="eastAsia" w:ascii="宋体" w:hAnsi="宋体" w:cs="仿宋"/>
          <w:b/>
          <w:bCs/>
          <w:sz w:val="24"/>
          <w:highlight w:val="none"/>
          <w:lang w:eastAsia="zh-CN"/>
        </w:rPr>
        <w:t>（</w:t>
      </w:r>
      <w:r>
        <w:rPr>
          <w:rFonts w:hint="eastAsia" w:ascii="宋体" w:hAnsi="宋体" w:cs="仿宋"/>
          <w:b/>
          <w:bCs/>
          <w:sz w:val="24"/>
          <w:highlight w:val="none"/>
          <w:lang w:val="en-US" w:eastAsia="zh-CN"/>
        </w:rPr>
        <w:t>本项目不允许分包</w:t>
      </w:r>
      <w:r>
        <w:rPr>
          <w:rFonts w:hint="eastAsia" w:ascii="宋体" w:hAnsi="宋体" w:cs="仿宋"/>
          <w:b/>
          <w:bCs/>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1.10响应和偏差</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2采购文件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2.1采购文件的组成</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本采购文件包括</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采购公告</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供应商须知</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(3</w:t>
      </w:r>
      <w:r>
        <w:rPr>
          <w:rFonts w:hint="eastAsia" w:ascii="宋体" w:hAnsi="宋体" w:cs="仿宋"/>
          <w:sz w:val="24"/>
          <w:highlight w:val="none"/>
          <w:lang w:eastAsia="zh-CN"/>
        </w:rPr>
        <w:t>）</w:t>
      </w:r>
      <w:r>
        <w:rPr>
          <w:rFonts w:hint="eastAsia" w:ascii="宋体" w:hAnsi="宋体" w:cs="仿宋"/>
          <w:sz w:val="24"/>
          <w:highlight w:val="none"/>
        </w:rPr>
        <w:t>评审办法</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(4</w:t>
      </w:r>
      <w:r>
        <w:rPr>
          <w:rFonts w:hint="eastAsia" w:ascii="宋体" w:hAnsi="宋体" w:cs="仿宋"/>
          <w:sz w:val="24"/>
          <w:highlight w:val="none"/>
          <w:lang w:eastAsia="zh-CN"/>
        </w:rPr>
        <w:t>）</w:t>
      </w:r>
      <w:r>
        <w:rPr>
          <w:rFonts w:hint="eastAsia" w:ascii="宋体" w:hAnsi="宋体" w:cs="仿宋"/>
          <w:sz w:val="24"/>
          <w:highlight w:val="none"/>
        </w:rPr>
        <w:t>合同条款及格式</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eastAsia="zh-CN"/>
        </w:rPr>
        <w:t>）</w:t>
      </w:r>
      <w:r>
        <w:rPr>
          <w:rFonts w:hint="eastAsia" w:ascii="宋体" w:hAnsi="宋体" w:cs="仿宋"/>
          <w:sz w:val="24"/>
          <w:highlight w:val="none"/>
        </w:rPr>
        <w:t>采购需求</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(6</w:t>
      </w:r>
      <w:r>
        <w:rPr>
          <w:rFonts w:hint="eastAsia" w:ascii="宋体" w:hAnsi="宋体" w:cs="仿宋"/>
          <w:sz w:val="24"/>
          <w:highlight w:val="none"/>
          <w:lang w:eastAsia="zh-CN"/>
        </w:rPr>
        <w:t>）</w:t>
      </w:r>
      <w:r>
        <w:rPr>
          <w:rFonts w:hint="eastAsia" w:ascii="宋体" w:hAnsi="宋体" w:cs="仿宋"/>
          <w:sz w:val="24"/>
          <w:highlight w:val="none"/>
        </w:rPr>
        <w:t>响应文件格式</w:t>
      </w:r>
      <w:r>
        <w:rPr>
          <w:rFonts w:hint="eastAsia" w:ascii="宋体" w:hAnsi="宋体" w:cs="仿宋"/>
          <w:sz w:val="24"/>
          <w:highlight w:val="none"/>
          <w:lang w:eastAsia="zh-CN"/>
        </w:rPr>
        <w:t>；</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(7</w:t>
      </w:r>
      <w:r>
        <w:rPr>
          <w:rFonts w:hint="eastAsia" w:ascii="宋体" w:hAnsi="宋体" w:cs="仿宋"/>
          <w:sz w:val="24"/>
          <w:highlight w:val="none"/>
          <w:lang w:eastAsia="zh-CN"/>
        </w:rPr>
        <w:t>）</w:t>
      </w:r>
      <w:r>
        <w:rPr>
          <w:rFonts w:hint="eastAsia" w:ascii="宋体" w:hAnsi="宋体" w:cs="仿宋"/>
          <w:sz w:val="24"/>
          <w:highlight w:val="none"/>
        </w:rPr>
        <w:t>供应商须知前附表规定的其他资料。</w:t>
      </w:r>
    </w:p>
    <w:p>
      <w:pPr>
        <w:adjustRightInd w:val="0"/>
        <w:snapToGrid w:val="0"/>
        <w:spacing w:line="312" w:lineRule="auto"/>
        <w:ind w:left="105" w:leftChars="50" w:firstLine="453" w:firstLineChars="189"/>
        <w:jc w:val="both"/>
        <w:rPr>
          <w:rFonts w:ascii="宋体" w:hAnsi="宋体" w:cs="仿宋"/>
          <w:sz w:val="24"/>
          <w:highlight w:val="none"/>
        </w:rPr>
      </w:pPr>
      <w:r>
        <w:rPr>
          <w:rFonts w:hint="eastAsia" w:ascii="宋体" w:hAnsi="宋体" w:cs="仿宋"/>
          <w:sz w:val="24"/>
          <w:highlight w:val="none"/>
        </w:rPr>
        <w:t>采购人依照本章规定，对采购文件所作的澄清、修改，构成采购文件的组成部分。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2.2采购文件的澄清和修改</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highlight w:val="none"/>
        </w:rPr>
      </w:pPr>
      <w:r>
        <w:rPr>
          <w:rFonts w:hint="eastAsia" w:ascii="宋体" w:hAnsi="宋体" w:cs="仿宋"/>
          <w:sz w:val="24"/>
          <w:highlight w:val="none"/>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3响应文件</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3.1响应文件的组成</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3.1.1响应文件应包括下列内容</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响应函</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授权委托书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(3</w:t>
      </w:r>
      <w:r>
        <w:rPr>
          <w:rFonts w:hint="eastAsia" w:ascii="宋体" w:hAnsi="宋体" w:cs="仿宋"/>
          <w:sz w:val="24"/>
          <w:highlight w:val="none"/>
          <w:lang w:eastAsia="zh-CN"/>
        </w:rPr>
        <w:t>）</w:t>
      </w:r>
      <w:r>
        <w:rPr>
          <w:rFonts w:hint="eastAsia" w:ascii="宋体" w:hAnsi="宋体" w:cs="仿宋"/>
          <w:sz w:val="24"/>
          <w:highlight w:val="none"/>
        </w:rPr>
        <w:t>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(4</w:t>
      </w:r>
      <w:r>
        <w:rPr>
          <w:rFonts w:hint="eastAsia" w:ascii="宋体" w:hAnsi="宋体" w:cs="仿宋"/>
          <w:sz w:val="24"/>
          <w:highlight w:val="none"/>
          <w:lang w:eastAsia="zh-CN"/>
        </w:rPr>
        <w:t>）</w:t>
      </w:r>
      <w:r>
        <w:rPr>
          <w:rFonts w:hint="eastAsia" w:ascii="宋体" w:hAnsi="宋体" w:cs="仿宋"/>
          <w:sz w:val="24"/>
          <w:highlight w:val="none"/>
        </w:rPr>
        <w:t>响应保证金</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(5</w:t>
      </w:r>
      <w:r>
        <w:rPr>
          <w:rFonts w:hint="eastAsia" w:ascii="宋体" w:hAnsi="宋体" w:cs="仿宋"/>
          <w:sz w:val="24"/>
          <w:highlight w:val="none"/>
          <w:lang w:eastAsia="zh-CN"/>
        </w:rPr>
        <w:t>）</w:t>
      </w:r>
      <w:r>
        <w:rPr>
          <w:rFonts w:hint="eastAsia" w:ascii="宋体" w:hAnsi="宋体" w:cs="仿宋"/>
          <w:sz w:val="24"/>
          <w:highlight w:val="none"/>
        </w:rPr>
        <w:t>商务和技术偏差表</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(6</w:t>
      </w:r>
      <w:r>
        <w:rPr>
          <w:rFonts w:hint="eastAsia" w:ascii="宋体" w:hAnsi="宋体" w:cs="仿宋"/>
          <w:sz w:val="24"/>
          <w:highlight w:val="none"/>
          <w:lang w:eastAsia="zh-CN"/>
        </w:rPr>
        <w:t>）</w:t>
      </w:r>
      <w:r>
        <w:rPr>
          <w:rFonts w:hint="eastAsia" w:ascii="宋体" w:hAnsi="宋体" w:cs="仿宋"/>
          <w:sz w:val="24"/>
          <w:highlight w:val="none"/>
        </w:rPr>
        <w:t>报价表</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(7</w:t>
      </w:r>
      <w:r>
        <w:rPr>
          <w:rFonts w:hint="eastAsia" w:ascii="宋体" w:hAnsi="宋体" w:cs="仿宋"/>
          <w:sz w:val="24"/>
          <w:highlight w:val="none"/>
          <w:lang w:eastAsia="zh-CN"/>
        </w:rPr>
        <w:t>）</w:t>
      </w:r>
      <w:r>
        <w:rPr>
          <w:rFonts w:hint="eastAsia" w:ascii="宋体" w:hAnsi="宋体" w:cs="仿宋"/>
          <w:sz w:val="24"/>
          <w:highlight w:val="none"/>
        </w:rPr>
        <w:t>资格审查资料</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(8</w:t>
      </w:r>
      <w:r>
        <w:rPr>
          <w:rFonts w:hint="eastAsia" w:ascii="宋体" w:hAnsi="宋体" w:cs="仿宋"/>
          <w:sz w:val="24"/>
          <w:highlight w:val="none"/>
          <w:lang w:eastAsia="zh-CN"/>
        </w:rPr>
        <w:t>）</w:t>
      </w:r>
      <w:r>
        <w:rPr>
          <w:rFonts w:hint="eastAsia" w:ascii="宋体" w:hAnsi="宋体" w:cs="仿宋"/>
          <w:sz w:val="24"/>
          <w:highlight w:val="none"/>
        </w:rPr>
        <w:t>响应方案</w:t>
      </w:r>
      <w:r>
        <w:rPr>
          <w:rFonts w:hint="eastAsia" w:ascii="宋体" w:hAnsi="宋体" w:cs="仿宋"/>
          <w:sz w:val="24"/>
          <w:highlight w:val="none"/>
          <w:lang w:eastAsia="zh-CN"/>
        </w:rPr>
        <w:t>；</w:t>
      </w:r>
    </w:p>
    <w:p>
      <w:pPr>
        <w:adjustRightInd w:val="0"/>
        <w:snapToGrid w:val="0"/>
        <w:spacing w:line="312" w:lineRule="auto"/>
        <w:ind w:firstLine="480" w:firstLineChars="200"/>
        <w:jc w:val="both"/>
        <w:rPr>
          <w:rFonts w:ascii="宋体" w:hAnsi="宋体" w:cs="仿宋"/>
          <w:sz w:val="24"/>
          <w:highlight w:val="none"/>
        </w:rPr>
      </w:pPr>
      <w:r>
        <w:rPr>
          <w:rFonts w:hint="eastAsia" w:ascii="宋体" w:hAnsi="宋体" w:cs="仿宋"/>
          <w:sz w:val="24"/>
          <w:highlight w:val="none"/>
        </w:rPr>
        <w:t>(9</w:t>
      </w:r>
      <w:r>
        <w:rPr>
          <w:rFonts w:hint="eastAsia" w:ascii="宋体" w:hAnsi="宋体" w:cs="仿宋"/>
          <w:sz w:val="24"/>
          <w:highlight w:val="none"/>
          <w:lang w:eastAsia="zh-CN"/>
        </w:rPr>
        <w:t>）</w:t>
      </w:r>
      <w:r>
        <w:rPr>
          <w:rFonts w:hint="eastAsia" w:ascii="宋体" w:hAnsi="宋体" w:cs="仿宋"/>
          <w:sz w:val="24"/>
          <w:highlight w:val="none"/>
        </w:rPr>
        <w:t>供应商须知前附表规定的其他资料。</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供应商在评审过程中</w:t>
      </w:r>
      <w:r>
        <w:rPr>
          <w:rFonts w:hint="eastAsia" w:ascii="宋体" w:hAnsi="宋体" w:cs="仿宋"/>
          <w:sz w:val="24"/>
          <w:highlight w:val="none"/>
          <w:lang w:eastAsia="zh-CN"/>
        </w:rPr>
        <w:t>做出</w:t>
      </w:r>
      <w:r>
        <w:rPr>
          <w:rFonts w:hint="eastAsia" w:ascii="宋体" w:hAnsi="宋体" w:cs="仿宋"/>
          <w:sz w:val="24"/>
          <w:highlight w:val="none"/>
        </w:rPr>
        <w:t>的符合采购文件要求的澄清、说明和补正，构成响应文件的组成部分。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3.1.2供应商的法定代表人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亲自签署响应文件、亲自参加采购的，响应文件不包括第3.1.1(2</w:t>
      </w:r>
      <w:r>
        <w:rPr>
          <w:rFonts w:hint="eastAsia" w:ascii="宋体" w:hAnsi="宋体" w:cs="仿宋"/>
          <w:sz w:val="24"/>
          <w:highlight w:val="none"/>
          <w:lang w:eastAsia="zh-CN"/>
        </w:rPr>
        <w:t>）</w:t>
      </w:r>
      <w:r>
        <w:rPr>
          <w:rFonts w:hint="eastAsia" w:ascii="宋体" w:hAnsi="宋体" w:cs="仿宋"/>
          <w:sz w:val="24"/>
          <w:highlight w:val="none"/>
        </w:rPr>
        <w:t>目所指的授权委托书。第一章“采购公告”规定不接受联合体的，或供应商没有组成联合体的，响应文件不包括第3.1.1(3</w:t>
      </w:r>
      <w:r>
        <w:rPr>
          <w:rFonts w:hint="eastAsia" w:ascii="宋体" w:hAnsi="宋体" w:cs="仿宋"/>
          <w:sz w:val="24"/>
          <w:highlight w:val="none"/>
          <w:lang w:eastAsia="zh-CN"/>
        </w:rPr>
        <w:t>）</w:t>
      </w:r>
      <w:r>
        <w:rPr>
          <w:rFonts w:hint="eastAsia" w:ascii="宋体" w:hAnsi="宋体" w:cs="仿宋"/>
          <w:sz w:val="24"/>
          <w:highlight w:val="none"/>
        </w:rPr>
        <w:t>目所指的联合体协议书。供应商须知前附表未要求供应商递交响应保证金的，响应文件不包括第3.1.1(4</w:t>
      </w:r>
      <w:r>
        <w:rPr>
          <w:rFonts w:hint="eastAsia" w:ascii="宋体" w:hAnsi="宋体" w:cs="仿宋"/>
          <w:sz w:val="24"/>
          <w:highlight w:val="none"/>
          <w:lang w:eastAsia="zh-CN"/>
        </w:rPr>
        <w:t>）</w:t>
      </w:r>
      <w:r>
        <w:rPr>
          <w:rFonts w:hint="eastAsia" w:ascii="宋体" w:hAnsi="宋体" w:cs="仿宋"/>
          <w:sz w:val="24"/>
          <w:highlight w:val="none"/>
        </w:rPr>
        <w:t>目所指的响应保证金。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3.2报价</w:t>
      </w:r>
    </w:p>
    <w:p>
      <w:pPr>
        <w:adjustRightInd w:val="0"/>
        <w:snapToGrid w:val="0"/>
        <w:spacing w:line="312" w:lineRule="auto"/>
        <w:jc w:val="both"/>
        <w:rPr>
          <w:rFonts w:ascii="宋体" w:hAnsi="宋体" w:cs="仿宋"/>
          <w:color w:val="FF0000"/>
          <w:sz w:val="24"/>
          <w:highlight w:val="none"/>
        </w:rPr>
      </w:pPr>
      <w:r>
        <w:rPr>
          <w:rFonts w:hint="eastAsia" w:ascii="宋体" w:hAnsi="宋体" w:cs="仿宋"/>
          <w:sz w:val="24"/>
          <w:highlight w:val="none"/>
        </w:rPr>
        <w:t>3.2.1供应商应按采购文件提供的格式</w:t>
      </w:r>
      <w:r>
        <w:rPr>
          <w:rFonts w:hint="eastAsia" w:ascii="宋体" w:hAnsi="宋体" w:cs="仿宋"/>
          <w:sz w:val="24"/>
          <w:highlight w:val="none"/>
          <w:lang w:eastAsia="zh-CN"/>
        </w:rPr>
        <w:t>（</w:t>
      </w:r>
      <w:r>
        <w:rPr>
          <w:rFonts w:hint="eastAsia" w:ascii="宋体" w:hAnsi="宋体" w:cs="仿宋"/>
          <w:sz w:val="24"/>
          <w:highlight w:val="none"/>
        </w:rPr>
        <w:t>见第六章“响应文件格式”</w:t>
      </w:r>
      <w:r>
        <w:rPr>
          <w:rFonts w:hint="eastAsia" w:ascii="宋体" w:hAnsi="宋体" w:cs="仿宋"/>
          <w:sz w:val="24"/>
          <w:highlight w:val="none"/>
          <w:lang w:eastAsia="zh-CN"/>
        </w:rPr>
        <w:t>）</w:t>
      </w:r>
      <w:r>
        <w:rPr>
          <w:rFonts w:hint="eastAsia" w:ascii="宋体" w:hAnsi="宋体" w:cs="仿宋"/>
          <w:sz w:val="24"/>
          <w:highlight w:val="none"/>
        </w:rPr>
        <w:t>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3.2.4报价的其他要求见供应商须知前附表。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3.3响应文件有效期</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3.3.2出现特殊情况需要延长响应文件有效期，采购人以书面形式通知所有供应商延长响应文件有效期的，供应商应予以书面答复。同意延长的，应相应延长其响应保证金的有效期，但不得修改其响应文件；</w:t>
      </w:r>
      <w:r>
        <w:rPr>
          <w:rFonts w:hint="eastAsia" w:ascii="宋体" w:hAnsi="宋体" w:cs="仿宋"/>
          <w:sz w:val="24"/>
          <w:highlight w:val="none"/>
          <w:lang w:eastAsia="zh-CN"/>
        </w:rPr>
        <w:t>供应商</w:t>
      </w:r>
      <w:r>
        <w:rPr>
          <w:rFonts w:hint="eastAsia" w:ascii="宋体" w:hAnsi="宋体" w:cs="仿宋"/>
          <w:sz w:val="24"/>
          <w:highlight w:val="none"/>
        </w:rPr>
        <w:t>拒绝延长的，其响应文件在原有效期届满后失效，但供应商有权收回其响应保证金。</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3.4响应保证金</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3.4.3有下列情形之一的，响应保证金将不予退还</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w:t>
      </w:r>
      <w:r>
        <w:rPr>
          <w:rFonts w:hint="eastAsia" w:ascii="宋体" w:hAnsi="宋体" w:cs="仿宋"/>
          <w:sz w:val="24"/>
          <w:highlight w:val="none"/>
          <w:lang w:eastAsia="zh-CN"/>
        </w:rPr>
        <w:t>）</w:t>
      </w:r>
      <w:r>
        <w:rPr>
          <w:rFonts w:hint="eastAsia" w:ascii="宋体" w:hAnsi="宋体" w:cs="仿宋"/>
          <w:sz w:val="24"/>
          <w:highlight w:val="none"/>
        </w:rPr>
        <w:t>供应商在响应文件有效期内撤销响应文件；</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w:t>
      </w:r>
      <w:r>
        <w:rPr>
          <w:rFonts w:hint="eastAsia" w:ascii="宋体" w:hAnsi="宋体" w:cs="仿宋"/>
          <w:sz w:val="24"/>
          <w:highlight w:val="none"/>
          <w:lang w:eastAsia="zh-CN"/>
        </w:rPr>
        <w:t>）</w:t>
      </w:r>
      <w:r>
        <w:rPr>
          <w:rFonts w:hint="eastAsia" w:ascii="宋体" w:hAnsi="宋体" w:cs="仿宋"/>
          <w:sz w:val="24"/>
          <w:highlight w:val="none"/>
        </w:rPr>
        <w:t>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(3</w:t>
      </w:r>
      <w:r>
        <w:rPr>
          <w:rFonts w:hint="eastAsia" w:ascii="宋体" w:hAnsi="宋体" w:cs="仿宋"/>
          <w:sz w:val="24"/>
          <w:highlight w:val="none"/>
          <w:lang w:eastAsia="zh-CN"/>
        </w:rPr>
        <w:t>）</w:t>
      </w:r>
      <w:r>
        <w:rPr>
          <w:rFonts w:hint="eastAsia" w:ascii="宋体" w:hAnsi="宋体" w:cs="仿宋"/>
          <w:sz w:val="24"/>
          <w:highlight w:val="none"/>
        </w:rPr>
        <w:t>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highlight w:val="none"/>
        </w:rPr>
      </w:pPr>
      <w:r>
        <w:rPr>
          <w:rFonts w:hint="eastAsia" w:ascii="宋体" w:hAnsi="宋体" w:cs="仿宋"/>
          <w:b/>
          <w:bCs/>
          <w:sz w:val="24"/>
          <w:highlight w:val="none"/>
        </w:rPr>
        <w:t>3.5资格审查资料</w:t>
      </w:r>
    </w:p>
    <w:p>
      <w:pPr>
        <w:adjustRightInd w:val="0"/>
        <w:snapToGrid w:val="0"/>
        <w:spacing w:line="312" w:lineRule="auto"/>
        <w:ind w:left="149" w:leftChars="71" w:firstLine="360" w:firstLineChars="150"/>
        <w:jc w:val="both"/>
        <w:rPr>
          <w:rFonts w:ascii="宋体" w:hAnsi="宋体" w:cs="仿宋"/>
          <w:sz w:val="24"/>
          <w:highlight w:val="none"/>
        </w:rPr>
      </w:pPr>
      <w:r>
        <w:rPr>
          <w:rFonts w:hint="eastAsia" w:ascii="宋体" w:hAnsi="宋体" w:cs="仿宋"/>
          <w:sz w:val="24"/>
          <w:highlight w:val="none"/>
        </w:rPr>
        <w:t>供应商应提供供应商须知前附表3.5(1)-3.5(9</w:t>
      </w:r>
      <w:r>
        <w:rPr>
          <w:rFonts w:hint="eastAsia" w:ascii="宋体" w:hAnsi="宋体" w:cs="仿宋"/>
          <w:sz w:val="24"/>
          <w:highlight w:val="none"/>
          <w:lang w:eastAsia="zh-CN"/>
        </w:rPr>
        <w:t>）</w:t>
      </w:r>
      <w:r>
        <w:rPr>
          <w:rFonts w:hint="eastAsia" w:ascii="宋体" w:hAnsi="宋体" w:cs="仿宋"/>
          <w:sz w:val="24"/>
          <w:highlight w:val="none"/>
        </w:rPr>
        <w:t>中规定的资格审查资料，以证明其满足第一章“采购公告”对供应商的各项资格要求。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3.6响应方案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3.6.1响应文件应当对采购文件中的实质性内容作出响应。采购需求中明确为关键条款</w:t>
      </w:r>
      <w:r>
        <w:rPr>
          <w:rFonts w:hint="eastAsia" w:ascii="宋体" w:hAnsi="宋体" w:cs="仿宋"/>
          <w:sz w:val="24"/>
          <w:highlight w:val="none"/>
          <w:lang w:eastAsia="zh-CN"/>
        </w:rPr>
        <w:t>（</w:t>
      </w:r>
      <w:r>
        <w:rPr>
          <w:rFonts w:hint="eastAsia" w:ascii="宋体" w:hAnsi="宋体" w:cs="仿宋"/>
          <w:sz w:val="24"/>
          <w:highlight w:val="none"/>
        </w:rPr>
        <w:t>标记“*”</w:t>
      </w:r>
      <w:r>
        <w:rPr>
          <w:rFonts w:hint="eastAsia" w:ascii="宋体" w:hAnsi="宋体" w:cs="仿宋"/>
          <w:sz w:val="24"/>
          <w:highlight w:val="none"/>
          <w:lang w:eastAsia="zh-CN"/>
        </w:rPr>
        <w:t>）</w:t>
      </w:r>
      <w:r>
        <w:rPr>
          <w:rFonts w:hint="eastAsia" w:ascii="宋体" w:hAnsi="宋体" w:cs="仿宋"/>
          <w:sz w:val="24"/>
          <w:highlight w:val="none"/>
        </w:rPr>
        <w:t>的，供应商还应按照供应商须知前附表的规定提供有关证据或证明材料。</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3.6.3响应文件对采购文件的全部偏差，均应在响应文件的商务和技术偏差表中列明。响应文件偏差表中未列明的内容，将视为供应商响应采购文件的要求</w:t>
      </w:r>
      <w:r>
        <w:rPr>
          <w:rFonts w:hint="eastAsia" w:ascii="宋体" w:hAnsi="宋体" w:cs="仿宋"/>
          <w:sz w:val="24"/>
          <w:highlight w:val="none"/>
          <w:lang w:eastAsia="zh-CN"/>
        </w:rPr>
        <w:t>：</w:t>
      </w:r>
      <w:r>
        <w:rPr>
          <w:rFonts w:hint="eastAsia" w:ascii="宋体" w:hAnsi="宋体" w:cs="仿宋"/>
          <w:sz w:val="24"/>
          <w:highlight w:val="none"/>
        </w:rPr>
        <w:t>但</w:t>
      </w:r>
      <w:r>
        <w:rPr>
          <w:rFonts w:hint="eastAsia" w:ascii="宋体" w:hAnsi="宋体" w:cs="仿宋"/>
          <w:sz w:val="24"/>
          <w:highlight w:val="none"/>
          <w:lang w:eastAsia="zh-CN"/>
        </w:rPr>
        <w:t>如果</w:t>
      </w:r>
      <w:r>
        <w:rPr>
          <w:rFonts w:hint="eastAsia" w:ascii="宋体" w:hAnsi="宋体" w:cs="仿宋"/>
          <w:sz w:val="24"/>
          <w:highlight w:val="none"/>
        </w:rPr>
        <w:t>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3.7响应文件的编制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3.7.2响应文件应用不褪色</w:t>
      </w:r>
      <w:r>
        <w:rPr>
          <w:rFonts w:hint="eastAsia" w:ascii="宋体" w:hAnsi="宋体" w:cs="仿宋"/>
          <w:sz w:val="24"/>
          <w:highlight w:val="none"/>
          <w:lang w:eastAsia="zh-CN"/>
        </w:rPr>
        <w:t>的</w:t>
      </w:r>
      <w:r>
        <w:rPr>
          <w:rFonts w:hint="eastAsia" w:ascii="宋体" w:hAnsi="宋体" w:cs="仿宋"/>
          <w:sz w:val="24"/>
          <w:highlight w:val="none"/>
        </w:rPr>
        <w:t>材料书写或打印。</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应由联合体各方的法定代表人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响应函或联合体协议书</w:t>
      </w:r>
      <w:r>
        <w:rPr>
          <w:rFonts w:hint="eastAsia" w:ascii="宋体" w:hAnsi="宋体" w:cs="仿宋"/>
          <w:sz w:val="24"/>
          <w:highlight w:val="none"/>
          <w:lang w:eastAsia="zh-CN"/>
        </w:rPr>
        <w:t>（</w:t>
      </w:r>
      <w:r>
        <w:rPr>
          <w:rFonts w:hint="eastAsia" w:ascii="宋体" w:hAnsi="宋体" w:cs="仿宋"/>
          <w:sz w:val="24"/>
          <w:highlight w:val="none"/>
        </w:rPr>
        <w:t>如有</w:t>
      </w:r>
      <w:r>
        <w:rPr>
          <w:rFonts w:hint="eastAsia" w:ascii="宋体" w:hAnsi="宋体" w:cs="仿宋"/>
          <w:sz w:val="24"/>
          <w:highlight w:val="none"/>
          <w:lang w:eastAsia="zh-CN"/>
        </w:rPr>
        <w:t>）</w:t>
      </w:r>
      <w:r>
        <w:rPr>
          <w:rFonts w:hint="eastAsia" w:ascii="宋体" w:hAnsi="宋体" w:cs="仿宋"/>
          <w:sz w:val="24"/>
          <w:highlight w:val="none"/>
        </w:rPr>
        <w:t>由代理人签字的，应在响应文件中附授权委托书，授权委托书应由供应商或联合体各方的法定代表人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签字并加盖单位章。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3.7.3评审过程中供应商对响应文件的澄清、说明和补正应由供应商的法定代表人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或其授权的代理人签字或加盖单位章。</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3.7.4响应文件应尽量避免涂改、行间插字或删除。如果出现上述情况，改动之处应由供应商的法定代表人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或其授权的代理人签字或加盖单位章。</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4响应文件的递交</w:t>
      </w:r>
    </w:p>
    <w:p>
      <w:pPr>
        <w:adjustRightInd w:val="0"/>
        <w:snapToGrid w:val="0"/>
        <w:spacing w:line="312" w:lineRule="auto"/>
        <w:jc w:val="both"/>
        <w:rPr>
          <w:rFonts w:ascii="宋体" w:hAnsi="宋体" w:cs="仿宋"/>
          <w:b/>
          <w:bCs/>
          <w:sz w:val="24"/>
          <w:highlight w:val="none"/>
        </w:rPr>
      </w:pPr>
      <w:r>
        <w:rPr>
          <w:rFonts w:ascii="宋体" w:hAnsi="宋体" w:cs="仿宋"/>
          <w:b/>
          <w:bCs/>
          <w:sz w:val="24"/>
          <w:highlight w:val="none"/>
        </w:rPr>
        <w:t>4.1响应文件的包装与标记</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highlight w:val="none"/>
        </w:rPr>
      </w:pPr>
      <w:r>
        <w:rPr>
          <w:rFonts w:ascii="宋体" w:hAnsi="宋体" w:cs="仿宋"/>
          <w:sz w:val="24"/>
          <w:highlight w:val="none"/>
        </w:rPr>
        <w:t>4.1.2响应文件封套上应载明的内容见供应商须知前附表。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4.2响应文件的递交</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4.2.2除供应商须知前附表另有规定外，供应商所提交的响应文件</w:t>
      </w:r>
      <w:r>
        <w:rPr>
          <w:rFonts w:hint="eastAsia" w:ascii="宋体" w:hAnsi="宋体" w:cs="仿宋"/>
          <w:sz w:val="24"/>
          <w:highlight w:val="none"/>
          <w:lang w:eastAsia="zh-CN"/>
        </w:rPr>
        <w:t>不予退还</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4.3响应文件的修改与撤回</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4.3.2</w:t>
      </w:r>
      <w:r>
        <w:rPr>
          <w:rFonts w:ascii="宋体" w:hAnsi="宋体" w:cs="仿宋"/>
          <w:sz w:val="24"/>
          <w:highlight w:val="none"/>
        </w:rPr>
        <w:t>响应文件的修改文件或供应商</w:t>
      </w:r>
      <w:r>
        <w:rPr>
          <w:rFonts w:hint="eastAsia" w:ascii="宋体" w:hAnsi="宋体" w:cs="仿宋"/>
          <w:sz w:val="24"/>
          <w:highlight w:val="none"/>
        </w:rPr>
        <w:t>撤</w:t>
      </w:r>
      <w:r>
        <w:rPr>
          <w:rFonts w:ascii="宋体" w:hAnsi="宋体" w:cs="仿宋"/>
          <w:sz w:val="24"/>
          <w:highlight w:val="none"/>
        </w:rPr>
        <w:t>回已递交响应文件的书面通知应由供应商的法定代表人</w:t>
      </w:r>
      <w:r>
        <w:rPr>
          <w:rFonts w:hint="eastAsia" w:ascii="宋体" w:hAnsi="宋体" w:cs="仿宋"/>
          <w:sz w:val="24"/>
          <w:highlight w:val="none"/>
          <w:lang w:eastAsia="zh-CN"/>
        </w:rPr>
        <w:t>（</w:t>
      </w:r>
      <w:r>
        <w:rPr>
          <w:rFonts w:ascii="宋体" w:hAnsi="宋体" w:cs="仿宋"/>
          <w:sz w:val="24"/>
          <w:highlight w:val="none"/>
        </w:rPr>
        <w:t>单位负责人</w:t>
      </w:r>
      <w:r>
        <w:rPr>
          <w:rFonts w:hint="eastAsia" w:ascii="宋体" w:hAnsi="宋体" w:cs="仿宋"/>
          <w:sz w:val="24"/>
          <w:highlight w:val="none"/>
          <w:lang w:eastAsia="zh-CN"/>
        </w:rPr>
        <w:t>）</w:t>
      </w:r>
      <w:r>
        <w:rPr>
          <w:rFonts w:ascii="宋体" w:hAnsi="宋体" w:cs="仿宋"/>
          <w:sz w:val="24"/>
          <w:highlight w:val="none"/>
        </w:rPr>
        <w:t>或其授权的代理人签字并加盖单位章。采购人收到供应商修改响应文件的书面文件后，向供应商出具接收凭证</w:t>
      </w:r>
      <w:r>
        <w:rPr>
          <w:rFonts w:hint="eastAsia" w:ascii="宋体" w:hAnsi="宋体" w:cs="仿宋"/>
          <w:sz w:val="24"/>
          <w:highlight w:val="none"/>
          <w:lang w:eastAsia="zh-CN"/>
        </w:rPr>
        <w:t>；</w:t>
      </w:r>
      <w:r>
        <w:rPr>
          <w:rFonts w:ascii="宋体" w:hAnsi="宋体" w:cs="仿宋"/>
          <w:sz w:val="24"/>
          <w:highlight w:val="none"/>
        </w:rPr>
        <w:t>采购人收到供应商撤回响应文件的书面通知后，退回供应商的响应文件。</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5开启响应文件</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sz w:val="24"/>
          <w:highlight w:val="none"/>
        </w:rPr>
        <w:t>采购人一般不公开开启响应文件。</w:t>
      </w:r>
      <w:r>
        <w:rPr>
          <w:rFonts w:hint="eastAsia" w:ascii="宋体" w:hAnsi="宋体" w:cs="仿宋"/>
          <w:bCs/>
          <w:sz w:val="24"/>
          <w:highlight w:val="none"/>
        </w:rPr>
        <w:t>如</w:t>
      </w:r>
      <w:r>
        <w:rPr>
          <w:rFonts w:hint="eastAsia" w:ascii="宋体" w:hAnsi="宋体" w:cs="仿宋"/>
          <w:sz w:val="24"/>
          <w:highlight w:val="none"/>
        </w:rPr>
        <w:t>供应商须知前附表规定公开开启响应文件的，开启活动应按本条规定执行。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5.1开启响应文件的时间和地点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采购人在本章第4.2.1项规定的递交响应文件的截止时间和地点公开开启响应文件，并邀请所有供应商的法定代表人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或其授权的代理人参加开启会议，供应商未派代表参加的，视为默认开启结果。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5.2开启程序</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主持人按下列程序公开开启响应文件</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(1</w:t>
      </w:r>
      <w:r>
        <w:rPr>
          <w:rFonts w:hint="eastAsia" w:ascii="宋体" w:hAnsi="宋体" w:cs="仿宋"/>
          <w:sz w:val="24"/>
          <w:highlight w:val="none"/>
          <w:lang w:eastAsia="zh-CN"/>
        </w:rPr>
        <w:t>）</w:t>
      </w:r>
      <w:r>
        <w:rPr>
          <w:rFonts w:hint="eastAsia" w:ascii="宋体" w:hAnsi="宋体" w:cs="仿宋"/>
          <w:sz w:val="24"/>
          <w:highlight w:val="none"/>
        </w:rPr>
        <w:t>按照供应商须知前附表规定的开启顺序开启响应文件，公布递交响应文件的供应商名称、响应报价及供应商须知前附表规定的其他应公布的信息，并记录在案</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开启会议结束。</w:t>
      </w:r>
    </w:p>
    <w:p>
      <w:pPr>
        <w:adjustRightInd w:val="0"/>
        <w:snapToGrid w:val="0"/>
        <w:spacing w:line="312" w:lineRule="auto"/>
        <w:ind w:firstLine="455" w:firstLineChars="189"/>
        <w:jc w:val="both"/>
        <w:rPr>
          <w:rFonts w:ascii="宋体" w:hAnsi="宋体" w:cs="仿宋"/>
          <w:sz w:val="24"/>
          <w:highlight w:val="none"/>
        </w:rPr>
      </w:pPr>
      <w:r>
        <w:rPr>
          <w:rFonts w:hint="eastAsia" w:ascii="宋体" w:hAnsi="宋体" w:cs="仿宋"/>
          <w:b/>
          <w:bCs/>
          <w:sz w:val="24"/>
          <w:highlight w:val="none"/>
        </w:rPr>
        <w:t>5.3递交响应文件的供应商不足的情形</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6评审（适用于询价采购）</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6.1评审小组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6.1.1评审由采购人组建的评审小组负责。</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6.1.2评审小组成员有</w:t>
      </w:r>
      <w:r>
        <w:rPr>
          <w:rFonts w:hint="eastAsia" w:ascii="宋体" w:hAnsi="宋体" w:cs="仿宋"/>
          <w:sz w:val="24"/>
          <w:highlight w:val="none"/>
          <w:lang w:eastAsia="zh-CN"/>
        </w:rPr>
        <w:t>下列情形之一的</w:t>
      </w:r>
      <w:r>
        <w:rPr>
          <w:rFonts w:hint="eastAsia" w:ascii="宋体" w:hAnsi="宋体" w:cs="仿宋"/>
          <w:sz w:val="24"/>
          <w:highlight w:val="none"/>
        </w:rPr>
        <w:t>，应当回避</w:t>
      </w:r>
      <w:r>
        <w:rPr>
          <w:rFonts w:hint="eastAsia" w:ascii="宋体" w:hAnsi="宋体" w:cs="仿宋"/>
          <w:sz w:val="24"/>
          <w:highlight w:val="none"/>
          <w:lang w:eastAsia="zh-CN"/>
        </w:rPr>
        <w:t>：</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（1）供应商主要负责人或供应商主要负责人的近亲属</w:t>
      </w:r>
      <w:r>
        <w:rPr>
          <w:rFonts w:hint="eastAsia" w:ascii="宋体" w:hAnsi="宋体" w:cs="仿宋"/>
          <w:sz w:val="24"/>
          <w:highlight w:val="none"/>
          <w:lang w:eastAsia="zh-CN"/>
        </w:rPr>
        <w:t>；</w:t>
      </w:r>
    </w:p>
    <w:p>
      <w:pPr>
        <w:adjustRightInd w:val="0"/>
        <w:snapToGrid w:val="0"/>
        <w:spacing w:line="312" w:lineRule="auto"/>
        <w:ind w:left="716" w:leftChars="284" w:hanging="120" w:hangingChars="50"/>
        <w:jc w:val="both"/>
        <w:rPr>
          <w:rFonts w:ascii="宋体" w:hAnsi="宋体" w:cs="仿宋"/>
          <w:sz w:val="24"/>
          <w:highlight w:val="none"/>
        </w:rPr>
      </w:pPr>
      <w:r>
        <w:rPr>
          <w:rFonts w:hint="eastAsia" w:ascii="宋体" w:hAnsi="宋体" w:cs="仿宋"/>
          <w:sz w:val="24"/>
          <w:highlight w:val="none"/>
        </w:rPr>
        <w:t>(2</w:t>
      </w:r>
      <w:r>
        <w:rPr>
          <w:rFonts w:hint="eastAsia" w:ascii="宋体" w:hAnsi="宋体" w:cs="仿宋"/>
          <w:sz w:val="24"/>
          <w:highlight w:val="none"/>
          <w:lang w:eastAsia="zh-CN"/>
        </w:rPr>
        <w:t>）</w:t>
      </w:r>
      <w:r>
        <w:rPr>
          <w:rFonts w:hint="eastAsia" w:ascii="宋体" w:hAnsi="宋体" w:cs="仿宋"/>
          <w:sz w:val="24"/>
          <w:highlight w:val="none"/>
        </w:rPr>
        <w:t>与供应商有经济利益关系或其他利害关系，可能影响公正评审的。</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6.1.3评审小组组建后，评审小组成员共同推选</w:t>
      </w:r>
      <w:r>
        <w:rPr>
          <w:rFonts w:hint="eastAsia" w:ascii="宋体" w:hAnsi="宋体" w:cs="仿宋"/>
          <w:sz w:val="24"/>
          <w:highlight w:val="none"/>
          <w:lang w:eastAsia="zh-CN"/>
        </w:rPr>
        <w:t>或</w:t>
      </w:r>
      <w:r>
        <w:rPr>
          <w:rFonts w:hint="eastAsia" w:ascii="宋体" w:hAnsi="宋体" w:cs="仿宋"/>
          <w:sz w:val="24"/>
          <w:highlight w:val="none"/>
        </w:rPr>
        <w:t>由采购人指定评审小组组长，评审小组组长负责组织评审工作。</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6.2评审</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highlight w:val="none"/>
          <w14:textFill>
            <w14:solidFill>
              <w14:schemeClr w14:val="tx1"/>
            </w14:solidFill>
          </w14:textFill>
        </w:rPr>
      </w:pPr>
      <w:r>
        <w:rPr>
          <w:rFonts w:hint="eastAsia" w:ascii="宋体" w:hAnsi="宋体" w:cs="仿宋"/>
          <w:sz w:val="24"/>
          <w:highlight w:val="none"/>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7合同授予</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7.1成交候选供应商报价核查</w:t>
      </w:r>
      <w:r>
        <w:rPr>
          <w:rFonts w:hint="eastAsia" w:ascii="宋体" w:hAnsi="宋体" w:cs="仿宋"/>
          <w:b/>
          <w:bCs/>
          <w:sz w:val="24"/>
          <w:highlight w:val="none"/>
          <w:lang w:eastAsia="zh-CN"/>
        </w:rPr>
        <w:t>（</w:t>
      </w:r>
      <w:r>
        <w:rPr>
          <w:rFonts w:hint="eastAsia" w:ascii="宋体" w:hAnsi="宋体" w:cs="仿宋"/>
          <w:b/>
          <w:bCs/>
          <w:sz w:val="24"/>
          <w:highlight w:val="none"/>
        </w:rPr>
        <w:t>B)</w:t>
      </w:r>
    </w:p>
    <w:p>
      <w:pPr>
        <w:widowControl w:val="0"/>
        <w:adjustRightInd w:val="0"/>
        <w:snapToGrid w:val="0"/>
        <w:spacing w:line="312" w:lineRule="auto"/>
        <w:ind w:firstLine="475" w:firstLineChars="198"/>
        <w:jc w:val="both"/>
        <w:rPr>
          <w:rFonts w:ascii="宋体" w:hAnsi="宋体" w:cs="仿宋"/>
          <w:sz w:val="24"/>
          <w:highlight w:val="none"/>
        </w:rPr>
      </w:pPr>
      <w:r>
        <w:rPr>
          <w:rFonts w:hint="eastAsia" w:ascii="宋体" w:hAnsi="宋体" w:cs="仿宋"/>
          <w:sz w:val="24"/>
          <w:highlight w:val="none"/>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highlight w:val="none"/>
        </w:rPr>
      </w:pPr>
      <w:r>
        <w:rPr>
          <w:rFonts w:hint="eastAsia" w:ascii="宋体" w:hAnsi="宋体" w:cs="仿宋"/>
          <w:b/>
          <w:bCs/>
          <w:sz w:val="24"/>
          <w:highlight w:val="none"/>
        </w:rPr>
        <w:t>7.2</w:t>
      </w:r>
      <w:r>
        <w:rPr>
          <w:rFonts w:hint="eastAsia" w:ascii="宋体" w:hAnsi="宋体" w:cs="宋体"/>
          <w:b/>
          <w:bCs/>
          <w:sz w:val="24"/>
          <w:highlight w:val="none"/>
        </w:rPr>
        <w:t>成交候选</w:t>
      </w:r>
      <w:r>
        <w:rPr>
          <w:rFonts w:hint="eastAsia" w:ascii="宋体" w:hAnsi="宋体" w:cs="仿宋"/>
          <w:b/>
          <w:bCs/>
          <w:sz w:val="24"/>
          <w:highlight w:val="none"/>
        </w:rPr>
        <w:t>供应商</w:t>
      </w:r>
      <w:r>
        <w:rPr>
          <w:rFonts w:hint="eastAsia" w:ascii="宋体" w:hAnsi="宋体" w:cs="宋体"/>
          <w:b/>
          <w:bCs/>
          <w:sz w:val="24"/>
          <w:highlight w:val="none"/>
        </w:rPr>
        <w:t xml:space="preserve">公示 </w:t>
      </w:r>
    </w:p>
    <w:p>
      <w:pPr>
        <w:widowControl w:val="0"/>
        <w:adjustRightInd w:val="0"/>
        <w:snapToGrid w:val="0"/>
        <w:spacing w:line="312" w:lineRule="auto"/>
        <w:ind w:firstLine="480" w:firstLineChars="200"/>
        <w:jc w:val="both"/>
        <w:rPr>
          <w:rFonts w:ascii="宋体" w:hAnsi="宋体" w:cs="宋体"/>
          <w:sz w:val="24"/>
          <w:highlight w:val="none"/>
        </w:rPr>
      </w:pPr>
      <w:r>
        <w:rPr>
          <w:rFonts w:hint="eastAsia" w:ascii="宋体" w:hAnsi="宋体" w:cs="宋体"/>
          <w:sz w:val="24"/>
          <w:highlight w:val="none"/>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highlight w:val="none"/>
        </w:rPr>
      </w:pPr>
      <w:bookmarkStart w:id="17" w:name="_Toc24135"/>
      <w:r>
        <w:rPr>
          <w:rFonts w:hint="eastAsia" w:ascii="宋体" w:hAnsi="宋体" w:cs="宋体"/>
          <w:b/>
          <w:bCs/>
          <w:sz w:val="24"/>
          <w:highlight w:val="none"/>
        </w:rPr>
        <w:t>7.3成交结果异议</w:t>
      </w:r>
      <w:bookmarkEnd w:id="17"/>
      <w:r>
        <w:rPr>
          <w:rFonts w:hint="eastAsia" w:ascii="宋体" w:hAnsi="宋体" w:cs="宋体"/>
          <w:b/>
          <w:bCs/>
          <w:sz w:val="24"/>
          <w:highlight w:val="none"/>
        </w:rPr>
        <w:t xml:space="preserve"> </w:t>
      </w:r>
    </w:p>
    <w:p>
      <w:pPr>
        <w:adjustRightInd w:val="0"/>
        <w:snapToGrid w:val="0"/>
        <w:spacing w:line="312" w:lineRule="auto"/>
        <w:ind w:firstLine="424" w:firstLineChars="177"/>
        <w:jc w:val="both"/>
        <w:rPr>
          <w:rFonts w:ascii="宋体" w:hAnsi="宋体" w:cs="宋体"/>
          <w:sz w:val="24"/>
          <w:highlight w:val="none"/>
        </w:rPr>
      </w:pPr>
      <w:r>
        <w:rPr>
          <w:rFonts w:hint="eastAsia" w:ascii="宋体" w:hAnsi="宋体" w:cs="宋体"/>
          <w:sz w:val="24"/>
          <w:highlight w:val="none"/>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7.4成交候选供应商履约能力核查</w:t>
      </w:r>
    </w:p>
    <w:p>
      <w:pPr>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7.5发出成交通知书</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7.6履约保证金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highlight w:val="none"/>
        </w:rPr>
        <w:t>10</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7.7签订合同</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highlight w:val="none"/>
        </w:rPr>
      </w:pPr>
      <w:r>
        <w:rPr>
          <w:rFonts w:hint="eastAsia" w:ascii="宋体" w:hAnsi="宋体" w:cs="仿宋"/>
          <w:sz w:val="24"/>
          <w:highlight w:val="none"/>
        </w:rPr>
        <w:t>7.7.4除供应商须知前附表另有规定外，按照第三章“评审办法”第2.2.3项规定对响应报价进行修正后，若修正后的响应报价小于按照第三章“评审办法”第2.2.2项规定确定的评审价格，则签订合同时以修正后的响应报价为准</w:t>
      </w:r>
      <w:r>
        <w:rPr>
          <w:rFonts w:hint="eastAsia" w:ascii="宋体" w:hAnsi="宋体" w:cs="仿宋"/>
          <w:sz w:val="24"/>
          <w:highlight w:val="none"/>
          <w:lang w:eastAsia="zh-CN"/>
        </w:rPr>
        <w:t>；</w:t>
      </w:r>
      <w:r>
        <w:rPr>
          <w:rFonts w:hint="eastAsia" w:ascii="宋体" w:hAnsi="宋体" w:cs="仿宋"/>
          <w:sz w:val="24"/>
          <w:highlight w:val="none"/>
        </w:rPr>
        <w:t>若修正后的响应报价大于评审价格，则签订合同时以评审价格为准。同时按比例修正相应子目的单价或合价</w:t>
      </w:r>
      <w:r>
        <w:rPr>
          <w:rFonts w:hint="eastAsia" w:ascii="宋体" w:hAnsi="宋体" w:cs="仿宋"/>
          <w:sz w:val="24"/>
          <w:highlight w:val="none"/>
          <w:lang w:eastAsia="zh-CN"/>
        </w:rPr>
        <w:t>（</w:t>
      </w:r>
      <w:r>
        <w:rPr>
          <w:rFonts w:hint="eastAsia" w:ascii="宋体" w:hAnsi="宋体" w:cs="仿宋"/>
          <w:sz w:val="24"/>
          <w:highlight w:val="none"/>
        </w:rPr>
        <w:t>采购文件不允许调整的费率和金额除外</w:t>
      </w:r>
      <w:r>
        <w:rPr>
          <w:rFonts w:hint="eastAsia" w:ascii="宋体" w:hAnsi="宋体" w:cs="仿宋"/>
          <w:sz w:val="24"/>
          <w:highlight w:val="none"/>
          <w:lang w:eastAsia="zh-CN"/>
        </w:rPr>
        <w:t>）</w:t>
      </w:r>
      <w:r>
        <w:rPr>
          <w:rFonts w:hint="eastAsia" w:ascii="宋体" w:hAnsi="宋体" w:cs="仿宋"/>
          <w:sz w:val="24"/>
          <w:highlight w:val="none"/>
        </w:rPr>
        <w:t>。</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7.</w:t>
      </w:r>
      <w:r>
        <w:rPr>
          <w:rFonts w:ascii="宋体" w:hAnsi="宋体" w:cs="仿宋"/>
          <w:b/>
          <w:bCs/>
          <w:sz w:val="24"/>
          <w:highlight w:val="none"/>
        </w:rPr>
        <w:t>8</w:t>
      </w:r>
      <w:r>
        <w:rPr>
          <w:rFonts w:hint="eastAsia" w:ascii="宋体" w:hAnsi="宋体" w:cs="仿宋"/>
          <w:b/>
          <w:bCs/>
          <w:sz w:val="24"/>
          <w:highlight w:val="none"/>
        </w:rPr>
        <w:t>特殊情形处理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8异议</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8.1提出异议</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供应商或者其他利害关系人可以对成交结果提出异议。异议应在成交结果公示期间通过供应商须知前附表规定的异议渠道提出，并递交异议函和必要的证明材料。异议函包括但不限于下列内容</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(1</w:t>
      </w:r>
      <w:r>
        <w:rPr>
          <w:rFonts w:hint="eastAsia" w:ascii="宋体" w:hAnsi="宋体" w:cs="仿宋"/>
          <w:sz w:val="24"/>
          <w:highlight w:val="none"/>
          <w:lang w:eastAsia="zh-CN"/>
        </w:rPr>
        <w:t>）</w:t>
      </w:r>
      <w:r>
        <w:rPr>
          <w:rFonts w:hint="eastAsia" w:ascii="宋体" w:hAnsi="宋体" w:cs="仿宋"/>
          <w:sz w:val="24"/>
          <w:highlight w:val="none"/>
        </w:rPr>
        <w:t>异议人名称、地址、邮政编码、联系人及联系电话</w:t>
      </w:r>
      <w:r>
        <w:rPr>
          <w:rFonts w:hint="eastAsia" w:ascii="宋体" w:hAnsi="宋体" w:cs="仿宋"/>
          <w:sz w:val="24"/>
          <w:highlight w:val="none"/>
          <w:lang w:eastAsia="zh-CN"/>
        </w:rPr>
        <w:t>；</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 xml:space="preserve"> (2</w:t>
      </w:r>
      <w:r>
        <w:rPr>
          <w:rFonts w:hint="eastAsia" w:ascii="宋体" w:hAnsi="宋体" w:cs="仿宋"/>
          <w:sz w:val="24"/>
          <w:highlight w:val="none"/>
          <w:lang w:eastAsia="zh-CN"/>
        </w:rPr>
        <w:t>）</w:t>
      </w:r>
      <w:r>
        <w:rPr>
          <w:rFonts w:hint="eastAsia" w:ascii="宋体" w:hAnsi="宋体" w:cs="仿宋"/>
          <w:sz w:val="24"/>
          <w:highlight w:val="none"/>
        </w:rPr>
        <w:t>具体、明确的异议事项、事实依据及与异议事项相关的请求。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异议函应由异议人的法定代表人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或其授权的代理人签字并加盖单位章。</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8.2异议处理</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采购人认为异议不成立或不影响采购结果的，可以继续进行采购活动。</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9纪律要求</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9.1对采购人的纪律要求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9.2对供应商的纪律要求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9.3对评审小组成员的纪律要求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lang w:val="en-US" w:eastAsia="zh-CN"/>
        </w:rPr>
        <w:t xml:space="preserve"> </w:t>
      </w:r>
      <w:r>
        <w:rPr>
          <w:rFonts w:hint="eastAsia" w:ascii="宋体" w:hAnsi="宋体" w:cs="仿宋"/>
          <w:sz w:val="24"/>
          <w:highlight w:val="none"/>
        </w:rPr>
        <w:t>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9.4对与采购活动有关的工作人员的纪律要求</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w:t>
      </w:r>
      <w:r>
        <w:rPr>
          <w:rFonts w:ascii="宋体" w:hAnsi="宋体" w:cs="仿宋"/>
          <w:b/>
          <w:bCs/>
          <w:sz w:val="24"/>
          <w:highlight w:val="none"/>
        </w:rPr>
        <w:t xml:space="preserve"> </w:t>
      </w:r>
      <w:r>
        <w:rPr>
          <w:rFonts w:hint="eastAsia" w:ascii="宋体" w:hAnsi="宋体" w:cs="仿宋"/>
          <w:b/>
          <w:bCs/>
          <w:sz w:val="24"/>
          <w:highlight w:val="none"/>
        </w:rPr>
        <w:t>需要补充的其他内容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10.1采购代理服务费</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供应商须知前附表规定由供应商承担采购代理服务费的，供应商应按照供应商须知前附表规定的费用标准或金额、</w:t>
      </w:r>
      <w:r>
        <w:rPr>
          <w:rFonts w:hint="eastAsia" w:ascii="宋体" w:hAnsi="宋体" w:cs="仿宋"/>
          <w:sz w:val="24"/>
          <w:highlight w:val="none"/>
          <w:lang w:eastAsia="zh-CN"/>
        </w:rPr>
        <w:t>缴费</w:t>
      </w:r>
      <w:r>
        <w:rPr>
          <w:rFonts w:hint="eastAsia" w:ascii="宋体" w:hAnsi="宋体" w:cs="仿宋"/>
          <w:sz w:val="24"/>
          <w:highlight w:val="none"/>
        </w:rPr>
        <w:t>时间和方式向采购代理机构支付代理服务费。</w:t>
      </w:r>
    </w:p>
    <w:p>
      <w:pPr>
        <w:adjustRightInd w:val="0"/>
        <w:snapToGrid w:val="0"/>
        <w:spacing w:line="312" w:lineRule="auto"/>
        <w:jc w:val="both"/>
        <w:rPr>
          <w:rFonts w:ascii="宋体" w:hAnsi="宋体" w:cs="仿宋"/>
          <w:b/>
          <w:bCs/>
          <w:sz w:val="24"/>
          <w:highlight w:val="none"/>
        </w:rPr>
      </w:pPr>
      <w:r>
        <w:rPr>
          <w:rFonts w:hint="eastAsia" w:ascii="宋体" w:hAnsi="宋体" w:cs="仿宋"/>
          <w:b/>
          <w:bCs/>
          <w:sz w:val="24"/>
          <w:highlight w:val="none"/>
        </w:rPr>
        <w:t>10.2其他</w:t>
      </w:r>
    </w:p>
    <w:p>
      <w:pPr>
        <w:adjustRightInd w:val="0"/>
        <w:snapToGrid w:val="0"/>
        <w:spacing w:line="312" w:lineRule="auto"/>
        <w:ind w:firstLine="453" w:firstLineChars="189"/>
        <w:jc w:val="both"/>
        <w:rPr>
          <w:rFonts w:ascii="宋体" w:hAnsi="宋体" w:cs="仿宋"/>
          <w:sz w:val="24"/>
          <w:highlight w:val="none"/>
        </w:rPr>
      </w:pPr>
      <w:r>
        <w:rPr>
          <w:rFonts w:hint="eastAsia" w:ascii="宋体" w:hAnsi="宋体" w:cs="仿宋"/>
          <w:sz w:val="24"/>
          <w:highlight w:val="none"/>
        </w:rPr>
        <w:t>需更补充的其他内容</w:t>
      </w:r>
      <w:r>
        <w:rPr>
          <w:rFonts w:hint="eastAsia" w:ascii="宋体" w:hAnsi="宋体" w:cs="仿宋"/>
          <w:sz w:val="24"/>
          <w:highlight w:val="none"/>
          <w:lang w:eastAsia="zh-CN"/>
        </w:rPr>
        <w:t>：</w:t>
      </w:r>
      <w:r>
        <w:rPr>
          <w:rFonts w:hint="eastAsia" w:ascii="宋体" w:hAnsi="宋体" w:cs="仿宋"/>
          <w:sz w:val="24"/>
          <w:highlight w:val="none"/>
        </w:rPr>
        <w:t>见供应商须知前附表。</w:t>
      </w:r>
    </w:p>
    <w:p>
      <w:pPr>
        <w:adjustRightInd w:val="0"/>
        <w:snapToGrid w:val="0"/>
        <w:spacing w:line="312" w:lineRule="auto"/>
        <w:jc w:val="both"/>
        <w:rPr>
          <w:rFonts w:ascii="宋体" w:hAnsi="宋体" w:cs="仿宋"/>
          <w:sz w:val="24"/>
          <w:highlight w:val="none"/>
        </w:rPr>
      </w:pPr>
    </w:p>
    <w:p>
      <w:pPr>
        <w:adjustRightInd w:val="0"/>
        <w:snapToGrid w:val="0"/>
        <w:spacing w:line="312" w:lineRule="auto"/>
        <w:ind w:firstLine="453" w:firstLineChars="189"/>
        <w:jc w:val="both"/>
        <w:rPr>
          <w:rFonts w:ascii="宋体" w:hAnsi="宋体" w:cs="仿宋"/>
          <w:sz w:val="24"/>
          <w:highlight w:val="none"/>
        </w:rPr>
      </w:pPr>
    </w:p>
    <w:p>
      <w:pPr>
        <w:spacing w:line="312" w:lineRule="auto"/>
        <w:jc w:val="both"/>
        <w:rPr>
          <w:rFonts w:ascii="宋体" w:hAnsi="宋体" w:cs="仿宋"/>
          <w:sz w:val="24"/>
          <w:highlight w:val="none"/>
        </w:rPr>
      </w:pPr>
      <w:r>
        <w:rPr>
          <w:rFonts w:hint="eastAsia" w:ascii="宋体" w:hAnsi="宋体" w:cs="仿宋"/>
          <w:sz w:val="24"/>
          <w:highlight w:val="none"/>
        </w:rPr>
        <w:br w:type="page"/>
      </w:r>
    </w:p>
    <w:p>
      <w:pPr>
        <w:adjustRightInd w:val="0"/>
        <w:snapToGrid w:val="0"/>
        <w:spacing w:line="600" w:lineRule="exact"/>
        <w:ind w:firstLine="600" w:firstLineChars="200"/>
        <w:outlineLvl w:val="0"/>
        <w:rPr>
          <w:rFonts w:ascii="宋体" w:hAnsi="宋体" w:cs="仿宋"/>
          <w:sz w:val="30"/>
          <w:szCs w:val="30"/>
          <w:highlight w:val="none"/>
        </w:rPr>
      </w:pPr>
      <w:bookmarkStart w:id="18" w:name="_Toc32472"/>
      <w:r>
        <w:rPr>
          <w:rFonts w:hint="eastAsia" w:ascii="宋体" w:hAnsi="宋体" w:cs="仿宋"/>
          <w:sz w:val="30"/>
          <w:szCs w:val="30"/>
          <w:highlight w:val="none"/>
        </w:rPr>
        <w:t>附件1  开启记录表</w:t>
      </w:r>
      <w:bookmarkEnd w:id="18"/>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开启时间：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年</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月</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日</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时</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分</w:t>
      </w:r>
    </w:p>
    <w:tbl>
      <w:tblPr>
        <w:tblStyle w:val="42"/>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 号</w:t>
            </w:r>
          </w:p>
        </w:tc>
        <w:tc>
          <w:tcPr>
            <w:tcW w:w="2396"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密封情况</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报价</w:t>
            </w:r>
          </w:p>
        </w:tc>
        <w:tc>
          <w:tcPr>
            <w:tcW w:w="1992" w:type="dxa"/>
            <w:vAlign w:val="center"/>
          </w:tcPr>
          <w:p>
            <w:pPr>
              <w:widowControl w:val="0"/>
              <w:spacing w:line="240" w:lineRule="auto"/>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highlight w:val="none"/>
              </w:rPr>
            </w:pPr>
          </w:p>
        </w:tc>
        <w:tc>
          <w:tcPr>
            <w:tcW w:w="2396"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c>
          <w:tcPr>
            <w:tcW w:w="1992" w:type="dxa"/>
            <w:vAlign w:val="center"/>
          </w:tcPr>
          <w:p>
            <w:pPr>
              <w:widowControl w:val="0"/>
              <w:spacing w:line="240" w:lineRule="auto"/>
              <w:jc w:val="both"/>
              <w:rPr>
                <w:rFonts w:cs="仿宋" w:asciiTheme="minorEastAsia" w:hAnsiTheme="minorEastAsia" w:eastAsiaTheme="minorEastAsia"/>
                <w:sz w:val="24"/>
                <w:highlight w:val="none"/>
              </w:rPr>
            </w:pPr>
          </w:p>
        </w:tc>
      </w:tr>
    </w:tbl>
    <w:p>
      <w:pPr>
        <w:spacing w:line="240" w:lineRule="auto"/>
        <w:jc w:val="both"/>
        <w:rPr>
          <w:rFonts w:cs="仿宋" w:asciiTheme="minorEastAsia" w:hAnsiTheme="minorEastAsia" w:eastAsiaTheme="minorEastAsia"/>
          <w:sz w:val="24"/>
          <w:highlight w:val="none"/>
        </w:rPr>
      </w:pPr>
    </w:p>
    <w:p>
      <w:pPr>
        <w:spacing w:line="240" w:lineRule="auto"/>
        <w:ind w:firstLine="1200" w:firstLineChars="500"/>
        <w:jc w:val="both"/>
        <w:rPr>
          <w:rFonts w:cs="仿宋" w:asciiTheme="minorEastAsia" w:hAnsiTheme="minorEastAsia" w:eastAsiaTheme="minorEastAsia"/>
          <w:sz w:val="24"/>
          <w:highlight w:val="none"/>
          <w:u w:val="single"/>
        </w:rPr>
      </w:pPr>
      <w:r>
        <w:rPr>
          <w:rFonts w:hint="eastAsia" w:cs="仿宋" w:asciiTheme="minorEastAsia" w:hAnsiTheme="minorEastAsia" w:eastAsiaTheme="minorEastAsia"/>
          <w:sz w:val="24"/>
          <w:highlight w:val="none"/>
        </w:rPr>
        <w:t>采购人代表：</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 xml:space="preserve">      记录人：</w:t>
      </w:r>
      <w:r>
        <w:rPr>
          <w:rFonts w:hint="eastAsia"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u w:val="single"/>
        </w:rPr>
        <w:t xml:space="preserve">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监督人：</w:t>
      </w:r>
      <w:r>
        <w:rPr>
          <w:rFonts w:hint="eastAsia" w:cs="仿宋" w:asciiTheme="minorEastAsia" w:hAnsiTheme="minorEastAsia" w:eastAsiaTheme="minorEastAsia"/>
          <w:sz w:val="24"/>
          <w:highlight w:val="none"/>
          <w:u w:val="single"/>
        </w:rPr>
        <w:t xml:space="preserve">        </w:t>
      </w:r>
    </w:p>
    <w:p>
      <w:pPr>
        <w:spacing w:line="240" w:lineRule="auto"/>
        <w:jc w:val="both"/>
        <w:rPr>
          <w:rFonts w:cs="仿宋" w:asciiTheme="minorEastAsia" w:hAnsiTheme="minorEastAsia" w:eastAsiaTheme="minorEastAsia"/>
          <w:sz w:val="24"/>
          <w:highlight w:val="none"/>
        </w:rPr>
      </w:pPr>
    </w:p>
    <w:p>
      <w:pPr>
        <w:spacing w:line="240" w:lineRule="auto"/>
        <w:jc w:val="both"/>
        <w:rPr>
          <w:rFonts w:ascii="仿宋" w:hAnsi="仿宋" w:eastAsia="仿宋" w:cs="仿宋"/>
          <w:sz w:val="30"/>
          <w:szCs w:val="30"/>
          <w:highlight w:val="none"/>
        </w:rPr>
      </w:pPr>
    </w:p>
    <w:p>
      <w:pPr>
        <w:spacing w:line="240" w:lineRule="auto"/>
        <w:jc w:val="both"/>
        <w:rPr>
          <w:rFonts w:ascii="仿宋" w:hAnsi="仿宋" w:eastAsia="仿宋" w:cs="仿宋"/>
          <w:sz w:val="30"/>
          <w:szCs w:val="30"/>
          <w:highlight w:val="none"/>
        </w:rPr>
      </w:pPr>
      <w:r>
        <w:rPr>
          <w:rFonts w:ascii="仿宋" w:hAnsi="仿宋" w:eastAsia="仿宋" w:cs="仿宋"/>
          <w:sz w:val="30"/>
          <w:szCs w:val="30"/>
          <w:highlight w:val="none"/>
        </w:rPr>
        <w:br w:type="page"/>
      </w:r>
    </w:p>
    <w:p>
      <w:pPr>
        <w:adjustRightInd w:val="0"/>
        <w:snapToGrid w:val="0"/>
        <w:spacing w:line="600" w:lineRule="exact"/>
        <w:ind w:firstLine="600" w:firstLineChars="200"/>
        <w:rPr>
          <w:rFonts w:ascii="宋体" w:hAnsi="宋体" w:cs="仿宋"/>
          <w:sz w:val="30"/>
          <w:szCs w:val="30"/>
          <w:highlight w:val="none"/>
        </w:rPr>
      </w:pPr>
      <w:r>
        <w:rPr>
          <w:rFonts w:hint="eastAsia" w:ascii="宋体" w:hAnsi="宋体" w:cs="仿宋"/>
          <w:sz w:val="30"/>
          <w:szCs w:val="30"/>
          <w:highlight w:val="none"/>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问题澄清通知</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rPr>
        <w:t>）</w:t>
      </w:r>
    </w:p>
    <w:p>
      <w:pPr>
        <w:adjustRightInd w:val="0"/>
        <w:snapToGrid w:val="0"/>
        <w:spacing w:line="600" w:lineRule="exact"/>
        <w:ind w:left="210" w:leftChars="100" w:firstLine="240" w:firstLineChars="100"/>
        <w:jc w:val="both"/>
        <w:rPr>
          <w:rFonts w:ascii="宋体" w:hAnsi="宋体" w:cs="仿宋"/>
          <w:sz w:val="24"/>
          <w:highlight w:val="none"/>
          <w:u w:val="single"/>
        </w:rPr>
      </w:pPr>
      <w:r>
        <w:rPr>
          <w:rFonts w:hint="eastAsia" w:ascii="宋体" w:hAnsi="宋体" w:cs="仿宋"/>
          <w:sz w:val="24"/>
          <w:highlight w:val="none"/>
          <w:u w:val="single"/>
          <w:lang w:eastAsia="zh-CN"/>
        </w:rPr>
        <w:t>（</w:t>
      </w:r>
      <w:r>
        <w:rPr>
          <w:rFonts w:hint="eastAsia" w:ascii="宋体" w:hAnsi="宋体" w:cs="仿宋"/>
          <w:sz w:val="24"/>
          <w:highlight w:val="none"/>
          <w:u w:val="single"/>
        </w:rPr>
        <w:t>供应商名称</w:t>
      </w:r>
      <w:r>
        <w:rPr>
          <w:rFonts w:hint="eastAsia" w:ascii="宋体" w:hAnsi="宋体" w:cs="仿宋"/>
          <w:sz w:val="24"/>
          <w:highlight w:val="none"/>
          <w:u w:val="single"/>
          <w:lang w:eastAsia="zh-CN"/>
        </w:rPr>
        <w:t>）</w:t>
      </w:r>
      <w:r>
        <w:rPr>
          <w:rFonts w:hint="eastAsia" w:ascii="宋体" w:hAnsi="宋体" w:cs="仿宋"/>
          <w:sz w:val="24"/>
          <w:highlight w:val="none"/>
          <w:u w:val="single"/>
        </w:rPr>
        <w:t>:</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评审小组对你方的响应文件进行了仔细的审查，现需你方对下列问题以书面形式予以澄清、说明和补正</w:t>
      </w:r>
      <w:r>
        <w:rPr>
          <w:rFonts w:hint="eastAsia" w:ascii="宋体" w:hAnsi="宋体" w:cs="仿宋"/>
          <w:sz w:val="24"/>
          <w:highlight w:val="none"/>
          <w:lang w:eastAsia="zh-CN"/>
        </w:rPr>
        <w:t>：</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left="210" w:leftChars="100" w:firstLine="496" w:firstLineChars="207"/>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left="508" w:leftChars="242" w:firstLine="496" w:firstLineChars="207"/>
        <w:jc w:val="both"/>
        <w:rPr>
          <w:rFonts w:ascii="宋体" w:hAnsi="宋体" w:cs="仿宋"/>
          <w:sz w:val="24"/>
          <w:highlight w:val="none"/>
        </w:rPr>
      </w:pPr>
      <w:r>
        <w:rPr>
          <w:rFonts w:hint="eastAsia" w:ascii="宋体" w:hAnsi="宋体" w:cs="仿宋"/>
          <w:sz w:val="24"/>
          <w:highlight w:val="none"/>
          <w:lang w:eastAsia="zh-CN"/>
        </w:rPr>
        <w:t>……</w:t>
      </w:r>
    </w:p>
    <w:p>
      <w:pPr>
        <w:adjustRightInd w:val="0"/>
        <w:snapToGrid w:val="0"/>
        <w:spacing w:line="600" w:lineRule="exact"/>
        <w:ind w:left="141" w:leftChars="67" w:firstLine="566" w:firstLineChars="236"/>
        <w:jc w:val="both"/>
        <w:rPr>
          <w:rFonts w:ascii="宋体" w:hAnsi="宋体" w:cs="仿宋"/>
          <w:sz w:val="24"/>
          <w:highlight w:val="none"/>
        </w:rPr>
      </w:pPr>
      <w:r>
        <w:rPr>
          <w:rFonts w:hint="eastAsia" w:ascii="宋体" w:hAnsi="宋体" w:cs="仿宋"/>
          <w:sz w:val="24"/>
          <w:highlight w:val="none"/>
        </w:rPr>
        <w:t>请将上述问题的澄清、说明和补正于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u w:val="single"/>
        </w:rPr>
        <w:t xml:space="preserve">  </w:t>
      </w:r>
      <w:r>
        <w:rPr>
          <w:rFonts w:hint="eastAsia" w:ascii="宋体" w:hAnsi="宋体" w:cs="仿宋"/>
          <w:sz w:val="24"/>
          <w:highlight w:val="none"/>
        </w:rPr>
        <w:t>时前递交至</w:t>
      </w:r>
      <w:r>
        <w:rPr>
          <w:rFonts w:hint="eastAsia" w:ascii="宋体" w:hAnsi="宋体" w:cs="仿宋"/>
          <w:sz w:val="24"/>
          <w:highlight w:val="none"/>
          <w:lang w:eastAsia="zh-CN"/>
        </w:rPr>
        <w:t>（</w:t>
      </w:r>
      <w:r>
        <w:rPr>
          <w:rFonts w:hint="eastAsia" w:ascii="宋体" w:hAnsi="宋体" w:cs="仿宋"/>
          <w:sz w:val="24"/>
          <w:highlight w:val="none"/>
          <w:u w:val="single"/>
        </w:rPr>
        <w:t>详细地址</w:t>
      </w:r>
      <w:r>
        <w:rPr>
          <w:rFonts w:hint="eastAsia" w:ascii="宋体" w:hAnsi="宋体" w:cs="仿宋"/>
          <w:sz w:val="24"/>
          <w:highlight w:val="none"/>
          <w:u w:val="single"/>
          <w:lang w:eastAsia="zh-CN"/>
        </w:rPr>
        <w:t>）</w:t>
      </w:r>
      <w:r>
        <w:rPr>
          <w:rFonts w:hint="eastAsia" w:ascii="宋体" w:hAnsi="宋体" w:cs="仿宋"/>
          <w:sz w:val="24"/>
          <w:highlight w:val="none"/>
        </w:rPr>
        <w:t>或发电子邮件至</w:t>
      </w:r>
      <w:r>
        <w:rPr>
          <w:rFonts w:hint="eastAsia" w:ascii="宋体" w:hAnsi="宋体" w:cs="仿宋"/>
          <w:sz w:val="24"/>
          <w:highlight w:val="none"/>
          <w:lang w:eastAsia="zh-CN"/>
        </w:rPr>
        <w:t>（</w:t>
      </w:r>
      <w:r>
        <w:rPr>
          <w:rFonts w:hint="eastAsia" w:ascii="宋体" w:hAnsi="宋体" w:cs="仿宋"/>
          <w:sz w:val="24"/>
          <w:highlight w:val="none"/>
          <w:u w:val="single"/>
        </w:rPr>
        <w:t>电子邮箱地址</w:t>
      </w:r>
      <w:r>
        <w:rPr>
          <w:rFonts w:hint="eastAsia" w:ascii="宋体" w:hAnsi="宋体" w:cs="仿宋"/>
          <w:sz w:val="24"/>
          <w:highlight w:val="none"/>
          <w:u w:val="single"/>
          <w:lang w:eastAsia="zh-CN"/>
        </w:rPr>
        <w:t>）</w:t>
      </w:r>
      <w:r>
        <w:rPr>
          <w:rFonts w:hint="eastAsia" w:ascii="宋体" w:hAnsi="宋体" w:cs="仿宋"/>
          <w:sz w:val="24"/>
          <w:highlight w:val="none"/>
        </w:rPr>
        <w:t>。采用电子邮件方式的，应在</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日_时前将原件递交至</w:t>
      </w:r>
      <w:r>
        <w:rPr>
          <w:rFonts w:hint="eastAsia" w:ascii="宋体" w:hAnsi="宋体" w:cs="仿宋"/>
          <w:sz w:val="24"/>
          <w:highlight w:val="none"/>
          <w:lang w:eastAsia="zh-CN"/>
        </w:rPr>
        <w:t>（</w:t>
      </w:r>
      <w:r>
        <w:rPr>
          <w:rFonts w:hint="eastAsia" w:ascii="宋体" w:hAnsi="宋体" w:cs="仿宋"/>
          <w:sz w:val="24"/>
          <w:highlight w:val="none"/>
          <w:u w:val="single"/>
        </w:rPr>
        <w:t>详细地址</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left="141" w:leftChars="67" w:firstLine="566" w:firstLineChars="236"/>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240" w:firstLineChars="100"/>
        <w:jc w:val="both"/>
        <w:rPr>
          <w:rFonts w:ascii="宋体" w:hAnsi="宋体" w:cs="仿宋"/>
          <w:sz w:val="24"/>
          <w:highlight w:val="none"/>
        </w:rPr>
      </w:pPr>
    </w:p>
    <w:p>
      <w:pPr>
        <w:adjustRightInd w:val="0"/>
        <w:snapToGrid w:val="0"/>
        <w:spacing w:line="600" w:lineRule="exact"/>
        <w:ind w:left="210" w:leftChars="100" w:firstLine="4560" w:firstLineChars="1900"/>
        <w:jc w:val="both"/>
        <w:rPr>
          <w:rFonts w:ascii="宋体" w:hAnsi="宋体" w:cs="仿宋"/>
          <w:sz w:val="24"/>
          <w:highlight w:val="none"/>
          <w:u w:val="single"/>
        </w:rPr>
      </w:pPr>
      <w:r>
        <w:rPr>
          <w:rFonts w:hint="eastAsia" w:ascii="宋体" w:hAnsi="宋体" w:cs="仿宋"/>
          <w:sz w:val="24"/>
          <w:highlight w:val="none"/>
        </w:rPr>
        <w:t>采购人</w:t>
      </w:r>
      <w:r>
        <w:rPr>
          <w:rFonts w:hint="eastAsia" w:ascii="宋体" w:hAnsi="宋体" w:cs="仿宋"/>
          <w:sz w:val="24"/>
          <w:highlight w:val="none"/>
          <w:lang w:eastAsia="zh-CN"/>
        </w:rPr>
        <w:t>（</w:t>
      </w:r>
      <w:r>
        <w:rPr>
          <w:rFonts w:hint="eastAsia" w:ascii="宋体" w:hAnsi="宋体" w:cs="仿宋"/>
          <w:sz w:val="24"/>
          <w:highlight w:val="none"/>
        </w:rPr>
        <w:t>或采购代理机构</w:t>
      </w:r>
      <w:r>
        <w:rPr>
          <w:rFonts w:hint="eastAsia" w:ascii="宋体" w:hAnsi="宋体" w:cs="仿宋"/>
          <w:sz w:val="24"/>
          <w:highlight w:val="none"/>
          <w:lang w:eastAsia="zh-CN"/>
        </w:rPr>
        <w:t>）</w:t>
      </w:r>
      <w:r>
        <w:rPr>
          <w:rFonts w:hint="eastAsia" w:ascii="宋体" w:hAnsi="宋体" w:cs="仿宋"/>
          <w:sz w:val="24"/>
          <w:highlight w:val="none"/>
        </w:rPr>
        <w:t>:</w:t>
      </w:r>
      <w:r>
        <w:rPr>
          <w:rFonts w:hint="eastAsia" w:ascii="宋体" w:hAnsi="宋体" w:cs="仿宋"/>
          <w:sz w:val="24"/>
          <w:highlight w:val="none"/>
          <w:lang w:eastAsia="zh-CN"/>
        </w:rPr>
        <w:t>（</w:t>
      </w:r>
      <w:r>
        <w:rPr>
          <w:rFonts w:hint="eastAsia" w:ascii="宋体" w:hAnsi="宋体" w:cs="仿宋"/>
          <w:sz w:val="24"/>
          <w:highlight w:val="none"/>
          <w:u w:val="single"/>
        </w:rPr>
        <w:t>签字或盖单位章</w:t>
      </w:r>
      <w:r>
        <w:rPr>
          <w:rFonts w:hint="eastAsia" w:ascii="宋体" w:hAnsi="宋体" w:cs="仿宋"/>
          <w:sz w:val="24"/>
          <w:highlight w:val="none"/>
          <w:u w:val="single"/>
          <w:lang w:eastAsia="zh-CN"/>
        </w:rPr>
        <w:t>）</w:t>
      </w:r>
    </w:p>
    <w:p>
      <w:pPr>
        <w:spacing w:line="600" w:lineRule="exact"/>
        <w:ind w:firstLine="6480" w:firstLineChars="2700"/>
        <w:jc w:val="both"/>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附件3  问题的澄清</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问题的澄清</w:t>
      </w:r>
    </w:p>
    <w:p>
      <w:pPr>
        <w:adjustRightInd w:val="0"/>
        <w:snapToGrid w:val="0"/>
        <w:spacing w:line="600" w:lineRule="exact"/>
        <w:ind w:firstLine="480" w:firstLineChars="200"/>
        <w:jc w:val="center"/>
        <w:rPr>
          <w:rFonts w:ascii="宋体" w:hAnsi="宋体" w:cs="仿宋"/>
          <w:sz w:val="24"/>
          <w:highlight w:val="none"/>
        </w:rPr>
      </w:pP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u w:val="singl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评审小组</w:t>
      </w:r>
      <w:r>
        <w:rPr>
          <w:rFonts w:hint="eastAsia" w:ascii="宋体" w:hAnsi="宋体" w:cs="仿宋"/>
          <w:sz w:val="24"/>
          <w:highlight w:val="none"/>
          <w:lang w:eastAsia="zh-CN"/>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问题澄清通知</w:t>
      </w:r>
      <w:r>
        <w:rPr>
          <w:rFonts w:hint="eastAsia" w:ascii="宋体" w:hAnsi="宋体" w:cs="仿宋"/>
          <w:sz w:val="24"/>
          <w:highlight w:val="none"/>
          <w:lang w:eastAsia="zh-CN"/>
        </w:rPr>
        <w:t>（</w:t>
      </w:r>
      <w:r>
        <w:rPr>
          <w:rFonts w:hint="eastAsia" w:ascii="宋体" w:hAnsi="宋体" w:cs="仿宋"/>
          <w:sz w:val="24"/>
          <w:highlight w:val="none"/>
        </w:rPr>
        <w:t>编号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rPr>
        <w:t>已收悉，现澄清、说明和补正如下：</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1.</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2.</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lang w:eastAsia="zh-CN"/>
        </w:rPr>
        <w:t>……</w:t>
      </w:r>
    </w:p>
    <w:p>
      <w:pPr>
        <w:adjustRightInd w:val="0"/>
        <w:snapToGrid w:val="0"/>
        <w:spacing w:line="600" w:lineRule="exact"/>
        <w:ind w:firstLine="530" w:firstLineChars="221"/>
        <w:jc w:val="both"/>
        <w:rPr>
          <w:rFonts w:ascii="宋体" w:hAnsi="宋体" w:cs="仿宋"/>
          <w:sz w:val="24"/>
          <w:highlight w:val="none"/>
        </w:rPr>
      </w:pPr>
      <w:r>
        <w:rPr>
          <w:rFonts w:hint="eastAsia" w:ascii="宋体" w:hAnsi="宋体" w:cs="仿宋"/>
          <w:sz w:val="24"/>
          <w:highlight w:val="none"/>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hint="eastAsia" w:ascii="宋体" w:hAnsi="宋体" w:cs="仿宋"/>
          <w:sz w:val="24"/>
          <w:highlight w:val="none"/>
          <w:lang w:eastAsia="zh-CN"/>
        </w:rPr>
        <w:t>：</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adjustRightInd w:val="0"/>
        <w:snapToGrid w:val="0"/>
        <w:spacing w:line="600" w:lineRule="exact"/>
        <w:ind w:firstLine="3410" w:firstLineChars="1421"/>
        <w:jc w:val="both"/>
        <w:rPr>
          <w:rFonts w:ascii="宋体" w:hAnsi="宋体" w:cs="仿宋"/>
          <w:sz w:val="24"/>
          <w:highlight w:val="none"/>
          <w:u w:val="single"/>
        </w:rPr>
      </w:pPr>
      <w:r>
        <w:rPr>
          <w:rFonts w:hint="eastAsia" w:ascii="宋体" w:hAnsi="宋体" w:cs="仿宋"/>
          <w:sz w:val="24"/>
          <w:highlight w:val="none"/>
        </w:rPr>
        <w:t>法定代表人</w:t>
      </w:r>
      <w:r>
        <w:rPr>
          <w:rFonts w:hint="eastAsia" w:ascii="宋体" w:hAnsi="宋体" w:cs="仿宋"/>
          <w:sz w:val="24"/>
          <w:highlight w:val="none"/>
          <w:lang w:eastAsia="zh-CN"/>
        </w:rPr>
        <w:t>（</w:t>
      </w:r>
      <w:r>
        <w:rPr>
          <w:rFonts w:hint="eastAsia" w:ascii="宋体" w:hAnsi="宋体" w:cs="仿宋"/>
          <w:sz w:val="24"/>
          <w:highlight w:val="none"/>
        </w:rPr>
        <w:t>单位负责人</w:t>
      </w:r>
      <w:r>
        <w:rPr>
          <w:rFonts w:hint="eastAsia" w:ascii="宋体" w:hAnsi="宋体" w:cs="仿宋"/>
          <w:sz w:val="24"/>
          <w:highlight w:val="none"/>
          <w:lang w:eastAsia="zh-CN"/>
        </w:rPr>
        <w:t>）</w:t>
      </w:r>
      <w:r>
        <w:rPr>
          <w:rFonts w:hint="eastAsia" w:ascii="宋体" w:hAnsi="宋体" w:cs="仿宋"/>
          <w:sz w:val="24"/>
          <w:highlight w:val="none"/>
        </w:rPr>
        <w:t>或其授权的代理人</w:t>
      </w:r>
      <w:r>
        <w:rPr>
          <w:rFonts w:hint="eastAsia" w:ascii="宋体" w:hAnsi="宋体" w:cs="仿宋"/>
          <w:sz w:val="24"/>
          <w:highlight w:val="none"/>
          <w:lang w:eastAsia="zh-CN"/>
        </w:rPr>
        <w:t>：</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签字</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spacing w:line="600" w:lineRule="exact"/>
        <w:ind w:firstLine="5570" w:firstLineChars="2321"/>
        <w:jc w:val="both"/>
        <w:rPr>
          <w:rFonts w:ascii="宋体" w:hAnsi="宋体" w:cs="仿宋"/>
          <w:sz w:val="24"/>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附件4  成交通知书</w:t>
      </w:r>
    </w:p>
    <w:p>
      <w:pPr>
        <w:adjustRightInd w:val="0"/>
        <w:snapToGrid w:val="0"/>
        <w:spacing w:line="600" w:lineRule="exact"/>
        <w:jc w:val="center"/>
        <w:rPr>
          <w:rFonts w:ascii="华文中宋" w:hAnsi="华文中宋" w:eastAsia="华文中宋" w:cs="仿宋"/>
          <w:b/>
          <w:bCs/>
          <w:sz w:val="36"/>
          <w:szCs w:val="36"/>
          <w:highlight w:val="none"/>
        </w:rPr>
      </w:pPr>
    </w:p>
    <w:p>
      <w:pPr>
        <w:adjustRightInd w:val="0"/>
        <w:snapToGrid w:val="0"/>
        <w:spacing w:line="600" w:lineRule="exact"/>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u w:val="single"/>
          <w:lang w:eastAsia="zh-CN"/>
        </w:rPr>
        <w:t>（</w:t>
      </w:r>
      <w:r>
        <w:rPr>
          <w:rFonts w:hint="eastAsia" w:ascii="宋体" w:hAnsi="宋体" w:cs="仿宋"/>
          <w:sz w:val="24"/>
          <w:highlight w:val="none"/>
          <w:u w:val="single"/>
        </w:rPr>
        <w:t>成交供应商名称</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你方所递交的</w:t>
      </w:r>
      <w:r>
        <w:rPr>
          <w:rFonts w:hint="eastAsia" w:ascii="宋体" w:hAnsi="宋体" w:cs="仿宋"/>
          <w:sz w:val="24"/>
          <w:highlight w:val="none"/>
          <w:lang w:eastAsia="zh-CN"/>
        </w:rPr>
        <w:t>（</w:t>
      </w:r>
      <w:r>
        <w:rPr>
          <w:rFonts w:hint="eastAsia" w:ascii="宋体" w:hAnsi="宋体" w:cs="仿宋"/>
          <w:sz w:val="24"/>
          <w:highlight w:val="none"/>
          <w:u w:val="single"/>
        </w:rPr>
        <w:t>项目名称</w:t>
      </w:r>
      <w:r>
        <w:rPr>
          <w:rFonts w:hint="eastAsia" w:ascii="宋体" w:hAnsi="宋体" w:cs="仿宋"/>
          <w:sz w:val="24"/>
          <w:highlight w:val="none"/>
          <w:u w:val="single"/>
          <w:lang w:eastAsia="zh-CN"/>
        </w:rPr>
        <w:t>）</w:t>
      </w:r>
      <w:r>
        <w:rPr>
          <w:rFonts w:hint="eastAsia" w:ascii="宋体" w:hAnsi="宋体" w:cs="仿宋"/>
          <w:sz w:val="24"/>
          <w:highlight w:val="none"/>
        </w:rPr>
        <w:t>的响应文件已被我方接受，被确定为成交供应商。</w:t>
      </w:r>
    </w:p>
    <w:p>
      <w:pPr>
        <w:adjustRightInd w:val="0"/>
        <w:snapToGrid w:val="0"/>
        <w:spacing w:line="600" w:lineRule="exact"/>
        <w:ind w:firstLine="480" w:firstLineChars="200"/>
        <w:jc w:val="both"/>
        <w:rPr>
          <w:rFonts w:ascii="宋体" w:hAnsi="宋体" w:cs="仿宋"/>
          <w:sz w:val="24"/>
          <w:highlight w:val="none"/>
          <w:u w:val="single"/>
        </w:rPr>
      </w:pPr>
      <w:r>
        <w:rPr>
          <w:rFonts w:hint="eastAsia" w:ascii="宋体" w:hAnsi="宋体" w:cs="仿宋"/>
          <w:sz w:val="24"/>
          <w:highlight w:val="none"/>
        </w:rPr>
        <w:t>成交价</w:t>
      </w:r>
      <w:r>
        <w:rPr>
          <w:rFonts w:hint="eastAsia" w:ascii="宋体" w:hAnsi="宋体" w:cs="仿宋"/>
          <w:sz w:val="24"/>
          <w:highlight w:val="none"/>
          <w:lang w:eastAsia="zh-CN"/>
        </w:rPr>
        <w:t>：</w:t>
      </w:r>
      <w:r>
        <w:rPr>
          <w:rFonts w:hint="eastAsia" w:ascii="宋体" w:hAnsi="宋体" w:cs="仿宋"/>
          <w:sz w:val="24"/>
          <w:highlight w:val="none"/>
          <w:u w:val="single"/>
        </w:rPr>
        <w:t xml:space="preserve">         </w:t>
      </w:r>
      <w:r>
        <w:rPr>
          <w:rFonts w:hint="eastAsia" w:ascii="宋体" w:hAnsi="宋体" w:cs="仿宋"/>
          <w:sz w:val="24"/>
          <w:highlight w:val="none"/>
        </w:rPr>
        <w:t xml:space="preserve"> 。</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请你方在接到本通知书后的</w:t>
      </w:r>
      <w:r>
        <w:rPr>
          <w:rFonts w:hint="eastAsia" w:ascii="宋体" w:hAnsi="宋体" w:cs="仿宋"/>
          <w:sz w:val="24"/>
          <w:highlight w:val="none"/>
          <w:u w:val="single"/>
        </w:rPr>
        <w:t xml:space="preserve">    </w:t>
      </w:r>
      <w:r>
        <w:rPr>
          <w:rFonts w:hint="eastAsia" w:ascii="宋体" w:hAnsi="宋体" w:cs="仿宋"/>
          <w:sz w:val="24"/>
          <w:highlight w:val="none"/>
        </w:rPr>
        <w:t>日内到</w:t>
      </w:r>
      <w:r>
        <w:rPr>
          <w:rFonts w:hint="eastAsia" w:ascii="宋体" w:hAnsi="宋体" w:cs="仿宋"/>
          <w:sz w:val="24"/>
          <w:highlight w:val="none"/>
          <w:lang w:eastAsia="zh-CN"/>
        </w:rPr>
        <w:t>（</w:t>
      </w:r>
      <w:r>
        <w:rPr>
          <w:rFonts w:hint="eastAsia" w:ascii="宋体" w:hAnsi="宋体" w:cs="仿宋"/>
          <w:sz w:val="24"/>
          <w:highlight w:val="none"/>
          <w:u w:val="single"/>
        </w:rPr>
        <w:t>指定地点</w:t>
      </w:r>
      <w:r>
        <w:rPr>
          <w:rFonts w:hint="eastAsia" w:ascii="宋体" w:hAnsi="宋体" w:cs="仿宋"/>
          <w:sz w:val="24"/>
          <w:highlight w:val="none"/>
          <w:u w:val="single"/>
          <w:lang w:eastAsia="zh-CN"/>
        </w:rPr>
        <w:t>）</w:t>
      </w:r>
      <w:r>
        <w:rPr>
          <w:rFonts w:hint="eastAsia" w:ascii="宋体" w:hAnsi="宋体" w:cs="仿宋"/>
          <w:sz w:val="24"/>
          <w:highlight w:val="none"/>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特此通知。</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采购人</w:t>
      </w:r>
      <w:r>
        <w:rPr>
          <w:rFonts w:hint="eastAsia" w:ascii="宋体" w:hAnsi="宋体" w:cs="仿宋"/>
          <w:sz w:val="24"/>
          <w:highlight w:val="none"/>
          <w:lang w:eastAsia="zh-CN"/>
        </w:rPr>
        <w:t>（</w:t>
      </w:r>
      <w:r>
        <w:rPr>
          <w:rFonts w:hint="eastAsia" w:ascii="宋体" w:hAnsi="宋体" w:cs="仿宋"/>
          <w:sz w:val="24"/>
          <w:highlight w:val="none"/>
        </w:rPr>
        <w:t>或采购代理机构</w:t>
      </w:r>
      <w:r>
        <w:rPr>
          <w:rFonts w:hint="eastAsia" w:ascii="宋体" w:hAnsi="宋体" w:cs="仿宋"/>
          <w:sz w:val="24"/>
          <w:highlight w:val="none"/>
          <w:lang w:eastAsia="zh-CN"/>
        </w:rPr>
        <w:t>）</w:t>
      </w:r>
      <w:r>
        <w:rPr>
          <w:rFonts w:hint="eastAsia" w:ascii="宋体" w:hAnsi="宋体" w:cs="仿宋"/>
          <w:sz w:val="24"/>
          <w:highlight w:val="none"/>
        </w:rPr>
        <w:t>:</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adjustRightInd w:val="0"/>
        <w:snapToGrid w:val="0"/>
        <w:spacing w:line="600" w:lineRule="exact"/>
        <w:ind w:firstLine="6240" w:firstLineChars="2600"/>
        <w:jc w:val="both"/>
        <w:rPr>
          <w:rFonts w:ascii="仿宋" w:hAnsi="仿宋" w:eastAsia="仿宋" w:cs="仿宋"/>
          <w:sz w:val="30"/>
          <w:szCs w:val="30"/>
          <w:highlight w:val="none"/>
        </w:rPr>
      </w:pP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ascii="宋体" w:hAnsi="宋体" w:cs="仿宋"/>
          <w:sz w:val="24"/>
          <w:highlight w:val="none"/>
          <w:u w:val="single"/>
        </w:rPr>
        <w:t xml:space="preserve">  </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仿宋" w:hAnsi="仿宋" w:eastAsia="仿宋" w:cs="仿宋"/>
          <w:sz w:val="30"/>
          <w:szCs w:val="30"/>
          <w:highlight w:val="none"/>
        </w:rPr>
        <w:br w:type="page"/>
      </w:r>
    </w:p>
    <w:p>
      <w:pPr>
        <w:adjustRightInd w:val="0"/>
        <w:snapToGrid w:val="0"/>
        <w:spacing w:line="600" w:lineRule="exact"/>
        <w:ind w:firstLine="567" w:firstLineChars="189"/>
        <w:rPr>
          <w:rFonts w:ascii="宋体" w:hAnsi="宋体" w:cs="仿宋"/>
          <w:sz w:val="30"/>
          <w:szCs w:val="30"/>
          <w:highlight w:val="none"/>
        </w:rPr>
      </w:pPr>
      <w:r>
        <w:rPr>
          <w:rFonts w:hint="eastAsia" w:ascii="宋体" w:hAnsi="宋体" w:cs="仿宋"/>
          <w:sz w:val="30"/>
          <w:szCs w:val="30"/>
          <w:highlight w:val="none"/>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721" w:firstLineChars="200"/>
        <w:jc w:val="center"/>
        <w:rPr>
          <w:rFonts w:ascii="华文中宋" w:hAnsi="华文中宋" w:eastAsia="华文中宋" w:cs="仿宋"/>
          <w:b/>
          <w:bCs/>
          <w:sz w:val="36"/>
          <w:szCs w:val="36"/>
          <w:highlight w:val="none"/>
        </w:rPr>
      </w:pPr>
      <w:r>
        <w:rPr>
          <w:rFonts w:hint="eastAsia" w:ascii="华文中宋" w:hAnsi="华文中宋" w:eastAsia="华文中宋" w:cs="仿宋"/>
          <w:b/>
          <w:bCs/>
          <w:sz w:val="36"/>
          <w:szCs w:val="36"/>
          <w:highlight w:val="none"/>
        </w:rPr>
        <w:t>确认通知</w:t>
      </w:r>
    </w:p>
    <w:p>
      <w:pPr>
        <w:adjustRightInd w:val="0"/>
        <w:snapToGrid w:val="0"/>
        <w:spacing w:line="600" w:lineRule="exact"/>
        <w:ind w:firstLine="721" w:firstLineChars="200"/>
        <w:jc w:val="both"/>
        <w:rPr>
          <w:rFonts w:ascii="华文中宋" w:hAnsi="华文中宋" w:eastAsia="华文中宋" w:cs="仿宋"/>
          <w:b/>
          <w:bCs/>
          <w:sz w:val="36"/>
          <w:szCs w:val="36"/>
          <w:highlight w:val="none"/>
        </w:rPr>
      </w:pPr>
    </w:p>
    <w:p>
      <w:pPr>
        <w:adjustRightInd w:val="0"/>
        <w:snapToGrid w:val="0"/>
        <w:spacing w:line="600" w:lineRule="exact"/>
        <w:ind w:firstLine="480" w:firstLineChars="200"/>
        <w:jc w:val="both"/>
        <w:rPr>
          <w:rFonts w:ascii="宋体" w:hAnsi="宋体" w:cs="仿宋"/>
          <w:b/>
          <w:bCs/>
          <w:sz w:val="24"/>
          <w:highlight w:val="none"/>
        </w:rPr>
      </w:pPr>
      <w:r>
        <w:rPr>
          <w:rFonts w:hint="eastAsia" w:ascii="宋体" w:hAnsi="宋体" w:cs="仿宋"/>
          <w:sz w:val="24"/>
          <w:highlight w:val="none"/>
          <w:u w:val="single"/>
        </w:rPr>
        <w:t xml:space="preserve">           （采购人或采购代理机构名称</w:t>
      </w:r>
      <w:r>
        <w:rPr>
          <w:rFonts w:hint="eastAsia" w:ascii="宋体" w:hAnsi="宋体" w:cs="仿宋"/>
          <w:sz w:val="24"/>
          <w:highlight w:val="none"/>
          <w:u w:val="single"/>
          <w:lang w:eastAsia="zh-CN"/>
        </w:rPr>
        <w:t>）</w:t>
      </w:r>
      <w:r>
        <w:rPr>
          <w:rFonts w:hint="eastAsia" w:ascii="宋体" w:hAnsi="宋体" w:cs="仿宋"/>
          <w:sz w:val="24"/>
          <w:highlight w:val="none"/>
        </w:rPr>
        <w:t>:</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你方于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w:t>
      </w:r>
      <w:r>
        <w:rPr>
          <w:rFonts w:hint="eastAsia" w:ascii="宋体" w:hAnsi="宋体" w:cs="仿宋"/>
          <w:sz w:val="24"/>
          <w:highlight w:val="none"/>
          <w:lang w:eastAsia="zh-CN"/>
        </w:rPr>
        <w:t>发出的（</w:t>
      </w:r>
      <w:r>
        <w:rPr>
          <w:rFonts w:hint="eastAsia" w:ascii="宋体" w:hAnsi="宋体" w:cs="仿宋"/>
          <w:sz w:val="24"/>
          <w:highlight w:val="none"/>
          <w:u w:val="single"/>
        </w:rPr>
        <w:t>项目名称</w:t>
      </w:r>
      <w:r>
        <w:rPr>
          <w:rFonts w:hint="eastAsia" w:ascii="宋体" w:hAnsi="宋体" w:cs="仿宋"/>
          <w:sz w:val="24"/>
          <w:highlight w:val="none"/>
          <w:u w:val="single"/>
          <w:lang w:eastAsia="zh-CN"/>
        </w:rPr>
        <w:t>）</w:t>
      </w:r>
      <w:r>
        <w:rPr>
          <w:rFonts w:hint="eastAsia" w:ascii="宋体" w:hAnsi="宋体" w:cs="仿宋"/>
          <w:sz w:val="24"/>
          <w:highlight w:val="none"/>
        </w:rPr>
        <w:t>采购文件的澄清/修改的通知，我方已于</w:t>
      </w:r>
      <w:r>
        <w:rPr>
          <w:rFonts w:hint="eastAsia" w:ascii="宋体" w:hAnsi="宋体" w:cs="仿宋"/>
          <w:sz w:val="24"/>
          <w:highlight w:val="none"/>
          <w:u w:val="single"/>
        </w:rPr>
        <w:t xml:space="preserve">  </w:t>
      </w:r>
      <w:r>
        <w:rPr>
          <w:rFonts w:hint="eastAsia" w:ascii="宋体" w:hAnsi="宋体" w:cs="仿宋"/>
          <w:sz w:val="24"/>
          <w:highlight w:val="none"/>
        </w:rPr>
        <w:t>年</w:t>
      </w:r>
      <w:r>
        <w:rPr>
          <w:rFonts w:hint="eastAsia" w:ascii="宋体" w:hAnsi="宋体" w:cs="仿宋"/>
          <w:sz w:val="24"/>
          <w:highlight w:val="none"/>
          <w:u w:val="single"/>
        </w:rPr>
        <w:t xml:space="preserve">  </w:t>
      </w:r>
      <w:r>
        <w:rPr>
          <w:rFonts w:hint="eastAsia" w:ascii="宋体" w:hAnsi="宋体" w:cs="仿宋"/>
          <w:sz w:val="24"/>
          <w:highlight w:val="none"/>
        </w:rPr>
        <w:t>月</w:t>
      </w:r>
      <w:r>
        <w:rPr>
          <w:rFonts w:hint="eastAsia" w:ascii="宋体" w:hAnsi="宋体" w:cs="仿宋"/>
          <w:sz w:val="24"/>
          <w:highlight w:val="none"/>
          <w:u w:val="single"/>
        </w:rPr>
        <w:t xml:space="preserve">  </w:t>
      </w:r>
      <w:r>
        <w:rPr>
          <w:rFonts w:hint="eastAsia" w:ascii="宋体" w:hAnsi="宋体" w:cs="仿宋"/>
          <w:sz w:val="24"/>
          <w:highlight w:val="none"/>
        </w:rPr>
        <w:t>日收到。</w:t>
      </w:r>
    </w:p>
    <w:p>
      <w:pPr>
        <w:adjustRightInd w:val="0"/>
        <w:snapToGrid w:val="0"/>
        <w:spacing w:line="600" w:lineRule="exact"/>
        <w:ind w:firstLine="480" w:firstLineChars="200"/>
        <w:jc w:val="both"/>
        <w:rPr>
          <w:rFonts w:ascii="宋体" w:hAnsi="宋体" w:cs="仿宋"/>
          <w:sz w:val="24"/>
          <w:highlight w:val="none"/>
        </w:rPr>
      </w:pPr>
      <w:r>
        <w:rPr>
          <w:rFonts w:hint="eastAsia" w:ascii="宋体" w:hAnsi="宋体" w:cs="仿宋"/>
          <w:sz w:val="24"/>
          <w:highlight w:val="none"/>
        </w:rPr>
        <w:t>特此确认。</w:t>
      </w: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480" w:firstLineChars="200"/>
        <w:jc w:val="both"/>
        <w:rPr>
          <w:rFonts w:ascii="宋体" w:hAnsi="宋体" w:cs="仿宋"/>
          <w:sz w:val="24"/>
          <w:highlight w:val="none"/>
        </w:rPr>
      </w:pPr>
    </w:p>
    <w:p>
      <w:pPr>
        <w:adjustRightInd w:val="0"/>
        <w:snapToGrid w:val="0"/>
        <w:spacing w:line="600" w:lineRule="exact"/>
        <w:ind w:firstLine="5090" w:firstLineChars="2121"/>
        <w:jc w:val="both"/>
        <w:rPr>
          <w:rFonts w:ascii="宋体" w:hAnsi="宋体" w:cs="仿宋"/>
          <w:sz w:val="24"/>
          <w:highlight w:val="none"/>
          <w:u w:val="single"/>
        </w:rPr>
      </w:pPr>
      <w:r>
        <w:rPr>
          <w:rFonts w:hint="eastAsia" w:ascii="宋体" w:hAnsi="宋体" w:cs="仿宋"/>
          <w:sz w:val="24"/>
          <w:highlight w:val="none"/>
        </w:rPr>
        <w:t>供应商</w:t>
      </w:r>
      <w:r>
        <w:rPr>
          <w:rFonts w:hint="eastAsia" w:ascii="宋体" w:hAnsi="宋体" w:cs="仿宋"/>
          <w:sz w:val="24"/>
          <w:highlight w:val="none"/>
          <w:lang w:eastAsia="zh-CN"/>
        </w:rPr>
        <w:t>：</w:t>
      </w:r>
      <w:r>
        <w:rPr>
          <w:rFonts w:ascii="宋体" w:hAnsi="宋体" w:cs="仿宋"/>
          <w:sz w:val="24"/>
          <w:highlight w:val="none"/>
        </w:rPr>
        <w:t xml:space="preserve"> </w:t>
      </w:r>
      <w:r>
        <w:rPr>
          <w:rFonts w:ascii="宋体" w:hAnsi="宋体" w:cs="仿宋"/>
          <w:sz w:val="24"/>
          <w:highlight w:val="none"/>
          <w:u w:val="single"/>
        </w:rPr>
        <w:t xml:space="preserve">     </w:t>
      </w:r>
      <w:r>
        <w:rPr>
          <w:rFonts w:hint="eastAsia" w:ascii="宋体" w:hAnsi="宋体" w:cs="仿宋"/>
          <w:sz w:val="24"/>
          <w:highlight w:val="none"/>
          <w:u w:val="single"/>
          <w:lang w:eastAsia="zh-CN"/>
        </w:rPr>
        <w:t>（</w:t>
      </w:r>
      <w:r>
        <w:rPr>
          <w:rFonts w:hint="eastAsia" w:ascii="宋体" w:hAnsi="宋体" w:cs="仿宋"/>
          <w:sz w:val="24"/>
          <w:highlight w:val="none"/>
          <w:u w:val="single"/>
        </w:rPr>
        <w:t>盖单位章</w:t>
      </w:r>
      <w:r>
        <w:rPr>
          <w:rFonts w:hint="eastAsia" w:ascii="宋体" w:hAnsi="宋体" w:cs="仿宋"/>
          <w:sz w:val="24"/>
          <w:highlight w:val="none"/>
          <w:u w:val="single"/>
          <w:lang w:eastAsia="zh-CN"/>
        </w:rPr>
        <w:t>）</w:t>
      </w:r>
      <w:r>
        <w:rPr>
          <w:rFonts w:ascii="宋体" w:hAnsi="宋体" w:cs="仿宋"/>
          <w:sz w:val="24"/>
          <w:highlight w:val="none"/>
          <w:u w:val="single"/>
        </w:rPr>
        <w:t xml:space="preserve">      </w:t>
      </w:r>
    </w:p>
    <w:p>
      <w:pPr>
        <w:pStyle w:val="79"/>
        <w:spacing w:line="600" w:lineRule="exact"/>
        <w:ind w:left="420" w:firstLine="5280" w:firstLineChars="2200"/>
        <w:jc w:val="both"/>
        <w:rPr>
          <w:rFonts w:cs="仿宋"/>
          <w:b/>
          <w:color w:val="000000"/>
          <w:highlight w:val="none"/>
        </w:rPr>
      </w:pP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年</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月</w:t>
      </w:r>
      <w:r>
        <w:rPr>
          <w:rFonts w:hint="eastAsia" w:cs="仿宋"/>
          <w:highlight w:val="none"/>
          <w:u w:val="single"/>
        </w:rPr>
        <w:t xml:space="preserve"> </w:t>
      </w:r>
      <w:r>
        <w:rPr>
          <w:rFonts w:cs="仿宋"/>
          <w:highlight w:val="none"/>
          <w:u w:val="single"/>
        </w:rPr>
        <w:t xml:space="preserve">  </w:t>
      </w:r>
      <w:r>
        <w:rPr>
          <w:rFonts w:hint="eastAsia" w:cs="仿宋"/>
          <w:highlight w:val="none"/>
          <w:u w:val="single"/>
        </w:rPr>
        <w:t xml:space="preserve"> </w:t>
      </w:r>
      <w:r>
        <w:rPr>
          <w:rFonts w:hint="eastAsia" w:cs="仿宋"/>
          <w:highlight w:val="none"/>
        </w:rPr>
        <w:t>日</w:t>
      </w:r>
    </w:p>
    <w:p>
      <w:pPr>
        <w:spacing w:line="240" w:lineRule="auto"/>
        <w:jc w:val="both"/>
        <w:rPr>
          <w:rFonts w:ascii="宋体" w:hAnsi="宋体" w:cs="仿宋"/>
          <w:b/>
          <w:color w:val="000000"/>
          <w:kern w:val="0"/>
          <w:sz w:val="24"/>
          <w:highlight w:val="none"/>
        </w:rPr>
      </w:pPr>
      <w:r>
        <w:rPr>
          <w:rFonts w:ascii="宋体" w:hAnsi="宋体" w:cs="仿宋"/>
          <w:b/>
          <w:color w:val="000000"/>
          <w:sz w:val="24"/>
          <w:highlight w:val="none"/>
        </w:rPr>
        <w:br w:type="page"/>
      </w:r>
    </w:p>
    <w:p>
      <w:pPr>
        <w:pStyle w:val="6"/>
        <w:spacing w:line="360" w:lineRule="auto"/>
        <w:ind w:firstLine="723" w:firstLineChars="200"/>
        <w:jc w:val="center"/>
        <w:outlineLvl w:val="0"/>
        <w:rPr>
          <w:rFonts w:hint="eastAsia"/>
          <w:b/>
          <w:bCs/>
          <w:color w:val="auto"/>
          <w:sz w:val="36"/>
          <w:szCs w:val="36"/>
        </w:rPr>
      </w:pPr>
      <w:bookmarkStart w:id="19" w:name="_Toc27893"/>
      <w:bookmarkStart w:id="20" w:name="_Toc20771"/>
      <w:bookmarkStart w:id="21" w:name="_Toc31130"/>
      <w:bookmarkStart w:id="22" w:name="_Toc17622"/>
      <w:bookmarkStart w:id="23" w:name="_Toc31813"/>
      <w:bookmarkStart w:id="24" w:name="_Toc17995"/>
      <w:bookmarkStart w:id="25" w:name="_Toc76635709"/>
      <w:bookmarkStart w:id="26" w:name="_Toc77254130"/>
      <w:r>
        <w:rPr>
          <w:b/>
          <w:bCs/>
          <w:color w:val="auto"/>
          <w:sz w:val="36"/>
          <w:szCs w:val="36"/>
        </w:rPr>
        <w:t>第三章  评标办法（经评审的最低投标价法）</w:t>
      </w:r>
      <w:bookmarkEnd w:id="19"/>
      <w:bookmarkEnd w:id="20"/>
      <w:bookmarkEnd w:id="21"/>
      <w:bookmarkEnd w:id="22"/>
      <w:bookmarkEnd w:id="23"/>
      <w:bookmarkEnd w:id="24"/>
    </w:p>
    <w:p>
      <w:pPr>
        <w:spacing w:after="0" w:line="360" w:lineRule="auto"/>
        <w:ind w:firstLine="640" w:firstLineChars="200"/>
        <w:jc w:val="center"/>
        <w:outlineLvl w:val="1"/>
        <w:rPr>
          <w:rFonts w:hint="eastAsia" w:ascii="Times New Roman" w:hAnsi="Times New Roman" w:eastAsia="黑体" w:cs="Times New Roman"/>
          <w:color w:val="auto"/>
          <w:sz w:val="32"/>
          <w:szCs w:val="32"/>
        </w:rPr>
      </w:pPr>
      <w:bookmarkStart w:id="27" w:name="_Toc76056663"/>
      <w:bookmarkStart w:id="28" w:name="_Toc7645"/>
      <w:bookmarkStart w:id="29" w:name="_Toc12033"/>
      <w:r>
        <w:rPr>
          <w:rFonts w:ascii="Times New Roman" w:hAnsi="Times New Roman" w:eastAsia="黑体" w:cs="Times New Roman"/>
          <w:color w:val="auto"/>
          <w:sz w:val="32"/>
          <w:szCs w:val="32"/>
        </w:rPr>
        <w:t>评标办法前附表</w:t>
      </w:r>
      <w:bookmarkEnd w:id="27"/>
      <w:bookmarkEnd w:id="28"/>
      <w:bookmarkEnd w:id="29"/>
    </w:p>
    <w:tbl>
      <w:tblPr>
        <w:tblStyle w:val="42"/>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256"/>
        <w:gridCol w:w="1206"/>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2528" w:type="dxa"/>
            <w:gridSpan w:val="2"/>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206"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6064"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272"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exact"/>
        </w:trPr>
        <w:tc>
          <w:tcPr>
            <w:tcW w:w="1272"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6"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206"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6064" w:type="dxa"/>
            <w:vAlign w:val="center"/>
          </w:tcPr>
          <w:p>
            <w:pPr>
              <w:widowControl w:val="0"/>
              <w:adjustRightInd w:val="0"/>
              <w:spacing w:line="360" w:lineRule="auto"/>
              <w:ind w:firstLine="210" w:firstLineChars="1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与营业执照、资质证书一致；</w:t>
            </w:r>
          </w:p>
          <w:p>
            <w:pPr>
              <w:widowControl/>
              <w:adjustRightInd w:val="0"/>
              <w:snapToGrid w:val="0"/>
              <w:spacing w:line="360" w:lineRule="auto"/>
              <w:ind w:firstLine="210" w:firstLineChars="100"/>
              <w:jc w:val="left"/>
              <w:rPr>
                <w:rFonts w:cs="仿宋" w:asciiTheme="minorEastAsia" w:hAnsiTheme="minorEastAsia" w:eastAsiaTheme="minorEastAsia"/>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6064" w:type="dxa"/>
            <w:vAlign w:val="center"/>
          </w:tcPr>
          <w:p>
            <w:pPr>
              <w:widowControl/>
              <w:adjustRightInd w:val="0"/>
              <w:snapToGrid w:val="0"/>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响应函中实质性内容</w:t>
            </w:r>
          </w:p>
        </w:tc>
        <w:tc>
          <w:tcPr>
            <w:tcW w:w="6064" w:type="dxa"/>
            <w:vAlign w:val="center"/>
          </w:tcPr>
          <w:p>
            <w:pPr>
              <w:widowControl/>
              <w:adjustRightInd w:val="0"/>
              <w:snapToGri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272"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6"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不存在第一章第3.2款情形</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6064" w:type="dxa"/>
            <w:vAlign w:val="center"/>
          </w:tcPr>
          <w:p>
            <w:pPr>
              <w:widowControl/>
              <w:adjustRightInd w:val="0"/>
              <w:snapToGrid w:val="0"/>
              <w:spacing w:line="360" w:lineRule="auto"/>
              <w:jc w:val="both"/>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72"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6" w:type="dxa"/>
            <w:vMerge w:val="restart"/>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响应保证金</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272"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56" w:type="dxa"/>
            <w:vMerge w:val="continue"/>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72"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6" w:type="dxa"/>
            <w:vAlign w:val="center"/>
          </w:tcPr>
          <w:p>
            <w:pPr>
              <w:widowControl/>
              <w:adjustRightInd w:val="0"/>
              <w:snapToGrid w:val="0"/>
              <w:spacing w:line="360" w:lineRule="auto"/>
              <w:jc w:val="both"/>
              <w:rPr>
                <w:rFonts w:cs="仿宋" w:asciiTheme="minorEastAsia" w:hAnsiTheme="minorEastAsia" w:eastAsiaTheme="minorEastAsia"/>
                <w:szCs w:val="21"/>
              </w:rPr>
            </w:pP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798" w:type="dxa"/>
            <w:gridSpan w:val="4"/>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528" w:type="dxa"/>
            <w:gridSpan w:val="2"/>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1206"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条款内容</w:t>
            </w:r>
          </w:p>
        </w:tc>
        <w:tc>
          <w:tcPr>
            <w:tcW w:w="6064" w:type="dxa"/>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528" w:type="dxa"/>
            <w:gridSpan w:val="2"/>
            <w:vAlign w:val="center"/>
          </w:tcPr>
          <w:p>
            <w:pPr>
              <w:widowControl/>
              <w:adjustRightInd w:val="0"/>
              <w:snapToGrid w:val="0"/>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206" w:type="dxa"/>
            <w:vAlign w:val="center"/>
          </w:tcPr>
          <w:p>
            <w:pPr>
              <w:widowControl w:val="0"/>
              <w:spacing w:line="360" w:lineRule="auto"/>
              <w:jc w:val="both"/>
              <w:rPr>
                <w:rFonts w:asciiTheme="minorEastAsia" w:hAnsiTheme="minorEastAsia" w:eastAsiaTheme="minorEastAsia"/>
                <w:szCs w:val="21"/>
              </w:rPr>
            </w:pPr>
            <w:r>
              <w:rPr>
                <w:rFonts w:hint="eastAsia" w:asciiTheme="minorEastAsia" w:hAnsiTheme="minorEastAsia" w:eastAsiaTheme="minorEastAsia"/>
                <w:szCs w:val="21"/>
              </w:rPr>
              <w:t>报价</w:t>
            </w:r>
          </w:p>
        </w:tc>
        <w:tc>
          <w:tcPr>
            <w:tcW w:w="6064" w:type="dxa"/>
            <w:vAlign w:val="center"/>
          </w:tcPr>
          <w:p>
            <w:pPr>
              <w:widowControl w:val="0"/>
              <w:adjustRightInd w:val="0"/>
              <w:snapToGrid w:val="0"/>
              <w:spacing w:line="360" w:lineRule="auto"/>
              <w:jc w:val="both"/>
              <w:rPr>
                <w:rFonts w:cs="仿宋" w:asciiTheme="minorEastAsia" w:hAnsiTheme="minorEastAsia" w:eastAsiaTheme="minorEastAsia"/>
                <w:szCs w:val="21"/>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按照评审价格由低到高的顺序推荐成交候选供应商。</w:t>
            </w:r>
          </w:p>
        </w:tc>
      </w:tr>
    </w:tbl>
    <w:p>
      <w:pPr>
        <w:spacing w:after="0" w:line="360" w:lineRule="auto"/>
        <w:ind w:firstLine="640" w:firstLineChars="200"/>
        <w:jc w:val="center"/>
        <w:outlineLvl w:val="1"/>
        <w:rPr>
          <w:rFonts w:hint="eastAsia" w:ascii="Times New Roman" w:hAnsi="Times New Roman" w:eastAsia="黑体" w:cs="Times New Roman"/>
          <w:color w:val="auto"/>
          <w:sz w:val="32"/>
          <w:szCs w:val="32"/>
        </w:rPr>
      </w:pPr>
    </w:p>
    <w:p>
      <w:pPr>
        <w:spacing w:after="0" w:line="360" w:lineRule="auto"/>
        <w:ind w:firstLine="420" w:firstLineChars="200"/>
        <w:jc w:val="both"/>
        <w:outlineLvl w:val="0"/>
        <w:rPr>
          <w:rFonts w:hint="eastAsia" w:ascii="宋体" w:hAnsi="宋体" w:eastAsia="宋体" w:cs="Times New Roman"/>
          <w:b/>
          <w:color w:val="auto"/>
          <w:sz w:val="24"/>
          <w:szCs w:val="24"/>
        </w:rPr>
      </w:pPr>
      <w:r>
        <w:rPr>
          <w:rFonts w:ascii="Times New Roman" w:hAnsi="Times New Roman" w:eastAsia="宋体" w:cs="Times New Roman"/>
          <w:color w:val="auto"/>
          <w:sz w:val="21"/>
          <w:szCs w:val="24"/>
        </w:rPr>
        <w:br w:type="page"/>
      </w:r>
      <w:bookmarkStart w:id="30" w:name="_Toc4542"/>
      <w:bookmarkStart w:id="31" w:name="_Toc20260"/>
      <w:bookmarkStart w:id="32" w:name="_Toc21902"/>
      <w:bookmarkStart w:id="33" w:name="_Toc12626"/>
      <w:bookmarkStart w:id="34" w:name="_Toc30480"/>
      <w:bookmarkStart w:id="35" w:name="_Toc2999"/>
      <w:r>
        <w:rPr>
          <w:rFonts w:hint="eastAsia" w:ascii="宋体" w:hAnsi="宋体" w:eastAsia="宋体" w:cs="Times New Roman"/>
          <w:b/>
          <w:color w:val="auto"/>
          <w:sz w:val="24"/>
          <w:szCs w:val="24"/>
        </w:rPr>
        <w:t>1.</w:t>
      </w:r>
      <w:r>
        <w:rPr>
          <w:rFonts w:ascii="宋体" w:hAnsi="宋体" w:eastAsia="宋体" w:cs="Times New Roman"/>
          <w:b/>
          <w:color w:val="auto"/>
          <w:sz w:val="24"/>
          <w:szCs w:val="24"/>
        </w:rPr>
        <w:t>评</w:t>
      </w:r>
      <w:r>
        <w:rPr>
          <w:rFonts w:hint="eastAsia" w:ascii="宋体" w:hAnsi="宋体" w:eastAsia="宋体" w:cs="Times New Roman"/>
          <w:b/>
          <w:color w:val="auto"/>
          <w:sz w:val="24"/>
          <w:szCs w:val="24"/>
        </w:rPr>
        <w:t>标办法</w:t>
      </w:r>
      <w:bookmarkEnd w:id="30"/>
      <w:bookmarkEnd w:id="31"/>
      <w:bookmarkEnd w:id="32"/>
      <w:bookmarkEnd w:id="33"/>
      <w:bookmarkEnd w:id="34"/>
      <w:bookmarkEnd w:id="35"/>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本次评标采用经评审的</w:t>
      </w:r>
      <w:r>
        <w:rPr>
          <w:rFonts w:hint="eastAsia" w:ascii="宋体" w:hAnsi="宋体" w:eastAsia="宋体"/>
          <w:sz w:val="24"/>
          <w:szCs w:val="24"/>
          <w:highlight w:val="yellow"/>
        </w:rPr>
        <w:t>最低投标价法</w:t>
      </w:r>
      <w:r>
        <w:rPr>
          <w:rFonts w:hint="eastAsia" w:ascii="宋体" w:hAnsi="宋体" w:eastAsia="宋体"/>
          <w:sz w:val="24"/>
          <w:szCs w:val="24"/>
        </w:rPr>
        <w:t>。评标委员会对满足招标文件实质要求的投标文件，根据本章第2.2款规定的量化因素及量化标准进行价格折算，按照经评审的投标价由低到高的顺序推荐中标候选人。经评审的投标价相等时，投标报价低者优先；投标报价也相等的，由招标人或者经招标人授权评标委员会自行确定。</w:t>
      </w:r>
    </w:p>
    <w:p>
      <w:pPr>
        <w:spacing w:after="0" w:line="360" w:lineRule="auto"/>
        <w:ind w:firstLine="482" w:firstLineChars="200"/>
        <w:jc w:val="both"/>
        <w:rPr>
          <w:rFonts w:hint="eastAsia" w:ascii="宋体" w:hAnsi="宋体" w:eastAsia="宋体" w:cs="Times New Roman"/>
          <w:b/>
          <w:color w:val="auto"/>
          <w:sz w:val="24"/>
          <w:szCs w:val="24"/>
        </w:rPr>
      </w:pPr>
    </w:p>
    <w:p>
      <w:pPr>
        <w:spacing w:after="0" w:line="360" w:lineRule="auto"/>
        <w:ind w:firstLine="482" w:firstLineChars="200"/>
        <w:jc w:val="both"/>
        <w:outlineLvl w:val="0"/>
        <w:rPr>
          <w:rFonts w:ascii="宋体" w:hAnsi="宋体" w:eastAsia="宋体" w:cs="Times New Roman"/>
          <w:b/>
          <w:color w:val="auto"/>
          <w:sz w:val="24"/>
          <w:szCs w:val="24"/>
        </w:rPr>
      </w:pPr>
      <w:bookmarkStart w:id="36" w:name="_Toc29873"/>
      <w:bookmarkStart w:id="37" w:name="_Toc11932"/>
      <w:bookmarkStart w:id="38" w:name="_Toc5536"/>
      <w:bookmarkStart w:id="39" w:name="_Toc24657"/>
      <w:bookmarkStart w:id="40" w:name="_Toc10883"/>
      <w:bookmarkStart w:id="41" w:name="_Toc4512"/>
      <w:r>
        <w:rPr>
          <w:rFonts w:ascii="宋体" w:hAnsi="宋体" w:eastAsia="宋体" w:cs="Times New Roman"/>
          <w:b/>
          <w:color w:val="auto"/>
          <w:sz w:val="24"/>
          <w:szCs w:val="24"/>
        </w:rPr>
        <w:t>2. 评审标准</w:t>
      </w:r>
      <w:bookmarkEnd w:id="36"/>
      <w:bookmarkEnd w:id="37"/>
      <w:bookmarkEnd w:id="38"/>
      <w:bookmarkEnd w:id="39"/>
      <w:bookmarkEnd w:id="40"/>
      <w:bookmarkEnd w:id="41"/>
    </w:p>
    <w:p>
      <w:pPr>
        <w:adjustRightInd w:val="0"/>
        <w:snapToGrid w:val="0"/>
        <w:spacing w:after="0" w:line="360" w:lineRule="auto"/>
        <w:ind w:firstLine="480" w:firstLineChars="200"/>
        <w:jc w:val="both"/>
        <w:rPr>
          <w:rFonts w:hint="eastAsia" w:ascii="宋体" w:hAnsi="宋体" w:eastAsia="宋体"/>
          <w:sz w:val="24"/>
          <w:szCs w:val="24"/>
        </w:rPr>
      </w:pPr>
      <w:bookmarkStart w:id="42" w:name="_Toc21937"/>
      <w:r>
        <w:rPr>
          <w:rFonts w:hint="eastAsia" w:ascii="宋体" w:hAnsi="宋体" w:eastAsia="宋体"/>
          <w:sz w:val="24"/>
          <w:szCs w:val="24"/>
        </w:rPr>
        <w:t>2.1 初步评审标准</w:t>
      </w:r>
      <w:bookmarkEnd w:id="42"/>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2.1.1 形式评审标准：见评标办法前附表。</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2.1.2 资格评审标准：见评标办法前附表。</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2.1.3 响应性评审标准：见评标办法前附表。</w:t>
      </w:r>
    </w:p>
    <w:p>
      <w:pPr>
        <w:adjustRightInd w:val="0"/>
        <w:snapToGrid w:val="0"/>
        <w:spacing w:after="0" w:line="360" w:lineRule="auto"/>
        <w:ind w:firstLine="480" w:firstLineChars="200"/>
        <w:jc w:val="both"/>
        <w:rPr>
          <w:rFonts w:hint="eastAsia" w:ascii="宋体" w:hAnsi="宋体" w:eastAsia="宋体"/>
          <w:sz w:val="24"/>
          <w:szCs w:val="24"/>
        </w:rPr>
      </w:pPr>
      <w:bookmarkStart w:id="43" w:name="_Toc613"/>
      <w:r>
        <w:rPr>
          <w:rFonts w:hint="eastAsia" w:ascii="宋体" w:hAnsi="宋体" w:eastAsia="宋体"/>
          <w:sz w:val="24"/>
          <w:szCs w:val="24"/>
        </w:rPr>
        <w:t>2.2 详细评审标准</w:t>
      </w:r>
      <w:bookmarkEnd w:id="43"/>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详细评审标准:见评标办法前附表。</w:t>
      </w:r>
    </w:p>
    <w:p>
      <w:pPr>
        <w:spacing w:after="0" w:line="360" w:lineRule="auto"/>
        <w:ind w:firstLine="480" w:firstLineChars="200"/>
        <w:jc w:val="both"/>
        <w:rPr>
          <w:rFonts w:hint="eastAsia" w:ascii="宋体" w:hAnsi="宋体" w:eastAsia="宋体" w:cs="Times New Roman"/>
          <w:color w:val="auto"/>
          <w:sz w:val="24"/>
          <w:szCs w:val="24"/>
        </w:rPr>
      </w:pPr>
    </w:p>
    <w:p>
      <w:pPr>
        <w:spacing w:after="0" w:line="360" w:lineRule="auto"/>
        <w:ind w:firstLine="482" w:firstLineChars="200"/>
        <w:jc w:val="both"/>
        <w:outlineLvl w:val="0"/>
        <w:rPr>
          <w:rFonts w:ascii="宋体" w:hAnsi="宋体" w:eastAsia="宋体" w:cs="Times New Roman"/>
          <w:b/>
          <w:color w:val="auto"/>
          <w:sz w:val="24"/>
          <w:szCs w:val="24"/>
        </w:rPr>
      </w:pPr>
      <w:bookmarkStart w:id="44" w:name="_Toc15060"/>
      <w:bookmarkStart w:id="45" w:name="_Toc606"/>
      <w:bookmarkStart w:id="46" w:name="_Toc32580"/>
      <w:bookmarkStart w:id="47" w:name="_Toc9177"/>
      <w:bookmarkStart w:id="48" w:name="_Toc9553"/>
      <w:bookmarkStart w:id="49" w:name="_Toc11237"/>
      <w:r>
        <w:rPr>
          <w:rFonts w:ascii="宋体" w:hAnsi="宋体" w:eastAsia="宋体" w:cs="Times New Roman"/>
          <w:b/>
          <w:color w:val="auto"/>
          <w:sz w:val="24"/>
          <w:szCs w:val="24"/>
        </w:rPr>
        <w:t>3. 评标程序</w:t>
      </w:r>
      <w:bookmarkEnd w:id="44"/>
      <w:bookmarkEnd w:id="45"/>
      <w:bookmarkEnd w:id="46"/>
      <w:bookmarkEnd w:id="47"/>
      <w:bookmarkEnd w:id="48"/>
      <w:bookmarkEnd w:id="49"/>
    </w:p>
    <w:p>
      <w:pPr>
        <w:spacing w:after="0" w:line="360" w:lineRule="auto"/>
        <w:ind w:firstLine="482" w:firstLineChars="200"/>
        <w:jc w:val="both"/>
        <w:outlineLvl w:val="1"/>
        <w:rPr>
          <w:rFonts w:ascii="宋体" w:hAnsi="宋体" w:eastAsia="宋体" w:cs="Times New Roman"/>
          <w:b/>
          <w:color w:val="auto"/>
          <w:sz w:val="24"/>
          <w:szCs w:val="24"/>
        </w:rPr>
      </w:pPr>
      <w:bookmarkStart w:id="50" w:name="_Toc5670"/>
      <w:bookmarkStart w:id="51" w:name="_Toc25250"/>
      <w:r>
        <w:rPr>
          <w:rFonts w:ascii="宋体" w:hAnsi="宋体" w:eastAsia="宋体" w:cs="Times New Roman"/>
          <w:b/>
          <w:color w:val="auto"/>
          <w:sz w:val="24"/>
          <w:szCs w:val="24"/>
        </w:rPr>
        <w:t>3.1 初步评审</w:t>
      </w:r>
      <w:bookmarkEnd w:id="50"/>
      <w:bookmarkEnd w:id="51"/>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3.1.2 投标人有以下情形之一的，评标委员会应当否决其投标：</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（1）投标文件没有对招标文件的实质性要求和条件作出响应，或者对招标文件的偏差超出招标文件规定的偏差范围或最高项数；</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（2）有串通投标、弄虚作假、行贿等违法行为；</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（3）不按评标委员会要求澄清、说明或补正的。</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3.1.3 投标报价有算术错误及其他错误的，评标委员会按以下原则要求投标人对投标报价进行修正，并要求投标人书面澄清确认。投标人拒不澄清确认的，评标委员会应当否决其投标：</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（1）投标文件中的大写金额与小写金额不一致的，以大写金额为准；</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（2）总价金额与单价金额不一致的，以单价金额为准，但单价金额小数点有明显错误的除外；</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（3）投标报价为各分项报价金额之和，投标报价与分项报价的合价不一致的，应以各分项合价累计数为准，修正投标报价；</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（4）如果分项报价中存在缺漏项，则视为缺漏项价格已包含在其他分项报价之中。</w:t>
      </w:r>
    </w:p>
    <w:p>
      <w:pPr>
        <w:spacing w:after="0" w:line="360" w:lineRule="auto"/>
        <w:ind w:firstLine="482" w:firstLineChars="200"/>
        <w:jc w:val="both"/>
        <w:outlineLvl w:val="1"/>
        <w:rPr>
          <w:rFonts w:ascii="宋体" w:hAnsi="宋体" w:eastAsia="宋体" w:cs="Times New Roman"/>
          <w:b/>
          <w:color w:val="auto"/>
          <w:sz w:val="24"/>
          <w:szCs w:val="24"/>
        </w:rPr>
      </w:pPr>
      <w:bookmarkStart w:id="52" w:name="_Toc16836"/>
      <w:bookmarkStart w:id="53" w:name="_Toc17202"/>
      <w:r>
        <w:rPr>
          <w:rFonts w:ascii="宋体" w:hAnsi="宋体" w:eastAsia="宋体" w:cs="Times New Roman"/>
          <w:b/>
          <w:color w:val="auto"/>
          <w:sz w:val="24"/>
          <w:szCs w:val="24"/>
        </w:rPr>
        <w:t>3.2  详细评审</w:t>
      </w:r>
      <w:bookmarkEnd w:id="52"/>
      <w:bookmarkEnd w:id="53"/>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 xml:space="preserve">3.2.1 评标委员会按本章第2.2款规定的量化因素和标准进行价格折算，计算出评标价，并编制价格比较一览表。 </w:t>
      </w:r>
    </w:p>
    <w:p>
      <w:pPr>
        <w:spacing w:after="0" w:line="360" w:lineRule="auto"/>
        <w:ind w:firstLine="482" w:firstLineChars="200"/>
        <w:jc w:val="both"/>
        <w:outlineLvl w:val="1"/>
        <w:rPr>
          <w:rFonts w:ascii="宋体" w:hAnsi="宋体" w:eastAsia="宋体" w:cs="Times New Roman"/>
          <w:b/>
          <w:color w:val="auto"/>
          <w:sz w:val="24"/>
          <w:szCs w:val="24"/>
        </w:rPr>
      </w:pPr>
      <w:bookmarkStart w:id="54" w:name="_Toc795"/>
      <w:bookmarkStart w:id="55" w:name="_Toc10718"/>
      <w:r>
        <w:rPr>
          <w:rFonts w:ascii="宋体" w:hAnsi="宋体" w:eastAsia="宋体" w:cs="Times New Roman"/>
          <w:b/>
          <w:color w:val="auto"/>
          <w:sz w:val="24"/>
          <w:szCs w:val="24"/>
        </w:rPr>
        <w:t>3.3  投标文件的澄清</w:t>
      </w:r>
      <w:bookmarkEnd w:id="54"/>
      <w:bookmarkEnd w:id="55"/>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3.3.2 澄清、说明和补正不得改变投标文件的实质性内容（算术性错误修正的除外）。投标人的书面澄清、说明和补正属于投标文件的组成部分。</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3.3.3 评标委员会对投标人提交的澄清、说明或补正有疑问的，可以要求投标人进一步澄清、说明或补正，直至满足评标委员会的要求。</w:t>
      </w:r>
    </w:p>
    <w:p>
      <w:pPr>
        <w:spacing w:after="0" w:line="360" w:lineRule="auto"/>
        <w:ind w:firstLine="482" w:firstLineChars="200"/>
        <w:jc w:val="both"/>
        <w:outlineLvl w:val="1"/>
        <w:rPr>
          <w:rFonts w:ascii="宋体" w:hAnsi="宋体" w:eastAsia="宋体" w:cs="Times New Roman"/>
          <w:b/>
          <w:color w:val="auto"/>
          <w:sz w:val="24"/>
          <w:szCs w:val="24"/>
        </w:rPr>
      </w:pPr>
      <w:bookmarkStart w:id="56" w:name="_Toc29585"/>
      <w:bookmarkStart w:id="57" w:name="_Toc9967"/>
      <w:r>
        <w:rPr>
          <w:rFonts w:ascii="宋体" w:hAnsi="宋体" w:eastAsia="宋体" w:cs="Times New Roman"/>
          <w:b/>
          <w:color w:val="auto"/>
          <w:sz w:val="24"/>
          <w:szCs w:val="24"/>
        </w:rPr>
        <w:t>3.4  评标结果</w:t>
      </w:r>
      <w:bookmarkEnd w:id="56"/>
      <w:bookmarkEnd w:id="57"/>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3.4.1除第二章“投标人须知”前附表授权直接确定中标人外，评标委员会按照经算术修正的投标报价由低到高的顺序推荐中标候选人，并标明排序。</w:t>
      </w:r>
    </w:p>
    <w:p>
      <w:pPr>
        <w:widowControl w:val="0"/>
        <w:adjustRightInd w:val="0"/>
        <w:snapToGrid w:val="0"/>
        <w:spacing w:after="0" w:line="312" w:lineRule="auto"/>
        <w:ind w:firstLine="480" w:firstLineChars="200"/>
        <w:jc w:val="both"/>
        <w:rPr>
          <w:rFonts w:hint="eastAsia" w:ascii="宋体" w:hAnsi="宋体" w:eastAsia="宋体" w:cs="Times New Roman"/>
          <w:sz w:val="24"/>
          <w:szCs w:val="24"/>
          <w:highlight w:val="none"/>
        </w:rPr>
      </w:pPr>
      <w:r>
        <w:rPr>
          <w:rFonts w:hint="eastAsia" w:ascii="宋体" w:hAnsi="宋体" w:eastAsia="宋体"/>
          <w:sz w:val="24"/>
          <w:szCs w:val="24"/>
        </w:rPr>
        <w:t>3.4.2 评标委员会完成评标后，应当向招标人提交书面评标报告和中标候选人名单。</w:t>
      </w:r>
    </w:p>
    <w:p>
      <w:pPr>
        <w:widowControl w:val="0"/>
        <w:spacing w:after="0" w:line="300" w:lineRule="exact"/>
        <w:jc w:val="both"/>
        <w:rPr>
          <w:rFonts w:hint="eastAsia" w:ascii="宋体" w:hAnsi="宋体" w:eastAsia="宋体" w:cs="Times New Roman"/>
          <w:sz w:val="21"/>
          <w:szCs w:val="21"/>
          <w:highlight w:val="none"/>
        </w:rPr>
      </w:pPr>
    </w:p>
    <w:p>
      <w:pPr>
        <w:widowControl w:val="0"/>
        <w:snapToGrid w:val="0"/>
        <w:spacing w:line="490" w:lineRule="exact"/>
        <w:jc w:val="center"/>
        <w:outlineLvl w:val="9"/>
        <w:rPr>
          <w:rFonts w:ascii="黑体" w:hAnsi="黑体" w:eastAsia="黑体" w:cs="宋体"/>
          <w:kern w:val="44"/>
          <w:sz w:val="32"/>
          <w:szCs w:val="32"/>
          <w:highlight w:val="none"/>
        </w:rPr>
      </w:pPr>
    </w:p>
    <w:p>
      <w:pPr>
        <w:rPr>
          <w:rFonts w:ascii="黑体" w:hAnsi="黑体" w:eastAsia="黑体" w:cs="宋体"/>
          <w:kern w:val="44"/>
          <w:sz w:val="32"/>
          <w:szCs w:val="32"/>
          <w:highlight w:val="none"/>
        </w:rPr>
      </w:pPr>
      <w:r>
        <w:rPr>
          <w:rFonts w:ascii="黑体" w:hAnsi="黑体" w:eastAsia="黑体" w:cs="宋体"/>
          <w:kern w:val="44"/>
          <w:sz w:val="32"/>
          <w:szCs w:val="32"/>
          <w:highlight w:val="none"/>
        </w:rPr>
        <w:br w:type="page"/>
      </w:r>
    </w:p>
    <w:p>
      <w:pPr>
        <w:pStyle w:val="40"/>
        <w:rPr>
          <w:rFonts w:ascii="黑体" w:hAnsi="黑体" w:eastAsia="黑体" w:cs="宋体"/>
          <w:kern w:val="44"/>
          <w:sz w:val="32"/>
          <w:szCs w:val="32"/>
          <w:highlight w:val="none"/>
        </w:rPr>
      </w:pPr>
    </w:p>
    <w:bookmarkEnd w:id="25"/>
    <w:bookmarkEnd w:id="26"/>
    <w:p>
      <w:pPr>
        <w:pStyle w:val="4"/>
        <w:keepNext w:val="0"/>
        <w:keepLines w:val="0"/>
        <w:widowControl w:val="0"/>
        <w:adjustRightInd w:val="0"/>
        <w:snapToGrid w:val="0"/>
        <w:spacing w:after="0" w:line="490" w:lineRule="exact"/>
        <w:ind w:left="0" w:right="0" w:hanging="11"/>
        <w:jc w:val="center"/>
        <w:rPr>
          <w:b/>
          <w:bCs/>
          <w:sz w:val="36"/>
          <w:szCs w:val="28"/>
        </w:rPr>
      </w:pPr>
      <w:r>
        <w:rPr>
          <w:rFonts w:hint="eastAsia"/>
          <w:b/>
          <w:bCs/>
          <w:sz w:val="36"/>
          <w:szCs w:val="28"/>
        </w:rPr>
        <w:t>第四章  合同条款及格式</w:t>
      </w:r>
    </w:p>
    <w:p>
      <w:pPr>
        <w:widowControl w:val="0"/>
        <w:adjustRightInd w:val="0"/>
        <w:snapToGrid w:val="0"/>
        <w:spacing w:after="0" w:line="312" w:lineRule="auto"/>
        <w:jc w:val="both"/>
        <w:outlineLvl w:val="9"/>
        <w:rPr>
          <w:rFonts w:ascii="宋体" w:hAnsi="宋体" w:eastAsia="宋体" w:cs="Times New Roman"/>
          <w:b/>
          <w:sz w:val="24"/>
          <w:szCs w:val="24"/>
        </w:rPr>
      </w:pPr>
    </w:p>
    <w:p>
      <w:pPr>
        <w:pStyle w:val="5"/>
        <w:keepNext w:val="0"/>
        <w:keepLines w:val="0"/>
        <w:spacing w:after="0" w:line="312" w:lineRule="auto"/>
        <w:ind w:left="16" w:right="57" w:hanging="18" w:hangingChars="5"/>
        <w:jc w:val="center"/>
        <w:rPr>
          <w:kern w:val="44"/>
          <w:szCs w:val="32"/>
        </w:rPr>
      </w:pPr>
      <w:r>
        <w:rPr>
          <w:kern w:val="44"/>
          <w:szCs w:val="32"/>
        </w:rPr>
        <w:t>第一节 通用合同条款</w:t>
      </w:r>
    </w:p>
    <w:p>
      <w:pPr>
        <w:widowControl w:val="0"/>
        <w:spacing w:after="0" w:line="312" w:lineRule="auto"/>
        <w:ind w:firstLine="518" w:firstLineChars="216"/>
        <w:jc w:val="both"/>
        <w:rPr>
          <w:rFonts w:ascii="宋体" w:hAnsi="宋体" w:eastAsia="宋体" w:cs="Times New Roman"/>
          <w:sz w:val="24"/>
          <w:szCs w:val="24"/>
        </w:rPr>
      </w:pP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1.词语定义</w:t>
      </w:r>
    </w:p>
    <w:p>
      <w:pPr>
        <w:ind w:firstLine="482" w:firstLineChars="200"/>
        <w:rPr>
          <w:rFonts w:ascii="宋体" w:hAnsi="宋体" w:eastAsia="宋体" w:cs="宋体"/>
          <w:sz w:val="24"/>
          <w:szCs w:val="24"/>
        </w:rPr>
      </w:pPr>
      <w:r>
        <w:rPr>
          <w:rFonts w:hint="eastAsia" w:ascii="宋体" w:hAnsi="宋体" w:eastAsia="宋体" w:cs="宋体"/>
          <w:b/>
          <w:sz w:val="24"/>
          <w:szCs w:val="24"/>
        </w:rPr>
        <w:t>1.1</w:t>
      </w:r>
      <w:r>
        <w:rPr>
          <w:rFonts w:hint="eastAsia" w:ascii="宋体" w:hAnsi="宋体" w:eastAsia="宋体" w:cs="宋体"/>
          <w:sz w:val="24"/>
          <w:szCs w:val="24"/>
        </w:rPr>
        <w:t>项目:招标人委托</w:t>
      </w:r>
      <w:r>
        <w:rPr>
          <w:rFonts w:hint="eastAsia" w:ascii="宋体" w:hAnsi="宋体" w:cs="宋体"/>
          <w:sz w:val="24"/>
          <w:szCs w:val="24"/>
          <w:lang w:eastAsia="zh-CN"/>
        </w:rPr>
        <w:t>响应</w:t>
      </w:r>
      <w:r>
        <w:rPr>
          <w:rFonts w:hint="eastAsia" w:ascii="宋体" w:hAnsi="宋体" w:eastAsia="宋体" w:cs="宋体"/>
          <w:sz w:val="24"/>
          <w:szCs w:val="24"/>
        </w:rPr>
        <w:t>人提供服务的对象。</w:t>
      </w:r>
    </w:p>
    <w:p>
      <w:pPr>
        <w:ind w:firstLine="482" w:firstLineChars="200"/>
        <w:rPr>
          <w:rFonts w:ascii="宋体" w:hAnsi="宋体" w:eastAsia="宋体" w:cs="宋体"/>
          <w:sz w:val="24"/>
          <w:szCs w:val="24"/>
        </w:rPr>
      </w:pPr>
      <w:r>
        <w:rPr>
          <w:rFonts w:hint="eastAsia" w:ascii="宋体" w:hAnsi="宋体" w:eastAsia="宋体" w:cs="宋体"/>
          <w:b/>
          <w:bCs/>
          <w:sz w:val="24"/>
          <w:szCs w:val="24"/>
        </w:rPr>
        <w:t>1.2</w:t>
      </w:r>
      <w:r>
        <w:rPr>
          <w:rFonts w:hint="eastAsia" w:ascii="宋体" w:hAnsi="宋体" w:eastAsia="宋体" w:cs="宋体"/>
          <w:sz w:val="24"/>
          <w:szCs w:val="24"/>
        </w:rPr>
        <w:t xml:space="preserve"> 服务:</w:t>
      </w:r>
      <w:r>
        <w:rPr>
          <w:rFonts w:hint="eastAsia" w:ascii="宋体" w:hAnsi="宋体" w:cs="宋体"/>
          <w:sz w:val="24"/>
          <w:szCs w:val="24"/>
          <w:lang w:eastAsia="zh-CN"/>
        </w:rPr>
        <w:t>响应</w:t>
      </w:r>
      <w:r>
        <w:rPr>
          <w:rFonts w:hint="eastAsia" w:ascii="宋体" w:hAnsi="宋体" w:eastAsia="宋体" w:cs="宋体"/>
          <w:sz w:val="24"/>
          <w:szCs w:val="24"/>
        </w:rPr>
        <w:t>人根据装卸服务合同所承担的工作，包括正常的服务、附加的服务、额外的服务，亦称装卸服务。</w:t>
      </w:r>
    </w:p>
    <w:p>
      <w:pPr>
        <w:ind w:firstLine="482" w:firstLineChars="200"/>
        <w:rPr>
          <w:rFonts w:ascii="宋体" w:hAnsi="宋体" w:eastAsia="宋体" w:cs="宋体"/>
          <w:sz w:val="24"/>
          <w:szCs w:val="24"/>
        </w:rPr>
      </w:pPr>
      <w:r>
        <w:rPr>
          <w:rFonts w:hint="eastAsia" w:ascii="宋体" w:hAnsi="宋体" w:eastAsia="宋体" w:cs="宋体"/>
          <w:b/>
          <w:bCs/>
          <w:sz w:val="24"/>
          <w:szCs w:val="24"/>
        </w:rPr>
        <w:t>1.3</w:t>
      </w:r>
      <w:r>
        <w:rPr>
          <w:rFonts w:hint="eastAsia" w:ascii="宋体" w:hAnsi="宋体" w:eastAsia="宋体" w:cs="宋体"/>
          <w:sz w:val="24"/>
          <w:szCs w:val="24"/>
        </w:rPr>
        <w:t>招标人（甲方）:委托</w:t>
      </w:r>
      <w:r>
        <w:rPr>
          <w:rFonts w:hint="eastAsia" w:ascii="宋体" w:hAnsi="宋体" w:cs="宋体"/>
          <w:sz w:val="24"/>
          <w:szCs w:val="24"/>
          <w:lang w:eastAsia="zh-CN"/>
        </w:rPr>
        <w:t>响应</w:t>
      </w:r>
      <w:r>
        <w:rPr>
          <w:rFonts w:hint="eastAsia" w:ascii="宋体" w:hAnsi="宋体" w:eastAsia="宋体" w:cs="宋体"/>
          <w:sz w:val="24"/>
          <w:szCs w:val="24"/>
        </w:rPr>
        <w:t>人提供服务的法人或其合法继承人或其合法受让人。</w:t>
      </w:r>
    </w:p>
    <w:p>
      <w:pPr>
        <w:ind w:firstLine="482" w:firstLineChars="200"/>
        <w:rPr>
          <w:rFonts w:ascii="宋体" w:hAnsi="宋体" w:eastAsia="宋体" w:cs="宋体"/>
          <w:sz w:val="24"/>
          <w:szCs w:val="24"/>
        </w:rPr>
      </w:pPr>
      <w:r>
        <w:rPr>
          <w:rFonts w:hint="eastAsia" w:ascii="宋体" w:hAnsi="宋体" w:eastAsia="宋体" w:cs="宋体"/>
          <w:b/>
          <w:bCs/>
          <w:sz w:val="24"/>
          <w:szCs w:val="24"/>
        </w:rPr>
        <w:t>1.4</w:t>
      </w:r>
      <w:r>
        <w:rPr>
          <w:rFonts w:hint="eastAsia" w:ascii="宋体" w:hAnsi="宋体" w:cs="宋体"/>
          <w:sz w:val="24"/>
          <w:szCs w:val="24"/>
          <w:lang w:eastAsia="zh-CN"/>
        </w:rPr>
        <w:t>响应</w:t>
      </w:r>
      <w:r>
        <w:rPr>
          <w:rFonts w:hint="eastAsia" w:ascii="宋体" w:hAnsi="宋体" w:eastAsia="宋体" w:cs="宋体"/>
          <w:sz w:val="24"/>
          <w:szCs w:val="24"/>
        </w:rPr>
        <w:t>人（乙方）:具有法人资格和相应资质并与招标人签订了合同协议书承担装卸服务的法人或其合法继承人或其受让人（经招标人同意），如为联合体，则包括联合体所有成员，根据上下文的内容，也指由其派驻到现场履行装卸服务的机构。</w:t>
      </w:r>
    </w:p>
    <w:p>
      <w:pPr>
        <w:ind w:firstLine="482" w:firstLineChars="200"/>
        <w:rPr>
          <w:rFonts w:ascii="宋体" w:hAnsi="宋体" w:eastAsia="宋体" w:cs="宋体"/>
          <w:sz w:val="24"/>
          <w:szCs w:val="24"/>
        </w:rPr>
      </w:pPr>
      <w:r>
        <w:rPr>
          <w:rFonts w:hint="eastAsia" w:ascii="宋体" w:hAnsi="宋体" w:eastAsia="宋体" w:cs="宋体"/>
          <w:b/>
          <w:bCs/>
          <w:sz w:val="24"/>
          <w:szCs w:val="24"/>
        </w:rPr>
        <w:t>1.5</w:t>
      </w:r>
      <w:r>
        <w:rPr>
          <w:rFonts w:hint="eastAsia" w:ascii="宋体" w:hAnsi="宋体" w:eastAsia="宋体" w:cs="宋体"/>
          <w:sz w:val="24"/>
          <w:szCs w:val="24"/>
        </w:rPr>
        <w:t xml:space="preserve"> 一方:</w:t>
      </w:r>
      <w:r>
        <w:rPr>
          <w:rFonts w:hint="eastAsia" w:ascii="宋体" w:hAnsi="宋体" w:cs="宋体"/>
          <w:sz w:val="24"/>
          <w:szCs w:val="24"/>
          <w:lang w:val="en-US" w:eastAsia="zh-CN"/>
        </w:rPr>
        <w:t>采购</w:t>
      </w:r>
      <w:r>
        <w:rPr>
          <w:rFonts w:hint="eastAsia" w:ascii="宋体" w:hAnsi="宋体" w:eastAsia="宋体" w:cs="宋体"/>
          <w:sz w:val="24"/>
          <w:szCs w:val="24"/>
        </w:rPr>
        <w:t>人或</w:t>
      </w:r>
      <w:r>
        <w:rPr>
          <w:rFonts w:hint="eastAsia" w:ascii="宋体" w:hAnsi="宋体" w:cs="宋体"/>
          <w:sz w:val="24"/>
          <w:szCs w:val="24"/>
          <w:lang w:eastAsia="zh-CN"/>
        </w:rPr>
        <w:t>响应</w:t>
      </w:r>
      <w:r>
        <w:rPr>
          <w:rFonts w:hint="eastAsia" w:ascii="宋体" w:hAnsi="宋体" w:eastAsia="宋体" w:cs="宋体"/>
          <w:sz w:val="24"/>
          <w:szCs w:val="24"/>
        </w:rPr>
        <w:t>人。</w:t>
      </w:r>
    </w:p>
    <w:p>
      <w:pPr>
        <w:ind w:firstLine="960" w:firstLineChars="400"/>
        <w:rPr>
          <w:rFonts w:ascii="宋体" w:hAnsi="宋体" w:eastAsia="宋体" w:cs="宋体"/>
          <w:sz w:val="24"/>
          <w:szCs w:val="24"/>
        </w:rPr>
      </w:pPr>
      <w:r>
        <w:rPr>
          <w:rFonts w:hint="eastAsia" w:ascii="宋体" w:hAnsi="宋体" w:eastAsia="宋体" w:cs="宋体"/>
          <w:sz w:val="24"/>
          <w:szCs w:val="24"/>
        </w:rPr>
        <w:t>双方:</w:t>
      </w:r>
      <w:r>
        <w:rPr>
          <w:rFonts w:hint="eastAsia" w:ascii="宋体" w:hAnsi="宋体" w:cs="宋体"/>
          <w:sz w:val="24"/>
          <w:szCs w:val="24"/>
          <w:lang w:val="en-US" w:eastAsia="zh-CN"/>
        </w:rPr>
        <w:t>采购</w:t>
      </w:r>
      <w:r>
        <w:rPr>
          <w:rFonts w:hint="eastAsia" w:ascii="宋体" w:hAnsi="宋体" w:eastAsia="宋体" w:cs="宋体"/>
          <w:sz w:val="24"/>
          <w:szCs w:val="24"/>
        </w:rPr>
        <w:t>人和</w:t>
      </w:r>
      <w:r>
        <w:rPr>
          <w:rFonts w:hint="eastAsia" w:ascii="宋体" w:hAnsi="宋体" w:cs="宋体"/>
          <w:sz w:val="24"/>
          <w:szCs w:val="24"/>
          <w:lang w:eastAsia="zh-CN"/>
        </w:rPr>
        <w:t>响应</w:t>
      </w:r>
      <w:r>
        <w:rPr>
          <w:rFonts w:hint="eastAsia" w:ascii="宋体" w:hAnsi="宋体" w:eastAsia="宋体" w:cs="宋体"/>
          <w:sz w:val="24"/>
          <w:szCs w:val="24"/>
        </w:rPr>
        <w:t>人。</w:t>
      </w:r>
    </w:p>
    <w:p>
      <w:pPr>
        <w:ind w:firstLine="960" w:firstLineChars="400"/>
        <w:rPr>
          <w:rFonts w:ascii="宋体" w:hAnsi="宋体" w:eastAsia="宋体" w:cs="宋体"/>
          <w:sz w:val="24"/>
          <w:szCs w:val="24"/>
        </w:rPr>
      </w:pPr>
      <w:r>
        <w:rPr>
          <w:rFonts w:hint="eastAsia" w:ascii="宋体" w:hAnsi="宋体" w:eastAsia="宋体" w:cs="宋体"/>
          <w:sz w:val="24"/>
          <w:szCs w:val="24"/>
        </w:rPr>
        <w:t>第三方:本合同双方以外的任何中国境内外的自然人、法人或其他经济组织。</w:t>
      </w:r>
    </w:p>
    <w:p>
      <w:pPr>
        <w:ind w:firstLine="482" w:firstLineChars="20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sz w:val="24"/>
          <w:szCs w:val="24"/>
        </w:rPr>
        <w:t>装卸服务合同:</w:t>
      </w:r>
      <w:r>
        <w:rPr>
          <w:rFonts w:hint="eastAsia" w:ascii="宋体" w:hAnsi="宋体" w:cs="宋体"/>
          <w:sz w:val="24"/>
          <w:szCs w:val="24"/>
          <w:lang w:val="en-US" w:eastAsia="zh-CN"/>
        </w:rPr>
        <w:t>采购</w:t>
      </w:r>
      <w:r>
        <w:rPr>
          <w:rFonts w:hint="eastAsia" w:ascii="宋体" w:hAnsi="宋体" w:eastAsia="宋体" w:cs="宋体"/>
          <w:sz w:val="24"/>
          <w:szCs w:val="24"/>
        </w:rPr>
        <w:t>人和</w:t>
      </w:r>
      <w:r>
        <w:rPr>
          <w:rFonts w:hint="eastAsia" w:ascii="宋体" w:hAnsi="宋体" w:cs="宋体"/>
          <w:sz w:val="24"/>
          <w:szCs w:val="24"/>
          <w:lang w:eastAsia="zh-CN"/>
        </w:rPr>
        <w:t>响应</w:t>
      </w:r>
      <w:r>
        <w:rPr>
          <w:rFonts w:hint="eastAsia" w:ascii="宋体" w:hAnsi="宋体" w:eastAsia="宋体" w:cs="宋体"/>
          <w:sz w:val="24"/>
          <w:szCs w:val="24"/>
        </w:rPr>
        <w:t>人双方签署的，与本项目相关的合同协议书及附件、附录等一切文件，还包括</w:t>
      </w:r>
      <w:r>
        <w:rPr>
          <w:rFonts w:hint="eastAsia" w:ascii="宋体" w:hAnsi="宋体" w:cs="宋体"/>
          <w:sz w:val="24"/>
          <w:szCs w:val="24"/>
          <w:lang w:val="en-US" w:eastAsia="zh-CN"/>
        </w:rPr>
        <w:t>采购</w:t>
      </w:r>
      <w:r>
        <w:rPr>
          <w:rFonts w:hint="eastAsia" w:ascii="宋体" w:hAnsi="宋体" w:eastAsia="宋体" w:cs="宋体"/>
          <w:sz w:val="24"/>
          <w:szCs w:val="24"/>
        </w:rPr>
        <w:t>文件、</w:t>
      </w:r>
      <w:r>
        <w:rPr>
          <w:rFonts w:hint="eastAsia" w:ascii="宋体" w:hAnsi="宋体" w:cs="宋体"/>
          <w:sz w:val="24"/>
          <w:szCs w:val="24"/>
          <w:lang w:eastAsia="zh-CN"/>
        </w:rPr>
        <w:t>响应</w:t>
      </w:r>
      <w:r>
        <w:rPr>
          <w:rFonts w:hint="eastAsia" w:ascii="宋体" w:hAnsi="宋体" w:eastAsia="宋体" w:cs="宋体"/>
          <w:sz w:val="24"/>
          <w:szCs w:val="24"/>
        </w:rPr>
        <w:t>文件中的相关内容及双方签认的补充或修正文件。</w:t>
      </w:r>
    </w:p>
    <w:p>
      <w:pPr>
        <w:ind w:firstLine="482" w:firstLineChars="200"/>
        <w:rPr>
          <w:rFonts w:ascii="宋体" w:hAnsi="宋体" w:eastAsia="宋体" w:cs="宋体"/>
          <w:sz w:val="24"/>
          <w:szCs w:val="24"/>
        </w:rPr>
      </w:pPr>
      <w:r>
        <w:rPr>
          <w:rFonts w:hint="eastAsia" w:ascii="宋体" w:hAnsi="宋体" w:eastAsia="宋体" w:cs="宋体"/>
          <w:b/>
          <w:bCs/>
          <w:sz w:val="24"/>
          <w:szCs w:val="24"/>
        </w:rPr>
        <w:t xml:space="preserve">1.7 </w:t>
      </w:r>
      <w:r>
        <w:rPr>
          <w:rFonts w:hint="eastAsia" w:ascii="宋体" w:hAnsi="宋体" w:eastAsia="宋体" w:cs="宋体"/>
          <w:sz w:val="24"/>
          <w:szCs w:val="24"/>
        </w:rPr>
        <w:t>附件:与本合同的订立、履行有关的，经双方认可的，对本合同约定的内容进行细化、补充、修改、变更的文件、图纸、音像制品等资料。</w:t>
      </w:r>
    </w:p>
    <w:p>
      <w:pPr>
        <w:ind w:firstLine="482" w:firstLineChars="200"/>
        <w:rPr>
          <w:rFonts w:ascii="宋体" w:hAnsi="宋体" w:eastAsia="宋体" w:cs="宋体"/>
          <w:sz w:val="24"/>
          <w:szCs w:val="24"/>
        </w:rPr>
      </w:pPr>
      <w:r>
        <w:rPr>
          <w:rFonts w:hint="eastAsia" w:ascii="宋体" w:hAnsi="宋体" w:eastAsia="宋体" w:cs="宋体"/>
          <w:b/>
          <w:bCs/>
          <w:sz w:val="24"/>
          <w:szCs w:val="24"/>
        </w:rPr>
        <w:t>1.8</w:t>
      </w:r>
      <w:r>
        <w:rPr>
          <w:rFonts w:hint="eastAsia" w:ascii="宋体" w:hAnsi="宋体" w:eastAsia="宋体" w:cs="宋体"/>
          <w:sz w:val="24"/>
          <w:szCs w:val="24"/>
        </w:rPr>
        <w:t xml:space="preserve"> 法律法规:由中国有关部门制定的法律、行政法规、地方性法规、规章及其他规范性文件以及经全国人民代表大会常务委员会批准的中国缔结、参加的国际条公约的有关规定。</w:t>
      </w:r>
    </w:p>
    <w:p>
      <w:pPr>
        <w:ind w:firstLine="482" w:firstLineChars="200"/>
        <w:rPr>
          <w:rFonts w:ascii="宋体" w:hAnsi="宋体" w:eastAsia="宋体" w:cs="宋体"/>
          <w:sz w:val="24"/>
          <w:szCs w:val="24"/>
        </w:rPr>
      </w:pPr>
      <w:r>
        <w:rPr>
          <w:rFonts w:hint="eastAsia" w:ascii="宋体" w:hAnsi="宋体" w:eastAsia="宋体" w:cs="宋体"/>
          <w:b/>
          <w:bCs/>
          <w:sz w:val="24"/>
          <w:szCs w:val="24"/>
        </w:rPr>
        <w:t>1.9</w:t>
      </w:r>
      <w:r>
        <w:rPr>
          <w:rFonts w:hint="eastAsia" w:ascii="宋体" w:hAnsi="宋体" w:eastAsia="宋体" w:cs="宋体"/>
          <w:sz w:val="24"/>
          <w:szCs w:val="24"/>
        </w:rPr>
        <w:t>书面形式:指任何手写、打字、印刷或电子文档等用文字表达的方式。</w:t>
      </w:r>
    </w:p>
    <w:p>
      <w:pPr>
        <w:widowControl w:val="0"/>
        <w:spacing w:after="0" w:line="312" w:lineRule="auto"/>
        <w:ind w:firstLine="482" w:firstLineChars="200"/>
        <w:jc w:val="both"/>
        <w:rPr>
          <w:rFonts w:ascii="宋体" w:hAnsi="宋体" w:eastAsia="宋体" w:cs="Times New Roman"/>
          <w:sz w:val="24"/>
          <w:szCs w:val="24"/>
        </w:rPr>
      </w:pPr>
      <w:r>
        <w:rPr>
          <w:rFonts w:hint="eastAsia" w:ascii="宋体" w:hAnsi="宋体" w:eastAsia="宋体" w:cs="Times New Roman"/>
          <w:b/>
          <w:sz w:val="24"/>
          <w:szCs w:val="24"/>
        </w:rPr>
        <w:t>1.10</w:t>
      </w:r>
      <w:r>
        <w:rPr>
          <w:rFonts w:hint="eastAsia" w:ascii="宋体" w:hAnsi="宋体" w:eastAsia="宋体" w:cs="Times New Roman"/>
          <w:sz w:val="24"/>
          <w:szCs w:val="24"/>
        </w:rPr>
        <w:t>合同价款：指本合同协议书中约定并依本合同约定调整后的价格。</w:t>
      </w:r>
    </w:p>
    <w:p>
      <w:pPr>
        <w:widowControl w:val="0"/>
        <w:spacing w:after="0" w:line="312" w:lineRule="auto"/>
        <w:ind w:firstLine="482" w:firstLineChars="200"/>
        <w:jc w:val="both"/>
        <w:rPr>
          <w:rFonts w:ascii="宋体" w:hAnsi="宋体" w:eastAsia="宋体" w:cs="Times New Roman"/>
          <w:sz w:val="24"/>
          <w:szCs w:val="24"/>
        </w:rPr>
      </w:pPr>
      <w:r>
        <w:rPr>
          <w:rFonts w:hint="eastAsia" w:ascii="宋体" w:hAnsi="宋体" w:eastAsia="宋体" w:cs="Times New Roman"/>
          <w:b/>
          <w:sz w:val="24"/>
          <w:szCs w:val="24"/>
        </w:rPr>
        <w:t>1.11</w:t>
      </w:r>
      <w:r>
        <w:rPr>
          <w:rFonts w:hint="eastAsia" w:ascii="宋体" w:hAnsi="宋体" w:eastAsia="宋体" w:cs="Times New Roman"/>
          <w:sz w:val="24"/>
          <w:szCs w:val="24"/>
        </w:rPr>
        <w:t>罚款：本合同中所称“罚款”，性质皆属“违约责任”。</w:t>
      </w:r>
    </w:p>
    <w:p>
      <w:pPr>
        <w:widowControl w:val="0"/>
        <w:spacing w:after="0" w:line="312" w:lineRule="auto"/>
        <w:ind w:firstLine="482" w:firstLineChars="200"/>
        <w:jc w:val="both"/>
        <w:rPr>
          <w:rFonts w:ascii="宋体" w:hAnsi="宋体" w:eastAsia="宋体" w:cs="Times New Roman"/>
          <w:sz w:val="24"/>
          <w:szCs w:val="24"/>
        </w:rPr>
      </w:pPr>
      <w:r>
        <w:rPr>
          <w:rFonts w:hint="eastAsia" w:ascii="宋体" w:hAnsi="宋体" w:eastAsia="宋体" w:cs="Times New Roman"/>
          <w:b/>
          <w:sz w:val="24"/>
          <w:szCs w:val="24"/>
        </w:rPr>
        <w:t>1.12</w:t>
      </w:r>
      <w:r>
        <w:rPr>
          <w:rFonts w:hint="eastAsia" w:ascii="宋体" w:hAnsi="宋体" w:eastAsia="宋体" w:cs="Times New Roman"/>
          <w:sz w:val="24"/>
          <w:szCs w:val="24"/>
        </w:rPr>
        <w:t xml:space="preserve">日、天：本文所述之“日”、“天”均指日历天。 </w:t>
      </w:r>
    </w:p>
    <w:p>
      <w:pPr>
        <w:widowControl w:val="0"/>
        <w:spacing w:after="0" w:line="312" w:lineRule="auto"/>
        <w:ind w:firstLine="482" w:firstLineChars="200"/>
        <w:jc w:val="both"/>
        <w:rPr>
          <w:rFonts w:ascii="宋体" w:hAnsi="宋体" w:eastAsia="宋体" w:cs="Times New Roman"/>
          <w:sz w:val="24"/>
          <w:szCs w:val="24"/>
        </w:rPr>
      </w:pPr>
      <w:r>
        <w:rPr>
          <w:rFonts w:hint="eastAsia" w:ascii="宋体" w:hAnsi="宋体" w:eastAsia="宋体" w:cs="Times New Roman"/>
          <w:b/>
          <w:sz w:val="24"/>
          <w:szCs w:val="24"/>
        </w:rPr>
        <w:t>1.13</w:t>
      </w:r>
      <w:r>
        <w:rPr>
          <w:rFonts w:hint="eastAsia" w:ascii="宋体" w:hAnsi="宋体" w:eastAsia="宋体" w:cs="Times New Roman"/>
          <w:sz w:val="24"/>
          <w:szCs w:val="24"/>
        </w:rPr>
        <w:t xml:space="preserve">乙方项目负责人：指乙方派驻服务地点负责管理和履行合同的代表。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2.服务项目概况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具体见合同协议书及专用条款中所述。</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3.工作内容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除非本合同另有约定，乙方应对其作业内容的实施、完工负责，乙方的所有义务及工作程序具体见合同协议书及专用条件中所述。</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3.1</w:t>
      </w:r>
      <w:r>
        <w:rPr>
          <w:rFonts w:hint="eastAsia" w:ascii="宋体" w:hAnsi="宋体" w:eastAsia="宋体" w:cs="Times New Roman"/>
          <w:sz w:val="24"/>
          <w:szCs w:val="24"/>
        </w:rPr>
        <w:t>承包范围：以专用合同明确的范围为准。</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3.2</w:t>
      </w:r>
      <w:r>
        <w:rPr>
          <w:rFonts w:hint="eastAsia" w:ascii="宋体" w:hAnsi="宋体" w:eastAsia="宋体" w:cs="Times New Roman"/>
          <w:sz w:val="24"/>
          <w:szCs w:val="24"/>
        </w:rPr>
        <w:t xml:space="preserve">承包方式：包人工、包辅材、包机具、包质量、包安全、包文明作业以及总包配合的方式承包。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3.3</w:t>
      </w:r>
      <w:r>
        <w:rPr>
          <w:rFonts w:hint="eastAsia" w:ascii="宋体" w:hAnsi="宋体" w:eastAsia="宋体" w:cs="Times New Roman"/>
          <w:sz w:val="24"/>
          <w:szCs w:val="24"/>
        </w:rPr>
        <w:t>甲方与客户所签订的合同针对甲方在上述承包范围内的所有条款均对乙方具有同等的约束力，乙方必须严格遵守并承担相应的责任。</w:t>
      </w:r>
    </w:p>
    <w:p>
      <w:pPr>
        <w:widowControl w:val="0"/>
        <w:spacing w:after="0" w:line="312" w:lineRule="auto"/>
        <w:ind w:firstLine="520" w:firstLineChars="216"/>
        <w:jc w:val="both"/>
        <w:rPr>
          <w:rFonts w:ascii="宋体" w:hAnsi="宋体" w:eastAsia="宋体" w:cs="Times New Roman"/>
          <w:b/>
          <w:sz w:val="24"/>
          <w:szCs w:val="24"/>
          <w:highlight w:val="yellow"/>
        </w:rPr>
      </w:pPr>
      <w:r>
        <w:rPr>
          <w:rFonts w:hint="eastAsia" w:ascii="宋体" w:hAnsi="宋体" w:eastAsia="宋体" w:cs="Times New Roman"/>
          <w:b/>
          <w:sz w:val="24"/>
          <w:szCs w:val="24"/>
          <w:highlight w:val="yellow"/>
        </w:rPr>
        <w:t>4.生产计划与考核</w:t>
      </w:r>
    </w:p>
    <w:p>
      <w:pPr>
        <w:widowControl w:val="0"/>
        <w:spacing w:after="0" w:line="312" w:lineRule="auto"/>
        <w:ind w:firstLine="518" w:firstLineChars="216"/>
        <w:jc w:val="both"/>
        <w:rPr>
          <w:rFonts w:ascii="宋体" w:hAnsi="宋体" w:eastAsia="宋体" w:cs="Times New Roman"/>
          <w:bCs/>
          <w:sz w:val="24"/>
          <w:szCs w:val="24"/>
          <w:highlight w:val="yellow"/>
        </w:rPr>
      </w:pPr>
      <w:r>
        <w:rPr>
          <w:rFonts w:hint="eastAsia" w:ascii="宋体" w:hAnsi="宋体" w:eastAsia="宋体" w:cs="Times New Roman"/>
          <w:bCs/>
          <w:sz w:val="24"/>
          <w:szCs w:val="24"/>
          <w:highlight w:val="yellow"/>
        </w:rPr>
        <w:t>4.1乙方必须按甲方下达的生产调度计划与货源预报，结合自身</w:t>
      </w:r>
      <w:r>
        <w:rPr>
          <w:rFonts w:hint="eastAsia" w:ascii="宋体" w:hAnsi="宋体" w:cs="Times New Roman"/>
          <w:bCs/>
          <w:sz w:val="24"/>
          <w:szCs w:val="24"/>
          <w:highlight w:val="yellow"/>
          <w:lang w:val="en-US" w:eastAsia="zh-CN"/>
        </w:rPr>
        <w:t>合同</w:t>
      </w:r>
      <w:r>
        <w:rPr>
          <w:rFonts w:hint="eastAsia" w:ascii="宋体" w:hAnsi="宋体" w:eastAsia="宋体" w:cs="Times New Roman"/>
          <w:bCs/>
          <w:sz w:val="24"/>
          <w:szCs w:val="24"/>
          <w:highlight w:val="yellow"/>
        </w:rPr>
        <w:t>内容，编制年、月生产保障计划(包括作业地点、车辆安排、计划人数等)。年度计划在本合同签订后五日内报甲方审核确认，作为合同附件，具备合同约束力。</w:t>
      </w:r>
    </w:p>
    <w:p>
      <w:pPr>
        <w:widowControl w:val="0"/>
        <w:spacing w:after="0" w:line="312" w:lineRule="auto"/>
        <w:ind w:firstLine="518" w:firstLineChars="216"/>
        <w:jc w:val="both"/>
        <w:rPr>
          <w:rFonts w:ascii="宋体" w:hAnsi="宋体" w:eastAsia="宋体" w:cs="Times New Roman"/>
          <w:bCs/>
          <w:sz w:val="24"/>
          <w:szCs w:val="24"/>
          <w:highlight w:val="yellow"/>
        </w:rPr>
      </w:pPr>
      <w:r>
        <w:rPr>
          <w:rFonts w:hint="eastAsia" w:ascii="宋体" w:hAnsi="宋体" w:eastAsia="宋体" w:cs="Times New Roman"/>
          <w:bCs/>
          <w:sz w:val="24"/>
          <w:szCs w:val="24"/>
          <w:highlight w:val="yellow"/>
        </w:rPr>
        <w:t>4.2甲方每月对乙方生产、安全、质量、环保履行情况考核一次，如因乙方原因达不到要求，甲方有权根据实际情况对乙方处以100—1000元/次罚款，直至勒令乙方无条件退场且没收履约保证金。</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5.质量标准</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5.1</w:t>
      </w:r>
      <w:r>
        <w:rPr>
          <w:rFonts w:hint="eastAsia" w:ascii="宋体" w:hAnsi="宋体" w:eastAsia="宋体" w:cs="Times New Roman"/>
          <w:sz w:val="24"/>
          <w:szCs w:val="24"/>
        </w:rPr>
        <w:t xml:space="preserve">乙方服务质量应达到甲方质量管理标准，质量验收标准按照甲方质量管理规章制度相应条款履行。凡不符合国家规范及甲方要求的质量标准，甲方有权令其返工，返工所有工料费用由乙方负责并承担甲方的损失。返工后仍达不到要求时，甲方有权指令其它班组协助其返工，返工费用由乙方承担并承担违约金1000元/次。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5.2</w:t>
      </w:r>
      <w:r>
        <w:rPr>
          <w:rFonts w:hint="eastAsia" w:ascii="宋体" w:hAnsi="宋体" w:eastAsia="宋体" w:cs="Times New Roman"/>
          <w:sz w:val="24"/>
          <w:szCs w:val="24"/>
        </w:rPr>
        <w:t>甲方在服务过程中提出的整改意见，乙方必须在甲方发出通知后24小时内进行返工或整改。若乙方拒不执行整改意见，或整改不及时，或整改后仍达不到质量要求的每次承担违约金1000元。甲方可雇用第三方进行修补，并直接从乙方结算款或保证金中双倍扣除因此发生的费用，无须通知乙方或征得乙方同意。</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6.甲方权利和义务</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6.1甲方代表</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6.1.1</w:t>
      </w:r>
      <w:r>
        <w:rPr>
          <w:rFonts w:hint="eastAsia" w:ascii="宋体" w:hAnsi="宋体" w:eastAsia="宋体" w:cs="Times New Roman"/>
          <w:sz w:val="24"/>
          <w:szCs w:val="24"/>
        </w:rPr>
        <w:t>甲方委派的托管部门在本合同专用条款内写明。甲方托管部门代表甲方行使本合同的约定责任，履行本合同条款。</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6.1.2</w:t>
      </w:r>
      <w:r>
        <w:rPr>
          <w:rFonts w:hint="eastAsia" w:ascii="宋体" w:hAnsi="宋体" w:eastAsia="宋体" w:cs="Times New Roman"/>
          <w:sz w:val="24"/>
          <w:szCs w:val="24"/>
        </w:rPr>
        <w:t>除甲方托管部门及其书面确定具有详细权限的代表人外，任何人的签字及行为均不发生效力，不对甲方产生任何约束力。</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6.1.3</w:t>
      </w:r>
      <w:r>
        <w:rPr>
          <w:rFonts w:hint="eastAsia" w:ascii="宋体" w:hAnsi="宋体" w:eastAsia="宋体" w:cs="Times New Roman"/>
          <w:sz w:val="24"/>
          <w:szCs w:val="24"/>
        </w:rPr>
        <w:t>乙方依据合同发出的请求和通知，以书面形式由乙方负责人签字后送交甲方托管部门，甲方托管部门在回执上签字认可并注明时间后视为有效签收。</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6.1.4</w:t>
      </w:r>
      <w:r>
        <w:rPr>
          <w:rFonts w:hint="eastAsia" w:ascii="宋体" w:hAnsi="宋体" w:eastAsia="宋体" w:cs="Times New Roman"/>
          <w:sz w:val="24"/>
          <w:szCs w:val="24"/>
        </w:rPr>
        <w:t>乙方如需更换负责人，应至少提前7天以书面形式通知甲方托管部门，并征得甲方托管部门书面同意，后任继续行使前任的职权，履行前任的义务。</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6.1.5</w:t>
      </w:r>
      <w:r>
        <w:rPr>
          <w:rFonts w:hint="eastAsia" w:ascii="宋体" w:hAnsi="宋体" w:eastAsia="宋体" w:cs="Times New Roman"/>
          <w:sz w:val="24"/>
          <w:szCs w:val="24"/>
        </w:rPr>
        <w:t>甲方托管部门有权要求乙方更换甲方托管部门认为不称职的现场管理人员和作业</w:t>
      </w:r>
      <w:r>
        <w:rPr>
          <w:rFonts w:hint="eastAsia" w:ascii="宋体" w:hAnsi="宋体" w:cs="Times New Roman"/>
          <w:sz w:val="24"/>
          <w:szCs w:val="24"/>
          <w:lang w:val="en-US" w:eastAsia="zh-CN"/>
        </w:rPr>
        <w:t>人员</w:t>
      </w:r>
      <w:r>
        <w:rPr>
          <w:rFonts w:hint="eastAsia" w:ascii="宋体" w:hAnsi="宋体" w:eastAsia="宋体" w:cs="Times New Roman"/>
          <w:sz w:val="24"/>
          <w:szCs w:val="24"/>
        </w:rPr>
        <w:t>、机具。</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6.2 管理职责、权限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甲方托管部门负责行使管理职责，对乙方生产作业的进度、质量、安全、文明施工进行监督和管理，协调乙方同其他相关方的配合关系。对乙方不服从现场管理的行为，有追究其违约责任和终止本合同的权利。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6.3 现场生产条件的提供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6.3.1</w:t>
      </w:r>
      <w:r>
        <w:rPr>
          <w:rFonts w:hint="eastAsia" w:ascii="宋体" w:hAnsi="宋体" w:eastAsia="宋体" w:cs="Times New Roman"/>
          <w:sz w:val="24"/>
          <w:szCs w:val="24"/>
        </w:rPr>
        <w:t>向乙方提供具备生产条件的场地。</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6.3.2</w:t>
      </w:r>
      <w:r>
        <w:rPr>
          <w:rFonts w:hint="eastAsia" w:ascii="宋体" w:hAnsi="宋体" w:eastAsia="宋体" w:cs="Times New Roman"/>
          <w:sz w:val="24"/>
          <w:szCs w:val="24"/>
        </w:rPr>
        <w:t>根据生产情况安排乙方工作，并对乙方进行指导，解决生产作业中遇到的难题。</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6.3.3</w:t>
      </w:r>
      <w:r>
        <w:rPr>
          <w:rFonts w:hint="eastAsia" w:ascii="宋体" w:hAnsi="宋体" w:eastAsia="宋体" w:cs="Times New Roman"/>
          <w:sz w:val="24"/>
          <w:szCs w:val="24"/>
        </w:rPr>
        <w:t>按合同约定及时审核乙方递交的结算书，支付作业费用。</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6.3.4</w:t>
      </w:r>
      <w:r>
        <w:rPr>
          <w:rFonts w:hint="eastAsia" w:ascii="宋体" w:hAnsi="宋体" w:eastAsia="宋体" w:cs="Times New Roman"/>
          <w:sz w:val="24"/>
          <w:szCs w:val="24"/>
        </w:rPr>
        <w:t>乙方上岗前，甲方应组织有关人员对乙方人员进行入场教育培训。</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6.3.5</w:t>
      </w:r>
      <w:r>
        <w:rPr>
          <w:rFonts w:hint="eastAsia" w:ascii="宋体" w:hAnsi="宋体" w:eastAsia="宋体" w:cs="Times New Roman"/>
          <w:sz w:val="24"/>
          <w:szCs w:val="24"/>
        </w:rPr>
        <w:t>协调乙方人员与同一生产作业场地的其他人员、单位之间的交叉配合。</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6.3.6</w:t>
      </w:r>
      <w:r>
        <w:rPr>
          <w:rFonts w:hint="eastAsia" w:ascii="宋体" w:hAnsi="宋体" w:eastAsia="宋体" w:cs="Times New Roman"/>
          <w:sz w:val="24"/>
          <w:szCs w:val="24"/>
        </w:rPr>
        <w:t>甲方应做的其他工作，双方在本合同专用条款内约定。</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6.4 支付结算款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甲方应按本合同约定办理结算，向乙方支付服务款。</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6.5 其他</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6.5.1</w:t>
      </w:r>
      <w:r>
        <w:rPr>
          <w:rFonts w:hint="eastAsia" w:ascii="宋体" w:hAnsi="宋体" w:eastAsia="宋体" w:cs="Times New Roman"/>
          <w:sz w:val="24"/>
          <w:szCs w:val="24"/>
        </w:rPr>
        <w:t xml:space="preserve">其他权利义务由双方在专用条款中约定。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7.乙方权利及义务</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7.1乙方派驻负责人、管理人员及组织架构</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 xml:space="preserve">7.1.1 </w:t>
      </w:r>
      <w:r>
        <w:rPr>
          <w:rFonts w:hint="eastAsia" w:ascii="宋体" w:hAnsi="宋体" w:eastAsia="宋体" w:cs="Times New Roman"/>
          <w:sz w:val="24"/>
          <w:szCs w:val="24"/>
        </w:rPr>
        <w:t>乙方负责人全权负责乙方现场管理，代表乙方行使与本合同有关的权利和义务，并与甲方保持通畅的通讯联系和现场配合，乙方对该负责人所有基于履行本合同约定的行为承担全部法律责任。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7.1.2</w:t>
      </w:r>
      <w:r>
        <w:rPr>
          <w:rFonts w:hint="eastAsia" w:ascii="宋体" w:hAnsi="宋体" w:eastAsia="宋体" w:cs="Times New Roman"/>
          <w:sz w:val="24"/>
          <w:szCs w:val="24"/>
        </w:rPr>
        <w:t>乙方必须按</w:t>
      </w:r>
      <w:r>
        <w:rPr>
          <w:rFonts w:hint="eastAsia" w:ascii="宋体" w:hAnsi="宋体" w:cs="Times New Roman"/>
          <w:sz w:val="24"/>
          <w:szCs w:val="24"/>
          <w:lang w:eastAsia="zh-CN"/>
        </w:rPr>
        <w:t>响应</w:t>
      </w:r>
      <w:r>
        <w:rPr>
          <w:rFonts w:hint="eastAsia" w:ascii="宋体" w:hAnsi="宋体" w:eastAsia="宋体" w:cs="Times New Roman"/>
          <w:sz w:val="24"/>
          <w:szCs w:val="24"/>
        </w:rPr>
        <w:t>文件要求在现场派驻管理人员且不得随意更换。管理人员每周驻现场时间不得少于40个小时。乙方委派的管理人员和作业人员必须符合当地政府规定的上岗条件，持有上岗证。乙方主要管理人员的变动须经甲方同意，若甲方认为乙方管理人员不能胜任其工作，则有权要求乙方更换，乙方必须在5天内提交新人选。若乙方未在规定时间提交人选或两次提出的人选都不能令甲方满意，视为乙方违约，甲方有权终止合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7.1.3</w:t>
      </w:r>
      <w:r>
        <w:rPr>
          <w:rFonts w:hint="eastAsia" w:ascii="宋体" w:hAnsi="宋体" w:eastAsia="宋体" w:cs="Times New Roman"/>
          <w:sz w:val="24"/>
          <w:szCs w:val="24"/>
        </w:rPr>
        <w:t>乙方必须按</w:t>
      </w:r>
      <w:r>
        <w:rPr>
          <w:rFonts w:hint="eastAsia" w:ascii="宋体" w:hAnsi="宋体" w:cs="Times New Roman"/>
          <w:sz w:val="24"/>
          <w:szCs w:val="24"/>
          <w:lang w:eastAsia="zh-CN"/>
        </w:rPr>
        <w:t>响应</w:t>
      </w:r>
      <w:r>
        <w:rPr>
          <w:rFonts w:hint="eastAsia" w:ascii="宋体" w:hAnsi="宋体" w:eastAsia="宋体" w:cs="Times New Roman"/>
          <w:sz w:val="24"/>
          <w:szCs w:val="24"/>
        </w:rPr>
        <w:t>文件要求明确该项目组织架构，若发生变更时，必须经甲方托管部门同意，并在五日内报甲方托管部门备案。</w:t>
      </w:r>
    </w:p>
    <w:p>
      <w:pPr>
        <w:widowControl w:val="0"/>
        <w:spacing w:after="0" w:line="312" w:lineRule="auto"/>
        <w:ind w:firstLine="520" w:firstLineChars="216"/>
        <w:jc w:val="both"/>
        <w:rPr>
          <w:rFonts w:ascii="宋体" w:hAnsi="宋体" w:eastAsia="宋体" w:cs="Times New Roman"/>
          <w:b/>
          <w:color w:val="auto"/>
          <w:sz w:val="24"/>
          <w:szCs w:val="24"/>
        </w:rPr>
      </w:pPr>
      <w:r>
        <w:rPr>
          <w:rFonts w:hint="eastAsia" w:ascii="宋体" w:hAnsi="宋体" w:eastAsia="宋体" w:cs="Times New Roman"/>
          <w:b/>
          <w:color w:val="auto"/>
          <w:sz w:val="24"/>
          <w:szCs w:val="24"/>
        </w:rPr>
        <w:t>7.2生产作业</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7.2</w:t>
      </w:r>
      <w:r>
        <w:rPr>
          <w:rFonts w:hint="eastAsia" w:ascii="宋体" w:hAnsi="宋体" w:eastAsia="宋体" w:cs="Times New Roman"/>
          <w:b/>
          <w:sz w:val="24"/>
          <w:szCs w:val="24"/>
        </w:rPr>
        <w:t>.1</w:t>
      </w:r>
      <w:r>
        <w:rPr>
          <w:rFonts w:hint="eastAsia" w:ascii="宋体" w:hAnsi="宋体" w:eastAsia="宋体" w:cs="Times New Roman"/>
          <w:sz w:val="24"/>
          <w:szCs w:val="24"/>
        </w:rPr>
        <w:t>乙方必须遵守甲方各项规章制度，服从甲方统一指挥调度；须服从甲方转发的相关方与作业范围有关的指令，但乙方不得以任何理由擅自与相关方发生直接工作联系。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7.2</w:t>
      </w:r>
      <w:r>
        <w:rPr>
          <w:rFonts w:hint="eastAsia" w:ascii="宋体" w:hAnsi="宋体" w:eastAsia="宋体" w:cs="Times New Roman"/>
          <w:b/>
          <w:sz w:val="24"/>
          <w:szCs w:val="24"/>
        </w:rPr>
        <w:t>.2</w:t>
      </w:r>
      <w:r>
        <w:rPr>
          <w:rFonts w:hint="eastAsia" w:ascii="宋体" w:hAnsi="宋体" w:eastAsia="宋体" w:cs="Times New Roman"/>
          <w:sz w:val="24"/>
          <w:szCs w:val="24"/>
        </w:rPr>
        <w:t>乙方须按时提交报表、完整的原始技术经济资料，配合甲方办理完工验收，完成与作业内容相关的资料。</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7.2</w:t>
      </w:r>
      <w:r>
        <w:rPr>
          <w:rFonts w:hint="eastAsia" w:ascii="宋体" w:hAnsi="宋体" w:eastAsia="宋体" w:cs="Times New Roman"/>
          <w:b/>
          <w:sz w:val="24"/>
          <w:szCs w:val="24"/>
        </w:rPr>
        <w:t>.3</w:t>
      </w:r>
      <w:r>
        <w:rPr>
          <w:rFonts w:hint="eastAsia" w:ascii="宋体" w:hAnsi="宋体" w:eastAsia="宋体" w:cs="Times New Roman"/>
          <w:sz w:val="24"/>
          <w:szCs w:val="24"/>
        </w:rPr>
        <w:t>乙方须妥善保管、合理使用甲方提供或租赁给乙方使用的设备、周转材料及其他设施，如有人为损坏或遗失，应照价赔偿。</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7.2</w:t>
      </w:r>
      <w:r>
        <w:rPr>
          <w:rFonts w:hint="eastAsia" w:ascii="宋体" w:hAnsi="宋体" w:eastAsia="宋体" w:cs="Times New Roman"/>
          <w:b/>
          <w:sz w:val="24"/>
          <w:szCs w:val="24"/>
        </w:rPr>
        <w:t>.4</w:t>
      </w:r>
      <w:r>
        <w:rPr>
          <w:rFonts w:hint="eastAsia" w:ascii="宋体" w:hAnsi="宋体" w:eastAsia="宋体" w:cs="Times New Roman"/>
          <w:sz w:val="24"/>
          <w:szCs w:val="24"/>
        </w:rPr>
        <w:t>乙方须遵守国家和地方有关的环境保护、噪音管理的各项法律规定。</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7.2</w:t>
      </w:r>
      <w:r>
        <w:rPr>
          <w:rFonts w:hint="eastAsia" w:ascii="宋体" w:hAnsi="宋体" w:eastAsia="宋体" w:cs="Times New Roman"/>
          <w:b/>
          <w:sz w:val="24"/>
          <w:szCs w:val="24"/>
        </w:rPr>
        <w:t>.5</w:t>
      </w:r>
      <w:r>
        <w:rPr>
          <w:rFonts w:hint="eastAsia" w:ascii="宋体" w:hAnsi="宋体" w:eastAsia="宋体" w:cs="Times New Roman"/>
          <w:sz w:val="24"/>
          <w:szCs w:val="24"/>
        </w:rPr>
        <w:t>乙方应按国家规定提供劳动保护用品，配备雨、雪天劳动保护用品并须随时做好雨雪天施工及除雪的准备，所有费用已包含在单价中，甲方不另承担。</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7.3现场保护</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乙方应遵守甲方现场保护的相关规定，充分考虑到生产作业和各工种、各专业交叉作业对作业现场造成破坏的风险，妥善做好作业场地周围建筑物、构筑物和地下管线和工程部分的成品、半成品保护工作，若发生损坏，除非乙方举证证明其已尽到保护义务，否则乙方自行承担由此引起的一切经济损失及各种罚款。</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7.4临近建筑物、地下构筑物的保护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乙方须认真做好作业现场责任范围内的地下管线、临近建筑物、设备、构筑物及交通要道、人行道等的保护工作。若此类建筑、设备、管线及道路发生了损坏，除非乙方举证证明其已尽到保护义务，否则因修复损坏及因此发生的赔偿等一切责任均由乙方承担。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7.5人员</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7.5.1</w:t>
      </w:r>
      <w:r>
        <w:rPr>
          <w:rFonts w:hint="eastAsia" w:ascii="宋体" w:hAnsi="宋体" w:eastAsia="宋体" w:cs="Times New Roman"/>
          <w:sz w:val="24"/>
          <w:szCs w:val="24"/>
        </w:rPr>
        <w:t>对本合同作业范围内的服务质量向甲方负责，组织具有相应技术水平的熟练作业人员投入工作,按合同约定按期、保质、保量、安全地完成承包范围内的工作内容；特种作业人员必须持证上岗。应解决其作业人员的吃、住、行等问题，费用由乙方承担。</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7.5</w:t>
      </w:r>
      <w:r>
        <w:rPr>
          <w:rFonts w:hint="eastAsia" w:ascii="宋体" w:hAnsi="宋体" w:eastAsia="宋体" w:cs="Times New Roman"/>
          <w:b/>
          <w:sz w:val="24"/>
          <w:szCs w:val="24"/>
        </w:rPr>
        <w:t>.2</w:t>
      </w:r>
      <w:r>
        <w:rPr>
          <w:rFonts w:hint="eastAsia" w:ascii="宋体" w:hAnsi="宋体" w:eastAsia="宋体" w:cs="Times New Roman"/>
          <w:sz w:val="24"/>
          <w:szCs w:val="24"/>
        </w:rPr>
        <w:t>乙方必须严格遵守先与作业人员签订劳动合同后进场作业的基本原则，配合甲方实行项目期限内所有作业人员的动态实名制管理。签订本合同时,乙方必须与拟进场人员签订劳动合同，进场人员的劳动合同、身份证复印件及工资卡信息须在合同签订时提供给甲方备案，并造册上报甲方作为本合同的组成部分。劳动合同与所报花名册必须与相应人员本人身份证名字及事实相符。劳动合同要求明确工资支付方式、支付标准(不低于当地最低工资标准)及工资支付时间等条款；提供服务过程中须建立工资支付台账、进出场登记台账，并将作业人员本人签字确认的工资支付书面记录保存两年以上备查。乙方必须保证其人员的稳定，不能随意变动，如需变动或增减人员，必须提前三天向甲方托管部门提供变更人员名单。甲方有权随时对乙方人员与花名册及劳动合同进行查对，如发现乙方人员与花名册不符，则乙方向甲方支付1000元/人违约金。</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7.5.3</w:t>
      </w:r>
      <w:r>
        <w:rPr>
          <w:rFonts w:hint="eastAsia" w:ascii="宋体" w:hAnsi="宋体" w:eastAsia="宋体" w:cs="Times New Roman"/>
          <w:sz w:val="24"/>
          <w:szCs w:val="24"/>
        </w:rPr>
        <w:t>乙方应确保作业人员工资的按期足额发放，否则属于违约。甲方有权督促乙方将工资按月支付给作业人员本人，有权监督乙方依法与招用的作业人员签订劳动合同并严格履行合同内容。</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7.5.4</w:t>
      </w:r>
      <w:r>
        <w:rPr>
          <w:rFonts w:hint="eastAsia" w:ascii="宋体" w:hAnsi="宋体" w:eastAsia="宋体" w:cs="Times New Roman"/>
          <w:sz w:val="24"/>
          <w:szCs w:val="24"/>
        </w:rPr>
        <w:t>乙方严禁雇佣未成年人(未满14周岁)、残疾人、超过55岁的男性及超过50岁的女性现场作业人员。每发现一例则按专用条款约定承担违约金。若因乙方雇佣人员不符合约定导致安全责任事故，则乙方应承担责任，并赔偿由此给甲方造成的损失。</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7.5.5</w:t>
      </w:r>
      <w:r>
        <w:rPr>
          <w:rFonts w:hint="eastAsia" w:ascii="宋体" w:hAnsi="宋体" w:eastAsia="宋体" w:cs="Times New Roman"/>
          <w:sz w:val="24"/>
          <w:szCs w:val="24"/>
        </w:rPr>
        <w:t>乙方要加强对作业人员的进场与日常教育，教育内容不限于安全生产，合法合理维权方法，要求作业人员要依法履行对子女的监护责任和抚养义务，务工期间需委托有监护能力的亲属或成年人监护照料未成年子女，不得让不满16周岁的子女脱离监护单独居住生活；要密切关注委托监护质量，对无力监护或者监护不到位的受委托人要及时更换；务工父母要每周不少于1次与子女沟通交流，利用春节或寒暑假等节假日尽量与子女团聚或见面每年不少于1次，及时了解掌握子女的学习生活和思想动态，加强亲情关爱，做到安全生产和关爱子女两不误。</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7.6免除甲方责任</w:t>
      </w:r>
      <w:r>
        <w:rPr>
          <w:rFonts w:hint="eastAsia" w:ascii="宋体" w:hAnsi="宋体" w:eastAsia="宋体" w:cs="Times New Roman"/>
          <w:sz w:val="24"/>
          <w:szCs w:val="24"/>
        </w:rPr>
        <w:t xml:space="preserve">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乙方应在履行本合同项下约定义务时保证，甲方在本合同约定的服务范围的实施、完工以及保修过程中免于承担(由于乙方原因造成的)与下述事项有关的任何责任、费用、索赔和诉讼：</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(1)任何人员的伤亡；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(2)任何财产的损失或损害；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(3)由于乙方的疏忽、过失导致的连带责任。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如乙方在服务期限内造成以上事项或导致甲方因以上事项承担相关责任，乙方自愿按专用条款约定金额承担违约责任，并赔偿甲方因此所受的一切损失，如赔偿金、诉讼费、差旅费等。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7.7禁止转包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乙方严禁将项目转包或再分包，否则甲方有权单方终止合同并根据乙方提供的履约担保索取赔偿，担保金额不足以承担甲方损失时，乙方应向甲方支付不足部分。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7.8其他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乙方应承担的其他工作，双方在本合同专用条款内约定。</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8.安全管理 、文明</w:t>
      </w:r>
      <w:r>
        <w:rPr>
          <w:rFonts w:hint="eastAsia" w:ascii="宋体" w:hAnsi="宋体" w:eastAsia="宋体" w:cs="Times New Roman"/>
          <w:b/>
          <w:sz w:val="24"/>
          <w:szCs w:val="24"/>
          <w:lang w:val="en-US" w:eastAsia="zh-CN"/>
        </w:rPr>
        <w:t>作业</w:t>
      </w:r>
      <w:r>
        <w:rPr>
          <w:rFonts w:hint="eastAsia" w:ascii="宋体" w:hAnsi="宋体" w:eastAsia="宋体" w:cs="Times New Roman"/>
          <w:b/>
          <w:sz w:val="24"/>
          <w:szCs w:val="24"/>
        </w:rPr>
        <w:t xml:space="preserve">及环境保护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8.1安全管理</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8.1.1</w:t>
      </w:r>
      <w:r>
        <w:rPr>
          <w:rFonts w:hint="eastAsia" w:ascii="宋体" w:hAnsi="宋体" w:eastAsia="宋体" w:cs="Times New Roman"/>
          <w:sz w:val="24"/>
          <w:szCs w:val="24"/>
        </w:rPr>
        <w:t>乙方必须建立健全安全组织机构，设立安全负责人、专职安全员及班组兼职安全员，负责日常安全管理工作。乙方必须加强安全管理，确保无重伤、死亡事故。采取必要的安全防护措施，消除事故隐患。</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8.1.2</w:t>
      </w:r>
      <w:r>
        <w:rPr>
          <w:rFonts w:hint="eastAsia" w:ascii="宋体" w:hAnsi="宋体" w:eastAsia="宋体" w:cs="Times New Roman"/>
          <w:sz w:val="24"/>
          <w:szCs w:val="24"/>
        </w:rPr>
        <w:t>乙方必须落实三级安全教育、安全技术交底、工前会、班前会；建立班组台账并每月更新；落实班组安全活动及每个工作日班前安全教育，并填写班前安全活动记录，按时上交甲方托管部门备案；严格执行国家、地方和甲方制定的安全操作规程，所属特种作业人员必须持证上岗；所属设备、仪器(仪表)均须满足相关要求。</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8.1.3</w:t>
      </w:r>
      <w:r>
        <w:rPr>
          <w:rFonts w:hint="eastAsia" w:ascii="宋体" w:hAnsi="宋体" w:eastAsia="宋体" w:cs="Times New Roman"/>
          <w:sz w:val="24"/>
          <w:szCs w:val="24"/>
        </w:rPr>
        <w:t>严禁带病上岗、疲劳作业、酒后上岗和体力不支上岗，因此发生的安全事故乙方自负责任。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8.1.4</w:t>
      </w:r>
      <w:r>
        <w:rPr>
          <w:rFonts w:hint="eastAsia" w:ascii="宋体" w:hAnsi="宋体" w:eastAsia="宋体" w:cs="Times New Roman"/>
          <w:sz w:val="24"/>
          <w:szCs w:val="24"/>
        </w:rPr>
        <w:t>由于乙方安全措施不力及乙方其他责任造成事故发生的费用，包括设备设施及工程机械的修复返工费用，伤病人员的医疗、护理、补偿费用，死亡人员的丧葬、赔偿费用和因安全事故产生的违约金等费用均由乙方自行承担。</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8.1.5</w:t>
      </w:r>
      <w:r>
        <w:rPr>
          <w:rFonts w:hint="eastAsia" w:ascii="宋体" w:hAnsi="宋体" w:eastAsia="宋体" w:cs="Times New Roman"/>
          <w:sz w:val="24"/>
          <w:szCs w:val="24"/>
        </w:rPr>
        <w:t>有关安全生产管理权利义务，甲乙双方另行签订协议书(详见附件二)，乙方必须严格按甲方的有关制度执行。有关生产作业安全的补充约定，由甲乙双方协商在专用条款中明确。</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8.2文明</w:t>
      </w:r>
      <w:r>
        <w:rPr>
          <w:rFonts w:hint="eastAsia" w:ascii="宋体" w:hAnsi="宋体" w:eastAsia="宋体" w:cs="Times New Roman"/>
          <w:b/>
          <w:sz w:val="24"/>
          <w:szCs w:val="24"/>
          <w:lang w:val="en-US" w:eastAsia="zh-CN"/>
        </w:rPr>
        <w:t>作业</w:t>
      </w:r>
      <w:r>
        <w:rPr>
          <w:rFonts w:hint="eastAsia" w:ascii="宋体" w:hAnsi="宋体" w:eastAsia="宋体" w:cs="Times New Roman"/>
          <w:b/>
          <w:sz w:val="24"/>
          <w:szCs w:val="24"/>
        </w:rPr>
        <w:t>与维护</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8.2.1</w:t>
      </w:r>
      <w:r>
        <w:rPr>
          <w:rFonts w:hint="eastAsia" w:ascii="宋体" w:hAnsi="宋体" w:eastAsia="宋体" w:cs="Times New Roman"/>
          <w:sz w:val="24"/>
          <w:szCs w:val="24"/>
        </w:rPr>
        <w:t>乙方在提供服务期间，应加强内部文明</w:t>
      </w:r>
      <w:r>
        <w:rPr>
          <w:rFonts w:hint="eastAsia" w:ascii="宋体" w:hAnsi="宋体" w:eastAsia="宋体" w:cs="Times New Roman"/>
          <w:sz w:val="24"/>
          <w:szCs w:val="24"/>
          <w:lang w:val="en-US" w:eastAsia="zh-CN"/>
        </w:rPr>
        <w:t>作业</w:t>
      </w:r>
      <w:r>
        <w:rPr>
          <w:rFonts w:hint="eastAsia" w:ascii="宋体" w:hAnsi="宋体" w:eastAsia="宋体" w:cs="Times New Roman"/>
          <w:sz w:val="24"/>
          <w:szCs w:val="24"/>
        </w:rPr>
        <w:t>教育，搞好现场区域及住宿范围内的清洁卫生。</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8.2.2</w:t>
      </w:r>
      <w:r>
        <w:rPr>
          <w:rFonts w:hint="eastAsia" w:ascii="宋体" w:hAnsi="宋体" w:eastAsia="宋体" w:cs="Times New Roman"/>
          <w:sz w:val="24"/>
          <w:szCs w:val="24"/>
        </w:rPr>
        <w:t>乙方作业现场、机具及材料堆放必须在甲方指定地点且整齐、井然有序。</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8.2.3</w:t>
      </w:r>
      <w:r>
        <w:rPr>
          <w:rFonts w:hint="eastAsia" w:ascii="宋体" w:hAnsi="宋体" w:eastAsia="宋体" w:cs="Times New Roman"/>
          <w:sz w:val="24"/>
          <w:szCs w:val="24"/>
        </w:rPr>
        <w:t>乙方在生产作业期间，严禁违章作业、野蛮操作以及打赤膊、穿拖鞋、骂人、争吵、扯皮打架等不文明行为。每发生一次，承担违约金。</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8.2.4</w:t>
      </w:r>
      <w:r>
        <w:rPr>
          <w:rFonts w:hint="eastAsia" w:ascii="宋体" w:hAnsi="宋体" w:eastAsia="宋体" w:cs="Times New Roman"/>
          <w:sz w:val="24"/>
          <w:szCs w:val="24"/>
        </w:rPr>
        <w:t>乙方落实管理人员及作业人员必须正确使用符合国家标准的劳动保护用品。安全防护用品的采购与维护保养由乙方自行负责。</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8.3 环境管理与职业健康</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8.3.1</w:t>
      </w:r>
      <w:r>
        <w:rPr>
          <w:rFonts w:hint="eastAsia" w:ascii="宋体" w:hAnsi="宋体" w:eastAsia="宋体" w:cs="Times New Roman"/>
          <w:sz w:val="24"/>
          <w:szCs w:val="24"/>
        </w:rPr>
        <w:t>乙方在生产作业过程中应遵守职业健康、环境保护、消防、安全生产有关管理规定，并办理相关手续，承担由此发生的费用，严格按标准进行生产作业。凡因违反政府规定引起的所有责任，均由乙方承担。</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11.合同价格</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11.1 合同价格模式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下列合同价款的方式，甲、乙双方在专用合同中约定采用其中的一种：</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(1)固定综合单价，作业量按吨单价计算，结算时综合单价不予调整，作业量计算和变更价款的调整具体在本合同专用条款内约定；</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(2)其他方式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11.2合同价格内包括的风险及费用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11.2.1</w:t>
      </w:r>
      <w:r>
        <w:rPr>
          <w:rFonts w:hint="eastAsia" w:ascii="宋体" w:hAnsi="宋体" w:eastAsia="宋体" w:cs="Times New Roman"/>
          <w:sz w:val="24"/>
          <w:szCs w:val="24"/>
        </w:rPr>
        <w:t>除本合同另有约定外，乙方不得以低于成本、出现亏损等任何原因要求调高价款。</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11.2.2</w:t>
      </w:r>
      <w:r>
        <w:rPr>
          <w:rFonts w:hint="eastAsia" w:ascii="宋体" w:hAnsi="宋体" w:eastAsia="宋体" w:cs="Times New Roman"/>
          <w:sz w:val="24"/>
          <w:szCs w:val="24"/>
        </w:rPr>
        <w:t>除非专用条款另有约定，否则下述风险及费用已含在本合同价款内，不予调整：</w:t>
      </w:r>
    </w:p>
    <w:p>
      <w:pPr>
        <w:widowControl w:val="0"/>
        <w:spacing w:after="0" w:line="312" w:lineRule="auto"/>
        <w:ind w:firstLine="518" w:firstLineChars="216"/>
        <w:jc w:val="both"/>
        <w:rPr>
          <w:rFonts w:ascii="宋体" w:hAnsi="宋体" w:eastAsia="宋体" w:cs="Times New Roman"/>
          <w:sz w:val="24"/>
          <w:szCs w:val="24"/>
          <w:highlight w:val="yellow"/>
        </w:rPr>
      </w:pPr>
      <w:r>
        <w:rPr>
          <w:rFonts w:hint="eastAsia" w:ascii="宋体" w:hAnsi="宋体" w:eastAsia="宋体" w:cs="Times New Roman"/>
          <w:sz w:val="24"/>
          <w:szCs w:val="24"/>
          <w:highlight w:val="yellow"/>
        </w:rPr>
        <w:t>(</w:t>
      </w:r>
      <w:r>
        <w:rPr>
          <w:rFonts w:hint="eastAsia" w:ascii="宋体" w:hAnsi="宋体" w:cs="Times New Roman"/>
          <w:sz w:val="24"/>
          <w:szCs w:val="24"/>
          <w:highlight w:val="yellow"/>
          <w:lang w:val="en-US" w:eastAsia="zh-CN"/>
        </w:rPr>
        <w:t>1</w:t>
      </w:r>
      <w:r>
        <w:rPr>
          <w:rFonts w:hint="eastAsia" w:ascii="宋体" w:hAnsi="宋体" w:eastAsia="宋体" w:cs="Times New Roman"/>
          <w:sz w:val="24"/>
          <w:szCs w:val="24"/>
          <w:highlight w:val="yellow"/>
        </w:rPr>
        <w:t>)经过乙方标价的作业量清单(或乙方</w:t>
      </w:r>
      <w:r>
        <w:rPr>
          <w:rFonts w:hint="eastAsia" w:ascii="宋体" w:hAnsi="宋体" w:cs="Times New Roman"/>
          <w:sz w:val="24"/>
          <w:szCs w:val="24"/>
          <w:highlight w:val="yellow"/>
          <w:lang w:eastAsia="zh-CN"/>
        </w:rPr>
        <w:t>响应</w:t>
      </w:r>
      <w:r>
        <w:rPr>
          <w:rFonts w:hint="eastAsia" w:ascii="宋体" w:hAnsi="宋体" w:eastAsia="宋体" w:cs="Times New Roman"/>
          <w:sz w:val="24"/>
          <w:szCs w:val="24"/>
          <w:highlight w:val="yellow"/>
        </w:rPr>
        <w:t>报价)各分项、各子目中的计算、价格错误及组价的漏项；</w:t>
      </w:r>
    </w:p>
    <w:p>
      <w:pPr>
        <w:widowControl w:val="0"/>
        <w:spacing w:after="0" w:line="312" w:lineRule="auto"/>
        <w:ind w:firstLine="518" w:firstLineChars="216"/>
        <w:jc w:val="both"/>
        <w:rPr>
          <w:rFonts w:ascii="宋体" w:hAnsi="宋体" w:eastAsia="宋体" w:cs="Times New Roman"/>
          <w:sz w:val="24"/>
          <w:szCs w:val="24"/>
          <w:highlight w:val="yellow"/>
        </w:rPr>
      </w:pPr>
      <w:r>
        <w:rPr>
          <w:rFonts w:hint="eastAsia" w:ascii="宋体" w:hAnsi="宋体" w:eastAsia="宋体" w:cs="Times New Roman"/>
          <w:sz w:val="24"/>
          <w:szCs w:val="24"/>
          <w:highlight w:val="yellow"/>
        </w:rPr>
        <w:t>(</w:t>
      </w:r>
      <w:r>
        <w:rPr>
          <w:rFonts w:hint="eastAsia" w:ascii="宋体" w:hAnsi="宋体" w:cs="Times New Roman"/>
          <w:sz w:val="24"/>
          <w:szCs w:val="24"/>
          <w:highlight w:val="yellow"/>
          <w:lang w:val="en-US" w:eastAsia="zh-CN"/>
        </w:rPr>
        <w:t>2</w:t>
      </w:r>
      <w:r>
        <w:rPr>
          <w:rFonts w:hint="eastAsia" w:ascii="宋体" w:hAnsi="宋体" w:eastAsia="宋体" w:cs="Times New Roman"/>
          <w:sz w:val="24"/>
          <w:szCs w:val="24"/>
          <w:highlight w:val="yellow"/>
        </w:rPr>
        <w:t xml:space="preserve">)乙方为完成本合同所述工作范围内及相关的所有工作内容发生的费用； </w:t>
      </w:r>
    </w:p>
    <w:p>
      <w:pPr>
        <w:widowControl w:val="0"/>
        <w:spacing w:after="0" w:line="312" w:lineRule="auto"/>
        <w:ind w:firstLine="518" w:firstLineChars="216"/>
        <w:jc w:val="both"/>
        <w:rPr>
          <w:rFonts w:ascii="宋体" w:hAnsi="宋体" w:eastAsia="宋体" w:cs="Times New Roman"/>
          <w:sz w:val="24"/>
          <w:szCs w:val="24"/>
          <w:highlight w:val="yellow"/>
        </w:rPr>
      </w:pPr>
      <w:r>
        <w:rPr>
          <w:rFonts w:hint="eastAsia" w:ascii="宋体" w:hAnsi="宋体" w:eastAsia="宋体" w:cs="Times New Roman"/>
          <w:sz w:val="24"/>
          <w:szCs w:val="24"/>
          <w:highlight w:val="yellow"/>
        </w:rPr>
        <w:t>(</w:t>
      </w:r>
      <w:r>
        <w:rPr>
          <w:rFonts w:hint="eastAsia" w:ascii="宋体" w:hAnsi="宋体" w:cs="Times New Roman"/>
          <w:sz w:val="24"/>
          <w:szCs w:val="24"/>
          <w:highlight w:val="yellow"/>
          <w:lang w:val="en-US" w:eastAsia="zh-CN"/>
        </w:rPr>
        <w:t>3</w:t>
      </w:r>
      <w:r>
        <w:rPr>
          <w:rFonts w:hint="eastAsia" w:ascii="宋体" w:hAnsi="宋体" w:eastAsia="宋体" w:cs="Times New Roman"/>
          <w:sz w:val="24"/>
          <w:szCs w:val="24"/>
          <w:highlight w:val="yellow"/>
        </w:rPr>
        <w:t xml:space="preserve">)乙方服务范围或作业量的增加或减少导致价格的变化； </w:t>
      </w:r>
    </w:p>
    <w:p>
      <w:pPr>
        <w:widowControl w:val="0"/>
        <w:spacing w:after="0" w:line="312" w:lineRule="auto"/>
        <w:ind w:firstLine="518" w:firstLineChars="216"/>
        <w:jc w:val="both"/>
        <w:rPr>
          <w:rFonts w:ascii="宋体" w:hAnsi="宋体" w:eastAsia="宋体" w:cs="Times New Roman"/>
          <w:sz w:val="24"/>
          <w:szCs w:val="24"/>
          <w:highlight w:val="yellow"/>
        </w:rPr>
      </w:pPr>
      <w:r>
        <w:rPr>
          <w:rFonts w:hint="eastAsia" w:ascii="宋体" w:hAnsi="宋体" w:eastAsia="宋体" w:cs="Times New Roman"/>
          <w:sz w:val="24"/>
          <w:szCs w:val="24"/>
          <w:highlight w:val="yellow"/>
        </w:rPr>
        <w:t>(</w:t>
      </w:r>
      <w:r>
        <w:rPr>
          <w:rFonts w:hint="eastAsia" w:ascii="宋体" w:hAnsi="宋体" w:cs="Times New Roman"/>
          <w:sz w:val="24"/>
          <w:szCs w:val="24"/>
          <w:highlight w:val="yellow"/>
          <w:lang w:val="en-US" w:eastAsia="zh-CN"/>
        </w:rPr>
        <w:t>4</w:t>
      </w:r>
      <w:r>
        <w:rPr>
          <w:rFonts w:hint="eastAsia" w:ascii="宋体" w:hAnsi="宋体" w:eastAsia="宋体" w:cs="Times New Roman"/>
          <w:sz w:val="24"/>
          <w:szCs w:val="24"/>
          <w:highlight w:val="yellow"/>
        </w:rPr>
        <w:t>)材料价格及人工价格上涨或下落；</w:t>
      </w:r>
    </w:p>
    <w:p>
      <w:pPr>
        <w:widowControl w:val="0"/>
        <w:spacing w:after="0" w:line="312" w:lineRule="auto"/>
        <w:ind w:firstLine="518" w:firstLineChars="216"/>
        <w:jc w:val="both"/>
        <w:rPr>
          <w:rFonts w:ascii="宋体" w:hAnsi="宋体" w:eastAsia="宋体" w:cs="Times New Roman"/>
          <w:sz w:val="24"/>
          <w:szCs w:val="24"/>
          <w:highlight w:val="yellow"/>
        </w:rPr>
      </w:pPr>
      <w:r>
        <w:rPr>
          <w:rFonts w:hint="eastAsia" w:ascii="宋体" w:hAnsi="宋体" w:eastAsia="宋体" w:cs="Times New Roman"/>
          <w:sz w:val="24"/>
          <w:szCs w:val="24"/>
          <w:highlight w:val="yellow"/>
        </w:rPr>
        <w:t>(</w:t>
      </w:r>
      <w:r>
        <w:rPr>
          <w:rFonts w:hint="eastAsia" w:ascii="宋体" w:hAnsi="宋体" w:cs="Times New Roman"/>
          <w:sz w:val="24"/>
          <w:szCs w:val="24"/>
          <w:highlight w:val="yellow"/>
          <w:lang w:val="en-US" w:eastAsia="zh-CN"/>
        </w:rPr>
        <w:t>5</w:t>
      </w:r>
      <w:r>
        <w:rPr>
          <w:rFonts w:hint="eastAsia" w:ascii="宋体" w:hAnsi="宋体" w:eastAsia="宋体" w:cs="Times New Roman"/>
          <w:sz w:val="24"/>
          <w:szCs w:val="24"/>
          <w:highlight w:val="yellow"/>
        </w:rPr>
        <w:t>)税率及费率的变化；</w:t>
      </w:r>
    </w:p>
    <w:p>
      <w:pPr>
        <w:widowControl w:val="0"/>
        <w:spacing w:after="0" w:line="312" w:lineRule="auto"/>
        <w:ind w:firstLine="518" w:firstLineChars="216"/>
        <w:jc w:val="both"/>
        <w:rPr>
          <w:rFonts w:ascii="宋体" w:hAnsi="宋体" w:eastAsia="宋体" w:cs="Times New Roman"/>
          <w:sz w:val="24"/>
          <w:szCs w:val="24"/>
          <w:highlight w:val="yellow"/>
        </w:rPr>
      </w:pPr>
      <w:r>
        <w:rPr>
          <w:rFonts w:hint="eastAsia" w:ascii="宋体" w:hAnsi="宋体" w:eastAsia="宋体" w:cs="Times New Roman"/>
          <w:sz w:val="24"/>
          <w:szCs w:val="24"/>
          <w:highlight w:val="yellow"/>
        </w:rPr>
        <w:t>(</w:t>
      </w:r>
      <w:r>
        <w:rPr>
          <w:rFonts w:hint="eastAsia" w:ascii="宋体" w:hAnsi="宋体" w:cs="Times New Roman"/>
          <w:sz w:val="24"/>
          <w:szCs w:val="24"/>
          <w:highlight w:val="yellow"/>
          <w:lang w:val="en-US" w:eastAsia="zh-CN"/>
        </w:rPr>
        <w:t>6</w:t>
      </w:r>
      <w:r>
        <w:rPr>
          <w:rFonts w:hint="eastAsia" w:ascii="宋体" w:hAnsi="宋体" w:eastAsia="宋体" w:cs="Times New Roman"/>
          <w:sz w:val="24"/>
          <w:szCs w:val="24"/>
          <w:highlight w:val="yellow"/>
        </w:rPr>
        <w:t xml:space="preserve">)国家法律、法规、政策的变化； </w:t>
      </w:r>
    </w:p>
    <w:p>
      <w:pPr>
        <w:widowControl w:val="0"/>
        <w:spacing w:after="0" w:line="312" w:lineRule="auto"/>
        <w:ind w:firstLine="518" w:firstLineChars="216"/>
        <w:jc w:val="both"/>
        <w:rPr>
          <w:rFonts w:ascii="宋体" w:hAnsi="宋体" w:eastAsia="宋体" w:cs="Times New Roman"/>
          <w:sz w:val="24"/>
          <w:szCs w:val="24"/>
          <w:highlight w:val="yellow"/>
        </w:rPr>
      </w:pPr>
      <w:r>
        <w:rPr>
          <w:rFonts w:hint="eastAsia" w:ascii="宋体" w:hAnsi="宋体" w:eastAsia="宋体" w:cs="Times New Roman"/>
          <w:sz w:val="24"/>
          <w:szCs w:val="24"/>
          <w:highlight w:val="yellow"/>
        </w:rPr>
        <w:t>(</w:t>
      </w:r>
      <w:r>
        <w:rPr>
          <w:rFonts w:hint="eastAsia" w:ascii="宋体" w:hAnsi="宋体" w:cs="Times New Roman"/>
          <w:sz w:val="24"/>
          <w:szCs w:val="24"/>
          <w:highlight w:val="yellow"/>
          <w:lang w:val="en-US" w:eastAsia="zh-CN"/>
        </w:rPr>
        <w:t>7</w:t>
      </w:r>
      <w:r>
        <w:rPr>
          <w:rFonts w:hint="eastAsia" w:ascii="宋体" w:hAnsi="宋体" w:eastAsia="宋体" w:cs="Times New Roman"/>
          <w:sz w:val="24"/>
          <w:szCs w:val="24"/>
          <w:highlight w:val="yellow"/>
        </w:rPr>
        <w:t>)当地行政管理部门公布的各种价格调整；</w:t>
      </w:r>
    </w:p>
    <w:p>
      <w:pPr>
        <w:widowControl w:val="0"/>
        <w:spacing w:after="0" w:line="312" w:lineRule="auto"/>
        <w:ind w:firstLine="518" w:firstLineChars="216"/>
        <w:jc w:val="both"/>
        <w:rPr>
          <w:rFonts w:ascii="宋体" w:hAnsi="宋体" w:eastAsia="宋体" w:cs="Times New Roman"/>
          <w:sz w:val="24"/>
          <w:szCs w:val="24"/>
          <w:highlight w:val="yellow"/>
        </w:rPr>
      </w:pPr>
      <w:r>
        <w:rPr>
          <w:rFonts w:hint="eastAsia" w:ascii="宋体" w:hAnsi="宋体" w:eastAsia="宋体" w:cs="Times New Roman"/>
          <w:sz w:val="24"/>
          <w:szCs w:val="24"/>
          <w:highlight w:val="yellow"/>
        </w:rPr>
        <w:t>(</w:t>
      </w:r>
      <w:r>
        <w:rPr>
          <w:rFonts w:hint="eastAsia" w:ascii="宋体" w:hAnsi="宋体" w:cs="Times New Roman"/>
          <w:sz w:val="24"/>
          <w:szCs w:val="24"/>
          <w:highlight w:val="yellow"/>
          <w:lang w:val="en-US" w:eastAsia="zh-CN"/>
        </w:rPr>
        <w:t>8</w:t>
      </w:r>
      <w:r>
        <w:rPr>
          <w:rFonts w:hint="eastAsia" w:ascii="宋体" w:hAnsi="宋体" w:eastAsia="宋体" w:cs="Times New Roman"/>
          <w:sz w:val="24"/>
          <w:szCs w:val="24"/>
          <w:highlight w:val="yellow"/>
        </w:rPr>
        <w:t xml:space="preserve">)其他。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11.3合同价款调整</w:t>
      </w:r>
    </w:p>
    <w:p>
      <w:pPr>
        <w:widowControl w:val="0"/>
        <w:spacing w:after="0" w:line="312" w:lineRule="auto"/>
        <w:ind w:firstLine="520" w:firstLineChars="216"/>
        <w:jc w:val="both"/>
        <w:rPr>
          <w:rFonts w:ascii="宋体" w:hAnsi="宋体" w:eastAsia="宋体" w:cs="Times New Roman"/>
          <w:b w:val="0"/>
          <w:bCs/>
          <w:sz w:val="24"/>
          <w:szCs w:val="24"/>
        </w:rPr>
      </w:pPr>
      <w:r>
        <w:rPr>
          <w:rFonts w:hint="eastAsia" w:ascii="宋体" w:hAnsi="宋体" w:eastAsia="宋体" w:cs="Times New Roman"/>
          <w:b/>
          <w:bCs w:val="0"/>
          <w:sz w:val="24"/>
          <w:szCs w:val="24"/>
        </w:rPr>
        <w:t>11.3.1</w:t>
      </w:r>
      <w:r>
        <w:rPr>
          <w:rFonts w:hint="eastAsia" w:ascii="宋体" w:hAnsi="宋体" w:eastAsia="宋体" w:cs="Times New Roman"/>
          <w:b w:val="0"/>
          <w:bCs/>
          <w:sz w:val="24"/>
          <w:szCs w:val="24"/>
        </w:rPr>
        <w:t xml:space="preserve">合同价款的调整因素包括：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(1)甲方签字认可的签证与索赔(详见附件三)，必须按甲方结算管理制度经相关人员审核签字后生效；</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(2)本合同中约定的各项违约责任；</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(3)双方在专用条款中约定的其他因素。</w:t>
      </w:r>
    </w:p>
    <w:p>
      <w:pPr>
        <w:widowControl w:val="0"/>
        <w:spacing w:after="0" w:line="312" w:lineRule="auto"/>
        <w:ind w:firstLine="520" w:firstLineChars="216"/>
        <w:jc w:val="both"/>
        <w:rPr>
          <w:rFonts w:ascii="宋体" w:hAnsi="宋体" w:eastAsia="宋体" w:cs="Times New Roman"/>
          <w:b w:val="0"/>
          <w:bCs/>
          <w:sz w:val="24"/>
          <w:szCs w:val="24"/>
        </w:rPr>
      </w:pPr>
      <w:r>
        <w:rPr>
          <w:rFonts w:hint="eastAsia" w:ascii="宋体" w:hAnsi="宋体" w:eastAsia="宋体" w:cs="Times New Roman"/>
          <w:b/>
          <w:bCs w:val="0"/>
          <w:sz w:val="24"/>
          <w:szCs w:val="24"/>
        </w:rPr>
        <w:t>11.3.2</w:t>
      </w:r>
      <w:r>
        <w:rPr>
          <w:rFonts w:hint="eastAsia" w:ascii="宋体" w:hAnsi="宋体" w:eastAsia="宋体" w:cs="Times New Roman"/>
          <w:b w:val="0"/>
          <w:bCs/>
          <w:sz w:val="24"/>
          <w:szCs w:val="24"/>
        </w:rPr>
        <w:t>合同价款调整方法</w:t>
      </w:r>
    </w:p>
    <w:p>
      <w:pPr>
        <w:widowControl w:val="0"/>
        <w:spacing w:after="0" w:line="312" w:lineRule="auto"/>
        <w:ind w:firstLine="518" w:firstLineChars="216"/>
        <w:jc w:val="both"/>
        <w:rPr>
          <w:rFonts w:ascii="宋体" w:hAnsi="宋体" w:eastAsia="宋体" w:cs="Times New Roman"/>
          <w:bCs/>
          <w:sz w:val="24"/>
          <w:szCs w:val="24"/>
        </w:rPr>
      </w:pPr>
      <w:r>
        <w:rPr>
          <w:rFonts w:hint="eastAsia" w:ascii="宋体" w:hAnsi="宋体" w:eastAsia="宋体" w:cs="Times New Roman"/>
          <w:bCs/>
          <w:sz w:val="24"/>
          <w:szCs w:val="24"/>
        </w:rPr>
        <w:t xml:space="preserve">(1)价格调整的程序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若发生影响本合同价款的事由，乙方需在七天内向甲方提出调整本合同价款的书面请求并附所有证明资料。若乙方未按本条所述时限和方式提出合同价款调整的请求，则甲方有权单方面确认调整金额，乙方不得再行提出任何异议。</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(2)价格调整的计算方式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因不可控因素导致重大变更发生的价格调整，清单中已有相同项目的，按照已有项目填报单价调整；清单中有类似项目的，参照类似项目填报单价调整；清单中没有相同或类似项目的，由双方协商确定。</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(3)签证、索赔价款的确定</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 xml:space="preserve">按实际发生的人工、材料及机械费用计算，不计取管理费等其它费用。其中人工单价按专用条款中约定的工日单价计取。另除甲方指挥不当造成的用工和返工可向甲方签证外，不再有计时工。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12.合同价款的支付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12.1支付方式：</w:t>
      </w:r>
      <w:r>
        <w:rPr>
          <w:rFonts w:hint="eastAsia" w:ascii="宋体" w:hAnsi="宋体" w:eastAsia="宋体" w:cs="Times New Roman"/>
          <w:sz w:val="24"/>
          <w:szCs w:val="24"/>
        </w:rPr>
        <w:t>甲乙双方按照专用条款约定方式支付合同价款。</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12.1.1</w:t>
      </w:r>
      <w:r>
        <w:rPr>
          <w:rFonts w:hint="eastAsia" w:ascii="宋体" w:hAnsi="宋体" w:eastAsia="宋体" w:cs="Times New Roman"/>
          <w:sz w:val="24"/>
          <w:szCs w:val="24"/>
        </w:rPr>
        <w:t xml:space="preserve"> 乙方应确保作业人员的权益，作业人员工资必须按月支付，乙方制作当月作业人员《工资结算表》经甲方托管部门负责人审核后签字确认，由甲方采取银行转账方式汇至乙方公司账户，乙方直接转账支付至每个作业人员个人银行账户(工资结算表详见附件四)。合同价款不足以支付劳务工资时，由乙方补足。</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12.1.2</w:t>
      </w:r>
      <w:r>
        <w:rPr>
          <w:rFonts w:hint="eastAsia" w:ascii="宋体" w:hAnsi="宋体" w:eastAsia="宋体" w:cs="Times New Roman"/>
          <w:sz w:val="24"/>
          <w:szCs w:val="24"/>
        </w:rPr>
        <w:t>无论甲方采取何种付款方式，乙方必须确保其作业人员工资按月支付，且每月支付比例不低于当月应发工资的80%；项目完工或退场时，作业人员工资100%支付完。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bCs/>
          <w:sz w:val="24"/>
          <w:szCs w:val="24"/>
        </w:rPr>
        <w:t>12.1.3</w:t>
      </w:r>
      <w:r>
        <w:rPr>
          <w:rFonts w:ascii="宋体" w:hAnsi="宋体" w:eastAsia="宋体" w:cs="Times New Roman"/>
          <w:sz w:val="24"/>
          <w:szCs w:val="24"/>
        </w:rPr>
        <w:t>乙方须按</w:t>
      </w:r>
      <w:r>
        <w:rPr>
          <w:rFonts w:hint="eastAsia" w:ascii="宋体" w:hAnsi="宋体" w:eastAsia="宋体" w:cs="Times New Roman"/>
          <w:sz w:val="24"/>
          <w:szCs w:val="24"/>
        </w:rPr>
        <w:t>结算</w:t>
      </w:r>
      <w:r>
        <w:rPr>
          <w:rFonts w:ascii="宋体" w:hAnsi="宋体" w:eastAsia="宋体" w:cs="Times New Roman"/>
          <w:sz w:val="24"/>
          <w:szCs w:val="24"/>
        </w:rPr>
        <w:t>当月</w:t>
      </w:r>
      <w:r>
        <w:rPr>
          <w:rFonts w:hint="eastAsia" w:ascii="宋体" w:hAnsi="宋体" w:eastAsia="宋体" w:cs="Times New Roman"/>
          <w:sz w:val="24"/>
          <w:szCs w:val="24"/>
        </w:rPr>
        <w:t>审定的结算款全</w:t>
      </w:r>
      <w:r>
        <w:rPr>
          <w:rFonts w:ascii="宋体" w:hAnsi="宋体" w:eastAsia="宋体" w:cs="Times New Roman"/>
          <w:sz w:val="24"/>
          <w:szCs w:val="24"/>
        </w:rPr>
        <w:t>额提供</w:t>
      </w:r>
      <w:r>
        <w:rPr>
          <w:rFonts w:hint="eastAsia" w:ascii="宋体" w:hAnsi="宋体" w:eastAsia="宋体" w:cs="Times New Roman"/>
          <w:sz w:val="24"/>
          <w:szCs w:val="24"/>
        </w:rPr>
        <w:t>增值税专用发票</w:t>
      </w:r>
      <w:r>
        <w:rPr>
          <w:rFonts w:ascii="宋体" w:hAnsi="宋体" w:eastAsia="宋体" w:cs="Times New Roman"/>
          <w:sz w:val="24"/>
          <w:szCs w:val="24"/>
        </w:rPr>
        <w:t>，甲方凭</w:t>
      </w:r>
      <w:r>
        <w:rPr>
          <w:rFonts w:hint="eastAsia" w:ascii="宋体" w:hAnsi="宋体" w:eastAsia="宋体" w:cs="Times New Roman"/>
          <w:sz w:val="24"/>
          <w:szCs w:val="24"/>
        </w:rPr>
        <w:t>增值税专用</w:t>
      </w:r>
      <w:r>
        <w:rPr>
          <w:rFonts w:ascii="宋体" w:hAnsi="宋体" w:eastAsia="宋体" w:cs="Times New Roman"/>
          <w:sz w:val="24"/>
          <w:szCs w:val="24"/>
        </w:rPr>
        <w:t>发票</w:t>
      </w:r>
      <w:r>
        <w:rPr>
          <w:rFonts w:hint="eastAsia" w:ascii="宋体" w:hAnsi="宋体" w:eastAsia="宋体" w:cs="Times New Roman"/>
          <w:sz w:val="24"/>
          <w:szCs w:val="24"/>
        </w:rPr>
        <w:t>按约定比例</w:t>
      </w:r>
      <w:r>
        <w:rPr>
          <w:rFonts w:ascii="宋体" w:hAnsi="宋体" w:eastAsia="宋体" w:cs="Times New Roman"/>
          <w:sz w:val="24"/>
          <w:szCs w:val="24"/>
        </w:rPr>
        <w:t>支付</w:t>
      </w:r>
      <w:r>
        <w:rPr>
          <w:rFonts w:hint="eastAsia" w:ascii="宋体" w:hAnsi="宋体" w:eastAsia="宋体" w:cs="Times New Roman"/>
          <w:sz w:val="24"/>
          <w:szCs w:val="24"/>
        </w:rPr>
        <w:t>结算</w:t>
      </w:r>
      <w:r>
        <w:rPr>
          <w:rFonts w:ascii="宋体" w:hAnsi="宋体" w:eastAsia="宋体" w:cs="Times New Roman"/>
          <w:sz w:val="24"/>
          <w:szCs w:val="24"/>
        </w:rPr>
        <w:t>款项。</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12.2支付比例：</w:t>
      </w:r>
      <w:r>
        <w:rPr>
          <w:rFonts w:hint="eastAsia" w:ascii="宋体" w:hAnsi="宋体" w:eastAsia="宋体" w:cs="Times New Roman"/>
          <w:sz w:val="24"/>
          <w:szCs w:val="24"/>
        </w:rPr>
        <w:t>在本合同专用条款中明确。</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12.3延期或不足额付款：</w:t>
      </w:r>
      <w:r>
        <w:rPr>
          <w:rFonts w:hint="eastAsia" w:ascii="宋体" w:hAnsi="宋体" w:eastAsia="宋体" w:cs="Times New Roman"/>
          <w:sz w:val="24"/>
          <w:szCs w:val="24"/>
        </w:rPr>
        <w:t>乙方应有与承揽本项目相应的足够的经济实力，应充分考虑到并承担因业主或其它特殊原因致使甲方延期或不足额支付项目款的风险。</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12.4代为支付：</w:t>
      </w:r>
      <w:r>
        <w:rPr>
          <w:rFonts w:hint="eastAsia" w:ascii="宋体" w:hAnsi="宋体" w:eastAsia="宋体" w:cs="Times New Roman"/>
          <w:sz w:val="24"/>
          <w:szCs w:val="24"/>
        </w:rPr>
        <w:t>乙方应依据相关合同及时足额支付各类款项，如因乙方原因导致甲方发生诉讼隐患，或司法机关要求甲方配合强制执行时，甲方有权要求乙方立即履行或直接从乙方结算款、保证金中扣除相应款项代为支付（无需经乙方同意），由此产生的后果及相应责任均由乙方承担。若因乙方原因导致甲方涉诉涉裁、甲方账户内的款项被冻结或被划扣时，乙方则应按专用条款14.1.4条承担违约责任。</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13.合同价款结算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在办理劳务过程及最终结算时，乙方须按月完成本项目内部的各级结算，明确结算、收款责任人及银行账号，并应同步提供项目劳务内部结算单。未执行月结算者不予付款。</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13.1过程结算：</w:t>
      </w:r>
      <w:r>
        <w:rPr>
          <w:rFonts w:hint="eastAsia" w:ascii="宋体" w:hAnsi="宋体" w:eastAsia="宋体" w:cs="Times New Roman"/>
          <w:sz w:val="24"/>
          <w:szCs w:val="24"/>
        </w:rPr>
        <w:t>按月办理</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办理的时间为每月15至16日。过程结算应遵循以下条件：按已完成的作业量结算，要求项目所包含的所有工作内容均已完成，经甲方验收合格后，方可作为过程结算的依据。</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14.违约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w:t>
      </w:r>
      <w:r>
        <w:rPr>
          <w:rFonts w:hint="eastAsia" w:ascii="宋体" w:hAnsi="宋体" w:eastAsia="宋体" w:cs="Times New Roman"/>
          <w:sz w:val="24"/>
          <w:szCs w:val="24"/>
        </w:rPr>
        <w:t>当发生下列情况之一时，乙方应承担违约责任：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14.1.1</w:t>
      </w:r>
      <w:r>
        <w:rPr>
          <w:rFonts w:hint="eastAsia" w:ascii="宋体" w:hAnsi="宋体" w:eastAsia="宋体" w:cs="Times New Roman"/>
          <w:sz w:val="24"/>
          <w:szCs w:val="24"/>
        </w:rPr>
        <w:t>因乙方自身原因无法保障甲方生产需要。</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14.1.2</w:t>
      </w:r>
      <w:r>
        <w:rPr>
          <w:rFonts w:hint="eastAsia" w:ascii="宋体" w:hAnsi="宋体" w:eastAsia="宋体" w:cs="Times New Roman"/>
          <w:sz w:val="24"/>
          <w:szCs w:val="24"/>
        </w:rPr>
        <w:t>服务质量未达到本合同约定的质量标准。</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14.1.3</w:t>
      </w:r>
      <w:r>
        <w:rPr>
          <w:rFonts w:hint="eastAsia" w:ascii="宋体" w:hAnsi="宋体" w:eastAsia="宋体" w:cs="Times New Roman"/>
          <w:sz w:val="24"/>
          <w:szCs w:val="24"/>
        </w:rPr>
        <w:t>乙方为履行本合同对外签订的经济合同原件未备案或备案不全、不及时、不真实。</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14.1.4</w:t>
      </w:r>
      <w:r>
        <w:rPr>
          <w:rFonts w:hint="eastAsia" w:ascii="宋体" w:hAnsi="宋体" w:eastAsia="宋体" w:cs="Times New Roman"/>
          <w:sz w:val="24"/>
          <w:szCs w:val="24"/>
        </w:rPr>
        <w:t>因乙方未及时支付应付款项，引起诉讼案件。</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14.1.5</w:t>
      </w:r>
      <w:r>
        <w:rPr>
          <w:rFonts w:hint="eastAsia" w:ascii="宋体" w:hAnsi="宋体" w:eastAsia="宋体" w:cs="Times New Roman"/>
          <w:sz w:val="24"/>
          <w:szCs w:val="24"/>
        </w:rPr>
        <w:t>廉洁协议书禁止的不正当行为。</w:t>
      </w:r>
      <w:r>
        <w:rPr>
          <w:rFonts w:hint="eastAsia" w:ascii="宋体" w:hAnsi="宋体" w:eastAsia="宋体" w:cs="Times New Roman"/>
          <w:sz w:val="24"/>
          <w:szCs w:val="24"/>
        </w:rPr>
        <w:tab/>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14.1.6</w:t>
      </w:r>
      <w:r>
        <w:rPr>
          <w:rFonts w:hint="eastAsia" w:ascii="宋体" w:hAnsi="宋体" w:eastAsia="宋体" w:cs="Times New Roman"/>
          <w:sz w:val="24"/>
          <w:szCs w:val="24"/>
        </w:rPr>
        <w:t>乙方不履行或不按约定履行合同的其他义务。</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14.2</w:t>
      </w:r>
      <w:r>
        <w:rPr>
          <w:rFonts w:hint="eastAsia" w:ascii="宋体" w:hAnsi="宋体" w:eastAsia="宋体" w:cs="Times New Roman"/>
          <w:sz w:val="24"/>
          <w:szCs w:val="24"/>
        </w:rPr>
        <w:t>当发生下列情况之一时，甲方应承担违约责任：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14.2.1</w:t>
      </w:r>
      <w:r>
        <w:rPr>
          <w:rFonts w:hint="eastAsia" w:ascii="宋体" w:hAnsi="宋体" w:eastAsia="宋体" w:cs="Times New Roman"/>
          <w:sz w:val="24"/>
          <w:szCs w:val="24"/>
        </w:rPr>
        <w:t>甲方违反本合同专用条款中第14条的约定，不按时向乙方支付款项。</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14.2.2</w:t>
      </w:r>
      <w:r>
        <w:rPr>
          <w:rFonts w:hint="eastAsia" w:ascii="宋体" w:hAnsi="宋体" w:eastAsia="宋体" w:cs="Times New Roman"/>
          <w:sz w:val="24"/>
          <w:szCs w:val="24"/>
        </w:rPr>
        <w:t>甲方不履行或不按约定履行合同义务的其他情况。</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14.3 违约金的扣除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14.3.1</w:t>
      </w:r>
      <w:r>
        <w:rPr>
          <w:rFonts w:hint="eastAsia" w:ascii="宋体" w:hAnsi="宋体" w:eastAsia="宋体" w:cs="Times New Roman"/>
          <w:sz w:val="24"/>
          <w:szCs w:val="24"/>
        </w:rPr>
        <w:t xml:space="preserve"> 甲方可直接依据本合同约定扣除违约金，而不需得到乙方的确认。</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14.3.2</w:t>
      </w:r>
      <w:r>
        <w:rPr>
          <w:rFonts w:hint="eastAsia" w:ascii="宋体" w:hAnsi="宋体" w:eastAsia="宋体" w:cs="Times New Roman"/>
          <w:sz w:val="24"/>
          <w:szCs w:val="24"/>
        </w:rPr>
        <w:t xml:space="preserve"> 一方违约后，另一方要求违约方继续履行本合同时，违约方承担违约责任后仍应继续履行本合同。</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15.合同的解除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w:t>
      </w:r>
      <w:r>
        <w:rPr>
          <w:rFonts w:hint="eastAsia" w:ascii="宋体" w:hAnsi="宋体" w:eastAsia="宋体" w:cs="Times New Roman"/>
          <w:sz w:val="24"/>
          <w:szCs w:val="24"/>
        </w:rPr>
        <w:t>有下列情形之一的，甲方可以解除合同：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w:t>
      </w:r>
      <w:r>
        <w:rPr>
          <w:rFonts w:hint="eastAsia" w:ascii="宋体" w:hAnsi="宋体" w:eastAsia="宋体" w:cs="Times New Roman"/>
          <w:sz w:val="24"/>
          <w:szCs w:val="24"/>
        </w:rPr>
        <w:t>1乙方未经甲方书面同意，不得将承包范围内的工作内容另行分包或转包，如发生，甲方有权单方面解除合同，乙方必须无条件退场，赔偿由此给甲方造成的损失并承担本合同价款10%的违约金。</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15.1.2</w:t>
      </w:r>
      <w:r>
        <w:rPr>
          <w:rFonts w:hint="eastAsia" w:ascii="宋体" w:hAnsi="宋体" w:eastAsia="宋体" w:cs="Times New Roman"/>
          <w:sz w:val="24"/>
          <w:szCs w:val="24"/>
        </w:rPr>
        <w:t>甲方有充足的理由说明乙方资源组织不力，不能满足甲方对其生产效率、质量、现场安全及文明施工等各项要求时，甲方有权勒令乙方进行整顿; 被甲方三次书面发函督告仍未完成的，甲方有权单方解除合同。乙方中途退场或因乙方原因被甲方勒令退场的，工程按乙方已完工程内容及相应单价的50%进行结算，同时履约保证金不予以退还。</w:t>
      </w:r>
    </w:p>
    <w:p>
      <w:pPr>
        <w:widowControl w:val="0"/>
        <w:spacing w:after="0" w:line="312" w:lineRule="auto"/>
        <w:ind w:firstLine="520" w:firstLineChars="216"/>
        <w:jc w:val="both"/>
        <w:rPr>
          <w:rFonts w:ascii="宋体" w:hAnsi="宋体" w:eastAsia="宋体" w:cs="Times New Roman"/>
          <w:bCs/>
          <w:sz w:val="24"/>
          <w:szCs w:val="24"/>
        </w:rPr>
      </w:pPr>
      <w:r>
        <w:rPr>
          <w:rFonts w:hint="eastAsia" w:ascii="宋体" w:hAnsi="宋体" w:eastAsia="宋体" w:cs="Times New Roman"/>
          <w:b/>
          <w:sz w:val="24"/>
          <w:szCs w:val="24"/>
        </w:rPr>
        <w:t>15.1.3</w:t>
      </w:r>
      <w:r>
        <w:rPr>
          <w:rFonts w:hint="eastAsia" w:ascii="宋体" w:hAnsi="宋体" w:eastAsia="宋体" w:cs="Times New Roman"/>
          <w:bCs/>
          <w:sz w:val="24"/>
          <w:szCs w:val="24"/>
        </w:rPr>
        <w:t>乙方无正当理由要求提高单价、付款比例等商务条件或借客观条件变化提出甲方不能承受的条件，甲方有权单方面解除合同。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15.1.4</w:t>
      </w:r>
      <w:r>
        <w:rPr>
          <w:rFonts w:hint="eastAsia" w:ascii="宋体" w:hAnsi="宋体" w:eastAsia="宋体" w:cs="Times New Roman"/>
          <w:sz w:val="24"/>
          <w:szCs w:val="24"/>
        </w:rPr>
        <w:t>因不可抗力导致合同无法履行。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15.1.5</w:t>
      </w:r>
      <w:r>
        <w:rPr>
          <w:rFonts w:hint="eastAsia" w:ascii="宋体" w:hAnsi="宋体" w:eastAsia="宋体" w:cs="Times New Roman"/>
          <w:sz w:val="24"/>
          <w:szCs w:val="24"/>
        </w:rPr>
        <w:t>因一方违约(包括因相关方原因造成项目停止)导致合同无法履行。</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15.1.6</w:t>
      </w:r>
      <w:r>
        <w:rPr>
          <w:rFonts w:hint="eastAsia" w:ascii="宋体" w:hAnsi="宋体" w:eastAsia="宋体" w:cs="Times New Roman"/>
          <w:sz w:val="24"/>
          <w:szCs w:val="24"/>
        </w:rPr>
        <w:t>本合同专用条款中约定的其它情况。</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15.2合同解除后的移交和撤场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本合同解除后7日内，乙方应按甲方要求撤出场地。甲方应为乙方撤出提供必要条件，所产生的费用按专用条款约定承担。若乙方不按规定时间离场，甲方向乙方收取场地占用费，该笔费用直接从本分包工程结算款中扣除，同时要求乙方承担相应违约责任。场地占用费及违约责任由双方在专用条款中约定。</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16.担保及保险</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16.1担保</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16.1</w:t>
      </w:r>
      <w:r>
        <w:rPr>
          <w:rFonts w:hint="eastAsia" w:ascii="宋体" w:hAnsi="宋体" w:eastAsia="宋体" w:cs="Times New Roman"/>
          <w:sz w:val="24"/>
          <w:szCs w:val="24"/>
        </w:rPr>
        <w:t>.</w:t>
      </w:r>
      <w:r>
        <w:rPr>
          <w:rFonts w:hint="eastAsia" w:ascii="宋体" w:hAnsi="宋体" w:eastAsia="宋体" w:cs="Times New Roman"/>
          <w:b/>
          <w:sz w:val="24"/>
          <w:szCs w:val="24"/>
        </w:rPr>
        <w:t>1</w:t>
      </w:r>
      <w:r>
        <w:rPr>
          <w:rFonts w:hint="eastAsia" w:ascii="宋体" w:hAnsi="宋体" w:eastAsia="宋体" w:cs="Times New Roman"/>
          <w:sz w:val="24"/>
          <w:szCs w:val="24"/>
        </w:rPr>
        <w:t>乙方应于本合同签订前向甲方提供履约担保。甲方在未收到乙方提供的合格的履约担保前，有权不向乙方支付任何款项。</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16.1.2</w:t>
      </w:r>
      <w:r>
        <w:rPr>
          <w:rFonts w:hint="eastAsia" w:ascii="宋体" w:hAnsi="宋体" w:eastAsia="宋体" w:cs="Times New Roman"/>
          <w:sz w:val="24"/>
          <w:szCs w:val="24"/>
        </w:rPr>
        <w:t>乙方按合同要求完成规定的工作内容，履约保证金在办理完最终结算后一个月内无息退还。</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16.1.3</w:t>
      </w:r>
      <w:r>
        <w:rPr>
          <w:rFonts w:hint="eastAsia" w:ascii="宋体" w:hAnsi="宋体" w:eastAsia="宋体" w:cs="Times New Roman"/>
          <w:sz w:val="24"/>
          <w:szCs w:val="24"/>
        </w:rPr>
        <w:t>如乙方违约（未达到合同约定标准），履约保证金即按专用条款约定扣减相应部分；如乙方不履行合同或被勒令退场，履约保证金不予退还。</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16.2保险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16.2.1</w:t>
      </w:r>
      <w:r>
        <w:rPr>
          <w:rFonts w:hint="eastAsia" w:ascii="宋体" w:hAnsi="宋体" w:eastAsia="宋体" w:cs="Times New Roman"/>
          <w:sz w:val="24"/>
          <w:szCs w:val="24"/>
        </w:rPr>
        <w:t>乙方应根据国家法律法规要求及自身需要自行缴纳购买相关保险，费用已包含在本合同价款中。若因乙方未及时缴纳保险费用造成的所有后果由乙方全额承担并承担事故善后处理的全部费用，乙方不得向甲方进行索赔。。</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16.2</w:t>
      </w:r>
      <w:r>
        <w:rPr>
          <w:rFonts w:hint="eastAsia" w:ascii="宋体" w:hAnsi="宋体" w:eastAsia="宋体" w:cs="Times New Roman"/>
          <w:sz w:val="24"/>
          <w:szCs w:val="24"/>
        </w:rPr>
        <w:t>.</w:t>
      </w:r>
      <w:r>
        <w:rPr>
          <w:rFonts w:hint="eastAsia" w:ascii="宋体" w:hAnsi="宋体" w:eastAsia="宋体" w:cs="Times New Roman"/>
          <w:b/>
          <w:sz w:val="24"/>
          <w:szCs w:val="24"/>
        </w:rPr>
        <w:t>2</w:t>
      </w:r>
      <w:r>
        <w:rPr>
          <w:rFonts w:hint="eastAsia" w:ascii="宋体" w:hAnsi="宋体" w:eastAsia="宋体" w:cs="Times New Roman"/>
          <w:sz w:val="24"/>
          <w:szCs w:val="24"/>
        </w:rPr>
        <w:t>乙方为作业人员及机具购置意外保险并及时续保。</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16.2</w:t>
      </w:r>
      <w:r>
        <w:rPr>
          <w:rFonts w:hint="eastAsia" w:ascii="宋体" w:hAnsi="宋体" w:eastAsia="宋体" w:cs="Times New Roman"/>
          <w:sz w:val="24"/>
          <w:szCs w:val="24"/>
        </w:rPr>
        <w:t>.</w:t>
      </w:r>
      <w:r>
        <w:rPr>
          <w:rFonts w:hint="eastAsia" w:ascii="宋体" w:hAnsi="宋体" w:eastAsia="宋体" w:cs="Times New Roman"/>
          <w:b/>
          <w:sz w:val="24"/>
          <w:szCs w:val="24"/>
        </w:rPr>
        <w:t>3</w:t>
      </w:r>
      <w:r>
        <w:rPr>
          <w:rFonts w:hint="eastAsia" w:ascii="宋体" w:hAnsi="宋体" w:eastAsia="宋体" w:cs="Times New Roman"/>
          <w:sz w:val="24"/>
          <w:szCs w:val="24"/>
        </w:rPr>
        <w:t>保险事故发生时，甲乙双方均有责任尽力采取必要的措施，防止或者减少损失。</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16.2</w:t>
      </w:r>
      <w:r>
        <w:rPr>
          <w:rFonts w:hint="eastAsia" w:ascii="宋体" w:hAnsi="宋体" w:eastAsia="宋体" w:cs="Times New Roman"/>
          <w:sz w:val="24"/>
          <w:szCs w:val="24"/>
        </w:rPr>
        <w:t>.</w:t>
      </w:r>
      <w:r>
        <w:rPr>
          <w:rFonts w:hint="eastAsia" w:ascii="宋体" w:hAnsi="宋体" w:eastAsia="宋体" w:cs="Times New Roman"/>
          <w:b/>
          <w:sz w:val="24"/>
          <w:szCs w:val="24"/>
        </w:rPr>
        <w:t>4</w:t>
      </w:r>
      <w:r>
        <w:rPr>
          <w:rFonts w:hint="eastAsia" w:ascii="宋体" w:hAnsi="宋体" w:eastAsia="宋体" w:cs="Times New Roman"/>
          <w:sz w:val="24"/>
          <w:szCs w:val="24"/>
        </w:rPr>
        <w:t>具体投保内容和相关责任，在本合同专用条款内约定。</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17.争议</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17.1</w:t>
      </w:r>
      <w:r>
        <w:rPr>
          <w:rFonts w:hint="eastAsia" w:ascii="宋体" w:hAnsi="宋体" w:eastAsia="宋体" w:cs="Times New Roman"/>
          <w:sz w:val="24"/>
          <w:szCs w:val="24"/>
        </w:rPr>
        <w:t>双方在履行合同时发生争议，应优先采取公平、公正、合理的原则协商解决。协商不成的，双方可以在本合同专用条款内约定解决争议的方式。</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17.2</w:t>
      </w:r>
      <w:r>
        <w:rPr>
          <w:rFonts w:hint="eastAsia" w:ascii="宋体" w:hAnsi="宋体" w:eastAsia="宋体" w:cs="Times New Roman"/>
          <w:sz w:val="24"/>
          <w:szCs w:val="24"/>
        </w:rPr>
        <w:t>如乙方任何人员(包括其临时雇佣人员)采用如：静坐示威、张贴横幅或大字报、多人围堵、冲击甲方或业主办公地点、作业现场；威胁、恐吓甲方或业主个人；损毁甲方或业主的财物；阻扰施工等方式以达到自己的目的，不管起因如何，乙方均应为此承担责任。除对人、财、物进行损害赔偿外，须向甲方支付每次</w:t>
      </w:r>
      <w:r>
        <w:rPr>
          <w:rFonts w:hint="eastAsia" w:ascii="宋体" w:hAnsi="宋体" w:cs="Times New Roman"/>
          <w:sz w:val="24"/>
          <w:szCs w:val="24"/>
          <w:lang w:val="en-US" w:eastAsia="zh-CN"/>
        </w:rPr>
        <w:t>5</w:t>
      </w:r>
      <w:r>
        <w:rPr>
          <w:rFonts w:hint="eastAsia" w:ascii="宋体" w:hAnsi="宋体" w:eastAsia="宋体" w:cs="Times New Roman"/>
          <w:sz w:val="24"/>
          <w:szCs w:val="24"/>
        </w:rPr>
        <w:t>万元违约金并没收履约保证金。</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18.不可抗力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18.1</w:t>
      </w:r>
      <w:r>
        <w:rPr>
          <w:rFonts w:hint="eastAsia" w:ascii="宋体" w:hAnsi="宋体" w:eastAsia="宋体" w:cs="Times New Roman"/>
          <w:sz w:val="24"/>
          <w:szCs w:val="24"/>
        </w:rPr>
        <w:t xml:space="preserve">本合同中不可抗力的定义与《民法典》定义相同。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18.2</w:t>
      </w:r>
      <w:r>
        <w:rPr>
          <w:rFonts w:hint="eastAsia" w:ascii="宋体" w:hAnsi="宋体" w:eastAsia="宋体" w:cs="Times New Roman"/>
          <w:sz w:val="24"/>
          <w:szCs w:val="24"/>
        </w:rPr>
        <w:t xml:space="preserve">减少不可抗力的损失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18.2.1</w:t>
      </w:r>
      <w:r>
        <w:rPr>
          <w:rFonts w:hint="eastAsia" w:ascii="宋体" w:hAnsi="宋体" w:eastAsia="宋体" w:cs="Times New Roman"/>
          <w:sz w:val="24"/>
          <w:szCs w:val="24"/>
        </w:rPr>
        <w:t>不可抗力事件发生后，乙方应立即通知甲方，并在力所能及的条件下迅速采取措施，尽力减少损失，甲方应协助乙方采取措施。若因乙方未能尽力挽救，导致损失扩大的，由乙方承担全部责任。</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18.2.2</w:t>
      </w:r>
      <w:r>
        <w:rPr>
          <w:rFonts w:hint="eastAsia" w:ascii="宋体" w:hAnsi="宋体" w:eastAsia="宋体" w:cs="Times New Roman"/>
          <w:sz w:val="24"/>
          <w:szCs w:val="24"/>
        </w:rPr>
        <w:t>甲方认为乙方应当暂停工作的，乙方应暂停工作。不可抗力事件结束后44小时内乙方向甲方通报受害情况和损失情况及预计清理和修复的费用。不可抗力事件持续发生，乙方应每隔7天向甲方通报一次受害情况。不可抗力结束后14天内，乙方应向甲方提交清理和修复费用的正式报告和有关资料。</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18.3</w:t>
      </w:r>
      <w:r>
        <w:rPr>
          <w:rFonts w:hint="eastAsia" w:ascii="宋体" w:hAnsi="宋体" w:eastAsia="宋体" w:cs="Times New Roman"/>
          <w:sz w:val="24"/>
          <w:szCs w:val="24"/>
        </w:rPr>
        <w:t xml:space="preserve">不可抗力责任承担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18.3.1</w:t>
      </w:r>
      <w:r>
        <w:rPr>
          <w:rFonts w:hint="eastAsia" w:ascii="宋体" w:hAnsi="宋体" w:eastAsia="宋体" w:cs="Times New Roman"/>
          <w:sz w:val="24"/>
          <w:szCs w:val="24"/>
        </w:rPr>
        <w:t>因不可抗力导致第三人人员伤亡和财产损失，由甲方承担，但18.2.1条约定的情形除外。</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18.3.2</w:t>
      </w:r>
      <w:r>
        <w:rPr>
          <w:rFonts w:hint="eastAsia" w:ascii="宋体" w:hAnsi="宋体" w:eastAsia="宋体" w:cs="Times New Roman"/>
          <w:sz w:val="24"/>
          <w:szCs w:val="24"/>
        </w:rPr>
        <w:t>甲乙双方人员伤亡引起的全部责任各自承担。</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18.3.3</w:t>
      </w:r>
      <w:r>
        <w:rPr>
          <w:rFonts w:hint="eastAsia" w:ascii="宋体" w:hAnsi="宋体" w:eastAsia="宋体" w:cs="Times New Roman"/>
          <w:sz w:val="24"/>
          <w:szCs w:val="24"/>
        </w:rPr>
        <w:t>乙方机械设备损坏及停工损失，由乙方承担。</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18.3.4</w:t>
      </w:r>
      <w:r>
        <w:rPr>
          <w:rFonts w:hint="eastAsia" w:ascii="宋体" w:hAnsi="宋体" w:eastAsia="宋体" w:cs="Times New Roman"/>
          <w:sz w:val="24"/>
          <w:szCs w:val="24"/>
        </w:rPr>
        <w:t>项目所需清理、修复费用，由甲方承担。</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19.其他 </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19.1作业配合：</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19.1</w:t>
      </w:r>
      <w:r>
        <w:rPr>
          <w:rFonts w:hint="eastAsia" w:ascii="宋体" w:hAnsi="宋体" w:eastAsia="宋体" w:cs="Times New Roman"/>
          <w:sz w:val="24"/>
          <w:szCs w:val="24"/>
        </w:rPr>
        <w:t>.</w:t>
      </w:r>
      <w:r>
        <w:rPr>
          <w:rFonts w:hint="eastAsia" w:ascii="宋体" w:hAnsi="宋体" w:eastAsia="宋体" w:cs="Times New Roman"/>
          <w:b/>
          <w:sz w:val="24"/>
          <w:szCs w:val="24"/>
        </w:rPr>
        <w:t>1</w:t>
      </w:r>
      <w:r>
        <w:rPr>
          <w:rFonts w:hint="eastAsia" w:ascii="宋体" w:hAnsi="宋体" w:eastAsia="宋体" w:cs="Times New Roman"/>
          <w:sz w:val="24"/>
          <w:szCs w:val="24"/>
        </w:rPr>
        <w:t>甲方或生产场地内第三方的工作必需乙方配合时，乙方应按甲方的指令予以配合。</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19.1.2</w:t>
      </w:r>
      <w:r>
        <w:rPr>
          <w:rFonts w:hint="eastAsia" w:ascii="宋体" w:hAnsi="宋体" w:eastAsia="宋体" w:cs="Times New Roman"/>
          <w:sz w:val="24"/>
          <w:szCs w:val="24"/>
        </w:rPr>
        <w:t>双方约定的配合的其它内容在专用条款中补充。</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19.2合同备案 </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本合同签订后15天内，乙方应负责至相关行政管理机关办理备案手续，甲方给予必要的协助。办理备案手续发生的费用由乙方承担，且未能办理备案前，甲方有权不支付任何合同价款。若本合同发生重大变更的，乙方应当自变更后7个工作日内，将变更协议送原备案机关备案。如遇政府政策调整，则按新政策执行。</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 xml:space="preserve">19.3合同生效与终止 </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19.3.1</w:t>
      </w:r>
      <w:r>
        <w:rPr>
          <w:rFonts w:hint="eastAsia" w:ascii="宋体" w:hAnsi="宋体" w:eastAsia="宋体" w:cs="Times New Roman"/>
          <w:sz w:val="24"/>
          <w:szCs w:val="24"/>
        </w:rPr>
        <w:t>本合同自双方加盖公章并经法定代表人或授权代理人签字之日起生效。</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19.3.2</w:t>
      </w:r>
      <w:r>
        <w:rPr>
          <w:rFonts w:hint="eastAsia" w:ascii="宋体" w:hAnsi="宋体" w:eastAsia="宋体" w:cs="Times New Roman"/>
          <w:sz w:val="24"/>
          <w:szCs w:val="24"/>
        </w:rPr>
        <w:t>甲乙双方履行完合同全部义务，经甲方验收合格、甲方支付约定的结算款后，本项目合同即告终止。</w:t>
      </w:r>
    </w:p>
    <w:p>
      <w:pPr>
        <w:widowControl w:val="0"/>
        <w:spacing w:after="0" w:line="312" w:lineRule="auto"/>
        <w:ind w:firstLine="520" w:firstLineChars="216"/>
        <w:jc w:val="both"/>
        <w:rPr>
          <w:rFonts w:ascii="宋体" w:hAnsi="宋体" w:eastAsia="宋体" w:cs="Times New Roman"/>
          <w:sz w:val="24"/>
          <w:szCs w:val="24"/>
        </w:rPr>
      </w:pPr>
      <w:r>
        <w:rPr>
          <w:rFonts w:hint="eastAsia" w:ascii="宋体" w:hAnsi="宋体" w:eastAsia="宋体" w:cs="Times New Roman"/>
          <w:b/>
          <w:sz w:val="24"/>
          <w:szCs w:val="24"/>
        </w:rPr>
        <w:t>19.3.3</w:t>
      </w:r>
      <w:r>
        <w:rPr>
          <w:rFonts w:hint="eastAsia" w:ascii="宋体" w:hAnsi="宋体" w:eastAsia="宋体" w:cs="Times New Roman"/>
          <w:sz w:val="24"/>
          <w:szCs w:val="24"/>
        </w:rPr>
        <w:t>本合同份数在专用条款中明确，均具有同等法律效力。</w:t>
      </w:r>
    </w:p>
    <w:p>
      <w:pPr>
        <w:widowControl w:val="0"/>
        <w:spacing w:after="0" w:line="312" w:lineRule="auto"/>
        <w:ind w:firstLine="520" w:firstLineChars="216"/>
        <w:jc w:val="both"/>
        <w:rPr>
          <w:rFonts w:ascii="宋体" w:hAnsi="宋体" w:eastAsia="宋体" w:cs="Times New Roman"/>
          <w:b/>
          <w:sz w:val="24"/>
          <w:szCs w:val="24"/>
        </w:rPr>
      </w:pPr>
      <w:r>
        <w:rPr>
          <w:rFonts w:hint="eastAsia" w:ascii="宋体" w:hAnsi="宋体" w:eastAsia="宋体" w:cs="Times New Roman"/>
          <w:b/>
          <w:sz w:val="24"/>
          <w:szCs w:val="24"/>
        </w:rPr>
        <w:t>20.补充条款</w:t>
      </w:r>
    </w:p>
    <w:p>
      <w:pPr>
        <w:widowControl w:val="0"/>
        <w:spacing w:after="0" w:line="312" w:lineRule="auto"/>
        <w:ind w:firstLine="518" w:firstLineChars="216"/>
        <w:jc w:val="both"/>
        <w:rPr>
          <w:rFonts w:ascii="宋体" w:hAnsi="宋体" w:eastAsia="宋体" w:cs="Times New Roman"/>
          <w:sz w:val="24"/>
          <w:szCs w:val="24"/>
        </w:rPr>
      </w:pPr>
      <w:r>
        <w:rPr>
          <w:rFonts w:hint="eastAsia" w:ascii="宋体" w:hAnsi="宋体" w:eastAsia="宋体" w:cs="Times New Roman"/>
          <w:sz w:val="24"/>
          <w:szCs w:val="24"/>
        </w:rPr>
        <w:t>双方根据有关法律、行政法规规定，经协商一致后，可对本合同通用条款内容具体化、补充或修改，在本合同专用条款内约定。</w:t>
      </w:r>
    </w:p>
    <w:p>
      <w:pPr>
        <w:widowControl w:val="0"/>
        <w:spacing w:after="0" w:line="312" w:lineRule="auto"/>
        <w:ind w:firstLine="633" w:firstLineChars="198"/>
        <w:jc w:val="center"/>
        <w:rPr>
          <w:rFonts w:ascii="黑体" w:hAnsi="黑体" w:eastAsia="黑体" w:cs="Times New Roman"/>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center"/>
        <w:rPr>
          <w:rFonts w:ascii="黑体" w:hAnsi="黑体" w:eastAsia="黑体" w:cs="Times New Roman"/>
          <w:color w:val="auto"/>
          <w:sz w:val="32"/>
          <w:szCs w:val="32"/>
        </w:rPr>
      </w:pPr>
    </w:p>
    <w:p>
      <w:pPr>
        <w:widowControl w:val="0"/>
        <w:spacing w:after="0" w:line="312" w:lineRule="auto"/>
        <w:jc w:val="both"/>
        <w:rPr>
          <w:rFonts w:ascii="黑体" w:hAnsi="黑体" w:eastAsia="黑体" w:cs="Times New Roman"/>
          <w:color w:val="auto"/>
          <w:sz w:val="32"/>
          <w:szCs w:val="32"/>
        </w:rPr>
      </w:pPr>
    </w:p>
    <w:p>
      <w:pPr>
        <w:widowControl w:val="0"/>
        <w:spacing w:before="313" w:beforeLines="100" w:after="0" w:line="288" w:lineRule="auto"/>
        <w:ind w:firstLine="640" w:firstLineChars="200"/>
        <w:jc w:val="center"/>
        <w:rPr>
          <w:rFonts w:hint="eastAsia" w:ascii="黑体" w:hAnsi="黑体" w:eastAsia="黑体" w:cs="Times New Roman"/>
          <w:color w:val="auto"/>
          <w:sz w:val="32"/>
          <w:szCs w:val="32"/>
        </w:rPr>
      </w:pPr>
      <w:r>
        <w:rPr>
          <w:rFonts w:hint="eastAsia" w:ascii="黑体" w:hAnsi="黑体" w:eastAsia="黑体" w:cs="Times New Roman"/>
          <w:color w:val="auto"/>
          <w:sz w:val="32"/>
          <w:szCs w:val="32"/>
        </w:rPr>
        <w:t>第二节  专用合同条款</w:t>
      </w:r>
    </w:p>
    <w:p>
      <w:pPr>
        <w:widowControl w:val="0"/>
        <w:spacing w:before="313" w:beforeLines="100" w:after="0" w:line="288"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场内运输外包作业合同</w:t>
      </w:r>
    </w:p>
    <w:p>
      <w:pPr>
        <w:widowControl w:val="0"/>
        <w:spacing w:before="313" w:beforeLines="100" w:line="288" w:lineRule="auto"/>
        <w:rPr>
          <w:rFonts w:hint="eastAsia" w:ascii="宋体" w:hAnsi="宋体" w:eastAsia="宋体" w:cs="宋体"/>
          <w:sz w:val="24"/>
          <w:szCs w:val="24"/>
        </w:rPr>
      </w:pPr>
      <w:r>
        <w:rPr>
          <w:rFonts w:hint="eastAsia" w:ascii="宋体" w:hAnsi="宋体" w:eastAsia="宋体" w:cs="宋体"/>
          <w:sz w:val="24"/>
          <w:szCs w:val="24"/>
        </w:rPr>
        <w:t>甲方（发包方）：湖南省虞公港建设投资有限公司</w:t>
      </w:r>
    </w:p>
    <w:p>
      <w:pPr>
        <w:widowControl w:val="0"/>
        <w:spacing w:line="288" w:lineRule="auto"/>
        <w:rPr>
          <w:rFonts w:hint="eastAsia" w:ascii="宋体" w:hAnsi="宋体" w:eastAsia="宋体" w:cs="宋体"/>
          <w:sz w:val="24"/>
          <w:szCs w:val="24"/>
        </w:rPr>
      </w:pPr>
      <w:r>
        <w:rPr>
          <w:rFonts w:hint="eastAsia" w:ascii="宋体" w:hAnsi="宋体" w:eastAsia="宋体" w:cs="宋体"/>
          <w:sz w:val="24"/>
          <w:szCs w:val="24"/>
        </w:rPr>
        <w:t>乙方（服务提供方）：</w:t>
      </w:r>
    </w:p>
    <w:p>
      <w:pPr>
        <w:widowControl w:val="0"/>
        <w:spacing w:before="313" w:beforeLines="10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双方以《中华人民共和国民法典》为依据，以交通部颁发的《港口货物作业规则》、《水路货物运输规则》作为释义和补充，就湖南省虞公港建设投资有限公司场内运输外包</w:t>
      </w:r>
      <w:r>
        <w:rPr>
          <w:rFonts w:hint="eastAsia" w:ascii="宋体" w:hAnsi="宋体" w:eastAsia="宋体" w:cs="宋体"/>
          <w:sz w:val="24"/>
          <w:szCs w:val="24"/>
          <w:lang w:val="en-US" w:eastAsia="zh-CN"/>
        </w:rPr>
        <w:t>服务</w:t>
      </w:r>
      <w:r>
        <w:rPr>
          <w:rFonts w:hint="eastAsia" w:ascii="宋体" w:hAnsi="宋体" w:eastAsia="宋体" w:cs="宋体"/>
          <w:sz w:val="24"/>
          <w:szCs w:val="24"/>
        </w:rPr>
        <w:t>相关工作经协商达成一致。</w:t>
      </w:r>
    </w:p>
    <w:p>
      <w:pPr>
        <w:widowControl w:val="0"/>
        <w:numPr>
          <w:ilvl w:val="0"/>
          <w:numId w:val="3"/>
        </w:numPr>
        <w:spacing w:line="288" w:lineRule="auto"/>
        <w:ind w:left="0" w:firstLine="640"/>
        <w:rPr>
          <w:rFonts w:hint="eastAsia" w:ascii="宋体" w:hAnsi="宋体" w:eastAsia="宋体" w:cs="宋体"/>
          <w:sz w:val="24"/>
          <w:szCs w:val="24"/>
          <w:highlight w:val="none"/>
        </w:rPr>
      </w:pPr>
      <w:r>
        <w:rPr>
          <w:rFonts w:hint="eastAsia" w:ascii="宋体" w:hAnsi="宋体" w:eastAsia="宋体" w:cs="宋体"/>
          <w:b/>
          <w:bCs/>
          <w:sz w:val="24"/>
          <w:szCs w:val="24"/>
          <w:highlight w:val="none"/>
        </w:rPr>
        <w:t>业务描述及作业名称、作业名称解释</w:t>
      </w:r>
    </w:p>
    <w:p>
      <w:pPr>
        <w:widowControl w:val="0"/>
        <w:spacing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相关作业解释如下：</w:t>
      </w:r>
    </w:p>
    <w:p>
      <w:pPr>
        <w:widowControl w:val="0"/>
        <w:numPr>
          <w:ilvl w:val="0"/>
          <w:numId w:val="4"/>
        </w:numPr>
        <w:spacing w:line="288"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卸货</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从虞公港码头将货物运输至后方堆场或仓库。</w:t>
      </w:r>
    </w:p>
    <w:p>
      <w:pPr>
        <w:widowControl w:val="0"/>
        <w:numPr>
          <w:ilvl w:val="0"/>
          <w:numId w:val="4"/>
        </w:numPr>
        <w:spacing w:line="288"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装船：</w:t>
      </w:r>
      <w:r>
        <w:rPr>
          <w:rFonts w:hint="eastAsia" w:ascii="宋体" w:hAnsi="宋体" w:cs="宋体"/>
          <w:sz w:val="24"/>
          <w:szCs w:val="24"/>
          <w:highlight w:val="none"/>
          <w:lang w:val="en-US" w:eastAsia="zh-CN"/>
        </w:rPr>
        <w:t>从后方堆场或仓库将货物运输至虞公港码头装船</w:t>
      </w:r>
    </w:p>
    <w:p>
      <w:pPr>
        <w:widowControl w:val="0"/>
        <w:numPr>
          <w:ilvl w:val="0"/>
          <w:numId w:val="4"/>
        </w:numPr>
        <w:spacing w:line="288"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堆场</w:t>
      </w:r>
      <w:r>
        <w:rPr>
          <w:rFonts w:hint="eastAsia" w:ascii="宋体" w:hAnsi="宋体" w:eastAsia="宋体" w:cs="宋体"/>
          <w:sz w:val="24"/>
          <w:szCs w:val="24"/>
          <w:highlight w:val="none"/>
        </w:rPr>
        <w:t>中转：</w:t>
      </w:r>
      <w:r>
        <w:rPr>
          <w:rFonts w:hint="eastAsia" w:ascii="宋体" w:hAnsi="宋体" w:cs="宋体"/>
          <w:sz w:val="24"/>
          <w:szCs w:val="24"/>
          <w:highlight w:val="none"/>
          <w:lang w:val="en-US" w:eastAsia="zh-CN"/>
        </w:rPr>
        <w:t>将虞公港场内货物从堆放堆场运输至另一堆场。</w:t>
      </w:r>
    </w:p>
    <w:p>
      <w:pPr>
        <w:widowControl w:val="0"/>
        <w:numPr>
          <w:ilvl w:val="0"/>
          <w:numId w:val="4"/>
        </w:numPr>
        <w:spacing w:line="288"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其他</w:t>
      </w:r>
      <w:r>
        <w:rPr>
          <w:rFonts w:hint="eastAsia" w:ascii="宋体" w:hAnsi="宋体" w:eastAsia="宋体" w:cs="宋体"/>
          <w:sz w:val="24"/>
          <w:szCs w:val="24"/>
          <w:highlight w:val="none"/>
        </w:rPr>
        <w:t>服务：</w:t>
      </w:r>
    </w:p>
    <w:p>
      <w:pPr>
        <w:widowControl w:val="0"/>
        <w:numPr>
          <w:ilvl w:val="0"/>
          <w:numId w:val="0"/>
        </w:numPr>
        <w:spacing w:line="288"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1.将场内货物运输至生产运营部指定区域，并按相关要求进行作业。</w:t>
      </w:r>
    </w:p>
    <w:p>
      <w:pPr>
        <w:pStyle w:val="2"/>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2.其他生产运营部要求的作业。</w:t>
      </w:r>
    </w:p>
    <w:p>
      <w:pPr>
        <w:widowControl w:val="0"/>
        <w:numPr>
          <w:ilvl w:val="0"/>
          <w:numId w:val="3"/>
        </w:numPr>
        <w:spacing w:line="288" w:lineRule="auto"/>
        <w:ind w:left="0" w:firstLine="640"/>
        <w:rPr>
          <w:rFonts w:hint="eastAsia" w:ascii="宋体" w:hAnsi="宋体" w:eastAsia="宋体" w:cs="宋体"/>
          <w:b/>
          <w:bCs/>
          <w:sz w:val="24"/>
          <w:szCs w:val="24"/>
        </w:rPr>
      </w:pPr>
      <w:r>
        <w:rPr>
          <w:rFonts w:hint="eastAsia" w:ascii="宋体" w:hAnsi="宋体" w:eastAsia="宋体" w:cs="宋体"/>
          <w:b/>
          <w:bCs/>
          <w:sz w:val="24"/>
          <w:szCs w:val="24"/>
        </w:rPr>
        <w:t>作业价格及结算方式</w:t>
      </w:r>
    </w:p>
    <w:p>
      <w:pPr>
        <w:widowControl w:val="0"/>
        <w:spacing w:line="288"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（一）乙方接受甲方</w:t>
      </w:r>
      <w:r>
        <w:rPr>
          <w:rFonts w:hint="eastAsia" w:ascii="宋体" w:hAnsi="宋体" w:cs="宋体"/>
          <w:sz w:val="24"/>
          <w:szCs w:val="24"/>
          <w:lang w:val="en-US" w:eastAsia="zh-CN"/>
        </w:rPr>
        <w:t>场内货物转场</w:t>
      </w:r>
      <w:r>
        <w:rPr>
          <w:rFonts w:hint="eastAsia" w:ascii="宋体" w:hAnsi="宋体" w:eastAsia="宋体" w:cs="宋体"/>
          <w:sz w:val="24"/>
          <w:szCs w:val="24"/>
          <w:lang w:val="en-US" w:eastAsia="zh-CN"/>
        </w:rPr>
        <w:t>服务</w:t>
      </w:r>
      <w:r>
        <w:rPr>
          <w:rFonts w:hint="eastAsia" w:ascii="宋体" w:hAnsi="宋体" w:eastAsia="宋体" w:cs="宋体"/>
          <w:sz w:val="24"/>
          <w:szCs w:val="24"/>
        </w:rPr>
        <w:t>委托，并按照甲方码头作业计划，为甲方提供</w:t>
      </w:r>
      <w:r>
        <w:rPr>
          <w:rFonts w:hint="eastAsia" w:ascii="宋体" w:hAnsi="宋体" w:cs="宋体"/>
          <w:sz w:val="24"/>
          <w:szCs w:val="24"/>
          <w:lang w:val="en-US" w:eastAsia="zh-CN"/>
        </w:rPr>
        <w:t>场内货物转场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单价见下表：</w:t>
      </w:r>
    </w:p>
    <w:tbl>
      <w:tblPr>
        <w:tblStyle w:val="4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408"/>
        <w:gridCol w:w="2903"/>
        <w:gridCol w:w="2274"/>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0"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序号</w:t>
            </w:r>
          </w:p>
        </w:tc>
        <w:tc>
          <w:tcPr>
            <w:tcW w:w="1408"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项目</w:t>
            </w:r>
          </w:p>
        </w:tc>
        <w:tc>
          <w:tcPr>
            <w:tcW w:w="2903"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单价</w:t>
            </w:r>
          </w:p>
        </w:tc>
        <w:tc>
          <w:tcPr>
            <w:tcW w:w="2274"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数量</w:t>
            </w:r>
          </w:p>
        </w:tc>
        <w:tc>
          <w:tcPr>
            <w:tcW w:w="2274"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00"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1</w:t>
            </w:r>
          </w:p>
        </w:tc>
        <w:tc>
          <w:tcPr>
            <w:tcW w:w="1408" w:type="dxa"/>
            <w:vAlign w:val="center"/>
          </w:tcPr>
          <w:p>
            <w:pPr>
              <w:pStyle w:val="2"/>
              <w:widowControl w:val="0"/>
              <w:jc w:val="center"/>
              <w:rPr>
                <w:rFonts w:hint="eastAsia" w:cs="仿宋" w:asciiTheme="minorEastAsia" w:hAnsiTheme="minorEastAsia" w:eastAsiaTheme="minorEastAsia"/>
                <w:sz w:val="24"/>
                <w:vertAlign w:val="baseline"/>
                <w:lang w:eastAsia="zh-CN"/>
              </w:rPr>
            </w:pPr>
            <w:r>
              <w:rPr>
                <w:rFonts w:hint="eastAsia" w:ascii="宋体" w:hAnsi="宋体" w:eastAsia="宋体" w:cs="宋体"/>
                <w:b/>
                <w:bCs/>
                <w:sz w:val="24"/>
                <w:szCs w:val="24"/>
                <w:u w:val="single"/>
                <w:lang w:val="en-US" w:eastAsia="zh-CN"/>
              </w:rPr>
              <w:t>集装箱</w:t>
            </w:r>
          </w:p>
        </w:tc>
        <w:tc>
          <w:tcPr>
            <w:tcW w:w="2903"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 xml:space="preserve">       元每箱</w:t>
            </w:r>
          </w:p>
        </w:tc>
        <w:tc>
          <w:tcPr>
            <w:tcW w:w="2274" w:type="dxa"/>
            <w:vAlign w:val="top"/>
          </w:tcPr>
          <w:p>
            <w:pPr>
              <w:pStyle w:val="2"/>
              <w:widowControl w:val="0"/>
              <w:jc w:val="center"/>
              <w:rPr>
                <w:rFonts w:hint="eastAsia" w:cs="仿宋" w:asciiTheme="minorEastAsia" w:hAnsiTheme="minorEastAsia" w:eastAsiaTheme="minorEastAsia"/>
                <w:sz w:val="24"/>
                <w:vertAlign w:val="baseline"/>
                <w:lang w:val="en-US" w:eastAsia="zh-CN"/>
              </w:rPr>
            </w:pPr>
          </w:p>
        </w:tc>
        <w:tc>
          <w:tcPr>
            <w:tcW w:w="2274" w:type="dxa"/>
            <w:vAlign w:val="top"/>
          </w:tcPr>
          <w:p>
            <w:pPr>
              <w:pStyle w:val="2"/>
              <w:widowControl w:val="0"/>
              <w:jc w:val="center"/>
              <w:rPr>
                <w:rFonts w:hint="eastAsia" w:cs="仿宋" w:asciiTheme="minorEastAsia" w:hAnsiTheme="minorEastAsia" w:eastAsiaTheme="minorEastAsia"/>
                <w:sz w:val="24"/>
                <w:vertAlign w:val="baseline"/>
                <w:lang w:eastAsia="zh-CN"/>
              </w:rPr>
            </w:pPr>
            <w:r>
              <w:rPr>
                <w:rFonts w:hint="eastAsia" w:ascii="宋体" w:hAnsi="宋体" w:eastAsia="宋体" w:cs="宋体"/>
                <w:b/>
                <w:bCs/>
                <w:sz w:val="24"/>
                <w:szCs w:val="24"/>
                <w:u w:val="single"/>
                <w:lang w:val="en-US" w:eastAsia="zh-CN"/>
              </w:rPr>
              <w:t>含大、小、空、重箱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00"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2</w:t>
            </w:r>
          </w:p>
        </w:tc>
        <w:tc>
          <w:tcPr>
            <w:tcW w:w="1408" w:type="dxa"/>
            <w:vAlign w:val="center"/>
          </w:tcPr>
          <w:p>
            <w:pPr>
              <w:pStyle w:val="2"/>
              <w:widowControl w:val="0"/>
              <w:jc w:val="center"/>
              <w:rPr>
                <w:rFonts w:hint="eastAsia" w:cs="仿宋" w:asciiTheme="minorEastAsia" w:hAnsiTheme="minorEastAsia" w:eastAsiaTheme="minorEastAsia"/>
                <w:sz w:val="24"/>
                <w:vertAlign w:val="baseline"/>
                <w:lang w:eastAsia="zh-CN"/>
              </w:rPr>
            </w:pPr>
            <w:r>
              <w:rPr>
                <w:rFonts w:hint="eastAsia" w:ascii="宋体" w:hAnsi="宋体" w:eastAsia="宋体" w:cs="宋体"/>
                <w:b/>
                <w:bCs/>
                <w:sz w:val="24"/>
                <w:szCs w:val="24"/>
                <w:u w:val="single"/>
                <w:lang w:val="en-US" w:eastAsia="zh-CN"/>
              </w:rPr>
              <w:t>港内矿石（场-场）</w:t>
            </w:r>
          </w:p>
        </w:tc>
        <w:tc>
          <w:tcPr>
            <w:tcW w:w="2903" w:type="dxa"/>
            <w:vAlign w:val="center"/>
          </w:tcPr>
          <w:p>
            <w:pPr>
              <w:pStyle w:val="2"/>
              <w:widowControl w:val="0"/>
              <w:ind w:firstLine="0" w:firstLineChars="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 xml:space="preserve">       元每吨</w:t>
            </w:r>
          </w:p>
        </w:tc>
        <w:tc>
          <w:tcPr>
            <w:tcW w:w="2274" w:type="dxa"/>
            <w:vAlign w:val="top"/>
          </w:tcPr>
          <w:p>
            <w:pPr>
              <w:pStyle w:val="2"/>
              <w:widowControl w:val="0"/>
              <w:ind w:firstLine="0" w:firstLineChars="0"/>
              <w:jc w:val="center"/>
              <w:rPr>
                <w:rFonts w:hint="eastAsia" w:cs="仿宋" w:asciiTheme="minorEastAsia" w:hAnsiTheme="minorEastAsia" w:eastAsiaTheme="minorEastAsia"/>
                <w:sz w:val="24"/>
                <w:vertAlign w:val="baseline"/>
                <w:lang w:val="en-US" w:eastAsia="zh-CN"/>
              </w:rPr>
            </w:pPr>
          </w:p>
        </w:tc>
        <w:tc>
          <w:tcPr>
            <w:tcW w:w="2274" w:type="dxa"/>
            <w:vAlign w:val="top"/>
          </w:tcPr>
          <w:p>
            <w:pPr>
              <w:pStyle w:val="2"/>
              <w:widowControl w:val="0"/>
              <w:jc w:val="center"/>
              <w:rPr>
                <w:rFonts w:hint="eastAsia" w:cs="仿宋" w:asciiTheme="minorEastAsia" w:hAnsiTheme="minorEastAsia" w:eastAsiaTheme="minorEastAsia"/>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00"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3</w:t>
            </w:r>
          </w:p>
        </w:tc>
        <w:tc>
          <w:tcPr>
            <w:tcW w:w="1408" w:type="dxa"/>
            <w:vAlign w:val="center"/>
          </w:tcPr>
          <w:p>
            <w:pPr>
              <w:pStyle w:val="2"/>
              <w:widowControl w:val="0"/>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港内矿石（船-场）</w:t>
            </w:r>
          </w:p>
        </w:tc>
        <w:tc>
          <w:tcPr>
            <w:tcW w:w="2903" w:type="dxa"/>
            <w:vAlign w:val="center"/>
          </w:tcPr>
          <w:p>
            <w:pPr>
              <w:pStyle w:val="2"/>
              <w:widowControl w:val="0"/>
              <w:jc w:val="center"/>
              <w:rPr>
                <w:rFonts w:hint="eastAsia" w:cs="仿宋" w:asciiTheme="minorEastAsia" w:hAnsiTheme="minorEastAsia" w:eastAsiaTheme="minorEastAsia"/>
                <w:sz w:val="24"/>
                <w:vertAlign w:val="baseline"/>
                <w:lang w:eastAsia="zh-CN"/>
              </w:rPr>
            </w:pPr>
            <w:r>
              <w:rPr>
                <w:rFonts w:hint="eastAsia" w:cs="仿宋" w:asciiTheme="minorEastAsia" w:hAnsiTheme="minorEastAsia" w:eastAsiaTheme="minorEastAsia"/>
                <w:sz w:val="24"/>
                <w:vertAlign w:val="baseline"/>
                <w:lang w:val="en-US" w:eastAsia="zh-CN"/>
              </w:rPr>
              <w:t xml:space="preserve">       元每吨</w:t>
            </w:r>
          </w:p>
        </w:tc>
        <w:tc>
          <w:tcPr>
            <w:tcW w:w="2274" w:type="dxa"/>
            <w:vAlign w:val="top"/>
          </w:tcPr>
          <w:p>
            <w:pPr>
              <w:pStyle w:val="2"/>
              <w:widowControl w:val="0"/>
              <w:jc w:val="center"/>
              <w:rPr>
                <w:rFonts w:hint="eastAsia" w:cs="仿宋" w:asciiTheme="minorEastAsia" w:hAnsiTheme="minorEastAsia" w:eastAsiaTheme="minorEastAsia"/>
                <w:sz w:val="24"/>
                <w:vertAlign w:val="baseline"/>
                <w:lang w:val="en-US" w:eastAsia="zh-CN"/>
              </w:rPr>
            </w:pPr>
          </w:p>
        </w:tc>
        <w:tc>
          <w:tcPr>
            <w:tcW w:w="2274" w:type="dxa"/>
            <w:vAlign w:val="top"/>
          </w:tcPr>
          <w:p>
            <w:pPr>
              <w:pStyle w:val="2"/>
              <w:widowControl w:val="0"/>
              <w:jc w:val="center"/>
              <w:rPr>
                <w:rFonts w:hint="eastAsia" w:cs="仿宋" w:asciiTheme="minorEastAsia" w:hAnsiTheme="minorEastAsia" w:eastAsiaTheme="minorEastAsia"/>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00"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4</w:t>
            </w:r>
          </w:p>
        </w:tc>
        <w:tc>
          <w:tcPr>
            <w:tcW w:w="1408" w:type="dxa"/>
            <w:vAlign w:val="center"/>
          </w:tcPr>
          <w:p>
            <w:pPr>
              <w:pStyle w:val="2"/>
              <w:widowControl w:val="0"/>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场内煤炭（场-场）</w:t>
            </w:r>
          </w:p>
        </w:tc>
        <w:tc>
          <w:tcPr>
            <w:tcW w:w="2903" w:type="dxa"/>
            <w:vAlign w:val="center"/>
          </w:tcPr>
          <w:p>
            <w:pPr>
              <w:pStyle w:val="2"/>
              <w:widowControl w:val="0"/>
              <w:jc w:val="center"/>
              <w:rPr>
                <w:rFonts w:hint="eastAsia" w:cs="仿宋" w:asciiTheme="minorEastAsia" w:hAnsiTheme="minorEastAsia" w:eastAsiaTheme="minorEastAsia"/>
                <w:sz w:val="24"/>
                <w:vertAlign w:val="baseline"/>
                <w:lang w:eastAsia="zh-CN"/>
              </w:rPr>
            </w:pPr>
            <w:r>
              <w:rPr>
                <w:rFonts w:hint="eastAsia" w:cs="仿宋" w:asciiTheme="minorEastAsia" w:hAnsiTheme="minorEastAsia" w:eastAsiaTheme="minorEastAsia"/>
                <w:sz w:val="24"/>
                <w:vertAlign w:val="baseline"/>
                <w:lang w:val="en-US" w:eastAsia="zh-CN"/>
              </w:rPr>
              <w:t xml:space="preserve">       元每吨</w:t>
            </w:r>
          </w:p>
        </w:tc>
        <w:tc>
          <w:tcPr>
            <w:tcW w:w="2274" w:type="dxa"/>
            <w:vAlign w:val="top"/>
          </w:tcPr>
          <w:p>
            <w:pPr>
              <w:pStyle w:val="2"/>
              <w:widowControl w:val="0"/>
              <w:jc w:val="center"/>
              <w:rPr>
                <w:rFonts w:hint="eastAsia" w:cs="仿宋" w:asciiTheme="minorEastAsia" w:hAnsiTheme="minorEastAsia" w:eastAsiaTheme="minorEastAsia"/>
                <w:sz w:val="24"/>
                <w:vertAlign w:val="baseline"/>
                <w:lang w:val="en-US" w:eastAsia="zh-CN"/>
              </w:rPr>
            </w:pPr>
          </w:p>
        </w:tc>
        <w:tc>
          <w:tcPr>
            <w:tcW w:w="2274" w:type="dxa"/>
            <w:vAlign w:val="top"/>
          </w:tcPr>
          <w:p>
            <w:pPr>
              <w:pStyle w:val="2"/>
              <w:widowControl w:val="0"/>
              <w:jc w:val="center"/>
              <w:rPr>
                <w:rFonts w:hint="eastAsia" w:cs="仿宋" w:asciiTheme="minorEastAsia" w:hAnsiTheme="minorEastAsia" w:eastAsiaTheme="minorEastAsia"/>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00"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5</w:t>
            </w:r>
          </w:p>
        </w:tc>
        <w:tc>
          <w:tcPr>
            <w:tcW w:w="1408" w:type="dxa"/>
            <w:vAlign w:val="center"/>
          </w:tcPr>
          <w:p>
            <w:pPr>
              <w:pStyle w:val="2"/>
              <w:widowControl w:val="0"/>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场内煤炭（船-场）</w:t>
            </w:r>
          </w:p>
        </w:tc>
        <w:tc>
          <w:tcPr>
            <w:tcW w:w="2903" w:type="dxa"/>
            <w:vAlign w:val="center"/>
          </w:tcPr>
          <w:p>
            <w:pPr>
              <w:pStyle w:val="2"/>
              <w:widowControl w:val="0"/>
              <w:jc w:val="center"/>
              <w:rPr>
                <w:rFonts w:hint="eastAsia" w:cs="仿宋" w:asciiTheme="minorEastAsia" w:hAnsiTheme="minorEastAsia" w:eastAsiaTheme="minorEastAsia"/>
                <w:sz w:val="24"/>
                <w:vertAlign w:val="baseline"/>
                <w:lang w:eastAsia="zh-CN"/>
              </w:rPr>
            </w:pPr>
            <w:r>
              <w:rPr>
                <w:rFonts w:hint="eastAsia" w:cs="仿宋" w:asciiTheme="minorEastAsia" w:hAnsiTheme="minorEastAsia" w:eastAsiaTheme="minorEastAsia"/>
                <w:sz w:val="24"/>
                <w:vertAlign w:val="baseline"/>
                <w:lang w:val="en-US" w:eastAsia="zh-CN"/>
              </w:rPr>
              <w:t xml:space="preserve">       元每吨</w:t>
            </w:r>
          </w:p>
        </w:tc>
        <w:tc>
          <w:tcPr>
            <w:tcW w:w="2274" w:type="dxa"/>
            <w:vAlign w:val="top"/>
          </w:tcPr>
          <w:p>
            <w:pPr>
              <w:pStyle w:val="2"/>
              <w:widowControl w:val="0"/>
              <w:jc w:val="center"/>
              <w:rPr>
                <w:rFonts w:hint="eastAsia" w:cs="仿宋" w:asciiTheme="minorEastAsia" w:hAnsiTheme="minorEastAsia" w:eastAsiaTheme="minorEastAsia"/>
                <w:sz w:val="24"/>
                <w:vertAlign w:val="baseline"/>
                <w:lang w:val="en-US" w:eastAsia="zh-CN"/>
              </w:rPr>
            </w:pPr>
          </w:p>
        </w:tc>
        <w:tc>
          <w:tcPr>
            <w:tcW w:w="2274" w:type="dxa"/>
            <w:vAlign w:val="top"/>
          </w:tcPr>
          <w:p>
            <w:pPr>
              <w:pStyle w:val="2"/>
              <w:widowControl w:val="0"/>
              <w:jc w:val="center"/>
              <w:rPr>
                <w:rFonts w:hint="eastAsia" w:cs="仿宋" w:asciiTheme="minorEastAsia" w:hAnsiTheme="minorEastAsia" w:eastAsiaTheme="minorEastAsia"/>
                <w:sz w:val="24"/>
                <w:vertAlign w:val="baseline"/>
                <w:lang w:eastAsia="zh-CN"/>
              </w:rPr>
            </w:pPr>
          </w:p>
        </w:tc>
      </w:tr>
    </w:tbl>
    <w:p>
      <w:pPr>
        <w:widowControl w:val="0"/>
        <w:spacing w:line="288" w:lineRule="auto"/>
        <w:ind w:left="420" w:leftChars="200"/>
        <w:rPr>
          <w:rFonts w:hint="eastAsia" w:ascii="宋体" w:hAnsi="宋体" w:eastAsia="宋体" w:cs="宋体"/>
          <w:sz w:val="24"/>
          <w:szCs w:val="24"/>
        </w:rPr>
      </w:pPr>
    </w:p>
    <w:p>
      <w:pPr>
        <w:widowControl w:val="0"/>
        <w:spacing w:line="288" w:lineRule="auto"/>
        <w:ind w:left="420" w:leftChars="200"/>
        <w:rPr>
          <w:rFonts w:ascii="宋体" w:hAnsi="宋体" w:eastAsia="宋体" w:cs="宋体"/>
          <w:sz w:val="24"/>
          <w:szCs w:val="24"/>
        </w:rPr>
      </w:pPr>
      <w:r>
        <w:rPr>
          <w:rFonts w:hint="eastAsia" w:ascii="宋体" w:hAnsi="宋体" w:eastAsia="宋体" w:cs="宋体"/>
          <w:sz w:val="24"/>
          <w:szCs w:val="24"/>
        </w:rPr>
        <w:t>（二）结算方式：乙方提供双方确认的作业</w:t>
      </w:r>
      <w:r>
        <w:rPr>
          <w:rFonts w:hint="eastAsia" w:ascii="宋体" w:hAnsi="宋体" w:eastAsia="宋体" w:cs="宋体"/>
          <w:sz w:val="24"/>
          <w:szCs w:val="24"/>
          <w:lang w:val="en-US" w:eastAsia="zh-CN"/>
        </w:rPr>
        <w:t>票</w:t>
      </w:r>
      <w:r>
        <w:rPr>
          <w:rFonts w:hint="eastAsia" w:ascii="宋体" w:hAnsi="宋体" w:eastAsia="宋体" w:cs="宋体"/>
          <w:sz w:val="24"/>
          <w:szCs w:val="24"/>
        </w:rPr>
        <w:t>据</w:t>
      </w:r>
      <w:r>
        <w:rPr>
          <w:rFonts w:hint="eastAsia" w:ascii="宋体" w:hAnsi="宋体" w:eastAsia="宋体" w:cs="宋体"/>
          <w:sz w:val="24"/>
          <w:szCs w:val="24"/>
          <w:lang w:val="en-US" w:eastAsia="zh-CN"/>
        </w:rPr>
        <w:t>并汇总整理成清单</w:t>
      </w:r>
      <w:r>
        <w:rPr>
          <w:rFonts w:hint="eastAsia" w:ascii="宋体" w:hAnsi="宋体" w:eastAsia="宋体" w:cs="宋体"/>
          <w:sz w:val="24"/>
          <w:szCs w:val="24"/>
        </w:rPr>
        <w:t>，经双方核对无误后，开具税率为</w:t>
      </w:r>
      <w:r>
        <w:rPr>
          <w:rFonts w:hint="eastAsia" w:ascii="宋体" w:hAnsi="宋体" w:cs="宋体"/>
          <w:sz w:val="24"/>
          <w:szCs w:val="24"/>
          <w:lang w:eastAsia="zh-CN"/>
        </w:rPr>
        <w:t>9%</w:t>
      </w:r>
      <w:r>
        <w:rPr>
          <w:rFonts w:hint="eastAsia" w:ascii="宋体" w:hAnsi="宋体" w:eastAsia="宋体" w:cs="宋体"/>
          <w:sz w:val="24"/>
          <w:szCs w:val="24"/>
        </w:rPr>
        <w:t>的增值税发票，甲方收到发票后30个工作日内支付费用。</w:t>
      </w:r>
    </w:p>
    <w:p>
      <w:pPr>
        <w:widowControl w:val="0"/>
        <w:numPr>
          <w:ilvl w:val="0"/>
          <w:numId w:val="3"/>
        </w:numPr>
        <w:spacing w:line="288" w:lineRule="auto"/>
        <w:ind w:left="0" w:firstLine="640"/>
        <w:rPr>
          <w:rFonts w:hint="eastAsia" w:ascii="宋体" w:hAnsi="宋体" w:eastAsia="宋体" w:cs="宋体"/>
          <w:sz w:val="24"/>
          <w:szCs w:val="24"/>
        </w:rPr>
      </w:pPr>
      <w:r>
        <w:rPr>
          <w:rFonts w:hint="eastAsia" w:ascii="宋体" w:hAnsi="宋体" w:eastAsia="宋体" w:cs="宋体"/>
          <w:sz w:val="24"/>
          <w:szCs w:val="24"/>
        </w:rPr>
        <w:t>作业标准与操作规范</w:t>
      </w:r>
    </w:p>
    <w:p>
      <w:pPr>
        <w:widowControl w:val="0"/>
        <w:numPr>
          <w:ilvl w:val="0"/>
          <w:numId w:val="5"/>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双方共同遵守甲方及甲方客户提供的</w:t>
      </w:r>
      <w:r>
        <w:rPr>
          <w:rFonts w:hint="eastAsia" w:ascii="宋体" w:hAnsi="宋体" w:cs="宋体"/>
          <w:sz w:val="24"/>
          <w:szCs w:val="24"/>
          <w:lang w:val="en-US" w:eastAsia="zh-CN"/>
        </w:rPr>
        <w:t>场内货物转场</w:t>
      </w:r>
      <w:r>
        <w:rPr>
          <w:rFonts w:hint="eastAsia" w:ascii="宋体" w:hAnsi="宋体" w:eastAsia="宋体" w:cs="宋体"/>
          <w:sz w:val="24"/>
          <w:szCs w:val="24"/>
        </w:rPr>
        <w:t>作业标准与操作规范，作业标准与操作规范</w:t>
      </w:r>
      <w:r>
        <w:rPr>
          <w:rFonts w:hint="eastAsia" w:ascii="宋体" w:hAnsi="宋体" w:cs="宋体"/>
          <w:sz w:val="24"/>
          <w:szCs w:val="24"/>
          <w:lang w:eastAsia="zh-CN"/>
        </w:rPr>
        <w:t>。</w:t>
      </w:r>
    </w:p>
    <w:p>
      <w:pPr>
        <w:widowControl w:val="0"/>
        <w:numPr>
          <w:ilvl w:val="0"/>
          <w:numId w:val="3"/>
        </w:numPr>
        <w:spacing w:line="288" w:lineRule="auto"/>
        <w:ind w:left="0" w:firstLine="640"/>
        <w:rPr>
          <w:rFonts w:hint="eastAsia" w:ascii="宋体" w:hAnsi="宋体" w:eastAsia="宋体" w:cs="宋体"/>
          <w:sz w:val="24"/>
          <w:szCs w:val="24"/>
        </w:rPr>
      </w:pPr>
      <w:r>
        <w:rPr>
          <w:rFonts w:hint="eastAsia" w:ascii="宋体" w:hAnsi="宋体" w:eastAsia="宋体" w:cs="宋体"/>
          <w:sz w:val="24"/>
          <w:szCs w:val="24"/>
        </w:rPr>
        <w:t>甲方权力与义务：</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甲方每天20点前在</w:t>
      </w:r>
      <w:r>
        <w:rPr>
          <w:rFonts w:hint="eastAsia" w:ascii="宋体" w:hAnsi="宋体" w:cs="宋体"/>
          <w:sz w:val="24"/>
          <w:szCs w:val="24"/>
          <w:lang w:val="en-US" w:eastAsia="zh-CN"/>
        </w:rPr>
        <w:t>虞公港</w:t>
      </w:r>
      <w:r>
        <w:rPr>
          <w:rFonts w:hint="eastAsia" w:ascii="宋体" w:hAnsi="宋体" w:eastAsia="宋体" w:cs="宋体"/>
          <w:sz w:val="24"/>
          <w:szCs w:val="24"/>
        </w:rPr>
        <w:t>公司微信工作群发布次日作业计划，作业过程中甲方有权对作业计划</w:t>
      </w:r>
      <w:r>
        <w:rPr>
          <w:rFonts w:hint="eastAsia" w:ascii="宋体" w:hAnsi="宋体" w:eastAsia="宋体" w:cs="宋体"/>
          <w:sz w:val="24"/>
          <w:szCs w:val="24"/>
          <w:lang w:val="en-US" w:eastAsia="zh-CN"/>
        </w:rPr>
        <w:t>提出</w:t>
      </w:r>
      <w:r>
        <w:rPr>
          <w:rFonts w:hint="eastAsia" w:ascii="宋体" w:hAnsi="宋体" w:eastAsia="宋体" w:cs="宋体"/>
          <w:sz w:val="24"/>
          <w:szCs w:val="24"/>
        </w:rPr>
        <w:t>调整</w:t>
      </w:r>
      <w:r>
        <w:rPr>
          <w:rFonts w:hint="eastAsia" w:ascii="宋体" w:hAnsi="宋体" w:eastAsia="宋体" w:cs="宋体"/>
          <w:sz w:val="24"/>
          <w:szCs w:val="24"/>
          <w:lang w:val="en-US" w:eastAsia="zh-CN"/>
        </w:rPr>
        <w:t>的建议</w:t>
      </w:r>
      <w:r>
        <w:rPr>
          <w:rFonts w:hint="eastAsia" w:ascii="宋体" w:hAnsi="宋体" w:eastAsia="宋体" w:cs="宋体"/>
          <w:sz w:val="24"/>
          <w:szCs w:val="24"/>
        </w:rPr>
        <w:t>。</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甲方每天发布船舶动态，并预告船舶到港时间与作业数量。</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甲方提供符合码头安全作业要求的环境与设备设施。</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甲方负责协调港口相关部门为作业提供良好环境，确保作业安全顺利进行。</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甲方负责对乙方提出的安全隐患进行整改。</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甲方有义务组织乙方人员进行安全培训，与突发事件的应急演练。</w:t>
      </w:r>
    </w:p>
    <w:p>
      <w:pPr>
        <w:widowControl w:val="0"/>
        <w:numPr>
          <w:ilvl w:val="0"/>
          <w:numId w:val="6"/>
        </w:numPr>
        <w:spacing w:line="288" w:lineRule="auto"/>
        <w:ind w:firstLine="480" w:firstLineChars="200"/>
        <w:rPr>
          <w:rFonts w:hint="eastAsia" w:ascii="宋体" w:hAnsi="宋体" w:eastAsia="宋体" w:cs="宋体"/>
          <w:sz w:val="24"/>
          <w:szCs w:val="24"/>
          <w:highlight w:val="yellow"/>
        </w:rPr>
      </w:pPr>
      <w:r>
        <w:rPr>
          <w:rFonts w:hint="eastAsia" w:ascii="宋体" w:hAnsi="宋体" w:eastAsia="宋体" w:cs="宋体"/>
          <w:color w:val="C0504D" w:themeColor="accent2"/>
          <w:sz w:val="24"/>
          <w:szCs w:val="24"/>
          <w:highlight w:val="yellow"/>
          <w14:textFill>
            <w14:solidFill>
              <w14:schemeClr w14:val="accent2"/>
            </w14:solidFill>
          </w14:textFill>
        </w:rPr>
        <w:t>乙方</w:t>
      </w:r>
      <w:r>
        <w:rPr>
          <w:rFonts w:hint="eastAsia" w:ascii="宋体" w:hAnsi="宋体" w:cs="宋体"/>
          <w:color w:val="C0504D" w:themeColor="accent2"/>
          <w:sz w:val="24"/>
          <w:szCs w:val="24"/>
          <w:highlight w:val="yellow"/>
          <w:lang w:val="en-US" w:eastAsia="zh-CN"/>
          <w14:textFill>
            <w14:solidFill>
              <w14:schemeClr w14:val="accent2"/>
            </w14:solidFill>
          </w14:textFill>
        </w:rPr>
        <w:t>使用甲方场地必须缴纳水电费，人员就餐按规定支付餐费</w:t>
      </w:r>
      <w:r>
        <w:rPr>
          <w:rFonts w:hint="eastAsia" w:ascii="宋体" w:hAnsi="宋体" w:eastAsia="宋体" w:cs="宋体"/>
          <w:sz w:val="24"/>
          <w:szCs w:val="24"/>
          <w:highlight w:val="yellow"/>
        </w:rPr>
        <w:t>。</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甲方对乙方作业全过程进行监督检查，有权纠正乙方违反作业标准与操作规范的行为，并对违规行为进行考核，考核细则由甲方制定。</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乙方有未及时处理的质损事件对甲方造成不良影响时，甲方有权代乙方进行赔偿，并在应付乙方费用中扣除，此过程在书面通知乙方后不需征求乙方同意。</w:t>
      </w:r>
    </w:p>
    <w:p>
      <w:pPr>
        <w:widowControl w:val="0"/>
        <w:numPr>
          <w:ilvl w:val="0"/>
          <w:numId w:val="6"/>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结算期间，乙方所提供服务符合甲方作业标准与操作规范，且没有遗留的安全质量事件，甲方有义务按时支付服务费用。</w:t>
      </w:r>
    </w:p>
    <w:p>
      <w:pPr>
        <w:widowControl w:val="0"/>
        <w:numPr>
          <w:ilvl w:val="0"/>
          <w:numId w:val="3"/>
        </w:numPr>
        <w:spacing w:line="288" w:lineRule="auto"/>
        <w:ind w:left="0" w:firstLine="640"/>
        <w:rPr>
          <w:rFonts w:hint="eastAsia" w:ascii="宋体" w:hAnsi="宋体" w:eastAsia="宋体" w:cs="宋体"/>
          <w:sz w:val="24"/>
          <w:szCs w:val="24"/>
        </w:rPr>
      </w:pPr>
      <w:r>
        <w:rPr>
          <w:rFonts w:hint="eastAsia" w:ascii="宋体" w:hAnsi="宋体" w:eastAsia="宋体" w:cs="宋体"/>
          <w:sz w:val="24"/>
          <w:szCs w:val="24"/>
        </w:rPr>
        <w:t>乙方权力与义务：</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乙方组建的司机队和</w:t>
      </w:r>
      <w:r>
        <w:rPr>
          <w:rFonts w:hint="eastAsia" w:ascii="宋体" w:hAnsi="宋体" w:cs="宋体"/>
          <w:sz w:val="24"/>
          <w:szCs w:val="24"/>
          <w:lang w:val="en-US" w:eastAsia="zh-CN"/>
        </w:rPr>
        <w:t>服务车辆</w:t>
      </w:r>
      <w:r>
        <w:rPr>
          <w:rFonts w:hint="eastAsia" w:ascii="宋体" w:hAnsi="宋体" w:eastAsia="宋体" w:cs="宋体"/>
          <w:sz w:val="24"/>
          <w:szCs w:val="24"/>
        </w:rPr>
        <w:t>应确</w:t>
      </w:r>
      <w:r>
        <w:rPr>
          <w:rFonts w:hint="eastAsia" w:ascii="宋体" w:hAnsi="宋体" w:cs="宋体"/>
          <w:sz w:val="24"/>
          <w:szCs w:val="24"/>
          <w:lang w:val="en-US" w:eastAsia="zh-CN"/>
        </w:rPr>
        <w:t>保满足</w:t>
      </w:r>
      <w:r>
        <w:rPr>
          <w:rFonts w:hint="eastAsia" w:ascii="宋体" w:hAnsi="宋体" w:eastAsia="宋体" w:cs="宋体"/>
          <w:sz w:val="24"/>
          <w:szCs w:val="24"/>
        </w:rPr>
        <w:t>甲方生产经营需要。乙方必须组织新进员工做好应知应会培训并通过考核合格，定期做好员工安全与标准化作业培训，确保员工素质达到安全生产与质量要求。乙方须参加甲方组织的安全培训与突发事件的应急演练。</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必须遵守甲方作息时间，每天8：00——24：00为正常作业时间。遇生产任务繁忙或赶船期，甲方提出加班要求后，乙方应适当提前上班、延迟下班以完成预定生产任务。夏季高温，可对作业时间适当进行调整，错开高温作业，确保人员安全。</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cs="宋体"/>
          <w:sz w:val="24"/>
          <w:szCs w:val="24"/>
          <w:lang w:val="en-US" w:eastAsia="zh-CN"/>
        </w:rPr>
        <w:t>需</w:t>
      </w:r>
      <w:r>
        <w:rPr>
          <w:rFonts w:hint="eastAsia" w:ascii="宋体" w:hAnsi="宋体" w:eastAsia="宋体" w:cs="宋体"/>
          <w:sz w:val="24"/>
          <w:szCs w:val="24"/>
        </w:rPr>
        <w:t>为员工购买工伤保险</w:t>
      </w:r>
      <w:r>
        <w:rPr>
          <w:rFonts w:hint="eastAsia" w:ascii="宋体" w:hAnsi="宋体" w:cs="宋体"/>
          <w:sz w:val="24"/>
          <w:szCs w:val="24"/>
          <w:lang w:val="en-US" w:eastAsia="zh-CN"/>
        </w:rPr>
        <w:t>和</w:t>
      </w:r>
      <w:r>
        <w:rPr>
          <w:rFonts w:hint="eastAsia" w:ascii="宋体" w:hAnsi="宋体" w:eastAsia="宋体" w:cs="宋体"/>
          <w:sz w:val="24"/>
          <w:szCs w:val="24"/>
        </w:rPr>
        <w:t>意外伤害险。</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乙方配备足够运载驾驶人员的车辆，准备好加油、搭电的设施，以满足生产作业正常开展。乙方必须确保配备的车辆状况与安全性能良好，各项手续齐全，符合《道路交通安全法》要求。</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乙方必须严格遵守甲方安全生产</w:t>
      </w:r>
      <w:r>
        <w:rPr>
          <w:rFonts w:hint="eastAsia" w:ascii="宋体" w:hAnsi="宋体" w:eastAsia="宋体" w:cs="宋体"/>
          <w:sz w:val="24"/>
          <w:szCs w:val="24"/>
          <w:lang w:val="en-US" w:eastAsia="zh-CN"/>
        </w:rPr>
        <w:t>规章</w:t>
      </w:r>
      <w:r>
        <w:rPr>
          <w:rFonts w:hint="eastAsia" w:ascii="宋体" w:hAnsi="宋体" w:eastAsia="宋体" w:cs="宋体"/>
          <w:sz w:val="24"/>
          <w:szCs w:val="24"/>
        </w:rPr>
        <w:t>制度</w:t>
      </w:r>
      <w:r>
        <w:rPr>
          <w:rFonts w:hint="eastAsia" w:ascii="宋体" w:hAnsi="宋体" w:eastAsia="宋体" w:cs="宋体"/>
          <w:sz w:val="24"/>
          <w:szCs w:val="24"/>
          <w:lang w:val="en-US" w:eastAsia="zh-CN"/>
        </w:rPr>
        <w:t>和</w:t>
      </w:r>
      <w:r>
        <w:rPr>
          <w:rFonts w:hint="eastAsia" w:ascii="宋体" w:hAnsi="宋体" w:eastAsia="宋体" w:cs="宋体"/>
          <w:sz w:val="24"/>
          <w:szCs w:val="24"/>
        </w:rPr>
        <w:t>各项管理规定，对违反制度与规定的行为承担责任，并接受甲方的考核与处罚。对甲方安全管理人员提出的安全隐患应该高度重视并按要求整改落实。</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乙方必须认真执行甲方提出的作业标准化程序</w:t>
      </w:r>
      <w:r>
        <w:rPr>
          <w:rFonts w:hint="eastAsia" w:ascii="宋体" w:hAnsi="宋体" w:eastAsia="宋体" w:cs="宋体"/>
          <w:sz w:val="24"/>
          <w:szCs w:val="24"/>
          <w:lang w:val="en-US" w:eastAsia="zh-CN"/>
        </w:rPr>
        <w:t>和</w:t>
      </w:r>
      <w:r>
        <w:rPr>
          <w:rFonts w:hint="eastAsia" w:ascii="宋体" w:hAnsi="宋体" w:eastAsia="宋体" w:cs="宋体"/>
          <w:sz w:val="24"/>
          <w:szCs w:val="24"/>
        </w:rPr>
        <w:t>各项操作规范，并接受甲方的检查与考核。</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乙方应严格执行甲方的生产作业计划，按先后顺序分步进行。作业过程中不随意修改作业流程、简化作业流程或另辟蹊径。执行作业计划过程中发现问题应及时与甲方</w:t>
      </w:r>
      <w:r>
        <w:rPr>
          <w:rFonts w:hint="eastAsia" w:ascii="宋体" w:hAnsi="宋体" w:cs="宋体"/>
          <w:sz w:val="24"/>
          <w:szCs w:val="24"/>
          <w:lang w:val="en-US" w:eastAsia="zh-CN"/>
        </w:rPr>
        <w:t>负责人员</w:t>
      </w:r>
      <w:r>
        <w:rPr>
          <w:rFonts w:hint="eastAsia" w:ascii="宋体" w:hAnsi="宋体" w:eastAsia="宋体" w:cs="宋体"/>
          <w:sz w:val="24"/>
          <w:szCs w:val="24"/>
        </w:rPr>
        <w:t>进行沟通并做好修改调整。</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乙方应当按照甲方的要求于</w:t>
      </w:r>
      <w:r>
        <w:rPr>
          <w:rFonts w:hint="eastAsia" w:ascii="宋体" w:hAnsi="宋体" w:cs="宋体"/>
          <w:sz w:val="24"/>
          <w:szCs w:val="24"/>
          <w:lang w:val="en-US" w:eastAsia="zh-CN"/>
        </w:rPr>
        <w:t>对转场货物</w:t>
      </w:r>
      <w:r>
        <w:rPr>
          <w:rFonts w:hint="eastAsia" w:ascii="宋体" w:hAnsi="宋体" w:eastAsia="宋体" w:cs="宋体"/>
          <w:sz w:val="24"/>
          <w:szCs w:val="24"/>
        </w:rPr>
        <w:t>进行接收、验收，并签发有关交接单证。</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乙方应按相关</w:t>
      </w:r>
      <w:r>
        <w:rPr>
          <w:rFonts w:hint="eastAsia" w:ascii="宋体" w:hAnsi="宋体" w:cs="宋体"/>
          <w:sz w:val="24"/>
          <w:szCs w:val="24"/>
          <w:lang w:val="en-US" w:eastAsia="zh-CN"/>
        </w:rPr>
        <w:t>货物转场</w:t>
      </w:r>
      <w:r>
        <w:rPr>
          <w:rFonts w:hint="eastAsia" w:ascii="宋体" w:hAnsi="宋体" w:eastAsia="宋体" w:cs="宋体"/>
          <w:sz w:val="24"/>
          <w:szCs w:val="24"/>
        </w:rPr>
        <w:t>规程</w:t>
      </w:r>
      <w:r>
        <w:rPr>
          <w:rFonts w:hint="eastAsia" w:ascii="宋体" w:hAnsi="宋体" w:cs="宋体"/>
          <w:sz w:val="24"/>
          <w:szCs w:val="24"/>
          <w:lang w:val="en-US" w:eastAsia="zh-CN"/>
        </w:rPr>
        <w:t>作业</w:t>
      </w:r>
      <w:r>
        <w:rPr>
          <w:rFonts w:hint="eastAsia" w:ascii="宋体" w:hAnsi="宋体" w:eastAsia="宋体" w:cs="宋体"/>
          <w:sz w:val="24"/>
          <w:szCs w:val="24"/>
        </w:rPr>
        <w:t>。如果作业过程中出现意外损失，甲方、乙方和交接方应做好现场记录并进行必要的现场拍照，以便分清责任。</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乙方应及时做好</w:t>
      </w:r>
      <w:r>
        <w:rPr>
          <w:rFonts w:hint="eastAsia" w:ascii="宋体" w:hAnsi="宋体" w:cs="宋体"/>
          <w:sz w:val="24"/>
          <w:szCs w:val="24"/>
          <w:lang w:val="en-US" w:eastAsia="zh-CN"/>
        </w:rPr>
        <w:t>转场货物</w:t>
      </w:r>
      <w:r>
        <w:rPr>
          <w:rFonts w:hint="eastAsia" w:ascii="宋体" w:hAnsi="宋体" w:eastAsia="宋体" w:cs="宋体"/>
          <w:sz w:val="24"/>
          <w:szCs w:val="24"/>
        </w:rPr>
        <w:t>质量处理、交接与理赔工作，对判定为己方责任不认可又不能充分举证免责而拖延造成的损失承担赔偿责任。</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每天作业完成后乙方应按甲方要求填写《作业日志》，填写要求：规范整洁，各项数据记录准确，《作业日志》由双方当班人员签字，甲方班长复核。《作业日志》作为费用结算的附件。</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乙方在日常工作与作业过程中产生的成本及费用自行承担，包含但不限于材料费、水电费及物业费。</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负责码头配备的跳板的搭设与拆解，乙方应指导并配合船方搭设跳板，并检查跳板搭设的安全可靠性。跳板拆解后在指定位置摆放整齐，管理好跳板不损坏不丢失。作业过程中乙方应在人员通行位置挂好安全网，确保人员上下船舶安全。</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乙方作业过程中发生事故，造成乙方或第三方人员伤亡，由乙方负责处理并承担由此产生的一切损失。</w:t>
      </w:r>
    </w:p>
    <w:p>
      <w:pPr>
        <w:widowControl w:val="0"/>
        <w:numPr>
          <w:ilvl w:val="0"/>
          <w:numId w:val="7"/>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甲方属地范围内未经允许，乙方不得以甲方名义从事其它任何经营行为，不得损害甲方的企业形象和公司利益。</w:t>
      </w:r>
    </w:p>
    <w:p>
      <w:pPr>
        <w:widowControl w:val="0"/>
        <w:numPr>
          <w:ilvl w:val="0"/>
          <w:numId w:val="3"/>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双方承诺与保证：</w:t>
      </w:r>
    </w:p>
    <w:p>
      <w:pPr>
        <w:widowControl w:val="0"/>
        <w:numPr>
          <w:ilvl w:val="0"/>
          <w:numId w:val="8"/>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甲方承诺具有合法、有效授权签署本合同。</w:t>
      </w:r>
    </w:p>
    <w:p>
      <w:pPr>
        <w:widowControl w:val="0"/>
        <w:numPr>
          <w:ilvl w:val="0"/>
          <w:numId w:val="8"/>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乙方承诺有权签署本合同，有能力按要求完全履行本合同。乙方保证完全承担基于本合同所产生的其应享有的权利和应承担的义务。</w:t>
      </w:r>
    </w:p>
    <w:p>
      <w:pPr>
        <w:widowControl w:val="0"/>
        <w:numPr>
          <w:ilvl w:val="0"/>
          <w:numId w:val="3"/>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合同的变更解除与终止</w:t>
      </w:r>
    </w:p>
    <w:p>
      <w:pPr>
        <w:widowControl w:val="0"/>
        <w:numPr>
          <w:ilvl w:val="0"/>
          <w:numId w:val="9"/>
        </w:numPr>
        <w:spacing w:line="288" w:lineRule="auto"/>
        <w:ind w:firstLine="640"/>
        <w:rPr>
          <w:rFonts w:hint="eastAsia" w:ascii="宋体" w:hAnsi="宋体" w:eastAsia="宋体" w:cs="宋体"/>
          <w:sz w:val="24"/>
          <w:szCs w:val="24"/>
        </w:rPr>
      </w:pPr>
      <w:r>
        <w:rPr>
          <w:rFonts w:hint="eastAsia" w:ascii="宋体" w:hAnsi="宋体" w:eastAsia="宋体" w:cs="宋体"/>
          <w:sz w:val="24"/>
          <w:szCs w:val="24"/>
        </w:rPr>
        <w:t>本合同一经签署生效，双方即应善于、诚信、完整履行，任何一方不得擅自变更、解除或终止本合同。</w:t>
      </w:r>
    </w:p>
    <w:p>
      <w:pPr>
        <w:widowControl w:val="0"/>
        <w:numPr>
          <w:ilvl w:val="0"/>
          <w:numId w:val="9"/>
        </w:numPr>
        <w:spacing w:line="288" w:lineRule="auto"/>
        <w:ind w:firstLine="640"/>
        <w:rPr>
          <w:rFonts w:hint="eastAsia" w:ascii="宋体" w:hAnsi="宋体" w:eastAsia="宋体" w:cs="宋体"/>
          <w:sz w:val="24"/>
          <w:szCs w:val="24"/>
        </w:rPr>
      </w:pPr>
      <w:r>
        <w:rPr>
          <w:rFonts w:hint="eastAsia" w:ascii="宋体" w:hAnsi="宋体" w:eastAsia="宋体" w:cs="宋体"/>
          <w:sz w:val="24"/>
          <w:szCs w:val="24"/>
        </w:rPr>
        <w:t>经双方共同协商一致，可书面变更、解除或终止本合同。</w:t>
      </w:r>
    </w:p>
    <w:p>
      <w:pPr>
        <w:widowControl w:val="0"/>
        <w:numPr>
          <w:ilvl w:val="0"/>
          <w:numId w:val="9"/>
        </w:numPr>
        <w:spacing w:line="288" w:lineRule="auto"/>
        <w:ind w:firstLine="640"/>
        <w:rPr>
          <w:rFonts w:hint="eastAsia" w:ascii="宋体" w:hAnsi="宋体" w:eastAsia="宋体" w:cs="宋体"/>
          <w:sz w:val="24"/>
          <w:szCs w:val="24"/>
        </w:rPr>
      </w:pPr>
      <w:r>
        <w:rPr>
          <w:rFonts w:hint="eastAsia" w:ascii="宋体" w:hAnsi="宋体" w:eastAsia="宋体" w:cs="宋体"/>
          <w:sz w:val="24"/>
          <w:szCs w:val="24"/>
        </w:rPr>
        <w:t>基于以下情形，甲方有权解除本合同，并不需向乙方承担任何责任。</w:t>
      </w:r>
    </w:p>
    <w:p>
      <w:pPr>
        <w:widowControl w:val="0"/>
        <w:numPr>
          <w:ilvl w:val="-1"/>
          <w:numId w:val="0"/>
        </w:numPr>
        <w:spacing w:line="288" w:lineRule="auto"/>
        <w:ind w:left="420" w:leftChars="200" w:firstLine="240" w:firstLineChars="1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乙方没有能力履行本合同。</w:t>
      </w:r>
    </w:p>
    <w:p>
      <w:pPr>
        <w:widowControl w:val="0"/>
        <w:numPr>
          <w:ilvl w:val="-1"/>
          <w:numId w:val="0"/>
        </w:numPr>
        <w:spacing w:line="288" w:lineRule="auto"/>
        <w:ind w:left="420" w:leftChars="200" w:firstLine="240" w:firstLineChars="1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乙方未能按甲方要求完成约定的所承揽的业务工作内容。</w:t>
      </w:r>
    </w:p>
    <w:p>
      <w:pPr>
        <w:widowControl w:val="0"/>
        <w:numPr>
          <w:ilvl w:val="-1"/>
          <w:numId w:val="0"/>
        </w:numPr>
        <w:spacing w:line="288" w:lineRule="auto"/>
        <w:ind w:left="420" w:leftChars="200" w:firstLine="240" w:firstLineChars="1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乙方以明示和默示的方式表示，不愿履行或不愿继续履行本合同。</w:t>
      </w:r>
    </w:p>
    <w:p>
      <w:pPr>
        <w:widowControl w:val="0"/>
        <w:numPr>
          <w:ilvl w:val="-1"/>
          <w:numId w:val="0"/>
        </w:numPr>
        <w:spacing w:line="288" w:lineRule="auto"/>
        <w:ind w:left="420" w:leftChars="200" w:firstLine="240" w:firstLineChars="1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甲方码头业务变更或上级机构对业务的调整或其他原因，不再需要乙方继续履行本合同。</w:t>
      </w:r>
    </w:p>
    <w:p>
      <w:pPr>
        <w:widowControl w:val="0"/>
        <w:numPr>
          <w:ilvl w:val="0"/>
          <w:numId w:val="9"/>
        </w:numPr>
        <w:spacing w:line="288" w:lineRule="auto"/>
        <w:ind w:firstLine="640"/>
        <w:jc w:val="both"/>
        <w:rPr>
          <w:rFonts w:hint="eastAsia" w:ascii="宋体" w:hAnsi="宋体" w:eastAsia="宋体" w:cs="宋体"/>
          <w:sz w:val="24"/>
          <w:szCs w:val="24"/>
        </w:rPr>
      </w:pPr>
      <w:r>
        <w:rPr>
          <w:rFonts w:hint="eastAsia" w:ascii="宋体" w:hAnsi="宋体" w:eastAsia="宋体" w:cs="宋体"/>
          <w:sz w:val="24"/>
          <w:szCs w:val="24"/>
        </w:rPr>
        <w:t>甲方行使单方解除权时，自甲方向乙方指定地址发出书面通知之日起，本合同解除。</w:t>
      </w:r>
    </w:p>
    <w:p>
      <w:pPr>
        <w:widowControl w:val="0"/>
        <w:numPr>
          <w:ilvl w:val="0"/>
          <w:numId w:val="9"/>
        </w:numPr>
        <w:spacing w:line="288" w:lineRule="auto"/>
        <w:ind w:firstLine="640"/>
        <w:jc w:val="both"/>
        <w:rPr>
          <w:rFonts w:hint="eastAsia" w:ascii="宋体" w:hAnsi="宋体" w:eastAsia="宋体" w:cs="宋体"/>
          <w:sz w:val="24"/>
          <w:szCs w:val="24"/>
        </w:rPr>
      </w:pPr>
      <w:r>
        <w:rPr>
          <w:rFonts w:hint="eastAsia" w:ascii="宋体" w:hAnsi="宋体" w:eastAsia="宋体" w:cs="宋体"/>
          <w:sz w:val="24"/>
          <w:szCs w:val="24"/>
        </w:rPr>
        <w:t>因不可抗力因素，致使本合同无法履行或无法继续履行时，本合同终止。</w:t>
      </w:r>
    </w:p>
    <w:p>
      <w:pPr>
        <w:widowControl w:val="0"/>
        <w:numPr>
          <w:ilvl w:val="0"/>
          <w:numId w:val="9"/>
        </w:numPr>
        <w:spacing w:line="288" w:lineRule="auto"/>
        <w:ind w:firstLine="640"/>
        <w:jc w:val="both"/>
        <w:rPr>
          <w:rFonts w:hint="eastAsia" w:ascii="宋体" w:hAnsi="宋体" w:eastAsia="宋体" w:cs="宋体"/>
          <w:sz w:val="24"/>
          <w:szCs w:val="24"/>
        </w:rPr>
      </w:pPr>
      <w:r>
        <w:rPr>
          <w:rFonts w:hint="eastAsia" w:ascii="宋体" w:hAnsi="宋体" w:eastAsia="宋体" w:cs="宋体"/>
          <w:sz w:val="24"/>
          <w:szCs w:val="24"/>
        </w:rPr>
        <w:t>本合同约定的乙方承揽期限届满时，本合同自动终止。</w:t>
      </w:r>
    </w:p>
    <w:p>
      <w:pPr>
        <w:widowControl w:val="0"/>
        <w:numPr>
          <w:ilvl w:val="0"/>
          <w:numId w:val="3"/>
        </w:numPr>
        <w:spacing w:line="288" w:lineRule="auto"/>
        <w:ind w:left="0" w:firstLine="440"/>
        <w:rPr>
          <w:rFonts w:hint="eastAsia" w:ascii="宋体" w:hAnsi="宋体" w:eastAsia="宋体" w:cs="宋体"/>
          <w:sz w:val="24"/>
          <w:szCs w:val="24"/>
        </w:rPr>
      </w:pPr>
      <w:r>
        <w:rPr>
          <w:rFonts w:hint="eastAsia" w:ascii="宋体" w:hAnsi="宋体" w:eastAsia="宋体" w:cs="宋体"/>
          <w:sz w:val="24"/>
          <w:szCs w:val="24"/>
        </w:rPr>
        <w:t>违约责任：</w:t>
      </w:r>
    </w:p>
    <w:p>
      <w:pPr>
        <w:widowControl w:val="0"/>
        <w:numPr>
          <w:ilvl w:val="0"/>
          <w:numId w:val="10"/>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在甲方属地范围内，甲方对甲方的设备、设施因故障或己方原因损坏而造成作业过程中的车辆损坏、人员伤亡事故承担责任。</w:t>
      </w:r>
    </w:p>
    <w:p>
      <w:pPr>
        <w:widowControl w:val="0"/>
        <w:numPr>
          <w:ilvl w:val="0"/>
          <w:numId w:val="10"/>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违约责任，根据乙方权利与义务条款中的内容，在业务开展过程中所发生的事件，对甲方及第三方造成影响即确认为乙方违约行为，乙方根据事件的性质与程度承担相应责任，对甲方或第三方造成的损失承担赔偿责任。</w:t>
      </w:r>
    </w:p>
    <w:p>
      <w:pPr>
        <w:widowControl w:val="0"/>
        <w:numPr>
          <w:ilvl w:val="0"/>
          <w:numId w:val="10"/>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任何一方违反本合同约定的任何一条，均应向守约方支付本合同总价款2%至30%的违约金。本合同未明确的其它违约责任，则按《中华人民共和国民法典》执行。</w:t>
      </w:r>
    </w:p>
    <w:p>
      <w:pPr>
        <w:widowControl w:val="0"/>
        <w:numPr>
          <w:ilvl w:val="0"/>
          <w:numId w:val="3"/>
        </w:numPr>
        <w:spacing w:line="288"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合同有效期：</w:t>
      </w:r>
    </w:p>
    <w:p>
      <w:pPr>
        <w:widowControl w:val="0"/>
        <w:spacing w:line="288"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本合同为年度业务承揽合同，自</w:t>
      </w:r>
      <w:r>
        <w:rPr>
          <w:rFonts w:hint="eastAsia" w:ascii="宋体" w:hAnsi="宋体" w:cs="宋体"/>
          <w:sz w:val="24"/>
          <w:szCs w:val="24"/>
          <w:highlight w:val="yellow"/>
          <w:lang w:val="en-US" w:eastAsia="zh-CN"/>
        </w:rPr>
        <w:t>合同签订之日起一年</w:t>
      </w:r>
      <w:r>
        <w:rPr>
          <w:rFonts w:hint="eastAsia" w:ascii="宋体" w:hAnsi="宋体" w:eastAsia="宋体" w:cs="宋体"/>
          <w:sz w:val="24"/>
          <w:szCs w:val="24"/>
          <w:highlight w:val="yellow"/>
        </w:rPr>
        <w:t>。</w:t>
      </w:r>
      <w:r>
        <w:rPr>
          <w:rFonts w:hint="eastAsia" w:ascii="宋体" w:hAnsi="宋体" w:eastAsia="宋体" w:cs="宋体"/>
          <w:sz w:val="24"/>
          <w:szCs w:val="24"/>
          <w:highlight w:val="yellow"/>
          <w:lang w:eastAsia="zh-CN"/>
        </w:rPr>
        <w:t>如果</w:t>
      </w:r>
      <w:r>
        <w:rPr>
          <w:rFonts w:hint="eastAsia" w:ascii="宋体" w:hAnsi="宋体" w:eastAsia="宋体" w:cs="宋体"/>
          <w:sz w:val="24"/>
          <w:szCs w:val="24"/>
          <w:highlight w:val="yellow"/>
          <w:lang w:val="en-US" w:eastAsia="zh-CN"/>
        </w:rPr>
        <w:t>合同</w:t>
      </w:r>
      <w:r>
        <w:rPr>
          <w:rFonts w:hint="eastAsia" w:ascii="宋体" w:hAnsi="宋体" w:eastAsia="宋体" w:cs="宋体"/>
          <w:sz w:val="24"/>
          <w:szCs w:val="24"/>
          <w:highlight w:val="yellow"/>
          <w:lang w:eastAsia="zh-CN"/>
        </w:rPr>
        <w:t>到期双方</w:t>
      </w:r>
      <w:r>
        <w:rPr>
          <w:rFonts w:hint="eastAsia" w:ascii="宋体" w:hAnsi="宋体" w:eastAsia="宋体" w:cs="宋体"/>
          <w:sz w:val="24"/>
          <w:szCs w:val="24"/>
          <w:highlight w:val="yellow"/>
          <w:lang w:val="en-US" w:eastAsia="zh-CN"/>
        </w:rPr>
        <w:t>均</w:t>
      </w:r>
      <w:r>
        <w:rPr>
          <w:rFonts w:hint="eastAsia" w:ascii="宋体" w:hAnsi="宋体" w:eastAsia="宋体" w:cs="宋体"/>
          <w:sz w:val="24"/>
          <w:szCs w:val="24"/>
          <w:highlight w:val="yellow"/>
          <w:lang w:eastAsia="zh-CN"/>
        </w:rPr>
        <w:t>未提出终止合同</w:t>
      </w:r>
      <w:r>
        <w:rPr>
          <w:rFonts w:hint="eastAsia" w:ascii="宋体" w:hAnsi="宋体" w:eastAsia="宋体" w:cs="宋体"/>
          <w:sz w:val="24"/>
          <w:szCs w:val="24"/>
          <w:highlight w:val="yellow"/>
          <w:lang w:val="en-US" w:eastAsia="zh-CN"/>
        </w:rPr>
        <w:t>的</w:t>
      </w:r>
      <w:r>
        <w:rPr>
          <w:rFonts w:hint="eastAsia" w:ascii="宋体" w:hAnsi="宋体" w:eastAsia="宋体" w:cs="宋体"/>
          <w:sz w:val="24"/>
          <w:szCs w:val="24"/>
          <w:highlight w:val="yellow"/>
          <w:lang w:eastAsia="zh-CN"/>
        </w:rPr>
        <w:t>声明，</w:t>
      </w:r>
      <w:r>
        <w:rPr>
          <w:rFonts w:hint="eastAsia" w:ascii="宋体" w:hAnsi="宋体" w:eastAsia="宋体" w:cs="宋体"/>
          <w:sz w:val="24"/>
          <w:szCs w:val="24"/>
          <w:highlight w:val="yellow"/>
          <w:lang w:val="en-US" w:eastAsia="zh-CN"/>
        </w:rPr>
        <w:t>在新合同未签订前</w:t>
      </w:r>
      <w:r>
        <w:rPr>
          <w:rFonts w:hint="eastAsia" w:ascii="宋体" w:hAnsi="宋体" w:eastAsia="宋体" w:cs="宋体"/>
          <w:sz w:val="24"/>
          <w:szCs w:val="24"/>
          <w:highlight w:val="yellow"/>
          <w:lang w:eastAsia="zh-CN"/>
        </w:rPr>
        <w:t>本合同继续有效。</w:t>
      </w:r>
    </w:p>
    <w:p>
      <w:pPr>
        <w:widowControl w:val="0"/>
        <w:numPr>
          <w:ilvl w:val="0"/>
          <w:numId w:val="3"/>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争议解决：</w:t>
      </w:r>
    </w:p>
    <w:p>
      <w:pPr>
        <w:widowControl w:val="0"/>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凡因本合同产生的、或与本合同有关的争议，包括合同的存在、效力或终止等任何问题，双方应首先协商解决；协商不成的，任何一方应向合同签订地有管辖权的法院提起诉讼解决。</w:t>
      </w:r>
    </w:p>
    <w:p>
      <w:pPr>
        <w:widowControl w:val="0"/>
        <w:numPr>
          <w:ilvl w:val="0"/>
          <w:numId w:val="3"/>
        </w:numPr>
        <w:spacing w:line="288"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其它约定：</w:t>
      </w:r>
    </w:p>
    <w:p>
      <w:pPr>
        <w:widowControl w:val="0"/>
        <w:numPr>
          <w:ilvl w:val="0"/>
          <w:numId w:val="11"/>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本合同自双方签字并加盖行政章或合同专用章时生效，并以甲方签约日期为合同生效日期。</w:t>
      </w:r>
    </w:p>
    <w:p>
      <w:pPr>
        <w:widowControl w:val="0"/>
        <w:numPr>
          <w:ilvl w:val="0"/>
          <w:numId w:val="11"/>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乙方收到甲方中标通知书后，应在3个工作日内以银行转账方式支付履约保证金</w:t>
      </w:r>
      <w:r>
        <w:rPr>
          <w:rFonts w:hint="eastAsia" w:ascii="宋体" w:hAnsi="宋体" w:cs="宋体"/>
          <w:sz w:val="24"/>
          <w:szCs w:val="24"/>
          <w:highlight w:val="yellow"/>
          <w:lang w:val="en-US" w:eastAsia="zh-CN"/>
        </w:rPr>
        <w:t>签约合同价的10%</w:t>
      </w:r>
      <w:r>
        <w:rPr>
          <w:rFonts w:hint="eastAsia" w:ascii="宋体" w:hAnsi="宋体" w:eastAsia="宋体" w:cs="宋体"/>
          <w:sz w:val="24"/>
          <w:szCs w:val="24"/>
        </w:rPr>
        <w:t>。</w:t>
      </w:r>
    </w:p>
    <w:p>
      <w:pPr>
        <w:widowControl w:val="0"/>
        <w:numPr>
          <w:ilvl w:val="0"/>
          <w:numId w:val="11"/>
        </w:numPr>
        <w:spacing w:line="288"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yellow"/>
        </w:rPr>
        <w:t>合同附件为本合同不可分割组成部分，与本合同具有同等法律效率力，合同附件为《安全合同》</w:t>
      </w:r>
      <w:r>
        <w:rPr>
          <w:rFonts w:hint="eastAsia" w:ascii="宋体" w:hAnsi="宋体" w:cs="宋体"/>
          <w:sz w:val="24"/>
          <w:szCs w:val="24"/>
          <w:highlight w:val="yellow"/>
          <w:lang w:eastAsia="zh-CN"/>
        </w:rPr>
        <w:t>《</w:t>
      </w:r>
      <w:r>
        <w:rPr>
          <w:rFonts w:hint="eastAsia" w:ascii="宋体" w:hAnsi="宋体" w:cs="宋体"/>
          <w:sz w:val="24"/>
          <w:szCs w:val="24"/>
          <w:highlight w:val="yellow"/>
          <w:lang w:val="en-US" w:eastAsia="zh-CN"/>
        </w:rPr>
        <w:t>廉政合同</w:t>
      </w:r>
      <w:r>
        <w:rPr>
          <w:rFonts w:hint="eastAsia" w:ascii="宋体" w:hAnsi="宋体" w:cs="宋体"/>
          <w:sz w:val="24"/>
          <w:szCs w:val="24"/>
          <w:highlight w:val="yellow"/>
          <w:lang w:eastAsia="zh-CN"/>
        </w:rPr>
        <w:t>》</w:t>
      </w:r>
      <w:r>
        <w:rPr>
          <w:rFonts w:hint="eastAsia" w:ascii="宋体" w:hAnsi="宋体" w:eastAsia="宋体" w:cs="宋体"/>
          <w:sz w:val="24"/>
          <w:szCs w:val="24"/>
          <w:highlight w:val="yellow"/>
        </w:rPr>
        <w:t>《</w:t>
      </w:r>
      <w:r>
        <w:rPr>
          <w:rFonts w:hint="eastAsia" w:ascii="宋体" w:hAnsi="宋体" w:cs="宋体"/>
          <w:sz w:val="24"/>
          <w:szCs w:val="24"/>
          <w:highlight w:val="yellow"/>
          <w:lang w:val="en-US" w:eastAsia="zh-CN"/>
        </w:rPr>
        <w:t>场内货物转场</w:t>
      </w:r>
      <w:r>
        <w:rPr>
          <w:rFonts w:hint="eastAsia" w:ascii="宋体" w:hAnsi="宋体" w:eastAsia="宋体" w:cs="宋体"/>
          <w:sz w:val="24"/>
          <w:szCs w:val="24"/>
          <w:highlight w:val="yellow"/>
        </w:rPr>
        <w:t>管理细则》。</w:t>
      </w:r>
    </w:p>
    <w:p>
      <w:pPr>
        <w:widowControl w:val="0"/>
        <w:numPr>
          <w:ilvl w:val="0"/>
          <w:numId w:val="11"/>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本合同一式四分，具有同等法律效力，其中甲方三分，乙方一份。</w:t>
      </w:r>
    </w:p>
    <w:p>
      <w:pPr>
        <w:widowControl w:val="0"/>
        <w:numPr>
          <w:ilvl w:val="0"/>
          <w:numId w:val="11"/>
        </w:num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本合同的一方发给另一方的任何通知文件或申请均应以书面形式通过挂号邮寄、特快专递、电子邮件或亲自送交的形式发出（收件地址为单位地址）；双方确认并同意以上送达方式适用于司法送达。</w:t>
      </w:r>
    </w:p>
    <w:p>
      <w:pPr>
        <w:spacing w:after="0" w:line="288" w:lineRule="auto"/>
        <w:ind w:right="-660"/>
        <w:rPr>
          <w:rFonts w:hint="eastAsia" w:ascii="宋体" w:hAnsi="宋体" w:eastAsia="宋体" w:cs="宋体"/>
          <w:sz w:val="24"/>
          <w:szCs w:val="24"/>
        </w:rPr>
      </w:pPr>
    </w:p>
    <w:p>
      <w:pPr>
        <w:spacing w:after="0" w:line="288" w:lineRule="auto"/>
        <w:ind w:right="-660"/>
        <w:rPr>
          <w:rFonts w:hint="eastAsia" w:ascii="宋体" w:hAnsi="宋体" w:eastAsia="宋体" w:cs="宋体"/>
          <w:sz w:val="24"/>
          <w:szCs w:val="24"/>
        </w:rPr>
      </w:pPr>
    </w:p>
    <w:tbl>
      <w:tblPr>
        <w:tblStyle w:val="41"/>
        <w:tblW w:w="8612" w:type="dxa"/>
        <w:tblInd w:w="0" w:type="dxa"/>
        <w:tblLayout w:type="fixed"/>
        <w:tblCellMar>
          <w:top w:w="0" w:type="dxa"/>
          <w:left w:w="108" w:type="dxa"/>
          <w:bottom w:w="0" w:type="dxa"/>
          <w:right w:w="108" w:type="dxa"/>
        </w:tblCellMar>
      </w:tblPr>
      <w:tblGrid>
        <w:gridCol w:w="4466"/>
        <w:gridCol w:w="4146"/>
      </w:tblGrid>
      <w:tr>
        <w:tblPrEx>
          <w:tblCellMar>
            <w:top w:w="0" w:type="dxa"/>
            <w:left w:w="108" w:type="dxa"/>
            <w:bottom w:w="0" w:type="dxa"/>
            <w:right w:w="108" w:type="dxa"/>
          </w:tblCellMar>
        </w:tblPrEx>
        <w:trPr>
          <w:trHeight w:val="3629" w:hRule="atLeast"/>
        </w:trPr>
        <w:tc>
          <w:tcPr>
            <w:tcW w:w="4466" w:type="dxa"/>
            <w:noWrap w:val="0"/>
            <w:vAlign w:val="top"/>
          </w:tcPr>
          <w:p>
            <w:pPr>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甲方：</w:t>
            </w:r>
            <w:r>
              <w:rPr>
                <w:rFonts w:hint="eastAsia" w:ascii="宋体" w:hAnsi="宋体" w:cs="宋体"/>
                <w:sz w:val="24"/>
                <w:szCs w:val="24"/>
                <w:lang w:eastAsia="zh-CN"/>
              </w:rPr>
              <w:t>湖南省虞公港建设投资有限公司</w:t>
            </w:r>
          </w:p>
          <w:p>
            <w:pPr>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（盖章）</w:t>
            </w:r>
          </w:p>
          <w:p>
            <w:pPr>
              <w:spacing w:after="0" w:line="360" w:lineRule="auto"/>
              <w:rPr>
                <w:rFonts w:hint="eastAsia" w:ascii="宋体" w:hAnsi="宋体" w:eastAsia="宋体" w:cs="宋体"/>
                <w:sz w:val="24"/>
                <w:szCs w:val="24"/>
                <w:lang w:eastAsia="zh-CN"/>
              </w:rPr>
            </w:pPr>
          </w:p>
          <w:p>
            <w:pPr>
              <w:spacing w:after="0" w:line="360" w:lineRule="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法定代表人/授权代表</w:t>
            </w:r>
          </w:p>
          <w:p>
            <w:pPr>
              <w:pStyle w:val="2"/>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pStyle w:val="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日期：</w:t>
            </w:r>
          </w:p>
        </w:tc>
        <w:tc>
          <w:tcPr>
            <w:tcW w:w="4146" w:type="dxa"/>
            <w:noWrap w:val="0"/>
            <w:vAlign w:val="top"/>
          </w:tcPr>
          <w:p>
            <w:pPr>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乙方：</w:t>
            </w:r>
          </w:p>
          <w:p>
            <w:pPr>
              <w:spacing w:after="0"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（盖章）</w:t>
            </w:r>
          </w:p>
          <w:p>
            <w:pPr>
              <w:autoSpaceDE w:val="0"/>
              <w:autoSpaceDN w:val="0"/>
              <w:adjustRightInd w:val="0"/>
              <w:spacing w:beforeLines="100" w:after="0" w:line="360" w:lineRule="auto"/>
              <w:rPr>
                <w:rFonts w:hint="eastAsia" w:ascii="宋体" w:hAnsi="宋体" w:eastAsia="宋体" w:cs="宋体"/>
                <w:sz w:val="24"/>
                <w:szCs w:val="24"/>
                <w:u w:val="single"/>
                <w:lang w:eastAsia="zh-CN"/>
              </w:rPr>
            </w:pPr>
          </w:p>
          <w:p>
            <w:pPr>
              <w:spacing w:after="0" w:line="360" w:lineRule="auto"/>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法定代表人/授权代表</w:t>
            </w:r>
          </w:p>
          <w:p>
            <w:pPr>
              <w:pStyle w:val="2"/>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pStyle w:val="3"/>
              <w:rPr>
                <w:rFonts w:hint="eastAsia" w:ascii="宋体" w:hAnsi="宋体" w:eastAsia="宋体" w:cs="宋体"/>
                <w:sz w:val="24"/>
                <w:szCs w:val="24"/>
                <w:lang w:eastAsia="zh-CN"/>
              </w:rPr>
            </w:pPr>
          </w:p>
          <w:p>
            <w:pPr>
              <w:pStyle w:val="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日期：</w:t>
            </w:r>
          </w:p>
        </w:tc>
      </w:tr>
    </w:tbl>
    <w:p>
      <w:pPr>
        <w:spacing w:line="312" w:lineRule="auto"/>
        <w:ind w:firstLine="544" w:firstLineChars="227"/>
        <w:jc w:val="both"/>
        <w:rPr>
          <w:rFonts w:cs="仿宋" w:asciiTheme="minorEastAsia" w:hAnsiTheme="minorEastAsia" w:eastAsiaTheme="minorEastAsia"/>
          <w:sz w:val="24"/>
          <w:highlight w:val="none"/>
        </w:rPr>
      </w:pPr>
    </w:p>
    <w:p>
      <w:pPr>
        <w:spacing w:line="600" w:lineRule="exact"/>
        <w:jc w:val="center"/>
        <w:rPr>
          <w:rFonts w:ascii="黑体" w:hAnsi="黑体" w:eastAsia="黑体" w:cs="仿宋"/>
          <w:b/>
          <w:color w:val="000000"/>
          <w:sz w:val="36"/>
          <w:szCs w:val="36"/>
          <w:highlight w:val="none"/>
        </w:rPr>
      </w:pPr>
    </w:p>
    <w:p>
      <w:pPr>
        <w:spacing w:line="600" w:lineRule="exact"/>
        <w:jc w:val="center"/>
        <w:rPr>
          <w:rFonts w:ascii="黑体" w:hAnsi="黑体" w:eastAsia="黑体" w:cs="仿宋"/>
          <w:b/>
          <w:color w:val="000000"/>
          <w:sz w:val="36"/>
          <w:szCs w:val="36"/>
          <w:highlight w:val="none"/>
        </w:rPr>
      </w:pPr>
    </w:p>
    <w:p>
      <w:pPr>
        <w:pStyle w:val="2"/>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pStyle w:val="3"/>
        <w:rPr>
          <w:rFonts w:ascii="黑体" w:hAnsi="黑体" w:eastAsia="黑体" w:cs="仿宋"/>
          <w:b/>
          <w:color w:val="000000"/>
          <w:sz w:val="36"/>
          <w:szCs w:val="36"/>
          <w:highlight w:val="none"/>
        </w:rPr>
      </w:pPr>
    </w:p>
    <w:p>
      <w:pPr>
        <w:spacing w:line="600" w:lineRule="exact"/>
        <w:jc w:val="center"/>
        <w:outlineLvl w:val="0"/>
        <w:rPr>
          <w:rFonts w:ascii="黑体" w:hAnsi="黑体" w:eastAsia="黑体" w:cs="仿宋"/>
          <w:b/>
          <w:color w:val="000000"/>
          <w:sz w:val="36"/>
          <w:szCs w:val="36"/>
          <w:highlight w:val="none"/>
        </w:rPr>
      </w:pPr>
      <w:bookmarkStart w:id="58" w:name="_Toc24337"/>
      <w:r>
        <w:rPr>
          <w:rFonts w:hint="eastAsia" w:ascii="黑体" w:hAnsi="黑体" w:eastAsia="黑体" w:cs="仿宋"/>
          <w:b/>
          <w:color w:val="000000"/>
          <w:sz w:val="36"/>
          <w:szCs w:val="36"/>
          <w:highlight w:val="none"/>
        </w:rPr>
        <w:t>第五章  采购需求</w:t>
      </w:r>
      <w:bookmarkEnd w:id="58"/>
    </w:p>
    <w:p>
      <w:pPr>
        <w:adjustRightInd w:val="0"/>
        <w:snapToGrid w:val="0"/>
        <w:spacing w:line="312" w:lineRule="auto"/>
        <w:rPr>
          <w:rFonts w:ascii="宋体" w:hAnsi="宋体"/>
          <w:b/>
          <w:sz w:val="24"/>
          <w:highlight w:val="none"/>
        </w:rPr>
      </w:pPr>
      <w:r>
        <w:rPr>
          <w:rFonts w:hint="eastAsia" w:ascii="宋体" w:hAnsi="宋体"/>
          <w:b/>
          <w:sz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000000" w:themeColor="text1"/>
          <w:sz w:val="24"/>
          <w:highlight w:val="none"/>
          <w:lang w:val="en-US" w:eastAsia="zh-CN"/>
          <w14:textFill>
            <w14:solidFill>
              <w14:schemeClr w14:val="tx1"/>
            </w14:solidFill>
          </w14:textFill>
        </w:rPr>
      </w:pPr>
      <w:r>
        <w:rPr>
          <w:rFonts w:hint="default" w:eastAsia="宋体"/>
          <w:color w:val="000000" w:themeColor="text1"/>
          <w:sz w:val="24"/>
          <w:highlight w:val="none"/>
          <w:lang w:val="en-US" w:eastAsia="zh-CN"/>
          <w14:textFill>
            <w14:solidFill>
              <w14:schemeClr w14:val="tx1"/>
            </w14:solidFill>
          </w14:textFill>
        </w:rPr>
        <w:t>（一）采购范围:湖南省虞公港建设投资有限公司场内运输外包项目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000000" w:themeColor="text1"/>
          <w:sz w:val="24"/>
          <w:highlight w:val="none"/>
          <w:lang w:val="en-US" w:eastAsia="zh-CN"/>
          <w14:textFill>
            <w14:solidFill>
              <w14:schemeClr w14:val="tx1"/>
            </w14:solidFill>
          </w14:textFill>
        </w:rPr>
      </w:pPr>
      <w:r>
        <w:rPr>
          <w:rFonts w:hint="default" w:eastAsia="宋体"/>
          <w:color w:val="000000" w:themeColor="text1"/>
          <w:sz w:val="24"/>
          <w:highlight w:val="none"/>
          <w:lang w:val="en-US" w:eastAsia="zh-CN"/>
          <w14:textFill>
            <w14:solidFill>
              <w14:schemeClr w14:val="tx1"/>
            </w14:solidFill>
          </w14:textFill>
        </w:rPr>
        <w:t>（二）服务期限:签订合同之日起一年</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000000" w:themeColor="text1"/>
          <w:sz w:val="24"/>
          <w:highlight w:val="none"/>
          <w:lang w:val="en-US" w:eastAsia="zh-CN"/>
          <w14:textFill>
            <w14:solidFill>
              <w14:schemeClr w14:val="tx1"/>
            </w14:solidFill>
          </w14:textFill>
        </w:rPr>
      </w:pPr>
      <w:r>
        <w:rPr>
          <w:rFonts w:hint="default" w:eastAsia="宋体"/>
          <w:color w:val="000000" w:themeColor="text1"/>
          <w:sz w:val="24"/>
          <w:highlight w:val="none"/>
          <w:lang w:val="en-US" w:eastAsia="zh-CN"/>
          <w14:textFill>
            <w14:solidFill>
              <w14:schemeClr w14:val="tx1"/>
            </w14:solidFill>
          </w14:textFill>
        </w:rPr>
        <w:t>（三）服务地点:湘阴虞公港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000000" w:themeColor="text1"/>
          <w:sz w:val="24"/>
          <w:highlight w:val="none"/>
          <w:lang w:val="en-US" w:eastAsia="zh-CN"/>
          <w14:textFill>
            <w14:solidFill>
              <w14:schemeClr w14:val="tx1"/>
            </w14:solidFill>
          </w14:textFill>
        </w:rPr>
      </w:pPr>
      <w:r>
        <w:rPr>
          <w:rFonts w:hint="default" w:eastAsia="宋体"/>
          <w:color w:val="000000" w:themeColor="text1"/>
          <w:sz w:val="24"/>
          <w:highlight w:val="none"/>
          <w:lang w:val="en-US" w:eastAsia="zh-CN"/>
          <w14:textFill>
            <w14:solidFill>
              <w14:schemeClr w14:val="tx1"/>
            </w14:solidFill>
          </w14:textFill>
        </w:rPr>
        <w:t>（四）服务要求、质量和标准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000000" w:themeColor="text1"/>
          <w:sz w:val="24"/>
          <w:highlight w:val="none"/>
          <w:lang w:val="en-US" w:eastAsia="zh-CN"/>
          <w14:textFill>
            <w14:solidFill>
              <w14:schemeClr w14:val="tx1"/>
            </w14:solidFill>
          </w14:textFill>
        </w:rPr>
      </w:pPr>
      <w:r>
        <w:rPr>
          <w:rFonts w:hint="default" w:eastAsia="宋体"/>
          <w:color w:val="000000" w:themeColor="text1"/>
          <w:sz w:val="24"/>
          <w:highlight w:val="none"/>
          <w:lang w:val="en-US" w:eastAsia="zh-CN"/>
          <w14:textFill>
            <w14:solidFill>
              <w14:schemeClr w14:val="tx1"/>
            </w14:solidFill>
          </w14:textFill>
        </w:rPr>
        <w:t>1.服务提供方必须遵守发包方的安全生产规章制度以及发包方提出的场内货物转场作业标准与操作规范。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000000" w:themeColor="text1"/>
          <w:sz w:val="24"/>
          <w:highlight w:val="none"/>
          <w:lang w:val="en-US" w:eastAsia="zh-CN"/>
          <w14:textFill>
            <w14:solidFill>
              <w14:schemeClr w14:val="tx1"/>
            </w14:solidFill>
          </w14:textFill>
        </w:rPr>
      </w:pPr>
      <w:r>
        <w:rPr>
          <w:rFonts w:hint="default" w:eastAsia="宋体"/>
          <w:color w:val="000000" w:themeColor="text1"/>
          <w:sz w:val="24"/>
          <w:highlight w:val="none"/>
          <w:lang w:val="en-US" w:eastAsia="zh-CN"/>
          <w14:textFill>
            <w14:solidFill>
              <w14:schemeClr w14:val="tx1"/>
            </w14:solidFill>
          </w14:textFill>
        </w:rPr>
        <w:t>2.服务提供方</w:t>
      </w:r>
      <w:r>
        <w:rPr>
          <w:rFonts w:hint="eastAsia"/>
          <w:color w:val="000000" w:themeColor="text1"/>
          <w:sz w:val="24"/>
          <w:highlight w:val="none"/>
          <w:lang w:val="en-US" w:eastAsia="zh-CN"/>
          <w14:textFill>
            <w14:solidFill>
              <w14:schemeClr w14:val="tx1"/>
            </w14:solidFill>
          </w14:textFill>
        </w:rPr>
        <w:t>需提供</w:t>
      </w:r>
      <w:r>
        <w:rPr>
          <w:rFonts w:hint="default" w:eastAsia="宋体"/>
          <w:color w:val="000000" w:themeColor="text1"/>
          <w:sz w:val="24"/>
          <w:highlight w:val="none"/>
          <w:lang w:val="en-US" w:eastAsia="zh-CN"/>
          <w14:textFill>
            <w14:solidFill>
              <w14:schemeClr w14:val="tx1"/>
            </w14:solidFill>
          </w14:textFill>
        </w:rPr>
        <w:t>服务车辆集卡车不少于2台，散货车不少于3台。</w:t>
      </w: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p>
    <w:p>
      <w:pPr>
        <w:rPr>
          <w:rFonts w:hint="eastAsia" w:ascii="黑体" w:hAnsi="黑体" w:eastAsia="黑体" w:cs="仿宋"/>
          <w:b/>
          <w:color w:val="000000"/>
          <w:sz w:val="36"/>
          <w:szCs w:val="36"/>
          <w:highlight w:val="none"/>
        </w:rPr>
      </w:pPr>
      <w:r>
        <w:rPr>
          <w:rFonts w:hint="eastAsia" w:ascii="黑体" w:hAnsi="黑体" w:eastAsia="黑体" w:cs="仿宋"/>
          <w:b/>
          <w:color w:val="000000"/>
          <w:sz w:val="36"/>
          <w:szCs w:val="36"/>
          <w:highlight w:val="none"/>
        </w:rPr>
        <w:br w:type="page"/>
      </w:r>
    </w:p>
    <w:p>
      <w:pPr>
        <w:spacing w:line="312" w:lineRule="auto"/>
        <w:jc w:val="center"/>
        <w:outlineLvl w:val="0"/>
        <w:rPr>
          <w:rFonts w:ascii="黑体" w:hAnsi="黑体" w:eastAsia="黑体" w:cs="仿宋"/>
          <w:b/>
          <w:color w:val="000000"/>
          <w:sz w:val="36"/>
          <w:szCs w:val="36"/>
          <w:highlight w:val="none"/>
        </w:rPr>
      </w:pPr>
      <w:bookmarkStart w:id="59" w:name="_Toc7790"/>
      <w:r>
        <w:rPr>
          <w:rFonts w:hint="eastAsia" w:ascii="黑体" w:hAnsi="黑体" w:eastAsia="黑体" w:cs="仿宋"/>
          <w:b/>
          <w:color w:val="000000"/>
          <w:sz w:val="36"/>
          <w:szCs w:val="36"/>
          <w:highlight w:val="none"/>
        </w:rPr>
        <w:t>第六章  响应文件格式</w:t>
      </w:r>
      <w:bookmarkEnd w:id="59"/>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ascii="仿宋" w:hAnsi="仿宋" w:eastAsia="仿宋" w:cs="仿宋"/>
          <w:sz w:val="30"/>
          <w:szCs w:val="30"/>
          <w:highlight w:val="none"/>
        </w:rPr>
      </w:pPr>
    </w:p>
    <w:p>
      <w:pPr>
        <w:jc w:val="center"/>
        <w:rPr>
          <w:rFonts w:eastAsia="方正小标宋_GBK"/>
          <w:b/>
          <w:bCs/>
          <w:sz w:val="40"/>
          <w:szCs w:val="36"/>
          <w:highlight w:val="none"/>
        </w:rPr>
      </w:pPr>
      <w:r>
        <w:rPr>
          <w:rFonts w:hint="eastAsia" w:eastAsia="方正小标宋_GBK"/>
          <w:bCs/>
          <w:sz w:val="48"/>
          <w:szCs w:val="44"/>
          <w:highlight w:val="none"/>
          <w:u w:val="single"/>
        </w:rPr>
        <w:t xml:space="preserve">       </w:t>
      </w:r>
      <w:r>
        <w:rPr>
          <w:rFonts w:eastAsia="方正小标宋_GBK"/>
          <w:bCs/>
          <w:sz w:val="48"/>
          <w:szCs w:val="44"/>
          <w:highlight w:val="none"/>
          <w:u w:val="single"/>
        </w:rPr>
        <w:t xml:space="preserve">            </w:t>
      </w:r>
      <w:r>
        <w:rPr>
          <w:rFonts w:hint="eastAsia" w:eastAsia="方正小标宋_GBK"/>
          <w:b/>
          <w:bCs/>
          <w:sz w:val="40"/>
          <w:szCs w:val="36"/>
          <w:highlight w:val="none"/>
        </w:rPr>
        <w:t>项目</w:t>
      </w:r>
    </w:p>
    <w:p>
      <w:pPr>
        <w:widowControl w:val="0"/>
        <w:spacing w:before="240" w:beforeLines="100" w:after="240" w:afterLines="100" w:line="240" w:lineRule="auto"/>
        <w:jc w:val="center"/>
        <w:rPr>
          <w:rFonts w:eastAsia="楷体_GB2312"/>
          <w:b/>
          <w:bCs/>
          <w:sz w:val="28"/>
          <w:szCs w:val="28"/>
          <w:highlight w:val="none"/>
        </w:rPr>
      </w:pPr>
      <w:r>
        <w:rPr>
          <w:rFonts w:eastAsia="楷体_GB2312"/>
          <w:b/>
          <w:bCs/>
          <w:sz w:val="28"/>
          <w:szCs w:val="28"/>
          <w:highlight w:val="none"/>
        </w:rPr>
        <w:t>（项目</w:t>
      </w:r>
      <w:r>
        <w:rPr>
          <w:rFonts w:hint="eastAsia" w:eastAsia="楷体_GB2312"/>
          <w:b/>
          <w:bCs/>
          <w:sz w:val="28"/>
          <w:szCs w:val="28"/>
          <w:highlight w:val="none"/>
        </w:rPr>
        <w:t>采购</w:t>
      </w:r>
      <w:r>
        <w:rPr>
          <w:rFonts w:eastAsia="楷体_GB2312"/>
          <w:b/>
          <w:bCs/>
          <w:sz w:val="28"/>
          <w:szCs w:val="28"/>
          <w:highlight w:val="none"/>
        </w:rPr>
        <w:t>编号：</w:t>
      </w:r>
      <w:r>
        <w:rPr>
          <w:rFonts w:eastAsia="楷体_GB2312"/>
          <w:b/>
          <w:bCs/>
          <w:sz w:val="28"/>
          <w:szCs w:val="28"/>
          <w:highlight w:val="none"/>
          <w:u w:val="single"/>
        </w:rPr>
        <w:t xml:space="preserve">   </w:t>
      </w:r>
      <w:r>
        <w:rPr>
          <w:rFonts w:hint="eastAsia" w:eastAsia="楷体_GB2312"/>
          <w:b/>
          <w:bCs/>
          <w:sz w:val="28"/>
          <w:szCs w:val="28"/>
          <w:highlight w:val="none"/>
          <w:u w:val="single"/>
        </w:rPr>
        <w:t>填入项目采购编号</w:t>
      </w:r>
      <w:r>
        <w:rPr>
          <w:rFonts w:eastAsia="楷体_GB2312"/>
          <w:b/>
          <w:bCs/>
          <w:sz w:val="28"/>
          <w:szCs w:val="28"/>
          <w:highlight w:val="none"/>
          <w:u w:val="single"/>
        </w:rPr>
        <w:t xml:space="preserve">     </w:t>
      </w:r>
      <w:r>
        <w:rPr>
          <w:rFonts w:eastAsia="楷体_GB2312"/>
          <w:b/>
          <w:bCs/>
          <w:sz w:val="28"/>
          <w:szCs w:val="28"/>
          <w:highlight w:val="none"/>
        </w:rPr>
        <w:t>）</w:t>
      </w:r>
    </w:p>
    <w:p>
      <w:pPr>
        <w:widowControl w:val="0"/>
        <w:adjustRightInd w:val="0"/>
        <w:snapToGrid w:val="0"/>
        <w:rPr>
          <w:b/>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p>
    <w:p>
      <w:pPr>
        <w:spacing w:line="288" w:lineRule="auto"/>
        <w:jc w:val="center"/>
        <w:rPr>
          <w:rFonts w:eastAsia="方正小标宋_GBK"/>
          <w:b/>
          <w:bCs/>
          <w:spacing w:val="160"/>
          <w:sz w:val="72"/>
          <w:szCs w:val="72"/>
          <w:highlight w:val="none"/>
        </w:rPr>
      </w:pPr>
      <w:r>
        <w:rPr>
          <w:rFonts w:hint="eastAsia" w:eastAsia="方正小标宋_GBK"/>
          <w:b/>
          <w:bCs/>
          <w:spacing w:val="160"/>
          <w:sz w:val="72"/>
          <w:szCs w:val="72"/>
          <w:highlight w:val="none"/>
        </w:rPr>
        <w:t>响应</w:t>
      </w:r>
      <w:r>
        <w:rPr>
          <w:rFonts w:eastAsia="方正小标宋_GBK"/>
          <w:b/>
          <w:bCs/>
          <w:spacing w:val="160"/>
          <w:sz w:val="72"/>
          <w:szCs w:val="72"/>
          <w:highlight w:val="none"/>
        </w:rPr>
        <w:t>文件</w:t>
      </w: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288" w:lineRule="auto"/>
        <w:rPr>
          <w:sz w:val="26"/>
          <w:szCs w:val="26"/>
          <w:highlight w:val="none"/>
        </w:rPr>
      </w:pPr>
    </w:p>
    <w:p>
      <w:pPr>
        <w:spacing w:line="900" w:lineRule="exact"/>
        <w:jc w:val="center"/>
        <w:rPr>
          <w:rFonts w:eastAsia="黑体"/>
          <w:bCs/>
          <w:sz w:val="30"/>
          <w:szCs w:val="30"/>
          <w:highlight w:val="none"/>
        </w:rPr>
      </w:pPr>
      <w:r>
        <w:rPr>
          <w:rFonts w:hint="eastAsia" w:eastAsia="黑体"/>
          <w:bCs/>
          <w:sz w:val="30"/>
          <w:szCs w:val="30"/>
          <w:highlight w:val="none"/>
        </w:rPr>
        <w:t>供 应 商</w:t>
      </w:r>
      <w:r>
        <w:rPr>
          <w:rFonts w:eastAsia="黑体"/>
          <w:bCs/>
          <w:sz w:val="30"/>
          <w:szCs w:val="30"/>
          <w:highlight w:val="none"/>
        </w:rPr>
        <w:t>：</w:t>
      </w:r>
      <w:r>
        <w:rPr>
          <w:rFonts w:eastAsia="黑体"/>
          <w:bCs/>
          <w:sz w:val="30"/>
          <w:szCs w:val="30"/>
          <w:highlight w:val="none"/>
          <w:u w:val="single"/>
        </w:rPr>
        <w:t xml:space="preserve">  </w:t>
      </w:r>
      <w:r>
        <w:rPr>
          <w:rFonts w:hint="eastAsia" w:eastAsia="黑体"/>
          <w:bCs/>
          <w:sz w:val="30"/>
          <w:szCs w:val="30"/>
          <w:highlight w:val="none"/>
          <w:u w:val="single"/>
        </w:rPr>
        <w:t>供应商</w:t>
      </w:r>
      <w:r>
        <w:rPr>
          <w:rFonts w:eastAsia="黑体"/>
          <w:bCs/>
          <w:sz w:val="30"/>
          <w:szCs w:val="30"/>
          <w:highlight w:val="none"/>
          <w:u w:val="single"/>
        </w:rPr>
        <w:t xml:space="preserve">全称并盖单位公章 </w:t>
      </w:r>
    </w:p>
    <w:p>
      <w:pPr>
        <w:spacing w:line="900" w:lineRule="exact"/>
        <w:jc w:val="center"/>
        <w:rPr>
          <w:rFonts w:eastAsia="黑体"/>
          <w:sz w:val="30"/>
          <w:szCs w:val="30"/>
          <w:highlight w:val="none"/>
        </w:rPr>
      </w:pPr>
      <w:r>
        <w:rPr>
          <w:rFonts w:eastAsia="黑体"/>
          <w:sz w:val="30"/>
          <w:szCs w:val="30"/>
          <w:highlight w:val="none"/>
        </w:rPr>
        <w:t>日</w:t>
      </w:r>
      <w:r>
        <w:rPr>
          <w:rFonts w:hint="eastAsia" w:eastAsia="黑体"/>
          <w:sz w:val="30"/>
          <w:szCs w:val="30"/>
          <w:highlight w:val="none"/>
        </w:rPr>
        <w:t xml:space="preserve">   </w:t>
      </w:r>
      <w:r>
        <w:rPr>
          <w:rFonts w:eastAsia="黑体"/>
          <w:sz w:val="30"/>
          <w:szCs w:val="30"/>
          <w:highlight w:val="none"/>
        </w:rPr>
        <w:t>期：</w:t>
      </w:r>
      <w:r>
        <w:rPr>
          <w:rFonts w:eastAsia="黑体"/>
          <w:sz w:val="30"/>
          <w:szCs w:val="30"/>
          <w:highlight w:val="none"/>
          <w:u w:val="single"/>
        </w:rPr>
        <w:t xml:space="preserve">      </w:t>
      </w:r>
      <w:r>
        <w:rPr>
          <w:rFonts w:eastAsia="黑体"/>
          <w:sz w:val="30"/>
          <w:szCs w:val="30"/>
          <w:highlight w:val="none"/>
        </w:rPr>
        <w:t>年</w:t>
      </w:r>
      <w:r>
        <w:rPr>
          <w:rFonts w:eastAsia="黑体"/>
          <w:sz w:val="30"/>
          <w:szCs w:val="30"/>
          <w:highlight w:val="none"/>
          <w:u w:val="single"/>
        </w:rPr>
        <w:t xml:space="preserve">    </w:t>
      </w:r>
      <w:r>
        <w:rPr>
          <w:rFonts w:eastAsia="黑体"/>
          <w:sz w:val="30"/>
          <w:szCs w:val="30"/>
          <w:highlight w:val="none"/>
        </w:rPr>
        <w:t>月</w:t>
      </w:r>
      <w:r>
        <w:rPr>
          <w:rFonts w:eastAsia="黑体"/>
          <w:sz w:val="30"/>
          <w:szCs w:val="30"/>
          <w:highlight w:val="none"/>
          <w:u w:val="single"/>
        </w:rPr>
        <w:t xml:space="preserve">    </w:t>
      </w:r>
      <w:r>
        <w:rPr>
          <w:rFonts w:eastAsia="黑体"/>
          <w:sz w:val="30"/>
          <w:szCs w:val="30"/>
          <w:highlight w:val="none"/>
        </w:rPr>
        <w:t>日</w:t>
      </w: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 xml:space="preserve">目 </w:t>
      </w:r>
      <w:r>
        <w:rPr>
          <w:rFonts w:ascii="黑体" w:hAnsi="黑体" w:eastAsia="黑体" w:cs="仿宋"/>
          <w:sz w:val="36"/>
          <w:szCs w:val="36"/>
          <w:highlight w:val="none"/>
        </w:rPr>
        <w:t xml:space="preserve"> </w:t>
      </w:r>
      <w:r>
        <w:rPr>
          <w:rFonts w:hint="eastAsia" w:ascii="黑体" w:hAnsi="黑体" w:eastAsia="黑体" w:cs="仿宋"/>
          <w:sz w:val="36"/>
          <w:szCs w:val="36"/>
          <w:highlight w:val="none"/>
        </w:rPr>
        <w:t>录</w:t>
      </w:r>
    </w:p>
    <w:p>
      <w:pPr>
        <w:adjustRightInd w:val="0"/>
        <w:snapToGrid w:val="0"/>
        <w:spacing w:line="600" w:lineRule="exact"/>
        <w:jc w:val="both"/>
        <w:rPr>
          <w:rFonts w:ascii="宋体" w:hAnsi="宋体" w:cs="仿宋"/>
          <w:sz w:val="36"/>
          <w:szCs w:val="36"/>
          <w:highlight w:val="none"/>
        </w:rPr>
      </w:pP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一、响应函</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二、授权委托书</w:t>
      </w:r>
      <w:r>
        <w:rPr>
          <w:rFonts w:hint="eastAsia" w:ascii="宋体" w:hAnsi="宋体" w:cs="仿宋"/>
          <w:sz w:val="24"/>
          <w:highlight w:val="none"/>
          <w:lang w:eastAsia="zh-CN"/>
        </w:rPr>
        <w:t>（</w:t>
      </w:r>
      <w:r>
        <w:rPr>
          <w:rFonts w:hint="eastAsia" w:ascii="宋体" w:hAnsi="宋体" w:cs="仿宋"/>
          <w:sz w:val="24"/>
          <w:highlight w:val="none"/>
        </w:rPr>
        <w:t>适用于有委托代理人的情况</w:t>
      </w:r>
      <w:r>
        <w:rPr>
          <w:rFonts w:hint="eastAsia" w:ascii="宋体" w:hAnsi="宋体" w:cs="仿宋"/>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三、商务和技术偏差表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四、报价表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五、资格审查资料</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六、响应方案</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七、其他资料</w:t>
      </w:r>
    </w:p>
    <w:p>
      <w:pPr>
        <w:spacing w:line="600" w:lineRule="exact"/>
        <w:jc w:val="both"/>
        <w:rPr>
          <w:rFonts w:ascii="仿宋" w:hAnsi="仿宋" w:eastAsia="仿宋" w:cs="仿宋"/>
          <w:sz w:val="30"/>
          <w:szCs w:val="30"/>
          <w:highlight w:val="none"/>
        </w:rPr>
      </w:pPr>
      <w:r>
        <w:rPr>
          <w:rFonts w:hint="eastAsia" w:ascii="仿宋" w:hAnsi="仿宋" w:eastAsia="仿宋" w:cs="仿宋"/>
          <w:sz w:val="30"/>
          <w:szCs w:val="30"/>
          <w:highlight w:val="none"/>
        </w:rPr>
        <w:br w:type="page"/>
      </w:r>
    </w:p>
    <w:p>
      <w:pPr>
        <w:numPr>
          <w:ilvl w:val="0"/>
          <w:numId w:val="12"/>
        </w:num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响应函</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采购人名称</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p>
    <w:p>
      <w:pPr>
        <w:adjustRightInd w:val="0"/>
        <w:snapToGrid w:val="0"/>
        <w:spacing w:line="600" w:lineRule="exact"/>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1.我方已仔细研究了__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项目名称</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采购文件的全部内容，愿意以含税价人民币</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大写</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的报价（其中：不含税价为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增值税税额为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u w:val="single"/>
          <w:lang w:eastAsia="zh-CN"/>
        </w:rPr>
        <w:t>）</w:t>
      </w:r>
      <w:r>
        <w:rPr>
          <w:rFonts w:hint="eastAsia" w:cs="仿宋" w:asciiTheme="minorEastAsia" w:hAnsiTheme="minorEastAsia" w:eastAsiaTheme="minorEastAsia"/>
          <w:sz w:val="24"/>
          <w:highlight w:val="none"/>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2.我方的响应文件包括下列内容</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（1）响应函</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（2）授权委托书</w:t>
      </w:r>
      <w:r>
        <w:rPr>
          <w:rFonts w:hint="eastAsia" w:ascii="宋体" w:hAnsi="宋体" w:cs="仿宋"/>
          <w:sz w:val="24"/>
          <w:highlight w:val="none"/>
          <w:lang w:eastAsia="zh-CN"/>
        </w:rPr>
        <w:t>（</w:t>
      </w:r>
      <w:r>
        <w:rPr>
          <w:rFonts w:hint="eastAsia" w:ascii="宋体" w:hAnsi="宋体" w:cs="仿宋"/>
          <w:sz w:val="24"/>
          <w:highlight w:val="none"/>
        </w:rPr>
        <w:t>适用于有委托代理人的情况</w:t>
      </w:r>
      <w:r>
        <w:rPr>
          <w:rFonts w:hint="eastAsia" w:ascii="宋体" w:hAnsi="宋体" w:cs="仿宋"/>
          <w:sz w:val="24"/>
          <w:highlight w:val="none"/>
          <w:lang w:eastAsia="zh-CN"/>
        </w:rPr>
        <w:t>）</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（3）商务和技术偏差表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（4）报价表</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（5）资格审查资料</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（6）响应方案</w:t>
      </w:r>
    </w:p>
    <w:p>
      <w:pPr>
        <w:adjustRightInd w:val="0"/>
        <w:snapToGrid w:val="0"/>
        <w:spacing w:line="600" w:lineRule="exact"/>
        <w:jc w:val="both"/>
        <w:rPr>
          <w:rFonts w:ascii="宋体" w:hAnsi="宋体" w:cs="仿宋"/>
          <w:sz w:val="24"/>
          <w:highlight w:val="none"/>
        </w:rPr>
      </w:pPr>
      <w:r>
        <w:rPr>
          <w:rFonts w:hint="eastAsia" w:ascii="宋体" w:hAnsi="宋体" w:cs="仿宋"/>
          <w:sz w:val="24"/>
          <w:highlight w:val="none"/>
        </w:rPr>
        <w:t>（7）其他资料</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响应文件的上述组成部分如存在内容不</w:t>
      </w:r>
      <w:r>
        <w:rPr>
          <w:rFonts w:hint="eastAsia" w:cs="仿宋" w:asciiTheme="minorEastAsia" w:hAnsiTheme="minorEastAsia" w:eastAsiaTheme="minorEastAsia"/>
          <w:sz w:val="24"/>
          <w:highlight w:val="none"/>
          <w:lang w:eastAsia="zh-CN"/>
        </w:rPr>
        <w:t>一致</w:t>
      </w:r>
      <w:r>
        <w:rPr>
          <w:rFonts w:hint="eastAsia" w:cs="仿宋" w:asciiTheme="minorEastAsia" w:hAnsiTheme="minorEastAsia" w:eastAsiaTheme="minorEastAsia"/>
          <w:sz w:val="24"/>
          <w:highlight w:val="none"/>
        </w:rPr>
        <w:t>的，以响应函为准。</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3.我方承诺除商务和技术偏差表列出的偏差外，我方响应采购文件的全部要求。</w:t>
      </w:r>
    </w:p>
    <w:p>
      <w:pPr>
        <w:numPr>
          <w:ilvl w:val="0"/>
          <w:numId w:val="1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我方承诺在采购文件规定的响应文件有效期内不撤销响应文件。</w:t>
      </w:r>
    </w:p>
    <w:p>
      <w:pPr>
        <w:numPr>
          <w:ilvl w:val="0"/>
          <w:numId w:val="13"/>
        </w:num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如我方成交，我方承诺</w:t>
      </w:r>
      <w:r>
        <w:rPr>
          <w:rFonts w:hint="eastAsia" w:cs="仿宋" w:asciiTheme="minorEastAsia" w:hAnsiTheme="minorEastAsia" w:eastAsiaTheme="minorEastAsia"/>
          <w:sz w:val="24"/>
          <w:highlight w:val="none"/>
          <w:lang w:eastAsia="zh-CN"/>
        </w:rPr>
        <w:t>：</w:t>
      </w:r>
    </w:p>
    <w:p>
      <w:pPr>
        <w:tabs>
          <w:tab w:val="left" w:pos="312"/>
        </w:tabs>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在收到成交通知书后，在成交通知书规定的期限内与你方签订合同</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在签订合同时不向你方提出附加条件</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在合同约定的期限内完成合同规定的全部义务。</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其他补充说明</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p>
    <w:p>
      <w:pPr>
        <w:adjustRightInd w:val="0"/>
        <w:snapToGrid w:val="0"/>
        <w:spacing w:line="600" w:lineRule="exact"/>
        <w:jc w:val="both"/>
        <w:rPr>
          <w:rFonts w:cs="仿宋" w:asciiTheme="minorEastAsia" w:hAnsiTheme="minorEastAsia" w:eastAsiaTheme="minorEastAsia"/>
          <w:sz w:val="24"/>
          <w:highlight w:val="none"/>
        </w:rPr>
      </w:pP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________________________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盖单位章</w:t>
      </w:r>
      <w:r>
        <w:rPr>
          <w:rFonts w:hint="eastAsia" w:cs="仿宋" w:asciiTheme="minorEastAsia" w:hAnsiTheme="minorEastAsia" w:eastAsiaTheme="minorEastAsia"/>
          <w:sz w:val="24"/>
          <w:highlight w:val="none"/>
          <w:lang w:eastAsia="zh-CN"/>
        </w:rPr>
        <w:t>）</w:t>
      </w:r>
    </w:p>
    <w:p>
      <w:pPr>
        <w:adjustRightInd w:val="0"/>
        <w:snapToGrid w:val="0"/>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或其授权的代理人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 xml:space="preserve"> </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地址</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电子邮箱：_______________________________________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电话：____________________________________________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传真：____________________________________________</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邮政编码：_______________________________________</w:t>
      </w:r>
    </w:p>
    <w:p>
      <w:pPr>
        <w:spacing w:line="600" w:lineRule="exact"/>
        <w:jc w:val="both"/>
        <w:rPr>
          <w:rFonts w:cs="仿宋" w:asciiTheme="minorEastAsia" w:hAnsiTheme="minorEastAsia" w:eastAsiaTheme="minorEastAsia"/>
          <w:sz w:val="24"/>
          <w:highlight w:val="none"/>
        </w:rPr>
      </w:pPr>
    </w:p>
    <w:p>
      <w:pPr>
        <w:spacing w:line="600" w:lineRule="exact"/>
        <w:ind w:firstLine="7200" w:firstLineChars="30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 xml:space="preserve">年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 xml:space="preserve">月 </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240" w:lineRule="auto"/>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br w:type="page"/>
      </w:r>
    </w:p>
    <w:p>
      <w:pPr>
        <w:spacing w:line="400" w:lineRule="exact"/>
        <w:jc w:val="center"/>
        <w:rPr>
          <w:rFonts w:cs="宋体" w:asciiTheme="minorEastAsia" w:hAnsiTheme="minorEastAsia" w:eastAsiaTheme="minorEastAsia"/>
          <w:b/>
          <w:color w:val="000000"/>
          <w:kern w:val="0"/>
          <w:sz w:val="36"/>
          <w:szCs w:val="36"/>
          <w:highlight w:val="none"/>
        </w:rPr>
      </w:pPr>
      <w:r>
        <w:rPr>
          <w:rFonts w:hint="eastAsia" w:cs="宋体" w:asciiTheme="minorEastAsia" w:hAnsiTheme="minorEastAsia" w:eastAsiaTheme="minorEastAsia"/>
          <w:b/>
          <w:color w:val="000000"/>
          <w:kern w:val="0"/>
          <w:sz w:val="36"/>
          <w:szCs w:val="36"/>
          <w:highlight w:val="none"/>
        </w:rPr>
        <w:t>附：守法诚信承诺书</w:t>
      </w:r>
    </w:p>
    <w:p>
      <w:pPr>
        <w:spacing w:line="360" w:lineRule="auto"/>
        <w:ind w:firstLine="480" w:firstLineChars="200"/>
        <w:jc w:val="both"/>
        <w:rPr>
          <w:rFonts w:asciiTheme="minorEastAsia" w:hAnsiTheme="minorEastAsia" w:eastAsiaTheme="minorEastAsia"/>
          <w:color w:val="000000"/>
          <w:sz w:val="24"/>
          <w:highlight w:val="none"/>
        </w:rPr>
      </w:pP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××公司：</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1、我司已仔细阅读《××单位××文件》（以下</w:t>
      </w:r>
      <w:r>
        <w:rPr>
          <w:rFonts w:cs="仿宋" w:asciiTheme="minorEastAsia" w:hAnsiTheme="minorEastAsia" w:eastAsiaTheme="minorEastAsia"/>
          <w:sz w:val="24"/>
          <w:highlight w:val="none"/>
        </w:rPr>
        <w:t>简称</w:t>
      </w:r>
      <w:r>
        <w:rPr>
          <w:rFonts w:hint="eastAsia" w:cs="仿宋" w:asciiTheme="minorEastAsia" w:hAnsiTheme="minorEastAsia" w:eastAsiaTheme="minorEastAsia"/>
          <w:sz w:val="24"/>
          <w:highlight w:val="none"/>
        </w:rPr>
        <w:t>采购</w:t>
      </w:r>
      <w:r>
        <w:rPr>
          <w:rFonts w:cs="仿宋" w:asciiTheme="minorEastAsia" w:hAnsiTheme="minorEastAsia" w:eastAsiaTheme="minorEastAsia"/>
          <w:sz w:val="24"/>
          <w:highlight w:val="none"/>
        </w:rPr>
        <w:t>文件）</w:t>
      </w:r>
      <w:r>
        <w:rPr>
          <w:rFonts w:hint="eastAsia" w:cs="仿宋" w:asciiTheme="minorEastAsia" w:hAnsiTheme="minorEastAsia" w:eastAsiaTheme="minorEastAsia"/>
          <w:sz w:val="24"/>
          <w:highlight w:val="none"/>
        </w:rPr>
        <w:t>，包括采</w:t>
      </w:r>
      <w:r>
        <w:rPr>
          <w:rFonts w:cs="仿宋" w:asciiTheme="minorEastAsia" w:hAnsiTheme="minorEastAsia" w:eastAsiaTheme="minorEastAsia"/>
          <w:sz w:val="24"/>
          <w:highlight w:val="none"/>
        </w:rPr>
        <w:t>购</w:t>
      </w:r>
      <w:r>
        <w:rPr>
          <w:rFonts w:hint="eastAsia" w:cs="仿宋" w:asciiTheme="minorEastAsia" w:hAnsiTheme="minorEastAsia" w:eastAsiaTheme="minorEastAsia"/>
          <w:sz w:val="24"/>
          <w:highlight w:val="none"/>
        </w:rPr>
        <w:t>文件的澄清或修改说明</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完全支持并响应，不存在误解或不明。</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2、遵纪守法，不触底线，公平公正参与竞争。我司提供的《响应文件》及其资料真实合法有效。</w:t>
      </w:r>
      <w:r>
        <w:rPr>
          <w:rFonts w:cs="仿宋" w:asciiTheme="minorEastAsia" w:hAnsiTheme="minorEastAsia" w:eastAsiaTheme="minorEastAsia"/>
          <w:sz w:val="24"/>
          <w:highlight w:val="none"/>
        </w:rPr>
        <w:t xml:space="preserve"> </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3、响应期间没有因质量或</w:t>
      </w:r>
      <w:r>
        <w:rPr>
          <w:rFonts w:cs="仿宋" w:asciiTheme="minorEastAsia" w:hAnsiTheme="minorEastAsia" w:eastAsiaTheme="minorEastAsia"/>
          <w:sz w:val="24"/>
          <w:highlight w:val="none"/>
        </w:rPr>
        <w:t>服务</w:t>
      </w:r>
      <w:r>
        <w:rPr>
          <w:rFonts w:hint="eastAsia" w:cs="仿宋" w:asciiTheme="minorEastAsia" w:hAnsiTheme="minorEastAsia" w:eastAsiaTheme="minorEastAsia"/>
          <w:sz w:val="24"/>
          <w:highlight w:val="none"/>
        </w:rPr>
        <w:t>问题被采购人或采购人上级</w:t>
      </w:r>
      <w:r>
        <w:rPr>
          <w:rFonts w:cs="仿宋" w:asciiTheme="minorEastAsia" w:hAnsiTheme="minorEastAsia" w:eastAsiaTheme="minorEastAsia"/>
          <w:sz w:val="24"/>
          <w:highlight w:val="none"/>
        </w:rPr>
        <w:t>机构</w:t>
      </w:r>
      <w:r>
        <w:rPr>
          <w:rFonts w:hint="eastAsia" w:cs="仿宋" w:asciiTheme="minorEastAsia" w:hAnsiTheme="minorEastAsia" w:eastAsiaTheme="minorEastAsia"/>
          <w:sz w:val="24"/>
          <w:highlight w:val="none"/>
        </w:rPr>
        <w:t>通报且在整改期内。</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5、无联合体另外报价。</w:t>
      </w: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6、单位、法定代表人（单位负责人）、委托代理人（授权代表）无暂停或取消</w:t>
      </w:r>
      <w:r>
        <w:rPr>
          <w:rFonts w:hint="eastAsia" w:cs="仿宋" w:asciiTheme="minorEastAsia" w:hAnsiTheme="minorEastAsia" w:eastAsiaTheme="minorEastAsia"/>
          <w:sz w:val="24"/>
          <w:highlight w:val="none"/>
          <w:lang w:eastAsia="zh-CN"/>
        </w:rPr>
        <w:t>响应</w:t>
      </w:r>
      <w:r>
        <w:rPr>
          <w:rFonts w:hint="eastAsia" w:cs="仿宋" w:asciiTheme="minorEastAsia" w:hAnsiTheme="minorEastAsia" w:eastAsiaTheme="minorEastAsia"/>
          <w:sz w:val="24"/>
          <w:highlight w:val="none"/>
        </w:rPr>
        <w:t>资格、骗取</w:t>
      </w:r>
      <w:r>
        <w:rPr>
          <w:rFonts w:hint="eastAsia" w:cs="仿宋" w:asciiTheme="minorEastAsia" w:hAnsiTheme="minorEastAsia" w:eastAsiaTheme="minorEastAsia"/>
          <w:sz w:val="24"/>
          <w:highlight w:val="none"/>
          <w:lang w:eastAsia="zh-CN"/>
        </w:rPr>
        <w:t>成交</w:t>
      </w:r>
      <w:r>
        <w:rPr>
          <w:rFonts w:hint="eastAsia" w:cs="仿宋" w:asciiTheme="minorEastAsia" w:hAnsiTheme="minorEastAsia" w:eastAsiaTheme="minorEastAsia"/>
          <w:sz w:val="24"/>
          <w:highlight w:val="none"/>
        </w:rPr>
        <w:t>、行贿等不良记录以及其他违法犯罪记录；无围标串标、恶意投诉、买卖资质等违法违规行为。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rPr>
        <w:t>、诚实守信，优质高效履行合同。一旦中选，我司将严格遵守采购文件的约定，不附加条件</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及时商谈、签约、履约。</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9</w:t>
      </w:r>
      <w:r>
        <w:rPr>
          <w:rFonts w:hint="eastAsia" w:cs="仿宋" w:asciiTheme="minorEastAsia" w:hAnsiTheme="minorEastAsia" w:eastAsiaTheme="minorEastAsia"/>
          <w:sz w:val="24"/>
          <w:highlight w:val="none"/>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highlight w:val="none"/>
        </w:rPr>
      </w:pPr>
    </w:p>
    <w:p>
      <w:pPr>
        <w:spacing w:line="360" w:lineRule="auto"/>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专此承诺。</w:t>
      </w:r>
    </w:p>
    <w:p>
      <w:pPr>
        <w:spacing w:line="360" w:lineRule="auto"/>
        <w:ind w:firstLine="480" w:firstLineChars="200"/>
        <w:jc w:val="both"/>
        <w:rPr>
          <w:rFonts w:cs="仿宋" w:asciiTheme="minorEastAsia" w:hAnsiTheme="minorEastAsia" w:eastAsiaTheme="minorEastAsia"/>
          <w:sz w:val="24"/>
          <w:highlight w:val="none"/>
        </w:rPr>
      </w:pPr>
    </w:p>
    <w:p>
      <w:pPr>
        <w:spacing w:line="360" w:lineRule="auto"/>
        <w:ind w:firstLine="4320" w:firstLineChars="18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印刷体全称</w:t>
      </w:r>
      <w:r>
        <w:rPr>
          <w:rFonts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rPr>
        <w:t>单位公章</w:t>
      </w:r>
      <w:r>
        <w:rPr>
          <w:rFonts w:cs="仿宋" w:asciiTheme="minorEastAsia" w:hAnsiTheme="minorEastAsia" w:eastAsiaTheme="minorEastAsia"/>
          <w:sz w:val="24"/>
          <w:highlight w:val="none"/>
        </w:rPr>
        <w:t>）：</w:t>
      </w:r>
    </w:p>
    <w:p>
      <w:pPr>
        <w:spacing w:line="360" w:lineRule="auto"/>
        <w:ind w:firstLine="3600" w:firstLineChars="15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承诺单位法定代表人或其委托代理人（印刷体+</w:t>
      </w:r>
      <w:r>
        <w:rPr>
          <w:rFonts w:cs="仿宋" w:asciiTheme="minorEastAsia" w:hAnsiTheme="minorEastAsia" w:eastAsiaTheme="minorEastAsia"/>
          <w:sz w:val="24"/>
          <w:highlight w:val="none"/>
        </w:rPr>
        <w:t>签字）：</w:t>
      </w:r>
    </w:p>
    <w:p>
      <w:pPr>
        <w:ind w:firstLine="480" w:firstLineChars="200"/>
        <w:jc w:val="both"/>
        <w:rPr>
          <w:rFonts w:cs="仿宋" w:asciiTheme="minorEastAsia" w:hAnsiTheme="minorEastAsia" w:eastAsiaTheme="minorEastAsia"/>
          <w:sz w:val="24"/>
          <w:highlight w:val="none"/>
        </w:rPr>
      </w:pP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年</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月</w:t>
      </w:r>
      <w:r>
        <w:rPr>
          <w:rFonts w:cs="仿宋" w:asciiTheme="minorEastAsia" w:hAnsiTheme="minorEastAsia" w:eastAsiaTheme="minorEastAsia"/>
          <w:sz w:val="24"/>
          <w:highlight w:val="none"/>
        </w:rPr>
        <w:t xml:space="preserve">   </w:t>
      </w:r>
      <w:r>
        <w:rPr>
          <w:rFonts w:hint="eastAsia" w:cs="仿宋" w:asciiTheme="minorEastAsia" w:hAnsiTheme="minorEastAsia" w:eastAsiaTheme="minorEastAsia"/>
          <w:sz w:val="24"/>
          <w:highlight w:val="none"/>
        </w:rPr>
        <w:t>日</w:t>
      </w:r>
    </w:p>
    <w:p>
      <w:pPr>
        <w:spacing w:line="600" w:lineRule="exact"/>
        <w:jc w:val="center"/>
        <w:rPr>
          <w:rFonts w:ascii="黑体" w:hAnsi="黑体" w:eastAsia="黑体" w:cs="仿宋"/>
          <w:sz w:val="36"/>
          <w:szCs w:val="36"/>
          <w:highlight w:val="none"/>
        </w:rPr>
      </w:pPr>
      <w:r>
        <w:rPr>
          <w:rFonts w:hint="eastAsia" w:cs="仿宋" w:asciiTheme="minorEastAsia" w:hAnsiTheme="minorEastAsia" w:eastAsiaTheme="minorEastAsia"/>
          <w:sz w:val="24"/>
          <w:highlight w:val="none"/>
        </w:rPr>
        <w:br w:type="page"/>
      </w:r>
      <w:r>
        <w:rPr>
          <w:rFonts w:hint="eastAsia" w:ascii="黑体" w:hAnsi="黑体" w:eastAsia="黑体" w:cs="仿宋"/>
          <w:sz w:val="36"/>
          <w:szCs w:val="36"/>
          <w:highlight w:val="none"/>
        </w:rPr>
        <w:t>二、授权委托书</w:t>
      </w:r>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本人（姓名）系（供应商名称）的法定代表人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，现委托___</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姓名</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委托期限</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自本委托书签署之日起至</w:t>
      </w:r>
      <w:r>
        <w:rPr>
          <w:rFonts w:hint="eastAsia" w:cs="仿宋" w:asciiTheme="minorEastAsia" w:hAnsiTheme="minorEastAsia" w:eastAsiaTheme="minorEastAsia"/>
          <w:sz w:val="24"/>
          <w:highlight w:val="none"/>
          <w:u w:val="single"/>
        </w:rPr>
        <w:t xml:space="preserve">         </w:t>
      </w:r>
      <w:r>
        <w:rPr>
          <w:rFonts w:hint="eastAsia" w:cs="仿宋" w:asciiTheme="minorEastAsia" w:hAnsiTheme="minorEastAsia" w:eastAsiaTheme="minorEastAsia"/>
          <w:sz w:val="24"/>
          <w:highlight w:val="none"/>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附</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盖单位章</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法定代表人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单位负责人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委托代理人</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签字</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身份证号码</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年_月日</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三、商务和技术偏差表</w:t>
      </w:r>
    </w:p>
    <w:p>
      <w:pPr>
        <w:spacing w:line="600" w:lineRule="exact"/>
        <w:jc w:val="center"/>
        <w:rPr>
          <w:rFonts w:cs="仿宋" w:asciiTheme="minorEastAsia" w:hAnsiTheme="minorEastAsia" w:eastAsiaTheme="minorEastAsia"/>
          <w:sz w:val="24"/>
          <w:highlight w:val="none"/>
        </w:rPr>
      </w:pP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序号</w:t>
            </w:r>
          </w:p>
        </w:tc>
        <w:tc>
          <w:tcPr>
            <w:tcW w:w="2463"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采购文件章节及条款号</w:t>
            </w:r>
          </w:p>
        </w:tc>
        <w:tc>
          <w:tcPr>
            <w:tcW w:w="2464" w:type="dxa"/>
          </w:tcPr>
          <w:p>
            <w:pPr>
              <w:widowControl/>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响应文件章节及条款号</w:t>
            </w:r>
          </w:p>
        </w:tc>
        <w:tc>
          <w:tcPr>
            <w:tcW w:w="2464" w:type="dxa"/>
          </w:tcPr>
          <w:p>
            <w:pPr>
              <w:widowControl/>
              <w:spacing w:line="600" w:lineRule="exact"/>
              <w:jc w:val="center"/>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highlight w:val="none"/>
              </w:rPr>
            </w:pPr>
          </w:p>
        </w:tc>
        <w:tc>
          <w:tcPr>
            <w:tcW w:w="2463"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c>
          <w:tcPr>
            <w:tcW w:w="2464" w:type="dxa"/>
          </w:tcPr>
          <w:p>
            <w:pPr>
              <w:widowControl/>
              <w:spacing w:line="600" w:lineRule="exact"/>
              <w:jc w:val="both"/>
              <w:rPr>
                <w:rFonts w:cs="仿宋" w:asciiTheme="minorEastAsia" w:hAnsiTheme="minorEastAsia" w:eastAsiaTheme="minorEastAsia"/>
                <w:sz w:val="24"/>
                <w:highlight w:val="none"/>
              </w:rPr>
            </w:pPr>
          </w:p>
        </w:tc>
      </w:tr>
    </w:tbl>
    <w:p>
      <w:pPr>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供应商保证：除商务和技术偏差表列出的偏差外，供应商响应采购文件的全部要求。</w:t>
      </w:r>
    </w:p>
    <w:p>
      <w:pPr>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numPr>
          <w:ilvl w:val="0"/>
          <w:numId w:val="14"/>
        </w:numPr>
        <w:spacing w:line="600" w:lineRule="exact"/>
        <w:ind w:left="420"/>
        <w:jc w:val="center"/>
        <w:rPr>
          <w:rFonts w:ascii="黑体" w:hAnsi="黑体" w:eastAsia="黑体" w:cs="仿宋"/>
          <w:sz w:val="36"/>
          <w:szCs w:val="36"/>
          <w:highlight w:val="none"/>
        </w:rPr>
      </w:pPr>
      <w:r>
        <w:rPr>
          <w:rFonts w:hint="eastAsia" w:ascii="黑体" w:hAnsi="黑体" w:eastAsia="黑体" w:cs="仿宋"/>
          <w:sz w:val="36"/>
          <w:szCs w:val="36"/>
          <w:highlight w:val="none"/>
        </w:rPr>
        <w:t>报价表</w:t>
      </w:r>
    </w:p>
    <w:p>
      <w:pPr>
        <w:spacing w:line="360" w:lineRule="auto"/>
        <w:jc w:val="center"/>
        <w:rPr>
          <w:rFonts w:hint="eastAsia"/>
          <w:b/>
          <w:kern w:val="0"/>
          <w:highlight w:val="none"/>
        </w:rPr>
      </w:pPr>
    </w:p>
    <w:p>
      <w:pPr>
        <w:spacing w:line="240"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widowControl/>
        <w:numPr>
          <w:ilvl w:val="-1"/>
          <w:numId w:val="0"/>
        </w:numPr>
        <w:adjustRightInd/>
        <w:snapToGrid/>
        <w:spacing w:after="0" w:line="240" w:lineRule="auto"/>
        <w:ind w:left="0" w:firstLine="439" w:firstLineChars="183"/>
        <w:jc w:val="left"/>
        <w:rPr>
          <w:rFonts w:hint="eastAsia" w:ascii="宋体" w:hAnsi="宋体" w:eastAsia="宋体" w:cs="宋体"/>
          <w:b w:val="0"/>
          <w:bCs/>
          <w:color w:val="000000"/>
          <w:sz w:val="24"/>
          <w:szCs w:val="24"/>
          <w:highlight w:val="none"/>
        </w:rPr>
      </w:pPr>
      <w:r>
        <w:rPr>
          <w:rFonts w:hint="eastAsia" w:ascii="宋体" w:hAnsi="宋体" w:cs="宋体"/>
          <w:b w:val="0"/>
          <w:bCs/>
          <w:sz w:val="24"/>
          <w:szCs w:val="24"/>
          <w:highlight w:val="none"/>
          <w:u w:val="none"/>
          <w:lang w:val="en-US" w:eastAsia="zh-CN"/>
        </w:rPr>
        <w:t>1、</w:t>
      </w:r>
      <w:r>
        <w:rPr>
          <w:rFonts w:hint="eastAsia" w:ascii="宋体" w:hAnsi="宋体" w:eastAsia="宋体" w:cs="宋体"/>
          <w:b w:val="0"/>
          <w:bCs/>
          <w:sz w:val="24"/>
          <w:szCs w:val="24"/>
          <w:highlight w:val="none"/>
          <w:u w:val="none"/>
        </w:rPr>
        <w:t>此数据为</w:t>
      </w:r>
      <w:r>
        <w:rPr>
          <w:rFonts w:hint="eastAsia" w:ascii="宋体" w:hAnsi="宋体" w:eastAsia="宋体" w:cs="宋体"/>
          <w:b w:val="0"/>
          <w:bCs/>
          <w:sz w:val="24"/>
          <w:szCs w:val="24"/>
          <w:highlight w:val="none"/>
          <w:u w:val="none"/>
          <w:lang w:val="en-US" w:eastAsia="zh-CN"/>
        </w:rPr>
        <w:t>合同</w:t>
      </w:r>
      <w:r>
        <w:rPr>
          <w:rFonts w:hint="eastAsia" w:ascii="宋体" w:hAnsi="宋体" w:eastAsia="宋体" w:cs="宋体"/>
          <w:b w:val="0"/>
          <w:bCs/>
          <w:sz w:val="24"/>
          <w:szCs w:val="24"/>
          <w:highlight w:val="none"/>
          <w:u w:val="none"/>
        </w:rPr>
        <w:t>估计量，不作为结算依据，具体按实结算</w:t>
      </w:r>
      <w:r>
        <w:rPr>
          <w:rFonts w:hint="eastAsia" w:ascii="宋体" w:hAnsi="宋体" w:eastAsia="宋体" w:cs="宋体"/>
          <w:b w:val="0"/>
          <w:bCs/>
          <w:sz w:val="24"/>
          <w:szCs w:val="24"/>
          <w:highlight w:val="none"/>
          <w:u w:val="none"/>
          <w:lang w:eastAsia="zh-CN"/>
        </w:rPr>
        <w:t>。</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rPr>
        <w:t>可以自行进行市场考察综合预判，风险收益自担</w:t>
      </w:r>
      <w:r>
        <w:rPr>
          <w:rFonts w:hint="eastAsia" w:ascii="宋体" w:hAnsi="宋体" w:eastAsia="宋体" w:cs="宋体"/>
          <w:b w:val="0"/>
          <w:bCs/>
          <w:color w:val="000000"/>
          <w:sz w:val="24"/>
          <w:szCs w:val="24"/>
          <w:highlight w:val="none"/>
        </w:rPr>
        <w:t>。</w:t>
      </w:r>
    </w:p>
    <w:p>
      <w:pPr>
        <w:adjustRightInd/>
        <w:snapToGrid/>
        <w:spacing w:after="0" w:line="24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所有单价都包含了</w:t>
      </w:r>
      <w:r>
        <w:rPr>
          <w:rFonts w:hint="eastAsia" w:ascii="宋体" w:hAnsi="宋体" w:eastAsia="宋体" w:cs="宋体"/>
          <w:b w:val="0"/>
          <w:bCs/>
          <w:sz w:val="24"/>
          <w:szCs w:val="24"/>
          <w:lang w:val="en-US" w:eastAsia="zh-CN"/>
        </w:rPr>
        <w:t>管理费用、</w:t>
      </w:r>
      <w:r>
        <w:rPr>
          <w:rFonts w:hint="eastAsia" w:ascii="宋体" w:hAnsi="宋体" w:eastAsia="宋体" w:cs="宋体"/>
          <w:b w:val="0"/>
          <w:bCs/>
          <w:sz w:val="24"/>
          <w:szCs w:val="24"/>
        </w:rPr>
        <w:t>工资、零点班加餐费、社保、税金、工伤保险费、</w:t>
      </w:r>
      <w:r>
        <w:rPr>
          <w:rFonts w:hint="eastAsia" w:ascii="宋体" w:hAnsi="宋体" w:cs="宋体"/>
          <w:b w:val="0"/>
          <w:bCs/>
          <w:sz w:val="24"/>
          <w:szCs w:val="24"/>
          <w:lang w:val="en-US" w:eastAsia="zh-CN"/>
        </w:rPr>
        <w:t>意外险、</w:t>
      </w:r>
      <w:r>
        <w:rPr>
          <w:rFonts w:hint="eastAsia" w:ascii="宋体" w:hAnsi="宋体" w:eastAsia="宋体" w:cs="宋体"/>
          <w:b w:val="0"/>
          <w:bCs/>
          <w:sz w:val="24"/>
          <w:szCs w:val="24"/>
        </w:rPr>
        <w:t>劳保用品费、人员工伤赔付（安全风险)、部分作业工属具添置费、一年三节加班费、水电费</w:t>
      </w:r>
      <w:r>
        <w:rPr>
          <w:rFonts w:hint="eastAsia" w:ascii="宋体" w:hAnsi="宋体" w:eastAsia="宋体" w:cs="宋体"/>
          <w:b w:val="0"/>
          <w:bCs/>
          <w:sz w:val="24"/>
          <w:szCs w:val="24"/>
          <w:lang w:val="en-US" w:eastAsia="zh-CN"/>
        </w:rPr>
        <w:t>等</w:t>
      </w:r>
      <w:r>
        <w:rPr>
          <w:rFonts w:hint="eastAsia" w:ascii="宋体" w:hAnsi="宋体" w:eastAsia="宋体" w:cs="宋体"/>
          <w:b w:val="0"/>
          <w:bCs/>
          <w:sz w:val="24"/>
          <w:szCs w:val="24"/>
        </w:rPr>
        <w:t>所有费用。</w:t>
      </w:r>
    </w:p>
    <w:p>
      <w:pPr>
        <w:pStyle w:val="2"/>
        <w:spacing w:line="240" w:lineRule="auto"/>
        <w:rPr>
          <w:bCs/>
        </w:rPr>
      </w:pPr>
      <w:r>
        <w:rPr>
          <w:rFonts w:hint="eastAsia" w:ascii="宋体" w:hAnsi="宋体" w:eastAsia="宋体" w:cs="宋体"/>
          <w:b w:val="0"/>
          <w:bCs/>
          <w:sz w:val="24"/>
          <w:szCs w:val="24"/>
          <w:lang w:val="en-US" w:eastAsia="zh-CN"/>
        </w:rPr>
        <w:t>3.表中所列项目为现行港口中转货物种类和作业工艺，如出现表中未列项目将参照市场单价双方协商解决，在协商解决前双方不得以单</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价未协商而停止履行权利义务。</w:t>
      </w:r>
    </w:p>
    <w:p>
      <w:pPr>
        <w:spacing w:line="240" w:lineRule="auto"/>
        <w:jc w:val="both"/>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rPr>
        <w:t>2.报价表</w:t>
      </w:r>
      <w:r>
        <w:rPr>
          <w:rFonts w:hint="eastAsia" w:cs="仿宋" w:asciiTheme="minorEastAsia" w:hAnsiTheme="minorEastAsia" w:eastAsiaTheme="minorEastAsia"/>
          <w:sz w:val="24"/>
          <w:lang w:eastAsia="zh-CN"/>
        </w:rPr>
        <w:t>：</w:t>
      </w:r>
    </w:p>
    <w:p>
      <w:pPr>
        <w:pStyle w:val="2"/>
        <w:rPr>
          <w:rFonts w:hint="eastAsia"/>
          <w:lang w:eastAsia="zh-CN"/>
        </w:rPr>
      </w:pPr>
    </w:p>
    <w:tbl>
      <w:tblPr>
        <w:tblStyle w:val="42"/>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300"/>
        <w:gridCol w:w="2175"/>
        <w:gridCol w:w="2294"/>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33"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序号</w:t>
            </w:r>
          </w:p>
        </w:tc>
        <w:tc>
          <w:tcPr>
            <w:tcW w:w="2300"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项目</w:t>
            </w:r>
          </w:p>
        </w:tc>
        <w:tc>
          <w:tcPr>
            <w:tcW w:w="2175"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单价</w:t>
            </w:r>
          </w:p>
        </w:tc>
        <w:tc>
          <w:tcPr>
            <w:tcW w:w="2294"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预估量</w:t>
            </w:r>
          </w:p>
        </w:tc>
        <w:tc>
          <w:tcPr>
            <w:tcW w:w="2148"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33"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1</w:t>
            </w:r>
          </w:p>
        </w:tc>
        <w:tc>
          <w:tcPr>
            <w:tcW w:w="2300" w:type="dxa"/>
            <w:vAlign w:val="center"/>
          </w:tcPr>
          <w:p>
            <w:pPr>
              <w:pStyle w:val="2"/>
              <w:widowControl w:val="0"/>
              <w:jc w:val="center"/>
              <w:rPr>
                <w:rFonts w:hint="eastAsia" w:cs="仿宋" w:asciiTheme="minorEastAsia" w:hAnsiTheme="minorEastAsia" w:eastAsiaTheme="minorEastAsia"/>
                <w:sz w:val="24"/>
                <w:vertAlign w:val="baseline"/>
                <w:lang w:eastAsia="zh-CN"/>
              </w:rPr>
            </w:pPr>
            <w:r>
              <w:rPr>
                <w:rFonts w:hint="eastAsia" w:ascii="宋体" w:hAnsi="宋体" w:eastAsia="宋体" w:cs="宋体"/>
                <w:b/>
                <w:bCs/>
                <w:sz w:val="24"/>
                <w:szCs w:val="24"/>
                <w:u w:val="single"/>
                <w:lang w:val="en-US" w:eastAsia="zh-CN"/>
              </w:rPr>
              <w:t>集装箱</w:t>
            </w:r>
          </w:p>
        </w:tc>
        <w:tc>
          <w:tcPr>
            <w:tcW w:w="2175"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 xml:space="preserve">       元每箱</w:t>
            </w:r>
          </w:p>
        </w:tc>
        <w:tc>
          <w:tcPr>
            <w:tcW w:w="2294"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4000</w:t>
            </w:r>
          </w:p>
        </w:tc>
        <w:tc>
          <w:tcPr>
            <w:tcW w:w="2148" w:type="dxa"/>
            <w:vAlign w:val="top"/>
          </w:tcPr>
          <w:p>
            <w:pPr>
              <w:pStyle w:val="2"/>
              <w:widowControl w:val="0"/>
              <w:jc w:val="center"/>
              <w:rPr>
                <w:rFonts w:hint="eastAsia" w:cs="仿宋" w:asciiTheme="minorEastAsia" w:hAnsiTheme="minorEastAsia" w:eastAsiaTheme="minorEastAsia"/>
                <w:sz w:val="24"/>
                <w:vertAlign w:val="baseline"/>
                <w:lang w:eastAsia="zh-CN"/>
              </w:rPr>
            </w:pPr>
            <w:r>
              <w:rPr>
                <w:rFonts w:hint="eastAsia" w:ascii="宋体" w:hAnsi="宋体" w:eastAsia="宋体" w:cs="宋体"/>
                <w:b/>
                <w:bCs/>
                <w:sz w:val="24"/>
                <w:szCs w:val="24"/>
                <w:u w:val="single"/>
                <w:lang w:val="en-US" w:eastAsia="zh-CN"/>
              </w:rPr>
              <w:t>含大、小、空、重箱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3"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2</w:t>
            </w:r>
          </w:p>
        </w:tc>
        <w:tc>
          <w:tcPr>
            <w:tcW w:w="2300" w:type="dxa"/>
            <w:vAlign w:val="center"/>
          </w:tcPr>
          <w:p>
            <w:pPr>
              <w:pStyle w:val="2"/>
              <w:widowControl w:val="0"/>
              <w:jc w:val="center"/>
              <w:rPr>
                <w:rFonts w:hint="eastAsia" w:cs="仿宋" w:asciiTheme="minorEastAsia" w:hAnsiTheme="minorEastAsia" w:eastAsiaTheme="minorEastAsia"/>
                <w:sz w:val="24"/>
                <w:vertAlign w:val="baseline"/>
                <w:lang w:eastAsia="zh-CN"/>
              </w:rPr>
            </w:pPr>
            <w:r>
              <w:rPr>
                <w:rFonts w:hint="eastAsia" w:ascii="宋体" w:hAnsi="宋体" w:eastAsia="宋体" w:cs="宋体"/>
                <w:b/>
                <w:bCs/>
                <w:sz w:val="24"/>
                <w:szCs w:val="24"/>
                <w:u w:val="single"/>
                <w:lang w:val="en-US" w:eastAsia="zh-CN"/>
              </w:rPr>
              <w:t>港内矿石（场-场）</w:t>
            </w:r>
          </w:p>
        </w:tc>
        <w:tc>
          <w:tcPr>
            <w:tcW w:w="2175" w:type="dxa"/>
            <w:vAlign w:val="center"/>
          </w:tcPr>
          <w:p>
            <w:pPr>
              <w:pStyle w:val="2"/>
              <w:widowControl w:val="0"/>
              <w:ind w:firstLine="0" w:firstLineChars="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 xml:space="preserve">       元每吨</w:t>
            </w:r>
          </w:p>
        </w:tc>
        <w:tc>
          <w:tcPr>
            <w:tcW w:w="2294" w:type="dxa"/>
            <w:vAlign w:val="top"/>
          </w:tcPr>
          <w:p>
            <w:pPr>
              <w:pStyle w:val="2"/>
              <w:widowControl w:val="0"/>
              <w:ind w:firstLine="0" w:firstLineChars="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60000</w:t>
            </w:r>
          </w:p>
        </w:tc>
        <w:tc>
          <w:tcPr>
            <w:tcW w:w="2148" w:type="dxa"/>
            <w:vAlign w:val="top"/>
          </w:tcPr>
          <w:p>
            <w:pPr>
              <w:pStyle w:val="2"/>
              <w:widowControl w:val="0"/>
              <w:jc w:val="center"/>
              <w:rPr>
                <w:rFonts w:hint="eastAsia" w:cs="仿宋" w:asciiTheme="minorEastAsia" w:hAnsiTheme="minorEastAsia" w:eastAsiaTheme="minorEastAsia"/>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3"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3</w:t>
            </w:r>
          </w:p>
        </w:tc>
        <w:tc>
          <w:tcPr>
            <w:tcW w:w="2300" w:type="dxa"/>
            <w:vAlign w:val="center"/>
          </w:tcPr>
          <w:p>
            <w:pPr>
              <w:pStyle w:val="2"/>
              <w:widowControl w:val="0"/>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港内矿石（船-场）</w:t>
            </w:r>
          </w:p>
        </w:tc>
        <w:tc>
          <w:tcPr>
            <w:tcW w:w="2175" w:type="dxa"/>
            <w:vAlign w:val="center"/>
          </w:tcPr>
          <w:p>
            <w:pPr>
              <w:pStyle w:val="2"/>
              <w:widowControl w:val="0"/>
              <w:jc w:val="center"/>
              <w:rPr>
                <w:rFonts w:hint="eastAsia" w:cs="仿宋" w:asciiTheme="minorEastAsia" w:hAnsiTheme="minorEastAsia" w:eastAsiaTheme="minorEastAsia"/>
                <w:sz w:val="24"/>
                <w:vertAlign w:val="baseline"/>
                <w:lang w:eastAsia="zh-CN"/>
              </w:rPr>
            </w:pPr>
            <w:r>
              <w:rPr>
                <w:rFonts w:hint="eastAsia" w:cs="仿宋" w:asciiTheme="minorEastAsia" w:hAnsiTheme="minorEastAsia" w:eastAsiaTheme="minorEastAsia"/>
                <w:sz w:val="24"/>
                <w:vertAlign w:val="baseline"/>
                <w:lang w:val="en-US" w:eastAsia="zh-CN"/>
              </w:rPr>
              <w:t xml:space="preserve">       元每吨</w:t>
            </w:r>
          </w:p>
        </w:tc>
        <w:tc>
          <w:tcPr>
            <w:tcW w:w="2294"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60000</w:t>
            </w:r>
          </w:p>
        </w:tc>
        <w:tc>
          <w:tcPr>
            <w:tcW w:w="2148" w:type="dxa"/>
            <w:vAlign w:val="top"/>
          </w:tcPr>
          <w:p>
            <w:pPr>
              <w:pStyle w:val="2"/>
              <w:widowControl w:val="0"/>
              <w:jc w:val="center"/>
              <w:rPr>
                <w:rFonts w:hint="eastAsia" w:cs="仿宋" w:asciiTheme="minorEastAsia" w:hAnsiTheme="minorEastAsia" w:eastAsiaTheme="minorEastAsia"/>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3"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4</w:t>
            </w:r>
          </w:p>
        </w:tc>
        <w:tc>
          <w:tcPr>
            <w:tcW w:w="2300" w:type="dxa"/>
            <w:vAlign w:val="center"/>
          </w:tcPr>
          <w:p>
            <w:pPr>
              <w:pStyle w:val="2"/>
              <w:widowControl w:val="0"/>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场内煤炭（场-场）</w:t>
            </w:r>
          </w:p>
        </w:tc>
        <w:tc>
          <w:tcPr>
            <w:tcW w:w="2175" w:type="dxa"/>
            <w:vAlign w:val="center"/>
          </w:tcPr>
          <w:p>
            <w:pPr>
              <w:pStyle w:val="2"/>
              <w:widowControl w:val="0"/>
              <w:jc w:val="center"/>
              <w:rPr>
                <w:rFonts w:hint="eastAsia" w:cs="仿宋" w:asciiTheme="minorEastAsia" w:hAnsiTheme="minorEastAsia" w:eastAsiaTheme="minorEastAsia"/>
                <w:sz w:val="24"/>
                <w:vertAlign w:val="baseline"/>
                <w:lang w:eastAsia="zh-CN"/>
              </w:rPr>
            </w:pPr>
            <w:r>
              <w:rPr>
                <w:rFonts w:hint="eastAsia" w:cs="仿宋" w:asciiTheme="minorEastAsia" w:hAnsiTheme="minorEastAsia" w:eastAsiaTheme="minorEastAsia"/>
                <w:sz w:val="24"/>
                <w:vertAlign w:val="baseline"/>
                <w:lang w:val="en-US" w:eastAsia="zh-CN"/>
              </w:rPr>
              <w:t xml:space="preserve">       元每吨</w:t>
            </w:r>
          </w:p>
        </w:tc>
        <w:tc>
          <w:tcPr>
            <w:tcW w:w="2294"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25000</w:t>
            </w:r>
          </w:p>
        </w:tc>
        <w:tc>
          <w:tcPr>
            <w:tcW w:w="2148" w:type="dxa"/>
            <w:vAlign w:val="top"/>
          </w:tcPr>
          <w:p>
            <w:pPr>
              <w:pStyle w:val="2"/>
              <w:widowControl w:val="0"/>
              <w:jc w:val="center"/>
              <w:rPr>
                <w:rFonts w:hint="eastAsia" w:cs="仿宋" w:asciiTheme="minorEastAsia" w:hAnsiTheme="minorEastAsia" w:eastAsiaTheme="minorEastAsia"/>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33"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5</w:t>
            </w:r>
          </w:p>
        </w:tc>
        <w:tc>
          <w:tcPr>
            <w:tcW w:w="2300" w:type="dxa"/>
            <w:vAlign w:val="center"/>
          </w:tcPr>
          <w:p>
            <w:pPr>
              <w:pStyle w:val="2"/>
              <w:widowControl w:val="0"/>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场内煤炭（船-场）</w:t>
            </w:r>
          </w:p>
        </w:tc>
        <w:tc>
          <w:tcPr>
            <w:tcW w:w="2175" w:type="dxa"/>
            <w:vAlign w:val="center"/>
          </w:tcPr>
          <w:p>
            <w:pPr>
              <w:pStyle w:val="2"/>
              <w:widowControl w:val="0"/>
              <w:jc w:val="center"/>
              <w:rPr>
                <w:rFonts w:hint="eastAsia" w:cs="仿宋" w:asciiTheme="minorEastAsia" w:hAnsiTheme="minorEastAsia" w:eastAsiaTheme="minorEastAsia"/>
                <w:sz w:val="24"/>
                <w:vertAlign w:val="baseline"/>
                <w:lang w:eastAsia="zh-CN"/>
              </w:rPr>
            </w:pPr>
            <w:r>
              <w:rPr>
                <w:rFonts w:hint="eastAsia" w:cs="仿宋" w:asciiTheme="minorEastAsia" w:hAnsiTheme="minorEastAsia" w:eastAsiaTheme="minorEastAsia"/>
                <w:sz w:val="24"/>
                <w:vertAlign w:val="baseline"/>
                <w:lang w:val="en-US" w:eastAsia="zh-CN"/>
              </w:rPr>
              <w:t xml:space="preserve">       元每吨</w:t>
            </w:r>
          </w:p>
        </w:tc>
        <w:tc>
          <w:tcPr>
            <w:tcW w:w="2294" w:type="dxa"/>
            <w:vAlign w:val="top"/>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25000</w:t>
            </w:r>
          </w:p>
        </w:tc>
        <w:tc>
          <w:tcPr>
            <w:tcW w:w="2148" w:type="dxa"/>
            <w:vAlign w:val="top"/>
          </w:tcPr>
          <w:p>
            <w:pPr>
              <w:pStyle w:val="2"/>
              <w:widowControl w:val="0"/>
              <w:jc w:val="center"/>
              <w:rPr>
                <w:rFonts w:hint="eastAsia" w:cs="仿宋" w:asciiTheme="minorEastAsia" w:hAnsiTheme="minorEastAsia" w:eastAsiaTheme="minorEastAsia"/>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33"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6</w:t>
            </w:r>
          </w:p>
        </w:tc>
        <w:tc>
          <w:tcPr>
            <w:tcW w:w="2300" w:type="dxa"/>
            <w:vAlign w:val="center"/>
          </w:tcPr>
          <w:p>
            <w:pPr>
              <w:pStyle w:val="2"/>
              <w:widowControl w:val="0"/>
              <w:jc w:val="center"/>
              <w:rPr>
                <w:rFonts w:hint="default"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服务总价</w:t>
            </w:r>
          </w:p>
        </w:tc>
        <w:tc>
          <w:tcPr>
            <w:tcW w:w="2175" w:type="dxa"/>
            <w:vAlign w:val="center"/>
          </w:tcPr>
          <w:p>
            <w:pPr>
              <w:pStyle w:val="2"/>
              <w:widowControl w:val="0"/>
              <w:jc w:val="center"/>
              <w:rPr>
                <w:rFonts w:hint="default" w:cs="仿宋" w:asciiTheme="minorEastAsia" w:hAnsiTheme="minorEastAsia" w:eastAsiaTheme="minorEastAsia"/>
                <w:sz w:val="24"/>
                <w:vertAlign w:val="baseline"/>
                <w:lang w:val="en-US" w:eastAsia="zh-CN"/>
              </w:rPr>
            </w:pPr>
            <w:r>
              <w:rPr>
                <w:rFonts w:hint="eastAsia" w:cs="仿宋" w:asciiTheme="minorEastAsia" w:hAnsiTheme="minorEastAsia" w:eastAsiaTheme="minorEastAsia"/>
                <w:sz w:val="24"/>
                <w:vertAlign w:val="baseline"/>
                <w:lang w:val="en-US" w:eastAsia="zh-CN"/>
              </w:rPr>
              <w:t xml:space="preserve">    元</w:t>
            </w:r>
          </w:p>
        </w:tc>
        <w:tc>
          <w:tcPr>
            <w:tcW w:w="2294" w:type="dxa"/>
            <w:vAlign w:val="top"/>
          </w:tcPr>
          <w:p>
            <w:pPr>
              <w:pStyle w:val="2"/>
              <w:widowControl w:val="0"/>
              <w:jc w:val="center"/>
              <w:rPr>
                <w:rFonts w:hint="eastAsia" w:cs="仿宋" w:asciiTheme="minorEastAsia" w:hAnsiTheme="minorEastAsia" w:eastAsiaTheme="minorEastAsia"/>
                <w:sz w:val="24"/>
                <w:vertAlign w:val="baseline"/>
                <w:lang w:val="en-US" w:eastAsia="zh-CN"/>
              </w:rPr>
            </w:pPr>
          </w:p>
        </w:tc>
        <w:tc>
          <w:tcPr>
            <w:tcW w:w="2148" w:type="dxa"/>
            <w:vAlign w:val="top"/>
          </w:tcPr>
          <w:p>
            <w:pPr>
              <w:pStyle w:val="2"/>
              <w:widowControl w:val="0"/>
              <w:jc w:val="center"/>
              <w:rPr>
                <w:rFonts w:hint="eastAsia" w:cs="仿宋" w:asciiTheme="minorEastAsia" w:hAnsiTheme="minorEastAsia" w:eastAsiaTheme="minorEastAsia"/>
                <w:sz w:val="24"/>
                <w:vertAlign w:val="baseline"/>
                <w:lang w:eastAsia="zh-CN"/>
              </w:rPr>
            </w:pPr>
          </w:p>
        </w:tc>
      </w:tr>
    </w:tbl>
    <w:p>
      <w:pPr>
        <w:spacing w:line="360" w:lineRule="auto"/>
        <w:rPr>
          <w:rFonts w:hint="eastAsia"/>
          <w:kern w:val="0"/>
          <w:highlight w:val="none"/>
        </w:rPr>
      </w:pPr>
      <w:r>
        <w:rPr>
          <w:rFonts w:hint="eastAsia"/>
          <w:kern w:val="0"/>
          <w:highlight w:val="none"/>
        </w:rPr>
        <w:t xml:space="preserve">   </w:t>
      </w:r>
    </w:p>
    <w:p>
      <w:pPr>
        <w:spacing w:line="360" w:lineRule="auto"/>
        <w:ind w:firstLine="2310" w:firstLineChars="1100"/>
        <w:jc w:val="right"/>
        <w:rPr>
          <w:rFonts w:hint="eastAsia"/>
          <w:kern w:val="0"/>
          <w:szCs w:val="21"/>
          <w:highlight w:val="none"/>
        </w:rPr>
      </w:pPr>
      <w:r>
        <w:rPr>
          <w:rFonts w:hint="eastAsia"/>
          <w:kern w:val="0"/>
          <w:szCs w:val="21"/>
          <w:highlight w:val="none"/>
          <w:lang w:eastAsia="zh-CN"/>
        </w:rPr>
        <w:t>响应</w:t>
      </w:r>
      <w:r>
        <w:rPr>
          <w:rFonts w:hint="eastAsia"/>
          <w:kern w:val="0"/>
          <w:szCs w:val="21"/>
          <w:highlight w:val="none"/>
        </w:rPr>
        <w:t>人：</w:t>
      </w:r>
      <w:r>
        <w:rPr>
          <w:rFonts w:hint="eastAsia"/>
          <w:kern w:val="0"/>
          <w:szCs w:val="21"/>
          <w:highlight w:val="none"/>
          <w:u w:val="single"/>
        </w:rPr>
        <w:t xml:space="preserve">                           </w:t>
      </w:r>
      <w:r>
        <w:rPr>
          <w:rFonts w:hint="eastAsia"/>
          <w:kern w:val="0"/>
          <w:szCs w:val="21"/>
          <w:highlight w:val="none"/>
        </w:rPr>
        <w:t>（全称并盖章）</w:t>
      </w:r>
    </w:p>
    <w:p>
      <w:pPr>
        <w:spacing w:line="360" w:lineRule="auto"/>
        <w:ind w:firstLine="2310" w:firstLineChars="1100"/>
        <w:jc w:val="right"/>
        <w:rPr>
          <w:rFonts w:hint="eastAsia"/>
          <w:kern w:val="0"/>
          <w:szCs w:val="21"/>
          <w:highlight w:val="none"/>
        </w:rPr>
      </w:pPr>
      <w:r>
        <w:rPr>
          <w:rFonts w:hint="eastAsia"/>
          <w:kern w:val="0"/>
          <w:szCs w:val="21"/>
          <w:highlight w:val="none"/>
        </w:rPr>
        <w:t>法定代表人或其委托代理人：</w:t>
      </w:r>
      <w:r>
        <w:rPr>
          <w:rFonts w:hint="eastAsia"/>
          <w:kern w:val="0"/>
          <w:szCs w:val="21"/>
          <w:highlight w:val="none"/>
          <w:u w:val="single"/>
        </w:rPr>
        <w:t xml:space="preserve">                </w:t>
      </w:r>
      <w:r>
        <w:rPr>
          <w:rFonts w:hint="eastAsia"/>
          <w:kern w:val="0"/>
          <w:szCs w:val="21"/>
          <w:highlight w:val="none"/>
        </w:rPr>
        <w:t>（签字）</w:t>
      </w:r>
    </w:p>
    <w:p>
      <w:pPr>
        <w:spacing w:line="360" w:lineRule="auto"/>
        <w:ind w:firstLine="5040" w:firstLineChars="2400"/>
        <w:jc w:val="right"/>
        <w:rPr>
          <w:rFonts w:hint="eastAsia"/>
          <w:kern w:val="0"/>
          <w:szCs w:val="21"/>
          <w:highlight w:val="none"/>
        </w:rPr>
      </w:pPr>
      <w:r>
        <w:rPr>
          <w:rFonts w:hint="eastAsia"/>
          <w:kern w:val="0"/>
          <w:szCs w:val="21"/>
          <w:highlight w:val="none"/>
        </w:rPr>
        <w:t>日期：</w:t>
      </w:r>
      <w:r>
        <w:rPr>
          <w:rFonts w:hint="eastAsia"/>
          <w:kern w:val="0"/>
          <w:szCs w:val="21"/>
          <w:highlight w:val="none"/>
          <w:u w:val="single"/>
        </w:rPr>
        <w:t xml:space="preserve">   </w:t>
      </w:r>
      <w:r>
        <w:rPr>
          <w:rFonts w:hint="eastAsia"/>
          <w:kern w:val="0"/>
          <w:szCs w:val="21"/>
          <w:highlight w:val="none"/>
        </w:rPr>
        <w:t>年</w:t>
      </w:r>
      <w:r>
        <w:rPr>
          <w:rFonts w:hint="eastAsia"/>
          <w:kern w:val="0"/>
          <w:szCs w:val="21"/>
          <w:highlight w:val="none"/>
          <w:u w:val="single"/>
        </w:rPr>
        <w:t xml:space="preserve">   </w:t>
      </w:r>
      <w:r>
        <w:rPr>
          <w:rFonts w:hint="eastAsia"/>
          <w:kern w:val="0"/>
          <w:szCs w:val="21"/>
          <w:highlight w:val="none"/>
        </w:rPr>
        <w:t>月</w:t>
      </w:r>
      <w:r>
        <w:rPr>
          <w:rFonts w:hint="eastAsia"/>
          <w:kern w:val="0"/>
          <w:szCs w:val="21"/>
          <w:highlight w:val="none"/>
          <w:u w:val="single"/>
        </w:rPr>
        <w:t xml:space="preserve">   </w:t>
      </w:r>
      <w:r>
        <w:rPr>
          <w:rFonts w:hint="eastAsia"/>
          <w:kern w:val="0"/>
          <w:szCs w:val="21"/>
          <w:highlight w:val="none"/>
        </w:rPr>
        <w:t>日</w:t>
      </w:r>
    </w:p>
    <w:p>
      <w:pPr>
        <w:pStyle w:val="8"/>
        <w:jc w:val="right"/>
        <w:outlineLvl w:val="9"/>
        <w:rPr>
          <w:highlight w:val="none"/>
        </w:rPr>
      </w:pPr>
      <w:r>
        <w:rPr>
          <w:b/>
          <w:kern w:val="0"/>
          <w:szCs w:val="21"/>
          <w:highlight w:val="none"/>
        </w:rPr>
        <w:br w:type="page"/>
      </w:r>
    </w:p>
    <w:p>
      <w:pPr>
        <w:spacing w:line="240" w:lineRule="auto"/>
        <w:jc w:val="center"/>
        <w:rPr>
          <w:rFonts w:ascii="黑体" w:hAnsi="黑体" w:eastAsia="黑体" w:cs="仿宋"/>
          <w:sz w:val="36"/>
          <w:szCs w:val="36"/>
          <w:highlight w:val="none"/>
        </w:rPr>
      </w:pPr>
      <w:r>
        <w:rPr>
          <w:rFonts w:hint="eastAsia" w:ascii="黑体" w:hAnsi="黑体" w:eastAsia="黑体" w:cs="仿宋"/>
          <w:sz w:val="36"/>
          <w:szCs w:val="36"/>
          <w:highlight w:val="none"/>
        </w:rPr>
        <w:t>五、资格审查资料</w:t>
      </w:r>
    </w:p>
    <w:p>
      <w:pPr>
        <w:spacing w:line="600" w:lineRule="exact"/>
        <w:jc w:val="center"/>
        <w:rPr>
          <w:rFonts w:ascii="黑体" w:hAnsi="黑体" w:eastAsia="黑体" w:cs="仿宋"/>
          <w:sz w:val="36"/>
          <w:szCs w:val="36"/>
          <w:highlight w:val="none"/>
        </w:rPr>
      </w:pP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（一）基本情况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（二）近年财务状况</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（三）近年的类似项目情况表</w:t>
      </w:r>
    </w:p>
    <w:tbl>
      <w:tblPr>
        <w:tblStyle w:val="4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服务内容</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委托人/发包人名称</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委托人/发包人联系人及电话</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合同价格</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服务是否完成</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项目负责人（如有）</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项目概况及供应商履约情况</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备注</w:t>
            </w: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c>
          <w:tcPr>
            <w:tcW w:w="1971" w:type="dxa"/>
          </w:tcPr>
          <w:p>
            <w:pPr>
              <w:widowControl/>
              <w:spacing w:line="288" w:lineRule="auto"/>
              <w:jc w:val="both"/>
              <w:rPr>
                <w:rFonts w:cs="仿宋" w:asciiTheme="minorEastAsia" w:hAnsiTheme="minorEastAsia" w:eastAsiaTheme="minorEastAsia"/>
                <w:sz w:val="24"/>
                <w:highlight w:val="none"/>
              </w:rPr>
            </w:pPr>
          </w:p>
        </w:tc>
      </w:tr>
    </w:tbl>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highlight w:val="none"/>
        </w:rPr>
      </w:pPr>
    </w:p>
    <w:p>
      <w:pPr>
        <w:adjustRightInd w:val="0"/>
        <w:snapToGrid w:val="0"/>
        <w:spacing w:line="312" w:lineRule="auto"/>
        <w:jc w:val="center"/>
        <w:rPr>
          <w:rFonts w:hint="eastAsia" w:cs="仿宋" w:asciiTheme="minorEastAsia" w:hAnsiTheme="minorEastAsia" w:eastAsiaTheme="minorEastAsia"/>
          <w:sz w:val="24"/>
          <w:highlight w:val="none"/>
        </w:rPr>
      </w:pPr>
    </w:p>
    <w:p>
      <w:pPr>
        <w:adjustRightInd w:val="0"/>
        <w:snapToGrid w:val="0"/>
        <w:spacing w:line="312" w:lineRule="auto"/>
        <w:jc w:val="center"/>
        <w:rPr>
          <w:rFonts w:ascii="宋体" w:hAnsi="宋体" w:eastAsia="宋体"/>
          <w:b/>
          <w:color w:val="000000"/>
          <w:sz w:val="24"/>
          <w:szCs w:val="24"/>
          <w:highlight w:val="none"/>
        </w:rPr>
      </w:pPr>
      <w:r>
        <w:rPr>
          <w:rFonts w:hint="eastAsia" w:cs="仿宋" w:asciiTheme="minorEastAsia" w:hAnsiTheme="minorEastAsia" w:eastAsiaTheme="minorEastAsia"/>
          <w:sz w:val="24"/>
          <w:highlight w:val="none"/>
        </w:rPr>
        <w:t>（四）</w:t>
      </w:r>
      <w:r>
        <w:rPr>
          <w:rFonts w:hint="eastAsia" w:ascii="宋体" w:hAnsi="宋体"/>
          <w:b/>
          <w:bCs/>
          <w:color w:val="000000"/>
          <w:sz w:val="24"/>
          <w:szCs w:val="24"/>
          <w:highlight w:val="none"/>
          <w:lang w:val="en-US" w:eastAsia="zh-CN"/>
        </w:rPr>
        <w:t>项目负责人、驾驶</w:t>
      </w:r>
      <w:r>
        <w:rPr>
          <w:rFonts w:hint="eastAsia" w:ascii="宋体" w:hAnsi="宋体" w:eastAsia="宋体"/>
          <w:b/>
          <w:bCs/>
          <w:color w:val="000000"/>
          <w:sz w:val="24"/>
          <w:szCs w:val="24"/>
          <w:highlight w:val="none"/>
          <w:lang w:val="en-US" w:eastAsia="zh-CN"/>
        </w:rPr>
        <w:t>人员</w:t>
      </w:r>
      <w:r>
        <w:rPr>
          <w:rFonts w:ascii="宋体" w:hAnsi="宋体" w:eastAsia="宋体"/>
          <w:b/>
          <w:color w:val="000000"/>
          <w:sz w:val="24"/>
          <w:szCs w:val="24"/>
          <w:highlight w:val="none"/>
        </w:rPr>
        <w:t xml:space="preserve">汇总表 </w:t>
      </w:r>
    </w:p>
    <w:tbl>
      <w:tblPr>
        <w:tblStyle w:val="41"/>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0" w:type="dxa"/>
          <w:bottom w:w="46" w:type="dxa"/>
          <w:right w:w="60" w:type="dxa"/>
        </w:tblCellMar>
      </w:tblPr>
      <w:tblGrid>
        <w:gridCol w:w="767"/>
        <w:gridCol w:w="1378"/>
        <w:gridCol w:w="1265"/>
        <w:gridCol w:w="2138"/>
        <w:gridCol w:w="1635"/>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58" w:hRule="atLeast"/>
          <w:jc w:val="center"/>
        </w:trPr>
        <w:tc>
          <w:tcPr>
            <w:tcW w:w="767" w:type="dxa"/>
            <w:noWrap w:val="0"/>
            <w:vAlign w:val="center"/>
          </w:tcPr>
          <w:p>
            <w:pPr>
              <w:adjustRightInd w:val="0"/>
              <w:snapToGrid w:val="0"/>
              <w:spacing w:after="0" w:line="288" w:lineRule="auto"/>
              <w:jc w:val="center"/>
              <w:rPr>
                <w:rFonts w:ascii="宋体" w:hAnsi="宋体" w:eastAsia="宋体" w:cs="Calibri"/>
                <w:color w:val="000000"/>
                <w:kern w:val="2"/>
                <w:sz w:val="21"/>
                <w:szCs w:val="21"/>
                <w:highlight w:val="none"/>
                <w:lang w:val="en-US" w:eastAsia="zh-CN" w:bidi="ar-SA"/>
              </w:rPr>
            </w:pPr>
            <w:r>
              <w:rPr>
                <w:rFonts w:ascii="宋体" w:hAnsi="宋体" w:eastAsia="宋体"/>
                <w:color w:val="000000"/>
                <w:sz w:val="21"/>
                <w:szCs w:val="21"/>
                <w:highlight w:val="none"/>
              </w:rPr>
              <w:t>序号</w:t>
            </w:r>
          </w:p>
        </w:tc>
        <w:tc>
          <w:tcPr>
            <w:tcW w:w="1378" w:type="dxa"/>
            <w:noWrap w:val="0"/>
            <w:vAlign w:val="center"/>
          </w:tcPr>
          <w:p>
            <w:pPr>
              <w:adjustRightInd w:val="0"/>
              <w:snapToGrid w:val="0"/>
              <w:spacing w:after="0" w:line="288" w:lineRule="auto"/>
              <w:jc w:val="center"/>
              <w:rPr>
                <w:rFonts w:ascii="宋体" w:hAnsi="宋体" w:eastAsia="宋体" w:cs="Calibri"/>
                <w:color w:val="000000"/>
                <w:kern w:val="2"/>
                <w:sz w:val="21"/>
                <w:szCs w:val="21"/>
                <w:highlight w:val="none"/>
                <w:lang w:val="en-US" w:eastAsia="zh-CN" w:bidi="ar-SA"/>
              </w:rPr>
            </w:pPr>
            <w:r>
              <w:rPr>
                <w:rFonts w:ascii="宋体" w:hAnsi="宋体" w:eastAsia="宋体"/>
                <w:color w:val="000000"/>
                <w:sz w:val="21"/>
                <w:szCs w:val="21"/>
                <w:highlight w:val="none"/>
              </w:rPr>
              <w:t>本项目任职</w:t>
            </w:r>
          </w:p>
        </w:tc>
        <w:tc>
          <w:tcPr>
            <w:tcW w:w="1265" w:type="dxa"/>
            <w:noWrap w:val="0"/>
            <w:vAlign w:val="center"/>
          </w:tcPr>
          <w:p>
            <w:pPr>
              <w:adjustRightInd w:val="0"/>
              <w:snapToGrid w:val="0"/>
              <w:spacing w:after="0" w:line="288" w:lineRule="auto"/>
              <w:jc w:val="center"/>
              <w:rPr>
                <w:rFonts w:ascii="宋体" w:hAnsi="宋体" w:eastAsia="宋体" w:cs="Calibri"/>
                <w:color w:val="000000"/>
                <w:kern w:val="2"/>
                <w:sz w:val="21"/>
                <w:szCs w:val="21"/>
                <w:highlight w:val="none"/>
                <w:lang w:val="en-US" w:eastAsia="zh-CN" w:bidi="ar-SA"/>
              </w:rPr>
            </w:pPr>
            <w:r>
              <w:rPr>
                <w:rFonts w:ascii="宋体" w:hAnsi="宋体" w:eastAsia="宋体"/>
                <w:color w:val="000000"/>
                <w:sz w:val="21"/>
                <w:szCs w:val="21"/>
                <w:highlight w:val="none"/>
              </w:rPr>
              <w:t>姓名</w:t>
            </w:r>
          </w:p>
        </w:tc>
        <w:tc>
          <w:tcPr>
            <w:tcW w:w="2138" w:type="dxa"/>
            <w:noWrap w:val="0"/>
            <w:vAlign w:val="center"/>
          </w:tcPr>
          <w:p>
            <w:pPr>
              <w:adjustRightInd w:val="0"/>
              <w:snapToGrid w:val="0"/>
              <w:spacing w:after="0" w:line="288" w:lineRule="auto"/>
              <w:jc w:val="center"/>
              <w:rPr>
                <w:rFonts w:hint="eastAsia" w:ascii="宋体" w:hAnsi="宋体" w:eastAsia="宋体" w:cs="Calibri"/>
                <w:color w:val="000000"/>
                <w:kern w:val="2"/>
                <w:sz w:val="21"/>
                <w:szCs w:val="21"/>
                <w:highlight w:val="none"/>
                <w:lang w:val="en-US" w:eastAsia="zh-CN" w:bidi="ar-SA"/>
              </w:rPr>
            </w:pPr>
            <w:r>
              <w:rPr>
                <w:rFonts w:hint="eastAsia" w:ascii="宋体" w:hAnsi="宋体" w:eastAsia="宋体"/>
                <w:color w:val="000000"/>
                <w:sz w:val="21"/>
                <w:szCs w:val="21"/>
                <w:highlight w:val="none"/>
                <w:lang w:val="en-US" w:eastAsia="zh-CN"/>
              </w:rPr>
              <w:t>身份证号码</w:t>
            </w:r>
          </w:p>
        </w:tc>
        <w:tc>
          <w:tcPr>
            <w:tcW w:w="1635" w:type="dxa"/>
            <w:noWrap w:val="0"/>
            <w:vAlign w:val="center"/>
          </w:tcPr>
          <w:p>
            <w:pPr>
              <w:adjustRightInd w:val="0"/>
              <w:snapToGrid w:val="0"/>
              <w:spacing w:after="0" w:line="288" w:lineRule="auto"/>
              <w:jc w:val="center"/>
              <w:rPr>
                <w:rFonts w:hint="eastAsia" w:ascii="宋体" w:hAnsi="宋体" w:eastAsia="宋体" w:cs="Calibri"/>
                <w:color w:val="000000"/>
                <w:kern w:val="2"/>
                <w:sz w:val="21"/>
                <w:szCs w:val="21"/>
                <w:highlight w:val="none"/>
                <w:lang w:val="en-US" w:eastAsia="zh-CN" w:bidi="ar-SA"/>
              </w:rPr>
            </w:pPr>
            <w:r>
              <w:rPr>
                <w:rFonts w:hint="eastAsia" w:ascii="宋体" w:hAnsi="宋体" w:eastAsia="宋体"/>
                <w:color w:val="000000"/>
                <w:sz w:val="21"/>
                <w:szCs w:val="21"/>
                <w:highlight w:val="none"/>
                <w:lang w:val="en-US" w:eastAsia="zh-CN"/>
              </w:rPr>
              <w:t>资格</w:t>
            </w:r>
            <w:r>
              <w:rPr>
                <w:rFonts w:ascii="宋体" w:hAnsi="宋体" w:eastAsia="宋体"/>
                <w:color w:val="000000"/>
                <w:sz w:val="21"/>
                <w:szCs w:val="21"/>
                <w:highlight w:val="none"/>
              </w:rPr>
              <w:t>证书名称</w:t>
            </w:r>
          </w:p>
        </w:tc>
        <w:tc>
          <w:tcPr>
            <w:tcW w:w="714"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r>
              <w:rPr>
                <w:rFonts w:ascii="宋体" w:hAnsi="宋体" w:eastAsia="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56" w:hRule="atLeast"/>
          <w:jc w:val="center"/>
        </w:trPr>
        <w:tc>
          <w:tcPr>
            <w:tcW w:w="767"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c>
          <w:tcPr>
            <w:tcW w:w="1378" w:type="dxa"/>
            <w:noWrap w:val="0"/>
            <w:vAlign w:val="center"/>
          </w:tcPr>
          <w:p>
            <w:pPr>
              <w:adjustRightInd w:val="0"/>
              <w:snapToGrid w:val="0"/>
              <w:spacing w:line="312" w:lineRule="auto"/>
              <w:ind w:right="1"/>
              <w:jc w:val="center"/>
              <w:rPr>
                <w:rFonts w:ascii="宋体" w:hAnsi="宋体" w:eastAsia="宋体"/>
                <w:color w:val="000000"/>
                <w:sz w:val="21"/>
                <w:szCs w:val="21"/>
                <w:highlight w:val="none"/>
              </w:rPr>
            </w:pPr>
          </w:p>
        </w:tc>
        <w:tc>
          <w:tcPr>
            <w:tcW w:w="1265"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2138" w:type="dxa"/>
            <w:noWrap w:val="0"/>
            <w:vAlign w:val="center"/>
          </w:tcPr>
          <w:p>
            <w:pPr>
              <w:adjustRightInd w:val="0"/>
              <w:snapToGrid w:val="0"/>
              <w:spacing w:line="312" w:lineRule="auto"/>
              <w:ind w:left="3"/>
              <w:jc w:val="center"/>
              <w:rPr>
                <w:rFonts w:ascii="宋体" w:hAnsi="宋体" w:eastAsia="宋体"/>
                <w:color w:val="000000"/>
                <w:sz w:val="21"/>
                <w:szCs w:val="21"/>
                <w:highlight w:val="none"/>
              </w:rPr>
            </w:pPr>
          </w:p>
        </w:tc>
        <w:tc>
          <w:tcPr>
            <w:tcW w:w="1635"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714"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59" w:hRule="atLeast"/>
          <w:jc w:val="center"/>
        </w:trPr>
        <w:tc>
          <w:tcPr>
            <w:tcW w:w="767"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c>
          <w:tcPr>
            <w:tcW w:w="1378" w:type="dxa"/>
            <w:noWrap w:val="0"/>
            <w:vAlign w:val="center"/>
          </w:tcPr>
          <w:p>
            <w:pPr>
              <w:adjustRightInd w:val="0"/>
              <w:snapToGrid w:val="0"/>
              <w:spacing w:line="312" w:lineRule="auto"/>
              <w:ind w:right="1"/>
              <w:jc w:val="center"/>
              <w:rPr>
                <w:rFonts w:ascii="宋体" w:hAnsi="宋体" w:eastAsia="宋体"/>
                <w:color w:val="000000"/>
                <w:sz w:val="21"/>
                <w:szCs w:val="21"/>
                <w:highlight w:val="none"/>
              </w:rPr>
            </w:pPr>
          </w:p>
        </w:tc>
        <w:tc>
          <w:tcPr>
            <w:tcW w:w="1265"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2138" w:type="dxa"/>
            <w:noWrap w:val="0"/>
            <w:vAlign w:val="center"/>
          </w:tcPr>
          <w:p>
            <w:pPr>
              <w:adjustRightInd w:val="0"/>
              <w:snapToGrid w:val="0"/>
              <w:spacing w:line="312" w:lineRule="auto"/>
              <w:ind w:left="3"/>
              <w:jc w:val="center"/>
              <w:rPr>
                <w:rFonts w:ascii="宋体" w:hAnsi="宋体" w:eastAsia="宋体"/>
                <w:color w:val="000000"/>
                <w:sz w:val="21"/>
                <w:szCs w:val="21"/>
                <w:highlight w:val="none"/>
              </w:rPr>
            </w:pPr>
          </w:p>
        </w:tc>
        <w:tc>
          <w:tcPr>
            <w:tcW w:w="1635"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714"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58" w:hRule="atLeast"/>
          <w:jc w:val="center"/>
        </w:trPr>
        <w:tc>
          <w:tcPr>
            <w:tcW w:w="767"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78"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5"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38"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5"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4"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56" w:hRule="atLeast"/>
          <w:jc w:val="center"/>
        </w:trPr>
        <w:tc>
          <w:tcPr>
            <w:tcW w:w="767"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78"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5"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38"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5"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4"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59" w:hRule="atLeast"/>
          <w:jc w:val="center"/>
        </w:trPr>
        <w:tc>
          <w:tcPr>
            <w:tcW w:w="767"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78"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5"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38"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5"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4"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567" w:hRule="atLeast"/>
          <w:jc w:val="center"/>
        </w:trPr>
        <w:tc>
          <w:tcPr>
            <w:tcW w:w="767"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78"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5"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38"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5"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4"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bl>
    <w:p>
      <w:pPr>
        <w:adjustRightInd w:val="0"/>
        <w:snapToGrid w:val="0"/>
        <w:spacing w:line="312" w:lineRule="auto"/>
        <w:ind w:left="10" w:right="103" w:hanging="10"/>
        <w:rPr>
          <w:rFonts w:hint="eastAsia" w:ascii="宋体" w:hAnsi="宋体"/>
          <w:color w:val="000000"/>
          <w:sz w:val="21"/>
          <w:szCs w:val="21"/>
          <w:highlight w:val="none"/>
        </w:rPr>
      </w:pP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响应</w:t>
      </w:r>
      <w:r>
        <w:rPr>
          <w:rFonts w:hint="eastAsia" w:ascii="宋体" w:hAnsi="宋体"/>
          <w:color w:val="000000"/>
          <w:sz w:val="21"/>
          <w:szCs w:val="21"/>
          <w:highlight w:val="none"/>
        </w:rPr>
        <w:t>人应根据</w:t>
      </w:r>
      <w:r>
        <w:rPr>
          <w:rFonts w:hint="eastAsia" w:ascii="宋体" w:hAnsi="宋体"/>
          <w:color w:val="000000"/>
          <w:sz w:val="21"/>
          <w:szCs w:val="21"/>
          <w:highlight w:val="none"/>
          <w:lang w:eastAsia="zh-CN"/>
        </w:rPr>
        <w:t>响应</w:t>
      </w:r>
      <w:r>
        <w:rPr>
          <w:rFonts w:hint="eastAsia" w:ascii="宋体" w:hAnsi="宋体"/>
          <w:color w:val="000000"/>
          <w:sz w:val="21"/>
          <w:szCs w:val="21"/>
          <w:highlight w:val="none"/>
        </w:rPr>
        <w:t>人须知第 3.5.</w:t>
      </w:r>
      <w:r>
        <w:rPr>
          <w:rFonts w:hint="eastAsia" w:ascii="宋体" w:hAnsi="宋体" w:eastAsia="宋体"/>
          <w:color w:val="000000"/>
          <w:sz w:val="21"/>
          <w:szCs w:val="21"/>
          <w:highlight w:val="none"/>
          <w:lang w:val="en-US" w:eastAsia="zh-CN"/>
        </w:rPr>
        <w:t>6</w:t>
      </w:r>
      <w:r>
        <w:rPr>
          <w:rFonts w:hint="eastAsia" w:ascii="宋体" w:hAnsi="宋体"/>
          <w:color w:val="000000"/>
          <w:sz w:val="21"/>
          <w:szCs w:val="21"/>
          <w:highlight w:val="none"/>
        </w:rPr>
        <w:t xml:space="preserve"> 项的要求在本表后附相关证明材料。 </w:t>
      </w:r>
    </w:p>
    <w:p>
      <w:pPr>
        <w:spacing w:line="600" w:lineRule="exact"/>
        <w:jc w:val="both"/>
        <w:rPr>
          <w:rFonts w:hint="eastAsia" w:ascii="宋体" w:hAnsi="宋体" w:eastAsia="宋体" w:cs="宋体"/>
          <w:bCs w:val="0"/>
          <w:color w:val="auto"/>
          <w:sz w:val="24"/>
          <w:szCs w:val="24"/>
        </w:rPr>
      </w:pPr>
      <w:r>
        <w:rPr>
          <w:rFonts w:hint="eastAsia" w:ascii="宋体" w:hAnsi="宋体" w:eastAsia="宋体" w:cs="宋体"/>
          <w:color w:val="auto"/>
          <w:sz w:val="24"/>
          <w:szCs w:val="24"/>
        </w:rPr>
        <w:t>拟任项目负责人有3年或以上商品车</w:t>
      </w:r>
      <w:r>
        <w:rPr>
          <w:rFonts w:hint="eastAsia" w:ascii="宋体" w:hAnsi="宋体" w:cs="宋体"/>
          <w:color w:val="auto"/>
          <w:sz w:val="24"/>
          <w:szCs w:val="24"/>
          <w:lang w:val="en-US" w:eastAsia="zh-CN"/>
        </w:rPr>
        <w:t>滚装</w:t>
      </w:r>
      <w:r>
        <w:rPr>
          <w:rFonts w:hint="eastAsia" w:ascii="宋体" w:hAnsi="宋体" w:eastAsia="宋体" w:cs="宋体"/>
          <w:color w:val="auto"/>
          <w:sz w:val="24"/>
          <w:szCs w:val="24"/>
        </w:rPr>
        <w:t>整车服务管理经验，提供项目负责人履历</w:t>
      </w:r>
      <w:r>
        <w:rPr>
          <w:rFonts w:hint="eastAsia" w:ascii="宋体" w:hAnsi="宋体" w:cs="宋体"/>
          <w:color w:val="auto"/>
          <w:sz w:val="24"/>
          <w:szCs w:val="24"/>
          <w:lang w:val="en-US" w:eastAsia="zh-CN"/>
        </w:rPr>
        <w:t>介绍</w:t>
      </w:r>
      <w:r>
        <w:rPr>
          <w:rFonts w:hint="eastAsia" w:ascii="宋体" w:hAnsi="宋体" w:eastAsia="宋体" w:cs="宋体"/>
          <w:color w:val="auto"/>
          <w:sz w:val="24"/>
          <w:szCs w:val="24"/>
        </w:rPr>
        <w:t>。其他主要</w:t>
      </w:r>
      <w:r>
        <w:rPr>
          <w:rFonts w:hint="eastAsia" w:ascii="宋体" w:hAnsi="宋体" w:eastAsia="宋体" w:cs="宋体"/>
          <w:color w:val="auto"/>
          <w:sz w:val="24"/>
          <w:szCs w:val="24"/>
          <w:lang w:val="en-US" w:eastAsia="zh-CN"/>
        </w:rPr>
        <w:t>驾驶</w:t>
      </w:r>
      <w:r>
        <w:rPr>
          <w:rFonts w:hint="eastAsia" w:ascii="宋体" w:hAnsi="宋体" w:eastAsia="宋体" w:cs="宋体"/>
          <w:color w:val="auto"/>
          <w:sz w:val="24"/>
          <w:szCs w:val="24"/>
        </w:rPr>
        <w:t>人员</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人须</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rPr>
        <w:t>C1或以上驾驶证</w:t>
      </w:r>
      <w:r>
        <w:rPr>
          <w:rFonts w:hint="eastAsia" w:ascii="宋体" w:hAnsi="宋体" w:eastAsia="Calibri" w:cs="Calibri"/>
          <w:b w:val="0"/>
          <w:bCs w:val="0"/>
          <w:color w:val="000000"/>
          <w:sz w:val="21"/>
          <w:szCs w:val="21"/>
          <w:highlight w:val="none"/>
          <w:u w:val="none"/>
          <w:lang w:eastAsia="zh-CN"/>
        </w:rPr>
        <w:t>。</w:t>
      </w:r>
      <w:r>
        <w:rPr>
          <w:rFonts w:hint="eastAsia" w:ascii="宋体" w:hAnsi="宋体" w:eastAsia="宋体" w:cs="宋体"/>
          <w:bCs w:val="0"/>
          <w:color w:val="auto"/>
          <w:sz w:val="24"/>
          <w:szCs w:val="24"/>
        </w:rPr>
        <w:t>提供</w:t>
      </w:r>
      <w:r>
        <w:rPr>
          <w:rFonts w:hint="eastAsia" w:ascii="宋体" w:hAnsi="宋体" w:eastAsia="宋体" w:cs="宋体"/>
          <w:bCs w:val="0"/>
          <w:color w:val="auto"/>
          <w:sz w:val="24"/>
          <w:szCs w:val="24"/>
          <w:lang w:val="en-US" w:eastAsia="zh-CN"/>
        </w:rPr>
        <w:t>项目负责人和</w:t>
      </w:r>
      <w:r>
        <w:rPr>
          <w:rFonts w:hint="eastAsia" w:ascii="宋体" w:hAnsi="宋体" w:eastAsia="宋体" w:cs="宋体"/>
          <w:bCs w:val="0"/>
          <w:color w:val="auto"/>
          <w:sz w:val="24"/>
          <w:szCs w:val="24"/>
        </w:rPr>
        <w:t>驾驶人员驾驶证复印件。</w:t>
      </w:r>
    </w:p>
    <w:p>
      <w:pPr>
        <w:pStyle w:val="3"/>
        <w:rPr>
          <w:rFonts w:hint="eastAsia" w:ascii="宋体" w:hAnsi="宋体" w:eastAsia="宋体" w:cs="宋体"/>
          <w:bCs w:val="0"/>
          <w:color w:val="auto"/>
          <w:sz w:val="24"/>
          <w:szCs w:val="24"/>
          <w:lang w:eastAsia="zh-CN"/>
        </w:rPr>
      </w:pPr>
    </w:p>
    <w:p>
      <w:pPr>
        <w:pStyle w:val="4"/>
        <w:numPr>
          <w:ilvl w:val="0"/>
          <w:numId w:val="11"/>
        </w:numPr>
        <w:spacing w:before="0" w:after="0" w:line="380" w:lineRule="atLeast"/>
        <w:ind w:left="0" w:leftChars="0" w:firstLine="480" w:firstLineChars="200"/>
        <w:jc w:val="center"/>
        <w:rPr>
          <w:rFonts w:hint="eastAsia" w:asciiTheme="minorEastAsia" w:hAnsiTheme="minorEastAsia" w:eastAsiaTheme="minorEastAsia"/>
          <w:b w:val="0"/>
          <w:sz w:val="24"/>
          <w:szCs w:val="24"/>
          <w:highlight w:val="none"/>
          <w:lang w:val="en-US" w:eastAsia="zh-CN"/>
        </w:rPr>
      </w:pPr>
      <w:r>
        <w:rPr>
          <w:rFonts w:hint="eastAsia" w:asciiTheme="minorEastAsia" w:hAnsiTheme="minorEastAsia" w:eastAsiaTheme="minorEastAsia"/>
          <w:b w:val="0"/>
          <w:sz w:val="24"/>
          <w:szCs w:val="24"/>
          <w:highlight w:val="none"/>
          <w:lang w:val="en-US" w:eastAsia="zh-CN"/>
        </w:rPr>
        <w:t>服务车辆汇总表</w:t>
      </w:r>
    </w:p>
    <w:tbl>
      <w:tblPr>
        <w:tblStyle w:val="41"/>
        <w:tblW w:w="7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0" w:type="dxa"/>
          <w:bottom w:w="46" w:type="dxa"/>
          <w:right w:w="60" w:type="dxa"/>
        </w:tblCellMar>
      </w:tblPr>
      <w:tblGrid>
        <w:gridCol w:w="768"/>
        <w:gridCol w:w="1380"/>
        <w:gridCol w:w="1266"/>
        <w:gridCol w:w="2140"/>
        <w:gridCol w:w="1637"/>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768" w:type="dxa"/>
            <w:noWrap w:val="0"/>
            <w:vAlign w:val="center"/>
          </w:tcPr>
          <w:p>
            <w:pPr>
              <w:adjustRightInd w:val="0"/>
              <w:snapToGrid w:val="0"/>
              <w:spacing w:after="0" w:line="288" w:lineRule="auto"/>
              <w:jc w:val="center"/>
              <w:rPr>
                <w:rFonts w:ascii="宋体" w:hAnsi="宋体" w:eastAsia="宋体" w:cs="Calibri"/>
                <w:color w:val="000000"/>
                <w:kern w:val="2"/>
                <w:sz w:val="21"/>
                <w:szCs w:val="21"/>
                <w:highlight w:val="none"/>
                <w:lang w:val="en-US" w:eastAsia="zh-CN" w:bidi="ar-SA"/>
              </w:rPr>
            </w:pPr>
            <w:r>
              <w:rPr>
                <w:rFonts w:ascii="宋体" w:hAnsi="宋体" w:eastAsia="宋体"/>
                <w:color w:val="000000"/>
                <w:sz w:val="21"/>
                <w:szCs w:val="21"/>
                <w:highlight w:val="none"/>
              </w:rPr>
              <w:t>序号</w:t>
            </w:r>
          </w:p>
        </w:tc>
        <w:tc>
          <w:tcPr>
            <w:tcW w:w="1380" w:type="dxa"/>
            <w:noWrap w:val="0"/>
            <w:vAlign w:val="center"/>
          </w:tcPr>
          <w:p>
            <w:pPr>
              <w:adjustRightInd w:val="0"/>
              <w:snapToGrid w:val="0"/>
              <w:spacing w:after="0" w:line="288" w:lineRule="auto"/>
              <w:jc w:val="center"/>
              <w:rPr>
                <w:rFonts w:hint="default" w:ascii="宋体" w:hAnsi="宋体" w:eastAsia="宋体" w:cs="Calibri"/>
                <w:color w:val="000000"/>
                <w:kern w:val="2"/>
                <w:sz w:val="21"/>
                <w:szCs w:val="21"/>
                <w:highlight w:val="none"/>
                <w:lang w:val="en-US" w:eastAsia="zh-CN" w:bidi="ar-SA"/>
              </w:rPr>
            </w:pPr>
            <w:r>
              <w:rPr>
                <w:rFonts w:hint="eastAsia" w:ascii="宋体" w:hAnsi="宋体" w:eastAsia="宋体" w:cs="Calibri"/>
                <w:color w:val="000000"/>
                <w:kern w:val="2"/>
                <w:sz w:val="21"/>
                <w:szCs w:val="21"/>
                <w:highlight w:val="none"/>
                <w:lang w:val="en-US" w:eastAsia="zh-CN" w:bidi="ar-SA"/>
              </w:rPr>
              <w:t>车辆类型</w:t>
            </w:r>
          </w:p>
        </w:tc>
        <w:tc>
          <w:tcPr>
            <w:tcW w:w="1266" w:type="dxa"/>
            <w:noWrap w:val="0"/>
            <w:vAlign w:val="center"/>
          </w:tcPr>
          <w:p>
            <w:pPr>
              <w:adjustRightInd w:val="0"/>
              <w:snapToGrid w:val="0"/>
              <w:spacing w:after="0" w:line="288" w:lineRule="auto"/>
              <w:jc w:val="center"/>
              <w:rPr>
                <w:rFonts w:hint="default" w:ascii="宋体" w:hAnsi="宋体" w:eastAsia="宋体" w:cs="Calibri"/>
                <w:color w:val="000000"/>
                <w:kern w:val="2"/>
                <w:sz w:val="21"/>
                <w:szCs w:val="21"/>
                <w:highlight w:val="none"/>
                <w:lang w:val="en-US" w:eastAsia="zh-CN" w:bidi="ar-SA"/>
              </w:rPr>
            </w:pPr>
            <w:r>
              <w:rPr>
                <w:rFonts w:hint="eastAsia" w:ascii="宋体" w:hAnsi="宋体" w:eastAsia="宋体" w:cs="Calibri"/>
                <w:color w:val="000000"/>
                <w:kern w:val="2"/>
                <w:sz w:val="21"/>
                <w:szCs w:val="21"/>
                <w:highlight w:val="none"/>
                <w:lang w:val="en-US" w:eastAsia="zh-CN" w:bidi="ar-SA"/>
              </w:rPr>
              <w:t>自有/租赁</w:t>
            </w:r>
          </w:p>
        </w:tc>
        <w:tc>
          <w:tcPr>
            <w:tcW w:w="2140" w:type="dxa"/>
            <w:noWrap w:val="0"/>
            <w:vAlign w:val="center"/>
          </w:tcPr>
          <w:p>
            <w:pPr>
              <w:adjustRightInd w:val="0"/>
              <w:snapToGrid w:val="0"/>
              <w:spacing w:after="0" w:line="288" w:lineRule="auto"/>
              <w:jc w:val="center"/>
              <w:rPr>
                <w:rFonts w:hint="default" w:ascii="宋体" w:hAnsi="宋体" w:eastAsia="宋体" w:cs="Calibri"/>
                <w:color w:val="000000"/>
                <w:kern w:val="2"/>
                <w:sz w:val="21"/>
                <w:szCs w:val="21"/>
                <w:highlight w:val="none"/>
                <w:lang w:val="en-US" w:eastAsia="zh-CN" w:bidi="ar-SA"/>
              </w:rPr>
            </w:pPr>
            <w:r>
              <w:rPr>
                <w:rFonts w:hint="eastAsia" w:ascii="宋体" w:hAnsi="宋体" w:eastAsia="宋体" w:cs="Calibri"/>
                <w:color w:val="000000"/>
                <w:kern w:val="2"/>
                <w:sz w:val="21"/>
                <w:szCs w:val="21"/>
                <w:highlight w:val="none"/>
                <w:lang w:val="en-US" w:eastAsia="zh-CN" w:bidi="ar-SA"/>
              </w:rPr>
              <w:t>排放标准</w:t>
            </w:r>
          </w:p>
        </w:tc>
        <w:tc>
          <w:tcPr>
            <w:tcW w:w="1637" w:type="dxa"/>
            <w:noWrap w:val="0"/>
            <w:vAlign w:val="center"/>
          </w:tcPr>
          <w:p>
            <w:pPr>
              <w:adjustRightInd w:val="0"/>
              <w:snapToGrid w:val="0"/>
              <w:spacing w:after="0" w:line="288" w:lineRule="auto"/>
              <w:jc w:val="center"/>
              <w:rPr>
                <w:rFonts w:hint="eastAsia" w:ascii="宋体" w:hAnsi="宋体" w:eastAsia="宋体" w:cs="Calibri"/>
                <w:color w:val="000000"/>
                <w:kern w:val="2"/>
                <w:sz w:val="21"/>
                <w:szCs w:val="21"/>
                <w:highlight w:val="none"/>
                <w:lang w:val="en-US" w:eastAsia="zh-CN" w:bidi="ar-SA"/>
              </w:rPr>
            </w:pPr>
          </w:p>
        </w:tc>
        <w:tc>
          <w:tcPr>
            <w:tcW w:w="715"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768"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eastAsia="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eastAsia="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2" w:hRule="atLeast"/>
          <w:jc w:val="center"/>
        </w:trPr>
        <w:tc>
          <w:tcPr>
            <w:tcW w:w="768"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eastAsia="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eastAsia="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eastAsia="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eastAsia="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768"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768"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2" w:hRule="atLeast"/>
          <w:jc w:val="center"/>
        </w:trPr>
        <w:tc>
          <w:tcPr>
            <w:tcW w:w="768"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768" w:type="dxa"/>
            <w:noWrap w:val="0"/>
            <w:vAlign w:val="center"/>
          </w:tcPr>
          <w:p>
            <w:pPr>
              <w:adjustRightInd w:val="0"/>
              <w:snapToGrid w:val="0"/>
              <w:spacing w:line="312" w:lineRule="auto"/>
              <w:ind w:left="2"/>
              <w:jc w:val="center"/>
              <w:rPr>
                <w:rFonts w:ascii="宋体" w:hAnsi="宋体"/>
                <w:color w:val="000000"/>
                <w:sz w:val="21"/>
                <w:szCs w:val="21"/>
                <w:highlight w:val="none"/>
              </w:rPr>
            </w:pPr>
          </w:p>
        </w:tc>
        <w:tc>
          <w:tcPr>
            <w:tcW w:w="1380" w:type="dxa"/>
            <w:noWrap w:val="0"/>
            <w:vAlign w:val="center"/>
          </w:tcPr>
          <w:p>
            <w:pPr>
              <w:adjustRightInd w:val="0"/>
              <w:snapToGrid w:val="0"/>
              <w:spacing w:line="312" w:lineRule="auto"/>
              <w:ind w:right="1"/>
              <w:jc w:val="center"/>
              <w:rPr>
                <w:rFonts w:ascii="宋体" w:hAnsi="宋体"/>
                <w:color w:val="000000"/>
                <w:sz w:val="21"/>
                <w:szCs w:val="21"/>
                <w:highlight w:val="none"/>
              </w:rPr>
            </w:pPr>
          </w:p>
        </w:tc>
        <w:tc>
          <w:tcPr>
            <w:tcW w:w="1266" w:type="dxa"/>
            <w:noWrap w:val="0"/>
            <w:vAlign w:val="center"/>
          </w:tcPr>
          <w:p>
            <w:pPr>
              <w:adjustRightInd w:val="0"/>
              <w:snapToGrid w:val="0"/>
              <w:spacing w:line="312" w:lineRule="auto"/>
              <w:jc w:val="center"/>
              <w:rPr>
                <w:rFonts w:ascii="宋体" w:hAnsi="宋体"/>
                <w:color w:val="000000"/>
                <w:sz w:val="21"/>
                <w:szCs w:val="21"/>
                <w:highlight w:val="none"/>
              </w:rPr>
            </w:pPr>
          </w:p>
        </w:tc>
        <w:tc>
          <w:tcPr>
            <w:tcW w:w="2140" w:type="dxa"/>
            <w:noWrap w:val="0"/>
            <w:vAlign w:val="center"/>
          </w:tcPr>
          <w:p>
            <w:pPr>
              <w:adjustRightInd w:val="0"/>
              <w:snapToGrid w:val="0"/>
              <w:spacing w:line="312" w:lineRule="auto"/>
              <w:ind w:left="3"/>
              <w:jc w:val="center"/>
              <w:rPr>
                <w:rFonts w:ascii="宋体" w:hAnsi="宋体"/>
                <w:color w:val="000000"/>
                <w:sz w:val="21"/>
                <w:szCs w:val="21"/>
                <w:highlight w:val="none"/>
              </w:rPr>
            </w:pPr>
          </w:p>
        </w:tc>
        <w:tc>
          <w:tcPr>
            <w:tcW w:w="1637" w:type="dxa"/>
            <w:noWrap w:val="0"/>
            <w:vAlign w:val="center"/>
          </w:tcPr>
          <w:p>
            <w:pPr>
              <w:adjustRightInd w:val="0"/>
              <w:snapToGrid w:val="0"/>
              <w:spacing w:line="312" w:lineRule="auto"/>
              <w:jc w:val="center"/>
              <w:rPr>
                <w:rFonts w:ascii="宋体" w:hAnsi="宋体"/>
                <w:color w:val="000000"/>
                <w:sz w:val="21"/>
                <w:szCs w:val="21"/>
                <w:highlight w:val="none"/>
              </w:rPr>
            </w:pPr>
          </w:p>
        </w:tc>
        <w:tc>
          <w:tcPr>
            <w:tcW w:w="715" w:type="dxa"/>
            <w:noWrap w:val="0"/>
            <w:vAlign w:val="center"/>
          </w:tcPr>
          <w:p>
            <w:pPr>
              <w:adjustRightInd w:val="0"/>
              <w:snapToGrid w:val="0"/>
              <w:spacing w:line="312" w:lineRule="auto"/>
              <w:ind w:left="2"/>
              <w:jc w:val="center"/>
              <w:rPr>
                <w:rFonts w:ascii="宋体" w:hAnsi="宋体"/>
                <w:color w:val="000000"/>
                <w:sz w:val="21"/>
                <w:szCs w:val="21"/>
                <w:highlight w:val="none"/>
              </w:rPr>
            </w:pPr>
          </w:p>
        </w:tc>
      </w:tr>
    </w:tbl>
    <w:p>
      <w:pPr>
        <w:numPr>
          <w:ilvl w:val="0"/>
          <w:numId w:val="0"/>
        </w:numPr>
        <w:ind w:leftChars="200"/>
        <w:rPr>
          <w:rFonts w:hint="default"/>
          <w:lang w:val="en-US" w:eastAsia="zh-CN"/>
        </w:rPr>
      </w:pP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注：供应商应根据供应商须知前附表第3.5（</w:t>
      </w:r>
      <w:r>
        <w:rPr>
          <w:rFonts w:hint="eastAsia" w:cs="仿宋" w:asciiTheme="minorEastAsia" w:hAnsiTheme="minorEastAsia" w:eastAsiaTheme="minorEastAsia"/>
          <w:sz w:val="24"/>
          <w:highlight w:val="none"/>
          <w:lang w:val="en-US" w:eastAsia="zh-CN"/>
        </w:rPr>
        <w:t>7</w:t>
      </w:r>
      <w:r>
        <w:rPr>
          <w:rFonts w:hint="eastAsia" w:cs="仿宋" w:asciiTheme="minorEastAsia" w:hAnsiTheme="minorEastAsia" w:eastAsiaTheme="minorEastAsia"/>
          <w:sz w:val="24"/>
          <w:highlight w:val="none"/>
        </w:rPr>
        <w:t>）项的要求在本表后附相关证明材料。</w:t>
      </w:r>
    </w:p>
    <w:p>
      <w:pPr>
        <w:spacing w:line="600" w:lineRule="exact"/>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br w:type="page"/>
      </w: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六、响应方案</w:t>
      </w:r>
    </w:p>
    <w:p>
      <w:pPr>
        <w:pStyle w:val="40"/>
        <w:rPr>
          <w:highlight w:val="none"/>
        </w:rPr>
      </w:pPr>
    </w:p>
    <w:p>
      <w:pPr>
        <w:adjustRightInd w:val="0"/>
        <w:snapToGrid w:val="0"/>
        <w:spacing w:line="600" w:lineRule="exact"/>
        <w:ind w:firstLine="480" w:firstLine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响应方案一般包括</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但不限于</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下列内容</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(1</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对项目的理解</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(2</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服务范围及内容</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服务工作的依据、工作目标</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(4</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服务机构设置</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框图</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、岗位职责</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(5</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拟投入本项目的服务人员及主要人员简历</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(6</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服务质量、进度、保密等保证措施</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(7</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服务工作重点、难点分析</w:t>
      </w:r>
      <w:r>
        <w:rPr>
          <w:rFonts w:hint="eastAsia" w:cs="仿宋" w:asciiTheme="minorEastAsia" w:hAnsiTheme="minorEastAsia" w:eastAsiaTheme="minorEastAsia"/>
          <w:sz w:val="24"/>
          <w:highlight w:val="none"/>
          <w:lang w:eastAsia="zh-CN"/>
        </w:rPr>
        <w:t>；</w:t>
      </w: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(8</w:t>
      </w:r>
      <w:r>
        <w:rPr>
          <w:rFonts w:hint="eastAsia" w:cs="仿宋" w:asciiTheme="minorEastAsia" w:hAnsiTheme="minorEastAsia" w:eastAsiaTheme="minorEastAsia"/>
          <w:sz w:val="24"/>
          <w:highlight w:val="none"/>
          <w:lang w:eastAsia="zh-CN"/>
        </w:rPr>
        <w:t>）</w:t>
      </w:r>
      <w:r>
        <w:rPr>
          <w:rFonts w:hint="eastAsia" w:cs="仿宋" w:asciiTheme="minorEastAsia" w:hAnsiTheme="minorEastAsia" w:eastAsiaTheme="minorEastAsia"/>
          <w:sz w:val="24"/>
          <w:highlight w:val="none"/>
        </w:rPr>
        <w:t>对本项目的合理化建议。</w:t>
      </w: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p>
    <w:p>
      <w:pPr>
        <w:adjustRightInd w:val="0"/>
        <w:snapToGrid w:val="0"/>
        <w:spacing w:line="600" w:lineRule="exact"/>
        <w:jc w:val="center"/>
        <w:rPr>
          <w:rFonts w:ascii="黑体" w:hAnsi="黑体" w:eastAsia="黑体" w:cs="仿宋"/>
          <w:sz w:val="36"/>
          <w:szCs w:val="36"/>
          <w:highlight w:val="none"/>
        </w:rPr>
      </w:pPr>
      <w:r>
        <w:rPr>
          <w:rFonts w:hint="eastAsia" w:ascii="黑体" w:hAnsi="黑体" w:eastAsia="黑体" w:cs="仿宋"/>
          <w:sz w:val="36"/>
          <w:szCs w:val="36"/>
          <w:highlight w:val="none"/>
        </w:rPr>
        <w:t>七、其他资料</w:t>
      </w:r>
    </w:p>
    <w:p>
      <w:pPr>
        <w:adjustRightInd w:val="0"/>
        <w:snapToGrid w:val="0"/>
        <w:spacing w:line="600" w:lineRule="exact"/>
        <w:ind w:left="420" w:leftChars="200"/>
        <w:jc w:val="both"/>
        <w:rPr>
          <w:rFonts w:cs="仿宋" w:asciiTheme="minorEastAsia" w:hAnsiTheme="minorEastAsia" w:eastAsiaTheme="minorEastAsia"/>
          <w:sz w:val="24"/>
          <w:highlight w:val="none"/>
        </w:rPr>
      </w:pPr>
    </w:p>
    <w:p>
      <w:pPr>
        <w:adjustRightInd w:val="0"/>
        <w:snapToGrid w:val="0"/>
        <w:spacing w:line="600" w:lineRule="exact"/>
        <w:ind w:left="420" w:leftChars="200"/>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供应商需提交的其他资料。</w:t>
      </w:r>
    </w:p>
    <w:p>
      <w:pPr>
        <w:spacing w:line="240" w:lineRule="auto"/>
        <w:jc w:val="both"/>
        <w:rPr>
          <w:rFonts w:asciiTheme="minorEastAsia" w:hAnsiTheme="minorEastAsia" w:eastAsiaTheme="minorEastAsia"/>
          <w:sz w:val="24"/>
          <w:highlight w:val="none"/>
        </w:rPr>
      </w:pPr>
    </w:p>
    <w:sectPr>
      <w:footerReference r:id="rId7" w:type="default"/>
      <w:pgSz w:w="11906" w:h="16838"/>
      <w:pgMar w:top="1440" w:right="1080" w:bottom="1440" w:left="1080" w:header="851" w:footer="1344" w:gutter="0"/>
      <w:pgBorders>
        <w:top w:val="none" w:sz="0" w:space="0"/>
        <w:left w:val="none" w:sz="0" w:space="0"/>
        <w:bottom w:val="none" w:sz="0" w:space="0"/>
        <w:right w:val="none" w:sz="0" w:space="0"/>
      </w:pgBorders>
      <w:pgNumType w:fmt="decimal"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9354A02-6E7B-4163-AF90-355645FC1A38}"/>
  </w:font>
  <w:font w:name="Arial">
    <w:panose1 w:val="020B0604020202020204"/>
    <w:charset w:val="01"/>
    <w:family w:val="swiss"/>
    <w:pitch w:val="default"/>
    <w:sig w:usb0="E0002EFF" w:usb1="C000785B" w:usb2="00000009" w:usb3="00000000" w:csb0="400001FF" w:csb1="FFFF0000"/>
    <w:embedRegular r:id="rId2" w:fontKey="{E6E12712-556A-4AF0-8F2C-AC76CC697EE4}"/>
  </w:font>
  <w:font w:name="黑体">
    <w:panose1 w:val="02010609060101010101"/>
    <w:charset w:val="86"/>
    <w:family w:val="auto"/>
    <w:pitch w:val="default"/>
    <w:sig w:usb0="800002BF" w:usb1="38CF7CFA" w:usb2="00000016" w:usb3="00000000" w:csb0="00040001" w:csb1="00000000"/>
    <w:embedRegular r:id="rId3" w:fontKey="{45540B4C-BCAD-4F89-8548-86465E672E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5BA3D012-2E0C-4FB6-9AEF-084E5F8B7F0F}"/>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9CF12DBA-F25C-4C2E-AE4C-BDDF9DA2D625}"/>
  </w:font>
  <w:font w:name="方正小标宋简体">
    <w:panose1 w:val="00000600000000000000"/>
    <w:charset w:val="86"/>
    <w:family w:val="script"/>
    <w:pitch w:val="default"/>
    <w:sig w:usb0="800002BF" w:usb1="184F6CF8" w:usb2="00000012" w:usb3="00000000" w:csb0="00160001" w:csb1="12030000"/>
    <w:embedRegular r:id="rId6" w:fontKey="{4F03DE7C-A0A5-45D0-B8E3-703DD275D962}"/>
  </w:font>
  <w:font w:name="华文楷体">
    <w:panose1 w:val="02010600040101010101"/>
    <w:charset w:val="86"/>
    <w:family w:val="auto"/>
    <w:pitch w:val="default"/>
    <w:sig w:usb0="00000287" w:usb1="080F0000" w:usb2="00000000" w:usb3="00000000" w:csb0="0004009F" w:csb1="DFD70000"/>
    <w:embedRegular r:id="rId7" w:fontKey="{6517A589-92AE-4B47-B2BC-29A16C6CC84B}"/>
  </w:font>
  <w:font w:name="Wingdings 2">
    <w:panose1 w:val="05020102010507070707"/>
    <w:charset w:val="00"/>
    <w:family w:val="auto"/>
    <w:pitch w:val="default"/>
    <w:sig w:usb0="00000000" w:usb1="00000000" w:usb2="00000000" w:usb3="00000000" w:csb0="80000000" w:csb1="00000000"/>
    <w:embedRegular r:id="rId8" w:fontKey="{350A2698-4450-48B0-9947-BA2E98B832B5}"/>
  </w:font>
  <w:font w:name="华文中宋">
    <w:panose1 w:val="02010600040101010101"/>
    <w:charset w:val="86"/>
    <w:family w:val="auto"/>
    <w:pitch w:val="default"/>
    <w:sig w:usb0="00000287" w:usb1="080F0000" w:usb2="00000000" w:usb3="00000000" w:csb0="0004009F" w:csb1="DFD70000"/>
    <w:embedRegular r:id="rId9" w:fontKey="{2366B1AD-B48E-4A79-87C6-6C6C1E1D2FDE}"/>
  </w:font>
  <w:font w:name="方正小标宋_GBK">
    <w:panose1 w:val="02000000000000000000"/>
    <w:charset w:val="86"/>
    <w:family w:val="auto"/>
    <w:pitch w:val="default"/>
    <w:sig w:usb0="A00002BF" w:usb1="38CF7CFA" w:usb2="00082016" w:usb3="00000000" w:csb0="00040001" w:csb1="00000000"/>
    <w:embedRegular r:id="rId10" w:fontKey="{FFDF9764-FDBF-42F6-A6BF-B0284CBF33B1}"/>
  </w:font>
  <w:font w:name="楷体_GB2312">
    <w:panose1 w:val="02010609030101010101"/>
    <w:charset w:val="86"/>
    <w:family w:val="modern"/>
    <w:pitch w:val="default"/>
    <w:sig w:usb0="00000001" w:usb1="080E0000" w:usb2="00000000" w:usb3="00000000" w:csb0="00040000" w:csb1="00000000"/>
    <w:embedRegular r:id="rId11" w:fontKey="{347140C5-FD41-426B-9EF7-36CAD00FF85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jc w:val="center"/>
    </w:pP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5"/>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0561331"/>
                    </w:sdtPr>
                    <w:sdtEndPr>
                      <w:rPr>
                        <w:sz w:val="20"/>
                      </w:rPr>
                    </w:sdtEndPr>
                    <w:sdtContent>
                      <w:p>
                        <w:pPr>
                          <w:pStyle w:val="25"/>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txbxContent>
              </v:textbox>
            </v:shape>
          </w:pict>
        </mc:Fallback>
      </mc:AlternateContent>
    </w:r>
  </w:p>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393D6"/>
    <w:multiLevelType w:val="singleLevel"/>
    <w:tmpl w:val="82F393D6"/>
    <w:lvl w:ilvl="0" w:tentative="0">
      <w:start w:val="1"/>
      <w:numFmt w:val="chineseCounting"/>
      <w:suff w:val="nothing"/>
      <w:lvlText w:val="（%1）"/>
      <w:lvlJc w:val="left"/>
      <w:pPr>
        <w:ind w:left="0" w:firstLine="420"/>
      </w:pPr>
      <w:rPr>
        <w:rFonts w:hint="eastAsia"/>
      </w:rPr>
    </w:lvl>
  </w:abstractNum>
  <w:abstractNum w:abstractNumId="1">
    <w:nsid w:val="C0CB6941"/>
    <w:multiLevelType w:val="singleLevel"/>
    <w:tmpl w:val="C0CB6941"/>
    <w:lvl w:ilvl="0" w:tentative="0">
      <w:start w:val="1"/>
      <w:numFmt w:val="chineseCounting"/>
      <w:suff w:val="nothing"/>
      <w:lvlText w:val="（%1）"/>
      <w:lvlJc w:val="left"/>
      <w:pPr>
        <w:ind w:left="0" w:firstLine="420"/>
      </w:pPr>
      <w:rPr>
        <w:rFonts w:hint="eastAsia"/>
      </w:rPr>
    </w:lvl>
  </w:abstractNum>
  <w:abstractNum w:abstractNumId="2">
    <w:nsid w:val="C9160C3E"/>
    <w:multiLevelType w:val="singleLevel"/>
    <w:tmpl w:val="C9160C3E"/>
    <w:lvl w:ilvl="0" w:tentative="0">
      <w:start w:val="2"/>
      <w:numFmt w:val="chineseCounting"/>
      <w:suff w:val="nothing"/>
      <w:lvlText w:val="（%1）"/>
      <w:lvlJc w:val="left"/>
      <w:rPr>
        <w:rFonts w:hint="eastAsia"/>
      </w:rPr>
    </w:lvl>
  </w:abstractNum>
  <w:abstractNum w:abstractNumId="3">
    <w:nsid w:val="E106ED0F"/>
    <w:multiLevelType w:val="singleLevel"/>
    <w:tmpl w:val="E106ED0F"/>
    <w:lvl w:ilvl="0" w:tentative="0">
      <w:start w:val="1"/>
      <w:numFmt w:val="chineseCounting"/>
      <w:suff w:val="nothing"/>
      <w:lvlText w:val="（%1）"/>
      <w:lvlJc w:val="left"/>
      <w:pPr>
        <w:ind w:left="0" w:firstLine="420"/>
      </w:pPr>
      <w:rPr>
        <w:rFonts w:hint="eastAsia"/>
      </w:rPr>
    </w:lvl>
  </w:abstractNum>
  <w:abstractNum w:abstractNumId="4">
    <w:nsid w:val="03ECED67"/>
    <w:multiLevelType w:val="singleLevel"/>
    <w:tmpl w:val="03ECED67"/>
    <w:lvl w:ilvl="0" w:tentative="0">
      <w:start w:val="4"/>
      <w:numFmt w:val="decimal"/>
      <w:lvlText w:val="%1."/>
      <w:lvlJc w:val="left"/>
      <w:pPr>
        <w:tabs>
          <w:tab w:val="left" w:pos="312"/>
        </w:tabs>
      </w:pPr>
    </w:lvl>
  </w:abstractNum>
  <w:abstractNum w:abstractNumId="5">
    <w:nsid w:val="1CABB267"/>
    <w:multiLevelType w:val="multilevel"/>
    <w:tmpl w:val="1CABB267"/>
    <w:lvl w:ilvl="0" w:tentative="0">
      <w:start w:val="1"/>
      <w:numFmt w:val="chineseCounting"/>
      <w:suff w:val="nothing"/>
      <w:lvlText w:val="%1、"/>
      <w:lvlJc w:val="left"/>
      <w:pPr>
        <w:ind w:left="410"/>
      </w:pPr>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6">
    <w:nsid w:val="3601A173"/>
    <w:multiLevelType w:val="singleLevel"/>
    <w:tmpl w:val="3601A173"/>
    <w:lvl w:ilvl="0" w:tentative="0">
      <w:start w:val="1"/>
      <w:numFmt w:val="chineseCounting"/>
      <w:suff w:val="nothing"/>
      <w:lvlText w:val="%1、"/>
      <w:lvlJc w:val="left"/>
      <w:rPr>
        <w:rFonts w:hint="eastAsia"/>
      </w:rPr>
    </w:lvl>
  </w:abstractNum>
  <w:abstractNum w:abstractNumId="7">
    <w:nsid w:val="4B1E0B43"/>
    <w:multiLevelType w:val="singleLevel"/>
    <w:tmpl w:val="4B1E0B43"/>
    <w:lvl w:ilvl="0" w:tentative="0">
      <w:start w:val="1"/>
      <w:numFmt w:val="chineseCounting"/>
      <w:suff w:val="nothing"/>
      <w:lvlText w:val="（%1）"/>
      <w:lvlJc w:val="left"/>
      <w:pPr>
        <w:ind w:left="0" w:firstLine="420"/>
      </w:pPr>
      <w:rPr>
        <w:rFonts w:hint="eastAsia"/>
      </w:rPr>
    </w:lvl>
  </w:abstractNum>
  <w:abstractNum w:abstractNumId="8">
    <w:nsid w:val="551E1EA0"/>
    <w:multiLevelType w:val="singleLevel"/>
    <w:tmpl w:val="551E1EA0"/>
    <w:lvl w:ilvl="0" w:tentative="0">
      <w:start w:val="1"/>
      <w:numFmt w:val="chineseCounting"/>
      <w:suff w:val="nothing"/>
      <w:lvlText w:val="（%1）"/>
      <w:lvlJc w:val="left"/>
      <w:pPr>
        <w:ind w:left="0" w:firstLine="420"/>
      </w:pPr>
      <w:rPr>
        <w:rFonts w:hint="eastAsia"/>
      </w:rPr>
    </w:lvl>
  </w:abstractNum>
  <w:abstractNum w:abstractNumId="9">
    <w:nsid w:val="5697A345"/>
    <w:multiLevelType w:val="singleLevel"/>
    <w:tmpl w:val="5697A345"/>
    <w:lvl w:ilvl="0" w:tentative="0">
      <w:start w:val="1"/>
      <w:numFmt w:val="chineseCounting"/>
      <w:suff w:val="nothing"/>
      <w:lvlText w:val="（%1）"/>
      <w:lvlJc w:val="left"/>
      <w:pPr>
        <w:ind w:left="0" w:firstLine="420"/>
      </w:pPr>
      <w:rPr>
        <w:rFonts w:hint="eastAsia"/>
      </w:rPr>
    </w:lvl>
  </w:abstractNum>
  <w:abstractNum w:abstractNumId="10">
    <w:nsid w:val="61E8E4BA"/>
    <w:multiLevelType w:val="singleLevel"/>
    <w:tmpl w:val="61E8E4BA"/>
    <w:lvl w:ilvl="0" w:tentative="0">
      <w:start w:val="4"/>
      <w:numFmt w:val="chineseCounting"/>
      <w:suff w:val="nothing"/>
      <w:lvlText w:val="%1、"/>
      <w:lvlJc w:val="left"/>
      <w:rPr>
        <w:rFonts w:hint="eastAsia"/>
      </w:rPr>
    </w:lvl>
  </w:abstractNum>
  <w:abstractNum w:abstractNumId="11">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8D4B036"/>
    <w:multiLevelType w:val="singleLevel"/>
    <w:tmpl w:val="68D4B036"/>
    <w:lvl w:ilvl="0" w:tentative="0">
      <w:start w:val="1"/>
      <w:numFmt w:val="chineseCounting"/>
      <w:suff w:val="nothing"/>
      <w:lvlText w:val="（%1）"/>
      <w:lvlJc w:val="left"/>
      <w:rPr>
        <w:rFonts w:hint="eastAsia"/>
      </w:rPr>
    </w:lvl>
  </w:abstractNum>
  <w:abstractNum w:abstractNumId="13">
    <w:nsid w:val="7561F797"/>
    <w:multiLevelType w:val="singleLevel"/>
    <w:tmpl w:val="7561F797"/>
    <w:lvl w:ilvl="0" w:tentative="0">
      <w:start w:val="1"/>
      <w:numFmt w:val="chineseCounting"/>
      <w:suff w:val="nothing"/>
      <w:lvlText w:val="（%1）"/>
      <w:lvlJc w:val="left"/>
      <w:pPr>
        <w:ind w:left="0" w:firstLine="420"/>
      </w:pPr>
      <w:rPr>
        <w:rFonts w:hint="eastAsia"/>
      </w:rPr>
    </w:lvl>
  </w:abstractNum>
  <w:num w:numId="1">
    <w:abstractNumId w:val="11"/>
  </w:num>
  <w:num w:numId="2">
    <w:abstractNumId w:val="2"/>
  </w:num>
  <w:num w:numId="3">
    <w:abstractNumId w:val="5"/>
  </w:num>
  <w:num w:numId="4">
    <w:abstractNumId w:val="12"/>
  </w:num>
  <w:num w:numId="5">
    <w:abstractNumId w:val="1"/>
  </w:num>
  <w:num w:numId="6">
    <w:abstractNumId w:val="7"/>
  </w:num>
  <w:num w:numId="7">
    <w:abstractNumId w:val="0"/>
  </w:num>
  <w:num w:numId="8">
    <w:abstractNumId w:val="8"/>
  </w:num>
  <w:num w:numId="9">
    <w:abstractNumId w:val="9"/>
  </w:num>
  <w:num w:numId="10">
    <w:abstractNumId w:val="13"/>
  </w:num>
  <w:num w:numId="11">
    <w:abstractNumId w:val="3"/>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NmZhODE1NDk0ODljNTlhYTFmMDlmNmYxYjM5ZTQifQ=="/>
  </w:docVars>
  <w:rsids>
    <w:rsidRoot w:val="00172A27"/>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24EA9"/>
    <w:rsid w:val="00131345"/>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9714E"/>
    <w:rsid w:val="002A13A6"/>
    <w:rsid w:val="002A3646"/>
    <w:rsid w:val="002A69B8"/>
    <w:rsid w:val="002B225E"/>
    <w:rsid w:val="002B7B11"/>
    <w:rsid w:val="002D3DCC"/>
    <w:rsid w:val="002D460A"/>
    <w:rsid w:val="002E1D5F"/>
    <w:rsid w:val="002E38E3"/>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92340"/>
    <w:rsid w:val="003A008A"/>
    <w:rsid w:val="003A21A4"/>
    <w:rsid w:val="003A35E6"/>
    <w:rsid w:val="003A47A2"/>
    <w:rsid w:val="003A7BE3"/>
    <w:rsid w:val="003B1B7D"/>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20A7E"/>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477BC"/>
    <w:rsid w:val="00B60605"/>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3F4D"/>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62D6"/>
    <w:rsid w:val="00DA2E85"/>
    <w:rsid w:val="00DA3A70"/>
    <w:rsid w:val="00DA6572"/>
    <w:rsid w:val="00DB1FDD"/>
    <w:rsid w:val="00DB2007"/>
    <w:rsid w:val="00DC3790"/>
    <w:rsid w:val="00DC758D"/>
    <w:rsid w:val="00DD03AC"/>
    <w:rsid w:val="00DD081E"/>
    <w:rsid w:val="00DD63AD"/>
    <w:rsid w:val="00DD7197"/>
    <w:rsid w:val="00DE1291"/>
    <w:rsid w:val="00DF14BB"/>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5D4263"/>
    <w:rsid w:val="016110F4"/>
    <w:rsid w:val="01AC7279"/>
    <w:rsid w:val="01B372CB"/>
    <w:rsid w:val="01BB3CD7"/>
    <w:rsid w:val="01CD028F"/>
    <w:rsid w:val="01D76005"/>
    <w:rsid w:val="01F71C64"/>
    <w:rsid w:val="02C82FD8"/>
    <w:rsid w:val="03EC7A55"/>
    <w:rsid w:val="04037146"/>
    <w:rsid w:val="047C353A"/>
    <w:rsid w:val="04A65DBC"/>
    <w:rsid w:val="04F85637"/>
    <w:rsid w:val="05C8377A"/>
    <w:rsid w:val="05CD3A4B"/>
    <w:rsid w:val="05EF1FFE"/>
    <w:rsid w:val="06B02757"/>
    <w:rsid w:val="06B95849"/>
    <w:rsid w:val="071A38B0"/>
    <w:rsid w:val="071C2DD7"/>
    <w:rsid w:val="07613521"/>
    <w:rsid w:val="07E02DCB"/>
    <w:rsid w:val="082E2834"/>
    <w:rsid w:val="0882554E"/>
    <w:rsid w:val="08826D5B"/>
    <w:rsid w:val="08876C3D"/>
    <w:rsid w:val="09343645"/>
    <w:rsid w:val="09970B85"/>
    <w:rsid w:val="09C6304D"/>
    <w:rsid w:val="09E7100A"/>
    <w:rsid w:val="0AED2D32"/>
    <w:rsid w:val="0AF00027"/>
    <w:rsid w:val="0B0D605F"/>
    <w:rsid w:val="0B272FBD"/>
    <w:rsid w:val="0B300652"/>
    <w:rsid w:val="0B534E7F"/>
    <w:rsid w:val="0C905B62"/>
    <w:rsid w:val="0CCC561D"/>
    <w:rsid w:val="0CD44FE7"/>
    <w:rsid w:val="0CE02BCB"/>
    <w:rsid w:val="0D080870"/>
    <w:rsid w:val="0D414932"/>
    <w:rsid w:val="0D8B5F9E"/>
    <w:rsid w:val="0DB759FC"/>
    <w:rsid w:val="0DBD1316"/>
    <w:rsid w:val="0DC567C6"/>
    <w:rsid w:val="0E1F3EB9"/>
    <w:rsid w:val="0E891CDE"/>
    <w:rsid w:val="0E894C6A"/>
    <w:rsid w:val="0E9535BD"/>
    <w:rsid w:val="0EF124A8"/>
    <w:rsid w:val="0F250657"/>
    <w:rsid w:val="0F4339B2"/>
    <w:rsid w:val="0FE216C6"/>
    <w:rsid w:val="100D3E04"/>
    <w:rsid w:val="101C0769"/>
    <w:rsid w:val="1029705A"/>
    <w:rsid w:val="10303AE2"/>
    <w:rsid w:val="10A157BC"/>
    <w:rsid w:val="10D715D2"/>
    <w:rsid w:val="10D814A8"/>
    <w:rsid w:val="10E35F22"/>
    <w:rsid w:val="112343A2"/>
    <w:rsid w:val="113B3D20"/>
    <w:rsid w:val="115E4704"/>
    <w:rsid w:val="119E5E08"/>
    <w:rsid w:val="12362DDF"/>
    <w:rsid w:val="127C2952"/>
    <w:rsid w:val="13692E14"/>
    <w:rsid w:val="136C60D7"/>
    <w:rsid w:val="143222F6"/>
    <w:rsid w:val="145076DA"/>
    <w:rsid w:val="14752C3F"/>
    <w:rsid w:val="149C34F4"/>
    <w:rsid w:val="14B70C0B"/>
    <w:rsid w:val="1500069C"/>
    <w:rsid w:val="15912658"/>
    <w:rsid w:val="15CC4085"/>
    <w:rsid w:val="160A7A1D"/>
    <w:rsid w:val="160B7CDB"/>
    <w:rsid w:val="16314BAD"/>
    <w:rsid w:val="17100B20"/>
    <w:rsid w:val="1711641B"/>
    <w:rsid w:val="17455A09"/>
    <w:rsid w:val="17594306"/>
    <w:rsid w:val="177B677A"/>
    <w:rsid w:val="17D539F2"/>
    <w:rsid w:val="17DD7BFF"/>
    <w:rsid w:val="17DF02C7"/>
    <w:rsid w:val="17FA7AA4"/>
    <w:rsid w:val="1830655D"/>
    <w:rsid w:val="18961368"/>
    <w:rsid w:val="18A90CBA"/>
    <w:rsid w:val="18E4741C"/>
    <w:rsid w:val="19097045"/>
    <w:rsid w:val="191872E3"/>
    <w:rsid w:val="196A4431"/>
    <w:rsid w:val="1A104EBC"/>
    <w:rsid w:val="1ABA20D4"/>
    <w:rsid w:val="1AEE5086"/>
    <w:rsid w:val="1B886580"/>
    <w:rsid w:val="1C2276D5"/>
    <w:rsid w:val="1C7D1864"/>
    <w:rsid w:val="1D082A55"/>
    <w:rsid w:val="1D5D05DC"/>
    <w:rsid w:val="1DAB68D7"/>
    <w:rsid w:val="1DBB01B3"/>
    <w:rsid w:val="1DC7279C"/>
    <w:rsid w:val="1DEC3661"/>
    <w:rsid w:val="1E1F3B60"/>
    <w:rsid w:val="1E3C43B9"/>
    <w:rsid w:val="1E5803E7"/>
    <w:rsid w:val="1E7A37B7"/>
    <w:rsid w:val="1E901304"/>
    <w:rsid w:val="1E924450"/>
    <w:rsid w:val="1F031D0C"/>
    <w:rsid w:val="1F0A0B22"/>
    <w:rsid w:val="1F0F644E"/>
    <w:rsid w:val="1F2E0BFF"/>
    <w:rsid w:val="1F4C599B"/>
    <w:rsid w:val="1F833B5F"/>
    <w:rsid w:val="1F9D58D9"/>
    <w:rsid w:val="1FB37BD1"/>
    <w:rsid w:val="1FBF76D7"/>
    <w:rsid w:val="205D54C9"/>
    <w:rsid w:val="20F56E6A"/>
    <w:rsid w:val="20F64099"/>
    <w:rsid w:val="210E5B18"/>
    <w:rsid w:val="212E078A"/>
    <w:rsid w:val="21391930"/>
    <w:rsid w:val="213E3A2F"/>
    <w:rsid w:val="217D4062"/>
    <w:rsid w:val="22CD0ADC"/>
    <w:rsid w:val="23331D17"/>
    <w:rsid w:val="235B5479"/>
    <w:rsid w:val="23A34879"/>
    <w:rsid w:val="23BE1A45"/>
    <w:rsid w:val="23CB6206"/>
    <w:rsid w:val="244C69D6"/>
    <w:rsid w:val="24862215"/>
    <w:rsid w:val="24A259B3"/>
    <w:rsid w:val="24C25045"/>
    <w:rsid w:val="24CF2408"/>
    <w:rsid w:val="2526227E"/>
    <w:rsid w:val="25313DAC"/>
    <w:rsid w:val="25443D76"/>
    <w:rsid w:val="25670F4C"/>
    <w:rsid w:val="2578297E"/>
    <w:rsid w:val="2584425C"/>
    <w:rsid w:val="260770CA"/>
    <w:rsid w:val="26207116"/>
    <w:rsid w:val="264E6DB9"/>
    <w:rsid w:val="26A05072"/>
    <w:rsid w:val="26A22F8C"/>
    <w:rsid w:val="26E937DE"/>
    <w:rsid w:val="274B1A62"/>
    <w:rsid w:val="27567236"/>
    <w:rsid w:val="27637EB2"/>
    <w:rsid w:val="27E311ED"/>
    <w:rsid w:val="2872440F"/>
    <w:rsid w:val="28EE7628"/>
    <w:rsid w:val="29152BC1"/>
    <w:rsid w:val="294F2DD3"/>
    <w:rsid w:val="295E13D6"/>
    <w:rsid w:val="295F1BEE"/>
    <w:rsid w:val="29E8423F"/>
    <w:rsid w:val="29FE7C6D"/>
    <w:rsid w:val="2A381933"/>
    <w:rsid w:val="2A7757C9"/>
    <w:rsid w:val="2A810C26"/>
    <w:rsid w:val="2AA915E9"/>
    <w:rsid w:val="2AB628FE"/>
    <w:rsid w:val="2AC42C29"/>
    <w:rsid w:val="2AEB642C"/>
    <w:rsid w:val="2AFF24D7"/>
    <w:rsid w:val="2B1B2DAD"/>
    <w:rsid w:val="2B370856"/>
    <w:rsid w:val="2BB311E2"/>
    <w:rsid w:val="2BF10955"/>
    <w:rsid w:val="2C12050F"/>
    <w:rsid w:val="2C7F01E4"/>
    <w:rsid w:val="2D101F87"/>
    <w:rsid w:val="2D5F2DAF"/>
    <w:rsid w:val="2D933C05"/>
    <w:rsid w:val="2DEC6D70"/>
    <w:rsid w:val="2E00644A"/>
    <w:rsid w:val="2E312601"/>
    <w:rsid w:val="2E41641E"/>
    <w:rsid w:val="2E7C6BFF"/>
    <w:rsid w:val="2E944985"/>
    <w:rsid w:val="2EA77EE5"/>
    <w:rsid w:val="2F6261C2"/>
    <w:rsid w:val="2FA63021"/>
    <w:rsid w:val="2FCB45CD"/>
    <w:rsid w:val="2FD26F55"/>
    <w:rsid w:val="30096558"/>
    <w:rsid w:val="304B4C8D"/>
    <w:rsid w:val="30564A47"/>
    <w:rsid w:val="30DE2DAE"/>
    <w:rsid w:val="31273F18"/>
    <w:rsid w:val="31755D3D"/>
    <w:rsid w:val="31A7659A"/>
    <w:rsid w:val="31AD6526"/>
    <w:rsid w:val="32290665"/>
    <w:rsid w:val="323D10CB"/>
    <w:rsid w:val="32756EB2"/>
    <w:rsid w:val="328A0351"/>
    <w:rsid w:val="32947966"/>
    <w:rsid w:val="329D4C70"/>
    <w:rsid w:val="32CB6281"/>
    <w:rsid w:val="339248A7"/>
    <w:rsid w:val="341D5FA7"/>
    <w:rsid w:val="344826E8"/>
    <w:rsid w:val="347E184F"/>
    <w:rsid w:val="34874156"/>
    <w:rsid w:val="34DC45DC"/>
    <w:rsid w:val="34F111A0"/>
    <w:rsid w:val="35032B89"/>
    <w:rsid w:val="351E6AD6"/>
    <w:rsid w:val="35E068D3"/>
    <w:rsid w:val="361B2ACC"/>
    <w:rsid w:val="36237A11"/>
    <w:rsid w:val="369E5F5A"/>
    <w:rsid w:val="36D57A86"/>
    <w:rsid w:val="36DA0180"/>
    <w:rsid w:val="36EC5253"/>
    <w:rsid w:val="379B30ED"/>
    <w:rsid w:val="37B50E0E"/>
    <w:rsid w:val="37E36BED"/>
    <w:rsid w:val="3806709E"/>
    <w:rsid w:val="38302D1E"/>
    <w:rsid w:val="38F01B65"/>
    <w:rsid w:val="38F94373"/>
    <w:rsid w:val="390636E6"/>
    <w:rsid w:val="391D4879"/>
    <w:rsid w:val="39C96499"/>
    <w:rsid w:val="3A0133CF"/>
    <w:rsid w:val="3A1D0739"/>
    <w:rsid w:val="3A5E7CCF"/>
    <w:rsid w:val="3AB17686"/>
    <w:rsid w:val="3AD953A8"/>
    <w:rsid w:val="3AF93B99"/>
    <w:rsid w:val="3B1A1435"/>
    <w:rsid w:val="3B2B40CB"/>
    <w:rsid w:val="3B4200A1"/>
    <w:rsid w:val="3B786F8B"/>
    <w:rsid w:val="3B8D5206"/>
    <w:rsid w:val="3C100595"/>
    <w:rsid w:val="3CCF005B"/>
    <w:rsid w:val="3CD5401F"/>
    <w:rsid w:val="3CE91AC5"/>
    <w:rsid w:val="3D461FBA"/>
    <w:rsid w:val="3D5B45EF"/>
    <w:rsid w:val="3E4405D4"/>
    <w:rsid w:val="3E8F457E"/>
    <w:rsid w:val="3F0013D8"/>
    <w:rsid w:val="3F044229"/>
    <w:rsid w:val="3F747742"/>
    <w:rsid w:val="3FB93C81"/>
    <w:rsid w:val="3FEA1C2A"/>
    <w:rsid w:val="407A02DD"/>
    <w:rsid w:val="40C81736"/>
    <w:rsid w:val="40CD665F"/>
    <w:rsid w:val="41A84E5D"/>
    <w:rsid w:val="41CE0EB7"/>
    <w:rsid w:val="428C42F8"/>
    <w:rsid w:val="42B9360E"/>
    <w:rsid w:val="436C7374"/>
    <w:rsid w:val="439D4A0F"/>
    <w:rsid w:val="43BC1982"/>
    <w:rsid w:val="44553D96"/>
    <w:rsid w:val="44D14A1F"/>
    <w:rsid w:val="44EF214B"/>
    <w:rsid w:val="4503099B"/>
    <w:rsid w:val="453D7EFA"/>
    <w:rsid w:val="454916C7"/>
    <w:rsid w:val="454F143B"/>
    <w:rsid w:val="45FD2E1E"/>
    <w:rsid w:val="46236E22"/>
    <w:rsid w:val="463D1554"/>
    <w:rsid w:val="46480423"/>
    <w:rsid w:val="46C44BD5"/>
    <w:rsid w:val="46FD0ED7"/>
    <w:rsid w:val="473A1C92"/>
    <w:rsid w:val="47592E4A"/>
    <w:rsid w:val="47766280"/>
    <w:rsid w:val="477D1BB9"/>
    <w:rsid w:val="47BB4536"/>
    <w:rsid w:val="47D44A52"/>
    <w:rsid w:val="48B457DA"/>
    <w:rsid w:val="49055724"/>
    <w:rsid w:val="49061DFF"/>
    <w:rsid w:val="495F2766"/>
    <w:rsid w:val="49A15B9F"/>
    <w:rsid w:val="49D40A5E"/>
    <w:rsid w:val="49E352A4"/>
    <w:rsid w:val="4A625DAC"/>
    <w:rsid w:val="4A87331A"/>
    <w:rsid w:val="4B1855CB"/>
    <w:rsid w:val="4BA044F9"/>
    <w:rsid w:val="4BB73BE9"/>
    <w:rsid w:val="4BEB2031"/>
    <w:rsid w:val="4C2C5768"/>
    <w:rsid w:val="4C6E0A32"/>
    <w:rsid w:val="4C8D7FB6"/>
    <w:rsid w:val="4CE775B6"/>
    <w:rsid w:val="4CFB75B5"/>
    <w:rsid w:val="4D7D047C"/>
    <w:rsid w:val="4D992670"/>
    <w:rsid w:val="4DA67EC1"/>
    <w:rsid w:val="4DC537EF"/>
    <w:rsid w:val="4DF47F35"/>
    <w:rsid w:val="4E5E70BD"/>
    <w:rsid w:val="4E5F0909"/>
    <w:rsid w:val="4E6200BB"/>
    <w:rsid w:val="4EC14021"/>
    <w:rsid w:val="4F542C5F"/>
    <w:rsid w:val="4F544853"/>
    <w:rsid w:val="4F7855EA"/>
    <w:rsid w:val="4F940716"/>
    <w:rsid w:val="4FAF7130"/>
    <w:rsid w:val="4FD337A4"/>
    <w:rsid w:val="50203001"/>
    <w:rsid w:val="50552D7D"/>
    <w:rsid w:val="50613214"/>
    <w:rsid w:val="515B1A65"/>
    <w:rsid w:val="519D4842"/>
    <w:rsid w:val="520004CA"/>
    <w:rsid w:val="521E5740"/>
    <w:rsid w:val="522358DC"/>
    <w:rsid w:val="52A631B4"/>
    <w:rsid w:val="533D162C"/>
    <w:rsid w:val="53E549BF"/>
    <w:rsid w:val="540A51E2"/>
    <w:rsid w:val="5422279F"/>
    <w:rsid w:val="54C32B11"/>
    <w:rsid w:val="54DC56F8"/>
    <w:rsid w:val="557117DE"/>
    <w:rsid w:val="56367C5B"/>
    <w:rsid w:val="56677807"/>
    <w:rsid w:val="56820D5B"/>
    <w:rsid w:val="57096D7C"/>
    <w:rsid w:val="57634CB3"/>
    <w:rsid w:val="579B0911"/>
    <w:rsid w:val="57E332D5"/>
    <w:rsid w:val="58726012"/>
    <w:rsid w:val="58D06D06"/>
    <w:rsid w:val="58EF37E0"/>
    <w:rsid w:val="58FE0B8D"/>
    <w:rsid w:val="59D5260B"/>
    <w:rsid w:val="59F510C8"/>
    <w:rsid w:val="5A190D99"/>
    <w:rsid w:val="5A465B9D"/>
    <w:rsid w:val="5A533C21"/>
    <w:rsid w:val="5A631C3C"/>
    <w:rsid w:val="5AD12281"/>
    <w:rsid w:val="5AF71073"/>
    <w:rsid w:val="5AFF4E91"/>
    <w:rsid w:val="5B1433B1"/>
    <w:rsid w:val="5B6270CB"/>
    <w:rsid w:val="5B812149"/>
    <w:rsid w:val="5BB24FC7"/>
    <w:rsid w:val="5BE77BBC"/>
    <w:rsid w:val="5C9744CD"/>
    <w:rsid w:val="5CCF262E"/>
    <w:rsid w:val="5CE6484E"/>
    <w:rsid w:val="5D027239"/>
    <w:rsid w:val="5D1E4A62"/>
    <w:rsid w:val="5D5A5542"/>
    <w:rsid w:val="5D87033A"/>
    <w:rsid w:val="5D940B49"/>
    <w:rsid w:val="5DBD75BE"/>
    <w:rsid w:val="5DDB3A67"/>
    <w:rsid w:val="5E007081"/>
    <w:rsid w:val="5E2979F3"/>
    <w:rsid w:val="5E646A2E"/>
    <w:rsid w:val="5EA92355"/>
    <w:rsid w:val="5ED115B9"/>
    <w:rsid w:val="5F2E04F4"/>
    <w:rsid w:val="5F5A7169"/>
    <w:rsid w:val="5F600FC9"/>
    <w:rsid w:val="5F831A87"/>
    <w:rsid w:val="5FA558FD"/>
    <w:rsid w:val="5FC52CF8"/>
    <w:rsid w:val="5FC5301A"/>
    <w:rsid w:val="602D2FE8"/>
    <w:rsid w:val="608457E2"/>
    <w:rsid w:val="60E14966"/>
    <w:rsid w:val="616D757D"/>
    <w:rsid w:val="617C259E"/>
    <w:rsid w:val="61E53FCC"/>
    <w:rsid w:val="62342CE6"/>
    <w:rsid w:val="62525166"/>
    <w:rsid w:val="6329070C"/>
    <w:rsid w:val="632B72A3"/>
    <w:rsid w:val="63310F09"/>
    <w:rsid w:val="63505113"/>
    <w:rsid w:val="63790E70"/>
    <w:rsid w:val="63AD1071"/>
    <w:rsid w:val="63B84F56"/>
    <w:rsid w:val="63ED139D"/>
    <w:rsid w:val="64557A48"/>
    <w:rsid w:val="646326B7"/>
    <w:rsid w:val="64665F9D"/>
    <w:rsid w:val="64862E7E"/>
    <w:rsid w:val="65171337"/>
    <w:rsid w:val="65571836"/>
    <w:rsid w:val="65E54EB0"/>
    <w:rsid w:val="65FD3712"/>
    <w:rsid w:val="663E10C6"/>
    <w:rsid w:val="666552E6"/>
    <w:rsid w:val="668B7395"/>
    <w:rsid w:val="66D122B6"/>
    <w:rsid w:val="672465D3"/>
    <w:rsid w:val="67957477"/>
    <w:rsid w:val="67B945ED"/>
    <w:rsid w:val="67CD5453"/>
    <w:rsid w:val="67DB2C51"/>
    <w:rsid w:val="68562B5B"/>
    <w:rsid w:val="686B311E"/>
    <w:rsid w:val="68AB6164"/>
    <w:rsid w:val="68ED7DC4"/>
    <w:rsid w:val="68F71C1C"/>
    <w:rsid w:val="69547E9C"/>
    <w:rsid w:val="6A386564"/>
    <w:rsid w:val="6A843C76"/>
    <w:rsid w:val="6AAA1AFA"/>
    <w:rsid w:val="6AE84B3E"/>
    <w:rsid w:val="6B2F5A5F"/>
    <w:rsid w:val="6B3F724F"/>
    <w:rsid w:val="6B533C17"/>
    <w:rsid w:val="6B8307E0"/>
    <w:rsid w:val="6B860FE6"/>
    <w:rsid w:val="6C223454"/>
    <w:rsid w:val="6C686F88"/>
    <w:rsid w:val="6C7745F7"/>
    <w:rsid w:val="6DAF0A61"/>
    <w:rsid w:val="6E5E463A"/>
    <w:rsid w:val="6EBD7FFE"/>
    <w:rsid w:val="6EC13E25"/>
    <w:rsid w:val="6EC83CAF"/>
    <w:rsid w:val="6EF262AC"/>
    <w:rsid w:val="6F3A1809"/>
    <w:rsid w:val="6FC10798"/>
    <w:rsid w:val="6FD45398"/>
    <w:rsid w:val="70C27708"/>
    <w:rsid w:val="71285AAC"/>
    <w:rsid w:val="71594D33"/>
    <w:rsid w:val="715C2F1C"/>
    <w:rsid w:val="71A25C62"/>
    <w:rsid w:val="71A6199B"/>
    <w:rsid w:val="71C31377"/>
    <w:rsid w:val="71CA1F6E"/>
    <w:rsid w:val="71E74047"/>
    <w:rsid w:val="71F42B7C"/>
    <w:rsid w:val="7205398F"/>
    <w:rsid w:val="7238655B"/>
    <w:rsid w:val="735008A6"/>
    <w:rsid w:val="735D2DA4"/>
    <w:rsid w:val="736C43E3"/>
    <w:rsid w:val="73BC5AD9"/>
    <w:rsid w:val="73D85E91"/>
    <w:rsid w:val="742F0E63"/>
    <w:rsid w:val="7453751A"/>
    <w:rsid w:val="74611F32"/>
    <w:rsid w:val="746453A7"/>
    <w:rsid w:val="746B451F"/>
    <w:rsid w:val="74DA66F5"/>
    <w:rsid w:val="74E20649"/>
    <w:rsid w:val="759B1B2A"/>
    <w:rsid w:val="76013066"/>
    <w:rsid w:val="76013836"/>
    <w:rsid w:val="76490038"/>
    <w:rsid w:val="764D1C01"/>
    <w:rsid w:val="76A5715B"/>
    <w:rsid w:val="76B850E0"/>
    <w:rsid w:val="77400CB2"/>
    <w:rsid w:val="77401EC1"/>
    <w:rsid w:val="7746130C"/>
    <w:rsid w:val="775D59D0"/>
    <w:rsid w:val="77A40E96"/>
    <w:rsid w:val="785F380B"/>
    <w:rsid w:val="78865DD8"/>
    <w:rsid w:val="78CA23D8"/>
    <w:rsid w:val="793B59A2"/>
    <w:rsid w:val="793E01E7"/>
    <w:rsid w:val="794C72DA"/>
    <w:rsid w:val="79771CC2"/>
    <w:rsid w:val="79A347F2"/>
    <w:rsid w:val="7A0C4A94"/>
    <w:rsid w:val="7ADE3A6D"/>
    <w:rsid w:val="7B203A9A"/>
    <w:rsid w:val="7B2D37A3"/>
    <w:rsid w:val="7B5D7ABB"/>
    <w:rsid w:val="7B72711C"/>
    <w:rsid w:val="7B99300E"/>
    <w:rsid w:val="7B99444A"/>
    <w:rsid w:val="7BCF57C7"/>
    <w:rsid w:val="7BE401C5"/>
    <w:rsid w:val="7C375547"/>
    <w:rsid w:val="7C3A0727"/>
    <w:rsid w:val="7CBF0117"/>
    <w:rsid w:val="7D013E8E"/>
    <w:rsid w:val="7DB1356C"/>
    <w:rsid w:val="7DB473AA"/>
    <w:rsid w:val="7E611BB9"/>
    <w:rsid w:val="7E850A97"/>
    <w:rsid w:val="7F190573"/>
    <w:rsid w:val="7F384243"/>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autoRedefine/>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5"/>
    <w:next w:val="1"/>
    <w:autoRedefine/>
    <w:qFormat/>
    <w:uiPriority w:val="0"/>
    <w:pPr>
      <w:keepNext/>
      <w:keepLines/>
      <w:spacing w:before="260" w:after="260" w:line="415" w:lineRule="auto"/>
      <w:outlineLvl w:val="2"/>
    </w:pPr>
    <w:rPr>
      <w:sz w:val="32"/>
      <w:szCs w:val="32"/>
    </w:rPr>
  </w:style>
  <w:style w:type="paragraph" w:styleId="7">
    <w:name w:val="heading 4"/>
    <w:basedOn w:val="1"/>
    <w:next w:val="1"/>
    <w:link w:val="188"/>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8">
    <w:name w:val="heading 5"/>
    <w:basedOn w:val="1"/>
    <w:next w:val="1"/>
    <w:autoRedefine/>
    <w:qFormat/>
    <w:uiPriority w:val="0"/>
    <w:pPr>
      <w:keepNext/>
      <w:keepLines/>
      <w:spacing w:before="120" w:after="120"/>
      <w:outlineLvl w:val="4"/>
    </w:pPr>
    <w:rPr>
      <w:rFonts w:eastAsia="黑体"/>
      <w:bCs/>
      <w:sz w:val="28"/>
      <w:szCs w:val="28"/>
    </w:rPr>
  </w:style>
  <w:style w:type="paragraph" w:styleId="9">
    <w:name w:val="heading 6"/>
    <w:basedOn w:val="1"/>
    <w:next w:val="1"/>
    <w:autoRedefine/>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6"/>
    <w:autoRedefine/>
    <w:semiHidden/>
    <w:unhideWhenUsed/>
    <w:qFormat/>
    <w:uiPriority w:val="99"/>
    <w:pPr>
      <w:spacing w:after="120"/>
    </w:pPr>
  </w:style>
  <w:style w:type="paragraph" w:customStyle="1" w:styleId="3">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0">
    <w:name w:val="index 8"/>
    <w:basedOn w:val="1"/>
    <w:next w:val="1"/>
    <w:autoRedefine/>
    <w:qFormat/>
    <w:uiPriority w:val="0"/>
    <w:pPr>
      <w:ind w:left="1680" w:hanging="210"/>
    </w:pPr>
    <w:rPr>
      <w:rFonts w:ascii="Calibri" w:hAnsi="Calibri"/>
      <w:sz w:val="20"/>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index 5"/>
    <w:basedOn w:val="1"/>
    <w:next w:val="1"/>
    <w:autoRedefine/>
    <w:qFormat/>
    <w:uiPriority w:val="0"/>
    <w:pPr>
      <w:ind w:left="1050" w:hanging="210"/>
    </w:pPr>
    <w:rPr>
      <w:rFonts w:ascii="Calibri" w:hAnsi="Calibri"/>
      <w:sz w:val="20"/>
      <w:szCs w:val="20"/>
    </w:rPr>
  </w:style>
  <w:style w:type="paragraph" w:styleId="13">
    <w:name w:val="Document Map"/>
    <w:basedOn w:val="1"/>
    <w:link w:val="173"/>
    <w:autoRedefine/>
    <w:semiHidden/>
    <w:qFormat/>
    <w:uiPriority w:val="0"/>
    <w:pPr>
      <w:shd w:val="clear" w:color="auto" w:fill="000080"/>
    </w:pPr>
    <w:rPr>
      <w:rFonts w:asciiTheme="minorHAnsi" w:hAnsiTheme="minorHAnsi" w:eastAsiaTheme="minorEastAsia" w:cstheme="minorBidi"/>
    </w:rPr>
  </w:style>
  <w:style w:type="paragraph" w:styleId="14">
    <w:name w:val="annotation text"/>
    <w:basedOn w:val="1"/>
    <w:link w:val="170"/>
    <w:autoRedefine/>
    <w:semiHidden/>
    <w:qFormat/>
    <w:uiPriority w:val="0"/>
    <w:rPr>
      <w:rFonts w:asciiTheme="minorHAnsi" w:hAnsiTheme="minorHAnsi" w:eastAsiaTheme="minorEastAsia" w:cstheme="minorBidi"/>
    </w:rPr>
  </w:style>
  <w:style w:type="paragraph" w:styleId="15">
    <w:name w:val="index 6"/>
    <w:basedOn w:val="1"/>
    <w:next w:val="1"/>
    <w:autoRedefine/>
    <w:qFormat/>
    <w:uiPriority w:val="0"/>
    <w:pPr>
      <w:ind w:left="1260" w:hanging="210"/>
    </w:pPr>
    <w:rPr>
      <w:rFonts w:ascii="Calibri" w:hAnsi="Calibri"/>
      <w:sz w:val="20"/>
      <w:szCs w:val="20"/>
    </w:rPr>
  </w:style>
  <w:style w:type="paragraph" w:styleId="16">
    <w:name w:val="Body Text 3"/>
    <w:basedOn w:val="1"/>
    <w:link w:val="181"/>
    <w:autoRedefine/>
    <w:semiHidden/>
    <w:unhideWhenUsed/>
    <w:qFormat/>
    <w:uiPriority w:val="99"/>
    <w:pPr>
      <w:spacing w:after="120"/>
    </w:pPr>
    <w:rPr>
      <w:sz w:val="16"/>
      <w:szCs w:val="16"/>
    </w:rPr>
  </w:style>
  <w:style w:type="paragraph" w:styleId="17">
    <w:name w:val="Body Text Indent"/>
    <w:basedOn w:val="1"/>
    <w:autoRedefine/>
    <w:unhideWhenUsed/>
    <w:qFormat/>
    <w:uiPriority w:val="99"/>
    <w:pPr>
      <w:spacing w:after="120"/>
      <w:ind w:left="420" w:leftChars="200"/>
    </w:pPr>
  </w:style>
  <w:style w:type="paragraph" w:styleId="18">
    <w:name w:val="index 4"/>
    <w:basedOn w:val="1"/>
    <w:next w:val="1"/>
    <w:autoRedefine/>
    <w:qFormat/>
    <w:uiPriority w:val="0"/>
    <w:pPr>
      <w:ind w:left="840" w:hanging="210"/>
    </w:pPr>
    <w:rPr>
      <w:rFonts w:ascii="Calibri" w:hAnsi="Calibri"/>
      <w:sz w:val="20"/>
      <w:szCs w:val="20"/>
    </w:rPr>
  </w:style>
  <w:style w:type="paragraph" w:styleId="19">
    <w:name w:val="Plain Text"/>
    <w:basedOn w:val="1"/>
    <w:link w:val="184"/>
    <w:autoRedefine/>
    <w:unhideWhenUsed/>
    <w:qFormat/>
    <w:uiPriority w:val="99"/>
    <w:pPr>
      <w:widowControl w:val="0"/>
      <w:spacing w:line="240" w:lineRule="auto"/>
      <w:jc w:val="both"/>
    </w:pPr>
    <w:rPr>
      <w:rFonts w:ascii="宋体" w:hAnsi="Courier New" w:cs="Courier New"/>
      <w:szCs w:val="21"/>
    </w:rPr>
  </w:style>
  <w:style w:type="paragraph" w:styleId="20">
    <w:name w:val="index 3"/>
    <w:basedOn w:val="1"/>
    <w:next w:val="1"/>
    <w:autoRedefine/>
    <w:qFormat/>
    <w:uiPriority w:val="0"/>
    <w:pPr>
      <w:ind w:left="630" w:hanging="210"/>
    </w:pPr>
    <w:rPr>
      <w:rFonts w:ascii="Calibri" w:hAnsi="Calibri"/>
      <w:sz w:val="20"/>
      <w:szCs w:val="20"/>
    </w:rPr>
  </w:style>
  <w:style w:type="paragraph" w:styleId="21">
    <w:name w:val="Date"/>
    <w:basedOn w:val="1"/>
    <w:next w:val="1"/>
    <w:link w:val="172"/>
    <w:autoRedefine/>
    <w:qFormat/>
    <w:uiPriority w:val="99"/>
    <w:pPr>
      <w:ind w:left="100" w:leftChars="2500"/>
    </w:pPr>
    <w:rPr>
      <w:rFonts w:asciiTheme="minorHAnsi" w:hAnsiTheme="minorHAnsi" w:eastAsiaTheme="minorEastAsia" w:cstheme="minorBidi"/>
    </w:rPr>
  </w:style>
  <w:style w:type="paragraph" w:styleId="22">
    <w:name w:val="Body Text Indent 2"/>
    <w:basedOn w:val="1"/>
    <w:link w:val="162"/>
    <w:autoRedefine/>
    <w:qFormat/>
    <w:uiPriority w:val="99"/>
    <w:pPr>
      <w:spacing w:after="120" w:line="480" w:lineRule="auto"/>
      <w:ind w:left="420" w:leftChars="200"/>
    </w:pPr>
    <w:rPr>
      <w:rFonts w:asciiTheme="minorHAnsi" w:hAnsiTheme="minorHAnsi" w:eastAsiaTheme="minorEastAsia" w:cstheme="minorBidi"/>
    </w:rPr>
  </w:style>
  <w:style w:type="paragraph" w:styleId="23">
    <w:name w:val="endnote text"/>
    <w:basedOn w:val="1"/>
    <w:link w:val="179"/>
    <w:autoRedefine/>
    <w:semiHidden/>
    <w:qFormat/>
    <w:uiPriority w:val="0"/>
    <w:pPr>
      <w:snapToGrid w:val="0"/>
    </w:pPr>
    <w:rPr>
      <w:rFonts w:asciiTheme="minorHAnsi" w:hAnsiTheme="minorHAnsi" w:eastAsiaTheme="minorEastAsia" w:cstheme="minorBidi"/>
    </w:rPr>
  </w:style>
  <w:style w:type="paragraph" w:styleId="24">
    <w:name w:val="Balloon Text"/>
    <w:basedOn w:val="1"/>
    <w:link w:val="148"/>
    <w:autoRedefine/>
    <w:qFormat/>
    <w:uiPriority w:val="99"/>
    <w:rPr>
      <w:rFonts w:asciiTheme="minorHAnsi" w:hAnsiTheme="minorHAnsi" w:eastAsiaTheme="minorEastAsia" w:cstheme="minorBidi"/>
      <w:sz w:val="18"/>
      <w:szCs w:val="18"/>
    </w:rPr>
  </w:style>
  <w:style w:type="paragraph" w:styleId="25">
    <w:name w:val="footer"/>
    <w:basedOn w:val="1"/>
    <w:link w:val="169"/>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6">
    <w:name w:val="header"/>
    <w:basedOn w:val="1"/>
    <w:link w:val="151"/>
    <w:autoRedefine/>
    <w:qFormat/>
    <w:uiPriority w:val="99"/>
    <w:pPr>
      <w:snapToGrid w:val="0"/>
    </w:pPr>
    <w:rPr>
      <w:rFonts w:asciiTheme="minorHAnsi" w:hAnsiTheme="minorHAnsi" w:eastAsiaTheme="minorEastAsia" w:cstheme="minorBidi"/>
      <w:sz w:val="18"/>
      <w:szCs w:val="18"/>
    </w:rPr>
  </w:style>
  <w:style w:type="paragraph" w:styleId="27">
    <w:name w:val="toc 1"/>
    <w:basedOn w:val="1"/>
    <w:next w:val="1"/>
    <w:autoRedefine/>
    <w:semiHidden/>
    <w:qFormat/>
    <w:uiPriority w:val="0"/>
    <w:pPr>
      <w:tabs>
        <w:tab w:val="right" w:leader="dot" w:pos="9242"/>
      </w:tabs>
      <w:spacing w:beforeLines="25" w:afterLines="25"/>
    </w:pPr>
    <w:rPr>
      <w:rFonts w:ascii="宋体"/>
      <w:szCs w:val="21"/>
    </w:rPr>
  </w:style>
  <w:style w:type="paragraph" w:styleId="28">
    <w:name w:val="index heading"/>
    <w:basedOn w:val="1"/>
    <w:next w:val="29"/>
    <w:autoRedefine/>
    <w:qFormat/>
    <w:uiPriority w:val="0"/>
    <w:pPr>
      <w:spacing w:before="120" w:after="120"/>
      <w:jc w:val="center"/>
    </w:pPr>
    <w:rPr>
      <w:rFonts w:ascii="Calibri" w:hAnsi="Calibri"/>
      <w:b/>
      <w:bCs/>
      <w:iCs/>
      <w:szCs w:val="20"/>
    </w:rPr>
  </w:style>
  <w:style w:type="paragraph" w:styleId="29">
    <w:name w:val="index 1"/>
    <w:basedOn w:val="1"/>
    <w:next w:val="1"/>
    <w:autoRedefine/>
    <w:unhideWhenUsed/>
    <w:qFormat/>
    <w:uiPriority w:val="0"/>
  </w:style>
  <w:style w:type="paragraph" w:styleId="30">
    <w:name w:val="footnote text"/>
    <w:basedOn w:val="1"/>
    <w:link w:val="158"/>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1">
    <w:name w:val="index 7"/>
    <w:basedOn w:val="1"/>
    <w:next w:val="1"/>
    <w:autoRedefine/>
    <w:qFormat/>
    <w:uiPriority w:val="0"/>
    <w:pPr>
      <w:ind w:left="1470" w:hanging="210"/>
    </w:pPr>
    <w:rPr>
      <w:rFonts w:ascii="Calibri" w:hAnsi="Calibri"/>
      <w:sz w:val="20"/>
      <w:szCs w:val="20"/>
    </w:rPr>
  </w:style>
  <w:style w:type="paragraph" w:styleId="32">
    <w:name w:val="index 9"/>
    <w:basedOn w:val="1"/>
    <w:next w:val="1"/>
    <w:autoRedefine/>
    <w:qFormat/>
    <w:uiPriority w:val="0"/>
    <w:pPr>
      <w:ind w:left="1890" w:hanging="210"/>
    </w:pPr>
    <w:rPr>
      <w:rFonts w:ascii="Calibri" w:hAnsi="Calibri"/>
      <w:sz w:val="20"/>
      <w:szCs w:val="20"/>
    </w:rPr>
  </w:style>
  <w:style w:type="paragraph" w:styleId="33">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4">
    <w:name w:val="Body Text 2"/>
    <w:basedOn w:val="1"/>
    <w:autoRedefine/>
    <w:qFormat/>
    <w:uiPriority w:val="0"/>
    <w:rPr>
      <w:bCs/>
      <w:kern w:val="0"/>
      <w:sz w:val="28"/>
      <w:szCs w:val="20"/>
    </w:rPr>
  </w:style>
  <w:style w:type="paragraph" w:styleId="35">
    <w:name w:val="HTML Preformatted"/>
    <w:basedOn w:val="1"/>
    <w:link w:val="156"/>
    <w:autoRedefine/>
    <w:qFormat/>
    <w:uiPriority w:val="0"/>
    <w:rPr>
      <w:rFonts w:ascii="Courier New" w:hAnsi="Courier New" w:cs="Courier New" w:eastAsiaTheme="minorEastAsia"/>
      <w:szCs w:val="22"/>
    </w:rPr>
  </w:style>
  <w:style w:type="paragraph" w:styleId="36">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7">
    <w:name w:val="index 2"/>
    <w:basedOn w:val="1"/>
    <w:next w:val="1"/>
    <w:autoRedefine/>
    <w:qFormat/>
    <w:uiPriority w:val="0"/>
    <w:pPr>
      <w:ind w:left="420" w:hanging="210"/>
    </w:pPr>
    <w:rPr>
      <w:rFonts w:ascii="Calibri" w:hAnsi="Calibri"/>
      <w:sz w:val="20"/>
      <w:szCs w:val="20"/>
    </w:rPr>
  </w:style>
  <w:style w:type="paragraph" w:styleId="38">
    <w:name w:val="Title"/>
    <w:basedOn w:val="1"/>
    <w:link w:val="182"/>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178"/>
    <w:autoRedefine/>
    <w:semiHidden/>
    <w:qFormat/>
    <w:uiPriority w:val="0"/>
    <w:rPr>
      <w:b/>
      <w:bCs/>
    </w:rPr>
  </w:style>
  <w:style w:type="paragraph" w:styleId="40">
    <w:name w:val="Body Text First Indent"/>
    <w:basedOn w:val="2"/>
    <w:autoRedefine/>
    <w:qFormat/>
    <w:uiPriority w:val="0"/>
    <w:pPr>
      <w:autoSpaceDE w:val="0"/>
      <w:autoSpaceDN w:val="0"/>
      <w:adjustRightInd w:val="0"/>
      <w:ind w:firstLine="420"/>
      <w:textAlignment w:val="baseline"/>
    </w:pPr>
    <w:rPr>
      <w:rFonts w:ascii="宋体"/>
      <w:sz w:val="34"/>
    </w:rPr>
  </w:style>
  <w:style w:type="table" w:styleId="42">
    <w:name w:val="Table Grid"/>
    <w:basedOn w:val="4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22"/>
    <w:rPr>
      <w:b/>
      <w:bCs/>
    </w:rPr>
  </w:style>
  <w:style w:type="character" w:styleId="45">
    <w:name w:val="page number"/>
    <w:basedOn w:val="43"/>
    <w:autoRedefine/>
    <w:qFormat/>
    <w:uiPriority w:val="99"/>
    <w:rPr>
      <w:rFonts w:ascii="Times New Roman" w:hAnsi="Times New Roman" w:eastAsia="宋体"/>
      <w:sz w:val="18"/>
    </w:rPr>
  </w:style>
  <w:style w:type="character" w:styleId="46">
    <w:name w:val="FollowedHyperlink"/>
    <w:autoRedefine/>
    <w:qFormat/>
    <w:uiPriority w:val="0"/>
    <w:rPr>
      <w:color w:val="800080"/>
      <w:u w:val="single"/>
    </w:rPr>
  </w:style>
  <w:style w:type="character" w:styleId="47">
    <w:name w:val="Emphasis"/>
    <w:autoRedefine/>
    <w:qFormat/>
    <w:uiPriority w:val="20"/>
    <w:rPr>
      <w:color w:val="CC0000"/>
    </w:rPr>
  </w:style>
  <w:style w:type="character" w:styleId="48">
    <w:name w:val="Hyperlink"/>
    <w:autoRedefine/>
    <w:qFormat/>
    <w:uiPriority w:val="99"/>
    <w:rPr>
      <w:color w:val="0000FF"/>
      <w:spacing w:val="0"/>
      <w:w w:val="100"/>
      <w:szCs w:val="21"/>
      <w:u w:val="single"/>
      <w:lang w:val="en-US" w:eastAsia="zh-CN"/>
    </w:rPr>
  </w:style>
  <w:style w:type="character" w:styleId="49">
    <w:name w:val="annotation reference"/>
    <w:basedOn w:val="43"/>
    <w:autoRedefine/>
    <w:semiHidden/>
    <w:unhideWhenUsed/>
    <w:qFormat/>
    <w:uiPriority w:val="0"/>
    <w:rPr>
      <w:sz w:val="21"/>
      <w:szCs w:val="21"/>
    </w:rPr>
  </w:style>
  <w:style w:type="character" w:styleId="50">
    <w:name w:val="footnote reference"/>
    <w:autoRedefine/>
    <w:qFormat/>
    <w:uiPriority w:val="0"/>
    <w:rPr>
      <w:vertAlign w:val="superscript"/>
    </w:rPr>
  </w:style>
  <w:style w:type="paragraph" w:customStyle="1" w:styleId="51">
    <w:name w:val="Body Text Indent 21"/>
    <w:basedOn w:val="1"/>
    <w:next w:val="26"/>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2">
    <w:name w:val="标题 1 字符"/>
    <w:basedOn w:val="43"/>
    <w:link w:val="4"/>
    <w:autoRedefine/>
    <w:qFormat/>
    <w:uiPriority w:val="0"/>
    <w:rPr>
      <w:rFonts w:ascii="Times New Roman" w:hAnsi="Times New Roman" w:eastAsia="宋体" w:cs="Times New Roman"/>
      <w:b/>
      <w:bCs/>
      <w:kern w:val="44"/>
      <w:sz w:val="44"/>
      <w:szCs w:val="44"/>
    </w:rPr>
  </w:style>
  <w:style w:type="character" w:customStyle="1" w:styleId="53">
    <w:name w:val="标题 2 字符"/>
    <w:basedOn w:val="43"/>
    <w:link w:val="5"/>
    <w:autoRedefine/>
    <w:qFormat/>
    <w:uiPriority w:val="0"/>
    <w:rPr>
      <w:rFonts w:ascii="宋体" w:hAnsi="宋体" w:eastAsia="宋体" w:cs="Times New Roman"/>
      <w:b/>
      <w:bCs/>
      <w:kern w:val="0"/>
      <w:sz w:val="36"/>
      <w:szCs w:val="36"/>
    </w:rPr>
  </w:style>
  <w:style w:type="character" w:customStyle="1" w:styleId="54">
    <w:name w:val="批注文字 Char"/>
    <w:autoRedefine/>
    <w:semiHidden/>
    <w:qFormat/>
    <w:uiPriority w:val="0"/>
    <w:rPr>
      <w:szCs w:val="24"/>
    </w:rPr>
  </w:style>
  <w:style w:type="character" w:customStyle="1" w:styleId="55">
    <w:name w:val="批注主题 Char"/>
    <w:autoRedefine/>
    <w:semiHidden/>
    <w:qFormat/>
    <w:uiPriority w:val="0"/>
    <w:rPr>
      <w:b/>
      <w:bCs/>
      <w:szCs w:val="24"/>
    </w:rPr>
  </w:style>
  <w:style w:type="character" w:customStyle="1" w:styleId="56">
    <w:name w:val="文档结构图 Char"/>
    <w:autoRedefine/>
    <w:semiHidden/>
    <w:qFormat/>
    <w:uiPriority w:val="0"/>
    <w:rPr>
      <w:szCs w:val="24"/>
      <w:shd w:val="clear" w:color="auto" w:fill="000080"/>
    </w:rPr>
  </w:style>
  <w:style w:type="character" w:customStyle="1" w:styleId="57">
    <w:name w:val="脚注文本 Char"/>
    <w:autoRedefine/>
    <w:qFormat/>
    <w:uiPriority w:val="0"/>
    <w:rPr>
      <w:rFonts w:ascii="宋体"/>
      <w:sz w:val="18"/>
      <w:szCs w:val="18"/>
    </w:rPr>
  </w:style>
  <w:style w:type="character" w:customStyle="1" w:styleId="58">
    <w:name w:val="con"/>
    <w:autoRedefine/>
    <w:qFormat/>
    <w:uiPriority w:val="0"/>
  </w:style>
  <w:style w:type="character" w:customStyle="1" w:styleId="59">
    <w:name w:val="bar-label2"/>
    <w:autoRedefine/>
    <w:qFormat/>
    <w:uiPriority w:val="99"/>
  </w:style>
  <w:style w:type="character" w:customStyle="1" w:styleId="60">
    <w:name w:val="正文文本缩进 2 Char"/>
    <w:autoRedefine/>
    <w:qFormat/>
    <w:uiPriority w:val="99"/>
    <w:rPr>
      <w:szCs w:val="24"/>
    </w:rPr>
  </w:style>
  <w:style w:type="character" w:customStyle="1" w:styleId="61">
    <w:name w:val="日期 Char"/>
    <w:autoRedefine/>
    <w:qFormat/>
    <w:uiPriority w:val="99"/>
    <w:rPr>
      <w:szCs w:val="24"/>
    </w:rPr>
  </w:style>
  <w:style w:type="character" w:customStyle="1" w:styleId="62">
    <w:name w:val="页脚 Char"/>
    <w:autoRedefine/>
    <w:qFormat/>
    <w:locked/>
    <w:uiPriority w:val="99"/>
    <w:rPr>
      <w:sz w:val="18"/>
      <w:szCs w:val="18"/>
    </w:rPr>
  </w:style>
  <w:style w:type="character" w:customStyle="1" w:styleId="63">
    <w:name w:val="apple-converted-space"/>
    <w:basedOn w:val="43"/>
    <w:autoRedefine/>
    <w:qFormat/>
    <w:uiPriority w:val="0"/>
  </w:style>
  <w:style w:type="character" w:customStyle="1" w:styleId="64">
    <w:name w:val="批注框文本 Char"/>
    <w:autoRedefine/>
    <w:qFormat/>
    <w:uiPriority w:val="99"/>
    <w:rPr>
      <w:sz w:val="18"/>
      <w:szCs w:val="18"/>
    </w:rPr>
  </w:style>
  <w:style w:type="character" w:customStyle="1" w:styleId="65">
    <w:name w:val="页眉 Char"/>
    <w:autoRedefine/>
    <w:qFormat/>
    <w:locked/>
    <w:uiPriority w:val="99"/>
    <w:rPr>
      <w:sz w:val="18"/>
      <w:szCs w:val="18"/>
    </w:rPr>
  </w:style>
  <w:style w:type="character" w:customStyle="1" w:styleId="66">
    <w:name w:val="首示例 Char"/>
    <w:link w:val="67"/>
    <w:autoRedefine/>
    <w:qFormat/>
    <w:uiPriority w:val="0"/>
    <w:rPr>
      <w:rFonts w:ascii="宋体" w:hAnsi="宋体"/>
      <w:sz w:val="18"/>
      <w:szCs w:val="18"/>
    </w:rPr>
  </w:style>
  <w:style w:type="paragraph" w:customStyle="1" w:styleId="67">
    <w:name w:val="首示例"/>
    <w:next w:val="68"/>
    <w:link w:val="66"/>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8">
    <w:name w:val="段"/>
    <w:link w:val="69"/>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9">
    <w:name w:val="段 Char"/>
    <w:link w:val="68"/>
    <w:autoRedefine/>
    <w:qFormat/>
    <w:uiPriority w:val="0"/>
    <w:rPr>
      <w:rFonts w:ascii="宋体"/>
    </w:rPr>
  </w:style>
  <w:style w:type="character" w:customStyle="1" w:styleId="70">
    <w:name w:val="附录公式 Char"/>
    <w:basedOn w:val="69"/>
    <w:link w:val="71"/>
    <w:autoRedefine/>
    <w:qFormat/>
    <w:uiPriority w:val="0"/>
    <w:rPr>
      <w:rFonts w:ascii="宋体"/>
    </w:rPr>
  </w:style>
  <w:style w:type="paragraph" w:customStyle="1" w:styleId="71">
    <w:name w:val="附录公式"/>
    <w:basedOn w:val="68"/>
    <w:next w:val="68"/>
    <w:link w:val="70"/>
    <w:autoRedefine/>
    <w:qFormat/>
    <w:uiPriority w:val="0"/>
  </w:style>
  <w:style w:type="character" w:customStyle="1" w:styleId="72">
    <w:name w:val="发布"/>
    <w:autoRedefine/>
    <w:qFormat/>
    <w:uiPriority w:val="0"/>
    <w:rPr>
      <w:rFonts w:ascii="黑体" w:eastAsia="黑体"/>
      <w:spacing w:val="85"/>
      <w:w w:val="100"/>
      <w:position w:val="3"/>
      <w:sz w:val="28"/>
      <w:szCs w:val="28"/>
    </w:rPr>
  </w:style>
  <w:style w:type="character" w:customStyle="1" w:styleId="73">
    <w:name w:val="一级条标题 Char"/>
    <w:link w:val="74"/>
    <w:autoRedefine/>
    <w:qFormat/>
    <w:uiPriority w:val="0"/>
    <w:rPr>
      <w:rFonts w:ascii="黑体" w:eastAsia="黑体"/>
      <w:szCs w:val="21"/>
    </w:rPr>
  </w:style>
  <w:style w:type="paragraph" w:customStyle="1" w:styleId="74">
    <w:name w:val="一级条标题"/>
    <w:next w:val="68"/>
    <w:link w:val="73"/>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5">
    <w:name w:val="HTML 预设格式 Char"/>
    <w:autoRedefine/>
    <w:qFormat/>
    <w:uiPriority w:val="0"/>
    <w:rPr>
      <w:rFonts w:ascii="Courier New" w:hAnsi="Courier New" w:cs="Courier New"/>
    </w:rPr>
  </w:style>
  <w:style w:type="character" w:customStyle="1" w:styleId="76">
    <w:name w:val="尾注文本 Char"/>
    <w:autoRedefine/>
    <w:semiHidden/>
    <w:qFormat/>
    <w:uiPriority w:val="0"/>
    <w:rPr>
      <w:szCs w:val="24"/>
    </w:rPr>
  </w:style>
  <w:style w:type="paragraph" w:customStyle="1" w:styleId="77">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78">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79">
    <w:name w:val="List Paragraph"/>
    <w:basedOn w:val="1"/>
    <w:autoRedefine/>
    <w:qFormat/>
    <w:uiPriority w:val="34"/>
    <w:pPr>
      <w:ind w:firstLine="420" w:firstLineChars="200"/>
    </w:pPr>
    <w:rPr>
      <w:rFonts w:ascii="宋体" w:hAnsi="宋体" w:cs="宋体"/>
      <w:kern w:val="0"/>
      <w:sz w:val="24"/>
    </w:rPr>
  </w:style>
  <w:style w:type="paragraph" w:customStyle="1" w:styleId="80">
    <w:name w:val="封面一致性程度标识2"/>
    <w:basedOn w:val="81"/>
    <w:autoRedefine/>
    <w:qFormat/>
    <w:uiPriority w:val="0"/>
    <w:pPr>
      <w:framePr w:wrap="around" w:y="4469"/>
    </w:pPr>
  </w:style>
  <w:style w:type="paragraph" w:customStyle="1" w:styleId="81">
    <w:name w:val="封面一致性程度标识"/>
    <w:basedOn w:val="82"/>
    <w:autoRedefine/>
    <w:qFormat/>
    <w:uiPriority w:val="0"/>
    <w:pPr>
      <w:framePr w:wrap="around"/>
      <w:spacing w:before="440"/>
    </w:pPr>
    <w:rPr>
      <w:rFonts w:ascii="宋体" w:eastAsia="宋体"/>
    </w:rPr>
  </w:style>
  <w:style w:type="paragraph" w:customStyle="1" w:styleId="82">
    <w:name w:val="封面标准英文名称"/>
    <w:basedOn w:val="83"/>
    <w:autoRedefine/>
    <w:qFormat/>
    <w:uiPriority w:val="0"/>
    <w:pPr>
      <w:framePr w:wrap="around"/>
      <w:spacing w:before="370" w:line="400" w:lineRule="exact"/>
    </w:pPr>
    <w:rPr>
      <w:rFonts w:ascii="Times New Roman"/>
      <w:sz w:val="28"/>
      <w:szCs w:val="28"/>
    </w:rPr>
  </w:style>
  <w:style w:type="paragraph" w:customStyle="1" w:styleId="83">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2"/>
    <w:basedOn w:val="82"/>
    <w:autoRedefine/>
    <w:qFormat/>
    <w:uiPriority w:val="0"/>
    <w:pPr>
      <w:framePr w:wrap="around" w:y="4469"/>
    </w:pPr>
  </w:style>
  <w:style w:type="paragraph" w:customStyle="1" w:styleId="85">
    <w:name w:val="其他发布日期"/>
    <w:basedOn w:val="86"/>
    <w:autoRedefine/>
    <w:qFormat/>
    <w:uiPriority w:val="0"/>
    <w:pPr>
      <w:framePr w:wrap="around" w:vAnchor="page" w:hAnchor="text" w:x="1419"/>
    </w:pPr>
  </w:style>
  <w:style w:type="paragraph" w:customStyle="1" w:styleId="86">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7">
    <w:name w:val="正文公式编号制表符"/>
    <w:basedOn w:val="68"/>
    <w:next w:val="68"/>
    <w:autoRedefine/>
    <w:qFormat/>
    <w:uiPriority w:val="0"/>
    <w:pPr>
      <w:ind w:firstLine="0" w:firstLineChars="0"/>
    </w:pPr>
  </w:style>
  <w:style w:type="paragraph" w:customStyle="1" w:styleId="88">
    <w:name w:val="正文表标题"/>
    <w:next w:val="68"/>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9">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0">
    <w:name w:val="一级无"/>
    <w:basedOn w:val="74"/>
    <w:autoRedefine/>
    <w:qFormat/>
    <w:uiPriority w:val="0"/>
  </w:style>
  <w:style w:type="paragraph" w:customStyle="1" w:styleId="91">
    <w:name w:val="图的脚注"/>
    <w:next w:val="68"/>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2">
    <w:name w:val="图标脚注说明"/>
    <w:basedOn w:val="68"/>
    <w:autoRedefine/>
    <w:qFormat/>
    <w:uiPriority w:val="0"/>
    <w:pPr>
      <w:ind w:left="840" w:hanging="420" w:firstLineChars="0"/>
    </w:pPr>
    <w:rPr>
      <w:sz w:val="18"/>
      <w:szCs w:val="18"/>
    </w:rPr>
  </w:style>
  <w:style w:type="paragraph" w:customStyle="1" w:styleId="93">
    <w:name w:val="示例后文字"/>
    <w:basedOn w:val="68"/>
    <w:next w:val="68"/>
    <w:autoRedefine/>
    <w:qFormat/>
    <w:uiPriority w:val="0"/>
    <w:pPr>
      <w:ind w:firstLine="360"/>
    </w:pPr>
    <w:rPr>
      <w:sz w:val="18"/>
    </w:rPr>
  </w:style>
  <w:style w:type="paragraph" w:customStyle="1" w:styleId="94">
    <w:name w:val="实施日期"/>
    <w:basedOn w:val="86"/>
    <w:autoRedefine/>
    <w:qFormat/>
    <w:uiPriority w:val="0"/>
    <w:pPr>
      <w:framePr w:wrap="around" w:vAnchor="page" w:hAnchor="text"/>
      <w:jc w:val="right"/>
    </w:pPr>
  </w:style>
  <w:style w:type="paragraph" w:customStyle="1" w:styleId="95">
    <w:name w:val="前言、引言标题"/>
    <w:next w:val="68"/>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6">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8">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99">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0">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1">
    <w:name w:val="条文脚注"/>
    <w:basedOn w:val="30"/>
    <w:autoRedefine/>
    <w:qFormat/>
    <w:uiPriority w:val="0"/>
    <w:pPr>
      <w:ind w:left="0" w:firstLine="0"/>
      <w:jc w:val="both"/>
    </w:pPr>
  </w:style>
  <w:style w:type="paragraph" w:customStyle="1" w:styleId="102">
    <w:name w:val="附录一级无"/>
    <w:basedOn w:val="103"/>
    <w:autoRedefine/>
    <w:qFormat/>
    <w:uiPriority w:val="0"/>
    <w:pPr>
      <w:tabs>
        <w:tab w:val="left" w:pos="360"/>
      </w:tabs>
      <w:spacing w:beforeLines="0" w:afterLines="0"/>
    </w:pPr>
    <w:rPr>
      <w:rFonts w:ascii="宋体" w:eastAsia="宋体"/>
      <w:szCs w:val="21"/>
    </w:rPr>
  </w:style>
  <w:style w:type="paragraph" w:customStyle="1" w:styleId="103">
    <w:name w:val="附录一级条标题"/>
    <w:basedOn w:val="104"/>
    <w:next w:val="68"/>
    <w:autoRedefine/>
    <w:qFormat/>
    <w:uiPriority w:val="0"/>
    <w:pPr>
      <w:tabs>
        <w:tab w:val="left" w:pos="360"/>
      </w:tabs>
      <w:autoSpaceDN w:val="0"/>
      <w:spacing w:beforeLines="50" w:afterLines="50"/>
      <w:outlineLvl w:val="2"/>
    </w:pPr>
  </w:style>
  <w:style w:type="paragraph" w:customStyle="1" w:styleId="104">
    <w:name w:val="附录章标题"/>
    <w:next w:val="68"/>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五级无"/>
    <w:basedOn w:val="106"/>
    <w:autoRedefine/>
    <w:qFormat/>
    <w:uiPriority w:val="0"/>
    <w:pPr>
      <w:tabs>
        <w:tab w:val="left" w:pos="360"/>
      </w:tabs>
      <w:spacing w:beforeLines="0" w:afterLines="0"/>
    </w:pPr>
    <w:rPr>
      <w:rFonts w:ascii="宋体" w:eastAsia="宋体"/>
      <w:szCs w:val="21"/>
    </w:rPr>
  </w:style>
  <w:style w:type="paragraph" w:customStyle="1" w:styleId="106">
    <w:name w:val="附录五级条标题"/>
    <w:basedOn w:val="107"/>
    <w:next w:val="68"/>
    <w:autoRedefine/>
    <w:qFormat/>
    <w:uiPriority w:val="0"/>
    <w:pPr>
      <w:tabs>
        <w:tab w:val="left" w:pos="360"/>
      </w:tabs>
      <w:outlineLvl w:val="6"/>
    </w:pPr>
  </w:style>
  <w:style w:type="paragraph" w:customStyle="1" w:styleId="107">
    <w:name w:val="附录四级条标题"/>
    <w:basedOn w:val="108"/>
    <w:next w:val="68"/>
    <w:autoRedefine/>
    <w:qFormat/>
    <w:uiPriority w:val="0"/>
    <w:pPr>
      <w:tabs>
        <w:tab w:val="left" w:pos="360"/>
      </w:tabs>
    </w:pPr>
  </w:style>
  <w:style w:type="paragraph" w:customStyle="1" w:styleId="108">
    <w:name w:val="附录三级条标题"/>
    <w:basedOn w:val="109"/>
    <w:next w:val="68"/>
    <w:autoRedefine/>
    <w:qFormat/>
    <w:uiPriority w:val="0"/>
    <w:pPr>
      <w:tabs>
        <w:tab w:val="left" w:pos="360"/>
      </w:tabs>
    </w:pPr>
  </w:style>
  <w:style w:type="paragraph" w:customStyle="1" w:styleId="109">
    <w:name w:val="附录二级条标题"/>
    <w:basedOn w:val="1"/>
    <w:next w:val="68"/>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图标题"/>
    <w:basedOn w:val="1"/>
    <w:next w:val="68"/>
    <w:autoRedefine/>
    <w:qFormat/>
    <w:uiPriority w:val="0"/>
    <w:pPr>
      <w:tabs>
        <w:tab w:val="left" w:pos="363"/>
      </w:tabs>
      <w:spacing w:beforeLines="50" w:afterLines="50"/>
      <w:jc w:val="center"/>
    </w:pPr>
    <w:rPr>
      <w:rFonts w:ascii="黑体" w:eastAsia="黑体"/>
      <w:szCs w:val="21"/>
    </w:rPr>
  </w:style>
  <w:style w:type="paragraph" w:customStyle="1" w:styleId="111">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2">
    <w:name w:val="附录四级无"/>
    <w:basedOn w:val="107"/>
    <w:autoRedefine/>
    <w:qFormat/>
    <w:uiPriority w:val="0"/>
    <w:pPr>
      <w:tabs>
        <w:tab w:val="clear" w:pos="360"/>
      </w:tabs>
      <w:spacing w:beforeLines="0" w:afterLines="0"/>
      <w:outlineLvl w:val="5"/>
    </w:pPr>
    <w:rPr>
      <w:rFonts w:ascii="宋体" w:eastAsia="宋体"/>
      <w:szCs w:val="21"/>
    </w:rPr>
  </w:style>
  <w:style w:type="paragraph" w:customStyle="1" w:styleId="113">
    <w:name w:val="附录三级无"/>
    <w:basedOn w:val="108"/>
    <w:autoRedefine/>
    <w:qFormat/>
    <w:uiPriority w:val="0"/>
  </w:style>
  <w:style w:type="paragraph" w:customStyle="1" w:styleId="114">
    <w:name w:val="注："/>
    <w:next w:val="68"/>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5">
    <w:name w:val="附录公式编号制表符"/>
    <w:basedOn w:val="1"/>
    <w:next w:val="68"/>
    <w:autoRedefine/>
    <w:qFormat/>
    <w:uiPriority w:val="0"/>
    <w:pPr>
      <w:tabs>
        <w:tab w:val="center" w:pos="4201"/>
        <w:tab w:val="right" w:leader="dot" w:pos="9298"/>
      </w:tabs>
      <w:autoSpaceDE w:val="0"/>
      <w:autoSpaceDN w:val="0"/>
    </w:pPr>
    <w:rPr>
      <w:rFonts w:ascii="宋体"/>
      <w:kern w:val="0"/>
      <w:szCs w:val="20"/>
    </w:rPr>
  </w:style>
  <w:style w:type="paragraph" w:customStyle="1" w:styleId="116">
    <w:name w:val="附录二级无"/>
    <w:basedOn w:val="109"/>
    <w:autoRedefine/>
    <w:qFormat/>
    <w:uiPriority w:val="0"/>
  </w:style>
  <w:style w:type="paragraph" w:customStyle="1" w:styleId="117">
    <w:name w:val="附录标题"/>
    <w:basedOn w:val="68"/>
    <w:next w:val="68"/>
    <w:autoRedefine/>
    <w:qFormat/>
    <w:uiPriority w:val="0"/>
    <w:pPr>
      <w:ind w:firstLine="0" w:firstLineChars="0"/>
      <w:jc w:val="center"/>
    </w:pPr>
    <w:rPr>
      <w:rFonts w:ascii="黑体" w:eastAsia="黑体"/>
    </w:rPr>
  </w:style>
  <w:style w:type="paragraph" w:customStyle="1" w:styleId="118">
    <w:name w:val="参考文献"/>
    <w:basedOn w:val="1"/>
    <w:next w:val="68"/>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9">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0">
    <w:name w:val="封面标准文稿类别"/>
    <w:basedOn w:val="81"/>
    <w:autoRedefine/>
    <w:qFormat/>
    <w:uiPriority w:val="0"/>
    <w:pPr>
      <w:framePr w:wrap="around"/>
      <w:spacing w:after="160" w:line="240" w:lineRule="auto"/>
    </w:pPr>
    <w:rPr>
      <w:sz w:val="24"/>
    </w:rPr>
  </w:style>
  <w:style w:type="paragraph" w:customStyle="1" w:styleId="121">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2">
    <w:name w:val="其他实施日期"/>
    <w:basedOn w:val="94"/>
    <w:autoRedefine/>
    <w:qFormat/>
    <w:uiPriority w:val="0"/>
    <w:pPr>
      <w:framePr w:wrap="around" w:vAnchor="margin" w:hAnchor="page"/>
    </w:pPr>
  </w:style>
  <w:style w:type="paragraph" w:customStyle="1" w:styleId="12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发布部门"/>
    <w:next w:val="68"/>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5">
    <w:name w:val="注：（正文）"/>
    <w:basedOn w:val="114"/>
    <w:next w:val="68"/>
    <w:autoRedefine/>
    <w:qFormat/>
    <w:uiPriority w:val="0"/>
  </w:style>
  <w:style w:type="paragraph" w:customStyle="1" w:styleId="126">
    <w:name w:val="参考文献、索引标题"/>
    <w:basedOn w:val="1"/>
    <w:next w:val="68"/>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9">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0">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1">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2">
    <w:name w:val="示例×："/>
    <w:basedOn w:val="133"/>
    <w:autoRedefine/>
    <w:qFormat/>
    <w:uiPriority w:val="0"/>
    <w:pPr>
      <w:spacing w:beforeLines="0" w:afterLines="0"/>
      <w:ind w:firstLine="363"/>
      <w:outlineLvl w:val="9"/>
    </w:pPr>
    <w:rPr>
      <w:rFonts w:ascii="宋体" w:eastAsia="宋体"/>
      <w:sz w:val="18"/>
      <w:szCs w:val="18"/>
    </w:rPr>
  </w:style>
  <w:style w:type="paragraph" w:customStyle="1" w:styleId="133">
    <w:name w:val="章标题"/>
    <w:next w:val="68"/>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4">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5">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6">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7">
    <w:name w:val="五级无"/>
    <w:basedOn w:val="138"/>
    <w:autoRedefine/>
    <w:qFormat/>
    <w:uiPriority w:val="0"/>
    <w:pPr>
      <w:spacing w:beforeLines="0" w:afterLines="0"/>
      <w:outlineLvl w:val="6"/>
    </w:pPr>
    <w:rPr>
      <w:rFonts w:ascii="宋体" w:eastAsia="宋体"/>
    </w:rPr>
  </w:style>
  <w:style w:type="paragraph" w:customStyle="1" w:styleId="138">
    <w:name w:val="五级条标题"/>
    <w:basedOn w:val="139"/>
    <w:next w:val="68"/>
    <w:autoRedefine/>
    <w:qFormat/>
    <w:uiPriority w:val="0"/>
  </w:style>
  <w:style w:type="paragraph" w:customStyle="1" w:styleId="139">
    <w:name w:val="四级条标题"/>
    <w:basedOn w:val="140"/>
    <w:next w:val="68"/>
    <w:autoRedefine/>
    <w:qFormat/>
    <w:uiPriority w:val="0"/>
  </w:style>
  <w:style w:type="paragraph" w:customStyle="1" w:styleId="140">
    <w:name w:val="三级条标题"/>
    <w:basedOn w:val="141"/>
    <w:next w:val="68"/>
    <w:autoRedefine/>
    <w:qFormat/>
    <w:uiPriority w:val="0"/>
  </w:style>
  <w:style w:type="paragraph" w:customStyle="1" w:styleId="141">
    <w:name w:val="二级条标题"/>
    <w:basedOn w:val="74"/>
    <w:next w:val="68"/>
    <w:autoRedefine/>
    <w:qFormat/>
    <w:uiPriority w:val="0"/>
  </w:style>
  <w:style w:type="paragraph" w:customStyle="1" w:styleId="142">
    <w:name w:val="四级无"/>
    <w:basedOn w:val="139"/>
    <w:autoRedefine/>
    <w:qFormat/>
    <w:uiPriority w:val="0"/>
  </w:style>
  <w:style w:type="paragraph" w:customStyle="1" w:styleId="143">
    <w:name w:val="三级无"/>
    <w:basedOn w:val="140"/>
    <w:autoRedefine/>
    <w:qFormat/>
    <w:uiPriority w:val="0"/>
  </w:style>
  <w:style w:type="paragraph" w:customStyle="1" w:styleId="144">
    <w:name w:val="其他标准标志"/>
    <w:basedOn w:val="128"/>
    <w:autoRedefine/>
    <w:qFormat/>
    <w:uiPriority w:val="0"/>
    <w:pPr>
      <w:framePr w:w="6101" w:wrap="around" w:vAnchor="page" w:hAnchor="page" w:x="4673" w:y="942"/>
    </w:pPr>
    <w:rPr>
      <w:w w:val="130"/>
    </w:rPr>
  </w:style>
  <w:style w:type="paragraph" w:customStyle="1" w:styleId="145">
    <w:name w:val="目次、标准名称标题"/>
    <w:basedOn w:val="1"/>
    <w:next w:val="68"/>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6">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7">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8">
    <w:name w:val="批注框文本 字符"/>
    <w:basedOn w:val="43"/>
    <w:link w:val="24"/>
    <w:autoRedefine/>
    <w:semiHidden/>
    <w:qFormat/>
    <w:uiPriority w:val="99"/>
    <w:rPr>
      <w:rFonts w:ascii="Times New Roman" w:hAnsi="Times New Roman" w:eastAsia="宋体" w:cs="Times New Roman"/>
      <w:sz w:val="18"/>
      <w:szCs w:val="18"/>
    </w:rPr>
  </w:style>
  <w:style w:type="paragraph" w:customStyle="1" w:styleId="149">
    <w:name w:val="列项◆（三级）"/>
    <w:basedOn w:val="1"/>
    <w:autoRedefine/>
    <w:qFormat/>
    <w:uiPriority w:val="99"/>
    <w:pPr>
      <w:tabs>
        <w:tab w:val="left" w:pos="969"/>
      </w:tabs>
      <w:ind w:left="969" w:hanging="414"/>
    </w:pPr>
    <w:rPr>
      <w:rFonts w:ascii="宋体"/>
      <w:szCs w:val="21"/>
    </w:rPr>
  </w:style>
  <w:style w:type="paragraph" w:customStyle="1" w:styleId="150">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1">
    <w:name w:val="页眉 字符"/>
    <w:basedOn w:val="43"/>
    <w:link w:val="26"/>
    <w:autoRedefine/>
    <w:semiHidden/>
    <w:qFormat/>
    <w:uiPriority w:val="99"/>
    <w:rPr>
      <w:rFonts w:ascii="Times New Roman" w:hAnsi="Times New Roman" w:eastAsia="宋体" w:cs="Times New Roman"/>
      <w:sz w:val="18"/>
      <w:szCs w:val="18"/>
    </w:rPr>
  </w:style>
  <w:style w:type="paragraph" w:customStyle="1" w:styleId="152">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3">
    <w:name w:val="其他发布部门"/>
    <w:basedOn w:val="124"/>
    <w:autoRedefine/>
    <w:qFormat/>
    <w:uiPriority w:val="0"/>
    <w:pPr>
      <w:framePr w:wrap="around" w:y="15310"/>
      <w:spacing w:line="0" w:lineRule="atLeast"/>
    </w:pPr>
    <w:rPr>
      <w:rFonts w:ascii="黑体" w:eastAsia="黑体"/>
      <w:b w:val="0"/>
    </w:rPr>
  </w:style>
  <w:style w:type="paragraph" w:customStyle="1" w:styleId="154">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5">
    <w:name w:val="正文图标题"/>
    <w:next w:val="68"/>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6">
    <w:name w:val="HTML 预设格式 字符"/>
    <w:basedOn w:val="43"/>
    <w:link w:val="35"/>
    <w:autoRedefine/>
    <w:semiHidden/>
    <w:qFormat/>
    <w:uiPriority w:val="99"/>
    <w:rPr>
      <w:rFonts w:ascii="Courier New" w:hAnsi="Courier New" w:eastAsia="宋体" w:cs="Courier New"/>
      <w:sz w:val="20"/>
      <w:szCs w:val="20"/>
    </w:rPr>
  </w:style>
  <w:style w:type="paragraph" w:customStyle="1" w:styleId="157">
    <w:name w:val="附录标识"/>
    <w:basedOn w:val="1"/>
    <w:next w:val="68"/>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8">
    <w:name w:val="脚注文本 字符"/>
    <w:basedOn w:val="43"/>
    <w:link w:val="30"/>
    <w:autoRedefine/>
    <w:semiHidden/>
    <w:qFormat/>
    <w:uiPriority w:val="99"/>
    <w:rPr>
      <w:rFonts w:ascii="Times New Roman" w:hAnsi="Times New Roman" w:eastAsia="宋体" w:cs="Times New Roman"/>
      <w:sz w:val="18"/>
      <w:szCs w:val="18"/>
    </w:rPr>
  </w:style>
  <w:style w:type="paragraph" w:customStyle="1" w:styleId="159">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0">
    <w:name w:val="二级无"/>
    <w:basedOn w:val="141"/>
    <w:autoRedefine/>
    <w:qFormat/>
    <w:uiPriority w:val="0"/>
  </w:style>
  <w:style w:type="paragraph" w:customStyle="1" w:styleId="161">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2">
    <w:name w:val="正文文本缩进 2 字符"/>
    <w:basedOn w:val="43"/>
    <w:link w:val="22"/>
    <w:autoRedefine/>
    <w:semiHidden/>
    <w:qFormat/>
    <w:uiPriority w:val="99"/>
    <w:rPr>
      <w:rFonts w:ascii="Times New Roman" w:hAnsi="Times New Roman" w:eastAsia="宋体" w:cs="Times New Roman"/>
      <w:szCs w:val="24"/>
    </w:rPr>
  </w:style>
  <w:style w:type="paragraph" w:customStyle="1" w:styleId="163">
    <w:name w:val="封面标准文稿编辑信息2"/>
    <w:basedOn w:val="164"/>
    <w:autoRedefine/>
    <w:qFormat/>
    <w:uiPriority w:val="0"/>
    <w:pPr>
      <w:framePr w:wrap="around" w:y="4469"/>
    </w:pPr>
  </w:style>
  <w:style w:type="paragraph" w:customStyle="1" w:styleId="164">
    <w:name w:val="封面标准文稿编辑信息"/>
    <w:basedOn w:val="120"/>
    <w:autoRedefine/>
    <w:qFormat/>
    <w:uiPriority w:val="0"/>
    <w:pPr>
      <w:framePr w:wrap="around"/>
      <w:spacing w:before="180" w:line="180" w:lineRule="exact"/>
    </w:pPr>
    <w:rPr>
      <w:sz w:val="21"/>
    </w:rPr>
  </w:style>
  <w:style w:type="paragraph" w:customStyle="1" w:styleId="165">
    <w:name w:val="附录表标题"/>
    <w:basedOn w:val="1"/>
    <w:next w:val="68"/>
    <w:autoRedefine/>
    <w:qFormat/>
    <w:uiPriority w:val="0"/>
    <w:pPr>
      <w:tabs>
        <w:tab w:val="left" w:pos="180"/>
      </w:tabs>
      <w:spacing w:beforeLines="50" w:afterLines="50"/>
      <w:jc w:val="center"/>
    </w:pPr>
    <w:rPr>
      <w:rFonts w:ascii="黑体" w:eastAsia="黑体"/>
      <w:szCs w:val="21"/>
    </w:rPr>
  </w:style>
  <w:style w:type="paragraph" w:customStyle="1" w:styleId="166">
    <w:name w:val="标准书眉_偶数页"/>
    <w:basedOn w:val="150"/>
    <w:next w:val="1"/>
    <w:autoRedefine/>
    <w:qFormat/>
    <w:uiPriority w:val="0"/>
    <w:pPr>
      <w:jc w:val="left"/>
    </w:pPr>
  </w:style>
  <w:style w:type="paragraph" w:customStyle="1" w:styleId="167">
    <w:name w:val="附录表标号"/>
    <w:basedOn w:val="1"/>
    <w:next w:val="68"/>
    <w:autoRedefine/>
    <w:qFormat/>
    <w:uiPriority w:val="0"/>
    <w:pPr>
      <w:spacing w:line="14" w:lineRule="exact"/>
      <w:ind w:left="811" w:hanging="448"/>
      <w:jc w:val="center"/>
      <w:outlineLvl w:val="0"/>
    </w:pPr>
    <w:rPr>
      <w:color w:val="FFFFFF"/>
    </w:rPr>
  </w:style>
  <w:style w:type="paragraph" w:customStyle="1" w:styleId="168">
    <w:name w:val="图表脚注说明"/>
    <w:basedOn w:val="1"/>
    <w:autoRedefine/>
    <w:qFormat/>
    <w:uiPriority w:val="0"/>
    <w:pPr>
      <w:ind w:left="544" w:hanging="181"/>
    </w:pPr>
    <w:rPr>
      <w:rFonts w:ascii="宋体"/>
      <w:sz w:val="18"/>
      <w:szCs w:val="18"/>
    </w:rPr>
  </w:style>
  <w:style w:type="character" w:customStyle="1" w:styleId="169">
    <w:name w:val="页脚 字符"/>
    <w:basedOn w:val="43"/>
    <w:link w:val="25"/>
    <w:autoRedefine/>
    <w:semiHidden/>
    <w:qFormat/>
    <w:uiPriority w:val="99"/>
    <w:rPr>
      <w:rFonts w:ascii="Times New Roman" w:hAnsi="Times New Roman" w:eastAsia="宋体" w:cs="Times New Roman"/>
      <w:sz w:val="18"/>
      <w:szCs w:val="18"/>
    </w:rPr>
  </w:style>
  <w:style w:type="character" w:customStyle="1" w:styleId="170">
    <w:name w:val="批注文字 字符"/>
    <w:basedOn w:val="43"/>
    <w:link w:val="14"/>
    <w:autoRedefine/>
    <w:semiHidden/>
    <w:qFormat/>
    <w:uiPriority w:val="99"/>
    <w:rPr>
      <w:rFonts w:ascii="Times New Roman" w:hAnsi="Times New Roman" w:eastAsia="宋体" w:cs="Times New Roman"/>
      <w:szCs w:val="24"/>
    </w:rPr>
  </w:style>
  <w:style w:type="paragraph" w:customStyle="1" w:styleId="171">
    <w:name w:val="封面标准名称2"/>
    <w:basedOn w:val="83"/>
    <w:autoRedefine/>
    <w:qFormat/>
    <w:uiPriority w:val="0"/>
    <w:pPr>
      <w:framePr w:wrap="around" w:y="4469"/>
      <w:spacing w:beforeLines="630"/>
    </w:pPr>
  </w:style>
  <w:style w:type="character" w:customStyle="1" w:styleId="172">
    <w:name w:val="日期 字符"/>
    <w:basedOn w:val="43"/>
    <w:link w:val="21"/>
    <w:autoRedefine/>
    <w:semiHidden/>
    <w:qFormat/>
    <w:uiPriority w:val="99"/>
    <w:rPr>
      <w:rFonts w:ascii="Times New Roman" w:hAnsi="Times New Roman" w:eastAsia="宋体" w:cs="Times New Roman"/>
      <w:szCs w:val="24"/>
    </w:rPr>
  </w:style>
  <w:style w:type="character" w:customStyle="1" w:styleId="173">
    <w:name w:val="文档结构图 字符"/>
    <w:basedOn w:val="43"/>
    <w:link w:val="13"/>
    <w:autoRedefine/>
    <w:semiHidden/>
    <w:qFormat/>
    <w:uiPriority w:val="99"/>
    <w:rPr>
      <w:rFonts w:ascii="宋体" w:hAnsi="Times New Roman" w:eastAsia="宋体" w:cs="Times New Roman"/>
      <w:sz w:val="18"/>
      <w:szCs w:val="18"/>
    </w:rPr>
  </w:style>
  <w:style w:type="paragraph" w:customStyle="1" w:styleId="174">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5">
    <w:name w:val="封面标准文稿类别2"/>
    <w:basedOn w:val="120"/>
    <w:autoRedefine/>
    <w:qFormat/>
    <w:uiPriority w:val="0"/>
    <w:pPr>
      <w:framePr w:wrap="around" w:y="4469"/>
    </w:pPr>
  </w:style>
  <w:style w:type="paragraph" w:customStyle="1" w:styleId="176">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7">
    <w:name w:val="终结线"/>
    <w:basedOn w:val="1"/>
    <w:autoRedefine/>
    <w:qFormat/>
    <w:uiPriority w:val="0"/>
    <w:pPr>
      <w:framePr w:hSpace="181" w:vSpace="181" w:wrap="around" w:vAnchor="text" w:hAnchor="margin" w:xAlign="center" w:y="285"/>
    </w:pPr>
  </w:style>
  <w:style w:type="character" w:customStyle="1" w:styleId="178">
    <w:name w:val="批注主题 字符"/>
    <w:basedOn w:val="170"/>
    <w:link w:val="39"/>
    <w:autoRedefine/>
    <w:semiHidden/>
    <w:qFormat/>
    <w:uiPriority w:val="99"/>
    <w:rPr>
      <w:rFonts w:ascii="Times New Roman" w:hAnsi="Times New Roman" w:eastAsia="宋体" w:cs="Times New Roman"/>
      <w:b/>
      <w:bCs/>
      <w:szCs w:val="24"/>
    </w:rPr>
  </w:style>
  <w:style w:type="character" w:customStyle="1" w:styleId="179">
    <w:name w:val="尾注文本 字符"/>
    <w:basedOn w:val="43"/>
    <w:link w:val="23"/>
    <w:autoRedefine/>
    <w:semiHidden/>
    <w:qFormat/>
    <w:uiPriority w:val="99"/>
    <w:rPr>
      <w:rFonts w:ascii="Times New Roman" w:hAnsi="Times New Roman" w:eastAsia="宋体" w:cs="Times New Roman"/>
      <w:szCs w:val="24"/>
    </w:rPr>
  </w:style>
  <w:style w:type="paragraph" w:customStyle="1" w:styleId="180">
    <w:name w:val="示例"/>
    <w:next w:val="131"/>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1">
    <w:name w:val="正文文本 3 字符"/>
    <w:basedOn w:val="43"/>
    <w:link w:val="16"/>
    <w:autoRedefine/>
    <w:semiHidden/>
    <w:qFormat/>
    <w:uiPriority w:val="99"/>
    <w:rPr>
      <w:rFonts w:ascii="Times New Roman" w:hAnsi="Times New Roman" w:eastAsia="宋体" w:cs="Times New Roman"/>
      <w:sz w:val="16"/>
      <w:szCs w:val="16"/>
    </w:rPr>
  </w:style>
  <w:style w:type="character" w:customStyle="1" w:styleId="182">
    <w:name w:val="标题 字符"/>
    <w:basedOn w:val="43"/>
    <w:link w:val="38"/>
    <w:autoRedefine/>
    <w:qFormat/>
    <w:uiPriority w:val="0"/>
    <w:rPr>
      <w:rFonts w:ascii="Arial" w:hAnsi="Arial" w:eastAsia="宋体" w:cs="Times New Roman"/>
      <w:b/>
      <w:kern w:val="0"/>
      <w:sz w:val="32"/>
      <w:szCs w:val="20"/>
    </w:rPr>
  </w:style>
  <w:style w:type="paragraph" w:customStyle="1" w:styleId="183">
    <w:name w:val="p0"/>
    <w:basedOn w:val="1"/>
    <w:autoRedefine/>
    <w:qFormat/>
    <w:uiPriority w:val="0"/>
    <w:pPr>
      <w:spacing w:line="240" w:lineRule="auto"/>
      <w:jc w:val="both"/>
    </w:pPr>
    <w:rPr>
      <w:kern w:val="0"/>
      <w:szCs w:val="21"/>
    </w:rPr>
  </w:style>
  <w:style w:type="character" w:customStyle="1" w:styleId="184">
    <w:name w:val="纯文本 字符"/>
    <w:basedOn w:val="43"/>
    <w:link w:val="19"/>
    <w:autoRedefine/>
    <w:qFormat/>
    <w:uiPriority w:val="99"/>
    <w:rPr>
      <w:rFonts w:ascii="宋体" w:hAnsi="Courier New" w:eastAsia="宋体" w:cs="Courier New"/>
      <w:szCs w:val="21"/>
    </w:rPr>
  </w:style>
  <w:style w:type="paragraph" w:customStyle="1" w:styleId="18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6">
    <w:name w:val="正文文本 字符"/>
    <w:basedOn w:val="43"/>
    <w:link w:val="2"/>
    <w:autoRedefine/>
    <w:semiHidden/>
    <w:qFormat/>
    <w:uiPriority w:val="99"/>
    <w:rPr>
      <w:kern w:val="2"/>
      <w:sz w:val="21"/>
      <w:szCs w:val="24"/>
    </w:rPr>
  </w:style>
  <w:style w:type="paragraph" w:customStyle="1" w:styleId="187">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8">
    <w:name w:val="标题 4 字符"/>
    <w:basedOn w:val="43"/>
    <w:link w:val="7"/>
    <w:autoRedefine/>
    <w:semiHidden/>
    <w:qFormat/>
    <w:uiPriority w:val="9"/>
    <w:rPr>
      <w:rFonts w:asciiTheme="majorHAnsi" w:hAnsiTheme="majorHAnsi" w:eastAsiaTheme="majorEastAsia" w:cstheme="majorBidi"/>
      <w:b/>
      <w:bCs/>
      <w:kern w:val="2"/>
      <w:sz w:val="28"/>
      <w:szCs w:val="28"/>
    </w:rPr>
  </w:style>
  <w:style w:type="paragraph" w:customStyle="1" w:styleId="189">
    <w:name w:val="_Style 2"/>
    <w:basedOn w:val="4"/>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0">
    <w:name w:val="_Style 4"/>
    <w:autoRedefine/>
    <w:qFormat/>
    <w:uiPriority w:val="31"/>
    <w:rPr>
      <w:smallCaps/>
      <w:color w:val="C0504D"/>
      <w:u w:val="single"/>
    </w:rPr>
  </w:style>
  <w:style w:type="paragraph" w:customStyle="1" w:styleId="191">
    <w:name w:val="纯文本1"/>
    <w:basedOn w:val="1"/>
    <w:autoRedefine/>
    <w:qFormat/>
    <w:uiPriority w:val="0"/>
    <w:rPr>
      <w:rFonts w:ascii="宋体" w:hAnsi="Courier New" w:cs="Courier New"/>
      <w:szCs w:val="21"/>
    </w:rPr>
  </w:style>
  <w:style w:type="paragraph" w:customStyle="1" w:styleId="192">
    <w:name w:val="CM99"/>
    <w:basedOn w:val="3"/>
    <w:next w:val="3"/>
    <w:autoRedefine/>
    <w:qFormat/>
    <w:uiPriority w:val="0"/>
    <w:pPr>
      <w:spacing w:after="443"/>
    </w:pPr>
  </w:style>
  <w:style w:type="paragraph" w:customStyle="1" w:styleId="193">
    <w:name w:val="CM80"/>
    <w:basedOn w:val="3"/>
    <w:next w:val="3"/>
    <w:autoRedefine/>
    <w:qFormat/>
    <w:uiPriority w:val="0"/>
    <w:pPr>
      <w:spacing w:line="440" w:lineRule="atLeast"/>
    </w:pPr>
  </w:style>
  <w:style w:type="paragraph" w:customStyle="1" w:styleId="194">
    <w:name w:val="qg标题 2 + 橙色"/>
    <w:basedOn w:val="5"/>
    <w:autoRedefine/>
    <w:qFormat/>
    <w:uiPriority w:val="0"/>
    <w:pPr>
      <w:autoSpaceDE w:val="0"/>
      <w:spacing w:before="0" w:after="0" w:line="360" w:lineRule="auto"/>
    </w:pPr>
    <w:rPr>
      <w:sz w:val="30"/>
      <w:szCs w:val="30"/>
    </w:rPr>
  </w:style>
  <w:style w:type="paragraph" w:customStyle="1" w:styleId="195">
    <w:name w:val="WPSOffice手动目录 1"/>
    <w:autoRedefine/>
    <w:qFormat/>
    <w:uiPriority w:val="0"/>
    <w:pPr>
      <w:ind w:leftChars="0"/>
    </w:pPr>
    <w:rPr>
      <w:rFonts w:ascii="Times New Roman" w:hAnsi="Times New Roman" w:eastAsia="宋体" w:cs="Times New Roman"/>
      <w:sz w:val="20"/>
      <w:szCs w:val="20"/>
    </w:rPr>
  </w:style>
  <w:style w:type="paragraph" w:styleId="196">
    <w:name w:val="No Spacing"/>
    <w:autoRedefine/>
    <w:qFormat/>
    <w:uiPriority w:val="1"/>
    <w:pPr>
      <w:widowControl w:val="0"/>
      <w:spacing w:afterLines="5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58</Pages>
  <Words>27162</Words>
  <Characters>29055</Characters>
  <Lines>206</Lines>
  <Paragraphs>58</Paragraphs>
  <TotalTime>5</TotalTime>
  <ScaleCrop>false</ScaleCrop>
  <LinksUpToDate>false</LinksUpToDate>
  <CharactersWithSpaces>30955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吴滔</cp:lastModifiedBy>
  <cp:lastPrinted>2022-04-13T08:22:00Z</cp:lastPrinted>
  <dcterms:modified xsi:type="dcterms:W3CDTF">2024-05-30T06:02:26Z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DE19BF17F1924DD0850F10D2FF74EF19_13</vt:lpwstr>
  </property>
</Properties>
</file>