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900" w:lineRule="exact"/>
        <w:ind w:firstLine="0" w:firstLineChars="0"/>
        <w:jc w:val="center"/>
        <w:rPr>
          <w:rFonts w:hint="default" w:ascii="黑体" w:hAnsi="黑体" w:eastAsia="黑体" w:cs="Times New Roman"/>
          <w:b/>
          <w:bCs/>
          <w:color w:val="auto"/>
          <w:kern w:val="2"/>
          <w:sz w:val="48"/>
          <w:szCs w:val="48"/>
          <w:highlight w:val="none"/>
          <w:u w:val="none"/>
          <w:lang w:val="en-US" w:eastAsia="zh-CN" w:bidi="ar"/>
        </w:rPr>
      </w:pPr>
    </w:p>
    <w:p>
      <w:pPr>
        <w:spacing w:line="360" w:lineRule="auto"/>
        <w:jc w:val="center"/>
        <w:outlineLvl w:val="0"/>
        <w:rPr>
          <w:rFonts w:hint="eastAsia" w:ascii="黑体" w:hAnsi="黑体" w:eastAsia="黑体"/>
          <w:b/>
          <w:bCs/>
          <w:color w:val="auto"/>
          <w:sz w:val="48"/>
          <w:szCs w:val="48"/>
          <w:highlight w:val="none"/>
          <w:lang w:val="en-US" w:eastAsia="zh-CN"/>
        </w:rPr>
      </w:pPr>
      <w:bookmarkStart w:id="0" w:name="_Toc9116"/>
      <w:bookmarkStart w:id="1" w:name="_Toc10206"/>
      <w:bookmarkStart w:id="2" w:name="_Toc22085"/>
      <w:bookmarkStart w:id="3" w:name="_Toc9647"/>
      <w:bookmarkStart w:id="4" w:name="_Toc22568"/>
      <w:r>
        <w:rPr>
          <w:rFonts w:hint="eastAsia" w:ascii="黑体" w:hAnsi="黑体" w:eastAsia="黑体"/>
          <w:b/>
          <w:bCs/>
          <w:color w:val="auto"/>
          <w:sz w:val="48"/>
          <w:szCs w:val="48"/>
          <w:highlight w:val="none"/>
          <w:lang w:val="en-US" w:eastAsia="zh-CN"/>
        </w:rPr>
        <w:t>城港公司2024年度职工健康体检项目</w:t>
      </w:r>
      <w:bookmarkEnd w:id="0"/>
    </w:p>
    <w:p>
      <w:pPr>
        <w:spacing w:line="360" w:lineRule="auto"/>
        <w:jc w:val="center"/>
        <w:outlineLvl w:val="0"/>
        <w:rPr>
          <w:rFonts w:hint="eastAsia" w:ascii="黑体" w:hAnsi="黑体" w:eastAsia="黑体"/>
          <w:b/>
          <w:bCs/>
          <w:color w:val="auto"/>
          <w:sz w:val="48"/>
          <w:szCs w:val="48"/>
          <w:highlight w:val="none"/>
          <w:lang w:val="en-US" w:eastAsia="zh-CN"/>
        </w:rPr>
      </w:pPr>
      <w:bookmarkStart w:id="5" w:name="_Toc8324"/>
      <w:r>
        <w:rPr>
          <w:rFonts w:hint="eastAsia" w:ascii="黑体" w:hAnsi="黑体" w:eastAsia="黑体"/>
          <w:b/>
          <w:bCs/>
          <w:color w:val="auto"/>
          <w:sz w:val="72"/>
          <w:szCs w:val="72"/>
          <w:highlight w:val="none"/>
          <w:lang w:val="en-US" w:eastAsia="zh-CN"/>
        </w:rPr>
        <w:t>招 标 文 件</w:t>
      </w:r>
      <w:bookmarkEnd w:id="1"/>
      <w:bookmarkEnd w:id="2"/>
      <w:bookmarkEnd w:id="3"/>
      <w:bookmarkEnd w:id="4"/>
      <w:bookmarkEnd w:id="5"/>
    </w:p>
    <w:p>
      <w:pPr>
        <w:snapToGrid w:val="0"/>
        <w:spacing w:line="480" w:lineRule="auto"/>
        <w:jc w:val="center"/>
        <w:rPr>
          <w:b/>
          <w:bCs/>
          <w:color w:val="auto"/>
          <w:sz w:val="48"/>
          <w:szCs w:val="48"/>
          <w:highlight w:val="none"/>
        </w:rPr>
      </w:pPr>
      <w:r>
        <w:rPr>
          <w:rFonts w:hint="eastAsia" w:ascii="黑体" w:hAnsi="黑体" w:eastAsia="黑体" w:cs="黑体"/>
          <w:b w:val="0"/>
          <w:bCs w:val="0"/>
          <w:color w:val="auto"/>
          <w:sz w:val="28"/>
          <w:szCs w:val="28"/>
          <w:highlight w:val="none"/>
          <w:lang w:val="en-US" w:eastAsia="zh-CN"/>
        </w:rPr>
        <w:t>采购编号：省港服（2024）年</w:t>
      </w:r>
      <w:ins w:id="0" w:author="咸鱼" w:date="2024-05-24T15:07:48Z">
        <w:r>
          <w:rPr>
            <w:rFonts w:hint="eastAsia" w:ascii="黑体" w:hAnsi="黑体" w:eastAsia="黑体" w:cs="黑体"/>
            <w:b w:val="0"/>
            <w:bCs w:val="0"/>
            <w:color w:val="auto"/>
            <w:sz w:val="28"/>
            <w:szCs w:val="28"/>
            <w:highlight w:val="none"/>
            <w:lang w:val="en-US" w:eastAsia="zh-CN"/>
          </w:rPr>
          <w:t>招</w:t>
        </w:r>
      </w:ins>
      <w:del w:id="1" w:author="咸鱼" w:date="2024-05-24T15:07:47Z">
        <w:r>
          <w:rPr>
            <w:rFonts w:hint="eastAsia" w:ascii="黑体" w:hAnsi="黑体" w:eastAsia="黑体" w:cs="黑体"/>
            <w:b w:val="0"/>
            <w:bCs w:val="0"/>
            <w:color w:val="auto"/>
            <w:sz w:val="28"/>
            <w:szCs w:val="28"/>
            <w:highlight w:val="none"/>
            <w:lang w:val="en-US" w:eastAsia="zh-CN"/>
          </w:rPr>
          <w:delText>询</w:delText>
        </w:r>
      </w:del>
      <w:r>
        <w:rPr>
          <w:rFonts w:hint="eastAsia" w:ascii="黑体" w:hAnsi="黑体" w:eastAsia="黑体" w:cs="黑体"/>
          <w:b w:val="0"/>
          <w:bCs w:val="0"/>
          <w:color w:val="auto"/>
          <w:sz w:val="28"/>
          <w:szCs w:val="28"/>
          <w:highlight w:val="none"/>
          <w:lang w:val="en-US" w:eastAsia="zh-CN"/>
        </w:rPr>
        <w:t>第   号【城港】</w:t>
      </w:r>
    </w:p>
    <w:p>
      <w:pPr>
        <w:spacing w:line="480" w:lineRule="auto"/>
        <w:jc w:val="center"/>
        <w:rPr>
          <w:rFonts w:ascii="宋体" w:hAnsi="宋体" w:cs="宋体"/>
          <w:b/>
          <w:color w:val="auto"/>
          <w:kern w:val="0"/>
          <w:sz w:val="28"/>
          <w:szCs w:val="28"/>
          <w:highlight w:val="none"/>
        </w:rPr>
      </w:pPr>
    </w:p>
    <w:p>
      <w:pPr>
        <w:pStyle w:val="2"/>
        <w:rPr>
          <w:rFonts w:ascii="宋体" w:hAnsi="宋体" w:cs="宋体"/>
          <w:b/>
          <w:color w:val="auto"/>
          <w:kern w:val="0"/>
          <w:sz w:val="28"/>
          <w:szCs w:val="28"/>
          <w:highlight w:val="none"/>
        </w:rPr>
      </w:pPr>
    </w:p>
    <w:p>
      <w:pPr>
        <w:pStyle w:val="3"/>
        <w:rPr>
          <w:color w:val="auto"/>
          <w:highlight w:val="none"/>
        </w:rPr>
      </w:pPr>
    </w:p>
    <w:p>
      <w:pPr>
        <w:snapToGrid w:val="0"/>
        <w:spacing w:line="480" w:lineRule="auto"/>
        <w:jc w:val="center"/>
        <w:rPr>
          <w:b/>
          <w:bCs/>
          <w:color w:val="auto"/>
          <w:sz w:val="48"/>
          <w:szCs w:val="48"/>
          <w:highlight w:val="none"/>
        </w:rPr>
      </w:pPr>
    </w:p>
    <w:p>
      <w:pPr>
        <w:spacing w:line="600" w:lineRule="exact"/>
        <w:rPr>
          <w:color w:val="auto"/>
          <w:highlight w:val="none"/>
        </w:rPr>
      </w:pPr>
    </w:p>
    <w:p>
      <w:pPr>
        <w:spacing w:line="600" w:lineRule="exact"/>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snapToGrid w:val="0"/>
        <w:spacing w:line="900" w:lineRule="exact"/>
        <w:jc w:val="center"/>
        <w:rPr>
          <w:rFonts w:hint="default" w:ascii="黑体" w:hAnsi="黑体" w:eastAsia="黑体"/>
          <w:b/>
          <w:bCs/>
          <w:color w:val="auto"/>
          <w:sz w:val="44"/>
          <w:szCs w:val="44"/>
          <w:highlight w:val="none"/>
          <w:lang w:val="en-US"/>
        </w:rPr>
      </w:pPr>
      <w:r>
        <w:rPr>
          <w:rFonts w:hint="eastAsia" w:ascii="黑体" w:hAnsi="黑体" w:eastAsia="黑体"/>
          <w:b/>
          <w:bCs/>
          <w:color w:val="auto"/>
          <w:sz w:val="44"/>
          <w:szCs w:val="44"/>
          <w:highlight w:val="none"/>
          <w:lang w:val="en-US" w:eastAsia="zh-CN"/>
        </w:rPr>
        <w:t>岳阳城陵矶港务有限责任公司</w:t>
      </w:r>
    </w:p>
    <w:p>
      <w:pPr>
        <w:rPr>
          <w:color w:val="auto"/>
          <w:highlight w:val="none"/>
        </w:rPr>
      </w:pPr>
    </w:p>
    <w:p>
      <w:pPr>
        <w:tabs>
          <w:tab w:val="left" w:pos="0"/>
          <w:tab w:val="left" w:pos="4185"/>
        </w:tabs>
        <w:spacing w:line="288" w:lineRule="auto"/>
        <w:ind w:right="-6"/>
        <w:jc w:val="center"/>
        <w:rPr>
          <w:rFonts w:ascii="黑体" w:hAnsi="黑体" w:eastAsia="黑体"/>
          <w:bCs/>
          <w:color w:val="auto"/>
          <w:sz w:val="44"/>
          <w:szCs w:val="44"/>
          <w:highlight w:val="none"/>
        </w:rPr>
      </w:pPr>
      <w:r>
        <w:rPr>
          <w:rFonts w:hint="eastAsia" w:ascii="黑体" w:hAnsi="黑体" w:eastAsia="黑体"/>
          <w:bCs/>
          <w:color w:val="auto"/>
          <w:sz w:val="44"/>
          <w:szCs w:val="44"/>
          <w:highlight w:val="none"/>
        </w:rPr>
        <w:t>二О二</w:t>
      </w:r>
      <w:r>
        <w:rPr>
          <w:rFonts w:hint="eastAsia" w:ascii="黑体" w:hAnsi="黑体" w:eastAsia="黑体"/>
          <w:bCs/>
          <w:color w:val="auto"/>
          <w:sz w:val="44"/>
          <w:szCs w:val="44"/>
          <w:highlight w:val="none"/>
          <w:lang w:val="en-US" w:eastAsia="zh-CN"/>
        </w:rPr>
        <w:t>四</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三</w:t>
      </w:r>
      <w:r>
        <w:rPr>
          <w:rFonts w:hint="eastAsia" w:ascii="黑体" w:hAnsi="黑体" w:eastAsia="黑体"/>
          <w:bCs/>
          <w:color w:val="auto"/>
          <w:sz w:val="44"/>
          <w:szCs w:val="44"/>
          <w:highlight w:val="none"/>
        </w:rPr>
        <w:t>月</w:t>
      </w:r>
    </w:p>
    <w:p>
      <w:pPr>
        <w:pStyle w:val="24"/>
        <w:tabs>
          <w:tab w:val="right" w:leader="dot" w:pos="8948"/>
          <w:tab w:val="clear" w:pos="9242"/>
        </w:tabs>
        <w:adjustRightInd w:val="0"/>
        <w:snapToGrid w:val="0"/>
        <w:spacing w:before="60" w:beforeLines="0" w:after="60" w:afterLines="0" w:line="24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sectPr>
          <w:footerReference r:id="rId5" w:type="default"/>
          <w:pgSz w:w="11906" w:h="16838"/>
          <w:pgMar w:top="1440" w:right="1080" w:bottom="1440" w:left="1080" w:header="851" w:footer="1344" w:gutter="0"/>
          <w:pgNumType w:fmt="decimal" w:start="1"/>
          <w:cols w:space="720" w:num="1"/>
          <w:docGrid w:linePitch="312" w:charSpace="0"/>
        </w:sectPr>
      </w:pPr>
    </w:p>
    <w:p>
      <w:pPr>
        <w:rPr>
          <w:highlight w:val="none"/>
          <w:lang w:val="en-US" w:eastAsia="zh-CN"/>
        </w:rPr>
      </w:pPr>
    </w:p>
    <w:sdt>
      <w:sdtPr>
        <w:rPr>
          <w:rFonts w:ascii="宋体" w:hAnsi="宋体" w:eastAsia="宋体" w:cs="Times New Roman"/>
          <w:b/>
          <w:bCs/>
          <w:kern w:val="2"/>
          <w:sz w:val="36"/>
          <w:szCs w:val="44"/>
          <w:highlight w:val="none"/>
          <w:lang w:val="en-US" w:eastAsia="zh-CN" w:bidi="ar-SA"/>
        </w:rPr>
        <w:id w:val="147481422"/>
        <w15:color w:val="DBDBDB"/>
        <w:docPartObj>
          <w:docPartGallery w:val="Table of Contents"/>
          <w:docPartUnique/>
        </w:docPartObj>
      </w:sdtPr>
      <w:sdtEndPr>
        <w:rPr>
          <w:rFonts w:hint="eastAsia" w:ascii="宋体" w:hAnsi="宋体" w:eastAsia="宋体" w:cs="宋体"/>
          <w:b/>
          <w:bCs/>
          <w:kern w:val="2"/>
          <w:sz w:val="36"/>
          <w:szCs w:val="44"/>
          <w:highlight w:val="none"/>
          <w:lang w:val="en-US" w:eastAsia="zh-CN" w:bidi="ar-SA"/>
        </w:rPr>
      </w:sdtEndPr>
      <w:sdtContent>
        <w:p>
          <w:pPr>
            <w:tabs>
              <w:tab w:val="left" w:pos="3074"/>
              <w:tab w:val="center" w:pos="4879"/>
            </w:tabs>
            <w:spacing w:before="0" w:beforeLines="0" w:after="0" w:afterLines="0" w:line="240" w:lineRule="auto"/>
            <w:ind w:left="0" w:leftChars="0" w:right="0" w:rightChars="0" w:firstLine="0" w:firstLineChars="0"/>
            <w:jc w:val="left"/>
            <w:rPr>
              <w:rFonts w:ascii="宋体" w:hAnsi="宋体" w:eastAsia="宋体"/>
              <w:b/>
              <w:bCs/>
              <w:sz w:val="40"/>
              <w:szCs w:val="48"/>
              <w:highlight w:val="none"/>
            </w:rPr>
          </w:pPr>
          <w:r>
            <w:rPr>
              <w:rFonts w:hint="eastAsia" w:ascii="宋体" w:hAnsi="宋体" w:eastAsia="宋体" w:cs="Times New Roman"/>
              <w:b/>
              <w:bCs/>
              <w:kern w:val="2"/>
              <w:sz w:val="36"/>
              <w:szCs w:val="44"/>
              <w:highlight w:val="none"/>
              <w:lang w:val="en-US" w:eastAsia="zh-CN" w:bidi="ar-SA"/>
            </w:rPr>
            <w:tab/>
          </w:r>
          <w:r>
            <w:rPr>
              <w:rFonts w:hint="eastAsia" w:ascii="宋体" w:hAnsi="宋体" w:eastAsia="宋体" w:cs="Times New Roman"/>
              <w:b/>
              <w:bCs/>
              <w:kern w:val="2"/>
              <w:sz w:val="36"/>
              <w:szCs w:val="44"/>
              <w:highlight w:val="none"/>
              <w:lang w:val="en-US" w:eastAsia="zh-CN" w:bidi="ar-SA"/>
            </w:rPr>
            <w:tab/>
          </w:r>
          <w:r>
            <w:rPr>
              <w:rFonts w:ascii="宋体" w:hAnsi="宋体" w:eastAsia="宋体"/>
              <w:b/>
              <w:bCs/>
              <w:sz w:val="40"/>
              <w:szCs w:val="48"/>
              <w:highlight w:val="none"/>
            </w:rPr>
            <w:t>目</w:t>
          </w:r>
          <w:r>
            <w:rPr>
              <w:rFonts w:hint="eastAsia" w:ascii="宋体" w:hAnsi="宋体" w:eastAsia="宋体"/>
              <w:b/>
              <w:bCs/>
              <w:sz w:val="40"/>
              <w:szCs w:val="48"/>
              <w:highlight w:val="none"/>
              <w:lang w:val="en-US" w:eastAsia="zh-CN"/>
            </w:rPr>
            <w:t xml:space="preserve">  </w:t>
          </w:r>
          <w:r>
            <w:rPr>
              <w:rFonts w:ascii="宋体" w:hAnsi="宋体" w:eastAsia="宋体"/>
              <w:b/>
              <w:bCs/>
              <w:sz w:val="40"/>
              <w:szCs w:val="48"/>
              <w:highlight w:val="none"/>
            </w:rPr>
            <w:t>录</w:t>
          </w:r>
        </w:p>
        <w:p>
          <w:pPr>
            <w:pStyle w:val="24"/>
            <w:tabs>
              <w:tab w:val="right" w:leader="dot" w:pos="9638"/>
              <w:tab w:val="clear" w:pos="9242"/>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_Toc21203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第一章 采购公告</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_Toc21203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3</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_Toc8900 </w:instrText>
          </w:r>
          <w:r>
            <w:rPr>
              <w:rFonts w:hint="eastAsia" w:ascii="黑体" w:hAnsi="黑体" w:eastAsia="黑体" w:cs="黑体"/>
              <w:sz w:val="28"/>
              <w:szCs w:val="28"/>
              <w:highlight w:val="none"/>
            </w:rPr>
            <w:fldChar w:fldCharType="separate"/>
          </w:r>
          <w:r>
            <w:rPr>
              <w:rFonts w:hint="eastAsia" w:ascii="黑体" w:hAnsi="黑体" w:eastAsia="黑体" w:cs="黑体"/>
              <w:bCs w:val="0"/>
              <w:sz w:val="28"/>
              <w:szCs w:val="28"/>
              <w:highlight w:val="none"/>
            </w:rPr>
            <w:t>第二章 供应商须知</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_Toc8900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6</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_Toc3356 </w:instrText>
          </w:r>
          <w:r>
            <w:rPr>
              <w:rFonts w:hint="eastAsia" w:ascii="黑体" w:hAnsi="黑体" w:eastAsia="黑体" w:cs="黑体"/>
              <w:sz w:val="28"/>
              <w:szCs w:val="28"/>
              <w:highlight w:val="none"/>
            </w:rPr>
            <w:fldChar w:fldCharType="separate"/>
          </w:r>
          <w:r>
            <w:rPr>
              <w:rFonts w:hint="eastAsia" w:ascii="黑体" w:hAnsi="黑体" w:eastAsia="黑体" w:cs="黑体"/>
              <w:bCs/>
              <w:sz w:val="28"/>
              <w:szCs w:val="28"/>
              <w:highlight w:val="none"/>
            </w:rPr>
            <w:t>第三章 评审办法</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_Toc3356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20</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_Toc12523 </w:instrText>
          </w:r>
          <w:r>
            <w:rPr>
              <w:rFonts w:hint="eastAsia" w:ascii="黑体" w:hAnsi="黑体" w:eastAsia="黑体" w:cs="黑体"/>
              <w:sz w:val="28"/>
              <w:szCs w:val="28"/>
              <w:highlight w:val="none"/>
            </w:rPr>
            <w:fldChar w:fldCharType="separate"/>
          </w:r>
          <w:r>
            <w:rPr>
              <w:rFonts w:hint="eastAsia" w:ascii="黑体" w:hAnsi="黑体" w:eastAsia="黑体" w:cs="黑体"/>
              <w:kern w:val="2"/>
              <w:sz w:val="28"/>
              <w:szCs w:val="28"/>
              <w:highlight w:val="none"/>
              <w:lang w:val="en-US" w:eastAsia="zh-CN" w:bidi="ar-SA"/>
            </w:rPr>
            <w:t>第四章 合同条款及格式</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_Toc12523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23</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_Toc6280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val="en-US" w:eastAsia="zh-CN"/>
            </w:rPr>
            <w:t>第五章 采购需求</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_Toc6280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31</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_Toc14736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第六章 响应文件格式</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_Toc14736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35</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_Toc2002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一、 响应函</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_Toc2002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37</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_Toc3647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二、授权委托书</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_Toc3647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40</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_Toc477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eastAsia="zh-CN"/>
            </w:rPr>
            <w:t>三</w:t>
          </w:r>
          <w:r>
            <w:rPr>
              <w:rFonts w:hint="eastAsia" w:ascii="黑体" w:hAnsi="黑体" w:eastAsia="黑体" w:cs="黑体"/>
              <w:sz w:val="28"/>
              <w:szCs w:val="28"/>
              <w:highlight w:val="none"/>
            </w:rPr>
            <w:t>、商务和技术偏差表</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_Toc477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41</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_Toc16834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eastAsia="zh-CN"/>
            </w:rPr>
            <w:t>四</w:t>
          </w:r>
          <w:r>
            <w:rPr>
              <w:rFonts w:hint="eastAsia" w:ascii="黑体" w:hAnsi="黑体" w:eastAsia="黑体" w:cs="黑体"/>
              <w:sz w:val="28"/>
              <w:szCs w:val="28"/>
              <w:highlight w:val="none"/>
            </w:rPr>
            <w:t>、报价表</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_Toc16834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42</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_Toc25473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eastAsia="zh-CN"/>
            </w:rPr>
            <w:t>五</w:t>
          </w:r>
          <w:r>
            <w:rPr>
              <w:rFonts w:hint="eastAsia" w:ascii="黑体" w:hAnsi="黑体" w:eastAsia="黑体" w:cs="黑体"/>
              <w:sz w:val="28"/>
              <w:szCs w:val="28"/>
              <w:highlight w:val="none"/>
            </w:rPr>
            <w:t>、资格审查资料</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_Toc25473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43</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_Toc1260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eastAsia="zh-CN"/>
            </w:rPr>
            <w:t>六</w:t>
          </w:r>
          <w:r>
            <w:rPr>
              <w:rFonts w:hint="eastAsia" w:ascii="黑体" w:hAnsi="黑体" w:eastAsia="黑体" w:cs="黑体"/>
              <w:sz w:val="28"/>
              <w:szCs w:val="28"/>
              <w:highlight w:val="none"/>
            </w:rPr>
            <w:t>、响应方案</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_Toc1260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44</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4"/>
            <w:tabs>
              <w:tab w:val="right" w:leader="dot" w:pos="9638"/>
              <w:tab w:val="clear" w:pos="9242"/>
            </w:tabs>
            <w:rPr>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_Toc19434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lang w:eastAsia="zh-CN"/>
            </w:rPr>
            <w:t>七</w:t>
          </w:r>
          <w:r>
            <w:rPr>
              <w:rFonts w:hint="eastAsia" w:ascii="黑体" w:hAnsi="黑体" w:eastAsia="黑体" w:cs="黑体"/>
              <w:sz w:val="28"/>
              <w:szCs w:val="28"/>
              <w:highlight w:val="none"/>
            </w:rPr>
            <w:t>、其他资料</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_Toc19434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45</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fldChar w:fldCharType="end"/>
          </w:r>
        </w:p>
      </w:sdtContent>
    </w:sdt>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74"/>
        <w:numPr>
          <w:ilvl w:val="0"/>
          <w:numId w:val="1"/>
        </w:numPr>
        <w:spacing w:line="600" w:lineRule="exact"/>
        <w:ind w:firstLineChars="0"/>
        <w:jc w:val="center"/>
        <w:outlineLvl w:val="0"/>
        <w:rPr>
          <w:rFonts w:ascii="黑体" w:hAnsi="黑体" w:eastAsia="黑体" w:cs="仿宋"/>
          <w:b/>
          <w:color w:val="auto"/>
          <w:sz w:val="36"/>
          <w:szCs w:val="36"/>
          <w:highlight w:val="none"/>
        </w:rPr>
        <w:sectPr>
          <w:headerReference r:id="rId6" w:type="default"/>
          <w:footerReference r:id="rId7" w:type="default"/>
          <w:pgSz w:w="11906" w:h="16838"/>
          <w:pgMar w:top="1134" w:right="1134" w:bottom="1134" w:left="1134" w:header="851" w:footer="992" w:gutter="0"/>
          <w:pgNumType w:fmt="decimal" w:start="1"/>
          <w:cols w:space="425" w:num="1"/>
          <w:docGrid w:type="lines" w:linePitch="312" w:charSpace="0"/>
        </w:sectPr>
      </w:pPr>
    </w:p>
    <w:p>
      <w:pPr>
        <w:pStyle w:val="74"/>
        <w:numPr>
          <w:ilvl w:val="0"/>
          <w:numId w:val="1"/>
        </w:numPr>
        <w:spacing w:line="600" w:lineRule="exact"/>
        <w:ind w:firstLineChars="0"/>
        <w:jc w:val="center"/>
        <w:outlineLvl w:val="0"/>
        <w:rPr>
          <w:rFonts w:ascii="黑体" w:hAnsi="黑体" w:eastAsia="黑体" w:cs="仿宋"/>
          <w:b/>
          <w:color w:val="auto"/>
          <w:sz w:val="36"/>
          <w:szCs w:val="36"/>
          <w:highlight w:val="none"/>
        </w:rPr>
      </w:pPr>
      <w:bookmarkStart w:id="6" w:name="_Toc27513"/>
      <w:bookmarkStart w:id="7" w:name="_Toc21203"/>
      <w:r>
        <w:rPr>
          <w:rFonts w:hint="eastAsia" w:ascii="黑体" w:hAnsi="黑体" w:eastAsia="黑体" w:cs="仿宋"/>
          <w:b/>
          <w:color w:val="auto"/>
          <w:sz w:val="36"/>
          <w:szCs w:val="36"/>
          <w:highlight w:val="none"/>
        </w:rPr>
        <w:t>采购公告</w:t>
      </w:r>
      <w:bookmarkEnd w:id="6"/>
      <w:bookmarkEnd w:id="7"/>
    </w:p>
    <w:p>
      <w:pPr>
        <w:spacing w:before="0" w:beforeAutospacing="0" w:after="0" w:afterAutospacing="0"/>
        <w:ind w:firstLine="0" w:firstLineChars="0"/>
        <w:jc w:val="center"/>
        <w:rPr>
          <w:rFonts w:hint="eastAsia" w:ascii="黑体" w:hAnsi="黑体" w:eastAsia="黑体" w:cs="Times New Roman"/>
          <w:color w:val="auto"/>
          <w:kern w:val="2"/>
          <w:sz w:val="32"/>
          <w:szCs w:val="32"/>
          <w:highlight w:val="none"/>
          <w:u w:val="none"/>
          <w:lang w:val="en-US" w:eastAsia="zh-CN" w:bidi="ar"/>
        </w:rPr>
      </w:pPr>
    </w:p>
    <w:p>
      <w:pPr>
        <w:spacing w:line="360" w:lineRule="auto"/>
        <w:jc w:val="cente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岳阳城陵矶港务有限责任公司</w:t>
      </w:r>
    </w:p>
    <w:p>
      <w:pPr>
        <w:spacing w:line="360" w:lineRule="auto"/>
        <w:jc w:val="center"/>
        <w:rPr>
          <w:rFonts w:hint="default" w:ascii="黑体" w:hAnsi="黑体" w:eastAsia="黑体"/>
          <w:color w:val="auto"/>
          <w:sz w:val="32"/>
          <w:szCs w:val="32"/>
          <w:highlight w:val="none"/>
          <w:lang w:val="en-US"/>
        </w:rPr>
      </w:pPr>
      <w:r>
        <w:rPr>
          <w:rFonts w:hint="eastAsia" w:ascii="黑体" w:hAnsi="黑体" w:eastAsia="黑体"/>
          <w:color w:val="auto"/>
          <w:sz w:val="32"/>
          <w:szCs w:val="32"/>
          <w:highlight w:val="none"/>
          <w:lang w:val="en-US" w:eastAsia="zh-CN"/>
        </w:rPr>
        <w:t>2024年度职工健康体检项目公开招标公告</w:t>
      </w:r>
    </w:p>
    <w:p>
      <w:pPr>
        <w:autoSpaceDE/>
        <w:spacing w:line="360" w:lineRule="auto"/>
        <w:ind w:firstLine="0" w:firstLineChars="0"/>
        <w:jc w:val="left"/>
        <w:rPr>
          <w:rFonts w:hint="eastAsia" w:ascii="宋体" w:hAnsi="宋体"/>
          <w:color w:val="auto"/>
          <w:sz w:val="24"/>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 w:val="24"/>
          <w:highlight w:val="none"/>
          <w:lang w:val="en-US" w:eastAsia="zh-CN"/>
        </w:rPr>
        <w:t>岳阳城陵矶港务有限责任公司2024年度职工健康体检项目</w:t>
      </w:r>
      <w:r>
        <w:rPr>
          <w:rFonts w:hint="eastAsia" w:ascii="宋体" w:hAnsi="宋体"/>
          <w:color w:val="auto"/>
          <w:sz w:val="24"/>
          <w:highlight w:val="none"/>
        </w:rPr>
        <w:t>已具备采购条件</w:t>
      </w:r>
      <w:r>
        <w:rPr>
          <w:rFonts w:hint="eastAsia" w:ascii="宋体" w:hAnsi="宋体"/>
          <w:color w:val="auto"/>
          <w:sz w:val="24"/>
          <w:highlight w:val="none"/>
          <w:lang w:eastAsia="zh-CN"/>
        </w:rPr>
        <w:t>，</w:t>
      </w:r>
      <w:r>
        <w:rPr>
          <w:rFonts w:hint="eastAsia" w:ascii="宋体" w:hAnsi="宋体"/>
          <w:color w:val="auto"/>
          <w:sz w:val="24"/>
          <w:highlight w:val="none"/>
        </w:rPr>
        <w:t>现</w:t>
      </w:r>
      <w:r>
        <w:rPr>
          <w:rFonts w:hint="eastAsia" w:ascii="宋体" w:hAnsi="宋体"/>
          <w:color w:val="auto"/>
          <w:sz w:val="24"/>
          <w:highlight w:val="none"/>
          <w:lang w:val="en-US" w:eastAsia="zh-CN"/>
        </w:rPr>
        <w:t>公开</w:t>
      </w:r>
      <w:r>
        <w:rPr>
          <w:rFonts w:hint="eastAsia" w:ascii="宋体" w:hAnsi="宋体"/>
          <w:color w:val="auto"/>
          <w:sz w:val="24"/>
          <w:highlight w:val="none"/>
        </w:rPr>
        <w:t xml:space="preserve">邀请供应商参加采购活动。 </w:t>
      </w:r>
    </w:p>
    <w:p>
      <w:pPr>
        <w:pStyle w:val="7"/>
        <w:spacing w:line="360" w:lineRule="auto"/>
        <w:jc w:val="both"/>
        <w:rPr>
          <w:rFonts w:hint="eastAsia" w:asciiTheme="majorHAnsi" w:hAnsiTheme="majorHAnsi"/>
          <w:color w:val="auto"/>
          <w:highlight w:val="none"/>
        </w:rPr>
      </w:pPr>
      <w:r>
        <w:rPr>
          <w:rFonts w:hint="eastAsia"/>
          <w:color w:val="auto"/>
          <w:highlight w:val="none"/>
          <w:lang w:val="en-US" w:eastAsia="zh-CN"/>
        </w:rPr>
        <w:t>一、</w:t>
      </w:r>
      <w:r>
        <w:rPr>
          <w:rFonts w:hint="eastAsia" w:asciiTheme="majorHAnsi" w:hAnsiTheme="majorHAnsi"/>
          <w:color w:val="auto"/>
          <w:highlight w:val="none"/>
        </w:rPr>
        <w:t xml:space="preserve">采购项目简介 </w:t>
      </w:r>
    </w:p>
    <w:p>
      <w:pPr>
        <w:autoSpaceDE w:val="0"/>
        <w:spacing w:line="360" w:lineRule="auto"/>
        <w:jc w:val="both"/>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采购项目名称:</w:t>
      </w:r>
      <w:r>
        <w:rPr>
          <w:rFonts w:hint="eastAsia" w:ascii="宋体" w:hAnsi="宋体"/>
          <w:color w:val="auto"/>
          <w:sz w:val="24"/>
          <w:highlight w:val="none"/>
          <w:lang w:val="en-US" w:eastAsia="zh-CN"/>
        </w:rPr>
        <w:t>岳阳城陵矶港务有限责任公司2024年度职工健康体检项目</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 xml:space="preserve">采购人: </w:t>
      </w:r>
      <w:r>
        <w:rPr>
          <w:rFonts w:hint="eastAsia" w:ascii="宋体" w:hAnsi="宋体"/>
          <w:color w:val="auto"/>
          <w:sz w:val="24"/>
          <w:highlight w:val="none"/>
          <w:lang w:val="en-US" w:eastAsia="zh-CN"/>
        </w:rPr>
        <w:t>岳阳城陵矶港务有限责任公司</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采购代理机构:</w:t>
      </w:r>
      <w:r>
        <w:rPr>
          <w:rFonts w:hint="eastAsia" w:ascii="宋体" w:hAnsi="宋体"/>
          <w:color w:val="auto"/>
          <w:sz w:val="24"/>
          <w:highlight w:val="none"/>
          <w:lang w:eastAsia="zh-CN"/>
        </w:rPr>
        <w:t>无</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采购项目资金落实情况:</w:t>
      </w:r>
      <w:r>
        <w:rPr>
          <w:rFonts w:hint="eastAsia" w:ascii="宋体" w:hAnsi="宋体"/>
          <w:color w:val="auto"/>
          <w:sz w:val="24"/>
          <w:highlight w:val="none"/>
          <w:lang w:eastAsia="zh-CN"/>
        </w:rPr>
        <w:t>企业自筹，已落实</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w:t>
      </w:r>
      <w:r>
        <w:rPr>
          <w:rFonts w:hint="eastAsia" w:ascii="宋体" w:hAnsi="宋体"/>
          <w:color w:val="auto"/>
          <w:sz w:val="24"/>
          <w:highlight w:val="none"/>
          <w:lang w:eastAsia="zh-CN"/>
        </w:rPr>
        <w:t>）</w:t>
      </w:r>
      <w:r>
        <w:rPr>
          <w:rFonts w:hint="eastAsia" w:ascii="宋体" w:hAnsi="宋体"/>
          <w:color w:val="auto"/>
          <w:sz w:val="24"/>
          <w:highlight w:val="none"/>
        </w:rPr>
        <w:t xml:space="preserve">采购项目概况: </w:t>
      </w:r>
      <w:r>
        <w:rPr>
          <w:rFonts w:hint="eastAsia" w:ascii="宋体" w:hAnsi="宋体"/>
          <w:color w:val="auto"/>
          <w:sz w:val="24"/>
          <w:highlight w:val="none"/>
          <w:lang w:val="en-US" w:eastAsia="zh-CN"/>
        </w:rPr>
        <w:t>岳阳城陵矶港务有限责任公司2024年度职工健康体检</w:t>
      </w:r>
      <w:r>
        <w:rPr>
          <w:rFonts w:hint="eastAsia" w:ascii="宋体" w:hAnsi="宋体"/>
          <w:color w:val="auto"/>
          <w:sz w:val="24"/>
          <w:highlight w:val="none"/>
        </w:rPr>
        <w:t>，</w:t>
      </w:r>
      <w:r>
        <w:rPr>
          <w:rFonts w:hint="eastAsia" w:ascii="宋体" w:hAnsi="宋体"/>
          <w:color w:val="auto"/>
          <w:sz w:val="24"/>
          <w:highlight w:val="none"/>
          <w:lang w:eastAsia="zh-CN"/>
        </w:rPr>
        <w:t>现采用</w:t>
      </w:r>
      <w:r>
        <w:rPr>
          <w:rFonts w:hint="eastAsia" w:ascii="宋体" w:hAnsi="宋体"/>
          <w:color w:val="auto"/>
          <w:sz w:val="24"/>
          <w:highlight w:val="none"/>
          <w:lang w:val="en-US" w:eastAsia="zh-CN"/>
        </w:rPr>
        <w:t>询价的</w:t>
      </w:r>
      <w:r>
        <w:rPr>
          <w:rFonts w:hint="eastAsia" w:ascii="宋体" w:hAnsi="宋体"/>
          <w:color w:val="auto"/>
          <w:sz w:val="24"/>
          <w:highlight w:val="none"/>
          <w:lang w:eastAsia="zh-CN"/>
        </w:rPr>
        <w:t>方式</w:t>
      </w:r>
      <w:r>
        <w:rPr>
          <w:rFonts w:hint="eastAsia" w:ascii="宋体" w:hAnsi="宋体"/>
          <w:color w:val="auto"/>
          <w:sz w:val="24"/>
          <w:highlight w:val="none"/>
          <w:lang w:val="en-US" w:eastAsia="zh-CN"/>
        </w:rPr>
        <w:t>进行采购</w:t>
      </w:r>
    </w:p>
    <w:p>
      <w:pPr>
        <w:pStyle w:val="7"/>
        <w:spacing w:line="360" w:lineRule="auto"/>
        <w:jc w:val="both"/>
        <w:rPr>
          <w:rFonts w:ascii="Arial" w:hAnsi="Arial"/>
          <w:color w:val="auto"/>
          <w:highlight w:val="none"/>
        </w:rPr>
      </w:pPr>
      <w:r>
        <w:rPr>
          <w:rFonts w:hint="eastAsia"/>
          <w:color w:val="auto"/>
          <w:highlight w:val="none"/>
          <w:lang w:val="en-US" w:eastAsia="zh-CN"/>
        </w:rPr>
        <w:t>二、</w:t>
      </w:r>
      <w:r>
        <w:rPr>
          <w:rFonts w:hint="eastAsia" w:ascii="黑体" w:hAnsi="黑体"/>
          <w:color w:val="auto"/>
          <w:highlight w:val="none"/>
        </w:rPr>
        <w:t xml:space="preserve">采购范围及相关要求 </w:t>
      </w:r>
    </w:p>
    <w:p>
      <w:pPr>
        <w:autoSpaceDE w:val="0"/>
        <w:spacing w:line="360" w:lineRule="auto"/>
        <w:jc w:val="both"/>
        <w:rPr>
          <w:rFonts w:hint="default" w:ascii="宋体" w:hAnsi="宋体" w:eastAsia="宋体"/>
          <w:b/>
          <w:bCs/>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 xml:space="preserve">采购范围: </w:t>
      </w:r>
      <w:r>
        <w:rPr>
          <w:rFonts w:hint="eastAsia" w:ascii="宋体" w:hAnsi="宋体"/>
          <w:color w:val="auto"/>
          <w:sz w:val="24"/>
          <w:highlight w:val="none"/>
          <w:lang w:val="en-US" w:eastAsia="zh-CN"/>
        </w:rPr>
        <w:t>本公司为湖南省港务集团有限公司旗下港口企业，为响应国家对于员工的职业健康检查，现例行2024年度职工健康体检，</w:t>
      </w:r>
      <w:r>
        <w:rPr>
          <w:rFonts w:hint="eastAsia" w:ascii="宋体" w:hAnsi="宋体"/>
          <w:color w:val="auto"/>
          <w:sz w:val="24"/>
          <w:highlight w:val="none"/>
        </w:rPr>
        <w:t>参与体检员工</w:t>
      </w:r>
      <w:r>
        <w:rPr>
          <w:rFonts w:hint="eastAsia" w:ascii="宋体" w:hAnsi="宋体"/>
          <w:color w:val="auto"/>
          <w:sz w:val="24"/>
          <w:highlight w:val="none"/>
          <w:lang w:val="en-US" w:eastAsia="zh-CN"/>
        </w:rPr>
        <w:t>共377</w:t>
      </w:r>
      <w:r>
        <w:rPr>
          <w:rFonts w:hint="eastAsia" w:ascii="宋体" w:hAnsi="宋体"/>
          <w:color w:val="auto"/>
          <w:sz w:val="24"/>
          <w:highlight w:val="none"/>
        </w:rPr>
        <w:t>人（其中男员工</w:t>
      </w:r>
      <w:r>
        <w:rPr>
          <w:rFonts w:hint="eastAsia" w:ascii="宋体" w:hAnsi="宋体"/>
          <w:color w:val="auto"/>
          <w:sz w:val="24"/>
          <w:highlight w:val="none"/>
          <w:lang w:val="en-US" w:eastAsia="zh-CN"/>
        </w:rPr>
        <w:t>301</w:t>
      </w:r>
      <w:r>
        <w:rPr>
          <w:rFonts w:hint="eastAsia" w:ascii="宋体" w:hAnsi="宋体"/>
          <w:color w:val="auto"/>
          <w:sz w:val="24"/>
          <w:highlight w:val="none"/>
        </w:rPr>
        <w:t>人、女员工</w:t>
      </w:r>
      <w:r>
        <w:rPr>
          <w:rFonts w:hint="eastAsia" w:ascii="宋体" w:hAnsi="宋体"/>
          <w:color w:val="auto"/>
          <w:sz w:val="24"/>
          <w:highlight w:val="none"/>
          <w:lang w:val="en-US" w:eastAsia="zh-CN"/>
        </w:rPr>
        <w:t>76</w:t>
      </w:r>
      <w:r>
        <w:rPr>
          <w:rFonts w:hint="eastAsia" w:ascii="宋体" w:hAnsi="宋体"/>
          <w:color w:val="auto"/>
          <w:sz w:val="24"/>
          <w:highlight w:val="none"/>
        </w:rPr>
        <w:t>人），体检费用标准为男员工人均1</w:t>
      </w:r>
      <w:r>
        <w:rPr>
          <w:rFonts w:hint="eastAsia" w:ascii="宋体" w:hAnsi="宋体"/>
          <w:color w:val="auto"/>
          <w:sz w:val="24"/>
          <w:highlight w:val="none"/>
          <w:lang w:val="en-US" w:eastAsia="zh-CN"/>
        </w:rPr>
        <w:t>8</w:t>
      </w:r>
      <w:r>
        <w:rPr>
          <w:rFonts w:hint="eastAsia" w:ascii="宋体" w:hAnsi="宋体"/>
          <w:color w:val="auto"/>
          <w:sz w:val="24"/>
          <w:highlight w:val="none"/>
        </w:rPr>
        <w:t>00元，女员工人均</w:t>
      </w:r>
      <w:r>
        <w:rPr>
          <w:rFonts w:hint="eastAsia" w:ascii="宋体" w:hAnsi="宋体"/>
          <w:color w:val="auto"/>
          <w:sz w:val="24"/>
          <w:highlight w:val="none"/>
          <w:lang w:val="en-US" w:eastAsia="zh-CN"/>
        </w:rPr>
        <w:t>20</w:t>
      </w:r>
      <w:r>
        <w:rPr>
          <w:rFonts w:hint="eastAsia" w:ascii="宋体" w:hAnsi="宋体"/>
          <w:color w:val="auto"/>
          <w:sz w:val="24"/>
          <w:highlight w:val="none"/>
        </w:rPr>
        <w:t>00元，合计</w:t>
      </w:r>
      <w:r>
        <w:rPr>
          <w:rFonts w:hint="default" w:ascii="Arial" w:hAnsi="Arial" w:cs="Arial"/>
          <w:color w:val="auto"/>
          <w:sz w:val="24"/>
          <w:highlight w:val="none"/>
        </w:rPr>
        <w:t>¥</w:t>
      </w:r>
      <w:r>
        <w:rPr>
          <w:rFonts w:hint="eastAsia" w:ascii="宋体" w:hAnsi="宋体"/>
          <w:color w:val="auto"/>
          <w:sz w:val="24"/>
          <w:highlight w:val="none"/>
          <w:lang w:val="en-US" w:eastAsia="zh-CN"/>
        </w:rPr>
        <w:t>693，800.00</w:t>
      </w:r>
      <w:r>
        <w:rPr>
          <w:rFonts w:hint="eastAsia" w:ascii="宋体" w:hAnsi="宋体"/>
          <w:color w:val="auto"/>
          <w:sz w:val="24"/>
          <w:highlight w:val="none"/>
        </w:rPr>
        <w:t>元。</w:t>
      </w:r>
      <w:r>
        <w:rPr>
          <w:rFonts w:hint="eastAsia" w:ascii="宋体" w:hAnsi="宋体"/>
          <w:b/>
          <w:bCs/>
          <w:color w:val="auto"/>
          <w:sz w:val="24"/>
          <w:highlight w:val="none"/>
          <w:lang w:val="en-US" w:eastAsia="zh-CN"/>
        </w:rPr>
        <w:t>本公司已拟定体检项目，并就该项目以最低价评审法对外公开询价，体检费用标准与成交价的差额由职工在该体检医院自主消费完毕，自主消费项目收费标准按医院挂牌价享受8折优惠。</w:t>
      </w:r>
    </w:p>
    <w:p>
      <w:pPr>
        <w:autoSpaceDE w:val="0"/>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合同签订后30个日历日内;</w:t>
      </w:r>
    </w:p>
    <w:p>
      <w:pPr>
        <w:autoSpaceDE w:val="0"/>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供应商医院</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val="en-US" w:eastAsia="zh-CN"/>
        </w:rPr>
        <w:t>;</w:t>
      </w:r>
    </w:p>
    <w:p>
      <w:pPr>
        <w:autoSpaceDE w:val="0"/>
        <w:spacing w:line="360" w:lineRule="auto"/>
        <w:ind w:firstLine="0" w:firstLineChars="0"/>
        <w:jc w:val="both"/>
        <w:rPr>
          <w:rFonts w:hint="default" w:ascii="宋体" w:hAnsi="宋体" w:cs="Times New Roman"/>
          <w:color w:val="auto"/>
          <w:kern w:val="2"/>
          <w:sz w:val="24"/>
          <w:szCs w:val="24"/>
          <w:highlight w:val="none"/>
          <w:vertAlign w:val="baseline"/>
          <w:lang w:val="en-US" w:eastAsia="zh-CN" w:bidi="ar"/>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服务</w:t>
      </w:r>
      <w:r>
        <w:rPr>
          <w:rFonts w:hint="eastAsia" w:ascii="宋体" w:hAnsi="宋体"/>
          <w:color w:val="auto"/>
          <w:sz w:val="24"/>
          <w:highlight w:val="none"/>
        </w:rPr>
        <w:t xml:space="preserve">要求或服务标准: </w:t>
      </w:r>
      <w:r>
        <w:rPr>
          <w:rFonts w:hint="eastAsia" w:ascii="宋体" w:hAnsi="宋体"/>
          <w:color w:val="auto"/>
          <w:sz w:val="24"/>
          <w:highlight w:val="none"/>
          <w:lang w:val="en-US" w:eastAsia="zh-CN"/>
        </w:rPr>
        <w:t>详见询价文件第五章“采购需求”;</w:t>
      </w:r>
    </w:p>
    <w:p>
      <w:pPr>
        <w:autoSpaceDE w:val="0"/>
        <w:spacing w:line="360" w:lineRule="auto"/>
        <w:jc w:val="both"/>
        <w:rPr>
          <w:rFonts w:hint="eastAsia" w:ascii="宋体" w:hAnsi="宋体"/>
          <w:b w:val="0"/>
          <w:bCs w:val="0"/>
          <w:color w:val="auto"/>
          <w:sz w:val="24"/>
          <w:highlight w:val="none"/>
          <w:lang w:eastAsia="zh-CN"/>
        </w:rPr>
      </w:pPr>
      <w:r>
        <w:rPr>
          <w:rFonts w:hint="eastAsia" w:ascii="宋体" w:hAnsi="宋体" w:cs="Times New Roman"/>
          <w:color w:val="auto"/>
          <w:kern w:val="2"/>
          <w:sz w:val="24"/>
          <w:szCs w:val="24"/>
          <w:highlight w:val="none"/>
          <w:vertAlign w:val="baseline"/>
          <w:lang w:val="en-US" w:eastAsia="zh-CN" w:bidi="ar"/>
        </w:rPr>
        <w:t>（五)</w:t>
      </w:r>
      <w:r>
        <w:rPr>
          <w:rFonts w:hint="eastAsia" w:ascii="宋体" w:hAnsi="宋体"/>
          <w:b w:val="0"/>
          <w:bCs w:val="0"/>
          <w:color w:val="auto"/>
          <w:sz w:val="24"/>
          <w:highlight w:val="none"/>
          <w:u w:val="none"/>
          <w:lang w:val="en-US" w:eastAsia="zh-CN"/>
        </w:rPr>
        <w:t xml:space="preserve"> 招标人为本次招标编制了最高投标限价，最高限价：301人*1800元/人+76人*2000=693800元。即陆拾玖万叁仟捌佰元整。提供医疗门诊收费票据，超过最高限价的作废。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p>
      <w:pPr>
        <w:pStyle w:val="7"/>
        <w:autoSpaceDE w:val="0"/>
        <w:spacing w:line="360" w:lineRule="auto"/>
        <w:ind w:firstLine="0" w:firstLineChars="0"/>
        <w:jc w:val="both"/>
        <w:rPr>
          <w:rFonts w:hint="eastAsia" w:asciiTheme="majorHAnsi" w:hAnsiTheme="majorHAnsi"/>
          <w:b/>
          <w:bCs/>
          <w:color w:val="auto"/>
          <w:sz w:val="28"/>
          <w:highlight w:val="none"/>
          <w:lang w:eastAsia="zh-CN"/>
        </w:rPr>
      </w:pPr>
      <w:r>
        <w:rPr>
          <w:rFonts w:hint="eastAsia" w:asciiTheme="majorHAnsi" w:hAnsiTheme="majorHAnsi"/>
          <w:color w:val="auto"/>
          <w:sz w:val="28"/>
          <w:highlight w:val="none"/>
          <w:lang w:val="en-US" w:eastAsia="zh-CN"/>
        </w:rPr>
        <w:t>三、</w:t>
      </w:r>
      <w:r>
        <w:rPr>
          <w:rFonts w:hint="eastAsia" w:asciiTheme="majorHAnsi" w:hAnsiTheme="majorHAnsi"/>
          <w:color w:val="auto"/>
          <w:sz w:val="28"/>
          <w:highlight w:val="none"/>
        </w:rPr>
        <w:t>供应商资格要求</w:t>
      </w:r>
    </w:p>
    <w:p>
      <w:pPr>
        <w:spacing w:line="360" w:lineRule="auto"/>
        <w:ind w:firstLine="0" w:firstLineChars="0"/>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color w:val="auto"/>
          <w:sz w:val="24"/>
          <w:highlight w:val="none"/>
        </w:rPr>
        <w:t>供应商不得存在下列情形之一:</w:t>
      </w:r>
    </w:p>
    <w:p>
      <w:pPr>
        <w:autoSpaceDE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处于被责令停产停业、暂扣或者吊销执照、暂扣或者吊销许可证、吊销资质证书状态;</w:t>
      </w:r>
    </w:p>
    <w:p>
      <w:pPr>
        <w:autoSpaceDE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进入清算程序，或被宣告破产，或其他丧失履约能力的情形;</w:t>
      </w:r>
    </w:p>
    <w:p>
      <w:pPr>
        <w:autoSpaceDE w:val="0"/>
        <w:spacing w:line="360" w:lineRule="auto"/>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被采购人或采购人上级单位纳入黑名单</w:t>
      </w:r>
      <w:r>
        <w:rPr>
          <w:rFonts w:hint="eastAsia" w:ascii="宋体" w:hAnsi="宋体"/>
          <w:color w:val="auto"/>
          <w:sz w:val="24"/>
          <w:highlight w:val="none"/>
          <w:lang w:val="en-US" w:eastAsia="zh-CN"/>
        </w:rPr>
        <w:t>;</w:t>
      </w:r>
    </w:p>
    <w:p>
      <w:pPr>
        <w:autoSpaceDE/>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color w:val="auto"/>
          <w:sz w:val="24"/>
          <w:szCs w:val="24"/>
          <w:highlight w:val="none"/>
        </w:rPr>
        <w:t>涉及正在诉讼的案件且经审查委员会认定会对承担本项目造成重大影响</w:t>
      </w:r>
      <w:r>
        <w:rPr>
          <w:rFonts w:hint="eastAsia"/>
          <w:color w:val="auto"/>
          <w:sz w:val="24"/>
          <w:szCs w:val="24"/>
          <w:highlight w:val="none"/>
          <w:lang w:eastAsia="zh-CN"/>
        </w:rPr>
        <w:t>。</w:t>
      </w:r>
    </w:p>
    <w:p>
      <w:pPr>
        <w:autoSpaceDE w:val="0"/>
        <w:spacing w:line="360" w:lineRule="auto"/>
        <w:jc w:val="both"/>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供应商应满足如下要求:</w:t>
      </w:r>
    </w:p>
    <w:tbl>
      <w:tblPr>
        <w:tblStyle w:val="38"/>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729"/>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442"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资格条件</w:t>
            </w:r>
          </w:p>
        </w:tc>
        <w:tc>
          <w:tcPr>
            <w:tcW w:w="1729"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对供应商要求</w:t>
            </w:r>
          </w:p>
        </w:tc>
        <w:tc>
          <w:tcPr>
            <w:tcW w:w="5411"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（1）依法设立</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Style w:val="40"/>
                <w:rFonts w:hint="eastAsia"/>
                <w:b w:val="0"/>
                <w:bCs w:val="0"/>
                <w:color w:val="auto"/>
                <w:highlight w:val="none"/>
                <w:u w:val="none"/>
              </w:rPr>
            </w:pPr>
            <w:r>
              <w:rPr>
                <w:rStyle w:val="40"/>
                <w:rFonts w:hint="eastAsia"/>
                <w:b w:val="0"/>
                <w:bCs w:val="0"/>
                <w:highlight w:val="none"/>
                <w:u w:val="single"/>
                <w:lang w:eastAsia="zh-CN"/>
              </w:rPr>
              <w:t>☑</w:t>
            </w:r>
            <w:r>
              <w:rPr>
                <w:rStyle w:val="40"/>
                <w:rFonts w:hint="eastAsia"/>
                <w:b w:val="0"/>
                <w:bCs w:val="0"/>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（2）资质要求</w:t>
            </w:r>
          </w:p>
        </w:tc>
        <w:tc>
          <w:tcPr>
            <w:tcW w:w="1729" w:type="dxa"/>
            <w:vAlign w:val="center"/>
          </w:tcPr>
          <w:p>
            <w:pPr>
              <w:widowControl w:val="0"/>
              <w:spacing w:line="360" w:lineRule="auto"/>
              <w:jc w:val="center"/>
              <w:rPr>
                <w:rFonts w:ascii="宋体" w:hAnsi="宋体"/>
                <w:b/>
                <w:bCs/>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3</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财务要求</w:t>
            </w:r>
          </w:p>
        </w:tc>
        <w:tc>
          <w:tcPr>
            <w:tcW w:w="1729" w:type="dxa"/>
            <w:vAlign w:val="center"/>
          </w:tcPr>
          <w:p>
            <w:pPr>
              <w:widowControl/>
              <w:spacing w:line="240" w:lineRule="auto"/>
              <w:jc w:val="center"/>
              <w:rPr>
                <w:rStyle w:val="40"/>
                <w:rFonts w:hint="eastAsia"/>
                <w:b/>
                <w:bCs/>
                <w:color w:val="auto"/>
                <w:highlight w:val="none"/>
                <w:u w:val="single"/>
                <w:lang w:eastAsia="zh-CN"/>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spacing w:line="240" w:lineRule="auto"/>
              <w:jc w:val="center"/>
              <w:rPr>
                <w:rStyle w:val="40"/>
                <w:rFonts w:hint="eastAsia"/>
                <w:b w:val="0"/>
                <w:bCs w:val="0"/>
                <w:color w:val="auto"/>
                <w:highlight w:val="none"/>
                <w:u w:val="single"/>
                <w:lang w:eastAsia="zh-CN"/>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）业绩要求</w:t>
            </w:r>
          </w:p>
        </w:tc>
        <w:tc>
          <w:tcPr>
            <w:tcW w:w="1729" w:type="dxa"/>
            <w:vAlign w:val="center"/>
          </w:tcPr>
          <w:p>
            <w:pPr>
              <w:widowControl w:val="0"/>
              <w:spacing w:line="360" w:lineRule="auto"/>
              <w:jc w:val="center"/>
              <w:rPr>
                <w:rFonts w:ascii="宋体" w:hAnsi="宋体"/>
                <w:b/>
                <w:bCs/>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适用,见采购文件供应商须知前附表3.5（</w:t>
            </w:r>
            <w:r>
              <w:rPr>
                <w:rStyle w:val="40"/>
                <w:rFonts w:hint="eastAsia"/>
                <w:b w:val="0"/>
                <w:bCs w:val="0"/>
                <w:color w:val="auto"/>
                <w:highlight w:val="none"/>
                <w:u w:val="single"/>
                <w:lang w:val="en-US" w:eastAsia="zh-CN"/>
              </w:rPr>
              <w:t>4</w:t>
            </w:r>
            <w:r>
              <w:rPr>
                <w:rStyle w:val="40"/>
                <w:rFonts w:hint="eastAsia"/>
                <w:b w:val="0"/>
                <w:bCs w:val="0"/>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）信誉要求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hint="eastAsia" w:ascii="宋体" w:hAnsi="宋体" w:eastAsia="宋体"/>
                <w:b w:val="0"/>
                <w:bCs w:val="0"/>
                <w:color w:val="auto"/>
                <w:sz w:val="24"/>
                <w:highlight w:val="none"/>
                <w:u w:val="none"/>
                <w:lang w:eastAsia="zh-CN"/>
              </w:rPr>
            </w:pPr>
            <w:r>
              <w:rPr>
                <w:rStyle w:val="40"/>
                <w:rFonts w:hint="eastAsia"/>
                <w:b w:val="0"/>
                <w:bCs w:val="0"/>
                <w:color w:val="auto"/>
                <w:highlight w:val="none"/>
                <w:u w:val="none"/>
                <w:lang w:eastAsia="zh-CN"/>
              </w:rPr>
              <w:t>☑</w:t>
            </w:r>
            <w:r>
              <w:rPr>
                <w:rStyle w:val="40"/>
                <w:rFonts w:hint="eastAsia"/>
                <w:b w:val="0"/>
                <w:bCs w:val="0"/>
                <w:color w:val="auto"/>
                <w:highlight w:val="none"/>
                <w:u w:val="none"/>
              </w:rPr>
              <w:t>适用</w:t>
            </w:r>
            <w:r>
              <w:rPr>
                <w:rStyle w:val="40"/>
                <w:rFonts w:hint="eastAsia"/>
                <w:b w:val="0"/>
                <w:bCs w:val="0"/>
                <w:color w:val="auto"/>
                <w:highlight w:val="none"/>
                <w:u w:val="none"/>
                <w:lang w:eastAsia="zh-CN"/>
              </w:rPr>
              <w:t>，见采购文件供应商须知前附表</w:t>
            </w:r>
            <w:r>
              <w:rPr>
                <w:rStyle w:val="40"/>
                <w:rFonts w:hint="eastAsia"/>
                <w:b w:val="0"/>
                <w:bCs w:val="0"/>
                <w:color w:val="auto"/>
                <w:highlight w:val="none"/>
                <w:u w:val="none"/>
              </w:rPr>
              <w:t>3.5（5）</w:t>
            </w:r>
            <w:r>
              <w:rPr>
                <w:rStyle w:val="40"/>
                <w:rFonts w:hint="eastAsia"/>
                <w:b w:val="0"/>
                <w:bCs w:val="0"/>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）承担本项目的主要人员要求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7</w:t>
            </w:r>
            <w:r>
              <w:rPr>
                <w:rFonts w:hint="eastAsia" w:ascii="宋体" w:hAnsi="宋体"/>
                <w:b w:val="0"/>
                <w:bCs w:val="0"/>
                <w:color w:val="auto"/>
                <w:sz w:val="24"/>
                <w:highlight w:val="none"/>
              </w:rPr>
              <w:t>）其他要求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）供应商不存在第一章3.1款情形的证明材料</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适用,见采购文件供应商须知前附表3.5（</w:t>
            </w:r>
            <w:r>
              <w:rPr>
                <w:rStyle w:val="40"/>
                <w:rFonts w:hint="eastAsia"/>
                <w:b w:val="0"/>
                <w:bCs w:val="0"/>
                <w:color w:val="auto"/>
                <w:highlight w:val="none"/>
                <w:u w:val="none"/>
                <w:lang w:val="en-US" w:eastAsia="zh-CN"/>
              </w:rPr>
              <w:t>8</w:t>
            </w:r>
            <w:r>
              <w:rPr>
                <w:rStyle w:val="40"/>
                <w:rFonts w:hint="eastAsia"/>
                <w:b w:val="0"/>
                <w:bCs w:val="0"/>
                <w:color w:val="auto"/>
                <w:highlight w:val="none"/>
                <w:u w:val="none"/>
              </w:rPr>
              <w:t>）。</w:t>
            </w:r>
          </w:p>
        </w:tc>
      </w:tr>
    </w:tbl>
    <w:p>
      <w:pPr>
        <w:pStyle w:val="7"/>
        <w:spacing w:line="240" w:lineRule="exact"/>
        <w:jc w:val="both"/>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本项目不接受联合体报价，不递交保证金</w:t>
      </w:r>
    </w:p>
    <w:p>
      <w:pPr>
        <w:pStyle w:val="7"/>
        <w:spacing w:line="360" w:lineRule="auto"/>
        <w:jc w:val="both"/>
        <w:rPr>
          <w:rFonts w:ascii="Arial" w:hAnsi="Arial"/>
          <w:color w:val="auto"/>
          <w:highlight w:val="none"/>
        </w:rPr>
      </w:pPr>
      <w:r>
        <w:rPr>
          <w:rFonts w:hint="eastAsia"/>
          <w:color w:val="auto"/>
          <w:highlight w:val="none"/>
          <w:lang w:val="en-US" w:eastAsia="zh-CN"/>
        </w:rPr>
        <w:t>四、</w:t>
      </w:r>
      <w:r>
        <w:rPr>
          <w:rFonts w:hint="eastAsia" w:ascii="黑体" w:hAnsi="黑体"/>
          <w:color w:val="auto"/>
          <w:highlight w:val="none"/>
        </w:rPr>
        <w:t>确定成交供应商的方法</w:t>
      </w:r>
    </w:p>
    <w:p>
      <w:pPr>
        <w:autoSpaceDE w:val="0"/>
        <w:spacing w:line="360" w:lineRule="auto"/>
        <w:jc w:val="both"/>
        <w:rPr>
          <w:rFonts w:hint="eastAsia"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Style w:val="39"/>
          <w:rFonts w:hint="eastAsia" w:ascii="宋体" w:hAnsi="宋体"/>
          <w:color w:val="auto"/>
          <w:sz w:val="24"/>
          <w:highlight w:val="none"/>
        </w:rPr>
        <w:t>最低价法</w:t>
      </w:r>
    </w:p>
    <w:p>
      <w:pPr>
        <w:autoSpaceDE w:val="0"/>
        <w:spacing w:line="360" w:lineRule="auto"/>
        <w:jc w:val="both"/>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color w:val="auto"/>
          <w:sz w:val="24"/>
          <w:highlight w:val="none"/>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Arial" w:hAnsi="Arial"/>
          <w:color w:val="auto"/>
          <w:highlight w:val="none"/>
          <w:u w:val="none"/>
        </w:rPr>
      </w:pPr>
      <w:r>
        <w:rPr>
          <w:rFonts w:hint="eastAsia" w:ascii="黑体" w:hAnsi="黑体"/>
          <w:color w:val="auto"/>
          <w:highlight w:val="none"/>
          <w:lang w:val="en-US" w:eastAsia="zh-CN"/>
        </w:rPr>
        <w:t>五、</w:t>
      </w:r>
      <w:r>
        <w:rPr>
          <w:rFonts w:hint="eastAsia" w:ascii="黑体" w:hAnsi="黑体"/>
          <w:color w:val="auto"/>
          <w:highlight w:val="none"/>
        </w:rPr>
        <w:t>采购文件获</w:t>
      </w:r>
      <w:r>
        <w:rPr>
          <w:rFonts w:hint="eastAsia" w:ascii="黑体" w:hAnsi="黑体"/>
          <w:color w:val="auto"/>
          <w:highlight w:val="none"/>
          <w:u w:val="none"/>
        </w:rPr>
        <w:t>取</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b w:val="0"/>
          <w:bCs w:val="0"/>
          <w:color w:val="auto"/>
          <w:sz w:val="24"/>
          <w:highlight w:val="none"/>
          <w:u w:val="none"/>
          <w:lang w:eastAsia="zh-CN"/>
        </w:rPr>
        <w:t>（</w:t>
      </w:r>
      <w:r>
        <w:rPr>
          <w:rFonts w:hint="eastAsia" w:ascii="宋体" w:hAnsi="宋体"/>
          <w:b w:val="0"/>
          <w:bCs w:val="0"/>
          <w:color w:val="auto"/>
          <w:sz w:val="24"/>
          <w:highlight w:val="none"/>
          <w:u w:val="none"/>
          <w:lang w:val="en-US" w:eastAsia="zh-CN"/>
        </w:rPr>
        <w:t>一</w:t>
      </w:r>
      <w:r>
        <w:rPr>
          <w:rFonts w:hint="eastAsia" w:ascii="宋体" w:hAnsi="宋体"/>
          <w:b w:val="0"/>
          <w:bCs w:val="0"/>
          <w:color w:val="auto"/>
          <w:sz w:val="24"/>
          <w:highlight w:val="none"/>
          <w:u w:val="none"/>
          <w:lang w:eastAsia="zh-CN"/>
        </w:rPr>
        <w:t>）</w:t>
      </w:r>
      <w:r>
        <w:rPr>
          <w:rFonts w:hint="eastAsia" w:ascii="宋体" w:hAnsi="宋体"/>
          <w:b w:val="0"/>
          <w:bCs w:val="0"/>
          <w:color w:val="auto"/>
          <w:sz w:val="24"/>
          <w:highlight w:val="none"/>
          <w:u w:val="none"/>
        </w:rPr>
        <w:t xml:space="preserve"> </w:t>
      </w:r>
      <w:r>
        <w:rPr>
          <w:rFonts w:hint="eastAsia" w:ascii="宋体" w:hAnsi="宋体" w:eastAsia="宋体" w:cs="宋体"/>
          <w:color w:val="auto"/>
          <w:sz w:val="24"/>
          <w:szCs w:val="24"/>
        </w:rPr>
        <w:t>凡有意参加的投标人</w:t>
      </w:r>
      <w:bookmarkStart w:id="8" w:name="_Hlk51833398"/>
      <w:r>
        <w:rPr>
          <w:rFonts w:hint="eastAsia" w:ascii="宋体" w:hAnsi="宋体" w:eastAsia="宋体" w:cs="宋体"/>
          <w:color w:val="auto"/>
          <w:sz w:val="24"/>
          <w:szCs w:val="24"/>
        </w:rPr>
        <w:t>自</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25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 xml:space="preserve"> 5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日止（北京时间）</w:t>
      </w:r>
      <w:bookmarkEnd w:id="8"/>
      <w:r>
        <w:rPr>
          <w:rFonts w:hint="eastAsia" w:ascii="宋体" w:hAnsi="宋体" w:eastAsia="宋体" w:cs="宋体"/>
          <w:color w:val="auto"/>
          <w:sz w:val="24"/>
          <w:szCs w:val="24"/>
        </w:rPr>
        <w:t>，每日上午8时00分至12时00分，下午14时30分至17时30分，在</w:t>
      </w:r>
      <w:r>
        <w:rPr>
          <w:rFonts w:hint="eastAsia" w:ascii="宋体" w:hAnsi="宋体" w:eastAsia="宋体" w:cs="宋体"/>
          <w:color w:val="auto"/>
          <w:sz w:val="24"/>
          <w:szCs w:val="24"/>
          <w:u w:val="single"/>
        </w:rPr>
        <w:t>湖南省岳阳市城陵矶长江路2号岳阳城陵矶港务有限责任公司办公楼</w:t>
      </w:r>
      <w:r>
        <w:rPr>
          <w:rFonts w:hint="eastAsia" w:ascii="宋体" w:hAnsi="宋体" w:cs="宋体"/>
          <w:color w:val="auto"/>
          <w:sz w:val="24"/>
          <w:szCs w:val="24"/>
          <w:u w:val="single"/>
          <w:lang w:val="en-US" w:eastAsia="zh-CN"/>
        </w:rPr>
        <w:t>322</w:t>
      </w:r>
      <w:r>
        <w:rPr>
          <w:rFonts w:hint="eastAsia" w:ascii="宋体" w:hAnsi="宋体" w:eastAsia="宋体" w:cs="宋体"/>
          <w:color w:val="auto"/>
          <w:sz w:val="24"/>
          <w:szCs w:val="24"/>
          <w:u w:val="single"/>
        </w:rPr>
        <w:t>室</w:t>
      </w:r>
      <w:r>
        <w:rPr>
          <w:rFonts w:hint="eastAsia" w:ascii="宋体" w:hAnsi="宋体" w:eastAsia="宋体" w:cs="宋体"/>
          <w:color w:val="auto"/>
          <w:sz w:val="24"/>
          <w:szCs w:val="24"/>
        </w:rPr>
        <w:t>持下述资料报名购买招标文件。</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(二） </w:t>
      </w:r>
      <w:r>
        <w:rPr>
          <w:rFonts w:hint="eastAsia" w:ascii="宋体" w:hAnsi="宋体" w:eastAsia="宋体" w:cs="宋体"/>
          <w:color w:val="auto"/>
          <w:sz w:val="24"/>
          <w:szCs w:val="24"/>
        </w:rPr>
        <w:t>获取招标文件时所需资料如下：</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1法人授权委托书原件；</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2企业营业执照副本；</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3被授权人身份证复印件（另带原件供核对）；</w:t>
      </w:r>
    </w:p>
    <w:p>
      <w:pPr>
        <w:pageBreakBefore w:val="0"/>
        <w:wordWrap/>
        <w:bidi w:val="0"/>
        <w:spacing w:after="0" w:line="360" w:lineRule="auto"/>
        <w:ind w:firstLine="482"/>
        <w:jc w:val="both"/>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olor w:val="auto"/>
          <w:sz w:val="24"/>
        </w:rPr>
        <w:t>业绩证明资料</w:t>
      </w:r>
      <w:r>
        <w:rPr>
          <w:rFonts w:hint="eastAsia" w:ascii="宋体" w:hAnsi="宋体" w:eastAsia="宋体" w:cs="宋体"/>
          <w:color w:val="auto"/>
          <w:sz w:val="24"/>
          <w:szCs w:val="24"/>
        </w:rPr>
        <w:t>；</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5提交报名资料一份：将1原件和.2、3、4复印件（逐页加盖公章）装订成册。</w:t>
      </w:r>
    </w:p>
    <w:p>
      <w:pPr>
        <w:pageBreakBefore w:val="0"/>
        <w:wordWrap/>
        <w:bidi w:val="0"/>
        <w:adjustRightInd w:val="0"/>
        <w:snapToGrid w:val="0"/>
        <w:spacing w:after="0" w:line="360" w:lineRule="auto"/>
        <w:ind w:firstLine="360" w:firstLineChars="150"/>
        <w:rPr>
          <w:rFonts w:hint="eastAsia" w:ascii="宋体" w:hAnsi="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w:t>
      </w:r>
      <w:r>
        <w:rPr>
          <w:rFonts w:hint="eastAsia" w:ascii="宋体" w:hAnsi="宋体" w:cs="宋体"/>
          <w:color w:val="auto"/>
          <w:sz w:val="24"/>
          <w:szCs w:val="24"/>
        </w:rPr>
        <w:t>招标文件每套售价人民币</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00</w:t>
      </w:r>
      <w:r>
        <w:rPr>
          <w:rFonts w:hint="eastAsia" w:ascii="宋体" w:hAnsi="宋体" w:cs="宋体"/>
          <w:color w:val="auto"/>
          <w:sz w:val="24"/>
          <w:szCs w:val="24"/>
        </w:rPr>
        <w:t>元，逾期不售，售后不退。</w:t>
      </w:r>
      <w:r>
        <w:rPr>
          <w:rFonts w:hint="eastAsia" w:ascii="宋体" w:hAnsi="宋体" w:eastAsia="宋体" w:cs="宋体"/>
          <w:color w:val="auto"/>
          <w:sz w:val="24"/>
          <w:szCs w:val="24"/>
        </w:rPr>
        <w:t>可到3楼财务交费，也可采用电汇。</w:t>
      </w:r>
      <w:r>
        <w:rPr>
          <w:rFonts w:hint="eastAsia" w:ascii="宋体" w:hAnsi="宋体" w:eastAsia="宋体"/>
          <w:color w:val="auto"/>
          <w:sz w:val="24"/>
          <w:szCs w:val="24"/>
        </w:rPr>
        <w:t>购买招标文件的</w:t>
      </w:r>
      <w:r>
        <w:rPr>
          <w:rFonts w:hint="eastAsia" w:ascii="宋体" w:hAnsi="宋体"/>
          <w:color w:val="auto"/>
          <w:sz w:val="24"/>
          <w:szCs w:val="24"/>
        </w:rPr>
        <w:t xml:space="preserve">开户银行及及账号如下： </w:t>
      </w:r>
    </w:p>
    <w:p>
      <w:pPr>
        <w:pageBreakBefore w:val="0"/>
        <w:wordWrap/>
        <w:bidi w:val="0"/>
        <w:adjustRightInd w:val="0"/>
        <w:snapToGrid w:val="0"/>
        <w:spacing w:after="0" w:line="360" w:lineRule="auto"/>
        <w:ind w:firstLine="361" w:firstLineChars="150"/>
        <w:rPr>
          <w:rFonts w:hint="eastAsia" w:ascii="宋体" w:hAnsi="宋体"/>
          <w:b/>
          <w:bCs/>
          <w:color w:val="auto"/>
          <w:sz w:val="24"/>
          <w:szCs w:val="24"/>
        </w:rPr>
      </w:pPr>
      <w:r>
        <w:rPr>
          <w:rFonts w:hint="eastAsia" w:ascii="宋体" w:hAnsi="宋体"/>
          <w:b/>
          <w:bCs/>
          <w:color w:val="auto"/>
          <w:sz w:val="24"/>
          <w:szCs w:val="24"/>
        </w:rPr>
        <w:t xml:space="preserve">开户名称：岳阳城陵矶港务有限责任公司 </w:t>
      </w:r>
    </w:p>
    <w:p>
      <w:pPr>
        <w:pageBreakBefore w:val="0"/>
        <w:wordWrap/>
        <w:bidi w:val="0"/>
        <w:adjustRightInd w:val="0"/>
        <w:snapToGrid w:val="0"/>
        <w:spacing w:after="0" w:line="360" w:lineRule="auto"/>
        <w:ind w:firstLine="361" w:firstLineChars="150"/>
        <w:rPr>
          <w:rFonts w:hint="eastAsia" w:ascii="宋体" w:hAnsi="宋体"/>
          <w:b/>
          <w:bCs/>
          <w:color w:val="auto"/>
          <w:sz w:val="24"/>
          <w:szCs w:val="24"/>
        </w:rPr>
      </w:pPr>
      <w:r>
        <w:rPr>
          <w:rFonts w:hint="eastAsia" w:ascii="宋体" w:hAnsi="宋体"/>
          <w:b/>
          <w:bCs/>
          <w:color w:val="auto"/>
          <w:sz w:val="24"/>
          <w:szCs w:val="24"/>
        </w:rPr>
        <w:t xml:space="preserve">开户银行：岳阳市建行城陵矶支行 </w:t>
      </w:r>
    </w:p>
    <w:p>
      <w:pPr>
        <w:autoSpaceDE/>
        <w:adjustRightInd w:val="0"/>
        <w:snapToGrid w:val="0"/>
        <w:spacing w:line="360" w:lineRule="auto"/>
        <w:ind w:left="0" w:firstLine="361" w:firstLineChars="150"/>
        <w:jc w:val="left"/>
        <w:rPr>
          <w:rFonts w:hint="eastAsia" w:ascii="宋体" w:hAnsi="宋体" w:eastAsia="宋体"/>
          <w:b w:val="0"/>
          <w:bCs w:val="0"/>
          <w:color w:val="auto"/>
          <w:sz w:val="24"/>
          <w:highlight w:val="yellow"/>
          <w:u w:val="none"/>
          <w:lang w:eastAsia="zh-CN"/>
        </w:rPr>
      </w:pPr>
      <w:r>
        <w:rPr>
          <w:rFonts w:hint="eastAsia" w:ascii="宋体" w:hAnsi="宋体" w:eastAsia="宋体"/>
          <w:b/>
          <w:bCs/>
          <w:color w:val="auto"/>
          <w:sz w:val="24"/>
          <w:szCs w:val="24"/>
          <w:lang w:val="en-US" w:eastAsia="zh-CN"/>
        </w:rPr>
        <w:t>账</w:t>
      </w:r>
      <w:r>
        <w:rPr>
          <w:rFonts w:hint="eastAsia" w:ascii="宋体" w:hAnsi="宋体"/>
          <w:b/>
          <w:bCs/>
          <w:color w:val="auto"/>
          <w:sz w:val="24"/>
          <w:szCs w:val="24"/>
        </w:rPr>
        <w:t xml:space="preserve">   </w:t>
      </w:r>
      <w:r>
        <w:rPr>
          <w:rFonts w:hint="eastAsia" w:ascii="宋体" w:hAnsi="宋体" w:eastAsia="宋体"/>
          <w:b/>
          <w:bCs/>
          <w:color w:val="auto"/>
          <w:sz w:val="24"/>
          <w:szCs w:val="24"/>
          <w:lang w:val="en-US" w:eastAsia="zh-CN"/>
        </w:rPr>
        <w:t xml:space="preserve"> </w:t>
      </w:r>
      <w:r>
        <w:rPr>
          <w:rFonts w:hint="eastAsia" w:ascii="宋体" w:hAnsi="宋体"/>
          <w:b/>
          <w:bCs/>
          <w:color w:val="auto"/>
          <w:sz w:val="24"/>
          <w:szCs w:val="24"/>
        </w:rPr>
        <w:t>号：43001650066050000703</w:t>
      </w:r>
    </w:p>
    <w:p>
      <w:pPr>
        <w:pStyle w:val="7"/>
        <w:keepNext w:val="0"/>
        <w:keepLines w:val="0"/>
        <w:pageBreakBefore w:val="0"/>
        <w:widowControl w:val="0"/>
        <w:wordWrap/>
        <w:bidi w:val="0"/>
        <w:adjustRightInd w:val="0"/>
        <w:snapToGrid w:val="0"/>
        <w:spacing w:after="0" w:line="360" w:lineRule="auto"/>
        <w:ind w:left="0" w:right="0" w:firstLine="562" w:firstLineChars="200"/>
        <w:jc w:val="both"/>
        <w:rPr>
          <w:rFonts w:hint="eastAsia" w:ascii="黑体" w:hAnsi="黑体" w:eastAsiaTheme="majorEastAsia" w:cstheme="majorBidi"/>
          <w:b/>
          <w:color w:val="auto"/>
          <w:sz w:val="28"/>
          <w:szCs w:val="28"/>
          <w:highlight w:val="none"/>
        </w:rPr>
      </w:pPr>
      <w:r>
        <w:rPr>
          <w:rFonts w:hint="eastAsia" w:ascii="黑体" w:hAnsi="黑体"/>
          <w:color w:val="auto"/>
          <w:highlight w:val="none"/>
          <w:u w:val="none"/>
          <w:lang w:val="en-US" w:eastAsia="zh-CN"/>
        </w:rPr>
        <w:t>六、</w:t>
      </w:r>
      <w:r>
        <w:rPr>
          <w:rFonts w:hint="eastAsia" w:ascii="黑体" w:hAnsi="黑体" w:eastAsiaTheme="majorEastAsia" w:cstheme="majorBidi"/>
          <w:b/>
          <w:color w:val="auto"/>
          <w:sz w:val="28"/>
          <w:szCs w:val="28"/>
          <w:highlight w:val="none"/>
        </w:rPr>
        <w:t>投标文件的递交</w:t>
      </w:r>
    </w:p>
    <w:p>
      <w:pPr>
        <w:pageBreakBefore w:val="0"/>
        <w:wordWrap/>
        <w:bidi w:val="0"/>
        <w:spacing w:after="0"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投标文件递交的截止时间</w:t>
      </w:r>
      <w:r>
        <w:rPr>
          <w:rFonts w:hint="eastAsia" w:ascii="宋体" w:hAnsi="宋体" w:eastAsia="宋体"/>
          <w:color w:val="auto"/>
          <w:sz w:val="24"/>
          <w:szCs w:val="24"/>
        </w:rPr>
        <w:t>（投标截止时间）</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18 </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 xml:space="preserve">  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时00分（北京时间），递交地点为</w:t>
      </w:r>
      <w:r>
        <w:rPr>
          <w:rFonts w:hint="eastAsia" w:ascii="宋体" w:hAnsi="宋体" w:eastAsia="宋体" w:cs="宋体"/>
          <w:color w:val="auto"/>
          <w:sz w:val="24"/>
          <w:szCs w:val="24"/>
          <w:u w:val="single"/>
          <w:lang w:eastAsia="zh-CN"/>
        </w:rPr>
        <w:t>湖南省长沙市天心区新姚南路196号</w:t>
      </w:r>
      <w:r>
        <w:rPr>
          <w:rFonts w:hint="eastAsia" w:ascii="宋体" w:hAnsi="宋体" w:eastAsia="宋体" w:cs="宋体"/>
          <w:color w:val="auto"/>
          <w:sz w:val="24"/>
          <w:szCs w:val="24"/>
          <w:u w:val="single"/>
          <w:lang w:val="en-US" w:eastAsia="zh-CN"/>
        </w:rPr>
        <w:t>港航水利</w:t>
      </w:r>
      <w:r>
        <w:rPr>
          <w:rFonts w:hint="eastAsia" w:ascii="宋体" w:hAnsi="宋体" w:eastAsia="宋体" w:cs="宋体"/>
          <w:color w:val="auto"/>
          <w:sz w:val="24"/>
          <w:szCs w:val="24"/>
          <w:u w:val="single"/>
          <w:lang w:eastAsia="zh-CN"/>
        </w:rPr>
        <w:t>集团有限公司</w:t>
      </w:r>
      <w:r>
        <w:rPr>
          <w:rFonts w:hint="eastAsia" w:ascii="宋体" w:hAnsi="宋体" w:eastAsia="宋体" w:cs="宋体"/>
          <w:color w:val="auto"/>
          <w:sz w:val="24"/>
          <w:szCs w:val="24"/>
          <w:u w:val="single"/>
        </w:rPr>
        <w:t>办公楼六楼60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开评标室</w:t>
      </w:r>
      <w:r>
        <w:rPr>
          <w:rFonts w:hint="eastAsia" w:eastAsia="宋体"/>
          <w:color w:val="auto"/>
          <w:sz w:val="24"/>
          <w:szCs w:val="24"/>
        </w:rPr>
        <w:t>，递交方式为</w:t>
      </w:r>
      <w:r>
        <w:rPr>
          <w:rFonts w:hint="eastAsia" w:eastAsia="宋体"/>
          <w:color w:val="auto"/>
          <w:sz w:val="24"/>
          <w:szCs w:val="24"/>
          <w:u w:val="single"/>
        </w:rPr>
        <w:t>现场递交</w:t>
      </w:r>
      <w:r>
        <w:rPr>
          <w:rFonts w:hint="eastAsia" w:eastAsia="宋体"/>
          <w:color w:val="auto"/>
          <w:sz w:val="24"/>
          <w:szCs w:val="24"/>
          <w:u w:val="single"/>
          <w:lang w:eastAsia="zh-CN"/>
        </w:rPr>
        <w:t>，</w:t>
      </w:r>
      <w:r>
        <w:rPr>
          <w:rFonts w:hint="eastAsia" w:ascii="宋体" w:hAnsi="宋体" w:eastAsia="宋体" w:cs="宋体"/>
          <w:color w:val="auto"/>
          <w:sz w:val="24"/>
          <w:szCs w:val="24"/>
        </w:rPr>
        <w:t>逾期送达的、未送达指定地点的或不按照招标文件要求密封的投标文件，招标人将予以拒收。</w:t>
      </w:r>
    </w:p>
    <w:p>
      <w:pPr>
        <w:pStyle w:val="5"/>
        <w:keepNext w:val="0"/>
        <w:keepLines w:val="0"/>
        <w:pageBreakBefore w:val="0"/>
        <w:widowControl w:val="0"/>
        <w:wordWrap/>
        <w:bidi w:val="0"/>
        <w:adjustRightInd w:val="0"/>
        <w:snapToGrid w:val="0"/>
        <w:spacing w:after="0" w:line="360" w:lineRule="auto"/>
        <w:ind w:left="0" w:right="0" w:firstLine="0" w:firstLineChars="0"/>
        <w:jc w:val="both"/>
        <w:rPr>
          <w:rFonts w:hint="eastAsia" w:ascii="宋体" w:hAnsi="宋体" w:eastAsia="宋体" w:cs="宋体"/>
          <w:b/>
          <w:color w:val="auto"/>
          <w:sz w:val="24"/>
          <w:szCs w:val="24"/>
        </w:rPr>
      </w:pPr>
      <w:r>
        <w:rPr>
          <w:rFonts w:hint="eastAsia" w:cstheme="majorBidi"/>
          <w:b/>
          <w:bCs/>
          <w:color w:val="auto"/>
          <w:sz w:val="28"/>
          <w:szCs w:val="28"/>
          <w:highlight w:val="none"/>
          <w:u w:val="none"/>
          <w:lang w:val="en-US" w:eastAsia="zh-CN"/>
        </w:rPr>
        <w:t>七</w:t>
      </w:r>
      <w:r>
        <w:rPr>
          <w:rFonts w:hint="eastAsia" w:asciiTheme="majorHAnsi" w:hAnsiTheme="majorHAnsi" w:cstheme="majorBidi"/>
          <w:b/>
          <w:bCs/>
          <w:color w:val="auto"/>
          <w:sz w:val="28"/>
          <w:szCs w:val="28"/>
          <w:highlight w:val="none"/>
          <w:u w:val="none"/>
          <w:lang w:val="en-US" w:eastAsia="zh-CN"/>
        </w:rPr>
        <w:t>、</w:t>
      </w:r>
      <w:bookmarkStart w:id="9" w:name="_Toc26083"/>
      <w:r>
        <w:rPr>
          <w:rFonts w:hint="eastAsia" w:ascii="宋体" w:hAnsi="宋体" w:eastAsia="宋体" w:cs="宋体"/>
          <w:b/>
          <w:color w:val="auto"/>
          <w:sz w:val="24"/>
          <w:szCs w:val="24"/>
        </w:rPr>
        <w:t>发布公告的媒介</w:t>
      </w:r>
      <w:bookmarkEnd w:id="9"/>
    </w:p>
    <w:p>
      <w:pPr>
        <w:keepNext w:val="0"/>
        <w:keepLines w:val="0"/>
        <w:pageBreakBefore w:val="0"/>
        <w:widowControl w:val="0"/>
        <w:wordWrap/>
        <w:bidi w:val="0"/>
        <w:adjustRightInd w:val="0"/>
        <w:snapToGrid w:val="0"/>
        <w:spacing w:after="0" w:line="360" w:lineRule="auto"/>
        <w:ind w:left="0" w:right="0" w:firstLine="480" w:firstLineChars="200"/>
        <w:jc w:val="both"/>
        <w:rPr>
          <w:rFonts w:ascii="Times New Roman" w:hAnsi="Times New Roman"/>
          <w:b/>
          <w:color w:val="auto"/>
          <w:sz w:val="28"/>
          <w:szCs w:val="28"/>
        </w:rPr>
      </w:pPr>
      <w:r>
        <w:rPr>
          <w:rFonts w:hint="eastAsia" w:ascii="宋体" w:hAnsi="宋体" w:eastAsia="宋体" w:cs="宋体"/>
          <w:color w:val="auto"/>
          <w:sz w:val="24"/>
          <w:szCs w:val="24"/>
        </w:rPr>
        <w:t>本次招标公告同时在中国招标投标公共服务平台（http：//www.cebpubservice.com）、湖南省</w:t>
      </w:r>
      <w:r>
        <w:rPr>
          <w:rFonts w:hint="eastAsia" w:ascii="宋体" w:hAnsi="宋体" w:eastAsia="宋体" w:cs="宋体"/>
          <w:color w:val="auto"/>
          <w:sz w:val="24"/>
          <w:szCs w:val="24"/>
          <w:lang w:val="en-US" w:eastAsia="zh-CN"/>
        </w:rPr>
        <w:t>港航水利</w:t>
      </w:r>
      <w:r>
        <w:rPr>
          <w:rFonts w:hint="eastAsia" w:ascii="宋体" w:hAnsi="宋体" w:eastAsia="宋体" w:cs="宋体"/>
          <w:color w:val="auto"/>
          <w:sz w:val="24"/>
          <w:szCs w:val="24"/>
        </w:rPr>
        <w:t>集团有限公司网站（</w:t>
      </w:r>
      <w:ins w:id="2" w:author="咸鱼" w:date="2024-05-24T15:12:25Z">
        <w:r>
          <w:rPr>
            <w:rFonts w:hint="eastAsia" w:ascii="宋体" w:hAnsi="宋体" w:eastAsia="宋体" w:cs="宋体"/>
            <w:color w:val="auto"/>
            <w:sz w:val="24"/>
            <w:szCs w:val="24"/>
          </w:rPr>
          <w:t>http://www.hnsghsljt.com/</w:t>
        </w:r>
      </w:ins>
      <w:del w:id="3" w:author="咸鱼" w:date="2024-05-24T15:12:25Z">
        <w:r>
          <w:rPr>
            <w:rFonts w:hint="eastAsia" w:ascii="宋体" w:hAnsi="宋体" w:eastAsia="宋体" w:cs="宋体"/>
            <w:color w:val="auto"/>
            <w:sz w:val="24"/>
            <w:szCs w:val="24"/>
          </w:rPr>
          <w:delText>http：//www.hnsxsjt.com</w:delText>
        </w:r>
      </w:del>
      <w:r>
        <w:rPr>
          <w:rFonts w:hint="eastAsia" w:ascii="宋体" w:hAnsi="宋体" w:eastAsia="宋体" w:cs="宋体"/>
          <w:color w:val="auto"/>
          <w:sz w:val="24"/>
          <w:szCs w:val="24"/>
        </w:rPr>
        <w:t>）及</w:t>
      </w:r>
      <w:r>
        <w:rPr>
          <w:rFonts w:hint="eastAsia" w:ascii="宋体" w:hAnsi="宋体" w:eastAsia="宋体" w:cs="宋体"/>
          <w:color w:val="auto"/>
          <w:kern w:val="0"/>
          <w:sz w:val="24"/>
          <w:szCs w:val="24"/>
        </w:rPr>
        <w:t>湖南省</w:t>
      </w:r>
      <w:r>
        <w:rPr>
          <w:rFonts w:hint="eastAsia" w:ascii="宋体" w:hAnsi="宋体" w:eastAsia="宋体" w:cs="宋体"/>
          <w:color w:val="auto"/>
          <w:kern w:val="0"/>
          <w:sz w:val="24"/>
          <w:szCs w:val="24"/>
          <w:lang w:val="en-US" w:eastAsia="zh-CN"/>
        </w:rPr>
        <w:t>城陵矶港口</w:t>
      </w:r>
      <w:r>
        <w:rPr>
          <w:rFonts w:hint="eastAsia" w:ascii="宋体" w:hAnsi="宋体" w:eastAsia="宋体" w:cs="宋体"/>
          <w:color w:val="auto"/>
          <w:kern w:val="0"/>
          <w:sz w:val="24"/>
          <w:szCs w:val="24"/>
        </w:rPr>
        <w:t>集团有限公司网站（http://www.hnsgwjt.com/）</w:t>
      </w:r>
      <w:r>
        <w:rPr>
          <w:rFonts w:hint="eastAsia" w:ascii="宋体" w:hAnsi="宋体" w:eastAsia="宋体" w:cs="宋体"/>
          <w:color w:val="auto"/>
          <w:sz w:val="24"/>
          <w:szCs w:val="24"/>
        </w:rPr>
        <w:t>上发布。</w:t>
      </w:r>
    </w:p>
    <w:p>
      <w:pPr>
        <w:pStyle w:val="7"/>
        <w:spacing w:line="360" w:lineRule="auto"/>
        <w:jc w:val="both"/>
        <w:rPr>
          <w:color w:val="auto"/>
          <w:highlight w:val="none"/>
          <w:u w:val="none"/>
        </w:rPr>
      </w:pPr>
      <w:r>
        <w:rPr>
          <w:rFonts w:hint="eastAsia"/>
          <w:color w:val="auto"/>
          <w:highlight w:val="none"/>
          <w:u w:val="none"/>
          <w:lang w:val="en-US" w:eastAsia="zh-CN"/>
        </w:rPr>
        <w:t>八、</w:t>
      </w:r>
      <w:r>
        <w:rPr>
          <w:color w:val="auto"/>
          <w:highlight w:val="none"/>
          <w:u w:val="none"/>
        </w:rPr>
        <w:t>监督</w:t>
      </w:r>
      <w:r>
        <w:rPr>
          <w:rFonts w:hint="eastAsia"/>
          <w:color w:val="auto"/>
          <w:highlight w:val="none"/>
          <w:u w:val="none"/>
        </w:rPr>
        <w:t>部门</w:t>
      </w:r>
      <w:bookmarkStart w:id="157" w:name="_GoBack"/>
      <w:bookmarkEnd w:id="157"/>
    </w:p>
    <w:p>
      <w:pPr>
        <w:pStyle w:val="32"/>
        <w:pageBreakBefore w:val="0"/>
        <w:wordWrap/>
        <w:bidi w:val="0"/>
        <w:adjustRightInd w:val="0"/>
        <w:snapToGrid w:val="0"/>
        <w:spacing w:after="0" w:line="360" w:lineRule="auto"/>
        <w:ind w:firstLine="480" w:firstLineChars="200"/>
        <w:rPr>
          <w:rFonts w:hint="eastAsia" w:ascii="宋体" w:hAnsi="宋体" w:cs="宋体"/>
          <w:color w:val="auto"/>
        </w:rPr>
      </w:pPr>
      <w:r>
        <w:rPr>
          <w:rFonts w:hint="eastAsia" w:ascii="宋体" w:hAnsi="宋体" w:cs="宋体"/>
          <w:color w:val="auto"/>
        </w:rPr>
        <w:t>本次招标监督部门为</w:t>
      </w:r>
      <w:r>
        <w:rPr>
          <w:rFonts w:hint="eastAsia" w:ascii="宋体" w:hAnsi="宋体" w:cs="宋体"/>
          <w:color w:val="auto"/>
          <w:u w:val="single"/>
        </w:rPr>
        <w:t>岳阳城陵矶港务有限责任公司纪委</w:t>
      </w:r>
      <w:r>
        <w:rPr>
          <w:rFonts w:hint="eastAsia" w:ascii="宋体" w:hAnsi="宋体" w:cs="宋体"/>
          <w:color w:val="auto"/>
        </w:rPr>
        <w:t>，电话：0730－3050153。</w:t>
      </w:r>
    </w:p>
    <w:p>
      <w:pPr>
        <w:pStyle w:val="7"/>
        <w:autoSpaceDE w:val="0"/>
        <w:spacing w:line="360" w:lineRule="auto"/>
        <w:ind w:firstLine="0" w:firstLineChars="0"/>
        <w:jc w:val="both"/>
        <w:rPr>
          <w:rFonts w:hint="eastAsia" w:asciiTheme="majorHAnsi" w:hAnsiTheme="majorHAnsi" w:eastAsiaTheme="majorEastAsia" w:cstheme="majorBidi"/>
          <w:b/>
          <w:bCs/>
          <w:color w:val="auto"/>
          <w:sz w:val="28"/>
          <w:szCs w:val="28"/>
          <w:highlight w:val="none"/>
          <w:u w:val="none"/>
        </w:rPr>
      </w:pPr>
      <w:r>
        <w:rPr>
          <w:rFonts w:hint="eastAsia" w:cstheme="majorBidi"/>
          <w:b/>
          <w:bCs/>
          <w:color w:val="auto"/>
          <w:sz w:val="28"/>
          <w:szCs w:val="28"/>
          <w:highlight w:val="none"/>
          <w:u w:val="none"/>
          <w:lang w:val="en-US" w:eastAsia="zh-CN"/>
        </w:rPr>
        <w:t>九</w:t>
      </w:r>
      <w:r>
        <w:rPr>
          <w:rFonts w:hint="eastAsia" w:asciiTheme="majorHAnsi" w:hAnsiTheme="majorHAnsi" w:cstheme="majorBidi"/>
          <w:b/>
          <w:bCs/>
          <w:color w:val="auto"/>
          <w:sz w:val="28"/>
          <w:szCs w:val="28"/>
          <w:highlight w:val="none"/>
          <w:u w:val="none"/>
          <w:lang w:val="en-US" w:eastAsia="zh-CN"/>
        </w:rPr>
        <w:t>、</w:t>
      </w:r>
      <w:r>
        <w:rPr>
          <w:rFonts w:hint="eastAsia" w:asciiTheme="majorHAnsi" w:hAnsiTheme="majorHAnsi" w:eastAsiaTheme="majorEastAsia" w:cstheme="majorBidi"/>
          <w:b/>
          <w:bCs/>
          <w:color w:val="auto"/>
          <w:sz w:val="28"/>
          <w:szCs w:val="28"/>
          <w:highlight w:val="none"/>
          <w:u w:val="none"/>
        </w:rPr>
        <w:t>联系方式</w:t>
      </w:r>
    </w:p>
    <w:p>
      <w:pPr>
        <w:autoSpaceDE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询价人：</w:t>
      </w:r>
      <w:r>
        <w:rPr>
          <w:rFonts w:hint="eastAsia" w:ascii="宋体" w:hAnsi="宋体" w:eastAsia="宋体" w:cs="宋体"/>
          <w:color w:val="auto"/>
          <w:sz w:val="24"/>
          <w:szCs w:val="24"/>
          <w:highlight w:val="none"/>
          <w:lang w:val="en-US" w:eastAsia="zh-CN"/>
        </w:rPr>
        <w:t>岳阳城陵矶港务有限责任公司</w:t>
      </w:r>
    </w:p>
    <w:p>
      <w:pPr>
        <w:autoSpaceDE w:val="0"/>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val="en-US" w:eastAsia="zh-CN"/>
        </w:rPr>
        <w:t>岳</w:t>
      </w:r>
      <w:r>
        <w:rPr>
          <w:rFonts w:hint="eastAsia" w:ascii="宋体" w:hAnsi="宋体" w:eastAsia="宋体" w:cs="宋体"/>
          <w:color w:val="auto"/>
          <w:sz w:val="24"/>
          <w:szCs w:val="24"/>
          <w:highlight w:val="none"/>
          <w:lang w:val="en-US" w:eastAsia="zh-CN"/>
        </w:rPr>
        <w:t>阳城陵矶</w:t>
      </w:r>
      <w:r>
        <w:rPr>
          <w:rFonts w:hint="eastAsia" w:ascii="宋体" w:hAnsi="宋体" w:cs="宋体"/>
          <w:color w:val="auto"/>
          <w:sz w:val="24"/>
          <w:szCs w:val="24"/>
          <w:highlight w:val="none"/>
          <w:lang w:eastAsia="zh-CN"/>
        </w:rPr>
        <w:t>长江路</w:t>
      </w:r>
      <w:r>
        <w:rPr>
          <w:rFonts w:hint="eastAsia" w:ascii="宋体" w:hAnsi="宋体" w:cs="宋体"/>
          <w:color w:val="auto"/>
          <w:sz w:val="24"/>
          <w:szCs w:val="24"/>
          <w:highlight w:val="none"/>
          <w:lang w:val="en-US" w:eastAsia="zh-CN"/>
        </w:rPr>
        <w:t>2号</w:t>
      </w:r>
    </w:p>
    <w:p>
      <w:pPr>
        <w:autoSpaceDE w:val="0"/>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收件人：莫颖军</w:t>
      </w:r>
    </w:p>
    <w:p>
      <w:pPr>
        <w:autoSpaceDE w:val="0"/>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联系电话：13807301865</w:t>
      </w:r>
    </w:p>
    <w:p>
      <w:pPr>
        <w:pStyle w:val="7"/>
        <w:autoSpaceDE w:val="0"/>
        <w:spacing w:line="360" w:lineRule="auto"/>
        <w:jc w:val="both"/>
        <w:rPr>
          <w:rFonts w:hint="eastAsia" w:asciiTheme="majorHAnsi" w:hAnsiTheme="majorHAnsi" w:eastAsiaTheme="majorEastAsia"/>
          <w:color w:val="auto"/>
          <w:sz w:val="28"/>
          <w:szCs w:val="28"/>
          <w:highlight w:val="none"/>
        </w:rPr>
      </w:pPr>
      <w:r>
        <w:rPr>
          <w:rFonts w:hint="eastAsia" w:asciiTheme="majorHAnsi" w:hAnsiTheme="majorHAnsi" w:eastAsiaTheme="majorEastAsia"/>
          <w:color w:val="auto"/>
          <w:sz w:val="28"/>
          <w:szCs w:val="28"/>
          <w:highlight w:val="none"/>
        </w:rPr>
        <w:br w:type="page"/>
      </w:r>
    </w:p>
    <w:p>
      <w:pPr>
        <w:numPr>
          <w:ilvl w:val="-1"/>
          <w:numId w:val="0"/>
        </w:numPr>
        <w:spacing w:line="600" w:lineRule="exact"/>
        <w:ind w:left="0" w:firstLine="0"/>
        <w:jc w:val="center"/>
        <w:outlineLvl w:val="0"/>
        <w:rPr>
          <w:rFonts w:hint="eastAsia" w:ascii="黑体" w:hAnsi="黑体" w:eastAsia="黑体"/>
          <w:color w:val="auto"/>
          <w:sz w:val="36"/>
          <w:szCs w:val="36"/>
          <w:highlight w:val="none"/>
        </w:rPr>
      </w:pPr>
      <w:bookmarkStart w:id="10" w:name="_Toc8900"/>
      <w:bookmarkStart w:id="11" w:name="_Toc5030"/>
      <w:r>
        <w:rPr>
          <w:rFonts w:hint="eastAsia" w:ascii="黑体" w:hAnsi="黑体" w:eastAsia="黑体"/>
          <w:b w:val="0"/>
          <w:bCs w:val="0"/>
          <w:color w:val="auto"/>
          <w:sz w:val="36"/>
          <w:szCs w:val="36"/>
          <w:highlight w:val="none"/>
        </w:rPr>
        <w:t>第二章 供应商须知</w:t>
      </w:r>
      <w:bookmarkEnd w:id="10"/>
      <w:bookmarkEnd w:id="11"/>
    </w:p>
    <w:p>
      <w:pPr>
        <w:spacing w:before="240" w:after="240" w:line="240" w:lineRule="auto"/>
        <w:jc w:val="center"/>
        <w:outlineLvl w:val="0"/>
        <w:rPr>
          <w:rFonts w:hint="eastAsia" w:ascii="华文中宋" w:hAnsi="华文中宋" w:eastAsia="华文中宋" w:cs="仿宋"/>
          <w:b/>
          <w:bCs/>
          <w:color w:val="auto"/>
          <w:sz w:val="30"/>
          <w:szCs w:val="30"/>
          <w:highlight w:val="none"/>
        </w:rPr>
      </w:pPr>
      <w:bookmarkStart w:id="12" w:name="_Toc17655"/>
      <w:bookmarkStart w:id="13" w:name="_Toc31927"/>
      <w:bookmarkStart w:id="14" w:name="_Toc18626"/>
      <w:bookmarkStart w:id="15" w:name="_Toc26759"/>
      <w:bookmarkStart w:id="16" w:name="_Toc25819"/>
      <w:bookmarkStart w:id="17" w:name="_Toc7360"/>
      <w:r>
        <w:rPr>
          <w:rFonts w:hint="eastAsia" w:ascii="华文中宋" w:hAnsi="华文中宋" w:eastAsia="华文中宋" w:cs="仿宋"/>
          <w:b/>
          <w:bCs/>
          <w:color w:val="auto"/>
          <w:sz w:val="30"/>
          <w:szCs w:val="30"/>
          <w:highlight w:val="none"/>
          <w:lang w:val="en-US" w:eastAsia="zh-CN"/>
        </w:rPr>
        <w:t xml:space="preserve">第一节  </w:t>
      </w:r>
      <w:r>
        <w:rPr>
          <w:rFonts w:hint="eastAsia" w:ascii="华文中宋" w:hAnsi="华文中宋" w:eastAsia="华文中宋" w:cs="仿宋"/>
          <w:b/>
          <w:bCs/>
          <w:color w:val="auto"/>
          <w:sz w:val="30"/>
          <w:szCs w:val="30"/>
          <w:highlight w:val="none"/>
        </w:rPr>
        <w:t>供应商须知前附表</w:t>
      </w:r>
      <w:bookmarkEnd w:id="12"/>
      <w:bookmarkEnd w:id="13"/>
      <w:bookmarkEnd w:id="14"/>
      <w:bookmarkEnd w:id="15"/>
      <w:bookmarkEnd w:id="16"/>
      <w:bookmarkEnd w:id="17"/>
    </w:p>
    <w:tbl>
      <w:tblPr>
        <w:tblStyle w:val="37"/>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不得分包的内容：</w:t>
            </w:r>
            <w:r>
              <w:rPr>
                <w:rFonts w:hint="eastAsia" w:ascii="宋体" w:hAnsi="宋体" w:cs="仿宋"/>
                <w:color w:val="auto"/>
                <w:sz w:val="24"/>
                <w:highlight w:val="none"/>
                <w:u w:val="none"/>
                <w:lang w:eastAsia="zh-CN"/>
              </w:rPr>
              <w:t>不允许分包</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sz w:val="24"/>
                <w:highlight w:val="none"/>
              </w:rPr>
              <w:t>允许偏差的范围：</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文件在实质上响应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文件要求，但存在含义不明确的内容、明显文字或计算错误等情况，并且澄清、说明和补正这些情况不会对其他</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人造成不公平的结果</w:t>
            </w:r>
            <w:r>
              <w:rPr>
                <w:rFonts w:hint="eastAsia" w:ascii="宋体" w:hAnsi="宋体" w:cs="宋体"/>
                <w:color w:val="auto"/>
                <w:sz w:val="24"/>
                <w:szCs w:val="24"/>
                <w:highlight w:val="none"/>
                <w:lang w:eastAsia="zh-CN"/>
              </w:rPr>
              <w:t>。</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允许偏差的项数：</w:t>
            </w:r>
            <w:r>
              <w:rPr>
                <w:rFonts w:hint="eastAsia" w:cs="仿宋" w:asciiTheme="minorEastAsia" w:hAnsiTheme="minorEastAsia" w:eastAsiaTheme="minorEastAsia"/>
                <w:color w:val="auto"/>
                <w:sz w:val="24"/>
                <w:highlight w:val="none"/>
                <w:lang w:val="en-US" w:eastAsia="zh-CN"/>
              </w:rPr>
              <w:t>3项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 </w:t>
            </w:r>
            <w:r>
              <w:rPr>
                <w:rFonts w:hint="eastAsia" w:cs="仿宋" w:asciiTheme="minorEastAsia" w:hAnsiTheme="minorEastAsia" w:eastAsiaTheme="minorEastAsia"/>
                <w:color w:val="auto"/>
                <w:sz w:val="24"/>
                <w:highlight w:val="none"/>
                <w:lang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 xml:space="preserve">截止时间： </w:t>
            </w:r>
            <w:r>
              <w:rPr>
                <w:rFonts w:hint="eastAsia" w:cs="仿宋" w:asciiTheme="minorEastAsia" w:hAnsiTheme="minorEastAsia" w:eastAsiaTheme="minorEastAsia"/>
                <w:color w:val="auto"/>
                <w:sz w:val="24"/>
                <w:highlight w:val="yellow"/>
                <w:u w:val="none"/>
                <w:lang w:val="en-US" w:eastAsia="zh-CN"/>
              </w:rPr>
              <w:t>2024年 5月30 日17 时00分</w:t>
            </w:r>
            <w:r>
              <w:rPr>
                <w:rFonts w:hint="eastAsia" w:cs="仿宋" w:asciiTheme="minorEastAsia" w:hAnsiTheme="minorEastAsia" w:eastAsiaTheme="minorEastAsia"/>
                <w:color w:val="auto"/>
                <w:sz w:val="24"/>
                <w:highlight w:val="yellow"/>
              </w:rPr>
              <w:t xml:space="preserve">         </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确认的最晚时间：</w:t>
            </w:r>
            <w:r>
              <w:rPr>
                <w:rFonts w:hint="eastAsia" w:cs="仿宋" w:asciiTheme="minorEastAsia" w:hAnsiTheme="minorEastAsia" w:eastAsiaTheme="minorEastAsia"/>
                <w:color w:val="auto"/>
                <w:sz w:val="24"/>
                <w:highlight w:val="none"/>
                <w:lang w:val="en-US" w:eastAsia="zh-CN"/>
              </w:rPr>
              <w:t>补充文件发出后24小时</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确定的方式：</w:t>
            </w:r>
            <w:r>
              <w:rPr>
                <w:rFonts w:hint="eastAsia" w:cs="仿宋" w:asciiTheme="minorEastAsia" w:hAnsiTheme="minorEastAsia" w:eastAsiaTheme="minorEastAsia"/>
                <w:color w:val="auto"/>
                <w:sz w:val="24"/>
                <w:highlight w:val="none"/>
                <w:lang w:val="en-US" w:eastAsia="zh-CN"/>
              </w:rPr>
              <w:t>书面确认</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资料名称</w:t>
            </w:r>
            <w:r>
              <w:rPr>
                <w:rFonts w:hint="eastAsia" w:cs="仿宋" w:asciiTheme="minorEastAsia" w:hAnsiTheme="minorEastAsia" w:eastAsiaTheme="minorEastAsia"/>
                <w:color w:val="auto"/>
                <w:sz w:val="24"/>
                <w:highlight w:val="none"/>
                <w:lang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i w:val="0"/>
                <w:iCs w:val="0"/>
                <w:color w:val="auto"/>
                <w:sz w:val="24"/>
                <w:highlight w:val="none"/>
              </w:rPr>
            </w:pPr>
            <w:r>
              <w:rPr>
                <w:rFonts w:hint="eastAsia" w:cs="仿宋" w:asciiTheme="minorEastAsia" w:hAnsiTheme="minorEastAsia" w:eastAsiaTheme="minorEastAsia"/>
                <w:i w:val="0"/>
                <w:iCs w:val="0"/>
                <w:color w:val="auto"/>
                <w:sz w:val="24"/>
                <w:highlight w:val="none"/>
                <w:lang w:eastAsia="zh-CN"/>
              </w:rPr>
              <w:t>☑</w:t>
            </w:r>
            <w:r>
              <w:rPr>
                <w:rFonts w:hint="eastAsia" w:cs="仿宋" w:asciiTheme="minorEastAsia" w:hAnsiTheme="minorEastAsia" w:eastAsiaTheme="minorEastAsia"/>
                <w:i w:val="0"/>
                <w:iCs w:val="0"/>
                <w:color w:val="auto"/>
                <w:sz w:val="24"/>
                <w:highlight w:val="none"/>
              </w:rPr>
              <w:t>有，最高限价：</w:t>
            </w:r>
            <w:r>
              <w:rPr>
                <w:rFonts w:hint="eastAsia" w:cs="仿宋" w:asciiTheme="minorEastAsia" w:hAnsiTheme="minorEastAsia" w:eastAsiaTheme="minorEastAsia"/>
                <w:i w:val="0"/>
                <w:iCs w:val="0"/>
                <w:color w:val="auto"/>
                <w:sz w:val="24"/>
                <w:highlight w:val="none"/>
                <w:lang w:eastAsia="zh-CN"/>
              </w:rPr>
              <w:t>人民币</w:t>
            </w:r>
            <w:r>
              <w:rPr>
                <w:rFonts w:hint="eastAsia" w:ascii="宋体" w:hAnsi="宋体"/>
                <w:b w:val="0"/>
                <w:bCs w:val="0"/>
                <w:color w:val="auto"/>
                <w:sz w:val="24"/>
                <w:highlight w:val="none"/>
                <w:u w:val="none"/>
                <w:lang w:val="en-US" w:eastAsia="zh-CN"/>
              </w:rPr>
              <w:t>陆拾玖万叁仟捌佰元整</w:t>
            </w:r>
            <w:r>
              <w:rPr>
                <w:rFonts w:hint="eastAsia" w:cs="仿宋" w:asciiTheme="minorEastAsia" w:hAnsiTheme="minorEastAsia" w:eastAsiaTheme="minorEastAsia"/>
                <w:i w:val="0"/>
                <w:iCs w:val="0"/>
                <w:color w:val="auto"/>
                <w:sz w:val="24"/>
                <w:highlight w:val="none"/>
                <w:lang w:eastAsia="zh-CN"/>
              </w:rPr>
              <w:t>（</w:t>
            </w:r>
            <w:r>
              <w:rPr>
                <w:rFonts w:hint="default" w:ascii="Arial" w:hAnsi="Arial" w:cs="Arial" w:eastAsiaTheme="minorEastAsia"/>
                <w:i w:val="0"/>
                <w:iCs w:val="0"/>
                <w:color w:val="auto"/>
                <w:sz w:val="24"/>
                <w:highlight w:val="none"/>
              </w:rPr>
              <w:t>¥</w:t>
            </w:r>
            <w:r>
              <w:rPr>
                <w:rFonts w:hint="eastAsia" w:cs="仿宋" w:asciiTheme="minorEastAsia" w:hAnsiTheme="minorEastAsia" w:eastAsiaTheme="minorEastAsia"/>
                <w:i w:val="0"/>
                <w:iCs w:val="0"/>
                <w:color w:val="auto"/>
                <w:sz w:val="24"/>
                <w:highlight w:val="none"/>
                <w:lang w:val="en-US" w:eastAsia="zh-CN"/>
              </w:rPr>
              <w:t>693，800.00元）</w:t>
            </w:r>
            <w:r>
              <w:rPr>
                <w:rFonts w:hint="eastAsia" w:ascii="宋体" w:hAnsi="宋体"/>
                <w:b w:val="0"/>
                <w:bCs w:val="0"/>
                <w:color w:val="auto"/>
                <w:sz w:val="24"/>
                <w:highlight w:val="none"/>
                <w:u w:val="none"/>
                <w:lang w:val="en-US" w:eastAsia="zh-CN"/>
              </w:rPr>
              <w:t>。即</w:t>
            </w:r>
            <w:r>
              <w:rPr>
                <w:rFonts w:hint="eastAsia" w:cs="仿宋" w:asciiTheme="minorEastAsia" w:hAnsiTheme="minorEastAsia" w:eastAsiaTheme="minorEastAsia"/>
                <w:i w:val="0"/>
                <w:iCs w:val="0"/>
                <w:color w:val="auto"/>
                <w:sz w:val="24"/>
                <w:highlight w:val="none"/>
                <w:lang w:val="en-US" w:eastAsia="zh-CN"/>
              </w:rPr>
              <w:t>；</w:t>
            </w:r>
            <w:r>
              <w:rPr>
                <w:rFonts w:hint="eastAsia" w:ascii="宋体" w:hAnsi="宋体"/>
                <w:b w:val="0"/>
                <w:bCs w:val="0"/>
                <w:color w:val="auto"/>
                <w:sz w:val="24"/>
                <w:highlight w:val="none"/>
                <w:u w:val="none"/>
                <w:lang w:val="en-US" w:eastAsia="zh-CN"/>
              </w:rPr>
              <w:t>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i w:val="0"/>
                <w:iCs w:val="0"/>
                <w:color w:val="auto"/>
                <w:sz w:val="24"/>
                <w:highlight w:val="none"/>
              </w:rPr>
            </w:pPr>
            <w:r>
              <w:rPr>
                <w:rFonts w:hint="eastAsia" w:cs="仿宋" w:asciiTheme="minorEastAsia" w:hAnsiTheme="minorEastAsia" w:eastAsiaTheme="minorEastAsia"/>
                <w:i w:val="0"/>
                <w:iCs w:val="0"/>
                <w:color w:val="auto"/>
                <w:sz w:val="24"/>
                <w:highlight w:val="none"/>
              </w:rPr>
              <w:t>递交响应文件截止之日起</w:t>
            </w:r>
            <w:r>
              <w:rPr>
                <w:rFonts w:hint="eastAsia" w:cs="仿宋" w:asciiTheme="minorEastAsia" w:hAnsiTheme="minorEastAsia" w:eastAsiaTheme="minorEastAsia"/>
                <w:i w:val="0"/>
                <w:iCs w:val="0"/>
                <w:color w:val="auto"/>
                <w:sz w:val="24"/>
                <w:highlight w:val="none"/>
                <w:lang w:val="en-US" w:eastAsia="zh-CN"/>
              </w:rPr>
              <w:t>90</w:t>
            </w:r>
            <w:r>
              <w:rPr>
                <w:rFonts w:hint="eastAsia" w:cs="仿宋" w:asciiTheme="minorEastAsia" w:hAnsiTheme="minorEastAsia" w:eastAsiaTheme="minorEastAsia"/>
                <w:i w:val="0"/>
                <w:iCs w:val="0"/>
                <w:color w:val="auto"/>
                <w:sz w:val="24"/>
                <w:highlight w:val="none"/>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Style w:val="40"/>
                <w:rFonts w:hint="eastAsia" w:asciiTheme="minorEastAsia" w:hAnsiTheme="minorEastAsia" w:eastAsiaTheme="minorEastAsia"/>
                <w:b w:val="0"/>
                <w:color w:val="000000"/>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适用。</w:t>
            </w:r>
          </w:p>
          <w:p>
            <w:pPr>
              <w:spacing w:line="288" w:lineRule="auto"/>
              <w:jc w:val="both"/>
              <w:rPr>
                <w:rFonts w:cs="仿宋"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val="en-US" w:eastAsia="zh-CN"/>
              </w:rPr>
              <w:t>体检</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，提供复印件。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Style w:val="40"/>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p>
          <w:p>
            <w:pPr>
              <w:adjustRightInd w:val="0"/>
              <w:snapToGrid w:val="0"/>
              <w:spacing w:line="312" w:lineRule="auto"/>
              <w:jc w:val="both"/>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具有行政管理部门颁发的</w:t>
            </w:r>
            <w:r>
              <w:rPr>
                <w:rFonts w:hint="eastAsia" w:cs="宋体" w:asciiTheme="minorEastAsia" w:hAnsiTheme="minorEastAsia" w:eastAsiaTheme="minorEastAsia"/>
                <w:color w:val="auto"/>
                <w:sz w:val="24"/>
                <w:highlight w:val="none"/>
                <w:lang w:eastAsia="zh-CN"/>
              </w:rPr>
              <w:t>体检地址位于岳阳楼区的</w:t>
            </w:r>
            <w:r>
              <w:rPr>
                <w:rFonts w:hint="eastAsia" w:cs="宋体" w:asciiTheme="minorEastAsia" w:hAnsiTheme="minorEastAsia" w:eastAsiaTheme="minorEastAsia"/>
                <w:color w:val="auto"/>
                <w:sz w:val="24"/>
                <w:highlight w:val="none"/>
              </w:rPr>
              <w:t>“医疗机构执业许可证”医院（</w:t>
            </w:r>
            <w:r>
              <w:rPr>
                <w:rFonts w:hint="eastAsia" w:cs="宋体" w:asciiTheme="minorEastAsia" w:hAnsiTheme="minorEastAsia" w:eastAsiaTheme="minorEastAsia"/>
                <w:color w:val="auto"/>
                <w:sz w:val="24"/>
                <w:highlight w:val="none"/>
                <w:lang w:eastAsia="zh-CN"/>
              </w:rPr>
              <w:t>二甲</w:t>
            </w:r>
            <w:r>
              <w:rPr>
                <w:rFonts w:hint="eastAsia" w:cs="宋体" w:asciiTheme="minorEastAsia" w:hAnsiTheme="minorEastAsia" w:eastAsiaTheme="minorEastAsia"/>
                <w:color w:val="auto"/>
                <w:sz w:val="24"/>
                <w:highlight w:val="none"/>
              </w:rPr>
              <w:t>及以上）</w:t>
            </w:r>
            <w:r>
              <w:rPr>
                <w:rFonts w:hint="eastAsia" w:cs="宋体" w:asciiTheme="minorEastAsia" w:hAnsiTheme="minorEastAsia" w:eastAsiaTheme="minorEastAsia"/>
                <w:color w:val="auto"/>
                <w:sz w:val="24"/>
                <w:highlight w:val="none"/>
                <w:lang w:eastAsia="zh-CN"/>
              </w:rPr>
              <w:t>，</w:t>
            </w:r>
          </w:p>
          <w:p>
            <w:pPr>
              <w:adjustRightInd w:val="0"/>
              <w:snapToGrid w:val="0"/>
              <w:spacing w:line="312"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具有</w:t>
            </w:r>
            <w:r>
              <w:rPr>
                <w:rFonts w:hint="eastAsia" w:cs="宋体" w:asciiTheme="minorEastAsia" w:hAnsiTheme="minorEastAsia" w:eastAsiaTheme="minorEastAsia"/>
                <w:color w:val="auto"/>
                <w:sz w:val="24"/>
                <w:highlight w:val="none"/>
              </w:rPr>
              <w:t>湖南省职业健康检查机构备案凭证</w:t>
            </w:r>
            <w:r>
              <w:rPr>
                <w:rFonts w:hint="eastAsia" w:cs="宋体" w:asciiTheme="minorEastAsia" w:hAnsiTheme="minorEastAsia" w:eastAsiaTheme="minorEastAsia"/>
                <w:color w:val="auto"/>
                <w:sz w:val="24"/>
                <w:highlight w:val="none"/>
                <w:lang w:eastAsia="zh-CN"/>
              </w:rPr>
              <w:t>证明。</w:t>
            </w:r>
          </w:p>
        </w:tc>
      </w:tr>
      <w:tr>
        <w:tblPrEx>
          <w:tblCellMar>
            <w:top w:w="0" w:type="dxa"/>
            <w:left w:w="108" w:type="dxa"/>
            <w:bottom w:w="0" w:type="dxa"/>
            <w:right w:w="108" w:type="dxa"/>
          </w:tblCellMar>
        </w:tblPrEx>
        <w:trPr>
          <w:trHeight w:val="45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highlight w:val="none"/>
              </w:rPr>
            </w:pPr>
            <w:r>
              <w:rPr>
                <w:rStyle w:val="40"/>
                <w:rFonts w:hint="eastAsia" w:asciiTheme="minorEastAsia" w:hAnsiTheme="minorEastAsia" w:eastAsiaTheme="minorEastAsia"/>
                <w:b w:val="0"/>
                <w:color w:val="000000"/>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w:t>
            </w:r>
          </w:p>
          <w:p>
            <w:pPr>
              <w:spacing w:line="288" w:lineRule="auto"/>
              <w:jc w:val="both"/>
              <w:rPr>
                <w:rFonts w:hint="eastAsia" w:cs="宋体" w:asciiTheme="minorEastAsia" w:hAnsiTheme="minorEastAsia" w:eastAsia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t>供应商应提供近</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年的类似项目情况表（格式见第六章“响应文件格式”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情况表），以证明供应商具有承担本项目要求的业绩。近年是指</w:t>
            </w:r>
            <w:r>
              <w:rPr>
                <w:rFonts w:hint="eastAsia" w:cs="宋体" w:asciiTheme="minorEastAsia" w:hAnsiTheme="minorEastAsia" w:eastAsiaTheme="minorEastAsia"/>
                <w:color w:val="auto"/>
                <w:sz w:val="24"/>
                <w:highlight w:val="none"/>
                <w:u w:val="single"/>
                <w:lang w:val="en-US" w:eastAsia="zh-CN"/>
              </w:rPr>
              <w:t>2023年3月5日-2024年3月5日</w:t>
            </w:r>
            <w:r>
              <w:rPr>
                <w:rFonts w:hint="eastAsia" w:cs="宋体" w:asciiTheme="minorEastAsia" w:hAnsiTheme="minorEastAsia" w:eastAsiaTheme="minorEastAsia"/>
                <w:color w:val="auto"/>
                <w:sz w:val="24"/>
                <w:highlight w:val="none"/>
                <w:u w:val="none"/>
                <w:lang w:val="en-US" w:eastAsia="zh-CN"/>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r>
              <w:rPr>
                <w:rFonts w:hint="eastAsia" w:cs="宋体" w:asciiTheme="minorEastAsia" w:hAnsiTheme="minorEastAsia" w:eastAsiaTheme="minorEastAsia"/>
                <w:color w:val="auto"/>
                <w:sz w:val="24"/>
                <w:highlight w:val="none"/>
                <w:lang w:val="en-US" w:eastAsia="zh-CN"/>
              </w:rPr>
              <w:t>应具有下列文件之一的复印件，且业绩证明文件不得少于</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lang w:val="en-US" w:eastAsia="zh-CN"/>
              </w:rPr>
              <w:t>份</w:t>
            </w:r>
            <w:r>
              <w:rPr>
                <w:rFonts w:hint="eastAsia" w:cs="宋体" w:asciiTheme="minorEastAsia" w:hAnsiTheme="minorEastAsia" w:eastAsiaTheme="minorEastAsia"/>
                <w:color w:val="auto"/>
                <w:sz w:val="24"/>
                <w:highlight w:val="none"/>
              </w:rPr>
              <w:t>：</w:t>
            </w:r>
          </w:p>
          <w:p>
            <w:pPr>
              <w:spacing w:line="288" w:lineRule="auto"/>
              <w:jc w:val="both"/>
              <w:rPr>
                <w:rFonts w:hint="eastAsia" w:ascii="宋体" w:hAnsi="宋体" w:eastAsia="宋体" w:cs="宋体"/>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合同/订单</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50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36"/>
              <w:snapToGrid w:val="0"/>
              <w:spacing w:after="0" w:line="288" w:lineRule="auto"/>
              <w:ind w:firstLine="0"/>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000000"/>
                <w:sz w:val="24"/>
                <w:highlight w:val="none"/>
              </w:rPr>
              <w:t>适</w:t>
            </w:r>
            <w:r>
              <w:rPr>
                <w:rFonts w:hint="eastAsia" w:cs="宋体" w:asciiTheme="minorEastAsia" w:hAnsiTheme="minorEastAsia" w:eastAsiaTheme="minorEastAsia"/>
                <w:color w:val="auto"/>
                <w:sz w:val="24"/>
                <w:highlight w:val="none"/>
              </w:rPr>
              <w:t>用</w:t>
            </w:r>
            <w:r>
              <w:rPr>
                <w:rFonts w:hint="eastAsia" w:cs="宋体" w:asciiTheme="minorEastAsia" w:hAnsiTheme="minorEastAsia" w:eastAsiaTheme="minorEastAsia"/>
                <w:color w:val="auto"/>
                <w:sz w:val="24"/>
                <w:highlight w:val="none"/>
                <w:lang w:eastAsia="zh-CN"/>
              </w:rPr>
              <w:t>。</w:t>
            </w:r>
          </w:p>
          <w:p>
            <w:pPr>
              <w:pStyle w:val="36"/>
              <w:snapToGrid w:val="0"/>
              <w:spacing w:after="0" w:line="288" w:lineRule="auto"/>
              <w:ind w:firstLine="0"/>
              <w:rPr>
                <w:rFonts w:hint="eastAsia" w:eastAsia="宋体"/>
                <w:lang w:eastAsia="zh-CN"/>
              </w:rPr>
            </w:pPr>
            <w:r>
              <w:rPr>
                <w:rFonts w:hint="eastAsia"/>
                <w:sz w:val="24"/>
              </w:rPr>
              <w:t>投标人不得存在违法失信行为，不得被“信用中国”网站（www.creditchina.gov.cn）列入严重失信主体名单</w:t>
            </w:r>
            <w:r>
              <w:rPr>
                <w:rFonts w:hint="eastAsia"/>
                <w:sz w:val="24"/>
                <w:lang w:eastAsia="zh-CN"/>
              </w:rPr>
              <w:t>。</w:t>
            </w:r>
          </w:p>
        </w:tc>
      </w:tr>
      <w:tr>
        <w:tblPrEx>
          <w:tblCellMar>
            <w:top w:w="0" w:type="dxa"/>
            <w:left w:w="108" w:type="dxa"/>
            <w:bottom w:w="0" w:type="dxa"/>
            <w:right w:w="108" w:type="dxa"/>
          </w:tblCellMar>
        </w:tblPrEx>
        <w:trPr>
          <w:trHeight w:val="80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spacing w:line="288" w:lineRule="auto"/>
              <w:jc w:val="center"/>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51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288" w:lineRule="auto"/>
              <w:jc w:val="center"/>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auto"/>
                <w:sz w:val="24"/>
                <w:highlight w:val="none"/>
                <w:lang w:val="en-US" w:eastAsia="zh-CN"/>
              </w:rPr>
              <w:t>不</w:t>
            </w:r>
            <w:r>
              <w:rPr>
                <w:rFonts w:hint="eastAsia" w:cs="宋体" w:asciiTheme="minorEastAsia" w:hAnsiTheme="minorEastAsia" w:eastAsiaTheme="minorEastAsia"/>
                <w:color w:val="auto"/>
                <w:sz w:val="24"/>
                <w:highlight w:val="none"/>
              </w:rPr>
              <w:t>需要提供证明材料，</w:t>
            </w:r>
            <w:r>
              <w:rPr>
                <w:rFonts w:hint="eastAsia" w:cs="宋体" w:asciiTheme="minorEastAsia" w:hAnsiTheme="minorEastAsia" w:eastAsiaTheme="minorEastAsia"/>
                <w:color w:val="auto"/>
                <w:sz w:val="24"/>
                <w:highlight w:val="none"/>
                <w:lang w:val="en-US" w:eastAsia="zh-CN"/>
              </w:rPr>
              <w:t>仅提供承诺函</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val="en-US" w:eastAsia="zh-CN"/>
              </w:rPr>
              <w:t>无</w:t>
            </w:r>
          </w:p>
        </w:tc>
      </w:tr>
      <w:tr>
        <w:tblPrEx>
          <w:tblCellMar>
            <w:top w:w="0" w:type="dxa"/>
            <w:left w:w="108" w:type="dxa"/>
            <w:bottom w:w="0" w:type="dxa"/>
            <w:right w:w="108" w:type="dxa"/>
          </w:tblCellMar>
        </w:tblPrEx>
        <w:trPr>
          <w:trHeight w:val="45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是否要求提供电子版响应文件：</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w:t>
            </w:r>
            <w:r>
              <w:rPr>
                <w:rFonts w:hint="eastAsia" w:cs="宋体" w:asciiTheme="minorEastAsia" w:hAnsiTheme="minorEastAsia" w:eastAsiaTheme="minorEastAsia"/>
                <w:color w:val="000000"/>
                <w:sz w:val="24"/>
                <w:highlight w:val="none"/>
                <w:lang w:eastAsia="zh-CN"/>
              </w:rPr>
              <w:t>一正二副，</w:t>
            </w:r>
            <w:r>
              <w:rPr>
                <w:rFonts w:hint="eastAsia" w:cs="宋体" w:asciiTheme="minorEastAsia" w:hAnsiTheme="minorEastAsia" w:eastAsiaTheme="minorEastAsia"/>
                <w:color w:val="000000"/>
                <w:sz w:val="24"/>
                <w:highlight w:val="none"/>
              </w:rPr>
              <w:t>须密封包装，并在封套的封口处加盖</w:t>
            </w:r>
            <w:r>
              <w:rPr>
                <w:rFonts w:hint="eastAsia" w:cs="宋体" w:asciiTheme="minorEastAsia" w:hAnsiTheme="minorEastAsia" w:eastAsiaTheme="minorEastAsia"/>
                <w:color w:val="000000"/>
                <w:sz w:val="24"/>
                <w:highlight w:val="none"/>
                <w:lang w:eastAsia="zh-CN"/>
              </w:rPr>
              <w:t>供应商</w:t>
            </w:r>
            <w:r>
              <w:rPr>
                <w:rFonts w:hint="eastAsia" w:cs="宋体" w:asciiTheme="minorEastAsia" w:hAnsiTheme="minorEastAsia" w:eastAsiaTheme="minorEastAsia"/>
                <w:color w:val="000000"/>
                <w:sz w:val="24"/>
                <w:highlight w:val="none"/>
              </w:rPr>
              <w:t>单位</w:t>
            </w:r>
            <w:r>
              <w:rPr>
                <w:rFonts w:hint="eastAsia" w:cs="宋体" w:asciiTheme="minorEastAsia" w:hAnsiTheme="minorEastAsia" w:eastAsiaTheme="minorEastAsia"/>
                <w:color w:val="000000"/>
                <w:sz w:val="24"/>
                <w:highlight w:val="none"/>
                <w:lang w:val="en-US" w:eastAsia="zh-CN"/>
              </w:rPr>
              <w:t>公</w:t>
            </w:r>
            <w:r>
              <w:rPr>
                <w:rFonts w:hint="eastAsia" w:cs="宋体" w:asciiTheme="minorEastAsia" w:hAnsiTheme="minorEastAsia" w:eastAsiaTheme="minorEastAsia"/>
                <w:color w:val="000000"/>
                <w:sz w:val="24"/>
                <w:highlight w:val="none"/>
              </w:rPr>
              <w:t>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lang w:eastAsia="zh-CN"/>
              </w:rPr>
              <w:t>：</w:t>
            </w:r>
            <w:r>
              <w:rPr>
                <w:rFonts w:hint="eastAsia" w:ascii="宋体" w:hAnsi="宋体" w:cs="宋体"/>
                <w:color w:val="auto"/>
                <w:sz w:val="24"/>
                <w:szCs w:val="24"/>
                <w:highlight w:val="none"/>
                <w:u w:val="single"/>
                <w:lang w:val="en-US" w:eastAsia="zh-CN"/>
              </w:rPr>
              <w:t>岳阳城陵矶港务有限责任公司2024年度职工健康体检项目响应文件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yellow"/>
                <w:u w:val="single"/>
                <w:lang w:val="en-US"/>
              </w:rPr>
            </w:pPr>
            <w:r>
              <w:rPr>
                <w:rFonts w:hint="eastAsia" w:cs="宋体" w:asciiTheme="minorEastAsia" w:hAnsiTheme="minorEastAsia" w:eastAsiaTheme="minorEastAsia"/>
                <w:color w:val="000000"/>
                <w:sz w:val="24"/>
                <w:highlight w:val="none"/>
              </w:rPr>
              <w:t>截止时间：</w:t>
            </w:r>
            <w:r>
              <w:rPr>
                <w:rFonts w:hint="eastAsia" w:cs="宋体" w:asciiTheme="minorEastAsia" w:hAnsiTheme="minorEastAsia" w:eastAsiaTheme="minorEastAsia"/>
                <w:color w:val="000000"/>
                <w:sz w:val="24"/>
                <w:highlight w:val="yellow"/>
                <w:u w:val="single"/>
                <w:lang w:val="en-US" w:eastAsia="zh-CN"/>
              </w:rPr>
              <w:t>2024年 6  月  18 日9时00分</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ascii="宋体" w:hAnsi="宋体" w:eastAsia="宋体" w:cs="宋体"/>
                <w:color w:val="auto"/>
                <w:sz w:val="24"/>
                <w:szCs w:val="24"/>
                <w:u w:val="single"/>
                <w:lang w:eastAsia="zh-CN"/>
              </w:rPr>
              <w:t>湖南省长沙市天心区新姚南路196号</w:t>
            </w:r>
            <w:r>
              <w:rPr>
                <w:rFonts w:hint="eastAsia" w:ascii="宋体" w:hAnsi="宋体" w:eastAsia="宋体" w:cs="宋体"/>
                <w:color w:val="auto"/>
                <w:sz w:val="24"/>
                <w:szCs w:val="24"/>
                <w:u w:val="single"/>
                <w:lang w:val="en-US" w:eastAsia="zh-CN"/>
              </w:rPr>
              <w:t>港航水利</w:t>
            </w:r>
            <w:r>
              <w:rPr>
                <w:rFonts w:hint="eastAsia" w:ascii="宋体" w:hAnsi="宋体" w:eastAsia="宋体" w:cs="宋体"/>
                <w:color w:val="auto"/>
                <w:sz w:val="24"/>
                <w:szCs w:val="24"/>
                <w:u w:val="single"/>
                <w:lang w:eastAsia="zh-CN"/>
              </w:rPr>
              <w:t>集团有限公司</w:t>
            </w:r>
            <w:r>
              <w:rPr>
                <w:rFonts w:hint="eastAsia" w:ascii="宋体" w:hAnsi="宋体" w:eastAsia="宋体" w:cs="宋体"/>
                <w:color w:val="auto"/>
                <w:sz w:val="24"/>
                <w:szCs w:val="24"/>
                <w:u w:val="single"/>
              </w:rPr>
              <w:t>办公楼六楼60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开评标室</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ascii="宋体" w:hAnsi="宋体"/>
                <w:color w:val="auto"/>
                <w:sz w:val="24"/>
                <w:highlight w:val="yellow"/>
                <w:u w:val="none"/>
                <w:lang w:val="en-US" w:eastAsia="zh-CN"/>
              </w:rPr>
              <w:t>湖南省港航水利集团有限公司</w:t>
            </w:r>
            <w:r>
              <w:rPr>
                <w:rFonts w:hint="eastAsia" w:cs="宋体" w:asciiTheme="minorEastAsia" w:hAnsiTheme="minorEastAsia" w:eastAsiaTheme="minorEastAsia"/>
                <w:i w:val="0"/>
                <w:caps w:val="0"/>
                <w:color w:val="000000"/>
                <w:spacing w:val="0"/>
                <w:kern w:val="2"/>
                <w:sz w:val="24"/>
                <w:szCs w:val="24"/>
                <w:highlight w:val="yellow"/>
                <w:lang w:val="en-US" w:eastAsia="zh-CN" w:bidi="ar"/>
              </w:rPr>
              <w:t>六楼609开标室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rPr>
              <w:t>其他应公布的信息：</w:t>
            </w:r>
            <w:r>
              <w:rPr>
                <w:rFonts w:hint="eastAsia" w:cs="宋体" w:asciiTheme="minorEastAsia" w:hAnsiTheme="minorEastAsia" w:eastAsiaTheme="minorEastAsia"/>
                <w:color w:val="000000"/>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cs="宋体" w:asciiTheme="minorEastAsia" w:hAnsiTheme="minorEastAsia" w:eastAsiaTheme="minorEastAsia"/>
                <w:color w:val="000000"/>
                <w:sz w:val="24"/>
                <w:highlight w:val="none"/>
                <w:u w:val="single"/>
              </w:rPr>
              <w:t>3</w:t>
            </w:r>
            <w:r>
              <w:rPr>
                <w:rFonts w:hint="eastAsia" w:cs="宋体" w:asciiTheme="minorEastAsia" w:hAnsiTheme="minorEastAsia" w:eastAsiaTheme="minorEastAsia"/>
                <w:color w:val="000000"/>
                <w:sz w:val="24"/>
                <w:highlight w:val="none"/>
              </w:rPr>
              <w:t>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评审专家确定方式：在湖南省</w:t>
            </w:r>
            <w:r>
              <w:rPr>
                <w:rFonts w:hint="eastAsia" w:cs="宋体" w:asciiTheme="minorEastAsia" w:hAnsiTheme="minorEastAsia" w:eastAsiaTheme="minorEastAsia"/>
                <w:color w:val="auto"/>
                <w:sz w:val="24"/>
                <w:highlight w:val="none"/>
                <w:lang w:eastAsia="zh-CN"/>
              </w:rPr>
              <w:t>港务</w:t>
            </w:r>
            <w:r>
              <w:rPr>
                <w:rFonts w:hint="eastAsia" w:cs="宋体" w:asciiTheme="minorEastAsia" w:hAnsiTheme="minorEastAsia" w:eastAsiaTheme="minorEastAsia"/>
                <w:color w:val="auto"/>
                <w:sz w:val="24"/>
                <w:highlight w:val="none"/>
              </w:rPr>
              <w:t>集团有限公司综合评标专家库中随机抽取</w:t>
            </w:r>
            <w:r>
              <w:rPr>
                <w:rFonts w:hint="eastAsia" w:cs="宋体" w:asciiTheme="minorEastAsia" w:hAnsiTheme="minorEastAsia" w:eastAsiaTheme="minorEastAsia"/>
                <w:color w:val="auto"/>
                <w:sz w:val="24"/>
                <w:highlight w:val="none"/>
                <w:u w:val="single"/>
                <w:lang w:val="en-US" w:eastAsia="zh-CN"/>
              </w:rPr>
              <w:t>3</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b w:val="0"/>
                <w:bCs w:val="0"/>
                <w:color w:val="000000"/>
                <w:sz w:val="24"/>
                <w:highlight w:val="none"/>
              </w:rPr>
              <w:t xml:space="preserve"> </w:t>
            </w:r>
            <w:r>
              <w:rPr>
                <w:rFonts w:hint="eastAsia" w:cs="宋体" w:asciiTheme="minorEastAsia" w:hAnsiTheme="minorEastAsia" w:eastAsiaTheme="minorEastAsia"/>
                <w:b w:val="0"/>
                <w:bCs w:val="0"/>
                <w:color w:val="000000"/>
                <w:sz w:val="24"/>
                <w:highlight w:val="none"/>
                <w:lang w:val="en-US" w:eastAsia="zh-CN"/>
              </w:rPr>
              <w:t>2-3个</w:t>
            </w:r>
            <w:r>
              <w:rPr>
                <w:rFonts w:hint="eastAsia" w:cs="宋体" w:asciiTheme="minorEastAsia" w:hAnsiTheme="minorEastAsia" w:eastAsiaTheme="minorEastAsia"/>
                <w:color w:val="000000"/>
                <w:sz w:val="24"/>
                <w:highlight w:val="none"/>
              </w:rPr>
              <w:t>，并标明推荐顺序。</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是否排序：</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排序</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数量：</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lang w:val="en-US" w:eastAsia="zh-CN"/>
              </w:rPr>
              <w:t>2-3个</w:t>
            </w:r>
            <w:r>
              <w:rPr>
                <w:rFonts w:hint="eastAsia" w:cs="宋体" w:asciiTheme="minorEastAsia" w:hAnsiTheme="minorEastAsia" w:eastAsiaTheme="minorEastAsia"/>
                <w:color w:val="000000"/>
                <w:sz w:val="24"/>
                <w:highlight w:val="none"/>
                <w:u w:val="single"/>
              </w:rPr>
              <w:t xml:space="preserve"> </w:t>
            </w:r>
          </w:p>
        </w:tc>
      </w:tr>
      <w:tr>
        <w:tblPrEx>
          <w:tblCellMar>
            <w:top w:w="0" w:type="dxa"/>
            <w:left w:w="108" w:type="dxa"/>
            <w:bottom w:w="0" w:type="dxa"/>
            <w:right w:w="108" w:type="dxa"/>
          </w:tblCellMar>
        </w:tblPrEx>
        <w:trPr>
          <w:trHeight w:val="203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中国招标投标公共服务平台（http：//www.cebpubservice.com</w:t>
            </w:r>
            <w:r>
              <w:rPr>
                <w:rFonts w:hint="eastAsia" w:ascii="宋体" w:hAnsi="宋体" w:cs="宋体"/>
                <w:color w:val="auto"/>
                <w:sz w:val="24"/>
                <w:highlight w:val="none"/>
                <w:lang w:eastAsia="zh-CN"/>
              </w:rPr>
              <w:t>；</w:t>
            </w:r>
            <w:r>
              <w:rPr>
                <w:rFonts w:hint="eastAsia" w:ascii="宋体" w:hAnsi="宋体"/>
                <w:color w:val="auto"/>
                <w:sz w:val="24"/>
                <w:highlight w:val="yellow"/>
                <w:u w:val="none"/>
                <w:lang w:val="en-US" w:eastAsia="zh-CN"/>
              </w:rPr>
              <w:t>湖南省港航水利集团有限公司网站（http://www.hnsghsljt.com/）</w:t>
            </w:r>
            <w:r>
              <w:rPr>
                <w:rFonts w:hint="eastAsia" w:ascii="宋体" w:hAnsi="宋体" w:cs="宋体"/>
                <w:color w:val="auto"/>
                <w:sz w:val="24"/>
                <w:szCs w:val="24"/>
                <w:highlight w:val="none"/>
                <w:lang w:val="en-US" w:eastAsia="zh-CN"/>
              </w:rPr>
              <w:t>；</w:t>
            </w:r>
            <w:r>
              <w:rPr>
                <w:rFonts w:hint="eastAsia" w:ascii="宋体" w:hAnsi="宋体" w:eastAsia="宋体"/>
                <w:color w:val="auto"/>
                <w:sz w:val="24"/>
                <w:szCs w:val="24"/>
                <w:highlight w:val="none"/>
              </w:rPr>
              <w:t>湖南省港务集团公司网站（http://www.hnsgwjt.com/）</w:t>
            </w:r>
            <w:r>
              <w:rPr>
                <w:rFonts w:hint="eastAsia" w:cs="宋体" w:asciiTheme="minorEastAsia" w:hAnsiTheme="minorEastAsia" w:eastAsiaTheme="minorEastAsia"/>
                <w:color w:val="auto"/>
                <w:sz w:val="24"/>
                <w:highlight w:val="none"/>
              </w:rPr>
              <w:t>公示期限：</w:t>
            </w:r>
            <w:r>
              <w:rPr>
                <w:rFonts w:cs="宋体" w:asciiTheme="minorEastAsia" w:hAnsiTheme="minorEastAsia" w:eastAsiaTheme="minorEastAsia"/>
                <w:color w:val="auto"/>
                <w:sz w:val="24"/>
                <w:highlight w:val="none"/>
                <w:u w:val="single"/>
              </w:rPr>
              <w:t>3</w:t>
            </w:r>
            <w:r>
              <w:rPr>
                <w:rFonts w:hint="eastAsia" w:cs="宋体" w:asciiTheme="minorEastAsia" w:hAnsiTheme="minorEastAsia" w:eastAsiaTheme="minorEastAsia"/>
                <w:color w:val="auto"/>
                <w:sz w:val="24"/>
                <w:highlight w:val="none"/>
                <w:u w:val="single"/>
              </w:rPr>
              <w:t>个工作日</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eastAsia="zh-CN"/>
              </w:rPr>
              <w:t>岳阳城陵矶</w:t>
            </w:r>
            <w:r>
              <w:rPr>
                <w:rFonts w:hint="eastAsia" w:cs="宋体" w:asciiTheme="minorEastAsia" w:hAnsiTheme="minorEastAsia" w:eastAsiaTheme="minorEastAsia"/>
                <w:color w:val="000000"/>
                <w:sz w:val="24"/>
                <w:highlight w:val="none"/>
                <w:lang w:val="en-US" w:eastAsia="zh-CN"/>
              </w:rPr>
              <w:t>港务有限责任公司</w:t>
            </w:r>
            <w:r>
              <w:rPr>
                <w:rFonts w:hint="eastAsia" w:cs="宋体" w:asciiTheme="minorEastAsia" w:hAnsiTheme="minorEastAsia" w:eastAsiaTheme="minorEastAsia"/>
                <w:color w:val="000000"/>
                <w:sz w:val="24"/>
                <w:highlight w:val="none"/>
                <w:lang w:eastAsia="zh-CN"/>
              </w:rPr>
              <w:t>综合管理部</w:t>
            </w:r>
          </w:p>
          <w:p>
            <w:pPr>
              <w:spacing w:line="288" w:lineRule="auto"/>
              <w:jc w:val="both"/>
              <w:rPr>
                <w:rFonts w:hint="default"/>
                <w:color w:val="auto"/>
                <w:highlight w:val="none"/>
                <w:lang w:eastAsia="zh-CN"/>
              </w:rPr>
            </w:pPr>
            <w:r>
              <w:rPr>
                <w:rFonts w:hint="eastAsia" w:cs="宋体" w:asciiTheme="minorEastAsia" w:hAnsiTheme="minorEastAsia" w:eastAsiaTheme="minorEastAsia"/>
                <w:color w:val="000000"/>
                <w:sz w:val="24"/>
                <w:highlight w:val="none"/>
                <w:lang w:eastAsia="zh-CN"/>
              </w:rPr>
              <w:t>联系电话：</w:t>
            </w:r>
            <w:r>
              <w:rPr>
                <w:rFonts w:hint="eastAsia" w:cs="宋体" w:asciiTheme="minorEastAsia" w:hAnsiTheme="minorEastAsia" w:eastAsiaTheme="minorEastAsia"/>
                <w:color w:val="auto"/>
                <w:sz w:val="24"/>
                <w:szCs w:val="24"/>
                <w:highlight w:val="none"/>
                <w:u w:val="none"/>
                <w:lang w:val="en-US" w:eastAsia="zh-CN"/>
              </w:rPr>
              <w:t>13975091229</w:t>
            </w:r>
          </w:p>
        </w:tc>
      </w:tr>
    </w:tbl>
    <w:p>
      <w:pPr>
        <w:spacing w:line="240" w:lineRule="auto"/>
        <w:jc w:val="both"/>
        <w:rPr>
          <w:rFonts w:ascii="仿宋" w:hAnsi="仿宋" w:eastAsia="仿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pStyle w:val="6"/>
        <w:outlineLvl w:val="9"/>
        <w:rPr>
          <w:rFonts w:hint="eastAsia" w:ascii="华文中宋" w:hAnsi="华文中宋" w:eastAsia="华文中宋" w:cs="仿宋"/>
          <w:b/>
          <w:bCs/>
          <w:color w:val="auto"/>
          <w:sz w:val="30"/>
          <w:szCs w:val="30"/>
          <w:highlight w:val="none"/>
        </w:rPr>
      </w:pPr>
    </w:p>
    <w:p>
      <w:pPr>
        <w:rPr>
          <w:rFonts w:hint="eastAsia" w:ascii="华文中宋" w:hAnsi="华文中宋" w:eastAsia="华文中宋" w:cs="仿宋"/>
          <w:b/>
          <w:bCs/>
          <w:color w:val="auto"/>
          <w:sz w:val="30"/>
          <w:szCs w:val="30"/>
          <w:highlight w:val="none"/>
        </w:rPr>
      </w:pPr>
    </w:p>
    <w:p>
      <w:pPr>
        <w:spacing w:line="240" w:lineRule="auto"/>
        <w:jc w:val="left"/>
        <w:rPr>
          <w:rFonts w:hint="eastAsia" w:ascii="华文中宋" w:hAnsi="华文中宋" w:eastAsia="华文中宋" w:cs="仿宋"/>
          <w:b/>
          <w:bCs/>
          <w:color w:val="auto"/>
          <w:sz w:val="30"/>
          <w:szCs w:val="30"/>
          <w:highlight w:val="none"/>
        </w:rPr>
      </w:pPr>
    </w:p>
    <w:p>
      <w:pPr>
        <w:spacing w:line="240" w:lineRule="auto"/>
        <w:jc w:val="left"/>
        <w:rPr>
          <w:rFonts w:hint="eastAsia" w:ascii="华文中宋" w:hAnsi="华文中宋" w:eastAsia="华文中宋" w:cs="仿宋"/>
          <w:b/>
          <w:bCs/>
          <w:color w:val="auto"/>
          <w:sz w:val="30"/>
          <w:szCs w:val="30"/>
          <w:highlight w:val="none"/>
        </w:rPr>
      </w:pPr>
      <w:r>
        <w:rPr>
          <w:rFonts w:hint="eastAsia" w:ascii="华文中宋" w:hAnsi="华文中宋" w:eastAsia="华文中宋" w:cs="仿宋"/>
          <w:b/>
          <w:bCs/>
          <w:color w:val="auto"/>
          <w:sz w:val="30"/>
          <w:szCs w:val="30"/>
          <w:highlight w:val="none"/>
        </w:rPr>
        <w:br w:type="page"/>
      </w:r>
    </w:p>
    <w:p>
      <w:pPr>
        <w:spacing w:line="240" w:lineRule="auto"/>
        <w:jc w:val="center"/>
        <w:outlineLvl w:val="0"/>
        <w:rPr>
          <w:rFonts w:ascii="仿宋" w:hAnsi="仿宋" w:eastAsia="仿宋" w:cs="仿宋"/>
          <w:color w:val="auto"/>
          <w:sz w:val="30"/>
          <w:szCs w:val="30"/>
          <w:highlight w:val="none"/>
        </w:rPr>
      </w:pPr>
      <w:bookmarkStart w:id="18" w:name="_Toc3397"/>
      <w:bookmarkStart w:id="19" w:name="_Toc8930"/>
      <w:bookmarkStart w:id="20" w:name="_Toc21176"/>
      <w:bookmarkStart w:id="21" w:name="_Toc2651"/>
      <w:bookmarkStart w:id="22" w:name="_Toc5805"/>
      <w:bookmarkStart w:id="23" w:name="_Toc28467"/>
      <w:r>
        <w:rPr>
          <w:rFonts w:hint="eastAsia" w:ascii="华文中宋" w:hAnsi="华文中宋" w:eastAsia="华文中宋" w:cs="仿宋"/>
          <w:b/>
          <w:bCs/>
          <w:color w:val="auto"/>
          <w:sz w:val="30"/>
          <w:szCs w:val="30"/>
          <w:highlight w:val="none"/>
        </w:rPr>
        <w:t>第二</w:t>
      </w:r>
      <w:r>
        <w:rPr>
          <w:rFonts w:hint="eastAsia" w:ascii="华文中宋" w:hAnsi="华文中宋" w:eastAsia="华文中宋" w:cs="仿宋"/>
          <w:b/>
          <w:bCs/>
          <w:color w:val="auto"/>
          <w:sz w:val="30"/>
          <w:szCs w:val="30"/>
          <w:highlight w:val="none"/>
          <w:lang w:val="en-US" w:eastAsia="zh-CN"/>
        </w:rPr>
        <w:t>节</w:t>
      </w:r>
      <w:r>
        <w:rPr>
          <w:rFonts w:hint="eastAsia" w:ascii="华文中宋" w:hAnsi="华文中宋" w:eastAsia="华文中宋" w:cs="仿宋"/>
          <w:b/>
          <w:bCs/>
          <w:color w:val="auto"/>
          <w:sz w:val="30"/>
          <w:szCs w:val="30"/>
          <w:highlight w:val="none"/>
        </w:rPr>
        <w:t xml:space="preserve"> </w:t>
      </w:r>
      <w:r>
        <w:rPr>
          <w:rFonts w:hint="eastAsia" w:ascii="华文中宋" w:hAnsi="华文中宋" w:eastAsia="华文中宋" w:cs="仿宋"/>
          <w:b/>
          <w:bCs/>
          <w:color w:val="auto"/>
          <w:sz w:val="30"/>
          <w:szCs w:val="30"/>
          <w:highlight w:val="none"/>
          <w:lang w:val="en-US" w:eastAsia="zh-CN"/>
        </w:rPr>
        <w:t xml:space="preserve"> </w:t>
      </w:r>
      <w:r>
        <w:rPr>
          <w:rFonts w:hint="eastAsia" w:ascii="华文中宋" w:hAnsi="华文中宋" w:eastAsia="华文中宋" w:cs="仿宋"/>
          <w:b/>
          <w:bCs/>
          <w:color w:val="auto"/>
          <w:sz w:val="30"/>
          <w:szCs w:val="30"/>
          <w:highlight w:val="none"/>
        </w:rPr>
        <w:t>供应商须知正文</w:t>
      </w:r>
      <w:bookmarkEnd w:id="18"/>
      <w:bookmarkEnd w:id="19"/>
      <w:bookmarkEnd w:id="20"/>
      <w:bookmarkEnd w:id="21"/>
      <w:bookmarkEnd w:id="22"/>
      <w:bookmarkEnd w:id="23"/>
    </w:p>
    <w:p>
      <w:pPr>
        <w:adjustRightInd w:val="0"/>
        <w:snapToGrid w:val="0"/>
        <w:spacing w:before="120" w:beforeLines="50" w:after="120" w:afterLines="50"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 总则</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1.1采购方法和评审办法</w:t>
      </w:r>
    </w:p>
    <w:p>
      <w:pPr>
        <w:pStyle w:val="69"/>
        <w:spacing w:before="120" w:after="120" w:line="312" w:lineRule="auto"/>
        <w:ind w:left="426" w:firstLine="48" w:firstLineChars="20"/>
        <w:jc w:val="both"/>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本项目采用供应商须知前附表规定的采购方式和评审办法。</w:t>
      </w:r>
    </w:p>
    <w:p>
      <w:pPr>
        <w:pStyle w:val="63"/>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1.1.1采购方法</w:t>
      </w:r>
    </w:p>
    <w:p>
      <w:pPr>
        <w:pStyle w:val="63"/>
        <w:spacing w:line="312" w:lineRule="auto"/>
        <w:ind w:firstLine="453" w:firstLineChars="189"/>
        <w:rPr>
          <w:rFonts w:hAnsi="宋体" w:eastAsia="宋体" w:cs="仿宋"/>
          <w:color w:val="auto"/>
          <w:sz w:val="24"/>
          <w:szCs w:val="24"/>
          <w:highlight w:val="none"/>
        </w:rPr>
      </w:pPr>
      <w:r>
        <w:rPr>
          <w:rFonts w:hint="eastAsia" w:hAnsi="宋体" w:eastAsia="宋体" w:cs="仿宋"/>
          <w:color w:val="auto"/>
          <w:sz w:val="24"/>
          <w:szCs w:val="24"/>
          <w:highlight w:val="none"/>
        </w:rPr>
        <w:t>询价采购，是指按照规定程序就采购项目向符合资格要求的供应商进行询价，通过评审、比较确定成交供应商的采购方式。</w:t>
      </w:r>
    </w:p>
    <w:p>
      <w:pPr>
        <w:pStyle w:val="63"/>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1.1.2评审办法</w:t>
      </w:r>
    </w:p>
    <w:p>
      <w:pPr>
        <w:adjustRightInd w:val="0"/>
        <w:snapToGrid w:val="0"/>
        <w:spacing w:line="360" w:lineRule="auto"/>
        <w:ind w:firstLine="453" w:firstLineChars="189"/>
        <w:rPr>
          <w:rFonts w:hint="eastAsia" w:hAnsi="宋体" w:eastAsia="宋体" w:cs="仿宋"/>
          <w:color w:val="auto"/>
          <w:sz w:val="24"/>
          <w:szCs w:val="24"/>
          <w:highlight w:val="none"/>
        </w:rPr>
      </w:pPr>
      <w:r>
        <w:rPr>
          <w:rFonts w:hint="eastAsia" w:hAnsi="宋体" w:eastAsia="宋体" w:cs="仿宋"/>
          <w:color w:val="auto"/>
          <w:sz w:val="24"/>
          <w:szCs w:val="24"/>
          <w:highlight w:val="none"/>
        </w:rPr>
        <w:t>最低价法，是指在资质、业绩、信誉等条件均满足询价文件要求的前提下，按单项或总价价格最低原则确定成交供应商。</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1.2采购项目概况和供应商资格要求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采购项目概况和供应商资格要求见第一章“采购公告”。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1.3 费用承担</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1.4保密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1.5语言文字</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1.6计量单位</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所有计量均采用中华人民共和国法定计量单位。</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1.7踏勘现场</w:t>
      </w:r>
      <w:r>
        <w:rPr>
          <w:rFonts w:hint="eastAsia" w:ascii="宋体" w:hAnsi="宋体" w:cs="仿宋"/>
          <w:b/>
          <w:bCs/>
          <w:color w:val="auto"/>
          <w:sz w:val="24"/>
          <w:highlight w:val="none"/>
          <w:lang w:eastAsia="zh-CN"/>
        </w:rPr>
        <w:t>（本项目不组织踏勘现场）</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1.8采购预备会</w:t>
      </w:r>
      <w:r>
        <w:rPr>
          <w:rFonts w:hint="eastAsia" w:ascii="宋体" w:hAnsi="宋体" w:cs="仿宋"/>
          <w:b/>
          <w:bCs/>
          <w:color w:val="auto"/>
          <w:sz w:val="24"/>
          <w:highlight w:val="none"/>
          <w:lang w:eastAsia="zh-CN"/>
        </w:rPr>
        <w:t>（本项目不召开采购预备会）</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1.9分包(</w:t>
      </w:r>
      <w:r>
        <w:rPr>
          <w:rFonts w:hint="eastAsia" w:ascii="宋体" w:hAnsi="宋体" w:cs="仿宋"/>
          <w:b/>
          <w:bCs/>
          <w:color w:val="auto"/>
          <w:sz w:val="24"/>
          <w:highlight w:val="none"/>
          <w:lang w:eastAsia="zh-CN"/>
        </w:rPr>
        <w:t>本项目不允许分包</w:t>
      </w:r>
      <w:r>
        <w:rPr>
          <w:rFonts w:hint="eastAsia" w:ascii="宋体" w:hAnsi="宋体" w:cs="仿宋"/>
          <w:b/>
          <w:bCs/>
          <w:color w:val="auto"/>
          <w:sz w:val="24"/>
          <w:highlight w:val="none"/>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1.10响应和偏差</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2采购文件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2.1采购文件的组成</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本采购文件包括:</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(1)采购公告:</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(2)供应商须知;</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(3)评审办法;</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(4)合同条款及格式;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(5)采购需求;</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(6)响应文件格式;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2.2采购文件的澄清和修改</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3响应文件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3.1响应文件的组成</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3.1.1响应文件应包括下列内容: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(1)响应函;</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(2)授权委托书(如有);</w:t>
      </w:r>
    </w:p>
    <w:p>
      <w:pPr>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53" w:firstLineChars="189"/>
        <w:jc w:val="both"/>
        <w:rPr>
          <w:rFonts w:hint="default"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报价</w:t>
      </w:r>
      <w:r>
        <w:rPr>
          <w:rFonts w:hint="eastAsia" w:ascii="宋体" w:hAnsi="宋体" w:cs="仿宋"/>
          <w:color w:val="auto"/>
          <w:sz w:val="24"/>
          <w:highlight w:val="none"/>
        </w:rPr>
        <w:t>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3.2报价</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3.2.4报价的其他要求见供应商须知前附表。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3.3响应文件有效期</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3.4响应保证金</w:t>
      </w:r>
      <w:r>
        <w:rPr>
          <w:rFonts w:hint="eastAsia" w:ascii="宋体" w:hAnsi="宋体" w:cs="仿宋"/>
          <w:b/>
          <w:bCs/>
          <w:color w:val="auto"/>
          <w:sz w:val="24"/>
          <w:highlight w:val="none"/>
          <w:lang w:eastAsia="zh-CN"/>
        </w:rPr>
        <w:t>（本项目不提交响应保证金）</w:t>
      </w:r>
    </w:p>
    <w:p>
      <w:pPr>
        <w:adjustRightInd w:val="0"/>
        <w:snapToGrid w:val="0"/>
        <w:spacing w:line="312" w:lineRule="auto"/>
        <w:ind w:left="120" w:hanging="120" w:hangingChars="50"/>
        <w:jc w:val="both"/>
        <w:rPr>
          <w:rFonts w:ascii="宋体" w:hAnsi="宋体" w:cs="仿宋"/>
          <w:b/>
          <w:bCs/>
          <w:color w:val="auto"/>
          <w:sz w:val="24"/>
          <w:highlight w:val="none"/>
        </w:rPr>
      </w:pPr>
      <w:r>
        <w:rPr>
          <w:rFonts w:hint="eastAsia" w:ascii="宋体" w:hAnsi="宋体" w:cs="仿宋"/>
          <w:b/>
          <w:bCs/>
          <w:color w:val="auto"/>
          <w:sz w:val="24"/>
          <w:highlight w:val="none"/>
        </w:rPr>
        <w:t>3.5资格审查资料</w:t>
      </w:r>
    </w:p>
    <w:p>
      <w:pPr>
        <w:adjustRightInd w:val="0"/>
        <w:snapToGrid w:val="0"/>
        <w:spacing w:line="312" w:lineRule="auto"/>
        <w:ind w:left="149" w:leftChars="71" w:firstLine="360" w:firstLineChars="150"/>
        <w:jc w:val="both"/>
        <w:rPr>
          <w:rFonts w:ascii="宋体" w:hAnsi="宋体" w:cs="仿宋"/>
          <w:color w:val="auto"/>
          <w:sz w:val="24"/>
          <w:highlight w:val="none"/>
        </w:rPr>
      </w:pPr>
      <w:r>
        <w:rPr>
          <w:rFonts w:hint="eastAsia" w:ascii="宋体" w:hAnsi="宋体" w:cs="仿宋"/>
          <w:color w:val="auto"/>
          <w:sz w:val="24"/>
          <w:highlight w:val="none"/>
        </w:rPr>
        <w:t>供应商应提供供应商须知前附表3.5(1)-3.5(</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3.6响应方案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3.7响应文件的编制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4响应文件的递交</w:t>
      </w:r>
    </w:p>
    <w:p>
      <w:pPr>
        <w:adjustRightInd w:val="0"/>
        <w:snapToGrid w:val="0"/>
        <w:spacing w:line="312" w:lineRule="auto"/>
        <w:jc w:val="both"/>
        <w:rPr>
          <w:rFonts w:ascii="宋体" w:hAnsi="宋体" w:cs="仿宋"/>
          <w:b/>
          <w:bCs/>
          <w:color w:val="auto"/>
          <w:sz w:val="24"/>
          <w:highlight w:val="none"/>
        </w:rPr>
      </w:pPr>
      <w:r>
        <w:rPr>
          <w:rFonts w:ascii="宋体" w:hAnsi="宋体" w:cs="仿宋"/>
          <w:b/>
          <w:bCs/>
          <w:color w:val="auto"/>
          <w:sz w:val="24"/>
          <w:highlight w:val="none"/>
        </w:rPr>
        <w:t>4.1响应文件的包装与标记</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4.1.2响应文件封套上应载明的内容见供应商须知前附表。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4.2响应文件的递交</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4.2.2除供应商须知前附表另有规定外，供应商所提交的响应文件不</w:t>
      </w:r>
      <w:r>
        <w:rPr>
          <w:rFonts w:hint="eastAsia" w:ascii="宋体" w:hAnsi="宋体" w:cs="仿宋"/>
          <w:color w:val="auto"/>
          <w:sz w:val="24"/>
          <w:highlight w:val="none"/>
          <w:lang w:eastAsia="zh-CN"/>
        </w:rPr>
        <w:t>予</w:t>
      </w:r>
      <w:r>
        <w:rPr>
          <w:rFonts w:hint="eastAsia" w:ascii="宋体" w:hAnsi="宋体" w:cs="仿宋"/>
          <w:color w:val="auto"/>
          <w:sz w:val="24"/>
          <w:highlight w:val="none"/>
        </w:rPr>
        <w:t>退还。</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4.3响应文件的修改与撤回</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4.3.2</w:t>
      </w:r>
      <w:r>
        <w:rPr>
          <w:rFonts w:ascii="宋体" w:hAnsi="宋体" w:cs="仿宋"/>
          <w:color w:val="auto"/>
          <w:sz w:val="24"/>
          <w:highlight w:val="none"/>
        </w:rPr>
        <w:t>响应文件的修改文件或供应商</w:t>
      </w:r>
      <w:r>
        <w:rPr>
          <w:rFonts w:hint="eastAsia" w:ascii="宋体" w:hAnsi="宋体" w:cs="仿宋"/>
          <w:color w:val="auto"/>
          <w:sz w:val="24"/>
          <w:highlight w:val="none"/>
        </w:rPr>
        <w:t>撤</w:t>
      </w:r>
      <w:r>
        <w:rPr>
          <w:rFonts w:ascii="宋体" w:hAnsi="宋体" w:cs="仿宋"/>
          <w:color w:val="auto"/>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5开启响应文件</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color w:val="auto"/>
          <w:sz w:val="24"/>
          <w:highlight w:val="none"/>
        </w:rPr>
        <w:t>采购人一般不公开开启响应文件。</w:t>
      </w:r>
      <w:r>
        <w:rPr>
          <w:rFonts w:hint="eastAsia" w:ascii="宋体" w:hAnsi="宋体" w:cs="仿宋"/>
          <w:b w:val="0"/>
          <w:bCs/>
          <w:color w:val="auto"/>
          <w:sz w:val="24"/>
          <w:highlight w:val="none"/>
        </w:rPr>
        <w:t>如</w:t>
      </w:r>
      <w:r>
        <w:rPr>
          <w:rFonts w:hint="eastAsia" w:ascii="宋体" w:hAnsi="宋体" w:cs="仿宋"/>
          <w:color w:val="auto"/>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5.1开启响应文件的时间和地点</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5.2开启程序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主持人按下列程序公开开启响应文件:</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(2)开启会议结束。</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bCs/>
          <w:color w:val="auto"/>
          <w:sz w:val="24"/>
          <w:highlight w:val="none"/>
        </w:rPr>
        <w:t>5.3递交响应文件的供应商不足的情形</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6.1评审小组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6.1.1评审由采购人组建的评审小组负责。</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供应商主要负责人或供应商主要负责人的近亲属;</w:t>
      </w:r>
    </w:p>
    <w:p>
      <w:pPr>
        <w:adjustRightInd w:val="0"/>
        <w:snapToGrid w:val="0"/>
        <w:spacing w:line="312" w:lineRule="auto"/>
        <w:ind w:left="0" w:leftChars="0" w:firstLine="480" w:firstLineChars="200"/>
        <w:jc w:val="both"/>
        <w:rPr>
          <w:rFonts w:ascii="宋体" w:hAnsi="宋体" w:cs="仿宋"/>
          <w:color w:val="auto"/>
          <w:sz w:val="24"/>
          <w:highlight w:val="none"/>
        </w:rPr>
      </w:pPr>
      <w:r>
        <w:rPr>
          <w:rFonts w:hint="eastAsia" w:ascii="宋体" w:hAnsi="宋体" w:cs="仿宋"/>
          <w:color w:val="auto"/>
          <w:sz w:val="24"/>
          <w:highlight w:val="none"/>
        </w:rPr>
        <w:t>(2)与供应商有经济利益关系或其他利害关系，可能影响公正评审的。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6.1.3评审小组组建后，评审小组成员共同推选或由采购人指定评审小组组长，评审小组组长负责组织评审工作。</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6.2评审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auto"/>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7合同授予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color w:val="auto"/>
          <w:sz w:val="24"/>
          <w:highlight w:val="none"/>
        </w:rPr>
      </w:pPr>
      <w:r>
        <w:rPr>
          <w:rFonts w:hint="eastAsia" w:ascii="宋体" w:hAnsi="宋体" w:cs="仿宋"/>
          <w:color w:val="auto"/>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auto"/>
          <w:sz w:val="24"/>
          <w:highlight w:val="none"/>
        </w:rPr>
      </w:pPr>
      <w:r>
        <w:rPr>
          <w:rFonts w:hint="eastAsia" w:ascii="宋体" w:hAnsi="宋体" w:cs="仿宋"/>
          <w:b/>
          <w:bCs/>
          <w:color w:val="auto"/>
          <w:sz w:val="24"/>
          <w:highlight w:val="none"/>
        </w:rPr>
        <w:t>7.2</w:t>
      </w:r>
      <w:r>
        <w:rPr>
          <w:rFonts w:hint="eastAsia" w:ascii="宋体" w:hAnsi="宋体" w:cs="宋体"/>
          <w:b/>
          <w:bCs/>
          <w:color w:val="auto"/>
          <w:sz w:val="24"/>
          <w:highlight w:val="none"/>
        </w:rPr>
        <w:t>成交候选</w:t>
      </w:r>
      <w:r>
        <w:rPr>
          <w:rFonts w:hint="eastAsia" w:ascii="宋体" w:hAnsi="宋体" w:cs="仿宋"/>
          <w:b/>
          <w:bCs/>
          <w:color w:val="auto"/>
          <w:sz w:val="24"/>
          <w:highlight w:val="none"/>
        </w:rPr>
        <w:t>供应商</w:t>
      </w:r>
      <w:r>
        <w:rPr>
          <w:rFonts w:hint="eastAsia" w:ascii="宋体" w:hAnsi="宋体" w:cs="宋体"/>
          <w:b/>
          <w:bCs/>
          <w:color w:val="auto"/>
          <w:sz w:val="24"/>
          <w:highlight w:val="none"/>
        </w:rPr>
        <w:t xml:space="preserve">公示 </w:t>
      </w:r>
    </w:p>
    <w:p>
      <w:pPr>
        <w:widowControl w:val="0"/>
        <w:adjustRightInd w:val="0"/>
        <w:snapToGrid w:val="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auto"/>
          <w:sz w:val="24"/>
          <w:highlight w:val="none"/>
        </w:rPr>
      </w:pPr>
      <w:r>
        <w:rPr>
          <w:rFonts w:hint="eastAsia" w:ascii="宋体" w:hAnsi="宋体" w:cs="宋体"/>
          <w:b/>
          <w:bCs/>
          <w:color w:val="auto"/>
          <w:sz w:val="24"/>
          <w:highlight w:val="none"/>
        </w:rPr>
        <w:t xml:space="preserve">7.3成交结果异议 </w:t>
      </w:r>
    </w:p>
    <w:p>
      <w:pPr>
        <w:adjustRightInd w:val="0"/>
        <w:snapToGrid w:val="0"/>
        <w:spacing w:line="312" w:lineRule="auto"/>
        <w:ind w:firstLine="424" w:firstLineChars="177"/>
        <w:jc w:val="both"/>
        <w:rPr>
          <w:rFonts w:ascii="宋体" w:hAnsi="宋体" w:cs="宋体"/>
          <w:color w:val="auto"/>
          <w:sz w:val="24"/>
          <w:highlight w:val="none"/>
        </w:rPr>
      </w:pPr>
      <w:r>
        <w:rPr>
          <w:rFonts w:hint="eastAsia" w:ascii="宋体" w:hAnsi="宋体" w:cs="宋体"/>
          <w:color w:val="auto"/>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7.4成交候选供应商履约能力核查</w:t>
      </w:r>
    </w:p>
    <w:p>
      <w:pPr>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7.5发出成交通知书</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7.6履约保证金</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auto"/>
          <w:sz w:val="24"/>
          <w:highlight w:val="none"/>
        </w:rPr>
        <w:t>10</w:t>
      </w:r>
      <w:r>
        <w:rPr>
          <w:rFonts w:hint="eastAsia" w:ascii="宋体" w:hAnsi="宋体" w:cs="仿宋"/>
          <w:color w:val="auto"/>
          <w:sz w:val="24"/>
          <w:highlight w:val="none"/>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7.7签订合同</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w:t>
      </w:r>
      <w:r>
        <w:rPr>
          <w:rFonts w:ascii="宋体" w:hAnsi="宋体" w:cs="仿宋"/>
          <w:b/>
          <w:bCs/>
          <w:color w:val="auto"/>
          <w:sz w:val="24"/>
          <w:highlight w:val="none"/>
        </w:rPr>
        <w:t>8</w:t>
      </w:r>
      <w:r>
        <w:rPr>
          <w:rFonts w:hint="eastAsia" w:ascii="宋体" w:hAnsi="宋体" w:cs="仿宋"/>
          <w:b/>
          <w:bCs/>
          <w:color w:val="auto"/>
          <w:sz w:val="24"/>
          <w:highlight w:val="none"/>
        </w:rPr>
        <w:t>特殊情形处理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8异议</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8.1提出异议</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8.2异议处理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9纪律要求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9.1对采购人的纪律要求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9.2对供应商的纪律要求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9.3对评审小组成员的纪律要求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w:t>
      </w:r>
      <w:r>
        <w:rPr>
          <w:rFonts w:ascii="宋体" w:hAnsi="宋体" w:cs="仿宋"/>
          <w:b/>
          <w:bCs/>
          <w:color w:val="auto"/>
          <w:sz w:val="24"/>
          <w:highlight w:val="none"/>
        </w:rPr>
        <w:t xml:space="preserve"> </w:t>
      </w:r>
      <w:r>
        <w:rPr>
          <w:rFonts w:hint="eastAsia" w:ascii="宋体" w:hAnsi="宋体" w:cs="仿宋"/>
          <w:b/>
          <w:bCs/>
          <w:color w:val="auto"/>
          <w:sz w:val="24"/>
          <w:highlight w:val="none"/>
        </w:rPr>
        <w:t>需要补充的其他内容</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10.1采购代理服务费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10.2其他</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需更补充的其他内容:见供应商须知前附表。</w:t>
      </w:r>
    </w:p>
    <w:p>
      <w:pPr>
        <w:adjustRightInd w:val="0"/>
        <w:snapToGrid w:val="0"/>
        <w:spacing w:line="312" w:lineRule="auto"/>
        <w:jc w:val="both"/>
        <w:rPr>
          <w:rFonts w:ascii="宋体" w:hAnsi="宋体" w:cs="仿宋"/>
          <w:color w:val="auto"/>
          <w:sz w:val="24"/>
          <w:highlight w:val="none"/>
        </w:rPr>
      </w:pPr>
    </w:p>
    <w:p>
      <w:pPr>
        <w:adjustRightInd w:val="0"/>
        <w:snapToGrid w:val="0"/>
        <w:spacing w:line="312" w:lineRule="auto"/>
        <w:ind w:firstLine="453" w:firstLineChars="189"/>
        <w:jc w:val="both"/>
        <w:rPr>
          <w:rFonts w:ascii="宋体" w:hAnsi="宋体" w:cs="仿宋"/>
          <w:color w:val="auto"/>
          <w:sz w:val="24"/>
          <w:highlight w:val="none"/>
        </w:rPr>
      </w:pPr>
    </w:p>
    <w:p>
      <w:pPr>
        <w:spacing w:line="312"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600" w:lineRule="exact"/>
        <w:ind w:firstLine="600" w:firstLineChars="200"/>
        <w:rPr>
          <w:rFonts w:ascii="宋体" w:hAnsi="宋体" w:cs="仿宋"/>
          <w:color w:val="auto"/>
          <w:sz w:val="30"/>
          <w:szCs w:val="30"/>
          <w:highlight w:val="none"/>
        </w:rPr>
      </w:pPr>
      <w:r>
        <w:rPr>
          <w:rFonts w:hint="eastAsia" w:ascii="宋体" w:hAnsi="宋体" w:cs="仿宋"/>
          <w:color w:val="auto"/>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开启时间：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时</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分</w:t>
      </w:r>
    </w:p>
    <w:tbl>
      <w:tblPr>
        <w:tblStyle w:val="38"/>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bl>
    <w:p>
      <w:pPr>
        <w:spacing w:line="240" w:lineRule="auto"/>
        <w:jc w:val="both"/>
        <w:rPr>
          <w:rFonts w:cs="仿宋" w:asciiTheme="minorEastAsia" w:hAnsiTheme="minorEastAsia" w:eastAsiaTheme="minorEastAsia"/>
          <w:color w:val="auto"/>
          <w:sz w:val="24"/>
          <w:highlight w:val="none"/>
        </w:rPr>
      </w:pPr>
    </w:p>
    <w:p>
      <w:pPr>
        <w:spacing w:line="240" w:lineRule="auto"/>
        <w:ind w:firstLine="1200" w:firstLineChars="500"/>
        <w:jc w:val="both"/>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采购人代表：</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记录人：</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监督人：</w:t>
      </w:r>
      <w:r>
        <w:rPr>
          <w:rFonts w:hint="eastAsia" w:cs="仿宋" w:asciiTheme="minorEastAsia" w:hAnsiTheme="minorEastAsia" w:eastAsiaTheme="minorEastAsia"/>
          <w:color w:val="auto"/>
          <w:sz w:val="24"/>
          <w:highlight w:val="none"/>
          <w:u w:val="single"/>
        </w:rPr>
        <w:t xml:space="preserve">        </w:t>
      </w:r>
    </w:p>
    <w:p>
      <w:pPr>
        <w:spacing w:line="240" w:lineRule="auto"/>
        <w:jc w:val="both"/>
        <w:rPr>
          <w:rFonts w:cs="仿宋" w:asciiTheme="minorEastAsia" w:hAnsiTheme="minorEastAsia" w:eastAsiaTheme="minorEastAsia"/>
          <w:color w:val="auto"/>
          <w:sz w:val="24"/>
          <w:highlight w:val="none"/>
        </w:rPr>
      </w:pPr>
    </w:p>
    <w:p>
      <w:pPr>
        <w:spacing w:line="240" w:lineRule="auto"/>
        <w:jc w:val="both"/>
        <w:rPr>
          <w:rFonts w:ascii="仿宋" w:hAnsi="仿宋" w:eastAsia="仿宋" w:cs="仿宋"/>
          <w:color w:val="auto"/>
          <w:sz w:val="30"/>
          <w:szCs w:val="30"/>
          <w:highlight w:val="none"/>
        </w:rPr>
      </w:pPr>
    </w:p>
    <w:p>
      <w:pPr>
        <w:spacing w:line="240" w:lineRule="auto"/>
        <w:jc w:val="both"/>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pPr>
        <w:spacing w:line="600" w:lineRule="exact"/>
        <w:ind w:firstLine="8100" w:firstLineChars="2700"/>
        <w:jc w:val="both"/>
        <w:rPr>
          <w:rFonts w:ascii="仿宋" w:hAnsi="仿宋" w:eastAsia="仿宋" w:cs="仿宋"/>
          <w:color w:val="auto"/>
          <w:sz w:val="30"/>
          <w:szCs w:val="30"/>
          <w:highlight w:val="none"/>
        </w:rPr>
      </w:pP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w:t>
      </w:r>
      <w:r>
        <w:rPr>
          <w:rFonts w:hint="eastAsia" w:ascii="宋体" w:hAnsi="宋体" w:cs="仿宋"/>
          <w:color w:val="auto"/>
          <w:sz w:val="30"/>
          <w:szCs w:val="30"/>
          <w:highlight w:val="none"/>
          <w:lang w:val="en-US" w:eastAsia="zh-CN"/>
        </w:rPr>
        <w:t>2</w:t>
      </w:r>
      <w:r>
        <w:rPr>
          <w:rFonts w:hint="eastAsia" w:ascii="宋体" w:hAnsi="宋体" w:cs="仿宋"/>
          <w:color w:val="auto"/>
          <w:sz w:val="30"/>
          <w:szCs w:val="30"/>
          <w:highlight w:val="none"/>
        </w:rPr>
        <w:t xml:space="preserve">  问题的澄清</w:t>
      </w:r>
    </w:p>
    <w:p>
      <w:pPr>
        <w:adjustRightInd w:val="0"/>
        <w:snapToGrid w:val="0"/>
        <w:spacing w:line="600" w:lineRule="exact"/>
        <w:jc w:val="center"/>
        <w:rPr>
          <w:rFonts w:ascii="华文中宋" w:hAnsi="华文中宋" w:eastAsia="华文中宋" w:cs="仿宋"/>
          <w:b/>
          <w:bCs/>
          <w:color w:val="auto"/>
          <w:sz w:val="36"/>
          <w:szCs w:val="36"/>
          <w:highlight w:val="none"/>
        </w:rPr>
      </w:pPr>
    </w:p>
    <w:p>
      <w:pPr>
        <w:adjustRightInd w:val="0"/>
        <w:snapToGrid w:val="0"/>
        <w:spacing w:line="600" w:lineRule="exact"/>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问题的澄清</w:t>
      </w:r>
    </w:p>
    <w:p>
      <w:pPr>
        <w:adjustRightInd w:val="0"/>
        <w:snapToGrid w:val="0"/>
        <w:spacing w:line="600" w:lineRule="exact"/>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600" w:lineRule="exact"/>
        <w:jc w:val="both"/>
        <w:rPr>
          <w:rFonts w:ascii="宋体" w:hAnsi="宋体" w:cs="仿宋"/>
          <w:color w:val="auto"/>
          <w:sz w:val="24"/>
          <w:highlight w:val="none"/>
        </w:rPr>
      </w:pPr>
      <w:r>
        <w:rPr>
          <w:rFonts w:hint="eastAsia" w:ascii="宋体" w:hAnsi="宋体" w:cs="仿宋"/>
          <w:color w:val="auto"/>
          <w:sz w:val="24"/>
          <w:highlight w:val="none"/>
        </w:rPr>
        <w:t>评审小组:</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问题澄清通知(编号: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)已收悉，现澄清、说明和补正如下：</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600" w:lineRule="exact"/>
        <w:ind w:firstLine="3410" w:firstLineChars="1421"/>
        <w:jc w:val="both"/>
        <w:rPr>
          <w:rFonts w:ascii="宋体" w:hAnsi="宋体" w:cs="仿宋"/>
          <w:color w:val="auto"/>
          <w:sz w:val="24"/>
          <w:highlight w:val="none"/>
          <w:u w:val="single"/>
        </w:rPr>
      </w:pPr>
      <w:r>
        <w:rPr>
          <w:rFonts w:hint="eastAsia" w:ascii="宋体" w:hAnsi="宋体" w:cs="仿宋"/>
          <w:color w:val="auto"/>
          <w:sz w:val="24"/>
          <w:highlight w:val="none"/>
        </w:rPr>
        <w:t>法定代表人(单位负责人)或其授权的代理人:</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(签字)</w:t>
      </w:r>
      <w:r>
        <w:rPr>
          <w:rFonts w:ascii="宋体" w:hAnsi="宋体" w:cs="仿宋"/>
          <w:color w:val="auto"/>
          <w:sz w:val="24"/>
          <w:highlight w:val="none"/>
          <w:u w:val="single"/>
        </w:rPr>
        <w:t xml:space="preserve">  </w:t>
      </w:r>
    </w:p>
    <w:p>
      <w:pPr>
        <w:adjustRightInd/>
        <w:snapToGrid/>
        <w:spacing w:line="600" w:lineRule="exact"/>
        <w:ind w:firstLine="5570" w:firstLineChars="2321"/>
        <w:jc w:val="both"/>
        <w:rPr>
          <w:rFonts w:ascii="仿宋" w:hAnsi="仿宋" w:eastAsia="仿宋" w:cs="仿宋"/>
          <w:color w:val="auto"/>
          <w:sz w:val="30"/>
          <w:szCs w:val="30"/>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w:t>
      </w:r>
      <w:r>
        <w:rPr>
          <w:rFonts w:hint="eastAsia" w:ascii="宋体" w:hAnsi="宋体" w:cs="仿宋"/>
          <w:color w:val="auto"/>
          <w:sz w:val="30"/>
          <w:szCs w:val="30"/>
          <w:highlight w:val="none"/>
          <w:lang w:val="en-US" w:eastAsia="zh-CN"/>
        </w:rPr>
        <w:t>3</w:t>
      </w:r>
      <w:r>
        <w:rPr>
          <w:rFonts w:hint="eastAsia" w:ascii="宋体" w:hAnsi="宋体" w:cs="仿宋"/>
          <w:color w:val="auto"/>
          <w:sz w:val="30"/>
          <w:szCs w:val="30"/>
          <w:highlight w:val="none"/>
        </w:rPr>
        <w:t xml:space="preserve">  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480" w:firstLineChars="200"/>
        <w:jc w:val="both"/>
        <w:rPr>
          <w:rFonts w:ascii="宋体" w:hAnsi="宋体" w:cs="仿宋"/>
          <w:b/>
          <w:bCs/>
          <w:color w:val="auto"/>
          <w:sz w:val="24"/>
          <w:highlight w:val="none"/>
        </w:rPr>
      </w:pPr>
      <w:r>
        <w:rPr>
          <w:rFonts w:hint="eastAsia" w:ascii="宋体" w:hAnsi="宋体" w:cs="仿宋"/>
          <w:color w:val="auto"/>
          <w:sz w:val="24"/>
          <w:highlight w:val="none"/>
          <w:u w:val="single"/>
        </w:rPr>
        <w:t xml:space="preserve">           （采购人或采购代理机构名称)</w:t>
      </w:r>
      <w:r>
        <w:rPr>
          <w:rFonts w:hint="eastAsia" w:ascii="宋体" w:hAnsi="宋体" w:cs="仿宋"/>
          <w:color w:val="auto"/>
          <w:sz w:val="24"/>
          <w:highlight w:val="none"/>
        </w:rPr>
        <w:t>:</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你方于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日发出的的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采购文件的澄清/修改的通知，我方已于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日收到。</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特此确认。</w:t>
      </w: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pStyle w:val="74"/>
        <w:spacing w:line="600" w:lineRule="exact"/>
        <w:ind w:left="420" w:firstLine="5280" w:firstLineChars="2200"/>
        <w:jc w:val="both"/>
        <w:rPr>
          <w:rFonts w:cs="仿宋"/>
          <w:b/>
          <w:color w:val="000000"/>
          <w:highlight w:val="none"/>
        </w:rPr>
      </w:pP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年</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月</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ascii="黑体" w:hAnsi="黑体" w:eastAsia="黑体" w:cs="仿宋"/>
          <w:bCs/>
          <w:color w:val="auto"/>
          <w:sz w:val="36"/>
          <w:szCs w:val="36"/>
          <w:highlight w:val="none"/>
        </w:rPr>
      </w:pPr>
      <w:bookmarkStart w:id="24" w:name="_Toc32388"/>
      <w:bookmarkStart w:id="25" w:name="_Toc3356"/>
      <w:r>
        <w:rPr>
          <w:rFonts w:hint="eastAsia" w:ascii="黑体" w:hAnsi="黑体" w:eastAsia="黑体" w:cs="仿宋"/>
          <w:bCs/>
          <w:color w:val="auto"/>
          <w:sz w:val="36"/>
          <w:szCs w:val="36"/>
          <w:highlight w:val="none"/>
        </w:rPr>
        <w:t>第三章 评审办法</w:t>
      </w:r>
      <w:bookmarkEnd w:id="24"/>
      <w:bookmarkEnd w:id="25"/>
    </w:p>
    <w:p>
      <w:pPr>
        <w:adjustRightInd w:val="0"/>
        <w:snapToGrid w:val="0"/>
        <w:spacing w:before="120" w:beforeLines="50" w:after="120" w:afterLines="50" w:line="312" w:lineRule="auto"/>
        <w:jc w:val="center"/>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响应保证金</w:t>
            </w:r>
          </w:p>
        </w:tc>
        <w:tc>
          <w:tcPr>
            <w:tcW w:w="5676"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服务</w:t>
            </w:r>
            <w:r>
              <w:rPr>
                <w:rFonts w:hint="eastAsia" w:cs="仿宋" w:asciiTheme="minorEastAsia" w:hAnsiTheme="minorEastAsia" w:eastAsiaTheme="minorEastAsia"/>
                <w:color w:val="auto"/>
                <w:szCs w:val="21"/>
                <w:highlight w:val="none"/>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eastAsia="zh-CN"/>
              </w:rPr>
              <w:t>服务</w:t>
            </w:r>
            <w:r>
              <w:rPr>
                <w:rFonts w:hint="eastAsia" w:cs="仿宋" w:asciiTheme="minorEastAsia" w:hAnsiTheme="minorEastAsia" w:eastAsiaTheme="minorEastAsia"/>
                <w:color w:val="auto"/>
                <w:szCs w:val="21"/>
                <w:highlight w:val="none"/>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评审价格</w:t>
            </w:r>
          </w:p>
        </w:tc>
        <w:tc>
          <w:tcPr>
            <w:tcW w:w="5676" w:type="dxa"/>
          </w:tcPr>
          <w:p>
            <w:pPr>
              <w:widowControl/>
              <w:adjustRightInd w:val="0"/>
              <w:snapToGrid w:val="0"/>
              <w:spacing w:line="288" w:lineRule="auto"/>
              <w:jc w:val="both"/>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b w:val="0"/>
                <w:bCs w:val="0"/>
                <w:color w:val="auto"/>
                <w:sz w:val="21"/>
                <w:szCs w:val="21"/>
                <w:highlight w:val="none"/>
                <w:u w:val="none"/>
                <w:lang w:val="en-US" w:eastAsia="zh-CN"/>
              </w:rPr>
              <w:t>不得超过最高限价</w:t>
            </w:r>
            <w:r>
              <w:rPr>
                <w:rFonts w:hint="default" w:ascii="Arial" w:hAnsi="Arial" w:cs="Arial" w:eastAsiaTheme="minorEastAsia"/>
                <w:b w:val="0"/>
                <w:bCs w:val="0"/>
                <w:color w:val="auto"/>
                <w:sz w:val="21"/>
                <w:szCs w:val="21"/>
                <w:highlight w:val="none"/>
                <w:u w:val="none"/>
                <w:lang w:val="en-US" w:eastAsia="zh-CN"/>
              </w:rPr>
              <w:t>¥</w:t>
            </w:r>
            <w:r>
              <w:rPr>
                <w:rFonts w:hint="eastAsia" w:cs="仿宋" w:asciiTheme="minorEastAsia" w:hAnsiTheme="minorEastAsia" w:eastAsiaTheme="minorEastAsia"/>
                <w:b w:val="0"/>
                <w:bCs w:val="0"/>
                <w:color w:val="auto"/>
                <w:sz w:val="21"/>
                <w:szCs w:val="21"/>
                <w:highlight w:val="none"/>
                <w:u w:val="none"/>
                <w:lang w:val="en-US" w:eastAsia="zh-CN"/>
              </w:rPr>
              <w:t xml:space="preserve"> </w:t>
            </w:r>
            <w:r>
              <w:rPr>
                <w:rFonts w:hint="eastAsia" w:cs="仿宋" w:asciiTheme="minorEastAsia" w:hAnsiTheme="minorEastAsia" w:eastAsiaTheme="minorEastAsia"/>
                <w:i w:val="0"/>
                <w:iCs w:val="0"/>
                <w:color w:val="auto"/>
                <w:sz w:val="24"/>
                <w:highlight w:val="none"/>
                <w:lang w:val="en-US" w:eastAsia="zh-CN"/>
              </w:rPr>
              <w:t>693，800.00</w:t>
            </w:r>
            <w:r>
              <w:rPr>
                <w:rFonts w:hint="eastAsia" w:cs="仿宋" w:asciiTheme="minorEastAsia" w:hAnsiTheme="minorEastAsia" w:eastAsiaTheme="minorEastAsia"/>
                <w:b w:val="0"/>
                <w:bCs w:val="0"/>
                <w:color w:val="auto"/>
                <w:sz w:val="21"/>
                <w:szCs w:val="21"/>
                <w:highlight w:val="none"/>
                <w:u w:val="none"/>
                <w:lang w:val="en-US" w:eastAsia="zh-CN"/>
              </w:rPr>
              <w:t xml:space="preserve"> 元，（大写）</w:t>
            </w:r>
            <w:r>
              <w:rPr>
                <w:rFonts w:hint="eastAsia" w:cs="仿宋" w:asciiTheme="minorEastAsia" w:hAnsiTheme="minorEastAsia" w:eastAsiaTheme="minorEastAsia"/>
                <w:i w:val="0"/>
                <w:iCs w:val="0"/>
                <w:color w:val="auto"/>
                <w:sz w:val="24"/>
                <w:highlight w:val="none"/>
                <w:lang w:eastAsia="zh-CN"/>
              </w:rPr>
              <w:t>人民币</w:t>
            </w:r>
            <w:r>
              <w:rPr>
                <w:rFonts w:hint="eastAsia" w:ascii="宋体" w:hAnsi="宋体"/>
                <w:b w:val="0"/>
                <w:bCs w:val="0"/>
                <w:color w:val="auto"/>
                <w:sz w:val="24"/>
                <w:highlight w:val="none"/>
                <w:u w:val="none"/>
                <w:lang w:val="en-US" w:eastAsia="zh-CN"/>
              </w:rPr>
              <w:t>陆拾玖万叁仟捌佰元整</w:t>
            </w:r>
            <w:r>
              <w:rPr>
                <w:rFonts w:hint="eastAsia" w:cs="仿宋" w:asciiTheme="minorEastAsia" w:hAnsiTheme="minorEastAsia" w:eastAsiaTheme="minorEastAsia"/>
                <w:i w:val="0"/>
                <w:iCs w:val="0"/>
                <w:color w:val="auto"/>
                <w:sz w:val="24"/>
                <w:highlight w:val="none"/>
                <w:lang w:eastAsia="zh-CN"/>
              </w:rPr>
              <w:t>（</w:t>
            </w:r>
            <w:r>
              <w:rPr>
                <w:rFonts w:hint="default" w:ascii="Arial" w:hAnsi="Arial" w:cs="Arial" w:eastAsiaTheme="minorEastAsia"/>
                <w:i w:val="0"/>
                <w:iCs w:val="0"/>
                <w:color w:val="auto"/>
                <w:sz w:val="24"/>
                <w:highlight w:val="none"/>
              </w:rPr>
              <w:t>¥</w:t>
            </w:r>
            <w:r>
              <w:rPr>
                <w:rFonts w:hint="eastAsia" w:cs="仿宋" w:asciiTheme="minorEastAsia" w:hAnsiTheme="minorEastAsia" w:eastAsiaTheme="minorEastAsia"/>
                <w:i w:val="0"/>
                <w:iCs w:val="0"/>
                <w:color w:val="auto"/>
                <w:sz w:val="24"/>
                <w:highlight w:val="none"/>
                <w:lang w:val="en-US" w:eastAsia="zh-CN"/>
              </w:rPr>
              <w:t>693，800.00元）</w:t>
            </w:r>
            <w:r>
              <w:rPr>
                <w:rFonts w:hint="eastAsia" w:cs="仿宋" w:asciiTheme="minorEastAsia" w:hAnsiTheme="minorEastAsia" w:eastAsiaTheme="minorEastAsia"/>
                <w:b w:val="0"/>
                <w:bCs w:val="0"/>
                <w:color w:val="auto"/>
                <w:sz w:val="21"/>
                <w:szCs w:val="21"/>
                <w:highlight w:val="none"/>
                <w:u w:val="none"/>
                <w:lang w:val="en-US" w:eastAsia="zh-CN"/>
              </w:rPr>
              <w:t>，提供医疗门诊收费票据，超过最高限价的作废。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w:t>
            </w:r>
          </w:p>
        </w:tc>
        <w:tc>
          <w:tcPr>
            <w:tcW w:w="1573" w:type="dxa"/>
            <w:vAlign w:val="center"/>
          </w:tcPr>
          <w:p>
            <w:pPr>
              <w:widowControl w:val="0"/>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p>
        </w:tc>
        <w:tc>
          <w:tcPr>
            <w:tcW w:w="5676" w:type="dxa"/>
          </w:tcPr>
          <w:p>
            <w:pPr>
              <w:widowControl/>
              <w:autoSpaceDE w:val="0"/>
              <w:adjustRightInd/>
              <w:snapToGrid/>
              <w:spacing w:line="400" w:lineRule="exact"/>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条规定，</w:t>
            </w:r>
            <w:r>
              <w:rPr>
                <w:rFonts w:hint="eastAsia" w:cs="仿宋" w:asciiTheme="minorEastAsia" w:hAnsiTheme="minorEastAsia" w:eastAsiaTheme="minorEastAsia"/>
                <w:b w:val="0"/>
                <w:bCs w:val="0"/>
                <w:color w:val="auto"/>
                <w:sz w:val="21"/>
                <w:szCs w:val="21"/>
                <w:highlight w:val="none"/>
                <w:u w:val="none"/>
                <w:lang w:val="en-US" w:eastAsia="zh-CN"/>
              </w:rPr>
              <w:t>提供医疗门诊收费票据</w:t>
            </w:r>
            <w:r>
              <w:rPr>
                <w:rFonts w:hint="eastAsia" w:asciiTheme="minorEastAsia" w:hAnsiTheme="minorEastAsia" w:eastAsiaTheme="minorEastAsia"/>
                <w:b w:val="0"/>
                <w:bCs w:val="0"/>
                <w:color w:val="auto"/>
                <w:sz w:val="21"/>
                <w:szCs w:val="21"/>
                <w:highlight w:val="none"/>
                <w:u w:val="none"/>
                <w:lang w:val="en-US" w:eastAsia="zh-CN"/>
              </w:rPr>
              <w:t>，超过最高限价的作废。招标人</w:t>
            </w:r>
            <w:r>
              <w:rPr>
                <w:rFonts w:hint="eastAsia" w:cs="仿宋" w:asciiTheme="minorEastAsia" w:hAnsiTheme="minorEastAsia" w:eastAsiaTheme="minorEastAsia"/>
                <w:color w:val="auto"/>
                <w:szCs w:val="21"/>
                <w:highlight w:val="none"/>
              </w:rPr>
              <w:t>按照评审价格由低到高的顺序推荐成交候选供应商。</w:t>
            </w:r>
          </w:p>
        </w:tc>
      </w:tr>
    </w:tbl>
    <w:p>
      <w:pPr>
        <w:spacing w:line="288"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36"/>
          <w:szCs w:val="36"/>
          <w:highlight w:val="none"/>
        </w:rPr>
      </w:pP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1评审方法(最低价法)</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2初步评审标准和程序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2.1初步评审标准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2.1.1形式评审标准:见评审办法前附表。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2.1.2资格评审标准:见评审办法前附表。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2.1.3响应性评审标准:见评审办法前附表。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2.2初步评审程序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2.2.2除评审办法前附表另有规定外，评审价格为供应商在响应函中填报的大写价格。</w:t>
      </w:r>
      <w:r>
        <w:rPr>
          <w:rFonts w:hint="eastAsia" w:ascii="宋体" w:hAnsi="宋体" w:cs="仿宋"/>
          <w:b w:val="0"/>
          <w:bCs w:val="0"/>
          <w:color w:val="auto"/>
          <w:sz w:val="24"/>
          <w:highlight w:val="none"/>
          <w:u w:val="none"/>
          <w:lang w:val="en-US" w:eastAsia="zh-CN"/>
        </w:rPr>
        <w:t>报价人</w:t>
      </w:r>
      <w:r>
        <w:rPr>
          <w:rFonts w:hint="eastAsia" w:ascii="宋体" w:hAnsi="宋体" w:eastAsia="宋体" w:cs="仿宋"/>
          <w:b w:val="0"/>
          <w:bCs w:val="0"/>
          <w:color w:val="auto"/>
          <w:sz w:val="24"/>
          <w:szCs w:val="24"/>
          <w:highlight w:val="none"/>
          <w:u w:val="none"/>
          <w:lang w:val="en-US" w:eastAsia="zh-CN"/>
        </w:rPr>
        <w:t>提供医疗门诊收费票据</w:t>
      </w:r>
      <w:r>
        <w:rPr>
          <w:rFonts w:hint="eastAsia" w:ascii="宋体" w:hAnsi="宋体" w:cs="仿宋"/>
          <w:b w:val="0"/>
          <w:bCs w:val="0"/>
          <w:color w:val="auto"/>
          <w:sz w:val="24"/>
          <w:highlight w:val="none"/>
          <w:u w:val="none"/>
          <w:lang w:val="en-US" w:eastAsia="zh-CN"/>
        </w:rPr>
        <w:t>，招标人按照报价高低予以排序。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3详细评审标准和程序(最低价法)</w:t>
      </w:r>
    </w:p>
    <w:p>
      <w:pPr>
        <w:adjustRightInd w:val="0"/>
        <w:snapToGrid w:val="0"/>
        <w:spacing w:line="312" w:lineRule="auto"/>
        <w:ind w:firstLine="480" w:firstLineChars="200"/>
        <w:jc w:val="both"/>
        <w:rPr>
          <w:rFonts w:hint="eastAsia" w:ascii="宋体" w:hAnsi="宋体" w:eastAsia="宋体" w:cs="仿宋"/>
          <w:color w:val="auto"/>
          <w:sz w:val="24"/>
          <w:highlight w:val="none"/>
        </w:rPr>
      </w:pPr>
      <w:r>
        <w:rPr>
          <w:rFonts w:hint="eastAsia" w:ascii="宋体" w:hAnsi="宋体" w:cs="仿宋"/>
          <w:color w:val="auto"/>
          <w:sz w:val="24"/>
          <w:highlight w:val="none"/>
        </w:rPr>
        <w:t>评审小组对评审价格进行比较后，按照评审价格由低到高的顺序对供应商排序。供应商评审价格相等时，</w:t>
      </w:r>
      <w:r>
        <w:rPr>
          <w:rFonts w:hint="eastAsia" w:ascii="宋体" w:hAnsi="宋体" w:eastAsia="宋体" w:cs="仿宋"/>
          <w:color w:val="auto"/>
          <w:sz w:val="24"/>
          <w:highlight w:val="none"/>
        </w:rPr>
        <w:t>则以投标报价低的投标人优先，若评审价相同且报价也相同时，以技术优的投标人优先。若评审价相同、报价相同且技术也相同时则按抽签决定排名顺序。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4评审结果</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4.1提交书面评审报告</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评审小组完成评审后，应当向采购人提交书面评审报告。</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4.2推荐成交候选供应商排序要求及数量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outlineLvl w:val="0"/>
        <w:rPr>
          <w:rFonts w:hint="eastAsia" w:ascii="黑体" w:hAnsi="黑体" w:eastAsia="黑体" w:cs="仿宋"/>
          <w:bCs/>
          <w:color w:val="auto"/>
          <w:kern w:val="2"/>
          <w:sz w:val="36"/>
          <w:szCs w:val="36"/>
          <w:highlight w:val="none"/>
          <w:lang w:val="en-US" w:eastAsia="zh-CN" w:bidi="ar-SA"/>
        </w:rPr>
      </w:pPr>
      <w:bookmarkStart w:id="26" w:name="_Toc11453_WPSOffice_Level1"/>
      <w:bookmarkStart w:id="27" w:name="_Toc17579"/>
      <w:bookmarkStart w:id="28" w:name="_Toc3707_WPSOffice_Level1"/>
      <w:r>
        <w:rPr>
          <w:rFonts w:hint="eastAsia" w:ascii="黑体" w:hAnsi="黑体" w:eastAsia="黑体" w:cs="仿宋"/>
          <w:b/>
          <w:color w:val="auto"/>
          <w:kern w:val="2"/>
          <w:sz w:val="36"/>
          <w:szCs w:val="36"/>
          <w:highlight w:val="none"/>
          <w:lang w:val="en-US" w:eastAsia="zh-CN" w:bidi="ar-SA"/>
        </w:rPr>
        <w:br w:type="page"/>
      </w:r>
      <w:r>
        <w:rPr>
          <w:rFonts w:hint="eastAsia" w:ascii="黑体" w:hAnsi="黑体" w:eastAsia="黑体" w:cs="仿宋"/>
          <w:b/>
          <w:color w:val="auto"/>
          <w:kern w:val="2"/>
          <w:sz w:val="36"/>
          <w:szCs w:val="36"/>
          <w:highlight w:val="none"/>
          <w:lang w:val="en-US" w:eastAsia="zh-CN" w:bidi="ar-SA"/>
        </w:rPr>
        <w:t xml:space="preserve">                </w:t>
      </w:r>
      <w:bookmarkStart w:id="29" w:name="_Toc3287"/>
      <w:bookmarkStart w:id="30" w:name="_Toc12523"/>
      <w:r>
        <w:rPr>
          <w:rFonts w:hint="eastAsia" w:ascii="黑体" w:hAnsi="黑体" w:eastAsia="黑体" w:cs="仿宋"/>
          <w:b/>
          <w:color w:val="auto"/>
          <w:kern w:val="2"/>
          <w:sz w:val="36"/>
          <w:szCs w:val="36"/>
          <w:highlight w:val="none"/>
          <w:lang w:val="en-US" w:eastAsia="zh-CN" w:bidi="ar-SA"/>
        </w:rPr>
        <w:t>第四章  合同条款及格式</w:t>
      </w:r>
      <w:bookmarkEnd w:id="26"/>
      <w:bookmarkEnd w:id="27"/>
      <w:bookmarkEnd w:id="28"/>
      <w:bookmarkEnd w:id="29"/>
      <w:bookmarkEnd w:id="30"/>
    </w:p>
    <w:p>
      <w:pPr>
        <w:jc w:val="center"/>
        <w:rPr>
          <w:color w:val="auto"/>
          <w:highlight w:val="none"/>
          <w:lang w:val="zh-CN"/>
        </w:rPr>
      </w:pPr>
    </w:p>
    <w:p>
      <w:pPr>
        <w:wordWrap/>
        <w:adjustRightInd w:val="0"/>
        <w:snapToGrid w:val="0"/>
        <w:ind w:firstLine="0" w:firstLineChars="0"/>
        <w:jc w:val="center"/>
        <w:rPr>
          <w:rFonts w:ascii="微软雅黑" w:hAnsi="微软雅黑" w:eastAsia="微软雅黑" w:cs="微软雅黑"/>
          <w:b/>
          <w:bCs/>
          <w:color w:val="595959" w:themeColor="text1" w:themeTint="A6"/>
          <w:sz w:val="32"/>
          <w:szCs w:val="32"/>
          <w:highlight w:val="none"/>
          <w14:textFill>
            <w14:solidFill>
              <w14:schemeClr w14:val="tx1">
                <w14:lumMod w14:val="65000"/>
                <w14:lumOff w14:val="35000"/>
              </w14:schemeClr>
            </w14:solidFill>
          </w14:textFill>
        </w:rPr>
      </w:pPr>
      <w:bookmarkStart w:id="31" w:name="_Toc21529"/>
      <w:r>
        <w:rPr>
          <w:rFonts w:hint="eastAsia" w:ascii="微软雅黑" w:hAnsi="微软雅黑" w:eastAsia="微软雅黑" w:cs="微软雅黑"/>
          <w:b/>
          <w:bCs/>
          <w:color w:val="595959" w:themeColor="text1" w:themeTint="A6"/>
          <w:sz w:val="32"/>
          <w:szCs w:val="32"/>
          <w:highlight w:val="none"/>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32"/>
          <w:szCs w:val="32"/>
          <w:highlight w:val="none"/>
          <w14:textFill>
            <w14:solidFill>
              <w14:schemeClr w14:val="tx1">
                <w14:lumMod w14:val="65000"/>
                <w14:lumOff w14:val="35000"/>
              </w14:schemeClr>
            </w14:solidFill>
          </w14:textFill>
        </w:rPr>
        <w:t xml:space="preserve"> 合同编号：   </w:t>
      </w:r>
    </w:p>
    <w:p>
      <w:pPr>
        <w:adjustRightInd w:val="0"/>
        <w:snapToGrid w:val="0"/>
        <w:spacing w:line="180" w:lineRule="auto"/>
        <w:outlineLvl w:val="9"/>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p>
    <w:p>
      <w:pPr>
        <w:wordWrap w:val="0"/>
        <w:adjustRightInd w:val="0"/>
        <w:snapToGrid w:val="0"/>
        <w:jc w:val="right"/>
        <w:rPr>
          <w:rFonts w:hint="eastAsia" w:ascii="微软雅黑" w:hAnsi="微软雅黑" w:eastAsia="微软雅黑" w:cs="微软雅黑"/>
          <w:b/>
          <w:bCs/>
          <w:color w:val="595959" w:themeColor="text1" w:themeTint="A6"/>
          <w:sz w:val="24"/>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highlight w:val="none"/>
          <w:lang w:val="en-US" w:eastAsia="zh-CN"/>
          <w14:textFill>
            <w14:solidFill>
              <w14:schemeClr w14:val="tx1">
                <w14:lumMod w14:val="65000"/>
                <w14:lumOff w14:val="35000"/>
              </w14:schemeClr>
            </w14:solidFill>
          </w14:textFill>
        </w:rPr>
        <w:t xml:space="preserve"> </w:t>
      </w:r>
    </w:p>
    <w:p>
      <w:pPr>
        <w:adjustRightInd w:val="0"/>
        <w:snapToGrid w:val="0"/>
        <w:jc w:val="center"/>
        <w:rPr>
          <w:rFonts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pPr>
    </w:p>
    <w:p>
      <w:pPr>
        <w:adjustRightInd w:val="0"/>
        <w:snapToGrid w:val="0"/>
        <w:jc w:val="center"/>
        <w:rPr>
          <w:rFonts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16"/>
          <w:szCs w:val="16"/>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tab/>
      </w:r>
    </w:p>
    <w:p>
      <w:pPr>
        <w:tabs>
          <w:tab w:val="left" w:pos="8092"/>
        </w:tabs>
        <w:adjustRightInd w:val="0"/>
        <w:snapToGrid w:val="0"/>
        <w:jc w:val="left"/>
        <w:rPr>
          <w:rFonts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24"/>
          <w:highlight w:val="none"/>
          <w14:textFill>
            <w14:solidFill>
              <w14:schemeClr w14:val="tx1">
                <w14:lumMod w14:val="65000"/>
                <w14:lumOff w14:val="35000"/>
              </w14:schemeClr>
            </w14:solidFill>
          </w14:textFill>
        </w:rPr>
      </w:pP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健</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康</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体</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检</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服</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务</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合</w:t>
      </w:r>
    </w:p>
    <w:p>
      <w:pPr>
        <w:adjustRightInd w:val="0"/>
        <w:snapToGrid w:val="0"/>
        <w:spacing w:line="180" w:lineRule="auto"/>
        <w:jc w:val="center"/>
        <w:rPr>
          <w:rFonts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sectPr>
          <w:footerReference r:id="rId8" w:type="default"/>
          <w:pgSz w:w="11906" w:h="16838"/>
          <w:pgMar w:top="1134" w:right="1134" w:bottom="1134" w:left="1134" w:header="851" w:footer="992" w:gutter="0"/>
          <w:pgNumType w:fmt="decimal"/>
          <w:cols w:space="425" w:num="1"/>
          <w:docGrid w:type="lines" w:linePitch="312" w:charSpace="0"/>
        </w:sectPr>
      </w:pPr>
      <w:r>
        <w:rPr>
          <w:rFonts w:hint="eastAsia" w:ascii="微软雅黑" w:hAnsi="微软雅黑" w:eastAsia="微软雅黑" w:cs="微软雅黑"/>
          <w:b/>
          <w:bCs/>
          <w:color w:val="595959" w:themeColor="text1" w:themeTint="A6"/>
          <w:sz w:val="72"/>
          <w:szCs w:val="72"/>
          <w:highlight w:val="none"/>
          <w14:textFill>
            <w14:solidFill>
              <w14:schemeClr w14:val="tx1">
                <w14:lumMod w14:val="65000"/>
                <w14:lumOff w14:val="35000"/>
              </w14:schemeClr>
            </w14:solidFill>
          </w14:textFill>
        </w:rPr>
        <w:t>同</w:t>
      </w:r>
    </w:p>
    <w:p>
      <w:pPr>
        <w:adjustRightInd w:val="0"/>
        <w:snapToGrid w:val="0"/>
        <w:outlineLvl w:val="0"/>
        <w:rPr>
          <w:rFonts w:hint="eastAsia" w:ascii="宋体" w:hAnsi="宋体" w:cs="宋体"/>
          <w:b/>
          <w:bCs/>
          <w:color w:val="595959" w:themeColor="text1" w:themeTint="A6"/>
          <w:sz w:val="24"/>
          <w:highlight w:val="none"/>
          <w:lang w:val="en-US" w:eastAsia="zh-CN"/>
          <w14:textFill>
            <w14:solidFill>
              <w14:schemeClr w14:val="tx1">
                <w14:lumMod w14:val="65000"/>
                <w14:lumOff w14:val="35000"/>
              </w14:schemeClr>
            </w14:solidFill>
          </w14:textFill>
        </w:rPr>
      </w:pPr>
      <w:bookmarkStart w:id="32" w:name="_Toc8314"/>
      <w:bookmarkStart w:id="33" w:name="_Toc4793"/>
      <w:bookmarkStart w:id="34" w:name="_Toc26018"/>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甲方：</w:t>
      </w:r>
      <w:r>
        <w:rPr>
          <w:rFonts w:hint="eastAsia" w:ascii="宋体" w:hAnsi="宋体" w:eastAsia="宋体" w:cs="宋体"/>
          <w:b/>
          <w:bCs/>
          <w:color w:val="595959" w:themeColor="text1" w:themeTint="A6"/>
          <w:sz w:val="24"/>
          <w:highlight w:val="none"/>
          <w:lang w:val="en-US" w:eastAsia="zh-CN"/>
          <w14:textFill>
            <w14:solidFill>
              <w14:schemeClr w14:val="tx1">
                <w14:lumMod w14:val="65000"/>
                <w14:lumOff w14:val="35000"/>
              </w14:schemeClr>
            </w14:solidFill>
          </w14:textFill>
        </w:rPr>
        <w:t>岳阳城陵矶</w:t>
      </w:r>
      <w:bookmarkEnd w:id="32"/>
      <w:bookmarkEnd w:id="33"/>
      <w:bookmarkEnd w:id="34"/>
      <w:bookmarkStart w:id="35" w:name="_Toc29450"/>
      <w:bookmarkStart w:id="36" w:name="_Toc3946"/>
      <w:bookmarkStart w:id="37" w:name="_Toc4552"/>
      <w:r>
        <w:rPr>
          <w:rFonts w:hint="eastAsia" w:ascii="宋体" w:hAnsi="宋体" w:cs="宋体"/>
          <w:b/>
          <w:bCs/>
          <w:color w:val="595959" w:themeColor="text1" w:themeTint="A6"/>
          <w:sz w:val="24"/>
          <w:highlight w:val="none"/>
          <w:lang w:val="en-US" w:eastAsia="zh-CN"/>
          <w14:textFill>
            <w14:solidFill>
              <w14:schemeClr w14:val="tx1">
                <w14:lumMod w14:val="65000"/>
                <w14:lumOff w14:val="35000"/>
              </w14:schemeClr>
            </w14:solidFill>
          </w14:textFill>
        </w:rPr>
        <w:t>港务有限责任公司</w:t>
      </w:r>
    </w:p>
    <w:p>
      <w:pPr>
        <w:adjustRightInd w:val="0"/>
        <w:snapToGrid w:val="0"/>
        <w:outlineLvl w:val="0"/>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乙方：</w:t>
      </w:r>
      <w:bookmarkEnd w:id="35"/>
      <w:bookmarkEnd w:id="36"/>
      <w:bookmarkEnd w:id="37"/>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p>
    <w:p>
      <w:pPr>
        <w:adjustRightInd w:val="0"/>
        <w:snapToGrid w:val="0"/>
        <w:ind w:firstLine="480" w:firstLineChars="20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甲乙双方根据</w:t>
      </w: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民法典</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等法律规定，经友好协商，现就甲方委托乙方对其所属体检者进行健康检查达成一致，协议如下：</w:t>
      </w:r>
    </w:p>
    <w:p>
      <w:pPr>
        <w:adjustRightInd w:val="0"/>
        <w:snapToGrid w:val="0"/>
        <w:outlineLvl w:val="0"/>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pPr>
      <w:bookmarkStart w:id="38" w:name="_Toc26881"/>
      <w:bookmarkStart w:id="39" w:name="_Toc14490"/>
      <w:bookmarkStart w:id="40" w:name="_Toc21508"/>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一、乙方服务项目</w:t>
      </w:r>
      <w:bookmarkEnd w:id="38"/>
      <w:bookmarkEnd w:id="39"/>
      <w:bookmarkEnd w:id="40"/>
    </w:p>
    <w:p>
      <w:pPr>
        <w:adjustRightInd w:val="0"/>
        <w:snapToGrid w:val="0"/>
        <w:rPr>
          <w:rFonts w:hint="eastAsia" w:ascii="宋体" w:hAnsi="宋体" w:eastAsia="宋体" w:cs="宋体"/>
          <w:color w:val="595959" w:themeColor="text1" w:themeTint="A6"/>
          <w:sz w:val="24"/>
          <w:highlight w:val="none"/>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1、组织有执业资质的医务人员为甲方体检者进行健康检查(体检)</w:t>
      </w:r>
      <w:r>
        <w:rPr>
          <w:rFonts w:hint="eastAsia" w:ascii="宋体" w:hAnsi="宋体" w:eastAsia="宋体" w:cs="宋体"/>
          <w:color w:val="595959" w:themeColor="text1" w:themeTint="A6"/>
          <w:sz w:val="24"/>
          <w:highlight w:val="none"/>
          <w:lang w:eastAsia="zh-CN"/>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2、将针对甲方体检者的体检结果，安排医务人员对体检结果进行解读。</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3、为保障体检者个人隐私，乙方采取有效措施（计算机程序设置密码）对甲方受检者个人信息严格保密，员工健康档案设专人负责保管，特殊情况甲方有关部门借阅受检者档案时，需甲方负责人批准；甲方应对受检者体检信息予以保密。</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4</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、提供免费营养早餐。</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5</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体检结束后，乙方向甲方提供受检者个人及团体健康体检报告各壹份(密封)。甲方不得擅自拆阅体检者的个体报告并获悉体检者的个人体检信息。团检报告由甲方专人负责保管并予以保密，若造成隐私泄露由此引起的任何责任由甲方自行承担。</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6</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、领取报告方式（请勾选）：</w:t>
      </w:r>
    </w:p>
    <w:p>
      <w:pPr>
        <w:adjustRightInd w:val="0"/>
        <w:snapToGrid w:val="0"/>
        <w:outlineLvl w:val="1"/>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①个人自取(建议该方式领取，以便您体检后进行检后个性化咨询）。</w:t>
      </w:r>
    </w:p>
    <w:p>
      <w:pPr>
        <w:adjustRightInd w:val="0"/>
        <w:snapToGrid w:val="0"/>
        <w:outlineLvl w:val="1"/>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②委托代理人统一领取。</w:t>
      </w:r>
    </w:p>
    <w:p>
      <w:pPr>
        <w:adjustRightInd w:val="0"/>
        <w:snapToGrid w:val="0"/>
        <w:outlineLvl w:val="0"/>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pPr>
      <w:bookmarkStart w:id="41" w:name="_Toc7429"/>
      <w:bookmarkStart w:id="42" w:name="_Toc3412"/>
      <w:bookmarkStart w:id="43" w:name="_Toc25893"/>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二、体检时间</w:t>
      </w:r>
      <w:bookmarkEnd w:id="41"/>
      <w:bookmarkEnd w:id="42"/>
      <w:bookmarkEnd w:id="43"/>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1、体检服务期限</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年，自合同生效之日起至</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年</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月</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日</w:t>
      </w:r>
      <w:r>
        <w:rPr>
          <w:rFonts w:hint="eastAsia" w:ascii="宋体" w:hAnsi="宋体" w:eastAsia="宋体" w:cs="宋体"/>
          <w:color w:val="595959" w:themeColor="text1" w:themeTint="A6"/>
          <w:sz w:val="24"/>
          <w:highlight w:val="none"/>
          <w:lang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每年</w:t>
      </w:r>
      <w:r>
        <w:rPr>
          <w:rFonts w:hint="eastAsia" w:ascii="宋体" w:hAnsi="宋体" w:eastAsia="宋体" w:cs="宋体"/>
          <w:color w:val="595959" w:themeColor="text1" w:themeTint="A6"/>
          <w:sz w:val="24"/>
          <w:highlight w:val="none"/>
          <w:u w:val="none"/>
          <w:lang w:val="en-US" w:eastAsia="zh-CN"/>
          <w14:textFill>
            <w14:solidFill>
              <w14:schemeClr w14:val="tx1">
                <w14:lumMod w14:val="65000"/>
                <w14:lumOff w14:val="35000"/>
              </w14:schemeClr>
            </w14:solidFill>
          </w14:textFill>
        </w:rPr>
        <w:t>/次</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w:t>
      </w:r>
    </w:p>
    <w:p>
      <w:pPr>
        <w:adjustRightInd w:val="0"/>
        <w:snapToGrid w:val="0"/>
        <w:jc w:val="left"/>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2、甲方有集中体检需求的预计集中体检时间为：</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提前一个星期</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通知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 xml:space="preserve"> ，为保障体检服务质量，甲、乙双方可根据实际情况分批安排甲方体检者进行体检（即“体检排期”），最终以甲乙双方约定的排期为准。</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3、为保障体检过程顺利，甲方体检者需按照“体检排期”时间到检，如需变更，须不晚于“体检排期”日的前7个工作日由甲方委托人通知乙方，沟通延迟体检事宜，延迟体检日期应在本合同预定的体检服务期限之内。</w:t>
      </w:r>
    </w:p>
    <w:p>
      <w:pPr>
        <w:adjustRightInd w:val="0"/>
        <w:snapToGrid w:val="0"/>
        <w:jc w:val="left"/>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4、乙方应于体检完成后 10 日内提供参检者个人体检报告，并于甲方全部人员体检完成后15日内提供团检报告。</w:t>
      </w:r>
    </w:p>
    <w:p>
      <w:pPr>
        <w:adjustRightInd w:val="0"/>
        <w:snapToGrid w:val="0"/>
        <w:outlineLvl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bookmarkStart w:id="44" w:name="_Toc21523"/>
      <w:bookmarkStart w:id="45" w:name="_Toc11745"/>
      <w:bookmarkStart w:id="46" w:name="_Toc7013"/>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三、付款及结算方式</w:t>
      </w:r>
      <w:bookmarkEnd w:id="44"/>
      <w:bookmarkEnd w:id="45"/>
      <w:bookmarkEnd w:id="46"/>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1、结算款项按合同</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人数及合同</w:t>
      </w:r>
      <w:r>
        <w:rPr>
          <w:rFonts w:hint="eastAsia" w:ascii="宋体" w:hAnsi="宋体" w:eastAsia="宋体" w:cs="宋体"/>
          <w:color w:val="595959" w:themeColor="text1" w:themeTint="A6"/>
          <w:sz w:val="24"/>
          <w:highlight w:val="none"/>
          <w:u w:val="none"/>
          <w14:textFill>
            <w14:solidFill>
              <w14:schemeClr w14:val="tx1">
                <w14:lumMod w14:val="65000"/>
                <w14:lumOff w14:val="35000"/>
              </w14:schemeClr>
            </w14:solidFill>
          </w14:textFill>
        </w:rPr>
        <w:t>男</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none"/>
          <w14:textFill>
            <w14:solidFill>
              <w14:schemeClr w14:val="tx1">
                <w14:lumMod w14:val="65000"/>
                <w14:lumOff w14:val="35000"/>
              </w14:schemeClr>
            </w14:solidFill>
          </w14:textFill>
        </w:rPr>
        <w:t>元/人、女</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none"/>
          <w14:textFill>
            <w14:solidFill>
              <w14:schemeClr w14:val="tx1">
                <w14:lumMod w14:val="65000"/>
                <w14:lumOff w14:val="35000"/>
              </w14:schemeClr>
            </w14:solidFill>
          </w14:textFill>
        </w:rPr>
        <w:t>元/人</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金额统一结算。如涉及到财政或医保拨款请备注在此：</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2、甲方体检者如超过双方合同约定健康体检项目明细的，则新增金额按以下方式支付至乙方指定账户（请勾选）：</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①体检者现场自行支付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②甲方统一结算。</w:t>
      </w:r>
    </w:p>
    <w:p>
      <w:pPr>
        <w:adjustRightInd w:val="0"/>
        <w:snapToGrid w:val="0"/>
        <w:outlineLvl w:val="2"/>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3、预付款：</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无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预付款，即</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零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元，于合同生效后7个工作日内支付至乙方指定账户，后期结算时预付款直接转为结算款。</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4、甲方结算日为</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cs="宋体"/>
          <w:color w:val="595959" w:themeColor="text1" w:themeTint="A6"/>
          <w:sz w:val="24"/>
          <w:highlight w:val="none"/>
          <w:u w:val="single"/>
          <w:lang w:val="en-US" w:eastAsia="zh-CN"/>
          <w14:textFill>
            <w14:solidFill>
              <w14:schemeClr w14:val="tx1">
                <w14:lumMod w14:val="65000"/>
                <w14:lumOff w14:val="35000"/>
              </w14:schemeClr>
            </w14:solidFill>
          </w14:textFill>
        </w:rPr>
        <w:t>体检服务期限届满且</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发票开出后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的7个工作日内支付结算款。</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5、当甲方对部分结算数据存在争议时，不能影响其他部分的结算及支付。</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6、结算方式：</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甲方应以银行转账或支票形式支付结算款至乙方账户。</w:t>
      </w:r>
    </w:p>
    <w:p>
      <w:pPr>
        <w:adjustRightInd w:val="0"/>
        <w:snapToGrid w:val="0"/>
        <w:rPr>
          <w:rFonts w:hint="eastAsia" w:ascii="宋体" w:hAnsi="宋体" w:eastAsia="宋体" w:cs="宋体"/>
          <w:color w:val="595959" w:themeColor="text1" w:themeTint="A6"/>
          <w:sz w:val="24"/>
          <w:highlight w:val="none"/>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乙方账户信息如下：</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收款户名：</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开 户 行：</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银行账号：</w:t>
      </w:r>
    </w:p>
    <w:p>
      <w:pPr>
        <w:numPr>
          <w:ilvl w:val="0"/>
          <w:numId w:val="2"/>
        </w:num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如为财政或医保拨款请在转账汇款时“用途”栏中填“</w:t>
      </w: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岳阳城陵矶</w:t>
      </w: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港务有限责任公司2024</w:t>
      </w: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年度职工健康</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体检费用”，或在转账成功后将汇款凭证以电子邮件形式发至</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，以便核对到账信息。如转账账户名称与合同签订及发票名称不一致时，请提前说明。</w:t>
      </w:r>
    </w:p>
    <w:p>
      <w:pPr>
        <w:numPr>
          <w:ilvl w:val="0"/>
          <w:numId w:val="2"/>
        </w:num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甲方支付任一款项前，乙方应提供符合甲方要求的发票，否则甲方有权拒绝付款而不构成违约。</w:t>
      </w:r>
    </w:p>
    <w:p>
      <w:pPr>
        <w:adjustRightInd w:val="0"/>
        <w:snapToGrid w:val="0"/>
        <w:outlineLvl w:val="0"/>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pPr>
      <w:bookmarkStart w:id="47" w:name="_Toc20863"/>
      <w:bookmarkStart w:id="48" w:name="_Toc9928"/>
      <w:bookmarkStart w:id="49" w:name="_Toc26732"/>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四、违约责任</w:t>
      </w:r>
      <w:bookmarkEnd w:id="47"/>
      <w:bookmarkEnd w:id="48"/>
      <w:bookmarkEnd w:id="49"/>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1、甲、乙双方均应严格遵守本合同的约定，如有违约，违约方向守约方按合同费用的10%支付违约金，并向守约方赔偿由此造成的实际以及可预见的相关经济损失；</w:t>
      </w: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本合同另有约定的除外；</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违约事项不影响本合同其他条款的继续履行；守约方除获得违约方赔偿外，亦有权提前终止本合同。</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2、如甲方未按时履行付款义务，则毎延迟一日，应向乙方支付应付金额的5‰作为滞纳金，超过30日仍未付款的，乙方有权解除本协议，甲方除支付滞纳金外，还应对由此给乙方造成的损失承担赔偿责任。</w:t>
      </w:r>
    </w:p>
    <w:p>
      <w:pPr>
        <w:adjustRightInd w:val="0"/>
        <w:snapToGrid w:val="0"/>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t>3、如乙方未按时提供全部体检报告，则每延迟一日，应向甲方支付合同总金额的</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5‰</w:t>
      </w:r>
      <w:r>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t>作为滞纳金，超过30日仍未</w:t>
      </w:r>
      <w:r>
        <w:rPr>
          <w:rFonts w:hint="eastAsia" w:ascii="宋体" w:hAnsi="宋体" w:cs="宋体"/>
          <w:color w:val="595959" w:themeColor="text1" w:themeTint="A6"/>
          <w:sz w:val="24"/>
          <w:highlight w:val="none"/>
          <w:lang w:val="en-US" w:eastAsia="zh-CN"/>
          <w14:textFill>
            <w14:solidFill>
              <w14:schemeClr w14:val="tx1">
                <w14:lumMod w14:val="65000"/>
                <w14:lumOff w14:val="35000"/>
              </w14:schemeClr>
            </w14:solidFill>
          </w14:textFill>
        </w:rPr>
        <w:t>提供</w:t>
      </w:r>
      <w:r>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t>的，甲方有权解除本协议，乙方除支付滞纳金外，还应对由此给甲方造成的损失承担赔偿责任。</w:t>
      </w:r>
    </w:p>
    <w:p>
      <w:pPr>
        <w:adjustRightInd w:val="0"/>
        <w:snapToGrid w:val="0"/>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t>4、若在规定体检项目内，因工作缺陷造成体检质量问题的（如漏诊、误诊等），乙方应予以相应解释并予以补救，因此给甲方或甲方体检人员造成人身或财产损失的，还应当负责赔偿。</w:t>
      </w:r>
    </w:p>
    <w:p>
      <w:pPr>
        <w:adjustRightInd w:val="0"/>
        <w:snapToGrid w:val="0"/>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lang w:val="zh-CN"/>
          <w14:textFill>
            <w14:solidFill>
              <w14:schemeClr w14:val="tx1">
                <w14:lumMod w14:val="65000"/>
                <w14:lumOff w14:val="35000"/>
              </w14:schemeClr>
            </w14:solidFill>
          </w14:textFill>
        </w:rPr>
        <w:t>5、违约方还应承担守约方为维权所支出的合理费用，包含但不限于诉讼费、鉴定费、公告费、保全费、保全保险费、律师费等合理费用。</w:t>
      </w:r>
    </w:p>
    <w:p>
      <w:pPr>
        <w:adjustRightInd w:val="0"/>
        <w:snapToGrid w:val="0"/>
        <w:outlineLvl w:val="0"/>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pPr>
      <w:bookmarkStart w:id="50" w:name="_Toc25359"/>
      <w:bookmarkStart w:id="51" w:name="_Toc27636"/>
      <w:bookmarkStart w:id="52" w:name="_Toc17139"/>
      <w:r>
        <w:rPr>
          <w:rFonts w:hint="eastAsia" w:ascii="宋体" w:hAnsi="宋体" w:eastAsia="宋体" w:cs="宋体"/>
          <w:b/>
          <w:bCs/>
          <w:color w:val="595959" w:themeColor="text1" w:themeTint="A6"/>
          <w:sz w:val="24"/>
          <w:highlight w:val="none"/>
          <w14:textFill>
            <w14:solidFill>
              <w14:schemeClr w14:val="tx1">
                <w14:lumMod w14:val="65000"/>
                <w14:lumOff w14:val="35000"/>
              </w14:schemeClr>
            </w14:solidFill>
          </w14:textFill>
        </w:rPr>
        <w:t>五、其他约定</w:t>
      </w:r>
      <w:bookmarkEnd w:id="50"/>
      <w:bookmarkEnd w:id="51"/>
      <w:bookmarkEnd w:id="52"/>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1、如因甲方延迟提供体检者名</w:t>
      </w:r>
      <w:r>
        <w:rPr>
          <w:rFonts w:hint="eastAsia" w:ascii="宋体" w:hAnsi="宋体" w:eastAsia="宋体" w:cs="宋体"/>
          <w:color w:val="595959" w:themeColor="text1" w:themeTint="A6"/>
          <w:sz w:val="24"/>
          <w:highlight w:val="none"/>
          <w:lang w:val="en-US" w:eastAsia="zh-CN"/>
          <w14:textFill>
            <w14:solidFill>
              <w14:schemeClr w14:val="tx1">
                <w14:lumMod w14:val="65000"/>
                <w14:lumOff w14:val="35000"/>
              </w14:schemeClr>
            </w14:solidFill>
          </w14:textFill>
        </w:rPr>
        <w:t>单</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，致使乙方未能按约定完成排检预约等手续，乙方不承担任何责任。</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2、甲方（</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 xml:space="preserve">允许 /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不允许）非员工本人体检。</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3、体检者若在体检过程中，体检者不做合同约定体检项目的视同自动放弃，按弃检处理，乙方不予退还相应费用。</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4、如甲方体检者未按约定时间体检或自身原因导致无法完成体检的（如女性经期所致的妇科等项目检査延迟）本人未在30日内完成补检的，视同自动放弃，按弃检处理，乙方不予退还相应费用并不承担由此引发的任何责任。</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5、乙方为甲方提供的体检报告仅包括：参检者个人体检报告（每人ー份），团检报告一份（如未选择基础体检套餐，将无法出具完整体检报告，只出具单项报告；体检者自选体检套餐或员工家属体检的，其体检数据将不纳入团检报告中）</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6、乙方对此次健康体检的报告进行负责，若因体检者未遵守《健康体检须知》，导致体检报告和相关信息不准确的，乙方不承担任何责任。</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7、乙方在健康体检中发现严重健康损害（含传染病疫情）或检查结果显著异常者，应及时通知本人，并且按照相关法律法规报告疫情。</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8、本合同在履行过程中发生争议，双方应友好协商解决。若双方仍协商不成功，任何一方均可向合同履行的有管辖权的人民法院起诉，以解决争议。</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9、本合同的附件和补充合同均为本合同不可分割的组成部分，与本合同具有同等的法律效力。</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10、本协议的任何条款末经双方签字同意，任何修改均属无效。</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11、本协议以中文签署，自双方加盖单位公章或合同专用章之日起生效，一式</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贰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份，甲方执</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壹</w:t>
      </w:r>
      <w:r>
        <w:rPr>
          <w:rFonts w:hint="eastAsia" w:ascii="宋体" w:hAnsi="宋体" w:eastAsia="宋体" w:cs="宋体"/>
          <w:b/>
          <w:bCs/>
          <w:color w:val="595959" w:themeColor="text1" w:themeTint="A6"/>
          <w:sz w:val="24"/>
          <w:szCs w:val="24"/>
          <w:highlight w:val="none"/>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份、乙方执</w:t>
      </w:r>
      <w:r>
        <w:rPr>
          <w:rFonts w:hint="eastAsia" w:ascii="宋体" w:hAnsi="宋体" w:eastAsia="宋体" w:cs="宋体"/>
          <w:color w:val="595959" w:themeColor="text1" w:themeTint="A6"/>
          <w:sz w:val="24"/>
          <w:highlight w:val="none"/>
          <w:u w:val="single"/>
          <w14:textFill>
            <w14:solidFill>
              <w14:schemeClr w14:val="tx1">
                <w14:lumMod w14:val="65000"/>
                <w14:lumOff w14:val="35000"/>
              </w14:schemeClr>
            </w14:solidFill>
          </w14:textFill>
        </w:rPr>
        <w:t xml:space="preserve"> 壹 </w:t>
      </w: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份。</w:t>
      </w:r>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p>
    <w:p>
      <w:pPr>
        <w:adjustRightInd w:val="0"/>
        <w:snapToGrid w:val="0"/>
        <w:outlineLvl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bookmarkStart w:id="53" w:name="_Toc13232"/>
      <w:bookmarkStart w:id="54" w:name="_Toc21855"/>
      <w:bookmarkStart w:id="55" w:name="_Toc31987"/>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附件一：《健康体检套餐价格表》</w:t>
      </w:r>
      <w:bookmarkEnd w:id="53"/>
      <w:bookmarkEnd w:id="54"/>
      <w:bookmarkEnd w:id="55"/>
    </w:p>
    <w:p>
      <w:pPr>
        <w:adjustRightInd w:val="0"/>
        <w:snapToGrid w:val="0"/>
        <w:outlineLvl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bookmarkStart w:id="56" w:name="_Toc14351"/>
      <w:bookmarkStart w:id="57" w:name="_Toc15860"/>
      <w:bookmarkStart w:id="58" w:name="_Toc28402"/>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附件二：《健康体检套餐明细》</w:t>
      </w:r>
      <w:bookmarkEnd w:id="56"/>
      <w:bookmarkEnd w:id="57"/>
      <w:bookmarkEnd w:id="58"/>
    </w:p>
    <w:p>
      <w:pPr>
        <w:adjustRightInd w:val="0"/>
        <w:snapToGrid w:val="0"/>
        <w:outlineLvl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bookmarkStart w:id="59" w:name="_Toc19863"/>
      <w:bookmarkStart w:id="60" w:name="_Toc10622"/>
      <w:bookmarkStart w:id="61" w:name="_Toc26648"/>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附件三：《单位体检人员名单》</w:t>
      </w:r>
      <w:bookmarkEnd w:id="59"/>
      <w:bookmarkEnd w:id="60"/>
      <w:bookmarkEnd w:id="61"/>
    </w:p>
    <w:p>
      <w:pPr>
        <w:adjustRightInd w:val="0"/>
        <w:snapToGrid w:val="0"/>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highlight w:val="none"/>
          <w14:textFill>
            <w14:solidFill>
              <w14:schemeClr w14:val="tx1">
                <w14:lumMod w14:val="65000"/>
                <w14:lumOff w14:val="35000"/>
              </w14:schemeClr>
            </w14:solidFill>
          </w14:textFill>
        </w:rPr>
        <w:t>（以下无正文）</w:t>
      </w:r>
    </w:p>
    <w:p>
      <w:pPr>
        <w:adjustRightInd w:val="0"/>
        <w:snapToGrid w:val="0"/>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p>
    <w:tbl>
      <w:tblPr>
        <w:tblStyle w:val="37"/>
        <w:tblpPr w:leftFromText="180" w:rightFromText="180" w:vertAnchor="text" w:horzAnchor="page" w:tblpXSpec="center" w:tblpY="109"/>
        <w:tblOverlap w:val="never"/>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0" w:type="dxa"/>
          </w:tcPr>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甲方：</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岳阳城陵矶</w:t>
            </w:r>
            <w:r>
              <w:rPr>
                <w:rFonts w:hint="eastAsia" w:ascii="宋体" w:hAnsi="宋体" w:cs="宋体"/>
                <w:color w:val="595959" w:themeColor="text1" w:themeTint="A6"/>
                <w:sz w:val="24"/>
                <w:szCs w:val="24"/>
                <w:highlight w:val="none"/>
                <w:lang w:val="en-US" w:eastAsia="zh-CN"/>
                <w14:textFill>
                  <w14:solidFill>
                    <w14:schemeClr w14:val="tx1">
                      <w14:lumMod w14:val="65000"/>
                      <w14:lumOff w14:val="35000"/>
                    </w14:schemeClr>
                  </w14:solidFill>
                </w14:textFill>
              </w:rPr>
              <w:t>港务有限责任公司</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（公章）</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ind w:firstLine="0" w:firstLineChars="0"/>
              <w:rPr>
                <w:rFonts w:hint="default" w:ascii="宋体" w:hAnsi="宋体" w:eastAsia="宋体" w:cs="宋体"/>
                <w:color w:val="595959" w:themeColor="text1" w:themeTint="A6"/>
                <w:sz w:val="24"/>
                <w:szCs w:val="24"/>
                <w:highlight w:val="none"/>
                <w:lang w:val="en-US"/>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地址：</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岳阳市</w:t>
            </w:r>
            <w:r>
              <w:rPr>
                <w:rFonts w:hint="eastAsia" w:ascii="宋体" w:hAnsi="宋体" w:cs="宋体"/>
                <w:color w:val="595959" w:themeColor="text1" w:themeTint="A6"/>
                <w:sz w:val="24"/>
                <w:szCs w:val="24"/>
                <w:highlight w:val="none"/>
                <w:lang w:val="en-US" w:eastAsia="zh-CN"/>
                <w14:textFill>
                  <w14:solidFill>
                    <w14:schemeClr w14:val="tx1">
                      <w14:lumMod w14:val="65000"/>
                      <w14:lumOff w14:val="35000"/>
                    </w14:schemeClr>
                  </w14:solidFill>
                </w14:textFill>
              </w:rPr>
              <w:t>城陵矶长江路2号</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税号：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邮箱：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甲方法定代表人：</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或其委托代理人</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日期：      年  </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月  </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日</w:t>
            </w:r>
          </w:p>
        </w:tc>
        <w:tc>
          <w:tcPr>
            <w:tcW w:w="5100" w:type="dxa"/>
          </w:tcPr>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乙方：</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（公章）</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ind w:left="638" w:hanging="696" w:hangingChars="29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地址：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税号：</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邮箱：</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乙方法定代表人</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或其委托代理人</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日期：      年 </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 xml:space="preserve">  月   </w:t>
            </w: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日</w:t>
            </w:r>
          </w:p>
        </w:tc>
      </w:tr>
    </w:tbl>
    <w:p>
      <w:pPr>
        <w:rPr>
          <w:rFonts w:hint="eastAsia" w:ascii="宋体" w:hAnsi="宋体" w:eastAsia="宋体" w:cs="宋体"/>
          <w:sz w:val="24"/>
          <w:highlight w:val="none"/>
        </w:rPr>
      </w:pPr>
    </w:p>
    <w:p>
      <w:pPr>
        <w:rPr>
          <w:rFonts w:hint="eastAsia" w:ascii="宋体" w:hAnsi="宋体" w:eastAsia="宋体" w:cs="宋体"/>
          <w:sz w:val="24"/>
          <w:highlight w:val="none"/>
        </w:rPr>
        <w:sectPr>
          <w:headerReference r:id="rId9" w:type="default"/>
          <w:footerReference r:id="rId10" w:type="default"/>
          <w:pgSz w:w="11906" w:h="16838"/>
          <w:pgMar w:top="1134" w:right="1134" w:bottom="1134" w:left="1134" w:header="851" w:footer="992" w:gutter="0"/>
          <w:pgNumType w:fmt="decimal"/>
          <w:cols w:space="425" w:num="1"/>
          <w:docGrid w:type="lines" w:linePitch="312" w:charSpace="0"/>
        </w:sectPr>
      </w:pPr>
    </w:p>
    <w:p>
      <w:pPr>
        <w:adjustRightInd w:val="0"/>
        <w:snapToGrid w:val="0"/>
        <w:jc w:val="left"/>
        <w:outlineLvl w:val="0"/>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bookmarkStart w:id="62" w:name="_Toc2520"/>
      <w:bookmarkStart w:id="63" w:name="_Toc13237"/>
      <w:bookmarkStart w:id="64" w:name="_Toc21721"/>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附件一</w:t>
      </w:r>
      <w:bookmarkEnd w:id="62"/>
      <w:bookmarkEnd w:id="63"/>
      <w:bookmarkEnd w:id="64"/>
    </w:p>
    <w:p>
      <w:pPr>
        <w:adjustRightInd w:val="0"/>
        <w:snapToGrid w:val="0"/>
        <w:jc w:val="cente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健康体检套餐价格表</w:t>
      </w:r>
    </w:p>
    <w:tbl>
      <w:tblPr>
        <w:tblStyle w:val="37"/>
        <w:tblW w:w="9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5"/>
        <w:gridCol w:w="2696"/>
        <w:gridCol w:w="2400"/>
        <w:gridCol w:w="2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套餐名称</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实收金额</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人数</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595959"/>
                <w:sz w:val="24"/>
                <w:szCs w:val="24"/>
                <w:highlight w:val="none"/>
                <w:u w:val="none"/>
                <w:lang w:val="en-US"/>
              </w:rPr>
            </w:pPr>
            <w:r>
              <w:rPr>
                <w:rFonts w:hint="eastAsia" w:ascii="宋体" w:hAnsi="宋体" w:eastAsia="宋体" w:cs="宋体"/>
                <w:b/>
                <w:bCs/>
                <w:i w:val="0"/>
                <w:iCs w:val="0"/>
                <w:color w:val="595959"/>
                <w:kern w:val="0"/>
                <w:sz w:val="24"/>
                <w:szCs w:val="24"/>
                <w:highlight w:val="none"/>
                <w:u w:val="none"/>
                <w:lang w:val="en-US" w:eastAsia="zh-CN" w:bidi="ar"/>
              </w:rPr>
              <w:t>小计</w:t>
            </w:r>
            <w:r>
              <w:rPr>
                <w:rFonts w:hint="eastAsia" w:ascii="宋体" w:hAnsi="宋体" w:cs="宋体"/>
                <w:b/>
                <w:bCs/>
                <w:i w:val="0"/>
                <w:iCs w:val="0"/>
                <w:color w:val="595959"/>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highlight w:val="none"/>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highlight w:val="none"/>
                <w:u w:val="none"/>
              </w:rPr>
            </w:pPr>
            <w:r>
              <w:rPr>
                <w:rFonts w:hint="eastAsia" w:ascii="宋体" w:hAnsi="宋体" w:eastAsia="宋体" w:cs="宋体"/>
                <w:b/>
                <w:bCs/>
                <w:i w:val="0"/>
                <w:iCs w:val="0"/>
                <w:color w:val="595959"/>
                <w:kern w:val="0"/>
                <w:sz w:val="24"/>
                <w:szCs w:val="24"/>
                <w:highlight w:val="none"/>
                <w:u w:val="none"/>
                <w:shd w:val="clear"/>
                <w:lang w:val="en-US" w:eastAsia="zh-CN" w:bidi="ar"/>
              </w:rPr>
              <w:t>（元/人）</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highlight w:val="none"/>
                <w:u w:val="none"/>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highlight w:val="none"/>
                <w:u w:val="none"/>
              </w:rPr>
            </w:pPr>
            <w:r>
              <w:rPr>
                <w:rFonts w:hint="eastAsia" w:ascii="宋体" w:hAnsi="宋体" w:eastAsia="宋体" w:cs="宋体"/>
                <w:i w:val="0"/>
                <w:iCs w:val="0"/>
                <w:color w:val="595959"/>
                <w:kern w:val="0"/>
                <w:sz w:val="24"/>
                <w:szCs w:val="24"/>
                <w:highlight w:val="none"/>
                <w:u w:val="none"/>
                <w:lang w:val="en-US" w:eastAsia="zh-CN" w:bidi="ar"/>
              </w:rPr>
              <w:t>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highlight w:val="none"/>
                <w:u w:val="none"/>
              </w:rPr>
            </w:pPr>
            <w:r>
              <w:rPr>
                <w:rFonts w:hint="eastAsia" w:ascii="宋体" w:hAnsi="宋体" w:cs="宋体"/>
                <w:i w:val="0"/>
                <w:iCs w:val="0"/>
                <w:color w:val="595959"/>
                <w:kern w:val="0"/>
                <w:sz w:val="24"/>
                <w:szCs w:val="24"/>
                <w:highlight w:val="none"/>
                <w:u w:val="none"/>
                <w:lang w:val="en-US" w:eastAsia="zh-CN" w:bidi="ar"/>
              </w:rPr>
              <w:t>18</w:t>
            </w:r>
            <w:r>
              <w:rPr>
                <w:rFonts w:hint="eastAsia" w:ascii="宋体" w:hAnsi="宋体" w:eastAsia="宋体" w:cs="宋体"/>
                <w:i w:val="0"/>
                <w:iCs w:val="0"/>
                <w:color w:val="595959"/>
                <w:kern w:val="0"/>
                <w:sz w:val="24"/>
                <w:szCs w:val="24"/>
                <w:highlight w:val="none"/>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595959"/>
                <w:sz w:val="24"/>
                <w:szCs w:val="24"/>
                <w:highlight w:val="none"/>
                <w:u w:val="none"/>
                <w:lang w:val="en-US"/>
              </w:rPr>
            </w:pPr>
            <w:r>
              <w:rPr>
                <w:rFonts w:hint="eastAsia" w:ascii="宋体" w:hAnsi="宋体" w:cs="宋体"/>
                <w:i w:val="0"/>
                <w:iCs w:val="0"/>
                <w:color w:val="595959"/>
                <w:kern w:val="0"/>
                <w:sz w:val="24"/>
                <w:szCs w:val="24"/>
                <w:highlight w:val="none"/>
                <w:u w:val="none"/>
                <w:lang w:val="en-US" w:eastAsia="zh-CN" w:bidi="ar"/>
              </w:rPr>
              <w:t>301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595959"/>
                <w:sz w:val="24"/>
                <w:szCs w:val="24"/>
                <w:highlight w:val="none"/>
                <w:u w:val="none"/>
                <w:lang w:val="en-US"/>
              </w:rPr>
            </w:pPr>
            <w:r>
              <w:rPr>
                <w:rFonts w:hint="eastAsia" w:ascii="宋体" w:hAnsi="宋体" w:cs="宋体"/>
                <w:i w:val="0"/>
                <w:iCs w:val="0"/>
                <w:color w:val="595959"/>
                <w:kern w:val="0"/>
                <w:sz w:val="24"/>
                <w:szCs w:val="24"/>
                <w:highlight w:val="none"/>
                <w:u w:val="none"/>
                <w:lang w:val="en-US" w:eastAsia="zh-CN" w:bidi="ar"/>
              </w:rPr>
              <w:t>541800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highlight w:val="none"/>
                <w:u w:val="none"/>
              </w:rPr>
            </w:pPr>
            <w:r>
              <w:rPr>
                <w:rFonts w:hint="eastAsia" w:ascii="宋体" w:hAnsi="宋体" w:eastAsia="宋体" w:cs="宋体"/>
                <w:i w:val="0"/>
                <w:iCs w:val="0"/>
                <w:color w:val="595959"/>
                <w:kern w:val="0"/>
                <w:sz w:val="24"/>
                <w:szCs w:val="24"/>
                <w:highlight w:val="none"/>
                <w:u w:val="none"/>
                <w:lang w:val="en-US" w:eastAsia="zh-CN" w:bidi="ar"/>
              </w:rPr>
              <w:t>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highlight w:val="none"/>
                <w:u w:val="none"/>
              </w:rPr>
            </w:pPr>
            <w:r>
              <w:rPr>
                <w:rFonts w:hint="eastAsia" w:ascii="宋体" w:hAnsi="宋体" w:cs="宋体"/>
                <w:i w:val="0"/>
                <w:iCs w:val="0"/>
                <w:color w:val="595959"/>
                <w:kern w:val="0"/>
                <w:sz w:val="24"/>
                <w:szCs w:val="24"/>
                <w:highlight w:val="none"/>
                <w:u w:val="none"/>
                <w:lang w:val="en-US" w:eastAsia="zh-CN" w:bidi="ar"/>
              </w:rPr>
              <w:t>20</w:t>
            </w:r>
            <w:r>
              <w:rPr>
                <w:rFonts w:hint="eastAsia" w:ascii="宋体" w:hAnsi="宋体" w:eastAsia="宋体" w:cs="宋体"/>
                <w:i w:val="0"/>
                <w:iCs w:val="0"/>
                <w:color w:val="595959"/>
                <w:kern w:val="0"/>
                <w:sz w:val="24"/>
                <w:szCs w:val="24"/>
                <w:highlight w:val="none"/>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595959"/>
                <w:sz w:val="24"/>
                <w:szCs w:val="24"/>
                <w:highlight w:val="none"/>
                <w:u w:val="none"/>
                <w:lang w:val="en-US"/>
              </w:rPr>
            </w:pPr>
            <w:r>
              <w:rPr>
                <w:rFonts w:hint="eastAsia" w:ascii="宋体" w:hAnsi="宋体" w:cs="宋体"/>
                <w:i w:val="0"/>
                <w:iCs w:val="0"/>
                <w:color w:val="595959"/>
                <w:kern w:val="0"/>
                <w:sz w:val="24"/>
                <w:szCs w:val="24"/>
                <w:highlight w:val="none"/>
                <w:u w:val="none"/>
                <w:lang w:val="en-US" w:eastAsia="zh-CN" w:bidi="ar"/>
              </w:rPr>
              <w:t>76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595959"/>
                <w:sz w:val="24"/>
                <w:szCs w:val="24"/>
                <w:highlight w:val="none"/>
                <w:u w:val="none"/>
                <w:lang w:val="en-US"/>
              </w:rPr>
            </w:pPr>
            <w:r>
              <w:rPr>
                <w:rFonts w:hint="eastAsia" w:ascii="宋体" w:hAnsi="宋体" w:cs="宋体"/>
                <w:i w:val="0"/>
                <w:iCs w:val="0"/>
                <w:color w:val="595959"/>
                <w:kern w:val="0"/>
                <w:sz w:val="24"/>
                <w:szCs w:val="24"/>
                <w:highlight w:val="none"/>
                <w:u w:val="none"/>
                <w:lang w:val="en-US" w:eastAsia="zh-CN" w:bidi="ar"/>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595959"/>
                <w:sz w:val="24"/>
                <w:szCs w:val="24"/>
                <w:highlight w:val="none"/>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595959"/>
                <w:sz w:val="24"/>
                <w:szCs w:val="24"/>
                <w:highlight w:val="none"/>
                <w:u w:val="none"/>
                <w:lang w:val="en-US"/>
              </w:rPr>
            </w:pPr>
            <w:r>
              <w:rPr>
                <w:rFonts w:hint="eastAsia" w:ascii="宋体" w:hAnsi="宋体" w:cs="宋体"/>
                <w:b/>
                <w:bCs/>
                <w:i w:val="0"/>
                <w:iCs w:val="0"/>
                <w:color w:val="595959"/>
                <w:kern w:val="0"/>
                <w:sz w:val="24"/>
                <w:szCs w:val="24"/>
                <w:highlight w:val="none"/>
                <w:u w:val="none"/>
                <w:lang w:val="en-US" w:eastAsia="zh-CN" w:bidi="ar"/>
              </w:rPr>
              <w:t>693800</w:t>
            </w:r>
          </w:p>
        </w:tc>
      </w:tr>
    </w:tbl>
    <w:p>
      <w:pPr>
        <w:adjustRightInd w:val="0"/>
        <w:snapToGrid w:val="0"/>
        <w:jc w:val="cente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ind w:firstLine="482" w:firstLineChars="200"/>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合同总金额：</w:t>
      </w:r>
      <w:r>
        <w:rPr>
          <w:rFonts w:hint="default" w:ascii="Arial" w:hAnsi="Arial" w:eastAsia="宋体" w:cs="Arial"/>
          <w:b/>
          <w:bCs/>
          <w:color w:val="595959" w:themeColor="text1" w:themeTint="A6"/>
          <w:sz w:val="24"/>
          <w:szCs w:val="24"/>
          <w:highlight w:val="none"/>
          <w14:textFill>
            <w14:solidFill>
              <w14:schemeClr w14:val="tx1">
                <w14:lumMod w14:val="65000"/>
                <w14:lumOff w14:val="35000"/>
              </w14:schemeClr>
            </w14:solidFill>
          </w14:textFill>
        </w:rPr>
        <w:t>¥</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693800.00</w:t>
      </w: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元，大写：</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陆</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拾</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玖</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万</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叁</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仟</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捌佰元</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整</w:t>
      </w:r>
    </w:p>
    <w:p>
      <w:pPr>
        <w:adjustRightInd w:val="0"/>
        <w:snapToGrid w:val="0"/>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p>
    <w:p>
      <w:pPr>
        <w:adjustRightInd w:val="0"/>
        <w:snapToGrid w:val="0"/>
        <w:ind w:left="1202" w:leftChars="228" w:hanging="723" w:hangingChars="300"/>
        <w:rPr>
          <w:rFonts w:hint="eastAsia" w:ascii="宋体" w:hAnsi="宋体" w:eastAsia="宋体" w:cs="宋体"/>
          <w:b/>
          <w:bCs/>
          <w:color w:val="595959" w:themeColor="text1" w:themeTint="A6"/>
          <w:sz w:val="24"/>
          <w:szCs w:val="24"/>
          <w:highlight w:val="none"/>
          <w:lang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备注：</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体检套餐为</w:t>
      </w: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固定</w:t>
      </w:r>
      <w:r>
        <w:rPr>
          <w:rFonts w:hint="eastAsia" w:ascii="宋体" w:hAnsi="宋体" w:eastAsia="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自选，自主消费</w:t>
      </w:r>
      <w:r>
        <w:rPr>
          <w:rFonts w:hint="eastAsia" w:ascii="宋体" w:hAnsi="宋体" w:cs="宋体"/>
          <w:b/>
          <w:bCs/>
          <w:color w:val="595959" w:themeColor="text1" w:themeTint="A6"/>
          <w:sz w:val="24"/>
          <w:szCs w:val="24"/>
          <w:highlight w:val="none"/>
          <w:lang w:eastAsia="zh-CN"/>
          <w14:textFill>
            <w14:solidFill>
              <w14:schemeClr w14:val="tx1">
                <w14:lumMod w14:val="65000"/>
                <w14:lumOff w14:val="35000"/>
              </w14:schemeClr>
            </w14:solidFill>
          </w14:textFill>
        </w:rPr>
        <w:t>部分</w:t>
      </w: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收费标准按医院牌价享受</w:t>
      </w:r>
      <w:r>
        <w:rPr>
          <w:rFonts w:hint="eastAsia" w:ascii="宋体" w:hAnsi="宋体" w:cs="宋体"/>
          <w:b/>
          <w:bCs/>
          <w:color w:val="595959" w:themeColor="text1" w:themeTint="A6"/>
          <w:sz w:val="24"/>
          <w:szCs w:val="24"/>
          <w:highlight w:val="none"/>
          <w:lang w:val="en-US" w:eastAsia="zh-CN"/>
          <w14:textFill>
            <w14:solidFill>
              <w14:schemeClr w14:val="tx1">
                <w14:lumMod w14:val="65000"/>
                <w14:lumOff w14:val="35000"/>
              </w14:schemeClr>
            </w14:solidFill>
          </w14:textFill>
        </w:rPr>
        <w:t xml:space="preserve">  </w:t>
      </w: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折优惠</w:t>
      </w:r>
    </w:p>
    <w:p>
      <w:pPr>
        <w:adjustRightInd w:val="0"/>
        <w:snapToGrid w:val="0"/>
        <w:ind w:left="1197" w:leftChars="570" w:firstLine="0" w:firstLineChars="0"/>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highlight w:val="none"/>
          <w14:textFill>
            <w14:solidFill>
              <w14:schemeClr w14:val="tx1">
                <w14:lumMod w14:val="65000"/>
                <w14:lumOff w14:val="35000"/>
              </w14:schemeClr>
            </w14:solidFill>
          </w14:textFill>
        </w:rPr>
        <w:t>固定套餐明细附后</w:t>
      </w:r>
    </w:p>
    <w:p>
      <w:pPr>
        <w:adjustRightInd w:val="0"/>
        <w:snapToGrid w:val="0"/>
        <w:ind w:firstLine="482" w:firstLineChars="200"/>
        <w:rPr>
          <w:rFonts w:hint="eastAsia" w:ascii="宋体" w:hAnsi="宋体" w:eastAsia="宋体" w:cs="宋体"/>
          <w:b/>
          <w:bCs/>
          <w:color w:val="0000FF"/>
          <w:sz w:val="24"/>
          <w:szCs w:val="24"/>
          <w:highlight w:val="none"/>
        </w:rPr>
      </w:pPr>
    </w:p>
    <w:p>
      <w:pP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ascii="微软雅黑" w:hAnsi="微软雅黑" w:eastAsia="微软雅黑" w:cs="微软雅黑"/>
          <w:b/>
          <w:bCs/>
          <w:sz w:val="36"/>
          <w:szCs w:val="36"/>
          <w:highlight w:val="none"/>
        </w:rPr>
        <w:br w:type="page"/>
      </w:r>
      <w:r>
        <w:rPr>
          <w:rFonts w:hint="eastAsia" w:ascii="微软雅黑" w:hAnsi="微软雅黑" w:eastAsia="微软雅黑" w:cs="微软雅黑"/>
          <w:b/>
          <w:bCs/>
          <w:color w:val="595959" w:themeColor="text1" w:themeTint="A6"/>
          <w:sz w:val="28"/>
          <w:szCs w:val="28"/>
          <w:highlight w:val="none"/>
          <w14:textFill>
            <w14:solidFill>
              <w14:schemeClr w14:val="tx1">
                <w14:lumMod w14:val="65000"/>
                <w14:lumOff w14:val="35000"/>
              </w14:schemeClr>
            </w14:solidFill>
          </w14:textFill>
        </w:rPr>
        <w:t>附件</w:t>
      </w: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二</w:t>
      </w:r>
    </w:p>
    <w:p>
      <w:pPr>
        <w:adjustRightInd w:val="0"/>
        <w:snapToGrid w:val="0"/>
        <w:jc w:val="center"/>
        <w:outlineLvl w:val="0"/>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2024年男性职工健康体检项目</w:t>
      </w:r>
    </w:p>
    <w:tbl>
      <w:tblPr>
        <w:tblStyle w:val="37"/>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822"/>
        <w:gridCol w:w="6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体检项目</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身高、体重、血压、腰围、臀围</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内科检查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外科检查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判断颈部、腋窝、腹股沟浅表淋巴结病变或肿瘤淋巴转移；检查四肢、关节、外生殖器，早期发现甲状腺病症和肿瘤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眼科（含裂隙灯）</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进行视力测验，筛查常见眼部疾病：结膜炎、角膜炎、青光眼、白内障等病变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尿常规</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检查有无泌尿系统感染性疾病、急慢性肾病及其它与肾脏有关的代谢障碍性疾病，糖尿病的辅助检查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血常规</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血糖（静脉血）</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肝功能</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肾功能3项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血脂4项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肿瘤12项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检测肿瘤标志物，可辅助诊断部分消化系统、呼吸系统、泌尿生殖系及恶性肿瘤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12导联心电图检查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胸部正侧位片（不含片）</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肝胆脾胰+双肾输尿管膀胱前列腺彩超</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4" w:author="咸鱼" w:date="2024-05-24T15:07:37Z"/>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检查肝、胆、脾、胰、双肾、前列腺结构，筛查病变。</w:t>
            </w:r>
            <w:del w:id="5" w:author="咸鱼" w:date="2024-05-24T15:07:37Z">
              <w:r>
                <w:rPr>
                  <w:rFonts w:hint="eastAsia" w:ascii="宋体" w:hAnsi="宋体" w:eastAsia="宋体" w:cs="宋体"/>
                  <w:i w:val="0"/>
                  <w:iCs w:val="0"/>
                  <w:color w:val="000000"/>
                  <w:kern w:val="0"/>
                  <w:sz w:val="22"/>
                  <w:szCs w:val="22"/>
                  <w:highlight w:val="none"/>
                  <w:u w:val="none"/>
                  <w:lang w:val="en-US" w:eastAsia="zh-CN" w:bidi="ar"/>
                </w:rPr>
                <w:br w:type="textWrapping"/>
              </w:r>
            </w:del>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彩超有较强的分辨力和有效鉴别器官病变性质。（注意事项：须空腹12小时以上）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甲状腺彩超</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糖尿病早期无创筛查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无创检测汗液离子浓度，判断人体自主神经变化，于空腹血糖受损、糖耐量异常前，早早期筛查糖尿病高风险人群。</w:t>
            </w:r>
          </w:p>
        </w:tc>
      </w:tr>
    </w:tbl>
    <w:p>
      <w:pP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br w:type="page"/>
      </w:r>
    </w:p>
    <w:p>
      <w:pPr>
        <w:jc w:val="cente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2024年女性职工健康体检项目</w:t>
      </w:r>
    </w:p>
    <w:tbl>
      <w:tblPr>
        <w:tblStyle w:val="37"/>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823"/>
        <w:gridCol w:w="6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体检项目</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身高、体重、血压、腰围、臀围</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内科检查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外科检查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判断颈部、腋窝、腹股沟浅表淋巴结病变或肿瘤淋巴转移；检查四肢、关节、外生殖器，早期发现甲状腺病症和肿瘤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眼科（含裂隙灯）</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进行视力测验，筛查常见眼部疾病：结膜炎、角膜炎、青光眼、白内障等病变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尿常规</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检查有无泌尿系统感染性疾病、急慢性肾病及其它与肾脏有关的代谢障碍性疾病，糖尿病的辅助检查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血常规</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血糖（静脉血）</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肝功能</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肾功能3项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血脂4项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肿瘤12项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检测肿瘤标志物，可辅助诊断部分消化系统、呼吸系统、泌尿生殖系及恶性肿瘤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12导联心电图检查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胸部正侧位片（不含片）</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肝胆脾胰+双肾输尿管膀胱+子宫附件彩超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检查肝、胆、脾、胰、双肾、女性盆腔子宫和附件结构，筛查病变；（注意事项：须空腹12小时以上）（注意事项：需憋尿）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甲状腺彩超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双乳腺彩超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通过彩色超声仪器检查乳腺，发现乳腺增生、肿物、结节、囊肿、腺瘤、乳腺癌等病变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妇科（含材料费）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主要用于阴道炎、宫颈炎以及妇科等疾病的检查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阴道炎5项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19</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人乳头瘤病毒HPV</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直接反映人体内乳头瘤病毒是否存在，可具体判断出感染型别，为临床诊断宫颈癌提供参考。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糖尿病早期无创筛查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无创检测汗液离子浓度，判断人体自主神经变化，于空腹血糖受损、糖耐量异常前，早早期筛查糖尿病高风险人群。</w:t>
            </w:r>
          </w:p>
        </w:tc>
      </w:tr>
    </w:tbl>
    <w:p>
      <w:pP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p>
    <w:p>
      <w:pPr>
        <w:jc w:val="cente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p>
    <w:p>
      <w:pPr>
        <w:adjustRightInd/>
        <w:snapToGrid/>
        <w:jc w:val="both"/>
        <w:outlineLvl w:val="9"/>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p>
    <w:p>
      <w:pPr>
        <w:adjustRightInd/>
        <w:snapToGrid/>
        <w:jc w:val="both"/>
        <w:outlineLvl w:val="9"/>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附件三：</w:t>
      </w:r>
    </w:p>
    <w:p>
      <w:pPr>
        <w:adjustRightInd/>
        <w:snapToGrid/>
        <w:jc w:val="both"/>
        <w:outlineLvl w:val="9"/>
        <w:rPr>
          <w:rFonts w:hint="default"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（体检人员名单签定合同时予以完善）</w:t>
      </w:r>
    </w:p>
    <w:p>
      <w:pPr>
        <w:adjustRightInd w:val="0"/>
        <w:snapToGrid w:val="0"/>
        <w:jc w:val="center"/>
        <w:outlineLvl w:val="9"/>
        <w:rPr>
          <w:rFonts w:hint="default"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p>
    <w:p>
      <w:pPr>
        <w:rPr>
          <w:highlight w:val="none"/>
        </w:rPr>
      </w:pPr>
    </w:p>
    <w:p>
      <w:pPr>
        <w:spacing w:line="240" w:lineRule="auto"/>
        <w:jc w:val="left"/>
        <w:outlineLvl w:val="9"/>
        <w:rPr>
          <w:rFonts w:hint="eastAsia" w:ascii="黑体" w:hAnsi="黑体" w:eastAsia="黑体" w:cs="仿宋"/>
          <w:b/>
          <w:color w:val="auto"/>
          <w:sz w:val="36"/>
          <w:szCs w:val="36"/>
          <w:highlight w:val="none"/>
          <w:lang w:val="en-US" w:eastAsia="zh-CN"/>
        </w:rPr>
      </w:pPr>
      <w:bookmarkStart w:id="65" w:name="_Toc21448_WPSOffice_Level1"/>
      <w:bookmarkStart w:id="66" w:name="_Toc18293_WPSOffice_Level1"/>
      <w:r>
        <w:rPr>
          <w:rFonts w:hint="eastAsia" w:ascii="黑体" w:hAnsi="黑体" w:eastAsia="黑体" w:cs="仿宋"/>
          <w:b/>
          <w:color w:val="auto"/>
          <w:sz w:val="36"/>
          <w:szCs w:val="36"/>
          <w:highlight w:val="none"/>
          <w:lang w:val="en-US" w:eastAsia="zh-CN"/>
        </w:rPr>
        <w:br w:type="page"/>
      </w:r>
    </w:p>
    <w:p>
      <w:pPr>
        <w:spacing w:line="312" w:lineRule="auto"/>
        <w:jc w:val="center"/>
        <w:outlineLvl w:val="0"/>
        <w:rPr>
          <w:rFonts w:hint="eastAsia" w:ascii="黑体" w:hAnsi="黑体" w:eastAsia="黑体" w:cs="仿宋"/>
          <w:b/>
          <w:color w:val="auto"/>
          <w:sz w:val="36"/>
          <w:szCs w:val="36"/>
          <w:highlight w:val="none"/>
          <w:lang w:val="en-US" w:eastAsia="zh-CN"/>
        </w:rPr>
      </w:pPr>
      <w:bookmarkStart w:id="67" w:name="_Toc6280"/>
      <w:bookmarkStart w:id="68" w:name="_Toc29282"/>
      <w:r>
        <w:rPr>
          <w:rFonts w:hint="eastAsia" w:ascii="黑体" w:hAnsi="黑体" w:eastAsia="黑体" w:cs="仿宋"/>
          <w:b/>
          <w:color w:val="auto"/>
          <w:sz w:val="36"/>
          <w:szCs w:val="36"/>
          <w:highlight w:val="none"/>
          <w:lang w:val="en-US" w:eastAsia="zh-CN"/>
        </w:rPr>
        <w:t>第五章  采购需求</w:t>
      </w:r>
      <w:bookmarkEnd w:id="31"/>
      <w:bookmarkEnd w:id="65"/>
      <w:bookmarkEnd w:id="66"/>
      <w:bookmarkEnd w:id="67"/>
      <w:bookmarkEnd w:id="68"/>
    </w:p>
    <w:p>
      <w:pPr>
        <w:autoSpaceDE w:val="0"/>
        <w:spacing w:line="400" w:lineRule="exact"/>
        <w:jc w:val="left"/>
        <w:rPr>
          <w:rFonts w:hint="eastAsia" w:ascii="宋体" w:hAnsi="宋体"/>
          <w:color w:val="auto"/>
          <w:sz w:val="24"/>
          <w:highlight w:val="none"/>
          <w:lang w:eastAsia="zh-CN"/>
        </w:rPr>
      </w:pPr>
    </w:p>
    <w:p>
      <w:pPr>
        <w:autoSpaceDE w:val="0"/>
        <w:spacing w:line="360" w:lineRule="auto"/>
        <w:jc w:val="both"/>
        <w:rPr>
          <w:rFonts w:hint="default" w:ascii="宋体" w:hAnsi="宋体" w:eastAsia="宋体"/>
          <w:b/>
          <w:bCs/>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 xml:space="preserve">采购范围: </w:t>
      </w:r>
      <w:r>
        <w:rPr>
          <w:rFonts w:hint="eastAsia" w:ascii="宋体" w:hAnsi="宋体"/>
          <w:color w:val="auto"/>
          <w:sz w:val="24"/>
          <w:highlight w:val="none"/>
          <w:lang w:val="en-US" w:eastAsia="zh-CN"/>
        </w:rPr>
        <w:t>本公司为湖南省港务集团有限公司旗下港口企业，为响应国家对于员工的职业健康检查，现列行2024年度职工健康体检，</w:t>
      </w:r>
      <w:r>
        <w:rPr>
          <w:rFonts w:hint="eastAsia" w:ascii="宋体" w:hAnsi="宋体"/>
          <w:color w:val="auto"/>
          <w:sz w:val="24"/>
          <w:highlight w:val="none"/>
        </w:rPr>
        <w:t>参与体检员工</w:t>
      </w:r>
      <w:r>
        <w:rPr>
          <w:rFonts w:hint="eastAsia" w:ascii="宋体" w:hAnsi="宋体"/>
          <w:color w:val="auto"/>
          <w:sz w:val="24"/>
          <w:highlight w:val="none"/>
          <w:lang w:val="en-US" w:eastAsia="zh-CN"/>
        </w:rPr>
        <w:t>共377</w:t>
      </w:r>
      <w:r>
        <w:rPr>
          <w:rFonts w:hint="eastAsia" w:ascii="宋体" w:hAnsi="宋体"/>
          <w:color w:val="auto"/>
          <w:sz w:val="24"/>
          <w:highlight w:val="none"/>
        </w:rPr>
        <w:t>人（其中男员工</w:t>
      </w:r>
      <w:r>
        <w:rPr>
          <w:rFonts w:hint="eastAsia" w:ascii="宋体" w:hAnsi="宋体"/>
          <w:color w:val="auto"/>
          <w:sz w:val="24"/>
          <w:highlight w:val="none"/>
          <w:lang w:val="en-US" w:eastAsia="zh-CN"/>
        </w:rPr>
        <w:t>301</w:t>
      </w:r>
      <w:r>
        <w:rPr>
          <w:rFonts w:hint="eastAsia" w:ascii="宋体" w:hAnsi="宋体"/>
          <w:color w:val="auto"/>
          <w:sz w:val="24"/>
          <w:highlight w:val="none"/>
        </w:rPr>
        <w:t>人、女员工</w:t>
      </w:r>
      <w:r>
        <w:rPr>
          <w:rFonts w:hint="eastAsia" w:ascii="宋体" w:hAnsi="宋体"/>
          <w:color w:val="auto"/>
          <w:sz w:val="24"/>
          <w:highlight w:val="none"/>
          <w:lang w:val="en-US" w:eastAsia="zh-CN"/>
        </w:rPr>
        <w:t>76</w:t>
      </w:r>
      <w:r>
        <w:rPr>
          <w:rFonts w:hint="eastAsia" w:ascii="宋体" w:hAnsi="宋体"/>
          <w:color w:val="auto"/>
          <w:sz w:val="24"/>
          <w:highlight w:val="none"/>
        </w:rPr>
        <w:t>人），体检费用标准为男员工人均1</w:t>
      </w:r>
      <w:r>
        <w:rPr>
          <w:rFonts w:hint="eastAsia" w:ascii="宋体" w:hAnsi="宋体"/>
          <w:color w:val="auto"/>
          <w:sz w:val="24"/>
          <w:highlight w:val="none"/>
          <w:lang w:val="en-US" w:eastAsia="zh-CN"/>
        </w:rPr>
        <w:t>8</w:t>
      </w:r>
      <w:r>
        <w:rPr>
          <w:rFonts w:hint="eastAsia" w:ascii="宋体" w:hAnsi="宋体"/>
          <w:color w:val="auto"/>
          <w:sz w:val="24"/>
          <w:highlight w:val="none"/>
        </w:rPr>
        <w:t>00元，女员工人均</w:t>
      </w:r>
      <w:r>
        <w:rPr>
          <w:rFonts w:hint="eastAsia" w:ascii="宋体" w:hAnsi="宋体"/>
          <w:color w:val="auto"/>
          <w:sz w:val="24"/>
          <w:highlight w:val="none"/>
          <w:lang w:val="en-US" w:eastAsia="zh-CN"/>
        </w:rPr>
        <w:t>20</w:t>
      </w:r>
      <w:r>
        <w:rPr>
          <w:rFonts w:hint="eastAsia" w:ascii="宋体" w:hAnsi="宋体"/>
          <w:color w:val="auto"/>
          <w:sz w:val="24"/>
          <w:highlight w:val="none"/>
        </w:rPr>
        <w:t>00元，合计</w:t>
      </w:r>
      <w:r>
        <w:rPr>
          <w:rFonts w:hint="eastAsia" w:ascii="宋体" w:hAnsi="宋体"/>
          <w:color w:val="auto"/>
          <w:sz w:val="24"/>
          <w:highlight w:val="none"/>
          <w:lang w:val="en-US" w:eastAsia="zh-CN"/>
        </w:rPr>
        <w:t>69.38</w:t>
      </w:r>
      <w:r>
        <w:rPr>
          <w:rFonts w:hint="eastAsia" w:ascii="宋体" w:hAnsi="宋体"/>
          <w:color w:val="auto"/>
          <w:sz w:val="24"/>
          <w:highlight w:val="none"/>
        </w:rPr>
        <w:t>万元。</w:t>
      </w:r>
      <w:r>
        <w:rPr>
          <w:rFonts w:hint="eastAsia" w:ascii="宋体" w:hAnsi="宋体"/>
          <w:b w:val="0"/>
          <w:bCs w:val="0"/>
          <w:color w:val="auto"/>
          <w:sz w:val="24"/>
          <w:highlight w:val="none"/>
          <w:lang w:val="en-US" w:eastAsia="zh-CN"/>
        </w:rPr>
        <w:t>本公司已拟定体检项目，并就该项目以最低价评审法对外公开询价，体检费用标准与成交价的差额由职工在该体检中心自主消费完毕，自主消费项目收费标准按医院挂牌价享受  折优惠。</w:t>
      </w:r>
    </w:p>
    <w:p>
      <w:pPr>
        <w:autoSpaceDE w:val="0"/>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合同签订后90个日历日内;</w:t>
      </w:r>
    </w:p>
    <w:p>
      <w:pPr>
        <w:autoSpaceDE w:val="0"/>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供应商医院</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val="en-US" w:eastAsia="zh-CN"/>
        </w:rPr>
        <w:t>;</w:t>
      </w:r>
    </w:p>
    <w:p>
      <w:pPr>
        <w:spacing w:line="400" w:lineRule="exact"/>
        <w:rPr>
          <w:rFonts w:hint="default" w:ascii="宋体" w:hAnsi="宋体"/>
          <w:color w:val="auto"/>
          <w:sz w:val="24"/>
          <w:highlight w:val="none"/>
          <w:u w:val="none"/>
          <w:lang w:val="en-US" w:eastAsia="zh-CN"/>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四</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服务要求：</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体检医院设采购人体检专场，体检计划在</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0日</w:t>
      </w:r>
      <w:r>
        <w:rPr>
          <w:rFonts w:hint="eastAsia" w:ascii="宋体" w:hAnsi="宋体" w:eastAsia="宋体" w:cs="宋体"/>
          <w:sz w:val="24"/>
          <w:szCs w:val="24"/>
          <w:highlight w:val="none"/>
          <w:lang w:eastAsia="zh-CN"/>
        </w:rPr>
        <w:t>内完成。</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在体检区域内须有清晰准确的体检引导牌和体检导诊员，导诊员负责体检现场指导工作，并对体检过程中发生的事故进行及时有效地处理，以保证体检工作按时有序完成。同时应做好体检资料的制作，管理，发放（包括体检表，体检须知），如采购人不慎遗失体检表或因工作调动等原因漏报体检人数，</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应及时补发。</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在体检</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eastAsia="zh-CN"/>
        </w:rPr>
        <w:t>间须</w:t>
      </w:r>
      <w:r>
        <w:rPr>
          <w:rFonts w:hint="eastAsia" w:ascii="宋体" w:hAnsi="宋体" w:cs="宋体"/>
          <w:sz w:val="24"/>
          <w:szCs w:val="24"/>
          <w:highlight w:val="none"/>
          <w:lang w:val="en-US" w:eastAsia="zh-CN"/>
        </w:rPr>
        <w:t>派具</w:t>
      </w:r>
      <w:r>
        <w:rPr>
          <w:rFonts w:hint="eastAsia" w:ascii="宋体" w:hAnsi="宋体" w:eastAsia="宋体" w:cs="宋体"/>
          <w:sz w:val="24"/>
          <w:szCs w:val="24"/>
          <w:highlight w:val="none"/>
          <w:lang w:eastAsia="zh-CN"/>
        </w:rPr>
        <w:t>一名具有中级以上职称的内科医生作为现场咨询专家，要求专家耐心细致，能认真回答体检员工的相关疑问。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应对体检结果负责，体检医院要中级以上医生填写每人的健康体检报告，体检报告应提供纸质版和电子版。</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体检过程中如遇发现疑似恶性肿瘤，传染病等特殊情况，中标服务商应立即通知采购人，对可疑病例要复查的，复查名单及内容通知其个人及采购单位联系人。</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中标服务商承诺未按服务项目完成或完成不彻底，须按要求重新安排体检，且采购人有权扣减合同付款金额直致终止合同，由此造成的一切后果由中标服务商承担。中标服务商在服务</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eastAsia="zh-CN"/>
        </w:rPr>
        <w:t>间由于自身责任造成采购人的一切损失由中标服务商负责赔偿。</w:t>
      </w:r>
    </w:p>
    <w:p>
      <w:pPr>
        <w:numPr>
          <w:ilvl w:val="0"/>
          <w:numId w:val="3"/>
        </w:num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报价方案</w:t>
      </w:r>
      <w:r>
        <w:rPr>
          <w:rFonts w:hint="eastAsia" w:ascii="宋体" w:hAnsi="宋体"/>
          <w:color w:val="auto"/>
          <w:sz w:val="24"/>
          <w:highlight w:val="none"/>
        </w:rPr>
        <w:t xml:space="preserve">: </w:t>
      </w:r>
    </w:p>
    <w:p>
      <w:pPr>
        <w:adjustRightInd w:val="0"/>
        <w:snapToGrid w:val="0"/>
        <w:jc w:val="center"/>
        <w:outlineLvl w:val="0"/>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bookmarkStart w:id="69" w:name="_Toc8618"/>
      <w:bookmarkStart w:id="70" w:name="_Toc19666"/>
      <w:bookmarkStart w:id="71" w:name="_Toc21286"/>
      <w:bookmarkStart w:id="72" w:name="_Toc31080"/>
      <w:bookmarkStart w:id="73" w:name="_Toc14369"/>
      <w:bookmarkStart w:id="74" w:name="_Toc3705"/>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2024年男性职工健康体检项目</w:t>
      </w:r>
    </w:p>
    <w:tbl>
      <w:tblPr>
        <w:tblStyle w:val="37"/>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822"/>
        <w:gridCol w:w="6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体检项目</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身高、体重、血压、腰围、臀围</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内科检查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外科检查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判断颈部、腋窝、腹股沟浅表淋巴结病变或肿瘤淋巴转移；检查四肢、关节、外生殖器，早期发现甲状腺病症和肿瘤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眼科（含裂隙灯）</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进行视力测验，筛查常见眼部疾病：结膜炎、角膜炎、青光眼、白内障等病变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尿常规</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检查有无泌尿系统感染性疾病、急慢性肾病及其它与肾脏有关的代谢障碍性疾病，糖尿病的辅助检查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血常规</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血糖（静脉血）</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肝功能</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肾功能3项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血脂4项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肿瘤12项</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检测肿瘤标志物，可辅助诊断部分消化系统、呼吸系统、泌尿生殖系及恶性肿瘤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12导联心电图检查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胸部正侧位片（不含片）</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肝胆脾胰+双肾输尿管膀胱前列腺彩超</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 w:author="咸鱼" w:date="2024-05-24T15:07:37Z"/>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检查肝、胆、脾、胰、双肾、前列腺结构，筛查病变。</w:t>
            </w:r>
            <w:del w:id="7" w:author="咸鱼" w:date="2024-05-24T15:07:37Z">
              <w:r>
                <w:rPr>
                  <w:rFonts w:hint="eastAsia" w:ascii="宋体" w:hAnsi="宋体" w:eastAsia="宋体" w:cs="宋体"/>
                  <w:i w:val="0"/>
                  <w:iCs w:val="0"/>
                  <w:color w:val="000000"/>
                  <w:kern w:val="0"/>
                  <w:sz w:val="22"/>
                  <w:szCs w:val="22"/>
                  <w:highlight w:val="none"/>
                  <w:u w:val="none"/>
                  <w:lang w:val="en-US" w:eastAsia="zh-CN" w:bidi="ar"/>
                </w:rPr>
                <w:br w:type="textWrapping"/>
              </w:r>
            </w:del>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彩超有较强的分辨力和有效鉴别器官病变性质。（注意事项：须空腹12小时以上）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甲状腺彩超</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糖尿病早期无创筛查</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无创检测汗液离子浓度，判断人体自主神经变化，于空腹血糖受损、糖耐量异常前，早早期筛查糖尿病高风险人群。</w:t>
            </w:r>
          </w:p>
        </w:tc>
      </w:tr>
    </w:tbl>
    <w:p>
      <w:pP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br w:type="page"/>
      </w:r>
    </w:p>
    <w:p>
      <w:pPr>
        <w:jc w:val="cente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2024年女性职工健康体检项目</w:t>
      </w:r>
    </w:p>
    <w:tbl>
      <w:tblPr>
        <w:tblStyle w:val="37"/>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823"/>
        <w:gridCol w:w="6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体检项目</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身高、体重、血压、腰围、臀围</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内科检查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外科检查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判断颈部、腋窝、腹股沟浅表淋巴结病变或肿瘤淋巴转移；检查四肢、关节、外生殖器，早期发现甲状腺病症和肿瘤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眼科（含裂隙灯）</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进行视力测验，筛查常见眼部疾病：结膜炎、角膜炎、青光眼、白内障等病变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尿常规</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检查有无泌尿系统感染性疾病、急慢性肾病及其它与肾脏有关的代谢障碍性疾病，糖尿病的辅助检查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血常规</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血糖（静脉血）</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肝功能</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肾功能3项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血脂4项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肿瘤12项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检测肿瘤标志物，可辅助诊断部分消化系统、呼吸系统、泌尿生殖系及恶性肿瘤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12导联心电图检查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胸部正侧位片（不含片）</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肝胆脾胰+双肾输尿管膀胱+子宫附件彩超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检查肝、胆、脾、胰、双肾、女性盆腔子宫和附件结构，筛查病变；（注意事项：须空腹12小时以上）（注意事项：需憋尿）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甲状腺彩超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双乳腺彩超</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通过彩色超声仪器检查乳腺，发现乳腺增生、肿物、结节、囊肿、腺瘤、乳腺癌等病变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妇科（含材料费）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主要用于阴道炎、宫颈炎以及妇科等疾病的检查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阴道炎5项</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19</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人乳头瘤病毒HPV</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直接反映人体内乳头瘤病毒是否存在，可具体判断出感染型别，为临床诊断宫颈癌提供参考。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糖尿病早期无创筛查</w:t>
            </w:r>
          </w:p>
        </w:tc>
        <w:tc>
          <w:tcPr>
            <w:tcW w:w="6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无创检测汗液离子浓度，判断人体自主神经变化，于空腹血糖受损、糖耐量异常前，早早期筛查糖尿病高风险人群。</w:t>
            </w:r>
          </w:p>
        </w:tc>
      </w:tr>
      <w:bookmarkEnd w:id="69"/>
      <w:bookmarkEnd w:id="70"/>
      <w:bookmarkEnd w:id="71"/>
      <w:bookmarkEnd w:id="72"/>
      <w:bookmarkEnd w:id="73"/>
      <w:bookmarkEnd w:id="74"/>
    </w:tbl>
    <w:p>
      <w:pPr>
        <w:autoSpaceDE w:val="0"/>
        <w:spacing w:line="400" w:lineRule="exact"/>
        <w:jc w:val="center"/>
        <w:outlineLvl w:val="0"/>
        <w:rPr>
          <w:rFonts w:ascii="黑体" w:hAnsi="黑体" w:eastAsia="黑体" w:cs="仿宋"/>
          <w:b/>
          <w:color w:val="000000"/>
          <w:sz w:val="36"/>
          <w:szCs w:val="36"/>
          <w:highlight w:val="none"/>
        </w:rPr>
      </w:pPr>
      <w:bookmarkStart w:id="75" w:name="_Toc29601"/>
      <w:bookmarkStart w:id="76" w:name="_Toc14736"/>
      <w:r>
        <w:rPr>
          <w:rFonts w:hint="eastAsia" w:ascii="黑体" w:hAnsi="黑体" w:eastAsia="黑体" w:cs="仿宋"/>
          <w:b/>
          <w:color w:val="000000"/>
          <w:sz w:val="36"/>
          <w:szCs w:val="36"/>
          <w:highlight w:val="none"/>
        </w:rPr>
        <w:t>第六章  响应文件格式</w:t>
      </w:r>
      <w:bookmarkEnd w:id="75"/>
      <w:bookmarkEnd w:id="76"/>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snapToGrid w:val="0"/>
        <w:spacing w:before="0" w:beforeAutospacing="0" w:after="0" w:afterAutospacing="0" w:line="900" w:lineRule="exact"/>
        <w:ind w:firstLine="0" w:firstLineChars="0"/>
        <w:jc w:val="center"/>
        <w:outlineLvl w:val="0"/>
        <w:rPr>
          <w:rFonts w:hint="default" w:ascii="黑体" w:hAnsi="黑体" w:eastAsia="黑体" w:cs="Times New Roman"/>
          <w:b/>
          <w:bCs/>
          <w:color w:val="auto"/>
          <w:kern w:val="2"/>
          <w:sz w:val="48"/>
          <w:szCs w:val="48"/>
          <w:highlight w:val="none"/>
          <w:u w:val="none"/>
          <w:lang w:val="en-US" w:eastAsia="zh-CN" w:bidi="ar"/>
        </w:rPr>
      </w:pPr>
      <w:bookmarkStart w:id="77" w:name="_Toc30536"/>
      <w:bookmarkStart w:id="78" w:name="_Toc18180"/>
      <w:bookmarkStart w:id="79" w:name="_Toc10820"/>
      <w:bookmarkStart w:id="80" w:name="_Toc7813"/>
      <w:bookmarkStart w:id="81" w:name="_Toc12034"/>
      <w:bookmarkStart w:id="82" w:name="_Toc4161"/>
      <w:r>
        <w:rPr>
          <w:rFonts w:hint="eastAsia" w:ascii="黑体" w:hAnsi="黑体" w:eastAsia="黑体" w:cs="Times New Roman"/>
          <w:b/>
          <w:bCs/>
          <w:color w:val="auto"/>
          <w:kern w:val="2"/>
          <w:sz w:val="48"/>
          <w:szCs w:val="48"/>
          <w:highlight w:val="none"/>
          <w:u w:val="none"/>
          <w:lang w:val="en-US" w:eastAsia="zh-CN" w:bidi="ar"/>
        </w:rPr>
        <w:t>岳阳城陵矶</w:t>
      </w:r>
      <w:bookmarkEnd w:id="77"/>
      <w:bookmarkEnd w:id="78"/>
      <w:bookmarkEnd w:id="79"/>
      <w:bookmarkEnd w:id="80"/>
      <w:bookmarkEnd w:id="81"/>
      <w:bookmarkEnd w:id="82"/>
      <w:r>
        <w:rPr>
          <w:rFonts w:hint="eastAsia" w:ascii="黑体" w:hAnsi="黑体" w:eastAsia="黑体" w:cs="Times New Roman"/>
          <w:b/>
          <w:bCs/>
          <w:color w:val="auto"/>
          <w:kern w:val="2"/>
          <w:sz w:val="48"/>
          <w:szCs w:val="48"/>
          <w:highlight w:val="none"/>
          <w:u w:val="none"/>
          <w:lang w:val="en-US" w:eastAsia="zh-CN" w:bidi="ar"/>
        </w:rPr>
        <w:t>港务有限责任公司</w:t>
      </w:r>
    </w:p>
    <w:p>
      <w:pPr>
        <w:snapToGrid w:val="0"/>
        <w:spacing w:line="900" w:lineRule="exact"/>
        <w:jc w:val="center"/>
        <w:outlineLvl w:val="0"/>
        <w:rPr>
          <w:rFonts w:hint="eastAsia" w:ascii="黑体" w:hAnsi="黑体" w:eastAsia="黑体"/>
          <w:b/>
          <w:bCs/>
          <w:color w:val="auto"/>
          <w:sz w:val="48"/>
          <w:szCs w:val="48"/>
          <w:highlight w:val="none"/>
          <w:u w:val="none"/>
          <w:lang w:val="en-US" w:eastAsia="zh-CN" w:bidi="ar"/>
        </w:rPr>
      </w:pPr>
      <w:bookmarkStart w:id="83" w:name="_Toc28640"/>
      <w:bookmarkStart w:id="84" w:name="_Toc17561"/>
      <w:bookmarkStart w:id="85" w:name="_Toc29904"/>
      <w:bookmarkStart w:id="86" w:name="_Toc15469"/>
      <w:bookmarkStart w:id="87" w:name="_Toc22027"/>
      <w:bookmarkStart w:id="88" w:name="_Toc16740"/>
      <w:bookmarkStart w:id="89" w:name="_Toc28358_WPSOffice_Level1"/>
      <w:r>
        <w:rPr>
          <w:rFonts w:hint="eastAsia" w:ascii="黑体" w:hAnsi="黑体" w:eastAsia="黑体" w:cs="Times New Roman"/>
          <w:b/>
          <w:bCs/>
          <w:color w:val="auto"/>
          <w:kern w:val="2"/>
          <w:sz w:val="48"/>
          <w:szCs w:val="48"/>
          <w:highlight w:val="none"/>
          <w:u w:val="none"/>
          <w:lang w:eastAsia="zh-CN" w:bidi="ar"/>
        </w:rPr>
        <w:t>202</w:t>
      </w:r>
      <w:r>
        <w:rPr>
          <w:rFonts w:hint="eastAsia" w:ascii="黑体" w:hAnsi="黑体" w:eastAsia="黑体" w:cs="Times New Roman"/>
          <w:b/>
          <w:bCs/>
          <w:color w:val="auto"/>
          <w:kern w:val="2"/>
          <w:sz w:val="48"/>
          <w:szCs w:val="48"/>
          <w:highlight w:val="none"/>
          <w:u w:val="none"/>
          <w:lang w:val="en-US" w:eastAsia="zh-CN" w:bidi="ar"/>
        </w:rPr>
        <w:t>4</w:t>
      </w:r>
      <w:r>
        <w:rPr>
          <w:rFonts w:hint="eastAsia" w:ascii="黑体" w:hAnsi="黑体" w:eastAsia="黑体" w:cs="Times New Roman"/>
          <w:b/>
          <w:bCs/>
          <w:color w:val="auto"/>
          <w:kern w:val="2"/>
          <w:sz w:val="48"/>
          <w:szCs w:val="48"/>
          <w:highlight w:val="none"/>
          <w:u w:val="none"/>
          <w:lang w:eastAsia="zh-CN" w:bidi="ar"/>
        </w:rPr>
        <w:t>年度职工</w:t>
      </w:r>
      <w:r>
        <w:rPr>
          <w:rFonts w:hint="eastAsia" w:ascii="黑体" w:hAnsi="黑体" w:eastAsia="黑体" w:cs="Times New Roman"/>
          <w:b/>
          <w:bCs/>
          <w:color w:val="auto"/>
          <w:kern w:val="2"/>
          <w:sz w:val="48"/>
          <w:szCs w:val="48"/>
          <w:highlight w:val="none"/>
          <w:u w:val="none"/>
          <w:lang w:val="en-US" w:eastAsia="zh-CN" w:bidi="ar"/>
        </w:rPr>
        <w:t>健康</w:t>
      </w:r>
      <w:r>
        <w:rPr>
          <w:rFonts w:hint="eastAsia" w:ascii="黑体" w:hAnsi="黑体" w:eastAsia="黑体" w:cs="Times New Roman"/>
          <w:b/>
          <w:bCs/>
          <w:color w:val="auto"/>
          <w:kern w:val="2"/>
          <w:sz w:val="48"/>
          <w:szCs w:val="48"/>
          <w:highlight w:val="none"/>
          <w:u w:val="none"/>
          <w:lang w:eastAsia="zh-CN" w:bidi="ar"/>
        </w:rPr>
        <w:t>体检项目</w:t>
      </w:r>
      <w:bookmarkEnd w:id="83"/>
      <w:bookmarkEnd w:id="84"/>
      <w:bookmarkEnd w:id="85"/>
      <w:bookmarkEnd w:id="86"/>
      <w:bookmarkEnd w:id="87"/>
      <w:bookmarkEnd w:id="88"/>
      <w:bookmarkEnd w:id="89"/>
      <w:r>
        <w:rPr>
          <w:rFonts w:hint="eastAsia" w:ascii="黑体" w:hAnsi="黑体" w:eastAsia="黑体" w:cs="Times New Roman"/>
          <w:b/>
          <w:bCs/>
          <w:color w:val="auto"/>
          <w:kern w:val="2"/>
          <w:sz w:val="48"/>
          <w:szCs w:val="48"/>
          <w:highlight w:val="none"/>
          <w:u w:val="none"/>
          <w:lang w:bidi="ar"/>
        </w:rPr>
        <w:t xml:space="preserve"> </w:t>
      </w:r>
    </w:p>
    <w:p>
      <w:pPr>
        <w:widowControl/>
        <w:snapToGrid w:val="0"/>
        <w:spacing w:before="0" w:beforeLines="-2147483648" w:after="0" w:afterLines="-2147483648" w:line="900" w:lineRule="exact"/>
        <w:ind w:firstLine="0" w:firstLineChars="0"/>
        <w:jc w:val="center"/>
        <w:outlineLvl w:val="9"/>
        <w:rPr>
          <w:rFonts w:hint="eastAsia" w:ascii="黑体" w:hAnsi="黑体" w:eastAsia="黑体"/>
          <w:b/>
          <w:bCs/>
          <w:color w:val="auto"/>
          <w:sz w:val="48"/>
          <w:szCs w:val="48"/>
          <w:highlight w:val="none"/>
          <w:u w:val="none"/>
          <w:lang w:bidi="ar"/>
        </w:rPr>
      </w:pPr>
      <w:bookmarkStart w:id="90" w:name="_Toc22236"/>
    </w:p>
    <w:p>
      <w:pPr>
        <w:widowControl w:val="0"/>
        <w:spacing w:before="240" w:beforeLines="100" w:after="240" w:afterLines="100" w:line="240" w:lineRule="auto"/>
        <w:ind w:firstLine="0" w:firstLineChars="0"/>
        <w:jc w:val="center"/>
        <w:outlineLvl w:val="0"/>
        <w:rPr>
          <w:rFonts w:eastAsia="楷体_GB2312"/>
          <w:b/>
          <w:bCs/>
          <w:color w:val="auto"/>
          <w:sz w:val="28"/>
          <w:szCs w:val="28"/>
          <w:highlight w:val="none"/>
        </w:rPr>
      </w:pPr>
      <w:bookmarkStart w:id="91" w:name="_Toc1137"/>
      <w:bookmarkStart w:id="92" w:name="_Toc31152_WPSOffice_Level1"/>
      <w:bookmarkStart w:id="93" w:name="_Toc21939"/>
      <w:bookmarkStart w:id="94" w:name="_Toc283"/>
      <w:bookmarkStart w:id="95" w:name="_Toc32110"/>
      <w:bookmarkStart w:id="96" w:name="_Toc27459"/>
      <w:bookmarkStart w:id="97" w:name="_Toc3336"/>
      <w:bookmarkStart w:id="98" w:name="_Toc2941"/>
      <w:r>
        <w:rPr>
          <w:rFonts w:eastAsia="楷体_GB2312"/>
          <w:b/>
          <w:bCs/>
          <w:color w:val="auto"/>
          <w:sz w:val="28"/>
          <w:szCs w:val="28"/>
          <w:highlight w:val="none"/>
        </w:rPr>
        <w:t>（项目</w:t>
      </w:r>
      <w:r>
        <w:rPr>
          <w:rFonts w:hint="eastAsia" w:eastAsia="楷体_GB2312"/>
          <w:b/>
          <w:bCs/>
          <w:color w:val="auto"/>
          <w:sz w:val="28"/>
          <w:szCs w:val="28"/>
          <w:highlight w:val="none"/>
        </w:rPr>
        <w:t>采购</w:t>
      </w:r>
      <w:r>
        <w:rPr>
          <w:rFonts w:eastAsia="楷体_GB2312"/>
          <w:b/>
          <w:bCs/>
          <w:color w:val="auto"/>
          <w:sz w:val="28"/>
          <w:szCs w:val="28"/>
          <w:highlight w:val="none"/>
        </w:rPr>
        <w:t>编号：</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填入项目采购编号</w:t>
      </w:r>
      <w:r>
        <w:rPr>
          <w:rFonts w:eastAsia="楷体_GB2312"/>
          <w:b/>
          <w:bCs/>
          <w:color w:val="auto"/>
          <w:sz w:val="28"/>
          <w:szCs w:val="28"/>
          <w:highlight w:val="none"/>
          <w:u w:val="single"/>
        </w:rPr>
        <w:t xml:space="preserve">     </w:t>
      </w:r>
      <w:r>
        <w:rPr>
          <w:rFonts w:eastAsia="楷体_GB2312"/>
          <w:b/>
          <w:bCs/>
          <w:color w:val="auto"/>
          <w:sz w:val="28"/>
          <w:szCs w:val="28"/>
          <w:highlight w:val="none"/>
        </w:rPr>
        <w:t>）</w:t>
      </w:r>
      <w:bookmarkEnd w:id="90"/>
      <w:bookmarkEnd w:id="91"/>
      <w:bookmarkEnd w:id="92"/>
      <w:bookmarkEnd w:id="93"/>
      <w:bookmarkEnd w:id="94"/>
      <w:bookmarkEnd w:id="95"/>
      <w:bookmarkEnd w:id="96"/>
      <w:bookmarkEnd w:id="97"/>
      <w:bookmarkEnd w:id="98"/>
    </w:p>
    <w:p>
      <w:pPr>
        <w:widowControl w:val="0"/>
        <w:adjustRightInd w:val="0"/>
        <w:snapToGrid w:val="0"/>
        <w:rPr>
          <w:b/>
          <w:color w:val="auto"/>
          <w:highlight w:val="none"/>
        </w:rPr>
      </w:pPr>
    </w:p>
    <w:p>
      <w:pPr>
        <w:spacing w:line="288" w:lineRule="auto"/>
        <w:jc w:val="center"/>
        <w:rPr>
          <w:rFonts w:eastAsia="方正小标宋_GBK"/>
          <w:b/>
          <w:bCs/>
          <w:color w:val="auto"/>
          <w:spacing w:val="160"/>
          <w:sz w:val="72"/>
          <w:szCs w:val="72"/>
          <w:highlight w:val="none"/>
        </w:rPr>
      </w:pPr>
    </w:p>
    <w:p>
      <w:pPr>
        <w:pStyle w:val="6"/>
        <w:outlineLvl w:val="9"/>
        <w:rPr>
          <w:color w:val="auto"/>
          <w:highlight w:val="none"/>
        </w:rPr>
      </w:pPr>
    </w:p>
    <w:p>
      <w:pPr>
        <w:spacing w:line="288" w:lineRule="auto"/>
        <w:jc w:val="center"/>
        <w:outlineLvl w:val="0"/>
        <w:rPr>
          <w:rFonts w:eastAsia="方正小标宋_GBK"/>
          <w:b/>
          <w:bCs/>
          <w:color w:val="auto"/>
          <w:spacing w:val="160"/>
          <w:sz w:val="72"/>
          <w:szCs w:val="72"/>
          <w:highlight w:val="none"/>
        </w:rPr>
      </w:pPr>
      <w:bookmarkStart w:id="99" w:name="_Toc22936"/>
      <w:bookmarkStart w:id="100" w:name="_Toc2697"/>
      <w:bookmarkStart w:id="101" w:name="_Toc11795_WPSOffice_Level1"/>
      <w:bookmarkStart w:id="102" w:name="_Toc2815"/>
      <w:bookmarkStart w:id="103" w:name="_Toc6097"/>
      <w:bookmarkStart w:id="104" w:name="_Toc28474"/>
      <w:bookmarkStart w:id="105" w:name="_Toc16801"/>
      <w:bookmarkStart w:id="106" w:name="_Toc1021"/>
      <w:bookmarkStart w:id="107" w:name="_Toc6082"/>
      <w:r>
        <w:rPr>
          <w:rFonts w:hint="eastAsia" w:eastAsia="方正小标宋_GBK"/>
          <w:b/>
          <w:bCs/>
          <w:color w:val="auto"/>
          <w:spacing w:val="160"/>
          <w:sz w:val="72"/>
          <w:szCs w:val="72"/>
          <w:highlight w:val="none"/>
        </w:rPr>
        <w:t>响应</w:t>
      </w:r>
      <w:r>
        <w:rPr>
          <w:rFonts w:eastAsia="方正小标宋_GBK"/>
          <w:b/>
          <w:bCs/>
          <w:color w:val="auto"/>
          <w:spacing w:val="160"/>
          <w:sz w:val="72"/>
          <w:szCs w:val="72"/>
          <w:highlight w:val="none"/>
        </w:rPr>
        <w:t>文件</w:t>
      </w:r>
      <w:bookmarkEnd w:id="99"/>
      <w:bookmarkEnd w:id="100"/>
      <w:bookmarkEnd w:id="101"/>
      <w:bookmarkEnd w:id="102"/>
      <w:bookmarkEnd w:id="103"/>
      <w:bookmarkEnd w:id="104"/>
      <w:bookmarkEnd w:id="105"/>
      <w:bookmarkEnd w:id="106"/>
      <w:bookmarkEnd w:id="107"/>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900" w:lineRule="exact"/>
        <w:jc w:val="center"/>
        <w:outlineLvl w:val="0"/>
        <w:rPr>
          <w:rFonts w:eastAsia="黑体"/>
          <w:bCs/>
          <w:color w:val="auto"/>
          <w:sz w:val="30"/>
          <w:szCs w:val="30"/>
          <w:highlight w:val="none"/>
        </w:rPr>
      </w:pPr>
      <w:bookmarkStart w:id="108" w:name="_Toc20689"/>
      <w:bookmarkStart w:id="109" w:name="_Toc20696"/>
      <w:bookmarkStart w:id="110" w:name="_Toc7376"/>
      <w:bookmarkStart w:id="111" w:name="_Toc17206_WPSOffice_Level1"/>
      <w:bookmarkStart w:id="112" w:name="_Toc17947"/>
      <w:bookmarkStart w:id="113" w:name="_Toc13175"/>
      <w:bookmarkStart w:id="114" w:name="_Toc1037"/>
      <w:bookmarkStart w:id="115" w:name="_Toc4815"/>
      <w:bookmarkStart w:id="116" w:name="_Toc5182"/>
      <w:r>
        <w:rPr>
          <w:rFonts w:hint="eastAsia" w:eastAsia="黑体"/>
          <w:bCs/>
          <w:color w:val="auto"/>
          <w:sz w:val="30"/>
          <w:szCs w:val="30"/>
          <w:highlight w:val="none"/>
        </w:rPr>
        <w:t>供 应 商</w:t>
      </w:r>
      <w:r>
        <w:rPr>
          <w:rFonts w:eastAsia="黑体"/>
          <w:bCs/>
          <w:color w:val="auto"/>
          <w:sz w:val="30"/>
          <w:szCs w:val="30"/>
          <w:highlight w:val="none"/>
        </w:rPr>
        <w:t>：</w:t>
      </w:r>
      <w:r>
        <w:rPr>
          <w:rFonts w:eastAsia="黑体"/>
          <w:bCs/>
          <w:color w:val="auto"/>
          <w:sz w:val="30"/>
          <w:szCs w:val="30"/>
          <w:highlight w:val="none"/>
          <w:u w:val="single"/>
        </w:rPr>
        <w:t xml:space="preserve">  </w:t>
      </w:r>
      <w:r>
        <w:rPr>
          <w:rFonts w:hint="eastAsia" w:eastAsia="黑体"/>
          <w:bCs/>
          <w:color w:val="auto"/>
          <w:sz w:val="30"/>
          <w:szCs w:val="30"/>
          <w:highlight w:val="none"/>
          <w:u w:val="single"/>
        </w:rPr>
        <w:t>供应商</w:t>
      </w:r>
      <w:r>
        <w:rPr>
          <w:rFonts w:eastAsia="黑体"/>
          <w:bCs/>
          <w:color w:val="auto"/>
          <w:sz w:val="30"/>
          <w:szCs w:val="30"/>
          <w:highlight w:val="none"/>
          <w:u w:val="single"/>
        </w:rPr>
        <w:t>全称并盖单位公章</w:t>
      </w:r>
      <w:bookmarkEnd w:id="108"/>
      <w:bookmarkEnd w:id="109"/>
      <w:bookmarkEnd w:id="110"/>
      <w:bookmarkEnd w:id="111"/>
      <w:bookmarkEnd w:id="112"/>
      <w:bookmarkEnd w:id="113"/>
      <w:bookmarkEnd w:id="114"/>
      <w:bookmarkEnd w:id="115"/>
      <w:bookmarkEnd w:id="116"/>
      <w:r>
        <w:rPr>
          <w:rFonts w:eastAsia="黑体"/>
          <w:bCs/>
          <w:color w:val="auto"/>
          <w:sz w:val="30"/>
          <w:szCs w:val="30"/>
          <w:highlight w:val="none"/>
          <w:u w:val="single"/>
        </w:rPr>
        <w:t xml:space="preserve"> </w:t>
      </w:r>
    </w:p>
    <w:p>
      <w:pPr>
        <w:spacing w:line="900" w:lineRule="exact"/>
        <w:jc w:val="center"/>
        <w:outlineLvl w:val="0"/>
        <w:rPr>
          <w:rFonts w:eastAsia="黑体"/>
          <w:color w:val="auto"/>
          <w:sz w:val="30"/>
          <w:szCs w:val="30"/>
          <w:highlight w:val="none"/>
        </w:rPr>
      </w:pPr>
      <w:bookmarkStart w:id="117" w:name="_Toc25301"/>
      <w:bookmarkStart w:id="118" w:name="_Toc13423"/>
      <w:bookmarkStart w:id="119" w:name="_Toc6101_WPSOffice_Level1"/>
      <w:bookmarkStart w:id="120" w:name="_Toc16712"/>
      <w:bookmarkStart w:id="121" w:name="_Toc3040"/>
      <w:bookmarkStart w:id="122" w:name="_Toc26188"/>
      <w:bookmarkStart w:id="123" w:name="_Toc1745"/>
      <w:bookmarkStart w:id="124" w:name="_Toc14264"/>
      <w:bookmarkStart w:id="125" w:name="_Toc13300"/>
      <w:r>
        <w:rPr>
          <w:rFonts w:eastAsia="黑体"/>
          <w:color w:val="auto"/>
          <w:sz w:val="30"/>
          <w:szCs w:val="30"/>
          <w:highlight w:val="none"/>
        </w:rPr>
        <w:t>日</w:t>
      </w:r>
      <w:r>
        <w:rPr>
          <w:rFonts w:hint="eastAsia" w:eastAsia="黑体"/>
          <w:color w:val="auto"/>
          <w:sz w:val="30"/>
          <w:szCs w:val="30"/>
          <w:highlight w:val="none"/>
        </w:rPr>
        <w:t xml:space="preserve">   </w:t>
      </w:r>
      <w:r>
        <w:rPr>
          <w:rFonts w:eastAsia="黑体"/>
          <w:color w:val="auto"/>
          <w:sz w:val="30"/>
          <w:szCs w:val="30"/>
          <w:highlight w:val="none"/>
        </w:rPr>
        <w:t>期：</w:t>
      </w:r>
      <w:r>
        <w:rPr>
          <w:rFonts w:eastAsia="黑体"/>
          <w:color w:val="auto"/>
          <w:sz w:val="30"/>
          <w:szCs w:val="30"/>
          <w:highlight w:val="none"/>
          <w:u w:val="single"/>
        </w:rPr>
        <w:t xml:space="preserve">      </w:t>
      </w:r>
      <w:r>
        <w:rPr>
          <w:rFonts w:eastAsia="黑体"/>
          <w:color w:val="auto"/>
          <w:sz w:val="30"/>
          <w:szCs w:val="30"/>
          <w:highlight w:val="none"/>
        </w:rPr>
        <w:t>年</w:t>
      </w:r>
      <w:r>
        <w:rPr>
          <w:rFonts w:eastAsia="黑体"/>
          <w:color w:val="auto"/>
          <w:sz w:val="30"/>
          <w:szCs w:val="30"/>
          <w:highlight w:val="none"/>
          <w:u w:val="single"/>
        </w:rPr>
        <w:t xml:space="preserve">    </w:t>
      </w:r>
      <w:r>
        <w:rPr>
          <w:rFonts w:eastAsia="黑体"/>
          <w:color w:val="auto"/>
          <w:sz w:val="30"/>
          <w:szCs w:val="30"/>
          <w:highlight w:val="none"/>
        </w:rPr>
        <w:t>月</w:t>
      </w:r>
      <w:r>
        <w:rPr>
          <w:rFonts w:eastAsia="黑体"/>
          <w:color w:val="auto"/>
          <w:sz w:val="30"/>
          <w:szCs w:val="30"/>
          <w:highlight w:val="none"/>
          <w:u w:val="single"/>
        </w:rPr>
        <w:t xml:space="preserve">    </w:t>
      </w:r>
      <w:r>
        <w:rPr>
          <w:rFonts w:eastAsia="黑体"/>
          <w:color w:val="auto"/>
          <w:sz w:val="30"/>
          <w:szCs w:val="30"/>
          <w:highlight w:val="none"/>
        </w:rPr>
        <w:t>日</w:t>
      </w:r>
      <w:bookmarkEnd w:id="117"/>
      <w:bookmarkEnd w:id="118"/>
      <w:bookmarkEnd w:id="119"/>
      <w:bookmarkEnd w:id="120"/>
      <w:bookmarkEnd w:id="121"/>
      <w:bookmarkEnd w:id="122"/>
      <w:bookmarkEnd w:id="123"/>
      <w:bookmarkEnd w:id="124"/>
      <w:bookmarkEnd w:id="125"/>
    </w:p>
    <w:p>
      <w:pPr>
        <w:spacing w:before="0" w:beforeLines="0" w:after="0" w:afterLines="0" w:line="240" w:lineRule="auto"/>
        <w:ind w:left="0" w:leftChars="0" w:right="0" w:rightChars="0" w:firstLine="0" w:firstLineChars="0"/>
        <w:jc w:val="center"/>
        <w:rPr>
          <w:rFonts w:hint="eastAsia" w:ascii="黑体" w:hAnsi="黑体" w:eastAsia="黑体" w:cs="仿宋"/>
          <w:color w:val="auto"/>
          <w:sz w:val="36"/>
          <w:szCs w:val="36"/>
          <w:highlight w:val="none"/>
          <w:lang w:val="en-US" w:eastAsia="zh-CN"/>
        </w:rPr>
        <w:sectPr>
          <w:headerReference r:id="rId11" w:type="default"/>
          <w:footerReference r:id="rId12" w:type="default"/>
          <w:pgSz w:w="11906" w:h="16838"/>
          <w:pgMar w:top="1440" w:right="1080" w:bottom="1440" w:left="1080" w:header="851" w:footer="1344" w:gutter="0"/>
          <w:pgNumType w:fmt="decimal"/>
          <w:cols w:space="720" w:num="1"/>
          <w:docGrid w:linePitch="312" w:charSpace="0"/>
        </w:sectPr>
      </w:pPr>
      <w:bookmarkStart w:id="126" w:name="_Toc5779"/>
      <w:bookmarkStart w:id="127" w:name="_Toc11266"/>
      <w:bookmarkStart w:id="128" w:name="_Toc7446_WPSOffice_Level1"/>
    </w:p>
    <w:p>
      <w:pPr>
        <w:pStyle w:val="36"/>
        <w:rPr>
          <w:rFonts w:hint="eastAsia"/>
          <w:highlight w:val="none"/>
          <w:lang w:val="en-US" w:eastAsia="zh-CN"/>
        </w:rPr>
      </w:pPr>
    </w:p>
    <w:p>
      <w:pPr>
        <w:spacing w:before="0" w:beforeLines="0" w:after="0" w:afterLines="0" w:line="240" w:lineRule="auto"/>
        <w:ind w:left="0" w:leftChars="0" w:right="0" w:rightChars="0" w:firstLine="0" w:firstLineChars="0"/>
        <w:jc w:val="center"/>
        <w:rPr>
          <w:rFonts w:hint="eastAsia" w:ascii="黑体" w:hAnsi="黑体" w:eastAsia="黑体" w:cs="仿宋"/>
          <w:color w:val="auto"/>
          <w:sz w:val="36"/>
          <w:szCs w:val="36"/>
          <w:highlight w:val="none"/>
          <w:lang w:val="en-US" w:eastAsia="zh-CN"/>
        </w:rPr>
      </w:pPr>
    </w:p>
    <w:p>
      <w:pPr>
        <w:spacing w:before="0" w:beforeLines="0" w:after="0" w:afterLines="0" w:line="240" w:lineRule="auto"/>
        <w:ind w:left="0" w:leftChars="0" w:right="0" w:rightChars="0" w:firstLine="0" w:firstLineChars="0"/>
        <w:jc w:val="center"/>
        <w:outlineLvl w:val="0"/>
        <w:rPr>
          <w:rFonts w:hint="eastAsia" w:ascii="黑体" w:hAnsi="黑体" w:eastAsia="黑体" w:cs="仿宋"/>
          <w:color w:val="auto"/>
          <w:sz w:val="36"/>
          <w:szCs w:val="36"/>
          <w:highlight w:val="none"/>
          <w:lang w:val="en-US" w:eastAsia="zh-CN"/>
        </w:rPr>
      </w:pPr>
      <w:bookmarkStart w:id="129" w:name="_Toc9866"/>
      <w:bookmarkStart w:id="130" w:name="_Toc16167"/>
      <w:bookmarkStart w:id="131" w:name="_Toc20868"/>
      <w:bookmarkStart w:id="132" w:name="_Toc19580"/>
      <w:bookmarkStart w:id="133" w:name="_Toc13122"/>
      <w:bookmarkStart w:id="134" w:name="_Toc3489"/>
      <w:r>
        <w:rPr>
          <w:rFonts w:hint="eastAsia" w:ascii="黑体" w:hAnsi="黑体" w:eastAsia="黑体" w:cs="仿宋"/>
          <w:color w:val="auto"/>
          <w:sz w:val="36"/>
          <w:szCs w:val="36"/>
          <w:highlight w:val="none"/>
          <w:lang w:val="en-US" w:eastAsia="zh-CN"/>
        </w:rPr>
        <w:t>目  录</w:t>
      </w:r>
      <w:bookmarkEnd w:id="126"/>
      <w:bookmarkEnd w:id="127"/>
      <w:bookmarkEnd w:id="128"/>
      <w:bookmarkEnd w:id="129"/>
      <w:bookmarkEnd w:id="130"/>
      <w:bookmarkEnd w:id="131"/>
      <w:bookmarkEnd w:id="132"/>
      <w:bookmarkEnd w:id="133"/>
      <w:bookmarkEnd w:id="134"/>
      <w:bookmarkStart w:id="135" w:name="_Toc22599"/>
    </w:p>
    <w:p>
      <w:pPr>
        <w:pStyle w:val="2"/>
        <w:rPr>
          <w:rFonts w:hint="eastAsia" w:ascii="黑体" w:hAnsi="黑体" w:eastAsia="黑体" w:cs="仿宋"/>
          <w:color w:val="auto"/>
          <w:sz w:val="36"/>
          <w:szCs w:val="36"/>
          <w:highlight w:val="none"/>
          <w:lang w:val="en-US" w:eastAsia="zh-CN"/>
        </w:rPr>
      </w:pPr>
    </w:p>
    <w:p>
      <w:pPr>
        <w:pStyle w:val="3"/>
        <w:rPr>
          <w:rFonts w:hint="eastAsia" w:ascii="黑体" w:hAnsi="黑体" w:eastAsia="黑体" w:cs="仿宋"/>
          <w:color w:val="auto"/>
          <w:sz w:val="36"/>
          <w:szCs w:val="36"/>
          <w:highlight w:val="none"/>
          <w:lang w:val="en-US" w:eastAsia="zh-CN"/>
        </w:rPr>
      </w:pPr>
    </w:p>
    <w:bookmarkEnd w:id="135"/>
    <w:p>
      <w:pPr>
        <w:adjustRightInd w:val="0"/>
        <w:snapToGrid w:val="0"/>
        <w:spacing w:line="600" w:lineRule="exact"/>
        <w:jc w:val="both"/>
        <w:rPr>
          <w:ins w:id="8"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rPr>
        <w:t>一、响应函</w:t>
      </w:r>
      <w:del w:id="9"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ins w:id="10"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rPr>
        <w:t>二、授权委托书(适用于有委托代理人的情况)</w:t>
      </w:r>
      <w:del w:id="11"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ins w:id="12"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rPr>
        <w:t>三、商务和技术偏差表</w:t>
      </w:r>
      <w:del w:id="13"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ins w:id="14"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四</w:t>
      </w:r>
      <w:r>
        <w:rPr>
          <w:rFonts w:hint="eastAsia" w:ascii="宋体" w:hAnsi="宋体" w:cs="仿宋"/>
          <w:color w:val="auto"/>
          <w:sz w:val="24"/>
          <w:highlight w:val="none"/>
        </w:rPr>
        <w:t>、报价表</w:t>
      </w:r>
      <w:del w:id="15"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ins w:id="16"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五</w:t>
      </w:r>
      <w:r>
        <w:rPr>
          <w:rFonts w:hint="eastAsia" w:ascii="宋体" w:hAnsi="宋体" w:cs="仿宋"/>
          <w:color w:val="auto"/>
          <w:sz w:val="24"/>
          <w:highlight w:val="none"/>
        </w:rPr>
        <w:t>、资格审查资料</w:t>
      </w:r>
      <w:del w:id="17"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ins w:id="18" w:author="咸鱼" w:date="2024-05-24T15:07:37Z"/>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六</w:t>
      </w:r>
      <w:r>
        <w:rPr>
          <w:rFonts w:hint="eastAsia" w:ascii="宋体" w:hAnsi="宋体" w:cs="仿宋"/>
          <w:color w:val="auto"/>
          <w:sz w:val="24"/>
          <w:highlight w:val="none"/>
        </w:rPr>
        <w:t>、响应方案</w:t>
      </w:r>
      <w:del w:id="19" w:author="咸鱼" w:date="2024-05-24T15:07:37Z">
        <w:r>
          <w:rPr>
            <w:rFonts w:hint="eastAsia" w:ascii="宋体" w:hAnsi="宋体" w:cs="仿宋"/>
            <w:color w:val="auto"/>
            <w:sz w:val="24"/>
            <w:highlight w:val="none"/>
          </w:rPr>
          <w:br w:type="textWrapping"/>
        </w:r>
      </w:del>
    </w:p>
    <w:p>
      <w:pPr>
        <w:adjustRightInd w:val="0"/>
        <w:snapToGrid w:val="0"/>
        <w:spacing w:line="600" w:lineRule="exact"/>
        <w:jc w:val="both"/>
        <w:rPr>
          <w:rFonts w:ascii="宋体" w:hAnsi="宋体" w:cs="仿宋"/>
          <w:color w:val="auto"/>
          <w:sz w:val="24"/>
          <w:highlight w:val="none"/>
        </w:rPr>
      </w:pPr>
      <w:r>
        <w:rPr>
          <w:rFonts w:hint="eastAsia" w:ascii="宋体" w:hAnsi="宋体" w:cs="仿宋"/>
          <w:color w:val="auto"/>
          <w:sz w:val="24"/>
          <w:highlight w:val="none"/>
          <w:lang w:eastAsia="zh-CN"/>
        </w:rPr>
        <w:t>七</w:t>
      </w:r>
      <w:r>
        <w:rPr>
          <w:rFonts w:hint="eastAsia" w:ascii="宋体" w:hAnsi="宋体" w:cs="仿宋"/>
          <w:color w:val="auto"/>
          <w:sz w:val="24"/>
          <w:highlight w:val="none"/>
        </w:rPr>
        <w:t>、其他资料</w:t>
      </w:r>
    </w:p>
    <w:p>
      <w:pPr>
        <w:rPr>
          <w:color w:val="auto"/>
          <w:highlight w:val="none"/>
          <w:lang w:val="zh-CN"/>
        </w:rPr>
      </w:pPr>
      <w:r>
        <w:rPr>
          <w:color w:val="auto"/>
          <w:highlight w:val="none"/>
          <w:lang w:val="zh-CN"/>
        </w:rPr>
        <w:br w:type="page"/>
      </w:r>
    </w:p>
    <w:p>
      <w:pPr>
        <w:numPr>
          <w:ilvl w:val="0"/>
          <w:numId w:val="4"/>
        </w:numPr>
        <w:adjustRightInd w:val="0"/>
        <w:snapToGrid w:val="0"/>
        <w:spacing w:line="600" w:lineRule="exact"/>
        <w:jc w:val="center"/>
        <w:outlineLvl w:val="0"/>
        <w:rPr>
          <w:rFonts w:ascii="黑体" w:hAnsi="黑体" w:eastAsia="黑体" w:cs="仿宋"/>
          <w:color w:val="auto"/>
          <w:sz w:val="36"/>
          <w:szCs w:val="36"/>
          <w:highlight w:val="none"/>
        </w:rPr>
      </w:pPr>
      <w:bookmarkStart w:id="136" w:name="_Toc2002"/>
      <w:bookmarkStart w:id="137" w:name="_Toc29407"/>
      <w:bookmarkStart w:id="138" w:name="_Toc24287"/>
      <w:r>
        <w:rPr>
          <w:rFonts w:hint="eastAsia" w:ascii="黑体" w:hAnsi="黑体" w:eastAsia="黑体" w:cs="仿宋"/>
          <w:color w:val="auto"/>
          <w:sz w:val="36"/>
          <w:szCs w:val="36"/>
          <w:highlight w:val="none"/>
        </w:rPr>
        <w:t>响应函</w:t>
      </w:r>
      <w:bookmarkEnd w:id="136"/>
      <w:bookmarkEnd w:id="137"/>
      <w:bookmarkEnd w:id="138"/>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(采购人名称):</w:t>
      </w:r>
    </w:p>
    <w:p>
      <w:pPr>
        <w:adjustRightInd w:val="0"/>
        <w:snapToGrid w:val="0"/>
        <w:spacing w:line="360" w:lineRule="auto"/>
        <w:rPr>
          <w:rFonts w:hint="eastAsia" w:ascii="宋体" w:hAnsi="宋体" w:cs="Times New Roman"/>
          <w:color w:val="auto"/>
          <w:sz w:val="24"/>
          <w:highlight w:val="none"/>
          <w:lang w:val="en-US" w:eastAsia="zh-CN"/>
        </w:rPr>
      </w:pPr>
    </w:p>
    <w:p>
      <w:pPr>
        <w:adjustRightInd w:val="0"/>
        <w:snapToGrid w:val="0"/>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我方已仔细研究了</w:t>
      </w:r>
      <w:r>
        <w:rPr>
          <w:rFonts w:hint="eastAsia" w:ascii="宋体" w:hAnsi="宋体" w:cs="Times New Roman"/>
          <w:color w:val="auto"/>
          <w:sz w:val="24"/>
          <w:highlight w:val="none"/>
          <w:lang w:val="en-US" w:eastAsia="zh-CN"/>
        </w:rPr>
        <w:t>贵公司《</w:t>
      </w:r>
      <w:r>
        <w:rPr>
          <w:rFonts w:hint="eastAsia" w:ascii="宋体" w:hAnsi="宋体" w:cs="Times New Roman"/>
          <w:b w:val="0"/>
          <w:bCs w:val="0"/>
          <w:color w:val="auto"/>
          <w:kern w:val="2"/>
          <w:sz w:val="24"/>
          <w:szCs w:val="24"/>
          <w:highlight w:val="none"/>
          <w:u w:val="none"/>
          <w:lang w:val="en-US" w:eastAsia="zh-CN" w:bidi="ar"/>
        </w:rPr>
        <w:t>2024年度职工健康体检</w:t>
      </w:r>
      <w:r>
        <w:rPr>
          <w:rFonts w:hint="eastAsia" w:ascii="宋体" w:hAnsi="宋体" w:eastAsia="宋体" w:cs="Times New Roman"/>
          <w:b w:val="0"/>
          <w:bCs w:val="0"/>
          <w:color w:val="auto"/>
          <w:kern w:val="2"/>
          <w:sz w:val="24"/>
          <w:szCs w:val="24"/>
          <w:highlight w:val="none"/>
          <w:u w:val="none"/>
          <w:lang w:val="en-US" w:eastAsia="zh-CN" w:bidi="ar"/>
        </w:rPr>
        <w:t>项目</w:t>
      </w:r>
      <w:r>
        <w:rPr>
          <w:rFonts w:hint="eastAsia" w:ascii="宋体" w:hAnsi="宋体" w:cs="Times New Roman"/>
          <w:b w:val="0"/>
          <w:bCs w:val="0"/>
          <w:color w:val="auto"/>
          <w:kern w:val="2"/>
          <w:sz w:val="24"/>
          <w:szCs w:val="24"/>
          <w:highlight w:val="none"/>
          <w:u w:val="none"/>
          <w:lang w:val="en-US" w:eastAsia="zh-CN" w:bidi="ar"/>
        </w:rPr>
        <w:t>》</w:t>
      </w:r>
      <w:r>
        <w:rPr>
          <w:rFonts w:hint="eastAsia" w:ascii="宋体" w:hAnsi="宋体" w:eastAsia="宋体" w:cs="Times New Roman"/>
          <w:color w:val="auto"/>
          <w:sz w:val="24"/>
          <w:highlight w:val="none"/>
        </w:rPr>
        <w:t>采购文件的全部内容，愿意以人民币(大写)</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)的报价</w:t>
      </w:r>
      <w:r>
        <w:rPr>
          <w:rFonts w:hint="eastAsia" w:ascii="宋体" w:hAnsi="宋体" w:cs="Times New Roman"/>
          <w:color w:val="auto"/>
          <w:sz w:val="24"/>
          <w:highlight w:val="none"/>
          <w:lang w:eastAsia="zh-CN"/>
        </w:rPr>
        <w:t>提供</w:t>
      </w:r>
      <w:r>
        <w:rPr>
          <w:rFonts w:hint="eastAsia" w:ascii="宋体" w:hAnsi="宋体" w:eastAsia="宋体" w:cs="Times New Roman"/>
          <w:color w:val="auto"/>
          <w:sz w:val="24"/>
          <w:highlight w:val="none"/>
        </w:rPr>
        <w:t>服务，</w:t>
      </w:r>
      <w:r>
        <w:rPr>
          <w:rFonts w:hint="eastAsia" w:ascii="宋体" w:hAnsi="宋体"/>
          <w:b w:val="0"/>
          <w:bCs w:val="0"/>
          <w:color w:val="auto"/>
          <w:sz w:val="24"/>
          <w:highlight w:val="none"/>
          <w:u w:val="none"/>
          <w:lang w:val="en-US" w:eastAsia="zh-CN"/>
        </w:rPr>
        <w:t>提供医疗门诊收费票据，</w:t>
      </w:r>
      <w:r>
        <w:rPr>
          <w:rFonts w:hint="eastAsia" w:ascii="宋体" w:hAnsi="宋体" w:eastAsia="宋体" w:cs="Times New Roman"/>
          <w:color w:val="auto"/>
          <w:sz w:val="24"/>
          <w:highlight w:val="none"/>
        </w:rPr>
        <w:t>并按合同约定履行义务。</w:t>
      </w:r>
      <w:r>
        <w:rPr>
          <w:rFonts w:hint="eastAsia" w:ascii="宋体" w:hAnsi="宋体" w:cs="Times New Roman"/>
          <w:color w:val="auto"/>
          <w:sz w:val="24"/>
          <w:highlight w:val="none"/>
          <w:lang w:val="en-US" w:eastAsia="zh-CN"/>
        </w:rPr>
        <w:t>服务期限为合同签订后90个日历日。响应文件有效期为90天。</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(1)响应函;</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(2)授权委托书(如有);</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)商务和技术偏差表;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)报价表;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)资格审查资料;</w:t>
      </w:r>
    </w:p>
    <w:p>
      <w:pPr>
        <w:adjustRightInd w:val="0"/>
        <w:snapToGrid w:val="0"/>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)响应方案;</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6.我方在此声明，所递交的响应文件及有关资料内容完整、真实和准确，</w:t>
      </w:r>
      <w:r>
        <w:rPr>
          <w:rFonts w:hint="eastAsia" w:cs="仿宋" w:asciiTheme="minorEastAsia" w:hAnsiTheme="minorEastAsia" w:eastAsiaTheme="minorEastAsia"/>
          <w:b/>
          <w:bCs/>
          <w:color w:val="auto"/>
          <w:sz w:val="24"/>
          <w:highlight w:val="none"/>
        </w:rPr>
        <w:t>且不</w:t>
      </w:r>
      <w:r>
        <w:rPr>
          <w:rFonts w:hint="eastAsia" w:cs="仿宋" w:asciiTheme="minorEastAsia" w:hAnsiTheme="minorEastAsia" w:eastAsiaTheme="minorEastAsia"/>
          <w:b/>
          <w:bCs/>
          <w:color w:val="auto"/>
          <w:sz w:val="24"/>
          <w:highlight w:val="none"/>
          <w:lang w:eastAsia="zh-CN"/>
        </w:rPr>
        <w:t>存</w:t>
      </w:r>
      <w:r>
        <w:rPr>
          <w:rFonts w:hint="eastAsia" w:cs="仿宋" w:asciiTheme="minorEastAsia" w:hAnsiTheme="minorEastAsia" w:eastAsiaTheme="minorEastAsia"/>
          <w:b/>
          <w:bCs/>
          <w:color w:val="auto"/>
          <w:sz w:val="24"/>
          <w:highlight w:val="none"/>
        </w:rPr>
        <w:t>在第一章“采购公告”中规定的供应商不得存在的情形。</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7.(其他补充说明)。</w:t>
      </w:r>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电子邮箱：_______________________________________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电话：____________________________________________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传真：____________________________________________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邮政编码：_______________________________________</w:t>
      </w:r>
    </w:p>
    <w:p>
      <w:pPr>
        <w:spacing w:line="600" w:lineRule="exact"/>
        <w:jc w:val="both"/>
        <w:rPr>
          <w:rFonts w:cs="仿宋" w:asciiTheme="minorEastAsia" w:hAnsiTheme="minorEastAsia" w:eastAsiaTheme="minorEastAsia"/>
          <w:color w:val="auto"/>
          <w:sz w:val="24"/>
          <w:highlight w:val="none"/>
        </w:rPr>
      </w:pPr>
    </w:p>
    <w:p>
      <w:pPr>
        <w:spacing w:line="600" w:lineRule="exact"/>
        <w:ind w:firstLine="7200" w:firstLineChars="30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年 </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 xml:space="preserve">月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240" w:lineRule="auto"/>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××公司：</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1、我司已仔细阅读《××单位××文件》</w:t>
      </w:r>
      <w:r>
        <w:rPr>
          <w:rFonts w:cs="仿宋" w:asciiTheme="minorEastAsia" w:hAnsiTheme="minorEastAsia" w:eastAsiaTheme="minorEastAsia"/>
          <w:color w:val="auto"/>
          <w:sz w:val="24"/>
          <w:highlight w:val="none"/>
        </w:rPr>
        <w:t>（编号</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（以下</w:t>
      </w:r>
      <w:r>
        <w:rPr>
          <w:rFonts w:cs="仿宋" w:asciiTheme="minorEastAsia" w:hAnsiTheme="minorEastAsia" w:eastAsiaTheme="minorEastAsia"/>
          <w:color w:val="auto"/>
          <w:sz w:val="24"/>
          <w:highlight w:val="none"/>
        </w:rPr>
        <w:t>简称</w:t>
      </w:r>
      <w:r>
        <w:rPr>
          <w:rFonts w:hint="eastAsia" w:cs="仿宋" w:asciiTheme="minorEastAsia" w:hAnsiTheme="minorEastAsia" w:eastAsiaTheme="minorEastAsia"/>
          <w:color w:val="auto"/>
          <w:sz w:val="24"/>
          <w:highlight w:val="none"/>
        </w:rPr>
        <w:t>采购</w:t>
      </w:r>
      <w:r>
        <w:rPr>
          <w:rFonts w:cs="仿宋" w:asciiTheme="minorEastAsia" w:hAnsiTheme="minorEastAsia" w:eastAsiaTheme="minorEastAsia"/>
          <w:color w:val="auto"/>
          <w:sz w:val="24"/>
          <w:highlight w:val="none"/>
        </w:rPr>
        <w:t>文件）</w:t>
      </w:r>
      <w:r>
        <w:rPr>
          <w:rFonts w:hint="eastAsia" w:cs="仿宋" w:asciiTheme="minorEastAsia" w:hAnsiTheme="minorEastAsia" w:eastAsiaTheme="minorEastAsia"/>
          <w:color w:val="auto"/>
          <w:sz w:val="24"/>
          <w:highlight w:val="none"/>
        </w:rPr>
        <w:t>，包括采</w:t>
      </w:r>
      <w:r>
        <w:rPr>
          <w:rFonts w:cs="仿宋" w:asciiTheme="minorEastAsia" w:hAnsiTheme="minorEastAsia" w:eastAsiaTheme="minorEastAsia"/>
          <w:color w:val="auto"/>
          <w:sz w:val="24"/>
          <w:highlight w:val="none"/>
        </w:rPr>
        <w:t>购</w:t>
      </w:r>
      <w:r>
        <w:rPr>
          <w:rFonts w:hint="eastAsia" w:cs="仿宋" w:asciiTheme="minorEastAsia" w:hAnsiTheme="minorEastAsia" w:eastAsiaTheme="minorEastAsia"/>
          <w:color w:val="auto"/>
          <w:sz w:val="24"/>
          <w:highlight w:val="none"/>
        </w:rPr>
        <w:t>文件的澄清或修改说明</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2、遵纪守法，不触底线，公平公正参与竞争。我司提供的《响应文件》及其资料真实合法有效。</w:t>
      </w:r>
      <w:r>
        <w:rPr>
          <w:rFonts w:cs="仿宋" w:asciiTheme="minorEastAsia" w:hAnsiTheme="minorEastAsia" w:eastAsiaTheme="minorEastAsia"/>
          <w:color w:val="auto"/>
          <w:sz w:val="24"/>
          <w:highlight w:val="none"/>
        </w:rPr>
        <w:t xml:space="preserve"> </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3、响应期间没有因质量或</w:t>
      </w:r>
      <w:r>
        <w:rPr>
          <w:rFonts w:cs="仿宋" w:asciiTheme="minorEastAsia" w:hAnsiTheme="minorEastAsia" w:eastAsiaTheme="minorEastAsia"/>
          <w:color w:val="auto"/>
          <w:sz w:val="24"/>
          <w:highlight w:val="none"/>
        </w:rPr>
        <w:t>服务</w:t>
      </w:r>
      <w:r>
        <w:rPr>
          <w:rFonts w:hint="eastAsia" w:cs="仿宋" w:asciiTheme="minorEastAsia" w:hAnsiTheme="minorEastAsia" w:eastAsiaTheme="minorEastAsia"/>
          <w:color w:val="auto"/>
          <w:sz w:val="24"/>
          <w:highlight w:val="none"/>
        </w:rPr>
        <w:t>问题被采购人或采购人上级</w:t>
      </w:r>
      <w:r>
        <w:rPr>
          <w:rFonts w:cs="仿宋" w:asciiTheme="minorEastAsia" w:hAnsiTheme="minorEastAsia" w:eastAsiaTheme="minorEastAsia"/>
          <w:color w:val="auto"/>
          <w:sz w:val="24"/>
          <w:highlight w:val="none"/>
        </w:rPr>
        <w:t>机构</w:t>
      </w:r>
      <w:r>
        <w:rPr>
          <w:rFonts w:hint="eastAsia" w:cs="仿宋" w:asciiTheme="minorEastAsia" w:hAnsiTheme="minorEastAsia" w:eastAsiaTheme="minorEastAsia"/>
          <w:color w:val="auto"/>
          <w:sz w:val="24"/>
          <w:highlight w:val="none"/>
        </w:rPr>
        <w:t>通报且在整改期内。</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5、无联合体另外报价。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8</w:t>
      </w:r>
      <w:r>
        <w:rPr>
          <w:rFonts w:hint="eastAsia" w:cs="仿宋" w:asciiTheme="minorEastAsia" w:hAnsiTheme="minorEastAsia" w:eastAsiaTheme="minorEastAsia"/>
          <w:color w:val="auto"/>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9</w:t>
      </w:r>
      <w:r>
        <w:rPr>
          <w:rFonts w:hint="eastAsia" w:cs="仿宋" w:asciiTheme="minorEastAsia" w:hAnsiTheme="minorEastAsia" w:eastAsiaTheme="minorEastAsia"/>
          <w:color w:val="auto"/>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专此承诺。</w:t>
      </w:r>
    </w:p>
    <w:p>
      <w:pPr>
        <w:spacing w:line="360" w:lineRule="auto"/>
        <w:ind w:firstLine="480" w:firstLineChars="200"/>
        <w:jc w:val="both"/>
        <w:rPr>
          <w:rFonts w:cs="仿宋" w:asciiTheme="minorEastAsia" w:hAnsiTheme="minorEastAsia" w:eastAsiaTheme="minorEastAsia"/>
          <w:color w:val="auto"/>
          <w:sz w:val="24"/>
          <w:highlight w:val="none"/>
        </w:rPr>
      </w:pPr>
    </w:p>
    <w:p>
      <w:pPr>
        <w:spacing w:line="360" w:lineRule="auto"/>
        <w:ind w:firstLine="4320" w:firstLineChars="18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印刷体全称</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单位公章</w:t>
      </w:r>
      <w:r>
        <w:rPr>
          <w:rFonts w:cs="仿宋" w:asciiTheme="minorEastAsia" w:hAnsiTheme="minorEastAsia" w:eastAsiaTheme="minorEastAsia"/>
          <w:color w:val="auto"/>
          <w:sz w:val="24"/>
          <w:highlight w:val="none"/>
        </w:rPr>
        <w:t>）：</w:t>
      </w:r>
    </w:p>
    <w:p>
      <w:pPr>
        <w:spacing w:line="360" w:lineRule="auto"/>
        <w:ind w:firstLine="3600" w:firstLineChars="15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承诺单位法定代表人或其委托代理人（印刷体+</w:t>
      </w:r>
      <w:r>
        <w:rPr>
          <w:rFonts w:cs="仿宋" w:asciiTheme="minorEastAsia" w:hAnsiTheme="minorEastAsia" w:eastAsiaTheme="minorEastAsia"/>
          <w:color w:val="auto"/>
          <w:sz w:val="24"/>
          <w:highlight w:val="none"/>
        </w:rPr>
        <w:t>签字）：</w:t>
      </w:r>
    </w:p>
    <w:p>
      <w:pPr>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月</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600" w:lineRule="exact"/>
        <w:jc w:val="center"/>
        <w:outlineLvl w:val="0"/>
        <w:rPr>
          <w:rFonts w:ascii="黑体" w:hAnsi="黑体" w:eastAsia="黑体" w:cs="仿宋"/>
          <w:color w:val="auto"/>
          <w:sz w:val="36"/>
          <w:szCs w:val="36"/>
          <w:highlight w:val="none"/>
        </w:rPr>
      </w:pPr>
      <w:r>
        <w:rPr>
          <w:rFonts w:hint="eastAsia" w:cs="仿宋" w:asciiTheme="minorEastAsia" w:hAnsiTheme="minorEastAsia" w:eastAsiaTheme="minorEastAsia"/>
          <w:color w:val="auto"/>
          <w:sz w:val="24"/>
          <w:highlight w:val="none"/>
        </w:rPr>
        <w:br w:type="page"/>
      </w:r>
      <w:bookmarkStart w:id="139" w:name="_Toc30751"/>
      <w:bookmarkStart w:id="140" w:name="_Toc27389"/>
      <w:bookmarkStart w:id="141" w:name="_Toc3647"/>
      <w:r>
        <w:rPr>
          <w:rFonts w:hint="eastAsia" w:ascii="黑体" w:hAnsi="黑体" w:eastAsia="黑体" w:cs="仿宋"/>
          <w:color w:val="auto"/>
          <w:sz w:val="36"/>
          <w:szCs w:val="36"/>
          <w:highlight w:val="none"/>
        </w:rPr>
        <w:t>二、授权委托书</w:t>
      </w:r>
      <w:bookmarkEnd w:id="139"/>
      <w:bookmarkEnd w:id="140"/>
      <w:bookmarkEnd w:id="141"/>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委托期限:自本委托书签署之日起至</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color w:val="auto"/>
          <w:sz w:val="24"/>
          <w:highlight w:val="none"/>
          <w:u w:val="none"/>
        </w:rPr>
      </w:pPr>
      <w:r>
        <w:rPr>
          <w:rFonts w:hint="eastAsia" w:cs="仿宋" w:asciiTheme="minorEastAsia" w:hAnsiTheme="minorEastAsia" w:eastAsiaTheme="minorEastAsia"/>
          <w:color w:val="auto"/>
          <w:sz w:val="24"/>
          <w:highlight w:val="none"/>
          <w:u w:val="none"/>
        </w:rPr>
        <w:t>年</w:t>
      </w:r>
      <w:r>
        <w:rPr>
          <w:rFonts w:hint="eastAsia" w:cs="仿宋" w:asciiTheme="minorEastAsia" w:hAnsiTheme="minorEastAsia" w:eastAsiaTheme="minorEastAsia"/>
          <w:color w:val="auto"/>
          <w:sz w:val="24"/>
          <w:highlight w:val="none"/>
          <w:u w:val="none"/>
          <w:lang w:val="en-US" w:eastAsia="zh-CN"/>
        </w:rPr>
        <w:t xml:space="preserve">   </w:t>
      </w:r>
      <w:r>
        <w:rPr>
          <w:rFonts w:hint="eastAsia" w:cs="仿宋" w:asciiTheme="minorEastAsia" w:hAnsiTheme="minorEastAsia" w:eastAsiaTheme="minorEastAsia"/>
          <w:color w:val="auto"/>
          <w:sz w:val="24"/>
          <w:highlight w:val="none"/>
          <w:u w:val="none"/>
        </w:rPr>
        <w:t>月</w:t>
      </w:r>
      <w:r>
        <w:rPr>
          <w:rFonts w:hint="eastAsia" w:cs="仿宋" w:asciiTheme="minorEastAsia" w:hAnsiTheme="minorEastAsia" w:eastAsiaTheme="minorEastAsia"/>
          <w:color w:val="auto"/>
          <w:sz w:val="24"/>
          <w:highlight w:val="none"/>
          <w:u w:val="none"/>
          <w:lang w:val="en-US" w:eastAsia="zh-CN"/>
        </w:rPr>
        <w:t xml:space="preserve">   </w:t>
      </w:r>
      <w:r>
        <w:rPr>
          <w:rFonts w:hint="eastAsia" w:cs="仿宋" w:asciiTheme="minorEastAsia" w:hAnsiTheme="minorEastAsia" w:eastAsiaTheme="minorEastAsia"/>
          <w:color w:val="auto"/>
          <w:sz w:val="24"/>
          <w:highlight w:val="none"/>
          <w:u w:val="none"/>
        </w:rPr>
        <w:t>日</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240" w:lineRule="auto"/>
        <w:jc w:val="center"/>
        <w:outlineLvl w:val="0"/>
        <w:rPr>
          <w:rFonts w:ascii="黑体" w:hAnsi="黑体" w:eastAsia="黑体" w:cs="仿宋"/>
          <w:color w:val="auto"/>
          <w:sz w:val="36"/>
          <w:szCs w:val="36"/>
          <w:highlight w:val="none"/>
        </w:rPr>
      </w:pPr>
      <w:bookmarkStart w:id="142" w:name="_Toc477"/>
      <w:bookmarkStart w:id="143" w:name="_Toc19"/>
      <w:bookmarkStart w:id="144" w:name="_Toc23316"/>
      <w:r>
        <w:rPr>
          <w:rFonts w:hint="eastAsia" w:ascii="黑体" w:hAnsi="黑体" w:eastAsia="黑体" w:cs="仿宋"/>
          <w:color w:val="auto"/>
          <w:sz w:val="36"/>
          <w:szCs w:val="36"/>
          <w:highlight w:val="none"/>
          <w:lang w:eastAsia="zh-CN"/>
        </w:rPr>
        <w:t>三</w:t>
      </w:r>
      <w:r>
        <w:rPr>
          <w:rFonts w:hint="eastAsia" w:ascii="黑体" w:hAnsi="黑体" w:eastAsia="黑体" w:cs="仿宋"/>
          <w:color w:val="auto"/>
          <w:sz w:val="36"/>
          <w:szCs w:val="36"/>
          <w:highlight w:val="none"/>
        </w:rPr>
        <w:t>、商务和技术偏差表</w:t>
      </w:r>
      <w:bookmarkEnd w:id="142"/>
      <w:bookmarkEnd w:id="143"/>
      <w:bookmarkEnd w:id="144"/>
    </w:p>
    <w:p>
      <w:pPr>
        <w:spacing w:line="600" w:lineRule="exact"/>
        <w:jc w:val="center"/>
        <w:rPr>
          <w:rFonts w:cs="仿宋" w:asciiTheme="minorEastAsia" w:hAnsiTheme="minorEastAsia" w:eastAsiaTheme="minorEastAsia"/>
          <w:color w:val="auto"/>
          <w:sz w:val="24"/>
          <w:highlight w:val="none"/>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序号</w:t>
            </w:r>
          </w:p>
        </w:tc>
        <w:tc>
          <w:tcPr>
            <w:tcW w:w="2982"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采购文件章节及条款号</w:t>
            </w:r>
          </w:p>
        </w:tc>
        <w:tc>
          <w:tcPr>
            <w:tcW w:w="2621"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响应文件章节及条款号</w:t>
            </w:r>
          </w:p>
        </w:tc>
        <w:tc>
          <w:tcPr>
            <w:tcW w:w="2307"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bl>
    <w:p>
      <w:pPr>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供应商保证：除商务和技术偏差表列出的偏差外，供应商响应采购文件的全部要求。</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ind w:left="0"/>
        <w:jc w:val="center"/>
        <w:outlineLvl w:val="0"/>
        <w:rPr>
          <w:rFonts w:ascii="黑体" w:hAnsi="黑体" w:eastAsia="黑体" w:cs="仿宋"/>
          <w:color w:val="auto"/>
          <w:sz w:val="36"/>
          <w:szCs w:val="36"/>
          <w:highlight w:val="none"/>
        </w:rPr>
      </w:pPr>
      <w:bookmarkStart w:id="145" w:name="_Toc16834"/>
      <w:bookmarkStart w:id="146" w:name="_Toc16238"/>
      <w:bookmarkStart w:id="147" w:name="_Toc1482"/>
      <w:r>
        <w:rPr>
          <w:rFonts w:hint="eastAsia" w:ascii="黑体" w:hAnsi="黑体" w:eastAsia="黑体" w:cs="仿宋"/>
          <w:color w:val="auto"/>
          <w:sz w:val="36"/>
          <w:szCs w:val="36"/>
          <w:highlight w:val="none"/>
          <w:lang w:eastAsia="zh-CN"/>
        </w:rPr>
        <w:t>四</w:t>
      </w:r>
      <w:r>
        <w:rPr>
          <w:rFonts w:hint="eastAsia" w:ascii="黑体" w:hAnsi="黑体" w:eastAsia="黑体" w:cs="仿宋"/>
          <w:color w:val="auto"/>
          <w:sz w:val="36"/>
          <w:szCs w:val="36"/>
          <w:highlight w:val="none"/>
        </w:rPr>
        <w:t>、报价表</w:t>
      </w:r>
      <w:bookmarkEnd w:id="145"/>
      <w:bookmarkEnd w:id="146"/>
      <w:bookmarkEnd w:id="147"/>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1.报价表说明</w:t>
      </w:r>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2.报价表</w:t>
      </w:r>
    </w:p>
    <w:p>
      <w:pPr>
        <w:pStyle w:val="36"/>
        <w:rPr>
          <w:rFonts w:hint="eastAsia"/>
          <w:highlight w:val="none"/>
        </w:rPr>
      </w:pPr>
    </w:p>
    <w:tbl>
      <w:tblPr>
        <w:tblStyle w:val="37"/>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995"/>
        <w:gridCol w:w="1492"/>
        <w:gridCol w:w="1754"/>
        <w:gridCol w:w="1557"/>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体检套餐项目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参检人员</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体检人数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0" w:author="咸鱼" w:date="2024-05-24T15:07:37Z"/>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见第五章采购需求</w:t>
            </w:r>
            <w:del w:id="21" w:author="咸鱼" w:date="2024-05-24T15:07:37Z">
              <w:r>
                <w:rPr>
                  <w:rFonts w:hint="eastAsia" w:ascii="宋体" w:hAnsi="宋体" w:eastAsia="宋体" w:cs="宋体"/>
                  <w:i w:val="0"/>
                  <w:iCs w:val="0"/>
                  <w:color w:val="000000"/>
                  <w:kern w:val="0"/>
                  <w:sz w:val="22"/>
                  <w:szCs w:val="22"/>
                  <w:highlight w:val="none"/>
                  <w:u w:val="none"/>
                  <w:lang w:val="en-US" w:eastAsia="zh-CN" w:bidi="ar"/>
                </w:rPr>
                <w:br w:type="textWrapping"/>
              </w:r>
            </w:del>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2" w:author="咸鱼" w:date="2024-05-24T15:07:37Z"/>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见第五章采购需求</w:t>
            </w:r>
            <w:del w:id="23" w:author="咸鱼" w:date="2024-05-24T15:07:37Z">
              <w:r>
                <w:rPr>
                  <w:rFonts w:hint="eastAsia" w:ascii="宋体" w:hAnsi="宋体" w:eastAsia="宋体" w:cs="宋体"/>
                  <w:i w:val="0"/>
                  <w:iCs w:val="0"/>
                  <w:color w:val="000000"/>
                  <w:kern w:val="0"/>
                  <w:sz w:val="22"/>
                  <w:szCs w:val="22"/>
                  <w:highlight w:val="none"/>
                  <w:u w:val="none"/>
                  <w:lang w:val="en-US" w:eastAsia="zh-CN" w:bidi="ar"/>
                </w:rPr>
                <w:br w:type="textWrapping"/>
              </w:r>
            </w:del>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女</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autoSpaceDE w:val="0"/>
        <w:spacing w:line="400" w:lineRule="exact"/>
        <w:ind w:left="0" w:leftChars="0" w:firstLine="0" w:firstLineChars="0"/>
        <w:jc w:val="both"/>
        <w:rPr>
          <w:rFonts w:hint="eastAsia" w:ascii="宋体" w:hAnsi="宋体" w:eastAsia="宋体" w:cs="Times New Roman"/>
          <w:color w:val="auto"/>
          <w:sz w:val="24"/>
          <w:highlight w:val="none"/>
          <w:u w:val="none"/>
          <w:lang w:val="en-US" w:eastAsia="zh-CN"/>
        </w:rPr>
      </w:pPr>
      <w:r>
        <w:rPr>
          <w:rFonts w:hint="eastAsia" w:ascii="宋体" w:hAnsi="宋体" w:cs="Times New Roman"/>
          <w:color w:val="auto"/>
          <w:sz w:val="24"/>
          <w:highlight w:val="none"/>
          <w:u w:val="none"/>
          <w:lang w:val="en-US" w:eastAsia="zh-CN"/>
        </w:rPr>
        <w:t>承诺：</w:t>
      </w:r>
    </w:p>
    <w:p>
      <w:pPr>
        <w:autoSpaceDE w:val="0"/>
        <w:spacing w:line="400" w:lineRule="exact"/>
        <w:ind w:firstLine="480" w:firstLineChars="200"/>
        <w:jc w:val="both"/>
        <w:rPr>
          <w:rFonts w:hint="eastAsia"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lang w:val="en-US" w:eastAsia="zh-CN"/>
        </w:rPr>
        <w:t>体检费用标准与成交价的差额由职工在体检中心自主消费完毕，自主消费项目收费标准按本中心挂牌价享受  折优惠。</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jc w:val="center"/>
        <w:outlineLvl w:val="0"/>
        <w:rPr>
          <w:rFonts w:ascii="黑体" w:hAnsi="黑体" w:eastAsia="黑体" w:cs="仿宋"/>
          <w:color w:val="auto"/>
          <w:sz w:val="36"/>
          <w:szCs w:val="36"/>
          <w:highlight w:val="none"/>
        </w:rPr>
      </w:pPr>
      <w:bookmarkStart w:id="148" w:name="_Toc11229"/>
      <w:bookmarkStart w:id="149" w:name="_Toc25473"/>
      <w:bookmarkStart w:id="150" w:name="_Toc24758"/>
      <w:r>
        <w:rPr>
          <w:rFonts w:hint="eastAsia" w:ascii="黑体" w:hAnsi="黑体" w:eastAsia="黑体" w:cs="仿宋"/>
          <w:color w:val="auto"/>
          <w:sz w:val="36"/>
          <w:szCs w:val="36"/>
          <w:highlight w:val="none"/>
          <w:lang w:eastAsia="zh-CN"/>
        </w:rPr>
        <w:t>五</w:t>
      </w:r>
      <w:r>
        <w:rPr>
          <w:rFonts w:hint="eastAsia" w:ascii="黑体" w:hAnsi="黑体" w:eastAsia="黑体" w:cs="仿宋"/>
          <w:color w:val="auto"/>
          <w:sz w:val="36"/>
          <w:szCs w:val="36"/>
          <w:highlight w:val="none"/>
        </w:rPr>
        <w:t>、资格审查资料</w:t>
      </w:r>
      <w:bookmarkEnd w:id="148"/>
      <w:bookmarkEnd w:id="149"/>
      <w:bookmarkEnd w:id="150"/>
    </w:p>
    <w:p>
      <w:pPr>
        <w:spacing w:line="600" w:lineRule="exact"/>
        <w:jc w:val="center"/>
        <w:rPr>
          <w:rFonts w:ascii="黑体" w:hAnsi="黑体" w:eastAsia="黑体" w:cs="仿宋"/>
          <w:color w:val="auto"/>
          <w:sz w:val="36"/>
          <w:szCs w:val="36"/>
          <w:highlight w:val="none"/>
        </w:rPr>
      </w:pP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供应商还应根据供应商须知前附表第3.5（8）项的要求提供其他相关证明材料。</w:t>
      </w:r>
    </w:p>
    <w:p>
      <w:pPr>
        <w:spacing w:line="600" w:lineRule="exact"/>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二</w:t>
      </w:r>
      <w:r>
        <w:rPr>
          <w:rFonts w:hint="eastAsia" w:cs="仿宋" w:asciiTheme="minorEastAsia" w:hAnsiTheme="minorEastAsia" w:eastAsiaTheme="minorEastAsia"/>
          <w:color w:val="auto"/>
          <w:sz w:val="24"/>
          <w:highlight w:val="none"/>
        </w:rPr>
        <w:t>）近年的类似</w:t>
      </w:r>
      <w:r>
        <w:rPr>
          <w:rFonts w:hint="eastAsia" w:cs="仿宋" w:asciiTheme="minorEastAsia" w:hAnsiTheme="minorEastAsia" w:eastAsiaTheme="minorEastAsia"/>
          <w:color w:val="auto"/>
          <w:sz w:val="24"/>
          <w:highlight w:val="none"/>
          <w:lang w:eastAsia="zh-CN"/>
        </w:rPr>
        <w:t>项目</w:t>
      </w:r>
      <w:r>
        <w:rPr>
          <w:rFonts w:hint="eastAsia" w:cs="仿宋" w:asciiTheme="minorEastAsia" w:hAnsiTheme="minorEastAsia" w:eastAsiaTheme="minorEastAsia"/>
          <w:color w:val="auto"/>
          <w:sz w:val="24"/>
          <w:highlight w:val="none"/>
        </w:rPr>
        <w:t>情况表</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bl>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如：提供类似</w:t>
      </w:r>
      <w:r>
        <w:rPr>
          <w:rFonts w:hint="eastAsia" w:cs="宋体" w:asciiTheme="minorEastAsia" w:hAnsiTheme="minorEastAsia" w:eastAsiaTheme="minorEastAsia"/>
          <w:color w:val="auto"/>
          <w:sz w:val="24"/>
          <w:highlight w:val="none"/>
        </w:rPr>
        <w:t>业绩</w:t>
      </w:r>
      <w:r>
        <w:rPr>
          <w:rFonts w:hint="eastAsia" w:cs="宋体" w:asciiTheme="minorEastAsia" w:hAnsiTheme="minorEastAsia" w:eastAsiaTheme="minorEastAsia"/>
          <w:color w:val="auto"/>
          <w:sz w:val="24"/>
          <w:highlight w:val="none"/>
          <w:lang w:val="en-US" w:eastAsia="zh-CN"/>
        </w:rPr>
        <w:t>合同的复印件不少于1份</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并加盖公章。</w:t>
      </w:r>
    </w:p>
    <w:p>
      <w:pPr>
        <w:pStyle w:val="6"/>
        <w:outlineLvl w:val="9"/>
        <w:rPr>
          <w:rFonts w:hint="default" w:eastAsiaTheme="minorEastAsia"/>
          <w:color w:val="auto"/>
          <w:highlight w:val="none"/>
          <w:lang w:val="en-US" w:eastAsia="zh-CN"/>
        </w:rPr>
      </w:pPr>
    </w:p>
    <w:p>
      <w:pPr>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adjustRightInd/>
        <w:snapToGrid/>
        <w:spacing w:line="240" w:lineRule="auto"/>
        <w:jc w:val="left"/>
        <w:outlineLvl w:val="9"/>
        <w:rPr>
          <w:rFonts w:hint="eastAsia" w:ascii="黑体" w:hAnsi="黑体" w:eastAsia="黑体" w:cs="仿宋"/>
          <w:color w:val="auto"/>
          <w:sz w:val="36"/>
          <w:szCs w:val="36"/>
          <w:highlight w:val="none"/>
          <w:lang w:eastAsia="zh-CN"/>
        </w:rPr>
      </w:pPr>
      <w:bookmarkStart w:id="151" w:name="_Toc2844"/>
    </w:p>
    <w:p>
      <w:pPr>
        <w:adjustRightInd w:val="0"/>
        <w:snapToGrid w:val="0"/>
        <w:spacing w:line="600" w:lineRule="exact"/>
        <w:jc w:val="center"/>
        <w:outlineLvl w:val="0"/>
        <w:rPr>
          <w:rFonts w:hint="eastAsia" w:ascii="黑体" w:hAnsi="黑体" w:eastAsia="黑体" w:cs="仿宋"/>
          <w:color w:val="auto"/>
          <w:sz w:val="36"/>
          <w:szCs w:val="36"/>
          <w:highlight w:val="none"/>
          <w:lang w:eastAsia="zh-CN"/>
        </w:rPr>
      </w:pPr>
      <w:bookmarkStart w:id="152" w:name="_Toc1260"/>
      <w:bookmarkStart w:id="153" w:name="_Toc9267"/>
      <w:r>
        <w:rPr>
          <w:rFonts w:hint="eastAsia" w:ascii="黑体" w:hAnsi="黑体" w:eastAsia="黑体" w:cs="仿宋"/>
          <w:color w:val="auto"/>
          <w:sz w:val="36"/>
          <w:szCs w:val="36"/>
          <w:highlight w:val="none"/>
          <w:lang w:eastAsia="zh-CN"/>
        </w:rPr>
        <w:t>六</w:t>
      </w:r>
      <w:r>
        <w:rPr>
          <w:rFonts w:hint="eastAsia" w:ascii="黑体" w:hAnsi="黑体" w:eastAsia="黑体" w:cs="仿宋"/>
          <w:color w:val="auto"/>
          <w:sz w:val="36"/>
          <w:szCs w:val="36"/>
          <w:highlight w:val="none"/>
        </w:rPr>
        <w:t>、响应方案</w:t>
      </w:r>
      <w:bookmarkEnd w:id="151"/>
      <w:bookmarkEnd w:id="152"/>
      <w:bookmarkEnd w:id="153"/>
    </w:p>
    <w:p>
      <w:pPr>
        <w:pStyle w:val="2"/>
        <w:rPr>
          <w:rFonts w:hint="eastAsia"/>
          <w:color w:val="auto"/>
          <w:highlight w:val="none"/>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)对本项目的合理化建议。</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adjustRightInd w:val="0"/>
        <w:snapToGrid w:val="0"/>
        <w:spacing w:line="600" w:lineRule="exact"/>
        <w:jc w:val="center"/>
        <w:outlineLvl w:val="0"/>
        <w:rPr>
          <w:rFonts w:ascii="黑体" w:hAnsi="黑体" w:eastAsia="黑体" w:cs="仿宋"/>
          <w:color w:val="auto"/>
          <w:sz w:val="36"/>
          <w:szCs w:val="36"/>
          <w:highlight w:val="none"/>
        </w:rPr>
      </w:pPr>
      <w:bookmarkStart w:id="154" w:name="_Toc10499"/>
      <w:bookmarkStart w:id="155" w:name="_Toc19434"/>
      <w:bookmarkStart w:id="156" w:name="_Toc9204"/>
      <w:r>
        <w:rPr>
          <w:rFonts w:hint="eastAsia" w:ascii="黑体" w:hAnsi="黑体" w:eastAsia="黑体" w:cs="仿宋"/>
          <w:color w:val="auto"/>
          <w:sz w:val="36"/>
          <w:szCs w:val="36"/>
          <w:highlight w:val="none"/>
          <w:lang w:eastAsia="zh-CN"/>
        </w:rPr>
        <w:t>七</w:t>
      </w:r>
      <w:r>
        <w:rPr>
          <w:rFonts w:hint="eastAsia" w:ascii="黑体" w:hAnsi="黑体" w:eastAsia="黑体" w:cs="仿宋"/>
          <w:color w:val="auto"/>
          <w:sz w:val="36"/>
          <w:szCs w:val="36"/>
          <w:highlight w:val="none"/>
        </w:rPr>
        <w:t>、其他资料</w:t>
      </w:r>
      <w:bookmarkEnd w:id="154"/>
      <w:bookmarkEnd w:id="155"/>
      <w:bookmarkEnd w:id="156"/>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供应商需提交的其他资料。</w:t>
      </w:r>
    </w:p>
    <w:p>
      <w:pPr>
        <w:spacing w:line="240" w:lineRule="auto"/>
        <w:jc w:val="both"/>
        <w:rPr>
          <w:rFonts w:asciiTheme="minorEastAsia" w:hAnsiTheme="minorEastAsia" w:eastAsiaTheme="minorEastAsia"/>
          <w:color w:val="auto"/>
          <w:sz w:val="24"/>
          <w:highlight w:val="none"/>
        </w:rPr>
      </w:pPr>
    </w:p>
    <w:p>
      <w:pPr>
        <w:rPr>
          <w:color w:val="auto"/>
          <w:highlight w:val="none"/>
        </w:rPr>
      </w:pPr>
    </w:p>
    <w:sectPr>
      <w:footerReference r:id="rId13" w:type="default"/>
      <w:pgSz w:w="11906" w:h="16838"/>
      <w:pgMar w:top="1440" w:right="1080" w:bottom="1440" w:left="1080" w:header="851" w:footer="134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979E3E-6DF1-4B9E-9EC6-0E6B17E024F2}"/>
  </w:font>
  <w:font w:name="Arial">
    <w:panose1 w:val="020B0604020202020204"/>
    <w:charset w:val="01"/>
    <w:family w:val="swiss"/>
    <w:pitch w:val="default"/>
    <w:sig w:usb0="E0002EFF" w:usb1="C000785B" w:usb2="00000009" w:usb3="00000000" w:csb0="400001FF" w:csb1="FFFF0000"/>
    <w:embedRegular r:id="rId2" w:fontKey="{8FB8760F-841D-4B54-B66E-33ED72ADA5A1}"/>
  </w:font>
  <w:font w:name="黑体">
    <w:panose1 w:val="02010609060101010101"/>
    <w:charset w:val="86"/>
    <w:family w:val="auto"/>
    <w:pitch w:val="default"/>
    <w:sig w:usb0="800002BF" w:usb1="38CF7CFA" w:usb2="00000016" w:usb3="00000000" w:csb0="00040001" w:csb1="00000000"/>
    <w:embedRegular r:id="rId3" w:fontKey="{186F66DA-EC32-4551-8C2B-6E2D98D6C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88C19DD2-64FC-4EE6-B63A-A4FE1A34205B}"/>
  </w:font>
  <w:font w:name="仿宋">
    <w:panose1 w:val="02010609060101010101"/>
    <w:charset w:val="86"/>
    <w:family w:val="modern"/>
    <w:pitch w:val="default"/>
    <w:sig w:usb0="800002BF" w:usb1="38CF7CFA" w:usb2="00000016" w:usb3="00000000" w:csb0="00040001" w:csb1="00000000"/>
    <w:embedRegular r:id="rId5" w:fontKey="{DD2B66AC-509E-4A2D-8330-EE831F122737}"/>
  </w:font>
  <w:font w:name="华文中宋">
    <w:panose1 w:val="02010600040101010101"/>
    <w:charset w:val="86"/>
    <w:family w:val="auto"/>
    <w:pitch w:val="default"/>
    <w:sig w:usb0="00000287" w:usb1="080F0000" w:usb2="00000000" w:usb3="00000000" w:csb0="0004009F" w:csb1="DFD70000"/>
    <w:embedRegular r:id="rId6" w:fontKey="{1AD4941B-C0C2-4A43-ACF9-F726200295CB}"/>
  </w:font>
  <w:font w:name="Wingdings 2">
    <w:panose1 w:val="05020102010507070707"/>
    <w:charset w:val="00"/>
    <w:family w:val="auto"/>
    <w:pitch w:val="default"/>
    <w:sig w:usb0="00000000" w:usb1="00000000" w:usb2="00000000" w:usb3="00000000" w:csb0="80000000" w:csb1="00000000"/>
    <w:embedRegular r:id="rId7" w:fontKey="{1AA4BE8F-71D2-4A0A-A93B-4ACCD3AEB27C}"/>
  </w:font>
  <w:font w:name="微软雅黑">
    <w:panose1 w:val="020B0503020204020204"/>
    <w:charset w:val="86"/>
    <w:family w:val="auto"/>
    <w:pitch w:val="default"/>
    <w:sig w:usb0="80000287" w:usb1="2ACF3C50" w:usb2="00000016" w:usb3="00000000" w:csb0="0004001F" w:csb1="00000000"/>
    <w:embedRegular r:id="rId8" w:fontKey="{C8681DFE-15B2-47DF-A48A-4CA975617AC5}"/>
  </w:font>
  <w:font w:name="楷体_GB2312">
    <w:panose1 w:val="02010609030101010101"/>
    <w:charset w:val="86"/>
    <w:family w:val="auto"/>
    <w:pitch w:val="default"/>
    <w:sig w:usb0="00000001" w:usb1="080E0000" w:usb2="00000000" w:usb3="00000000" w:csb0="00040000" w:csb1="00000000"/>
    <w:embedRegular r:id="rId9" w:fontKey="{661A8B0C-A968-4FEB-9843-9ACCF45016C5}"/>
  </w:font>
  <w:font w:name="方正小标宋_GBK">
    <w:panose1 w:val="02000000000000000000"/>
    <w:charset w:val="86"/>
    <w:family w:val="script"/>
    <w:pitch w:val="default"/>
    <w:sig w:usb0="A00002BF" w:usb1="38CF7CFA" w:usb2="00082016" w:usb3="00000000" w:csb0="00040001" w:csb1="00000000"/>
    <w:embedRegular r:id="rId10" w:fontKey="{6EAB04B6-4936-4B66-A72F-87EE294B365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color w:val="auto"/>
                              <w:sz w:val="22"/>
                              <w:szCs w:val="22"/>
                              <w:u w:val="none"/>
                            </w:rPr>
                          </w:pPr>
                          <w:r>
                            <w:rPr>
                              <w:color w:val="auto"/>
                              <w:sz w:val="22"/>
                              <w:szCs w:val="22"/>
                              <w:u w:val="none"/>
                            </w:rPr>
                            <w:fldChar w:fldCharType="begin"/>
                          </w:r>
                          <w:r>
                            <w:rPr>
                              <w:color w:val="auto"/>
                              <w:sz w:val="22"/>
                              <w:szCs w:val="22"/>
                              <w:u w:val="none"/>
                            </w:rPr>
                            <w:instrText xml:space="preserve"> PAGE  \* MERGEFORMAT </w:instrText>
                          </w:r>
                          <w:r>
                            <w:rPr>
                              <w:color w:val="auto"/>
                              <w:sz w:val="22"/>
                              <w:szCs w:val="22"/>
                              <w:u w:val="none"/>
                            </w:rPr>
                            <w:fldChar w:fldCharType="separate"/>
                          </w:r>
                          <w:r>
                            <w:rPr>
                              <w:color w:val="auto"/>
                              <w:sz w:val="22"/>
                              <w:szCs w:val="22"/>
                              <w:u w:val="none"/>
                            </w:rPr>
                            <w:t>3</w:t>
                          </w:r>
                          <w:r>
                            <w:rPr>
                              <w:color w:val="auto"/>
                              <w:sz w:val="22"/>
                              <w:szCs w:val="22"/>
                              <w:u w:val="none"/>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rPr>
                        <w:color w:val="auto"/>
                        <w:sz w:val="22"/>
                        <w:szCs w:val="22"/>
                        <w:u w:val="none"/>
                      </w:rPr>
                    </w:pPr>
                    <w:r>
                      <w:rPr>
                        <w:color w:val="auto"/>
                        <w:sz w:val="22"/>
                        <w:szCs w:val="22"/>
                        <w:u w:val="none"/>
                      </w:rPr>
                      <w:fldChar w:fldCharType="begin"/>
                    </w:r>
                    <w:r>
                      <w:rPr>
                        <w:color w:val="auto"/>
                        <w:sz w:val="22"/>
                        <w:szCs w:val="22"/>
                        <w:u w:val="none"/>
                      </w:rPr>
                      <w:instrText xml:space="preserve"> PAGE  \* MERGEFORMAT </w:instrText>
                    </w:r>
                    <w:r>
                      <w:rPr>
                        <w:color w:val="auto"/>
                        <w:sz w:val="22"/>
                        <w:szCs w:val="22"/>
                        <w:u w:val="none"/>
                      </w:rPr>
                      <w:fldChar w:fldCharType="separate"/>
                    </w:r>
                    <w:r>
                      <w:rPr>
                        <w:color w:val="auto"/>
                        <w:sz w:val="22"/>
                        <w:szCs w:val="22"/>
                        <w:u w:val="none"/>
                      </w:rPr>
                      <w:t>3</w:t>
                    </w:r>
                    <w:r>
                      <w:rPr>
                        <w:color w:val="auto"/>
                        <w:sz w:val="22"/>
                        <w:szCs w:val="22"/>
                        <w:u w:val="none"/>
                      </w:rPr>
                      <w:fldChar w:fldCharType="end"/>
                    </w: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53847"/>
    <w:multiLevelType w:val="singleLevel"/>
    <w:tmpl w:val="C8E53847"/>
    <w:lvl w:ilvl="0" w:tentative="0">
      <w:start w:val="5"/>
      <w:numFmt w:val="chineseCounting"/>
      <w:suff w:val="nothing"/>
      <w:lvlText w:val="（%1）"/>
      <w:lvlJc w:val="left"/>
      <w:rPr>
        <w:rFonts w:hint="eastAsia"/>
      </w:rPr>
    </w:lvl>
  </w:abstractNum>
  <w:abstractNum w:abstractNumId="1">
    <w:nsid w:val="CC04A754"/>
    <w:multiLevelType w:val="singleLevel"/>
    <w:tmpl w:val="CC04A754"/>
    <w:lvl w:ilvl="0" w:tentative="0">
      <w:start w:val="7"/>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咸鱼">
    <w15:presenceInfo w15:providerId="WPS Office" w15:userId="3494467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96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 w:name="KSO_WPS_MARK_KEY" w:val="8818ea90-8385-4d04-82f2-8e9d449b35c3"/>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32BB"/>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36C1D"/>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1550"/>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7B8B"/>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C6ADC"/>
    <w:rsid w:val="005E5529"/>
    <w:rsid w:val="005F29AC"/>
    <w:rsid w:val="005F3C29"/>
    <w:rsid w:val="005F499C"/>
    <w:rsid w:val="00602185"/>
    <w:rsid w:val="00610597"/>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D6A53"/>
    <w:rsid w:val="007E1F23"/>
    <w:rsid w:val="007F3D4A"/>
    <w:rsid w:val="0080745B"/>
    <w:rsid w:val="00822A51"/>
    <w:rsid w:val="00824B55"/>
    <w:rsid w:val="00855A14"/>
    <w:rsid w:val="008570A7"/>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06C6"/>
    <w:rsid w:val="00B439A9"/>
    <w:rsid w:val="00B4446C"/>
    <w:rsid w:val="00B60605"/>
    <w:rsid w:val="00B64A25"/>
    <w:rsid w:val="00B6591E"/>
    <w:rsid w:val="00B66C84"/>
    <w:rsid w:val="00B80BE7"/>
    <w:rsid w:val="00B82043"/>
    <w:rsid w:val="00B91731"/>
    <w:rsid w:val="00B9193D"/>
    <w:rsid w:val="00B92BED"/>
    <w:rsid w:val="00B938D9"/>
    <w:rsid w:val="00B95169"/>
    <w:rsid w:val="00BA1A55"/>
    <w:rsid w:val="00BA4291"/>
    <w:rsid w:val="00BA6815"/>
    <w:rsid w:val="00BA6DC7"/>
    <w:rsid w:val="00BA783A"/>
    <w:rsid w:val="00BB00AF"/>
    <w:rsid w:val="00BB1B83"/>
    <w:rsid w:val="00BB53FF"/>
    <w:rsid w:val="00BC08B5"/>
    <w:rsid w:val="00BC5446"/>
    <w:rsid w:val="00BD7A21"/>
    <w:rsid w:val="00BF2669"/>
    <w:rsid w:val="00C025D1"/>
    <w:rsid w:val="00C03C07"/>
    <w:rsid w:val="00C12666"/>
    <w:rsid w:val="00C14B63"/>
    <w:rsid w:val="00C16814"/>
    <w:rsid w:val="00C22565"/>
    <w:rsid w:val="00C30909"/>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44F67"/>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1B6997"/>
    <w:rsid w:val="01205D5C"/>
    <w:rsid w:val="014252EF"/>
    <w:rsid w:val="017716F4"/>
    <w:rsid w:val="0181787D"/>
    <w:rsid w:val="018856AF"/>
    <w:rsid w:val="01AC7279"/>
    <w:rsid w:val="01BD35AB"/>
    <w:rsid w:val="01DD59FB"/>
    <w:rsid w:val="01E50D53"/>
    <w:rsid w:val="01E66FA5"/>
    <w:rsid w:val="01EB3062"/>
    <w:rsid w:val="01F9035B"/>
    <w:rsid w:val="020C62E0"/>
    <w:rsid w:val="02181129"/>
    <w:rsid w:val="02493090"/>
    <w:rsid w:val="025C5500"/>
    <w:rsid w:val="0262063F"/>
    <w:rsid w:val="02641C78"/>
    <w:rsid w:val="02A525E0"/>
    <w:rsid w:val="02BF77F6"/>
    <w:rsid w:val="02D212D8"/>
    <w:rsid w:val="02ED4AC7"/>
    <w:rsid w:val="02F54FC6"/>
    <w:rsid w:val="0304477B"/>
    <w:rsid w:val="030D0562"/>
    <w:rsid w:val="03113135"/>
    <w:rsid w:val="03175551"/>
    <w:rsid w:val="03190CB5"/>
    <w:rsid w:val="03237D85"/>
    <w:rsid w:val="035241C7"/>
    <w:rsid w:val="03525F75"/>
    <w:rsid w:val="035E1E8C"/>
    <w:rsid w:val="03681C3C"/>
    <w:rsid w:val="03991DF6"/>
    <w:rsid w:val="03CA6453"/>
    <w:rsid w:val="03FF5F57"/>
    <w:rsid w:val="04025BED"/>
    <w:rsid w:val="04294F27"/>
    <w:rsid w:val="04405814"/>
    <w:rsid w:val="046C3066"/>
    <w:rsid w:val="047005FC"/>
    <w:rsid w:val="047F3799"/>
    <w:rsid w:val="04822C51"/>
    <w:rsid w:val="04893C18"/>
    <w:rsid w:val="049251C3"/>
    <w:rsid w:val="04A3117E"/>
    <w:rsid w:val="04B62533"/>
    <w:rsid w:val="04D05CEB"/>
    <w:rsid w:val="04F82B4C"/>
    <w:rsid w:val="052102F4"/>
    <w:rsid w:val="052851DF"/>
    <w:rsid w:val="053E2C54"/>
    <w:rsid w:val="05452235"/>
    <w:rsid w:val="055E6E53"/>
    <w:rsid w:val="056621AB"/>
    <w:rsid w:val="05A351AD"/>
    <w:rsid w:val="05AB5805"/>
    <w:rsid w:val="05C649F8"/>
    <w:rsid w:val="05DD246D"/>
    <w:rsid w:val="05E25CD6"/>
    <w:rsid w:val="05EF1FFE"/>
    <w:rsid w:val="05FE58B2"/>
    <w:rsid w:val="0603143D"/>
    <w:rsid w:val="063D372A"/>
    <w:rsid w:val="065A1D10"/>
    <w:rsid w:val="066D2E1E"/>
    <w:rsid w:val="067803E8"/>
    <w:rsid w:val="067D59FE"/>
    <w:rsid w:val="0708351A"/>
    <w:rsid w:val="071C2DD7"/>
    <w:rsid w:val="071F2612"/>
    <w:rsid w:val="07500A1D"/>
    <w:rsid w:val="076524A3"/>
    <w:rsid w:val="07C35693"/>
    <w:rsid w:val="07CC4803"/>
    <w:rsid w:val="07D3242B"/>
    <w:rsid w:val="07D433FC"/>
    <w:rsid w:val="07D94EB6"/>
    <w:rsid w:val="07E86EA8"/>
    <w:rsid w:val="07F12200"/>
    <w:rsid w:val="07F858FC"/>
    <w:rsid w:val="0802440D"/>
    <w:rsid w:val="08167EB9"/>
    <w:rsid w:val="08246246"/>
    <w:rsid w:val="08395955"/>
    <w:rsid w:val="084A7B62"/>
    <w:rsid w:val="089237A2"/>
    <w:rsid w:val="08A32941"/>
    <w:rsid w:val="08E104C7"/>
    <w:rsid w:val="08E21B49"/>
    <w:rsid w:val="092403B3"/>
    <w:rsid w:val="094E71DE"/>
    <w:rsid w:val="09A82D92"/>
    <w:rsid w:val="09B2776D"/>
    <w:rsid w:val="09C6304D"/>
    <w:rsid w:val="09D73678"/>
    <w:rsid w:val="09E244F6"/>
    <w:rsid w:val="0A0F27C8"/>
    <w:rsid w:val="0A104953"/>
    <w:rsid w:val="0A2C5771"/>
    <w:rsid w:val="0A8C7FBE"/>
    <w:rsid w:val="0AA7129C"/>
    <w:rsid w:val="0AB13EC9"/>
    <w:rsid w:val="0ACB65BA"/>
    <w:rsid w:val="0AD11E75"/>
    <w:rsid w:val="0AED2D32"/>
    <w:rsid w:val="0AF344E1"/>
    <w:rsid w:val="0AFD0EBC"/>
    <w:rsid w:val="0B1526A9"/>
    <w:rsid w:val="0B27418B"/>
    <w:rsid w:val="0B2B77D7"/>
    <w:rsid w:val="0B30278F"/>
    <w:rsid w:val="0B41349E"/>
    <w:rsid w:val="0B6B1C72"/>
    <w:rsid w:val="0B7371D7"/>
    <w:rsid w:val="0B7703D0"/>
    <w:rsid w:val="0B7A075E"/>
    <w:rsid w:val="0B7A6035"/>
    <w:rsid w:val="0B9A2BAF"/>
    <w:rsid w:val="0B9E3F69"/>
    <w:rsid w:val="0BB648D1"/>
    <w:rsid w:val="0BD57D80"/>
    <w:rsid w:val="0BDE2320"/>
    <w:rsid w:val="0BE04A65"/>
    <w:rsid w:val="0BFF2A12"/>
    <w:rsid w:val="0C41302A"/>
    <w:rsid w:val="0C474AE5"/>
    <w:rsid w:val="0C4A0131"/>
    <w:rsid w:val="0C590374"/>
    <w:rsid w:val="0C905B62"/>
    <w:rsid w:val="0CC06E3D"/>
    <w:rsid w:val="0CDB6FDB"/>
    <w:rsid w:val="0CFF0F1B"/>
    <w:rsid w:val="0D077DD0"/>
    <w:rsid w:val="0D1B7896"/>
    <w:rsid w:val="0D200E92"/>
    <w:rsid w:val="0D38267F"/>
    <w:rsid w:val="0D3861DB"/>
    <w:rsid w:val="0D696CDD"/>
    <w:rsid w:val="0DA36F65"/>
    <w:rsid w:val="0DB241E0"/>
    <w:rsid w:val="0DB759FC"/>
    <w:rsid w:val="0DBD4932"/>
    <w:rsid w:val="0DBF68FD"/>
    <w:rsid w:val="0DC7755F"/>
    <w:rsid w:val="0DE545B5"/>
    <w:rsid w:val="0DE85E53"/>
    <w:rsid w:val="0DEB2FA2"/>
    <w:rsid w:val="0DF742E8"/>
    <w:rsid w:val="0E261694"/>
    <w:rsid w:val="0E2B3F92"/>
    <w:rsid w:val="0E55499B"/>
    <w:rsid w:val="0E794CFD"/>
    <w:rsid w:val="0E891CDE"/>
    <w:rsid w:val="0EAC0C2F"/>
    <w:rsid w:val="0EB75109"/>
    <w:rsid w:val="0EC87A33"/>
    <w:rsid w:val="0ED40186"/>
    <w:rsid w:val="0EE82EF2"/>
    <w:rsid w:val="0EE859DF"/>
    <w:rsid w:val="0EEA01A3"/>
    <w:rsid w:val="0EEA5BFB"/>
    <w:rsid w:val="0F152C78"/>
    <w:rsid w:val="0F157C75"/>
    <w:rsid w:val="0F4A4F73"/>
    <w:rsid w:val="0F5A68DD"/>
    <w:rsid w:val="0F783207"/>
    <w:rsid w:val="0F930041"/>
    <w:rsid w:val="0FB35FED"/>
    <w:rsid w:val="0FD7617F"/>
    <w:rsid w:val="10045BDC"/>
    <w:rsid w:val="10063C11"/>
    <w:rsid w:val="100B7BD7"/>
    <w:rsid w:val="10152804"/>
    <w:rsid w:val="10262EF8"/>
    <w:rsid w:val="1032785A"/>
    <w:rsid w:val="103678E0"/>
    <w:rsid w:val="10463305"/>
    <w:rsid w:val="105146E8"/>
    <w:rsid w:val="10594DE6"/>
    <w:rsid w:val="10771710"/>
    <w:rsid w:val="107B5729"/>
    <w:rsid w:val="108300B5"/>
    <w:rsid w:val="10D601E5"/>
    <w:rsid w:val="10EF74F9"/>
    <w:rsid w:val="110A7E8F"/>
    <w:rsid w:val="112F3D99"/>
    <w:rsid w:val="114A2981"/>
    <w:rsid w:val="117B0D8C"/>
    <w:rsid w:val="1182006D"/>
    <w:rsid w:val="119200E7"/>
    <w:rsid w:val="119B31DD"/>
    <w:rsid w:val="119E5E08"/>
    <w:rsid w:val="11B1637C"/>
    <w:rsid w:val="11D54941"/>
    <w:rsid w:val="11EF4C32"/>
    <w:rsid w:val="11FF0F90"/>
    <w:rsid w:val="1202325C"/>
    <w:rsid w:val="121E0096"/>
    <w:rsid w:val="1232769D"/>
    <w:rsid w:val="12353631"/>
    <w:rsid w:val="12386C7D"/>
    <w:rsid w:val="126161D4"/>
    <w:rsid w:val="12704669"/>
    <w:rsid w:val="12853B34"/>
    <w:rsid w:val="128F2D41"/>
    <w:rsid w:val="129C545E"/>
    <w:rsid w:val="12A35CB0"/>
    <w:rsid w:val="12CB1C83"/>
    <w:rsid w:val="12E37567"/>
    <w:rsid w:val="12F17558"/>
    <w:rsid w:val="12F31522"/>
    <w:rsid w:val="131119A8"/>
    <w:rsid w:val="131C20FB"/>
    <w:rsid w:val="133C3EE5"/>
    <w:rsid w:val="13453400"/>
    <w:rsid w:val="1351092F"/>
    <w:rsid w:val="136733E5"/>
    <w:rsid w:val="138228A6"/>
    <w:rsid w:val="138403CC"/>
    <w:rsid w:val="139C2723"/>
    <w:rsid w:val="13CC58CF"/>
    <w:rsid w:val="13F561C0"/>
    <w:rsid w:val="13F60B9E"/>
    <w:rsid w:val="14005579"/>
    <w:rsid w:val="140426E0"/>
    <w:rsid w:val="140A7A2F"/>
    <w:rsid w:val="141B736B"/>
    <w:rsid w:val="14237BE5"/>
    <w:rsid w:val="143040B0"/>
    <w:rsid w:val="143376FC"/>
    <w:rsid w:val="143F488F"/>
    <w:rsid w:val="14847F58"/>
    <w:rsid w:val="1494463F"/>
    <w:rsid w:val="149A3C1F"/>
    <w:rsid w:val="14DC1B42"/>
    <w:rsid w:val="151E65FF"/>
    <w:rsid w:val="152A2412"/>
    <w:rsid w:val="153B4ABB"/>
    <w:rsid w:val="153E0A4F"/>
    <w:rsid w:val="154C6B82"/>
    <w:rsid w:val="156404B5"/>
    <w:rsid w:val="159348F7"/>
    <w:rsid w:val="15A9236C"/>
    <w:rsid w:val="15B36D47"/>
    <w:rsid w:val="15E81123"/>
    <w:rsid w:val="15E96C0C"/>
    <w:rsid w:val="160B3209"/>
    <w:rsid w:val="16133C89"/>
    <w:rsid w:val="16161084"/>
    <w:rsid w:val="16314BAD"/>
    <w:rsid w:val="16383CD8"/>
    <w:rsid w:val="16641FD1"/>
    <w:rsid w:val="166E0ADC"/>
    <w:rsid w:val="167879EF"/>
    <w:rsid w:val="167C538B"/>
    <w:rsid w:val="167F30CD"/>
    <w:rsid w:val="16810BF3"/>
    <w:rsid w:val="16816E45"/>
    <w:rsid w:val="168251F4"/>
    <w:rsid w:val="169F1079"/>
    <w:rsid w:val="16C84A74"/>
    <w:rsid w:val="16E72127"/>
    <w:rsid w:val="17017F86"/>
    <w:rsid w:val="171B2DF6"/>
    <w:rsid w:val="174C7453"/>
    <w:rsid w:val="17555BDC"/>
    <w:rsid w:val="17594306"/>
    <w:rsid w:val="176A3611"/>
    <w:rsid w:val="176D7BB0"/>
    <w:rsid w:val="17D539F2"/>
    <w:rsid w:val="17DA7859"/>
    <w:rsid w:val="17E01949"/>
    <w:rsid w:val="17EE4066"/>
    <w:rsid w:val="17F0455D"/>
    <w:rsid w:val="17F43647"/>
    <w:rsid w:val="18187335"/>
    <w:rsid w:val="1824217E"/>
    <w:rsid w:val="185B29BA"/>
    <w:rsid w:val="18A46E1B"/>
    <w:rsid w:val="18AF5EEB"/>
    <w:rsid w:val="18B75AAA"/>
    <w:rsid w:val="18C20F79"/>
    <w:rsid w:val="18D019BE"/>
    <w:rsid w:val="18E13BCB"/>
    <w:rsid w:val="18E67DE6"/>
    <w:rsid w:val="18ED431E"/>
    <w:rsid w:val="18F94297"/>
    <w:rsid w:val="18FE652B"/>
    <w:rsid w:val="18FF4051"/>
    <w:rsid w:val="19097045"/>
    <w:rsid w:val="194A36D5"/>
    <w:rsid w:val="195645B9"/>
    <w:rsid w:val="1977452F"/>
    <w:rsid w:val="198B590E"/>
    <w:rsid w:val="19B412DF"/>
    <w:rsid w:val="19B932D5"/>
    <w:rsid w:val="19B94B48"/>
    <w:rsid w:val="1A1104E0"/>
    <w:rsid w:val="1A3F329F"/>
    <w:rsid w:val="1A456651"/>
    <w:rsid w:val="1A5D44CE"/>
    <w:rsid w:val="1A756CC1"/>
    <w:rsid w:val="1A766595"/>
    <w:rsid w:val="1A9A04D5"/>
    <w:rsid w:val="1AA177FF"/>
    <w:rsid w:val="1AA239A6"/>
    <w:rsid w:val="1AA80E44"/>
    <w:rsid w:val="1AB948D7"/>
    <w:rsid w:val="1AD03EF7"/>
    <w:rsid w:val="1ADF05DE"/>
    <w:rsid w:val="1B3838C8"/>
    <w:rsid w:val="1B4B6E03"/>
    <w:rsid w:val="1B6D7998"/>
    <w:rsid w:val="1B8F09E8"/>
    <w:rsid w:val="1B9273FE"/>
    <w:rsid w:val="1B972C67"/>
    <w:rsid w:val="1BAF413E"/>
    <w:rsid w:val="1BB86472"/>
    <w:rsid w:val="1BBD091F"/>
    <w:rsid w:val="1BCD1ED9"/>
    <w:rsid w:val="1BFD4DB7"/>
    <w:rsid w:val="1BFD51C0"/>
    <w:rsid w:val="1BFE4A94"/>
    <w:rsid w:val="1C184C33"/>
    <w:rsid w:val="1C2A5889"/>
    <w:rsid w:val="1C3E30E2"/>
    <w:rsid w:val="1C4C57FF"/>
    <w:rsid w:val="1C52065A"/>
    <w:rsid w:val="1C580648"/>
    <w:rsid w:val="1C715266"/>
    <w:rsid w:val="1CBA4E5F"/>
    <w:rsid w:val="1CBF4223"/>
    <w:rsid w:val="1CDD0B4D"/>
    <w:rsid w:val="1D100F23"/>
    <w:rsid w:val="1D1E53EE"/>
    <w:rsid w:val="1D1E6646"/>
    <w:rsid w:val="1D210A3A"/>
    <w:rsid w:val="1D3369BF"/>
    <w:rsid w:val="1D376064"/>
    <w:rsid w:val="1D3C1D18"/>
    <w:rsid w:val="1DB17B97"/>
    <w:rsid w:val="1DE303E5"/>
    <w:rsid w:val="1E14234D"/>
    <w:rsid w:val="1E180CF7"/>
    <w:rsid w:val="1E1F3B60"/>
    <w:rsid w:val="1E455902"/>
    <w:rsid w:val="1E5A6BD0"/>
    <w:rsid w:val="1E7352C5"/>
    <w:rsid w:val="1E771033"/>
    <w:rsid w:val="1E8219AC"/>
    <w:rsid w:val="1E98524F"/>
    <w:rsid w:val="1EA96F39"/>
    <w:rsid w:val="1EB1403F"/>
    <w:rsid w:val="1EEA765C"/>
    <w:rsid w:val="1EF04B68"/>
    <w:rsid w:val="1F0979D8"/>
    <w:rsid w:val="1F114ADE"/>
    <w:rsid w:val="1F122D30"/>
    <w:rsid w:val="1F1B770B"/>
    <w:rsid w:val="1F1C3BAF"/>
    <w:rsid w:val="1F1C4DAA"/>
    <w:rsid w:val="1F2E0BFF"/>
    <w:rsid w:val="1F3507CD"/>
    <w:rsid w:val="1F4142CA"/>
    <w:rsid w:val="1F43738D"/>
    <w:rsid w:val="1F947BE9"/>
    <w:rsid w:val="1F9C4CF0"/>
    <w:rsid w:val="1F9C6A9E"/>
    <w:rsid w:val="1FAB0A8F"/>
    <w:rsid w:val="1FB45B95"/>
    <w:rsid w:val="1FBF76D7"/>
    <w:rsid w:val="1FC102B2"/>
    <w:rsid w:val="1FCB6952"/>
    <w:rsid w:val="1FE04BDC"/>
    <w:rsid w:val="1FEF4E1F"/>
    <w:rsid w:val="20135BC8"/>
    <w:rsid w:val="20270A5D"/>
    <w:rsid w:val="204F58BE"/>
    <w:rsid w:val="20661AFC"/>
    <w:rsid w:val="20672A87"/>
    <w:rsid w:val="206770AC"/>
    <w:rsid w:val="207D067D"/>
    <w:rsid w:val="208F215E"/>
    <w:rsid w:val="209239FD"/>
    <w:rsid w:val="20BB73F7"/>
    <w:rsid w:val="20BD316F"/>
    <w:rsid w:val="20CE3FBD"/>
    <w:rsid w:val="20D109C9"/>
    <w:rsid w:val="2120725A"/>
    <w:rsid w:val="212705E9"/>
    <w:rsid w:val="212E078A"/>
    <w:rsid w:val="21521B0A"/>
    <w:rsid w:val="2160488C"/>
    <w:rsid w:val="21661111"/>
    <w:rsid w:val="217750CC"/>
    <w:rsid w:val="21A06BAC"/>
    <w:rsid w:val="21B856E5"/>
    <w:rsid w:val="21BC6F83"/>
    <w:rsid w:val="21C347B6"/>
    <w:rsid w:val="21D825EB"/>
    <w:rsid w:val="21E07116"/>
    <w:rsid w:val="21E52EAF"/>
    <w:rsid w:val="21EB5ABA"/>
    <w:rsid w:val="21F4496F"/>
    <w:rsid w:val="21F6290B"/>
    <w:rsid w:val="22096D4A"/>
    <w:rsid w:val="2228286B"/>
    <w:rsid w:val="2236542B"/>
    <w:rsid w:val="223F64B1"/>
    <w:rsid w:val="22590097"/>
    <w:rsid w:val="225B679C"/>
    <w:rsid w:val="229879F0"/>
    <w:rsid w:val="22B61C24"/>
    <w:rsid w:val="22D4654E"/>
    <w:rsid w:val="22E26EBD"/>
    <w:rsid w:val="23097039"/>
    <w:rsid w:val="2322550C"/>
    <w:rsid w:val="232767C6"/>
    <w:rsid w:val="23307C29"/>
    <w:rsid w:val="233B65CE"/>
    <w:rsid w:val="233C6EEF"/>
    <w:rsid w:val="235D4796"/>
    <w:rsid w:val="235F050E"/>
    <w:rsid w:val="235F406A"/>
    <w:rsid w:val="2372665A"/>
    <w:rsid w:val="237815D0"/>
    <w:rsid w:val="2389558B"/>
    <w:rsid w:val="238B1303"/>
    <w:rsid w:val="23B1063E"/>
    <w:rsid w:val="23B56380"/>
    <w:rsid w:val="23C12F77"/>
    <w:rsid w:val="23CB16FF"/>
    <w:rsid w:val="23E427C1"/>
    <w:rsid w:val="23E66539"/>
    <w:rsid w:val="23F32A04"/>
    <w:rsid w:val="23FA1FE5"/>
    <w:rsid w:val="243940E9"/>
    <w:rsid w:val="24421C82"/>
    <w:rsid w:val="24443260"/>
    <w:rsid w:val="245636BF"/>
    <w:rsid w:val="245E4322"/>
    <w:rsid w:val="247E49C4"/>
    <w:rsid w:val="24997A50"/>
    <w:rsid w:val="24A361D8"/>
    <w:rsid w:val="24AF323A"/>
    <w:rsid w:val="24C85C3F"/>
    <w:rsid w:val="24D40A88"/>
    <w:rsid w:val="24D740D4"/>
    <w:rsid w:val="251D41DD"/>
    <w:rsid w:val="257F6C45"/>
    <w:rsid w:val="2589675C"/>
    <w:rsid w:val="259B2448"/>
    <w:rsid w:val="25AB7A3A"/>
    <w:rsid w:val="25AC730F"/>
    <w:rsid w:val="25B52A2E"/>
    <w:rsid w:val="25CC175F"/>
    <w:rsid w:val="25DE7210"/>
    <w:rsid w:val="25EC2835"/>
    <w:rsid w:val="25ED0053"/>
    <w:rsid w:val="26213859"/>
    <w:rsid w:val="26291699"/>
    <w:rsid w:val="264659B5"/>
    <w:rsid w:val="264E6DB9"/>
    <w:rsid w:val="26527EB6"/>
    <w:rsid w:val="267918E7"/>
    <w:rsid w:val="2685028B"/>
    <w:rsid w:val="26887D7C"/>
    <w:rsid w:val="26A05072"/>
    <w:rsid w:val="26A1499A"/>
    <w:rsid w:val="26B62A64"/>
    <w:rsid w:val="26CD1C32"/>
    <w:rsid w:val="26D3521A"/>
    <w:rsid w:val="26D42FC1"/>
    <w:rsid w:val="26FD42C6"/>
    <w:rsid w:val="270F7B55"/>
    <w:rsid w:val="27315D1D"/>
    <w:rsid w:val="2748362A"/>
    <w:rsid w:val="27561C28"/>
    <w:rsid w:val="275D6B12"/>
    <w:rsid w:val="27C02A4C"/>
    <w:rsid w:val="282B4E63"/>
    <w:rsid w:val="283006CB"/>
    <w:rsid w:val="2853330D"/>
    <w:rsid w:val="28584B5F"/>
    <w:rsid w:val="28620159"/>
    <w:rsid w:val="2872440F"/>
    <w:rsid w:val="28800664"/>
    <w:rsid w:val="28814A83"/>
    <w:rsid w:val="28832D32"/>
    <w:rsid w:val="28887BBF"/>
    <w:rsid w:val="288D646A"/>
    <w:rsid w:val="289F315B"/>
    <w:rsid w:val="28C0133F"/>
    <w:rsid w:val="28D636EF"/>
    <w:rsid w:val="28EF7C3E"/>
    <w:rsid w:val="29085360"/>
    <w:rsid w:val="292F44DF"/>
    <w:rsid w:val="29471828"/>
    <w:rsid w:val="295D729E"/>
    <w:rsid w:val="2967011C"/>
    <w:rsid w:val="297466DC"/>
    <w:rsid w:val="2987256D"/>
    <w:rsid w:val="298E7457"/>
    <w:rsid w:val="299E3412"/>
    <w:rsid w:val="29B35110"/>
    <w:rsid w:val="29EF3C6E"/>
    <w:rsid w:val="2A094D30"/>
    <w:rsid w:val="2A0B31D8"/>
    <w:rsid w:val="2A3224D8"/>
    <w:rsid w:val="2A4165B8"/>
    <w:rsid w:val="2A5260C0"/>
    <w:rsid w:val="2AA35184"/>
    <w:rsid w:val="2AB47391"/>
    <w:rsid w:val="2B0A5203"/>
    <w:rsid w:val="2B4B37B7"/>
    <w:rsid w:val="2B5A5DF4"/>
    <w:rsid w:val="2B7F7E4B"/>
    <w:rsid w:val="2B8E7BE2"/>
    <w:rsid w:val="2B964CE9"/>
    <w:rsid w:val="2B9D7E25"/>
    <w:rsid w:val="2BAF0783"/>
    <w:rsid w:val="2BC41245"/>
    <w:rsid w:val="2BF02BC1"/>
    <w:rsid w:val="2BF10955"/>
    <w:rsid w:val="2C1B6F9C"/>
    <w:rsid w:val="2C2F198E"/>
    <w:rsid w:val="2C3818FC"/>
    <w:rsid w:val="2C3D6F12"/>
    <w:rsid w:val="2C4402A1"/>
    <w:rsid w:val="2C477D91"/>
    <w:rsid w:val="2C574478"/>
    <w:rsid w:val="2C7A1F15"/>
    <w:rsid w:val="2C8670A4"/>
    <w:rsid w:val="2C8D572B"/>
    <w:rsid w:val="2C8F5CA8"/>
    <w:rsid w:val="2C992CE6"/>
    <w:rsid w:val="2CB573F1"/>
    <w:rsid w:val="2CB71C4E"/>
    <w:rsid w:val="2CCF04B2"/>
    <w:rsid w:val="2CD258AD"/>
    <w:rsid w:val="2CE61358"/>
    <w:rsid w:val="2CEC37EA"/>
    <w:rsid w:val="2CFF1FD4"/>
    <w:rsid w:val="2D160551"/>
    <w:rsid w:val="2D1B36F8"/>
    <w:rsid w:val="2D265BF9"/>
    <w:rsid w:val="2D3E3F91"/>
    <w:rsid w:val="2D811081"/>
    <w:rsid w:val="2D964B2C"/>
    <w:rsid w:val="2D993CFE"/>
    <w:rsid w:val="2DC431D9"/>
    <w:rsid w:val="2DCD2F93"/>
    <w:rsid w:val="2DD27734"/>
    <w:rsid w:val="2DDB2E87"/>
    <w:rsid w:val="2DEB2BD8"/>
    <w:rsid w:val="2E0979F4"/>
    <w:rsid w:val="2E097CCA"/>
    <w:rsid w:val="2E13617D"/>
    <w:rsid w:val="2E270CB5"/>
    <w:rsid w:val="2E344496"/>
    <w:rsid w:val="2E3711BC"/>
    <w:rsid w:val="2E41641E"/>
    <w:rsid w:val="2E497DF1"/>
    <w:rsid w:val="2E5072B8"/>
    <w:rsid w:val="2E5642BC"/>
    <w:rsid w:val="2E587438"/>
    <w:rsid w:val="2E693FEF"/>
    <w:rsid w:val="2E8B665B"/>
    <w:rsid w:val="2E944985"/>
    <w:rsid w:val="2EB9440E"/>
    <w:rsid w:val="2EC61441"/>
    <w:rsid w:val="2ECC6039"/>
    <w:rsid w:val="2F106B60"/>
    <w:rsid w:val="2F1C72B3"/>
    <w:rsid w:val="2F214E8E"/>
    <w:rsid w:val="2F503401"/>
    <w:rsid w:val="2F546A4D"/>
    <w:rsid w:val="2F5905E3"/>
    <w:rsid w:val="2F662C24"/>
    <w:rsid w:val="2F8C268B"/>
    <w:rsid w:val="2F9B7A25"/>
    <w:rsid w:val="2FAF45CB"/>
    <w:rsid w:val="2FD26F55"/>
    <w:rsid w:val="2FD67105"/>
    <w:rsid w:val="2FD858D0"/>
    <w:rsid w:val="2FF7387C"/>
    <w:rsid w:val="30096558"/>
    <w:rsid w:val="300D2130"/>
    <w:rsid w:val="304A60A2"/>
    <w:rsid w:val="3050190A"/>
    <w:rsid w:val="30662EDC"/>
    <w:rsid w:val="30746DBB"/>
    <w:rsid w:val="309D4424"/>
    <w:rsid w:val="30AE03DF"/>
    <w:rsid w:val="30C644F5"/>
    <w:rsid w:val="30D0126D"/>
    <w:rsid w:val="30D836AE"/>
    <w:rsid w:val="30DE2DAE"/>
    <w:rsid w:val="30F229C1"/>
    <w:rsid w:val="30FA1876"/>
    <w:rsid w:val="30FA7AC8"/>
    <w:rsid w:val="310444A3"/>
    <w:rsid w:val="31184A48"/>
    <w:rsid w:val="31374878"/>
    <w:rsid w:val="313A7EC4"/>
    <w:rsid w:val="31456BA5"/>
    <w:rsid w:val="31493BE8"/>
    <w:rsid w:val="316B4522"/>
    <w:rsid w:val="31880C30"/>
    <w:rsid w:val="31927D00"/>
    <w:rsid w:val="31C26DCD"/>
    <w:rsid w:val="31D40319"/>
    <w:rsid w:val="31EB0CC4"/>
    <w:rsid w:val="31F44517"/>
    <w:rsid w:val="31F95B16"/>
    <w:rsid w:val="3200110E"/>
    <w:rsid w:val="320226C8"/>
    <w:rsid w:val="322F4600"/>
    <w:rsid w:val="32384404"/>
    <w:rsid w:val="32476D3D"/>
    <w:rsid w:val="3268696E"/>
    <w:rsid w:val="326C0551"/>
    <w:rsid w:val="32756EB2"/>
    <w:rsid w:val="327B5E28"/>
    <w:rsid w:val="32911D66"/>
    <w:rsid w:val="32C1089D"/>
    <w:rsid w:val="32C75788"/>
    <w:rsid w:val="32CE2FBA"/>
    <w:rsid w:val="32D16607"/>
    <w:rsid w:val="32DD4FAB"/>
    <w:rsid w:val="32DF17E8"/>
    <w:rsid w:val="32F34930"/>
    <w:rsid w:val="33082544"/>
    <w:rsid w:val="330C5891"/>
    <w:rsid w:val="33182487"/>
    <w:rsid w:val="3328075D"/>
    <w:rsid w:val="3355548A"/>
    <w:rsid w:val="33802506"/>
    <w:rsid w:val="33833DA5"/>
    <w:rsid w:val="339248A7"/>
    <w:rsid w:val="33B71CA0"/>
    <w:rsid w:val="33E83C08"/>
    <w:rsid w:val="33EA7980"/>
    <w:rsid w:val="33F717D7"/>
    <w:rsid w:val="33FA125E"/>
    <w:rsid w:val="33FD3B57"/>
    <w:rsid w:val="3417273F"/>
    <w:rsid w:val="343E4BFE"/>
    <w:rsid w:val="34874156"/>
    <w:rsid w:val="349D49F2"/>
    <w:rsid w:val="34A1724E"/>
    <w:rsid w:val="34DE30CE"/>
    <w:rsid w:val="34FF56AD"/>
    <w:rsid w:val="35032B89"/>
    <w:rsid w:val="35223149"/>
    <w:rsid w:val="352275ED"/>
    <w:rsid w:val="353115DE"/>
    <w:rsid w:val="354B6B44"/>
    <w:rsid w:val="354D466A"/>
    <w:rsid w:val="35521983"/>
    <w:rsid w:val="357A4D33"/>
    <w:rsid w:val="35AB1391"/>
    <w:rsid w:val="35E13004"/>
    <w:rsid w:val="360974FC"/>
    <w:rsid w:val="36127662"/>
    <w:rsid w:val="361B39F6"/>
    <w:rsid w:val="363650FE"/>
    <w:rsid w:val="364C66D0"/>
    <w:rsid w:val="368E6798"/>
    <w:rsid w:val="370A4955"/>
    <w:rsid w:val="370E7E29"/>
    <w:rsid w:val="371B60A2"/>
    <w:rsid w:val="37215DAE"/>
    <w:rsid w:val="37222687"/>
    <w:rsid w:val="374E31D7"/>
    <w:rsid w:val="375E2A17"/>
    <w:rsid w:val="37751C56"/>
    <w:rsid w:val="378105FB"/>
    <w:rsid w:val="3790083E"/>
    <w:rsid w:val="379B30ED"/>
    <w:rsid w:val="37A34A15"/>
    <w:rsid w:val="37A3615F"/>
    <w:rsid w:val="37E1109A"/>
    <w:rsid w:val="37E36BED"/>
    <w:rsid w:val="37E42938"/>
    <w:rsid w:val="37E8067A"/>
    <w:rsid w:val="37FE39FA"/>
    <w:rsid w:val="380C6A89"/>
    <w:rsid w:val="382E1781"/>
    <w:rsid w:val="383C4522"/>
    <w:rsid w:val="383F1D0E"/>
    <w:rsid w:val="386B2B6F"/>
    <w:rsid w:val="38740160"/>
    <w:rsid w:val="388D256B"/>
    <w:rsid w:val="389C3213"/>
    <w:rsid w:val="38BB5D8F"/>
    <w:rsid w:val="38BD1B07"/>
    <w:rsid w:val="38C56C0D"/>
    <w:rsid w:val="38CD7870"/>
    <w:rsid w:val="3902751A"/>
    <w:rsid w:val="390C2146"/>
    <w:rsid w:val="391D55C8"/>
    <w:rsid w:val="3922196A"/>
    <w:rsid w:val="3934169D"/>
    <w:rsid w:val="39616936"/>
    <w:rsid w:val="39627FB8"/>
    <w:rsid w:val="39693A3D"/>
    <w:rsid w:val="39755F3E"/>
    <w:rsid w:val="397F500E"/>
    <w:rsid w:val="3987239B"/>
    <w:rsid w:val="39893797"/>
    <w:rsid w:val="399A38AC"/>
    <w:rsid w:val="399C796E"/>
    <w:rsid w:val="39A95BE7"/>
    <w:rsid w:val="39AB5E03"/>
    <w:rsid w:val="39B21459"/>
    <w:rsid w:val="39D53E8F"/>
    <w:rsid w:val="39E670D2"/>
    <w:rsid w:val="39FE4185"/>
    <w:rsid w:val="3A0E1EEE"/>
    <w:rsid w:val="3A280371"/>
    <w:rsid w:val="3A2A31CC"/>
    <w:rsid w:val="3A44266E"/>
    <w:rsid w:val="3A4C1E8C"/>
    <w:rsid w:val="3A512FED"/>
    <w:rsid w:val="3A6B7785"/>
    <w:rsid w:val="3A6F4B32"/>
    <w:rsid w:val="3A83468A"/>
    <w:rsid w:val="3A8609A5"/>
    <w:rsid w:val="3A8B523C"/>
    <w:rsid w:val="3AC802EF"/>
    <w:rsid w:val="3AD54D63"/>
    <w:rsid w:val="3AE50EA1"/>
    <w:rsid w:val="3AE72E6B"/>
    <w:rsid w:val="3AFB06C4"/>
    <w:rsid w:val="3B293484"/>
    <w:rsid w:val="3B2B40CB"/>
    <w:rsid w:val="3B375740"/>
    <w:rsid w:val="3B3F2CA7"/>
    <w:rsid w:val="3B4D4A46"/>
    <w:rsid w:val="3BA64AD4"/>
    <w:rsid w:val="3BB15227"/>
    <w:rsid w:val="3BBC60A6"/>
    <w:rsid w:val="3BD74C8E"/>
    <w:rsid w:val="3BE13D5E"/>
    <w:rsid w:val="3BEF353A"/>
    <w:rsid w:val="3BF07AFD"/>
    <w:rsid w:val="3BF910A8"/>
    <w:rsid w:val="3C0E2679"/>
    <w:rsid w:val="3C326368"/>
    <w:rsid w:val="3C351357"/>
    <w:rsid w:val="3C681D8A"/>
    <w:rsid w:val="3C6A3D54"/>
    <w:rsid w:val="3C781F6C"/>
    <w:rsid w:val="3C97441D"/>
    <w:rsid w:val="3CBD3561"/>
    <w:rsid w:val="3CD30C88"/>
    <w:rsid w:val="3CD82BD2"/>
    <w:rsid w:val="3CD92C87"/>
    <w:rsid w:val="3CDA3ABF"/>
    <w:rsid w:val="3CE41E62"/>
    <w:rsid w:val="3CF10ACC"/>
    <w:rsid w:val="3D0870C9"/>
    <w:rsid w:val="3D1E4B3E"/>
    <w:rsid w:val="3D606F05"/>
    <w:rsid w:val="3D6F0EF6"/>
    <w:rsid w:val="3DA233C5"/>
    <w:rsid w:val="3DB01C3A"/>
    <w:rsid w:val="3DB64D77"/>
    <w:rsid w:val="3DBA68FD"/>
    <w:rsid w:val="3DE10046"/>
    <w:rsid w:val="3DEE177D"/>
    <w:rsid w:val="3E012496"/>
    <w:rsid w:val="3E6B790F"/>
    <w:rsid w:val="3E704F26"/>
    <w:rsid w:val="3E7A3FF6"/>
    <w:rsid w:val="3E7F160D"/>
    <w:rsid w:val="3E86299B"/>
    <w:rsid w:val="3E8B6203"/>
    <w:rsid w:val="3EA3354D"/>
    <w:rsid w:val="3EC11C25"/>
    <w:rsid w:val="3F125FDD"/>
    <w:rsid w:val="3F147FA7"/>
    <w:rsid w:val="3F19736B"/>
    <w:rsid w:val="3F32667F"/>
    <w:rsid w:val="3F402B4A"/>
    <w:rsid w:val="3F4E170B"/>
    <w:rsid w:val="3F512FA9"/>
    <w:rsid w:val="3F786788"/>
    <w:rsid w:val="3F9D7F9C"/>
    <w:rsid w:val="3FA4757D"/>
    <w:rsid w:val="3FAE03FB"/>
    <w:rsid w:val="3FAF1A7E"/>
    <w:rsid w:val="3FB93C81"/>
    <w:rsid w:val="3FFF47B3"/>
    <w:rsid w:val="400B3158"/>
    <w:rsid w:val="403E79D4"/>
    <w:rsid w:val="40503F2A"/>
    <w:rsid w:val="40650F99"/>
    <w:rsid w:val="40694322"/>
    <w:rsid w:val="406A6685"/>
    <w:rsid w:val="40907B01"/>
    <w:rsid w:val="40980764"/>
    <w:rsid w:val="409F1AF2"/>
    <w:rsid w:val="40C9397A"/>
    <w:rsid w:val="41027718"/>
    <w:rsid w:val="41076015"/>
    <w:rsid w:val="410A78B3"/>
    <w:rsid w:val="412C5663"/>
    <w:rsid w:val="41342EE8"/>
    <w:rsid w:val="413B5CBF"/>
    <w:rsid w:val="414A7CB0"/>
    <w:rsid w:val="41614FF9"/>
    <w:rsid w:val="41AD023F"/>
    <w:rsid w:val="41AF3FB7"/>
    <w:rsid w:val="41BD2B78"/>
    <w:rsid w:val="41C21F3C"/>
    <w:rsid w:val="41EC6460"/>
    <w:rsid w:val="422229DB"/>
    <w:rsid w:val="423676FC"/>
    <w:rsid w:val="423A41C8"/>
    <w:rsid w:val="423A5F76"/>
    <w:rsid w:val="423E7D7E"/>
    <w:rsid w:val="424A1938"/>
    <w:rsid w:val="42770F78"/>
    <w:rsid w:val="42AA5FDC"/>
    <w:rsid w:val="42E62D18"/>
    <w:rsid w:val="42EC5E84"/>
    <w:rsid w:val="43051AC9"/>
    <w:rsid w:val="430D71E7"/>
    <w:rsid w:val="430F5343"/>
    <w:rsid w:val="43120CA1"/>
    <w:rsid w:val="4348021F"/>
    <w:rsid w:val="43505326"/>
    <w:rsid w:val="43650DD1"/>
    <w:rsid w:val="43AA712C"/>
    <w:rsid w:val="43AF4742"/>
    <w:rsid w:val="43C26C98"/>
    <w:rsid w:val="43C46AB7"/>
    <w:rsid w:val="43E20674"/>
    <w:rsid w:val="43E268C5"/>
    <w:rsid w:val="43FE4D82"/>
    <w:rsid w:val="44071E88"/>
    <w:rsid w:val="44330ECF"/>
    <w:rsid w:val="445F1CC4"/>
    <w:rsid w:val="447D214A"/>
    <w:rsid w:val="449A2CFC"/>
    <w:rsid w:val="44AD0C81"/>
    <w:rsid w:val="44B042CE"/>
    <w:rsid w:val="44B71B00"/>
    <w:rsid w:val="44C4421D"/>
    <w:rsid w:val="44D14A1F"/>
    <w:rsid w:val="44F763A1"/>
    <w:rsid w:val="44FC28A1"/>
    <w:rsid w:val="4503099B"/>
    <w:rsid w:val="4504286C"/>
    <w:rsid w:val="451C5E07"/>
    <w:rsid w:val="453D7EFA"/>
    <w:rsid w:val="454D4212"/>
    <w:rsid w:val="4578119A"/>
    <w:rsid w:val="45810DBE"/>
    <w:rsid w:val="45833790"/>
    <w:rsid w:val="458B036C"/>
    <w:rsid w:val="45CF2E79"/>
    <w:rsid w:val="45F75F2C"/>
    <w:rsid w:val="45F97EF6"/>
    <w:rsid w:val="460757E9"/>
    <w:rsid w:val="461E795D"/>
    <w:rsid w:val="46236D21"/>
    <w:rsid w:val="462F3918"/>
    <w:rsid w:val="46371DF4"/>
    <w:rsid w:val="46480423"/>
    <w:rsid w:val="464C0026"/>
    <w:rsid w:val="46511AE0"/>
    <w:rsid w:val="469A3487"/>
    <w:rsid w:val="46B362F7"/>
    <w:rsid w:val="46C44BD5"/>
    <w:rsid w:val="46F34946"/>
    <w:rsid w:val="46FD0ED7"/>
    <w:rsid w:val="472745EF"/>
    <w:rsid w:val="47376F28"/>
    <w:rsid w:val="474D674C"/>
    <w:rsid w:val="47723562"/>
    <w:rsid w:val="477D334F"/>
    <w:rsid w:val="47975C19"/>
    <w:rsid w:val="479C322F"/>
    <w:rsid w:val="47C4371E"/>
    <w:rsid w:val="47C87C98"/>
    <w:rsid w:val="47D44A52"/>
    <w:rsid w:val="47E6706E"/>
    <w:rsid w:val="47E86474"/>
    <w:rsid w:val="48077812"/>
    <w:rsid w:val="482E032B"/>
    <w:rsid w:val="482F19AD"/>
    <w:rsid w:val="483674AD"/>
    <w:rsid w:val="48657AC5"/>
    <w:rsid w:val="4871646A"/>
    <w:rsid w:val="488B752C"/>
    <w:rsid w:val="48AE5772"/>
    <w:rsid w:val="48C90054"/>
    <w:rsid w:val="48EA3B26"/>
    <w:rsid w:val="48FC515B"/>
    <w:rsid w:val="490177EE"/>
    <w:rsid w:val="49105379"/>
    <w:rsid w:val="49185C54"/>
    <w:rsid w:val="491C07E5"/>
    <w:rsid w:val="4944592C"/>
    <w:rsid w:val="49627B61"/>
    <w:rsid w:val="4972249A"/>
    <w:rsid w:val="497A75A0"/>
    <w:rsid w:val="49B874EC"/>
    <w:rsid w:val="49C00E50"/>
    <w:rsid w:val="49CA5E32"/>
    <w:rsid w:val="49D92519"/>
    <w:rsid w:val="49DD0617"/>
    <w:rsid w:val="49ED7D72"/>
    <w:rsid w:val="4A0C644A"/>
    <w:rsid w:val="4A2319E6"/>
    <w:rsid w:val="4A9C4DD7"/>
    <w:rsid w:val="4A9F72BE"/>
    <w:rsid w:val="4AA246B9"/>
    <w:rsid w:val="4AD11442"/>
    <w:rsid w:val="4AEB21ED"/>
    <w:rsid w:val="4AF33166"/>
    <w:rsid w:val="4AF74696"/>
    <w:rsid w:val="4AFF1B0B"/>
    <w:rsid w:val="4B2F4D45"/>
    <w:rsid w:val="4B4350C2"/>
    <w:rsid w:val="4B475260"/>
    <w:rsid w:val="4B6E4EE3"/>
    <w:rsid w:val="4BAD5A0B"/>
    <w:rsid w:val="4BB52B12"/>
    <w:rsid w:val="4BB73BE9"/>
    <w:rsid w:val="4BBF25D0"/>
    <w:rsid w:val="4BEB2031"/>
    <w:rsid w:val="4BF81037"/>
    <w:rsid w:val="4C485734"/>
    <w:rsid w:val="4C5279A0"/>
    <w:rsid w:val="4C567E51"/>
    <w:rsid w:val="4C9149E5"/>
    <w:rsid w:val="4CA0731E"/>
    <w:rsid w:val="4CB61D2B"/>
    <w:rsid w:val="4CB84667"/>
    <w:rsid w:val="4D135D42"/>
    <w:rsid w:val="4D1A0E7E"/>
    <w:rsid w:val="4D2E2B7B"/>
    <w:rsid w:val="4D387556"/>
    <w:rsid w:val="4D3A1520"/>
    <w:rsid w:val="4D471547"/>
    <w:rsid w:val="4D4B54DB"/>
    <w:rsid w:val="4D55541D"/>
    <w:rsid w:val="4D6B5D25"/>
    <w:rsid w:val="4D6E0212"/>
    <w:rsid w:val="4D7A7B6F"/>
    <w:rsid w:val="4D8C33FE"/>
    <w:rsid w:val="4DA23EAF"/>
    <w:rsid w:val="4DDC4386"/>
    <w:rsid w:val="4DF3347D"/>
    <w:rsid w:val="4E0336C0"/>
    <w:rsid w:val="4E0A6015"/>
    <w:rsid w:val="4E255D2C"/>
    <w:rsid w:val="4E3E294A"/>
    <w:rsid w:val="4E40695D"/>
    <w:rsid w:val="4E5A665D"/>
    <w:rsid w:val="4E5C54C6"/>
    <w:rsid w:val="4E5C7274"/>
    <w:rsid w:val="4E5F0909"/>
    <w:rsid w:val="4E6200BB"/>
    <w:rsid w:val="4E6A7BE3"/>
    <w:rsid w:val="4E6C42C1"/>
    <w:rsid w:val="4E7B3B9E"/>
    <w:rsid w:val="4E7E368F"/>
    <w:rsid w:val="4E8F31A6"/>
    <w:rsid w:val="4EAA6232"/>
    <w:rsid w:val="4EBB21ED"/>
    <w:rsid w:val="4EC015B1"/>
    <w:rsid w:val="4ED11A10"/>
    <w:rsid w:val="4ED41501"/>
    <w:rsid w:val="4EDD2163"/>
    <w:rsid w:val="4EE748AB"/>
    <w:rsid w:val="4EFD45B3"/>
    <w:rsid w:val="4F02606E"/>
    <w:rsid w:val="4F0C47F7"/>
    <w:rsid w:val="4F275AD4"/>
    <w:rsid w:val="4F45133E"/>
    <w:rsid w:val="4F585DC4"/>
    <w:rsid w:val="4F7D3C20"/>
    <w:rsid w:val="4F876573"/>
    <w:rsid w:val="4F8E5B53"/>
    <w:rsid w:val="4FA50797"/>
    <w:rsid w:val="4FCB4C5A"/>
    <w:rsid w:val="4FDA66A3"/>
    <w:rsid w:val="50050F2F"/>
    <w:rsid w:val="50203001"/>
    <w:rsid w:val="5022736D"/>
    <w:rsid w:val="503C735D"/>
    <w:rsid w:val="50555825"/>
    <w:rsid w:val="506D7517"/>
    <w:rsid w:val="50812371"/>
    <w:rsid w:val="508D1967"/>
    <w:rsid w:val="509E5922"/>
    <w:rsid w:val="50BE3B2A"/>
    <w:rsid w:val="50D12440"/>
    <w:rsid w:val="50DD469C"/>
    <w:rsid w:val="51340172"/>
    <w:rsid w:val="513E2C61"/>
    <w:rsid w:val="514209A3"/>
    <w:rsid w:val="514613DA"/>
    <w:rsid w:val="514E33DD"/>
    <w:rsid w:val="51503C9F"/>
    <w:rsid w:val="51556929"/>
    <w:rsid w:val="515801C7"/>
    <w:rsid w:val="51730B5D"/>
    <w:rsid w:val="51A76A58"/>
    <w:rsid w:val="51D75590"/>
    <w:rsid w:val="51E23F34"/>
    <w:rsid w:val="51F83758"/>
    <w:rsid w:val="52021EE1"/>
    <w:rsid w:val="521C2FA3"/>
    <w:rsid w:val="521E31BF"/>
    <w:rsid w:val="522400A9"/>
    <w:rsid w:val="522956BF"/>
    <w:rsid w:val="523E560F"/>
    <w:rsid w:val="525210BA"/>
    <w:rsid w:val="52605EC1"/>
    <w:rsid w:val="52C036A4"/>
    <w:rsid w:val="52EB0BC7"/>
    <w:rsid w:val="52F67C97"/>
    <w:rsid w:val="52FB52AE"/>
    <w:rsid w:val="530B258E"/>
    <w:rsid w:val="53476745"/>
    <w:rsid w:val="537312E8"/>
    <w:rsid w:val="538C5F06"/>
    <w:rsid w:val="53AF7E46"/>
    <w:rsid w:val="53B86CFB"/>
    <w:rsid w:val="53E421E6"/>
    <w:rsid w:val="54024149"/>
    <w:rsid w:val="54091C4C"/>
    <w:rsid w:val="540B1521"/>
    <w:rsid w:val="54224ABC"/>
    <w:rsid w:val="543842E0"/>
    <w:rsid w:val="54407510"/>
    <w:rsid w:val="544467E1"/>
    <w:rsid w:val="54602135"/>
    <w:rsid w:val="546649A9"/>
    <w:rsid w:val="547A48F8"/>
    <w:rsid w:val="5486504B"/>
    <w:rsid w:val="54880DC3"/>
    <w:rsid w:val="548E3F00"/>
    <w:rsid w:val="54A656ED"/>
    <w:rsid w:val="54AD6A7C"/>
    <w:rsid w:val="54FB77E7"/>
    <w:rsid w:val="551E7032"/>
    <w:rsid w:val="55281A3E"/>
    <w:rsid w:val="55750F04"/>
    <w:rsid w:val="55C53951"/>
    <w:rsid w:val="56230EA5"/>
    <w:rsid w:val="56552F27"/>
    <w:rsid w:val="56690780"/>
    <w:rsid w:val="56820D5B"/>
    <w:rsid w:val="56982E14"/>
    <w:rsid w:val="56B37C4E"/>
    <w:rsid w:val="56CB4937"/>
    <w:rsid w:val="56D02BB3"/>
    <w:rsid w:val="56EA7997"/>
    <w:rsid w:val="56EF2533"/>
    <w:rsid w:val="57096D7C"/>
    <w:rsid w:val="570D55B0"/>
    <w:rsid w:val="5733648B"/>
    <w:rsid w:val="576F626A"/>
    <w:rsid w:val="57711FE2"/>
    <w:rsid w:val="5776594E"/>
    <w:rsid w:val="57A04676"/>
    <w:rsid w:val="57AE6D93"/>
    <w:rsid w:val="57B10134"/>
    <w:rsid w:val="57CE2BAB"/>
    <w:rsid w:val="583077A8"/>
    <w:rsid w:val="585B234B"/>
    <w:rsid w:val="58627B7D"/>
    <w:rsid w:val="588D4BFA"/>
    <w:rsid w:val="58906498"/>
    <w:rsid w:val="58A43CF2"/>
    <w:rsid w:val="58BC54DF"/>
    <w:rsid w:val="59260BAB"/>
    <w:rsid w:val="592A069B"/>
    <w:rsid w:val="594E6836"/>
    <w:rsid w:val="594F3C5E"/>
    <w:rsid w:val="59545718"/>
    <w:rsid w:val="595E6596"/>
    <w:rsid w:val="59613991"/>
    <w:rsid w:val="59A3044D"/>
    <w:rsid w:val="59A541C5"/>
    <w:rsid w:val="59B76FC7"/>
    <w:rsid w:val="59E8516A"/>
    <w:rsid w:val="59EA0898"/>
    <w:rsid w:val="59ED36AC"/>
    <w:rsid w:val="5A2E7D17"/>
    <w:rsid w:val="5A382944"/>
    <w:rsid w:val="5A583775"/>
    <w:rsid w:val="5A755946"/>
    <w:rsid w:val="5A760051"/>
    <w:rsid w:val="5A767910"/>
    <w:rsid w:val="5A9658BC"/>
    <w:rsid w:val="5A987886"/>
    <w:rsid w:val="5AD248B6"/>
    <w:rsid w:val="5AD308BE"/>
    <w:rsid w:val="5B0647F0"/>
    <w:rsid w:val="5B131B7D"/>
    <w:rsid w:val="5B211B6F"/>
    <w:rsid w:val="5B296730"/>
    <w:rsid w:val="5B490B80"/>
    <w:rsid w:val="5B554F2C"/>
    <w:rsid w:val="5B653C0C"/>
    <w:rsid w:val="5B70610D"/>
    <w:rsid w:val="5B77438F"/>
    <w:rsid w:val="5B950E80"/>
    <w:rsid w:val="5B9E2C7A"/>
    <w:rsid w:val="5BA83AF9"/>
    <w:rsid w:val="5BD112A2"/>
    <w:rsid w:val="5C2018E1"/>
    <w:rsid w:val="5C221AFD"/>
    <w:rsid w:val="5C2B09CF"/>
    <w:rsid w:val="5C311D40"/>
    <w:rsid w:val="5C3B2BBF"/>
    <w:rsid w:val="5C642116"/>
    <w:rsid w:val="5C9A78E6"/>
    <w:rsid w:val="5C9F6DF3"/>
    <w:rsid w:val="5CB5471F"/>
    <w:rsid w:val="5CC26E3C"/>
    <w:rsid w:val="5CCE758F"/>
    <w:rsid w:val="5CD821BC"/>
    <w:rsid w:val="5CDD77D2"/>
    <w:rsid w:val="5CEE5E83"/>
    <w:rsid w:val="5CF2188A"/>
    <w:rsid w:val="5CFA65D6"/>
    <w:rsid w:val="5D0336DD"/>
    <w:rsid w:val="5D114F55"/>
    <w:rsid w:val="5D30024A"/>
    <w:rsid w:val="5D5A0E23"/>
    <w:rsid w:val="5D5C103F"/>
    <w:rsid w:val="5D92680F"/>
    <w:rsid w:val="5D9407D9"/>
    <w:rsid w:val="5DA34700"/>
    <w:rsid w:val="5DAD6B77"/>
    <w:rsid w:val="5DBA7B13"/>
    <w:rsid w:val="5DD60DF1"/>
    <w:rsid w:val="5DE828D3"/>
    <w:rsid w:val="5DFE20F6"/>
    <w:rsid w:val="5E007081"/>
    <w:rsid w:val="5E0A2849"/>
    <w:rsid w:val="5E3E6996"/>
    <w:rsid w:val="5E5B12F6"/>
    <w:rsid w:val="5E7423B8"/>
    <w:rsid w:val="5E7D4091"/>
    <w:rsid w:val="5E826883"/>
    <w:rsid w:val="5E875C48"/>
    <w:rsid w:val="5E9B16F3"/>
    <w:rsid w:val="5EAE1426"/>
    <w:rsid w:val="5ED864A3"/>
    <w:rsid w:val="5EDA221B"/>
    <w:rsid w:val="5F36141C"/>
    <w:rsid w:val="5F59613B"/>
    <w:rsid w:val="5F5A15AE"/>
    <w:rsid w:val="5F6E029F"/>
    <w:rsid w:val="5F7457B5"/>
    <w:rsid w:val="5F9E593F"/>
    <w:rsid w:val="5FA12D39"/>
    <w:rsid w:val="5FA40163"/>
    <w:rsid w:val="5FAF36A8"/>
    <w:rsid w:val="5FBE1B3D"/>
    <w:rsid w:val="5FC03181"/>
    <w:rsid w:val="5FC44522"/>
    <w:rsid w:val="5FC5301A"/>
    <w:rsid w:val="5FDD5D90"/>
    <w:rsid w:val="5FE5356E"/>
    <w:rsid w:val="6045273B"/>
    <w:rsid w:val="604A33D1"/>
    <w:rsid w:val="604C0EF7"/>
    <w:rsid w:val="605E6E7C"/>
    <w:rsid w:val="60600E46"/>
    <w:rsid w:val="60624BBE"/>
    <w:rsid w:val="606326E4"/>
    <w:rsid w:val="60AC5E39"/>
    <w:rsid w:val="60AE3960"/>
    <w:rsid w:val="60B116A2"/>
    <w:rsid w:val="60BD3BA3"/>
    <w:rsid w:val="60C2105A"/>
    <w:rsid w:val="60CF38D6"/>
    <w:rsid w:val="60D159B6"/>
    <w:rsid w:val="610C3585"/>
    <w:rsid w:val="610C4B2A"/>
    <w:rsid w:val="61151C31"/>
    <w:rsid w:val="61300818"/>
    <w:rsid w:val="614B38A4"/>
    <w:rsid w:val="617A5F38"/>
    <w:rsid w:val="619F774C"/>
    <w:rsid w:val="61B561BF"/>
    <w:rsid w:val="61BC20AC"/>
    <w:rsid w:val="61C13B66"/>
    <w:rsid w:val="61E567BB"/>
    <w:rsid w:val="61FD0F99"/>
    <w:rsid w:val="621040A2"/>
    <w:rsid w:val="62525166"/>
    <w:rsid w:val="627B4304"/>
    <w:rsid w:val="628F05F8"/>
    <w:rsid w:val="62943029"/>
    <w:rsid w:val="62A31D36"/>
    <w:rsid w:val="62A56FE4"/>
    <w:rsid w:val="62AE5E99"/>
    <w:rsid w:val="62DA4EE0"/>
    <w:rsid w:val="62EA49F7"/>
    <w:rsid w:val="62EE2739"/>
    <w:rsid w:val="62F35E96"/>
    <w:rsid w:val="63044138"/>
    <w:rsid w:val="63247F09"/>
    <w:rsid w:val="63281DA8"/>
    <w:rsid w:val="632E6FDA"/>
    <w:rsid w:val="63310F09"/>
    <w:rsid w:val="635A1B7D"/>
    <w:rsid w:val="63715118"/>
    <w:rsid w:val="637645FC"/>
    <w:rsid w:val="637F5A87"/>
    <w:rsid w:val="6397692D"/>
    <w:rsid w:val="63A159FD"/>
    <w:rsid w:val="63B15515"/>
    <w:rsid w:val="63B84F56"/>
    <w:rsid w:val="63CE35E1"/>
    <w:rsid w:val="63DD7F3E"/>
    <w:rsid w:val="63DF02D4"/>
    <w:rsid w:val="63EC12ED"/>
    <w:rsid w:val="63F975E8"/>
    <w:rsid w:val="6401024A"/>
    <w:rsid w:val="641E67B2"/>
    <w:rsid w:val="64300A43"/>
    <w:rsid w:val="64306D81"/>
    <w:rsid w:val="64430863"/>
    <w:rsid w:val="6449399F"/>
    <w:rsid w:val="644D4598"/>
    <w:rsid w:val="64A121F4"/>
    <w:rsid w:val="64C23E7D"/>
    <w:rsid w:val="64E253E1"/>
    <w:rsid w:val="650106C0"/>
    <w:rsid w:val="65293B3A"/>
    <w:rsid w:val="65556AA0"/>
    <w:rsid w:val="65646CE3"/>
    <w:rsid w:val="656767D3"/>
    <w:rsid w:val="65817895"/>
    <w:rsid w:val="65960E66"/>
    <w:rsid w:val="659B647C"/>
    <w:rsid w:val="65DC4ACB"/>
    <w:rsid w:val="65E676F8"/>
    <w:rsid w:val="65EB11B2"/>
    <w:rsid w:val="660364FC"/>
    <w:rsid w:val="66171FA7"/>
    <w:rsid w:val="663E10C6"/>
    <w:rsid w:val="66803D6A"/>
    <w:rsid w:val="673152EA"/>
    <w:rsid w:val="673C2281"/>
    <w:rsid w:val="67513297"/>
    <w:rsid w:val="676B07FC"/>
    <w:rsid w:val="67874F0A"/>
    <w:rsid w:val="67AA29A7"/>
    <w:rsid w:val="67AA76A2"/>
    <w:rsid w:val="67B101D9"/>
    <w:rsid w:val="67DB2C51"/>
    <w:rsid w:val="682269E1"/>
    <w:rsid w:val="683230C8"/>
    <w:rsid w:val="683D3F99"/>
    <w:rsid w:val="68562B5B"/>
    <w:rsid w:val="685748DD"/>
    <w:rsid w:val="686B311E"/>
    <w:rsid w:val="687F5BE1"/>
    <w:rsid w:val="68914293"/>
    <w:rsid w:val="68A45648"/>
    <w:rsid w:val="69047470"/>
    <w:rsid w:val="69166546"/>
    <w:rsid w:val="693B5FAC"/>
    <w:rsid w:val="694A344B"/>
    <w:rsid w:val="695157D0"/>
    <w:rsid w:val="699456BD"/>
    <w:rsid w:val="699C5800"/>
    <w:rsid w:val="69AE49D0"/>
    <w:rsid w:val="69C266CE"/>
    <w:rsid w:val="69E90781"/>
    <w:rsid w:val="6A2C1D99"/>
    <w:rsid w:val="6A366774"/>
    <w:rsid w:val="6A425119"/>
    <w:rsid w:val="6A707ED8"/>
    <w:rsid w:val="6A9A31A7"/>
    <w:rsid w:val="6A9C0CCD"/>
    <w:rsid w:val="6AAB53B4"/>
    <w:rsid w:val="6AB9362D"/>
    <w:rsid w:val="6AE10DD5"/>
    <w:rsid w:val="6AE663EC"/>
    <w:rsid w:val="6B0074AE"/>
    <w:rsid w:val="6B08221C"/>
    <w:rsid w:val="6B1C1E0E"/>
    <w:rsid w:val="6B3C600C"/>
    <w:rsid w:val="6B5275DD"/>
    <w:rsid w:val="6B533C17"/>
    <w:rsid w:val="6B572E46"/>
    <w:rsid w:val="6B6F6C1F"/>
    <w:rsid w:val="6B715CB5"/>
    <w:rsid w:val="6B7457A6"/>
    <w:rsid w:val="6B766C87"/>
    <w:rsid w:val="6B7C465A"/>
    <w:rsid w:val="6B851761"/>
    <w:rsid w:val="6BB1537C"/>
    <w:rsid w:val="6BBA58AE"/>
    <w:rsid w:val="6BCF0C2E"/>
    <w:rsid w:val="6C184383"/>
    <w:rsid w:val="6C296590"/>
    <w:rsid w:val="6C427652"/>
    <w:rsid w:val="6C557BAF"/>
    <w:rsid w:val="6C5601E2"/>
    <w:rsid w:val="6C7041BF"/>
    <w:rsid w:val="6C9C1458"/>
    <w:rsid w:val="6CB178DD"/>
    <w:rsid w:val="6CBE13CE"/>
    <w:rsid w:val="6CDA3D2E"/>
    <w:rsid w:val="6DA3457C"/>
    <w:rsid w:val="6DA5433C"/>
    <w:rsid w:val="6DB4457F"/>
    <w:rsid w:val="6DCC3677"/>
    <w:rsid w:val="6DDE7D9A"/>
    <w:rsid w:val="6DEE1649"/>
    <w:rsid w:val="6E0252EB"/>
    <w:rsid w:val="6E0C43BB"/>
    <w:rsid w:val="6E155CEB"/>
    <w:rsid w:val="6E445903"/>
    <w:rsid w:val="6E4E4D9B"/>
    <w:rsid w:val="6ECC48AE"/>
    <w:rsid w:val="6EDD3662"/>
    <w:rsid w:val="6EEA46FD"/>
    <w:rsid w:val="6EF22BF4"/>
    <w:rsid w:val="6F1F3C7A"/>
    <w:rsid w:val="6F285225"/>
    <w:rsid w:val="6F305E87"/>
    <w:rsid w:val="6F631DB9"/>
    <w:rsid w:val="6FA240EF"/>
    <w:rsid w:val="6FB1521A"/>
    <w:rsid w:val="6FB507BD"/>
    <w:rsid w:val="6FC565D0"/>
    <w:rsid w:val="6FCD36D6"/>
    <w:rsid w:val="6FD45398"/>
    <w:rsid w:val="6FE23626"/>
    <w:rsid w:val="6FE949B4"/>
    <w:rsid w:val="70137AA4"/>
    <w:rsid w:val="701C772F"/>
    <w:rsid w:val="702C2AF3"/>
    <w:rsid w:val="703A5210"/>
    <w:rsid w:val="704155CB"/>
    <w:rsid w:val="706109EE"/>
    <w:rsid w:val="70B76860"/>
    <w:rsid w:val="70EE5FFA"/>
    <w:rsid w:val="70F25AEA"/>
    <w:rsid w:val="71066EA0"/>
    <w:rsid w:val="71306613"/>
    <w:rsid w:val="71333A0D"/>
    <w:rsid w:val="715C11B6"/>
    <w:rsid w:val="715C7408"/>
    <w:rsid w:val="71940950"/>
    <w:rsid w:val="719B1CDE"/>
    <w:rsid w:val="71B0505E"/>
    <w:rsid w:val="71BE777B"/>
    <w:rsid w:val="71C8684B"/>
    <w:rsid w:val="71CD5C10"/>
    <w:rsid w:val="71CF5561"/>
    <w:rsid w:val="71DA6A97"/>
    <w:rsid w:val="71FD4747"/>
    <w:rsid w:val="71FE04BF"/>
    <w:rsid w:val="72005E8A"/>
    <w:rsid w:val="722F2426"/>
    <w:rsid w:val="723143F0"/>
    <w:rsid w:val="72395053"/>
    <w:rsid w:val="724D0AFE"/>
    <w:rsid w:val="72627701"/>
    <w:rsid w:val="72691DDC"/>
    <w:rsid w:val="72716134"/>
    <w:rsid w:val="72800ED4"/>
    <w:rsid w:val="728A18E1"/>
    <w:rsid w:val="72A66B8C"/>
    <w:rsid w:val="72AB636B"/>
    <w:rsid w:val="72B24C2E"/>
    <w:rsid w:val="72C15774"/>
    <w:rsid w:val="72D91606"/>
    <w:rsid w:val="72FC67AC"/>
    <w:rsid w:val="73267CCD"/>
    <w:rsid w:val="73430453"/>
    <w:rsid w:val="7372081D"/>
    <w:rsid w:val="73927111"/>
    <w:rsid w:val="73965B0B"/>
    <w:rsid w:val="73BC5AD9"/>
    <w:rsid w:val="73FE47A6"/>
    <w:rsid w:val="74051691"/>
    <w:rsid w:val="740D49E9"/>
    <w:rsid w:val="7420471D"/>
    <w:rsid w:val="74343D24"/>
    <w:rsid w:val="743D707D"/>
    <w:rsid w:val="744523D5"/>
    <w:rsid w:val="744E3D1C"/>
    <w:rsid w:val="749A44CF"/>
    <w:rsid w:val="74B762B8"/>
    <w:rsid w:val="74C4154C"/>
    <w:rsid w:val="74D25041"/>
    <w:rsid w:val="74DA0D6F"/>
    <w:rsid w:val="74E76FE8"/>
    <w:rsid w:val="74F33BDF"/>
    <w:rsid w:val="75215CF5"/>
    <w:rsid w:val="75A629FF"/>
    <w:rsid w:val="75A650F5"/>
    <w:rsid w:val="75C64E50"/>
    <w:rsid w:val="75CB2AAF"/>
    <w:rsid w:val="75D146C4"/>
    <w:rsid w:val="75D32417"/>
    <w:rsid w:val="75F96FD3"/>
    <w:rsid w:val="75FB71EF"/>
    <w:rsid w:val="760836BA"/>
    <w:rsid w:val="760A0EAA"/>
    <w:rsid w:val="76244A4F"/>
    <w:rsid w:val="763C5112"/>
    <w:rsid w:val="7645283B"/>
    <w:rsid w:val="764D1C01"/>
    <w:rsid w:val="765777E6"/>
    <w:rsid w:val="765B7C8E"/>
    <w:rsid w:val="766308F1"/>
    <w:rsid w:val="766D176F"/>
    <w:rsid w:val="76706619"/>
    <w:rsid w:val="76960CC6"/>
    <w:rsid w:val="769D53B4"/>
    <w:rsid w:val="76AA2A41"/>
    <w:rsid w:val="76AA4771"/>
    <w:rsid w:val="76C03F95"/>
    <w:rsid w:val="76CF20EA"/>
    <w:rsid w:val="76DA2BC4"/>
    <w:rsid w:val="76F459ED"/>
    <w:rsid w:val="76FF686B"/>
    <w:rsid w:val="773A5AF5"/>
    <w:rsid w:val="773C7ABF"/>
    <w:rsid w:val="77550B81"/>
    <w:rsid w:val="7771703D"/>
    <w:rsid w:val="77935205"/>
    <w:rsid w:val="77A85155"/>
    <w:rsid w:val="77D870BC"/>
    <w:rsid w:val="77E85551"/>
    <w:rsid w:val="780E03A5"/>
    <w:rsid w:val="78295D44"/>
    <w:rsid w:val="783778B9"/>
    <w:rsid w:val="784A40D8"/>
    <w:rsid w:val="784F737E"/>
    <w:rsid w:val="788D434B"/>
    <w:rsid w:val="788F1E71"/>
    <w:rsid w:val="78972AD3"/>
    <w:rsid w:val="78986F77"/>
    <w:rsid w:val="78AC2A23"/>
    <w:rsid w:val="78AF2513"/>
    <w:rsid w:val="78B00E0E"/>
    <w:rsid w:val="78DB50B6"/>
    <w:rsid w:val="78E231C0"/>
    <w:rsid w:val="78E35D19"/>
    <w:rsid w:val="78E91B1C"/>
    <w:rsid w:val="78F148D9"/>
    <w:rsid w:val="79294073"/>
    <w:rsid w:val="793B703E"/>
    <w:rsid w:val="795F7A95"/>
    <w:rsid w:val="79690914"/>
    <w:rsid w:val="79825532"/>
    <w:rsid w:val="79A61220"/>
    <w:rsid w:val="79A90D10"/>
    <w:rsid w:val="79AB4A88"/>
    <w:rsid w:val="79C63670"/>
    <w:rsid w:val="79CD0EA3"/>
    <w:rsid w:val="79E93803"/>
    <w:rsid w:val="7A2D1941"/>
    <w:rsid w:val="7A396538"/>
    <w:rsid w:val="7A5A025C"/>
    <w:rsid w:val="7A61783D"/>
    <w:rsid w:val="7A637111"/>
    <w:rsid w:val="7A910122"/>
    <w:rsid w:val="7A9C0875"/>
    <w:rsid w:val="7AAA4D40"/>
    <w:rsid w:val="7AE210BA"/>
    <w:rsid w:val="7AF6437F"/>
    <w:rsid w:val="7AFC667D"/>
    <w:rsid w:val="7AFE6E3A"/>
    <w:rsid w:val="7B2974D7"/>
    <w:rsid w:val="7B5B428C"/>
    <w:rsid w:val="7B5D1DB2"/>
    <w:rsid w:val="7B602616"/>
    <w:rsid w:val="7B684718"/>
    <w:rsid w:val="7B6A44CF"/>
    <w:rsid w:val="7B876E2F"/>
    <w:rsid w:val="7B8E0659"/>
    <w:rsid w:val="7B95140A"/>
    <w:rsid w:val="7BBF481B"/>
    <w:rsid w:val="7BC106F9"/>
    <w:rsid w:val="7BCE0F02"/>
    <w:rsid w:val="7BD06A28"/>
    <w:rsid w:val="7BEA0587"/>
    <w:rsid w:val="7C444D20"/>
    <w:rsid w:val="7C4B60AF"/>
    <w:rsid w:val="7C63164A"/>
    <w:rsid w:val="7C694787"/>
    <w:rsid w:val="7C792C1C"/>
    <w:rsid w:val="7C896BD7"/>
    <w:rsid w:val="7C8A4E29"/>
    <w:rsid w:val="7C8C2CA7"/>
    <w:rsid w:val="7CC75E49"/>
    <w:rsid w:val="7CDB7433"/>
    <w:rsid w:val="7CF40D9D"/>
    <w:rsid w:val="7D4E63C6"/>
    <w:rsid w:val="7D5B0573"/>
    <w:rsid w:val="7D9F66B2"/>
    <w:rsid w:val="7DAC5273"/>
    <w:rsid w:val="7DB1356C"/>
    <w:rsid w:val="7DC46119"/>
    <w:rsid w:val="7DD242FB"/>
    <w:rsid w:val="7DFA4230"/>
    <w:rsid w:val="7E0724A9"/>
    <w:rsid w:val="7E186464"/>
    <w:rsid w:val="7E194C2B"/>
    <w:rsid w:val="7E20202B"/>
    <w:rsid w:val="7E457378"/>
    <w:rsid w:val="7E6C430A"/>
    <w:rsid w:val="7EA654FB"/>
    <w:rsid w:val="7EC363D0"/>
    <w:rsid w:val="7EEF57CB"/>
    <w:rsid w:val="7EFE335A"/>
    <w:rsid w:val="7F3C6183"/>
    <w:rsid w:val="7F5434CC"/>
    <w:rsid w:val="7FC93EBA"/>
    <w:rsid w:val="7FD50AB1"/>
    <w:rsid w:val="7FD85EAB"/>
    <w:rsid w:val="7FE9630A"/>
    <w:rsid w:val="7FEB2083"/>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qFormat/>
    <w:uiPriority w:val="0"/>
    <w:pPr>
      <w:outlineLvl w:val="2"/>
    </w:pPr>
    <w:rPr>
      <w:b w:val="0"/>
      <w:bCs w:val="0"/>
    </w:rPr>
  </w:style>
  <w:style w:type="paragraph" w:styleId="7">
    <w:name w:val="heading 4"/>
    <w:basedOn w:val="1"/>
    <w:next w:val="1"/>
    <w:link w:val="18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1"/>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68"/>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5"/>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6"/>
    <w:semiHidden/>
    <w:unhideWhenUsed/>
    <w:qFormat/>
    <w:uiPriority w:val="99"/>
    <w:pPr>
      <w:spacing w:after="120"/>
    </w:pPr>
    <w:rPr>
      <w:sz w:val="16"/>
      <w:szCs w:val="16"/>
    </w:r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79"/>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7"/>
    <w:qFormat/>
    <w:uiPriority w:val="99"/>
    <w:pPr>
      <w:ind w:left="100" w:leftChars="2500"/>
    </w:pPr>
    <w:rPr>
      <w:rFonts w:asciiTheme="minorHAnsi" w:hAnsiTheme="minorHAnsi" w:eastAsiaTheme="minorEastAsia" w:cstheme="minorBidi"/>
    </w:rPr>
  </w:style>
  <w:style w:type="paragraph" w:styleId="19">
    <w:name w:val="Body Text Indent 2"/>
    <w:basedOn w:val="1"/>
    <w:link w:val="157"/>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4"/>
    <w:semiHidden/>
    <w:qFormat/>
    <w:uiPriority w:val="0"/>
    <w:pPr>
      <w:snapToGrid w:val="0"/>
    </w:pPr>
    <w:rPr>
      <w:rFonts w:asciiTheme="minorHAnsi" w:hAnsiTheme="minorHAnsi" w:eastAsiaTheme="minorEastAsia" w:cstheme="minorBidi"/>
    </w:rPr>
  </w:style>
  <w:style w:type="paragraph" w:styleId="21">
    <w:name w:val="Balloon Text"/>
    <w:basedOn w:val="1"/>
    <w:link w:val="143"/>
    <w:qFormat/>
    <w:uiPriority w:val="99"/>
    <w:rPr>
      <w:rFonts w:asciiTheme="minorHAnsi" w:hAnsiTheme="minorHAnsi" w:eastAsiaTheme="minorEastAsia" w:cstheme="minorBidi"/>
      <w:sz w:val="18"/>
      <w:szCs w:val="18"/>
    </w:rPr>
  </w:style>
  <w:style w:type="paragraph" w:styleId="22">
    <w:name w:val="footer"/>
    <w:basedOn w:val="1"/>
    <w:link w:val="164"/>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6"/>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3"/>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1"/>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7"/>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2"/>
    <w:next w:val="12"/>
    <w:link w:val="173"/>
    <w:semiHidden/>
    <w:qFormat/>
    <w:uiPriority w:val="0"/>
    <w:rPr>
      <w:b/>
      <w:bCs/>
    </w:rPr>
  </w:style>
  <w:style w:type="paragraph" w:styleId="36">
    <w:name w:val="Body Text First Indent"/>
    <w:basedOn w:val="2"/>
    <w:qFormat/>
    <w:uiPriority w:val="0"/>
    <w:pPr>
      <w:autoSpaceDE w:val="0"/>
      <w:autoSpaceDN w:val="0"/>
      <w:adjustRightInd w:val="0"/>
      <w:ind w:firstLine="420"/>
      <w:jc w:val="left"/>
      <w:textAlignment w:val="baseline"/>
    </w:pPr>
    <w:rPr>
      <w:rFonts w:ascii="宋体"/>
      <w:sz w:val="34"/>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paragraph" w:customStyle="1" w:styleId="46">
    <w:name w:val="Body Text Indent 21"/>
    <w:basedOn w:val="1"/>
    <w:next w:val="23"/>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7">
    <w:name w:val="标题 1 字符"/>
    <w:basedOn w:val="39"/>
    <w:link w:val="4"/>
    <w:qFormat/>
    <w:uiPriority w:val="0"/>
    <w:rPr>
      <w:rFonts w:ascii="Times New Roman" w:hAnsi="Times New Roman" w:eastAsia="宋体" w:cs="Times New Roman"/>
      <w:b/>
      <w:bCs/>
      <w:kern w:val="44"/>
      <w:sz w:val="44"/>
      <w:szCs w:val="44"/>
    </w:rPr>
  </w:style>
  <w:style w:type="character" w:customStyle="1" w:styleId="48">
    <w:name w:val="标题 2 字符"/>
    <w:basedOn w:val="39"/>
    <w:link w:val="5"/>
    <w:qFormat/>
    <w:uiPriority w:val="0"/>
    <w:rPr>
      <w:rFonts w:ascii="宋体" w:hAnsi="宋体" w:eastAsia="宋体" w:cs="Times New Roman"/>
      <w:b/>
      <w:bCs/>
      <w:kern w:val="0"/>
      <w:sz w:val="36"/>
      <w:szCs w:val="36"/>
    </w:rPr>
  </w:style>
  <w:style w:type="character" w:customStyle="1" w:styleId="49">
    <w:name w:val="批注文字 Char"/>
    <w:semiHidden/>
    <w:qFormat/>
    <w:uiPriority w:val="0"/>
    <w:rPr>
      <w:szCs w:val="24"/>
    </w:rPr>
  </w:style>
  <w:style w:type="character" w:customStyle="1" w:styleId="50">
    <w:name w:val="批注主题 Char"/>
    <w:semiHidden/>
    <w:qFormat/>
    <w:uiPriority w:val="0"/>
    <w:rPr>
      <w:b/>
      <w:bCs/>
      <w:szCs w:val="24"/>
    </w:rPr>
  </w:style>
  <w:style w:type="character" w:customStyle="1" w:styleId="51">
    <w:name w:val="文档结构图 Char"/>
    <w:semiHidden/>
    <w:qFormat/>
    <w:uiPriority w:val="0"/>
    <w:rPr>
      <w:szCs w:val="24"/>
      <w:shd w:val="clear" w:color="auto" w:fill="000080"/>
    </w:rPr>
  </w:style>
  <w:style w:type="character" w:customStyle="1" w:styleId="52">
    <w:name w:val="脚注文本 Char"/>
    <w:qFormat/>
    <w:uiPriority w:val="0"/>
    <w:rPr>
      <w:rFonts w:ascii="宋体"/>
      <w:sz w:val="18"/>
      <w:szCs w:val="18"/>
    </w:rPr>
  </w:style>
  <w:style w:type="character" w:customStyle="1" w:styleId="53">
    <w:name w:val="con"/>
    <w:qFormat/>
    <w:uiPriority w:val="0"/>
  </w:style>
  <w:style w:type="character" w:customStyle="1" w:styleId="54">
    <w:name w:val="bar-label2"/>
    <w:qFormat/>
    <w:uiPriority w:val="99"/>
  </w:style>
  <w:style w:type="character" w:customStyle="1" w:styleId="55">
    <w:name w:val="正文文本缩进 2 Char"/>
    <w:qFormat/>
    <w:uiPriority w:val="99"/>
    <w:rPr>
      <w:szCs w:val="24"/>
    </w:rPr>
  </w:style>
  <w:style w:type="character" w:customStyle="1" w:styleId="56">
    <w:name w:val="日期 Char"/>
    <w:qFormat/>
    <w:uiPriority w:val="99"/>
    <w:rPr>
      <w:szCs w:val="24"/>
    </w:rPr>
  </w:style>
  <w:style w:type="character" w:customStyle="1" w:styleId="57">
    <w:name w:val="页脚 Char"/>
    <w:qFormat/>
    <w:locked/>
    <w:uiPriority w:val="99"/>
    <w:rPr>
      <w:sz w:val="18"/>
      <w:szCs w:val="18"/>
    </w:rPr>
  </w:style>
  <w:style w:type="character" w:customStyle="1" w:styleId="58">
    <w:name w:val="apple-converted-space"/>
    <w:basedOn w:val="39"/>
    <w:qFormat/>
    <w:uiPriority w:val="0"/>
  </w:style>
  <w:style w:type="character" w:customStyle="1" w:styleId="59">
    <w:name w:val="批注框文本 Char"/>
    <w:qFormat/>
    <w:uiPriority w:val="99"/>
    <w:rPr>
      <w:sz w:val="18"/>
      <w:szCs w:val="18"/>
    </w:rPr>
  </w:style>
  <w:style w:type="character" w:customStyle="1" w:styleId="60">
    <w:name w:val="页眉 Char"/>
    <w:qFormat/>
    <w:locked/>
    <w:uiPriority w:val="99"/>
    <w:rPr>
      <w:sz w:val="18"/>
      <w:szCs w:val="18"/>
    </w:rPr>
  </w:style>
  <w:style w:type="character" w:customStyle="1" w:styleId="61">
    <w:name w:val="首示例 Char"/>
    <w:link w:val="62"/>
    <w:qFormat/>
    <w:uiPriority w:val="0"/>
    <w:rPr>
      <w:rFonts w:ascii="宋体" w:hAnsi="宋体"/>
      <w:sz w:val="18"/>
      <w:szCs w:val="18"/>
    </w:rPr>
  </w:style>
  <w:style w:type="paragraph" w:customStyle="1" w:styleId="62">
    <w:name w:val="首示例"/>
    <w:next w:val="63"/>
    <w:link w:val="61"/>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3">
    <w:name w:val="段"/>
    <w:link w:val="64"/>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4">
    <w:name w:val="段 Char"/>
    <w:link w:val="63"/>
    <w:qFormat/>
    <w:uiPriority w:val="0"/>
    <w:rPr>
      <w:rFonts w:ascii="宋体"/>
    </w:rPr>
  </w:style>
  <w:style w:type="character" w:customStyle="1" w:styleId="65">
    <w:name w:val="附录公式 Char"/>
    <w:basedOn w:val="64"/>
    <w:link w:val="66"/>
    <w:qFormat/>
    <w:uiPriority w:val="0"/>
    <w:rPr>
      <w:rFonts w:ascii="宋体"/>
    </w:rPr>
  </w:style>
  <w:style w:type="paragraph" w:customStyle="1" w:styleId="66">
    <w:name w:val="附录公式"/>
    <w:basedOn w:val="63"/>
    <w:next w:val="63"/>
    <w:link w:val="65"/>
    <w:qFormat/>
    <w:uiPriority w:val="0"/>
  </w:style>
  <w:style w:type="character" w:customStyle="1" w:styleId="67">
    <w:name w:val="发布"/>
    <w:qFormat/>
    <w:uiPriority w:val="0"/>
    <w:rPr>
      <w:rFonts w:ascii="黑体" w:eastAsia="黑体"/>
      <w:spacing w:val="85"/>
      <w:w w:val="100"/>
      <w:position w:val="3"/>
      <w:sz w:val="28"/>
      <w:szCs w:val="28"/>
    </w:rPr>
  </w:style>
  <w:style w:type="character" w:customStyle="1" w:styleId="68">
    <w:name w:val="一级条标题 Char"/>
    <w:link w:val="69"/>
    <w:qFormat/>
    <w:uiPriority w:val="0"/>
    <w:rPr>
      <w:rFonts w:ascii="黑体" w:eastAsia="黑体"/>
      <w:szCs w:val="21"/>
    </w:rPr>
  </w:style>
  <w:style w:type="paragraph" w:customStyle="1" w:styleId="69">
    <w:name w:val="一级条标题"/>
    <w:next w:val="63"/>
    <w:link w:val="6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0">
    <w:name w:val="HTML 预设格式 Char"/>
    <w:qFormat/>
    <w:uiPriority w:val="0"/>
    <w:rPr>
      <w:rFonts w:ascii="Courier New" w:hAnsi="Courier New" w:cs="Courier New"/>
    </w:rPr>
  </w:style>
  <w:style w:type="character" w:customStyle="1" w:styleId="71">
    <w:name w:val="尾注文本 Char"/>
    <w:semiHidden/>
    <w:qFormat/>
    <w:uiPriority w:val="0"/>
    <w:rPr>
      <w:szCs w:val="24"/>
    </w:rPr>
  </w:style>
  <w:style w:type="paragraph" w:customStyle="1" w:styleId="72">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3">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4">
    <w:name w:val="List Paragraph"/>
    <w:basedOn w:val="1"/>
    <w:qFormat/>
    <w:uiPriority w:val="34"/>
    <w:pPr>
      <w:ind w:firstLine="420" w:firstLineChars="200"/>
    </w:pPr>
    <w:rPr>
      <w:rFonts w:ascii="宋体" w:hAnsi="宋体" w:cs="宋体"/>
      <w:kern w:val="0"/>
      <w:sz w:val="24"/>
    </w:rPr>
  </w:style>
  <w:style w:type="paragraph" w:customStyle="1" w:styleId="75">
    <w:name w:val="封面一致性程度标识2"/>
    <w:basedOn w:val="76"/>
    <w:qFormat/>
    <w:uiPriority w:val="0"/>
    <w:pPr>
      <w:framePr w:y="4469"/>
    </w:pPr>
  </w:style>
  <w:style w:type="paragraph" w:customStyle="1" w:styleId="76">
    <w:name w:val="封面一致性程度标识"/>
    <w:basedOn w:val="77"/>
    <w:qFormat/>
    <w:uiPriority w:val="0"/>
    <w:pPr>
      <w:spacing w:before="440"/>
    </w:pPr>
    <w:rPr>
      <w:rFonts w:ascii="宋体" w:eastAsia="宋体"/>
    </w:rPr>
  </w:style>
  <w:style w:type="paragraph" w:customStyle="1" w:styleId="77">
    <w:name w:val="封面标准英文名称"/>
    <w:basedOn w:val="78"/>
    <w:qFormat/>
    <w:uiPriority w:val="0"/>
    <w:pPr>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2"/>
    <w:basedOn w:val="77"/>
    <w:qFormat/>
    <w:uiPriority w:val="0"/>
    <w:pPr>
      <w:framePr w:y="4469"/>
    </w:pPr>
  </w:style>
  <w:style w:type="paragraph" w:customStyle="1" w:styleId="80">
    <w:name w:val="其他发布日期"/>
    <w:basedOn w:val="81"/>
    <w:qFormat/>
    <w:uiPriority w:val="0"/>
    <w:pPr>
      <w:framePr w:vAnchor="page" w:hAnchor="text" w:x="1419"/>
    </w:pPr>
  </w:style>
  <w:style w:type="paragraph" w:customStyle="1" w:styleId="81">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2">
    <w:name w:val="正文公式编号制表符"/>
    <w:basedOn w:val="63"/>
    <w:next w:val="63"/>
    <w:qFormat/>
    <w:uiPriority w:val="0"/>
    <w:pPr>
      <w:ind w:firstLine="0" w:firstLineChars="0"/>
    </w:pPr>
  </w:style>
  <w:style w:type="paragraph" w:customStyle="1" w:styleId="83">
    <w:name w:val="正文表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4">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5">
    <w:name w:val="一级无"/>
    <w:basedOn w:val="69"/>
    <w:qFormat/>
    <w:uiPriority w:val="0"/>
  </w:style>
  <w:style w:type="paragraph" w:customStyle="1" w:styleId="86">
    <w:name w:val="图的脚注"/>
    <w:next w:val="63"/>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7">
    <w:name w:val="图标脚注说明"/>
    <w:basedOn w:val="63"/>
    <w:qFormat/>
    <w:uiPriority w:val="0"/>
    <w:pPr>
      <w:ind w:left="840" w:hanging="420" w:firstLineChars="0"/>
    </w:pPr>
    <w:rPr>
      <w:sz w:val="18"/>
      <w:szCs w:val="18"/>
    </w:rPr>
  </w:style>
  <w:style w:type="paragraph" w:customStyle="1" w:styleId="88">
    <w:name w:val="示例后文字"/>
    <w:basedOn w:val="63"/>
    <w:next w:val="63"/>
    <w:qFormat/>
    <w:uiPriority w:val="0"/>
    <w:pPr>
      <w:ind w:firstLine="360"/>
    </w:pPr>
    <w:rPr>
      <w:sz w:val="18"/>
    </w:rPr>
  </w:style>
  <w:style w:type="paragraph" w:customStyle="1" w:styleId="89">
    <w:name w:val="实施日期"/>
    <w:basedOn w:val="81"/>
    <w:qFormat/>
    <w:uiPriority w:val="0"/>
    <w:pPr>
      <w:framePr w:vAnchor="page" w:hAnchor="text"/>
      <w:jc w:val="right"/>
    </w:pPr>
  </w:style>
  <w:style w:type="paragraph" w:customStyle="1" w:styleId="90">
    <w:name w:val="前言、引言标题"/>
    <w:next w:val="63"/>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4">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5">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6">
    <w:name w:val="条文脚注"/>
    <w:basedOn w:val="27"/>
    <w:qFormat/>
    <w:uiPriority w:val="0"/>
    <w:pPr>
      <w:ind w:left="0" w:firstLine="0"/>
      <w:jc w:val="both"/>
    </w:pPr>
  </w:style>
  <w:style w:type="paragraph" w:customStyle="1" w:styleId="97">
    <w:name w:val="附录一级无"/>
    <w:basedOn w:val="98"/>
    <w:qFormat/>
    <w:uiPriority w:val="0"/>
    <w:pPr>
      <w:tabs>
        <w:tab w:val="left" w:pos="360"/>
      </w:tabs>
      <w:spacing w:beforeLines="0" w:afterLines="0"/>
    </w:pPr>
    <w:rPr>
      <w:rFonts w:ascii="宋体" w:eastAsia="宋体"/>
      <w:szCs w:val="21"/>
    </w:rPr>
  </w:style>
  <w:style w:type="paragraph" w:customStyle="1" w:styleId="98">
    <w:name w:val="附录一级条标题"/>
    <w:basedOn w:val="99"/>
    <w:next w:val="63"/>
    <w:qFormat/>
    <w:uiPriority w:val="0"/>
    <w:pPr>
      <w:tabs>
        <w:tab w:val="left" w:pos="360"/>
      </w:tabs>
      <w:autoSpaceDN w:val="0"/>
      <w:spacing w:beforeLines="50" w:afterLines="50"/>
      <w:outlineLvl w:val="2"/>
    </w:pPr>
  </w:style>
  <w:style w:type="paragraph" w:customStyle="1" w:styleId="99">
    <w:name w:val="附录章标题"/>
    <w:next w:val="63"/>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五级无"/>
    <w:basedOn w:val="101"/>
    <w:qFormat/>
    <w:uiPriority w:val="0"/>
    <w:pPr>
      <w:tabs>
        <w:tab w:val="left" w:pos="360"/>
      </w:tabs>
      <w:spacing w:beforeLines="0" w:afterLines="0"/>
    </w:pPr>
    <w:rPr>
      <w:rFonts w:ascii="宋体" w:eastAsia="宋体"/>
      <w:szCs w:val="21"/>
    </w:rPr>
  </w:style>
  <w:style w:type="paragraph" w:customStyle="1" w:styleId="101">
    <w:name w:val="附录五级条标题"/>
    <w:basedOn w:val="102"/>
    <w:next w:val="63"/>
    <w:qFormat/>
    <w:uiPriority w:val="0"/>
    <w:pPr>
      <w:tabs>
        <w:tab w:val="left" w:pos="360"/>
      </w:tabs>
      <w:outlineLvl w:val="6"/>
    </w:pPr>
  </w:style>
  <w:style w:type="paragraph" w:customStyle="1" w:styleId="102">
    <w:name w:val="附录四级条标题"/>
    <w:basedOn w:val="103"/>
    <w:next w:val="63"/>
    <w:qFormat/>
    <w:uiPriority w:val="0"/>
    <w:pPr>
      <w:tabs>
        <w:tab w:val="left" w:pos="360"/>
      </w:tabs>
    </w:pPr>
  </w:style>
  <w:style w:type="paragraph" w:customStyle="1" w:styleId="103">
    <w:name w:val="附录三级条标题"/>
    <w:basedOn w:val="104"/>
    <w:next w:val="63"/>
    <w:qFormat/>
    <w:uiPriority w:val="0"/>
    <w:pPr>
      <w:tabs>
        <w:tab w:val="left" w:pos="360"/>
      </w:tabs>
    </w:pPr>
  </w:style>
  <w:style w:type="paragraph" w:customStyle="1" w:styleId="104">
    <w:name w:val="附录二级条标题"/>
    <w:basedOn w:val="1"/>
    <w:next w:val="63"/>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图标题"/>
    <w:basedOn w:val="1"/>
    <w:next w:val="63"/>
    <w:qFormat/>
    <w:uiPriority w:val="0"/>
    <w:pPr>
      <w:tabs>
        <w:tab w:val="left" w:pos="363"/>
      </w:tabs>
      <w:spacing w:beforeLines="50" w:afterLines="50"/>
      <w:jc w:val="center"/>
    </w:pPr>
    <w:rPr>
      <w:rFonts w:ascii="黑体" w:eastAsia="黑体"/>
      <w:szCs w:val="21"/>
    </w:rPr>
  </w:style>
  <w:style w:type="paragraph" w:customStyle="1" w:styleId="106">
    <w:name w:val="附录图标号"/>
    <w:basedOn w:val="1"/>
    <w:qFormat/>
    <w:uiPriority w:val="0"/>
    <w:pPr>
      <w:keepNext/>
      <w:pageBreakBefore/>
      <w:spacing w:line="14" w:lineRule="exact"/>
      <w:ind w:firstLine="363"/>
      <w:jc w:val="center"/>
      <w:outlineLvl w:val="0"/>
    </w:pPr>
    <w:rPr>
      <w:color w:val="FFFFFF"/>
    </w:rPr>
  </w:style>
  <w:style w:type="paragraph" w:customStyle="1" w:styleId="107">
    <w:name w:val="附录四级无"/>
    <w:basedOn w:val="102"/>
    <w:qFormat/>
    <w:uiPriority w:val="0"/>
    <w:pPr>
      <w:tabs>
        <w:tab w:val="clear" w:pos="360"/>
      </w:tabs>
      <w:spacing w:beforeLines="0" w:afterLines="0"/>
      <w:outlineLvl w:val="5"/>
    </w:pPr>
    <w:rPr>
      <w:rFonts w:ascii="宋体" w:eastAsia="宋体"/>
      <w:szCs w:val="21"/>
    </w:rPr>
  </w:style>
  <w:style w:type="paragraph" w:customStyle="1" w:styleId="108">
    <w:name w:val="附录三级无"/>
    <w:basedOn w:val="103"/>
    <w:qFormat/>
    <w:uiPriority w:val="0"/>
  </w:style>
  <w:style w:type="paragraph" w:customStyle="1" w:styleId="109">
    <w:name w:val="注："/>
    <w:next w:val="63"/>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0">
    <w:name w:val="附录公式编号制表符"/>
    <w:basedOn w:val="1"/>
    <w:next w:val="63"/>
    <w:qFormat/>
    <w:uiPriority w:val="0"/>
    <w:pPr>
      <w:tabs>
        <w:tab w:val="center" w:pos="4201"/>
        <w:tab w:val="right" w:leader="dot" w:pos="9298"/>
      </w:tabs>
      <w:autoSpaceDE w:val="0"/>
      <w:autoSpaceDN w:val="0"/>
    </w:pPr>
    <w:rPr>
      <w:rFonts w:ascii="宋体"/>
      <w:kern w:val="0"/>
      <w:szCs w:val="20"/>
    </w:rPr>
  </w:style>
  <w:style w:type="paragraph" w:customStyle="1" w:styleId="111">
    <w:name w:val="附录二级无"/>
    <w:basedOn w:val="104"/>
    <w:qFormat/>
    <w:uiPriority w:val="0"/>
  </w:style>
  <w:style w:type="paragraph" w:customStyle="1" w:styleId="112">
    <w:name w:val="附录标题"/>
    <w:basedOn w:val="63"/>
    <w:next w:val="63"/>
    <w:qFormat/>
    <w:uiPriority w:val="0"/>
    <w:pPr>
      <w:ind w:firstLine="0" w:firstLineChars="0"/>
      <w:jc w:val="center"/>
    </w:pPr>
    <w:rPr>
      <w:rFonts w:ascii="黑体" w:eastAsia="黑体"/>
    </w:rPr>
  </w:style>
  <w:style w:type="paragraph" w:customStyle="1" w:styleId="113">
    <w:name w:val="参考文献"/>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4">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5">
    <w:name w:val="封面标准文稿类别"/>
    <w:basedOn w:val="76"/>
    <w:qFormat/>
    <w:uiPriority w:val="0"/>
    <w:pPr>
      <w:spacing w:after="160" w:line="240" w:lineRule="auto"/>
    </w:pPr>
    <w:rPr>
      <w:sz w:val="24"/>
    </w:rPr>
  </w:style>
  <w:style w:type="paragraph" w:customStyle="1" w:styleId="116">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7">
    <w:name w:val="其他实施日期"/>
    <w:basedOn w:val="89"/>
    <w:qFormat/>
    <w:uiPriority w:val="0"/>
    <w:pPr>
      <w:framePr w:vAnchor="margin" w:hAnchor="page"/>
    </w:p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发布部门"/>
    <w:next w:val="63"/>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0">
    <w:name w:val="注：（正文）"/>
    <w:basedOn w:val="109"/>
    <w:next w:val="63"/>
    <w:qFormat/>
    <w:uiPriority w:val="0"/>
  </w:style>
  <w:style w:type="paragraph" w:customStyle="1" w:styleId="121">
    <w:name w:val="参考文献、索引标题"/>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5">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7">
    <w:name w:val="示例×："/>
    <w:basedOn w:val="128"/>
    <w:qFormat/>
    <w:uiPriority w:val="0"/>
    <w:pPr>
      <w:spacing w:beforeLines="0" w:afterLines="0"/>
      <w:ind w:firstLine="363"/>
      <w:outlineLvl w:val="9"/>
    </w:pPr>
    <w:rPr>
      <w:rFonts w:ascii="宋体" w:eastAsia="宋体"/>
      <w:sz w:val="18"/>
      <w:szCs w:val="18"/>
    </w:rPr>
  </w:style>
  <w:style w:type="paragraph" w:customStyle="1" w:styleId="128">
    <w:name w:val="章标题"/>
    <w:next w:val="63"/>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9">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0">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2">
    <w:name w:val="五级无"/>
    <w:basedOn w:val="133"/>
    <w:qFormat/>
    <w:uiPriority w:val="0"/>
    <w:pPr>
      <w:spacing w:beforeLines="0" w:afterLines="0"/>
      <w:outlineLvl w:val="6"/>
    </w:pPr>
    <w:rPr>
      <w:rFonts w:ascii="宋体" w:eastAsia="宋体"/>
    </w:rPr>
  </w:style>
  <w:style w:type="paragraph" w:customStyle="1" w:styleId="133">
    <w:name w:val="五级条标题"/>
    <w:basedOn w:val="134"/>
    <w:next w:val="63"/>
    <w:qFormat/>
    <w:uiPriority w:val="0"/>
  </w:style>
  <w:style w:type="paragraph" w:customStyle="1" w:styleId="134">
    <w:name w:val="四级条标题"/>
    <w:basedOn w:val="135"/>
    <w:next w:val="63"/>
    <w:qFormat/>
    <w:uiPriority w:val="0"/>
  </w:style>
  <w:style w:type="paragraph" w:customStyle="1" w:styleId="135">
    <w:name w:val="三级条标题"/>
    <w:basedOn w:val="136"/>
    <w:next w:val="63"/>
    <w:qFormat/>
    <w:uiPriority w:val="0"/>
  </w:style>
  <w:style w:type="paragraph" w:customStyle="1" w:styleId="136">
    <w:name w:val="二级条标题"/>
    <w:basedOn w:val="69"/>
    <w:next w:val="63"/>
    <w:qFormat/>
    <w:uiPriority w:val="0"/>
  </w:style>
  <w:style w:type="paragraph" w:customStyle="1" w:styleId="137">
    <w:name w:val="四级无"/>
    <w:basedOn w:val="134"/>
    <w:qFormat/>
    <w:uiPriority w:val="0"/>
  </w:style>
  <w:style w:type="paragraph" w:customStyle="1" w:styleId="138">
    <w:name w:val="三级无"/>
    <w:basedOn w:val="135"/>
    <w:qFormat/>
    <w:uiPriority w:val="0"/>
  </w:style>
  <w:style w:type="paragraph" w:customStyle="1" w:styleId="139">
    <w:name w:val="其他标准标志"/>
    <w:basedOn w:val="123"/>
    <w:qFormat/>
    <w:uiPriority w:val="0"/>
    <w:pPr>
      <w:framePr w:w="6101" w:vAnchor="page" w:hAnchor="page" w:x="4673" w:y="942"/>
    </w:pPr>
    <w:rPr>
      <w:w w:val="130"/>
    </w:rPr>
  </w:style>
  <w:style w:type="paragraph" w:customStyle="1" w:styleId="140">
    <w:name w:val="目次、标准名称标题"/>
    <w:basedOn w:val="1"/>
    <w:next w:val="6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3">
    <w:name w:val="批注框文本 字符"/>
    <w:basedOn w:val="39"/>
    <w:link w:val="21"/>
    <w:semiHidden/>
    <w:qFormat/>
    <w:uiPriority w:val="99"/>
    <w:rPr>
      <w:rFonts w:ascii="Times New Roman" w:hAnsi="Times New Roman" w:eastAsia="宋体" w:cs="Times New Roman"/>
      <w:sz w:val="18"/>
      <w:szCs w:val="18"/>
    </w:rPr>
  </w:style>
  <w:style w:type="paragraph" w:customStyle="1" w:styleId="144">
    <w:name w:val="列项◆（三级）"/>
    <w:basedOn w:val="1"/>
    <w:qFormat/>
    <w:uiPriority w:val="99"/>
    <w:pPr>
      <w:tabs>
        <w:tab w:val="left" w:pos="969"/>
      </w:tabs>
      <w:ind w:left="969" w:hanging="414"/>
    </w:pPr>
    <w:rPr>
      <w:rFonts w:ascii="宋体"/>
      <w:szCs w:val="21"/>
    </w:rPr>
  </w:style>
  <w:style w:type="paragraph" w:customStyle="1" w:styleId="145">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6">
    <w:name w:val="页眉 字符"/>
    <w:basedOn w:val="39"/>
    <w:link w:val="23"/>
    <w:semiHidden/>
    <w:qFormat/>
    <w:uiPriority w:val="99"/>
    <w:rPr>
      <w:rFonts w:ascii="Times New Roman" w:hAnsi="Times New Roman" w:eastAsia="宋体" w:cs="Times New Roman"/>
      <w:sz w:val="18"/>
      <w:szCs w:val="18"/>
    </w:rPr>
  </w:style>
  <w:style w:type="paragraph" w:customStyle="1" w:styleId="147">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8">
    <w:name w:val="其他发布部门"/>
    <w:basedOn w:val="119"/>
    <w:qFormat/>
    <w:uiPriority w:val="0"/>
    <w:pPr>
      <w:framePr w:y="15310"/>
      <w:spacing w:line="0" w:lineRule="atLeast"/>
    </w:pPr>
    <w:rPr>
      <w:rFonts w:ascii="黑体" w:eastAsia="黑体"/>
      <w:b w:val="0"/>
    </w:rPr>
  </w:style>
  <w:style w:type="paragraph" w:customStyle="1" w:styleId="149">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0">
    <w:name w:val="正文图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1">
    <w:name w:val="HTML 预设格式 字符"/>
    <w:basedOn w:val="39"/>
    <w:link w:val="31"/>
    <w:semiHidden/>
    <w:qFormat/>
    <w:uiPriority w:val="99"/>
    <w:rPr>
      <w:rFonts w:ascii="Courier New" w:hAnsi="Courier New" w:eastAsia="宋体" w:cs="Courier New"/>
      <w:sz w:val="20"/>
      <w:szCs w:val="20"/>
    </w:rPr>
  </w:style>
  <w:style w:type="paragraph" w:customStyle="1" w:styleId="152">
    <w:name w:val="附录标识"/>
    <w:basedOn w:val="1"/>
    <w:next w:val="63"/>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3">
    <w:name w:val="脚注文本 字符"/>
    <w:basedOn w:val="39"/>
    <w:link w:val="27"/>
    <w:semiHidden/>
    <w:qFormat/>
    <w:uiPriority w:val="99"/>
    <w:rPr>
      <w:rFonts w:ascii="Times New Roman" w:hAnsi="Times New Roman" w:eastAsia="宋体" w:cs="Times New Roman"/>
      <w:sz w:val="18"/>
      <w:szCs w:val="18"/>
    </w:rPr>
  </w:style>
  <w:style w:type="paragraph" w:customStyle="1" w:styleId="154">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5">
    <w:name w:val="二级无"/>
    <w:basedOn w:val="136"/>
    <w:qFormat/>
    <w:uiPriority w:val="0"/>
  </w:style>
  <w:style w:type="paragraph" w:customStyle="1" w:styleId="156">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7">
    <w:name w:val="正文文本缩进 2 字符"/>
    <w:basedOn w:val="39"/>
    <w:link w:val="19"/>
    <w:semiHidden/>
    <w:qFormat/>
    <w:uiPriority w:val="99"/>
    <w:rPr>
      <w:rFonts w:ascii="Times New Roman" w:hAnsi="Times New Roman" w:eastAsia="宋体" w:cs="Times New Roman"/>
      <w:szCs w:val="24"/>
    </w:rPr>
  </w:style>
  <w:style w:type="paragraph" w:customStyle="1" w:styleId="158">
    <w:name w:val="封面标准文稿编辑信息2"/>
    <w:basedOn w:val="159"/>
    <w:qFormat/>
    <w:uiPriority w:val="0"/>
    <w:pPr>
      <w:framePr w:y="4469"/>
    </w:pPr>
  </w:style>
  <w:style w:type="paragraph" w:customStyle="1" w:styleId="159">
    <w:name w:val="封面标准文稿编辑信息"/>
    <w:basedOn w:val="115"/>
    <w:qFormat/>
    <w:uiPriority w:val="0"/>
    <w:pPr>
      <w:spacing w:before="180" w:line="180" w:lineRule="exact"/>
    </w:pPr>
    <w:rPr>
      <w:sz w:val="21"/>
    </w:rPr>
  </w:style>
  <w:style w:type="paragraph" w:customStyle="1" w:styleId="160">
    <w:name w:val="附录表标题"/>
    <w:basedOn w:val="1"/>
    <w:next w:val="63"/>
    <w:qFormat/>
    <w:uiPriority w:val="0"/>
    <w:pPr>
      <w:tabs>
        <w:tab w:val="left" w:pos="180"/>
      </w:tabs>
      <w:spacing w:beforeLines="50" w:afterLines="50"/>
      <w:jc w:val="center"/>
    </w:pPr>
    <w:rPr>
      <w:rFonts w:ascii="黑体" w:eastAsia="黑体"/>
      <w:szCs w:val="21"/>
    </w:rPr>
  </w:style>
  <w:style w:type="paragraph" w:customStyle="1" w:styleId="161">
    <w:name w:val="标准书眉_偶数页"/>
    <w:basedOn w:val="145"/>
    <w:next w:val="1"/>
    <w:qFormat/>
    <w:uiPriority w:val="0"/>
    <w:pPr>
      <w:jc w:val="left"/>
    </w:pPr>
  </w:style>
  <w:style w:type="paragraph" w:customStyle="1" w:styleId="162">
    <w:name w:val="附录表标号"/>
    <w:basedOn w:val="1"/>
    <w:next w:val="63"/>
    <w:qFormat/>
    <w:uiPriority w:val="0"/>
    <w:pPr>
      <w:spacing w:line="14" w:lineRule="exact"/>
      <w:ind w:left="811" w:hanging="448"/>
      <w:jc w:val="center"/>
      <w:outlineLvl w:val="0"/>
    </w:pPr>
    <w:rPr>
      <w:color w:val="FFFFFF"/>
    </w:rPr>
  </w:style>
  <w:style w:type="paragraph" w:customStyle="1" w:styleId="163">
    <w:name w:val="图表脚注说明"/>
    <w:basedOn w:val="1"/>
    <w:qFormat/>
    <w:uiPriority w:val="0"/>
    <w:pPr>
      <w:ind w:left="544" w:hanging="181"/>
    </w:pPr>
    <w:rPr>
      <w:rFonts w:ascii="宋体"/>
      <w:sz w:val="18"/>
      <w:szCs w:val="18"/>
    </w:rPr>
  </w:style>
  <w:style w:type="character" w:customStyle="1" w:styleId="164">
    <w:name w:val="页脚 字符"/>
    <w:basedOn w:val="39"/>
    <w:link w:val="22"/>
    <w:semiHidden/>
    <w:qFormat/>
    <w:uiPriority w:val="99"/>
    <w:rPr>
      <w:rFonts w:ascii="Times New Roman" w:hAnsi="Times New Roman" w:eastAsia="宋体" w:cs="Times New Roman"/>
      <w:sz w:val="18"/>
      <w:szCs w:val="18"/>
    </w:rPr>
  </w:style>
  <w:style w:type="character" w:customStyle="1" w:styleId="165">
    <w:name w:val="批注文字 字符"/>
    <w:basedOn w:val="39"/>
    <w:link w:val="12"/>
    <w:semiHidden/>
    <w:qFormat/>
    <w:uiPriority w:val="99"/>
    <w:rPr>
      <w:rFonts w:ascii="Times New Roman" w:hAnsi="Times New Roman" w:eastAsia="宋体" w:cs="Times New Roman"/>
      <w:szCs w:val="24"/>
    </w:rPr>
  </w:style>
  <w:style w:type="paragraph" w:customStyle="1" w:styleId="166">
    <w:name w:val="封面标准名称2"/>
    <w:basedOn w:val="78"/>
    <w:qFormat/>
    <w:uiPriority w:val="0"/>
    <w:pPr>
      <w:framePr w:y="4469"/>
      <w:spacing w:beforeLines="630"/>
    </w:pPr>
  </w:style>
  <w:style w:type="character" w:customStyle="1" w:styleId="167">
    <w:name w:val="日期 字符"/>
    <w:basedOn w:val="39"/>
    <w:link w:val="18"/>
    <w:semiHidden/>
    <w:qFormat/>
    <w:uiPriority w:val="99"/>
    <w:rPr>
      <w:rFonts w:ascii="Times New Roman" w:hAnsi="Times New Roman" w:eastAsia="宋体" w:cs="Times New Roman"/>
      <w:szCs w:val="24"/>
    </w:rPr>
  </w:style>
  <w:style w:type="character" w:customStyle="1" w:styleId="168">
    <w:name w:val="文档结构图 字符"/>
    <w:basedOn w:val="39"/>
    <w:link w:val="11"/>
    <w:semiHidden/>
    <w:qFormat/>
    <w:uiPriority w:val="99"/>
    <w:rPr>
      <w:rFonts w:ascii="宋体" w:hAnsi="Times New Roman" w:eastAsia="宋体" w:cs="Times New Roman"/>
      <w:sz w:val="18"/>
      <w:szCs w:val="18"/>
    </w:rPr>
  </w:style>
  <w:style w:type="paragraph" w:customStyle="1" w:styleId="169">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0">
    <w:name w:val="封面标准文稿类别2"/>
    <w:basedOn w:val="115"/>
    <w:qFormat/>
    <w:uiPriority w:val="0"/>
    <w:pPr>
      <w:framePr w:y="4469"/>
    </w:pPr>
  </w:style>
  <w:style w:type="paragraph" w:customStyle="1" w:styleId="171">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2">
    <w:name w:val="终结线"/>
    <w:basedOn w:val="1"/>
    <w:qFormat/>
    <w:uiPriority w:val="0"/>
    <w:pPr>
      <w:framePr w:hSpace="181" w:vSpace="181" w:wrap="around" w:vAnchor="text" w:hAnchor="margin" w:xAlign="center" w:y="285"/>
    </w:pPr>
  </w:style>
  <w:style w:type="character" w:customStyle="1" w:styleId="173">
    <w:name w:val="批注主题 字符"/>
    <w:basedOn w:val="165"/>
    <w:link w:val="35"/>
    <w:semiHidden/>
    <w:qFormat/>
    <w:uiPriority w:val="99"/>
    <w:rPr>
      <w:rFonts w:ascii="Times New Roman" w:hAnsi="Times New Roman" w:eastAsia="宋体" w:cs="Times New Roman"/>
      <w:b/>
      <w:bCs/>
      <w:szCs w:val="24"/>
    </w:rPr>
  </w:style>
  <w:style w:type="character" w:customStyle="1" w:styleId="174">
    <w:name w:val="尾注文本 字符"/>
    <w:basedOn w:val="39"/>
    <w:link w:val="20"/>
    <w:semiHidden/>
    <w:qFormat/>
    <w:uiPriority w:val="99"/>
    <w:rPr>
      <w:rFonts w:ascii="Times New Roman" w:hAnsi="Times New Roman" w:eastAsia="宋体" w:cs="Times New Roman"/>
      <w:szCs w:val="24"/>
    </w:rPr>
  </w:style>
  <w:style w:type="paragraph" w:customStyle="1" w:styleId="175">
    <w:name w:val="示例"/>
    <w:next w:val="126"/>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6">
    <w:name w:val="正文文本 3 字符"/>
    <w:basedOn w:val="39"/>
    <w:link w:val="14"/>
    <w:semiHidden/>
    <w:qFormat/>
    <w:uiPriority w:val="99"/>
    <w:rPr>
      <w:rFonts w:ascii="Times New Roman" w:hAnsi="Times New Roman" w:eastAsia="宋体" w:cs="Times New Roman"/>
      <w:sz w:val="16"/>
      <w:szCs w:val="16"/>
    </w:rPr>
  </w:style>
  <w:style w:type="character" w:customStyle="1" w:styleId="177">
    <w:name w:val="标题 字符"/>
    <w:basedOn w:val="39"/>
    <w:link w:val="34"/>
    <w:qFormat/>
    <w:uiPriority w:val="0"/>
    <w:rPr>
      <w:rFonts w:ascii="Arial" w:hAnsi="Arial" w:eastAsia="宋体" w:cs="Times New Roman"/>
      <w:b/>
      <w:kern w:val="0"/>
      <w:sz w:val="32"/>
      <w:szCs w:val="20"/>
    </w:rPr>
  </w:style>
  <w:style w:type="paragraph" w:customStyle="1" w:styleId="178">
    <w:name w:val="p0"/>
    <w:basedOn w:val="1"/>
    <w:qFormat/>
    <w:uiPriority w:val="0"/>
    <w:pPr>
      <w:spacing w:line="240" w:lineRule="auto"/>
      <w:jc w:val="both"/>
    </w:pPr>
    <w:rPr>
      <w:kern w:val="0"/>
      <w:szCs w:val="21"/>
    </w:rPr>
  </w:style>
  <w:style w:type="character" w:customStyle="1" w:styleId="179">
    <w:name w:val="纯文本 字符"/>
    <w:basedOn w:val="39"/>
    <w:link w:val="16"/>
    <w:qFormat/>
    <w:uiPriority w:val="99"/>
    <w:rPr>
      <w:rFonts w:ascii="宋体" w:hAnsi="Courier New" w:eastAsia="宋体" w:cs="Courier New"/>
      <w:szCs w:val="21"/>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9"/>
    <w:link w:val="2"/>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9"/>
    <w:link w:val="7"/>
    <w:semiHidden/>
    <w:qFormat/>
    <w:uiPriority w:val="9"/>
    <w:rPr>
      <w:rFonts w:asciiTheme="majorHAnsi" w:hAnsiTheme="majorHAnsi" w:eastAsiaTheme="majorEastAsia" w:cstheme="majorBidi"/>
      <w:b/>
      <w:bCs/>
      <w:kern w:val="2"/>
      <w:sz w:val="28"/>
      <w:szCs w:val="28"/>
    </w:rPr>
  </w:style>
  <w:style w:type="paragraph" w:customStyle="1" w:styleId="184">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 w:type="character" w:customStyle="1" w:styleId="186">
    <w:name w:val="font21"/>
    <w:basedOn w:val="39"/>
    <w:qFormat/>
    <w:uiPriority w:val="0"/>
    <w:rPr>
      <w:rFonts w:hint="default" w:ascii="Times New Roman" w:hAnsi="Times New Roman" w:cs="Times New Roman"/>
      <w:color w:val="000000"/>
      <w:sz w:val="21"/>
      <w:szCs w:val="21"/>
      <w:u w:val="none"/>
    </w:rPr>
  </w:style>
  <w:style w:type="character" w:customStyle="1" w:styleId="187">
    <w:name w:val="font31"/>
    <w:basedOn w:val="39"/>
    <w:qFormat/>
    <w:uiPriority w:val="0"/>
    <w:rPr>
      <w:rFonts w:hint="eastAsia" w:ascii="宋体" w:hAnsi="宋体" w:eastAsia="宋体" w:cs="宋体"/>
      <w:color w:val="000000"/>
      <w:sz w:val="21"/>
      <w:szCs w:val="21"/>
      <w:u w:val="none"/>
    </w:rPr>
  </w:style>
  <w:style w:type="character" w:customStyle="1" w:styleId="188">
    <w:name w:val="font41"/>
    <w:basedOn w:val="39"/>
    <w:qFormat/>
    <w:uiPriority w:val="0"/>
    <w:rPr>
      <w:rFonts w:hint="default" w:ascii="Times New Roman" w:hAnsi="Times New Roman" w:cs="Times New Roman"/>
      <w:color w:val="000000"/>
      <w:sz w:val="21"/>
      <w:szCs w:val="21"/>
      <w:u w:val="none"/>
    </w:rPr>
  </w:style>
  <w:style w:type="paragraph" w:styleId="189">
    <w:name w:val="No Spacing"/>
    <w:qFormat/>
    <w:uiPriority w:val="0"/>
    <w:pPr>
      <w:adjustRightInd w:val="0"/>
      <w:snapToGrid w:val="0"/>
    </w:pPr>
    <w:rPr>
      <w:rFonts w:ascii="Calibri" w:hAnsi="Calibri" w:eastAsia="宋体" w:cs="Times New Roman"/>
      <w:sz w:val="22"/>
      <w:szCs w:val="22"/>
      <w:lang w:val="en-US" w:eastAsia="zh-CN" w:bidi="ar-SA"/>
    </w:rPr>
  </w:style>
  <w:style w:type="character" w:customStyle="1" w:styleId="190">
    <w:name w:val="font11"/>
    <w:qFormat/>
    <w:uiPriority w:val="0"/>
    <w:rPr>
      <w:rFonts w:hint="eastAsia" w:ascii="宋体" w:hAnsi="宋体" w:eastAsia="宋体" w:cs="宋体"/>
      <w:b/>
      <w:color w:val="000000"/>
      <w:sz w:val="24"/>
      <w:szCs w:val="24"/>
      <w:u w:val="none"/>
    </w:rPr>
  </w:style>
  <w:style w:type="character" w:customStyle="1" w:styleId="191">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47</Pages>
  <Words>19809</Words>
  <Characters>21222</Characters>
  <Lines>74</Lines>
  <Paragraphs>62</Paragraphs>
  <TotalTime>49</TotalTime>
  <ScaleCrop>false</ScaleCrop>
  <LinksUpToDate>false</LinksUpToDate>
  <CharactersWithSpaces>22465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咸鱼</cp:lastModifiedBy>
  <cp:lastPrinted>2022-06-06T06:54:00Z</cp:lastPrinted>
  <dcterms:modified xsi:type="dcterms:W3CDTF">2024-05-24T07:12:27Z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852E7EAE6F4747A296A94E9D3F360E97_13</vt:lpwstr>
  </property>
</Properties>
</file>