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 xml:space="preserve">   </w:t>
      </w:r>
    </w:p>
    <w:p>
      <w:pPr>
        <w:snapToGrid w:val="0"/>
        <w:spacing w:line="900" w:lineRule="exact"/>
        <w:jc w:val="center"/>
        <w:outlineLvl w:val="0"/>
        <w:rPr>
          <w:rFonts w:hint="eastAsia" w:ascii="黑体" w:hAnsi="黑体" w:eastAsia="黑体"/>
          <w:bCs/>
          <w:sz w:val="48"/>
          <w:szCs w:val="48"/>
          <w:highlight w:val="none"/>
          <w:lang w:eastAsia="zh-CN"/>
        </w:rPr>
      </w:pPr>
      <w:bookmarkStart w:id="0" w:name="_Toc15933"/>
      <w:r>
        <w:rPr>
          <w:rFonts w:hint="eastAsia" w:ascii="黑体" w:hAnsi="黑体" w:eastAsia="黑体"/>
          <w:bCs/>
          <w:sz w:val="48"/>
          <w:szCs w:val="48"/>
          <w:highlight w:val="none"/>
          <w:lang w:eastAsia="zh-CN"/>
        </w:rPr>
        <w:t>湖南省虞公港建设投资有限公司</w:t>
      </w:r>
      <w:bookmarkEnd w:id="0"/>
    </w:p>
    <w:p>
      <w:pPr>
        <w:autoSpaceDE w:val="0"/>
        <w:autoSpaceDN w:val="0"/>
        <w:spacing w:line="240" w:lineRule="auto"/>
        <w:jc w:val="center"/>
        <w:rPr>
          <w:rFonts w:hint="eastAsia" w:ascii="黑体" w:hAnsi="Times New Roman" w:eastAsia="黑体"/>
          <w:sz w:val="48"/>
          <w:szCs w:val="52"/>
          <w:highlight w:val="none"/>
          <w:u w:val="single"/>
          <w:lang w:val="zh-CN"/>
        </w:rPr>
      </w:pPr>
    </w:p>
    <w:p>
      <w:pPr>
        <w:pStyle w:val="4"/>
        <w:rPr>
          <w:rFonts w:hint="eastAsia"/>
          <w:lang w:val="zh-CN"/>
        </w:rPr>
      </w:pPr>
    </w:p>
    <w:p>
      <w:pPr>
        <w:autoSpaceDE w:val="0"/>
        <w:autoSpaceDN w:val="0"/>
        <w:spacing w:line="240" w:lineRule="auto"/>
        <w:jc w:val="center"/>
        <w:outlineLvl w:val="0"/>
        <w:rPr>
          <w:rFonts w:hint="eastAsia" w:ascii="黑体" w:eastAsia="黑体"/>
          <w:sz w:val="48"/>
          <w:szCs w:val="52"/>
          <w:highlight w:val="none"/>
          <w:u w:val="none"/>
          <w:lang w:val="zh-CN"/>
        </w:rPr>
      </w:pPr>
      <w:bookmarkStart w:id="1" w:name="_Toc647"/>
      <w:r>
        <w:rPr>
          <w:rFonts w:hint="eastAsia" w:ascii="黑体" w:eastAsia="黑体"/>
          <w:sz w:val="48"/>
          <w:szCs w:val="52"/>
          <w:highlight w:val="none"/>
          <w:u w:val="none"/>
          <w:lang w:val="zh-CN"/>
        </w:rPr>
        <w:t>湘阴虞公港一期工程</w:t>
      </w:r>
      <w:bookmarkEnd w:id="1"/>
      <w:r>
        <w:rPr>
          <w:rFonts w:hint="eastAsia" w:ascii="黑体" w:eastAsia="黑体"/>
          <w:sz w:val="48"/>
          <w:szCs w:val="52"/>
          <w:highlight w:val="none"/>
          <w:u w:val="none"/>
          <w:lang w:val="zh-CN"/>
        </w:rPr>
        <w:t>后方</w:t>
      </w:r>
    </w:p>
    <w:p>
      <w:pPr>
        <w:autoSpaceDE w:val="0"/>
        <w:autoSpaceDN w:val="0"/>
        <w:spacing w:line="240" w:lineRule="auto"/>
        <w:jc w:val="center"/>
        <w:outlineLvl w:val="0"/>
        <w:rPr>
          <w:rFonts w:hint="eastAsia" w:ascii="黑体" w:hAnsi="Times New Roman" w:eastAsia="黑体"/>
          <w:sz w:val="48"/>
          <w:szCs w:val="52"/>
          <w:highlight w:val="none"/>
          <w:u w:val="none"/>
          <w:lang w:val="zh-CN" w:eastAsia="zh-CN"/>
        </w:rPr>
      </w:pPr>
      <w:r>
        <w:rPr>
          <w:rFonts w:hint="eastAsia" w:ascii="黑体" w:eastAsia="黑体"/>
          <w:sz w:val="48"/>
          <w:szCs w:val="52"/>
          <w:highlight w:val="none"/>
          <w:u w:val="none"/>
          <w:lang w:val="zh-CN"/>
        </w:rPr>
        <w:t>陆域建设用地补征服务</w:t>
      </w:r>
    </w:p>
    <w:p>
      <w:pPr>
        <w:snapToGrid w:val="0"/>
        <w:spacing w:line="900" w:lineRule="exact"/>
        <w:jc w:val="both"/>
        <w:rPr>
          <w:rFonts w:ascii="黑体" w:hAnsi="黑体" w:eastAsia="黑体"/>
          <w:sz w:val="36"/>
          <w:szCs w:val="36"/>
          <w:highlight w:val="none"/>
        </w:rPr>
      </w:pPr>
    </w:p>
    <w:p>
      <w:pPr>
        <w:snapToGrid w:val="0"/>
        <w:spacing w:line="900" w:lineRule="exact"/>
        <w:jc w:val="center"/>
        <w:rPr>
          <w:highlight w:val="none"/>
        </w:rPr>
      </w:pPr>
      <w:r>
        <w:rPr>
          <w:rFonts w:hint="eastAsia" w:ascii="黑体" w:hAnsi="黑体" w:eastAsia="黑体" w:cs="宋体"/>
          <w:b/>
          <w:color w:val="000000"/>
          <w:kern w:val="0"/>
          <w:sz w:val="72"/>
          <w:szCs w:val="72"/>
          <w:highlight w:val="none"/>
          <w:lang w:val="en-US" w:eastAsia="zh-CN"/>
        </w:rPr>
        <w:t xml:space="preserve">采  购  </w:t>
      </w:r>
      <w:r>
        <w:rPr>
          <w:rFonts w:hint="eastAsia" w:ascii="黑体" w:hAnsi="黑体" w:eastAsia="黑体" w:cs="宋体"/>
          <w:b/>
          <w:color w:val="000000"/>
          <w:kern w:val="0"/>
          <w:sz w:val="72"/>
          <w:szCs w:val="72"/>
          <w:highlight w:val="none"/>
        </w:rPr>
        <w:t>文</w:t>
      </w:r>
      <w:r>
        <w:rPr>
          <w:rFonts w:hint="eastAsia" w:ascii="黑体" w:hAnsi="黑体" w:eastAsia="黑体" w:cs="宋体"/>
          <w:b/>
          <w:color w:val="000000"/>
          <w:kern w:val="0"/>
          <w:sz w:val="72"/>
          <w:szCs w:val="72"/>
          <w:highlight w:val="none"/>
          <w:lang w:val="en-US" w:eastAsia="zh-CN"/>
        </w:rPr>
        <w:t xml:space="preserve"> </w:t>
      </w:r>
      <w:r>
        <w:rPr>
          <w:rFonts w:hint="eastAsia" w:ascii="黑体" w:hAnsi="黑体" w:eastAsia="黑体" w:cs="宋体"/>
          <w:b/>
          <w:color w:val="000000"/>
          <w:kern w:val="0"/>
          <w:sz w:val="72"/>
          <w:szCs w:val="72"/>
          <w:highlight w:val="none"/>
        </w:rPr>
        <w:t xml:space="preserve"> 件</w:t>
      </w:r>
    </w:p>
    <w:p>
      <w:pPr>
        <w:spacing w:line="600" w:lineRule="exact"/>
        <w:rPr>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pStyle w:val="4"/>
        <w:outlineLvl w:val="9"/>
        <w:rPr>
          <w:rFonts w:hint="eastAsia"/>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both"/>
        <w:rPr>
          <w:rFonts w:hint="eastAsia" w:ascii="黑体" w:hAnsi="黑体" w:eastAsia="黑体"/>
          <w:bCs/>
          <w:sz w:val="48"/>
          <w:szCs w:val="48"/>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center"/>
        <w:rPr>
          <w:rFonts w:ascii="方正小标宋简体" w:hAnsi="黑体" w:eastAsia="方正小标宋简体"/>
          <w:color w:val="auto"/>
          <w:sz w:val="36"/>
          <w:szCs w:val="36"/>
          <w:highlight w:val="none"/>
        </w:rPr>
      </w:pPr>
      <w:r>
        <w:rPr>
          <w:rFonts w:hint="eastAsia" w:ascii="黑体" w:hAnsi="黑体" w:eastAsia="黑体"/>
          <w:bCs/>
          <w:sz w:val="48"/>
          <w:szCs w:val="48"/>
          <w:highlight w:val="none"/>
        </w:rPr>
        <w:t>二О二</w:t>
      </w:r>
      <w:r>
        <w:rPr>
          <w:rFonts w:hint="eastAsia" w:ascii="黑体" w:hAnsi="黑体" w:eastAsia="黑体"/>
          <w:bCs/>
          <w:sz w:val="48"/>
          <w:szCs w:val="48"/>
          <w:highlight w:val="none"/>
          <w:lang w:val="en-US" w:eastAsia="zh-CN"/>
        </w:rPr>
        <w:t>四</w:t>
      </w:r>
      <w:r>
        <w:rPr>
          <w:rFonts w:hint="eastAsia" w:ascii="黑体" w:hAnsi="黑体" w:eastAsia="黑体"/>
          <w:bCs/>
          <w:sz w:val="48"/>
          <w:szCs w:val="48"/>
          <w:highlight w:val="none"/>
        </w:rPr>
        <w:t>年</w:t>
      </w:r>
      <w:r>
        <w:rPr>
          <w:rFonts w:hint="eastAsia" w:ascii="黑体" w:hAnsi="黑体" w:eastAsia="黑体"/>
          <w:bCs/>
          <w:sz w:val="48"/>
          <w:szCs w:val="48"/>
          <w:highlight w:val="none"/>
          <w:lang w:val="en-US" w:eastAsia="zh-CN"/>
        </w:rPr>
        <w:t>五</w:t>
      </w:r>
      <w:r>
        <w:rPr>
          <w:rFonts w:hint="eastAsia" w:ascii="黑体" w:hAnsi="黑体" w:eastAsia="黑体"/>
          <w:bCs/>
          <w:color w:val="auto"/>
          <w:sz w:val="48"/>
          <w:szCs w:val="48"/>
          <w:highlight w:val="none"/>
        </w:rPr>
        <w:t>月</w:t>
      </w:r>
    </w:p>
    <w:p>
      <w:pPr>
        <w:pStyle w:val="189"/>
        <w:keepNext w:val="0"/>
        <w:keepLines w:val="0"/>
        <w:widowControl w:val="0"/>
        <w:spacing w:before="0" w:line="600" w:lineRule="exact"/>
        <w:ind w:left="440"/>
        <w:jc w:val="center"/>
        <w:outlineLvl w:val="0"/>
        <w:rPr>
          <w:rFonts w:ascii="黑体" w:hAnsi="黑体" w:eastAsia="黑体"/>
          <w:b w:val="0"/>
          <w:color w:val="auto"/>
          <w:sz w:val="44"/>
          <w:szCs w:val="44"/>
          <w:highlight w:val="none"/>
          <w:lang w:val="zh-CN"/>
        </w:rPr>
        <w:sectPr>
          <w:footerReference r:id="rId5"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pPr>
      <w:bookmarkStart w:id="2" w:name="_Toc9655"/>
    </w:p>
    <w:p>
      <w:pPr>
        <w:rPr>
          <w:lang w:val="zh-CN"/>
        </w:rPr>
      </w:pPr>
    </w:p>
    <w:p>
      <w:pPr>
        <w:pStyle w:val="189"/>
        <w:keepNext w:val="0"/>
        <w:keepLines w:val="0"/>
        <w:widowControl w:val="0"/>
        <w:spacing w:before="0" w:line="600" w:lineRule="exact"/>
        <w:ind w:left="440"/>
        <w:jc w:val="center"/>
        <w:outlineLvl w:val="0"/>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t>目    录</w:t>
      </w:r>
      <w:bookmarkEnd w:id="2"/>
    </w:p>
    <w:p>
      <w:pPr>
        <w:jc w:val="center"/>
        <w:rPr>
          <w:rFonts w:eastAsia="华文楷体"/>
          <w:sz w:val="28"/>
          <w:szCs w:val="28"/>
          <w:highlight w:val="none"/>
          <w:lang w:val="zh-CN"/>
        </w:rPr>
      </w:pPr>
    </w:p>
    <w:sdt>
      <w:sdtPr>
        <w:rPr>
          <w:rFonts w:ascii="宋体" w:hAnsi="宋体" w:eastAsia="宋体" w:cs="Times New Roman"/>
          <w:kern w:val="2"/>
          <w:sz w:val="21"/>
          <w:szCs w:val="24"/>
          <w:lang w:val="en-US" w:eastAsia="zh-CN" w:bidi="ar-SA"/>
        </w:rPr>
        <w:id w:val="147462830"/>
        <w15:color w:val="DBDBDB"/>
        <w:docPartObj>
          <w:docPartGallery w:val="Table of Contents"/>
          <w:docPartUnique/>
        </w:docPartObj>
      </w:sdtPr>
      <w:sdtEndPr>
        <w:rPr>
          <w:rFonts w:ascii="Times New Roman" w:hAnsi="Times New Roman" w:eastAsia="宋体" w:cs="Times New Roman"/>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195"/>
            <w:tabs>
              <w:tab w:val="right" w:leader="dot" w:pos="9746"/>
            </w:tabs>
            <w:rPr>
              <w:rFonts w:hint="eastAsia" w:ascii="宋体" w:hAnsi="宋体" w:eastAsia="宋体" w:cs="宋体"/>
              <w:sz w:val="24"/>
              <w:szCs w:val="24"/>
            </w:rPr>
          </w:pPr>
          <w:r>
            <w:rPr>
              <w:rFonts w:ascii="Times New Roman"/>
              <w:sz w:val="24"/>
              <w:szCs w:val="24"/>
              <w:highlight w:val="none"/>
            </w:rPr>
            <w:fldChar w:fldCharType="begin"/>
          </w:r>
          <w:r>
            <w:rPr>
              <w:rFonts w:ascii="Times New Roman"/>
              <w:sz w:val="24"/>
              <w:szCs w:val="24"/>
              <w:highlight w:val="none"/>
            </w:rPr>
            <w:instrText xml:space="preserve">TOC \o "1-1" \h \u </w:instrText>
          </w:r>
          <w:r>
            <w:rPr>
              <w:rFonts w:ascii="Times New Roman"/>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_Toc15915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highlight w:val="none"/>
            </w:rPr>
            <w:t>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_Toc15915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_Toc14390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_Toc14390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_Toc10726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第二章 供应商须知正文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_Toc10726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_Toc17603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评审办法</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综合评分法</w:t>
          </w:r>
          <w:r>
            <w:rPr>
              <w:rFonts w:hint="eastAsia" w:ascii="宋体" w:hAnsi="宋体" w:eastAsia="宋体" w:cs="宋体"/>
              <w:bCs/>
              <w:sz w:val="24"/>
              <w:szCs w:val="24"/>
              <w:highlight w:val="none"/>
              <w:lang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_Toc17603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_Toc23090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协议</w:t>
          </w:r>
          <w:r>
            <w:rPr>
              <w:rFonts w:hint="eastAsia" w:ascii="宋体" w:hAnsi="宋体" w:eastAsia="宋体" w:cs="宋体"/>
              <w:sz w:val="24"/>
              <w:szCs w:val="24"/>
              <w:highlight w:val="none"/>
            </w:rPr>
            <w:t>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_Toc23090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_Toc24337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_Toc24337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_Toc7790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_Toc7790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27"/>
            <w:widowControl w:val="0"/>
            <w:tabs>
              <w:tab w:val="right" w:leader="dot" w:pos="8948"/>
              <w:tab w:val="clear" w:pos="9242"/>
            </w:tabs>
            <w:adjustRightInd w:val="0"/>
            <w:snapToGrid w:val="0"/>
            <w:spacing w:before="60" w:after="60" w:line="312" w:lineRule="auto"/>
            <w:rPr>
              <w:rFonts w:ascii="Times New Roman"/>
              <w:sz w:val="24"/>
              <w:szCs w:val="24"/>
              <w:highlight w:val="none"/>
            </w:rPr>
          </w:pPr>
          <w:r>
            <w:rPr>
              <w:rFonts w:ascii="Times New Roman"/>
              <w:szCs w:val="24"/>
              <w:highlight w:val="none"/>
            </w:rPr>
            <w:fldChar w:fldCharType="end"/>
          </w:r>
        </w:p>
      </w:sdtContent>
    </w:sdt>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4"/>
        <w:rPr>
          <w:szCs w:val="21"/>
          <w:highlight w:val="none"/>
        </w:rPr>
      </w:pPr>
    </w:p>
    <w:p>
      <w:pPr>
        <w:rPr>
          <w:szCs w:val="21"/>
          <w:highlight w:val="none"/>
        </w:rPr>
      </w:pPr>
    </w:p>
    <w:p>
      <w:pPr>
        <w:pStyle w:val="4"/>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40"/>
        <w:rPr>
          <w:highlight w:val="none"/>
        </w:rPr>
      </w:pPr>
    </w:p>
    <w:p>
      <w:pPr>
        <w:pStyle w:val="40"/>
        <w:rPr>
          <w:highlight w:val="none"/>
        </w:rPr>
      </w:pPr>
    </w:p>
    <w:p>
      <w:pPr>
        <w:widowControl w:val="0"/>
        <w:adjustRightInd w:val="0"/>
        <w:snapToGrid w:val="0"/>
        <w:spacing w:line="240" w:lineRule="auto"/>
        <w:rPr>
          <w:szCs w:val="21"/>
          <w:highlight w:val="none"/>
        </w:rPr>
      </w:pPr>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highlight w:val="none"/>
        </w:rPr>
        <w:sectPr>
          <w:footerReference r:id="rId6"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pPr>
      <w:bookmarkStart w:id="3" w:name="_Toc15915"/>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highlight w:val="none"/>
        </w:rPr>
      </w:pPr>
      <w:r>
        <w:rPr>
          <w:rFonts w:hint="eastAsia" w:ascii="黑体" w:hAnsi="黑体" w:eastAsia="黑体" w:cs="仿宋"/>
          <w:b/>
          <w:color w:val="000000"/>
          <w:sz w:val="44"/>
          <w:szCs w:val="44"/>
          <w:highlight w:val="none"/>
        </w:rPr>
        <w:t>采购公告</w:t>
      </w:r>
      <w:bookmarkEnd w:id="3"/>
    </w:p>
    <w:p>
      <w:pPr>
        <w:pStyle w:val="36"/>
        <w:spacing w:before="0" w:beforeAutospacing="0" w:after="0" w:afterAutospacing="0"/>
        <w:jc w:val="center"/>
        <w:rPr>
          <w:rFonts w:ascii="黑体" w:hAnsi="黑体" w:eastAsia="黑体"/>
          <w:sz w:val="32"/>
          <w:szCs w:val="32"/>
          <w:highlight w:val="none"/>
        </w:rPr>
      </w:pPr>
    </w:p>
    <w:p>
      <w:pPr>
        <w:pStyle w:val="36"/>
        <w:spacing w:before="0" w:beforeAutospacing="0" w:after="0" w:afterAutospacing="0"/>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湖南省虞公港建设投资有限公司</w:t>
      </w:r>
    </w:p>
    <w:p>
      <w:pPr>
        <w:pStyle w:val="36"/>
        <w:spacing w:before="0" w:beforeAutospacing="0" w:after="0" w:afterAutospacing="0"/>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eastAsia="zh-CN"/>
        </w:rPr>
        <w:t>湘阴虞公港一期工程后方陆域建设用地补征服务</w:t>
      </w:r>
    </w:p>
    <w:p>
      <w:pPr>
        <w:pStyle w:val="36"/>
        <w:spacing w:before="0" w:beforeAutospacing="0" w:after="0" w:afterAutospacing="0"/>
        <w:jc w:val="center"/>
        <w:rPr>
          <w:rFonts w:ascii="黑体" w:hAnsi="黑体" w:eastAsia="黑体"/>
          <w:sz w:val="32"/>
          <w:szCs w:val="32"/>
          <w:highlight w:val="none"/>
        </w:rPr>
      </w:pPr>
      <w:r>
        <w:rPr>
          <w:rFonts w:hint="eastAsia" w:ascii="黑体" w:hAnsi="黑体" w:eastAsia="黑体"/>
          <w:sz w:val="32"/>
          <w:szCs w:val="32"/>
          <w:highlight w:val="none"/>
        </w:rPr>
        <w:t>询价公告</w:t>
      </w:r>
    </w:p>
    <w:p>
      <w:pPr>
        <w:pStyle w:val="36"/>
        <w:spacing w:before="0" w:beforeAutospacing="0" w:after="0" w:afterAutospacing="0"/>
        <w:jc w:val="both"/>
        <w:rPr>
          <w:rFonts w:cs="Times New Roman"/>
          <w:kern w:val="2"/>
          <w:highlight w:val="none"/>
        </w:rPr>
      </w:pPr>
      <w:r>
        <w:rPr>
          <w:rFonts w:hint="eastAsia" w:cs="Times New Roman"/>
          <w:kern w:val="2"/>
          <w:highlight w:val="none"/>
        </w:rPr>
        <w:t xml:space="preserve"> </w:t>
      </w:r>
    </w:p>
    <w:p>
      <w:pPr>
        <w:pStyle w:val="36"/>
        <w:spacing w:before="0" w:beforeAutospacing="0" w:after="0" w:afterAutospacing="0"/>
        <w:ind w:firstLine="480" w:firstLineChars="200"/>
        <w:jc w:val="both"/>
        <w:rPr>
          <w:rFonts w:cs="Times New Roman"/>
          <w:kern w:val="2"/>
          <w:highlight w:val="none"/>
        </w:rPr>
      </w:pPr>
      <w:r>
        <w:rPr>
          <w:rFonts w:hint="eastAsia" w:cs="Times New Roman"/>
          <w:kern w:val="2"/>
          <w:highlight w:val="none"/>
          <w:lang w:eastAsia="zh-CN"/>
        </w:rPr>
        <w:t>湘阴虞公港一期工程</w:t>
      </w:r>
      <w:r>
        <w:rPr>
          <w:rFonts w:hint="eastAsia" w:cs="Times New Roman"/>
          <w:kern w:val="2"/>
          <w:highlight w:val="none"/>
          <w:lang w:val="en-US" w:eastAsia="zh-CN"/>
        </w:rPr>
        <w:t>后方陆域建设用地补征</w:t>
      </w:r>
      <w:r>
        <w:rPr>
          <w:rFonts w:hint="eastAsia" w:cs="Times New Roman"/>
          <w:kern w:val="2"/>
          <w:highlight w:val="none"/>
        </w:rPr>
        <w:t xml:space="preserve">已具备采购条件，现公开邀请供应商参加采购活动。 </w:t>
      </w:r>
    </w:p>
    <w:p>
      <w:pPr>
        <w:pStyle w:val="5"/>
        <w:jc w:val="both"/>
        <w:rPr>
          <w:rFonts w:ascii="Arial" w:hAnsi="Arial"/>
          <w:highlight w:val="none"/>
        </w:rPr>
      </w:pPr>
      <w:r>
        <w:rPr>
          <w:rFonts w:hint="eastAsia"/>
          <w:highlight w:val="none"/>
          <w:lang w:val="en-US" w:eastAsia="zh-CN"/>
        </w:rPr>
        <w:t>一、</w:t>
      </w:r>
      <w:r>
        <w:rPr>
          <w:rFonts w:hint="eastAsia"/>
          <w:highlight w:val="none"/>
        </w:rPr>
        <w:t xml:space="preserve"> </w:t>
      </w:r>
      <w:r>
        <w:rPr>
          <w:rFonts w:hint="eastAsia" w:ascii="黑体" w:hAnsi="黑体"/>
          <w:highlight w:val="none"/>
        </w:rPr>
        <w:t xml:space="preserve">采购项目简介 </w:t>
      </w:r>
    </w:p>
    <w:p>
      <w:pPr>
        <w:autoSpaceDE w:val="0"/>
        <w:spacing w:line="400" w:lineRule="exact"/>
        <w:jc w:val="both"/>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采购项目名称</w:t>
      </w:r>
      <w:r>
        <w:rPr>
          <w:rFonts w:hint="eastAsia" w:ascii="宋体" w:hAnsi="宋体"/>
          <w:sz w:val="24"/>
          <w:highlight w:val="none"/>
          <w:lang w:eastAsia="zh-CN"/>
        </w:rPr>
        <w:t>：湘阴虞公港一期工程后方陆域建设用地补征服务</w:t>
      </w:r>
    </w:p>
    <w:p>
      <w:pPr>
        <w:autoSpaceDE w:val="0"/>
        <w:spacing w:line="400" w:lineRule="exact"/>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采购人</w:t>
      </w:r>
      <w:r>
        <w:rPr>
          <w:rFonts w:hint="eastAsia" w:ascii="宋体" w:hAnsi="宋体"/>
          <w:sz w:val="24"/>
          <w:highlight w:val="none"/>
          <w:lang w:eastAsia="zh-CN"/>
        </w:rPr>
        <w:t>：湖南省虞公港建设投资有限公司</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sz w:val="24"/>
          <w:highlight w:val="none"/>
        </w:rPr>
        <w:t>采购代理机构</w:t>
      </w:r>
      <w:r>
        <w:rPr>
          <w:rFonts w:hint="eastAsia" w:ascii="宋体" w:hAnsi="宋体"/>
          <w:sz w:val="24"/>
          <w:highlight w:val="none"/>
          <w:lang w:eastAsia="zh-CN"/>
        </w:rPr>
        <w:t>：</w:t>
      </w:r>
      <w:r>
        <w:rPr>
          <w:rFonts w:hint="eastAsia" w:ascii="宋体" w:hAnsi="宋体"/>
          <w:sz w:val="24"/>
          <w:highlight w:val="none"/>
        </w:rPr>
        <w:t>无</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四</w:t>
      </w:r>
      <w:r>
        <w:rPr>
          <w:rFonts w:hint="eastAsia" w:ascii="宋体" w:hAnsi="宋体"/>
          <w:b/>
          <w:bCs/>
          <w:sz w:val="24"/>
          <w:highlight w:val="none"/>
          <w:lang w:eastAsia="zh-CN"/>
        </w:rPr>
        <w:t>）</w:t>
      </w:r>
      <w:r>
        <w:rPr>
          <w:rFonts w:hint="eastAsia" w:ascii="宋体" w:hAnsi="宋体"/>
          <w:sz w:val="24"/>
          <w:highlight w:val="none"/>
        </w:rPr>
        <w:t>采购项目资金落实情况</w:t>
      </w:r>
      <w:r>
        <w:rPr>
          <w:rFonts w:hint="eastAsia" w:ascii="宋体" w:hAnsi="宋体"/>
          <w:sz w:val="24"/>
          <w:highlight w:val="none"/>
          <w:lang w:eastAsia="zh-CN"/>
        </w:rPr>
        <w:t>：</w:t>
      </w:r>
      <w:r>
        <w:rPr>
          <w:rFonts w:hint="eastAsia" w:ascii="宋体" w:hAnsi="宋体"/>
          <w:sz w:val="24"/>
          <w:highlight w:val="none"/>
        </w:rPr>
        <w:t>已落实</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五</w:t>
      </w:r>
      <w:r>
        <w:rPr>
          <w:rFonts w:hint="eastAsia" w:ascii="宋体" w:hAnsi="宋体"/>
          <w:b/>
          <w:bCs/>
          <w:sz w:val="24"/>
          <w:highlight w:val="none"/>
          <w:lang w:eastAsia="zh-CN"/>
        </w:rPr>
        <w:t>）</w:t>
      </w:r>
      <w:r>
        <w:rPr>
          <w:rFonts w:hint="eastAsia" w:ascii="宋体" w:hAnsi="宋体"/>
          <w:sz w:val="24"/>
          <w:highlight w:val="none"/>
        </w:rPr>
        <w:t>采购项目概况</w:t>
      </w:r>
      <w:r>
        <w:rPr>
          <w:rFonts w:hint="eastAsia" w:ascii="宋体" w:hAnsi="宋体"/>
          <w:sz w:val="24"/>
          <w:highlight w:val="none"/>
          <w:lang w:eastAsia="zh-CN"/>
        </w:rPr>
        <w:t>：</w:t>
      </w:r>
      <w:r>
        <w:rPr>
          <w:rFonts w:hint="eastAsia" w:ascii="宋体" w:hAnsi="宋体"/>
          <w:sz w:val="24"/>
          <w:highlight w:val="none"/>
        </w:rPr>
        <w:t>本项目位于岳阳市湘阴县三塘镇黄陵港村，湘江右岸，湘阴湘江大桥下游16公里处。项目拟新建4个3000吨级（兼顾5000吨级）泊位，其中多用途、散货泊位各2个，均位于规划多用途泊位区和散货泊位区的下游端，其中2个多用途泊位占用岸线259米，2个散货泊位占用岸线263米，工程设计吞吐量990万吨/年（含8万TEU）。</w:t>
      </w:r>
    </w:p>
    <w:p>
      <w:pPr>
        <w:pStyle w:val="5"/>
        <w:jc w:val="both"/>
        <w:rPr>
          <w:highlight w:val="none"/>
          <w:shd w:val="clear" w:color="FFFFFF" w:fill="D9D9D9"/>
        </w:rPr>
      </w:pPr>
      <w:r>
        <w:rPr>
          <w:rFonts w:hint="eastAsia"/>
          <w:highlight w:val="none"/>
          <w:shd w:val="clear" w:color="FFFFFF" w:fill="D9D9D9"/>
          <w:lang w:val="en-US" w:eastAsia="zh-CN"/>
        </w:rPr>
        <w:t>二、</w:t>
      </w:r>
      <w:r>
        <w:rPr>
          <w:rFonts w:hint="eastAsia"/>
          <w:highlight w:val="none"/>
          <w:shd w:val="clear" w:color="FFFFFF" w:fill="D9D9D9"/>
        </w:rPr>
        <w:t>采购范围及相关要求</w:t>
      </w:r>
    </w:p>
    <w:p>
      <w:pPr>
        <w:widowControl/>
        <w:jc w:val="left"/>
        <w:rPr>
          <w:rFonts w:hint="eastAsia" w:ascii="宋体" w:hAnsi="宋体" w:eastAsia="宋体" w:cs="宋体"/>
          <w:color w:val="auto"/>
          <w:sz w:val="24"/>
          <w:szCs w:val="24"/>
          <w:highlight w:val="yellow"/>
          <w:lang w:val="en-US" w:eastAsia="zh-CN"/>
        </w:rPr>
      </w:pPr>
      <w:r>
        <w:rPr>
          <w:rFonts w:hint="eastAsia" w:ascii="宋体" w:hAnsi="宋体"/>
          <w:b/>
          <w:bCs/>
          <w:sz w:val="24"/>
          <w:highlight w:val="yellow"/>
          <w:lang w:eastAsia="zh-CN"/>
        </w:rPr>
        <w:t>（</w:t>
      </w:r>
      <w:r>
        <w:rPr>
          <w:rFonts w:hint="eastAsia" w:ascii="宋体" w:hAnsi="宋体"/>
          <w:b/>
          <w:bCs/>
          <w:sz w:val="24"/>
          <w:highlight w:val="yellow"/>
          <w:lang w:val="en-US" w:eastAsia="zh-CN"/>
        </w:rPr>
        <w:t>一</w:t>
      </w:r>
      <w:r>
        <w:rPr>
          <w:rFonts w:hint="eastAsia" w:ascii="宋体" w:hAnsi="宋体"/>
          <w:b/>
          <w:bCs/>
          <w:sz w:val="24"/>
          <w:highlight w:val="yellow"/>
          <w:lang w:eastAsia="zh-CN"/>
        </w:rPr>
        <w:t>）</w:t>
      </w:r>
      <w:r>
        <w:rPr>
          <w:rFonts w:hint="eastAsia" w:ascii="宋体" w:hAnsi="宋体"/>
          <w:sz w:val="24"/>
          <w:highlight w:val="yellow"/>
        </w:rPr>
        <w:t>采</w:t>
      </w:r>
      <w:r>
        <w:rPr>
          <w:rFonts w:hint="eastAsia" w:ascii="宋体" w:hAnsi="宋体"/>
          <w:color w:val="auto"/>
          <w:sz w:val="24"/>
          <w:highlight w:val="yellow"/>
        </w:rPr>
        <w:t>购范围</w:t>
      </w:r>
      <w:r>
        <w:rPr>
          <w:rFonts w:hint="eastAsia" w:ascii="宋体" w:hAnsi="宋体"/>
          <w:color w:val="auto"/>
          <w:sz w:val="24"/>
          <w:highlight w:val="yellow"/>
          <w:lang w:eastAsia="zh-CN"/>
        </w:rPr>
        <w:t>：</w:t>
      </w:r>
      <w:r>
        <w:rPr>
          <w:rFonts w:hint="eastAsia" w:ascii="宋体" w:hAnsi="宋体" w:eastAsia="宋体" w:cs="宋体"/>
          <w:color w:val="auto"/>
          <w:sz w:val="24"/>
          <w:szCs w:val="24"/>
          <w:highlight w:val="yellow"/>
          <w:lang w:val="en-US" w:eastAsia="zh-CN"/>
        </w:rPr>
        <w:t>根据国家法律法规，办理湘阴虞公港一期工程后方陆域建设用地补征手续</w:t>
      </w:r>
      <w:r>
        <w:rPr>
          <w:rFonts w:hint="eastAsia" w:ascii="宋体" w:hAnsi="宋体" w:cs="宋体"/>
          <w:color w:val="auto"/>
          <w:sz w:val="24"/>
          <w:szCs w:val="24"/>
          <w:highlight w:val="yellow"/>
          <w:lang w:val="en-US" w:eastAsia="zh-CN"/>
        </w:rPr>
        <w:t>（地块面积约1公顷）：</w:t>
      </w:r>
      <w:r>
        <w:rPr>
          <w:rFonts w:hint="eastAsia" w:ascii="宋体" w:hAnsi="宋体" w:eastAsia="宋体" w:cs="宋体"/>
          <w:color w:val="auto"/>
          <w:sz w:val="24"/>
          <w:szCs w:val="24"/>
          <w:highlight w:val="yellow"/>
          <w:lang w:val="en-US" w:eastAsia="zh-CN"/>
        </w:rPr>
        <w:t>该块用地的</w:t>
      </w:r>
      <w:r>
        <w:rPr>
          <w:rFonts w:hint="eastAsia" w:ascii="宋体" w:hAnsi="宋体" w:eastAsia="宋体" w:cs="宋体"/>
          <w:sz w:val="24"/>
          <w:szCs w:val="24"/>
          <w:highlight w:val="yellow"/>
        </w:rPr>
        <w:t>社会稳定性风险评估</w:t>
      </w:r>
      <w:r>
        <w:rPr>
          <w:rFonts w:hint="eastAsia" w:ascii="宋体" w:hAnsi="宋体" w:eastAsia="宋体" w:cs="宋体"/>
          <w:sz w:val="24"/>
          <w:szCs w:val="24"/>
          <w:highlight w:val="yellow"/>
          <w:lang w:eastAsia="zh-CN"/>
        </w:rPr>
        <w:t>、建设项目占用耕地不可避让论证、</w:t>
      </w:r>
      <w:r>
        <w:rPr>
          <w:rFonts w:hint="eastAsia" w:ascii="宋体" w:hAnsi="宋体" w:eastAsia="宋体" w:cs="宋体"/>
          <w:sz w:val="24"/>
          <w:szCs w:val="24"/>
          <w:highlight w:val="yellow"/>
        </w:rPr>
        <w:t>耕地制作图层</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rPr>
        <w:t>农用地转用报批</w:t>
      </w:r>
      <w:r>
        <w:rPr>
          <w:rFonts w:hint="eastAsia" w:ascii="宋体" w:hAnsi="宋体" w:eastAsia="宋体" w:cs="宋体"/>
          <w:sz w:val="24"/>
          <w:szCs w:val="24"/>
          <w:highlight w:val="yellow"/>
          <w:lang w:val="en-US" w:eastAsia="zh-CN"/>
        </w:rPr>
        <w:t>手续</w:t>
      </w:r>
      <w:r>
        <w:rPr>
          <w:rFonts w:hint="eastAsia" w:ascii="宋体" w:hAnsi="宋体" w:cs="宋体"/>
          <w:sz w:val="24"/>
          <w:szCs w:val="24"/>
          <w:highlight w:val="yellow"/>
          <w:lang w:val="en-US" w:eastAsia="zh-CN"/>
        </w:rPr>
        <w:t>。</w:t>
      </w:r>
    </w:p>
    <w:p>
      <w:pPr>
        <w:autoSpaceDE w:val="0"/>
        <w:spacing w:line="400" w:lineRule="exact"/>
        <w:rPr>
          <w:rFonts w:hint="eastAsia" w:ascii="宋体" w:hAnsi="宋体"/>
          <w:sz w:val="24"/>
          <w:highlight w:val="yellow"/>
          <w:u w:val="single"/>
          <w:lang w:val="en-US" w:eastAsia="zh-CN"/>
        </w:rPr>
      </w:pPr>
      <w:r>
        <w:rPr>
          <w:rFonts w:hint="eastAsia" w:ascii="宋体" w:hAnsi="宋体"/>
          <w:b/>
          <w:bCs/>
          <w:sz w:val="24"/>
          <w:highlight w:val="yellow"/>
          <w:lang w:eastAsia="zh-CN"/>
        </w:rPr>
        <w:t>（</w:t>
      </w:r>
      <w:r>
        <w:rPr>
          <w:rFonts w:hint="eastAsia" w:ascii="宋体" w:hAnsi="宋体"/>
          <w:b/>
          <w:bCs/>
          <w:sz w:val="24"/>
          <w:highlight w:val="yellow"/>
          <w:lang w:val="en-US" w:eastAsia="zh-CN"/>
        </w:rPr>
        <w:t>二</w:t>
      </w:r>
      <w:r>
        <w:rPr>
          <w:rFonts w:hint="eastAsia" w:ascii="宋体" w:hAnsi="宋体"/>
          <w:b/>
          <w:bCs/>
          <w:sz w:val="24"/>
          <w:highlight w:val="yellow"/>
          <w:lang w:eastAsia="zh-CN"/>
        </w:rPr>
        <w:t>）</w:t>
      </w:r>
      <w:r>
        <w:rPr>
          <w:rFonts w:hint="eastAsia" w:ascii="宋体" w:hAnsi="宋体"/>
          <w:sz w:val="24"/>
          <w:highlight w:val="yellow"/>
        </w:rPr>
        <w:t>服务期限</w:t>
      </w:r>
      <w:r>
        <w:rPr>
          <w:rFonts w:hint="eastAsia" w:ascii="宋体" w:hAnsi="宋体"/>
          <w:sz w:val="24"/>
          <w:highlight w:val="yellow"/>
          <w:lang w:eastAsia="zh-CN"/>
        </w:rPr>
        <w:t>：</w:t>
      </w:r>
      <w:r>
        <w:rPr>
          <w:rFonts w:hint="eastAsia" w:ascii="宋体" w:hAnsi="宋体"/>
          <w:sz w:val="24"/>
          <w:highlight w:val="yellow"/>
          <w:u w:val="single"/>
        </w:rPr>
        <w:t xml:space="preserve"> </w:t>
      </w:r>
      <w:r>
        <w:rPr>
          <w:rFonts w:hint="eastAsia" w:ascii="宋体" w:hAnsi="宋体"/>
          <w:sz w:val="24"/>
          <w:highlight w:val="yellow"/>
          <w:u w:val="single"/>
          <w:lang w:val="en-US" w:eastAsia="zh-CN"/>
        </w:rPr>
        <w:t>6个月（取得省政府用地审批手续为准）</w:t>
      </w:r>
    </w:p>
    <w:p>
      <w:pPr>
        <w:autoSpaceDE w:val="0"/>
        <w:spacing w:line="400" w:lineRule="exact"/>
        <w:rPr>
          <w:rFonts w:ascii="宋体" w:hAnsi="宋体"/>
          <w:sz w:val="24"/>
          <w:highlight w:val="yellow"/>
        </w:rPr>
      </w:pPr>
      <w:r>
        <w:rPr>
          <w:rFonts w:hint="eastAsia" w:ascii="宋体" w:hAnsi="宋体"/>
          <w:b/>
          <w:bCs/>
          <w:sz w:val="24"/>
          <w:highlight w:val="yellow"/>
          <w:lang w:eastAsia="zh-CN"/>
        </w:rPr>
        <w:t>（</w:t>
      </w:r>
      <w:r>
        <w:rPr>
          <w:rFonts w:hint="eastAsia" w:ascii="宋体" w:hAnsi="宋体"/>
          <w:b/>
          <w:bCs/>
          <w:sz w:val="24"/>
          <w:highlight w:val="yellow"/>
          <w:lang w:val="en-US" w:eastAsia="zh-CN"/>
        </w:rPr>
        <w:t>三</w:t>
      </w:r>
      <w:r>
        <w:rPr>
          <w:rFonts w:hint="eastAsia" w:ascii="宋体" w:hAnsi="宋体"/>
          <w:b/>
          <w:bCs/>
          <w:sz w:val="24"/>
          <w:highlight w:val="yellow"/>
          <w:lang w:eastAsia="zh-CN"/>
        </w:rPr>
        <w:t>）</w:t>
      </w:r>
      <w:r>
        <w:rPr>
          <w:rFonts w:hint="eastAsia" w:ascii="宋体" w:hAnsi="宋体"/>
          <w:sz w:val="24"/>
          <w:highlight w:val="yellow"/>
        </w:rPr>
        <w:t>服务地点</w:t>
      </w:r>
      <w:r>
        <w:rPr>
          <w:rFonts w:hint="eastAsia" w:ascii="宋体" w:hAnsi="宋体"/>
          <w:sz w:val="24"/>
          <w:highlight w:val="yellow"/>
          <w:lang w:eastAsia="zh-CN"/>
        </w:rPr>
        <w:t>：</w:t>
      </w:r>
      <w:r>
        <w:rPr>
          <w:rFonts w:hint="eastAsia" w:ascii="宋体" w:hAnsi="宋体"/>
          <w:sz w:val="24"/>
          <w:highlight w:val="yellow"/>
        </w:rPr>
        <w:t>岳阳市湘阴县三塘镇黄陵港村，湘江右岸，湘阴湘江大桥下游16公里处。</w:t>
      </w:r>
    </w:p>
    <w:p>
      <w:pPr>
        <w:autoSpaceDE w:val="0"/>
        <w:spacing w:line="400" w:lineRule="exact"/>
        <w:rPr>
          <w:rFonts w:ascii="宋体" w:hAnsi="宋体"/>
          <w:sz w:val="24"/>
          <w:highlight w:val="yellow"/>
        </w:rPr>
      </w:pPr>
      <w:r>
        <w:rPr>
          <w:rFonts w:hint="eastAsia" w:ascii="宋体" w:hAnsi="宋体"/>
          <w:b/>
          <w:bCs/>
          <w:sz w:val="24"/>
          <w:highlight w:val="yellow"/>
          <w:lang w:eastAsia="zh-CN"/>
        </w:rPr>
        <w:t>（</w:t>
      </w:r>
      <w:r>
        <w:rPr>
          <w:rFonts w:hint="eastAsia" w:ascii="宋体" w:hAnsi="宋体"/>
          <w:b/>
          <w:bCs/>
          <w:sz w:val="24"/>
          <w:highlight w:val="yellow"/>
          <w:lang w:val="en-US" w:eastAsia="zh-CN"/>
        </w:rPr>
        <w:t>四</w:t>
      </w:r>
      <w:r>
        <w:rPr>
          <w:rFonts w:hint="eastAsia" w:ascii="宋体" w:hAnsi="宋体"/>
          <w:b/>
          <w:bCs/>
          <w:sz w:val="24"/>
          <w:highlight w:val="yellow"/>
          <w:lang w:eastAsia="zh-CN"/>
        </w:rPr>
        <w:t>）</w:t>
      </w:r>
      <w:r>
        <w:rPr>
          <w:rFonts w:hint="eastAsia" w:ascii="宋体" w:hAnsi="宋体"/>
          <w:sz w:val="24"/>
          <w:highlight w:val="yellow"/>
        </w:rPr>
        <w:t>相关要求</w:t>
      </w:r>
      <w:r>
        <w:rPr>
          <w:rFonts w:hint="eastAsia" w:ascii="宋体" w:hAnsi="宋体"/>
          <w:sz w:val="24"/>
          <w:highlight w:val="yellow"/>
          <w:lang w:eastAsia="zh-CN"/>
        </w:rPr>
        <w:t>：</w:t>
      </w:r>
      <w:r>
        <w:rPr>
          <w:rFonts w:hint="eastAsia" w:ascii="宋体" w:hAnsi="宋体"/>
          <w:sz w:val="24"/>
          <w:highlight w:val="yellow"/>
        </w:rPr>
        <w:t xml:space="preserve"> 详见“第五章 采购要求”</w:t>
      </w:r>
    </w:p>
    <w:p>
      <w:pPr>
        <w:pStyle w:val="5"/>
        <w:jc w:val="both"/>
        <w:rPr>
          <w:rFonts w:ascii="Arial" w:hAnsi="Arial"/>
          <w:highlight w:val="none"/>
        </w:rPr>
      </w:pPr>
      <w:r>
        <w:rPr>
          <w:rFonts w:hint="eastAsia"/>
          <w:highlight w:val="none"/>
          <w:lang w:val="en-US" w:eastAsia="zh-CN"/>
        </w:rPr>
        <w:t>三、</w:t>
      </w:r>
      <w:r>
        <w:rPr>
          <w:rFonts w:hint="eastAsia" w:ascii="黑体" w:hAnsi="黑体"/>
          <w:highlight w:val="none"/>
        </w:rPr>
        <w:t>供应商资格要求</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供应商不得存在下列情形之一</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（4）为投资参股本项目的法人单位；</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（5）具有直接管理和被管理关系的母子</w:t>
      </w:r>
      <w:r>
        <w:rPr>
          <w:rFonts w:hint="eastAsia" w:ascii="宋体" w:hAnsi="宋体"/>
          <w:sz w:val="24"/>
          <w:highlight w:val="none"/>
          <w:lang w:eastAsia="zh-CN"/>
        </w:rPr>
        <w:t>（</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公司，或同一母公司的子</w:t>
      </w:r>
      <w:r>
        <w:rPr>
          <w:rFonts w:hint="eastAsia" w:ascii="宋体" w:hAnsi="宋体"/>
          <w:sz w:val="24"/>
          <w:highlight w:val="none"/>
          <w:lang w:eastAsia="zh-CN"/>
        </w:rPr>
        <w:t>（</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公司，或法定代表人为同一人的两个或两个以上法人，同时投同一标段。</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供应商应满足如下要求</w:t>
      </w:r>
      <w:r>
        <w:rPr>
          <w:rFonts w:hint="eastAsia" w:ascii="宋体" w:hAnsi="宋体"/>
          <w:sz w:val="24"/>
          <w:highlight w:val="none"/>
          <w:lang w:eastAsia="zh-CN"/>
        </w:rPr>
        <w:t>：</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highlight w:val="none"/>
              </w:rPr>
            </w:pPr>
            <w:r>
              <w:rPr>
                <w:rFonts w:hint="eastAsia" w:ascii="宋体" w:hAnsi="宋体"/>
                <w:sz w:val="24"/>
                <w:highlight w:val="none"/>
              </w:rPr>
              <w:t>资格条件</w:t>
            </w:r>
          </w:p>
        </w:tc>
        <w:tc>
          <w:tcPr>
            <w:tcW w:w="1786" w:type="dxa"/>
          </w:tcPr>
          <w:p>
            <w:pPr>
              <w:widowControl w:val="0"/>
              <w:spacing w:line="320" w:lineRule="exact"/>
              <w:jc w:val="center"/>
              <w:rPr>
                <w:rFonts w:ascii="宋体" w:hAnsi="宋体"/>
                <w:sz w:val="24"/>
                <w:highlight w:val="none"/>
              </w:rPr>
            </w:pPr>
            <w:r>
              <w:rPr>
                <w:rFonts w:hint="eastAsia" w:ascii="宋体" w:hAnsi="宋体"/>
                <w:sz w:val="24"/>
                <w:highlight w:val="none"/>
              </w:rPr>
              <w:t>对供应商要求</w:t>
            </w:r>
          </w:p>
        </w:tc>
        <w:tc>
          <w:tcPr>
            <w:tcW w:w="5443" w:type="dxa"/>
          </w:tcPr>
          <w:p>
            <w:pPr>
              <w:widowControl w:val="0"/>
              <w:spacing w:line="320" w:lineRule="exact"/>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（1）依法设立</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（2）资质要求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（3）财务要求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（4）业绩要求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（5）信誉要求</w:t>
            </w:r>
          </w:p>
        </w:tc>
        <w:tc>
          <w:tcPr>
            <w:tcW w:w="1786"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auto"/>
                <w:sz w:val="24"/>
                <w:highlight w:val="none"/>
              </w:rPr>
            </w:pPr>
            <w:r>
              <w:rPr>
                <w:rFonts w:hint="eastAsia" w:ascii="宋体" w:hAnsi="宋体"/>
                <w:color w:val="auto"/>
                <w:sz w:val="24"/>
                <w:highlight w:val="none"/>
              </w:rPr>
              <w:t>（6）承担本项目的主要人员要求</w:t>
            </w:r>
          </w:p>
        </w:tc>
        <w:tc>
          <w:tcPr>
            <w:tcW w:w="1786" w:type="dxa"/>
          </w:tcPr>
          <w:p>
            <w:pPr>
              <w:widowControl w:val="0"/>
              <w:spacing w:line="320" w:lineRule="exact"/>
              <w:jc w:val="both"/>
              <w:rPr>
                <w:rStyle w:val="44"/>
                <w:color w:val="auto"/>
                <w:highlight w:val="none"/>
                <w:u w:val="single"/>
              </w:rPr>
            </w:pPr>
            <w:r>
              <w:rPr>
                <w:rFonts w:hint="eastAsia" w:cs="仿宋" w:asciiTheme="minorEastAsia" w:hAnsiTheme="minorEastAsia" w:eastAsiaTheme="minorEastAsia"/>
                <w:color w:val="auto"/>
                <w:sz w:val="24"/>
                <w:highlight w:val="none"/>
                <w:lang w:eastAsia="zh-CN"/>
              </w:rPr>
              <w:t>□</w:t>
            </w:r>
            <w:r>
              <w:rPr>
                <w:rStyle w:val="44"/>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Fonts w:hint="eastAsia" w:cs="仿宋" w:asciiTheme="minorEastAsia" w:hAnsiTheme="minorEastAsia" w:eastAsiaTheme="minorEastAsia"/>
                <w:sz w:val="24"/>
                <w:highlight w:val="none"/>
                <w:lang w:eastAsia="zh-CN"/>
              </w:rPr>
              <w:t>☑</w:t>
            </w:r>
            <w:r>
              <w:rPr>
                <w:rStyle w:val="44"/>
                <w:rFonts w:hint="eastAsia"/>
                <w:color w:val="auto"/>
                <w:highlight w:val="none"/>
                <w:u w:val="single"/>
              </w:rPr>
              <w:t>适用</w:t>
            </w:r>
          </w:p>
        </w:tc>
        <w:tc>
          <w:tcPr>
            <w:tcW w:w="5443" w:type="dxa"/>
          </w:tcPr>
          <w:p>
            <w:pPr>
              <w:widowControl w:val="0"/>
              <w:spacing w:line="320" w:lineRule="exact"/>
              <w:jc w:val="both"/>
              <w:rPr>
                <w:rStyle w:val="44"/>
                <w:color w:val="auto"/>
                <w:highlight w:val="none"/>
                <w:u w:val="single"/>
              </w:rPr>
            </w:pPr>
            <w:r>
              <w:rPr>
                <w:rFonts w:hint="eastAsia" w:cs="仿宋" w:asciiTheme="minorEastAsia" w:hAnsiTheme="minorEastAsia" w:eastAsiaTheme="minorEastAsia"/>
                <w:color w:val="auto"/>
                <w:sz w:val="24"/>
                <w:highlight w:val="none"/>
                <w:lang w:eastAsia="zh-CN"/>
              </w:rPr>
              <w:t>□</w:t>
            </w:r>
            <w:r>
              <w:rPr>
                <w:rStyle w:val="44"/>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Fonts w:hint="eastAsia" w:cs="仿宋" w:asciiTheme="minorEastAsia" w:hAnsiTheme="minorEastAsia" w:eastAsiaTheme="minorEastAsia"/>
                <w:sz w:val="24"/>
                <w:highlight w:val="none"/>
                <w:lang w:eastAsia="zh-CN"/>
              </w:rPr>
              <w:t>☑</w:t>
            </w:r>
            <w:r>
              <w:rPr>
                <w:rStyle w:val="44"/>
                <w:rFonts w:hint="eastAsia"/>
                <w:color w:val="auto"/>
                <w:highlight w:val="none"/>
                <w:u w:val="single"/>
              </w:rPr>
              <w:t>适用</w:t>
            </w:r>
            <w:r>
              <w:rPr>
                <w:rStyle w:val="44"/>
                <w:rFonts w:hint="eastAsia"/>
                <w:color w:val="auto"/>
                <w:highlight w:val="none"/>
                <w:u w:val="single"/>
                <w:lang w:eastAsia="zh-CN"/>
              </w:rPr>
              <w:t>，</w:t>
            </w:r>
            <w:r>
              <w:rPr>
                <w:rStyle w:val="44"/>
                <w:rFonts w:hint="eastAsia"/>
                <w:color w:val="auto"/>
                <w:highlight w:val="none"/>
                <w:u w:val="single"/>
              </w:rPr>
              <w:t>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（7）其他要求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highlight w:val="none"/>
              </w:rPr>
            </w:pPr>
            <w:r>
              <w:rPr>
                <w:rFonts w:hint="eastAsia" w:ascii="宋体" w:hAnsi="宋体"/>
                <w:sz w:val="24"/>
                <w:highlight w:val="none"/>
              </w:rPr>
              <w:t>（8）供应商不存在第一章3.1款情形的证明材料</w:t>
            </w:r>
          </w:p>
        </w:tc>
        <w:tc>
          <w:tcPr>
            <w:tcW w:w="1786" w:type="dxa"/>
          </w:tcPr>
          <w:p>
            <w:pPr>
              <w:widowControl w:val="0"/>
              <w:spacing w:line="320" w:lineRule="exact"/>
              <w:jc w:val="both"/>
              <w:rPr>
                <w:rStyle w:val="44"/>
                <w:highlight w:val="none"/>
                <w:u w:val="single"/>
              </w:rPr>
            </w:pPr>
            <w:r>
              <w:rPr>
                <w:rStyle w:val="44"/>
                <w:rFonts w:hint="eastAsia"/>
                <w:highlight w:val="none"/>
                <w:u w:val="single"/>
              </w:rPr>
              <w:sym w:font="Wingdings 2" w:char="0052"/>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sym w:font="Wingdings 2" w:char="0052"/>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见采购文件供应商须知前附表3.5（8）。</w:t>
            </w:r>
          </w:p>
        </w:tc>
      </w:tr>
    </w:tbl>
    <w:p>
      <w:pPr>
        <w:wordWrap w:val="0"/>
        <w:ind w:firstLine="482"/>
        <w:jc w:val="both"/>
        <w:rPr>
          <w:rFonts w:hint="eastAsia" w:ascii="宋体" w:hAnsi="宋体"/>
          <w:szCs w:val="24"/>
          <w:highlight w:val="none"/>
        </w:rPr>
      </w:pPr>
    </w:p>
    <w:p>
      <w:pPr>
        <w:pStyle w:val="5"/>
        <w:jc w:val="both"/>
        <w:rPr>
          <w:rFonts w:ascii="Arial" w:hAnsi="Arial"/>
          <w:highlight w:val="none"/>
        </w:rPr>
      </w:pPr>
      <w:r>
        <w:rPr>
          <w:rFonts w:hint="eastAsia"/>
          <w:highlight w:val="none"/>
          <w:lang w:val="en-US" w:eastAsia="zh-CN"/>
        </w:rPr>
        <w:t>四、</w:t>
      </w:r>
      <w:r>
        <w:rPr>
          <w:rFonts w:hint="eastAsia" w:ascii="黑体" w:hAnsi="黑体"/>
          <w:highlight w:val="none"/>
        </w:rPr>
        <w:t>确定成交供应商的方法</w:t>
      </w:r>
    </w:p>
    <w:p>
      <w:pPr>
        <w:autoSpaceDE w:val="0"/>
        <w:spacing w:line="400" w:lineRule="exact"/>
        <w:ind w:firstLine="482" w:firstLineChars="200"/>
        <w:jc w:val="both"/>
        <w:rPr>
          <w:rFonts w:hint="default" w:ascii="宋体" w:hAnsi="宋体" w:eastAsia="宋体"/>
          <w:color w:val="auto"/>
          <w:sz w:val="24"/>
          <w:highlight w:val="yellow"/>
          <w:lang w:val="en-US" w:eastAsia="zh-CN"/>
        </w:rPr>
      </w:pPr>
      <w:r>
        <w:rPr>
          <w:rFonts w:hint="eastAsia" w:ascii="宋体" w:hAnsi="宋体"/>
          <w:b/>
          <w:bCs/>
          <w:color w:val="auto"/>
          <w:sz w:val="24"/>
          <w:highlight w:val="yellow"/>
          <w:lang w:eastAsia="zh-CN"/>
        </w:rPr>
        <w:t>（</w:t>
      </w:r>
      <w:r>
        <w:rPr>
          <w:rFonts w:hint="eastAsia" w:ascii="宋体" w:hAnsi="宋体"/>
          <w:b/>
          <w:bCs/>
          <w:color w:val="auto"/>
          <w:sz w:val="24"/>
          <w:highlight w:val="yellow"/>
          <w:lang w:val="en-US" w:eastAsia="zh-CN"/>
        </w:rPr>
        <w:t>一</w:t>
      </w:r>
      <w:r>
        <w:rPr>
          <w:rFonts w:hint="eastAsia" w:ascii="宋体" w:hAnsi="宋体"/>
          <w:b/>
          <w:bCs/>
          <w:color w:val="auto"/>
          <w:sz w:val="24"/>
          <w:highlight w:val="yellow"/>
          <w:lang w:eastAsia="zh-CN"/>
        </w:rPr>
        <w:t>）</w:t>
      </w:r>
      <w:r>
        <w:rPr>
          <w:rFonts w:hint="eastAsia" w:ascii="宋体" w:hAnsi="宋体"/>
          <w:b/>
          <w:bCs/>
          <w:color w:val="auto"/>
          <w:sz w:val="24"/>
          <w:highlight w:val="yellow"/>
          <w:lang w:val="en-US" w:eastAsia="zh-CN"/>
        </w:rPr>
        <w:t>综合评分法</w:t>
      </w:r>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采购人将确定</w:t>
      </w:r>
      <w:r>
        <w:rPr>
          <w:rFonts w:hint="eastAsia" w:ascii="宋体" w:hAnsi="宋体"/>
          <w:sz w:val="24"/>
          <w:highlight w:val="none"/>
          <w:lang w:val="en-US" w:eastAsia="zh-CN"/>
        </w:rPr>
        <w:t>综合得分</w:t>
      </w:r>
      <w:r>
        <w:rPr>
          <w:rFonts w:hint="eastAsia" w:ascii="宋体" w:hAnsi="宋体"/>
          <w:sz w:val="24"/>
          <w:highlight w:val="none"/>
        </w:rPr>
        <w:t xml:space="preserve">排名第一的成交候选供应商为成交供应商。 </w:t>
      </w:r>
    </w:p>
    <w:p>
      <w:pPr>
        <w:pStyle w:val="5"/>
        <w:keepNext w:val="0"/>
        <w:keepLines w:val="0"/>
        <w:widowControl w:val="0"/>
        <w:adjustRightInd w:val="0"/>
        <w:snapToGrid w:val="0"/>
        <w:spacing w:after="0" w:line="312" w:lineRule="auto"/>
        <w:jc w:val="both"/>
        <w:rPr>
          <w:color w:val="auto"/>
          <w:highlight w:val="none"/>
        </w:rPr>
      </w:pPr>
      <w:r>
        <w:rPr>
          <w:rFonts w:hint="eastAsia"/>
          <w:color w:val="000000"/>
          <w:highlight w:val="none"/>
          <w:lang w:val="en-US" w:eastAsia="zh-CN"/>
        </w:rPr>
        <w:t>五、</w:t>
      </w:r>
      <w:r>
        <w:rPr>
          <w:rFonts w:hint="eastAsia"/>
          <w:color w:val="000000"/>
          <w:highlight w:val="none"/>
        </w:rPr>
        <w:t>最高</w:t>
      </w:r>
      <w:r>
        <w:rPr>
          <w:rFonts w:hint="eastAsia"/>
          <w:color w:val="000000"/>
          <w:highlight w:val="none"/>
          <w:lang w:eastAsia="zh-CN"/>
        </w:rPr>
        <w:t>响应</w:t>
      </w:r>
      <w:r>
        <w:rPr>
          <w:rFonts w:hint="eastAsia"/>
          <w:color w:val="000000"/>
          <w:highlight w:val="none"/>
        </w:rPr>
        <w:t>限价</w:t>
      </w:r>
    </w:p>
    <w:p>
      <w:pPr>
        <w:autoSpaceDE w:val="0"/>
        <w:spacing w:line="400" w:lineRule="exact"/>
        <w:ind w:firstLine="482" w:firstLineChars="200"/>
        <w:jc w:val="both"/>
        <w:rPr>
          <w:rFonts w:ascii="宋体" w:hAnsi="宋体"/>
          <w:color w:val="auto"/>
          <w:sz w:val="24"/>
          <w:highlight w:val="yellow"/>
        </w:rPr>
      </w:pPr>
      <w:bookmarkStart w:id="4" w:name="_Toc40274970"/>
      <w:bookmarkStart w:id="5" w:name="_Toc38287094"/>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color w:val="auto"/>
          <w:sz w:val="24"/>
          <w:highlight w:val="none"/>
        </w:rPr>
        <w:t>询价人为本次</w:t>
      </w:r>
      <w:r>
        <w:rPr>
          <w:rFonts w:hint="eastAsia" w:ascii="宋体" w:hAnsi="宋体"/>
          <w:color w:val="auto"/>
          <w:sz w:val="24"/>
          <w:highlight w:val="none"/>
          <w:lang w:eastAsia="zh-CN"/>
        </w:rPr>
        <w:t>询价</w:t>
      </w:r>
      <w:r>
        <w:rPr>
          <w:rFonts w:hint="eastAsia" w:ascii="宋体" w:hAnsi="宋体"/>
          <w:color w:val="auto"/>
          <w:sz w:val="24"/>
          <w:highlight w:val="none"/>
        </w:rPr>
        <w:t>编制了最高</w:t>
      </w:r>
      <w:r>
        <w:rPr>
          <w:rFonts w:hint="eastAsia" w:ascii="宋体" w:hAnsi="宋体"/>
          <w:color w:val="auto"/>
          <w:sz w:val="24"/>
          <w:highlight w:val="none"/>
          <w:lang w:eastAsia="zh-CN"/>
        </w:rPr>
        <w:t>响应</w:t>
      </w:r>
      <w:r>
        <w:rPr>
          <w:rFonts w:hint="eastAsia" w:ascii="宋体" w:hAnsi="宋体"/>
          <w:color w:val="auto"/>
          <w:sz w:val="24"/>
          <w:highlight w:val="none"/>
        </w:rPr>
        <w:t>限价，最高限价：</w:t>
      </w:r>
      <w:r>
        <w:rPr>
          <w:rFonts w:hint="eastAsia" w:ascii="宋体" w:hAnsi="宋体"/>
          <w:color w:val="auto"/>
          <w:sz w:val="24"/>
          <w:highlight w:val="yellow"/>
          <w:lang w:val="en-US" w:eastAsia="zh-CN"/>
        </w:rPr>
        <w:t>叁拾万元</w:t>
      </w:r>
      <w:r>
        <w:rPr>
          <w:rFonts w:hint="eastAsia" w:ascii="宋体" w:hAnsi="宋体"/>
          <w:color w:val="auto"/>
          <w:sz w:val="24"/>
          <w:highlight w:val="yellow"/>
          <w:lang w:eastAsia="zh-CN"/>
        </w:rPr>
        <w:t>（￥</w:t>
      </w:r>
      <w:r>
        <w:rPr>
          <w:rFonts w:hint="eastAsia" w:ascii="宋体" w:hAnsi="宋体"/>
          <w:color w:val="auto"/>
          <w:sz w:val="24"/>
          <w:highlight w:val="yellow"/>
          <w:lang w:val="en-US" w:eastAsia="zh-CN"/>
        </w:rPr>
        <w:t>300000元</w:t>
      </w:r>
      <w:r>
        <w:rPr>
          <w:rFonts w:hint="eastAsia" w:ascii="宋体" w:hAnsi="宋体"/>
          <w:color w:val="auto"/>
          <w:sz w:val="24"/>
          <w:highlight w:val="yellow"/>
          <w:lang w:eastAsia="zh-CN"/>
        </w:rPr>
        <w:t>），</w:t>
      </w:r>
      <w:r>
        <w:rPr>
          <w:rFonts w:hint="eastAsia" w:ascii="宋体" w:hAnsi="宋体"/>
          <w:color w:val="auto"/>
          <w:sz w:val="24"/>
          <w:highlight w:val="yellow"/>
          <w:lang w:val="en-US" w:eastAsia="zh-CN"/>
        </w:rPr>
        <w:t>提供6%的增值税发票，如提供其他税率采购人按6%调整后参与评审</w:t>
      </w:r>
      <w:r>
        <w:rPr>
          <w:rFonts w:hint="eastAsia" w:ascii="宋体" w:hAnsi="宋体"/>
          <w:color w:val="auto"/>
          <w:sz w:val="24"/>
          <w:highlight w:val="yellow"/>
        </w:rPr>
        <w:t>。</w:t>
      </w:r>
    </w:p>
    <w:p>
      <w:pPr>
        <w:autoSpaceDE w:val="0"/>
        <w:spacing w:line="400" w:lineRule="exact"/>
        <w:ind w:firstLine="482" w:firstLineChars="200"/>
        <w:jc w:val="both"/>
        <w:rPr>
          <w:rFonts w:ascii="宋体" w:hAnsi="宋体"/>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color w:val="auto"/>
          <w:sz w:val="24"/>
          <w:highlight w:val="none"/>
        </w:rPr>
        <w:t>报价人</w:t>
      </w:r>
      <w:r>
        <w:rPr>
          <w:rFonts w:hint="eastAsia" w:ascii="宋体" w:hAnsi="宋体"/>
          <w:color w:val="auto"/>
          <w:sz w:val="24"/>
          <w:highlight w:val="none"/>
          <w:lang w:eastAsia="zh-CN"/>
        </w:rPr>
        <w:t>响应</w:t>
      </w:r>
      <w:r>
        <w:rPr>
          <w:rFonts w:hint="eastAsia" w:ascii="宋体" w:hAnsi="宋体"/>
          <w:color w:val="auto"/>
          <w:sz w:val="24"/>
          <w:highlight w:val="none"/>
        </w:rPr>
        <w:t>报价应不高于最高</w:t>
      </w:r>
      <w:r>
        <w:rPr>
          <w:rFonts w:hint="eastAsia" w:ascii="宋体" w:hAnsi="宋体"/>
          <w:color w:val="auto"/>
          <w:sz w:val="24"/>
          <w:highlight w:val="none"/>
          <w:lang w:eastAsia="zh-CN"/>
        </w:rPr>
        <w:t>响应</w:t>
      </w:r>
      <w:r>
        <w:rPr>
          <w:rFonts w:hint="eastAsia" w:ascii="宋体" w:hAnsi="宋体"/>
          <w:color w:val="auto"/>
          <w:sz w:val="24"/>
          <w:highlight w:val="none"/>
        </w:rPr>
        <w:t>限价，否则其</w:t>
      </w:r>
      <w:r>
        <w:rPr>
          <w:rFonts w:hint="eastAsia" w:ascii="宋体" w:hAnsi="宋体"/>
          <w:color w:val="auto"/>
          <w:sz w:val="24"/>
          <w:highlight w:val="none"/>
          <w:lang w:eastAsia="zh-CN"/>
        </w:rPr>
        <w:t>响应</w:t>
      </w:r>
      <w:r>
        <w:rPr>
          <w:rFonts w:hint="eastAsia" w:ascii="宋体" w:hAnsi="宋体"/>
          <w:color w:val="auto"/>
          <w:sz w:val="24"/>
          <w:highlight w:val="none"/>
        </w:rPr>
        <w:t>将被否决。</w:t>
      </w:r>
      <w:bookmarkEnd w:id="4"/>
      <w:bookmarkEnd w:id="5"/>
    </w:p>
    <w:p>
      <w:pPr>
        <w:pStyle w:val="5"/>
        <w:jc w:val="both"/>
        <w:rPr>
          <w:rFonts w:ascii="Arial" w:hAnsi="Arial"/>
          <w:color w:val="auto"/>
          <w:highlight w:val="none"/>
        </w:rPr>
      </w:pPr>
      <w:r>
        <w:rPr>
          <w:rFonts w:hint="eastAsia"/>
          <w:color w:val="auto"/>
          <w:highlight w:val="none"/>
          <w:lang w:val="en-US" w:eastAsia="zh-CN"/>
        </w:rPr>
        <w:t>六、</w:t>
      </w:r>
      <w:r>
        <w:rPr>
          <w:rFonts w:hint="eastAsia" w:ascii="黑体" w:hAnsi="黑体"/>
          <w:color w:val="auto"/>
          <w:highlight w:val="none"/>
        </w:rPr>
        <w:t>采购文件获取</w:t>
      </w:r>
    </w:p>
    <w:p>
      <w:pPr>
        <w:autoSpaceDE w:val="0"/>
        <w:spacing w:line="400" w:lineRule="exact"/>
        <w:ind w:firstLine="482" w:firstLineChars="200"/>
        <w:jc w:val="both"/>
        <w:rPr>
          <w:rFonts w:ascii="宋体" w:hAnsi="宋体"/>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color w:val="auto"/>
          <w:sz w:val="24"/>
          <w:highlight w:val="yellow"/>
        </w:rPr>
        <w:t>供应商应当于</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 xml:space="preserve">4 </w:t>
      </w:r>
      <w:r>
        <w:rPr>
          <w:rFonts w:hint="eastAsia" w:ascii="宋体" w:hAnsi="宋体"/>
          <w:color w:val="auto"/>
          <w:sz w:val="24"/>
          <w:highlight w:val="yellow"/>
        </w:rPr>
        <w:t>年</w:t>
      </w:r>
      <w:r>
        <w:rPr>
          <w:rFonts w:hint="eastAsia" w:ascii="宋体" w:hAnsi="宋体"/>
          <w:color w:val="auto"/>
          <w:sz w:val="24"/>
          <w:highlight w:val="yellow"/>
          <w:u w:val="single"/>
          <w:lang w:val="en-US" w:eastAsia="zh-CN"/>
        </w:rPr>
        <w:t xml:space="preserve"> 5 </w:t>
      </w:r>
      <w:r>
        <w:rPr>
          <w:rFonts w:hint="eastAsia" w:ascii="宋体" w:hAnsi="宋体"/>
          <w:color w:val="auto"/>
          <w:sz w:val="24"/>
          <w:highlight w:val="yellow"/>
        </w:rPr>
        <w:t>月</w:t>
      </w:r>
      <w:r>
        <w:rPr>
          <w:rFonts w:hint="eastAsia" w:ascii="宋体" w:hAnsi="宋体"/>
          <w:color w:val="auto"/>
          <w:sz w:val="24"/>
          <w:highlight w:val="yellow"/>
          <w:lang w:val="en-US" w:eastAsia="zh-CN"/>
        </w:rPr>
        <w:t>18</w:t>
      </w:r>
      <w:r>
        <w:rPr>
          <w:rFonts w:hint="eastAsia" w:ascii="宋体" w:hAnsi="宋体"/>
          <w:color w:val="auto"/>
          <w:sz w:val="24"/>
          <w:highlight w:val="yellow"/>
          <w:u w:val="single"/>
        </w:rPr>
        <w:t xml:space="preserve"> </w:t>
      </w:r>
      <w:r>
        <w:rPr>
          <w:rFonts w:hint="eastAsia" w:ascii="宋体" w:hAnsi="宋体"/>
          <w:color w:val="auto"/>
          <w:sz w:val="24"/>
          <w:highlight w:val="yellow"/>
        </w:rPr>
        <w:t>日至</w:t>
      </w:r>
      <w:r>
        <w:rPr>
          <w:rFonts w:hint="eastAsia" w:ascii="宋体" w:hAnsi="宋体"/>
          <w:color w:val="auto"/>
          <w:sz w:val="24"/>
          <w:highlight w:val="yellow"/>
          <w:u w:val="single"/>
          <w:lang w:val="en-US" w:eastAsia="zh-CN"/>
        </w:rPr>
        <w:t>2024</w:t>
      </w:r>
      <w:r>
        <w:rPr>
          <w:rFonts w:hint="eastAsia" w:ascii="宋体" w:hAnsi="宋体"/>
          <w:color w:val="auto"/>
          <w:sz w:val="24"/>
          <w:highlight w:val="yellow"/>
        </w:rPr>
        <w:t>年</w:t>
      </w:r>
      <w:r>
        <w:rPr>
          <w:rFonts w:hint="eastAsia" w:ascii="宋体" w:hAnsi="宋体"/>
          <w:color w:val="auto"/>
          <w:sz w:val="24"/>
          <w:highlight w:val="yellow"/>
          <w:lang w:val="en-US" w:eastAsia="zh-CN"/>
        </w:rPr>
        <w:t>5</w:t>
      </w:r>
      <w:r>
        <w:rPr>
          <w:rFonts w:hint="eastAsia" w:ascii="宋体" w:hAnsi="宋体"/>
          <w:color w:val="auto"/>
          <w:sz w:val="24"/>
          <w:highlight w:val="yellow"/>
        </w:rPr>
        <w:t>月</w:t>
      </w:r>
      <w:r>
        <w:rPr>
          <w:rFonts w:hint="eastAsia" w:ascii="宋体" w:hAnsi="宋体"/>
          <w:color w:val="auto"/>
          <w:sz w:val="24"/>
          <w:highlight w:val="yellow"/>
          <w:lang w:val="en-US" w:eastAsia="zh-CN"/>
        </w:rPr>
        <w:t>23</w:t>
      </w:r>
      <w:r>
        <w:rPr>
          <w:rFonts w:hint="eastAsia" w:ascii="宋体" w:hAnsi="宋体"/>
          <w:color w:val="auto"/>
          <w:sz w:val="24"/>
          <w:highlight w:val="yellow"/>
        </w:rPr>
        <w:t>日，</w:t>
      </w:r>
      <w:r>
        <w:rPr>
          <w:rFonts w:hint="eastAsia" w:ascii="宋体" w:hAnsi="宋体"/>
          <w:color w:val="auto"/>
          <w:sz w:val="24"/>
          <w:highlight w:val="yellow"/>
          <w:u w:val="single"/>
        </w:rPr>
        <w:t>网上直接下载</w:t>
      </w:r>
      <w:r>
        <w:rPr>
          <w:rFonts w:hint="eastAsia" w:ascii="宋体" w:hAnsi="宋体"/>
          <w:color w:val="auto"/>
          <w:sz w:val="24"/>
          <w:highlight w:val="yellow"/>
        </w:rPr>
        <w:t>获取采购文件，报价文件最迟应于</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4</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5</w:t>
      </w:r>
      <w:r>
        <w:rPr>
          <w:rFonts w:hint="eastAsia" w:ascii="宋体" w:hAnsi="宋体"/>
          <w:color w:val="auto"/>
          <w:sz w:val="24"/>
          <w:highlight w:val="yellow"/>
          <w:u w:val="single"/>
        </w:rPr>
        <w:t xml:space="preserve"> </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 xml:space="preserve">24 </w:t>
      </w:r>
      <w:r>
        <w:rPr>
          <w:rFonts w:hint="eastAsia" w:ascii="宋体" w:hAnsi="宋体"/>
          <w:color w:val="auto"/>
          <w:sz w:val="24"/>
          <w:highlight w:val="yellow"/>
        </w:rPr>
        <w:t>日</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12</w:t>
      </w:r>
      <w:r>
        <w:rPr>
          <w:rFonts w:hint="eastAsia" w:ascii="宋体" w:hAnsi="宋体"/>
          <w:color w:val="auto"/>
          <w:sz w:val="24"/>
          <w:highlight w:val="yellow"/>
        </w:rPr>
        <w:t>时</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0</w:t>
      </w:r>
      <w:r>
        <w:rPr>
          <w:rFonts w:hint="eastAsia" w:ascii="宋体" w:hAnsi="宋体"/>
          <w:color w:val="auto"/>
          <w:sz w:val="24"/>
          <w:highlight w:val="yellow"/>
          <w:u w:val="single"/>
        </w:rPr>
        <w:t xml:space="preserve"> </w:t>
      </w:r>
      <w:r>
        <w:rPr>
          <w:rFonts w:hint="eastAsia" w:ascii="宋体" w:hAnsi="宋体"/>
          <w:color w:val="auto"/>
          <w:sz w:val="24"/>
          <w:highlight w:val="yellow"/>
        </w:rPr>
        <w:t>分送达</w:t>
      </w:r>
      <w:r>
        <w:rPr>
          <w:rFonts w:hint="eastAsia" w:ascii="宋体" w:hAnsi="宋体"/>
          <w:color w:val="auto"/>
          <w:sz w:val="24"/>
          <w:highlight w:val="none"/>
          <w:u w:val="single"/>
          <w:lang w:eastAsia="zh-CN"/>
        </w:rPr>
        <w:t>湖南省</w:t>
      </w:r>
      <w:r>
        <w:rPr>
          <w:rFonts w:hint="eastAsia" w:ascii="宋体" w:hAnsi="宋体"/>
          <w:color w:val="auto"/>
          <w:sz w:val="24"/>
          <w:highlight w:val="none"/>
          <w:u w:val="single"/>
          <w:lang w:val="en-US" w:eastAsia="zh-CN"/>
        </w:rPr>
        <w:t>虞公港建设投资</w:t>
      </w:r>
      <w:r>
        <w:rPr>
          <w:rFonts w:hint="eastAsia" w:ascii="宋体" w:hAnsi="宋体"/>
          <w:color w:val="auto"/>
          <w:sz w:val="24"/>
          <w:highlight w:val="none"/>
          <w:u w:val="single"/>
          <w:lang w:eastAsia="zh-CN"/>
        </w:rPr>
        <w:t>有限公司</w:t>
      </w:r>
      <w:r>
        <w:rPr>
          <w:rFonts w:hint="eastAsia" w:ascii="宋体" w:hAnsi="宋体"/>
          <w:color w:val="auto"/>
          <w:sz w:val="24"/>
          <w:highlight w:val="none"/>
          <w:u w:val="single"/>
        </w:rPr>
        <w:t>工程</w:t>
      </w:r>
      <w:r>
        <w:rPr>
          <w:rFonts w:hint="eastAsia" w:ascii="宋体" w:hAnsi="宋体"/>
          <w:color w:val="auto"/>
          <w:sz w:val="24"/>
          <w:highlight w:val="none"/>
          <w:u w:val="single"/>
          <w:lang w:val="en-US" w:eastAsia="zh-CN"/>
        </w:rPr>
        <w:t>技术</w:t>
      </w:r>
      <w:r>
        <w:rPr>
          <w:rFonts w:hint="eastAsia" w:ascii="宋体" w:hAnsi="宋体"/>
          <w:color w:val="auto"/>
          <w:sz w:val="24"/>
          <w:highlight w:val="none"/>
          <w:u w:val="single"/>
        </w:rPr>
        <w:t>部（岳阳市</w:t>
      </w:r>
      <w:r>
        <w:rPr>
          <w:rFonts w:hint="eastAsia" w:ascii="宋体" w:hAnsi="宋体"/>
          <w:color w:val="auto"/>
          <w:sz w:val="24"/>
          <w:highlight w:val="none"/>
          <w:u w:val="single"/>
          <w:lang w:val="en-US" w:eastAsia="zh-CN"/>
        </w:rPr>
        <w:t>湘阴县自然资源局206</w:t>
      </w:r>
      <w:r>
        <w:rPr>
          <w:rFonts w:hint="eastAsia" w:ascii="宋体" w:hAnsi="宋体"/>
          <w:color w:val="auto"/>
          <w:sz w:val="24"/>
          <w:highlight w:val="none"/>
          <w:u w:val="single"/>
        </w:rPr>
        <w:t>室）</w:t>
      </w:r>
      <w:r>
        <w:rPr>
          <w:rFonts w:hint="eastAsia" w:ascii="宋体" w:hAnsi="宋体"/>
          <w:color w:val="auto"/>
          <w:sz w:val="24"/>
          <w:highlight w:val="none"/>
        </w:rPr>
        <w:t>，逾期送达的或者未送达指定地点的文件，不予受理。</w:t>
      </w:r>
    </w:p>
    <w:p>
      <w:pPr>
        <w:widowControl w:val="0"/>
        <w:spacing w:line="312" w:lineRule="auto"/>
        <w:ind w:firstLine="482" w:firstLineChars="200"/>
        <w:jc w:val="both"/>
        <w:rPr>
          <w:rFonts w:ascii="宋体" w:hAnsi="宋体"/>
          <w:sz w:val="24"/>
          <w:highlight w:val="yellow"/>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 xml:space="preserve"> </w:t>
      </w:r>
      <w:r>
        <w:rPr>
          <w:rFonts w:hint="eastAsia" w:ascii="宋体" w:hAnsi="宋体"/>
          <w:color w:val="auto"/>
          <w:sz w:val="24"/>
          <w:highlight w:val="none"/>
        </w:rPr>
        <w:t>供应商若对本项目采购需求、资格要求等有疑问的，</w:t>
      </w:r>
      <w:r>
        <w:rPr>
          <w:rFonts w:hint="eastAsia" w:ascii="宋体" w:hAnsi="宋体"/>
          <w:color w:val="auto"/>
          <w:sz w:val="24"/>
          <w:highlight w:val="yellow"/>
        </w:rPr>
        <w:t>应当于</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 xml:space="preserve">4 </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5</w:t>
      </w:r>
      <w:r>
        <w:rPr>
          <w:rFonts w:hint="eastAsia" w:ascii="宋体" w:hAnsi="宋体"/>
          <w:color w:val="auto"/>
          <w:sz w:val="24"/>
          <w:highlight w:val="yellow"/>
          <w:u w:val="single"/>
        </w:rPr>
        <w:t xml:space="preserve"> </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23</w:t>
      </w:r>
      <w:r>
        <w:rPr>
          <w:rFonts w:hint="eastAsia" w:ascii="宋体" w:hAnsi="宋体"/>
          <w:color w:val="auto"/>
          <w:sz w:val="24"/>
          <w:highlight w:val="yellow"/>
          <w:u w:val="single"/>
        </w:rPr>
        <w:t xml:space="preserve"> </w:t>
      </w:r>
      <w:r>
        <w:rPr>
          <w:rFonts w:hint="eastAsia" w:ascii="宋体" w:hAnsi="宋体"/>
          <w:color w:val="auto"/>
          <w:sz w:val="24"/>
          <w:highlight w:val="yellow"/>
        </w:rPr>
        <w:t>日</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17</w:t>
      </w:r>
      <w:r>
        <w:rPr>
          <w:rFonts w:hint="eastAsia" w:ascii="宋体" w:hAnsi="宋体"/>
          <w:color w:val="auto"/>
          <w:sz w:val="24"/>
          <w:highlight w:val="yellow"/>
          <w:u w:val="single"/>
        </w:rPr>
        <w:t xml:space="preserve"> </w:t>
      </w:r>
      <w:r>
        <w:rPr>
          <w:rFonts w:hint="eastAsia" w:ascii="宋体" w:hAnsi="宋体"/>
          <w:color w:val="auto"/>
          <w:sz w:val="24"/>
          <w:highlight w:val="yellow"/>
        </w:rPr>
        <w:t xml:space="preserve">时 </w:t>
      </w:r>
      <w:r>
        <w:rPr>
          <w:rFonts w:hint="eastAsia" w:ascii="宋体" w:hAnsi="宋体"/>
          <w:color w:val="auto"/>
          <w:sz w:val="24"/>
          <w:highlight w:val="yellow"/>
          <w:lang w:val="en-US" w:eastAsia="zh-CN"/>
        </w:rPr>
        <w:t>0</w:t>
      </w:r>
      <w:r>
        <w:rPr>
          <w:rFonts w:hint="eastAsia" w:ascii="宋体" w:hAnsi="宋体"/>
          <w:color w:val="auto"/>
          <w:sz w:val="24"/>
          <w:highlight w:val="yellow"/>
        </w:rPr>
        <w:t xml:space="preserve"> 分</w:t>
      </w:r>
      <w:r>
        <w:rPr>
          <w:rFonts w:hint="eastAsia" w:ascii="宋体" w:hAnsi="宋体"/>
          <w:sz w:val="24"/>
          <w:highlight w:val="yellow"/>
        </w:rPr>
        <w:t>前向采购人提出澄清要求。</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sz w:val="24"/>
          <w:highlight w:val="none"/>
        </w:rPr>
        <w:t>本次询价不接受联合体报价。</w:t>
      </w:r>
    </w:p>
    <w:p>
      <w:pPr>
        <w:pStyle w:val="5"/>
        <w:jc w:val="both"/>
        <w:rPr>
          <w:highlight w:val="none"/>
        </w:rPr>
      </w:pPr>
      <w:r>
        <w:rPr>
          <w:rFonts w:hint="eastAsia"/>
          <w:highlight w:val="none"/>
          <w:lang w:val="en-US" w:eastAsia="zh-CN"/>
        </w:rPr>
        <w:t>七、</w:t>
      </w:r>
      <w:r>
        <w:rPr>
          <w:rFonts w:hint="eastAsia"/>
          <w:highlight w:val="none"/>
        </w:rPr>
        <w:t>发布</w:t>
      </w:r>
      <w:r>
        <w:rPr>
          <w:rFonts w:hint="eastAsia" w:ascii="黑体" w:hAnsi="黑体"/>
          <w:highlight w:val="none"/>
        </w:rPr>
        <w:t>公告的</w:t>
      </w:r>
      <w:r>
        <w:rPr>
          <w:rFonts w:hint="eastAsia"/>
          <w:highlight w:val="none"/>
        </w:rPr>
        <w:t>媒介</w:t>
      </w:r>
    </w:p>
    <w:p>
      <w:pPr>
        <w:widowControl w:val="0"/>
        <w:spacing w:line="312" w:lineRule="auto"/>
        <w:ind w:firstLine="480" w:firstLineChars="200"/>
        <w:jc w:val="left"/>
        <w:rPr>
          <w:rFonts w:ascii="宋体" w:hAnsi="宋体" w:cs="宋体"/>
          <w:sz w:val="24"/>
          <w:highlight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sz w:val="24"/>
          <w:highlight w:val="none"/>
          <w:lang w:eastAsia="zh-CN"/>
        </w:rPr>
        <w:t>：</w:t>
      </w:r>
      <w:r>
        <w:rPr>
          <w:rFonts w:hint="eastAsia" w:ascii="宋体" w:hAnsi="宋体" w:cs="宋体"/>
          <w:sz w:val="24"/>
          <w:highlight w:val="none"/>
        </w:rPr>
        <w:t xml:space="preserve"> 中国</w:t>
      </w:r>
      <w:r>
        <w:rPr>
          <w:rFonts w:hint="eastAsia" w:ascii="宋体" w:hAnsi="宋体" w:cs="宋体"/>
          <w:sz w:val="24"/>
          <w:highlight w:val="none"/>
          <w:lang w:eastAsia="zh-CN"/>
        </w:rPr>
        <w:t>询价响应</w:t>
      </w:r>
      <w:r>
        <w:rPr>
          <w:rFonts w:hint="eastAsia" w:ascii="宋体" w:hAnsi="宋体" w:cs="宋体"/>
          <w:sz w:val="24"/>
          <w:highlight w:val="none"/>
        </w:rPr>
        <w:t>公共服务平台（</w:t>
      </w:r>
      <w:r>
        <w:rPr>
          <w:rFonts w:hint="eastAsia" w:ascii="宋体" w:hAnsi="宋体" w:cs="宋体"/>
          <w:sz w:val="24"/>
          <w:highlight w:val="none"/>
          <w:lang w:eastAsia="zh-CN"/>
        </w:rPr>
        <w:t>http:</w:t>
      </w:r>
      <w:r>
        <w:rPr>
          <w:rFonts w:hint="eastAsia" w:ascii="宋体" w:hAnsi="宋体" w:cs="宋体"/>
          <w:sz w:val="24"/>
          <w:highlight w:val="none"/>
          <w:lang w:val="en-US" w:eastAsia="zh-CN"/>
        </w:rPr>
        <w:t>//</w:t>
      </w:r>
      <w:r>
        <w:rPr>
          <w:rFonts w:hint="eastAsia" w:ascii="宋体" w:hAnsi="宋体" w:cs="宋体"/>
          <w:sz w:val="24"/>
          <w:highlight w:val="none"/>
        </w:rPr>
        <w:t>www.cebpubservice.com）、</w:t>
      </w:r>
      <w:r>
        <w:rPr>
          <w:rFonts w:hint="eastAsia" w:ascii="宋体" w:hAnsi="宋体" w:cs="宋体"/>
          <w:sz w:val="24"/>
          <w:highlight w:val="none"/>
          <w:lang w:eastAsia="zh-CN"/>
        </w:rPr>
        <w:t>湖南省港航水利集团有限公司</w:t>
      </w:r>
      <w:r>
        <w:rPr>
          <w:rFonts w:hint="eastAsia" w:ascii="宋体" w:hAnsi="宋体" w:cs="宋体"/>
          <w:sz w:val="24"/>
          <w:highlight w:val="none"/>
        </w:rPr>
        <w:t>网站（</w:t>
      </w:r>
      <w:r>
        <w:rPr>
          <w:rFonts w:hint="eastAsia" w:ascii="宋体" w:hAnsi="宋体" w:cs="宋体"/>
          <w:sz w:val="24"/>
          <w:highlight w:val="none"/>
          <w:lang w:eastAsia="zh-CN"/>
        </w:rPr>
        <w:t>http://www.hnsghsljt.com</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湖南省</w:t>
      </w:r>
      <w:r>
        <w:rPr>
          <w:rFonts w:hint="eastAsia" w:ascii="宋体" w:hAnsi="宋体" w:cs="宋体"/>
          <w:sz w:val="24"/>
          <w:highlight w:val="none"/>
          <w:u w:val="single"/>
          <w:lang w:val="en-US" w:eastAsia="zh-CN"/>
        </w:rPr>
        <w:t>城陵矶港口集团</w:t>
      </w:r>
      <w:r>
        <w:rPr>
          <w:rFonts w:hint="eastAsia" w:ascii="宋体" w:hAnsi="宋体" w:cs="宋体"/>
          <w:sz w:val="24"/>
          <w:highlight w:val="none"/>
          <w:u w:val="single"/>
          <w:lang w:eastAsia="zh-CN"/>
        </w:rPr>
        <w:t>有限公司</w:t>
      </w:r>
      <w:r>
        <w:rPr>
          <w:rFonts w:hint="eastAsia" w:ascii="宋体" w:hAnsi="宋体" w:cs="宋体"/>
          <w:sz w:val="24"/>
          <w:highlight w:val="none"/>
        </w:rPr>
        <w:t>（http://www.hnsgwjt.com）上发布。</w:t>
      </w:r>
    </w:p>
    <w:p>
      <w:pPr>
        <w:pStyle w:val="5"/>
        <w:jc w:val="both"/>
        <w:rPr>
          <w:highlight w:val="none"/>
        </w:rPr>
      </w:pPr>
      <w:bookmarkStart w:id="6" w:name="_Toc77254104"/>
      <w:bookmarkStart w:id="7" w:name="_Toc512257471"/>
      <w:bookmarkStart w:id="8" w:name="_Toc76635692"/>
      <w:bookmarkStart w:id="9" w:name="_Toc79596547"/>
      <w:r>
        <w:rPr>
          <w:rFonts w:hint="eastAsia"/>
          <w:highlight w:val="none"/>
          <w:lang w:val="en-US" w:eastAsia="zh-CN"/>
        </w:rPr>
        <w:t>八、</w:t>
      </w:r>
      <w:r>
        <w:rPr>
          <w:highlight w:val="none"/>
        </w:rPr>
        <w:t>监督</w:t>
      </w:r>
      <w:bookmarkEnd w:id="6"/>
      <w:bookmarkEnd w:id="7"/>
      <w:bookmarkEnd w:id="8"/>
      <w:r>
        <w:rPr>
          <w:rFonts w:hint="eastAsia"/>
          <w:highlight w:val="none"/>
        </w:rPr>
        <w:t>部门</w:t>
      </w:r>
      <w:bookmarkEnd w:id="9"/>
    </w:p>
    <w:p>
      <w:pPr>
        <w:widowControl w:val="0"/>
        <w:spacing w:line="312" w:lineRule="auto"/>
        <w:ind w:firstLine="480" w:firstLineChars="200"/>
        <w:jc w:val="both"/>
        <w:rPr>
          <w:rFonts w:ascii="宋体" w:hAnsi="宋体"/>
          <w:bCs/>
          <w:sz w:val="24"/>
          <w:highlight w:val="none"/>
        </w:rPr>
      </w:pPr>
      <w:r>
        <w:rPr>
          <w:rFonts w:hint="eastAsia" w:ascii="宋体" w:hAnsi="宋体"/>
          <w:bCs/>
          <w:sz w:val="24"/>
          <w:highlight w:val="none"/>
        </w:rPr>
        <w:t>本次采购监督部门为湖南省</w:t>
      </w:r>
      <w:r>
        <w:rPr>
          <w:rFonts w:hint="eastAsia" w:ascii="宋体" w:hAnsi="宋体"/>
          <w:bCs/>
          <w:sz w:val="24"/>
          <w:highlight w:val="none"/>
          <w:lang w:val="en-US" w:eastAsia="zh-CN"/>
        </w:rPr>
        <w:t>虞公港建设投资有限公司</w:t>
      </w:r>
      <w:r>
        <w:rPr>
          <w:rFonts w:hint="eastAsia" w:ascii="宋体" w:hAnsi="宋体"/>
          <w:bCs/>
          <w:sz w:val="24"/>
          <w:highlight w:val="none"/>
        </w:rPr>
        <w:t xml:space="preserve">纪检监察部 ，电话： </w:t>
      </w:r>
      <w:r>
        <w:rPr>
          <w:rFonts w:hint="eastAsia" w:ascii="宋体" w:hAnsi="宋体"/>
          <w:bCs/>
          <w:sz w:val="24"/>
          <w:highlight w:val="none"/>
          <w:lang w:val="zh-CN"/>
        </w:rPr>
        <w:t>0730-8426255</w:t>
      </w:r>
      <w:r>
        <w:rPr>
          <w:rFonts w:hint="eastAsia" w:ascii="宋体" w:hAnsi="宋体"/>
          <w:bCs/>
          <w:sz w:val="24"/>
          <w:highlight w:val="none"/>
        </w:rPr>
        <w:t>。</w:t>
      </w:r>
    </w:p>
    <w:p>
      <w:pPr>
        <w:pStyle w:val="5"/>
        <w:jc w:val="both"/>
        <w:rPr>
          <w:rFonts w:ascii="Arial" w:hAnsi="Arial"/>
          <w:highlight w:val="none"/>
        </w:rPr>
      </w:pPr>
      <w:r>
        <w:rPr>
          <w:rFonts w:hint="eastAsia"/>
          <w:highlight w:val="none"/>
          <w:lang w:val="en-US" w:eastAsia="zh-CN"/>
        </w:rPr>
        <w:t>九、</w:t>
      </w:r>
      <w:r>
        <w:rPr>
          <w:rFonts w:hint="eastAsia" w:ascii="黑体" w:hAnsi="黑体"/>
          <w:highlight w:val="none"/>
        </w:rPr>
        <w:t>联系方式</w:t>
      </w:r>
    </w:p>
    <w:p>
      <w:pPr>
        <w:autoSpaceDE w:val="0"/>
        <w:spacing w:line="400" w:lineRule="exact"/>
        <w:ind w:firstLine="240" w:firstLineChars="100"/>
        <w:rPr>
          <w:rFonts w:ascii="宋体" w:hAnsi="宋体"/>
          <w:sz w:val="24"/>
          <w:highlight w:val="none"/>
          <w:u w:val="none"/>
        </w:rPr>
      </w:pPr>
      <w:r>
        <w:rPr>
          <w:rFonts w:hint="eastAsia" w:ascii="宋体" w:hAnsi="宋体"/>
          <w:sz w:val="24"/>
          <w:highlight w:val="none"/>
        </w:rPr>
        <w:t>采 购 人</w:t>
      </w:r>
      <w:r>
        <w:rPr>
          <w:rFonts w:hint="eastAsia" w:ascii="宋体" w:hAnsi="宋体"/>
          <w:sz w:val="24"/>
          <w:highlight w:val="none"/>
          <w:lang w:eastAsia="zh-CN"/>
        </w:rPr>
        <w:t>：</w:t>
      </w:r>
      <w:r>
        <w:rPr>
          <w:rFonts w:hint="eastAsia" w:ascii="宋体" w:hAnsi="宋体"/>
          <w:sz w:val="24"/>
          <w:highlight w:val="none"/>
          <w:u w:val="none"/>
          <w:lang w:eastAsia="zh-CN"/>
        </w:rPr>
        <w:t>湖南省虞公港建设投资有限公司</w:t>
      </w:r>
      <w:r>
        <w:rPr>
          <w:rFonts w:hint="eastAsia" w:ascii="宋体" w:hAnsi="宋体"/>
          <w:sz w:val="24"/>
          <w:highlight w:val="none"/>
          <w:u w:val="none"/>
        </w:rPr>
        <w:t xml:space="preserve">                       </w:t>
      </w:r>
    </w:p>
    <w:p>
      <w:pPr>
        <w:autoSpaceDE w:val="0"/>
        <w:spacing w:line="400" w:lineRule="exact"/>
        <w:ind w:firstLine="240" w:firstLineChars="100"/>
        <w:rPr>
          <w:rFonts w:ascii="宋体" w:hAnsi="宋体"/>
          <w:sz w:val="24"/>
          <w:highlight w:val="none"/>
          <w:u w:val="none"/>
        </w:rPr>
      </w:pPr>
      <w:r>
        <w:rPr>
          <w:rFonts w:hint="eastAsia" w:ascii="宋体" w:hAnsi="宋体"/>
          <w:sz w:val="24"/>
          <w:highlight w:val="none"/>
          <w:u w:val="none"/>
        </w:rPr>
        <w:t>地    址</w:t>
      </w:r>
      <w:r>
        <w:rPr>
          <w:rFonts w:hint="eastAsia" w:ascii="宋体" w:hAnsi="宋体"/>
          <w:sz w:val="24"/>
          <w:highlight w:val="none"/>
          <w:u w:val="none"/>
          <w:lang w:eastAsia="zh-CN"/>
        </w:rPr>
        <w:t>：</w:t>
      </w:r>
      <w:r>
        <w:rPr>
          <w:rFonts w:hint="eastAsia" w:ascii="宋体" w:hAnsi="宋体"/>
          <w:sz w:val="24"/>
          <w:highlight w:val="none"/>
          <w:u w:val="none"/>
        </w:rPr>
        <w:t>岳阳市</w:t>
      </w:r>
      <w:r>
        <w:rPr>
          <w:rFonts w:hint="eastAsia" w:ascii="宋体" w:hAnsi="宋体"/>
          <w:sz w:val="24"/>
          <w:highlight w:val="none"/>
          <w:u w:val="none"/>
          <w:lang w:val="en-US" w:eastAsia="zh-CN"/>
        </w:rPr>
        <w:t>湘阴县自然资源局206室</w:t>
      </w:r>
      <w:r>
        <w:rPr>
          <w:rFonts w:hint="eastAsia" w:ascii="宋体" w:hAnsi="宋体"/>
          <w:sz w:val="24"/>
          <w:highlight w:val="none"/>
          <w:u w:val="none"/>
        </w:rPr>
        <w:t xml:space="preserve">   </w:t>
      </w:r>
    </w:p>
    <w:p>
      <w:pPr>
        <w:autoSpaceDE w:val="0"/>
        <w:spacing w:line="400" w:lineRule="exact"/>
        <w:ind w:firstLine="240" w:firstLineChars="100"/>
        <w:jc w:val="both"/>
        <w:rPr>
          <w:rFonts w:ascii="宋体" w:hAnsi="宋体"/>
          <w:sz w:val="24"/>
          <w:highlight w:val="none"/>
          <w:u w:val="none"/>
        </w:rPr>
      </w:pPr>
      <w:r>
        <w:rPr>
          <w:rFonts w:hint="eastAsia" w:ascii="宋体" w:hAnsi="宋体"/>
          <w:sz w:val="24"/>
          <w:highlight w:val="none"/>
          <w:u w:val="none"/>
        </w:rPr>
        <w:t>联 系 人</w:t>
      </w:r>
      <w:r>
        <w:rPr>
          <w:rFonts w:hint="eastAsia" w:ascii="宋体" w:hAnsi="宋体"/>
          <w:sz w:val="24"/>
          <w:highlight w:val="none"/>
          <w:u w:val="none"/>
          <w:lang w:eastAsia="zh-CN"/>
        </w:rPr>
        <w:t>：</w:t>
      </w:r>
      <w:r>
        <w:rPr>
          <w:rFonts w:hint="eastAsia" w:ascii="宋体" w:hAnsi="宋体"/>
          <w:sz w:val="24"/>
          <w:highlight w:val="none"/>
          <w:u w:val="none"/>
          <w:lang w:val="en-US" w:eastAsia="zh-CN"/>
        </w:rPr>
        <w:t>肖</w:t>
      </w:r>
      <w:r>
        <w:rPr>
          <w:rFonts w:hint="eastAsia" w:ascii="宋体" w:hAnsi="宋体"/>
          <w:sz w:val="24"/>
          <w:highlight w:val="none"/>
          <w:u w:val="none"/>
        </w:rPr>
        <w:t xml:space="preserve">先生                          </w:t>
      </w:r>
    </w:p>
    <w:p>
      <w:pPr>
        <w:spacing w:line="440" w:lineRule="exact"/>
        <w:ind w:firstLine="240" w:firstLineChars="100"/>
        <w:rPr>
          <w:rFonts w:hint="default" w:ascii="宋体" w:hAnsi="宋体" w:eastAsia="宋体" w:cs="宋体"/>
          <w:color w:val="auto"/>
          <w:sz w:val="24"/>
          <w:highlight w:val="none"/>
          <w:u w:val="none"/>
          <w:lang w:val="en-US" w:eastAsia="zh-CN"/>
        </w:rPr>
      </w:pPr>
      <w:r>
        <w:rPr>
          <w:rFonts w:hint="eastAsia" w:ascii="宋体" w:hAnsi="宋体"/>
          <w:sz w:val="24"/>
          <w:highlight w:val="none"/>
          <w:u w:val="none"/>
        </w:rPr>
        <w:t>电    话</w:t>
      </w:r>
      <w:r>
        <w:rPr>
          <w:rFonts w:hint="eastAsia" w:ascii="宋体" w:hAnsi="宋体"/>
          <w:sz w:val="24"/>
          <w:highlight w:val="none"/>
          <w:u w:val="none"/>
          <w:lang w:eastAsia="zh-CN"/>
        </w:rPr>
        <w:t>：</w:t>
      </w:r>
      <w:r>
        <w:rPr>
          <w:rFonts w:hint="eastAsia" w:ascii="宋体" w:hAnsi="宋体" w:cs="宋体"/>
          <w:color w:val="auto"/>
          <w:sz w:val="24"/>
          <w:highlight w:val="none"/>
          <w:u w:val="none"/>
          <w:lang w:val="en-US" w:eastAsia="zh-CN"/>
        </w:rPr>
        <w:t>13187192237</w:t>
      </w:r>
    </w:p>
    <w:p>
      <w:pPr>
        <w:spacing w:line="240" w:lineRule="auto"/>
        <w:jc w:val="center"/>
        <w:rPr>
          <w:rFonts w:ascii="黑体" w:hAnsi="黑体" w:eastAsia="黑体"/>
          <w:sz w:val="32"/>
          <w:szCs w:val="32"/>
          <w:highlight w:val="none"/>
          <w:u w:val="none"/>
        </w:rPr>
      </w:pPr>
      <w:bookmarkStart w:id="10" w:name="_Toc517787494"/>
      <w:bookmarkStart w:id="11" w:name="_Toc234832861"/>
    </w:p>
    <w:p>
      <w:pPr>
        <w:spacing w:line="240" w:lineRule="auto"/>
        <w:jc w:val="center"/>
        <w:rPr>
          <w:rFonts w:ascii="黑体" w:hAnsi="黑体" w:eastAsia="黑体"/>
          <w:sz w:val="32"/>
          <w:szCs w:val="32"/>
          <w:highlight w:val="none"/>
        </w:rPr>
      </w:pPr>
    </w:p>
    <w:p>
      <w:pPr>
        <w:spacing w:line="240" w:lineRule="auto"/>
        <w:jc w:val="center"/>
        <w:rPr>
          <w:rFonts w:ascii="黑体" w:hAnsi="黑体" w:eastAsia="黑体"/>
          <w:sz w:val="32"/>
          <w:szCs w:val="32"/>
          <w:highlight w:val="none"/>
        </w:rPr>
      </w:pPr>
    </w:p>
    <w:p>
      <w:pPr>
        <w:pStyle w:val="4"/>
        <w:outlineLvl w:val="9"/>
        <w:rPr>
          <w:highlight w:val="none"/>
        </w:rPr>
      </w:pPr>
    </w:p>
    <w:p>
      <w:pPr>
        <w:rPr>
          <w:rFonts w:hint="eastAsia"/>
          <w:highlight w:val="none"/>
          <w:lang w:eastAsia="zh-CN"/>
        </w:rPr>
      </w:pPr>
      <w:r>
        <w:rPr>
          <w:rFonts w:hint="eastAsia"/>
          <w:highlight w:val="none"/>
          <w:lang w:eastAsia="zh-CN"/>
        </w:rPr>
        <w:t>、</w:t>
      </w:r>
    </w:p>
    <w:p>
      <w:pPr>
        <w:rPr>
          <w:rFonts w:hint="eastAsia"/>
          <w:highlight w:val="none"/>
          <w:lang w:eastAsia="zh-CN"/>
        </w:rPr>
      </w:pPr>
      <w:r>
        <w:rPr>
          <w:rFonts w:hint="eastAsia"/>
          <w:highlight w:val="none"/>
          <w:lang w:eastAsia="zh-CN"/>
        </w:rPr>
        <w:br w:type="page"/>
      </w:r>
    </w:p>
    <w:p>
      <w:pPr>
        <w:rPr>
          <w:rFonts w:hint="eastAsia"/>
          <w:highlight w:val="none"/>
          <w:lang w:eastAsia="zh-CN"/>
        </w:rPr>
      </w:pPr>
    </w:p>
    <w:p>
      <w:pPr>
        <w:spacing w:line="240" w:lineRule="auto"/>
        <w:jc w:val="center"/>
        <w:outlineLvl w:val="0"/>
        <w:rPr>
          <w:rFonts w:ascii="黑体" w:hAnsi="黑体" w:eastAsia="黑体"/>
          <w:sz w:val="32"/>
          <w:szCs w:val="32"/>
          <w:highlight w:val="none"/>
        </w:rPr>
      </w:pPr>
      <w:bookmarkStart w:id="12" w:name="_Toc14390"/>
      <w:r>
        <w:rPr>
          <w:rFonts w:hint="eastAsia" w:ascii="黑体" w:hAnsi="黑体" w:eastAsia="黑体"/>
          <w:sz w:val="32"/>
          <w:szCs w:val="32"/>
          <w:highlight w:val="none"/>
        </w:rPr>
        <w:t>第二章  供应商须知</w:t>
      </w:r>
      <w:bookmarkEnd w:id="10"/>
      <w:bookmarkEnd w:id="11"/>
      <w:bookmarkEnd w:id="12"/>
    </w:p>
    <w:p>
      <w:pPr>
        <w:pStyle w:val="2"/>
        <w:spacing w:before="240" w:after="240" w:line="600" w:lineRule="exact"/>
        <w:jc w:val="both"/>
        <w:rPr>
          <w:rFonts w:ascii="仿宋" w:hAnsi="仿宋" w:eastAsia="仿宋" w:cs="仿宋"/>
          <w:sz w:val="30"/>
          <w:szCs w:val="30"/>
          <w:highlight w:val="none"/>
        </w:rPr>
      </w:pPr>
      <w:bookmarkStart w:id="13" w:name="_Toc517787495"/>
      <w:bookmarkStart w:id="14" w:name="_Toc25493"/>
      <w:bookmarkStart w:id="15" w:name="_Toc234832862"/>
      <w:r>
        <w:rPr>
          <w:rFonts w:hint="eastAsia" w:ascii="仿宋" w:hAnsi="仿宋" w:eastAsia="仿宋" w:cs="仿宋"/>
          <w:sz w:val="30"/>
          <w:szCs w:val="30"/>
          <w:highlight w:val="none"/>
        </w:rPr>
        <w:t>供应商须知前附表</w:t>
      </w:r>
      <w:bookmarkEnd w:id="13"/>
      <w:bookmarkEnd w:id="14"/>
      <w:bookmarkEnd w:id="15"/>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询价</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□竞争性谈判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□单一来源</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最低价法（同质比价法和同价比质法）</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sym w:font="Wingdings 2" w:char="0052"/>
            </w:r>
            <w:r>
              <w:rPr>
                <w:rFonts w:hint="eastAsia" w:cs="仿宋" w:asciiTheme="minorEastAsia" w:hAnsiTheme="minorEastAsia" w:eastAsiaTheme="minorEastAsia"/>
                <w:color w:val="auto"/>
                <w:sz w:val="24"/>
                <w:highlight w:val="none"/>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不组织</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□组织，踏勘时间：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不召开</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A3"/>
            </w:r>
            <w:r>
              <w:rPr>
                <w:rFonts w:hint="eastAsia" w:cs="仿宋" w:asciiTheme="minorEastAsia" w:hAnsiTheme="minorEastAsia" w:eastAsiaTheme="minorEastAsia"/>
                <w:color w:val="auto"/>
                <w:sz w:val="24"/>
                <w:highlight w:val="none"/>
              </w:rPr>
              <w:t xml:space="preserve">召开，召开时间：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不允许分包</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允许偏差的范围：不允许重大偏差，允许细微偏差</w:t>
            </w:r>
            <w:r>
              <w:rPr>
                <w:rFonts w:hint="eastAsia" w:cs="仿宋" w:asciiTheme="minorEastAsia" w:hAnsiTheme="minorEastAsia" w:eastAsiaTheme="minorEastAsia"/>
                <w:color w:val="auto"/>
                <w:sz w:val="24"/>
                <w:highlight w:val="none"/>
                <w:lang w:val="en-US" w:eastAsia="zh-CN"/>
              </w:rPr>
              <w:t>2项。</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截止时间：202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 xml:space="preserve">年 </w:t>
            </w:r>
            <w:r>
              <w:rPr>
                <w:rFonts w:hint="eastAsia" w:cs="仿宋" w:asciiTheme="minorEastAsia" w:hAnsiTheme="minorEastAsia" w:eastAsiaTheme="minorEastAsia"/>
                <w:color w:val="auto"/>
                <w:sz w:val="24"/>
                <w:highlight w:val="yellow"/>
                <w:lang w:val="en-US" w:eastAsia="zh-CN"/>
              </w:rPr>
              <w:t xml:space="preserve">5 </w:t>
            </w:r>
            <w:r>
              <w:rPr>
                <w:rFonts w:hint="eastAsia" w:cs="仿宋" w:asciiTheme="minorEastAsia" w:hAnsiTheme="minorEastAsia" w:eastAsiaTheme="minorEastAsia"/>
                <w:color w:val="auto"/>
                <w:sz w:val="24"/>
                <w:highlight w:val="yellow"/>
              </w:rPr>
              <w:t xml:space="preserve">月 </w:t>
            </w:r>
            <w:r>
              <w:rPr>
                <w:rFonts w:hint="eastAsia" w:cs="仿宋" w:asciiTheme="minorEastAsia" w:hAnsiTheme="minorEastAsia" w:eastAsiaTheme="minorEastAsia"/>
                <w:color w:val="auto"/>
                <w:sz w:val="24"/>
                <w:highlight w:val="yellow"/>
                <w:lang w:val="en-US" w:eastAsia="zh-CN"/>
              </w:rPr>
              <w:t>23</w:t>
            </w:r>
            <w:r>
              <w:rPr>
                <w:rFonts w:hint="eastAsia" w:cs="仿宋" w:asciiTheme="minorEastAsia" w:hAnsiTheme="minorEastAsia" w:eastAsiaTheme="minorEastAsia"/>
                <w:color w:val="auto"/>
                <w:sz w:val="24"/>
                <w:highlight w:val="yellow"/>
              </w:rPr>
              <w:t xml:space="preserve"> 日 </w:t>
            </w:r>
            <w:r>
              <w:rPr>
                <w:rFonts w:hint="eastAsia" w:cs="仿宋" w:asciiTheme="minorEastAsia" w:hAnsiTheme="minorEastAsia" w:eastAsiaTheme="minorEastAsia"/>
                <w:color w:val="auto"/>
                <w:sz w:val="24"/>
                <w:highlight w:val="yellow"/>
                <w:lang w:val="en-US" w:eastAsia="zh-CN"/>
              </w:rPr>
              <w:t>17</w:t>
            </w:r>
            <w:r>
              <w:rPr>
                <w:rFonts w:hint="eastAsia" w:cs="仿宋" w:asciiTheme="minorEastAsia" w:hAnsiTheme="minorEastAsia" w:eastAsiaTheme="minorEastAsia"/>
                <w:color w:val="auto"/>
                <w:sz w:val="24"/>
                <w:highlight w:val="yellow"/>
              </w:rPr>
              <w:t xml:space="preserve"> 时 </w:t>
            </w:r>
            <w:r>
              <w:rPr>
                <w:rFonts w:hint="eastAsia" w:cs="仿宋" w:asciiTheme="minorEastAsia" w:hAnsiTheme="minorEastAsia" w:eastAsiaTheme="minorEastAsia"/>
                <w:color w:val="auto"/>
                <w:sz w:val="24"/>
                <w:highlight w:val="yellow"/>
                <w:lang w:val="en-US" w:eastAsia="zh-CN"/>
              </w:rPr>
              <w:t>0</w:t>
            </w:r>
            <w:r>
              <w:rPr>
                <w:rFonts w:hint="eastAsia" w:cs="仿宋" w:asciiTheme="minorEastAsia" w:hAnsiTheme="minorEastAsia" w:eastAsiaTheme="minorEastAsia"/>
                <w:color w:val="auto"/>
                <w:sz w:val="24"/>
                <w:highlight w:val="yellow"/>
              </w:rPr>
              <w:t xml:space="preserve"> 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r>
              <w:rPr>
                <w:rFonts w:hint="eastAsia" w:cs="仿宋" w:asciiTheme="minorEastAsia" w:hAnsiTheme="minorEastAsia" w:eastAsiaTheme="minorEastAsia"/>
                <w:color w:val="auto"/>
                <w:sz w:val="24"/>
                <w:highlight w:val="yellow"/>
              </w:rPr>
              <w:t>确认的最晚时间：202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年</w:t>
            </w:r>
            <w:r>
              <w:rPr>
                <w:rFonts w:hint="eastAsia" w:cs="仿宋" w:asciiTheme="minorEastAsia" w:hAnsiTheme="minorEastAsia" w:eastAsiaTheme="minorEastAsia"/>
                <w:color w:val="auto"/>
                <w:sz w:val="24"/>
                <w:highlight w:val="yellow"/>
                <w:lang w:val="en-US" w:eastAsia="zh-CN"/>
              </w:rPr>
              <w:t xml:space="preserve"> 5</w:t>
            </w:r>
            <w:r>
              <w:rPr>
                <w:rFonts w:hint="eastAsia" w:cs="仿宋" w:asciiTheme="minorEastAsia" w:hAnsiTheme="minorEastAsia" w:eastAsiaTheme="minorEastAsia"/>
                <w:color w:val="auto"/>
                <w:sz w:val="24"/>
                <w:highlight w:val="yellow"/>
              </w:rPr>
              <w:t xml:space="preserve"> 月</w:t>
            </w:r>
            <w:r>
              <w:rPr>
                <w:rFonts w:hint="eastAsia" w:cs="仿宋" w:asciiTheme="minorEastAsia" w:hAnsiTheme="minorEastAsia" w:eastAsiaTheme="minorEastAsia"/>
                <w:color w:val="auto"/>
                <w:sz w:val="24"/>
                <w:highlight w:val="yellow"/>
                <w:lang w:val="en-US" w:eastAsia="zh-CN"/>
              </w:rPr>
              <w:t xml:space="preserve"> 23</w:t>
            </w:r>
            <w:r>
              <w:rPr>
                <w:rFonts w:hint="eastAsia" w:cs="仿宋" w:asciiTheme="minorEastAsia" w:hAnsiTheme="minorEastAsia" w:eastAsiaTheme="minorEastAsia"/>
                <w:color w:val="auto"/>
                <w:sz w:val="24"/>
                <w:highlight w:val="yellow"/>
              </w:rPr>
              <w:t xml:space="preserve"> 日</w:t>
            </w:r>
            <w:r>
              <w:rPr>
                <w:rFonts w:hint="eastAsia" w:cs="仿宋" w:asciiTheme="minorEastAsia" w:hAnsiTheme="minorEastAsia" w:eastAsiaTheme="minorEastAsia"/>
                <w:color w:val="auto"/>
                <w:sz w:val="24"/>
                <w:highlight w:val="yellow"/>
                <w:lang w:val="en-US" w:eastAsia="zh-CN"/>
              </w:rPr>
              <w:t>17</w:t>
            </w:r>
            <w:r>
              <w:rPr>
                <w:rFonts w:hint="eastAsia" w:cs="仿宋" w:asciiTheme="minorEastAsia" w:hAnsiTheme="minorEastAsia" w:eastAsiaTheme="minorEastAsia"/>
                <w:color w:val="auto"/>
                <w:sz w:val="24"/>
                <w:highlight w:val="yellow"/>
              </w:rPr>
              <w:t>时</w:t>
            </w:r>
            <w:r>
              <w:rPr>
                <w:rFonts w:hint="eastAsia" w:cs="仿宋" w:asciiTheme="minorEastAsia" w:hAnsiTheme="minorEastAsia" w:eastAsiaTheme="minorEastAsia"/>
                <w:color w:val="auto"/>
                <w:sz w:val="24"/>
                <w:highlight w:val="yellow"/>
                <w:lang w:val="en-US" w:eastAsia="zh-CN"/>
              </w:rPr>
              <w:t>0</w:t>
            </w:r>
            <w:r>
              <w:rPr>
                <w:rFonts w:hint="eastAsia" w:cs="仿宋" w:asciiTheme="minorEastAsia" w:hAnsiTheme="minorEastAsia" w:eastAsiaTheme="minorEastAsia"/>
                <w:color w:val="auto"/>
                <w:sz w:val="24"/>
                <w:highlight w:val="yellow"/>
              </w:rPr>
              <w:t>分。</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□无</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有，</w:t>
            </w:r>
            <w:r>
              <w:rPr>
                <w:rFonts w:hint="eastAsia" w:cs="仿宋" w:asciiTheme="minorEastAsia" w:hAnsiTheme="minorEastAsia" w:eastAsiaTheme="minorEastAsia"/>
                <w:color w:val="auto"/>
                <w:sz w:val="24"/>
                <w:highlight w:val="yellow"/>
              </w:rPr>
              <w:t>最高限价</w:t>
            </w:r>
            <w:r>
              <w:rPr>
                <w:rFonts w:hint="eastAsia" w:cs="仿宋" w:asciiTheme="minorEastAsia" w:hAnsiTheme="minorEastAsia" w:eastAsiaTheme="minorEastAsia"/>
                <w:color w:val="auto"/>
                <w:sz w:val="24"/>
                <w:highlight w:val="yellow"/>
                <w:lang w:val="en-US" w:eastAsia="zh-CN"/>
              </w:rPr>
              <w:t>30万</w:t>
            </w:r>
            <w:r>
              <w:rPr>
                <w:rFonts w:hint="eastAsia" w:cs="仿宋" w:asciiTheme="minorEastAsia" w:hAnsiTheme="minorEastAsia" w:eastAsiaTheme="minorEastAsia"/>
                <w:color w:val="auto"/>
                <w:sz w:val="24"/>
                <w:highlight w:val="yellow"/>
              </w:rPr>
              <w:t>元，大写含税价：</w:t>
            </w:r>
            <w:r>
              <w:rPr>
                <w:rFonts w:hint="eastAsia" w:cs="仿宋" w:asciiTheme="minorEastAsia" w:hAnsiTheme="minorEastAsia" w:eastAsiaTheme="minorEastAsia"/>
                <w:color w:val="auto"/>
                <w:sz w:val="24"/>
                <w:highlight w:val="yellow"/>
                <w:lang w:val="en-US" w:eastAsia="zh-CN"/>
              </w:rPr>
              <w:t>叁拾万元整，并提供税率为6%的税票。</w:t>
            </w:r>
            <w:r>
              <w:rPr>
                <w:rFonts w:hint="eastAsia" w:cs="仿宋" w:asciiTheme="minorEastAsia" w:hAnsiTheme="minorEastAsia" w:eastAsiaTheme="minorEastAsia"/>
                <w:color w:val="auto"/>
                <w:sz w:val="24"/>
                <w:highlight w:val="none"/>
                <w:lang w:val="en-US" w:eastAsia="zh-CN"/>
              </w:rPr>
              <w:t xml:space="preserve">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不要求递交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要求递交，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保证金的金额：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highlight w:val="none"/>
              </w:rPr>
            </w:pPr>
            <w:r>
              <w:rPr>
                <w:rStyle w:val="44"/>
                <w:rFonts w:hint="eastAsia" w:asciiTheme="minorEastAsia" w:hAnsiTheme="minorEastAsia" w:eastAsiaTheme="minorEastAsia"/>
                <w:b w:val="0"/>
                <w:color w:val="auto"/>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color w:val="auto"/>
                <w:sz w:val="24"/>
                <w:highlight w:val="none"/>
              </w:rPr>
            </w:pPr>
            <w:r>
              <w:rPr>
                <w:rFonts w:hint="eastAsia" w:cs="仿宋" w:asciiTheme="minorEastAsia" w:hAnsiTheme="minorEastAsia" w:eastAsiaTheme="minorEastAsia"/>
                <w:color w:val="auto"/>
                <w:sz w:val="24"/>
                <w:highlight w:val="none"/>
              </w:rPr>
              <w:t>□</w:t>
            </w:r>
            <w:r>
              <w:rPr>
                <w:rFonts w:hint="eastAsia"/>
                <w:color w:val="auto"/>
                <w:sz w:val="24"/>
                <w:highlight w:val="none"/>
              </w:rPr>
              <w:t>不适用。</w:t>
            </w:r>
          </w:p>
          <w:p>
            <w:pPr>
              <w:spacing w:line="440" w:lineRule="exact"/>
              <w:rPr>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olor w:val="auto"/>
                <w:sz w:val="24"/>
                <w:highlight w:val="none"/>
              </w:rPr>
              <w:t>适用。在中华人民共和国合法注册、具有独立法人资格，具有有效的营业执照，符合本次</w:t>
            </w:r>
            <w:r>
              <w:rPr>
                <w:rFonts w:hint="eastAsia"/>
                <w:color w:val="auto"/>
                <w:sz w:val="24"/>
                <w:highlight w:val="none"/>
                <w:lang w:eastAsia="zh-CN"/>
              </w:rPr>
              <w:t>询价</w:t>
            </w:r>
            <w:r>
              <w:rPr>
                <w:rFonts w:hint="eastAsia"/>
                <w:color w:val="auto"/>
                <w:sz w:val="24"/>
                <w:highlight w:val="none"/>
              </w:rPr>
              <w:t>采购项目的营业范围，有能力完成本次</w:t>
            </w:r>
            <w:r>
              <w:rPr>
                <w:rFonts w:hint="eastAsia"/>
                <w:color w:val="auto"/>
                <w:sz w:val="24"/>
                <w:highlight w:val="none"/>
                <w:lang w:eastAsia="zh-CN"/>
              </w:rPr>
              <w:t>询价</w:t>
            </w:r>
            <w:r>
              <w:rPr>
                <w:rFonts w:hint="eastAsia"/>
                <w:color w:val="auto"/>
                <w:sz w:val="24"/>
                <w:highlight w:val="none"/>
              </w:rPr>
              <w:t>采购项目</w:t>
            </w:r>
            <w:r>
              <w:rPr>
                <w:rFonts w:hint="eastAsia"/>
                <w:color w:val="auto"/>
                <w:sz w:val="24"/>
                <w:highlight w:val="none"/>
                <w:lang w:eastAsia="zh-CN"/>
              </w:rPr>
              <w:t>及其</w:t>
            </w:r>
            <w:r>
              <w:rPr>
                <w:rFonts w:hint="eastAsia"/>
                <w:color w:val="auto"/>
                <w:sz w:val="24"/>
                <w:highlight w:val="none"/>
              </w:rPr>
              <w:t>所要求的服务；需提供法人营业执照</w:t>
            </w:r>
            <w:r>
              <w:rPr>
                <w:rFonts w:hint="eastAsia"/>
                <w:color w:val="auto"/>
                <w:sz w:val="24"/>
                <w:highlight w:val="none"/>
                <w:lang w:eastAsia="zh-CN"/>
              </w:rPr>
              <w:t>（</w:t>
            </w:r>
            <w:r>
              <w:rPr>
                <w:rFonts w:hint="eastAsia"/>
                <w:color w:val="auto"/>
                <w:sz w:val="24"/>
                <w:highlight w:val="none"/>
              </w:rPr>
              <w:t>或事业单位法人证书</w:t>
            </w:r>
            <w:r>
              <w:rPr>
                <w:rFonts w:hint="eastAsia"/>
                <w:color w:val="auto"/>
                <w:sz w:val="24"/>
                <w:highlight w:val="none"/>
                <w:lang w:eastAsia="zh-CN"/>
              </w:rPr>
              <w:t>）</w:t>
            </w:r>
            <w:r>
              <w:rPr>
                <w:rFonts w:hint="eastAsia"/>
                <w:color w:val="auto"/>
                <w:sz w:val="24"/>
                <w:highlight w:val="none"/>
              </w:rPr>
              <w:t>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Style w:val="44"/>
                <w:rFonts w:hint="eastAsia" w:asciiTheme="minorEastAsia" w:hAnsiTheme="minorEastAsia" w:eastAsiaTheme="minorEastAsia"/>
                <w:b w:val="0"/>
                <w:color w:val="auto"/>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适用。供应商应提供</w:t>
            </w:r>
            <w:r>
              <w:rPr>
                <w:rFonts w:hint="eastAsia" w:ascii="宋体" w:hAnsi="宋体" w:eastAsia="宋体" w:cs="宋体"/>
                <w:sz w:val="24"/>
                <w:szCs w:val="24"/>
                <w:highlight w:val="none"/>
              </w:rPr>
              <w:t>测绘资质证书（乙级及以上资质）</w:t>
            </w:r>
            <w:r>
              <w:rPr>
                <w:rFonts w:hint="eastAsia" w:cs="宋体" w:asciiTheme="minorEastAsia" w:hAnsiTheme="minorEastAsia" w:eastAsiaTheme="minorEastAsia"/>
                <w:color w:val="auto"/>
                <w:sz w:val="24"/>
                <w:highlight w:val="none"/>
              </w:rPr>
              <w:t>，以证明供应商具有承担本项目要求的资质。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highlight w:val="none"/>
              </w:rPr>
            </w:pPr>
            <w:r>
              <w:rPr>
                <w:rStyle w:val="44"/>
                <w:rFonts w:hint="eastAsia" w:asciiTheme="minorEastAsia" w:hAnsiTheme="minorEastAsia" w:eastAsiaTheme="minorEastAsia"/>
                <w:b w:val="0"/>
                <w:color w:val="auto"/>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年（供应商的成立时间少于该规定年份的，应提供成立以来的财务会计报表）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年（供应商的成立时间少于该规定年份的，应提供成立以来的财务会计报表）</w:t>
            </w:r>
          </w:p>
          <w:p>
            <w:pPr>
              <w:spacing w:line="288" w:lineRule="auto"/>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w:t>
            </w:r>
            <w:r>
              <w:rPr>
                <w:rFonts w:hint="eastAsia"/>
                <w:color w:val="auto"/>
                <w:sz w:val="24"/>
                <w:highlight w:val="none"/>
              </w:rPr>
              <w:t>供应商近</w:t>
            </w:r>
            <w:r>
              <w:rPr>
                <w:rFonts w:hint="eastAsia"/>
                <w:color w:val="auto"/>
                <w:sz w:val="24"/>
                <w:highlight w:val="none"/>
                <w:lang w:val="en-US" w:eastAsia="zh-CN"/>
              </w:rPr>
              <w:t>5</w:t>
            </w:r>
            <w:r>
              <w:rPr>
                <w:rFonts w:hint="eastAsia"/>
                <w:color w:val="auto"/>
                <w:sz w:val="24"/>
                <w:highlight w:val="none"/>
              </w:rPr>
              <w:t>年（从报价文件提交截止日期往前推算）内</w:t>
            </w:r>
            <w:r>
              <w:rPr>
                <w:rFonts w:ascii="宋体" w:hAnsi="宋体" w:eastAsia="宋体" w:cs="宋体"/>
                <w:sz w:val="24"/>
                <w:szCs w:val="24"/>
                <w:highlight w:val="none"/>
                <w:u w:val="single"/>
              </w:rPr>
              <w:t>成功完成过一个</w:t>
            </w:r>
            <w:r>
              <w:rPr>
                <w:rFonts w:hint="eastAsia" w:ascii="宋体" w:hAnsi="宋体" w:cs="宋体"/>
                <w:sz w:val="24"/>
                <w:szCs w:val="24"/>
                <w:highlight w:val="none"/>
                <w:u w:val="single"/>
                <w:lang w:val="en-US" w:eastAsia="zh-CN"/>
              </w:rPr>
              <w:t>用地报批</w:t>
            </w:r>
            <w:r>
              <w:rPr>
                <w:rFonts w:hint="eastAsia" w:cs="宋体" w:asciiTheme="minorEastAsia" w:hAnsiTheme="minorEastAsia" w:eastAsiaTheme="minorEastAsia"/>
                <w:color w:val="auto"/>
                <w:sz w:val="24"/>
                <w:highlight w:val="none"/>
              </w:rPr>
              <w:t>业绩证明材料：</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sym w:font="Wingdings 2" w:char="0052"/>
            </w:r>
            <w:r>
              <w:rPr>
                <w:rFonts w:hint="eastAsia" w:cs="宋体" w:asciiTheme="minorEastAsia" w:hAnsiTheme="minorEastAsia" w:eastAsiaTheme="minorEastAsia"/>
                <w:color w:val="auto"/>
                <w:sz w:val="24"/>
                <w:highlight w:val="none"/>
              </w:rPr>
              <w:t>合同/订单</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sym w:font="Wingdings" w:char="00A8"/>
            </w:r>
            <w:r>
              <w:rPr>
                <w:rFonts w:hint="eastAsia" w:cs="宋体" w:asciiTheme="minorEastAsia" w:hAnsiTheme="minorEastAsia" w:eastAsiaTheme="minorEastAsia"/>
                <w:color w:val="auto"/>
                <w:sz w:val="24"/>
                <w:highlight w:val="none"/>
                <w:lang w:eastAsia="zh-CN"/>
              </w:rPr>
              <w:t>成交</w:t>
            </w:r>
            <w:r>
              <w:rPr>
                <w:rFonts w:hint="eastAsia" w:cs="宋体" w:asciiTheme="minorEastAsia" w:hAnsiTheme="minorEastAsia" w:eastAsiaTheme="minorEastAsia"/>
                <w:color w:val="auto"/>
                <w:sz w:val="24"/>
                <w:highlight w:val="none"/>
              </w:rPr>
              <w:t>通知书/成交通知书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竣工 验收报告/验收证明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业主证明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其他材料：</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业绩证明材料种类要求：</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需同时提供上述勾选的所有证明材料</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pStyle w:val="18"/>
              <w:spacing w:after="0" w:line="312" w:lineRule="auto"/>
              <w:ind w:left="0" w:left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适用。供应商应提供相关信誉情况的证明材料，  包括：1．全国企业信用信息公示系统中未列入严重违法失信企业名单的网页截图，加盖公章。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hint="eastAsia"/>
                <w:highlight w:val="none"/>
              </w:rPr>
            </w:pPr>
            <w:r>
              <w:rPr>
                <w:rFonts w:hint="eastAsia"/>
                <w:highlight w:val="none"/>
                <w:lang w:eastAsia="zh-CN"/>
              </w:rPr>
              <w:t>□</w:t>
            </w:r>
            <w:r>
              <w:rPr>
                <w:rFonts w:hint="eastAsia"/>
                <w:highlight w:val="none"/>
              </w:rPr>
              <w:t>不适用</w:t>
            </w:r>
          </w:p>
          <w:p>
            <w:pPr>
              <w:widowControl w:val="0"/>
              <w:spacing w:line="288" w:lineRule="auto"/>
              <w:jc w:val="both"/>
              <w:rPr>
                <w:rFonts w:hint="eastAsia"/>
                <w:highlight w:val="none"/>
                <w:lang w:val="en-US" w:eastAsia="zh-CN"/>
              </w:rPr>
            </w:pPr>
            <w:r>
              <w:rPr>
                <w:rFonts w:hint="eastAsia"/>
                <w:highlight w:val="none"/>
                <w:lang w:eastAsia="zh-CN"/>
              </w:rPr>
              <w:sym w:font="Wingdings 2" w:char="0052"/>
            </w:r>
            <w:r>
              <w:rPr>
                <w:rFonts w:hint="eastAsia"/>
                <w:highlight w:val="none"/>
              </w:rPr>
              <w:t>适用。</w:t>
            </w:r>
            <w:r>
              <w:rPr>
                <w:rFonts w:hint="eastAsia"/>
                <w:highlight w:val="none"/>
                <w:lang w:val="en-US" w:eastAsia="zh-CN"/>
              </w:rPr>
              <w:t>项目负责人具有土地工程或规划工程师职称；</w:t>
            </w:r>
          </w:p>
          <w:p>
            <w:pPr>
              <w:widowControl w:val="0"/>
              <w:spacing w:line="288" w:lineRule="auto"/>
              <w:ind w:firstLine="840" w:firstLineChars="400"/>
              <w:jc w:val="both"/>
              <w:rPr>
                <w:rFonts w:hint="default" w:eastAsia="宋体"/>
                <w:highlight w:val="none"/>
                <w:lang w:val="en-US" w:eastAsia="zh-CN"/>
              </w:rPr>
            </w:pPr>
            <w:r>
              <w:rPr>
                <w:rFonts w:hint="eastAsia"/>
                <w:highlight w:val="none"/>
                <w:lang w:val="en-US" w:eastAsia="zh-CN"/>
              </w:rPr>
              <w:t>技术负责人具有土地工程或规划工程师职称。</w:t>
            </w:r>
          </w:p>
          <w:p>
            <w:pPr>
              <w:widowControl w:val="0"/>
              <w:spacing w:line="288" w:lineRule="auto"/>
              <w:jc w:val="both"/>
              <w:rPr>
                <w:rFonts w:hint="default"/>
                <w:highlight w:val="none"/>
                <w:lang w:val="en-US" w:eastAsia="zh-CN"/>
              </w:rPr>
            </w:pPr>
            <w:r>
              <w:rPr>
                <w:rFonts w:hint="default"/>
                <w:highlight w:val="none"/>
                <w:lang w:val="en-US" w:eastAsia="zh-CN"/>
              </w:rPr>
              <w:tab/>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不需要提供证明材料</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需要提供证明材料，包括：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提供承诺书</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供应商只能提出唯一响应方案</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提供纸质版响应文件三份：一正两副          是否要求提供电子版响应文件：</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w:t>
            </w:r>
          </w:p>
          <w:p>
            <w:pPr>
              <w:spacing w:line="288"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pStyle w:val="36"/>
              <w:spacing w:before="0" w:beforeAutospacing="0" w:after="0" w:afterAutospacing="0"/>
              <w:jc w:val="center"/>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适用，供应商名称、（</w:t>
            </w:r>
            <w:r>
              <w:rPr>
                <w:rFonts w:hint="eastAsia" w:cs="宋体" w:asciiTheme="minorEastAsia" w:hAnsiTheme="minorEastAsia" w:eastAsiaTheme="minorEastAsia"/>
                <w:color w:val="auto"/>
                <w:sz w:val="24"/>
                <w:highlight w:val="none"/>
                <w:lang w:eastAsia="zh-CN"/>
              </w:rPr>
              <w:t>湖南省虞公港建设投</w:t>
            </w:r>
            <w:r>
              <w:rPr>
                <w:rFonts w:hint="eastAsia" w:cs="宋体" w:asciiTheme="minorEastAsia" w:hAnsiTheme="minorEastAsia" w:eastAsiaTheme="minorEastAsia"/>
                <w:color w:val="auto"/>
                <w:sz w:val="24"/>
                <w:highlight w:val="none"/>
                <w:lang w:val="en-US" w:eastAsia="zh-CN"/>
              </w:rPr>
              <w:t>资</w:t>
            </w:r>
            <w:r>
              <w:rPr>
                <w:rFonts w:hint="eastAsia" w:cs="宋体" w:asciiTheme="minorEastAsia" w:hAnsiTheme="minorEastAsia" w:eastAsiaTheme="minorEastAsia"/>
                <w:color w:val="auto"/>
                <w:sz w:val="24"/>
                <w:highlight w:val="none"/>
                <w:lang w:eastAsia="zh-CN"/>
              </w:rPr>
              <w:t>有限公司湘阴虞公港一期工程后方陆域建设用地补征服务</w:t>
            </w:r>
            <w:r>
              <w:rPr>
                <w:rFonts w:hint="eastAsia" w:cs="宋体" w:asciiTheme="minorEastAsia" w:hAnsiTheme="minorEastAsia" w:eastAsiaTheme="minorEastAsia"/>
                <w:color w:val="auto"/>
                <w:sz w:val="24"/>
                <w:highlight w:val="none"/>
                <w:u w:val="single"/>
              </w:rPr>
              <w:t xml:space="preserve">）响应文件、联系方式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yellow"/>
                <w:u w:val="single"/>
              </w:rPr>
            </w:pPr>
            <w:r>
              <w:rPr>
                <w:rFonts w:hint="eastAsia" w:cs="宋体" w:asciiTheme="minorEastAsia" w:hAnsiTheme="minorEastAsia" w:eastAsiaTheme="minorEastAsia"/>
                <w:color w:val="auto"/>
                <w:sz w:val="24"/>
                <w:highlight w:val="none"/>
              </w:rPr>
              <w:t>截止时间</w:t>
            </w:r>
            <w:r>
              <w:rPr>
                <w:rFonts w:hint="eastAsia" w:cs="宋体" w:asciiTheme="minorEastAsia" w:hAnsiTheme="minorEastAsia" w:eastAsiaTheme="minorEastAsia"/>
                <w:color w:val="auto"/>
                <w:sz w:val="24"/>
                <w:highlight w:val="yellow"/>
              </w:rPr>
              <w:t>：</w:t>
            </w:r>
            <w:r>
              <w:rPr>
                <w:rFonts w:hint="eastAsia" w:cs="宋体" w:asciiTheme="minorEastAsia" w:hAnsiTheme="minorEastAsia" w:eastAsiaTheme="minorEastAsia"/>
                <w:color w:val="auto"/>
                <w:sz w:val="24"/>
                <w:highlight w:val="yellow"/>
                <w:u w:val="single"/>
              </w:rPr>
              <w:t xml:space="preserve"> 202</w:t>
            </w:r>
            <w:r>
              <w:rPr>
                <w:rFonts w:hint="eastAsia" w:cs="宋体" w:asciiTheme="minorEastAsia" w:hAnsiTheme="minorEastAsia" w:eastAsiaTheme="minorEastAsia"/>
                <w:color w:val="auto"/>
                <w:sz w:val="24"/>
                <w:highlight w:val="yellow"/>
                <w:u w:val="single"/>
                <w:lang w:val="en-US" w:eastAsia="zh-CN"/>
              </w:rPr>
              <w:t>4</w:t>
            </w:r>
            <w:r>
              <w:rPr>
                <w:rFonts w:hint="eastAsia" w:cs="宋体" w:asciiTheme="minorEastAsia" w:hAnsiTheme="minorEastAsia" w:eastAsiaTheme="minorEastAsia"/>
                <w:color w:val="auto"/>
                <w:sz w:val="24"/>
                <w:highlight w:val="yellow"/>
                <w:u w:val="single"/>
              </w:rPr>
              <w:t xml:space="preserve">年 </w:t>
            </w:r>
            <w:r>
              <w:rPr>
                <w:rFonts w:hint="eastAsia" w:cs="宋体" w:asciiTheme="minorEastAsia" w:hAnsiTheme="minorEastAsia" w:eastAsiaTheme="minorEastAsia"/>
                <w:color w:val="auto"/>
                <w:sz w:val="24"/>
                <w:highlight w:val="yellow"/>
                <w:u w:val="single"/>
                <w:lang w:val="en-US" w:eastAsia="zh-CN"/>
              </w:rPr>
              <w:t>5</w:t>
            </w:r>
            <w:r>
              <w:rPr>
                <w:rFonts w:hint="eastAsia" w:cs="宋体" w:asciiTheme="minorEastAsia" w:hAnsiTheme="minorEastAsia" w:eastAsiaTheme="minorEastAsia"/>
                <w:color w:val="auto"/>
                <w:sz w:val="24"/>
                <w:highlight w:val="yellow"/>
                <w:u w:val="single"/>
              </w:rPr>
              <w:t xml:space="preserve"> 月 </w:t>
            </w:r>
            <w:r>
              <w:rPr>
                <w:rFonts w:hint="eastAsia" w:cs="宋体" w:asciiTheme="minorEastAsia" w:hAnsiTheme="minorEastAsia" w:eastAsiaTheme="minorEastAsia"/>
                <w:color w:val="auto"/>
                <w:sz w:val="24"/>
                <w:highlight w:val="yellow"/>
                <w:u w:val="single"/>
                <w:lang w:val="en-US" w:eastAsia="zh-CN"/>
              </w:rPr>
              <w:t>24</w:t>
            </w:r>
            <w:bookmarkStart w:id="46" w:name="_GoBack"/>
            <w:bookmarkEnd w:id="46"/>
            <w:r>
              <w:rPr>
                <w:rFonts w:hint="eastAsia" w:cs="宋体" w:asciiTheme="minorEastAsia" w:hAnsiTheme="minorEastAsia" w:eastAsiaTheme="minorEastAsia"/>
                <w:color w:val="auto"/>
                <w:sz w:val="24"/>
                <w:highlight w:val="yellow"/>
                <w:u w:val="single"/>
              </w:rPr>
              <w:t xml:space="preserve"> 日 </w:t>
            </w:r>
            <w:r>
              <w:rPr>
                <w:rFonts w:hint="eastAsia" w:cs="宋体" w:asciiTheme="minorEastAsia" w:hAnsiTheme="minorEastAsia" w:eastAsiaTheme="minorEastAsia"/>
                <w:color w:val="auto"/>
                <w:sz w:val="24"/>
                <w:highlight w:val="yellow"/>
                <w:u w:val="single"/>
                <w:lang w:val="en-US" w:eastAsia="zh-CN"/>
              </w:rPr>
              <w:t>12</w:t>
            </w:r>
            <w:r>
              <w:rPr>
                <w:rFonts w:hint="eastAsia" w:cs="宋体" w:asciiTheme="minorEastAsia" w:hAnsiTheme="minorEastAsia" w:eastAsiaTheme="minorEastAsia"/>
                <w:color w:val="auto"/>
                <w:sz w:val="24"/>
                <w:highlight w:val="yellow"/>
                <w:u w:val="single"/>
              </w:rPr>
              <w:t xml:space="preserve"> 时 </w:t>
            </w:r>
            <w:r>
              <w:rPr>
                <w:rFonts w:hint="eastAsia" w:cs="宋体" w:asciiTheme="minorEastAsia" w:hAnsiTheme="minorEastAsia" w:eastAsiaTheme="minorEastAsia"/>
                <w:color w:val="auto"/>
                <w:sz w:val="24"/>
                <w:highlight w:val="yellow"/>
                <w:u w:val="single"/>
                <w:lang w:val="en-US" w:eastAsia="zh-CN"/>
              </w:rPr>
              <w:t>0</w:t>
            </w:r>
            <w:r>
              <w:rPr>
                <w:rFonts w:hint="eastAsia" w:cs="宋体" w:asciiTheme="minorEastAsia" w:hAnsiTheme="minorEastAsia" w:eastAsiaTheme="minorEastAsia"/>
                <w:color w:val="auto"/>
                <w:sz w:val="24"/>
                <w:highlight w:val="yellow"/>
                <w:u w:val="single"/>
              </w:rPr>
              <w:t xml:space="preserve"> 分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yellow"/>
              </w:rPr>
              <w:t>递交响应文件的地点：</w:t>
            </w:r>
            <w:r>
              <w:rPr>
                <w:rFonts w:hint="eastAsia" w:cs="宋体" w:asciiTheme="minorEastAsia" w:hAnsiTheme="minorEastAsia" w:eastAsiaTheme="minorEastAsia"/>
                <w:color w:val="auto"/>
                <w:sz w:val="24"/>
                <w:highlight w:val="yellow"/>
                <w:u w:val="single"/>
              </w:rPr>
              <w:t xml:space="preserve"> </w:t>
            </w:r>
            <w:r>
              <w:rPr>
                <w:rFonts w:hint="eastAsia" w:asciiTheme="minorEastAsia" w:hAnsiTheme="minorEastAsia" w:eastAsiaTheme="minorEastAsia"/>
                <w:snapToGrid w:val="0"/>
                <w:color w:val="auto"/>
                <w:sz w:val="24"/>
                <w:highlight w:val="yellow"/>
                <w:u w:val="single"/>
                <w:lang w:val="en-US" w:eastAsia="zh-CN"/>
              </w:rPr>
              <w:t>湘阴县自然资源局206办公室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□是，退还时间：</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否</w:t>
            </w:r>
          </w:p>
          <w:p>
            <w:pPr>
              <w:spacing w:line="288"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□是</w:t>
            </w:r>
            <w:r>
              <w:rPr>
                <w:rFonts w:hint="eastAsia" w:cs="宋体" w:asciiTheme="minorEastAsia" w:hAnsiTheme="minorEastAsia" w:eastAsiaTheme="minorEastAsia"/>
                <w:color w:val="auto"/>
                <w:sz w:val="24"/>
                <w:highlight w:val="none"/>
                <w:lang w:val="en-US" w:eastAsia="zh-CN"/>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湖南省</w:t>
            </w:r>
            <w:r>
              <w:rPr>
                <w:rFonts w:hint="eastAsia" w:cs="宋体" w:asciiTheme="minorEastAsia" w:hAnsiTheme="minorEastAsia" w:eastAsiaTheme="minorEastAsia"/>
                <w:color w:val="auto"/>
                <w:sz w:val="24"/>
                <w:highlight w:val="none"/>
                <w:lang w:val="en-US" w:eastAsia="zh-CN"/>
              </w:rPr>
              <w:t>港务集团</w:t>
            </w:r>
            <w:r>
              <w:rPr>
                <w:rFonts w:hint="eastAsia" w:cs="宋体" w:asciiTheme="minorEastAsia" w:hAnsiTheme="minorEastAsia" w:eastAsiaTheme="minorEastAsia"/>
                <w:color w:val="auto"/>
                <w:sz w:val="24"/>
                <w:highlight w:val="none"/>
                <w:lang w:eastAsia="zh-CN"/>
              </w:rPr>
              <w:t>有限公司</w:t>
            </w:r>
            <w:r>
              <w:rPr>
                <w:rFonts w:hint="eastAsia" w:cs="宋体" w:asciiTheme="minorEastAsia" w:hAnsiTheme="minorEastAsia" w:eastAsiaTheme="minorEastAsia"/>
                <w:color w:val="auto"/>
                <w:sz w:val="24"/>
                <w:highlight w:val="none"/>
              </w:rPr>
              <w:t>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开启顺序：</w:t>
            </w:r>
            <w:r>
              <w:rPr>
                <w:rFonts w:hint="eastAsia" w:cs="宋体" w:asciiTheme="minorEastAsia" w:hAnsiTheme="minorEastAsia" w:eastAsiaTheme="minorEastAsia"/>
                <w:color w:val="auto"/>
                <w:sz w:val="24"/>
                <w:highlight w:val="none"/>
                <w:u w:val="single"/>
              </w:rPr>
              <w:t xml:space="preserve">   随机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其他应公布的信息：</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评标（谈判）小组构成：3人。</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评审（谈判）专家确定方式：采购代表1人，在</w:t>
            </w:r>
            <w:r>
              <w:rPr>
                <w:rFonts w:hint="eastAsia" w:cs="宋体" w:asciiTheme="minorEastAsia" w:hAnsiTheme="minorEastAsia" w:eastAsiaTheme="minorEastAsia"/>
                <w:color w:val="auto"/>
                <w:sz w:val="24"/>
                <w:highlight w:val="none"/>
                <w:lang w:eastAsia="zh-CN"/>
              </w:rPr>
              <w:t>湖南省港航水利集团有限公司</w:t>
            </w:r>
            <w:r>
              <w:rPr>
                <w:rFonts w:hint="eastAsia" w:cs="宋体" w:asciiTheme="minorEastAsia" w:hAnsiTheme="minorEastAsia" w:eastAsiaTheme="minorEastAsia"/>
                <w:color w:val="auto"/>
                <w:sz w:val="24"/>
                <w:highlight w:val="none"/>
              </w:rPr>
              <w:t>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是否排序：</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排序</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□不排序</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数量：</w:t>
            </w:r>
            <w:r>
              <w:rPr>
                <w:rFonts w:hint="eastAsia" w:cs="宋体" w:asciiTheme="minorEastAsia" w:hAnsiTheme="minorEastAsia" w:eastAsiaTheme="minorEastAsia"/>
                <w:color w:val="auto"/>
                <w:sz w:val="24"/>
                <w:highlight w:val="none"/>
                <w:u w:val="single"/>
                <w:lang w:val="en-US" w:eastAsia="zh-CN"/>
              </w:rPr>
              <w:t xml:space="preserve">  1</w:t>
            </w:r>
            <w:r>
              <w:rPr>
                <w:rFonts w:hint="eastAsia" w:cs="宋体" w:asciiTheme="minorEastAsia" w:hAnsiTheme="minorEastAsia" w:eastAsiaTheme="minorEastAsia"/>
                <w:color w:val="auto"/>
                <w:sz w:val="24"/>
                <w:highlight w:val="none"/>
                <w:u w:val="single"/>
              </w:rPr>
              <w:t xml:space="preserve">-3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公示媒介：</w:t>
            </w:r>
            <w:r>
              <w:rPr>
                <w:rFonts w:hint="eastAsia" w:ascii="宋体" w:hAnsi="宋体" w:cs="宋体"/>
                <w:color w:val="auto"/>
                <w:sz w:val="24"/>
                <w:highlight w:val="none"/>
              </w:rPr>
              <w:t>中国</w:t>
            </w:r>
            <w:r>
              <w:rPr>
                <w:rFonts w:hint="eastAsia" w:ascii="宋体" w:hAnsi="宋体" w:cs="宋体"/>
                <w:color w:val="auto"/>
                <w:sz w:val="24"/>
                <w:highlight w:val="none"/>
                <w:lang w:eastAsia="zh-CN"/>
              </w:rPr>
              <w:t>询价响应</w:t>
            </w:r>
            <w:r>
              <w:rPr>
                <w:rFonts w:hint="eastAsia" w:ascii="宋体" w:hAnsi="宋体" w:cs="宋体"/>
                <w:color w:val="auto"/>
                <w:sz w:val="24"/>
                <w:highlight w:val="none"/>
              </w:rPr>
              <w:t>公共服务平台（http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：//www.cebpubservice.com）、</w:t>
            </w:r>
            <w:r>
              <w:rPr>
                <w:rFonts w:hint="eastAsia" w:ascii="宋体" w:hAnsi="宋体" w:cs="宋体"/>
                <w:color w:val="auto"/>
                <w:sz w:val="24"/>
                <w:highlight w:val="none"/>
                <w:lang w:eastAsia="zh-CN"/>
              </w:rPr>
              <w:t>湖南省港航水利集团有限公司</w:t>
            </w:r>
            <w:r>
              <w:rPr>
                <w:rFonts w:hint="eastAsia" w:ascii="宋体" w:hAnsi="宋体" w:cs="宋体"/>
                <w:color w:val="auto"/>
                <w:sz w:val="24"/>
                <w:highlight w:val="none"/>
              </w:rPr>
              <w:t>网站（</w:t>
            </w:r>
            <w:r>
              <w:rPr>
                <w:rFonts w:hint="eastAsia" w:ascii="宋体" w:hAnsi="宋体" w:cs="宋体"/>
                <w:color w:val="auto"/>
                <w:sz w:val="24"/>
                <w:highlight w:val="none"/>
                <w:lang w:eastAsia="zh-CN"/>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www.hnsxsjt.com）、</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湖南</w:t>
            </w:r>
            <w:r>
              <w:rPr>
                <w:rFonts w:hint="eastAsia" w:ascii="宋体" w:hAnsi="宋体" w:cs="宋体"/>
                <w:color w:val="auto"/>
                <w:sz w:val="24"/>
                <w:highlight w:val="none"/>
                <w:u w:val="single"/>
                <w:lang w:val="en-US" w:eastAsia="zh-CN"/>
              </w:rPr>
              <w:t>省港务集团</w:t>
            </w:r>
            <w:r>
              <w:rPr>
                <w:rFonts w:hint="eastAsia" w:ascii="宋体" w:hAnsi="宋体" w:cs="宋体"/>
                <w:color w:val="auto"/>
                <w:sz w:val="24"/>
                <w:highlight w:val="none"/>
                <w:u w:val="single"/>
                <w:lang w:eastAsia="zh-CN"/>
              </w:rPr>
              <w:t>有限</w:t>
            </w:r>
            <w:r>
              <w:rPr>
                <w:rFonts w:hint="eastAsia" w:ascii="宋体" w:hAnsi="宋体" w:cs="宋体"/>
                <w:color w:val="auto"/>
                <w:sz w:val="24"/>
                <w:highlight w:val="none"/>
                <w:u w:val="single"/>
                <w:lang w:val="en-US" w:eastAsia="zh-CN"/>
              </w:rPr>
              <w:t>公司</w:t>
            </w:r>
            <w:r>
              <w:rPr>
                <w:rFonts w:hint="eastAsia" w:ascii="宋体" w:hAnsi="宋体" w:cs="宋体"/>
                <w:color w:val="auto"/>
                <w:sz w:val="24"/>
                <w:highlight w:val="none"/>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://www.hnsgwjt.com）上发布。</w:t>
            </w:r>
            <w:r>
              <w:rPr>
                <w:rFonts w:hint="eastAsia" w:cs="宋体" w:asciiTheme="minorEastAsia" w:hAnsiTheme="minorEastAsia" w:eastAsiaTheme="minorEastAsia"/>
                <w:color w:val="auto"/>
                <w:sz w:val="24"/>
                <w:highlight w:val="none"/>
                <w:u w:val="non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公示期限：</w:t>
            </w:r>
            <w:r>
              <w:rPr>
                <w:rFonts w:hint="eastAsia" w:cs="宋体" w:asciiTheme="minorEastAsia" w:hAnsiTheme="minorEastAsia" w:eastAsiaTheme="minorEastAsia"/>
                <w:color w:val="auto"/>
                <w:sz w:val="24"/>
                <w:highlight w:val="none"/>
                <w:u w:val="single"/>
              </w:rPr>
              <w:t xml:space="preserve">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不要求提交</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□要求递交</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履约保证金金额：</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履约保证金形式：</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履约保证金有效期限：</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递交时间：</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湖南省港务集团纪检监察部                 </w:t>
            </w:r>
          </w:p>
          <w:p>
            <w:pPr>
              <w:spacing w:line="288" w:lineRule="auto"/>
              <w:jc w:val="both"/>
              <w:rPr>
                <w:color w:val="auto"/>
                <w:highlight w:val="none"/>
                <w:lang w:val="zh-CN"/>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zh-CN"/>
              </w:rPr>
              <w:t>0730-</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zh-CN"/>
              </w:rPr>
              <w:t>8426255</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通信地址：</w:t>
            </w:r>
            <w:r>
              <w:rPr>
                <w:rFonts w:hint="eastAsia" w:cs="宋体" w:asciiTheme="minorEastAsia" w:hAnsiTheme="minorEastAsia" w:eastAsiaTheme="minorEastAsia"/>
                <w:color w:val="auto"/>
                <w:sz w:val="24"/>
                <w:highlight w:val="none"/>
                <w:u w:val="single"/>
              </w:rPr>
              <w:t xml:space="preserve">湖南省岳阳市云溪区沿江西路50米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不要求承担</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□要求承担</w:t>
            </w:r>
          </w:p>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费用标准或金额：</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缴费</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缴费</w:t>
            </w: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u w:val="single"/>
              </w:rPr>
              <w:t xml:space="preserve">                  </w:t>
            </w:r>
          </w:p>
        </w:tc>
      </w:tr>
    </w:tbl>
    <w:p>
      <w:pPr>
        <w:wordWrap w:val="0"/>
        <w:ind w:firstLine="482"/>
        <w:jc w:val="center"/>
        <w:rPr>
          <w:rFonts w:hint="eastAsia" w:ascii="黑体" w:hAnsi="黑体" w:eastAsia="黑体" w:cs="黑体"/>
          <w:sz w:val="24"/>
          <w:szCs w:val="24"/>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outlineLvl w:val="0"/>
        <w:rPr>
          <w:rFonts w:ascii="仿宋" w:hAnsi="仿宋" w:eastAsia="仿宋" w:cs="仿宋"/>
          <w:sz w:val="30"/>
          <w:szCs w:val="30"/>
          <w:highlight w:val="none"/>
        </w:rPr>
      </w:pPr>
      <w:bookmarkStart w:id="16" w:name="_Toc10726"/>
      <w:r>
        <w:rPr>
          <w:rFonts w:hint="eastAsia" w:ascii="华文中宋" w:hAnsi="华文中宋" w:eastAsia="华文中宋" w:cs="仿宋"/>
          <w:b/>
          <w:bCs/>
          <w:sz w:val="30"/>
          <w:szCs w:val="30"/>
          <w:highlight w:val="none"/>
        </w:rPr>
        <w:t>第二章 供应商须知正文</w:t>
      </w:r>
      <w:bookmarkEnd w:id="16"/>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4"/>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8"/>
        <w:spacing w:line="312" w:lineRule="auto"/>
        <w:ind w:firstLine="453" w:firstLineChars="189"/>
        <w:rPr>
          <w:rFonts w:hAnsi="宋体" w:eastAsia="宋体" w:cs="仿宋"/>
          <w:sz w:val="24"/>
          <w:szCs w:val="24"/>
          <w:highlight w:val="none"/>
        </w:rPr>
      </w:pPr>
      <w:r>
        <w:rPr>
          <w:rFonts w:hint="eastAsia" w:hAnsi="宋体" w:eastAsia="宋体" w:cs="仿宋"/>
          <w:sz w:val="24"/>
          <w:szCs w:val="24"/>
          <w:highlight w:val="none"/>
        </w:rPr>
        <w:t>询价采购，是指按照规定程序就采购项目向符合资格要求的供应商进行询价，通过评审、比较确定成交供应商的采购方式。</w:t>
      </w:r>
    </w:p>
    <w:p>
      <w:pPr>
        <w:pStyle w:val="6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1.1.2评审办法</w:t>
      </w:r>
    </w:p>
    <w:p>
      <w:pPr>
        <w:adjustRightInd w:val="0"/>
        <w:snapToGrid w:val="0"/>
        <w:spacing w:line="312" w:lineRule="auto"/>
        <w:jc w:val="both"/>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本次评标采用经评审的</w:t>
      </w:r>
      <w:r>
        <w:rPr>
          <w:rFonts w:hint="eastAsia" w:ascii="宋体" w:hAnsi="宋体" w:cs="Times New Roman"/>
          <w:color w:val="000000"/>
          <w:sz w:val="24"/>
          <w:szCs w:val="24"/>
          <w:highlight w:val="none"/>
          <w:lang w:val="en-US" w:eastAsia="zh-CN"/>
        </w:rPr>
        <w:t>综合评分</w:t>
      </w:r>
      <w:r>
        <w:rPr>
          <w:rFonts w:hint="eastAsia" w:ascii="宋体" w:hAnsi="宋体" w:eastAsia="宋体" w:cs="Times New Roman"/>
          <w:b w:val="0"/>
          <w:bCs w:val="0"/>
          <w:color w:val="000000"/>
          <w:sz w:val="24"/>
          <w:szCs w:val="24"/>
          <w:highlight w:val="none"/>
          <w:shd w:val="clear" w:color="FFFFFF" w:fill="D9D9D9"/>
        </w:rPr>
        <w:t>法</w:t>
      </w:r>
      <w:r>
        <w:rPr>
          <w:rFonts w:hint="eastAsia" w:ascii="宋体" w:hAnsi="宋体" w:eastAsia="宋体" w:cs="Times New Roman"/>
          <w:b w:val="0"/>
          <w:bCs w:val="0"/>
          <w:color w:val="000000"/>
          <w:sz w:val="24"/>
          <w:szCs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采购项目概况和供应商资格要求见第一章“采购公告”。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highlight w:val="none"/>
          <w14:textFill>
            <w14:solidFill>
              <w14:schemeClr w14:val="accent6"/>
            </w14:solidFill>
          </w14:textFill>
        </w:rPr>
      </w:pPr>
      <w:r>
        <w:rPr>
          <w:rFonts w:hint="eastAsia" w:ascii="宋体" w:hAnsi="宋体" w:cs="仿宋"/>
          <w:sz w:val="24"/>
          <w:highlight w:val="none"/>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1.9分包</w:t>
      </w:r>
      <w:r>
        <w:rPr>
          <w:rFonts w:hint="eastAsia" w:ascii="宋体" w:hAnsi="宋体" w:cs="仿宋"/>
          <w:b/>
          <w:bCs/>
          <w:sz w:val="24"/>
          <w:highlight w:val="none"/>
          <w:lang w:eastAsia="zh-CN"/>
        </w:rPr>
        <w:t>（</w:t>
      </w:r>
      <w:r>
        <w:rPr>
          <w:rFonts w:hint="eastAsia" w:ascii="宋体" w:hAnsi="宋体" w:cs="仿宋"/>
          <w:b/>
          <w:bCs/>
          <w:sz w:val="24"/>
          <w:highlight w:val="none"/>
        </w:rPr>
        <w:t>A、C)</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2采购文件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2.1采购文件的组成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采购公告</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供应商须知</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评审办法</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合同条款及格式</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采购需求</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w:t>
      </w:r>
      <w:r>
        <w:rPr>
          <w:rFonts w:hint="eastAsia" w:ascii="宋体" w:hAnsi="宋体" w:cs="仿宋"/>
          <w:sz w:val="24"/>
          <w:highlight w:val="none"/>
          <w:lang w:eastAsia="zh-CN"/>
        </w:rPr>
        <w:t>）</w:t>
      </w:r>
      <w:r>
        <w:rPr>
          <w:rFonts w:hint="eastAsia" w:ascii="宋体" w:hAnsi="宋体" w:cs="仿宋"/>
          <w:sz w:val="24"/>
          <w:highlight w:val="none"/>
        </w:rPr>
        <w:t>响应文件格式</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w:t>
      </w:r>
      <w:r>
        <w:rPr>
          <w:rFonts w:hint="eastAsia" w:ascii="宋体" w:hAnsi="宋体" w:cs="仿宋"/>
          <w:sz w:val="24"/>
          <w:highlight w:val="none"/>
          <w:lang w:eastAsia="zh-CN"/>
        </w:rPr>
        <w:t>）</w:t>
      </w:r>
      <w:r>
        <w:rPr>
          <w:rFonts w:hint="eastAsia" w:ascii="宋体" w:hAnsi="宋体" w:cs="仿宋"/>
          <w:sz w:val="24"/>
          <w:highlight w:val="none"/>
        </w:rPr>
        <w:t>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响应函</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授权委托书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响应保证金</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商务和技术偏差表</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(6</w:t>
      </w:r>
      <w:r>
        <w:rPr>
          <w:rFonts w:hint="eastAsia" w:ascii="宋体" w:hAnsi="宋体" w:cs="仿宋"/>
          <w:sz w:val="24"/>
          <w:highlight w:val="none"/>
          <w:lang w:eastAsia="zh-CN"/>
        </w:rPr>
        <w:t>）</w:t>
      </w:r>
      <w:r>
        <w:rPr>
          <w:rFonts w:hint="eastAsia" w:ascii="宋体" w:hAnsi="宋体" w:cs="仿宋"/>
          <w:sz w:val="24"/>
          <w:highlight w:val="none"/>
        </w:rPr>
        <w:t>报价表</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(7</w:t>
      </w:r>
      <w:r>
        <w:rPr>
          <w:rFonts w:hint="eastAsia" w:ascii="宋体" w:hAnsi="宋体" w:cs="仿宋"/>
          <w:sz w:val="24"/>
          <w:highlight w:val="none"/>
          <w:lang w:eastAsia="zh-CN"/>
        </w:rPr>
        <w:t>）</w:t>
      </w:r>
      <w:r>
        <w:rPr>
          <w:rFonts w:hint="eastAsia" w:ascii="宋体" w:hAnsi="宋体" w:cs="仿宋"/>
          <w:sz w:val="24"/>
          <w:highlight w:val="none"/>
        </w:rPr>
        <w:t>资格审查资料</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(8</w:t>
      </w:r>
      <w:r>
        <w:rPr>
          <w:rFonts w:hint="eastAsia" w:ascii="宋体" w:hAnsi="宋体" w:cs="仿宋"/>
          <w:sz w:val="24"/>
          <w:highlight w:val="none"/>
          <w:lang w:eastAsia="zh-CN"/>
        </w:rPr>
        <w:t>）</w:t>
      </w:r>
      <w:r>
        <w:rPr>
          <w:rFonts w:hint="eastAsia" w:ascii="宋体" w:hAnsi="宋体" w:cs="仿宋"/>
          <w:sz w:val="24"/>
          <w:highlight w:val="none"/>
        </w:rPr>
        <w:t>响应方案</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(9</w:t>
      </w:r>
      <w:r>
        <w:rPr>
          <w:rFonts w:hint="eastAsia" w:ascii="宋体" w:hAnsi="宋体" w:cs="仿宋"/>
          <w:sz w:val="24"/>
          <w:highlight w:val="none"/>
          <w:lang w:eastAsia="zh-CN"/>
        </w:rPr>
        <w:t>）</w:t>
      </w:r>
      <w:r>
        <w:rPr>
          <w:rFonts w:hint="eastAsia" w:ascii="宋体" w:hAnsi="宋体" w:cs="仿宋"/>
          <w:sz w:val="24"/>
          <w:highlight w:val="none"/>
        </w:rPr>
        <w:t>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w:t>
      </w:r>
      <w:r>
        <w:rPr>
          <w:rFonts w:hint="eastAsia" w:ascii="宋体" w:hAnsi="宋体" w:cs="仿宋"/>
          <w:sz w:val="24"/>
          <w:highlight w:val="none"/>
          <w:lang w:eastAsia="zh-CN"/>
        </w:rPr>
        <w:t>做出</w:t>
      </w:r>
      <w:r>
        <w:rPr>
          <w:rFonts w:hint="eastAsia" w:ascii="宋体" w:hAnsi="宋体" w:cs="仿宋"/>
          <w:sz w:val="24"/>
          <w:highlight w:val="none"/>
        </w:rPr>
        <w:t>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亲自签署响应文件、亲自参加采购的，响应文件不包括第3.1.1(2</w:t>
      </w:r>
      <w:r>
        <w:rPr>
          <w:rFonts w:hint="eastAsia" w:ascii="宋体" w:hAnsi="宋体" w:cs="仿宋"/>
          <w:sz w:val="24"/>
          <w:highlight w:val="none"/>
          <w:lang w:eastAsia="zh-CN"/>
        </w:rPr>
        <w:t>）</w:t>
      </w:r>
      <w:r>
        <w:rPr>
          <w:rFonts w:hint="eastAsia" w:ascii="宋体" w:hAnsi="宋体" w:cs="仿宋"/>
          <w:sz w:val="24"/>
          <w:highlight w:val="none"/>
        </w:rPr>
        <w:t>目所指的授权委托书。第一章“采购公告”规定不接受联合体的，或供应商没有组成联合体的，响应文件不包括第3.1.1(3</w:t>
      </w:r>
      <w:r>
        <w:rPr>
          <w:rFonts w:hint="eastAsia" w:ascii="宋体" w:hAnsi="宋体" w:cs="仿宋"/>
          <w:sz w:val="24"/>
          <w:highlight w:val="none"/>
          <w:lang w:eastAsia="zh-CN"/>
        </w:rPr>
        <w:t>）</w:t>
      </w:r>
      <w:r>
        <w:rPr>
          <w:rFonts w:hint="eastAsia" w:ascii="宋体" w:hAnsi="宋体" w:cs="仿宋"/>
          <w:sz w:val="24"/>
          <w:highlight w:val="none"/>
        </w:rPr>
        <w:t>目所指的联合体协议书。供应商须知前附表未要求供应商递交响应保证金的，响应文件不包括第3.1.1(4</w:t>
      </w:r>
      <w:r>
        <w:rPr>
          <w:rFonts w:hint="eastAsia" w:ascii="宋体" w:hAnsi="宋体" w:cs="仿宋"/>
          <w:sz w:val="24"/>
          <w:highlight w:val="none"/>
          <w:lang w:eastAsia="zh-CN"/>
        </w:rPr>
        <w:t>）</w:t>
      </w:r>
      <w:r>
        <w:rPr>
          <w:rFonts w:hint="eastAsia" w:ascii="宋体" w:hAnsi="宋体" w:cs="仿宋"/>
          <w:sz w:val="24"/>
          <w:highlight w:val="none"/>
        </w:rPr>
        <w:t>目所指的响应保证金。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FF0000"/>
          <w:sz w:val="24"/>
          <w:highlight w:val="none"/>
        </w:rPr>
      </w:pPr>
      <w:r>
        <w:rPr>
          <w:rFonts w:hint="eastAsia" w:ascii="宋体" w:hAnsi="宋体" w:cs="仿宋"/>
          <w:sz w:val="24"/>
          <w:highlight w:val="none"/>
        </w:rPr>
        <w:t>3.2.1供应商应按采购文件提供的格式</w:t>
      </w:r>
      <w:r>
        <w:rPr>
          <w:rFonts w:hint="eastAsia" w:ascii="宋体" w:hAnsi="宋体" w:cs="仿宋"/>
          <w:sz w:val="24"/>
          <w:highlight w:val="none"/>
          <w:lang w:eastAsia="zh-CN"/>
        </w:rPr>
        <w:t>（</w:t>
      </w:r>
      <w:r>
        <w:rPr>
          <w:rFonts w:hint="eastAsia" w:ascii="宋体" w:hAnsi="宋体" w:cs="仿宋"/>
          <w:sz w:val="24"/>
          <w:highlight w:val="none"/>
        </w:rPr>
        <w:t>见第六章“响应文件格式”</w:t>
      </w:r>
      <w:r>
        <w:rPr>
          <w:rFonts w:hint="eastAsia" w:ascii="宋体" w:hAnsi="宋体" w:cs="仿宋"/>
          <w:sz w:val="24"/>
          <w:highlight w:val="none"/>
          <w:lang w:eastAsia="zh-CN"/>
        </w:rPr>
        <w:t>）</w:t>
      </w:r>
      <w:r>
        <w:rPr>
          <w:rFonts w:hint="eastAsia" w:ascii="宋体" w:hAnsi="宋体" w:cs="仿宋"/>
          <w:sz w:val="24"/>
          <w:highlight w:val="none"/>
        </w:rPr>
        <w:t>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w:t>
      </w:r>
      <w:r>
        <w:rPr>
          <w:rFonts w:hint="eastAsia" w:ascii="宋体" w:hAnsi="宋体" w:cs="仿宋"/>
          <w:sz w:val="24"/>
          <w:highlight w:val="none"/>
          <w:lang w:eastAsia="zh-CN"/>
        </w:rPr>
        <w:t>供应商</w:t>
      </w:r>
      <w:r>
        <w:rPr>
          <w:rFonts w:hint="eastAsia" w:ascii="宋体" w:hAnsi="宋体" w:cs="仿宋"/>
          <w:sz w:val="24"/>
          <w:highlight w:val="none"/>
        </w:rPr>
        <w:t>拒绝延长的，其响应文件在原有效期届满后失效，但供应商有权收回其响应保证金。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3.4响应保证金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3.4.3有下列情形之一的，响应保证金将不予退还</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w:t>
      </w:r>
      <w:r>
        <w:rPr>
          <w:rFonts w:hint="eastAsia" w:ascii="宋体" w:hAnsi="宋体" w:cs="仿宋"/>
          <w:sz w:val="24"/>
          <w:highlight w:val="none"/>
          <w:lang w:eastAsia="zh-CN"/>
        </w:rPr>
        <w:t>）</w:t>
      </w:r>
      <w:r>
        <w:rPr>
          <w:rFonts w:hint="eastAsia" w:ascii="宋体" w:hAnsi="宋体" w:cs="仿宋"/>
          <w:sz w:val="24"/>
          <w:highlight w:val="none"/>
        </w:rPr>
        <w:t>供应商在响应文件有效期内撤销响应文件；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w:t>
      </w:r>
      <w:r>
        <w:rPr>
          <w:rFonts w:hint="eastAsia" w:ascii="宋体" w:hAnsi="宋体" w:cs="仿宋"/>
          <w:sz w:val="24"/>
          <w:highlight w:val="none"/>
          <w:lang w:eastAsia="zh-CN"/>
        </w:rPr>
        <w:t>）</w:t>
      </w:r>
      <w:r>
        <w:rPr>
          <w:rFonts w:hint="eastAsia" w:ascii="宋体" w:hAnsi="宋体" w:cs="仿宋"/>
          <w:sz w:val="24"/>
          <w:highlight w:val="none"/>
        </w:rPr>
        <w:t>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(3</w:t>
      </w:r>
      <w:r>
        <w:rPr>
          <w:rFonts w:hint="eastAsia" w:ascii="宋体" w:hAnsi="宋体" w:cs="仿宋"/>
          <w:sz w:val="24"/>
          <w:highlight w:val="none"/>
          <w:lang w:eastAsia="zh-CN"/>
        </w:rPr>
        <w:t>）</w:t>
      </w:r>
      <w:r>
        <w:rPr>
          <w:rFonts w:hint="eastAsia" w:ascii="宋体" w:hAnsi="宋体" w:cs="仿宋"/>
          <w:sz w:val="24"/>
          <w:highlight w:val="none"/>
        </w:rPr>
        <w:t>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供应商应提供供应商须知前附表3.5(1)-3.5(9</w:t>
      </w:r>
      <w:r>
        <w:rPr>
          <w:rFonts w:hint="eastAsia" w:ascii="宋体" w:hAnsi="宋体" w:cs="仿宋"/>
          <w:sz w:val="24"/>
          <w:highlight w:val="none"/>
          <w:lang w:eastAsia="zh-CN"/>
        </w:rPr>
        <w:t>）</w:t>
      </w:r>
      <w:r>
        <w:rPr>
          <w:rFonts w:hint="eastAsia" w:ascii="宋体" w:hAnsi="宋体" w:cs="仿宋"/>
          <w:sz w:val="24"/>
          <w:highlight w:val="none"/>
        </w:rPr>
        <w:t>中规定的资格审查资料，以证明其满足第一章“采购公告”对供应商的各项资格要求。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w:t>
      </w:r>
      <w:r>
        <w:rPr>
          <w:rFonts w:hint="eastAsia" w:ascii="宋体" w:hAnsi="宋体" w:cs="仿宋"/>
          <w:sz w:val="24"/>
          <w:highlight w:val="none"/>
          <w:lang w:eastAsia="zh-CN"/>
        </w:rPr>
        <w:t>（</w:t>
      </w:r>
      <w:r>
        <w:rPr>
          <w:rFonts w:hint="eastAsia" w:ascii="宋体" w:hAnsi="宋体" w:cs="仿宋"/>
          <w:sz w:val="24"/>
          <w:highlight w:val="none"/>
        </w:rPr>
        <w:t>标记“*”</w:t>
      </w:r>
      <w:r>
        <w:rPr>
          <w:rFonts w:hint="eastAsia" w:ascii="宋体" w:hAnsi="宋体" w:cs="仿宋"/>
          <w:sz w:val="24"/>
          <w:highlight w:val="none"/>
          <w:lang w:eastAsia="zh-CN"/>
        </w:rPr>
        <w:t>）</w:t>
      </w:r>
      <w:r>
        <w:rPr>
          <w:rFonts w:hint="eastAsia" w:ascii="宋体" w:hAnsi="宋体" w:cs="仿宋"/>
          <w:sz w:val="24"/>
          <w:highlight w:val="none"/>
        </w:rPr>
        <w:t>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w:t>
      </w:r>
      <w:r>
        <w:rPr>
          <w:rFonts w:hint="eastAsia" w:ascii="宋体" w:hAnsi="宋体" w:cs="仿宋"/>
          <w:sz w:val="24"/>
          <w:highlight w:val="none"/>
          <w:lang w:eastAsia="zh-CN"/>
        </w:rPr>
        <w:t>：</w:t>
      </w:r>
      <w:r>
        <w:rPr>
          <w:rFonts w:hint="eastAsia" w:ascii="宋体" w:hAnsi="宋体" w:cs="仿宋"/>
          <w:sz w:val="24"/>
          <w:highlight w:val="none"/>
        </w:rPr>
        <w:t>但</w:t>
      </w:r>
      <w:r>
        <w:rPr>
          <w:rFonts w:hint="eastAsia" w:ascii="宋体" w:hAnsi="宋体" w:cs="仿宋"/>
          <w:sz w:val="24"/>
          <w:highlight w:val="none"/>
          <w:lang w:eastAsia="zh-CN"/>
        </w:rPr>
        <w:t>如果</w:t>
      </w:r>
      <w:r>
        <w:rPr>
          <w:rFonts w:hint="eastAsia" w:ascii="宋体" w:hAnsi="宋体" w:cs="仿宋"/>
          <w:sz w:val="24"/>
          <w:highlight w:val="none"/>
        </w:rPr>
        <w:t>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w:t>
      </w:r>
      <w:r>
        <w:rPr>
          <w:rFonts w:hint="eastAsia" w:ascii="宋体" w:hAnsi="宋体" w:cs="仿宋"/>
          <w:sz w:val="24"/>
          <w:highlight w:val="none"/>
          <w:lang w:eastAsia="zh-CN"/>
        </w:rPr>
        <w:t>的</w:t>
      </w:r>
      <w:r>
        <w:rPr>
          <w:rFonts w:hint="eastAsia" w:ascii="宋体" w:hAnsi="宋体" w:cs="仿宋"/>
          <w:sz w:val="24"/>
          <w:highlight w:val="none"/>
        </w:rPr>
        <w:t>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应由联合体各方的法定代表人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由代理人签字的，应在响应文件中附授权委托书，授权委托书应由供应商或联合体各方的法定代表人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w:t>
      </w:r>
      <w:r>
        <w:rPr>
          <w:rFonts w:hint="eastAsia" w:ascii="宋体" w:hAnsi="宋体" w:cs="仿宋"/>
          <w:sz w:val="24"/>
          <w:highlight w:val="none"/>
          <w:lang w:eastAsia="zh-CN"/>
        </w:rPr>
        <w:t>不予退还</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w:t>
      </w:r>
      <w:r>
        <w:rPr>
          <w:rFonts w:hint="eastAsia" w:ascii="宋体" w:hAnsi="宋体" w:cs="仿宋"/>
          <w:sz w:val="24"/>
          <w:highlight w:val="none"/>
          <w:lang w:eastAsia="zh-CN"/>
        </w:rPr>
        <w:t>（</w:t>
      </w:r>
      <w:r>
        <w:rPr>
          <w:rFonts w:ascii="宋体" w:hAnsi="宋体" w:cs="仿宋"/>
          <w:sz w:val="24"/>
          <w:highlight w:val="none"/>
        </w:rPr>
        <w:t>单位负责人</w:t>
      </w:r>
      <w:r>
        <w:rPr>
          <w:rFonts w:hint="eastAsia" w:ascii="宋体" w:hAnsi="宋体" w:cs="仿宋"/>
          <w:sz w:val="24"/>
          <w:highlight w:val="none"/>
          <w:lang w:eastAsia="zh-CN"/>
        </w:rPr>
        <w:t>）</w:t>
      </w:r>
      <w:r>
        <w:rPr>
          <w:rFonts w:ascii="宋体" w:hAnsi="宋体" w:cs="仿宋"/>
          <w:sz w:val="24"/>
          <w:highlight w:val="none"/>
        </w:rPr>
        <w:t>或其授权的代理人签字并加盖单位章。采购人收到供应商修改响应文件的书面文件后，向供应商出具接收凭证</w:t>
      </w:r>
      <w:r>
        <w:rPr>
          <w:rFonts w:hint="eastAsia" w:ascii="宋体" w:hAnsi="宋体" w:cs="仿宋"/>
          <w:sz w:val="24"/>
          <w:highlight w:val="none"/>
          <w:lang w:eastAsia="zh-CN"/>
        </w:rPr>
        <w:t>；</w:t>
      </w:r>
      <w:r>
        <w:rPr>
          <w:rFonts w:ascii="宋体" w:hAnsi="宋体" w:cs="仿宋"/>
          <w:sz w:val="24"/>
          <w:highlight w:val="none"/>
        </w:rPr>
        <w:t>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w:t>
      </w:r>
      <w:r>
        <w:rPr>
          <w:rFonts w:hint="eastAsia" w:ascii="宋体" w:hAnsi="宋体" w:cs="仿宋"/>
          <w:bCs/>
          <w:sz w:val="24"/>
          <w:highlight w:val="none"/>
        </w:rPr>
        <w:t>如</w:t>
      </w:r>
      <w:r>
        <w:rPr>
          <w:rFonts w:hint="eastAsia" w:ascii="宋体" w:hAnsi="宋体" w:cs="仿宋"/>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采购人在本章第4.2.1项规定的递交响应文件的截止时间和地点公开开启响应文件，并邀请所有供应商的法定代表人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或其授权的代理人参加开启会议，供应商未派代表参加的，视为默认开启结果。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按照供应商须知前附表规定的开启顺序开启响应文件，公布递交响应文件的供应商名称、响应报价及供应商须知前附表规定的其他应公布的信息，并记录在案</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开启会议结束。</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6评审（适用于询价采购）</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w:t>
      </w:r>
      <w:r>
        <w:rPr>
          <w:rFonts w:hint="eastAsia" w:ascii="宋体" w:hAnsi="宋体" w:cs="仿宋"/>
          <w:sz w:val="24"/>
          <w:highlight w:val="none"/>
          <w:lang w:eastAsia="zh-CN"/>
        </w:rPr>
        <w:t>下列情形之一的</w:t>
      </w:r>
      <w:r>
        <w:rPr>
          <w:rFonts w:hint="eastAsia" w:ascii="宋体" w:hAnsi="宋体" w:cs="仿宋"/>
          <w:sz w:val="24"/>
          <w:highlight w:val="none"/>
        </w:rPr>
        <w:t>，应当回避</w:t>
      </w:r>
      <w:r>
        <w:rPr>
          <w:rFonts w:hint="eastAsia" w:ascii="宋体" w:hAnsi="宋体" w:cs="仿宋"/>
          <w:sz w:val="24"/>
          <w:highlight w:val="none"/>
          <w:lang w:eastAsia="zh-CN"/>
        </w:rPr>
        <w:t>：</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（1）供应商主要负责人或供应商主要负责人的近亲属</w:t>
      </w:r>
      <w:r>
        <w:rPr>
          <w:rFonts w:hint="eastAsia" w:ascii="宋体" w:hAnsi="宋体" w:cs="仿宋"/>
          <w:sz w:val="24"/>
          <w:highlight w:val="none"/>
          <w:lang w:eastAsia="zh-CN"/>
        </w:rPr>
        <w:t>；</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w:t>
      </w:r>
      <w:r>
        <w:rPr>
          <w:rFonts w:hint="eastAsia" w:ascii="宋体" w:hAnsi="宋体" w:cs="仿宋"/>
          <w:sz w:val="24"/>
          <w:highlight w:val="none"/>
          <w:lang w:eastAsia="zh-CN"/>
        </w:rPr>
        <w:t>或</w:t>
      </w:r>
      <w:r>
        <w:rPr>
          <w:rFonts w:hint="eastAsia" w:ascii="宋体" w:hAnsi="宋体" w:cs="仿宋"/>
          <w:sz w:val="24"/>
          <w:highlight w:val="none"/>
        </w:rPr>
        <w:t>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r>
        <w:rPr>
          <w:rFonts w:hint="eastAsia" w:ascii="宋体" w:hAnsi="宋体" w:cs="仿宋"/>
          <w:b/>
          <w:bCs/>
          <w:sz w:val="24"/>
          <w:highlight w:val="none"/>
          <w:lang w:eastAsia="zh-CN"/>
        </w:rPr>
        <w:t>（</w:t>
      </w:r>
      <w:r>
        <w:rPr>
          <w:rFonts w:hint="eastAsia" w:ascii="宋体" w:hAnsi="宋体" w:cs="仿宋"/>
          <w:b/>
          <w:bCs/>
          <w:sz w:val="24"/>
          <w:highlight w:val="none"/>
        </w:rPr>
        <w:t>B)</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 xml:space="preserve">公示 </w:t>
      </w:r>
    </w:p>
    <w:p>
      <w:pPr>
        <w:widowControl w:val="0"/>
        <w:adjustRightInd w:val="0"/>
        <w:snapToGrid w:val="0"/>
        <w:spacing w:line="312" w:lineRule="auto"/>
        <w:ind w:firstLine="480" w:firstLineChars="200"/>
        <w:jc w:val="both"/>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bookmarkStart w:id="17" w:name="_Toc24135"/>
      <w:r>
        <w:rPr>
          <w:rFonts w:hint="eastAsia" w:ascii="宋体" w:hAnsi="宋体" w:cs="宋体"/>
          <w:b/>
          <w:bCs/>
          <w:sz w:val="24"/>
          <w:highlight w:val="none"/>
        </w:rPr>
        <w:t>7.3成交结果异议</w:t>
      </w:r>
      <w:bookmarkEnd w:id="17"/>
      <w:r>
        <w:rPr>
          <w:rFonts w:hint="eastAsia" w:ascii="宋体" w:hAnsi="宋体" w:cs="宋体"/>
          <w:b/>
          <w:bCs/>
          <w:sz w:val="24"/>
          <w:highlight w:val="none"/>
        </w:rPr>
        <w:t xml:space="preserve">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highlight w:val="none"/>
        </w:rPr>
        <w:t>10</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w:t>
      </w:r>
      <w:r>
        <w:rPr>
          <w:rFonts w:hint="eastAsia" w:ascii="宋体" w:hAnsi="宋体" w:cs="仿宋"/>
          <w:sz w:val="24"/>
          <w:highlight w:val="none"/>
          <w:lang w:eastAsia="zh-CN"/>
        </w:rPr>
        <w:t>；</w:t>
      </w:r>
      <w:r>
        <w:rPr>
          <w:rFonts w:hint="eastAsia" w:ascii="宋体" w:hAnsi="宋体" w:cs="仿宋"/>
          <w:sz w:val="24"/>
          <w:highlight w:val="none"/>
        </w:rPr>
        <w:t>若修正后的响应报价大于评审价格，则签订合同时以评审价格为准。同时按比例修正相应子目的单价或合价</w:t>
      </w:r>
      <w:r>
        <w:rPr>
          <w:rFonts w:hint="eastAsia" w:ascii="宋体" w:hAnsi="宋体" w:cs="仿宋"/>
          <w:sz w:val="24"/>
          <w:highlight w:val="none"/>
          <w:lang w:eastAsia="zh-CN"/>
        </w:rPr>
        <w:t>（</w:t>
      </w:r>
      <w:r>
        <w:rPr>
          <w:rFonts w:hint="eastAsia" w:ascii="宋体" w:hAnsi="宋体" w:cs="仿宋"/>
          <w:sz w:val="24"/>
          <w:highlight w:val="none"/>
        </w:rPr>
        <w:t>采购文件不允许调整的费率和金额除外</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w:t>
      </w:r>
      <w:r>
        <w:rPr>
          <w:rFonts w:hint="eastAsia" w:ascii="宋体" w:hAnsi="宋体" w:cs="仿宋"/>
          <w:sz w:val="24"/>
          <w:highlight w:val="none"/>
          <w:lang w:eastAsia="zh-CN"/>
        </w:rPr>
        <w:t>）</w:t>
      </w:r>
      <w:r>
        <w:rPr>
          <w:rFonts w:hint="eastAsia" w:ascii="宋体" w:hAnsi="宋体" w:cs="仿宋"/>
          <w:sz w:val="24"/>
          <w:highlight w:val="none"/>
        </w:rPr>
        <w:t>异议人名称、地址、邮政编码、联系人及联系电话</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w:t>
      </w:r>
      <w:r>
        <w:rPr>
          <w:rFonts w:hint="eastAsia" w:ascii="宋体" w:hAnsi="宋体" w:cs="仿宋"/>
          <w:sz w:val="24"/>
          <w:highlight w:val="none"/>
          <w:lang w:eastAsia="zh-CN"/>
        </w:rPr>
        <w:t>）</w:t>
      </w:r>
      <w:r>
        <w:rPr>
          <w:rFonts w:hint="eastAsia" w:ascii="宋体" w:hAnsi="宋体" w:cs="仿宋"/>
          <w:sz w:val="24"/>
          <w:highlight w:val="none"/>
        </w:rPr>
        <w:t>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10.1采购代理服务费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供应商须知前附表规定由供应商承担采购代理服务费的，供应商应按照供应商须知前附表规定的费用标准或金额、</w:t>
      </w:r>
      <w:r>
        <w:rPr>
          <w:rFonts w:hint="eastAsia" w:ascii="宋体" w:hAnsi="宋体" w:cs="仿宋"/>
          <w:sz w:val="24"/>
          <w:highlight w:val="none"/>
          <w:lang w:eastAsia="zh-CN"/>
        </w:rPr>
        <w:t>缴费</w:t>
      </w:r>
      <w:r>
        <w:rPr>
          <w:rFonts w:hint="eastAsia" w:ascii="宋体" w:hAnsi="宋体" w:cs="仿宋"/>
          <w:sz w:val="24"/>
          <w:highlight w:val="none"/>
        </w:rPr>
        <w:t>时间和方式向采购代理机构支付代理服务费。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10.2其他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w:t>
      </w:r>
      <w:r>
        <w:rPr>
          <w:rFonts w:hint="eastAsia" w:ascii="宋体" w:hAnsi="宋体" w:cs="仿宋"/>
          <w:sz w:val="24"/>
          <w:highlight w:val="none"/>
          <w:lang w:eastAsia="zh-CN"/>
        </w:rPr>
        <w:t>：</w:t>
      </w:r>
      <w:r>
        <w:rPr>
          <w:rFonts w:hint="eastAsia" w:ascii="宋体" w:hAnsi="宋体" w:cs="仿宋"/>
          <w:sz w:val="24"/>
          <w:highlight w:val="none"/>
        </w:rPr>
        <w:t>见供应商须知前附表。</w:t>
      </w:r>
    </w:p>
    <w:p>
      <w:pPr>
        <w:adjustRightInd w:val="0"/>
        <w:snapToGrid w:val="0"/>
        <w:spacing w:line="312" w:lineRule="auto"/>
        <w:jc w:val="both"/>
        <w:rPr>
          <w:rFonts w:ascii="宋体" w:hAnsi="宋体" w:cs="仿宋"/>
          <w:sz w:val="24"/>
          <w:highlight w:val="none"/>
        </w:rPr>
      </w:pPr>
    </w:p>
    <w:p>
      <w:pPr>
        <w:adjustRightInd w:val="0"/>
        <w:snapToGrid w:val="0"/>
        <w:spacing w:line="312" w:lineRule="auto"/>
        <w:ind w:firstLine="453" w:firstLineChars="189"/>
        <w:jc w:val="both"/>
        <w:rPr>
          <w:rFonts w:ascii="宋体" w:hAnsi="宋体" w:cs="仿宋"/>
          <w:sz w:val="24"/>
          <w:highlight w:val="none"/>
        </w:rPr>
      </w:pPr>
    </w:p>
    <w:p>
      <w:pPr>
        <w:spacing w:line="312" w:lineRule="auto"/>
        <w:jc w:val="both"/>
        <w:rPr>
          <w:rFonts w:ascii="宋体" w:hAnsi="宋体" w:cs="仿宋"/>
          <w:sz w:val="24"/>
          <w:highlight w:val="none"/>
        </w:rPr>
      </w:pPr>
      <w:r>
        <w:rPr>
          <w:rFonts w:hint="eastAsia" w:ascii="宋体" w:hAnsi="宋体" w:cs="仿宋"/>
          <w:sz w:val="24"/>
          <w:highlight w:val="none"/>
        </w:rPr>
        <w:br w:type="page"/>
      </w:r>
    </w:p>
    <w:p>
      <w:pPr>
        <w:adjustRightInd w:val="0"/>
        <w:snapToGrid w:val="0"/>
        <w:spacing w:line="600" w:lineRule="exact"/>
        <w:ind w:firstLine="600" w:firstLineChars="200"/>
        <w:outlineLvl w:val="0"/>
        <w:rPr>
          <w:rFonts w:ascii="宋体" w:hAnsi="宋体" w:cs="仿宋"/>
          <w:sz w:val="30"/>
          <w:szCs w:val="30"/>
          <w:highlight w:val="none"/>
        </w:rPr>
      </w:pPr>
      <w:bookmarkStart w:id="18" w:name="_Toc32472"/>
      <w:r>
        <w:rPr>
          <w:rFonts w:hint="eastAsia" w:ascii="宋体" w:hAnsi="宋体" w:cs="仿宋"/>
          <w:sz w:val="30"/>
          <w:szCs w:val="30"/>
          <w:highlight w:val="none"/>
        </w:rPr>
        <w:t>附件1  开启记录表</w:t>
      </w:r>
      <w:bookmarkEnd w:id="18"/>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42"/>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2396"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密封情况</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1200" w:firstLineChars="50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spacing w:line="240" w:lineRule="auto"/>
        <w:jc w:val="both"/>
        <w:rPr>
          <w:rFonts w:ascii="仿宋" w:hAnsi="仿宋" w:eastAsia="仿宋" w:cs="仿宋"/>
          <w:sz w:val="30"/>
          <w:szCs w:val="30"/>
          <w:highlight w:val="none"/>
        </w:rPr>
      </w:pPr>
    </w:p>
    <w:p>
      <w:pPr>
        <w:spacing w:line="240" w:lineRule="auto"/>
        <w:jc w:val="both"/>
        <w:rPr>
          <w:rFonts w:ascii="仿宋" w:hAnsi="仿宋" w:eastAsia="仿宋" w:cs="仿宋"/>
          <w:sz w:val="30"/>
          <w:szCs w:val="30"/>
          <w:highlight w:val="none"/>
        </w:rPr>
      </w:pPr>
      <w:r>
        <w:rPr>
          <w:rFonts w:ascii="仿宋" w:hAnsi="仿宋" w:eastAsia="仿宋" w:cs="仿宋"/>
          <w:sz w:val="30"/>
          <w:szCs w:val="30"/>
          <w:highlight w:val="none"/>
        </w:rPr>
        <w:br w:type="page"/>
      </w: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lang w:eastAsia="zh-CN"/>
        </w:rPr>
        <w:t>（</w:t>
      </w:r>
      <w:r>
        <w:rPr>
          <w:rFonts w:hint="eastAsia" w:ascii="宋体" w:hAnsi="宋体" w:cs="仿宋"/>
          <w:sz w:val="24"/>
          <w:highlight w:val="none"/>
          <w:u w:val="single"/>
        </w:rPr>
        <w:t>供应商名称</w:t>
      </w:r>
      <w:r>
        <w:rPr>
          <w:rFonts w:hint="eastAsia" w:ascii="宋体" w:hAnsi="宋体" w:cs="仿宋"/>
          <w:sz w:val="24"/>
          <w:highlight w:val="none"/>
          <w:u w:val="single"/>
          <w:lang w:eastAsia="zh-CN"/>
        </w:rPr>
        <w:t>）</w:t>
      </w:r>
      <w:r>
        <w:rPr>
          <w:rFonts w:hint="eastAsia" w:ascii="宋体" w:hAnsi="宋体" w:cs="仿宋"/>
          <w:sz w:val="24"/>
          <w:highlight w:val="none"/>
          <w:u w:val="single"/>
        </w:rPr>
        <w:t>:</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r>
        <w:rPr>
          <w:rFonts w:hint="eastAsia" w:ascii="宋体" w:hAnsi="宋体" w:cs="仿宋"/>
          <w:sz w:val="24"/>
          <w:highlight w:val="none"/>
          <w:lang w:eastAsia="zh-CN"/>
        </w:rPr>
        <w:t>：</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lang w:eastAsia="zh-CN"/>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lang w:eastAsia="zh-CN"/>
        </w:rPr>
        <w:t>（</w:t>
      </w:r>
      <w:r>
        <w:rPr>
          <w:rFonts w:hint="eastAsia" w:ascii="宋体" w:hAnsi="宋体" w:cs="仿宋"/>
          <w:sz w:val="24"/>
          <w:highlight w:val="none"/>
          <w:u w:val="single"/>
        </w:rPr>
        <w:t>详细地址</w:t>
      </w:r>
      <w:r>
        <w:rPr>
          <w:rFonts w:hint="eastAsia" w:ascii="宋体" w:hAnsi="宋体" w:cs="仿宋"/>
          <w:sz w:val="24"/>
          <w:highlight w:val="none"/>
          <w:u w:val="single"/>
          <w:lang w:eastAsia="zh-CN"/>
        </w:rPr>
        <w:t>）</w:t>
      </w:r>
      <w:r>
        <w:rPr>
          <w:rFonts w:hint="eastAsia" w:ascii="宋体" w:hAnsi="宋体" w:cs="仿宋"/>
          <w:sz w:val="24"/>
          <w:highlight w:val="none"/>
        </w:rPr>
        <w:t>或发电子邮件至</w:t>
      </w:r>
      <w:r>
        <w:rPr>
          <w:rFonts w:hint="eastAsia" w:ascii="宋体" w:hAnsi="宋体" w:cs="仿宋"/>
          <w:sz w:val="24"/>
          <w:highlight w:val="none"/>
          <w:lang w:eastAsia="zh-CN"/>
        </w:rPr>
        <w:t>（</w:t>
      </w:r>
      <w:r>
        <w:rPr>
          <w:rFonts w:hint="eastAsia" w:ascii="宋体" w:hAnsi="宋体" w:cs="仿宋"/>
          <w:sz w:val="24"/>
          <w:highlight w:val="none"/>
          <w:u w:val="single"/>
        </w:rPr>
        <w:t>电子邮箱地址</w:t>
      </w:r>
      <w:r>
        <w:rPr>
          <w:rFonts w:hint="eastAsia" w:ascii="宋体" w:hAnsi="宋体" w:cs="仿宋"/>
          <w:sz w:val="24"/>
          <w:highlight w:val="none"/>
          <w:u w:val="single"/>
          <w:lang w:eastAsia="zh-CN"/>
        </w:rPr>
        <w:t>）</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lang w:eastAsia="zh-CN"/>
        </w:rPr>
        <w:t>（</w:t>
      </w:r>
      <w:r>
        <w:rPr>
          <w:rFonts w:hint="eastAsia" w:ascii="宋体" w:hAnsi="宋体" w:cs="仿宋"/>
          <w:sz w:val="24"/>
          <w:highlight w:val="none"/>
          <w:u w:val="single"/>
        </w:rPr>
        <w:t>详细地址</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4560" w:firstLineChars="1900"/>
        <w:jc w:val="both"/>
        <w:rPr>
          <w:rFonts w:ascii="宋体" w:hAnsi="宋体" w:cs="仿宋"/>
          <w:sz w:val="24"/>
          <w:highlight w:val="none"/>
          <w:u w:val="single"/>
        </w:rPr>
      </w:pPr>
      <w:r>
        <w:rPr>
          <w:rFonts w:hint="eastAsia" w:ascii="宋体" w:hAnsi="宋体" w:cs="仿宋"/>
          <w:sz w:val="24"/>
          <w:highlight w:val="none"/>
        </w:rPr>
        <w:t>采购人</w:t>
      </w:r>
      <w:r>
        <w:rPr>
          <w:rFonts w:hint="eastAsia" w:ascii="宋体" w:hAnsi="宋体" w:cs="仿宋"/>
          <w:sz w:val="24"/>
          <w:highlight w:val="none"/>
          <w:lang w:eastAsia="zh-CN"/>
        </w:rPr>
        <w:t>（</w:t>
      </w:r>
      <w:r>
        <w:rPr>
          <w:rFonts w:hint="eastAsia" w:ascii="宋体" w:hAnsi="宋体" w:cs="仿宋"/>
          <w:sz w:val="24"/>
          <w:highlight w:val="none"/>
        </w:rPr>
        <w:t>或采购代理机构</w:t>
      </w:r>
      <w:r>
        <w:rPr>
          <w:rFonts w:hint="eastAsia" w:ascii="宋体" w:hAnsi="宋体" w:cs="仿宋"/>
          <w:sz w:val="24"/>
          <w:highlight w:val="none"/>
          <w:lang w:eastAsia="zh-CN"/>
        </w:rPr>
        <w:t>）</w:t>
      </w:r>
      <w:r>
        <w:rPr>
          <w:rFonts w:hint="eastAsia" w:ascii="宋体" w:hAnsi="宋体" w:cs="仿宋"/>
          <w:sz w:val="24"/>
          <w:highlight w:val="none"/>
        </w:rPr>
        <w:t>:</w:t>
      </w:r>
      <w:r>
        <w:rPr>
          <w:rFonts w:hint="eastAsia" w:ascii="宋体" w:hAnsi="宋体" w:cs="仿宋"/>
          <w:sz w:val="24"/>
          <w:highlight w:val="none"/>
          <w:lang w:eastAsia="zh-CN"/>
        </w:rPr>
        <w:t>（</w:t>
      </w:r>
      <w:r>
        <w:rPr>
          <w:rFonts w:hint="eastAsia" w:ascii="宋体" w:hAnsi="宋体" w:cs="仿宋"/>
          <w:sz w:val="24"/>
          <w:highlight w:val="none"/>
          <w:u w:val="single"/>
        </w:rPr>
        <w:t>签字或盖单位章</w:t>
      </w:r>
      <w:r>
        <w:rPr>
          <w:rFonts w:hint="eastAsia" w:ascii="宋体" w:hAnsi="宋体" w:cs="仿宋"/>
          <w:sz w:val="24"/>
          <w:highlight w:val="none"/>
          <w:u w:val="single"/>
          <w:lang w:eastAsia="zh-CN"/>
        </w:rPr>
        <w:t>）</w:t>
      </w:r>
    </w:p>
    <w:p>
      <w:pPr>
        <w:spacing w:line="600" w:lineRule="exact"/>
        <w:ind w:firstLine="6480" w:firstLineChars="27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u w:val="singl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r>
        <w:rPr>
          <w:rFonts w:hint="eastAsia" w:ascii="宋体" w:hAnsi="宋体" w:cs="仿宋"/>
          <w:sz w:val="24"/>
          <w:highlight w:val="none"/>
          <w:lang w:eastAsia="zh-CN"/>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w:t>
      </w: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lang w:eastAsia="zh-CN"/>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hint="eastAsia" w:ascii="宋体" w:hAnsi="宋体" w:cs="仿宋"/>
          <w:sz w:val="24"/>
          <w:highlight w:val="none"/>
          <w:lang w:eastAsia="zh-CN"/>
        </w:rPr>
        <w:t>：</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adjustRightInd w:val="0"/>
        <w:snapToGrid w:val="0"/>
        <w:spacing w:line="600" w:lineRule="exact"/>
        <w:ind w:firstLine="3410" w:firstLineChars="1421"/>
        <w:jc w:val="both"/>
        <w:rPr>
          <w:rFonts w:ascii="宋体" w:hAnsi="宋体" w:cs="仿宋"/>
          <w:sz w:val="24"/>
          <w:highlight w:val="none"/>
          <w:u w:val="single"/>
        </w:rPr>
      </w:pPr>
      <w:r>
        <w:rPr>
          <w:rFonts w:hint="eastAsia" w:ascii="宋体" w:hAnsi="宋体" w:cs="仿宋"/>
          <w:sz w:val="24"/>
          <w:highlight w:val="none"/>
        </w:rPr>
        <w:t>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w:t>
      </w:r>
      <w:r>
        <w:rPr>
          <w:rFonts w:hint="eastAsia" w:ascii="宋体" w:hAnsi="宋体" w:cs="仿宋"/>
          <w:sz w:val="24"/>
          <w:highlight w:val="none"/>
          <w:lang w:eastAsia="zh-CN"/>
        </w:rPr>
        <w:t>：</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签字</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spacing w:line="600" w:lineRule="exact"/>
        <w:ind w:firstLine="5570" w:firstLineChars="2321"/>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u w:val="single"/>
          <w:lang w:eastAsia="zh-CN"/>
        </w:rPr>
        <w:t>（</w:t>
      </w:r>
      <w:r>
        <w:rPr>
          <w:rFonts w:hint="eastAsia" w:ascii="宋体" w:hAnsi="宋体" w:cs="仿宋"/>
          <w:sz w:val="24"/>
          <w:highlight w:val="none"/>
          <w:u w:val="single"/>
        </w:rPr>
        <w:t>成交供应商名称</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lang w:eastAsia="zh-CN"/>
        </w:rPr>
        <w:t>（</w:t>
      </w:r>
      <w:r>
        <w:rPr>
          <w:rFonts w:hint="eastAsia" w:ascii="宋体" w:hAnsi="宋体" w:cs="仿宋"/>
          <w:sz w:val="24"/>
          <w:highlight w:val="none"/>
          <w:u w:val="single"/>
        </w:rPr>
        <w:t>项目名称</w:t>
      </w:r>
      <w:r>
        <w:rPr>
          <w:rFonts w:hint="eastAsia" w:ascii="宋体" w:hAnsi="宋体" w:cs="仿宋"/>
          <w:sz w:val="24"/>
          <w:highlight w:val="none"/>
          <w:u w:val="single"/>
          <w:lang w:eastAsia="zh-CN"/>
        </w:rPr>
        <w:t>）</w:t>
      </w:r>
      <w:r>
        <w:rPr>
          <w:rFonts w:hint="eastAsia" w:ascii="宋体" w:hAnsi="宋体" w:cs="仿宋"/>
          <w:sz w:val="24"/>
          <w:highlight w:val="none"/>
        </w:rPr>
        <w:t>的响应文件已被我方接受，被确定为成交供应商。</w:t>
      </w:r>
    </w:p>
    <w:p>
      <w:pPr>
        <w:adjustRightInd w:val="0"/>
        <w:snapToGrid w:val="0"/>
        <w:spacing w:line="600" w:lineRule="exact"/>
        <w:ind w:firstLine="480" w:firstLineChars="200"/>
        <w:jc w:val="both"/>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lang w:eastAsia="zh-CN"/>
        </w:rPr>
        <w:t>（</w:t>
      </w:r>
      <w:r>
        <w:rPr>
          <w:rFonts w:hint="eastAsia" w:ascii="宋体" w:hAnsi="宋体" w:cs="仿宋"/>
          <w:sz w:val="24"/>
          <w:highlight w:val="none"/>
          <w:u w:val="single"/>
        </w:rPr>
        <w:t>指定地点</w:t>
      </w:r>
      <w:r>
        <w:rPr>
          <w:rFonts w:hint="eastAsia" w:ascii="宋体" w:hAnsi="宋体" w:cs="仿宋"/>
          <w:sz w:val="24"/>
          <w:highlight w:val="none"/>
          <w:u w:val="single"/>
          <w:lang w:eastAsia="zh-CN"/>
        </w:rPr>
        <w:t>）</w:t>
      </w:r>
      <w:r>
        <w:rPr>
          <w:rFonts w:hint="eastAsia" w:ascii="宋体" w:hAnsi="宋体" w:cs="仿宋"/>
          <w:sz w:val="24"/>
          <w:highlight w:val="none"/>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采购人</w:t>
      </w:r>
      <w:r>
        <w:rPr>
          <w:rFonts w:hint="eastAsia" w:ascii="宋体" w:hAnsi="宋体" w:cs="仿宋"/>
          <w:sz w:val="24"/>
          <w:highlight w:val="none"/>
          <w:lang w:eastAsia="zh-CN"/>
        </w:rPr>
        <w:t>（</w:t>
      </w:r>
      <w:r>
        <w:rPr>
          <w:rFonts w:hint="eastAsia" w:ascii="宋体" w:hAnsi="宋体" w:cs="仿宋"/>
          <w:sz w:val="24"/>
          <w:highlight w:val="none"/>
        </w:rPr>
        <w:t>或采购代理机构</w:t>
      </w:r>
      <w:r>
        <w:rPr>
          <w:rFonts w:hint="eastAsia" w:ascii="宋体" w:hAnsi="宋体" w:cs="仿宋"/>
          <w:sz w:val="24"/>
          <w:highlight w:val="none"/>
          <w:lang w:eastAsia="zh-CN"/>
        </w:rPr>
        <w:t>）</w:t>
      </w:r>
      <w:r>
        <w:rPr>
          <w:rFonts w:hint="eastAsia" w:ascii="宋体" w:hAnsi="宋体" w:cs="仿宋"/>
          <w:sz w:val="24"/>
          <w:highlight w:val="none"/>
        </w:rPr>
        <w:t>:</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adjustRightInd w:val="0"/>
        <w:snapToGrid w:val="0"/>
        <w:spacing w:line="600" w:lineRule="exact"/>
        <w:ind w:firstLine="6240" w:firstLineChars="26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 xml:space="preserve">           （采购人或采购代理机构名称</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lang w:eastAsia="zh-CN"/>
        </w:rPr>
        <w:t>发出的（</w:t>
      </w:r>
      <w:r>
        <w:rPr>
          <w:rFonts w:hint="eastAsia" w:ascii="宋体" w:hAnsi="宋体" w:cs="仿宋"/>
          <w:sz w:val="24"/>
          <w:highlight w:val="none"/>
          <w:u w:val="single"/>
        </w:rPr>
        <w:t>项目名称</w:t>
      </w:r>
      <w:r>
        <w:rPr>
          <w:rFonts w:hint="eastAsia" w:ascii="宋体" w:hAnsi="宋体" w:cs="仿宋"/>
          <w:sz w:val="24"/>
          <w:highlight w:val="none"/>
          <w:u w:val="single"/>
          <w:lang w:eastAsia="zh-CN"/>
        </w:rPr>
        <w:t>）</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hint="eastAsia" w:ascii="宋体" w:hAnsi="宋体" w:cs="仿宋"/>
          <w:sz w:val="24"/>
          <w:highlight w:val="none"/>
          <w:lang w:eastAsia="zh-CN"/>
        </w:rPr>
        <w:t>：</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pStyle w:val="79"/>
        <w:spacing w:line="600" w:lineRule="exact"/>
        <w:ind w:left="420" w:firstLine="5280" w:firstLineChars="2200"/>
        <w:jc w:val="both"/>
        <w:rPr>
          <w:rFonts w:cs="仿宋"/>
          <w:b/>
          <w:color w:val="000000"/>
          <w:highlight w:val="none"/>
        </w:rPr>
      </w:pP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年</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月</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日</w:t>
      </w:r>
    </w:p>
    <w:p>
      <w:pPr>
        <w:spacing w:line="240" w:lineRule="auto"/>
        <w:jc w:val="both"/>
        <w:rPr>
          <w:rFonts w:ascii="宋体" w:hAnsi="宋体" w:cs="仿宋"/>
          <w:b/>
          <w:color w:val="000000"/>
          <w:kern w:val="0"/>
          <w:sz w:val="24"/>
          <w:highlight w:val="none"/>
        </w:rPr>
      </w:pPr>
      <w:r>
        <w:rPr>
          <w:rFonts w:ascii="宋体" w:hAnsi="宋体" w:cs="仿宋"/>
          <w:b/>
          <w:color w:val="000000"/>
          <w:sz w:val="24"/>
          <w:highlight w:val="none"/>
        </w:rPr>
        <w:br w:type="page"/>
      </w:r>
    </w:p>
    <w:p>
      <w:pPr>
        <w:adjustRightInd w:val="0"/>
        <w:snapToGrid w:val="0"/>
        <w:spacing w:line="600" w:lineRule="exact"/>
        <w:jc w:val="center"/>
        <w:outlineLvl w:val="0"/>
        <w:rPr>
          <w:rFonts w:hint="eastAsia" w:ascii="黑体" w:hAnsi="黑体" w:eastAsia="黑体" w:cs="仿宋"/>
          <w:bCs/>
          <w:sz w:val="36"/>
          <w:szCs w:val="36"/>
          <w:highlight w:val="none"/>
          <w:lang w:val="en-US" w:eastAsia="zh-CN"/>
        </w:rPr>
      </w:pPr>
      <w:bookmarkStart w:id="19" w:name="_Toc17603"/>
      <w:bookmarkStart w:id="20" w:name="_Toc76635709"/>
      <w:bookmarkStart w:id="21" w:name="_Toc77254130"/>
      <w:r>
        <w:rPr>
          <w:rFonts w:hint="eastAsia" w:ascii="黑体" w:hAnsi="黑体" w:eastAsia="黑体" w:cs="仿宋"/>
          <w:bCs/>
          <w:sz w:val="36"/>
          <w:szCs w:val="36"/>
          <w:highlight w:val="none"/>
        </w:rPr>
        <w:t>第三章 评审办法</w:t>
      </w:r>
      <w:r>
        <w:rPr>
          <w:rFonts w:hint="eastAsia" w:ascii="黑体" w:hAnsi="黑体" w:eastAsia="黑体" w:cs="仿宋"/>
          <w:bCs/>
          <w:sz w:val="36"/>
          <w:szCs w:val="36"/>
          <w:highlight w:val="none"/>
          <w:lang w:eastAsia="zh-CN"/>
        </w:rPr>
        <w:t>（</w:t>
      </w:r>
      <w:r>
        <w:rPr>
          <w:rFonts w:hint="eastAsia" w:ascii="黑体" w:hAnsi="黑体" w:eastAsia="黑体" w:cs="仿宋"/>
          <w:bCs/>
          <w:sz w:val="36"/>
          <w:szCs w:val="36"/>
          <w:highlight w:val="none"/>
          <w:lang w:val="en-US" w:eastAsia="zh-CN"/>
        </w:rPr>
        <w:t>综合评分法</w:t>
      </w:r>
      <w:r>
        <w:rPr>
          <w:rFonts w:hint="eastAsia" w:ascii="黑体" w:hAnsi="黑体" w:eastAsia="黑体" w:cs="仿宋"/>
          <w:bCs/>
          <w:sz w:val="36"/>
          <w:szCs w:val="36"/>
          <w:highlight w:val="none"/>
          <w:lang w:eastAsia="zh-CN"/>
        </w:rPr>
        <w:t>）</w:t>
      </w:r>
      <w:bookmarkEnd w:id="19"/>
    </w:p>
    <w:p>
      <w:pPr>
        <w:adjustRightInd w:val="0"/>
        <w:snapToGrid w:val="0"/>
        <w:spacing w:before="120" w:beforeLines="50" w:after="120" w:afterLines="50" w:line="240" w:lineRule="auto"/>
        <w:jc w:val="center"/>
        <w:rPr>
          <w:rFonts w:ascii="黑体" w:hAnsi="黑体" w:eastAsia="黑体" w:cs="仿宋"/>
          <w:bCs/>
          <w:sz w:val="32"/>
          <w:szCs w:val="32"/>
          <w:highlight w:val="none"/>
        </w:rPr>
      </w:pPr>
      <w:r>
        <w:rPr>
          <w:rFonts w:hint="eastAsia" w:ascii="黑体" w:hAnsi="黑体" w:eastAsia="黑体" w:cs="仿宋"/>
          <w:bCs/>
          <w:sz w:val="32"/>
          <w:szCs w:val="32"/>
          <w:highlight w:val="none"/>
        </w:rPr>
        <w:t>评审办法前附表</w:t>
      </w:r>
    </w:p>
    <w:tbl>
      <w:tblPr>
        <w:tblStyle w:val="4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2257"/>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gridSpan w:val="2"/>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条款号及名称</w:t>
            </w:r>
          </w:p>
        </w:tc>
        <w:tc>
          <w:tcPr>
            <w:tcW w:w="2257"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992"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w:t>
            </w:r>
          </w:p>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方法</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评审方法</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lang w:val="en-US" w:eastAsia="zh-CN"/>
              </w:rPr>
              <w:t>综合评分</w:t>
            </w:r>
            <w:r>
              <w:rPr>
                <w:rFonts w:hint="eastAsia" w:ascii="宋体" w:hAnsi="宋体"/>
                <w:szCs w:val="21"/>
                <w:highlight w:val="none"/>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2.1.1</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形式评审标准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供应商名称</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rPr>
              <w:t>与</w:t>
            </w:r>
            <w:r>
              <w:rPr>
                <w:rFonts w:ascii="宋体" w:hAnsi="宋体"/>
                <w:szCs w:val="21"/>
                <w:highlight w:val="none"/>
              </w:rPr>
              <w:t>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响应文件签字盖章</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报价唯一</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ascii="宋体" w:hAnsi="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2.1.2</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资格评审标准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依法设立</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资质要求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财务要求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业绩要求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信誉要求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人员要求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其他要求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不存在第一章第3.2款情形</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2.1.3</w:t>
            </w:r>
          </w:p>
        </w:tc>
        <w:tc>
          <w:tcPr>
            <w:tcW w:w="992" w:type="dxa"/>
            <w:vMerge w:val="restart"/>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响应性评审标准</w:t>
            </w: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报价</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响应文件有效期</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响应方案</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服务要求</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完成期限</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ascii="宋体" w:hAnsi="宋体"/>
                <w:szCs w:val="21"/>
                <w:highlight w:val="none"/>
              </w:rPr>
              <w:t>权利义务</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ascii="宋体" w:hAnsi="宋体"/>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992" w:type="dxa"/>
            <w:vMerge w:val="continue"/>
            <w:vAlign w:val="center"/>
          </w:tcPr>
          <w:p>
            <w:pPr>
              <w:widowControl/>
              <w:adjustRightInd w:val="0"/>
              <w:snapToGrid w:val="0"/>
              <w:spacing w:line="288" w:lineRule="auto"/>
              <w:jc w:val="both"/>
              <w:rPr>
                <w:rFonts w:cs="仿宋" w:asciiTheme="minorEastAsia" w:hAnsiTheme="minorEastAsia" w:eastAsiaTheme="minorEastAsia"/>
                <w:szCs w:val="21"/>
                <w:highlight w:val="none"/>
              </w:rPr>
            </w:pPr>
          </w:p>
        </w:tc>
        <w:tc>
          <w:tcPr>
            <w:tcW w:w="2257"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对非关键条款的偏差</w:t>
            </w:r>
          </w:p>
        </w:tc>
        <w:tc>
          <w:tcPr>
            <w:tcW w:w="5676" w:type="dxa"/>
            <w:vAlign w:val="center"/>
          </w:tcPr>
          <w:p>
            <w:pPr>
              <w:widowControl/>
              <w:adjustRightInd w:val="0"/>
              <w:snapToGrid w:val="0"/>
              <w:spacing w:line="288" w:lineRule="auto"/>
              <w:jc w:val="both"/>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2"/>
            <w:vAlign w:val="center"/>
          </w:tcPr>
          <w:p>
            <w:pPr>
              <w:widowControl w:val="0"/>
              <w:spacing w:after="0" w:line="300" w:lineRule="exact"/>
              <w:jc w:val="both"/>
              <w:rPr>
                <w:rFonts w:cs="仿宋" w:asciiTheme="minorEastAsia" w:hAnsiTheme="minorEastAsia" w:eastAsiaTheme="minorEastAsia"/>
                <w:color w:val="0070C0"/>
                <w:szCs w:val="21"/>
                <w:highlight w:val="none"/>
              </w:rPr>
            </w:pPr>
            <w:bookmarkStart w:id="22" w:name="_Hlk104130227"/>
            <w:r>
              <w:rPr>
                <w:rFonts w:hint="eastAsia" w:ascii="宋体" w:hAnsi="宋体" w:eastAsia="宋体" w:cs="Times New Roman"/>
                <w:b/>
                <w:color w:val="000000"/>
                <w:sz w:val="21"/>
                <w:szCs w:val="21"/>
                <w:highlight w:val="none"/>
              </w:rPr>
              <w:t>条款号</w:t>
            </w:r>
          </w:p>
        </w:tc>
        <w:tc>
          <w:tcPr>
            <w:tcW w:w="2257" w:type="dxa"/>
            <w:vAlign w:val="center"/>
          </w:tcPr>
          <w:p>
            <w:pPr>
              <w:widowControl w:val="0"/>
              <w:spacing w:after="0" w:line="300" w:lineRule="exact"/>
              <w:jc w:val="center"/>
              <w:rPr>
                <w:rFonts w:cs="仿宋" w:asciiTheme="minorEastAsia" w:hAnsiTheme="minorEastAsia" w:eastAsiaTheme="minorEastAsia"/>
                <w:color w:val="0070C0"/>
                <w:szCs w:val="21"/>
                <w:highlight w:val="none"/>
              </w:rPr>
            </w:pPr>
            <w:r>
              <w:rPr>
                <w:rFonts w:hint="eastAsia" w:ascii="宋体" w:hAnsi="宋体" w:eastAsia="宋体" w:cs="Times New Roman"/>
                <w:b/>
                <w:color w:val="000000"/>
                <w:sz w:val="21"/>
                <w:szCs w:val="21"/>
                <w:highlight w:val="none"/>
              </w:rPr>
              <w:t>量化因素</w:t>
            </w:r>
          </w:p>
        </w:tc>
        <w:tc>
          <w:tcPr>
            <w:tcW w:w="5676" w:type="dxa"/>
            <w:vAlign w:val="center"/>
          </w:tcPr>
          <w:p>
            <w:pPr>
              <w:widowControl w:val="0"/>
              <w:spacing w:after="0" w:line="300" w:lineRule="exact"/>
              <w:jc w:val="both"/>
              <w:rPr>
                <w:rFonts w:cs="仿宋" w:asciiTheme="minorEastAsia" w:hAnsiTheme="minorEastAsia" w:eastAsiaTheme="minorEastAsia"/>
                <w:color w:val="0070C0"/>
                <w:szCs w:val="21"/>
                <w:highlight w:val="none"/>
              </w:rPr>
            </w:pPr>
            <w:r>
              <w:rPr>
                <w:rFonts w:hint="eastAsia" w:ascii="宋体" w:hAnsi="宋体" w:eastAsia="宋体" w:cs="Times New Roman"/>
                <w:b/>
                <w:color w:val="000000"/>
                <w:sz w:val="21"/>
                <w:szCs w:val="21"/>
                <w:highlight w:val="none"/>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1838" w:type="dxa"/>
            <w:gridSpan w:val="2"/>
            <w:vAlign w:val="center"/>
          </w:tcPr>
          <w:p>
            <w:pPr>
              <w:widowControl w:val="0"/>
              <w:adjustRightInd w:val="0"/>
              <w:snapToGrid w:val="0"/>
              <w:spacing w:after="0" w:line="288" w:lineRule="auto"/>
              <w:jc w:val="center"/>
              <w:rPr>
                <w:rFonts w:ascii="宋体" w:hAnsi="宋体" w:eastAsia="宋体" w:cs="Times New Roman"/>
                <w:color w:val="auto"/>
                <w:szCs w:val="21"/>
                <w:highlight w:val="none"/>
              </w:rPr>
            </w:pPr>
            <w:r>
              <w:rPr>
                <w:rFonts w:hint="eastAsia" w:ascii="宋体" w:hAnsi="宋体" w:eastAsia="宋体" w:cs="Times New Roman"/>
                <w:sz w:val="21"/>
                <w:szCs w:val="21"/>
                <w:highlight w:val="none"/>
              </w:rPr>
              <w:t>2.2.1</w:t>
            </w:r>
          </w:p>
        </w:tc>
        <w:tc>
          <w:tcPr>
            <w:tcW w:w="2257" w:type="dxa"/>
            <w:vAlign w:val="center"/>
          </w:tcPr>
          <w:p>
            <w:pPr>
              <w:widowControl w:val="0"/>
              <w:autoSpaceDE w:val="0"/>
              <w:autoSpaceDN w:val="0"/>
              <w:adjustRightInd w:val="0"/>
              <w:snapToGrid w:val="0"/>
              <w:spacing w:after="0" w:line="288"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分值构成</w:t>
            </w:r>
          </w:p>
          <w:p>
            <w:pPr>
              <w:widowControl w:val="0"/>
              <w:adjustRightInd w:val="0"/>
              <w:snapToGrid w:val="0"/>
              <w:spacing w:after="0" w:line="288" w:lineRule="auto"/>
              <w:ind w:left="1" w:leftChars="0"/>
              <w:jc w:val="center"/>
              <w:rPr>
                <w:rFonts w:ascii="宋体" w:hAnsi="宋体"/>
                <w:szCs w:val="21"/>
                <w:highlight w:val="none"/>
              </w:rPr>
            </w:pPr>
            <w:r>
              <w:rPr>
                <w:rFonts w:hint="eastAsia" w:ascii="宋体" w:hAnsi="宋体" w:eastAsia="宋体" w:cs="Times New Roman"/>
                <w:sz w:val="21"/>
                <w:szCs w:val="21"/>
                <w:highlight w:val="none"/>
              </w:rPr>
              <w:t>（总分100分）</w:t>
            </w:r>
          </w:p>
        </w:tc>
        <w:tc>
          <w:tcPr>
            <w:tcW w:w="5676" w:type="dxa"/>
            <w:vAlign w:val="center"/>
          </w:tcPr>
          <w:p>
            <w:pPr>
              <w:widowControl w:val="0"/>
              <w:adjustRightInd w:val="0"/>
              <w:snapToGrid w:val="0"/>
              <w:spacing w:after="0" w:line="288" w:lineRule="auto"/>
              <w:jc w:val="both"/>
              <w:rPr>
                <w:rFonts w:ascii="宋体" w:hAnsi="宋体" w:eastAsia="宋体" w:cs="Times New Roman"/>
                <w:sz w:val="21"/>
                <w:szCs w:val="21"/>
                <w:highlight w:val="none"/>
              </w:rPr>
            </w:pPr>
            <w:r>
              <w:rPr>
                <w:rFonts w:hint="eastAsia" w:ascii="宋体" w:hAnsi="宋体" w:eastAsia="宋体" w:cs="Times New Roman"/>
                <w:sz w:val="21"/>
                <w:szCs w:val="21"/>
                <w:highlight w:val="none"/>
              </w:rPr>
              <w:t>（1）商务部分：</w:t>
            </w:r>
            <w:r>
              <w:rPr>
                <w:rFonts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4</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p>
            <w:pPr>
              <w:widowControl w:val="0"/>
              <w:adjustRightInd w:val="0"/>
              <w:snapToGrid w:val="0"/>
              <w:spacing w:after="0" w:line="288" w:lineRule="auto"/>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（2）技术部分：</w:t>
            </w:r>
            <w:r>
              <w:rPr>
                <w:rFonts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p>
            <w:pPr>
              <w:widowControl w:val="0"/>
              <w:adjustRightInd w:val="0"/>
              <w:snapToGrid w:val="0"/>
              <w:spacing w:after="0" w:line="288" w:lineRule="auto"/>
              <w:jc w:val="both"/>
              <w:rPr>
                <w:rFonts w:ascii="宋体" w:hAnsi="宋体" w:eastAsia="宋体" w:cs="Times New Roman"/>
                <w:color w:val="auto"/>
                <w:szCs w:val="21"/>
                <w:highlight w:val="none"/>
              </w:rPr>
            </w:pPr>
            <w:r>
              <w:rPr>
                <w:rFonts w:hint="eastAsia" w:ascii="宋体" w:hAnsi="宋体" w:eastAsia="宋体" w:cs="Times New Roman"/>
                <w:sz w:val="21"/>
                <w:szCs w:val="21"/>
                <w:highlight w:val="none"/>
              </w:rPr>
              <w:t>（3）</w:t>
            </w: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w:t>
            </w:r>
            <w:r>
              <w:rPr>
                <w:rFonts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 xml:space="preserve">0 </w:t>
            </w:r>
            <w:r>
              <w:rPr>
                <w:rFonts w:hint="eastAsia" w:ascii="宋体" w:hAnsi="宋体" w:eastAsia="宋体" w:cs="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条款号</w:t>
            </w:r>
          </w:p>
        </w:tc>
        <w:tc>
          <w:tcPr>
            <w:tcW w:w="2257" w:type="dxa"/>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评分因素</w:t>
            </w:r>
          </w:p>
        </w:tc>
        <w:tc>
          <w:tcPr>
            <w:tcW w:w="5676" w:type="dxa"/>
            <w:vAlign w:val="center"/>
          </w:tcPr>
          <w:p>
            <w:pPr>
              <w:widowControl w:val="0"/>
              <w:adjustRightInd w:val="0"/>
              <w:snapToGrid w:val="0"/>
              <w:spacing w:after="0" w:line="288" w:lineRule="auto"/>
              <w:ind w:right="5" w:rightChars="0"/>
              <w:jc w:val="center"/>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Merge w:val="restart"/>
            <w:vAlign w:val="center"/>
          </w:tcPr>
          <w:p>
            <w:pPr>
              <w:widowControl w:val="0"/>
              <w:adjustRightInd w:val="0"/>
              <w:snapToGrid w:val="0"/>
              <w:spacing w:after="0" w:line="288" w:lineRule="auto"/>
              <w:ind w:right="5" w:rightChars="0"/>
              <w:jc w:val="center"/>
              <w:rPr>
                <w:rFonts w:hint="default" w:ascii="宋体" w:hAnsi="宋体" w:eastAsia="宋体" w:cs="Times New Roman"/>
                <w:b/>
                <w:sz w:val="21"/>
                <w:szCs w:val="21"/>
                <w:highlight w:val="none"/>
                <w:lang w:val="en-US" w:eastAsia="zh-CN"/>
              </w:rPr>
            </w:pPr>
            <w:r>
              <w:rPr>
                <w:rFonts w:hint="eastAsia" w:ascii="宋体" w:hAnsi="宋体" w:cs="Times New Roman"/>
                <w:b/>
                <w:sz w:val="21"/>
                <w:szCs w:val="21"/>
                <w:highlight w:val="none"/>
                <w:lang w:val="en-US" w:eastAsia="zh-CN"/>
              </w:rPr>
              <w:t>2.2.2</w:t>
            </w: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商务部分评分标准</w:t>
            </w:r>
          </w:p>
        </w:tc>
        <w:tc>
          <w:tcPr>
            <w:tcW w:w="5676"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详见本章</w:t>
            </w:r>
            <w:r>
              <w:rPr>
                <w:rFonts w:hint="eastAsia" w:ascii="宋体" w:hAnsi="宋体" w:eastAsia="宋体" w:cs="Times New Roman"/>
                <w:b/>
                <w:sz w:val="21"/>
                <w:szCs w:val="21"/>
                <w:highlight w:val="none"/>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838" w:type="dxa"/>
            <w:gridSpan w:val="2"/>
            <w:vMerge w:val="continue"/>
            <w:vAlign w:val="center"/>
          </w:tcPr>
          <w:p>
            <w:pPr>
              <w:widowControl w:val="0"/>
              <w:adjustRightInd w:val="0"/>
              <w:snapToGrid w:val="0"/>
              <w:spacing w:after="0" w:line="288" w:lineRule="auto"/>
              <w:ind w:right="5" w:rightChars="0"/>
              <w:jc w:val="center"/>
              <w:rPr>
                <w:rFonts w:hint="eastAsia" w:ascii="宋体" w:hAnsi="宋体" w:eastAsia="宋体" w:cs="Times New Roman"/>
                <w:b/>
                <w:sz w:val="21"/>
                <w:szCs w:val="21"/>
                <w:highlight w:val="none"/>
              </w:rPr>
            </w:pP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技术部分评分标准</w:t>
            </w:r>
          </w:p>
        </w:tc>
        <w:tc>
          <w:tcPr>
            <w:tcW w:w="5676"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详见本章</w:t>
            </w:r>
            <w:r>
              <w:rPr>
                <w:rFonts w:hint="eastAsia" w:ascii="宋体" w:hAnsi="宋体" w:eastAsia="宋体" w:cs="Times New Roman"/>
                <w:b/>
                <w:sz w:val="21"/>
                <w:szCs w:val="21"/>
                <w:highlight w:val="none"/>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exact"/>
          <w:jc w:val="center"/>
        </w:trPr>
        <w:tc>
          <w:tcPr>
            <w:tcW w:w="1838" w:type="dxa"/>
            <w:gridSpan w:val="2"/>
            <w:vMerge w:val="continue"/>
            <w:vAlign w:val="center"/>
          </w:tcPr>
          <w:p>
            <w:pPr>
              <w:widowControl w:val="0"/>
              <w:adjustRightInd w:val="0"/>
              <w:snapToGrid w:val="0"/>
              <w:spacing w:after="0" w:line="288" w:lineRule="auto"/>
              <w:ind w:right="5" w:rightChars="0"/>
              <w:jc w:val="center"/>
              <w:rPr>
                <w:rFonts w:hint="eastAsia" w:ascii="宋体" w:hAnsi="宋体" w:eastAsia="宋体" w:cs="Times New Roman"/>
                <w:b/>
                <w:sz w:val="21"/>
                <w:szCs w:val="21"/>
                <w:highlight w:val="none"/>
              </w:rPr>
            </w:pPr>
          </w:p>
        </w:tc>
        <w:tc>
          <w:tcPr>
            <w:tcW w:w="2257" w:type="dxa"/>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报价评分标准</w:t>
            </w:r>
          </w:p>
        </w:tc>
        <w:tc>
          <w:tcPr>
            <w:tcW w:w="5676" w:type="dxa"/>
            <w:vAlign w:val="center"/>
          </w:tcPr>
          <w:p>
            <w:pPr>
              <w:widowControl w:val="0"/>
              <w:adjustRightInd w:val="0"/>
              <w:snapToGrid w:val="0"/>
              <w:spacing w:after="0" w:line="288" w:lineRule="auto"/>
              <w:jc w:val="both"/>
              <w:rPr>
                <w:rFonts w:hint="eastAsia" w:ascii="宋体" w:hAnsi="宋体" w:eastAsia="宋体"/>
                <w:sz w:val="21"/>
                <w:szCs w:val="21"/>
                <w:highlight w:val="none"/>
              </w:rPr>
            </w:pPr>
            <w:r>
              <w:rPr>
                <w:rFonts w:ascii="宋体" w:hAnsi="宋体"/>
                <w:sz w:val="21"/>
                <w:szCs w:val="21"/>
                <w:highlight w:val="none"/>
              </w:rPr>
              <w:t>评标基准价的确定：除按规定被宣布否决的</w:t>
            </w:r>
            <w:r>
              <w:rPr>
                <w:rFonts w:hint="eastAsia" w:ascii="宋体" w:hAnsi="宋体"/>
                <w:sz w:val="21"/>
                <w:szCs w:val="21"/>
                <w:highlight w:val="none"/>
                <w:lang w:eastAsia="zh-CN"/>
              </w:rPr>
              <w:t>响应</w:t>
            </w:r>
            <w:r>
              <w:rPr>
                <w:rFonts w:ascii="宋体" w:hAnsi="宋体"/>
                <w:sz w:val="21"/>
                <w:szCs w:val="21"/>
                <w:highlight w:val="none"/>
              </w:rPr>
              <w:t>报价外，所有有效</w:t>
            </w:r>
            <w:r>
              <w:rPr>
                <w:rFonts w:hint="eastAsia" w:ascii="宋体" w:hAnsi="宋体"/>
                <w:sz w:val="21"/>
                <w:szCs w:val="21"/>
                <w:highlight w:val="none"/>
                <w:lang w:eastAsia="zh-CN"/>
              </w:rPr>
              <w:t>响应</w:t>
            </w:r>
            <w:r>
              <w:rPr>
                <w:rFonts w:ascii="宋体" w:hAnsi="宋体"/>
                <w:sz w:val="21"/>
                <w:szCs w:val="21"/>
                <w:highlight w:val="none"/>
              </w:rPr>
              <w:t>人的</w:t>
            </w:r>
            <w:r>
              <w:rPr>
                <w:rFonts w:hint="eastAsia" w:ascii="宋体" w:hAnsi="宋体"/>
                <w:sz w:val="21"/>
                <w:szCs w:val="21"/>
                <w:highlight w:val="none"/>
                <w:lang w:eastAsia="zh-CN"/>
              </w:rPr>
              <w:t>响应</w:t>
            </w:r>
            <w:r>
              <w:rPr>
                <w:rFonts w:ascii="宋体" w:hAnsi="宋体"/>
                <w:sz w:val="21"/>
                <w:szCs w:val="21"/>
                <w:highlight w:val="none"/>
              </w:rPr>
              <w:t>报价的算术平均值即为评标基准价。若有效</w:t>
            </w:r>
            <w:r>
              <w:rPr>
                <w:rFonts w:hint="eastAsia" w:ascii="宋体" w:hAnsi="宋体"/>
                <w:sz w:val="21"/>
                <w:szCs w:val="21"/>
                <w:highlight w:val="none"/>
                <w:lang w:eastAsia="zh-CN"/>
              </w:rPr>
              <w:t>响应</w:t>
            </w:r>
            <w:r>
              <w:rPr>
                <w:rFonts w:ascii="宋体" w:hAnsi="宋体"/>
                <w:sz w:val="21"/>
                <w:szCs w:val="21"/>
                <w:highlight w:val="none"/>
              </w:rPr>
              <w:t>人超过5家（含），则剔除一个最高、一个最低报价后，进行算术平均。</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lang w:eastAsia="zh-CN"/>
              </w:rPr>
              <w:t>响应</w:t>
            </w:r>
            <w:r>
              <w:rPr>
                <w:rFonts w:hint="eastAsia" w:ascii="宋体" w:hAnsi="宋体"/>
                <w:sz w:val="21"/>
                <w:szCs w:val="21"/>
                <w:highlight w:val="none"/>
              </w:rPr>
              <w:t>价得分计算公式为（计算结果保留两位小数）：</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rPr>
              <w:t>（1）如果</w:t>
            </w:r>
            <w:r>
              <w:rPr>
                <w:rFonts w:hint="eastAsia" w:ascii="宋体" w:hAnsi="宋体"/>
                <w:sz w:val="21"/>
                <w:szCs w:val="21"/>
                <w:highlight w:val="none"/>
                <w:lang w:eastAsia="zh-CN"/>
              </w:rPr>
              <w:t>响应</w:t>
            </w:r>
            <w:r>
              <w:rPr>
                <w:rFonts w:hint="eastAsia" w:ascii="宋体" w:hAnsi="宋体"/>
                <w:sz w:val="21"/>
                <w:szCs w:val="21"/>
                <w:highlight w:val="none"/>
              </w:rPr>
              <w:t>人的</w:t>
            </w:r>
            <w:r>
              <w:rPr>
                <w:rFonts w:hint="eastAsia" w:ascii="宋体" w:hAnsi="宋体"/>
                <w:sz w:val="21"/>
                <w:szCs w:val="21"/>
                <w:highlight w:val="none"/>
                <w:lang w:eastAsia="zh-CN"/>
              </w:rPr>
              <w:t>响应</w:t>
            </w:r>
            <w:r>
              <w:rPr>
                <w:rFonts w:hint="eastAsia" w:ascii="宋体" w:hAnsi="宋体"/>
                <w:sz w:val="21"/>
                <w:szCs w:val="21"/>
                <w:highlight w:val="none"/>
              </w:rPr>
              <w:t>价＞评标基准价，则</w:t>
            </w:r>
            <w:r>
              <w:rPr>
                <w:rFonts w:hint="eastAsia" w:ascii="宋体" w:hAnsi="宋体"/>
                <w:sz w:val="21"/>
                <w:szCs w:val="21"/>
                <w:highlight w:val="none"/>
                <w:lang w:eastAsia="zh-CN"/>
              </w:rPr>
              <w:t>响应</w:t>
            </w:r>
            <w:r>
              <w:rPr>
                <w:rFonts w:hint="eastAsia" w:ascii="宋体" w:hAnsi="宋体"/>
                <w:sz w:val="21"/>
                <w:szCs w:val="21"/>
                <w:highlight w:val="none"/>
              </w:rPr>
              <w:t>价得分=F—(</w:t>
            </w:r>
            <w:r>
              <w:rPr>
                <w:rFonts w:hint="eastAsia" w:ascii="宋体" w:hAnsi="宋体"/>
                <w:sz w:val="21"/>
                <w:szCs w:val="21"/>
                <w:highlight w:val="none"/>
                <w:lang w:eastAsia="zh-CN"/>
              </w:rPr>
              <w:t>响应</w:t>
            </w:r>
            <w:r>
              <w:rPr>
                <w:rFonts w:hint="eastAsia" w:ascii="宋体" w:hAnsi="宋体"/>
                <w:sz w:val="21"/>
                <w:szCs w:val="21"/>
                <w:highlight w:val="none"/>
              </w:rPr>
              <w:t>人</w:t>
            </w:r>
            <w:r>
              <w:rPr>
                <w:rFonts w:hint="eastAsia" w:ascii="宋体" w:hAnsi="宋体"/>
                <w:sz w:val="21"/>
                <w:szCs w:val="21"/>
                <w:highlight w:val="none"/>
                <w:lang w:eastAsia="zh-CN"/>
              </w:rPr>
              <w:t>响应</w:t>
            </w:r>
            <w:r>
              <w:rPr>
                <w:rFonts w:hint="eastAsia" w:ascii="宋体" w:hAnsi="宋体"/>
                <w:sz w:val="21"/>
                <w:szCs w:val="21"/>
                <w:highlight w:val="none"/>
              </w:rPr>
              <w:t>价—评标基准价)/评标基准价×100×E1；</w:t>
            </w:r>
          </w:p>
          <w:p>
            <w:pPr>
              <w:widowControl w:val="0"/>
              <w:adjustRightInd w:val="0"/>
              <w:snapToGrid w:val="0"/>
              <w:spacing w:after="0" w:line="288" w:lineRule="auto"/>
              <w:jc w:val="both"/>
              <w:rPr>
                <w:rFonts w:hint="eastAsia" w:ascii="宋体" w:hAnsi="宋体"/>
                <w:sz w:val="21"/>
                <w:szCs w:val="21"/>
                <w:highlight w:val="none"/>
              </w:rPr>
            </w:pPr>
            <w:r>
              <w:rPr>
                <w:rFonts w:hint="eastAsia" w:ascii="宋体" w:hAnsi="宋体"/>
                <w:sz w:val="21"/>
                <w:szCs w:val="21"/>
                <w:highlight w:val="none"/>
              </w:rPr>
              <w:t>（2）如果</w:t>
            </w:r>
            <w:r>
              <w:rPr>
                <w:rFonts w:hint="eastAsia" w:ascii="宋体" w:hAnsi="宋体"/>
                <w:sz w:val="21"/>
                <w:szCs w:val="21"/>
                <w:highlight w:val="none"/>
                <w:lang w:eastAsia="zh-CN"/>
              </w:rPr>
              <w:t>响应</w:t>
            </w:r>
            <w:r>
              <w:rPr>
                <w:rFonts w:hint="eastAsia" w:ascii="宋体" w:hAnsi="宋体"/>
                <w:sz w:val="21"/>
                <w:szCs w:val="21"/>
                <w:highlight w:val="none"/>
              </w:rPr>
              <w:t>人的</w:t>
            </w:r>
            <w:r>
              <w:rPr>
                <w:rFonts w:hint="eastAsia" w:ascii="宋体" w:hAnsi="宋体"/>
                <w:sz w:val="21"/>
                <w:szCs w:val="21"/>
                <w:highlight w:val="none"/>
                <w:lang w:eastAsia="zh-CN"/>
              </w:rPr>
              <w:t>响应</w:t>
            </w:r>
            <w:r>
              <w:rPr>
                <w:rFonts w:hint="eastAsia" w:ascii="宋体" w:hAnsi="宋体"/>
                <w:sz w:val="21"/>
                <w:szCs w:val="21"/>
                <w:highlight w:val="none"/>
              </w:rPr>
              <w:t>价≤评标基准价，则</w:t>
            </w:r>
            <w:r>
              <w:rPr>
                <w:rFonts w:hint="eastAsia" w:ascii="宋体" w:hAnsi="宋体"/>
                <w:sz w:val="21"/>
                <w:szCs w:val="21"/>
                <w:highlight w:val="none"/>
                <w:lang w:eastAsia="zh-CN"/>
              </w:rPr>
              <w:t>响应</w:t>
            </w:r>
            <w:r>
              <w:rPr>
                <w:rFonts w:hint="eastAsia" w:ascii="宋体" w:hAnsi="宋体"/>
                <w:sz w:val="21"/>
                <w:szCs w:val="21"/>
                <w:highlight w:val="none"/>
              </w:rPr>
              <w:t>价得分= F+(</w:t>
            </w:r>
            <w:r>
              <w:rPr>
                <w:rFonts w:hint="eastAsia" w:ascii="宋体" w:hAnsi="宋体"/>
                <w:sz w:val="21"/>
                <w:szCs w:val="21"/>
                <w:highlight w:val="none"/>
                <w:lang w:eastAsia="zh-CN"/>
              </w:rPr>
              <w:t>响应</w:t>
            </w:r>
            <w:r>
              <w:rPr>
                <w:rFonts w:hint="eastAsia" w:ascii="宋体" w:hAnsi="宋体"/>
                <w:sz w:val="21"/>
                <w:szCs w:val="21"/>
                <w:highlight w:val="none"/>
              </w:rPr>
              <w:t>人</w:t>
            </w:r>
            <w:r>
              <w:rPr>
                <w:rFonts w:hint="eastAsia" w:ascii="宋体" w:hAnsi="宋体"/>
                <w:sz w:val="21"/>
                <w:szCs w:val="21"/>
                <w:highlight w:val="none"/>
                <w:lang w:eastAsia="zh-CN"/>
              </w:rPr>
              <w:t>响应</w:t>
            </w:r>
            <w:r>
              <w:rPr>
                <w:rFonts w:hint="eastAsia" w:ascii="宋体" w:hAnsi="宋体"/>
                <w:sz w:val="21"/>
                <w:szCs w:val="21"/>
                <w:highlight w:val="none"/>
              </w:rPr>
              <w:t>价—评标基准价)/评标基准价×100×E 2；</w:t>
            </w:r>
          </w:p>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其中：F=</w:t>
            </w:r>
            <w:r>
              <w:rPr>
                <w:rFonts w:hint="eastAsia" w:ascii="宋体" w:hAnsi="宋体"/>
                <w:sz w:val="21"/>
                <w:szCs w:val="21"/>
                <w:highlight w:val="none"/>
                <w:lang w:val="en-US" w:eastAsia="zh-CN"/>
              </w:rPr>
              <w:t>3</w:t>
            </w:r>
            <w:r>
              <w:rPr>
                <w:rFonts w:hint="eastAsia" w:ascii="宋体" w:hAnsi="宋体"/>
                <w:sz w:val="21"/>
                <w:szCs w:val="21"/>
                <w:highlight w:val="none"/>
              </w:rPr>
              <w:t>0；E1=0.2；E2=0.1。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838" w:type="dxa"/>
            <w:gridSpan w:val="2"/>
            <w:vAlign w:val="center"/>
          </w:tcPr>
          <w:p>
            <w:pPr>
              <w:widowControl w:val="0"/>
              <w:adjustRightInd w:val="0"/>
              <w:snapToGrid w:val="0"/>
              <w:spacing w:after="0" w:line="288"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 w:val="21"/>
                <w:szCs w:val="21"/>
                <w:highlight w:val="none"/>
              </w:rPr>
              <w:t xml:space="preserve">3.4.1 </w:t>
            </w:r>
          </w:p>
        </w:tc>
        <w:tc>
          <w:tcPr>
            <w:tcW w:w="2257" w:type="dxa"/>
            <w:vAlign w:val="center"/>
          </w:tcPr>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人最终得分的计算方法</w:t>
            </w:r>
          </w:p>
        </w:tc>
        <w:tc>
          <w:tcPr>
            <w:tcW w:w="5676" w:type="dxa"/>
            <w:vAlign w:val="center"/>
          </w:tcPr>
          <w:p>
            <w:pPr>
              <w:widowControl w:val="0"/>
              <w:adjustRightInd w:val="0"/>
              <w:snapToGrid w:val="0"/>
              <w:spacing w:after="0" w:line="288" w:lineRule="auto"/>
              <w:jc w:val="both"/>
              <w:rPr>
                <w:rFonts w:hint="eastAsia" w:ascii="宋体" w:hAnsi="宋体" w:eastAsia="宋体" w:cs="Times New Roman"/>
                <w:kern w:val="2"/>
                <w:sz w:val="21"/>
                <w:szCs w:val="21"/>
                <w:highlight w:val="none"/>
                <w:lang w:val="en-US" w:eastAsia="zh-CN" w:bidi="ar-SA"/>
              </w:rPr>
            </w:pP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人最终得分为商务部分、技术部分、</w:t>
            </w:r>
            <w:r>
              <w:rPr>
                <w:rFonts w:hint="eastAsia" w:ascii="宋体" w:hAnsi="宋体" w:cs="Times New Roman"/>
                <w:sz w:val="21"/>
                <w:szCs w:val="21"/>
                <w:highlight w:val="none"/>
                <w:lang w:eastAsia="zh-CN"/>
              </w:rPr>
              <w:t>响应</w:t>
            </w:r>
            <w:r>
              <w:rPr>
                <w:rFonts w:hint="eastAsia" w:ascii="宋体" w:hAnsi="宋体" w:eastAsia="宋体" w:cs="Times New Roman"/>
                <w:sz w:val="21"/>
                <w:szCs w:val="21"/>
                <w:highlight w:val="none"/>
              </w:rPr>
              <w:t>报价部分3个方面评价得分之和。</w:t>
            </w:r>
          </w:p>
        </w:tc>
      </w:tr>
      <w:bookmarkEnd w:id="22"/>
    </w:tbl>
    <w:p>
      <w:pPr>
        <w:widowControl w:val="0"/>
        <w:adjustRightInd w:val="0"/>
        <w:snapToGrid w:val="0"/>
        <w:spacing w:line="312" w:lineRule="auto"/>
        <w:ind w:firstLine="420" w:firstLineChars="200"/>
        <w:jc w:val="both"/>
        <w:rPr>
          <w:highlight w:val="none"/>
        </w:rPr>
      </w:pPr>
      <w:r>
        <w:rPr>
          <w:highlight w:val="none"/>
        </w:rPr>
        <w:br w:type="page"/>
      </w:r>
    </w:p>
    <w:p>
      <w:pPr>
        <w:adjustRightInd w:val="0"/>
        <w:snapToGrid w:val="0"/>
        <w:spacing w:line="312" w:lineRule="auto"/>
        <w:jc w:val="center"/>
        <w:rPr>
          <w:rFonts w:ascii="宋体" w:hAnsi="宋体" w:cs="仿宋"/>
          <w:b/>
          <w:bCs/>
          <w:color w:val="auto"/>
          <w:sz w:val="36"/>
          <w:szCs w:val="36"/>
          <w:highlight w:val="none"/>
        </w:rPr>
      </w:pPr>
      <w:r>
        <w:rPr>
          <w:rFonts w:hint="eastAsia" w:ascii="宋体" w:hAnsi="宋体" w:cs="仿宋"/>
          <w:b/>
          <w:bCs/>
          <w:color w:val="auto"/>
          <w:sz w:val="36"/>
          <w:szCs w:val="36"/>
          <w:highlight w:val="none"/>
        </w:rPr>
        <w:t>评审办法正文</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1评审方法</w:t>
      </w:r>
      <w:r>
        <w:rPr>
          <w:rFonts w:hint="eastAsia" w:ascii="宋体" w:hAnsi="宋体" w:cs="仿宋"/>
          <w:b/>
          <w:bCs/>
          <w:color w:val="auto"/>
          <w:sz w:val="24"/>
          <w:highlight w:val="none"/>
          <w:lang w:eastAsia="zh-CN"/>
        </w:rPr>
        <w:t>（</w:t>
      </w:r>
      <w:r>
        <w:rPr>
          <w:rFonts w:hint="eastAsia" w:ascii="宋体" w:hAnsi="宋体" w:cs="仿宋"/>
          <w:b/>
          <w:bCs/>
          <w:color w:val="auto"/>
          <w:sz w:val="24"/>
          <w:highlight w:val="none"/>
          <w:lang w:val="en-US" w:eastAsia="zh-CN"/>
        </w:rPr>
        <w:t>综合评分法）</w:t>
      </w:r>
    </w:p>
    <w:p>
      <w:pPr>
        <w:widowControl w:val="0"/>
        <w:adjustRightInd w:val="0"/>
        <w:snapToGrid w:val="0"/>
        <w:spacing w:after="0" w:line="312" w:lineRule="auto"/>
        <w:ind w:firstLine="480" w:firstLineChars="200"/>
        <w:jc w:val="both"/>
        <w:rPr>
          <w:rFonts w:ascii="宋体" w:hAnsi="宋体" w:eastAsia="宋体" w:cs="Times New Roman"/>
          <w:sz w:val="24"/>
          <w:szCs w:val="24"/>
          <w:highlight w:val="none"/>
        </w:rPr>
      </w:pPr>
      <w:r>
        <w:rPr>
          <w:rFonts w:hint="eastAsia" w:ascii="宋体" w:hAnsi="宋体" w:cs="仿宋"/>
          <w:color w:val="auto"/>
          <w:sz w:val="24"/>
          <w:highlight w:val="none"/>
        </w:rPr>
        <w:t>本次评审采用</w:t>
      </w:r>
      <w:r>
        <w:rPr>
          <w:rFonts w:hint="eastAsia" w:ascii="宋体" w:hAnsi="宋体" w:cs="仿宋"/>
          <w:color w:val="auto"/>
          <w:sz w:val="24"/>
          <w:highlight w:val="none"/>
          <w:lang w:val="en-US" w:eastAsia="zh-CN"/>
        </w:rPr>
        <w:t>综合评分法</w:t>
      </w:r>
      <w:r>
        <w:rPr>
          <w:rFonts w:hint="eastAsia" w:ascii="宋体" w:hAnsi="宋体" w:cs="仿宋"/>
          <w:color w:val="auto"/>
          <w:sz w:val="24"/>
          <w:highlight w:val="none"/>
        </w:rPr>
        <w:t>。</w:t>
      </w:r>
      <w:r>
        <w:rPr>
          <w:rFonts w:hint="eastAsia" w:ascii="宋体" w:hAnsi="宋体" w:eastAsia="宋体" w:cs="Times New Roman"/>
          <w:color w:val="auto"/>
          <w:sz w:val="24"/>
          <w:szCs w:val="24"/>
          <w:highlight w:val="none"/>
        </w:rPr>
        <w:t>评标委员会对满足</w:t>
      </w:r>
      <w:r>
        <w:rPr>
          <w:rFonts w:hint="eastAsia" w:ascii="宋体" w:hAnsi="宋体" w:cs="Times New Roman"/>
          <w:color w:val="auto"/>
          <w:sz w:val="24"/>
          <w:szCs w:val="24"/>
          <w:highlight w:val="none"/>
          <w:lang w:val="en-US" w:eastAsia="zh-CN"/>
        </w:rPr>
        <w:t>询价</w:t>
      </w:r>
      <w:r>
        <w:rPr>
          <w:rFonts w:hint="eastAsia" w:ascii="宋体" w:hAnsi="宋体" w:eastAsia="宋体" w:cs="Times New Roman"/>
          <w:color w:val="auto"/>
          <w:sz w:val="24"/>
          <w:szCs w:val="24"/>
          <w:highlight w:val="none"/>
        </w:rPr>
        <w:t>文件实质性要求的</w:t>
      </w:r>
      <w:r>
        <w:rPr>
          <w:rFonts w:hint="eastAsia" w:ascii="宋体" w:hAnsi="宋体" w:cs="Times New Roman"/>
          <w:color w:val="auto"/>
          <w:sz w:val="24"/>
          <w:szCs w:val="24"/>
          <w:highlight w:val="none"/>
          <w:lang w:val="en-US" w:eastAsia="zh-CN"/>
        </w:rPr>
        <w:t>报价</w:t>
      </w:r>
      <w:r>
        <w:rPr>
          <w:rFonts w:hint="eastAsia" w:ascii="宋体" w:hAnsi="宋体" w:eastAsia="宋体" w:cs="Times New Roman"/>
          <w:color w:val="auto"/>
          <w:sz w:val="24"/>
          <w:szCs w:val="24"/>
          <w:highlight w:val="none"/>
        </w:rPr>
        <w:t>文件，按照本章第 2.2 款规定的评分标准进行打分，并按得分由高到低顺序推荐</w:t>
      </w:r>
      <w:r>
        <w:rPr>
          <w:rFonts w:hint="eastAsia" w:ascii="宋体" w:hAnsi="宋体" w:cs="Times New Roman"/>
          <w:color w:val="auto"/>
          <w:sz w:val="24"/>
          <w:szCs w:val="24"/>
          <w:highlight w:val="none"/>
          <w:lang w:eastAsia="zh-CN"/>
        </w:rPr>
        <w:t>成</w:t>
      </w:r>
      <w:r>
        <w:rPr>
          <w:rFonts w:hint="eastAsia" w:ascii="宋体" w:hAnsi="宋体" w:cs="Times New Roman"/>
          <w:sz w:val="24"/>
          <w:szCs w:val="24"/>
          <w:highlight w:val="none"/>
          <w:lang w:eastAsia="zh-CN"/>
        </w:rPr>
        <w:t>交</w:t>
      </w:r>
      <w:r>
        <w:rPr>
          <w:rFonts w:hint="eastAsia" w:ascii="宋体" w:hAnsi="宋体" w:eastAsia="宋体" w:cs="Times New Roman"/>
          <w:sz w:val="24"/>
          <w:szCs w:val="24"/>
          <w:highlight w:val="none"/>
        </w:rPr>
        <w:t>候选人，但报价低于</w:t>
      </w:r>
      <w:r>
        <w:rPr>
          <w:rFonts w:hint="eastAsia" w:ascii="宋体" w:hAnsi="宋体" w:cs="Times New Roman"/>
          <w:sz w:val="24"/>
          <w:szCs w:val="24"/>
          <w:highlight w:val="none"/>
          <w:lang w:val="en-US" w:eastAsia="zh-CN"/>
        </w:rPr>
        <w:t>其成本</w:t>
      </w:r>
      <w:r>
        <w:rPr>
          <w:rFonts w:hint="eastAsia" w:ascii="宋体" w:hAnsi="宋体" w:eastAsia="宋体" w:cs="Times New Roman"/>
          <w:sz w:val="24"/>
          <w:szCs w:val="24"/>
          <w:highlight w:val="none"/>
        </w:rPr>
        <w:t>的除外。综合评分相等时，以</w:t>
      </w:r>
      <w:r>
        <w:rPr>
          <w:rFonts w:hint="eastAsia" w:ascii="宋体" w:hAnsi="宋体" w:cs="Times New Roman"/>
          <w:sz w:val="24"/>
          <w:szCs w:val="24"/>
          <w:highlight w:val="none"/>
          <w:lang w:eastAsia="zh-CN"/>
        </w:rPr>
        <w:t>响应</w:t>
      </w:r>
      <w:r>
        <w:rPr>
          <w:rFonts w:hint="eastAsia" w:ascii="宋体" w:hAnsi="宋体" w:eastAsia="宋体" w:cs="Times New Roman"/>
          <w:sz w:val="24"/>
          <w:szCs w:val="24"/>
          <w:highlight w:val="none"/>
        </w:rPr>
        <w:t>报价低的优先；</w:t>
      </w:r>
      <w:r>
        <w:rPr>
          <w:rFonts w:hint="eastAsia" w:ascii="宋体" w:hAnsi="宋体" w:cs="Times New Roman"/>
          <w:sz w:val="24"/>
          <w:szCs w:val="24"/>
          <w:highlight w:val="none"/>
          <w:lang w:eastAsia="zh-CN"/>
        </w:rPr>
        <w:t>响应</w:t>
      </w:r>
      <w:r>
        <w:rPr>
          <w:rFonts w:hint="eastAsia" w:ascii="宋体" w:hAnsi="宋体" w:eastAsia="宋体" w:cs="Times New Roman"/>
          <w:sz w:val="24"/>
          <w:szCs w:val="24"/>
          <w:highlight w:val="none"/>
        </w:rPr>
        <w:t>报价也相等的，以技术部分得分高的优先；如果技术部分得分也相等，</w:t>
      </w:r>
      <w:r>
        <w:rPr>
          <w:rFonts w:ascii="宋体" w:hAnsi="宋体" w:eastAsia="宋体" w:cs="Times New Roman"/>
          <w:sz w:val="24"/>
          <w:szCs w:val="24"/>
          <w:highlight w:val="none"/>
        </w:rPr>
        <w:t>由</w:t>
      </w:r>
      <w:r>
        <w:rPr>
          <w:rFonts w:hint="eastAsia" w:ascii="宋体" w:hAnsi="宋体" w:cs="Times New Roman"/>
          <w:sz w:val="24"/>
          <w:szCs w:val="24"/>
          <w:highlight w:val="none"/>
          <w:lang w:eastAsia="zh-CN"/>
        </w:rPr>
        <w:t>询价</w:t>
      </w:r>
      <w:r>
        <w:rPr>
          <w:rFonts w:ascii="宋体" w:hAnsi="宋体" w:eastAsia="宋体" w:cs="Times New Roman"/>
          <w:sz w:val="24"/>
          <w:szCs w:val="24"/>
          <w:highlight w:val="none"/>
        </w:rPr>
        <w:t>人或者经</w:t>
      </w:r>
      <w:r>
        <w:rPr>
          <w:rFonts w:hint="eastAsia" w:ascii="宋体" w:hAnsi="宋体" w:cs="Times New Roman"/>
          <w:sz w:val="24"/>
          <w:szCs w:val="24"/>
          <w:highlight w:val="none"/>
          <w:lang w:eastAsia="zh-CN"/>
        </w:rPr>
        <w:t>询价</w:t>
      </w:r>
      <w:r>
        <w:rPr>
          <w:rFonts w:ascii="宋体" w:hAnsi="宋体" w:eastAsia="宋体" w:cs="Times New Roman"/>
          <w:sz w:val="24"/>
          <w:szCs w:val="24"/>
          <w:highlight w:val="none"/>
        </w:rPr>
        <w:t>人授权评标委员会自行确定。</w:t>
      </w:r>
    </w:p>
    <w:p>
      <w:pPr>
        <w:adjustRightInd w:val="0"/>
        <w:snapToGrid w:val="0"/>
        <w:spacing w:line="312" w:lineRule="auto"/>
        <w:ind w:firstLine="453" w:firstLineChars="189"/>
        <w:jc w:val="both"/>
        <w:rPr>
          <w:rFonts w:hint="eastAsia" w:ascii="宋体" w:hAnsi="宋体" w:cs="仿宋"/>
          <w:color w:val="0070C0"/>
          <w:sz w:val="24"/>
          <w:highlight w:val="none"/>
        </w:rPr>
      </w:pP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2初步评审标准和程序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2.1初步评审标准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2.1.1形式评审标准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2.1.2资格评审标准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2.1.3响应性评审标准</w:t>
      </w:r>
      <w:r>
        <w:rPr>
          <w:rFonts w:hint="eastAsia" w:ascii="宋体" w:hAnsi="宋体" w:cs="仿宋"/>
          <w:sz w:val="24"/>
          <w:highlight w:val="none"/>
          <w:lang w:eastAsia="zh-CN"/>
        </w:rPr>
        <w:t>：</w:t>
      </w:r>
      <w:r>
        <w:rPr>
          <w:rFonts w:hint="eastAsia" w:ascii="宋体" w:hAnsi="宋体" w:cs="仿宋"/>
          <w:sz w:val="24"/>
          <w:highlight w:val="none"/>
        </w:rPr>
        <w:t>见评审办法前附表。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2.2初步评审程序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评审价格若超过最高限价</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2.2.3响应文件中有含义不明确、同类问题表述不一致或有明显文字和计算错误的内容，评审小组可要求供应商在规定时间内进行澄清、说明和补正。供应商澄清、说明和补正的内容应由法定代表人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响应报价有算术错误及其他错误的，评审小组按以下原则要求供应商对响应报价进行修正，并要求供应商书面澄清确认。供应商拒不澄清确认的，其响应文件将被视为无效</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大写金额与小写金额不一致的，以大写金额为准</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总价金额与单价金额不一致的，以单价金额为准，但单价金额小数点有明显错误的除外</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报价表合计报价与分项报价的合计不一致的，以各分项报价的合价累计数为准</w:t>
      </w:r>
      <w:r>
        <w:rPr>
          <w:rFonts w:hint="eastAsia" w:ascii="宋体" w:hAnsi="宋体" w:cs="仿宋"/>
          <w:sz w:val="24"/>
          <w:highlight w:val="none"/>
          <w:lang w:eastAsia="zh-CN"/>
        </w:rPr>
        <w:t>；</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2.2.4供应商有串通，弄虚作假、行贿等违法行为的，其响应文件将被视为无效。</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highlight w:val="none"/>
        </w:rPr>
        <w:t>3排序</w:t>
      </w:r>
    </w:p>
    <w:p>
      <w:pPr>
        <w:adjustRightInd w:val="0"/>
        <w:snapToGrid w:val="0"/>
        <w:spacing w:line="312" w:lineRule="auto"/>
        <w:ind w:firstLine="453" w:firstLineChars="189"/>
        <w:jc w:val="both"/>
        <w:rPr>
          <w:rFonts w:ascii="宋体" w:hAnsi="宋体" w:cs="仿宋"/>
          <w:color w:val="auto"/>
          <w:sz w:val="24"/>
          <w:highlight w:val="none"/>
        </w:rPr>
      </w:pPr>
      <w:r>
        <w:rPr>
          <w:rFonts w:hint="eastAsia" w:ascii="宋体" w:hAnsi="宋体" w:cs="仿宋"/>
          <w:color w:val="auto"/>
          <w:sz w:val="24"/>
          <w:highlight w:val="none"/>
        </w:rPr>
        <w:t>评审小组对供应商最终得分进行比较后，可以按照供应商最终得分由高到低的顺序对供应商排序。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4评审结果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4.1提交书面评审报告</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评审小组完成评审后，应当向采购人提交书面评审报告。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4.2推荐成交候选供应商排序要求及数量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评审小组应在书面评审报告中按照供应商排列的优先顺序向采购人推荐成交候选供应商</w:t>
      </w:r>
      <w:r>
        <w:rPr>
          <w:rFonts w:hint="eastAsia" w:ascii="宋体" w:hAnsi="宋体" w:cs="仿宋"/>
          <w:sz w:val="24"/>
          <w:highlight w:val="none"/>
          <w:lang w:eastAsia="zh-CN"/>
        </w:rPr>
        <w:t>（</w:t>
      </w:r>
      <w:r>
        <w:rPr>
          <w:rFonts w:hint="eastAsia" w:ascii="宋体" w:hAnsi="宋体" w:cs="仿宋"/>
          <w:sz w:val="24"/>
          <w:highlight w:val="none"/>
        </w:rPr>
        <w:t>排序或不排序</w:t>
      </w:r>
      <w:r>
        <w:rPr>
          <w:rFonts w:hint="eastAsia" w:ascii="宋体" w:hAnsi="宋体" w:cs="仿宋"/>
          <w:sz w:val="24"/>
          <w:highlight w:val="none"/>
          <w:lang w:eastAsia="zh-CN"/>
        </w:rPr>
        <w:t>）</w:t>
      </w:r>
      <w:r>
        <w:rPr>
          <w:rFonts w:hint="eastAsia" w:ascii="宋体" w:hAnsi="宋体" w:cs="仿宋"/>
          <w:sz w:val="24"/>
          <w:highlight w:val="none"/>
        </w:rPr>
        <w:t>。成交候选供应商的排序要求及数量见第二章“供应商须知”。</w:t>
      </w:r>
    </w:p>
    <w:p>
      <w:pPr>
        <w:widowControl w:val="0"/>
        <w:snapToGrid w:val="0"/>
        <w:spacing w:line="490" w:lineRule="exact"/>
        <w:jc w:val="both"/>
        <w:outlineLvl w:val="9"/>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pStyle w:val="40"/>
        <w:rPr>
          <w:rFonts w:ascii="黑体" w:hAnsi="黑体" w:eastAsia="黑体" w:cs="宋体"/>
          <w:kern w:val="44"/>
          <w:sz w:val="32"/>
          <w:szCs w:val="32"/>
          <w:highlight w:val="none"/>
        </w:rPr>
      </w:pPr>
    </w:p>
    <w:p>
      <w:pPr>
        <w:widowControl w:val="0"/>
        <w:snapToGrid w:val="0"/>
        <w:spacing w:after="0" w:line="490" w:lineRule="exact"/>
        <w:jc w:val="center"/>
        <w:outlineLvl w:val="0"/>
        <w:rPr>
          <w:rFonts w:ascii="黑体" w:hAnsi="黑体" w:eastAsia="黑体" w:cs="宋体"/>
          <w:kern w:val="44"/>
          <w:sz w:val="32"/>
          <w:szCs w:val="32"/>
          <w:highlight w:val="none"/>
        </w:rPr>
      </w:pPr>
      <w:bookmarkStart w:id="23" w:name="_Toc82675148"/>
      <w:bookmarkStart w:id="24" w:name="_Toc82675395"/>
      <w:bookmarkStart w:id="25" w:name="_Toc12137"/>
      <w:r>
        <w:rPr>
          <w:rFonts w:hint="eastAsia" w:ascii="黑体" w:hAnsi="黑体" w:eastAsia="黑体" w:cs="宋体"/>
          <w:kern w:val="44"/>
          <w:sz w:val="32"/>
          <w:szCs w:val="32"/>
          <w:highlight w:val="none"/>
        </w:rPr>
        <w:t>附表1  商务部分评分表</w:t>
      </w:r>
      <w:bookmarkEnd w:id="23"/>
      <w:bookmarkEnd w:id="24"/>
      <w:bookmarkEnd w:id="25"/>
    </w:p>
    <w:p>
      <w:pPr>
        <w:widowControl w:val="0"/>
        <w:spacing w:after="0" w:line="490" w:lineRule="exact"/>
        <w:jc w:val="both"/>
        <w:rPr>
          <w:rFonts w:hint="eastAsia" w:ascii="宋体" w:hAnsi="宋体" w:eastAsia="宋体" w:cs="Times New Roman"/>
          <w:sz w:val="24"/>
          <w:szCs w:val="24"/>
          <w:highlight w:val="none"/>
          <w:u w:val="single"/>
        </w:rPr>
      </w:pPr>
      <w:r>
        <w:rPr>
          <w:rFonts w:hint="eastAsia" w:ascii="宋体" w:hAnsi="宋体" w:eastAsia="宋体" w:cs="Times New Roman"/>
          <w:sz w:val="24"/>
          <w:szCs w:val="24"/>
          <w:highlight w:val="none"/>
        </w:rPr>
        <w:t>项目名称：</w:t>
      </w:r>
      <w:r>
        <w:rPr>
          <w:rFonts w:hint="eastAsia" w:ascii="宋体" w:hAnsi="宋体" w:eastAsia="宋体" w:cs="Times New Roman"/>
          <w:sz w:val="24"/>
          <w:szCs w:val="24"/>
          <w:highlight w:val="none"/>
          <w:u w:val="single"/>
        </w:rPr>
        <w:t xml:space="preserve">                   </w:t>
      </w:r>
    </w:p>
    <w:tbl>
      <w:tblPr>
        <w:tblStyle w:val="41"/>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序号</w:t>
            </w:r>
          </w:p>
        </w:tc>
        <w:tc>
          <w:tcPr>
            <w:tcW w:w="1856"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评分因素</w:t>
            </w:r>
          </w:p>
        </w:tc>
        <w:tc>
          <w:tcPr>
            <w:tcW w:w="4819" w:type="dxa"/>
            <w:vMerge w:val="restart"/>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评价内容/分值</w:t>
            </w:r>
          </w:p>
        </w:tc>
        <w:tc>
          <w:tcPr>
            <w:tcW w:w="3254" w:type="dxa"/>
            <w:gridSpan w:val="3"/>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cs="Times New Roman"/>
                <w:kern w:val="0"/>
                <w:sz w:val="21"/>
                <w:szCs w:val="21"/>
                <w:highlight w:val="none"/>
                <w:lang w:eastAsia="zh-CN"/>
              </w:rPr>
              <w:t>响应</w:t>
            </w:r>
            <w:r>
              <w:rPr>
                <w:rFonts w:hint="eastAsia" w:ascii="宋体" w:hAnsi="宋体" w:eastAsia="宋体" w:cs="Times New Roman"/>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1856"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4819" w:type="dxa"/>
            <w:vMerge w:val="continue"/>
            <w:tcBorders>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hint="eastAsia"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hint="eastAsia"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1</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项目负责人</w:t>
            </w:r>
            <w:r>
              <w:rPr>
                <w:rFonts w:hint="eastAsia" w:ascii="宋体" w:hAnsi="宋体" w:eastAsia="宋体" w:cs="宋体"/>
                <w:szCs w:val="21"/>
                <w:lang w:eastAsia="zh-CN"/>
              </w:rPr>
              <w:t>（</w:t>
            </w:r>
            <w:r>
              <w:rPr>
                <w:rFonts w:hint="eastAsia" w:ascii="宋体" w:hAnsi="宋体" w:cs="宋体"/>
                <w:szCs w:val="21"/>
                <w:lang w:val="en-US" w:eastAsia="zh-CN"/>
              </w:rPr>
              <w:t>12</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ind w:firstLine="420" w:firstLineChars="200"/>
              <w:jc w:val="left"/>
              <w:rPr>
                <w:rFonts w:ascii="宋体" w:hAnsi="宋体" w:cs="宋体"/>
                <w:kern w:val="0"/>
                <w:szCs w:val="21"/>
              </w:rPr>
            </w:pPr>
            <w:r>
              <w:rPr>
                <w:rFonts w:ascii="宋体" w:hAnsi="宋体" w:cs="宋体"/>
                <w:kern w:val="0"/>
                <w:szCs w:val="21"/>
              </w:rPr>
              <w:t>资格条件满足强制性要求，计基本分</w:t>
            </w:r>
            <w:r>
              <w:rPr>
                <w:rFonts w:hint="eastAsia" w:ascii="宋体" w:hAnsi="宋体" w:cs="宋体"/>
                <w:kern w:val="0"/>
                <w:szCs w:val="21"/>
                <w:lang w:val="en-US" w:eastAsia="zh-CN"/>
              </w:rPr>
              <w:t>8</w:t>
            </w:r>
            <w:r>
              <w:rPr>
                <w:rFonts w:ascii="宋体" w:hAnsi="宋体" w:cs="宋体"/>
                <w:kern w:val="0"/>
                <w:szCs w:val="21"/>
              </w:rPr>
              <w:t>分；具有</w:t>
            </w:r>
            <w:r>
              <w:rPr>
                <w:rFonts w:hint="eastAsia" w:ascii="宋体" w:hAnsi="宋体" w:cs="宋体"/>
                <w:szCs w:val="21"/>
              </w:rPr>
              <w:t>高级工程师的加1分</w:t>
            </w:r>
            <w:r>
              <w:rPr>
                <w:rFonts w:ascii="宋体" w:hAnsi="宋体" w:cs="宋体"/>
                <w:kern w:val="0"/>
                <w:szCs w:val="21"/>
              </w:rPr>
              <w:t>；</w:t>
            </w:r>
            <w:r>
              <w:rPr>
                <w:rFonts w:hint="eastAsia" w:ascii="宋体" w:hAnsi="宋体" w:cs="宋体"/>
                <w:kern w:val="0"/>
                <w:szCs w:val="21"/>
              </w:rPr>
              <w:t>具有注册城乡规划师执业资格的加1分；</w:t>
            </w:r>
            <w:r>
              <w:rPr>
                <w:rFonts w:ascii="宋体" w:hAnsi="宋体" w:cs="宋体"/>
                <w:kern w:val="0"/>
                <w:szCs w:val="21"/>
              </w:rPr>
              <w:t>近</w:t>
            </w:r>
            <w:r>
              <w:rPr>
                <w:rFonts w:hint="eastAsia" w:ascii="宋体" w:hAnsi="宋体" w:cs="宋体"/>
                <w:kern w:val="0"/>
                <w:szCs w:val="21"/>
              </w:rPr>
              <w:t>3</w:t>
            </w:r>
            <w:r>
              <w:rPr>
                <w:rFonts w:ascii="宋体" w:hAnsi="宋体" w:cs="宋体"/>
                <w:kern w:val="0"/>
                <w:szCs w:val="21"/>
              </w:rPr>
              <w:t>年内（20</w:t>
            </w:r>
            <w:r>
              <w:rPr>
                <w:rFonts w:hint="eastAsia" w:ascii="宋体" w:hAnsi="宋体" w:cs="宋体"/>
                <w:kern w:val="0"/>
                <w:szCs w:val="21"/>
              </w:rPr>
              <w:t>21</w:t>
            </w:r>
            <w:r>
              <w:rPr>
                <w:rFonts w:ascii="宋体" w:hAnsi="宋体" w:cs="宋体"/>
                <w:kern w:val="0"/>
                <w:szCs w:val="21"/>
              </w:rPr>
              <w:t xml:space="preserve">年 </w:t>
            </w:r>
            <w:r>
              <w:rPr>
                <w:rFonts w:hint="eastAsia" w:ascii="宋体" w:hAnsi="宋体" w:cs="宋体"/>
                <w:kern w:val="0"/>
                <w:szCs w:val="21"/>
              </w:rPr>
              <w:t>3</w:t>
            </w:r>
            <w:r>
              <w:rPr>
                <w:rFonts w:ascii="宋体" w:hAnsi="宋体" w:cs="宋体"/>
                <w:kern w:val="0"/>
                <w:szCs w:val="21"/>
              </w:rPr>
              <w:t>月 1 日至投标截止日）每有1个港口</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用地预审或用地报批</w:t>
            </w:r>
            <w:r>
              <w:rPr>
                <w:rFonts w:ascii="宋体" w:hAnsi="宋体" w:cs="宋体"/>
                <w:kern w:val="0"/>
                <w:szCs w:val="21"/>
              </w:rPr>
              <w:t>项目负责人经历的，加1分，加满</w:t>
            </w:r>
            <w:r>
              <w:rPr>
                <w:rFonts w:hint="eastAsia" w:ascii="宋体" w:hAnsi="宋体" w:cs="宋体"/>
                <w:kern w:val="0"/>
                <w:szCs w:val="21"/>
                <w:lang w:val="en-US" w:eastAsia="zh-CN"/>
              </w:rPr>
              <w:t>4</w:t>
            </w:r>
            <w:r>
              <w:rPr>
                <w:rFonts w:ascii="宋体" w:hAnsi="宋体" w:cs="宋体"/>
                <w:kern w:val="0"/>
                <w:szCs w:val="21"/>
              </w:rPr>
              <w:t>分为止。</w:t>
            </w:r>
          </w:p>
          <w:p>
            <w:pPr>
              <w:pStyle w:val="196"/>
              <w:spacing w:after="156"/>
              <w:ind w:firstLine="420" w:firstLineChars="200"/>
              <w:jc w:val="left"/>
              <w:rPr>
                <w:rFonts w:ascii="宋体" w:hAnsi="宋体" w:eastAsia="宋体" w:cs="Times New Roman"/>
                <w:kern w:val="0"/>
                <w:sz w:val="21"/>
                <w:szCs w:val="21"/>
                <w:highlight w:val="none"/>
              </w:rPr>
            </w:pPr>
            <w:r>
              <w:rPr>
                <w:rFonts w:hint="eastAsia" w:ascii="宋体" w:hAnsi="宋体" w:cs="宋体"/>
                <w:kern w:val="0"/>
                <w:szCs w:val="21"/>
              </w:rPr>
              <w:t>（业绩计算以合同签订时间为准，需体现负责人相关信息，否则不予认可）。</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2</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宋体" w:hAnsi="宋体" w:eastAsia="宋体" w:cs="Times New Roman"/>
                <w:kern w:val="0"/>
                <w:sz w:val="18"/>
                <w:szCs w:val="18"/>
                <w:highlight w:val="none"/>
                <w:lang w:eastAsia="zh-CN"/>
              </w:rPr>
            </w:pPr>
            <w:r>
              <w:rPr>
                <w:rFonts w:hint="eastAsia" w:ascii="宋体" w:hAnsi="宋体" w:eastAsia="宋体" w:cs="宋体"/>
                <w:szCs w:val="21"/>
              </w:rPr>
              <w:t>技术负责人</w:t>
            </w:r>
            <w:r>
              <w:rPr>
                <w:rFonts w:hint="eastAsia" w:ascii="宋体" w:hAnsi="宋体" w:eastAsia="宋体" w:cs="宋体"/>
                <w:szCs w:val="21"/>
                <w:lang w:eastAsia="zh-CN"/>
              </w:rPr>
              <w:t>（</w:t>
            </w:r>
            <w:r>
              <w:rPr>
                <w:rFonts w:hint="eastAsia" w:ascii="宋体" w:hAnsi="宋体" w:cs="宋体"/>
                <w:szCs w:val="21"/>
                <w:lang w:val="en-US" w:eastAsia="zh-CN"/>
              </w:rPr>
              <w:t>8</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ind w:firstLine="420" w:firstLineChars="200"/>
              <w:jc w:val="left"/>
              <w:rPr>
                <w:rFonts w:ascii="宋体" w:hAnsi="宋体" w:cs="宋体"/>
                <w:kern w:val="0"/>
                <w:szCs w:val="21"/>
              </w:rPr>
            </w:pPr>
            <w:r>
              <w:rPr>
                <w:rFonts w:ascii="宋体" w:hAnsi="宋体" w:cs="宋体"/>
                <w:kern w:val="0"/>
                <w:szCs w:val="21"/>
              </w:rPr>
              <w:t>资格条件满足强制性要求，计基本分</w:t>
            </w:r>
            <w:r>
              <w:rPr>
                <w:rFonts w:hint="eastAsia" w:ascii="宋体" w:hAnsi="宋体" w:cs="宋体"/>
                <w:kern w:val="0"/>
                <w:szCs w:val="21"/>
                <w:lang w:val="en-US" w:eastAsia="zh-CN"/>
              </w:rPr>
              <w:t>5</w:t>
            </w:r>
            <w:r>
              <w:rPr>
                <w:rFonts w:ascii="宋体" w:hAnsi="宋体" w:cs="宋体"/>
                <w:kern w:val="0"/>
                <w:szCs w:val="21"/>
              </w:rPr>
              <w:t>分；技术负责人具有</w:t>
            </w:r>
            <w:r>
              <w:rPr>
                <w:rFonts w:hint="eastAsia" w:ascii="宋体" w:hAnsi="宋体" w:cs="宋体"/>
                <w:kern w:val="0"/>
                <w:szCs w:val="21"/>
              </w:rPr>
              <w:t>高级工程师或具有注册城乡规划师执业资格的加1分；</w:t>
            </w:r>
            <w:r>
              <w:rPr>
                <w:rFonts w:ascii="宋体" w:hAnsi="宋体" w:cs="宋体"/>
                <w:kern w:val="0"/>
                <w:szCs w:val="21"/>
              </w:rPr>
              <w:t>近</w:t>
            </w:r>
            <w:r>
              <w:rPr>
                <w:rFonts w:hint="eastAsia" w:ascii="宋体" w:hAnsi="宋体" w:cs="宋体"/>
                <w:kern w:val="0"/>
                <w:szCs w:val="21"/>
              </w:rPr>
              <w:t>3</w:t>
            </w:r>
            <w:r>
              <w:rPr>
                <w:rFonts w:ascii="宋体" w:hAnsi="宋体" w:cs="宋体"/>
                <w:kern w:val="0"/>
                <w:szCs w:val="21"/>
              </w:rPr>
              <w:t>年内（20</w:t>
            </w:r>
            <w:r>
              <w:rPr>
                <w:rFonts w:hint="eastAsia" w:ascii="宋体" w:hAnsi="宋体" w:cs="宋体"/>
                <w:kern w:val="0"/>
                <w:szCs w:val="21"/>
              </w:rPr>
              <w:t>21</w:t>
            </w:r>
            <w:r>
              <w:rPr>
                <w:rFonts w:ascii="宋体" w:hAnsi="宋体" w:cs="宋体"/>
                <w:kern w:val="0"/>
                <w:szCs w:val="21"/>
              </w:rPr>
              <w:t>年</w:t>
            </w:r>
            <w:r>
              <w:rPr>
                <w:rFonts w:hint="eastAsia" w:ascii="宋体" w:hAnsi="宋体" w:cs="宋体"/>
                <w:kern w:val="0"/>
                <w:szCs w:val="21"/>
              </w:rPr>
              <w:t>3</w:t>
            </w:r>
            <w:r>
              <w:rPr>
                <w:rFonts w:ascii="宋体" w:hAnsi="宋体" w:cs="宋体"/>
                <w:kern w:val="0"/>
                <w:szCs w:val="21"/>
              </w:rPr>
              <w:t xml:space="preserve"> 月 1 日至投标截止日）每有1个</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用地预审及用地报批技术</w:t>
            </w:r>
            <w:r>
              <w:rPr>
                <w:rFonts w:ascii="宋体" w:hAnsi="宋体" w:cs="宋体"/>
                <w:kern w:val="0"/>
                <w:szCs w:val="21"/>
              </w:rPr>
              <w:t xml:space="preserve">负责人经历的，加 </w:t>
            </w:r>
            <w:r>
              <w:rPr>
                <w:rFonts w:hint="eastAsia" w:ascii="宋体" w:hAnsi="宋体" w:cs="宋体"/>
                <w:kern w:val="0"/>
                <w:szCs w:val="21"/>
              </w:rPr>
              <w:t>1</w:t>
            </w:r>
            <w:r>
              <w:rPr>
                <w:rFonts w:ascii="宋体" w:hAnsi="宋体" w:cs="宋体"/>
                <w:kern w:val="0"/>
                <w:szCs w:val="21"/>
              </w:rPr>
              <w:t xml:space="preserve">分，加满 </w:t>
            </w:r>
            <w:r>
              <w:rPr>
                <w:rFonts w:hint="eastAsia" w:ascii="宋体" w:hAnsi="宋体" w:cs="宋体"/>
                <w:kern w:val="0"/>
                <w:szCs w:val="21"/>
                <w:lang w:val="en-US" w:eastAsia="zh-CN"/>
              </w:rPr>
              <w:t>3</w:t>
            </w:r>
            <w:r>
              <w:rPr>
                <w:rFonts w:ascii="宋体" w:hAnsi="宋体" w:cs="宋体"/>
                <w:kern w:val="0"/>
                <w:szCs w:val="21"/>
              </w:rPr>
              <w:t>分为止。</w:t>
            </w:r>
          </w:p>
          <w:p>
            <w:pPr>
              <w:pStyle w:val="196"/>
              <w:spacing w:after="156"/>
              <w:ind w:firstLine="420" w:firstLineChars="200"/>
              <w:jc w:val="left"/>
              <w:rPr>
                <w:rFonts w:ascii="宋体" w:hAnsi="宋体" w:eastAsia="宋体" w:cs="Times New Roman"/>
                <w:sz w:val="21"/>
                <w:szCs w:val="21"/>
                <w:highlight w:val="none"/>
              </w:rPr>
            </w:pPr>
            <w:r>
              <w:rPr>
                <w:rFonts w:hint="eastAsia" w:ascii="宋体" w:hAnsi="宋体" w:cs="宋体"/>
                <w:kern w:val="0"/>
                <w:szCs w:val="21"/>
              </w:rPr>
              <w:t>（业绩计算以合同签订时间为准，需体现负责人相关信息，否则不予认可）。</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cyan"/>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cya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3</w:t>
            </w:r>
          </w:p>
        </w:tc>
        <w:tc>
          <w:tcPr>
            <w:tcW w:w="1856" w:type="dxa"/>
            <w:tcBorders>
              <w:top w:val="single" w:color="auto" w:sz="4" w:space="0"/>
              <w:left w:val="single" w:color="auto" w:sz="4" w:space="0"/>
              <w:right w:val="single" w:color="auto" w:sz="4" w:space="0"/>
            </w:tcBorders>
            <w:noWrap w:val="0"/>
            <w:vAlign w:val="center"/>
          </w:tcPr>
          <w:p>
            <w:pPr>
              <w:spacing w:after="0"/>
              <w:jc w:val="center"/>
              <w:rPr>
                <w:rFonts w:ascii="宋体" w:hAnsi="宋体" w:eastAsia="宋体" w:cs="宋体"/>
                <w:szCs w:val="21"/>
              </w:rPr>
            </w:pPr>
            <w:r>
              <w:rPr>
                <w:rFonts w:hint="eastAsia" w:ascii="宋体" w:hAnsi="宋体" w:eastAsia="宋体" w:cs="宋体"/>
                <w:szCs w:val="21"/>
              </w:rPr>
              <w:t>企业综合</w:t>
            </w:r>
          </w:p>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实力评分</w:t>
            </w:r>
            <w:r>
              <w:rPr>
                <w:rFonts w:hint="eastAsia" w:ascii="宋体" w:hAnsi="宋体" w:eastAsia="宋体" w:cs="宋体"/>
                <w:szCs w:val="21"/>
                <w:lang w:eastAsia="zh-CN"/>
              </w:rPr>
              <w:t>（</w:t>
            </w:r>
            <w:r>
              <w:rPr>
                <w:rFonts w:hint="eastAsia" w:ascii="宋体" w:hAnsi="宋体" w:cs="宋体"/>
                <w:szCs w:val="21"/>
                <w:lang w:val="en-US" w:eastAsia="zh-CN"/>
              </w:rPr>
              <w:t>10</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pStyle w:val="196"/>
              <w:spacing w:after="156"/>
              <w:jc w:val="left"/>
              <w:rPr>
                <w:rFonts w:ascii="宋体" w:hAnsi="宋体" w:cs="宋体"/>
                <w:kern w:val="0"/>
                <w:szCs w:val="21"/>
              </w:rPr>
            </w:pPr>
            <w:r>
              <w:rPr>
                <w:rFonts w:hint="eastAsia" w:ascii="宋体" w:hAnsi="宋体" w:cs="宋体"/>
                <w:kern w:val="0"/>
                <w:szCs w:val="21"/>
              </w:rPr>
              <w:t>（1）资质和业绩满足强制性要求得基本分</w:t>
            </w:r>
            <w:r>
              <w:rPr>
                <w:rFonts w:hint="eastAsia" w:ascii="宋体" w:hAnsi="宋体" w:cs="宋体"/>
                <w:kern w:val="0"/>
                <w:szCs w:val="21"/>
                <w:lang w:val="en-US" w:eastAsia="zh-CN"/>
              </w:rPr>
              <w:t>6</w:t>
            </w:r>
            <w:r>
              <w:rPr>
                <w:rFonts w:hint="eastAsia" w:ascii="宋体" w:hAnsi="宋体" w:cs="宋体"/>
                <w:kern w:val="0"/>
                <w:szCs w:val="21"/>
              </w:rPr>
              <w:t>分；</w:t>
            </w:r>
          </w:p>
          <w:p>
            <w:pPr>
              <w:pStyle w:val="196"/>
              <w:spacing w:after="156"/>
              <w:jc w:val="left"/>
              <w:rPr>
                <w:rFonts w:ascii="宋体" w:hAnsi="宋体" w:cs="宋体"/>
                <w:kern w:val="0"/>
                <w:szCs w:val="21"/>
              </w:rPr>
            </w:pPr>
            <w:r>
              <w:rPr>
                <w:rFonts w:hint="eastAsia" w:ascii="宋体" w:hAnsi="宋体" w:cs="宋体"/>
                <w:kern w:val="0"/>
                <w:szCs w:val="21"/>
              </w:rPr>
              <w:t>（2）投标人具备省级及以上重点实验室资格的得</w:t>
            </w:r>
            <w:r>
              <w:rPr>
                <w:rFonts w:hint="eastAsia" w:ascii="宋体" w:hAnsi="宋体" w:cs="宋体"/>
                <w:kern w:val="0"/>
                <w:szCs w:val="21"/>
                <w:lang w:val="en-US" w:eastAsia="zh-CN"/>
              </w:rPr>
              <w:t>2</w:t>
            </w:r>
            <w:r>
              <w:rPr>
                <w:rFonts w:hint="eastAsia" w:ascii="宋体" w:hAnsi="宋体" w:cs="宋体"/>
                <w:kern w:val="0"/>
                <w:szCs w:val="21"/>
              </w:rPr>
              <w:t>分；</w:t>
            </w:r>
          </w:p>
          <w:p>
            <w:pPr>
              <w:pStyle w:val="196"/>
              <w:spacing w:after="156"/>
              <w:jc w:val="left"/>
              <w:rPr>
                <w:rFonts w:ascii="宋体" w:hAnsi="宋体" w:eastAsia="宋体" w:cs="Times New Roman"/>
                <w:kern w:val="0"/>
                <w:sz w:val="21"/>
                <w:szCs w:val="21"/>
                <w:highlight w:val="none"/>
              </w:rPr>
            </w:pPr>
            <w:r>
              <w:rPr>
                <w:rFonts w:hint="eastAsia" w:ascii="宋体" w:hAnsi="宋体" w:cs="宋体"/>
                <w:kern w:val="0"/>
                <w:szCs w:val="21"/>
              </w:rPr>
              <w:t>（3）具有满足强制性要求基础上，近3年内（2021年3月 1 日至投标截止日）每增加1个</w:t>
            </w:r>
            <w:r>
              <w:rPr>
                <w:rFonts w:ascii="宋体" w:hAnsi="宋体" w:cs="宋体"/>
                <w:kern w:val="0"/>
                <w:szCs w:val="21"/>
              </w:rPr>
              <w:t>港口</w:t>
            </w:r>
            <w:r>
              <w:rPr>
                <w:rFonts w:hint="eastAsia" w:ascii="宋体" w:hAnsi="宋体" w:cs="宋体"/>
                <w:kern w:val="0"/>
                <w:szCs w:val="21"/>
              </w:rPr>
              <w:t>/码头</w:t>
            </w:r>
            <w:r>
              <w:rPr>
                <w:rFonts w:ascii="宋体" w:hAnsi="宋体" w:cs="宋体"/>
                <w:kern w:val="0"/>
                <w:szCs w:val="21"/>
              </w:rPr>
              <w:t>的</w:t>
            </w:r>
            <w:r>
              <w:rPr>
                <w:rFonts w:hint="eastAsia" w:ascii="宋体" w:hAnsi="宋体" w:cs="宋体"/>
                <w:kern w:val="0"/>
                <w:szCs w:val="21"/>
              </w:rPr>
              <w:t>用地预审或用地报批项目的加</w:t>
            </w:r>
            <w:r>
              <w:rPr>
                <w:rFonts w:hint="eastAsia" w:ascii="宋体" w:hAnsi="宋体" w:cs="宋体"/>
                <w:kern w:val="0"/>
                <w:szCs w:val="21"/>
                <w:lang w:val="en-US" w:eastAsia="zh-CN"/>
              </w:rPr>
              <w:t>1</w:t>
            </w:r>
            <w:r>
              <w:rPr>
                <w:rFonts w:hint="eastAsia" w:ascii="宋体" w:hAnsi="宋体" w:cs="宋体"/>
                <w:kern w:val="0"/>
                <w:szCs w:val="21"/>
              </w:rPr>
              <w:t>分，最多加</w:t>
            </w:r>
            <w:r>
              <w:rPr>
                <w:rFonts w:hint="eastAsia" w:ascii="宋体" w:hAnsi="宋体" w:cs="宋体"/>
                <w:kern w:val="0"/>
                <w:szCs w:val="21"/>
                <w:lang w:val="en-US" w:eastAsia="zh-CN"/>
              </w:rPr>
              <w:t>2</w:t>
            </w:r>
            <w:r>
              <w:rPr>
                <w:rFonts w:hint="eastAsia" w:ascii="宋体" w:hAnsi="宋体" w:cs="宋体"/>
                <w:kern w:val="0"/>
                <w:szCs w:val="21"/>
              </w:rPr>
              <w:t>分（业绩计算以合同签订日期为准）。</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4</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kern w:val="0"/>
                <w:sz w:val="21"/>
                <w:szCs w:val="21"/>
                <w:highlight w:val="none"/>
                <w:lang w:eastAsia="zh-CN"/>
              </w:rPr>
            </w:pPr>
            <w:r>
              <w:rPr>
                <w:rFonts w:hint="eastAsia" w:ascii="宋体" w:hAnsi="宋体" w:eastAsia="宋体" w:cs="宋体"/>
                <w:bCs/>
                <w:szCs w:val="21"/>
              </w:rPr>
              <w:t>信用评级</w:t>
            </w:r>
            <w:r>
              <w:rPr>
                <w:rFonts w:hint="eastAsia" w:ascii="宋体" w:hAnsi="宋体" w:eastAsia="宋体" w:cs="宋体"/>
                <w:bCs/>
                <w:szCs w:val="21"/>
                <w:lang w:eastAsia="zh-CN"/>
              </w:rPr>
              <w:t>（</w:t>
            </w:r>
            <w:r>
              <w:rPr>
                <w:rFonts w:hint="eastAsia" w:ascii="宋体" w:hAnsi="宋体" w:cs="宋体"/>
                <w:bCs/>
                <w:szCs w:val="21"/>
                <w:lang w:val="en-US" w:eastAsia="zh-CN"/>
              </w:rPr>
              <w:t>6</w:t>
            </w:r>
            <w:r>
              <w:rPr>
                <w:rFonts w:hint="eastAsia" w:ascii="宋体" w:hAnsi="宋体" w:eastAsia="宋体" w:cs="宋体"/>
                <w:bCs/>
                <w:szCs w:val="21"/>
                <w:lang w:val="en-US" w:eastAsia="zh-CN"/>
              </w:rPr>
              <w:t>分</w:t>
            </w:r>
            <w:r>
              <w:rPr>
                <w:rFonts w:hint="eastAsia" w:ascii="宋体" w:hAnsi="宋体" w:eastAsia="宋体" w:cs="宋体"/>
                <w:bCs/>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420" w:firstLineChars="200"/>
              <w:jc w:val="both"/>
              <w:rPr>
                <w:rFonts w:ascii="宋体" w:hAnsi="宋体" w:eastAsia="宋体" w:cs="Times New Roman"/>
                <w:sz w:val="21"/>
                <w:szCs w:val="21"/>
                <w:highlight w:val="none"/>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lang w:val="zh-CN"/>
              </w:rPr>
              <w:t>具备有效的质量管理体系认证证书、职业健康安全管理体系认证证书、</w:t>
            </w:r>
            <w:r>
              <w:rPr>
                <w:rFonts w:hint="eastAsia" w:ascii="宋体" w:hAnsi="宋体" w:eastAsia="宋体" w:cs="宋体"/>
                <w:color w:val="auto"/>
                <w:kern w:val="0"/>
                <w:sz w:val="21"/>
                <w:szCs w:val="21"/>
              </w:rPr>
              <w:t>环境管理体系认证证书、信息安全管理体系认证证书，得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kern w:val="0"/>
                <w:sz w:val="21"/>
                <w:szCs w:val="21"/>
                <w:highlight w:val="none"/>
                <w:lang w:eastAsia="zh-CN"/>
              </w:rPr>
            </w:pPr>
            <w:r>
              <w:rPr>
                <w:rFonts w:hint="eastAsia" w:ascii="宋体" w:hAnsi="宋体" w:cs="Times New Roman"/>
                <w:kern w:val="0"/>
                <w:sz w:val="21"/>
                <w:szCs w:val="21"/>
                <w:highlight w:val="none"/>
                <w:lang w:val="en-US" w:eastAsia="zh-CN"/>
              </w:rPr>
              <w:t>5</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szCs w:val="21"/>
              </w:rPr>
            </w:pPr>
            <w:r>
              <w:rPr>
                <w:rFonts w:hint="eastAsia" w:ascii="宋体" w:hAnsi="宋体" w:eastAsia="宋体" w:cs="宋体"/>
                <w:szCs w:val="21"/>
              </w:rPr>
              <w:t>投标文件</w:t>
            </w:r>
          </w:p>
          <w:p>
            <w:pPr>
              <w:spacing w:after="0"/>
              <w:jc w:val="center"/>
              <w:rPr>
                <w:rFonts w:hint="eastAsia" w:ascii="宋体" w:hAnsi="宋体" w:eastAsia="宋体" w:cs="Times New Roman"/>
                <w:kern w:val="0"/>
                <w:sz w:val="21"/>
                <w:szCs w:val="21"/>
                <w:highlight w:val="none"/>
                <w:lang w:eastAsia="zh-CN"/>
              </w:rPr>
            </w:pPr>
            <w:r>
              <w:rPr>
                <w:rFonts w:hint="eastAsia" w:ascii="宋体" w:hAnsi="宋体" w:eastAsia="宋体" w:cs="宋体"/>
                <w:szCs w:val="21"/>
              </w:rPr>
              <w:t>编制</w:t>
            </w:r>
            <w:r>
              <w:rPr>
                <w:rFonts w:hint="eastAsia" w:ascii="宋体" w:hAnsi="宋体" w:eastAsia="宋体" w:cs="宋体"/>
                <w:szCs w:val="21"/>
                <w:lang w:eastAsia="zh-CN"/>
              </w:rPr>
              <w:t>（</w:t>
            </w:r>
            <w:r>
              <w:rPr>
                <w:rFonts w:hint="eastAsia" w:ascii="宋体" w:hAnsi="宋体" w:cs="宋体"/>
                <w:szCs w:val="21"/>
                <w:lang w:val="en-US" w:eastAsia="zh-CN"/>
              </w:rPr>
              <w:t>4</w:t>
            </w:r>
            <w:r>
              <w:rPr>
                <w:rFonts w:hint="eastAsia" w:ascii="宋体" w:hAnsi="宋体" w:eastAsia="宋体" w:cs="宋体"/>
                <w:szCs w:val="21"/>
                <w:lang w:val="en-US" w:eastAsia="zh-CN"/>
              </w:rPr>
              <w:t>分</w:t>
            </w:r>
            <w:r>
              <w:rPr>
                <w:rFonts w:hint="eastAsia" w:ascii="宋体" w:hAnsi="宋体" w:eastAsia="宋体" w:cs="宋体"/>
                <w:szCs w:val="21"/>
                <w:lang w:eastAsia="zh-CN"/>
              </w:rPr>
              <w:t>）</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420" w:firstLineChars="200"/>
              <w:jc w:val="both"/>
              <w:rPr>
                <w:rFonts w:ascii="宋体" w:hAnsi="宋体" w:eastAsia="宋体" w:cs="Times New Roman"/>
                <w:sz w:val="21"/>
                <w:szCs w:val="21"/>
                <w:highlight w:val="none"/>
              </w:rPr>
            </w:pPr>
            <w:r>
              <w:rPr>
                <w:rFonts w:hint="eastAsia" w:ascii="宋体" w:hAnsi="宋体" w:eastAsia="宋体" w:cs="宋体"/>
                <w:color w:val="auto"/>
                <w:szCs w:val="21"/>
              </w:rPr>
              <w:t>投</w:t>
            </w:r>
            <w:r>
              <w:rPr>
                <w:rFonts w:hint="eastAsia"/>
                <w:color w:val="auto"/>
                <w:szCs w:val="21"/>
              </w:rPr>
              <w:t>标书按招标文件规定的格式、顺序编制，有目录、编页码，装订成册，书面整洁无涂改，没有缺漏项，价格数量等计算准确的，</w:t>
            </w:r>
            <w:r>
              <w:rPr>
                <w:rFonts w:hint="eastAsia" w:ascii="宋体" w:hAnsi="宋体" w:eastAsia="宋体" w:cs="宋体"/>
                <w:color w:val="auto"/>
                <w:szCs w:val="21"/>
              </w:rPr>
              <w:t>计</w:t>
            </w:r>
            <w:r>
              <w:rPr>
                <w:rFonts w:hint="eastAsia" w:ascii="宋体" w:hAnsi="宋体" w:cs="宋体"/>
                <w:color w:val="auto"/>
                <w:szCs w:val="21"/>
                <w:lang w:val="en-US" w:eastAsia="zh-CN"/>
              </w:rPr>
              <w:t>4</w:t>
            </w:r>
            <w:r>
              <w:rPr>
                <w:rFonts w:hint="eastAsia" w:ascii="宋体" w:hAnsi="宋体" w:eastAsia="宋体" w:cs="宋体"/>
                <w:color w:val="auto"/>
                <w:szCs w:val="21"/>
              </w:rPr>
              <w:t>分；不符合要求的，每处扣</w:t>
            </w:r>
            <w:r>
              <w:rPr>
                <w:rFonts w:ascii="Times New Roman" w:hAnsi="Times New Roman" w:cs="Times New Roman"/>
                <w:color w:val="auto"/>
                <w:szCs w:val="21"/>
              </w:rPr>
              <w:t>1</w:t>
            </w:r>
            <w:r>
              <w:rPr>
                <w:rFonts w:hint="eastAsia" w:ascii="宋体" w:hAnsi="宋体" w:eastAsia="宋体" w:cs="宋体"/>
                <w:color w:val="auto"/>
                <w:szCs w:val="21"/>
              </w:rPr>
              <w:t>分，扣完为止。</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b/>
                <w:kern w:val="0"/>
                <w:sz w:val="21"/>
                <w:szCs w:val="21"/>
                <w:highlight w:val="none"/>
              </w:rPr>
              <w:t>合    计</w:t>
            </w: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top"/>
          </w:tcPr>
          <w:p>
            <w:pPr>
              <w:widowControl w:val="0"/>
              <w:spacing w:after="0" w:line="240" w:lineRule="auto"/>
              <w:jc w:val="center"/>
              <w:rPr>
                <w:rFonts w:ascii="宋体" w:hAnsi="宋体" w:eastAsia="宋体" w:cs="Times New Roman"/>
                <w:kern w:val="0"/>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0" w:line="240" w:lineRule="auto"/>
              <w:jc w:val="center"/>
              <w:rPr>
                <w:rFonts w:ascii="宋体" w:hAnsi="宋体" w:eastAsia="宋体" w:cs="Times New Roman"/>
                <w:kern w:val="0"/>
                <w:sz w:val="21"/>
                <w:szCs w:val="21"/>
                <w:highlight w:val="none"/>
              </w:rPr>
            </w:pPr>
          </w:p>
        </w:tc>
      </w:tr>
    </w:tbl>
    <w:p>
      <w:pPr>
        <w:widowControl w:val="0"/>
        <w:adjustRightInd w:val="0"/>
        <w:snapToGrid w:val="0"/>
        <w:spacing w:after="0" w:line="312" w:lineRule="auto"/>
        <w:jc w:val="both"/>
        <w:rPr>
          <w:rFonts w:hint="eastAsia" w:ascii="宋体" w:hAnsi="宋体" w:eastAsia="宋体" w:cs="Times New Roman"/>
          <w:sz w:val="21"/>
          <w:szCs w:val="21"/>
          <w:highlight w:val="none"/>
        </w:rPr>
      </w:pPr>
      <w:r>
        <w:rPr>
          <w:rFonts w:hint="eastAsia" w:ascii="宋体" w:hAnsi="宋体" w:eastAsia="宋体" w:cs="Times New Roman"/>
          <w:b/>
          <w:kern w:val="0"/>
          <w:sz w:val="21"/>
          <w:szCs w:val="21"/>
          <w:highlight w:val="none"/>
        </w:rPr>
        <w:t>注：</w:t>
      </w:r>
      <w:r>
        <w:rPr>
          <w:rFonts w:hint="eastAsia" w:ascii="宋体" w:hAnsi="宋体" w:eastAsia="宋体" w:cs="Times New Roman"/>
          <w:kern w:val="0"/>
          <w:sz w:val="21"/>
          <w:szCs w:val="21"/>
          <w:highlight w:val="none"/>
        </w:rPr>
        <w:t xml:space="preserve"> 1、</w:t>
      </w:r>
      <w:r>
        <w:rPr>
          <w:rFonts w:hint="eastAsia" w:ascii="宋体" w:hAnsi="宋体" w:eastAsia="宋体" w:cs="Times New Roman"/>
          <w:sz w:val="21"/>
          <w:szCs w:val="21"/>
          <w:highlight w:val="none"/>
        </w:rPr>
        <w:t>本表由评标委员会集体评议，统一计分。评标委员会成员中对结论有不同意见时，按少数服从多数的原则，确定得分。</w:t>
      </w:r>
    </w:p>
    <w:p>
      <w:pPr>
        <w:ind w:firstLine="420" w:firstLineChars="200"/>
        <w:rPr>
          <w:rFonts w:hint="eastAsia"/>
        </w:rPr>
      </w:pPr>
      <w:r>
        <w:rPr>
          <w:rFonts w:hint="eastAsia"/>
          <w:lang w:val="en-US" w:eastAsia="zh-CN"/>
        </w:rPr>
        <w:t>2</w:t>
      </w:r>
      <w:r>
        <w:rPr>
          <w:rFonts w:hint="eastAsia"/>
        </w:rPr>
        <w:t>、各评分因素中基本合理项的最低分值不得低于该评分因素和评分标准最高分值的 60%。评审(谈判)小组对某评分因素评审计分低于该评分因素和评分标准最高分值的60%的，评委应说明原因。</w:t>
      </w:r>
    </w:p>
    <w:p>
      <w:pPr>
        <w:widowControl w:val="0"/>
        <w:spacing w:after="0" w:line="360" w:lineRule="exact"/>
        <w:jc w:val="both"/>
        <w:rPr>
          <w:rFonts w:hint="eastAsia" w:ascii="宋体" w:hAnsi="宋体" w:eastAsia="宋体" w:cs="Times New Roman"/>
          <w:sz w:val="24"/>
          <w:szCs w:val="24"/>
          <w:highlight w:val="none"/>
        </w:rPr>
      </w:pPr>
    </w:p>
    <w:p>
      <w:pPr>
        <w:widowControl w:val="0"/>
        <w:spacing w:after="0" w:line="360" w:lineRule="exact"/>
        <w:jc w:val="both"/>
        <w:rPr>
          <w:rFonts w:ascii="黑体" w:hAnsi="黑体" w:eastAsia="黑体" w:cs="Times New Roman"/>
          <w:sz w:val="32"/>
          <w:szCs w:val="32"/>
          <w:highlight w:val="none"/>
        </w:rPr>
      </w:pPr>
      <w:r>
        <w:rPr>
          <w:rFonts w:ascii="宋体" w:hAnsi="宋体" w:eastAsia="宋体" w:cs="Times New Roman"/>
          <w:sz w:val="24"/>
          <w:szCs w:val="24"/>
          <w:highlight w:val="none"/>
        </w:rPr>
        <w:t>评委签字：</w:t>
      </w:r>
      <w:bookmarkStart w:id="26" w:name="_Toc76635714"/>
      <w:bookmarkStart w:id="27" w:name="_Toc77254135"/>
    </w:p>
    <w:p>
      <w:pPr>
        <w:widowControl w:val="0"/>
        <w:snapToGrid w:val="0"/>
        <w:spacing w:after="0" w:line="240" w:lineRule="auto"/>
        <w:jc w:val="both"/>
        <w:outlineLvl w:val="9"/>
        <w:rPr>
          <w:rFonts w:hint="eastAsia" w:ascii="黑体" w:hAnsi="黑体" w:eastAsia="黑体" w:cs="Times New Roman"/>
          <w:sz w:val="32"/>
          <w:szCs w:val="32"/>
          <w:highlight w:val="none"/>
        </w:rPr>
      </w:pPr>
    </w:p>
    <w:p>
      <w:pPr>
        <w:widowControl w:val="0"/>
        <w:snapToGrid w:val="0"/>
        <w:spacing w:after="0" w:line="240" w:lineRule="auto"/>
        <w:outlineLvl w:val="2"/>
        <w:rPr>
          <w:rFonts w:hint="eastAsia" w:ascii="黑体" w:hAnsi="黑体" w:eastAsia="黑体" w:cs="Times New Roman"/>
          <w:sz w:val="32"/>
          <w:szCs w:val="32"/>
          <w:highlight w:val="none"/>
        </w:rPr>
      </w:pPr>
      <w:bookmarkStart w:id="28" w:name="_Toc82675149"/>
      <w:bookmarkStart w:id="29" w:name="_Toc82675396"/>
      <w:r>
        <w:rPr>
          <w:rFonts w:hint="eastAsia" w:ascii="黑体" w:hAnsi="黑体" w:eastAsia="黑体" w:cs="Times New Roman"/>
          <w:sz w:val="32"/>
          <w:szCs w:val="32"/>
          <w:highlight w:val="none"/>
        </w:rPr>
        <w:t>附表2</w:t>
      </w:r>
      <w:bookmarkEnd w:id="28"/>
      <w:bookmarkEnd w:id="29"/>
      <w:r>
        <w:rPr>
          <w:rFonts w:hint="eastAsia" w:ascii="黑体" w:hAnsi="黑体" w:eastAsia="黑体" w:cs="Times New Roman"/>
          <w:sz w:val="32"/>
          <w:szCs w:val="32"/>
          <w:highlight w:val="none"/>
        </w:rPr>
        <w:t xml:space="preserve"> </w:t>
      </w:r>
    </w:p>
    <w:p>
      <w:pPr>
        <w:widowControl w:val="0"/>
        <w:snapToGrid w:val="0"/>
        <w:spacing w:after="0" w:line="240" w:lineRule="auto"/>
        <w:jc w:val="center"/>
        <w:outlineLvl w:val="2"/>
        <w:rPr>
          <w:rFonts w:ascii="黑体" w:hAnsi="黑体" w:eastAsia="黑体" w:cs="Times New Roman"/>
          <w:sz w:val="32"/>
          <w:szCs w:val="32"/>
          <w:highlight w:val="none"/>
        </w:rPr>
      </w:pPr>
      <w:bookmarkStart w:id="30" w:name="_Toc82675397"/>
      <w:bookmarkStart w:id="31" w:name="_Toc82675150"/>
      <w:r>
        <w:rPr>
          <w:rFonts w:hint="eastAsia" w:ascii="黑体" w:hAnsi="黑体" w:eastAsia="黑体" w:cs="Times New Roman"/>
          <w:sz w:val="32"/>
          <w:szCs w:val="32"/>
          <w:highlight w:val="none"/>
        </w:rPr>
        <w:t>技术</w:t>
      </w:r>
      <w:bookmarkEnd w:id="26"/>
      <w:bookmarkEnd w:id="27"/>
      <w:r>
        <w:rPr>
          <w:rFonts w:hint="eastAsia" w:ascii="黑体" w:hAnsi="黑体" w:eastAsia="黑体" w:cs="Times New Roman"/>
          <w:sz w:val="32"/>
          <w:szCs w:val="32"/>
          <w:highlight w:val="none"/>
        </w:rPr>
        <w:t>部分评分表（技术建议书）</w:t>
      </w:r>
      <w:bookmarkEnd w:id="30"/>
      <w:bookmarkEnd w:id="31"/>
    </w:p>
    <w:p>
      <w:pPr>
        <w:widowControl w:val="0"/>
        <w:adjustRightInd w:val="0"/>
        <w:snapToGrid w:val="0"/>
        <w:spacing w:after="0" w:line="312" w:lineRule="auto"/>
        <w:jc w:val="both"/>
        <w:rPr>
          <w:rFonts w:hint="eastAsia" w:ascii="宋体" w:hAnsi="宋体" w:eastAsia="宋体" w:cs="Times New Roman"/>
          <w:kern w:val="0"/>
          <w:sz w:val="24"/>
          <w:szCs w:val="24"/>
          <w:highlight w:val="none"/>
        </w:rPr>
      </w:pPr>
    </w:p>
    <w:p>
      <w:pPr>
        <w:widowControl w:val="0"/>
        <w:adjustRightInd w:val="0"/>
        <w:snapToGrid w:val="0"/>
        <w:spacing w:after="0" w:line="312" w:lineRule="auto"/>
        <w:jc w:val="both"/>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项目名称：</w:t>
      </w:r>
      <w:r>
        <w:rPr>
          <w:rFonts w:hint="eastAsia" w:ascii="宋体" w:hAnsi="宋体" w:eastAsia="宋体" w:cs="Times New Roman"/>
          <w:kern w:val="0"/>
          <w:sz w:val="24"/>
          <w:szCs w:val="24"/>
          <w:highlight w:val="none"/>
          <w:u w:val="single"/>
        </w:rPr>
        <w:t xml:space="preserve">                           </w:t>
      </w:r>
    </w:p>
    <w:tbl>
      <w:tblPr>
        <w:tblStyle w:val="4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80"/>
        <w:gridCol w:w="3317"/>
        <w:gridCol w:w="737"/>
        <w:gridCol w:w="796"/>
        <w:gridCol w:w="7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sz w:val="21"/>
                <w:szCs w:val="21"/>
                <w:highlight w:val="none"/>
              </w:rPr>
              <w:t>序号</w:t>
            </w:r>
          </w:p>
        </w:tc>
        <w:tc>
          <w:tcPr>
            <w:tcW w:w="1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sz w:val="21"/>
                <w:szCs w:val="21"/>
                <w:highlight w:val="none"/>
              </w:rPr>
              <w:t>评分因素</w:t>
            </w:r>
          </w:p>
        </w:tc>
        <w:tc>
          <w:tcPr>
            <w:tcW w:w="405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eastAsia="宋体" w:cs="Times New Roman"/>
                <w:b/>
                <w:kern w:val="0"/>
                <w:sz w:val="21"/>
                <w:szCs w:val="21"/>
                <w:highlight w:val="none"/>
              </w:rPr>
              <w:t>评分标准</w:t>
            </w:r>
            <w:r>
              <w:rPr>
                <w:rFonts w:hint="eastAsia" w:ascii="宋体" w:hAnsi="宋体" w:eastAsia="宋体" w:cs="Times New Roman"/>
                <w:b/>
                <w:sz w:val="21"/>
                <w:szCs w:val="21"/>
                <w:highlight w:val="none"/>
              </w:rPr>
              <w:t>/分值</w:t>
            </w:r>
          </w:p>
        </w:tc>
        <w:tc>
          <w:tcPr>
            <w:tcW w:w="2388"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r>
              <w:rPr>
                <w:rFonts w:hint="eastAsia" w:ascii="宋体" w:hAnsi="宋体" w:cs="Times New Roman"/>
                <w:b/>
                <w:sz w:val="21"/>
                <w:szCs w:val="21"/>
                <w:highlight w:val="none"/>
                <w:lang w:eastAsia="zh-CN"/>
              </w:rPr>
              <w:t>响应</w:t>
            </w:r>
            <w:r>
              <w:rPr>
                <w:rFonts w:hint="eastAsia" w:ascii="宋体" w:hAnsi="宋体" w:eastAsia="宋体" w:cs="Times New Roman"/>
                <w:b/>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1880"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40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sz w:val="21"/>
                <w:szCs w:val="21"/>
                <w:highlight w:val="none"/>
              </w:rPr>
            </w:pPr>
            <w:r>
              <w:rPr>
                <w:rFonts w:hint="eastAsia" w:ascii="宋体" w:hAnsi="宋体" w:eastAsia="宋体" w:cs="宋体"/>
                <w:bCs/>
                <w:spacing w:val="-6"/>
                <w:szCs w:val="21"/>
              </w:rPr>
              <w:t>项目组织机构及人员安排</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①项目组织机构及主要人员安排基本明确、不太合理，得</w:t>
            </w:r>
            <w:r>
              <w:rPr>
                <w:rFonts w:hint="eastAsia" w:ascii="宋体" w:hAnsi="宋体" w:cs="宋体"/>
                <w:bCs/>
                <w:szCs w:val="21"/>
                <w:lang w:val="en-US" w:eastAsia="zh-CN"/>
              </w:rPr>
              <w:t>4.8</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②项目组织机构及主要人员安排基本明确、合理，得</w:t>
            </w:r>
            <w:r>
              <w:rPr>
                <w:rFonts w:hint="eastAsia" w:ascii="宋体" w:hAnsi="宋体" w:cs="宋体"/>
                <w:bCs/>
                <w:szCs w:val="21"/>
                <w:lang w:val="en-US" w:eastAsia="zh-CN"/>
              </w:rPr>
              <w:t>4.9-6.4</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③项目组织机构及主要人员安排明确、完善、合理，得</w:t>
            </w:r>
            <w:r>
              <w:rPr>
                <w:rFonts w:hint="eastAsia" w:ascii="宋体" w:hAnsi="宋体" w:cs="宋体"/>
                <w:bCs/>
                <w:szCs w:val="21"/>
                <w:lang w:val="en-US" w:eastAsia="zh-CN"/>
              </w:rPr>
              <w:t>6.5-8</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8</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工作步骤</w:t>
            </w:r>
          </w:p>
          <w:p>
            <w:pPr>
              <w:spacing w:after="0"/>
              <w:jc w:val="center"/>
              <w:rPr>
                <w:rFonts w:ascii="oúì?" w:hAnsi="oúì?" w:eastAsia="宋体"/>
                <w:sz w:val="21"/>
                <w:highlight w:val="none"/>
              </w:rPr>
            </w:pPr>
            <w:r>
              <w:rPr>
                <w:rFonts w:hint="eastAsia" w:ascii="宋体" w:hAnsi="宋体" w:eastAsia="宋体" w:cs="宋体"/>
                <w:szCs w:val="21"/>
              </w:rPr>
              <w:t>及审批</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①对工作步骤基本清楚的，得</w:t>
            </w:r>
            <w:r>
              <w:rPr>
                <w:rFonts w:hint="eastAsia" w:ascii="宋体" w:hAnsi="宋体" w:cs="宋体"/>
                <w:bCs/>
                <w:szCs w:val="21"/>
                <w:lang w:val="en-US" w:eastAsia="zh-CN"/>
              </w:rPr>
              <w:t>6</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②对工作步骤基本明确、合理，且对审批程序基本了解的得</w:t>
            </w:r>
            <w:r>
              <w:rPr>
                <w:rFonts w:hint="eastAsia" w:ascii="宋体" w:hAnsi="宋体" w:cs="宋体"/>
                <w:bCs/>
                <w:szCs w:val="21"/>
                <w:lang w:val="en-US" w:eastAsia="zh-CN"/>
              </w:rPr>
              <w:t>7</w:t>
            </w:r>
            <w:r>
              <w:rPr>
                <w:rFonts w:hint="eastAsia" w:ascii="宋体" w:hAnsi="宋体" w:eastAsia="宋体" w:cs="宋体"/>
                <w:bCs/>
                <w:szCs w:val="21"/>
              </w:rPr>
              <w:t>-8分；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③对工作步骤合理、规范且全面的，对审批程序特别熟悉的</w:t>
            </w:r>
            <w:r>
              <w:rPr>
                <w:rFonts w:hint="eastAsia" w:ascii="宋体" w:hAnsi="宋体" w:cs="宋体"/>
                <w:bCs/>
                <w:szCs w:val="21"/>
                <w:lang w:val="en-US" w:eastAsia="zh-CN"/>
              </w:rPr>
              <w:t>9</w:t>
            </w:r>
            <w:r>
              <w:rPr>
                <w:rFonts w:hint="eastAsia" w:ascii="宋体" w:hAnsi="宋体" w:eastAsia="宋体" w:cs="宋体"/>
                <w:bCs/>
                <w:szCs w:val="21"/>
              </w:rPr>
              <w:t>-10分。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eastAsia="zh-CN"/>
              </w:rPr>
            </w:pPr>
            <w:r>
              <w:rPr>
                <w:rFonts w:hint="eastAsia" w:ascii="宋体" w:hAnsi="宋体" w:eastAsiaTheme="minorEastAsia"/>
                <w:szCs w:val="21"/>
              </w:rPr>
              <w:t>10</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工作进度</w:t>
            </w:r>
          </w:p>
          <w:p>
            <w:pPr>
              <w:spacing w:after="0"/>
              <w:jc w:val="center"/>
              <w:rPr>
                <w:rFonts w:ascii="宋体" w:hAnsi="宋体"/>
                <w:szCs w:val="21"/>
              </w:rPr>
            </w:pPr>
            <w:r>
              <w:rPr>
                <w:rFonts w:hint="eastAsia" w:ascii="宋体" w:hAnsi="宋体" w:eastAsia="宋体" w:cs="宋体"/>
                <w:szCs w:val="21"/>
              </w:rPr>
              <w:t>控制及保证</w:t>
            </w:r>
          </w:p>
          <w:p>
            <w:pPr>
              <w:spacing w:after="0"/>
              <w:jc w:val="center"/>
              <w:rPr>
                <w:rFonts w:ascii="oúì?" w:hAnsi="oúì?" w:eastAsia="宋体"/>
                <w:sz w:val="21"/>
                <w:highlight w:val="none"/>
              </w:rPr>
            </w:pPr>
            <w:r>
              <w:rPr>
                <w:rFonts w:hint="eastAsia" w:ascii="宋体" w:hAnsi="宋体" w:eastAsia="宋体" w:cs="宋体"/>
                <w:szCs w:val="21"/>
              </w:rPr>
              <w:t>措施</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①对项目进度控制计划和保证措施基本明确、但不太合理，得</w:t>
            </w:r>
            <w:r>
              <w:rPr>
                <w:rFonts w:hint="eastAsia" w:ascii="宋体" w:hAnsi="宋体" w:cs="宋体"/>
                <w:bCs/>
                <w:szCs w:val="21"/>
                <w:lang w:val="en-US" w:eastAsia="zh-CN"/>
              </w:rPr>
              <w:t>4.8</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②对项目进度控制计划和保证措施基本明确、合理，得</w:t>
            </w:r>
            <w:r>
              <w:rPr>
                <w:rFonts w:hint="eastAsia" w:ascii="宋体" w:hAnsi="宋体" w:cs="宋体"/>
                <w:bCs/>
                <w:szCs w:val="21"/>
                <w:lang w:val="en-US" w:eastAsia="zh-CN"/>
              </w:rPr>
              <w:t>4.9-6.4</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③对项目进度控制计划和保证措施明确、完善、合理，得</w:t>
            </w:r>
            <w:r>
              <w:rPr>
                <w:rFonts w:hint="eastAsia" w:ascii="宋体" w:hAnsi="宋体" w:cs="宋体"/>
                <w:bCs/>
                <w:szCs w:val="21"/>
                <w:lang w:val="en-US" w:eastAsia="zh-CN"/>
              </w:rPr>
              <w:t>6.5-8</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8</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ascii="宋体" w:hAnsi="宋体"/>
                <w:szCs w:val="21"/>
              </w:rPr>
            </w:pPr>
            <w:r>
              <w:rPr>
                <w:rFonts w:hint="eastAsia" w:ascii="宋体" w:hAnsi="宋体" w:eastAsia="宋体" w:cs="宋体"/>
                <w:szCs w:val="21"/>
              </w:rPr>
              <w:t>现场服务</w:t>
            </w:r>
          </w:p>
          <w:p>
            <w:pPr>
              <w:spacing w:after="0"/>
              <w:jc w:val="center"/>
              <w:rPr>
                <w:rFonts w:ascii="oúì?" w:hAnsi="oúì?" w:eastAsia="宋体"/>
                <w:sz w:val="21"/>
                <w:highlight w:val="none"/>
              </w:rPr>
            </w:pPr>
            <w:r>
              <w:rPr>
                <w:rFonts w:hint="eastAsia" w:ascii="宋体" w:hAnsi="宋体" w:eastAsia="宋体" w:cs="宋体"/>
                <w:szCs w:val="21"/>
              </w:rPr>
              <w:t>计划</w:t>
            </w:r>
          </w:p>
        </w:tc>
        <w:tc>
          <w:tcPr>
            <w:tcW w:w="3317" w:type="dxa"/>
            <w:tcBorders>
              <w:top w:val="single" w:color="auto" w:sz="4" w:space="0"/>
              <w:left w:val="single" w:color="auto" w:sz="4" w:space="0"/>
              <w:right w:val="single" w:color="auto" w:sz="4" w:space="0"/>
            </w:tcBorders>
            <w:noWrap w:val="0"/>
            <w:vAlign w:val="center"/>
          </w:tcPr>
          <w:p>
            <w:pPr>
              <w:spacing w:line="240" w:lineRule="auto"/>
              <w:rPr>
                <w:rFonts w:ascii="宋体" w:hAnsi="宋体" w:eastAsia="宋体" w:cs="宋体"/>
                <w:bCs/>
                <w:szCs w:val="21"/>
              </w:rPr>
            </w:pPr>
            <w:r>
              <w:rPr>
                <w:rFonts w:hint="eastAsia" w:ascii="宋体" w:hAnsi="宋体" w:eastAsia="宋体" w:cs="宋体"/>
                <w:bCs/>
                <w:szCs w:val="21"/>
              </w:rPr>
              <w:t>①现场服务人员、设备、安排配置不合理，得</w:t>
            </w:r>
            <w:r>
              <w:rPr>
                <w:rFonts w:hint="eastAsia" w:ascii="宋体" w:hAnsi="宋体" w:cs="宋体"/>
                <w:bCs/>
                <w:szCs w:val="21"/>
                <w:lang w:val="en-US" w:eastAsia="zh-CN"/>
              </w:rPr>
              <w:t>2.4</w:t>
            </w:r>
            <w:r>
              <w:rPr>
                <w:rFonts w:hint="eastAsia" w:ascii="宋体" w:hAnsi="宋体" w:eastAsia="宋体" w:cs="宋体"/>
                <w:bCs/>
                <w:szCs w:val="21"/>
              </w:rPr>
              <w:t>分；</w:t>
            </w:r>
          </w:p>
          <w:p>
            <w:pPr>
              <w:spacing w:line="240" w:lineRule="auto"/>
              <w:rPr>
                <w:rFonts w:ascii="宋体" w:hAnsi="宋体" w:eastAsia="宋体" w:cs="宋体"/>
                <w:bCs/>
                <w:szCs w:val="21"/>
              </w:rPr>
            </w:pPr>
            <w:r>
              <w:rPr>
                <w:rFonts w:hint="eastAsia" w:ascii="宋体" w:hAnsi="宋体" w:eastAsia="宋体" w:cs="宋体"/>
                <w:bCs/>
                <w:szCs w:val="21"/>
              </w:rPr>
              <w:t>②现场服务人员、设备、安排配置基本合理，得</w:t>
            </w:r>
            <w:r>
              <w:rPr>
                <w:rFonts w:hint="eastAsia" w:ascii="宋体" w:hAnsi="宋体" w:cs="宋体"/>
                <w:bCs/>
                <w:szCs w:val="21"/>
                <w:lang w:val="en-US" w:eastAsia="zh-CN"/>
              </w:rPr>
              <w:t>2.5-3.2</w:t>
            </w:r>
            <w:r>
              <w:rPr>
                <w:rFonts w:hint="eastAsia" w:ascii="宋体" w:hAnsi="宋体" w:eastAsia="宋体" w:cs="宋体"/>
                <w:bCs/>
                <w:szCs w:val="21"/>
              </w:rPr>
              <w:t>分；</w:t>
            </w:r>
          </w:p>
          <w:p>
            <w:pPr>
              <w:spacing w:line="240" w:lineRule="auto"/>
              <w:rPr>
                <w:rFonts w:ascii="宋体" w:hAnsi="宋体" w:eastAsia="宋体" w:cs="Times New Roman"/>
                <w:sz w:val="21"/>
                <w:szCs w:val="21"/>
                <w:highlight w:val="none"/>
              </w:rPr>
            </w:pPr>
            <w:r>
              <w:rPr>
                <w:rFonts w:hint="eastAsia" w:ascii="宋体" w:hAnsi="宋体" w:eastAsia="宋体" w:cs="宋体"/>
                <w:bCs/>
                <w:szCs w:val="21"/>
              </w:rPr>
              <w:t>③现场服务人员、设备、安排配置周全、合理，得</w:t>
            </w:r>
            <w:r>
              <w:rPr>
                <w:rFonts w:hint="eastAsia" w:ascii="宋体" w:hAnsi="宋体" w:cs="宋体"/>
                <w:bCs/>
                <w:szCs w:val="21"/>
                <w:lang w:val="en-US" w:eastAsia="zh-CN"/>
              </w:rPr>
              <w:t>3.2</w:t>
            </w: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分。</w:t>
            </w:r>
          </w:p>
        </w:tc>
        <w:tc>
          <w:tcPr>
            <w:tcW w:w="737" w:type="dxa"/>
            <w:tcBorders>
              <w:top w:val="single" w:color="auto" w:sz="4" w:space="0"/>
              <w:left w:val="single" w:color="auto" w:sz="4" w:space="0"/>
              <w:right w:val="single" w:color="auto" w:sz="4" w:space="0"/>
            </w:tcBorders>
            <w:noWrap w:val="0"/>
            <w:vAlign w:val="center"/>
          </w:tcPr>
          <w:p>
            <w:pPr>
              <w:widowControl w:val="0"/>
              <w:adjustRightInd w:val="0"/>
              <w:snapToGrid w:val="0"/>
              <w:spacing w:line="240" w:lineRule="auto"/>
              <w:jc w:val="center"/>
              <w:rPr>
                <w:rFonts w:hint="eastAsia"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4</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80"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r>
              <w:rPr>
                <w:rFonts w:hint="eastAsia" w:ascii="宋体" w:hAnsi="宋体" w:eastAsia="宋体" w:cs="Times New Roman"/>
                <w:b/>
                <w:sz w:val="21"/>
                <w:szCs w:val="21"/>
                <w:highlight w:val="none"/>
              </w:rPr>
              <w:t>合计</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30</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240" w:lineRule="auto"/>
              <w:jc w:val="center"/>
              <w:rPr>
                <w:rFonts w:ascii="宋体" w:hAnsi="宋体" w:eastAsia="宋体" w:cs="Times New Roman"/>
                <w:sz w:val="21"/>
                <w:szCs w:val="21"/>
                <w:highlight w:val="none"/>
              </w:rPr>
            </w:pPr>
          </w:p>
        </w:tc>
      </w:tr>
    </w:tbl>
    <w:p>
      <w:pPr>
        <w:widowControl w:val="0"/>
        <w:adjustRightInd w:val="0"/>
        <w:snapToGrid w:val="0"/>
        <w:spacing w:after="0" w:line="312" w:lineRule="auto"/>
        <w:ind w:firstLine="315" w:firstLineChars="1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注：1、本表小计总分为</w:t>
      </w:r>
      <w:r>
        <w:rPr>
          <w:rFonts w:hint="eastAsia" w:ascii="宋体" w:hAnsi="宋体" w:cs="Times New Roman"/>
          <w:sz w:val="21"/>
          <w:szCs w:val="21"/>
          <w:highlight w:val="none"/>
          <w:u w:val="single"/>
          <w:lang w:val="en-US" w:eastAsia="zh-CN"/>
        </w:rPr>
        <w:t>3</w:t>
      </w:r>
      <w:r>
        <w:rPr>
          <w:rFonts w:hint="eastAsia" w:ascii="宋体" w:hAnsi="宋体" w:eastAsia="宋体" w:cs="Times New Roman"/>
          <w:sz w:val="21"/>
          <w:szCs w:val="21"/>
          <w:highlight w:val="none"/>
          <w:u w:val="single"/>
        </w:rPr>
        <w:t>0</w:t>
      </w:r>
      <w:r>
        <w:rPr>
          <w:rFonts w:ascii="宋体" w:hAnsi="宋体" w:eastAsia="宋体" w:cs="Times New Roman"/>
          <w:sz w:val="21"/>
          <w:szCs w:val="21"/>
          <w:highlight w:val="none"/>
          <w:u w:val="single"/>
        </w:rPr>
        <w:t xml:space="preserve"> </w:t>
      </w:r>
      <w:r>
        <w:rPr>
          <w:rFonts w:hint="eastAsia" w:ascii="宋体" w:hAnsi="宋体" w:eastAsia="宋体" w:cs="Times New Roman"/>
          <w:kern w:val="0"/>
          <w:sz w:val="21"/>
          <w:szCs w:val="21"/>
          <w:highlight w:val="none"/>
        </w:rPr>
        <w:t>分。</w:t>
      </w:r>
    </w:p>
    <w:p>
      <w:pPr>
        <w:widowControl w:val="0"/>
        <w:adjustRightInd w:val="0"/>
        <w:snapToGrid w:val="0"/>
        <w:spacing w:after="0" w:line="312" w:lineRule="auto"/>
        <w:ind w:firstLine="735" w:firstLineChars="3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2、技术文件中缺失某项评分因素的，该项评分因素计0分。</w:t>
      </w:r>
    </w:p>
    <w:p>
      <w:pPr>
        <w:widowControl w:val="0"/>
        <w:adjustRightInd w:val="0"/>
        <w:snapToGrid w:val="0"/>
        <w:spacing w:after="0" w:line="312" w:lineRule="auto"/>
        <w:ind w:firstLine="735" w:firstLineChars="350"/>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3、该项评标内容计分，由评标委员会集体评议，评委根据集体评议意见，自主评分。</w:t>
      </w:r>
      <w:r>
        <w:rPr>
          <w:rFonts w:hint="eastAsia" w:ascii="宋体" w:hAnsi="宋体" w:eastAsia="宋体" w:cs="Times New Roman"/>
          <w:b/>
          <w:kern w:val="0"/>
          <w:sz w:val="21"/>
          <w:szCs w:val="21"/>
          <w:highlight w:val="none"/>
        </w:rPr>
        <w:t>技术文件得分为评委个人评审计分的算术平均值。</w:t>
      </w:r>
    </w:p>
    <w:p>
      <w:pPr>
        <w:widowControl w:val="0"/>
        <w:adjustRightInd w:val="0"/>
        <w:snapToGrid w:val="0"/>
        <w:spacing w:after="0" w:line="312" w:lineRule="auto"/>
        <w:ind w:firstLine="735" w:firstLineChars="350"/>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4、</w:t>
      </w:r>
      <w:r>
        <w:rPr>
          <w:rFonts w:hint="eastAsia" w:ascii="宋体" w:hAnsi="宋体" w:cs="Times New Roman"/>
          <w:kern w:val="0"/>
          <w:sz w:val="21"/>
          <w:szCs w:val="21"/>
          <w:highlight w:val="none"/>
          <w:lang w:eastAsia="zh-CN"/>
        </w:rPr>
        <w:t>询价</w:t>
      </w:r>
      <w:r>
        <w:rPr>
          <w:rFonts w:hint="eastAsia" w:ascii="宋体" w:hAnsi="宋体" w:eastAsia="宋体" w:cs="Times New Roman"/>
          <w:kern w:val="0"/>
          <w:sz w:val="21"/>
          <w:szCs w:val="21"/>
          <w:highlight w:val="none"/>
        </w:rPr>
        <w:t>人可根据项目的具体特点和需要设置合理的评分因素，项目没有具体需要的不得设置为评分因素内容。</w:t>
      </w:r>
    </w:p>
    <w:p>
      <w:pPr>
        <w:widowControl w:val="0"/>
        <w:adjustRightInd w:val="0"/>
        <w:snapToGrid w:val="0"/>
        <w:spacing w:after="0" w:line="312" w:lineRule="auto"/>
        <w:ind w:firstLine="735" w:firstLineChars="350"/>
        <w:rPr>
          <w:rFonts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5、各评分因素中最低分值的设置不得低于该评分因素和评分标准最高分值的60%。</w:t>
      </w:r>
    </w:p>
    <w:p>
      <w:pPr>
        <w:widowControl w:val="0"/>
        <w:adjustRightInd w:val="0"/>
        <w:snapToGrid w:val="0"/>
        <w:spacing w:after="0" w:line="312" w:lineRule="auto"/>
        <w:ind w:firstLine="738" w:firstLineChars="350"/>
        <w:rPr>
          <w:rFonts w:hint="eastAsia" w:ascii="宋体" w:hAnsi="宋体" w:eastAsia="宋体" w:cs="Times New Roman"/>
          <w:b/>
          <w:kern w:val="0"/>
          <w:sz w:val="21"/>
          <w:szCs w:val="21"/>
          <w:highlight w:val="none"/>
        </w:rPr>
      </w:pPr>
    </w:p>
    <w:p>
      <w:pPr>
        <w:widowControl w:val="0"/>
        <w:adjustRightInd w:val="0"/>
        <w:snapToGrid w:val="0"/>
        <w:spacing w:after="0" w:line="312" w:lineRule="auto"/>
        <w:ind w:firstLine="738" w:firstLineChars="350"/>
        <w:rPr>
          <w:rFonts w:hint="eastAsia" w:ascii="宋体" w:hAnsi="宋体" w:eastAsia="宋体" w:cs="Times New Roman"/>
          <w:b/>
          <w:kern w:val="0"/>
          <w:sz w:val="21"/>
          <w:szCs w:val="21"/>
          <w:highlight w:val="none"/>
        </w:rPr>
      </w:pPr>
    </w:p>
    <w:p>
      <w:pPr>
        <w:widowControl w:val="0"/>
        <w:adjustRightInd w:val="0"/>
        <w:snapToGrid w:val="0"/>
        <w:spacing w:after="0" w:line="312" w:lineRule="auto"/>
        <w:ind w:firstLine="480" w:firstLineChars="200"/>
        <w:jc w:val="both"/>
        <w:rPr>
          <w:rFonts w:hint="eastAsia" w:ascii="宋体" w:hAnsi="宋体" w:eastAsia="宋体" w:cs="Times New Roman"/>
          <w:sz w:val="24"/>
          <w:szCs w:val="24"/>
          <w:highlight w:val="none"/>
        </w:rPr>
      </w:pPr>
      <w:r>
        <w:rPr>
          <w:rFonts w:ascii="宋体" w:hAnsi="宋体" w:eastAsia="宋体" w:cs="Times New Roman"/>
          <w:sz w:val="24"/>
          <w:szCs w:val="24"/>
          <w:highlight w:val="none"/>
        </w:rPr>
        <w:t>评委签字：</w:t>
      </w:r>
    </w:p>
    <w:p>
      <w:pPr>
        <w:widowControl w:val="0"/>
        <w:spacing w:after="0" w:line="300" w:lineRule="exact"/>
        <w:jc w:val="both"/>
        <w:rPr>
          <w:rFonts w:hint="eastAsia" w:ascii="宋体" w:hAnsi="宋体" w:eastAsia="宋体" w:cs="Times New Roman"/>
          <w:sz w:val="21"/>
          <w:szCs w:val="21"/>
          <w:highlight w:val="none"/>
        </w:rPr>
      </w:pPr>
    </w:p>
    <w:p>
      <w:pPr>
        <w:widowControl w:val="0"/>
        <w:snapToGrid w:val="0"/>
        <w:spacing w:line="490" w:lineRule="exact"/>
        <w:jc w:val="center"/>
        <w:outlineLvl w:val="9"/>
        <w:rPr>
          <w:rFonts w:ascii="黑体" w:hAnsi="黑体" w:eastAsia="黑体" w:cs="宋体"/>
          <w:kern w:val="44"/>
          <w:sz w:val="32"/>
          <w:szCs w:val="32"/>
          <w:highlight w:val="none"/>
        </w:rPr>
      </w:pPr>
    </w:p>
    <w:p>
      <w:pPr>
        <w:rPr>
          <w:rFonts w:ascii="黑体" w:hAnsi="黑体" w:eastAsia="黑体" w:cs="宋体"/>
          <w:kern w:val="44"/>
          <w:sz w:val="32"/>
          <w:szCs w:val="32"/>
          <w:highlight w:val="none"/>
        </w:rPr>
      </w:pPr>
      <w:r>
        <w:rPr>
          <w:rFonts w:ascii="黑体" w:hAnsi="黑体" w:eastAsia="黑体" w:cs="宋体"/>
          <w:kern w:val="44"/>
          <w:sz w:val="32"/>
          <w:szCs w:val="32"/>
          <w:highlight w:val="none"/>
        </w:rPr>
        <w:br w:type="page"/>
      </w:r>
    </w:p>
    <w:p>
      <w:pPr>
        <w:pStyle w:val="40"/>
        <w:rPr>
          <w:rFonts w:ascii="黑体" w:hAnsi="黑体" w:eastAsia="黑体" w:cs="宋体"/>
          <w:kern w:val="44"/>
          <w:sz w:val="32"/>
          <w:szCs w:val="32"/>
          <w:highlight w:val="none"/>
        </w:rPr>
      </w:pPr>
    </w:p>
    <w:bookmarkEnd w:id="20"/>
    <w:bookmarkEnd w:id="21"/>
    <w:p>
      <w:pPr>
        <w:pStyle w:val="79"/>
        <w:spacing w:line="600" w:lineRule="exact"/>
        <w:ind w:left="420" w:firstLine="0" w:firstLineChars="0"/>
        <w:jc w:val="center"/>
        <w:outlineLvl w:val="0"/>
        <w:rPr>
          <w:color w:val="000000"/>
          <w:highlight w:val="none"/>
        </w:rPr>
      </w:pPr>
      <w:bookmarkStart w:id="32" w:name="_Toc23090"/>
      <w:r>
        <w:rPr>
          <w:rFonts w:hint="eastAsia" w:ascii="黑体" w:hAnsi="黑体" w:eastAsia="黑体" w:cs="仿宋"/>
          <w:b/>
          <w:color w:val="000000"/>
          <w:sz w:val="36"/>
          <w:szCs w:val="36"/>
          <w:highlight w:val="none"/>
        </w:rPr>
        <w:t>第四章：合同</w:t>
      </w:r>
      <w:r>
        <w:rPr>
          <w:rFonts w:hint="eastAsia" w:ascii="黑体" w:hAnsi="黑体" w:eastAsia="黑体" w:cs="仿宋"/>
          <w:b/>
          <w:color w:val="000000"/>
          <w:sz w:val="36"/>
          <w:szCs w:val="36"/>
          <w:highlight w:val="none"/>
          <w:lang w:val="en-US" w:eastAsia="zh-CN"/>
        </w:rPr>
        <w:t>协议</w:t>
      </w:r>
      <w:r>
        <w:rPr>
          <w:rFonts w:hint="eastAsia" w:ascii="黑体" w:hAnsi="黑体" w:eastAsia="黑体" w:cs="仿宋"/>
          <w:b/>
          <w:color w:val="000000"/>
          <w:sz w:val="36"/>
          <w:szCs w:val="36"/>
          <w:highlight w:val="none"/>
        </w:rPr>
        <w:t>书</w:t>
      </w:r>
      <w:bookmarkEnd w:id="32"/>
    </w:p>
    <w:p>
      <w:pPr>
        <w:spacing w:line="500" w:lineRule="exact"/>
        <w:rPr>
          <w:color w:val="000000"/>
          <w:sz w:val="24"/>
          <w:highlight w:val="none"/>
        </w:rPr>
      </w:pPr>
      <w:r>
        <w:rPr>
          <w:color w:val="000000"/>
          <w:sz w:val="24"/>
          <w:highlight w:val="none"/>
        </w:rPr>
        <w:t xml:space="preserve"> </w:t>
      </w:r>
      <w:r>
        <w:rPr>
          <w:rFonts w:hint="eastAsia"/>
          <w:color w:val="000000"/>
          <w:sz w:val="24"/>
          <w:highlight w:val="none"/>
        </w:rPr>
        <w:t xml:space="preserve">   </w:t>
      </w:r>
    </w:p>
    <w:p>
      <w:pPr>
        <w:spacing w:line="500" w:lineRule="exact"/>
        <w:ind w:firstLine="480" w:firstLineChars="200"/>
        <w:rPr>
          <w:color w:val="000000"/>
          <w:sz w:val="24"/>
          <w:highlight w:val="none"/>
        </w:rPr>
      </w:pPr>
      <w:r>
        <w:rPr>
          <w:rFonts w:hint="eastAsia"/>
          <w:color w:val="000000"/>
          <w:sz w:val="24"/>
          <w:highlight w:val="none"/>
        </w:rPr>
        <w:t>根据《中华人民共和国民法典》有关规定，合同双方就</w:t>
      </w:r>
      <w:r>
        <w:rPr>
          <w:rFonts w:hint="eastAsia"/>
          <w:color w:val="000000"/>
          <w:sz w:val="24"/>
          <w:highlight w:val="none"/>
          <w:u w:val="single"/>
          <w:lang w:eastAsia="zh-CN"/>
        </w:rPr>
        <w:t>湘阴虞公港一期工程后方陆域建设用地报批</w:t>
      </w:r>
      <w:r>
        <w:rPr>
          <w:rFonts w:hint="eastAsia"/>
          <w:color w:val="000000"/>
          <w:sz w:val="24"/>
          <w:highlight w:val="none"/>
          <w:u w:val="single"/>
          <w:lang w:val="en-US" w:eastAsia="zh-CN"/>
        </w:rPr>
        <w:t>项目</w:t>
      </w:r>
      <w:r>
        <w:rPr>
          <w:rFonts w:hint="eastAsia"/>
          <w:color w:val="000000"/>
          <w:kern w:val="28"/>
          <w:sz w:val="24"/>
          <w:highlight w:val="none"/>
        </w:rPr>
        <w:t>，</w:t>
      </w:r>
      <w:r>
        <w:rPr>
          <w:rFonts w:hint="eastAsia"/>
          <w:color w:val="000000"/>
          <w:sz w:val="24"/>
          <w:highlight w:val="none"/>
        </w:rPr>
        <w:t>本着平等互利和诚实信用的原则，</w:t>
      </w:r>
      <w:r>
        <w:rPr>
          <w:rFonts w:hint="eastAsia"/>
          <w:color w:val="000000"/>
          <w:kern w:val="28"/>
          <w:sz w:val="24"/>
          <w:highlight w:val="none"/>
        </w:rPr>
        <w:t>经双方协商达成共识，特此签订本合同如下。</w:t>
      </w:r>
    </w:p>
    <w:p>
      <w:pPr>
        <w:spacing w:line="500" w:lineRule="exact"/>
        <w:outlineLvl w:val="0"/>
        <w:rPr>
          <w:b/>
          <w:color w:val="000000"/>
          <w:sz w:val="24"/>
          <w:highlight w:val="none"/>
        </w:rPr>
      </w:pPr>
      <w:bookmarkStart w:id="33" w:name="_Toc31193"/>
      <w:r>
        <w:rPr>
          <w:rFonts w:hint="eastAsia"/>
          <w:b/>
          <w:color w:val="000000"/>
          <w:sz w:val="24"/>
          <w:highlight w:val="none"/>
        </w:rPr>
        <w:t>一、项目名称</w:t>
      </w:r>
      <w:bookmarkEnd w:id="33"/>
    </w:p>
    <w:p>
      <w:pPr>
        <w:spacing w:line="500" w:lineRule="exact"/>
        <w:ind w:right="-334" w:rightChars="-159" w:firstLine="480" w:firstLineChars="200"/>
        <w:rPr>
          <w:rFonts w:hint="eastAsia" w:eastAsia="宋体"/>
          <w:spacing w:val="-4"/>
          <w:sz w:val="24"/>
          <w:highlight w:val="none"/>
          <w:lang w:eastAsia="zh-CN"/>
        </w:rPr>
      </w:pPr>
      <w:r>
        <w:rPr>
          <w:rFonts w:hint="eastAsia" w:ascii="宋体" w:hAnsi="宋体"/>
          <w:bCs/>
          <w:color w:val="000000"/>
          <w:sz w:val="24"/>
          <w:highlight w:val="none"/>
        </w:rPr>
        <w:t>项目名称：</w:t>
      </w:r>
      <w:r>
        <w:rPr>
          <w:rFonts w:hint="eastAsia"/>
          <w:color w:val="000000"/>
          <w:sz w:val="24"/>
          <w:highlight w:val="none"/>
          <w:u w:val="single"/>
          <w:lang w:eastAsia="zh-CN"/>
        </w:rPr>
        <w:t>湘阴虞公港一期工程后方陆域建设用地报批</w:t>
      </w:r>
    </w:p>
    <w:p>
      <w:pPr>
        <w:spacing w:line="500" w:lineRule="exact"/>
        <w:outlineLvl w:val="0"/>
        <w:rPr>
          <w:rFonts w:ascii="宋体" w:hAnsi="宋体"/>
          <w:b/>
          <w:color w:val="000000"/>
          <w:sz w:val="24"/>
          <w:highlight w:val="none"/>
        </w:rPr>
      </w:pPr>
      <w:bookmarkStart w:id="34" w:name="_Toc23119"/>
      <w:r>
        <w:rPr>
          <w:rFonts w:hint="eastAsia" w:ascii="宋体" w:hAnsi="宋体"/>
          <w:b/>
          <w:color w:val="000000"/>
          <w:sz w:val="24"/>
          <w:highlight w:val="none"/>
        </w:rPr>
        <w:t>二、</w:t>
      </w:r>
      <w:r>
        <w:rPr>
          <w:rFonts w:hint="eastAsia" w:ascii="宋体" w:hAnsi="宋体"/>
          <w:b/>
          <w:sz w:val="24"/>
          <w:highlight w:val="none"/>
        </w:rPr>
        <w:t>双方责任</w:t>
      </w:r>
      <w:bookmarkEnd w:id="34"/>
    </w:p>
    <w:p>
      <w:pPr>
        <w:spacing w:line="500" w:lineRule="exact"/>
        <w:ind w:firstLine="480" w:firstLineChars="200"/>
        <w:rPr>
          <w:rFonts w:ascii="宋体" w:hAnsi="宋体"/>
          <w:sz w:val="24"/>
          <w:highlight w:val="none"/>
        </w:rPr>
      </w:pPr>
      <w:r>
        <w:rPr>
          <w:rFonts w:hint="eastAsia" w:ascii="宋体" w:hAnsi="宋体"/>
          <w:sz w:val="24"/>
          <w:highlight w:val="none"/>
        </w:rPr>
        <w:t>1、甲方责任：</w:t>
      </w:r>
    </w:p>
    <w:p>
      <w:pPr>
        <w:spacing w:line="500" w:lineRule="exact"/>
        <w:ind w:firstLine="480" w:firstLineChars="200"/>
        <w:rPr>
          <w:rFonts w:ascii="宋体" w:hAnsi="宋体"/>
          <w:sz w:val="24"/>
          <w:highlight w:val="none"/>
        </w:rPr>
      </w:pPr>
      <w:r>
        <w:rPr>
          <w:rFonts w:hint="eastAsia" w:ascii="宋体" w:hAnsi="宋体"/>
          <w:sz w:val="24"/>
          <w:highlight w:val="none"/>
        </w:rPr>
        <w:t>（1）负责及时向乙方提供</w:t>
      </w:r>
      <w:r>
        <w:rPr>
          <w:rFonts w:hint="eastAsia" w:ascii="宋体" w:hAnsi="宋体"/>
          <w:sz w:val="24"/>
          <w:highlight w:val="none"/>
          <w:u w:val="single"/>
          <w:lang w:val="en-US" w:eastAsia="zh-CN"/>
        </w:rPr>
        <w:t>施工图纸</w:t>
      </w:r>
      <w:r>
        <w:rPr>
          <w:rFonts w:hint="eastAsia" w:ascii="宋体" w:hAnsi="宋体"/>
          <w:color w:val="000000"/>
          <w:sz w:val="24"/>
          <w:highlight w:val="none"/>
          <w:u w:val="single"/>
        </w:rPr>
        <w:t>等</w:t>
      </w:r>
      <w:r>
        <w:rPr>
          <w:rFonts w:hint="eastAsia" w:ascii="宋体" w:hAnsi="宋体"/>
          <w:sz w:val="24"/>
          <w:highlight w:val="none"/>
        </w:rPr>
        <w:t>相关文件，以满足乙方执行本合同的必备条件。</w:t>
      </w:r>
    </w:p>
    <w:p>
      <w:pPr>
        <w:spacing w:line="500" w:lineRule="exact"/>
        <w:ind w:firstLine="480" w:firstLineChars="200"/>
        <w:rPr>
          <w:rFonts w:ascii="宋体" w:hAnsi="宋体"/>
          <w:sz w:val="24"/>
          <w:highlight w:val="none"/>
        </w:rPr>
      </w:pPr>
      <w:r>
        <w:rPr>
          <w:rFonts w:hint="eastAsia" w:ascii="宋体" w:hAnsi="宋体"/>
          <w:sz w:val="24"/>
          <w:highlight w:val="none"/>
        </w:rPr>
        <w:t>（2）负责配合乙方和专家的现场勘查工作。</w:t>
      </w:r>
    </w:p>
    <w:p>
      <w:pPr>
        <w:spacing w:line="500" w:lineRule="exact"/>
        <w:ind w:firstLine="480" w:firstLineChars="200"/>
        <w:rPr>
          <w:rFonts w:ascii="宋体" w:hAnsi="宋体"/>
          <w:sz w:val="24"/>
          <w:highlight w:val="none"/>
        </w:rPr>
      </w:pPr>
      <w:r>
        <w:rPr>
          <w:rFonts w:hint="eastAsia" w:ascii="宋体" w:hAnsi="宋体"/>
          <w:sz w:val="24"/>
          <w:highlight w:val="none"/>
        </w:rPr>
        <w:t>（3）在本合同执行过程中，甲方配合乙方提供相关执行本合同所需的支持和帮助。</w:t>
      </w:r>
    </w:p>
    <w:p>
      <w:pPr>
        <w:spacing w:line="500" w:lineRule="exact"/>
        <w:ind w:firstLine="480" w:firstLineChars="200"/>
        <w:rPr>
          <w:rFonts w:ascii="宋体" w:hAnsi="宋体"/>
          <w:sz w:val="24"/>
          <w:highlight w:val="none"/>
        </w:rPr>
      </w:pPr>
      <w:r>
        <w:rPr>
          <w:rFonts w:hint="eastAsia" w:ascii="宋体" w:hAnsi="宋体"/>
          <w:sz w:val="24"/>
          <w:highlight w:val="none"/>
        </w:rPr>
        <w:t>（4）安排人员负责向乙方解答本工程项目有关问题。</w:t>
      </w:r>
    </w:p>
    <w:p>
      <w:pPr>
        <w:spacing w:line="500" w:lineRule="exact"/>
        <w:ind w:firstLine="480" w:firstLineChars="200"/>
        <w:rPr>
          <w:rFonts w:ascii="宋体" w:hAnsi="宋体"/>
          <w:sz w:val="24"/>
          <w:highlight w:val="none"/>
        </w:rPr>
      </w:pPr>
      <w:r>
        <w:rPr>
          <w:rFonts w:hint="eastAsia" w:ascii="宋体" w:hAnsi="宋体"/>
          <w:sz w:val="24"/>
          <w:highlight w:val="none"/>
        </w:rPr>
        <w:t>（5）按时支付乙方合同款。</w:t>
      </w:r>
    </w:p>
    <w:p>
      <w:pPr>
        <w:spacing w:line="500" w:lineRule="exact"/>
        <w:ind w:firstLine="480" w:firstLineChars="200"/>
        <w:rPr>
          <w:rFonts w:ascii="宋体" w:hAnsi="宋体"/>
          <w:sz w:val="24"/>
          <w:highlight w:val="none"/>
        </w:rPr>
      </w:pPr>
      <w:r>
        <w:rPr>
          <w:rFonts w:hint="eastAsia" w:ascii="宋体" w:hAnsi="宋体"/>
          <w:sz w:val="24"/>
          <w:highlight w:val="none"/>
        </w:rPr>
        <w:t>2、乙方责任：</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rPr>
        <w:t>（1）根据国家法律法规、交通部的有关规定和行业规范以及有关主管部门</w:t>
      </w:r>
      <w:r>
        <w:rPr>
          <w:rFonts w:hint="eastAsia" w:ascii="宋体" w:hAnsi="宋体"/>
          <w:sz w:val="24"/>
          <w:highlight w:val="none"/>
          <w:lang w:val="en-US" w:eastAsia="zh-CN"/>
        </w:rPr>
        <w:t>要求为本项目的补征用地办理报批手续。</w:t>
      </w:r>
    </w:p>
    <w:p>
      <w:pPr>
        <w:spacing w:line="500" w:lineRule="exact"/>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）确保最终</w:t>
      </w:r>
      <w:r>
        <w:rPr>
          <w:rFonts w:hint="eastAsia" w:ascii="宋体" w:hAnsi="宋体"/>
          <w:sz w:val="24"/>
          <w:highlight w:val="none"/>
          <w:lang w:eastAsia="zh-CN"/>
        </w:rPr>
        <w:t>湘阴虞公港一期工程</w:t>
      </w:r>
      <w:r>
        <w:rPr>
          <w:rFonts w:hint="eastAsia" w:ascii="宋体" w:hAnsi="宋体"/>
          <w:sz w:val="24"/>
          <w:highlight w:val="none"/>
          <w:lang w:val="en-US" w:eastAsia="zh-CN"/>
        </w:rPr>
        <w:t>补征地块取得省人民政府用地批单</w:t>
      </w:r>
      <w:r>
        <w:rPr>
          <w:rFonts w:hint="eastAsia" w:ascii="宋体" w:hAnsi="宋体"/>
          <w:sz w:val="24"/>
          <w:highlight w:val="none"/>
        </w:rPr>
        <w:t>。</w:t>
      </w:r>
    </w:p>
    <w:p>
      <w:pPr>
        <w:spacing w:line="500" w:lineRule="exact"/>
        <w:ind w:firstLine="420" w:firstLineChars="200"/>
        <w:rPr>
          <w:rFonts w:hint="default"/>
          <w:highlight w:val="none"/>
          <w:lang w:val="en-US" w:eastAsia="zh-CN"/>
        </w:rPr>
      </w:pPr>
    </w:p>
    <w:p>
      <w:pPr>
        <w:spacing w:line="500" w:lineRule="exact"/>
        <w:outlineLvl w:val="0"/>
        <w:rPr>
          <w:b/>
          <w:color w:val="000000"/>
          <w:sz w:val="24"/>
          <w:highlight w:val="none"/>
        </w:rPr>
      </w:pPr>
      <w:bookmarkStart w:id="35" w:name="_Toc23640"/>
      <w:r>
        <w:rPr>
          <w:rFonts w:hint="eastAsia"/>
          <w:b/>
          <w:color w:val="000000"/>
          <w:sz w:val="24"/>
          <w:highlight w:val="none"/>
        </w:rPr>
        <w:t>三、合同金额及支付方式</w:t>
      </w:r>
      <w:bookmarkEnd w:id="35"/>
    </w:p>
    <w:p>
      <w:pPr>
        <w:spacing w:line="500" w:lineRule="exact"/>
        <w:ind w:firstLine="480" w:firstLineChars="200"/>
        <w:rPr>
          <w:color w:val="000000"/>
          <w:sz w:val="24"/>
          <w:highlight w:val="none"/>
          <w:u w:val="single"/>
        </w:rPr>
      </w:pPr>
      <w:r>
        <w:rPr>
          <w:rFonts w:hint="eastAsia"/>
          <w:color w:val="000000"/>
          <w:sz w:val="24"/>
          <w:highlight w:val="none"/>
        </w:rPr>
        <w:t>1、本合同总价款：人民币</w:t>
      </w:r>
      <w:r>
        <w:rPr>
          <w:rFonts w:hint="eastAsia"/>
          <w:color w:val="F79646" w:themeColor="accent6"/>
          <w:sz w:val="24"/>
          <w:highlight w:val="none"/>
          <w:u w:val="single"/>
          <w14:textFill>
            <w14:solidFill>
              <w14:schemeClr w14:val="accent6"/>
            </w14:solidFill>
          </w14:textFill>
        </w:rPr>
        <w:t xml:space="preserve">                   元），</w:t>
      </w:r>
      <w:r>
        <w:rPr>
          <w:rFonts w:hint="eastAsia"/>
          <w:color w:val="000000"/>
          <w:sz w:val="24"/>
          <w:highlight w:val="none"/>
        </w:rPr>
        <w:t>此金额为含税价，税率</w:t>
      </w:r>
      <w:r>
        <w:rPr>
          <w:rFonts w:hint="eastAsia"/>
          <w:color w:val="000000"/>
          <w:sz w:val="24"/>
          <w:highlight w:val="none"/>
          <w:lang w:val="en-US" w:eastAsia="zh-CN"/>
        </w:rPr>
        <w:t>6</w:t>
      </w:r>
      <w:r>
        <w:rPr>
          <w:rFonts w:hint="eastAsia"/>
          <w:color w:val="F79646" w:themeColor="accent6"/>
          <w:sz w:val="24"/>
          <w:highlight w:val="none"/>
          <w14:textFill>
            <w14:solidFill>
              <w14:schemeClr w14:val="accent6"/>
            </w14:solidFill>
          </w14:textFill>
        </w:rPr>
        <w:t>%</w:t>
      </w:r>
      <w:r>
        <w:rPr>
          <w:rFonts w:hint="eastAsia"/>
          <w:color w:val="000000"/>
          <w:sz w:val="24"/>
          <w:highlight w:val="none"/>
        </w:rPr>
        <w:t>。</w:t>
      </w:r>
    </w:p>
    <w:p>
      <w:pPr>
        <w:spacing w:line="500" w:lineRule="exact"/>
        <w:ind w:firstLine="480" w:firstLineChars="200"/>
        <w:rPr>
          <w:rFonts w:hint="eastAsia" w:ascii="宋体" w:hAnsi="宋体"/>
          <w:color w:val="000000"/>
          <w:sz w:val="24"/>
          <w:highlight w:val="none"/>
        </w:rPr>
      </w:pPr>
      <w:r>
        <w:rPr>
          <w:rFonts w:hint="eastAsia"/>
          <w:color w:val="000000"/>
          <w:sz w:val="24"/>
          <w:highlight w:val="none"/>
        </w:rPr>
        <w:t>2、本合同总价包括</w:t>
      </w:r>
      <w:r>
        <w:rPr>
          <w:rFonts w:hint="eastAsia" w:ascii="宋体" w:hAnsi="宋体"/>
          <w:color w:val="000000"/>
          <w:sz w:val="24"/>
          <w:highlight w:val="none"/>
        </w:rPr>
        <w:t>本项目现场</w:t>
      </w:r>
      <w:r>
        <w:rPr>
          <w:rFonts w:hint="eastAsia" w:ascii="宋体" w:hAnsi="宋体"/>
          <w:color w:val="000000"/>
          <w:sz w:val="24"/>
          <w:highlight w:val="none"/>
          <w:lang w:eastAsia="zh-CN"/>
        </w:rPr>
        <w:t>勘察</w:t>
      </w:r>
      <w:r>
        <w:rPr>
          <w:rFonts w:hint="eastAsia" w:ascii="宋体" w:hAnsi="宋体"/>
          <w:color w:val="000000"/>
          <w:sz w:val="24"/>
          <w:highlight w:val="none"/>
        </w:rPr>
        <w:t>费、</w:t>
      </w:r>
      <w:r>
        <w:rPr>
          <w:rFonts w:hint="eastAsia" w:ascii="宋体" w:hAnsi="宋体"/>
          <w:color w:val="000000"/>
          <w:sz w:val="24"/>
          <w:highlight w:val="none"/>
          <w:lang w:val="en-US" w:eastAsia="zh-CN"/>
        </w:rPr>
        <w:t>差旅费、审查会务费</w:t>
      </w:r>
      <w:r>
        <w:rPr>
          <w:rFonts w:hint="eastAsia" w:ascii="宋体" w:hAnsi="宋体"/>
          <w:color w:val="000000"/>
          <w:sz w:val="24"/>
          <w:highlight w:val="none"/>
        </w:rPr>
        <w:t>等所有费用。</w:t>
      </w:r>
    </w:p>
    <w:p>
      <w:pPr>
        <w:spacing w:line="500" w:lineRule="exact"/>
        <w:ind w:firstLine="480" w:firstLineChars="200"/>
        <w:rPr>
          <w:color w:val="000000"/>
          <w:sz w:val="24"/>
          <w:highlight w:val="none"/>
        </w:rPr>
      </w:pPr>
      <w:r>
        <w:rPr>
          <w:rFonts w:hint="eastAsia"/>
          <w:color w:val="000000"/>
          <w:sz w:val="24"/>
          <w:highlight w:val="none"/>
        </w:rPr>
        <w:t>4、乙方账户：</w:t>
      </w:r>
    </w:p>
    <w:p>
      <w:pPr>
        <w:spacing w:line="500" w:lineRule="exact"/>
        <w:ind w:firstLine="480" w:firstLineChars="200"/>
        <w:rPr>
          <w:color w:val="000000"/>
          <w:sz w:val="24"/>
          <w:highlight w:val="none"/>
        </w:rPr>
      </w:pPr>
      <w:r>
        <w:rPr>
          <w:rFonts w:hint="eastAsia"/>
          <w:color w:val="000000"/>
          <w:sz w:val="24"/>
          <w:highlight w:val="none"/>
        </w:rPr>
        <w:t>账户名：</w:t>
      </w:r>
    </w:p>
    <w:p>
      <w:pPr>
        <w:spacing w:line="500" w:lineRule="exact"/>
        <w:ind w:firstLine="480" w:firstLineChars="200"/>
        <w:rPr>
          <w:color w:val="000000"/>
          <w:sz w:val="24"/>
          <w:highlight w:val="none"/>
        </w:rPr>
      </w:pPr>
      <w:r>
        <w:rPr>
          <w:rFonts w:hint="eastAsia"/>
          <w:color w:val="000000"/>
          <w:sz w:val="24"/>
          <w:highlight w:val="none"/>
        </w:rPr>
        <w:t>开户行：</w:t>
      </w:r>
    </w:p>
    <w:p>
      <w:pPr>
        <w:spacing w:line="500" w:lineRule="exact"/>
        <w:ind w:firstLine="480" w:firstLineChars="200"/>
        <w:rPr>
          <w:color w:val="000000"/>
          <w:sz w:val="24"/>
          <w:highlight w:val="none"/>
        </w:rPr>
      </w:pPr>
      <w:r>
        <w:rPr>
          <w:rFonts w:hint="eastAsia"/>
          <w:color w:val="000000"/>
          <w:sz w:val="24"/>
          <w:highlight w:val="none"/>
        </w:rPr>
        <w:t>账户：</w:t>
      </w:r>
    </w:p>
    <w:p>
      <w:pPr>
        <w:spacing w:line="500" w:lineRule="exact"/>
        <w:ind w:left="600" w:hanging="600"/>
        <w:outlineLvl w:val="0"/>
        <w:rPr>
          <w:b/>
          <w:color w:val="000000"/>
          <w:sz w:val="24"/>
          <w:highlight w:val="none"/>
        </w:rPr>
      </w:pPr>
      <w:bookmarkStart w:id="36" w:name="_Toc1774"/>
      <w:r>
        <w:rPr>
          <w:rFonts w:hint="eastAsia"/>
          <w:b/>
          <w:sz w:val="24"/>
          <w:highlight w:val="none"/>
        </w:rPr>
        <w:t>四、</w:t>
      </w:r>
      <w:r>
        <w:rPr>
          <w:rFonts w:hint="eastAsia"/>
          <w:b/>
          <w:color w:val="000000"/>
          <w:sz w:val="24"/>
          <w:highlight w:val="none"/>
        </w:rPr>
        <w:t>违约金或损失赔偿计算方法</w:t>
      </w:r>
      <w:bookmarkEnd w:id="36"/>
    </w:p>
    <w:p>
      <w:pPr>
        <w:spacing w:line="500" w:lineRule="exact"/>
        <w:ind w:firstLine="480" w:firstLineChars="200"/>
        <w:rPr>
          <w:color w:val="000000"/>
          <w:sz w:val="24"/>
          <w:highlight w:val="none"/>
        </w:rPr>
      </w:pPr>
      <w:r>
        <w:rPr>
          <w:rFonts w:hint="eastAsia"/>
          <w:color w:val="000000"/>
          <w:sz w:val="24"/>
          <w:highlight w:val="none"/>
        </w:rPr>
        <w:t>1、甲乙双方应严格遵守本合同，不履行合同的，应承担违约责任。</w:t>
      </w:r>
    </w:p>
    <w:p>
      <w:pPr>
        <w:spacing w:line="500" w:lineRule="exact"/>
        <w:ind w:firstLine="480" w:firstLineChars="200"/>
        <w:rPr>
          <w:color w:val="000000"/>
          <w:sz w:val="24"/>
          <w:highlight w:val="none"/>
        </w:rPr>
      </w:pPr>
      <w:r>
        <w:rPr>
          <w:rFonts w:hint="eastAsia"/>
          <w:color w:val="000000"/>
          <w:sz w:val="24"/>
          <w:highlight w:val="none"/>
        </w:rPr>
        <w:t>2、因乙方原因延迟交付，应当按日向甲方支付违约金，每日支付</w:t>
      </w:r>
      <w:r>
        <w:rPr>
          <w:rFonts w:hint="eastAsia"/>
          <w:color w:val="000000"/>
          <w:sz w:val="24"/>
          <w:highlight w:val="none"/>
          <w:lang w:val="en-US" w:eastAsia="zh-CN"/>
        </w:rPr>
        <w:t>合同</w:t>
      </w:r>
      <w:r>
        <w:rPr>
          <w:rFonts w:hint="eastAsia"/>
          <w:color w:val="000000"/>
          <w:sz w:val="24"/>
          <w:highlight w:val="none"/>
        </w:rPr>
        <w:t>总</w:t>
      </w:r>
      <w:r>
        <w:rPr>
          <w:rFonts w:hint="eastAsia"/>
          <w:color w:val="000000"/>
          <w:sz w:val="24"/>
          <w:highlight w:val="none"/>
          <w:lang w:val="en-US" w:eastAsia="zh-CN"/>
        </w:rPr>
        <w:t>价款</w:t>
      </w:r>
      <w:r>
        <w:rPr>
          <w:rFonts w:hint="eastAsia"/>
          <w:color w:val="000000"/>
          <w:sz w:val="24"/>
          <w:highlight w:val="none"/>
        </w:rPr>
        <w:t>的5‰，违约金最高为</w:t>
      </w:r>
      <w:r>
        <w:rPr>
          <w:rFonts w:hint="eastAsia"/>
          <w:color w:val="000000"/>
          <w:sz w:val="24"/>
          <w:highlight w:val="none"/>
          <w:lang w:val="en-US" w:eastAsia="zh-CN"/>
        </w:rPr>
        <w:t>审查</w:t>
      </w:r>
      <w:r>
        <w:rPr>
          <w:rFonts w:hint="eastAsia"/>
          <w:color w:val="000000"/>
          <w:sz w:val="24"/>
          <w:highlight w:val="none"/>
        </w:rPr>
        <w:t>费总额的</w:t>
      </w:r>
      <w:r>
        <w:rPr>
          <w:rFonts w:hint="eastAsia"/>
          <w:color w:val="000000"/>
          <w:sz w:val="24"/>
          <w:highlight w:val="none"/>
          <w:lang w:val="en-US" w:eastAsia="zh-CN"/>
        </w:rPr>
        <w:t>5</w:t>
      </w:r>
      <w:r>
        <w:rPr>
          <w:rFonts w:hint="eastAsia"/>
          <w:color w:val="000000"/>
          <w:sz w:val="24"/>
          <w:highlight w:val="none"/>
        </w:rPr>
        <w:t>0%。</w:t>
      </w:r>
    </w:p>
    <w:p>
      <w:pPr>
        <w:spacing w:line="500" w:lineRule="exact"/>
        <w:ind w:firstLine="480" w:firstLineChars="200"/>
        <w:rPr>
          <w:color w:val="000000"/>
          <w:sz w:val="24"/>
          <w:highlight w:val="none"/>
        </w:rPr>
      </w:pPr>
      <w:r>
        <w:rPr>
          <w:rFonts w:hint="eastAsia"/>
          <w:color w:val="000000"/>
          <w:sz w:val="24"/>
          <w:highlight w:val="none"/>
        </w:rPr>
        <w:t>3、因甲方原因终止合同执行，乙方按实际工作内容收取费用。</w:t>
      </w:r>
    </w:p>
    <w:p>
      <w:pPr>
        <w:spacing w:line="500" w:lineRule="exact"/>
        <w:ind w:firstLine="480" w:firstLineChars="200"/>
        <w:rPr>
          <w:color w:val="000000"/>
          <w:sz w:val="24"/>
          <w:highlight w:val="none"/>
        </w:rPr>
      </w:pPr>
      <w:r>
        <w:rPr>
          <w:rFonts w:hint="eastAsia"/>
          <w:color w:val="000000"/>
          <w:sz w:val="24"/>
          <w:highlight w:val="none"/>
        </w:rPr>
        <w:t>4、因乙方原因终止合同执行，甲方不支付乙方任何费用，并且乙方须赔偿甲方相应的损失。</w:t>
      </w:r>
    </w:p>
    <w:p>
      <w:pPr>
        <w:spacing w:line="500" w:lineRule="exact"/>
        <w:outlineLvl w:val="0"/>
        <w:rPr>
          <w:b/>
          <w:color w:val="000000"/>
          <w:sz w:val="24"/>
          <w:highlight w:val="none"/>
        </w:rPr>
      </w:pPr>
      <w:bookmarkStart w:id="37" w:name="_Toc25672"/>
      <w:r>
        <w:rPr>
          <w:rFonts w:hint="eastAsia"/>
          <w:b/>
          <w:color w:val="000000"/>
          <w:sz w:val="24"/>
          <w:highlight w:val="none"/>
        </w:rPr>
        <w:t>五、解决争议办法</w:t>
      </w:r>
      <w:bookmarkEnd w:id="37"/>
    </w:p>
    <w:p>
      <w:pPr>
        <w:spacing w:line="500" w:lineRule="exact"/>
        <w:ind w:firstLine="480" w:firstLineChars="200"/>
        <w:rPr>
          <w:color w:val="000000"/>
          <w:sz w:val="24"/>
          <w:highlight w:val="none"/>
        </w:rPr>
      </w:pPr>
      <w:r>
        <w:rPr>
          <w:rFonts w:hint="eastAsia"/>
          <w:color w:val="000000"/>
          <w:sz w:val="24"/>
          <w:highlight w:val="none"/>
        </w:rPr>
        <w:t>在合同履行过程中发生争议或者纠纷，双方应本着互信互谅的原则进行协商解决。若当事人不愿协商解决，</w:t>
      </w:r>
      <w:r>
        <w:rPr>
          <w:rFonts w:hint="eastAsia"/>
          <w:color w:val="000000"/>
          <w:sz w:val="24"/>
          <w:highlight w:val="none"/>
          <w:lang w:eastAsia="zh-CN"/>
        </w:rPr>
        <w:t>应向</w:t>
      </w:r>
      <w:r>
        <w:rPr>
          <w:rFonts w:hint="eastAsia"/>
          <w:color w:val="000000"/>
          <w:sz w:val="24"/>
          <w:highlight w:val="none"/>
        </w:rPr>
        <w:t>岳阳市云溪区人民法院提起诉讼。</w:t>
      </w:r>
    </w:p>
    <w:p>
      <w:pPr>
        <w:spacing w:line="500" w:lineRule="exact"/>
        <w:outlineLvl w:val="0"/>
        <w:rPr>
          <w:b/>
          <w:color w:val="000000"/>
          <w:sz w:val="24"/>
          <w:highlight w:val="none"/>
        </w:rPr>
      </w:pPr>
      <w:bookmarkStart w:id="38" w:name="_Toc10077"/>
      <w:r>
        <w:rPr>
          <w:rFonts w:hint="eastAsia"/>
          <w:b/>
          <w:color w:val="000000"/>
          <w:sz w:val="24"/>
          <w:highlight w:val="none"/>
        </w:rPr>
        <w:t>六、不可抗力</w:t>
      </w:r>
      <w:bookmarkEnd w:id="38"/>
    </w:p>
    <w:p>
      <w:pPr>
        <w:spacing w:line="500" w:lineRule="exact"/>
        <w:ind w:firstLine="480"/>
        <w:rPr>
          <w:color w:val="000000"/>
          <w:sz w:val="24"/>
          <w:highlight w:val="none"/>
        </w:rPr>
      </w:pPr>
      <w:r>
        <w:rPr>
          <w:rFonts w:hint="eastAsia"/>
          <w:color w:val="000000"/>
          <w:sz w:val="24"/>
          <w:highlight w:val="none"/>
        </w:rPr>
        <w:t>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pPr>
        <w:spacing w:line="500" w:lineRule="exact"/>
        <w:outlineLvl w:val="0"/>
        <w:rPr>
          <w:b/>
          <w:color w:val="000000"/>
          <w:sz w:val="24"/>
          <w:highlight w:val="none"/>
        </w:rPr>
      </w:pPr>
      <w:bookmarkStart w:id="39" w:name="_Toc13670"/>
      <w:r>
        <w:rPr>
          <w:rFonts w:hint="eastAsia"/>
          <w:b/>
          <w:color w:val="000000"/>
          <w:sz w:val="24"/>
          <w:highlight w:val="none"/>
        </w:rPr>
        <w:t>七、合同生效</w:t>
      </w:r>
      <w:bookmarkEnd w:id="39"/>
    </w:p>
    <w:p>
      <w:pPr>
        <w:tabs>
          <w:tab w:val="left" w:pos="800"/>
        </w:tabs>
        <w:spacing w:line="500" w:lineRule="exact"/>
        <w:ind w:firstLine="600" w:firstLineChars="250"/>
        <w:rPr>
          <w:color w:val="000000"/>
          <w:sz w:val="24"/>
          <w:highlight w:val="none"/>
        </w:rPr>
      </w:pPr>
      <w:r>
        <w:rPr>
          <w:rFonts w:hint="eastAsia"/>
          <w:color w:val="000000"/>
          <w:sz w:val="24"/>
          <w:highlight w:val="none"/>
        </w:rPr>
        <w:t>本合同自甲乙双方的</w:t>
      </w:r>
      <w:r>
        <w:rPr>
          <w:rFonts w:hint="eastAsia"/>
          <w:color w:val="000000"/>
          <w:sz w:val="24"/>
          <w:highlight w:val="none"/>
          <w:lang w:eastAsia="zh-CN"/>
        </w:rPr>
        <w:t>法定代表人</w:t>
      </w:r>
      <w:r>
        <w:rPr>
          <w:rFonts w:hint="eastAsia"/>
          <w:color w:val="000000"/>
          <w:sz w:val="24"/>
          <w:highlight w:val="none"/>
        </w:rPr>
        <w:t>或其授权代理人签字盖章之日起生效。</w:t>
      </w:r>
    </w:p>
    <w:p>
      <w:pPr>
        <w:spacing w:line="500" w:lineRule="exact"/>
        <w:outlineLvl w:val="0"/>
        <w:rPr>
          <w:b/>
          <w:color w:val="000000"/>
          <w:sz w:val="24"/>
          <w:highlight w:val="none"/>
        </w:rPr>
      </w:pPr>
      <w:bookmarkStart w:id="40" w:name="_Toc2914"/>
      <w:r>
        <w:rPr>
          <w:rFonts w:hint="eastAsia"/>
          <w:b/>
          <w:color w:val="000000"/>
          <w:sz w:val="24"/>
          <w:highlight w:val="none"/>
        </w:rPr>
        <w:t>八、</w:t>
      </w:r>
      <w:r>
        <w:rPr>
          <w:rFonts w:hint="eastAsia"/>
          <w:b/>
          <w:color w:val="000000"/>
          <w:sz w:val="24"/>
          <w:highlight w:val="none"/>
          <w:lang w:eastAsia="zh-CN"/>
        </w:rPr>
        <w:t>其他</w:t>
      </w:r>
      <w:bookmarkEnd w:id="40"/>
    </w:p>
    <w:p>
      <w:pPr>
        <w:spacing w:line="500" w:lineRule="exact"/>
        <w:ind w:firstLine="480" w:firstLineChars="200"/>
        <w:rPr>
          <w:color w:val="000000"/>
          <w:sz w:val="24"/>
          <w:highlight w:val="none"/>
        </w:rPr>
      </w:pPr>
      <w:r>
        <w:rPr>
          <w:rFonts w:hint="eastAsia"/>
          <w:color w:val="000000"/>
          <w:sz w:val="24"/>
          <w:highlight w:val="none"/>
        </w:rPr>
        <w:t>1、本工程项目报告书委托单位（甲方）为</w:t>
      </w:r>
      <w:r>
        <w:rPr>
          <w:rFonts w:hint="eastAsia"/>
          <w:color w:val="000000"/>
          <w:sz w:val="24"/>
          <w:highlight w:val="none"/>
          <w:u w:val="single"/>
          <w:lang w:eastAsia="zh-CN"/>
        </w:rPr>
        <w:t>湖南省虞公港建设投资有限公司</w:t>
      </w:r>
      <w:r>
        <w:rPr>
          <w:rFonts w:hint="eastAsia"/>
          <w:color w:val="000000"/>
          <w:sz w:val="24"/>
          <w:highlight w:val="none"/>
        </w:rPr>
        <w:t>，受托方（乙方）单位为：</w:t>
      </w:r>
    </w:p>
    <w:p>
      <w:pPr>
        <w:spacing w:line="500" w:lineRule="exact"/>
        <w:ind w:firstLine="472" w:firstLineChars="197"/>
        <w:rPr>
          <w:color w:val="000000"/>
          <w:sz w:val="24"/>
          <w:highlight w:val="none"/>
        </w:rPr>
      </w:pPr>
      <w:r>
        <w:rPr>
          <w:rFonts w:hint="eastAsia"/>
          <w:color w:val="000000"/>
          <w:sz w:val="24"/>
          <w:highlight w:val="none"/>
        </w:rPr>
        <w:t>2、本合同未尽事宜，经双方协商一致后可另作补充规定，补充规定与本合同具有同等法律效力。</w:t>
      </w:r>
    </w:p>
    <w:p>
      <w:pPr>
        <w:spacing w:line="500" w:lineRule="exact"/>
        <w:ind w:left="357" w:leftChars="170" w:firstLine="117" w:firstLineChars="49"/>
        <w:rPr>
          <w:color w:val="000000"/>
          <w:sz w:val="24"/>
          <w:highlight w:val="none"/>
        </w:rPr>
      </w:pPr>
      <w:r>
        <w:rPr>
          <w:rFonts w:hint="eastAsia"/>
          <w:color w:val="000000"/>
          <w:sz w:val="24"/>
          <w:highlight w:val="none"/>
        </w:rPr>
        <w:t>3、</w:t>
      </w:r>
      <w:r>
        <w:rPr>
          <w:rFonts w:hint="eastAsia"/>
          <w:color w:val="000000"/>
          <w:sz w:val="24"/>
          <w:highlight w:val="none"/>
          <w:lang w:eastAsia="zh-CN"/>
        </w:rPr>
        <w:t>本合同一式四份</w:t>
      </w:r>
      <w:r>
        <w:rPr>
          <w:rFonts w:hint="eastAsia"/>
          <w:color w:val="000000"/>
          <w:sz w:val="24"/>
          <w:highlight w:val="none"/>
        </w:rPr>
        <w:t>，甲方执</w:t>
      </w:r>
      <w:r>
        <w:rPr>
          <w:rFonts w:hint="eastAsia"/>
          <w:color w:val="000000"/>
          <w:sz w:val="24"/>
          <w:highlight w:val="none"/>
          <w:u w:val="single"/>
        </w:rPr>
        <w:t>贰</w:t>
      </w:r>
      <w:r>
        <w:rPr>
          <w:rFonts w:hint="eastAsia"/>
          <w:color w:val="000000"/>
          <w:sz w:val="24"/>
          <w:highlight w:val="none"/>
        </w:rPr>
        <w:t>份，乙方执</w:t>
      </w:r>
      <w:r>
        <w:rPr>
          <w:rFonts w:hint="eastAsia"/>
          <w:color w:val="000000"/>
          <w:sz w:val="24"/>
          <w:highlight w:val="none"/>
          <w:u w:val="single"/>
        </w:rPr>
        <w:t>贰</w:t>
      </w:r>
      <w:r>
        <w:rPr>
          <w:rFonts w:hint="eastAsia"/>
          <w:color w:val="000000"/>
          <w:sz w:val="24"/>
          <w:highlight w:val="none"/>
        </w:rPr>
        <w:t>份，具有同等法律效力。</w:t>
      </w:r>
    </w:p>
    <w:p>
      <w:pPr>
        <w:spacing w:line="500" w:lineRule="exact"/>
        <w:rPr>
          <w:color w:val="000000"/>
          <w:sz w:val="24"/>
          <w:highlight w:val="none"/>
        </w:rPr>
      </w:pPr>
    </w:p>
    <w:p>
      <w:pPr>
        <w:spacing w:line="500" w:lineRule="exact"/>
        <w:rPr>
          <w:color w:val="000000"/>
          <w:sz w:val="24"/>
          <w:highlight w:val="none"/>
        </w:rPr>
      </w:pPr>
    </w:p>
    <w:p>
      <w:pPr>
        <w:spacing w:line="500" w:lineRule="exact"/>
        <w:rPr>
          <w:color w:val="000000"/>
          <w:sz w:val="24"/>
          <w:highlight w:val="none"/>
        </w:rPr>
      </w:pPr>
      <w:r>
        <w:rPr>
          <w:rFonts w:hint="eastAsia"/>
          <w:color w:val="000000"/>
          <w:sz w:val="24"/>
          <w:highlight w:val="none"/>
        </w:rPr>
        <w:t>（以下无正文）</w:t>
      </w:r>
    </w:p>
    <w:p>
      <w:pPr>
        <w:spacing w:line="500" w:lineRule="exact"/>
        <w:rPr>
          <w:color w:val="000000"/>
          <w:sz w:val="24"/>
          <w:highlight w:val="none"/>
        </w:rPr>
      </w:pPr>
    </w:p>
    <w:p>
      <w:pPr>
        <w:spacing w:line="500" w:lineRule="exact"/>
        <w:rPr>
          <w:b/>
          <w:color w:val="000000"/>
          <w:spacing w:val="-10"/>
          <w:sz w:val="24"/>
          <w:highlight w:val="none"/>
        </w:rPr>
      </w:pPr>
      <w:r>
        <w:rPr>
          <w:rFonts w:hint="eastAsia"/>
          <w:b/>
          <w:color w:val="000000"/>
          <w:spacing w:val="-10"/>
          <w:sz w:val="24"/>
          <w:highlight w:val="none"/>
        </w:rPr>
        <w:t>甲方（盖章）：                                乙方（盖章）：</w:t>
      </w:r>
    </w:p>
    <w:p>
      <w:pPr>
        <w:spacing w:line="500" w:lineRule="exact"/>
        <w:rPr>
          <w:color w:val="000000"/>
          <w:sz w:val="24"/>
          <w:highlight w:val="none"/>
          <w:u w:val="single"/>
        </w:rPr>
      </w:pPr>
      <w:r>
        <w:rPr>
          <w:rFonts w:hint="eastAsia"/>
          <w:color w:val="000000"/>
          <w:sz w:val="24"/>
          <w:highlight w:val="none"/>
          <w:u w:val="single"/>
          <w:lang w:eastAsia="zh-CN"/>
        </w:rPr>
        <w:t>湖南省虞公港建设投资有限公司</w:t>
      </w:r>
      <w:r>
        <w:rPr>
          <w:rFonts w:hint="eastAsia"/>
          <w:color w:val="000000"/>
          <w:sz w:val="24"/>
          <w:highlight w:val="none"/>
        </w:rPr>
        <w:t xml:space="preserve">                  </w:t>
      </w:r>
    </w:p>
    <w:p>
      <w:pPr>
        <w:tabs>
          <w:tab w:val="left" w:pos="4860"/>
        </w:tabs>
        <w:spacing w:line="500" w:lineRule="exact"/>
        <w:rPr>
          <w:color w:val="000000"/>
          <w:sz w:val="24"/>
          <w:highlight w:val="none"/>
        </w:rPr>
      </w:pPr>
      <w:r>
        <w:rPr>
          <w:rFonts w:hint="eastAsia"/>
          <w:color w:val="000000"/>
          <w:sz w:val="24"/>
          <w:highlight w:val="none"/>
          <w:lang w:eastAsia="zh-CN"/>
        </w:rPr>
        <w:t>法定代表人</w:t>
      </w:r>
      <w:r>
        <w:rPr>
          <w:rFonts w:hint="eastAsia"/>
          <w:color w:val="000000"/>
          <w:sz w:val="24"/>
          <w:highlight w:val="none"/>
        </w:rPr>
        <w:t>或</w:t>
      </w:r>
      <w:r>
        <w:rPr>
          <w:color w:val="000000"/>
          <w:sz w:val="24"/>
          <w:highlight w:val="none"/>
        </w:rPr>
        <w:t xml:space="preserve"> </w:t>
      </w: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 xml:space="preserve">                   </w:t>
      </w:r>
      <w:r>
        <w:rPr>
          <w:rFonts w:hint="eastAsia"/>
          <w:color w:val="000000"/>
          <w:sz w:val="24"/>
          <w:highlight w:val="none"/>
          <w:lang w:eastAsia="zh-CN"/>
        </w:rPr>
        <w:t>法定代表人</w:t>
      </w:r>
      <w:r>
        <w:rPr>
          <w:rFonts w:hint="eastAsia"/>
          <w:color w:val="000000"/>
          <w:sz w:val="24"/>
          <w:highlight w:val="none"/>
        </w:rPr>
        <w:t xml:space="preserve">或 </w:t>
      </w:r>
    </w:p>
    <w:p>
      <w:pPr>
        <w:tabs>
          <w:tab w:val="left" w:pos="4860"/>
        </w:tabs>
        <w:spacing w:line="500" w:lineRule="exact"/>
        <w:rPr>
          <w:color w:val="000000"/>
          <w:sz w:val="24"/>
          <w:highlight w:val="none"/>
        </w:rPr>
      </w:pPr>
      <w:r>
        <w:rPr>
          <w:rFonts w:hint="eastAsia"/>
          <w:color w:val="000000"/>
          <w:sz w:val="24"/>
          <w:highlight w:val="none"/>
        </w:rPr>
        <w:t>代理人（签字）：                        代理人（签字）：</w:t>
      </w:r>
    </w:p>
    <w:p>
      <w:pPr>
        <w:tabs>
          <w:tab w:val="left" w:pos="4860"/>
        </w:tabs>
        <w:spacing w:line="500" w:lineRule="exact"/>
        <w:rPr>
          <w:color w:val="000000"/>
          <w:sz w:val="24"/>
          <w:highlight w:val="none"/>
        </w:rPr>
      </w:pPr>
      <w:r>
        <w:rPr>
          <w:rFonts w:hint="eastAsia"/>
          <w:color w:val="000000"/>
          <w:sz w:val="24"/>
          <w:highlight w:val="none"/>
        </w:rPr>
        <w:t>日期： 202</w:t>
      </w:r>
      <w:r>
        <w:rPr>
          <w:rFonts w:hint="eastAsia"/>
          <w:color w:val="000000"/>
          <w:sz w:val="24"/>
          <w:highlight w:val="none"/>
          <w:lang w:val="en-US" w:eastAsia="zh-CN"/>
        </w:rPr>
        <w:t>4</w:t>
      </w:r>
      <w:r>
        <w:rPr>
          <w:rFonts w:hint="eastAsia"/>
          <w:color w:val="000000"/>
          <w:sz w:val="24"/>
          <w:highlight w:val="none"/>
        </w:rPr>
        <w:t xml:space="preserve"> 年   月    日                日期：202</w:t>
      </w:r>
      <w:r>
        <w:rPr>
          <w:rFonts w:hint="eastAsia"/>
          <w:color w:val="000000"/>
          <w:sz w:val="24"/>
          <w:highlight w:val="none"/>
          <w:lang w:val="en-US" w:eastAsia="zh-CN"/>
        </w:rPr>
        <w:t>4</w:t>
      </w:r>
      <w:r>
        <w:rPr>
          <w:rFonts w:hint="eastAsia"/>
          <w:color w:val="000000"/>
          <w:sz w:val="24"/>
          <w:highlight w:val="none"/>
        </w:rPr>
        <w:t xml:space="preserve"> 年   月    日         </w:t>
      </w:r>
    </w:p>
    <w:p>
      <w:pPr>
        <w:tabs>
          <w:tab w:val="left" w:pos="4860"/>
        </w:tabs>
        <w:spacing w:line="500" w:lineRule="exact"/>
        <w:rPr>
          <w:color w:val="000000"/>
          <w:sz w:val="24"/>
          <w:highlight w:val="none"/>
        </w:rPr>
      </w:pPr>
    </w:p>
    <w:p>
      <w:pPr>
        <w:pStyle w:val="40"/>
        <w:rPr>
          <w:color w:val="000000"/>
          <w:sz w:val="24"/>
          <w:highlight w:val="none"/>
        </w:rPr>
      </w:pPr>
    </w:p>
    <w:p>
      <w:pPr>
        <w:spacing w:line="240" w:lineRule="auto"/>
        <w:rPr>
          <w:rFonts w:ascii="宋体"/>
          <w:color w:val="000000"/>
          <w:sz w:val="24"/>
          <w:highlight w:val="none"/>
        </w:rPr>
      </w:pPr>
      <w:r>
        <w:rPr>
          <w:color w:val="000000"/>
          <w:sz w:val="24"/>
          <w:highlight w:val="none"/>
        </w:rPr>
        <w:br w:type="page"/>
      </w:r>
    </w:p>
    <w:p>
      <w:pPr>
        <w:pStyle w:val="4"/>
        <w:rPr>
          <w:rFonts w:ascii="Times New Roman"/>
          <w:highlight w:val="none"/>
        </w:rPr>
      </w:pPr>
      <w:bookmarkStart w:id="41" w:name="_Hlk79957878"/>
      <w:r>
        <w:rPr>
          <w:rFonts w:hint="eastAsia" w:ascii="Times New Roman"/>
          <w:highlight w:val="none"/>
        </w:rPr>
        <w:t>附件</w:t>
      </w:r>
      <w:r>
        <w:rPr>
          <w:rFonts w:hint="eastAsia"/>
          <w:highlight w:val="none"/>
        </w:rPr>
        <w:t>一</w:t>
      </w:r>
      <w:r>
        <w:rPr>
          <w:rFonts w:hint="eastAsia" w:ascii="Times New Roman"/>
          <w:highlight w:val="none"/>
        </w:rPr>
        <w:t>：廉政责任书</w:t>
      </w:r>
    </w:p>
    <w:p>
      <w:pPr>
        <w:pStyle w:val="192"/>
        <w:autoSpaceDE/>
        <w:autoSpaceDN/>
        <w:adjustRightInd/>
        <w:spacing w:before="240" w:after="240" w:line="490" w:lineRule="exact"/>
        <w:jc w:val="center"/>
        <w:rPr>
          <w:rFonts w:cs="Times New Roman"/>
          <w:b/>
          <w:color w:val="000000"/>
          <w:sz w:val="32"/>
          <w:szCs w:val="32"/>
          <w:highlight w:val="none"/>
        </w:rPr>
      </w:pPr>
      <w:r>
        <w:rPr>
          <w:rFonts w:cs="Times New Roman"/>
          <w:b/>
          <w:color w:val="000000"/>
          <w:sz w:val="32"/>
          <w:szCs w:val="32"/>
          <w:highlight w:val="none"/>
        </w:rPr>
        <w:t>廉政责任书（格式）</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项目名称：</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项目地址：</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ascii="宋体" w:hAnsi="宋体"/>
          <w:color w:val="000000"/>
          <w:sz w:val="24"/>
          <w:highlight w:val="none"/>
        </w:rPr>
        <w:t>发包人（甲方）：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r>
        <w:rPr>
          <w:rFonts w:hint="eastAsia" w:ascii="宋体" w:hAnsi="宋体"/>
          <w:color w:val="000000"/>
          <w:sz w:val="24"/>
          <w:highlight w:val="none"/>
        </w:rPr>
        <w:t>服务</w:t>
      </w:r>
      <w:r>
        <w:rPr>
          <w:rFonts w:ascii="宋体" w:hAnsi="宋体"/>
          <w:color w:val="000000"/>
          <w:sz w:val="24"/>
          <w:highlight w:val="none"/>
        </w:rPr>
        <w:t>人（乙方）：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为加强</w:t>
      </w:r>
      <w:r>
        <w:rPr>
          <w:rFonts w:hint="eastAsia" w:ascii="宋体" w:hAnsi="宋体"/>
          <w:color w:val="000000"/>
          <w:sz w:val="24"/>
          <w:highlight w:val="none"/>
        </w:rPr>
        <w:t>项目实施过程中</w:t>
      </w:r>
      <w:r>
        <w:rPr>
          <w:rFonts w:ascii="宋体" w:hAnsi="宋体"/>
          <w:color w:val="000000"/>
          <w:sz w:val="24"/>
          <w:highlight w:val="none"/>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第一条  甲乙双方的责任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（一）应严格遵守国家关于市场准入、项目</w:t>
      </w:r>
      <w:r>
        <w:rPr>
          <w:rFonts w:hint="eastAsia" w:ascii="宋体" w:hAnsi="宋体"/>
          <w:color w:val="000000"/>
          <w:sz w:val="24"/>
          <w:highlight w:val="none"/>
          <w:lang w:eastAsia="zh-CN"/>
        </w:rPr>
        <w:t>询价响应</w:t>
      </w:r>
      <w:r>
        <w:rPr>
          <w:rFonts w:ascii="宋体" w:hAnsi="宋体"/>
          <w:color w:val="000000"/>
          <w:sz w:val="24"/>
          <w:highlight w:val="none"/>
        </w:rPr>
        <w:t>、工程建设、施工安装和市场活动等有关法律、法规，相关政策，以及廉政建设的各项规定。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（二）严格执行项目承发包合同文件，自觉按合同办事。</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第二条  甲方的责任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甲方</w:t>
      </w:r>
      <w:r>
        <w:rPr>
          <w:rFonts w:hint="eastAsia" w:ascii="宋体" w:hAnsi="宋体"/>
          <w:color w:val="000000"/>
          <w:sz w:val="24"/>
          <w:highlight w:val="none"/>
        </w:rPr>
        <w:t>及其</w:t>
      </w:r>
      <w:r>
        <w:rPr>
          <w:rFonts w:ascii="宋体" w:hAnsi="宋体"/>
          <w:color w:val="000000"/>
          <w:sz w:val="24"/>
          <w:highlight w:val="none"/>
        </w:rPr>
        <w:t>工作人员，在</w:t>
      </w:r>
      <w:r>
        <w:rPr>
          <w:rFonts w:hint="eastAsia" w:ascii="宋体" w:hAnsi="宋体"/>
          <w:color w:val="000000"/>
          <w:sz w:val="24"/>
          <w:highlight w:val="none"/>
        </w:rPr>
        <w:t>项目执行过程中</w:t>
      </w:r>
      <w:r>
        <w:rPr>
          <w:rFonts w:ascii="宋体" w:hAnsi="宋体"/>
          <w:color w:val="000000"/>
          <w:sz w:val="24"/>
          <w:highlight w:val="none"/>
        </w:rPr>
        <w:t>应遵守以下规定：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（一）不准向乙方和相关单位索要或接受回扣、礼金、有价证券、贵重物品和好处费、感谢费等。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（二）不准在乙方和相关单位报销任何应由甲方或个人支付的费人。</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（四）不准参加有可能影响公正执行公务的乙方和相关单位的宴请和健身、娱乐等活动。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第三条  乙方的责任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应与甲方保持正常的业务交往，按照有关法律法规和程序开展业务工作，</w:t>
      </w:r>
      <w:r>
        <w:rPr>
          <w:rFonts w:hint="eastAsia" w:ascii="宋体" w:hAnsi="宋体"/>
          <w:color w:val="000000"/>
          <w:sz w:val="24"/>
          <w:highlight w:val="none"/>
        </w:rPr>
        <w:t>并</w:t>
      </w:r>
      <w:r>
        <w:rPr>
          <w:rFonts w:ascii="宋体" w:hAnsi="宋体"/>
          <w:color w:val="000000"/>
          <w:sz w:val="24"/>
          <w:highlight w:val="none"/>
        </w:rPr>
        <w:t>遵守以下规定：</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（二）不准以任何理由为甲方和相关单位报销应由对方或个人支付的费用。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第四条  违约责任</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第五条  本责任书作为</w:t>
      </w:r>
      <w:r>
        <w:rPr>
          <w:rFonts w:hint="eastAsia" w:ascii="宋体" w:hAnsi="宋体"/>
          <w:color w:val="000000"/>
          <w:sz w:val="24"/>
          <w:highlight w:val="none"/>
        </w:rPr>
        <w:t>项目</w:t>
      </w:r>
      <w:r>
        <w:rPr>
          <w:rFonts w:ascii="宋体" w:hAnsi="宋体"/>
          <w:color w:val="000000"/>
          <w:sz w:val="24"/>
          <w:highlight w:val="none"/>
        </w:rPr>
        <w:t>合同的附件，与</w:t>
      </w:r>
      <w:r>
        <w:rPr>
          <w:rFonts w:hint="eastAsia" w:ascii="宋体" w:hAnsi="宋体"/>
          <w:color w:val="000000"/>
          <w:sz w:val="24"/>
          <w:highlight w:val="none"/>
        </w:rPr>
        <w:t>项目</w:t>
      </w:r>
      <w:r>
        <w:rPr>
          <w:rFonts w:ascii="宋体" w:hAnsi="宋体"/>
          <w:color w:val="000000"/>
          <w:sz w:val="24"/>
          <w:highlight w:val="none"/>
        </w:rPr>
        <w:t>合同具有同等法律效力。经双方签署后生效。</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第六条  本责任书的有效期为双方签署之日至该工程项目竣工验收合格时止。</w:t>
      </w:r>
    </w:p>
    <w:p>
      <w:pPr>
        <w:spacing w:line="312" w:lineRule="auto"/>
        <w:ind w:firstLine="480" w:firstLineChars="200"/>
        <w:rPr>
          <w:rFonts w:ascii="宋体" w:hAnsi="宋体"/>
          <w:color w:val="000000"/>
          <w:sz w:val="24"/>
          <w:highlight w:val="none"/>
        </w:rPr>
      </w:pPr>
      <w:r>
        <w:rPr>
          <w:rFonts w:ascii="宋体" w:hAnsi="宋体"/>
          <w:color w:val="000000"/>
          <w:sz w:val="24"/>
          <w:highlight w:val="none"/>
        </w:rPr>
        <w:t>第七条  本责任和本</w:t>
      </w:r>
      <w:r>
        <w:rPr>
          <w:rFonts w:hint="eastAsia" w:ascii="宋体" w:hAnsi="宋体"/>
          <w:color w:val="000000"/>
          <w:sz w:val="24"/>
          <w:highlight w:val="none"/>
        </w:rPr>
        <w:t>项目</w:t>
      </w:r>
      <w:r>
        <w:rPr>
          <w:rFonts w:ascii="宋体" w:hAnsi="宋体"/>
          <w:color w:val="000000"/>
          <w:sz w:val="24"/>
          <w:highlight w:val="none"/>
        </w:rPr>
        <w:t>合同同时使用，由双方法定代表人或其授权的代理人签署与加盖公章后生效，</w:t>
      </w:r>
      <w:r>
        <w:rPr>
          <w:rFonts w:hint="eastAsia" w:ascii="宋体" w:hAnsi="宋体"/>
          <w:color w:val="000000"/>
          <w:sz w:val="24"/>
          <w:highlight w:val="none"/>
        </w:rPr>
        <w:t>项目完成</w:t>
      </w:r>
      <w:r>
        <w:rPr>
          <w:rFonts w:ascii="宋体" w:hAnsi="宋体"/>
          <w:color w:val="000000"/>
          <w:sz w:val="24"/>
          <w:highlight w:val="none"/>
        </w:rPr>
        <w:t>验收后失效。</w:t>
      </w:r>
    </w:p>
    <w:p>
      <w:pPr>
        <w:spacing w:line="312" w:lineRule="auto"/>
        <w:ind w:firstLine="480" w:firstLineChars="200"/>
        <w:rPr>
          <w:rFonts w:ascii="宋体" w:hAnsi="宋体"/>
          <w:color w:val="000000"/>
          <w:sz w:val="24"/>
          <w:highlight w:val="none"/>
        </w:rPr>
      </w:pPr>
    </w:p>
    <w:p>
      <w:pPr>
        <w:pStyle w:val="193"/>
        <w:autoSpaceDE/>
        <w:autoSpaceDN/>
        <w:adjustRightInd/>
        <w:spacing w:line="312" w:lineRule="auto"/>
        <w:jc w:val="both"/>
        <w:rPr>
          <w:rFonts w:hAnsi="宋体" w:cs="Times New Roman"/>
          <w:color w:val="000000"/>
          <w:highlight w:val="none"/>
        </w:rPr>
      </w:pPr>
      <w:r>
        <w:rPr>
          <w:rFonts w:hAnsi="宋体" w:cs="Times New Roman"/>
          <w:color w:val="000000"/>
          <w:highlight w:val="none"/>
        </w:rPr>
        <w:t>发包人：</w:t>
      </w:r>
      <w:r>
        <w:rPr>
          <w:rFonts w:hAnsi="宋体" w:cs="Times New Roman"/>
          <w:color w:val="000000"/>
          <w:highlight w:val="none"/>
          <w:u w:val="single"/>
        </w:rPr>
        <w:t xml:space="preserve">      （盖单位公章）  </w:t>
      </w:r>
      <w:r>
        <w:rPr>
          <w:rFonts w:hAnsi="宋体" w:cs="Times New Roman"/>
          <w:color w:val="000000"/>
          <w:highlight w:val="none"/>
        </w:rPr>
        <w:t xml:space="preserve"> </w:t>
      </w:r>
      <w:r>
        <w:rPr>
          <w:rFonts w:hint="eastAsia" w:hAnsi="宋体" w:cs="Times New Roman"/>
          <w:color w:val="000000"/>
          <w:highlight w:val="none"/>
        </w:rPr>
        <w:t xml:space="preserve">       </w:t>
      </w:r>
      <w:r>
        <w:rPr>
          <w:rFonts w:hAnsi="宋体" w:cs="Times New Roman"/>
          <w:color w:val="000000"/>
          <w:highlight w:val="none"/>
        </w:rPr>
        <w:t xml:space="preserve">  </w:t>
      </w:r>
      <w:r>
        <w:rPr>
          <w:rFonts w:hint="eastAsia" w:hAnsi="宋体" w:cs="Times New Roman"/>
          <w:color w:val="000000"/>
          <w:highlight w:val="none"/>
        </w:rPr>
        <w:t>服务</w:t>
      </w:r>
      <w:r>
        <w:rPr>
          <w:rFonts w:hAnsi="宋体" w:cs="Times New Roman"/>
          <w:color w:val="000000"/>
          <w:highlight w:val="none"/>
        </w:rPr>
        <w:t>人：</w:t>
      </w:r>
      <w:r>
        <w:rPr>
          <w:rFonts w:hAnsi="宋体" w:cs="Times New Roman"/>
          <w:color w:val="000000"/>
          <w:highlight w:val="none"/>
          <w:u w:val="single"/>
        </w:rPr>
        <w:t xml:space="preserve">    （盖单位公章）   </w:t>
      </w:r>
    </w:p>
    <w:p>
      <w:pPr>
        <w:pStyle w:val="193"/>
        <w:autoSpaceDE/>
        <w:autoSpaceDN/>
        <w:adjustRightInd/>
        <w:spacing w:line="312" w:lineRule="auto"/>
        <w:jc w:val="both"/>
        <w:rPr>
          <w:rFonts w:hAnsi="宋体" w:cs="Times New Roman"/>
          <w:color w:val="000000"/>
          <w:highlight w:val="none"/>
        </w:rPr>
      </w:pPr>
    </w:p>
    <w:p>
      <w:pPr>
        <w:pStyle w:val="193"/>
        <w:autoSpaceDE/>
        <w:autoSpaceDN/>
        <w:adjustRightInd/>
        <w:spacing w:line="312" w:lineRule="auto"/>
        <w:jc w:val="both"/>
        <w:rPr>
          <w:rFonts w:hAnsi="宋体" w:cs="Times New Roman"/>
          <w:color w:val="000000"/>
          <w:highlight w:val="none"/>
        </w:rPr>
      </w:pPr>
    </w:p>
    <w:p>
      <w:pPr>
        <w:pStyle w:val="193"/>
        <w:autoSpaceDE/>
        <w:autoSpaceDN/>
        <w:adjustRightInd/>
        <w:spacing w:line="312" w:lineRule="auto"/>
        <w:jc w:val="both"/>
        <w:rPr>
          <w:rFonts w:hAnsi="宋体" w:cs="Times New Roman"/>
          <w:color w:val="000000"/>
          <w:highlight w:val="none"/>
        </w:rPr>
      </w:pPr>
      <w:r>
        <w:rPr>
          <w:rFonts w:hAnsi="宋体" w:cs="Times New Roman"/>
          <w:color w:val="000000"/>
          <w:highlight w:val="none"/>
        </w:rPr>
        <w:t>法定代表人或其委托代理人</w:t>
      </w:r>
      <w:r>
        <w:rPr>
          <w:rFonts w:hint="eastAsia" w:hAnsi="宋体" w:cs="Times New Roman"/>
          <w:color w:val="000000"/>
          <w:highlight w:val="none"/>
          <w:lang w:eastAsia="zh-CN"/>
        </w:rPr>
        <w:t>：</w:t>
      </w:r>
      <w:r>
        <w:rPr>
          <w:rFonts w:hAnsi="宋体" w:cs="Times New Roman"/>
          <w:color w:val="000000"/>
          <w:highlight w:val="none"/>
          <w:u w:val="single"/>
        </w:rPr>
        <w:t xml:space="preserve">（签字） </w:t>
      </w:r>
      <w:r>
        <w:rPr>
          <w:rFonts w:hint="eastAsia" w:hAnsi="宋体" w:cs="Times New Roman"/>
          <w:color w:val="000000"/>
          <w:highlight w:val="none"/>
          <w:u w:val="single"/>
        </w:rPr>
        <w:t xml:space="preserve"> </w:t>
      </w:r>
      <w:r>
        <w:rPr>
          <w:rFonts w:hint="eastAsia" w:hAnsi="宋体" w:cs="Times New Roman"/>
          <w:color w:val="000000"/>
          <w:highlight w:val="none"/>
        </w:rPr>
        <w:t xml:space="preserve">  法</w:t>
      </w:r>
      <w:r>
        <w:rPr>
          <w:rFonts w:hAnsi="宋体" w:cs="Times New Roman"/>
          <w:color w:val="000000"/>
          <w:highlight w:val="none"/>
        </w:rPr>
        <w:t>定代表人或其委托代理人：</w:t>
      </w:r>
      <w:r>
        <w:rPr>
          <w:rFonts w:hAnsi="宋体" w:cs="Times New Roman"/>
          <w:color w:val="000000"/>
          <w:highlight w:val="none"/>
          <w:u w:val="single"/>
        </w:rPr>
        <w:t xml:space="preserve">  （签字）  </w:t>
      </w:r>
      <w:bookmarkEnd w:id="41"/>
      <w:r>
        <w:rPr>
          <w:rFonts w:hAnsi="宋体" w:cs="Times New Roman"/>
          <w:color w:val="000000"/>
          <w:highlight w:val="none"/>
          <w:u w:val="single"/>
        </w:rPr>
        <w:t xml:space="preserve">  </w:t>
      </w:r>
    </w:p>
    <w:p>
      <w:pPr>
        <w:pStyle w:val="193"/>
        <w:autoSpaceDE/>
        <w:autoSpaceDN/>
        <w:adjustRightInd/>
        <w:spacing w:line="312" w:lineRule="auto"/>
        <w:ind w:firstLine="480" w:firstLineChars="200"/>
        <w:jc w:val="both"/>
        <w:rPr>
          <w:rFonts w:hAnsi="宋体" w:cs="Times New Roman"/>
          <w:color w:val="000000"/>
          <w:highlight w:val="none"/>
        </w:rPr>
      </w:pPr>
    </w:p>
    <w:p>
      <w:pPr>
        <w:pStyle w:val="40"/>
        <w:rPr>
          <w:rFonts w:ascii="黑体" w:hAnsi="黑体" w:eastAsia="黑体" w:cs="仿宋"/>
          <w:b/>
          <w:color w:val="000000"/>
          <w:sz w:val="36"/>
          <w:szCs w:val="36"/>
          <w:highlight w:val="none"/>
        </w:rPr>
      </w:pPr>
    </w:p>
    <w:p>
      <w:pPr>
        <w:pStyle w:val="4"/>
        <w:rPr>
          <w:color w:val="000000"/>
          <w:sz w:val="24"/>
          <w:highlight w:val="none"/>
        </w:rPr>
      </w:pPr>
      <w:r>
        <w:rPr>
          <w:rFonts w:hint="eastAsia" w:ascii="Times New Roman"/>
          <w:highlight w:val="none"/>
        </w:rPr>
        <w:t>附件二：安全协议</w:t>
      </w:r>
    </w:p>
    <w:p>
      <w:pPr>
        <w:pStyle w:val="2"/>
        <w:jc w:val="center"/>
        <w:rPr>
          <w:rFonts w:ascii="黑体" w:hAnsi="黑体" w:eastAsia="黑体" w:cs="黑体"/>
          <w:sz w:val="40"/>
          <w:szCs w:val="40"/>
          <w:highlight w:val="none"/>
        </w:rPr>
      </w:pPr>
      <w:bookmarkStart w:id="42" w:name="_Toc14172"/>
      <w:r>
        <w:rPr>
          <w:rFonts w:hint="eastAsia" w:ascii="黑体" w:hAnsi="黑体" w:eastAsia="黑体" w:cs="黑体"/>
          <w:sz w:val="40"/>
          <w:szCs w:val="40"/>
          <w:highlight w:val="none"/>
        </w:rPr>
        <w:t>安全协议</w:t>
      </w:r>
      <w:bookmarkEnd w:id="42"/>
    </w:p>
    <w:p>
      <w:pPr>
        <w:adjustRightInd w:val="0"/>
        <w:spacing w:line="360" w:lineRule="auto"/>
        <w:ind w:firstLine="480" w:firstLineChars="200"/>
        <w:textAlignment w:val="baseline"/>
        <w:rPr>
          <w:rFonts w:ascii="宋体" w:hAnsi="宋体" w:cs="宋体"/>
          <w:kern w:val="0"/>
          <w:sz w:val="24"/>
          <w:highlight w:val="none"/>
          <w:u w:val="single"/>
        </w:rPr>
      </w:pPr>
      <w:r>
        <w:rPr>
          <w:rFonts w:hint="eastAsia" w:ascii="宋体" w:hAnsi="宋体" w:cs="宋体"/>
          <w:kern w:val="0"/>
          <w:sz w:val="24"/>
          <w:highlight w:val="none"/>
        </w:rPr>
        <w:t>甲方（发包方）：</w:t>
      </w:r>
      <w:r>
        <w:rPr>
          <w:rFonts w:hint="eastAsia" w:ascii="宋体" w:hAnsi="宋体" w:cs="宋体"/>
          <w:kern w:val="0"/>
          <w:sz w:val="24"/>
          <w:highlight w:val="none"/>
          <w:u w:val="single"/>
        </w:rPr>
        <w:t xml:space="preserve"> </w:t>
      </w:r>
      <w:r>
        <w:rPr>
          <w:rFonts w:hint="eastAsia" w:asciiTheme="minorEastAsia" w:hAnsiTheme="minorEastAsia" w:eastAsiaTheme="minorEastAsia"/>
          <w:snapToGrid w:val="0"/>
          <w:sz w:val="24"/>
          <w:highlight w:val="none"/>
          <w:u w:val="single"/>
          <w:lang w:eastAsia="zh-CN"/>
        </w:rPr>
        <w:t>湖南省虞公港建设投资有限公司</w:t>
      </w:r>
      <w:r>
        <w:rPr>
          <w:rFonts w:hint="eastAsia" w:ascii="宋体" w:hAnsi="宋体" w:cs="宋体"/>
          <w:kern w:val="0"/>
          <w:sz w:val="24"/>
          <w:highlight w:val="none"/>
          <w:u w:val="single"/>
        </w:rPr>
        <w:t xml:space="preserve">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乙方（承包方）：</w:t>
      </w:r>
      <w:r>
        <w:rPr>
          <w:rFonts w:hint="eastAsia" w:ascii="宋体" w:hAnsi="宋体" w:cs="宋体"/>
          <w:kern w:val="0"/>
          <w:sz w:val="24"/>
          <w:highlight w:val="none"/>
          <w:u w:val="single"/>
        </w:rPr>
        <w:t xml:space="preserve">                     </w:t>
      </w:r>
      <w:r>
        <w:rPr>
          <w:rFonts w:ascii="宋体" w:hAnsi="宋体"/>
          <w:bCs/>
          <w:sz w:val="24"/>
          <w:highlight w:val="none"/>
          <w:u w:val="single"/>
        </w:rPr>
        <w:t xml:space="preserve">    </w:t>
      </w:r>
      <w:r>
        <w:rPr>
          <w:rFonts w:hint="eastAsia" w:ascii="宋体" w:hAnsi="宋体" w:cs="宋体"/>
          <w:bCs/>
          <w:kern w:val="0"/>
          <w:sz w:val="24"/>
          <w:highlight w:val="none"/>
          <w:u w:val="single"/>
        </w:rPr>
        <w:t xml:space="preserve">  </w:t>
      </w:r>
      <w:r>
        <w:rPr>
          <w:rFonts w:hint="eastAsia" w:ascii="宋体" w:hAnsi="宋体" w:cs="宋体"/>
          <w:kern w:val="0"/>
          <w:sz w:val="24"/>
          <w:highlight w:val="none"/>
        </w:rPr>
        <w:t xml:space="preserve">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为了切实做好安全生产工作，依据《中华人民共和国安全生产法》、《中华人民共和国民法典》以及国家有关安全生产管理的法律、法规、标准，按照“安全第一、预防为主、综合治理”的原则，明确甲乙双方责任，就甲乙双方在本项目中的</w:t>
      </w:r>
      <w:r>
        <w:rPr>
          <w:rFonts w:hint="eastAsia" w:ascii="宋体" w:hAnsi="宋体" w:cs="宋体"/>
          <w:kern w:val="0"/>
          <w:sz w:val="24"/>
          <w:highlight w:val="none"/>
          <w:lang w:eastAsia="zh-CN"/>
        </w:rPr>
        <w:t>安全生产</w:t>
      </w:r>
      <w:r>
        <w:rPr>
          <w:rFonts w:hint="eastAsia" w:ascii="宋体" w:hAnsi="宋体" w:cs="宋体"/>
          <w:kern w:val="0"/>
          <w:sz w:val="24"/>
          <w:highlight w:val="none"/>
        </w:rPr>
        <w:t>事项，经协商一致，签订本合同。</w:t>
      </w:r>
    </w:p>
    <w:p>
      <w:pPr>
        <w:adjustRightInd w:val="0"/>
        <w:spacing w:line="360" w:lineRule="auto"/>
        <w:ind w:firstLine="480" w:firstLineChars="200"/>
        <w:textAlignment w:val="baseline"/>
        <w:rPr>
          <w:rFonts w:hint="eastAsia" w:ascii="宋体" w:hAnsi="宋体" w:eastAsia="宋体" w:cs="宋体"/>
          <w:kern w:val="0"/>
          <w:sz w:val="24"/>
          <w:highlight w:val="none"/>
          <w:u w:val="single"/>
          <w:lang w:eastAsia="zh-CN"/>
        </w:rPr>
      </w:pPr>
      <w:r>
        <w:rPr>
          <w:rFonts w:hint="eastAsia" w:ascii="宋体" w:hAnsi="宋体" w:cs="宋体"/>
          <w:kern w:val="0"/>
          <w:sz w:val="24"/>
          <w:highlight w:val="none"/>
        </w:rPr>
        <w:t xml:space="preserve">项目名称：  </w:t>
      </w:r>
      <w:r>
        <w:rPr>
          <w:rFonts w:hint="eastAsia"/>
          <w:color w:val="000000"/>
          <w:sz w:val="24"/>
          <w:highlight w:val="none"/>
          <w:u w:val="single"/>
          <w:lang w:eastAsia="zh-CN"/>
        </w:rPr>
        <w:t>湘阴虞公港一期工程后方陆域建设用地报批</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第二条　本合同内容只涉及甲乙双方在本项目中关于安全生产的权利和责任。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第三条　甲方的权利：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（一）有权要求乙方建立安全组织机构或指定专人，负责现场安全监护。严格执行安全生产法律、法规、条例、标准，遵守甲方的安全生产规章制度等。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（二）有权按规定对乙方安全业绩、资质进行审查，对乙方针对作业项目制定的职业健康安全、环境项目进行审查。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（三）有权要求乙方维护好相关的甲方的安全生产设施、设备和器材。</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（四）有权要求乙方对进入甲方现场作业前所有作业人员进行安全培训与教育。</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（五）有权对乙方的作业现场的安全作业情况进行监督检查，有权对乙方不符合安全生产要求的行为进行纠正、处罚、制止、停止作业、直至清退出场。</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（六）有权要求乙方对其所有作业人员进行购买工伤保险和意外伤害保险。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发生事故后、有权根据有关规定参与事故的调查。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第四条　甲方的责任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（一）认真贯彻落实国家有关法律、法规、标准及甲方公司安全生产规章制度。</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（二）向乙方明确作业区的范围、危险源。</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（三）为乙方提供项目合同中规定的安全作业条件。</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（四）发生事故后积极协助抢险，防止事故扩大，并按照甲方公司有关规定进行报告。</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第五条　乙方的权利</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（一）有权对甲方的安全工作提出合理化建议和改进意见。</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（二）日常作业中，若甲方违章指挥、强令乙方冒险作业，有权拒绝执行。</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（三）有权要求甲方提供符合安全作业的工艺条件和环境。</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（四）发生严重危及乙方生命安全的紧急情况时，乙方有权采取必要的避险措施。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第六条　乙方的责任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乙方是本项目的安全生产责任主体，对本项目的安全生产工作全面负责。乙方应根据国家法律法规及行业安全规范，加强安全管理，如乙方在实施本项目过程中造成甲方、乙方或第三方人员、财产损害的，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（二）健全安全组织机构，建立安全生产责任制，制定健全的安全生产规章制度，制定生产安全事故</w:t>
      </w:r>
      <w:r>
        <w:rPr>
          <w:rFonts w:hint="eastAsia" w:ascii="宋体" w:hAnsi="宋体" w:cs="宋体"/>
          <w:kern w:val="0"/>
          <w:sz w:val="24"/>
          <w:highlight w:val="none"/>
          <w:lang w:eastAsia="zh-CN"/>
        </w:rPr>
        <w:t>应急救援</w:t>
      </w:r>
      <w:r>
        <w:rPr>
          <w:rFonts w:hint="eastAsia" w:ascii="宋体" w:hAnsi="宋体" w:cs="宋体"/>
          <w:kern w:val="0"/>
          <w:sz w:val="24"/>
          <w:highlight w:val="none"/>
        </w:rPr>
        <w:t>预案，配备必要的安全生产管理人员和劳动保护用品，严格执行甲方相关的规章制度。</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（三）应对作业人员进行作业前安全教育培训，使其具备相应的安全意识和安全技能。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（四）不得使用不符合国家、行业标准和甲方规定的原材料、设备、装置、防护用品、器材、安全检测仪器等。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（五）指定专人负责现场安全监督检查工作，认真开展安全检查，发现作业过程中不安全行为和隐患、应采取有效措施积极处理。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（六）乙方有责任对作业区域的安全生产条件进行详细了解。</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（七）乙方在作业过程中有属于危及安全生产的关键作业时，应提出切实可行的方案，经甲方同意后，方可实施。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（八）乙方不能将项目转包给第三方。</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（九）乙方在施工期间只能在甲方规定的路线进出公司，只能在规定的施工区域内作业，禁止私自进入甲方</w:t>
      </w:r>
      <w:r>
        <w:rPr>
          <w:rFonts w:hint="eastAsia" w:ascii="宋体" w:hAnsi="宋体" w:cs="宋体"/>
          <w:kern w:val="0"/>
          <w:sz w:val="24"/>
          <w:highlight w:val="none"/>
          <w:lang w:eastAsia="zh-CN"/>
        </w:rPr>
        <w:t>其他生产</w:t>
      </w:r>
      <w:r>
        <w:rPr>
          <w:rFonts w:hint="eastAsia" w:ascii="宋体" w:hAnsi="宋体" w:cs="宋体"/>
          <w:kern w:val="0"/>
          <w:sz w:val="24"/>
          <w:highlight w:val="none"/>
        </w:rPr>
        <w:t>区域。</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（十）乙方应服从甲方单位的安全管理。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（十一）发生事故时，应积极抢险，避免事故的进一步扩大，并按照国家相关要求报告事故。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十二）当乙方在施工过程中发生伤亡事故时，乙方作为工程项目的承包单位，对发生的人身伤害、设备损坏事故及其他安全事故承担全部安全责任。由乙方向自己的主管上级部门及当地政府的安全生产监督管理部门、公安部门报告，并自行承担相应的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第七条  违约责任及处理</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（一）甲乙双方违反本合同要求，未造成事故时，依据相关合同对违约者进行处理（包括但不限于支付违约金、赔偿损失等）。</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（二）发生事故时，甲、乙双方有抢险、救灾的责任，所发生的费用由责任方承担。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（三）发生的事故，应经事故调查确认责任；事故报告和调查应按照国家和甲方有关规定进行。           </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（四）甲方违约造成的事故，甲方承担全部责任，并按规定追究有关人员责任及上报。</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（五）乙方违约造成的事故，乙方承担全部责任，并按规定追究有关人员责任并报告甲方；由于乙方工程质量、检修质量及购买的原材料导致的事故，由乙方承担全部责任。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（六）甲、乙双方共同造成的事故，按双方责任大小承担相应责任，并按规定追究有关人员责任。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（七）对乙方发生事故后弄虚作假、隐瞒不报、迟报或谎报，一经查出，按有关规定从重处罚，情节严重的，甲方有权向当地政府安全生产监督管理部门报告，并取消其进入甲方市场资格。</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（八）施工期间，需要办理的有关安全的批文</w:t>
      </w:r>
      <w:r>
        <w:rPr>
          <w:rFonts w:hint="eastAsia" w:ascii="宋体" w:hAnsi="宋体" w:cs="宋体"/>
          <w:kern w:val="0"/>
          <w:sz w:val="24"/>
          <w:highlight w:val="none"/>
          <w:lang w:eastAsia="zh-CN"/>
        </w:rPr>
        <w:t>或其他</w:t>
      </w:r>
      <w:r>
        <w:rPr>
          <w:rFonts w:hint="eastAsia" w:ascii="宋体" w:hAnsi="宋体" w:cs="宋体"/>
          <w:kern w:val="0"/>
          <w:sz w:val="24"/>
          <w:highlight w:val="none"/>
        </w:rPr>
        <w:t>手续，乙方必须办理齐全，否则发生安全事故由乙方承担全部责任。</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第八条　由于不可抗力造成合同项目施工作业事故及生产的损失，当事人双方各自承担相应的损失。</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第九条　甲乙双方的施工作业人员和机具设备的保险，由甲乙双方依据国家相关规定或约定各自承担。</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第十条  本合同履行过程中发生争议纠纷，应通过友好协商方式解决，如协商不成，按双方在项目合同中约定的管辖地和纠纷解决的方式执行。</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第十一条　本合同是项目经济合同的附件，与项目经济合同具有同等法律效力。本合同与项目经济合同同时生效、终止。</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第十二条  乙方施工期间指定现场安全监护人员，并书面告知甲方。</w:t>
      </w:r>
    </w:p>
    <w:p>
      <w:pPr>
        <w:adjustRightInd w:val="0"/>
        <w:spacing w:line="360" w:lineRule="auto"/>
        <w:ind w:firstLine="480" w:firstLineChars="200"/>
        <w:textAlignment w:val="baseline"/>
        <w:rPr>
          <w:rFonts w:ascii="宋体" w:hAnsi="宋体" w:cs="宋体"/>
          <w:spacing w:val="20"/>
          <w:w w:val="90"/>
          <w:sz w:val="24"/>
          <w:highlight w:val="none"/>
        </w:rPr>
      </w:pPr>
      <w:r>
        <w:rPr>
          <w:rFonts w:hint="eastAsia" w:ascii="宋体" w:hAnsi="宋体" w:cs="宋体"/>
          <w:kern w:val="0"/>
          <w:sz w:val="24"/>
          <w:highlight w:val="none"/>
        </w:rPr>
        <w:t>第十三条　本合同经双方签字或盖章后生效。本合同壹式肆份，双方各持贰份。</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甲方（盖章）：               </w:t>
      </w:r>
      <w:r>
        <w:rPr>
          <w:rFonts w:hint="eastAsia" w:cs="宋体"/>
          <w:kern w:val="0"/>
          <w:sz w:val="24"/>
          <w:highlight w:val="none"/>
        </w:rPr>
        <w:t xml:space="preserve">    </w:t>
      </w:r>
      <w:r>
        <w:rPr>
          <w:rFonts w:hint="eastAsia" w:ascii="宋体" w:hAnsi="宋体" w:cs="宋体"/>
          <w:kern w:val="0"/>
          <w:sz w:val="24"/>
          <w:highlight w:val="none"/>
        </w:rPr>
        <w:t xml:space="preserve"> 乙方（盖章）： </w:t>
      </w: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甲方法定代表人：              </w:t>
      </w:r>
      <w:r>
        <w:rPr>
          <w:rFonts w:hint="eastAsia" w:cs="宋体"/>
          <w:kern w:val="0"/>
          <w:sz w:val="24"/>
          <w:highlight w:val="none"/>
        </w:rPr>
        <w:t xml:space="preserve">    </w:t>
      </w:r>
      <w:r>
        <w:rPr>
          <w:rFonts w:hint="eastAsia" w:ascii="宋体" w:hAnsi="宋体" w:cs="宋体"/>
          <w:kern w:val="0"/>
          <w:sz w:val="24"/>
          <w:highlight w:val="none"/>
        </w:rPr>
        <w:t>乙方法定代表人：</w:t>
      </w:r>
    </w:p>
    <w:p>
      <w:pPr>
        <w:adjustRightInd w:val="0"/>
        <w:spacing w:line="360" w:lineRule="auto"/>
        <w:ind w:firstLine="480" w:firstLineChars="200"/>
        <w:textAlignment w:val="baseline"/>
        <w:rPr>
          <w:rFonts w:ascii="宋体" w:hAnsi="宋体" w:cs="宋体"/>
          <w:kern w:val="0"/>
          <w:sz w:val="24"/>
          <w:highlight w:val="none"/>
        </w:rPr>
      </w:pPr>
      <w:r>
        <w:rPr>
          <w:rFonts w:hint="eastAsia" w:ascii="宋体" w:hAnsi="宋体" w:cs="宋体"/>
          <w:kern w:val="0"/>
          <w:sz w:val="24"/>
          <w:highlight w:val="none"/>
        </w:rPr>
        <w:t xml:space="preserve">或其委托代理人 ：             </w:t>
      </w:r>
      <w:r>
        <w:rPr>
          <w:rFonts w:hint="eastAsia" w:cs="宋体"/>
          <w:kern w:val="0"/>
          <w:sz w:val="24"/>
          <w:highlight w:val="none"/>
        </w:rPr>
        <w:t xml:space="preserve">    </w:t>
      </w:r>
      <w:r>
        <w:rPr>
          <w:rFonts w:hint="eastAsia" w:ascii="宋体" w:hAnsi="宋体" w:cs="宋体"/>
          <w:kern w:val="0"/>
          <w:sz w:val="24"/>
          <w:highlight w:val="none"/>
        </w:rPr>
        <w:t xml:space="preserve">或其委托代理人 ：          </w:t>
      </w:r>
    </w:p>
    <w:p>
      <w:pPr>
        <w:adjustRightInd w:val="0"/>
        <w:spacing w:line="360" w:lineRule="auto"/>
        <w:ind w:firstLine="480" w:firstLineChars="200"/>
        <w:textAlignment w:val="baseline"/>
        <w:rPr>
          <w:rFonts w:ascii="宋体" w:hAnsi="宋体" w:cs="宋体"/>
          <w:kern w:val="0"/>
          <w:sz w:val="24"/>
          <w:highlight w:val="none"/>
        </w:rPr>
      </w:pPr>
    </w:p>
    <w:p>
      <w:pPr>
        <w:adjustRightInd w:val="0"/>
        <w:spacing w:line="360" w:lineRule="auto"/>
        <w:ind w:firstLine="480" w:firstLineChars="200"/>
        <w:textAlignment w:val="baseline"/>
        <w:rPr>
          <w:highlight w:val="none"/>
        </w:rPr>
      </w:pPr>
      <w:r>
        <w:rPr>
          <w:rFonts w:hint="eastAsia" w:ascii="宋体" w:hAnsi="宋体" w:cs="宋体"/>
          <w:kern w:val="0"/>
          <w:sz w:val="24"/>
          <w:highlight w:val="none"/>
        </w:rPr>
        <w:t xml:space="preserve">会签地址：湖南岳阳市           </w:t>
      </w:r>
      <w:r>
        <w:rPr>
          <w:rFonts w:hint="eastAsia" w:cs="宋体"/>
          <w:kern w:val="0"/>
          <w:sz w:val="24"/>
          <w:highlight w:val="none"/>
        </w:rPr>
        <w:t xml:space="preserve">   </w:t>
      </w:r>
      <w:r>
        <w:rPr>
          <w:rFonts w:hint="eastAsia" w:ascii="宋体" w:hAnsi="宋体" w:cs="宋体"/>
          <w:kern w:val="0"/>
          <w:sz w:val="24"/>
          <w:highlight w:val="none"/>
        </w:rPr>
        <w:t>日期：202</w:t>
      </w:r>
      <w:r>
        <w:rPr>
          <w:rFonts w:hint="eastAsia" w:ascii="宋体" w:hAnsi="宋体" w:cs="宋体"/>
          <w:kern w:val="0"/>
          <w:sz w:val="24"/>
          <w:highlight w:val="none"/>
          <w:lang w:val="en-US" w:eastAsia="zh-CN"/>
        </w:rPr>
        <w:t>4</w:t>
      </w:r>
      <w:r>
        <w:rPr>
          <w:rFonts w:hint="eastAsia" w:ascii="宋体" w:hAnsi="宋体" w:cs="宋体"/>
          <w:kern w:val="0"/>
          <w:sz w:val="24"/>
          <w:highlight w:val="none"/>
        </w:rPr>
        <w:t xml:space="preserve">年   月   </w:t>
      </w:r>
      <w:r>
        <w:rPr>
          <w:rFonts w:hint="eastAsia" w:cs="宋体"/>
          <w:kern w:val="0"/>
          <w:sz w:val="24"/>
          <w:highlight w:val="none"/>
        </w:rPr>
        <w:t xml:space="preserve"> 日</w:t>
      </w:r>
    </w:p>
    <w:p>
      <w:pPr>
        <w:tabs>
          <w:tab w:val="left" w:pos="4860"/>
        </w:tabs>
        <w:spacing w:line="500" w:lineRule="exact"/>
        <w:rPr>
          <w:color w:val="000000"/>
          <w:sz w:val="24"/>
          <w:highlight w:val="none"/>
        </w:rPr>
      </w:pPr>
      <w:r>
        <w:rPr>
          <w:rFonts w:hint="eastAsia"/>
          <w:color w:val="000000"/>
          <w:sz w:val="24"/>
          <w:highlight w:val="none"/>
        </w:rPr>
        <w:t xml:space="preserve">                                         </w:t>
      </w:r>
    </w:p>
    <w:p>
      <w:pPr>
        <w:spacing w:line="312" w:lineRule="auto"/>
        <w:ind w:firstLine="544" w:firstLineChars="227"/>
        <w:jc w:val="both"/>
        <w:rPr>
          <w:rFonts w:cs="仿宋" w:asciiTheme="minorEastAsia" w:hAnsiTheme="minorEastAsia" w:eastAsiaTheme="minorEastAsia"/>
          <w:sz w:val="24"/>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pStyle w:val="4"/>
        <w:outlineLvl w:val="9"/>
        <w:rPr>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both"/>
        <w:rPr>
          <w:rFonts w:ascii="黑体" w:hAnsi="黑体" w:eastAsia="黑体" w:cs="仿宋"/>
          <w:b/>
          <w:color w:val="000000"/>
          <w:sz w:val="36"/>
          <w:szCs w:val="36"/>
          <w:highlight w:val="none"/>
        </w:rPr>
      </w:pPr>
    </w:p>
    <w:p>
      <w:pPr>
        <w:spacing w:line="600" w:lineRule="exact"/>
        <w:jc w:val="center"/>
        <w:outlineLvl w:val="0"/>
        <w:rPr>
          <w:rFonts w:ascii="黑体" w:hAnsi="黑体" w:eastAsia="黑体" w:cs="仿宋"/>
          <w:b/>
          <w:color w:val="000000"/>
          <w:sz w:val="36"/>
          <w:szCs w:val="36"/>
          <w:highlight w:val="none"/>
        </w:rPr>
      </w:pPr>
      <w:bookmarkStart w:id="43" w:name="_Toc24337"/>
      <w:r>
        <w:rPr>
          <w:rFonts w:hint="eastAsia" w:ascii="黑体" w:hAnsi="黑体" w:eastAsia="黑体" w:cs="仿宋"/>
          <w:b/>
          <w:color w:val="000000"/>
          <w:sz w:val="36"/>
          <w:szCs w:val="36"/>
          <w:highlight w:val="none"/>
        </w:rPr>
        <w:t>第五章  采购需求</w:t>
      </w:r>
      <w:bookmarkEnd w:id="43"/>
    </w:p>
    <w:p>
      <w:pPr>
        <w:adjustRightInd w:val="0"/>
        <w:snapToGrid w:val="0"/>
        <w:spacing w:line="312" w:lineRule="auto"/>
        <w:rPr>
          <w:rFonts w:ascii="宋体" w:hAnsi="宋体"/>
          <w:b/>
          <w:sz w:val="24"/>
          <w:highlight w:val="none"/>
        </w:rPr>
      </w:pPr>
      <w:r>
        <w:rPr>
          <w:rFonts w:hint="eastAsia" w:ascii="宋体" w:hAnsi="宋体"/>
          <w:b/>
          <w:sz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宋体" w:hAnsi="宋体" w:cs="宋体"/>
          <w:b/>
          <w:bCs/>
          <w:sz w:val="28"/>
          <w:szCs w:val="28"/>
          <w:highlight w:val="none"/>
        </w:rPr>
      </w:pPr>
      <w:r>
        <w:rPr>
          <w:rFonts w:hint="eastAsia" w:ascii="宋体" w:hAnsi="宋体" w:cs="宋体"/>
          <w:b/>
          <w:bCs/>
          <w:sz w:val="28"/>
          <w:szCs w:val="28"/>
          <w:highlight w:val="none"/>
        </w:rPr>
        <w:t>一、工程名称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湘阴虞公港一期工程</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宋体" w:hAnsi="宋体" w:cs="宋体"/>
          <w:b/>
          <w:sz w:val="28"/>
          <w:szCs w:val="28"/>
          <w:highlight w:val="none"/>
        </w:rPr>
      </w:pPr>
      <w:r>
        <w:rPr>
          <w:rFonts w:hint="eastAsia" w:ascii="宋体" w:hAnsi="宋体" w:cs="宋体"/>
          <w:b/>
          <w:sz w:val="28"/>
          <w:szCs w:val="28"/>
          <w:highlight w:val="none"/>
        </w:rPr>
        <w:t>二、工程地点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sz w:val="24"/>
          <w:highlight w:val="none"/>
        </w:rPr>
      </w:pPr>
      <w:r>
        <w:rPr>
          <w:rFonts w:hint="eastAsia" w:ascii="宋体" w:hAnsi="宋体"/>
          <w:sz w:val="24"/>
          <w:highlight w:val="none"/>
        </w:rPr>
        <w:t>岳阳市湘阴县三塘镇黄陵港村，湘江右岸，湘阴湘江大桥下游16公里处。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cs="宋体"/>
          <w:b/>
          <w:bCs/>
          <w:sz w:val="28"/>
          <w:szCs w:val="28"/>
          <w:highlight w:val="none"/>
        </w:rPr>
      </w:pPr>
      <w:r>
        <w:rPr>
          <w:rFonts w:hint="eastAsia" w:ascii="宋体" w:hAnsi="宋体" w:cs="宋体"/>
          <w:b/>
          <w:bCs/>
          <w:sz w:val="28"/>
          <w:szCs w:val="28"/>
          <w:highlight w:val="none"/>
        </w:rPr>
        <w:t>服务要求如下：</w:t>
      </w:r>
    </w:p>
    <w:p>
      <w:pPr>
        <w:spacing w:line="500" w:lineRule="exact"/>
        <w:ind w:firstLine="480" w:firstLineChars="200"/>
        <w:rPr>
          <w:rFonts w:hint="eastAsia" w:ascii="宋体" w:hAnsi="宋体"/>
          <w:sz w:val="24"/>
          <w:highlight w:val="none"/>
        </w:rPr>
      </w:pPr>
      <w:r>
        <w:rPr>
          <w:rFonts w:hint="eastAsia" w:ascii="宋体" w:hAnsi="宋体"/>
          <w:sz w:val="24"/>
          <w:highlight w:val="none"/>
        </w:rPr>
        <w:t>根据国家法律法规、行业规范以及有关主管部门</w:t>
      </w:r>
      <w:r>
        <w:rPr>
          <w:rFonts w:hint="eastAsia" w:ascii="宋体" w:hAnsi="宋体"/>
          <w:sz w:val="24"/>
          <w:highlight w:val="none"/>
          <w:lang w:val="en-US" w:eastAsia="zh-CN"/>
        </w:rPr>
        <w:t>要求为本项目的补征用地办理报批手续。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spacing w:line="312" w:lineRule="auto"/>
        <w:jc w:val="center"/>
        <w:outlineLvl w:val="0"/>
        <w:rPr>
          <w:rFonts w:ascii="黑体" w:hAnsi="黑体" w:eastAsia="黑体" w:cs="仿宋"/>
          <w:b/>
          <w:color w:val="000000"/>
          <w:sz w:val="36"/>
          <w:szCs w:val="36"/>
          <w:highlight w:val="none"/>
        </w:rPr>
      </w:pPr>
      <w:bookmarkStart w:id="44" w:name="_Toc7790"/>
      <w:r>
        <w:rPr>
          <w:rFonts w:hint="eastAsia" w:ascii="黑体" w:hAnsi="黑体" w:eastAsia="黑体" w:cs="仿宋"/>
          <w:b/>
          <w:color w:val="000000"/>
          <w:sz w:val="36"/>
          <w:szCs w:val="36"/>
          <w:highlight w:val="none"/>
        </w:rPr>
        <w:t>第六章  响应文件格式</w:t>
      </w:r>
      <w:bookmarkEnd w:id="44"/>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r>
        <w:rPr>
          <w:rFonts w:hint="eastAsia" w:eastAsia="方正小标宋_GBK"/>
          <w:b/>
          <w:bCs/>
          <w:sz w:val="40"/>
          <w:szCs w:val="36"/>
          <w:highlight w:val="none"/>
        </w:rPr>
        <w:t>项目</w:t>
      </w:r>
    </w:p>
    <w:p>
      <w:pPr>
        <w:widowControl w:val="0"/>
        <w:spacing w:before="240" w:beforeLines="100" w:after="240" w:afterLines="100" w:line="240" w:lineRule="auto"/>
        <w:jc w:val="center"/>
        <w:rPr>
          <w:rFonts w:eastAsia="楷体_GB2312"/>
          <w:b/>
          <w:bCs/>
          <w:sz w:val="28"/>
          <w:szCs w:val="28"/>
          <w:highlight w:val="none"/>
        </w:rPr>
      </w:pPr>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rPr>
          <w:rFonts w:eastAsia="黑体"/>
          <w:bCs/>
          <w:sz w:val="30"/>
          <w:szCs w:val="30"/>
          <w:highlight w:val="none"/>
        </w:rPr>
      </w:pPr>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 xml:space="preserve">全称并盖单位公章 </w:t>
      </w:r>
    </w:p>
    <w:p>
      <w:pPr>
        <w:spacing w:line="900" w:lineRule="exact"/>
        <w:jc w:val="center"/>
        <w:rPr>
          <w:rFonts w:eastAsia="黑体"/>
          <w:sz w:val="30"/>
          <w:szCs w:val="30"/>
          <w:highlight w:val="none"/>
        </w:rPr>
      </w:pPr>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一、响应函</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二、授权委托书</w:t>
      </w:r>
      <w:r>
        <w:rPr>
          <w:rFonts w:hint="eastAsia" w:ascii="宋体" w:hAnsi="宋体" w:cs="仿宋"/>
          <w:sz w:val="24"/>
          <w:highlight w:val="none"/>
          <w:lang w:eastAsia="zh-CN"/>
        </w:rPr>
        <w:t>（</w:t>
      </w:r>
      <w:r>
        <w:rPr>
          <w:rFonts w:hint="eastAsia" w:ascii="宋体" w:hAnsi="宋体" w:cs="仿宋"/>
          <w:sz w:val="24"/>
          <w:highlight w:val="none"/>
        </w:rPr>
        <w:t>适用于有委托代理人的情况</w:t>
      </w:r>
      <w:r>
        <w:rPr>
          <w:rFonts w:hint="eastAsia" w:ascii="宋体" w:hAnsi="宋体" w:cs="仿宋"/>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三、商务和技术偏差表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四、报价表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五、资格审查资料</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六、响应方案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七、其他资料</w:t>
      </w:r>
    </w:p>
    <w:p>
      <w:pPr>
        <w:spacing w:line="600" w:lineRule="exact"/>
        <w:jc w:val="both"/>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numPr>
          <w:ilvl w:val="0"/>
          <w:numId w:val="2"/>
        </w:num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响应函</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采购人名称</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p>
    <w:p>
      <w:pPr>
        <w:adjustRightInd w:val="0"/>
        <w:snapToGrid w:val="0"/>
        <w:spacing w:line="6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1.我方已仔细研究了__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项目名称</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采购文件的全部内容，愿意以含税价人民币</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大写</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的报价（其中：不含税价为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增值税税额为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（2）授权委托书</w:t>
      </w:r>
      <w:r>
        <w:rPr>
          <w:rFonts w:hint="eastAsia" w:ascii="宋体" w:hAnsi="宋体" w:cs="仿宋"/>
          <w:sz w:val="24"/>
          <w:highlight w:val="none"/>
          <w:lang w:eastAsia="zh-CN"/>
        </w:rPr>
        <w:t>（</w:t>
      </w:r>
      <w:r>
        <w:rPr>
          <w:rFonts w:hint="eastAsia" w:ascii="宋体" w:hAnsi="宋体" w:cs="仿宋"/>
          <w:sz w:val="24"/>
          <w:highlight w:val="none"/>
        </w:rPr>
        <w:t>适用于有委托代理人的情况</w:t>
      </w:r>
      <w:r>
        <w:rPr>
          <w:rFonts w:hint="eastAsia" w:ascii="宋体" w:hAnsi="宋体" w:cs="仿宋"/>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（7）其他资料</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w:t>
      </w:r>
      <w:r>
        <w:rPr>
          <w:rFonts w:hint="eastAsia" w:cs="仿宋" w:asciiTheme="minorEastAsia" w:hAnsiTheme="minorEastAsia" w:eastAsiaTheme="minorEastAsia"/>
          <w:sz w:val="24"/>
          <w:highlight w:val="none"/>
          <w:lang w:eastAsia="zh-CN"/>
        </w:rPr>
        <w:t>一致</w:t>
      </w:r>
      <w:r>
        <w:rPr>
          <w:rFonts w:hint="eastAsia" w:cs="仿宋" w:asciiTheme="minorEastAsia" w:hAnsiTheme="minorEastAsia" w:eastAsiaTheme="minorEastAsia"/>
          <w:sz w:val="24"/>
          <w:highlight w:val="none"/>
        </w:rPr>
        <w:t>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r>
        <w:rPr>
          <w:rFonts w:hint="eastAsia" w:cs="仿宋" w:asciiTheme="minorEastAsia" w:hAnsiTheme="minorEastAsia" w:eastAsiaTheme="minorEastAsia"/>
          <w:sz w:val="24"/>
          <w:highlight w:val="none"/>
          <w:lang w:eastAsia="zh-CN"/>
        </w:rPr>
        <w:t>：</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在收到成交通知书后，在成交通知书规定的期限内与你方签订合同</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在签订合同时不向你方提出附加条件</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其他补充说明</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________________________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盖单位章</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或其授权的代理人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 xml:space="preserve">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7200" w:firstLineChars="30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asciiTheme="minorEastAsia" w:hAnsiTheme="minorEastAsia" w:eastAsiaTheme="minorEastAsia"/>
          <w:color w:val="000000"/>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w:t>
      </w:r>
      <w:r>
        <w:rPr>
          <w:rFonts w:hint="eastAsia" w:cs="仿宋" w:asciiTheme="minorEastAsia" w:hAnsiTheme="minorEastAsia" w:eastAsiaTheme="minorEastAsia"/>
          <w:sz w:val="24"/>
          <w:highlight w:val="none"/>
          <w:lang w:eastAsia="zh-CN"/>
        </w:rPr>
        <w:t>响应</w:t>
      </w:r>
      <w:r>
        <w:rPr>
          <w:rFonts w:hint="eastAsia" w:cs="仿宋" w:asciiTheme="minorEastAsia" w:hAnsiTheme="minorEastAsia" w:eastAsiaTheme="minorEastAsia"/>
          <w:sz w:val="24"/>
          <w:highlight w:val="none"/>
        </w:rPr>
        <w:t>资格、骗取</w:t>
      </w:r>
      <w:r>
        <w:rPr>
          <w:rFonts w:hint="eastAsia" w:cs="仿宋" w:asciiTheme="minorEastAsia" w:hAnsiTheme="minorEastAsia" w:eastAsiaTheme="minorEastAsia"/>
          <w:sz w:val="24"/>
          <w:highlight w:val="none"/>
          <w:lang w:eastAsia="zh-CN"/>
        </w:rPr>
        <w:t>成交</w:t>
      </w:r>
      <w:r>
        <w:rPr>
          <w:rFonts w:hint="eastAsia" w:cs="仿宋" w:asciiTheme="minorEastAsia" w:hAnsiTheme="minorEastAsia" w:eastAsiaTheme="minorEastAsia"/>
          <w:sz w:val="24"/>
          <w:highlight w:val="none"/>
        </w:rPr>
        <w:t>、行贿等不良记录以及其他违法犯罪记录；无围标串标、恶意投诉、买卖资质等违法违规行为。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320" w:firstLineChars="18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p>
    <w:p>
      <w:pPr>
        <w:spacing w:line="360" w:lineRule="auto"/>
        <w:ind w:firstLine="3600" w:firstLineChars="15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r>
        <w:rPr>
          <w:rFonts w:hint="eastAsia" w:ascii="黑体" w:hAnsi="黑体" w:eastAsia="黑体" w:cs="仿宋"/>
          <w:sz w:val="36"/>
          <w:szCs w:val="36"/>
          <w:highlight w:val="none"/>
        </w:rPr>
        <w:t>二、授权委托书</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，现委托___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姓名</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盖单位章</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年_月日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三、商务和技术偏差表</w:t>
      </w:r>
    </w:p>
    <w:p>
      <w:pPr>
        <w:spacing w:line="600" w:lineRule="exact"/>
        <w:jc w:val="center"/>
        <w:rPr>
          <w:rFonts w:cs="仿宋" w:asciiTheme="minorEastAsia" w:hAnsiTheme="minorEastAsia" w:eastAsiaTheme="minorEastAsia"/>
          <w:sz w:val="24"/>
          <w:highlight w:val="none"/>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46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464"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464"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numPr>
          <w:ilvl w:val="0"/>
          <w:numId w:val="4"/>
        </w:numPr>
        <w:spacing w:line="600" w:lineRule="exact"/>
        <w:ind w:left="420"/>
        <w:jc w:val="center"/>
        <w:rPr>
          <w:rFonts w:ascii="黑体" w:hAnsi="黑体" w:eastAsia="黑体" w:cs="仿宋"/>
          <w:sz w:val="36"/>
          <w:szCs w:val="36"/>
          <w:highlight w:val="none"/>
        </w:rPr>
      </w:pPr>
      <w:r>
        <w:rPr>
          <w:rFonts w:hint="eastAsia" w:ascii="黑体" w:hAnsi="黑体" w:eastAsia="黑体" w:cs="仿宋"/>
          <w:sz w:val="36"/>
          <w:szCs w:val="36"/>
          <w:highlight w:val="none"/>
        </w:rPr>
        <w:t>报价表</w:t>
      </w:r>
    </w:p>
    <w:p>
      <w:pPr>
        <w:spacing w:line="360" w:lineRule="auto"/>
        <w:jc w:val="center"/>
        <w:rPr>
          <w:rFonts w:hint="eastAsia"/>
          <w:b/>
          <w:kern w:val="0"/>
          <w:highlight w:val="none"/>
        </w:rPr>
      </w:pPr>
    </w:p>
    <w:p>
      <w:pPr>
        <w:spacing w:line="360" w:lineRule="auto"/>
        <w:jc w:val="center"/>
        <w:rPr>
          <w:rFonts w:hint="eastAsia"/>
          <w:b/>
          <w:kern w:val="0"/>
          <w:highlight w:val="none"/>
        </w:rPr>
      </w:pPr>
      <w:r>
        <w:rPr>
          <w:rFonts w:hint="eastAsia"/>
          <w:b/>
          <w:kern w:val="0"/>
          <w:highlight w:val="none"/>
        </w:rPr>
        <w:t>报价清单汇总表</w:t>
      </w:r>
    </w:p>
    <w:p>
      <w:pPr>
        <w:spacing w:line="360" w:lineRule="auto"/>
        <w:jc w:val="right"/>
        <w:rPr>
          <w:rFonts w:hint="eastAsia"/>
          <w:kern w:val="0"/>
          <w:szCs w:val="21"/>
          <w:highlight w:val="none"/>
        </w:rPr>
      </w:pPr>
      <w:r>
        <w:rPr>
          <w:rFonts w:hint="eastAsia"/>
          <w:kern w:val="0"/>
          <w:szCs w:val="21"/>
          <w:highlight w:val="none"/>
        </w:rPr>
        <w:t>单位：元（人民币）</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3282"/>
        <w:gridCol w:w="1895"/>
        <w:gridCol w:w="23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88" w:type="dxa"/>
            <w:noWrap w:val="0"/>
            <w:vAlign w:val="center"/>
          </w:tcPr>
          <w:p>
            <w:pPr>
              <w:spacing w:line="360" w:lineRule="auto"/>
              <w:jc w:val="center"/>
              <w:rPr>
                <w:rFonts w:hint="eastAsia"/>
                <w:kern w:val="0"/>
                <w:szCs w:val="21"/>
                <w:highlight w:val="none"/>
              </w:rPr>
            </w:pPr>
            <w:r>
              <w:rPr>
                <w:rFonts w:hint="eastAsia"/>
                <w:kern w:val="0"/>
                <w:szCs w:val="21"/>
                <w:highlight w:val="none"/>
              </w:rPr>
              <w:t>序    号</w:t>
            </w:r>
          </w:p>
        </w:tc>
        <w:tc>
          <w:tcPr>
            <w:tcW w:w="3282" w:type="dxa"/>
            <w:noWrap w:val="0"/>
            <w:vAlign w:val="top"/>
          </w:tcPr>
          <w:p>
            <w:pPr>
              <w:spacing w:line="360" w:lineRule="auto"/>
              <w:jc w:val="center"/>
              <w:rPr>
                <w:rFonts w:hint="eastAsia"/>
                <w:kern w:val="0"/>
                <w:szCs w:val="21"/>
                <w:highlight w:val="none"/>
              </w:rPr>
            </w:pPr>
            <w:r>
              <w:rPr>
                <w:rFonts w:hint="eastAsia"/>
                <w:kern w:val="0"/>
                <w:szCs w:val="21"/>
                <w:highlight w:val="none"/>
              </w:rPr>
              <w:t>项    目</w:t>
            </w:r>
          </w:p>
        </w:tc>
        <w:tc>
          <w:tcPr>
            <w:tcW w:w="1895" w:type="dxa"/>
            <w:noWrap w:val="0"/>
            <w:vAlign w:val="top"/>
          </w:tcPr>
          <w:p>
            <w:pPr>
              <w:spacing w:line="360" w:lineRule="auto"/>
              <w:jc w:val="center"/>
              <w:rPr>
                <w:rFonts w:hint="eastAsia"/>
                <w:kern w:val="0"/>
                <w:szCs w:val="21"/>
                <w:highlight w:val="none"/>
              </w:rPr>
            </w:pPr>
            <w:r>
              <w:rPr>
                <w:rFonts w:hint="eastAsia"/>
                <w:kern w:val="0"/>
                <w:szCs w:val="21"/>
                <w:highlight w:val="none"/>
                <w:lang w:eastAsia="zh-CN"/>
              </w:rPr>
              <w:t>响应</w:t>
            </w:r>
            <w:r>
              <w:rPr>
                <w:rFonts w:hint="eastAsia"/>
                <w:kern w:val="0"/>
                <w:szCs w:val="21"/>
                <w:highlight w:val="none"/>
              </w:rPr>
              <w:t>报价</w:t>
            </w:r>
          </w:p>
        </w:tc>
        <w:tc>
          <w:tcPr>
            <w:tcW w:w="2322" w:type="dxa"/>
            <w:noWrap w:val="0"/>
            <w:vAlign w:val="top"/>
          </w:tcPr>
          <w:p>
            <w:pPr>
              <w:spacing w:line="360" w:lineRule="auto"/>
              <w:jc w:val="center"/>
              <w:rPr>
                <w:rFonts w:hint="eastAsia"/>
                <w:kern w:val="0"/>
                <w:szCs w:val="21"/>
                <w:highlight w:val="none"/>
              </w:rPr>
            </w:pPr>
            <w:r>
              <w:rPr>
                <w:rFonts w:hint="eastAsia"/>
                <w:kern w:val="0"/>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1</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2</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3</w:t>
            </w:r>
          </w:p>
        </w:tc>
        <w:tc>
          <w:tcPr>
            <w:tcW w:w="3282" w:type="dxa"/>
            <w:noWrap w:val="0"/>
            <w:vAlign w:val="center"/>
          </w:tcPr>
          <w:p>
            <w:pPr>
              <w:ind w:right="-107" w:rightChars="-51"/>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788"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4</w:t>
            </w:r>
          </w:p>
        </w:tc>
        <w:tc>
          <w:tcPr>
            <w:tcW w:w="3282" w:type="dxa"/>
            <w:noWrap w:val="0"/>
            <w:vAlign w:val="center"/>
          </w:tcPr>
          <w:p>
            <w:pPr>
              <w:jc w:val="center"/>
              <w:rPr>
                <w:rFonts w:hint="eastAsia" w:ascii="宋体" w:hAnsi="宋体"/>
                <w:kern w:val="0"/>
                <w:szCs w:val="21"/>
                <w:highlight w:val="none"/>
              </w:rPr>
            </w:pPr>
          </w:p>
        </w:tc>
        <w:tc>
          <w:tcPr>
            <w:tcW w:w="189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 xml:space="preserve"> </w:t>
            </w: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788" w:type="dxa"/>
            <w:noWrap w:val="0"/>
            <w:vAlign w:val="top"/>
          </w:tcPr>
          <w:p>
            <w:pPr>
              <w:jc w:val="center"/>
              <w:rPr>
                <w:rFonts w:hint="eastAsia" w:ascii="宋体" w:hAnsi="宋体"/>
                <w:kern w:val="0"/>
                <w:szCs w:val="21"/>
                <w:highlight w:val="none"/>
              </w:rPr>
            </w:pPr>
            <w:r>
              <w:rPr>
                <w:rFonts w:hint="eastAsia" w:ascii="宋体" w:hAnsi="宋体"/>
                <w:kern w:val="0"/>
                <w:szCs w:val="21"/>
                <w:highlight w:val="none"/>
              </w:rPr>
              <w:t>5</w:t>
            </w:r>
          </w:p>
        </w:tc>
        <w:tc>
          <w:tcPr>
            <w:tcW w:w="3282" w:type="dxa"/>
            <w:noWrap w:val="0"/>
            <w:vAlign w:val="center"/>
          </w:tcPr>
          <w:p>
            <w:pPr>
              <w:jc w:val="center"/>
              <w:rPr>
                <w:rFonts w:hint="eastAsia" w:ascii="宋体" w:hAnsi="宋体"/>
                <w:kern w:val="0"/>
                <w:szCs w:val="21"/>
                <w:highlight w:val="none"/>
              </w:rPr>
            </w:pPr>
          </w:p>
        </w:tc>
        <w:tc>
          <w:tcPr>
            <w:tcW w:w="1895" w:type="dxa"/>
            <w:noWrap w:val="0"/>
            <w:vAlign w:val="top"/>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788" w:type="dxa"/>
            <w:noWrap w:val="0"/>
            <w:vAlign w:val="top"/>
          </w:tcPr>
          <w:p>
            <w:pPr>
              <w:jc w:val="center"/>
              <w:rPr>
                <w:rFonts w:hint="eastAsia" w:ascii="宋体" w:hAnsi="宋体"/>
                <w:kern w:val="0"/>
                <w:szCs w:val="21"/>
                <w:highlight w:val="none"/>
              </w:rPr>
            </w:pPr>
            <w:r>
              <w:rPr>
                <w:rFonts w:hint="eastAsia" w:ascii="宋体" w:hAnsi="宋体"/>
                <w:kern w:val="0"/>
                <w:szCs w:val="21"/>
                <w:highlight w:val="none"/>
              </w:rPr>
              <w:t>6</w:t>
            </w:r>
          </w:p>
        </w:tc>
        <w:tc>
          <w:tcPr>
            <w:tcW w:w="3282"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lang w:eastAsia="zh-CN"/>
              </w:rPr>
              <w:t>响应</w:t>
            </w:r>
            <w:r>
              <w:rPr>
                <w:rFonts w:hint="eastAsia" w:ascii="宋体" w:hAnsi="宋体"/>
                <w:kern w:val="0"/>
                <w:szCs w:val="21"/>
                <w:highlight w:val="none"/>
              </w:rPr>
              <w:t>报价总计（1+2+3+4+5）</w:t>
            </w:r>
          </w:p>
        </w:tc>
        <w:tc>
          <w:tcPr>
            <w:tcW w:w="1895" w:type="dxa"/>
            <w:noWrap w:val="0"/>
            <w:vAlign w:val="top"/>
          </w:tcPr>
          <w:p>
            <w:pPr>
              <w:jc w:val="center"/>
              <w:rPr>
                <w:rFonts w:hint="eastAsia" w:ascii="宋体" w:hAnsi="宋体"/>
                <w:kern w:val="0"/>
                <w:szCs w:val="21"/>
                <w:highlight w:val="none"/>
              </w:rPr>
            </w:pPr>
          </w:p>
        </w:tc>
        <w:tc>
          <w:tcPr>
            <w:tcW w:w="2322" w:type="dxa"/>
            <w:noWrap w:val="0"/>
            <w:vAlign w:val="top"/>
          </w:tcPr>
          <w:p>
            <w:pPr>
              <w:jc w:val="center"/>
              <w:rPr>
                <w:rFonts w:hint="eastAsia"/>
                <w:kern w:val="0"/>
                <w:szCs w:val="21"/>
                <w:highlight w:val="none"/>
              </w:rPr>
            </w:pPr>
          </w:p>
        </w:tc>
      </w:tr>
    </w:tbl>
    <w:p>
      <w:pPr>
        <w:rPr>
          <w:kern w:val="0"/>
          <w:highlight w:val="none"/>
        </w:rPr>
      </w:pPr>
      <w:r>
        <w:rPr>
          <w:rFonts w:hint="eastAsia"/>
          <w:kern w:val="0"/>
          <w:sz w:val="18"/>
          <w:szCs w:val="18"/>
          <w:highlight w:val="none"/>
        </w:rPr>
        <w:t>注：①</w:t>
      </w:r>
      <w:r>
        <w:rPr>
          <w:rFonts w:hint="eastAsia"/>
          <w:kern w:val="0"/>
          <w:sz w:val="18"/>
          <w:szCs w:val="18"/>
          <w:highlight w:val="none"/>
          <w:lang w:eastAsia="zh-CN"/>
        </w:rPr>
        <w:t>响应</w:t>
      </w:r>
      <w:r>
        <w:rPr>
          <w:rFonts w:hint="eastAsia"/>
          <w:kern w:val="0"/>
          <w:sz w:val="18"/>
          <w:szCs w:val="18"/>
          <w:highlight w:val="none"/>
        </w:rPr>
        <w:t>人应根据本</w:t>
      </w:r>
      <w:r>
        <w:rPr>
          <w:rFonts w:hint="eastAsia"/>
          <w:kern w:val="0"/>
          <w:sz w:val="18"/>
          <w:szCs w:val="18"/>
          <w:highlight w:val="none"/>
          <w:lang w:eastAsia="zh-CN"/>
        </w:rPr>
        <w:t>询价</w:t>
      </w:r>
      <w:r>
        <w:rPr>
          <w:rFonts w:hint="eastAsia"/>
          <w:kern w:val="0"/>
          <w:sz w:val="18"/>
          <w:szCs w:val="18"/>
          <w:highlight w:val="none"/>
        </w:rPr>
        <w:t>项目工程特点和服务工作内容，分别列出并填写本表各项目；</w:t>
      </w:r>
    </w:p>
    <w:p>
      <w:pPr>
        <w:ind w:left="361" w:leftChars="172"/>
        <w:rPr>
          <w:rFonts w:hint="eastAsia"/>
          <w:kern w:val="0"/>
          <w:sz w:val="18"/>
          <w:szCs w:val="18"/>
          <w:highlight w:val="none"/>
        </w:rPr>
      </w:pPr>
      <w:r>
        <w:rPr>
          <w:rFonts w:hint="eastAsia"/>
          <w:kern w:val="0"/>
          <w:sz w:val="18"/>
          <w:szCs w:val="18"/>
          <w:highlight w:val="none"/>
        </w:rPr>
        <w:t>②</w:t>
      </w:r>
      <w:r>
        <w:rPr>
          <w:rFonts w:hint="eastAsia" w:ascii="宋体" w:hAnsi="宋体"/>
          <w:kern w:val="0"/>
          <w:sz w:val="18"/>
          <w:szCs w:val="18"/>
          <w:highlight w:val="none"/>
          <w:lang w:eastAsia="zh-CN"/>
        </w:rPr>
        <w:t>响应</w:t>
      </w:r>
      <w:r>
        <w:rPr>
          <w:rFonts w:hint="eastAsia" w:ascii="宋体" w:hAnsi="宋体"/>
          <w:kern w:val="0"/>
          <w:sz w:val="18"/>
          <w:szCs w:val="18"/>
          <w:highlight w:val="none"/>
        </w:rPr>
        <w:t>人应将详细的计算依据、计算过程及优惠附在报价清单后。</w:t>
      </w:r>
    </w:p>
    <w:p>
      <w:pPr>
        <w:spacing w:line="360" w:lineRule="auto"/>
        <w:rPr>
          <w:rFonts w:hint="eastAsia"/>
          <w:kern w:val="0"/>
          <w:highlight w:val="none"/>
        </w:rPr>
      </w:pPr>
      <w:r>
        <w:rPr>
          <w:rFonts w:hint="eastAsia"/>
          <w:kern w:val="0"/>
          <w:highlight w:val="none"/>
        </w:rPr>
        <w:t xml:space="preserve">   </w:t>
      </w:r>
    </w:p>
    <w:p>
      <w:pPr>
        <w:spacing w:line="360" w:lineRule="auto"/>
        <w:ind w:firstLine="2310" w:firstLineChars="1100"/>
        <w:jc w:val="right"/>
        <w:rPr>
          <w:rFonts w:hint="eastAsia"/>
          <w:kern w:val="0"/>
          <w:szCs w:val="21"/>
          <w:highlight w:val="none"/>
        </w:rPr>
      </w:pPr>
      <w:r>
        <w:rPr>
          <w:rFonts w:hint="eastAsia"/>
          <w:kern w:val="0"/>
          <w:szCs w:val="21"/>
          <w:highlight w:val="none"/>
          <w:lang w:eastAsia="zh-CN"/>
        </w:rPr>
        <w:t>响应</w:t>
      </w:r>
      <w:r>
        <w:rPr>
          <w:rFonts w:hint="eastAsia"/>
          <w:kern w:val="0"/>
          <w:szCs w:val="21"/>
          <w:highlight w:val="none"/>
        </w:rPr>
        <w:t>人：</w:t>
      </w:r>
      <w:r>
        <w:rPr>
          <w:rFonts w:hint="eastAsia"/>
          <w:kern w:val="0"/>
          <w:szCs w:val="21"/>
          <w:highlight w:val="none"/>
          <w:u w:val="single"/>
        </w:rPr>
        <w:t xml:space="preserve">                           </w:t>
      </w:r>
      <w:r>
        <w:rPr>
          <w:rFonts w:hint="eastAsia"/>
          <w:kern w:val="0"/>
          <w:szCs w:val="21"/>
          <w:highlight w:val="none"/>
        </w:rPr>
        <w:t>（全称并盖章）</w:t>
      </w:r>
    </w:p>
    <w:p>
      <w:pPr>
        <w:spacing w:line="360" w:lineRule="auto"/>
        <w:ind w:firstLine="2310" w:firstLineChars="1100"/>
        <w:jc w:val="right"/>
        <w:rPr>
          <w:rFonts w:hint="eastAsia"/>
          <w:kern w:val="0"/>
          <w:szCs w:val="21"/>
          <w:highlight w:val="none"/>
        </w:rPr>
      </w:pPr>
      <w:r>
        <w:rPr>
          <w:rFonts w:hint="eastAsia"/>
          <w:kern w:val="0"/>
          <w:szCs w:val="21"/>
          <w:highlight w:val="none"/>
        </w:rPr>
        <w:t>法定代表人或其委托代理人：</w:t>
      </w:r>
      <w:r>
        <w:rPr>
          <w:rFonts w:hint="eastAsia"/>
          <w:kern w:val="0"/>
          <w:szCs w:val="21"/>
          <w:highlight w:val="none"/>
          <w:u w:val="single"/>
        </w:rPr>
        <w:t xml:space="preserve">                </w:t>
      </w:r>
      <w:r>
        <w:rPr>
          <w:rFonts w:hint="eastAsia"/>
          <w:kern w:val="0"/>
          <w:szCs w:val="21"/>
          <w:highlight w:val="none"/>
        </w:rPr>
        <w:t>（签字）</w:t>
      </w:r>
    </w:p>
    <w:p>
      <w:pPr>
        <w:spacing w:line="360" w:lineRule="auto"/>
        <w:ind w:firstLine="5040" w:firstLineChars="2400"/>
        <w:jc w:val="right"/>
        <w:rPr>
          <w:rFonts w:hint="eastAsia"/>
          <w:kern w:val="0"/>
          <w:szCs w:val="21"/>
          <w:highlight w:val="none"/>
        </w:rPr>
      </w:pPr>
      <w:r>
        <w:rPr>
          <w:rFonts w:hint="eastAsia"/>
          <w:kern w:val="0"/>
          <w:szCs w:val="21"/>
          <w:highlight w:val="none"/>
        </w:rPr>
        <w:t>日期：</w:t>
      </w:r>
      <w:r>
        <w:rPr>
          <w:rFonts w:hint="eastAsia"/>
          <w:kern w:val="0"/>
          <w:szCs w:val="21"/>
          <w:highlight w:val="none"/>
          <w:u w:val="single"/>
        </w:rPr>
        <w:t xml:space="preserve">   </w:t>
      </w:r>
      <w:r>
        <w:rPr>
          <w:rFonts w:hint="eastAsia"/>
          <w:kern w:val="0"/>
          <w:szCs w:val="21"/>
          <w:highlight w:val="none"/>
        </w:rPr>
        <w:t>年</w:t>
      </w:r>
      <w:r>
        <w:rPr>
          <w:rFonts w:hint="eastAsia"/>
          <w:kern w:val="0"/>
          <w:szCs w:val="21"/>
          <w:highlight w:val="none"/>
          <w:u w:val="single"/>
        </w:rPr>
        <w:t xml:space="preserve">   </w:t>
      </w:r>
      <w:r>
        <w:rPr>
          <w:rFonts w:hint="eastAsia"/>
          <w:kern w:val="0"/>
          <w:szCs w:val="21"/>
          <w:highlight w:val="none"/>
        </w:rPr>
        <w:t>月</w:t>
      </w:r>
      <w:r>
        <w:rPr>
          <w:rFonts w:hint="eastAsia"/>
          <w:kern w:val="0"/>
          <w:szCs w:val="21"/>
          <w:highlight w:val="none"/>
          <w:u w:val="single"/>
        </w:rPr>
        <w:t xml:space="preserve">   </w:t>
      </w:r>
      <w:r>
        <w:rPr>
          <w:rFonts w:hint="eastAsia"/>
          <w:kern w:val="0"/>
          <w:szCs w:val="21"/>
          <w:highlight w:val="none"/>
        </w:rPr>
        <w:t>日</w:t>
      </w:r>
    </w:p>
    <w:p>
      <w:pPr>
        <w:pStyle w:val="6"/>
        <w:jc w:val="right"/>
        <w:outlineLvl w:val="9"/>
        <w:rPr>
          <w:highlight w:val="none"/>
        </w:rPr>
      </w:pPr>
      <w:r>
        <w:rPr>
          <w:b/>
          <w:kern w:val="0"/>
          <w:szCs w:val="21"/>
          <w:highlight w:val="none"/>
        </w:rPr>
        <w:br w:type="page"/>
      </w:r>
    </w:p>
    <w:p>
      <w:pPr>
        <w:spacing w:line="240" w:lineRule="auto"/>
        <w:jc w:val="center"/>
        <w:rPr>
          <w:rFonts w:ascii="黑体" w:hAnsi="黑体" w:eastAsia="黑体" w:cs="仿宋"/>
          <w:sz w:val="36"/>
          <w:szCs w:val="36"/>
          <w:highlight w:val="none"/>
        </w:rPr>
      </w:pPr>
      <w:r>
        <w:rPr>
          <w:rFonts w:hint="eastAsia" w:ascii="黑体" w:hAnsi="黑体" w:eastAsia="黑体" w:cs="仿宋"/>
          <w:sz w:val="36"/>
          <w:szCs w:val="36"/>
          <w:highlight w:val="none"/>
        </w:rPr>
        <w:t>五、资格审查资料</w:t>
      </w:r>
    </w:p>
    <w:p>
      <w:pPr>
        <w:spacing w:line="600" w:lineRule="exact"/>
        <w:jc w:val="center"/>
        <w:rPr>
          <w:rFonts w:ascii="黑体" w:hAnsi="黑体" w:eastAsia="黑体" w:cs="仿宋"/>
          <w:sz w:val="36"/>
          <w:szCs w:val="36"/>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（二）近年财务状况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服务内容</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委托人/发包人联系人及电话</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服务是否完成</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项目负责人（如有）</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（四）拟委任的主要人员汇总表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本项目任职</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姓名</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职称</w:t>
            </w:r>
          </w:p>
        </w:tc>
        <w:tc>
          <w:tcPr>
            <w:tcW w:w="1095" w:type="dxa"/>
            <w:vMerge w:val="restart"/>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专业</w:t>
            </w:r>
          </w:p>
        </w:tc>
        <w:tc>
          <w:tcPr>
            <w:tcW w:w="3285" w:type="dxa"/>
            <w:gridSpan w:val="3"/>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执业或职业资格证明</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vMerge w:val="continue"/>
          </w:tcPr>
          <w:p>
            <w:pPr>
              <w:widowControl/>
              <w:spacing w:line="288" w:lineRule="auto"/>
              <w:jc w:val="both"/>
              <w:rPr>
                <w:rFonts w:cs="仿宋" w:asciiTheme="minorEastAsia" w:hAnsiTheme="minorEastAsia" w:eastAsiaTheme="minorEastAsia"/>
                <w:sz w:val="24"/>
                <w:highlight w:val="none"/>
              </w:rPr>
            </w:pP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证书名称</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级别</w:t>
            </w:r>
          </w:p>
        </w:tc>
        <w:tc>
          <w:tcPr>
            <w:tcW w:w="1095" w:type="dxa"/>
          </w:tcPr>
          <w:p>
            <w:pPr>
              <w:widowControl/>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证号</w:t>
            </w:r>
          </w:p>
        </w:tc>
        <w:tc>
          <w:tcPr>
            <w:tcW w:w="1095"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c>
          <w:tcPr>
            <w:tcW w:w="1095"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p>
    <w:p>
      <w:pPr>
        <w:pStyle w:val="2"/>
        <w:spacing w:before="0" w:after="0" w:line="380" w:lineRule="atLeast"/>
        <w:jc w:val="both"/>
        <w:rPr>
          <w:rFonts w:asciiTheme="minorEastAsia" w:hAnsiTheme="minorEastAsia" w:eastAsiaTheme="minorEastAsia"/>
          <w:b w:val="0"/>
          <w:sz w:val="24"/>
          <w:szCs w:val="24"/>
          <w:highlight w:val="none"/>
        </w:rPr>
      </w:pPr>
      <w:bookmarkStart w:id="45" w:name="_Toc20100"/>
      <w:r>
        <w:rPr>
          <w:rFonts w:hint="eastAsia" w:asciiTheme="minorEastAsia" w:hAnsiTheme="minorEastAsia" w:eastAsiaTheme="minorEastAsia"/>
          <w:b w:val="0"/>
          <w:sz w:val="24"/>
          <w:szCs w:val="24"/>
          <w:highlight w:val="none"/>
        </w:rPr>
        <w:t>（五）主要人员简</w:t>
      </w:r>
      <w:r>
        <w:rPr>
          <w:rFonts w:asciiTheme="minorEastAsia" w:hAnsiTheme="minorEastAsia" w:eastAsiaTheme="minorEastAsia"/>
          <w:b w:val="0"/>
          <w:sz w:val="24"/>
          <w:szCs w:val="24"/>
          <w:highlight w:val="none"/>
        </w:rPr>
        <w:t>历表</w:t>
      </w:r>
      <w:bookmarkEnd w:id="45"/>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hint="eastAsia" w:cs="仿宋" w:asciiTheme="minorEastAsia" w:hAnsiTheme="minorEastAsia" w:eastAsiaTheme="minorEastAsia"/>
                <w:sz w:val="24"/>
                <w:highlight w:val="none"/>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拟在本</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从事</w:t>
            </w:r>
            <w:r>
              <w:rPr>
                <w:rFonts w:asciiTheme="minorEastAsia" w:hAnsiTheme="minorEastAsia" w:eastAsiaTheme="minorEastAsia"/>
                <w:sz w:val="24"/>
                <w:highlight w:val="none"/>
              </w:rPr>
              <w:t>类似</w:t>
            </w:r>
            <w:r>
              <w:rPr>
                <w:rFonts w:hint="eastAsia" w:asciiTheme="minorEastAsia" w:hAnsiTheme="minorEastAsia" w:eastAsiaTheme="minorEastAsia"/>
                <w:sz w:val="24"/>
                <w:highlight w:val="none"/>
              </w:rPr>
              <w:t>工作</w:t>
            </w:r>
            <w:r>
              <w:rPr>
                <w:rFonts w:asciiTheme="minorEastAsia" w:hAnsiTheme="minorEastAsia" w:eastAsiaTheme="minorEastAsia"/>
                <w:sz w:val="24"/>
                <w:highlight w:val="none"/>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主要工作</w:t>
            </w:r>
            <w:r>
              <w:rPr>
                <w:rFonts w:asciiTheme="minorEastAsia" w:hAnsiTheme="minorEastAsia" w:eastAsiaTheme="minorEastAsia"/>
                <w:sz w:val="24"/>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时  间</w:t>
            </w:r>
          </w:p>
        </w:tc>
        <w:tc>
          <w:tcPr>
            <w:tcW w:w="4700" w:type="dxa"/>
            <w:gridSpan w:val="4"/>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参加过的类似项目</w:t>
            </w:r>
          </w:p>
        </w:tc>
        <w:tc>
          <w:tcPr>
            <w:tcW w:w="2142" w:type="dxa"/>
            <w:gridSpan w:val="2"/>
            <w:vAlign w:val="center"/>
          </w:tcPr>
          <w:p>
            <w:pPr>
              <w:pStyle w:val="185"/>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highlight w:val="none"/>
              </w:rPr>
            </w:pPr>
            <w:r>
              <w:rPr>
                <w:rFonts w:asciiTheme="minorEastAsia" w:hAnsiTheme="minorEastAsia" w:eastAsiaTheme="minorEastAsia"/>
                <w:spacing w:val="0"/>
                <w:kern w:val="2"/>
                <w:sz w:val="24"/>
                <w:szCs w:val="24"/>
                <w:highlight w:val="none"/>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r>
              <w:rPr>
                <w:rFonts w:asciiTheme="minorEastAsia" w:hAnsiTheme="minorEastAsia" w:eastAsiaTheme="minorEastAsia"/>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六、响应方案</w:t>
      </w:r>
    </w:p>
    <w:p>
      <w:pPr>
        <w:pStyle w:val="40"/>
        <w:rPr>
          <w:highlight w:val="none"/>
        </w:rPr>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响应方案一般包括</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但不限于</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下列内容</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对项目的理解</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服务范围及内容</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服务工作的依据、工作目标</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服务机构设置</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框图</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、岗位职责</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拟投入本项目的服务人员及主要人员简历</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服务质量、进度、保密等保证措施</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服务工作重点、难点分析</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对本项目的合理化建议。</w:t>
      </w: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七、其他资料</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spacing w:line="240" w:lineRule="auto"/>
        <w:jc w:val="both"/>
        <w:rPr>
          <w:rFonts w:asciiTheme="minorEastAsia" w:hAnsiTheme="minorEastAsia" w:eastAsiaTheme="minorEastAsia"/>
          <w:sz w:val="24"/>
          <w:highlight w:val="none"/>
        </w:rPr>
      </w:pPr>
    </w:p>
    <w:sectPr>
      <w:footerReference r:id="rId7"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E2EBEFE-1312-4C35-B309-34FA880144CA}"/>
  </w:font>
  <w:font w:name="Arial">
    <w:panose1 w:val="020B0604020202020204"/>
    <w:charset w:val="01"/>
    <w:family w:val="swiss"/>
    <w:pitch w:val="default"/>
    <w:sig w:usb0="E0002EFF" w:usb1="C000785B" w:usb2="00000009" w:usb3="00000000" w:csb0="400001FF" w:csb1="FFFF0000"/>
    <w:embedRegular r:id="rId2" w:fontKey="{5CC58869-2F46-4BE0-AB39-66E23BD13FBD}"/>
  </w:font>
  <w:font w:name="黑体">
    <w:panose1 w:val="02010609060101010101"/>
    <w:charset w:val="86"/>
    <w:family w:val="auto"/>
    <w:pitch w:val="default"/>
    <w:sig w:usb0="800002BF" w:usb1="38CF7CFA" w:usb2="00000016" w:usb3="00000000" w:csb0="00040001" w:csb1="00000000"/>
    <w:embedRegular r:id="rId3" w:fontKey="{E1DCF4E8-B831-42D9-955C-C08DF2D44C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00954C3B-D1ED-4C49-A4EC-803E60E18550}"/>
  </w:font>
  <w:font w:name="方正小标宋简体">
    <w:panose1 w:val="00000600000000000000"/>
    <w:charset w:val="86"/>
    <w:family w:val="script"/>
    <w:pitch w:val="default"/>
    <w:sig w:usb0="800002BF" w:usb1="184F6CF8" w:usb2="00000012" w:usb3="00000000" w:csb0="00160001" w:csb1="12030000"/>
    <w:embedRegular r:id="rId5" w:fontKey="{47A5027C-1235-4ADB-97D0-A90D75EAD8EB}"/>
  </w:font>
  <w:font w:name="华文楷体">
    <w:panose1 w:val="02010600040101010101"/>
    <w:charset w:val="86"/>
    <w:family w:val="auto"/>
    <w:pitch w:val="default"/>
    <w:sig w:usb0="00000287" w:usb1="080F0000" w:usb2="00000000" w:usb3="00000000" w:csb0="0004009F" w:csb1="DFD70000"/>
    <w:embedRegular r:id="rId6" w:fontKey="{45EE6996-AE1B-45AA-AA66-8E4B8D3ED6EC}"/>
  </w:font>
  <w:font w:name="Wingdings 2">
    <w:panose1 w:val="05020102010507070707"/>
    <w:charset w:val="00"/>
    <w:family w:val="auto"/>
    <w:pitch w:val="default"/>
    <w:sig w:usb0="00000000" w:usb1="00000000" w:usb2="00000000" w:usb3="00000000" w:csb0="80000000" w:csb1="00000000"/>
    <w:embedRegular r:id="rId7" w:fontKey="{02B71A64-4DED-4B49-BF9D-8ACD703AE739}"/>
  </w:font>
  <w:font w:name="华文中宋">
    <w:panose1 w:val="02010600040101010101"/>
    <w:charset w:val="86"/>
    <w:family w:val="auto"/>
    <w:pitch w:val="default"/>
    <w:sig w:usb0="00000287" w:usb1="080F0000" w:usb2="00000000" w:usb3="00000000" w:csb0="0004009F" w:csb1="DFD70000"/>
    <w:embedRegular r:id="rId8" w:fontKey="{99651FAB-5824-457F-A83D-A14C0D66FAC1}"/>
  </w:font>
  <w:font w:name="oúì?">
    <w:altName w:val="宋体"/>
    <w:panose1 w:val="00000000000000000000"/>
    <w:charset w:val="86"/>
    <w:family w:val="roman"/>
    <w:pitch w:val="default"/>
    <w:sig w:usb0="00000000" w:usb1="00000000" w:usb2="00000000" w:usb3="00000000" w:csb0="00040001" w:csb1="00000000"/>
    <w:embedRegular r:id="rId9" w:fontKey="{6F56CEE0-3F90-46E9-9B3C-A3E5CF08C4AD}"/>
  </w:font>
  <w:font w:name="方正小标宋_GBK">
    <w:panose1 w:val="02000000000000000000"/>
    <w:charset w:val="86"/>
    <w:family w:val="auto"/>
    <w:pitch w:val="default"/>
    <w:sig w:usb0="A00002BF" w:usb1="38CF7CFA" w:usb2="00082016" w:usb3="00000000" w:csb0="00040001" w:csb1="00000000"/>
    <w:embedRegular r:id="rId10" w:fontKey="{74280786-A218-493D-B73B-EC37100BAA1E}"/>
  </w:font>
  <w:font w:name="楷体_GB2312">
    <w:panose1 w:val="02010609030101010101"/>
    <w:charset w:val="86"/>
    <w:family w:val="modern"/>
    <w:pitch w:val="default"/>
    <w:sig w:usb0="00000001" w:usb1="080E0000" w:usb2="00000000" w:usb3="00000000" w:csb0="00040000" w:csb1="00000000"/>
    <w:embedRegular r:id="rId11" w:fontKey="{E576A1EE-6D90-4945-BC5E-2F7F1580F9F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NmZhODE1NDk0ODljNTlhYTFmMDlmNmYxYjM5ZTQifQ=="/>
  </w:docVars>
  <w:rsids>
    <w:rsidRoot w:val="00172A27"/>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1345"/>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9714E"/>
    <w:rsid w:val="002A13A6"/>
    <w:rsid w:val="002A3646"/>
    <w:rsid w:val="002A69B8"/>
    <w:rsid w:val="002B225E"/>
    <w:rsid w:val="002B7B11"/>
    <w:rsid w:val="002D3DCC"/>
    <w:rsid w:val="002D460A"/>
    <w:rsid w:val="002E1D5F"/>
    <w:rsid w:val="002E38E3"/>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92340"/>
    <w:rsid w:val="003A008A"/>
    <w:rsid w:val="003A21A4"/>
    <w:rsid w:val="003A35E6"/>
    <w:rsid w:val="003A47A2"/>
    <w:rsid w:val="003A7BE3"/>
    <w:rsid w:val="003B1B7D"/>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20A7E"/>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477B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3F4D"/>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3EC7A55"/>
    <w:rsid w:val="04037146"/>
    <w:rsid w:val="047C353A"/>
    <w:rsid w:val="04A65DBC"/>
    <w:rsid w:val="05C8377A"/>
    <w:rsid w:val="05CD3A4B"/>
    <w:rsid w:val="05EF1FFE"/>
    <w:rsid w:val="06B02757"/>
    <w:rsid w:val="06B95849"/>
    <w:rsid w:val="071A38B0"/>
    <w:rsid w:val="071C2DD7"/>
    <w:rsid w:val="082E2834"/>
    <w:rsid w:val="0882554E"/>
    <w:rsid w:val="08826D5B"/>
    <w:rsid w:val="08876C3D"/>
    <w:rsid w:val="09343645"/>
    <w:rsid w:val="09970B85"/>
    <w:rsid w:val="09C6304D"/>
    <w:rsid w:val="09E7100A"/>
    <w:rsid w:val="0AED2D32"/>
    <w:rsid w:val="0AF00027"/>
    <w:rsid w:val="0B0D605F"/>
    <w:rsid w:val="0B272FBD"/>
    <w:rsid w:val="0B300652"/>
    <w:rsid w:val="0B534E7F"/>
    <w:rsid w:val="0C905B62"/>
    <w:rsid w:val="0CCC561D"/>
    <w:rsid w:val="0CD44FE7"/>
    <w:rsid w:val="0CE02BCB"/>
    <w:rsid w:val="0D414932"/>
    <w:rsid w:val="0D8B5F9E"/>
    <w:rsid w:val="0DB759FC"/>
    <w:rsid w:val="0DBD1316"/>
    <w:rsid w:val="0DC567C6"/>
    <w:rsid w:val="0E1F3EB9"/>
    <w:rsid w:val="0E891CDE"/>
    <w:rsid w:val="0E894C6A"/>
    <w:rsid w:val="0E9535BD"/>
    <w:rsid w:val="0EF124A8"/>
    <w:rsid w:val="0F250657"/>
    <w:rsid w:val="0F4339B2"/>
    <w:rsid w:val="0FE216C6"/>
    <w:rsid w:val="100D3E04"/>
    <w:rsid w:val="101C0769"/>
    <w:rsid w:val="1029705A"/>
    <w:rsid w:val="10A157BC"/>
    <w:rsid w:val="10D715D2"/>
    <w:rsid w:val="10D814A8"/>
    <w:rsid w:val="10E35F22"/>
    <w:rsid w:val="112343A2"/>
    <w:rsid w:val="113B3D20"/>
    <w:rsid w:val="115E4704"/>
    <w:rsid w:val="119E5E08"/>
    <w:rsid w:val="12362DDF"/>
    <w:rsid w:val="127C2952"/>
    <w:rsid w:val="13692E14"/>
    <w:rsid w:val="136C60D7"/>
    <w:rsid w:val="143222F6"/>
    <w:rsid w:val="145076DA"/>
    <w:rsid w:val="149C34F4"/>
    <w:rsid w:val="14B70C0B"/>
    <w:rsid w:val="1500069C"/>
    <w:rsid w:val="15912658"/>
    <w:rsid w:val="15CC4085"/>
    <w:rsid w:val="160A7A1D"/>
    <w:rsid w:val="160B7CDB"/>
    <w:rsid w:val="16314BAD"/>
    <w:rsid w:val="17100B20"/>
    <w:rsid w:val="1711641B"/>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C2276D5"/>
    <w:rsid w:val="1C7D1864"/>
    <w:rsid w:val="1D082A55"/>
    <w:rsid w:val="1D5D05DC"/>
    <w:rsid w:val="1DAB68D7"/>
    <w:rsid w:val="1DBB01B3"/>
    <w:rsid w:val="1DC7279C"/>
    <w:rsid w:val="1DEC3661"/>
    <w:rsid w:val="1E1F3B60"/>
    <w:rsid w:val="1E3C43B9"/>
    <w:rsid w:val="1E5803E7"/>
    <w:rsid w:val="1E7A37B7"/>
    <w:rsid w:val="1E901304"/>
    <w:rsid w:val="1E924450"/>
    <w:rsid w:val="1F031D0C"/>
    <w:rsid w:val="1F0A0B22"/>
    <w:rsid w:val="1F0F644E"/>
    <w:rsid w:val="1F2E0BFF"/>
    <w:rsid w:val="1F4C599B"/>
    <w:rsid w:val="1F833B5F"/>
    <w:rsid w:val="1F9D58D9"/>
    <w:rsid w:val="1FB37BD1"/>
    <w:rsid w:val="1FBF76D7"/>
    <w:rsid w:val="205D54C9"/>
    <w:rsid w:val="20F56E6A"/>
    <w:rsid w:val="210E5B18"/>
    <w:rsid w:val="212E078A"/>
    <w:rsid w:val="21391930"/>
    <w:rsid w:val="213E3A2F"/>
    <w:rsid w:val="217D4062"/>
    <w:rsid w:val="22CD0ADC"/>
    <w:rsid w:val="23331D17"/>
    <w:rsid w:val="235B5479"/>
    <w:rsid w:val="23A34879"/>
    <w:rsid w:val="23BE1A45"/>
    <w:rsid w:val="23CB6206"/>
    <w:rsid w:val="244C69D6"/>
    <w:rsid w:val="24862215"/>
    <w:rsid w:val="24C25045"/>
    <w:rsid w:val="24CF2408"/>
    <w:rsid w:val="2526227E"/>
    <w:rsid w:val="25313DAC"/>
    <w:rsid w:val="25670F4C"/>
    <w:rsid w:val="2578297E"/>
    <w:rsid w:val="2584425C"/>
    <w:rsid w:val="260770CA"/>
    <w:rsid w:val="26207116"/>
    <w:rsid w:val="264E6DB9"/>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381933"/>
    <w:rsid w:val="2A7757C9"/>
    <w:rsid w:val="2A810C26"/>
    <w:rsid w:val="2AA915E9"/>
    <w:rsid w:val="2AB628FE"/>
    <w:rsid w:val="2AC42C29"/>
    <w:rsid w:val="2AEB642C"/>
    <w:rsid w:val="2AFF24D7"/>
    <w:rsid w:val="2B1B2DAD"/>
    <w:rsid w:val="2B370856"/>
    <w:rsid w:val="2BB311E2"/>
    <w:rsid w:val="2BF10955"/>
    <w:rsid w:val="2C12050F"/>
    <w:rsid w:val="2C7F01E4"/>
    <w:rsid w:val="2D101F87"/>
    <w:rsid w:val="2D933C05"/>
    <w:rsid w:val="2DEC6D70"/>
    <w:rsid w:val="2E312601"/>
    <w:rsid w:val="2E41641E"/>
    <w:rsid w:val="2E7C6BFF"/>
    <w:rsid w:val="2E944985"/>
    <w:rsid w:val="2EA77EE5"/>
    <w:rsid w:val="2F6261C2"/>
    <w:rsid w:val="2FA63021"/>
    <w:rsid w:val="2FCB45CD"/>
    <w:rsid w:val="2FD26F55"/>
    <w:rsid w:val="30096558"/>
    <w:rsid w:val="304B4C8D"/>
    <w:rsid w:val="30564A47"/>
    <w:rsid w:val="30DE2DAE"/>
    <w:rsid w:val="31273F18"/>
    <w:rsid w:val="31676D03"/>
    <w:rsid w:val="31755D3D"/>
    <w:rsid w:val="31A7659A"/>
    <w:rsid w:val="31AD6526"/>
    <w:rsid w:val="32290665"/>
    <w:rsid w:val="323D10CB"/>
    <w:rsid w:val="32756EB2"/>
    <w:rsid w:val="328A0351"/>
    <w:rsid w:val="32947966"/>
    <w:rsid w:val="329D4C70"/>
    <w:rsid w:val="32CB6281"/>
    <w:rsid w:val="339248A7"/>
    <w:rsid w:val="341D5FA7"/>
    <w:rsid w:val="347E184F"/>
    <w:rsid w:val="34874156"/>
    <w:rsid w:val="34DC45DC"/>
    <w:rsid w:val="34F111A0"/>
    <w:rsid w:val="35032B89"/>
    <w:rsid w:val="351E6AD6"/>
    <w:rsid w:val="35E068D3"/>
    <w:rsid w:val="36237A11"/>
    <w:rsid w:val="369E5F5A"/>
    <w:rsid w:val="36D57A86"/>
    <w:rsid w:val="36DA0180"/>
    <w:rsid w:val="36EC5253"/>
    <w:rsid w:val="379B30ED"/>
    <w:rsid w:val="37B50E0E"/>
    <w:rsid w:val="37E36BED"/>
    <w:rsid w:val="3806709E"/>
    <w:rsid w:val="38302D1E"/>
    <w:rsid w:val="38F01B65"/>
    <w:rsid w:val="38F94373"/>
    <w:rsid w:val="390636E6"/>
    <w:rsid w:val="39C96499"/>
    <w:rsid w:val="3A0133CF"/>
    <w:rsid w:val="3A1D0739"/>
    <w:rsid w:val="3A5E7CCF"/>
    <w:rsid w:val="3AB17686"/>
    <w:rsid w:val="3AF93B99"/>
    <w:rsid w:val="3B1A1435"/>
    <w:rsid w:val="3B2B40CB"/>
    <w:rsid w:val="3B4200A1"/>
    <w:rsid w:val="3B786F8B"/>
    <w:rsid w:val="3C100595"/>
    <w:rsid w:val="3CCF005B"/>
    <w:rsid w:val="3CD5401F"/>
    <w:rsid w:val="3CE91AC5"/>
    <w:rsid w:val="3D461FBA"/>
    <w:rsid w:val="3D5B45EF"/>
    <w:rsid w:val="3E4405D4"/>
    <w:rsid w:val="3E8F457E"/>
    <w:rsid w:val="3F0013D8"/>
    <w:rsid w:val="3F044229"/>
    <w:rsid w:val="3F747742"/>
    <w:rsid w:val="3FB93C81"/>
    <w:rsid w:val="3FEA1C2A"/>
    <w:rsid w:val="407A02DD"/>
    <w:rsid w:val="40C81736"/>
    <w:rsid w:val="40CD665F"/>
    <w:rsid w:val="41A84E5D"/>
    <w:rsid w:val="41CE0EB7"/>
    <w:rsid w:val="42B9360E"/>
    <w:rsid w:val="436C7374"/>
    <w:rsid w:val="439D4A0F"/>
    <w:rsid w:val="43BC1982"/>
    <w:rsid w:val="44553D96"/>
    <w:rsid w:val="44D14A1F"/>
    <w:rsid w:val="44EF214B"/>
    <w:rsid w:val="4503099B"/>
    <w:rsid w:val="453D7EFA"/>
    <w:rsid w:val="454916C7"/>
    <w:rsid w:val="454F143B"/>
    <w:rsid w:val="45FD2E1E"/>
    <w:rsid w:val="46236E22"/>
    <w:rsid w:val="463D1554"/>
    <w:rsid w:val="46480423"/>
    <w:rsid w:val="46C44BD5"/>
    <w:rsid w:val="46FD0ED7"/>
    <w:rsid w:val="473A1C92"/>
    <w:rsid w:val="47592E4A"/>
    <w:rsid w:val="47766280"/>
    <w:rsid w:val="47BB4536"/>
    <w:rsid w:val="47D44A52"/>
    <w:rsid w:val="48B457DA"/>
    <w:rsid w:val="49055724"/>
    <w:rsid w:val="49061DFF"/>
    <w:rsid w:val="495F2766"/>
    <w:rsid w:val="49A15B9F"/>
    <w:rsid w:val="49D40A5E"/>
    <w:rsid w:val="49E352A4"/>
    <w:rsid w:val="4A625DAC"/>
    <w:rsid w:val="4A87331A"/>
    <w:rsid w:val="4B1855CB"/>
    <w:rsid w:val="4BA044F9"/>
    <w:rsid w:val="4BB73BE9"/>
    <w:rsid w:val="4BEB2031"/>
    <w:rsid w:val="4C2C5768"/>
    <w:rsid w:val="4C6E0A32"/>
    <w:rsid w:val="4C8D7FB6"/>
    <w:rsid w:val="4CFB75B5"/>
    <w:rsid w:val="4D7D047C"/>
    <w:rsid w:val="4D992670"/>
    <w:rsid w:val="4DA67EC1"/>
    <w:rsid w:val="4DC537EF"/>
    <w:rsid w:val="4DF47F35"/>
    <w:rsid w:val="4E5E70BD"/>
    <w:rsid w:val="4E5F0909"/>
    <w:rsid w:val="4E6200BB"/>
    <w:rsid w:val="4EC14021"/>
    <w:rsid w:val="4F542C5F"/>
    <w:rsid w:val="4F544853"/>
    <w:rsid w:val="4F7855EA"/>
    <w:rsid w:val="4F940716"/>
    <w:rsid w:val="4FAF7130"/>
    <w:rsid w:val="4FD337A4"/>
    <w:rsid w:val="50203001"/>
    <w:rsid w:val="50552D7D"/>
    <w:rsid w:val="50613214"/>
    <w:rsid w:val="515B1A65"/>
    <w:rsid w:val="519D4842"/>
    <w:rsid w:val="520004CA"/>
    <w:rsid w:val="521E5740"/>
    <w:rsid w:val="522358DC"/>
    <w:rsid w:val="52A631B4"/>
    <w:rsid w:val="533D162C"/>
    <w:rsid w:val="53E549BF"/>
    <w:rsid w:val="540A51E2"/>
    <w:rsid w:val="5422279F"/>
    <w:rsid w:val="54C32B11"/>
    <w:rsid w:val="54DC56F8"/>
    <w:rsid w:val="557117DE"/>
    <w:rsid w:val="56367C5B"/>
    <w:rsid w:val="56677807"/>
    <w:rsid w:val="56820D5B"/>
    <w:rsid w:val="57096D7C"/>
    <w:rsid w:val="57634CB3"/>
    <w:rsid w:val="579B0911"/>
    <w:rsid w:val="57E332D5"/>
    <w:rsid w:val="58726012"/>
    <w:rsid w:val="58D06D06"/>
    <w:rsid w:val="58EF37E0"/>
    <w:rsid w:val="58FE0B8D"/>
    <w:rsid w:val="59D5260B"/>
    <w:rsid w:val="59F510C8"/>
    <w:rsid w:val="5A190D99"/>
    <w:rsid w:val="5A465B9D"/>
    <w:rsid w:val="5A533C21"/>
    <w:rsid w:val="5A631C3C"/>
    <w:rsid w:val="5AF71073"/>
    <w:rsid w:val="5AFF4E91"/>
    <w:rsid w:val="5B6270CB"/>
    <w:rsid w:val="5B812149"/>
    <w:rsid w:val="5BB24FC7"/>
    <w:rsid w:val="5BE77BBC"/>
    <w:rsid w:val="5C9744CD"/>
    <w:rsid w:val="5CCF262E"/>
    <w:rsid w:val="5CE6484E"/>
    <w:rsid w:val="5D027239"/>
    <w:rsid w:val="5D1E4A62"/>
    <w:rsid w:val="5D5A5542"/>
    <w:rsid w:val="5D87033A"/>
    <w:rsid w:val="5D940B49"/>
    <w:rsid w:val="5DBD75BE"/>
    <w:rsid w:val="5DDB3A67"/>
    <w:rsid w:val="5E007081"/>
    <w:rsid w:val="5E2979F3"/>
    <w:rsid w:val="5E646A2E"/>
    <w:rsid w:val="5EA92355"/>
    <w:rsid w:val="5ED115B9"/>
    <w:rsid w:val="5F2E04F4"/>
    <w:rsid w:val="5F5A7169"/>
    <w:rsid w:val="5F600FC9"/>
    <w:rsid w:val="5F831A87"/>
    <w:rsid w:val="5FA558FD"/>
    <w:rsid w:val="5FC52CF8"/>
    <w:rsid w:val="5FC5301A"/>
    <w:rsid w:val="602D2FE8"/>
    <w:rsid w:val="608457E2"/>
    <w:rsid w:val="60E14966"/>
    <w:rsid w:val="616D757D"/>
    <w:rsid w:val="617C259E"/>
    <w:rsid w:val="61E53FCC"/>
    <w:rsid w:val="62342CE6"/>
    <w:rsid w:val="62525166"/>
    <w:rsid w:val="6329070C"/>
    <w:rsid w:val="632B72A3"/>
    <w:rsid w:val="63310F09"/>
    <w:rsid w:val="63505113"/>
    <w:rsid w:val="63790E70"/>
    <w:rsid w:val="63AD1071"/>
    <w:rsid w:val="63B84F56"/>
    <w:rsid w:val="63ED139D"/>
    <w:rsid w:val="64557A48"/>
    <w:rsid w:val="646326B7"/>
    <w:rsid w:val="64665F9D"/>
    <w:rsid w:val="64862E7E"/>
    <w:rsid w:val="65571836"/>
    <w:rsid w:val="65E54EB0"/>
    <w:rsid w:val="65FD3712"/>
    <w:rsid w:val="663E10C6"/>
    <w:rsid w:val="666552E6"/>
    <w:rsid w:val="668B7395"/>
    <w:rsid w:val="66D122B6"/>
    <w:rsid w:val="672465D3"/>
    <w:rsid w:val="67B945ED"/>
    <w:rsid w:val="67CD5453"/>
    <w:rsid w:val="67DB2C51"/>
    <w:rsid w:val="68562B5B"/>
    <w:rsid w:val="686B311E"/>
    <w:rsid w:val="68AB6164"/>
    <w:rsid w:val="68ED7DC4"/>
    <w:rsid w:val="68F71C1C"/>
    <w:rsid w:val="69547E9C"/>
    <w:rsid w:val="6A386564"/>
    <w:rsid w:val="6A843C76"/>
    <w:rsid w:val="6AAA1AFA"/>
    <w:rsid w:val="6AE84B3E"/>
    <w:rsid w:val="6B2F5A5F"/>
    <w:rsid w:val="6B3F724F"/>
    <w:rsid w:val="6B533C17"/>
    <w:rsid w:val="6B8307E0"/>
    <w:rsid w:val="6B860FE6"/>
    <w:rsid w:val="6C686F88"/>
    <w:rsid w:val="6C7745F7"/>
    <w:rsid w:val="6DAF0A61"/>
    <w:rsid w:val="6E5E463A"/>
    <w:rsid w:val="6EBD7FFE"/>
    <w:rsid w:val="6EC13E25"/>
    <w:rsid w:val="6EC83CAF"/>
    <w:rsid w:val="6EF262AC"/>
    <w:rsid w:val="6F3A1809"/>
    <w:rsid w:val="6FC10798"/>
    <w:rsid w:val="6FD45398"/>
    <w:rsid w:val="71285AAC"/>
    <w:rsid w:val="71594D33"/>
    <w:rsid w:val="715C2F1C"/>
    <w:rsid w:val="71A25C62"/>
    <w:rsid w:val="71A6199B"/>
    <w:rsid w:val="71C31377"/>
    <w:rsid w:val="71CA1F6E"/>
    <w:rsid w:val="71E74047"/>
    <w:rsid w:val="71F42B7C"/>
    <w:rsid w:val="7205398F"/>
    <w:rsid w:val="7238655B"/>
    <w:rsid w:val="735008A6"/>
    <w:rsid w:val="735D2DA4"/>
    <w:rsid w:val="736C43E3"/>
    <w:rsid w:val="73BC5AD9"/>
    <w:rsid w:val="73D85E91"/>
    <w:rsid w:val="742F0E63"/>
    <w:rsid w:val="7453751A"/>
    <w:rsid w:val="74611F32"/>
    <w:rsid w:val="746453A7"/>
    <w:rsid w:val="746B451F"/>
    <w:rsid w:val="74DA66F5"/>
    <w:rsid w:val="74E20649"/>
    <w:rsid w:val="759B1B2A"/>
    <w:rsid w:val="76013066"/>
    <w:rsid w:val="76013836"/>
    <w:rsid w:val="76490038"/>
    <w:rsid w:val="764D1C01"/>
    <w:rsid w:val="76A5715B"/>
    <w:rsid w:val="76B850E0"/>
    <w:rsid w:val="77400CB2"/>
    <w:rsid w:val="77401EC1"/>
    <w:rsid w:val="7746130C"/>
    <w:rsid w:val="775D59D0"/>
    <w:rsid w:val="77A40E96"/>
    <w:rsid w:val="785F380B"/>
    <w:rsid w:val="78865DD8"/>
    <w:rsid w:val="78CA23D8"/>
    <w:rsid w:val="793B59A2"/>
    <w:rsid w:val="793E01E7"/>
    <w:rsid w:val="794C72DA"/>
    <w:rsid w:val="79771CC2"/>
    <w:rsid w:val="79A347F2"/>
    <w:rsid w:val="7A0C4A94"/>
    <w:rsid w:val="7ADE3A6D"/>
    <w:rsid w:val="7B2D37A3"/>
    <w:rsid w:val="7B5D7ABB"/>
    <w:rsid w:val="7B72711C"/>
    <w:rsid w:val="7B99300E"/>
    <w:rsid w:val="7B99444A"/>
    <w:rsid w:val="7BCF57C7"/>
    <w:rsid w:val="7BE401C5"/>
    <w:rsid w:val="7C375547"/>
    <w:rsid w:val="7C3A0727"/>
    <w:rsid w:val="7CBF0117"/>
    <w:rsid w:val="7D013E8E"/>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3"/>
    <w:autoRedefine/>
    <w:qFormat/>
    <w:uiPriority w:val="0"/>
    <w:pPr>
      <w:spacing w:before="100" w:beforeAutospacing="1" w:after="100" w:afterAutospacing="1"/>
      <w:outlineLvl w:val="1"/>
    </w:pPr>
    <w:rPr>
      <w:rFonts w:ascii="宋体" w:hAnsi="宋体"/>
      <w:b/>
      <w:bCs/>
      <w:kern w:val="0"/>
      <w:sz w:val="36"/>
      <w:szCs w:val="36"/>
    </w:rPr>
  </w:style>
  <w:style w:type="paragraph" w:styleId="4">
    <w:name w:val="heading 3"/>
    <w:basedOn w:val="3"/>
    <w:next w:val="1"/>
    <w:autoRedefine/>
    <w:qFormat/>
    <w:uiPriority w:val="0"/>
    <w:pPr>
      <w:keepNext/>
      <w:keepLines/>
      <w:spacing w:before="260" w:after="260" w:line="415" w:lineRule="auto"/>
      <w:outlineLvl w:val="2"/>
    </w:pPr>
    <w:rPr>
      <w:sz w:val="32"/>
      <w:szCs w:val="32"/>
    </w:rPr>
  </w:style>
  <w:style w:type="paragraph" w:styleId="5">
    <w:name w:val="heading 4"/>
    <w:basedOn w:val="1"/>
    <w:next w:val="1"/>
    <w:link w:val="188"/>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autoRedefine/>
    <w:qFormat/>
    <w:uiPriority w:val="0"/>
    <w:pPr>
      <w:keepNext/>
      <w:keepLines/>
      <w:spacing w:before="120" w:after="120"/>
      <w:outlineLvl w:val="4"/>
    </w:pPr>
    <w:rPr>
      <w:rFonts w:eastAsia="黑体"/>
      <w:bCs/>
      <w:sz w:val="28"/>
      <w:szCs w:val="28"/>
    </w:rPr>
  </w:style>
  <w:style w:type="paragraph" w:styleId="7">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index 5"/>
    <w:basedOn w:val="1"/>
    <w:next w:val="1"/>
    <w:autoRedefine/>
    <w:qFormat/>
    <w:uiPriority w:val="0"/>
    <w:pPr>
      <w:ind w:left="1050" w:hanging="210"/>
    </w:pPr>
    <w:rPr>
      <w:rFonts w:ascii="Calibri" w:hAnsi="Calibri"/>
      <w:sz w:val="20"/>
      <w:szCs w:val="20"/>
    </w:rPr>
  </w:style>
  <w:style w:type="paragraph" w:styleId="11">
    <w:name w:val="Document Map"/>
    <w:basedOn w:val="1"/>
    <w:link w:val="173"/>
    <w:autoRedefine/>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70"/>
    <w:autoRedefine/>
    <w:semiHidden/>
    <w:qFormat/>
    <w:uiPriority w:val="0"/>
    <w:rPr>
      <w:rFonts w:asciiTheme="minorHAnsi" w:hAnsiTheme="minorHAnsi" w:eastAsiaTheme="minorEastAsia" w:cstheme="minorBidi"/>
    </w:rPr>
  </w:style>
  <w:style w:type="paragraph" w:styleId="13">
    <w:name w:val="index 6"/>
    <w:basedOn w:val="1"/>
    <w:next w:val="1"/>
    <w:autoRedefine/>
    <w:qFormat/>
    <w:uiPriority w:val="0"/>
    <w:pPr>
      <w:ind w:left="1260" w:hanging="210"/>
    </w:pPr>
    <w:rPr>
      <w:rFonts w:ascii="Calibri" w:hAnsi="Calibri"/>
      <w:sz w:val="20"/>
      <w:szCs w:val="20"/>
    </w:rPr>
  </w:style>
  <w:style w:type="paragraph" w:styleId="14">
    <w:name w:val="Body Text 3"/>
    <w:basedOn w:val="1"/>
    <w:link w:val="181"/>
    <w:autoRedefine/>
    <w:semiHidden/>
    <w:unhideWhenUsed/>
    <w:qFormat/>
    <w:uiPriority w:val="99"/>
    <w:pPr>
      <w:spacing w:after="120"/>
    </w:pPr>
    <w:rPr>
      <w:sz w:val="16"/>
      <w:szCs w:val="16"/>
    </w:rPr>
  </w:style>
  <w:style w:type="paragraph" w:styleId="15">
    <w:name w:val="Body Text"/>
    <w:basedOn w:val="1"/>
    <w:next w:val="16"/>
    <w:link w:val="186"/>
    <w:autoRedefine/>
    <w:semiHidden/>
    <w:unhideWhenUsed/>
    <w:qFormat/>
    <w:uiPriority w:val="99"/>
    <w:pPr>
      <w:spacing w:after="120"/>
    </w:pPr>
  </w:style>
  <w:style w:type="paragraph" w:customStyle="1" w:styleId="16">
    <w:name w:val="Body Text Indent 21"/>
    <w:basedOn w:val="1"/>
    <w:next w:val="17"/>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7">
    <w:name w:val="header"/>
    <w:basedOn w:val="1"/>
    <w:link w:val="151"/>
    <w:autoRedefine/>
    <w:qFormat/>
    <w:uiPriority w:val="99"/>
    <w:pPr>
      <w:snapToGrid w:val="0"/>
    </w:pPr>
    <w:rPr>
      <w:rFonts w:asciiTheme="minorHAnsi" w:hAnsiTheme="minorHAnsi" w:eastAsiaTheme="minorEastAsia" w:cstheme="minorBidi"/>
      <w:sz w:val="18"/>
      <w:szCs w:val="18"/>
    </w:rPr>
  </w:style>
  <w:style w:type="paragraph" w:styleId="18">
    <w:name w:val="Body Text Indent"/>
    <w:basedOn w:val="1"/>
    <w:autoRedefine/>
    <w:unhideWhenUsed/>
    <w:qFormat/>
    <w:uiPriority w:val="99"/>
    <w:pPr>
      <w:spacing w:after="120"/>
      <w:ind w:left="420" w:leftChars="200"/>
    </w:pPr>
  </w:style>
  <w:style w:type="paragraph" w:styleId="19">
    <w:name w:val="index 4"/>
    <w:basedOn w:val="1"/>
    <w:next w:val="1"/>
    <w:autoRedefine/>
    <w:qFormat/>
    <w:uiPriority w:val="0"/>
    <w:pPr>
      <w:ind w:left="840" w:hanging="210"/>
    </w:pPr>
    <w:rPr>
      <w:rFonts w:ascii="Calibri" w:hAnsi="Calibri"/>
      <w:sz w:val="20"/>
      <w:szCs w:val="20"/>
    </w:rPr>
  </w:style>
  <w:style w:type="paragraph" w:styleId="20">
    <w:name w:val="Plain Text"/>
    <w:basedOn w:val="1"/>
    <w:link w:val="184"/>
    <w:autoRedefine/>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autoRedefine/>
    <w:qFormat/>
    <w:uiPriority w:val="0"/>
    <w:pPr>
      <w:ind w:left="630" w:hanging="210"/>
    </w:pPr>
    <w:rPr>
      <w:rFonts w:ascii="Calibri" w:hAnsi="Calibri"/>
      <w:sz w:val="20"/>
      <w:szCs w:val="20"/>
    </w:rPr>
  </w:style>
  <w:style w:type="paragraph" w:styleId="22">
    <w:name w:val="Date"/>
    <w:basedOn w:val="1"/>
    <w:next w:val="1"/>
    <w:link w:val="172"/>
    <w:autoRedefine/>
    <w:qFormat/>
    <w:uiPriority w:val="99"/>
    <w:pPr>
      <w:ind w:left="100" w:leftChars="2500"/>
    </w:pPr>
    <w:rPr>
      <w:rFonts w:asciiTheme="minorHAnsi" w:hAnsiTheme="minorHAnsi" w:eastAsiaTheme="minorEastAsia" w:cstheme="minorBidi"/>
    </w:rPr>
  </w:style>
  <w:style w:type="paragraph" w:styleId="23">
    <w:name w:val="Body Text Indent 2"/>
    <w:basedOn w:val="1"/>
    <w:link w:val="162"/>
    <w:autoRedefine/>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79"/>
    <w:autoRedefine/>
    <w:semiHidden/>
    <w:qFormat/>
    <w:uiPriority w:val="0"/>
    <w:pPr>
      <w:snapToGrid w:val="0"/>
    </w:pPr>
    <w:rPr>
      <w:rFonts w:asciiTheme="minorHAnsi" w:hAnsiTheme="minorHAnsi" w:eastAsiaTheme="minorEastAsia" w:cstheme="minorBidi"/>
    </w:rPr>
  </w:style>
  <w:style w:type="paragraph" w:styleId="25">
    <w:name w:val="Balloon Text"/>
    <w:basedOn w:val="1"/>
    <w:link w:val="148"/>
    <w:autoRedefine/>
    <w:qFormat/>
    <w:uiPriority w:val="99"/>
    <w:rPr>
      <w:rFonts w:asciiTheme="minorHAnsi" w:hAnsiTheme="minorHAnsi" w:eastAsiaTheme="minorEastAsia" w:cstheme="minorBidi"/>
      <w:sz w:val="18"/>
      <w:szCs w:val="18"/>
    </w:rPr>
  </w:style>
  <w:style w:type="paragraph" w:styleId="26">
    <w:name w:val="footer"/>
    <w:basedOn w:val="1"/>
    <w:link w:val="169"/>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toc 1"/>
    <w:basedOn w:val="1"/>
    <w:next w:val="1"/>
    <w:autoRedefine/>
    <w:semiHidden/>
    <w:qFormat/>
    <w:uiPriority w:val="0"/>
    <w:pPr>
      <w:tabs>
        <w:tab w:val="right" w:leader="dot" w:pos="9242"/>
      </w:tabs>
      <w:spacing w:beforeLines="25" w:afterLines="25"/>
    </w:pPr>
    <w:rPr>
      <w:rFonts w:ascii="宋体"/>
      <w:szCs w:val="21"/>
    </w:rPr>
  </w:style>
  <w:style w:type="paragraph" w:styleId="28">
    <w:name w:val="index heading"/>
    <w:basedOn w:val="1"/>
    <w:next w:val="29"/>
    <w:autoRedefine/>
    <w:qFormat/>
    <w:uiPriority w:val="0"/>
    <w:pPr>
      <w:spacing w:before="120" w:after="120"/>
      <w:jc w:val="center"/>
    </w:pPr>
    <w:rPr>
      <w:rFonts w:ascii="Calibri" w:hAnsi="Calibri"/>
      <w:b/>
      <w:bCs/>
      <w:iCs/>
      <w:szCs w:val="20"/>
    </w:rPr>
  </w:style>
  <w:style w:type="paragraph" w:styleId="29">
    <w:name w:val="index 1"/>
    <w:basedOn w:val="1"/>
    <w:next w:val="1"/>
    <w:autoRedefine/>
    <w:unhideWhenUsed/>
    <w:qFormat/>
    <w:uiPriority w:val="0"/>
  </w:style>
  <w:style w:type="paragraph" w:styleId="30">
    <w:name w:val="footnote text"/>
    <w:basedOn w:val="1"/>
    <w:link w:val="158"/>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autoRedefine/>
    <w:qFormat/>
    <w:uiPriority w:val="0"/>
    <w:pPr>
      <w:ind w:left="1470" w:hanging="210"/>
    </w:pPr>
    <w:rPr>
      <w:rFonts w:ascii="Calibri" w:hAnsi="Calibri"/>
      <w:sz w:val="20"/>
      <w:szCs w:val="20"/>
    </w:rPr>
  </w:style>
  <w:style w:type="paragraph" w:styleId="32">
    <w:name w:val="index 9"/>
    <w:basedOn w:val="1"/>
    <w:next w:val="1"/>
    <w:autoRedefine/>
    <w:qFormat/>
    <w:uiPriority w:val="0"/>
    <w:pPr>
      <w:ind w:left="1890" w:hanging="210"/>
    </w:pPr>
    <w:rPr>
      <w:rFonts w:ascii="Calibri" w:hAnsi="Calibri"/>
      <w:sz w:val="20"/>
      <w:szCs w:val="20"/>
    </w:rPr>
  </w:style>
  <w:style w:type="paragraph" w:styleId="33">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autoRedefine/>
    <w:qFormat/>
    <w:uiPriority w:val="0"/>
    <w:rPr>
      <w:bCs/>
      <w:kern w:val="0"/>
      <w:sz w:val="28"/>
      <w:szCs w:val="20"/>
    </w:rPr>
  </w:style>
  <w:style w:type="paragraph" w:styleId="35">
    <w:name w:val="HTML Preformatted"/>
    <w:basedOn w:val="1"/>
    <w:link w:val="156"/>
    <w:autoRedefine/>
    <w:qFormat/>
    <w:uiPriority w:val="0"/>
    <w:rPr>
      <w:rFonts w:ascii="Courier New" w:hAnsi="Courier New" w:cs="Courier New" w:eastAsiaTheme="minorEastAsia"/>
      <w:szCs w:val="22"/>
    </w:rPr>
  </w:style>
  <w:style w:type="paragraph" w:styleId="36">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autoRedefine/>
    <w:qFormat/>
    <w:uiPriority w:val="0"/>
    <w:pPr>
      <w:ind w:left="420" w:hanging="210"/>
    </w:pPr>
    <w:rPr>
      <w:rFonts w:ascii="Calibri" w:hAnsi="Calibri"/>
      <w:sz w:val="20"/>
      <w:szCs w:val="20"/>
    </w:rPr>
  </w:style>
  <w:style w:type="paragraph" w:styleId="38">
    <w:name w:val="Title"/>
    <w:basedOn w:val="1"/>
    <w:link w:val="182"/>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2"/>
    <w:next w:val="12"/>
    <w:link w:val="178"/>
    <w:autoRedefine/>
    <w:semiHidden/>
    <w:qFormat/>
    <w:uiPriority w:val="0"/>
    <w:rPr>
      <w:b/>
      <w:bCs/>
    </w:rPr>
  </w:style>
  <w:style w:type="paragraph" w:styleId="40">
    <w:name w:val="Body Text First Indent"/>
    <w:basedOn w:val="15"/>
    <w:autoRedefine/>
    <w:qFormat/>
    <w:uiPriority w:val="0"/>
    <w:pPr>
      <w:autoSpaceDE w:val="0"/>
      <w:autoSpaceDN w:val="0"/>
      <w:adjustRightInd w:val="0"/>
      <w:ind w:firstLine="420"/>
      <w:textAlignment w:val="baseline"/>
    </w:pPr>
    <w:rPr>
      <w:rFonts w:ascii="宋体"/>
      <w:sz w:val="34"/>
    </w:rPr>
  </w:style>
  <w:style w:type="table" w:styleId="42">
    <w:name w:val="Table Grid"/>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22"/>
    <w:rPr>
      <w:b/>
      <w:bCs/>
    </w:rPr>
  </w:style>
  <w:style w:type="character" w:styleId="45">
    <w:name w:val="page number"/>
    <w:basedOn w:val="43"/>
    <w:autoRedefine/>
    <w:qFormat/>
    <w:uiPriority w:val="99"/>
    <w:rPr>
      <w:rFonts w:ascii="Times New Roman" w:hAnsi="Times New Roman" w:eastAsia="宋体"/>
      <w:sz w:val="18"/>
    </w:rPr>
  </w:style>
  <w:style w:type="character" w:styleId="46">
    <w:name w:val="FollowedHyperlink"/>
    <w:autoRedefine/>
    <w:qFormat/>
    <w:uiPriority w:val="0"/>
    <w:rPr>
      <w:color w:val="800080"/>
      <w:u w:val="single"/>
    </w:rPr>
  </w:style>
  <w:style w:type="character" w:styleId="47">
    <w:name w:val="Emphasis"/>
    <w:autoRedefine/>
    <w:qFormat/>
    <w:uiPriority w:val="20"/>
    <w:rPr>
      <w:color w:val="CC0000"/>
    </w:rPr>
  </w:style>
  <w:style w:type="character" w:styleId="48">
    <w:name w:val="Hyperlink"/>
    <w:autoRedefine/>
    <w:qFormat/>
    <w:uiPriority w:val="99"/>
    <w:rPr>
      <w:color w:val="0000FF"/>
      <w:spacing w:val="0"/>
      <w:w w:val="100"/>
      <w:szCs w:val="21"/>
      <w:u w:val="single"/>
      <w:lang w:val="en-US" w:eastAsia="zh-CN"/>
    </w:rPr>
  </w:style>
  <w:style w:type="character" w:styleId="49">
    <w:name w:val="annotation reference"/>
    <w:basedOn w:val="43"/>
    <w:autoRedefine/>
    <w:semiHidden/>
    <w:unhideWhenUsed/>
    <w:qFormat/>
    <w:uiPriority w:val="0"/>
    <w:rPr>
      <w:sz w:val="21"/>
      <w:szCs w:val="21"/>
    </w:rPr>
  </w:style>
  <w:style w:type="character" w:styleId="50">
    <w:name w:val="footnote reference"/>
    <w:autoRedefine/>
    <w:qFormat/>
    <w:uiPriority w:val="0"/>
    <w:rPr>
      <w:vertAlign w:val="superscript"/>
    </w:rPr>
  </w:style>
  <w:style w:type="paragraph" w:customStyle="1" w:styleId="51">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2">
    <w:name w:val="标题 1 字符"/>
    <w:basedOn w:val="43"/>
    <w:link w:val="2"/>
    <w:autoRedefine/>
    <w:qFormat/>
    <w:uiPriority w:val="0"/>
    <w:rPr>
      <w:rFonts w:ascii="Times New Roman" w:hAnsi="Times New Roman" w:eastAsia="宋体" w:cs="Times New Roman"/>
      <w:b/>
      <w:bCs/>
      <w:kern w:val="44"/>
      <w:sz w:val="44"/>
      <w:szCs w:val="44"/>
    </w:rPr>
  </w:style>
  <w:style w:type="character" w:customStyle="1" w:styleId="53">
    <w:name w:val="标题 2 字符"/>
    <w:basedOn w:val="43"/>
    <w:link w:val="3"/>
    <w:autoRedefine/>
    <w:qFormat/>
    <w:uiPriority w:val="0"/>
    <w:rPr>
      <w:rFonts w:ascii="宋体" w:hAnsi="宋体" w:eastAsia="宋体" w:cs="Times New Roman"/>
      <w:b/>
      <w:bCs/>
      <w:kern w:val="0"/>
      <w:sz w:val="36"/>
      <w:szCs w:val="36"/>
    </w:rPr>
  </w:style>
  <w:style w:type="character" w:customStyle="1" w:styleId="54">
    <w:name w:val="批注文字 Char"/>
    <w:autoRedefine/>
    <w:semiHidden/>
    <w:qFormat/>
    <w:uiPriority w:val="0"/>
    <w:rPr>
      <w:szCs w:val="24"/>
    </w:rPr>
  </w:style>
  <w:style w:type="character" w:customStyle="1" w:styleId="55">
    <w:name w:val="批注主题 Char"/>
    <w:autoRedefine/>
    <w:semiHidden/>
    <w:qFormat/>
    <w:uiPriority w:val="0"/>
    <w:rPr>
      <w:b/>
      <w:bCs/>
      <w:szCs w:val="24"/>
    </w:rPr>
  </w:style>
  <w:style w:type="character" w:customStyle="1" w:styleId="56">
    <w:name w:val="文档结构图 Char"/>
    <w:autoRedefine/>
    <w:semiHidden/>
    <w:qFormat/>
    <w:uiPriority w:val="0"/>
    <w:rPr>
      <w:szCs w:val="24"/>
      <w:shd w:val="clear" w:color="auto" w:fill="000080"/>
    </w:rPr>
  </w:style>
  <w:style w:type="character" w:customStyle="1" w:styleId="57">
    <w:name w:val="脚注文本 Char"/>
    <w:autoRedefine/>
    <w:qFormat/>
    <w:uiPriority w:val="0"/>
    <w:rPr>
      <w:rFonts w:ascii="宋体"/>
      <w:sz w:val="18"/>
      <w:szCs w:val="18"/>
    </w:rPr>
  </w:style>
  <w:style w:type="character" w:customStyle="1" w:styleId="58">
    <w:name w:val="con"/>
    <w:autoRedefine/>
    <w:qFormat/>
    <w:uiPriority w:val="0"/>
  </w:style>
  <w:style w:type="character" w:customStyle="1" w:styleId="59">
    <w:name w:val="bar-label2"/>
    <w:autoRedefine/>
    <w:qFormat/>
    <w:uiPriority w:val="99"/>
  </w:style>
  <w:style w:type="character" w:customStyle="1" w:styleId="60">
    <w:name w:val="正文文本缩进 2 Char"/>
    <w:autoRedefine/>
    <w:qFormat/>
    <w:uiPriority w:val="99"/>
    <w:rPr>
      <w:szCs w:val="24"/>
    </w:rPr>
  </w:style>
  <w:style w:type="character" w:customStyle="1" w:styleId="61">
    <w:name w:val="日期 Char"/>
    <w:autoRedefine/>
    <w:qFormat/>
    <w:uiPriority w:val="99"/>
    <w:rPr>
      <w:szCs w:val="24"/>
    </w:rPr>
  </w:style>
  <w:style w:type="character" w:customStyle="1" w:styleId="62">
    <w:name w:val="页脚 Char"/>
    <w:autoRedefine/>
    <w:qFormat/>
    <w:locked/>
    <w:uiPriority w:val="99"/>
    <w:rPr>
      <w:sz w:val="18"/>
      <w:szCs w:val="18"/>
    </w:rPr>
  </w:style>
  <w:style w:type="character" w:customStyle="1" w:styleId="63">
    <w:name w:val="apple-converted-space"/>
    <w:basedOn w:val="43"/>
    <w:autoRedefine/>
    <w:qFormat/>
    <w:uiPriority w:val="0"/>
  </w:style>
  <w:style w:type="character" w:customStyle="1" w:styleId="64">
    <w:name w:val="批注框文本 Char"/>
    <w:autoRedefine/>
    <w:qFormat/>
    <w:uiPriority w:val="99"/>
    <w:rPr>
      <w:sz w:val="18"/>
      <w:szCs w:val="18"/>
    </w:rPr>
  </w:style>
  <w:style w:type="character" w:customStyle="1" w:styleId="65">
    <w:name w:val="页眉 Char"/>
    <w:autoRedefine/>
    <w:qFormat/>
    <w:locked/>
    <w:uiPriority w:val="99"/>
    <w:rPr>
      <w:sz w:val="18"/>
      <w:szCs w:val="18"/>
    </w:rPr>
  </w:style>
  <w:style w:type="character" w:customStyle="1" w:styleId="66">
    <w:name w:val="首示例 Char"/>
    <w:link w:val="67"/>
    <w:autoRedefine/>
    <w:qFormat/>
    <w:uiPriority w:val="0"/>
    <w:rPr>
      <w:rFonts w:ascii="宋体" w:hAnsi="宋体"/>
      <w:sz w:val="18"/>
      <w:szCs w:val="18"/>
    </w:rPr>
  </w:style>
  <w:style w:type="paragraph" w:customStyle="1" w:styleId="67">
    <w:name w:val="首示例"/>
    <w:next w:val="68"/>
    <w:link w:val="66"/>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8">
    <w:name w:val="段"/>
    <w:link w:val="69"/>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9">
    <w:name w:val="段 Char"/>
    <w:link w:val="68"/>
    <w:autoRedefine/>
    <w:qFormat/>
    <w:uiPriority w:val="0"/>
    <w:rPr>
      <w:rFonts w:ascii="宋体"/>
    </w:rPr>
  </w:style>
  <w:style w:type="character" w:customStyle="1" w:styleId="70">
    <w:name w:val="附录公式 Char"/>
    <w:basedOn w:val="69"/>
    <w:link w:val="71"/>
    <w:autoRedefine/>
    <w:qFormat/>
    <w:uiPriority w:val="0"/>
    <w:rPr>
      <w:rFonts w:ascii="宋体"/>
    </w:rPr>
  </w:style>
  <w:style w:type="paragraph" w:customStyle="1" w:styleId="71">
    <w:name w:val="附录公式"/>
    <w:basedOn w:val="68"/>
    <w:next w:val="68"/>
    <w:link w:val="70"/>
    <w:autoRedefine/>
    <w:qFormat/>
    <w:uiPriority w:val="0"/>
  </w:style>
  <w:style w:type="character" w:customStyle="1" w:styleId="72">
    <w:name w:val="发布"/>
    <w:autoRedefine/>
    <w:qFormat/>
    <w:uiPriority w:val="0"/>
    <w:rPr>
      <w:rFonts w:ascii="黑体" w:eastAsia="黑体"/>
      <w:spacing w:val="85"/>
      <w:w w:val="100"/>
      <w:position w:val="3"/>
      <w:sz w:val="28"/>
      <w:szCs w:val="28"/>
    </w:rPr>
  </w:style>
  <w:style w:type="character" w:customStyle="1" w:styleId="73">
    <w:name w:val="一级条标题 Char"/>
    <w:link w:val="74"/>
    <w:autoRedefine/>
    <w:qFormat/>
    <w:uiPriority w:val="0"/>
    <w:rPr>
      <w:rFonts w:ascii="黑体" w:eastAsia="黑体"/>
      <w:szCs w:val="21"/>
    </w:rPr>
  </w:style>
  <w:style w:type="paragraph" w:customStyle="1" w:styleId="74">
    <w:name w:val="一级条标题"/>
    <w:next w:val="68"/>
    <w:link w:val="73"/>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5">
    <w:name w:val="HTML 预设格式 Char"/>
    <w:autoRedefine/>
    <w:qFormat/>
    <w:uiPriority w:val="0"/>
    <w:rPr>
      <w:rFonts w:ascii="Courier New" w:hAnsi="Courier New" w:cs="Courier New"/>
    </w:rPr>
  </w:style>
  <w:style w:type="character" w:customStyle="1" w:styleId="76">
    <w:name w:val="尾注文本 Char"/>
    <w:autoRedefine/>
    <w:semiHidden/>
    <w:qFormat/>
    <w:uiPriority w:val="0"/>
    <w:rPr>
      <w:szCs w:val="24"/>
    </w:rPr>
  </w:style>
  <w:style w:type="paragraph" w:customStyle="1" w:styleId="77">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8">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9">
    <w:name w:val="List Paragraph"/>
    <w:basedOn w:val="1"/>
    <w:autoRedefine/>
    <w:qFormat/>
    <w:uiPriority w:val="34"/>
    <w:pPr>
      <w:ind w:firstLine="420" w:firstLineChars="200"/>
    </w:pPr>
    <w:rPr>
      <w:rFonts w:ascii="宋体" w:hAnsi="宋体" w:cs="宋体"/>
      <w:kern w:val="0"/>
      <w:sz w:val="24"/>
    </w:rPr>
  </w:style>
  <w:style w:type="paragraph" w:customStyle="1" w:styleId="80">
    <w:name w:val="封面一致性程度标识2"/>
    <w:basedOn w:val="81"/>
    <w:autoRedefine/>
    <w:qFormat/>
    <w:uiPriority w:val="0"/>
    <w:pPr>
      <w:framePr w:wrap="around" w:y="4469"/>
    </w:pPr>
  </w:style>
  <w:style w:type="paragraph" w:customStyle="1" w:styleId="81">
    <w:name w:val="封面一致性程度标识"/>
    <w:basedOn w:val="82"/>
    <w:autoRedefine/>
    <w:qFormat/>
    <w:uiPriority w:val="0"/>
    <w:pPr>
      <w:framePr w:wrap="around"/>
      <w:spacing w:before="440"/>
    </w:pPr>
    <w:rPr>
      <w:rFonts w:ascii="宋体" w:eastAsia="宋体"/>
    </w:rPr>
  </w:style>
  <w:style w:type="paragraph" w:customStyle="1" w:styleId="82">
    <w:name w:val="封面标准英文名称"/>
    <w:basedOn w:val="83"/>
    <w:autoRedefine/>
    <w:qFormat/>
    <w:uiPriority w:val="0"/>
    <w:pPr>
      <w:framePr w:wrap="around"/>
      <w:spacing w:before="370" w:line="400" w:lineRule="exact"/>
    </w:pPr>
    <w:rPr>
      <w:rFonts w:ascii="Times New Roman"/>
      <w:sz w:val="28"/>
      <w:szCs w:val="28"/>
    </w:rPr>
  </w:style>
  <w:style w:type="paragraph" w:customStyle="1" w:styleId="8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2"/>
    <w:basedOn w:val="82"/>
    <w:autoRedefine/>
    <w:qFormat/>
    <w:uiPriority w:val="0"/>
    <w:pPr>
      <w:framePr w:wrap="around" w:y="4469"/>
    </w:pPr>
  </w:style>
  <w:style w:type="paragraph" w:customStyle="1" w:styleId="85">
    <w:name w:val="其他发布日期"/>
    <w:basedOn w:val="86"/>
    <w:autoRedefine/>
    <w:qFormat/>
    <w:uiPriority w:val="0"/>
    <w:pPr>
      <w:framePr w:wrap="around" w:vAnchor="page" w:hAnchor="text" w:x="1419"/>
    </w:pPr>
  </w:style>
  <w:style w:type="paragraph" w:customStyle="1" w:styleId="86">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7">
    <w:name w:val="正文公式编号制表符"/>
    <w:basedOn w:val="68"/>
    <w:next w:val="68"/>
    <w:autoRedefine/>
    <w:qFormat/>
    <w:uiPriority w:val="0"/>
    <w:pPr>
      <w:ind w:firstLine="0" w:firstLineChars="0"/>
    </w:pPr>
  </w:style>
  <w:style w:type="paragraph" w:customStyle="1" w:styleId="88">
    <w:name w:val="正文表标题"/>
    <w:next w:val="68"/>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9">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0">
    <w:name w:val="一级无"/>
    <w:basedOn w:val="74"/>
    <w:autoRedefine/>
    <w:qFormat/>
    <w:uiPriority w:val="0"/>
  </w:style>
  <w:style w:type="paragraph" w:customStyle="1" w:styleId="91">
    <w:name w:val="图的脚注"/>
    <w:next w:val="68"/>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2">
    <w:name w:val="图标脚注说明"/>
    <w:basedOn w:val="68"/>
    <w:autoRedefine/>
    <w:qFormat/>
    <w:uiPriority w:val="0"/>
    <w:pPr>
      <w:ind w:left="840" w:hanging="420" w:firstLineChars="0"/>
    </w:pPr>
    <w:rPr>
      <w:sz w:val="18"/>
      <w:szCs w:val="18"/>
    </w:rPr>
  </w:style>
  <w:style w:type="paragraph" w:customStyle="1" w:styleId="93">
    <w:name w:val="示例后文字"/>
    <w:basedOn w:val="68"/>
    <w:next w:val="68"/>
    <w:autoRedefine/>
    <w:qFormat/>
    <w:uiPriority w:val="0"/>
    <w:pPr>
      <w:ind w:firstLine="360"/>
    </w:pPr>
    <w:rPr>
      <w:sz w:val="18"/>
    </w:rPr>
  </w:style>
  <w:style w:type="paragraph" w:customStyle="1" w:styleId="94">
    <w:name w:val="实施日期"/>
    <w:basedOn w:val="86"/>
    <w:autoRedefine/>
    <w:qFormat/>
    <w:uiPriority w:val="0"/>
    <w:pPr>
      <w:framePr w:wrap="around" w:vAnchor="page" w:hAnchor="text"/>
      <w:jc w:val="right"/>
    </w:pPr>
  </w:style>
  <w:style w:type="paragraph" w:customStyle="1" w:styleId="95">
    <w:name w:val="前言、引言标题"/>
    <w:next w:val="68"/>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9">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0">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1">
    <w:name w:val="条文脚注"/>
    <w:basedOn w:val="30"/>
    <w:autoRedefine/>
    <w:qFormat/>
    <w:uiPriority w:val="0"/>
    <w:pPr>
      <w:ind w:left="0" w:firstLine="0"/>
      <w:jc w:val="both"/>
    </w:pPr>
  </w:style>
  <w:style w:type="paragraph" w:customStyle="1" w:styleId="102">
    <w:name w:val="附录一级无"/>
    <w:basedOn w:val="103"/>
    <w:autoRedefine/>
    <w:qFormat/>
    <w:uiPriority w:val="0"/>
    <w:pPr>
      <w:tabs>
        <w:tab w:val="left" w:pos="360"/>
      </w:tabs>
      <w:spacing w:beforeLines="0" w:afterLines="0"/>
    </w:pPr>
    <w:rPr>
      <w:rFonts w:ascii="宋体" w:eastAsia="宋体"/>
      <w:szCs w:val="21"/>
    </w:rPr>
  </w:style>
  <w:style w:type="paragraph" w:customStyle="1" w:styleId="103">
    <w:name w:val="附录一级条标题"/>
    <w:basedOn w:val="104"/>
    <w:next w:val="68"/>
    <w:autoRedefine/>
    <w:qFormat/>
    <w:uiPriority w:val="0"/>
    <w:pPr>
      <w:tabs>
        <w:tab w:val="left" w:pos="360"/>
      </w:tabs>
      <w:autoSpaceDN w:val="0"/>
      <w:spacing w:beforeLines="50" w:afterLines="50"/>
      <w:outlineLvl w:val="2"/>
    </w:pPr>
  </w:style>
  <w:style w:type="paragraph" w:customStyle="1" w:styleId="104">
    <w:name w:val="附录章标题"/>
    <w:next w:val="68"/>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五级无"/>
    <w:basedOn w:val="106"/>
    <w:autoRedefine/>
    <w:qFormat/>
    <w:uiPriority w:val="0"/>
    <w:pPr>
      <w:tabs>
        <w:tab w:val="left" w:pos="360"/>
      </w:tabs>
      <w:spacing w:beforeLines="0" w:afterLines="0"/>
    </w:pPr>
    <w:rPr>
      <w:rFonts w:ascii="宋体" w:eastAsia="宋体"/>
      <w:szCs w:val="21"/>
    </w:rPr>
  </w:style>
  <w:style w:type="paragraph" w:customStyle="1" w:styleId="106">
    <w:name w:val="附录五级条标题"/>
    <w:basedOn w:val="107"/>
    <w:next w:val="68"/>
    <w:autoRedefine/>
    <w:qFormat/>
    <w:uiPriority w:val="0"/>
    <w:pPr>
      <w:tabs>
        <w:tab w:val="left" w:pos="360"/>
      </w:tabs>
      <w:outlineLvl w:val="6"/>
    </w:pPr>
  </w:style>
  <w:style w:type="paragraph" w:customStyle="1" w:styleId="107">
    <w:name w:val="附录四级条标题"/>
    <w:basedOn w:val="108"/>
    <w:next w:val="68"/>
    <w:autoRedefine/>
    <w:qFormat/>
    <w:uiPriority w:val="0"/>
    <w:pPr>
      <w:tabs>
        <w:tab w:val="left" w:pos="360"/>
      </w:tabs>
    </w:pPr>
  </w:style>
  <w:style w:type="paragraph" w:customStyle="1" w:styleId="108">
    <w:name w:val="附录三级条标题"/>
    <w:basedOn w:val="109"/>
    <w:next w:val="68"/>
    <w:autoRedefine/>
    <w:qFormat/>
    <w:uiPriority w:val="0"/>
    <w:pPr>
      <w:tabs>
        <w:tab w:val="left" w:pos="360"/>
      </w:tabs>
    </w:pPr>
  </w:style>
  <w:style w:type="paragraph" w:customStyle="1" w:styleId="109">
    <w:name w:val="附录二级条标题"/>
    <w:basedOn w:val="1"/>
    <w:next w:val="68"/>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图标题"/>
    <w:basedOn w:val="1"/>
    <w:next w:val="68"/>
    <w:autoRedefine/>
    <w:qFormat/>
    <w:uiPriority w:val="0"/>
    <w:pPr>
      <w:tabs>
        <w:tab w:val="left" w:pos="363"/>
      </w:tabs>
      <w:spacing w:beforeLines="50" w:afterLines="50"/>
      <w:jc w:val="center"/>
    </w:pPr>
    <w:rPr>
      <w:rFonts w:ascii="黑体" w:eastAsia="黑体"/>
      <w:szCs w:val="21"/>
    </w:rPr>
  </w:style>
  <w:style w:type="paragraph" w:customStyle="1" w:styleId="111">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2">
    <w:name w:val="附录四级无"/>
    <w:basedOn w:val="107"/>
    <w:autoRedefine/>
    <w:qFormat/>
    <w:uiPriority w:val="0"/>
    <w:pPr>
      <w:tabs>
        <w:tab w:val="clear" w:pos="360"/>
      </w:tabs>
      <w:spacing w:beforeLines="0" w:afterLines="0"/>
      <w:outlineLvl w:val="5"/>
    </w:pPr>
    <w:rPr>
      <w:rFonts w:ascii="宋体" w:eastAsia="宋体"/>
      <w:szCs w:val="21"/>
    </w:rPr>
  </w:style>
  <w:style w:type="paragraph" w:customStyle="1" w:styleId="113">
    <w:name w:val="附录三级无"/>
    <w:basedOn w:val="108"/>
    <w:autoRedefine/>
    <w:qFormat/>
    <w:uiPriority w:val="0"/>
  </w:style>
  <w:style w:type="paragraph" w:customStyle="1" w:styleId="114">
    <w:name w:val="注："/>
    <w:next w:val="68"/>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5">
    <w:name w:val="附录公式编号制表符"/>
    <w:basedOn w:val="1"/>
    <w:next w:val="68"/>
    <w:autoRedefine/>
    <w:qFormat/>
    <w:uiPriority w:val="0"/>
    <w:pPr>
      <w:tabs>
        <w:tab w:val="center" w:pos="4201"/>
        <w:tab w:val="right" w:leader="dot" w:pos="9298"/>
      </w:tabs>
      <w:autoSpaceDE w:val="0"/>
      <w:autoSpaceDN w:val="0"/>
    </w:pPr>
    <w:rPr>
      <w:rFonts w:ascii="宋体"/>
      <w:kern w:val="0"/>
      <w:szCs w:val="20"/>
    </w:rPr>
  </w:style>
  <w:style w:type="paragraph" w:customStyle="1" w:styleId="116">
    <w:name w:val="附录二级无"/>
    <w:basedOn w:val="109"/>
    <w:autoRedefine/>
    <w:qFormat/>
    <w:uiPriority w:val="0"/>
  </w:style>
  <w:style w:type="paragraph" w:customStyle="1" w:styleId="117">
    <w:name w:val="附录标题"/>
    <w:basedOn w:val="68"/>
    <w:next w:val="68"/>
    <w:autoRedefine/>
    <w:qFormat/>
    <w:uiPriority w:val="0"/>
    <w:pPr>
      <w:ind w:firstLine="0" w:firstLineChars="0"/>
      <w:jc w:val="center"/>
    </w:pPr>
    <w:rPr>
      <w:rFonts w:ascii="黑体" w:eastAsia="黑体"/>
    </w:rPr>
  </w:style>
  <w:style w:type="paragraph" w:customStyle="1" w:styleId="118">
    <w:name w:val="参考文献"/>
    <w:basedOn w:val="1"/>
    <w:next w:val="68"/>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9">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0">
    <w:name w:val="封面标准文稿类别"/>
    <w:basedOn w:val="81"/>
    <w:autoRedefine/>
    <w:qFormat/>
    <w:uiPriority w:val="0"/>
    <w:pPr>
      <w:framePr w:wrap="around"/>
      <w:spacing w:after="160" w:line="240" w:lineRule="auto"/>
    </w:pPr>
    <w:rPr>
      <w:sz w:val="24"/>
    </w:rPr>
  </w:style>
  <w:style w:type="paragraph" w:customStyle="1" w:styleId="121">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2">
    <w:name w:val="其他实施日期"/>
    <w:basedOn w:val="94"/>
    <w:autoRedefine/>
    <w:qFormat/>
    <w:uiPriority w:val="0"/>
    <w:pPr>
      <w:framePr w:wrap="around" w:vAnchor="margin" w:hAnchor="page"/>
    </w:pPr>
  </w:style>
  <w:style w:type="paragraph" w:customStyle="1" w:styleId="12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发布部门"/>
    <w:next w:val="68"/>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5">
    <w:name w:val="注：（正文）"/>
    <w:basedOn w:val="114"/>
    <w:next w:val="68"/>
    <w:autoRedefine/>
    <w:qFormat/>
    <w:uiPriority w:val="0"/>
  </w:style>
  <w:style w:type="paragraph" w:customStyle="1" w:styleId="126">
    <w:name w:val="参考文献、索引标题"/>
    <w:basedOn w:val="1"/>
    <w:next w:val="68"/>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9">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0">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2">
    <w:name w:val="示例×："/>
    <w:basedOn w:val="133"/>
    <w:autoRedefine/>
    <w:qFormat/>
    <w:uiPriority w:val="0"/>
    <w:pPr>
      <w:spacing w:beforeLines="0" w:afterLines="0"/>
      <w:ind w:firstLine="363"/>
      <w:outlineLvl w:val="9"/>
    </w:pPr>
    <w:rPr>
      <w:rFonts w:ascii="宋体" w:eastAsia="宋体"/>
      <w:sz w:val="18"/>
      <w:szCs w:val="18"/>
    </w:rPr>
  </w:style>
  <w:style w:type="paragraph" w:customStyle="1" w:styleId="133">
    <w:name w:val="章标题"/>
    <w:next w:val="68"/>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4">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5">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6">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7">
    <w:name w:val="五级无"/>
    <w:basedOn w:val="138"/>
    <w:autoRedefine/>
    <w:qFormat/>
    <w:uiPriority w:val="0"/>
    <w:pPr>
      <w:spacing w:beforeLines="0" w:afterLines="0"/>
      <w:outlineLvl w:val="6"/>
    </w:pPr>
    <w:rPr>
      <w:rFonts w:ascii="宋体" w:eastAsia="宋体"/>
    </w:rPr>
  </w:style>
  <w:style w:type="paragraph" w:customStyle="1" w:styleId="138">
    <w:name w:val="五级条标题"/>
    <w:basedOn w:val="139"/>
    <w:next w:val="68"/>
    <w:autoRedefine/>
    <w:qFormat/>
    <w:uiPriority w:val="0"/>
  </w:style>
  <w:style w:type="paragraph" w:customStyle="1" w:styleId="139">
    <w:name w:val="四级条标题"/>
    <w:basedOn w:val="140"/>
    <w:next w:val="68"/>
    <w:autoRedefine/>
    <w:qFormat/>
    <w:uiPriority w:val="0"/>
  </w:style>
  <w:style w:type="paragraph" w:customStyle="1" w:styleId="140">
    <w:name w:val="三级条标题"/>
    <w:basedOn w:val="141"/>
    <w:next w:val="68"/>
    <w:autoRedefine/>
    <w:qFormat/>
    <w:uiPriority w:val="0"/>
  </w:style>
  <w:style w:type="paragraph" w:customStyle="1" w:styleId="141">
    <w:name w:val="二级条标题"/>
    <w:basedOn w:val="74"/>
    <w:next w:val="68"/>
    <w:autoRedefine/>
    <w:qFormat/>
    <w:uiPriority w:val="0"/>
  </w:style>
  <w:style w:type="paragraph" w:customStyle="1" w:styleId="142">
    <w:name w:val="四级无"/>
    <w:basedOn w:val="139"/>
    <w:autoRedefine/>
    <w:qFormat/>
    <w:uiPriority w:val="0"/>
  </w:style>
  <w:style w:type="paragraph" w:customStyle="1" w:styleId="143">
    <w:name w:val="三级无"/>
    <w:basedOn w:val="140"/>
    <w:autoRedefine/>
    <w:qFormat/>
    <w:uiPriority w:val="0"/>
  </w:style>
  <w:style w:type="paragraph" w:customStyle="1" w:styleId="144">
    <w:name w:val="其他标准标志"/>
    <w:basedOn w:val="128"/>
    <w:autoRedefine/>
    <w:qFormat/>
    <w:uiPriority w:val="0"/>
    <w:pPr>
      <w:framePr w:w="6101" w:wrap="around" w:vAnchor="page" w:hAnchor="page" w:x="4673" w:y="942"/>
    </w:pPr>
    <w:rPr>
      <w:w w:val="130"/>
    </w:rPr>
  </w:style>
  <w:style w:type="paragraph" w:customStyle="1" w:styleId="145">
    <w:name w:val="目次、标准名称标题"/>
    <w:basedOn w:val="1"/>
    <w:next w:val="68"/>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8">
    <w:name w:val="批注框文本 字符"/>
    <w:basedOn w:val="43"/>
    <w:link w:val="25"/>
    <w:autoRedefine/>
    <w:semiHidden/>
    <w:qFormat/>
    <w:uiPriority w:val="99"/>
    <w:rPr>
      <w:rFonts w:ascii="Times New Roman" w:hAnsi="Times New Roman" w:eastAsia="宋体" w:cs="Times New Roman"/>
      <w:sz w:val="18"/>
      <w:szCs w:val="18"/>
    </w:rPr>
  </w:style>
  <w:style w:type="paragraph" w:customStyle="1" w:styleId="149">
    <w:name w:val="列项◆（三级）"/>
    <w:basedOn w:val="1"/>
    <w:autoRedefine/>
    <w:qFormat/>
    <w:uiPriority w:val="99"/>
    <w:pPr>
      <w:tabs>
        <w:tab w:val="left" w:pos="969"/>
      </w:tabs>
      <w:ind w:left="969" w:hanging="414"/>
    </w:pPr>
    <w:rPr>
      <w:rFonts w:ascii="宋体"/>
      <w:szCs w:val="21"/>
    </w:rPr>
  </w:style>
  <w:style w:type="paragraph" w:customStyle="1" w:styleId="150">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1">
    <w:name w:val="页眉 字符"/>
    <w:basedOn w:val="43"/>
    <w:link w:val="17"/>
    <w:autoRedefine/>
    <w:semiHidden/>
    <w:qFormat/>
    <w:uiPriority w:val="99"/>
    <w:rPr>
      <w:rFonts w:ascii="Times New Roman" w:hAnsi="Times New Roman" w:eastAsia="宋体" w:cs="Times New Roman"/>
      <w:sz w:val="18"/>
      <w:szCs w:val="18"/>
    </w:rPr>
  </w:style>
  <w:style w:type="paragraph" w:customStyle="1" w:styleId="152">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3">
    <w:name w:val="其他发布部门"/>
    <w:basedOn w:val="124"/>
    <w:autoRedefine/>
    <w:qFormat/>
    <w:uiPriority w:val="0"/>
    <w:pPr>
      <w:framePr w:wrap="around" w:y="15310"/>
      <w:spacing w:line="0" w:lineRule="atLeast"/>
    </w:pPr>
    <w:rPr>
      <w:rFonts w:ascii="黑体" w:eastAsia="黑体"/>
      <w:b w:val="0"/>
    </w:rPr>
  </w:style>
  <w:style w:type="paragraph" w:customStyle="1" w:styleId="154">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5">
    <w:name w:val="正文图标题"/>
    <w:next w:val="68"/>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6">
    <w:name w:val="HTML 预设格式 字符"/>
    <w:basedOn w:val="43"/>
    <w:link w:val="35"/>
    <w:autoRedefine/>
    <w:semiHidden/>
    <w:qFormat/>
    <w:uiPriority w:val="99"/>
    <w:rPr>
      <w:rFonts w:ascii="Courier New" w:hAnsi="Courier New" w:eastAsia="宋体" w:cs="Courier New"/>
      <w:sz w:val="20"/>
      <w:szCs w:val="20"/>
    </w:rPr>
  </w:style>
  <w:style w:type="paragraph" w:customStyle="1" w:styleId="157">
    <w:name w:val="附录标识"/>
    <w:basedOn w:val="1"/>
    <w:next w:val="68"/>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8">
    <w:name w:val="脚注文本 字符"/>
    <w:basedOn w:val="43"/>
    <w:link w:val="30"/>
    <w:autoRedefine/>
    <w:semiHidden/>
    <w:qFormat/>
    <w:uiPriority w:val="99"/>
    <w:rPr>
      <w:rFonts w:ascii="Times New Roman" w:hAnsi="Times New Roman" w:eastAsia="宋体" w:cs="Times New Roman"/>
      <w:sz w:val="18"/>
      <w:szCs w:val="18"/>
    </w:rPr>
  </w:style>
  <w:style w:type="paragraph" w:customStyle="1" w:styleId="159">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0">
    <w:name w:val="二级无"/>
    <w:basedOn w:val="141"/>
    <w:autoRedefine/>
    <w:qFormat/>
    <w:uiPriority w:val="0"/>
  </w:style>
  <w:style w:type="paragraph" w:customStyle="1" w:styleId="161">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2">
    <w:name w:val="正文文本缩进 2 字符"/>
    <w:basedOn w:val="43"/>
    <w:link w:val="23"/>
    <w:autoRedefine/>
    <w:semiHidden/>
    <w:qFormat/>
    <w:uiPriority w:val="99"/>
    <w:rPr>
      <w:rFonts w:ascii="Times New Roman" w:hAnsi="Times New Roman" w:eastAsia="宋体" w:cs="Times New Roman"/>
      <w:szCs w:val="24"/>
    </w:rPr>
  </w:style>
  <w:style w:type="paragraph" w:customStyle="1" w:styleId="163">
    <w:name w:val="封面标准文稿编辑信息2"/>
    <w:basedOn w:val="164"/>
    <w:autoRedefine/>
    <w:qFormat/>
    <w:uiPriority w:val="0"/>
    <w:pPr>
      <w:framePr w:wrap="around" w:y="4469"/>
    </w:pPr>
  </w:style>
  <w:style w:type="paragraph" w:customStyle="1" w:styleId="164">
    <w:name w:val="封面标准文稿编辑信息"/>
    <w:basedOn w:val="120"/>
    <w:autoRedefine/>
    <w:qFormat/>
    <w:uiPriority w:val="0"/>
    <w:pPr>
      <w:framePr w:wrap="around"/>
      <w:spacing w:before="180" w:line="180" w:lineRule="exact"/>
    </w:pPr>
    <w:rPr>
      <w:sz w:val="21"/>
    </w:rPr>
  </w:style>
  <w:style w:type="paragraph" w:customStyle="1" w:styleId="165">
    <w:name w:val="附录表标题"/>
    <w:basedOn w:val="1"/>
    <w:next w:val="68"/>
    <w:autoRedefine/>
    <w:qFormat/>
    <w:uiPriority w:val="0"/>
    <w:pPr>
      <w:tabs>
        <w:tab w:val="left" w:pos="180"/>
      </w:tabs>
      <w:spacing w:beforeLines="50" w:afterLines="50"/>
      <w:jc w:val="center"/>
    </w:pPr>
    <w:rPr>
      <w:rFonts w:ascii="黑体" w:eastAsia="黑体"/>
      <w:szCs w:val="21"/>
    </w:rPr>
  </w:style>
  <w:style w:type="paragraph" w:customStyle="1" w:styleId="166">
    <w:name w:val="标准书眉_偶数页"/>
    <w:basedOn w:val="150"/>
    <w:next w:val="1"/>
    <w:autoRedefine/>
    <w:qFormat/>
    <w:uiPriority w:val="0"/>
    <w:pPr>
      <w:jc w:val="left"/>
    </w:pPr>
  </w:style>
  <w:style w:type="paragraph" w:customStyle="1" w:styleId="167">
    <w:name w:val="附录表标号"/>
    <w:basedOn w:val="1"/>
    <w:next w:val="68"/>
    <w:autoRedefine/>
    <w:qFormat/>
    <w:uiPriority w:val="0"/>
    <w:pPr>
      <w:spacing w:line="14" w:lineRule="exact"/>
      <w:ind w:left="811" w:hanging="448"/>
      <w:jc w:val="center"/>
      <w:outlineLvl w:val="0"/>
    </w:pPr>
    <w:rPr>
      <w:color w:val="FFFFFF"/>
    </w:rPr>
  </w:style>
  <w:style w:type="paragraph" w:customStyle="1" w:styleId="168">
    <w:name w:val="图表脚注说明"/>
    <w:basedOn w:val="1"/>
    <w:autoRedefine/>
    <w:qFormat/>
    <w:uiPriority w:val="0"/>
    <w:pPr>
      <w:ind w:left="544" w:hanging="181"/>
    </w:pPr>
    <w:rPr>
      <w:rFonts w:ascii="宋体"/>
      <w:sz w:val="18"/>
      <w:szCs w:val="18"/>
    </w:rPr>
  </w:style>
  <w:style w:type="character" w:customStyle="1" w:styleId="169">
    <w:name w:val="页脚 字符"/>
    <w:basedOn w:val="43"/>
    <w:link w:val="26"/>
    <w:autoRedefine/>
    <w:semiHidden/>
    <w:qFormat/>
    <w:uiPriority w:val="99"/>
    <w:rPr>
      <w:rFonts w:ascii="Times New Roman" w:hAnsi="Times New Roman" w:eastAsia="宋体" w:cs="Times New Roman"/>
      <w:sz w:val="18"/>
      <w:szCs w:val="18"/>
    </w:rPr>
  </w:style>
  <w:style w:type="character" w:customStyle="1" w:styleId="170">
    <w:name w:val="批注文字 字符"/>
    <w:basedOn w:val="43"/>
    <w:link w:val="12"/>
    <w:autoRedefine/>
    <w:semiHidden/>
    <w:qFormat/>
    <w:uiPriority w:val="99"/>
    <w:rPr>
      <w:rFonts w:ascii="Times New Roman" w:hAnsi="Times New Roman" w:eastAsia="宋体" w:cs="Times New Roman"/>
      <w:szCs w:val="24"/>
    </w:rPr>
  </w:style>
  <w:style w:type="paragraph" w:customStyle="1" w:styleId="171">
    <w:name w:val="封面标准名称2"/>
    <w:basedOn w:val="83"/>
    <w:autoRedefine/>
    <w:qFormat/>
    <w:uiPriority w:val="0"/>
    <w:pPr>
      <w:framePr w:wrap="around" w:y="4469"/>
      <w:spacing w:beforeLines="630"/>
    </w:pPr>
  </w:style>
  <w:style w:type="character" w:customStyle="1" w:styleId="172">
    <w:name w:val="日期 字符"/>
    <w:basedOn w:val="43"/>
    <w:link w:val="22"/>
    <w:autoRedefine/>
    <w:semiHidden/>
    <w:qFormat/>
    <w:uiPriority w:val="99"/>
    <w:rPr>
      <w:rFonts w:ascii="Times New Roman" w:hAnsi="Times New Roman" w:eastAsia="宋体" w:cs="Times New Roman"/>
      <w:szCs w:val="24"/>
    </w:rPr>
  </w:style>
  <w:style w:type="character" w:customStyle="1" w:styleId="173">
    <w:name w:val="文档结构图 字符"/>
    <w:basedOn w:val="43"/>
    <w:link w:val="11"/>
    <w:autoRedefine/>
    <w:semiHidden/>
    <w:qFormat/>
    <w:uiPriority w:val="99"/>
    <w:rPr>
      <w:rFonts w:ascii="宋体" w:hAnsi="Times New Roman" w:eastAsia="宋体" w:cs="Times New Roman"/>
      <w:sz w:val="18"/>
      <w:szCs w:val="18"/>
    </w:rPr>
  </w:style>
  <w:style w:type="paragraph" w:customStyle="1" w:styleId="174">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5">
    <w:name w:val="封面标准文稿类别2"/>
    <w:basedOn w:val="120"/>
    <w:autoRedefine/>
    <w:qFormat/>
    <w:uiPriority w:val="0"/>
    <w:pPr>
      <w:framePr w:wrap="around" w:y="4469"/>
    </w:pPr>
  </w:style>
  <w:style w:type="paragraph" w:customStyle="1" w:styleId="176">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7">
    <w:name w:val="终结线"/>
    <w:basedOn w:val="1"/>
    <w:autoRedefine/>
    <w:qFormat/>
    <w:uiPriority w:val="0"/>
    <w:pPr>
      <w:framePr w:hSpace="181" w:vSpace="181" w:wrap="around" w:vAnchor="text" w:hAnchor="margin" w:xAlign="center" w:y="285"/>
    </w:pPr>
  </w:style>
  <w:style w:type="character" w:customStyle="1" w:styleId="178">
    <w:name w:val="批注主题 字符"/>
    <w:basedOn w:val="170"/>
    <w:link w:val="39"/>
    <w:autoRedefine/>
    <w:semiHidden/>
    <w:qFormat/>
    <w:uiPriority w:val="99"/>
    <w:rPr>
      <w:rFonts w:ascii="Times New Roman" w:hAnsi="Times New Roman" w:eastAsia="宋体" w:cs="Times New Roman"/>
      <w:b/>
      <w:bCs/>
      <w:szCs w:val="24"/>
    </w:rPr>
  </w:style>
  <w:style w:type="character" w:customStyle="1" w:styleId="179">
    <w:name w:val="尾注文本 字符"/>
    <w:basedOn w:val="43"/>
    <w:link w:val="24"/>
    <w:autoRedefine/>
    <w:semiHidden/>
    <w:qFormat/>
    <w:uiPriority w:val="99"/>
    <w:rPr>
      <w:rFonts w:ascii="Times New Roman" w:hAnsi="Times New Roman" w:eastAsia="宋体" w:cs="Times New Roman"/>
      <w:szCs w:val="24"/>
    </w:rPr>
  </w:style>
  <w:style w:type="paragraph" w:customStyle="1" w:styleId="180">
    <w:name w:val="示例"/>
    <w:next w:val="131"/>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1">
    <w:name w:val="正文文本 3 字符"/>
    <w:basedOn w:val="43"/>
    <w:link w:val="14"/>
    <w:autoRedefine/>
    <w:semiHidden/>
    <w:qFormat/>
    <w:uiPriority w:val="99"/>
    <w:rPr>
      <w:rFonts w:ascii="Times New Roman" w:hAnsi="Times New Roman" w:eastAsia="宋体" w:cs="Times New Roman"/>
      <w:sz w:val="16"/>
      <w:szCs w:val="16"/>
    </w:rPr>
  </w:style>
  <w:style w:type="character" w:customStyle="1" w:styleId="182">
    <w:name w:val="标题 字符"/>
    <w:basedOn w:val="43"/>
    <w:link w:val="38"/>
    <w:autoRedefine/>
    <w:qFormat/>
    <w:uiPriority w:val="0"/>
    <w:rPr>
      <w:rFonts w:ascii="Arial" w:hAnsi="Arial" w:eastAsia="宋体" w:cs="Times New Roman"/>
      <w:b/>
      <w:kern w:val="0"/>
      <w:sz w:val="32"/>
      <w:szCs w:val="20"/>
    </w:rPr>
  </w:style>
  <w:style w:type="paragraph" w:customStyle="1" w:styleId="183">
    <w:name w:val="p0"/>
    <w:basedOn w:val="1"/>
    <w:autoRedefine/>
    <w:qFormat/>
    <w:uiPriority w:val="0"/>
    <w:pPr>
      <w:spacing w:line="240" w:lineRule="auto"/>
      <w:jc w:val="both"/>
    </w:pPr>
    <w:rPr>
      <w:kern w:val="0"/>
      <w:szCs w:val="21"/>
    </w:rPr>
  </w:style>
  <w:style w:type="character" w:customStyle="1" w:styleId="184">
    <w:name w:val="纯文本 字符"/>
    <w:basedOn w:val="43"/>
    <w:link w:val="20"/>
    <w:autoRedefine/>
    <w:qFormat/>
    <w:uiPriority w:val="99"/>
    <w:rPr>
      <w:rFonts w:ascii="宋体" w:hAnsi="Courier New" w:eastAsia="宋体" w:cs="Courier New"/>
      <w:szCs w:val="21"/>
    </w:rPr>
  </w:style>
  <w:style w:type="paragraph" w:customStyle="1" w:styleId="18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6">
    <w:name w:val="正文文本 字符"/>
    <w:basedOn w:val="43"/>
    <w:link w:val="15"/>
    <w:autoRedefine/>
    <w:semiHidden/>
    <w:qFormat/>
    <w:uiPriority w:val="99"/>
    <w:rPr>
      <w:kern w:val="2"/>
      <w:sz w:val="21"/>
      <w:szCs w:val="24"/>
    </w:rPr>
  </w:style>
  <w:style w:type="paragraph" w:customStyle="1" w:styleId="187">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8">
    <w:name w:val="标题 4 字符"/>
    <w:basedOn w:val="43"/>
    <w:link w:val="5"/>
    <w:autoRedefine/>
    <w:semiHidden/>
    <w:qFormat/>
    <w:uiPriority w:val="9"/>
    <w:rPr>
      <w:rFonts w:asciiTheme="majorHAnsi" w:hAnsiTheme="majorHAnsi" w:eastAsiaTheme="majorEastAsia" w:cstheme="majorBidi"/>
      <w:b/>
      <w:bCs/>
      <w:kern w:val="2"/>
      <w:sz w:val="28"/>
      <w:szCs w:val="28"/>
    </w:rPr>
  </w:style>
  <w:style w:type="paragraph" w:customStyle="1" w:styleId="189">
    <w:name w:val="_Style 2"/>
    <w:basedOn w:val="2"/>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0">
    <w:name w:val="_Style 4"/>
    <w:autoRedefine/>
    <w:qFormat/>
    <w:uiPriority w:val="31"/>
    <w:rPr>
      <w:smallCaps/>
      <w:color w:val="C0504D"/>
      <w:u w:val="single"/>
    </w:rPr>
  </w:style>
  <w:style w:type="paragraph" w:customStyle="1" w:styleId="191">
    <w:name w:val="纯文本1"/>
    <w:basedOn w:val="1"/>
    <w:autoRedefine/>
    <w:qFormat/>
    <w:uiPriority w:val="0"/>
    <w:rPr>
      <w:rFonts w:ascii="宋体" w:hAnsi="Courier New" w:cs="Courier New"/>
      <w:szCs w:val="21"/>
    </w:rPr>
  </w:style>
  <w:style w:type="paragraph" w:customStyle="1" w:styleId="192">
    <w:name w:val="CM99"/>
    <w:basedOn w:val="51"/>
    <w:next w:val="51"/>
    <w:autoRedefine/>
    <w:qFormat/>
    <w:uiPriority w:val="0"/>
    <w:pPr>
      <w:spacing w:after="443"/>
    </w:pPr>
  </w:style>
  <w:style w:type="paragraph" w:customStyle="1" w:styleId="193">
    <w:name w:val="CM80"/>
    <w:basedOn w:val="51"/>
    <w:next w:val="51"/>
    <w:autoRedefine/>
    <w:qFormat/>
    <w:uiPriority w:val="0"/>
    <w:pPr>
      <w:spacing w:line="440" w:lineRule="atLeast"/>
    </w:pPr>
  </w:style>
  <w:style w:type="paragraph" w:customStyle="1" w:styleId="194">
    <w:name w:val="qg标题 2 + 橙色"/>
    <w:basedOn w:val="3"/>
    <w:autoRedefine/>
    <w:qFormat/>
    <w:uiPriority w:val="0"/>
    <w:pPr>
      <w:autoSpaceDE w:val="0"/>
      <w:spacing w:before="0" w:after="0" w:line="360" w:lineRule="auto"/>
    </w:pPr>
    <w:rPr>
      <w:sz w:val="30"/>
      <w:szCs w:val="30"/>
    </w:rPr>
  </w:style>
  <w:style w:type="paragraph" w:customStyle="1" w:styleId="195">
    <w:name w:val="WPSOffice手动目录 1"/>
    <w:autoRedefine/>
    <w:qFormat/>
    <w:uiPriority w:val="0"/>
    <w:pPr>
      <w:ind w:leftChars="0"/>
    </w:pPr>
    <w:rPr>
      <w:rFonts w:ascii="Times New Roman" w:hAnsi="Times New Roman" w:eastAsia="宋体" w:cs="Times New Roman"/>
      <w:sz w:val="20"/>
      <w:szCs w:val="20"/>
    </w:rPr>
  </w:style>
  <w:style w:type="paragraph" w:styleId="196">
    <w:name w:val="No Spacing"/>
    <w:autoRedefine/>
    <w:qFormat/>
    <w:uiPriority w:val="1"/>
    <w:pPr>
      <w:widowControl w:val="0"/>
      <w:spacing w:afterLines="5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21392</Words>
  <Characters>22718</Characters>
  <Lines>206</Lines>
  <Paragraphs>58</Paragraphs>
  <TotalTime>93</TotalTime>
  <ScaleCrop>false</ScaleCrop>
  <LinksUpToDate>false</LinksUpToDate>
  <CharactersWithSpaces>25198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吴滔</cp:lastModifiedBy>
  <cp:lastPrinted>2022-04-13T08:22:00Z</cp:lastPrinted>
  <dcterms:modified xsi:type="dcterms:W3CDTF">2024-05-21T08:47:09Z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7C8DC211B90646ED974CD076C6F9D5E4_13</vt:lpwstr>
  </property>
</Properties>
</file>