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outlineLvl w:val="9"/>
        <w:rPr>
          <w:rFonts w:hint="eastAsia" w:ascii="黑体" w:hAnsi="黑体" w:eastAsia="黑体" w:cs="黑体"/>
          <w:spacing w:val="-23"/>
          <w:w w:val="100"/>
          <w:sz w:val="44"/>
          <w:szCs w:val="44"/>
          <w:lang w:val="en-US" w:eastAsia="zh-CN"/>
        </w:rPr>
      </w:pPr>
      <w:bookmarkStart w:id="0" w:name="_Toc24188"/>
      <w:bookmarkStart w:id="1" w:name="_Toc13032"/>
      <w:bookmarkStart w:id="2" w:name="_Toc32327"/>
      <w:bookmarkStart w:id="3" w:name="_Toc29001"/>
      <w:bookmarkStart w:id="4" w:name="_Toc12036"/>
      <w:bookmarkStart w:id="5" w:name="_Toc3412"/>
      <w:bookmarkStart w:id="6" w:name="_Toc5892"/>
      <w:bookmarkStart w:id="7" w:name="_Toc23085"/>
      <w:bookmarkStart w:id="8" w:name="_Toc16695"/>
    </w:p>
    <w:p>
      <w:pPr>
        <w:snapToGrid w:val="0"/>
        <w:spacing w:line="900" w:lineRule="exact"/>
        <w:jc w:val="center"/>
        <w:outlineLvl w:val="0"/>
        <w:rPr>
          <w:rFonts w:hint="eastAsia" w:ascii="黑体" w:hAnsi="黑体" w:eastAsia="黑体" w:cs="黑体"/>
          <w:spacing w:val="-23"/>
          <w:w w:val="100"/>
          <w:sz w:val="44"/>
          <w:szCs w:val="44"/>
          <w:lang w:val="en-US" w:eastAsia="zh-CN"/>
        </w:rPr>
      </w:pPr>
      <w:bookmarkStart w:id="9" w:name="_Toc13473"/>
      <w:r>
        <w:rPr>
          <w:rFonts w:hint="eastAsia" w:ascii="黑体" w:hAnsi="黑体" w:eastAsia="黑体" w:cs="黑体"/>
          <w:spacing w:val="-23"/>
          <w:w w:val="100"/>
          <w:sz w:val="44"/>
          <w:szCs w:val="44"/>
          <w:lang w:val="en-US" w:eastAsia="zh-CN"/>
        </w:rPr>
        <w:t>岳阳城陵矶新港有限公司</w:t>
      </w:r>
      <w:bookmarkEnd w:id="0"/>
      <w:bookmarkEnd w:id="1"/>
      <w:bookmarkEnd w:id="2"/>
      <w:bookmarkEnd w:id="9"/>
    </w:p>
    <w:p>
      <w:pPr>
        <w:snapToGrid w:val="0"/>
        <w:spacing w:line="900" w:lineRule="exact"/>
        <w:jc w:val="center"/>
        <w:outlineLvl w:val="0"/>
        <w:rPr>
          <w:rFonts w:hint="eastAsia" w:ascii="黑体" w:hAnsi="黑体" w:eastAsia="黑体" w:cs="黑体"/>
          <w:spacing w:val="-23"/>
          <w:w w:val="100"/>
          <w:sz w:val="44"/>
          <w:szCs w:val="44"/>
          <w:lang w:val="en-US" w:eastAsia="zh-CN"/>
        </w:rPr>
      </w:pPr>
      <w:bookmarkStart w:id="10" w:name="_Toc22324"/>
      <w:bookmarkStart w:id="11" w:name="_Toc17018"/>
      <w:bookmarkStart w:id="12" w:name="_Toc9116"/>
      <w:bookmarkStart w:id="13" w:name="_Toc23760"/>
      <w:bookmarkStart w:id="14" w:name="_Toc29322"/>
      <w:r>
        <w:rPr>
          <w:rFonts w:hint="eastAsia" w:ascii="黑体" w:hAnsi="黑体" w:eastAsia="黑体" w:cs="黑体"/>
          <w:spacing w:val="-23"/>
          <w:w w:val="100"/>
          <w:sz w:val="44"/>
          <w:szCs w:val="44"/>
          <w:lang w:val="en-US" w:eastAsia="zh-CN"/>
        </w:rPr>
        <w:t>2024年度职工健康体检项目</w:t>
      </w:r>
      <w:bookmarkEnd w:id="10"/>
      <w:bookmarkEnd w:id="11"/>
      <w:bookmarkEnd w:id="12"/>
      <w:bookmarkEnd w:id="13"/>
      <w:bookmarkEnd w:id="14"/>
    </w:p>
    <w:bookmarkEnd w:id="3"/>
    <w:bookmarkEnd w:id="4"/>
    <w:bookmarkEnd w:id="5"/>
    <w:bookmarkEnd w:id="6"/>
    <w:bookmarkEnd w:id="7"/>
    <w:bookmarkEnd w:id="8"/>
    <w:p>
      <w:pPr>
        <w:pStyle w:val="39"/>
      </w:pPr>
    </w:p>
    <w:p>
      <w:pPr>
        <w:pStyle w:val="39"/>
      </w:pPr>
    </w:p>
    <w:p>
      <w:pPr>
        <w:pStyle w:val="39"/>
      </w:pPr>
    </w:p>
    <w:p>
      <w:pPr>
        <w:pStyle w:val="39"/>
      </w:pPr>
    </w:p>
    <w:p>
      <w:pPr>
        <w:pStyle w:val="39"/>
      </w:pPr>
    </w:p>
    <w:p>
      <w:pPr>
        <w:pStyle w:val="39"/>
      </w:pPr>
    </w:p>
    <w:p>
      <w:pPr>
        <w:pStyle w:val="39"/>
      </w:pPr>
    </w:p>
    <w:p>
      <w:pPr>
        <w:snapToGrid w:val="0"/>
        <w:spacing w:line="900" w:lineRule="exact"/>
        <w:jc w:val="center"/>
        <w:rPr>
          <w:rFonts w:hint="eastAsia" w:ascii="黑体" w:hAnsi="黑体" w:eastAsia="黑体" w:cs="宋体"/>
          <w:b/>
          <w:color w:val="000000"/>
          <w:kern w:val="0"/>
          <w:sz w:val="72"/>
          <w:szCs w:val="72"/>
        </w:rPr>
      </w:pPr>
      <w:r>
        <w:rPr>
          <w:rFonts w:hint="eastAsia" w:ascii="黑体" w:hAnsi="黑体" w:eastAsia="黑体" w:cs="宋体"/>
          <w:b/>
          <w:color w:val="000000"/>
          <w:kern w:val="0"/>
          <w:sz w:val="72"/>
          <w:szCs w:val="72"/>
        </w:rPr>
        <w:t>询</w:t>
      </w:r>
      <w:r>
        <w:rPr>
          <w:rFonts w:hint="eastAsia" w:ascii="黑体" w:hAnsi="黑体" w:eastAsia="黑体" w:cs="宋体"/>
          <w:b/>
          <w:color w:val="000000"/>
          <w:kern w:val="0"/>
          <w:sz w:val="72"/>
          <w:szCs w:val="72"/>
          <w:lang w:val="en-US" w:eastAsia="zh-CN"/>
        </w:rPr>
        <w:t xml:space="preserve"> </w:t>
      </w:r>
      <w:r>
        <w:rPr>
          <w:rFonts w:hint="eastAsia" w:ascii="黑体" w:hAnsi="黑体" w:eastAsia="黑体" w:cs="宋体"/>
          <w:b/>
          <w:color w:val="000000"/>
          <w:kern w:val="0"/>
          <w:sz w:val="72"/>
          <w:szCs w:val="72"/>
        </w:rPr>
        <w:t>价</w:t>
      </w:r>
      <w:r>
        <w:rPr>
          <w:rFonts w:hint="eastAsia" w:ascii="黑体" w:hAnsi="黑体" w:eastAsia="黑体" w:cs="宋体"/>
          <w:b/>
          <w:color w:val="000000"/>
          <w:kern w:val="0"/>
          <w:sz w:val="72"/>
          <w:szCs w:val="72"/>
          <w:lang w:val="en-US" w:eastAsia="zh-CN"/>
        </w:rPr>
        <w:t xml:space="preserve"> </w:t>
      </w:r>
      <w:r>
        <w:rPr>
          <w:rFonts w:hint="eastAsia" w:ascii="黑体" w:hAnsi="黑体" w:eastAsia="黑体" w:cs="宋体"/>
          <w:b/>
          <w:color w:val="000000"/>
          <w:kern w:val="0"/>
          <w:sz w:val="72"/>
          <w:szCs w:val="72"/>
        </w:rPr>
        <w:t>文 件</w:t>
      </w:r>
    </w:p>
    <w:p>
      <w:pPr>
        <w:pStyle w:val="39"/>
        <w:rPr>
          <w:rFonts w:hint="eastAsia"/>
        </w:rPr>
      </w:pPr>
    </w:p>
    <w:p>
      <w:pPr>
        <w:pStyle w:val="13"/>
        <w:jc w:val="center"/>
        <w:rPr>
          <w:rFonts w:hint="default"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采购编号：省港</w:t>
      </w:r>
      <w:r>
        <w:rPr>
          <w:rFonts w:hint="eastAsia" w:ascii="黑体" w:hAnsi="黑体" w:eastAsia="黑体" w:cs="黑体"/>
          <w:b w:val="0"/>
          <w:bCs w:val="0"/>
          <w:kern w:val="2"/>
          <w:sz w:val="28"/>
          <w:szCs w:val="28"/>
          <w:highlight w:val="none"/>
          <w:lang w:val="en-US" w:eastAsia="zh-CN" w:bidi="ar-SA"/>
        </w:rPr>
        <w:t>服（2024）年询第14号【新港】</w:t>
      </w:r>
    </w:p>
    <w:p>
      <w:pPr>
        <w:pStyle w:val="39"/>
      </w:pPr>
    </w:p>
    <w:p>
      <w:pPr>
        <w:spacing w:line="600" w:lineRule="exact"/>
      </w:pPr>
    </w:p>
    <w:p>
      <w:pPr>
        <w:spacing w:line="600" w:lineRule="exact"/>
      </w:pPr>
    </w:p>
    <w:p>
      <w:pPr>
        <w:pStyle w:val="39"/>
      </w:pPr>
    </w:p>
    <w:p>
      <w:pPr>
        <w:pStyle w:val="39"/>
      </w:pPr>
    </w:p>
    <w:p>
      <w:pPr>
        <w:pStyle w:val="39"/>
      </w:pPr>
    </w:p>
    <w:p>
      <w:pPr>
        <w:pStyle w:val="39"/>
      </w:pPr>
    </w:p>
    <w:p>
      <w:pPr>
        <w:pStyle w:val="39"/>
      </w:pPr>
    </w:p>
    <w:p>
      <w:pPr>
        <w:pStyle w:val="39"/>
      </w:pPr>
    </w:p>
    <w:p>
      <w:pPr>
        <w:pStyle w:val="39"/>
      </w:pPr>
    </w:p>
    <w:p>
      <w:pPr>
        <w:tabs>
          <w:tab w:val="left" w:pos="0"/>
          <w:tab w:val="left" w:pos="4185"/>
        </w:tabs>
        <w:spacing w:line="288" w:lineRule="auto"/>
        <w:ind w:right="-6"/>
        <w:jc w:val="center"/>
        <w:rPr>
          <w:rFonts w:eastAsia="楷体_GB2312"/>
          <w:b/>
          <w:sz w:val="28"/>
          <w:szCs w:val="28"/>
        </w:rPr>
        <w:sectPr>
          <w:pgSz w:w="11906" w:h="16838"/>
          <w:pgMar w:top="1440" w:right="1080" w:bottom="1440" w:left="1080" w:header="851" w:footer="1344" w:gutter="0"/>
          <w:pgNumType w:fmt="decimal"/>
          <w:cols w:space="720" w:num="1"/>
          <w:docGrid w:linePitch="312" w:charSpace="0"/>
        </w:sectPr>
      </w:pPr>
      <w:r>
        <w:rPr>
          <w:rFonts w:hint="eastAsia" w:ascii="黑体" w:hAnsi="黑体" w:eastAsia="黑体"/>
          <w:bCs/>
          <w:color w:val="auto"/>
          <w:sz w:val="44"/>
          <w:szCs w:val="44"/>
          <w:highlight w:val="none"/>
        </w:rPr>
        <w:t>二О二</w:t>
      </w:r>
      <w:r>
        <w:rPr>
          <w:rFonts w:hint="eastAsia" w:ascii="黑体" w:hAnsi="黑体" w:eastAsia="黑体"/>
          <w:bCs/>
          <w:color w:val="auto"/>
          <w:sz w:val="44"/>
          <w:szCs w:val="44"/>
          <w:highlight w:val="none"/>
          <w:lang w:val="en-US" w:eastAsia="zh-CN"/>
        </w:rPr>
        <w:t>四</w:t>
      </w:r>
      <w:r>
        <w:rPr>
          <w:rFonts w:hint="eastAsia" w:ascii="黑体" w:hAnsi="黑体" w:eastAsia="黑体"/>
          <w:bCs/>
          <w:color w:val="auto"/>
          <w:sz w:val="44"/>
          <w:szCs w:val="44"/>
          <w:highlight w:val="none"/>
        </w:rPr>
        <w:t>年</w:t>
      </w:r>
      <w:r>
        <w:rPr>
          <w:rFonts w:hint="eastAsia" w:ascii="黑体" w:hAnsi="黑体" w:eastAsia="黑体"/>
          <w:bCs/>
          <w:color w:val="auto"/>
          <w:sz w:val="44"/>
          <w:szCs w:val="44"/>
          <w:highlight w:val="none"/>
          <w:lang w:val="en-US" w:eastAsia="zh-CN"/>
        </w:rPr>
        <w:t>五</w:t>
      </w:r>
      <w:r>
        <w:rPr>
          <w:rFonts w:hint="eastAsia" w:ascii="黑体" w:hAnsi="黑体" w:eastAsia="黑体"/>
          <w:bCs/>
          <w:color w:val="auto"/>
          <w:sz w:val="44"/>
          <w:szCs w:val="44"/>
          <w:highlight w:val="none"/>
        </w:rPr>
        <w:t>月</w:t>
      </w:r>
    </w:p>
    <w:sdt>
      <w:sdtPr>
        <w:rPr>
          <w:rFonts w:ascii="宋体" w:hAnsi="宋体" w:eastAsia="宋体" w:cs="Times New Roman"/>
          <w:kern w:val="2"/>
          <w:sz w:val="21"/>
          <w:szCs w:val="24"/>
          <w:lang w:val="en-US" w:eastAsia="zh-CN" w:bidi="ar-SA"/>
        </w:rPr>
        <w:id w:val="147469581"/>
        <w15:color w:val="DBDBDB"/>
        <w:docPartObj>
          <w:docPartGallery w:val="Table of Contents"/>
          <w:docPartUnique/>
        </w:docPartObj>
      </w:sdtPr>
      <w:sdtEndPr>
        <w:rPr>
          <w:rFonts w:ascii="Times New Roman" w:hAnsi="Times New Roman" w:eastAsia="宋体" w:cs="Times New Roman"/>
          <w:b/>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44"/>
              <w:szCs w:val="52"/>
            </w:rPr>
            <w:t>目录</w:t>
          </w:r>
        </w:p>
        <w:p>
          <w:pPr>
            <w:pStyle w:val="195"/>
            <w:tabs>
              <w:tab w:val="right" w:leader="dot" w:pos="9746"/>
            </w:tabs>
            <w:rPr>
              <w:b/>
            </w:rPr>
          </w:pPr>
          <w:r>
            <w:rPr>
              <w:szCs w:val="21"/>
            </w:rPr>
            <w:fldChar w:fldCharType="begin"/>
          </w:r>
          <w:r>
            <w:rPr>
              <w:szCs w:val="21"/>
            </w:rPr>
            <w:instrText xml:space="preserve">TOC \o "1-2" \h \u </w:instrText>
          </w:r>
          <w:r>
            <w:rPr>
              <w:szCs w:val="21"/>
            </w:rPr>
            <w:fldChar w:fldCharType="separate"/>
          </w:r>
        </w:p>
        <w:p>
          <w:pPr>
            <w:pStyle w:val="195"/>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_Toc21273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 xml:space="preserve">第一章  </w:t>
          </w:r>
          <w:r>
            <w:rPr>
              <w:rFonts w:hint="eastAsia" w:ascii="宋体" w:hAnsi="宋体" w:eastAsia="宋体" w:cs="宋体"/>
              <w:b w:val="0"/>
              <w:bCs/>
              <w:sz w:val="24"/>
              <w:szCs w:val="24"/>
            </w:rPr>
            <w:t>采购公告</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_Toc21273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5"/>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_Toc12187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第二章  供应商须知</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_Toc12187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5"/>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_Toc2669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第三章 评审办法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_Toc2669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5"/>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_Toc14130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第四章 合同条款及格式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_Toc14130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30</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5"/>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_Toc15626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highlight w:val="none"/>
              <w:lang w:val="en-US" w:eastAsia="zh-CN"/>
            </w:rPr>
            <w:t>第五章  采购需求</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_Toc15626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5"/>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_Toc5087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第六章  响应文件格式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_Toc5087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40</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6"/>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_Toc28411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一、响应函</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_Toc28411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42</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6"/>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_Toc17472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二、授权委托书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_Toc17472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45</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6"/>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_Toc31372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三</w:t>
          </w:r>
          <w:r>
            <w:rPr>
              <w:rFonts w:hint="eastAsia" w:ascii="宋体" w:hAnsi="宋体" w:eastAsia="宋体" w:cs="宋体"/>
              <w:b w:val="0"/>
              <w:bCs/>
              <w:sz w:val="24"/>
              <w:szCs w:val="24"/>
            </w:rPr>
            <w:t>、商务和技术偏差表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_Toc31372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46</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6"/>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_Toc8365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四、报价表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_Toc8365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6"/>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_Toc24748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五、资格审查资料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_Toc24748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6"/>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_Toc8504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六、响应方案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_Toc8504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52</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pStyle w:val="196"/>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_Toc22248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七</w:t>
          </w:r>
          <w:r>
            <w:rPr>
              <w:rFonts w:hint="eastAsia" w:ascii="宋体" w:hAnsi="宋体" w:eastAsia="宋体" w:cs="宋体"/>
              <w:b w:val="0"/>
              <w:bCs/>
              <w:sz w:val="24"/>
              <w:szCs w:val="24"/>
            </w:rPr>
            <w:t>、其他资料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_Toc22248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pPr>
            <w:widowControl w:val="0"/>
            <w:adjustRightInd w:val="0"/>
            <w:snapToGrid w:val="0"/>
            <w:spacing w:line="240" w:lineRule="auto"/>
            <w:ind w:firstLine="422" w:firstLineChars="200"/>
            <w:rPr>
              <w:szCs w:val="21"/>
            </w:rPr>
          </w:pPr>
          <w:r>
            <w:rPr>
              <w:b/>
              <w:szCs w:val="21"/>
            </w:rPr>
            <w:fldChar w:fldCharType="end"/>
          </w:r>
        </w:p>
      </w:sdtContent>
    </w:sdt>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tabs>
          <w:tab w:val="left" w:pos="5848"/>
        </w:tabs>
        <w:bidi w:val="0"/>
        <w:jc w:val="left"/>
        <w:rPr>
          <w:rFonts w:hint="eastAsia"/>
          <w:lang w:eastAsia="zh-CN"/>
        </w:rPr>
      </w:pPr>
      <w:r>
        <w:rPr>
          <w:rFonts w:hint="eastAsia"/>
          <w:lang w:eastAsia="zh-CN"/>
        </w:rPr>
        <w:tab/>
      </w:r>
    </w:p>
    <w:p>
      <w:pPr>
        <w:bidi w:val="0"/>
        <w:rPr>
          <w:rFonts w:hint="eastAsia" w:ascii="Times New Roman" w:hAnsi="Times New Roman" w:eastAsia="宋体" w:cs="Times New Roman"/>
          <w:kern w:val="2"/>
          <w:sz w:val="21"/>
          <w:szCs w:val="24"/>
          <w:lang w:val="en-US" w:eastAsia="zh-CN" w:bidi="ar-SA"/>
        </w:rPr>
      </w:pPr>
    </w:p>
    <w:p>
      <w:pPr>
        <w:tabs>
          <w:tab w:val="left" w:pos="8411"/>
        </w:tabs>
        <w:bidi w:val="0"/>
        <w:jc w:val="left"/>
        <w:rPr>
          <w:rFonts w:hint="eastAsia"/>
          <w:lang w:val="en-US" w:eastAsia="zh-CN"/>
        </w:rPr>
        <w:sectPr>
          <w:footerReference r:id="rId5" w:type="default"/>
          <w:pgSz w:w="11906" w:h="16838"/>
          <w:pgMar w:top="1440" w:right="1080" w:bottom="1440" w:left="1080" w:header="851" w:footer="1344" w:gutter="0"/>
          <w:pgNumType w:fmt="decimal" w:start="1"/>
          <w:cols w:space="720" w:num="1"/>
          <w:docGrid w:linePitch="312" w:charSpace="0"/>
        </w:sectPr>
      </w:pPr>
      <w:r>
        <w:rPr>
          <w:rFonts w:hint="eastAsia"/>
          <w:lang w:val="en-US" w:eastAsia="zh-CN"/>
        </w:rPr>
        <w:tab/>
      </w:r>
    </w:p>
    <w:p>
      <w:pPr>
        <w:spacing w:line="240" w:lineRule="auto"/>
        <w:jc w:val="center"/>
        <w:outlineLvl w:val="0"/>
        <w:rPr>
          <w:rFonts w:hint="eastAsia" w:ascii="黑体" w:hAnsi="黑体" w:eastAsia="黑体" w:cs="Times New Roman"/>
          <w:sz w:val="36"/>
          <w:szCs w:val="36"/>
        </w:rPr>
      </w:pPr>
      <w:bookmarkStart w:id="15" w:name="_Toc20602"/>
      <w:bookmarkStart w:id="16" w:name="_Toc17640"/>
      <w:bookmarkStart w:id="17" w:name="_Toc21273"/>
      <w:r>
        <w:rPr>
          <w:rFonts w:hint="eastAsia" w:ascii="黑体" w:hAnsi="黑体" w:eastAsia="黑体" w:cs="Times New Roman"/>
          <w:sz w:val="36"/>
          <w:szCs w:val="36"/>
          <w:lang w:val="en-US" w:eastAsia="zh-CN"/>
        </w:rPr>
        <w:t xml:space="preserve">第一章  </w:t>
      </w:r>
      <w:r>
        <w:rPr>
          <w:rFonts w:hint="eastAsia" w:ascii="黑体" w:hAnsi="黑体" w:eastAsia="黑体" w:cs="Times New Roman"/>
          <w:sz w:val="36"/>
          <w:szCs w:val="36"/>
        </w:rPr>
        <w:t>采购公告</w:t>
      </w:r>
      <w:bookmarkEnd w:id="15"/>
      <w:bookmarkEnd w:id="16"/>
      <w:bookmarkEnd w:id="17"/>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宋体"/>
          <w:kern w:val="0"/>
          <w:sz w:val="32"/>
          <w:szCs w:val="32"/>
          <w:lang w:val="en-US" w:eastAsia="zh-CN" w:bidi="ar-SA"/>
        </w:rPr>
      </w:pPr>
    </w:p>
    <w:p>
      <w:pPr>
        <w:pStyle w:val="36"/>
        <w:spacing w:before="0" w:beforeAutospacing="0" w:after="0" w:afterAutospacing="0"/>
        <w:jc w:val="center"/>
        <w:outlineLvl w:val="1"/>
        <w:rPr>
          <w:rFonts w:hint="eastAsia" w:ascii="黑体" w:hAnsi="黑体" w:eastAsia="黑体" w:cs="宋体"/>
          <w:kern w:val="0"/>
          <w:sz w:val="32"/>
          <w:szCs w:val="32"/>
          <w:lang w:val="en-US" w:eastAsia="zh-CN" w:bidi="ar-SA"/>
        </w:rPr>
      </w:pPr>
      <w:bookmarkStart w:id="18" w:name="_Toc4845"/>
      <w:bookmarkStart w:id="19" w:name="_Toc14852"/>
      <w:bookmarkStart w:id="20" w:name="_Toc31717"/>
      <w:bookmarkStart w:id="21" w:name="_Toc31485"/>
      <w:bookmarkStart w:id="22" w:name="_Toc18958"/>
      <w:r>
        <w:rPr>
          <w:rFonts w:hint="eastAsia" w:ascii="黑体" w:hAnsi="黑体" w:eastAsia="黑体" w:cs="宋体"/>
          <w:kern w:val="0"/>
          <w:sz w:val="32"/>
          <w:szCs w:val="32"/>
          <w:lang w:val="en-US" w:eastAsia="zh-CN" w:bidi="ar-SA"/>
        </w:rPr>
        <w:t>岳阳城陵矶新港有限公司</w:t>
      </w:r>
      <w:bookmarkEnd w:id="18"/>
      <w:bookmarkEnd w:id="19"/>
      <w:bookmarkEnd w:id="20"/>
      <w:bookmarkEnd w:id="21"/>
      <w:bookmarkEnd w:id="22"/>
    </w:p>
    <w:p>
      <w:pPr>
        <w:pStyle w:val="36"/>
        <w:spacing w:before="0" w:beforeAutospacing="0" w:after="0" w:afterAutospacing="0"/>
        <w:jc w:val="center"/>
        <w:outlineLvl w:val="1"/>
        <w:rPr>
          <w:rFonts w:hint="eastAsia" w:ascii="黑体" w:hAnsi="黑体" w:eastAsia="黑体"/>
          <w:sz w:val="32"/>
          <w:szCs w:val="32"/>
        </w:rPr>
      </w:pPr>
      <w:bookmarkStart w:id="23" w:name="_Toc7494"/>
      <w:r>
        <w:rPr>
          <w:rFonts w:hint="eastAsia" w:ascii="黑体" w:hAnsi="黑体" w:eastAsia="黑体"/>
          <w:color w:val="auto"/>
          <w:sz w:val="32"/>
          <w:szCs w:val="32"/>
          <w:highlight w:val="none"/>
          <w:lang w:val="en-US" w:eastAsia="zh-CN"/>
        </w:rPr>
        <w:t>2024年度职工健康体检项目询价采购公告</w:t>
      </w:r>
      <w:bookmarkEnd w:id="23"/>
    </w:p>
    <w:p>
      <w:pPr>
        <w:pStyle w:val="36"/>
        <w:spacing w:before="0" w:beforeAutospacing="0" w:after="0" w:afterAutospacing="0"/>
        <w:jc w:val="center"/>
        <w:rPr>
          <w:rFonts w:hint="eastAsia" w:ascii="黑体" w:hAnsi="黑体" w:eastAsia="黑体"/>
          <w:sz w:val="32"/>
          <w:szCs w:val="32"/>
        </w:rPr>
      </w:pPr>
    </w:p>
    <w:p>
      <w:pPr>
        <w:autoSpaceDE w:val="0"/>
        <w:spacing w:line="400" w:lineRule="exact"/>
        <w:ind w:firstLine="480" w:firstLineChars="200"/>
        <w:jc w:val="both"/>
        <w:rPr>
          <w:rFonts w:hint="eastAsia" w:ascii="宋体" w:hAnsi="宋体"/>
          <w:color w:val="auto"/>
          <w:sz w:val="24"/>
          <w:highlight w:val="none"/>
        </w:rPr>
      </w:pPr>
      <w:r>
        <w:rPr>
          <w:rFonts w:hint="eastAsia" w:ascii="宋体" w:hAnsi="宋体"/>
          <w:color w:val="auto"/>
          <w:sz w:val="24"/>
          <w:highlight w:val="none"/>
          <w:lang w:val="en-US" w:eastAsia="zh-CN"/>
        </w:rPr>
        <w:t>岳阳城陵矶新港有限公司2024年度职工健康体检项目询价文件</w:t>
      </w:r>
      <w:r>
        <w:rPr>
          <w:rFonts w:hint="eastAsia" w:ascii="宋体" w:hAnsi="宋体"/>
          <w:color w:val="auto"/>
          <w:sz w:val="24"/>
          <w:highlight w:val="none"/>
        </w:rPr>
        <w:t>已具备采购条件</w:t>
      </w:r>
      <w:r>
        <w:rPr>
          <w:rFonts w:hint="eastAsia" w:ascii="宋体" w:hAnsi="宋体"/>
          <w:color w:val="auto"/>
          <w:sz w:val="24"/>
          <w:highlight w:val="none"/>
          <w:lang w:eastAsia="zh-CN"/>
        </w:rPr>
        <w:t>，</w:t>
      </w:r>
      <w:r>
        <w:rPr>
          <w:rFonts w:hint="eastAsia" w:ascii="宋体" w:hAnsi="宋体"/>
          <w:color w:val="auto"/>
          <w:sz w:val="24"/>
          <w:highlight w:val="none"/>
        </w:rPr>
        <w:t>现</w:t>
      </w:r>
      <w:r>
        <w:rPr>
          <w:rFonts w:hint="eastAsia" w:ascii="宋体" w:hAnsi="宋体"/>
          <w:color w:val="auto"/>
          <w:sz w:val="24"/>
          <w:highlight w:val="none"/>
          <w:lang w:val="en-US" w:eastAsia="zh-CN"/>
        </w:rPr>
        <w:t>公开</w:t>
      </w:r>
      <w:r>
        <w:rPr>
          <w:rFonts w:hint="eastAsia" w:ascii="宋体" w:hAnsi="宋体"/>
          <w:color w:val="auto"/>
          <w:sz w:val="24"/>
          <w:highlight w:val="none"/>
        </w:rPr>
        <w:t>邀请供应商参加采购活动。</w:t>
      </w:r>
    </w:p>
    <w:p>
      <w:pPr>
        <w:pStyle w:val="5"/>
        <w:spacing w:line="360" w:lineRule="auto"/>
        <w:jc w:val="both"/>
        <w:outlineLvl w:val="1"/>
        <w:rPr>
          <w:rFonts w:hint="eastAsia" w:asciiTheme="majorHAnsi" w:hAnsiTheme="majorHAnsi"/>
          <w:color w:val="auto"/>
          <w:highlight w:val="none"/>
        </w:rPr>
      </w:pPr>
      <w:bookmarkStart w:id="24" w:name="_Toc16381"/>
      <w:bookmarkStart w:id="25" w:name="_Toc29391"/>
      <w:bookmarkStart w:id="26" w:name="_Toc25210"/>
      <w:r>
        <w:rPr>
          <w:rFonts w:hint="eastAsia"/>
          <w:color w:val="auto"/>
          <w:highlight w:val="none"/>
          <w:lang w:val="en-US" w:eastAsia="zh-CN"/>
        </w:rPr>
        <w:t>1、</w:t>
      </w:r>
      <w:r>
        <w:rPr>
          <w:rFonts w:hint="eastAsia" w:asciiTheme="majorHAnsi" w:hAnsiTheme="majorHAnsi"/>
          <w:color w:val="auto"/>
          <w:highlight w:val="none"/>
        </w:rPr>
        <w:t>采购项目简介</w:t>
      </w:r>
      <w:bookmarkEnd w:id="24"/>
      <w:bookmarkEnd w:id="25"/>
      <w:bookmarkEnd w:id="26"/>
      <w:r>
        <w:rPr>
          <w:rFonts w:hint="eastAsia" w:asciiTheme="majorHAnsi" w:hAnsiTheme="majorHAnsi"/>
          <w:color w:val="auto"/>
          <w:highlight w:val="none"/>
        </w:rPr>
        <w:t xml:space="preserve"> </w:t>
      </w:r>
    </w:p>
    <w:p>
      <w:pPr>
        <w:autoSpaceDE/>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lang w:val="en-US" w:eastAsia="zh-CN"/>
        </w:rPr>
        <w:t>岳阳城陵矶新港有限公司2024年度职工健康体检项目</w:t>
      </w:r>
    </w:p>
    <w:p>
      <w:pPr>
        <w:autoSpaceDE/>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 xml:space="preserve">采购人: </w:t>
      </w:r>
      <w:r>
        <w:rPr>
          <w:rFonts w:hint="eastAsia" w:ascii="宋体" w:hAnsi="宋体" w:eastAsia="宋体" w:cs="宋体"/>
          <w:color w:val="auto"/>
          <w:sz w:val="24"/>
          <w:highlight w:val="none"/>
          <w:lang w:val="en-US" w:eastAsia="zh-CN"/>
        </w:rPr>
        <w:t>岳阳城陵矶新港有限公司</w:t>
      </w:r>
    </w:p>
    <w:p>
      <w:pPr>
        <w:autoSpaceDE/>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无</w:t>
      </w:r>
    </w:p>
    <w:p>
      <w:pPr>
        <w:autoSpaceDE/>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采购项目资金落实情况:</w:t>
      </w:r>
      <w:r>
        <w:rPr>
          <w:rFonts w:hint="eastAsia" w:ascii="宋体" w:hAnsi="宋体" w:eastAsia="宋体" w:cs="宋体"/>
          <w:color w:val="auto"/>
          <w:sz w:val="24"/>
          <w:highlight w:val="none"/>
          <w:lang w:eastAsia="zh-CN"/>
        </w:rPr>
        <w:t>企业自筹，已落实</w:t>
      </w:r>
    </w:p>
    <w:p>
      <w:pPr>
        <w:keepNext w:val="0"/>
        <w:keepLines w:val="0"/>
        <w:pageBreakBefore w:val="0"/>
        <w:widowControl/>
        <w:kinsoku/>
        <w:wordWrap/>
        <w:overflowPunct/>
        <w:topLinePunct w:val="0"/>
        <w:autoSpaceDE w:val="0"/>
        <w:autoSpaceDN/>
        <w:bidi w:val="0"/>
        <w:adjustRightInd/>
        <w:snapToGrid/>
        <w:spacing w:line="48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采购项目概况:</w:t>
      </w:r>
      <w:r>
        <w:rPr>
          <w:rFonts w:hint="eastAsia" w:ascii="宋体" w:hAnsi="宋体"/>
          <w:color w:val="auto"/>
          <w:sz w:val="24"/>
          <w:highlight w:val="none"/>
          <w:lang w:val="en-US" w:eastAsia="zh-CN"/>
        </w:rPr>
        <w:t>为切实保障职工身体健康，达到有病早发现、早诊断、早治疗，无病早预防、早调理、早保健的目的，</w:t>
      </w:r>
      <w:r>
        <w:rPr>
          <w:rFonts w:hint="eastAsia" w:ascii="宋体" w:hAnsi="宋体" w:eastAsia="宋体" w:cs="宋体"/>
          <w:color w:val="auto"/>
          <w:sz w:val="24"/>
          <w:highlight w:val="none"/>
          <w:lang w:val="en-US" w:eastAsia="zh-CN"/>
        </w:rPr>
        <w:t>岳阳城陵矶新港有限公司</w:t>
      </w:r>
      <w:r>
        <w:rPr>
          <w:rFonts w:hint="eastAsia" w:ascii="宋体" w:hAnsi="宋体" w:cs="宋体"/>
          <w:color w:val="auto"/>
          <w:sz w:val="24"/>
          <w:highlight w:val="none"/>
          <w:lang w:val="en-US" w:eastAsia="zh-CN"/>
        </w:rPr>
        <w:t>拟组织开展</w:t>
      </w:r>
      <w:r>
        <w:rPr>
          <w:rFonts w:hint="eastAsia" w:ascii="宋体" w:hAnsi="宋体" w:eastAsia="宋体" w:cs="宋体"/>
          <w:color w:val="auto"/>
          <w:sz w:val="24"/>
          <w:highlight w:val="none"/>
          <w:lang w:val="en-US" w:eastAsia="zh-CN"/>
        </w:rPr>
        <w:t>2024年度职工健康体检</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现</w:t>
      </w:r>
      <w:r>
        <w:rPr>
          <w:rFonts w:hint="eastAsia" w:ascii="宋体" w:hAnsi="宋体" w:eastAsia="宋体" w:cs="宋体"/>
          <w:color w:val="auto"/>
          <w:sz w:val="24"/>
          <w:highlight w:val="none"/>
          <w:lang w:eastAsia="zh-CN"/>
        </w:rPr>
        <w:t>采用</w:t>
      </w:r>
      <w:r>
        <w:rPr>
          <w:rFonts w:hint="eastAsia" w:ascii="宋体" w:hAnsi="宋体" w:eastAsia="宋体" w:cs="宋体"/>
          <w:color w:val="auto"/>
          <w:sz w:val="24"/>
          <w:highlight w:val="none"/>
          <w:lang w:val="en-US" w:eastAsia="zh-CN"/>
        </w:rPr>
        <w:t>询价的</w:t>
      </w:r>
      <w:r>
        <w:rPr>
          <w:rFonts w:hint="eastAsia" w:ascii="宋体" w:hAnsi="宋体" w:eastAsia="宋体" w:cs="宋体"/>
          <w:color w:val="auto"/>
          <w:sz w:val="24"/>
          <w:highlight w:val="none"/>
          <w:lang w:eastAsia="zh-CN"/>
        </w:rPr>
        <w:t>方式</w:t>
      </w:r>
      <w:r>
        <w:rPr>
          <w:rFonts w:hint="eastAsia" w:ascii="宋体" w:hAnsi="宋体" w:eastAsia="宋体" w:cs="宋体"/>
          <w:color w:val="auto"/>
          <w:sz w:val="24"/>
          <w:highlight w:val="none"/>
          <w:lang w:val="en-US" w:eastAsia="zh-CN"/>
        </w:rPr>
        <w:t>进行采购。</w:t>
      </w:r>
    </w:p>
    <w:p>
      <w:pPr>
        <w:pStyle w:val="5"/>
        <w:spacing w:line="360" w:lineRule="auto"/>
        <w:jc w:val="both"/>
        <w:outlineLvl w:val="1"/>
        <w:rPr>
          <w:rFonts w:ascii="Arial" w:hAnsi="Arial"/>
          <w:color w:val="auto"/>
          <w:highlight w:val="none"/>
        </w:rPr>
      </w:pPr>
      <w:bookmarkStart w:id="27" w:name="_Toc29733"/>
      <w:bookmarkStart w:id="28" w:name="_Toc22267"/>
      <w:bookmarkStart w:id="29" w:name="_Toc24804"/>
      <w:r>
        <w:rPr>
          <w:rFonts w:hint="eastAsia"/>
          <w:color w:val="auto"/>
          <w:highlight w:val="none"/>
          <w:lang w:val="en-US" w:eastAsia="zh-CN"/>
        </w:rPr>
        <w:t>2、</w:t>
      </w:r>
      <w:r>
        <w:rPr>
          <w:rFonts w:hint="eastAsia" w:ascii="黑体" w:hAnsi="黑体"/>
          <w:color w:val="auto"/>
          <w:highlight w:val="none"/>
        </w:rPr>
        <w:t>采购范围及相关要求</w:t>
      </w:r>
      <w:bookmarkEnd w:id="27"/>
      <w:bookmarkEnd w:id="28"/>
      <w:bookmarkEnd w:id="29"/>
      <w:r>
        <w:rPr>
          <w:rFonts w:hint="eastAsia" w:ascii="黑体" w:hAnsi="黑体"/>
          <w:color w:val="auto"/>
          <w:highlight w:val="none"/>
        </w:rPr>
        <w:t xml:space="preserve"> </w:t>
      </w:r>
    </w:p>
    <w:p>
      <w:pPr>
        <w:autoSpaceDE/>
        <w:spacing w:line="360" w:lineRule="auto"/>
        <w:jc w:val="both"/>
        <w:rPr>
          <w:rFonts w:hint="eastAsia" w:ascii="宋体" w:hAnsi="宋体"/>
          <w:b/>
          <w:bCs/>
          <w:color w:val="auto"/>
          <w:sz w:val="24"/>
          <w:highlight w:val="none"/>
          <w:lang w:val="en-US" w:eastAsia="zh-CN"/>
        </w:rPr>
      </w:pPr>
      <w:r>
        <w:rPr>
          <w:rFonts w:hint="eastAsia" w:ascii="宋体" w:hAnsi="宋体"/>
          <w:color w:val="auto"/>
          <w:sz w:val="24"/>
          <w:highlight w:val="none"/>
          <w:lang w:val="en-US" w:eastAsia="zh-CN"/>
        </w:rPr>
        <w:t>2.1</w:t>
      </w:r>
      <w:r>
        <w:rPr>
          <w:rFonts w:hint="eastAsia" w:ascii="宋体" w:hAnsi="宋体"/>
          <w:color w:val="auto"/>
          <w:sz w:val="24"/>
          <w:highlight w:val="none"/>
        </w:rPr>
        <w:t>采购范围:</w:t>
      </w:r>
      <w:r>
        <w:rPr>
          <w:rFonts w:hint="eastAsia" w:ascii="宋体" w:hAnsi="宋体"/>
          <w:color w:val="auto"/>
          <w:sz w:val="24"/>
          <w:highlight w:val="none"/>
          <w:lang w:val="en-US" w:eastAsia="zh-CN"/>
        </w:rPr>
        <w:t>岳阳城陵矶新港有限公司2024年度职工健康体检，</w:t>
      </w:r>
      <w:r>
        <w:rPr>
          <w:rFonts w:hint="eastAsia" w:ascii="宋体" w:hAnsi="宋体"/>
          <w:color w:val="auto"/>
          <w:sz w:val="24"/>
          <w:highlight w:val="none"/>
        </w:rPr>
        <w:t>参与体检</w:t>
      </w:r>
      <w:r>
        <w:rPr>
          <w:rFonts w:hint="eastAsia" w:ascii="宋体" w:hAnsi="宋体"/>
          <w:color w:val="auto"/>
          <w:sz w:val="24"/>
          <w:highlight w:val="none"/>
          <w:lang w:val="en-US" w:eastAsia="zh-CN"/>
        </w:rPr>
        <w:t>职</w:t>
      </w:r>
      <w:r>
        <w:rPr>
          <w:rFonts w:hint="eastAsia" w:ascii="宋体" w:hAnsi="宋体"/>
          <w:color w:val="auto"/>
          <w:sz w:val="24"/>
          <w:highlight w:val="none"/>
        </w:rPr>
        <w:t>工</w:t>
      </w:r>
      <w:r>
        <w:rPr>
          <w:rFonts w:hint="eastAsia" w:ascii="宋体" w:hAnsi="宋体"/>
          <w:color w:val="auto"/>
          <w:sz w:val="24"/>
          <w:highlight w:val="none"/>
          <w:lang w:val="en-US" w:eastAsia="zh-CN"/>
        </w:rPr>
        <w:t>共158</w:t>
      </w:r>
      <w:r>
        <w:rPr>
          <w:rFonts w:hint="eastAsia" w:ascii="宋体" w:hAnsi="宋体"/>
          <w:color w:val="auto"/>
          <w:sz w:val="24"/>
          <w:highlight w:val="none"/>
        </w:rPr>
        <w:t>人（其中男</w:t>
      </w:r>
      <w:r>
        <w:rPr>
          <w:rFonts w:hint="eastAsia" w:ascii="宋体" w:hAnsi="宋体"/>
          <w:color w:val="auto"/>
          <w:sz w:val="24"/>
          <w:highlight w:val="none"/>
          <w:lang w:val="en-US" w:eastAsia="zh-CN"/>
        </w:rPr>
        <w:t>职</w:t>
      </w:r>
      <w:r>
        <w:rPr>
          <w:rFonts w:hint="eastAsia" w:ascii="宋体" w:hAnsi="宋体"/>
          <w:color w:val="auto"/>
          <w:sz w:val="24"/>
          <w:highlight w:val="none"/>
        </w:rPr>
        <w:t>工1</w:t>
      </w:r>
      <w:r>
        <w:rPr>
          <w:rFonts w:hint="eastAsia" w:ascii="宋体" w:hAnsi="宋体"/>
          <w:color w:val="auto"/>
          <w:sz w:val="24"/>
          <w:highlight w:val="none"/>
          <w:lang w:val="en-US" w:eastAsia="zh-CN"/>
        </w:rPr>
        <w:t>20</w:t>
      </w:r>
      <w:r>
        <w:rPr>
          <w:rFonts w:hint="eastAsia" w:ascii="宋体" w:hAnsi="宋体"/>
          <w:color w:val="auto"/>
          <w:sz w:val="24"/>
          <w:highlight w:val="none"/>
        </w:rPr>
        <w:t>人、女</w:t>
      </w:r>
      <w:r>
        <w:rPr>
          <w:rFonts w:hint="eastAsia" w:ascii="宋体" w:hAnsi="宋体"/>
          <w:color w:val="auto"/>
          <w:sz w:val="24"/>
          <w:highlight w:val="none"/>
          <w:lang w:val="en-US" w:eastAsia="zh-CN"/>
        </w:rPr>
        <w:t>职</w:t>
      </w:r>
      <w:r>
        <w:rPr>
          <w:rFonts w:hint="eastAsia" w:ascii="宋体" w:hAnsi="宋体"/>
          <w:color w:val="auto"/>
          <w:sz w:val="24"/>
          <w:highlight w:val="none"/>
        </w:rPr>
        <w:t>工</w:t>
      </w:r>
      <w:r>
        <w:rPr>
          <w:rFonts w:hint="eastAsia" w:ascii="宋体" w:hAnsi="宋体"/>
          <w:color w:val="auto"/>
          <w:sz w:val="24"/>
          <w:highlight w:val="none"/>
          <w:lang w:val="en-US" w:eastAsia="zh-CN"/>
        </w:rPr>
        <w:t>38</w:t>
      </w:r>
      <w:r>
        <w:rPr>
          <w:rFonts w:hint="eastAsia" w:ascii="宋体" w:hAnsi="宋体"/>
          <w:color w:val="auto"/>
          <w:sz w:val="24"/>
          <w:highlight w:val="none"/>
        </w:rPr>
        <w:t>人），体检费用标准为男</w:t>
      </w:r>
      <w:r>
        <w:rPr>
          <w:rFonts w:hint="eastAsia" w:ascii="宋体" w:hAnsi="宋体"/>
          <w:color w:val="auto"/>
          <w:sz w:val="24"/>
          <w:highlight w:val="none"/>
          <w:lang w:val="en-US" w:eastAsia="zh-CN"/>
        </w:rPr>
        <w:t>职</w:t>
      </w:r>
      <w:r>
        <w:rPr>
          <w:rFonts w:hint="eastAsia" w:ascii="宋体" w:hAnsi="宋体"/>
          <w:color w:val="auto"/>
          <w:sz w:val="24"/>
          <w:highlight w:val="none"/>
        </w:rPr>
        <w:t>工人均1</w:t>
      </w:r>
      <w:r>
        <w:rPr>
          <w:rFonts w:hint="eastAsia" w:ascii="宋体" w:hAnsi="宋体"/>
          <w:color w:val="auto"/>
          <w:sz w:val="24"/>
          <w:highlight w:val="none"/>
          <w:lang w:val="en-US" w:eastAsia="zh-CN"/>
        </w:rPr>
        <w:t>800</w:t>
      </w:r>
      <w:r>
        <w:rPr>
          <w:rFonts w:hint="eastAsia" w:ascii="宋体" w:hAnsi="宋体"/>
          <w:color w:val="auto"/>
          <w:sz w:val="24"/>
          <w:highlight w:val="none"/>
        </w:rPr>
        <w:t>元，女</w:t>
      </w:r>
      <w:r>
        <w:rPr>
          <w:rFonts w:hint="eastAsia" w:ascii="宋体" w:hAnsi="宋体"/>
          <w:color w:val="auto"/>
          <w:sz w:val="24"/>
          <w:highlight w:val="none"/>
          <w:lang w:val="en-US" w:eastAsia="zh-CN"/>
        </w:rPr>
        <w:t>职</w:t>
      </w:r>
      <w:r>
        <w:rPr>
          <w:rFonts w:hint="eastAsia" w:ascii="宋体" w:hAnsi="宋体"/>
          <w:color w:val="auto"/>
          <w:sz w:val="24"/>
          <w:highlight w:val="none"/>
        </w:rPr>
        <w:t>工人均</w:t>
      </w:r>
      <w:r>
        <w:rPr>
          <w:rFonts w:hint="eastAsia" w:ascii="宋体" w:hAnsi="宋体"/>
          <w:color w:val="auto"/>
          <w:sz w:val="24"/>
          <w:highlight w:val="none"/>
          <w:lang w:val="en-US" w:eastAsia="zh-CN"/>
        </w:rPr>
        <w:t>2000</w:t>
      </w:r>
      <w:r>
        <w:rPr>
          <w:rFonts w:hint="eastAsia" w:ascii="宋体" w:hAnsi="宋体"/>
          <w:color w:val="auto"/>
          <w:sz w:val="24"/>
          <w:highlight w:val="none"/>
        </w:rPr>
        <w:t>元，合计</w:t>
      </w:r>
      <w:r>
        <w:rPr>
          <w:rFonts w:hint="eastAsia" w:ascii="宋体" w:hAnsi="宋体"/>
          <w:color w:val="auto"/>
          <w:sz w:val="24"/>
          <w:highlight w:val="none"/>
          <w:lang w:val="en-US" w:eastAsia="zh-CN"/>
        </w:rPr>
        <w:t>29.2</w:t>
      </w:r>
      <w:r>
        <w:rPr>
          <w:rFonts w:hint="eastAsia" w:ascii="宋体" w:hAnsi="宋体"/>
          <w:color w:val="auto"/>
          <w:sz w:val="24"/>
          <w:highlight w:val="none"/>
        </w:rPr>
        <w:t>万元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具体以实际到检人数费用进行结算。</w:t>
      </w:r>
      <w:r>
        <w:rPr>
          <w:rFonts w:hint="eastAsia" w:ascii="宋体" w:hAnsi="宋体"/>
          <w:b/>
          <w:bCs/>
          <w:color w:val="auto"/>
          <w:sz w:val="24"/>
          <w:highlight w:val="none"/>
          <w:lang w:val="en-US" w:eastAsia="zh-CN"/>
        </w:rPr>
        <w:t>本公司已拟定体检项目，并就该项目以综合评分法对外公开询价，体检费用标准与成交价的差额由职工在该体检中心自主消费完毕，自主消费项目收费标准按挂牌价享受8折优惠。</w:t>
      </w:r>
    </w:p>
    <w:p>
      <w:pPr>
        <w:autoSpaceDE/>
        <w:spacing w:line="360" w:lineRule="auto"/>
        <w:jc w:val="both"/>
        <w:rPr>
          <w:rFonts w:hint="default" w:ascii="宋体" w:hAnsi="宋体"/>
          <w:color w:val="auto"/>
          <w:sz w:val="24"/>
          <w:highlight w:val="none"/>
          <w:lang w:val="en-US" w:eastAsia="zh-CN"/>
        </w:rPr>
      </w:pPr>
      <w:r>
        <w:rPr>
          <w:rFonts w:hint="eastAsia" w:ascii="宋体" w:hAnsi="宋体"/>
          <w:color w:val="auto"/>
          <w:sz w:val="24"/>
          <w:highlight w:val="none"/>
          <w:lang w:val="en-US" w:eastAsia="zh-CN"/>
        </w:rPr>
        <w:t>2.2</w:t>
      </w:r>
      <w:r>
        <w:rPr>
          <w:rFonts w:hint="eastAsia" w:ascii="宋体" w:hAnsi="宋体"/>
          <w:color w:val="auto"/>
          <w:sz w:val="24"/>
          <w:highlight w:val="none"/>
        </w:rPr>
        <w:t xml:space="preserve">服务期限: </w:t>
      </w:r>
      <w:r>
        <w:rPr>
          <w:rFonts w:hint="eastAsia" w:ascii="宋体" w:hAnsi="宋体"/>
          <w:color w:val="auto"/>
          <w:sz w:val="24"/>
          <w:highlight w:val="none"/>
          <w:lang w:val="en-US" w:eastAsia="zh-CN"/>
        </w:rPr>
        <w:t>90个日历天。</w:t>
      </w:r>
    </w:p>
    <w:p>
      <w:pPr>
        <w:autoSpaceDE/>
        <w:spacing w:line="360" w:lineRule="auto"/>
        <w:jc w:val="both"/>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2.3</w:t>
      </w:r>
      <w:r>
        <w:rPr>
          <w:rFonts w:hint="eastAsia" w:ascii="宋体" w:hAnsi="宋体"/>
          <w:color w:val="auto"/>
          <w:sz w:val="24"/>
          <w:highlight w:val="none"/>
        </w:rPr>
        <w:t xml:space="preserve">服务地点: </w:t>
      </w:r>
      <w:r>
        <w:rPr>
          <w:rFonts w:hint="eastAsia" w:ascii="宋体" w:hAnsi="宋体"/>
          <w:color w:val="auto"/>
          <w:sz w:val="24"/>
          <w:highlight w:val="none"/>
          <w:lang w:val="en-US" w:eastAsia="zh-CN"/>
        </w:rPr>
        <w:t>供应商</w:t>
      </w:r>
      <w:r>
        <w:rPr>
          <w:rFonts w:hint="eastAsia" w:ascii="宋体" w:hAnsi="宋体" w:eastAsia="宋体" w:cs="宋体"/>
          <w:sz w:val="24"/>
          <w:szCs w:val="24"/>
          <w:highlight w:val="none"/>
          <w:lang w:eastAsia="zh-CN"/>
        </w:rPr>
        <w:t>专业体检中心</w:t>
      </w:r>
      <w:r>
        <w:rPr>
          <w:rFonts w:hint="eastAsia" w:ascii="宋体" w:hAnsi="宋体" w:cs="宋体"/>
          <w:sz w:val="24"/>
          <w:szCs w:val="24"/>
          <w:highlight w:val="none"/>
          <w:lang w:val="en-US" w:eastAsia="zh-CN"/>
        </w:rPr>
        <w:t>。</w:t>
      </w:r>
    </w:p>
    <w:p>
      <w:pPr>
        <w:autoSpaceDE/>
        <w:spacing w:line="360" w:lineRule="auto"/>
        <w:ind w:firstLine="0" w:firstLineChars="0"/>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2.4服务</w:t>
      </w:r>
      <w:r>
        <w:rPr>
          <w:rFonts w:hint="eastAsia" w:ascii="宋体" w:hAnsi="宋体"/>
          <w:color w:val="auto"/>
          <w:sz w:val="24"/>
          <w:highlight w:val="none"/>
        </w:rPr>
        <w:t xml:space="preserve">要求或服务标准: </w:t>
      </w:r>
      <w:r>
        <w:rPr>
          <w:rFonts w:hint="eastAsia" w:ascii="宋体" w:hAnsi="宋体"/>
          <w:color w:val="auto"/>
          <w:sz w:val="24"/>
          <w:highlight w:val="none"/>
          <w:lang w:val="en-US" w:eastAsia="zh-CN"/>
        </w:rPr>
        <w:t>详见询价文件</w:t>
      </w:r>
      <w:r>
        <w:rPr>
          <w:rFonts w:hint="eastAsia" w:ascii="宋体" w:hAnsi="宋体"/>
          <w:b/>
          <w:bCs/>
          <w:color w:val="auto"/>
          <w:sz w:val="24"/>
          <w:highlight w:val="none"/>
          <w:lang w:val="en-US" w:eastAsia="zh-CN"/>
        </w:rPr>
        <w:t>第五章“采购需求”</w:t>
      </w:r>
      <w:r>
        <w:rPr>
          <w:rFonts w:hint="eastAsia" w:ascii="宋体" w:hAnsi="宋体"/>
          <w:color w:val="auto"/>
          <w:sz w:val="24"/>
          <w:highlight w:val="none"/>
          <w:lang w:val="en-US" w:eastAsia="zh-CN"/>
        </w:rPr>
        <w:t>。</w:t>
      </w:r>
    </w:p>
    <w:p>
      <w:pPr>
        <w:autoSpaceDE/>
        <w:spacing w:line="360" w:lineRule="auto"/>
        <w:ind w:firstLine="0" w:firstLineChars="0"/>
        <w:jc w:val="both"/>
        <w:rPr>
          <w:rFonts w:hint="eastAsia" w:ascii="宋体" w:hAnsi="宋体"/>
          <w:b w:val="0"/>
          <w:bCs w:val="0"/>
          <w:color w:val="auto"/>
          <w:sz w:val="24"/>
          <w:highlight w:val="none"/>
          <w:lang w:eastAsia="zh-CN"/>
        </w:rPr>
      </w:pPr>
      <w:r>
        <w:rPr>
          <w:rFonts w:hint="eastAsia" w:ascii="宋体" w:hAnsi="宋体"/>
          <w:b w:val="0"/>
          <w:bCs w:val="0"/>
          <w:color w:val="auto"/>
          <w:sz w:val="24"/>
          <w:highlight w:val="none"/>
          <w:u w:val="none"/>
          <w:lang w:val="en-US" w:eastAsia="zh-CN"/>
        </w:rPr>
        <w:t>2.5招标人为本次招标编制了最高投标限价，最高限价：120人*1800元+38人*2000元=292000元。即贰拾玖万贰仟元整。提供医疗门诊收费票据，超过最高限价的作废。</w:t>
      </w:r>
      <w:r>
        <w:rPr>
          <w:rFonts w:hint="eastAsia" w:cs="仿宋" w:asciiTheme="minorEastAsia" w:hAnsiTheme="minorEastAsia" w:eastAsiaTheme="minorEastAsia"/>
          <w:i w:val="0"/>
          <w:iCs w:val="0"/>
          <w:color w:val="auto"/>
          <w:sz w:val="24"/>
          <w:highlight w:val="none"/>
        </w:rPr>
        <w:t xml:space="preserve">  </w:t>
      </w:r>
    </w:p>
    <w:p>
      <w:pPr>
        <w:pStyle w:val="5"/>
        <w:jc w:val="both"/>
        <w:outlineLvl w:val="1"/>
        <w:rPr>
          <w:rFonts w:ascii="Arial" w:hAnsi="Arial"/>
        </w:rPr>
      </w:pPr>
      <w:bookmarkStart w:id="30" w:name="_Toc31387"/>
      <w:bookmarkStart w:id="31" w:name="_Toc8014"/>
      <w:bookmarkStart w:id="32" w:name="_Toc17674"/>
      <w:bookmarkStart w:id="33" w:name="_Toc26492"/>
      <w:bookmarkStart w:id="34" w:name="_Toc21425"/>
      <w:r>
        <w:rPr>
          <w:rFonts w:hint="eastAsia"/>
        </w:rPr>
        <w:t xml:space="preserve">3 </w:t>
      </w:r>
      <w:r>
        <w:rPr>
          <w:rFonts w:hint="eastAsia" w:ascii="黑体" w:hAnsi="黑体"/>
        </w:rPr>
        <w:t>供应商资格要求</w:t>
      </w:r>
      <w:bookmarkEnd w:id="30"/>
      <w:bookmarkEnd w:id="31"/>
      <w:bookmarkEnd w:id="32"/>
      <w:bookmarkEnd w:id="33"/>
      <w:bookmarkEnd w:id="34"/>
    </w:p>
    <w:p>
      <w:pPr>
        <w:keepNext w:val="0"/>
        <w:keepLines w:val="0"/>
        <w:pageBreakBefore w:val="0"/>
        <w:widowControl/>
        <w:kinsoku/>
        <w:wordWrap/>
        <w:overflowPunct/>
        <w:topLinePunct w:val="0"/>
        <w:autoSpaceDE/>
        <w:autoSpaceDN/>
        <w:bidi w:val="0"/>
        <w:adjustRightInd/>
        <w:snapToGrid/>
        <w:spacing w:line="480" w:lineRule="exact"/>
        <w:textAlignment w:val="auto"/>
        <w:outlineLvl w:val="2"/>
        <w:rPr>
          <w:rFonts w:hint="eastAsia" w:asciiTheme="minorEastAsia" w:hAnsiTheme="minorEastAsia" w:eastAsiaTheme="minorEastAsia" w:cstheme="minorEastAsia"/>
          <w:b w:val="0"/>
          <w:bCs w:val="0"/>
          <w:kern w:val="2"/>
          <w:sz w:val="24"/>
          <w:szCs w:val="24"/>
          <w:lang w:val="en-US" w:eastAsia="zh-CN" w:bidi="ar-SA"/>
        </w:rPr>
      </w:pPr>
      <w:bookmarkStart w:id="35" w:name="_Toc27417"/>
      <w:bookmarkStart w:id="36" w:name="_Toc3531"/>
      <w:bookmarkStart w:id="37" w:name="_Toc11664"/>
      <w:r>
        <w:rPr>
          <w:rFonts w:hint="eastAsia" w:ascii="宋体" w:hAnsi="宋体"/>
          <w:b/>
          <w:bCs/>
          <w:sz w:val="24"/>
        </w:rPr>
        <w:t>3.1</w:t>
      </w:r>
      <w:r>
        <w:rPr>
          <w:rFonts w:hint="eastAsia" w:asciiTheme="minorEastAsia" w:hAnsiTheme="minorEastAsia" w:eastAsiaTheme="minorEastAsia" w:cstheme="minorEastAsia"/>
          <w:b w:val="0"/>
          <w:bCs w:val="0"/>
          <w:kern w:val="2"/>
          <w:sz w:val="24"/>
          <w:szCs w:val="24"/>
          <w:lang w:val="en-US" w:eastAsia="zh-CN" w:bidi="ar-SA"/>
        </w:rPr>
        <w:t>供应商不得存在下列情形之一:</w:t>
      </w:r>
      <w:bookmarkEnd w:id="35"/>
      <w:bookmarkEnd w:id="36"/>
      <w:bookmarkEnd w:id="37"/>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3.1.1处于被责令停产停业、暂扣或者吊销执照、暂扣或者吊销许可证、吊销资质证书状态；</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3.1.2进入清算程序，或被宣告破产，或其他丧失履约能力的情形；</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3.1.3被采购人或采购人上级单位纳入黑名单；</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3.1.4为投资参股本项目的法人单位。</w:t>
      </w:r>
    </w:p>
    <w:p>
      <w:pPr>
        <w:keepNext w:val="0"/>
        <w:keepLines w:val="0"/>
        <w:pageBreakBefore w:val="0"/>
        <w:widowControl/>
        <w:kinsoku/>
        <w:wordWrap/>
        <w:overflowPunct/>
        <w:topLinePunct w:val="0"/>
        <w:autoSpaceDE/>
        <w:autoSpaceDN/>
        <w:bidi w:val="0"/>
        <w:adjustRightInd/>
        <w:snapToGrid/>
        <w:spacing w:line="480" w:lineRule="exact"/>
        <w:textAlignment w:val="auto"/>
        <w:outlineLvl w:val="2"/>
        <w:rPr>
          <w:rFonts w:hint="eastAsia" w:asciiTheme="minorEastAsia" w:hAnsiTheme="minorEastAsia" w:eastAsiaTheme="minorEastAsia" w:cstheme="minorEastAsia"/>
          <w:b w:val="0"/>
          <w:bCs w:val="0"/>
          <w:kern w:val="2"/>
          <w:sz w:val="24"/>
          <w:szCs w:val="24"/>
          <w:lang w:val="en-US" w:eastAsia="zh-CN" w:bidi="ar-SA"/>
        </w:rPr>
      </w:pPr>
      <w:bookmarkStart w:id="38" w:name="_Toc26552"/>
      <w:bookmarkStart w:id="39" w:name="_Toc9764"/>
      <w:bookmarkStart w:id="40" w:name="_Toc29333"/>
      <w:r>
        <w:rPr>
          <w:rFonts w:hint="eastAsia" w:asciiTheme="minorEastAsia" w:hAnsiTheme="minorEastAsia" w:eastAsiaTheme="minorEastAsia" w:cstheme="minorEastAsia"/>
          <w:b/>
          <w:bCs/>
          <w:kern w:val="2"/>
          <w:sz w:val="24"/>
          <w:szCs w:val="24"/>
          <w:lang w:val="en-US" w:eastAsia="zh-CN" w:bidi="ar-SA"/>
        </w:rPr>
        <w:t>3.2</w:t>
      </w:r>
      <w:r>
        <w:rPr>
          <w:rFonts w:hint="eastAsia" w:asciiTheme="minorEastAsia" w:hAnsiTheme="minorEastAsia" w:eastAsiaTheme="minorEastAsia" w:cstheme="minorEastAsia"/>
          <w:b w:val="0"/>
          <w:bCs w:val="0"/>
          <w:kern w:val="2"/>
          <w:sz w:val="24"/>
          <w:szCs w:val="24"/>
          <w:lang w:val="en-US" w:eastAsia="zh-CN" w:bidi="ar-SA"/>
        </w:rPr>
        <w:t>供应商应满足如下要求:</w:t>
      </w:r>
      <w:bookmarkEnd w:id="38"/>
      <w:bookmarkEnd w:id="39"/>
      <w:bookmarkEnd w:id="40"/>
    </w:p>
    <w:tbl>
      <w:tblPr>
        <w:tblStyle w:val="43"/>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2"/>
        <w:gridCol w:w="1677"/>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资格条件</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对供应商要求</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（1）依法设立</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（2）资质要求</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（3）财务要求</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（4）业绩要求</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（5）信誉要求</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（6）承担本项目的主要人员要求</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（7）其他要求</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2"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（8）供应商不存在第一章3.1款情形的证明材料</w:t>
            </w:r>
          </w:p>
        </w:tc>
        <w:tc>
          <w:tcPr>
            <w:tcW w:w="1677"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w:t>
            </w:r>
          </w:p>
        </w:tc>
        <w:tc>
          <w:tcPr>
            <w:tcW w:w="5114" w:type="dxa"/>
            <w:vAlign w:val="center"/>
          </w:tcPr>
          <w:p>
            <w:pPr>
              <w:pageBreakBefore w:val="0"/>
              <w:widowControl/>
              <w:kinsoku/>
              <w:wordWrap/>
              <w:overflowPunct/>
              <w:topLinePunct w:val="0"/>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☑适用，见采购文件供应商须知前附表3.5（8）。</w:t>
            </w:r>
          </w:p>
        </w:tc>
      </w:tr>
    </w:tbl>
    <w:p>
      <w:pPr>
        <w:pStyle w:val="5"/>
        <w:jc w:val="both"/>
        <w:outlineLvl w:val="1"/>
        <w:rPr>
          <w:rFonts w:hint="eastAsia" w:ascii="黑体" w:hAnsi="黑体"/>
        </w:rPr>
      </w:pPr>
      <w:bookmarkStart w:id="41" w:name="_Toc21793"/>
      <w:bookmarkStart w:id="42" w:name="_Toc23906"/>
      <w:bookmarkStart w:id="43" w:name="_Toc32615"/>
      <w:bookmarkStart w:id="44" w:name="_Toc18570"/>
      <w:bookmarkStart w:id="45" w:name="_Toc24088"/>
      <w:r>
        <w:rPr>
          <w:rFonts w:hint="eastAsia"/>
        </w:rPr>
        <w:t xml:space="preserve">4 </w:t>
      </w:r>
      <w:r>
        <w:rPr>
          <w:rFonts w:hint="eastAsia" w:ascii="黑体" w:hAnsi="黑体"/>
        </w:rPr>
        <w:t>响应保证金</w:t>
      </w:r>
      <w:bookmarkEnd w:id="41"/>
      <w:bookmarkEnd w:id="42"/>
      <w:bookmarkEnd w:id="43"/>
      <w:bookmarkEnd w:id="44"/>
      <w:bookmarkEnd w:id="45"/>
    </w:p>
    <w:tbl>
      <w:tblPr>
        <w:tblStyle w:val="43"/>
        <w:tblpPr w:leftFromText="180" w:rightFromText="180" w:vertAnchor="text" w:horzAnchor="page" w:tblpX="1069" w:tblpY="170"/>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widowControl w:val="0"/>
              <w:autoSpaceDE w:val="0"/>
              <w:spacing w:line="360" w:lineRule="auto"/>
              <w:jc w:val="center"/>
              <w:rPr>
                <w:rFonts w:ascii="黑体" w:hAnsi="黑体"/>
                <w:sz w:val="24"/>
                <w:szCs w:val="24"/>
              </w:rPr>
            </w:pPr>
            <w:r>
              <w:rPr>
                <w:rFonts w:hint="eastAsia" w:ascii="黑体" w:hAnsi="黑体"/>
                <w:sz w:val="24"/>
                <w:szCs w:val="24"/>
              </w:rPr>
              <w:t>响应</w:t>
            </w:r>
            <w:r>
              <w:rPr>
                <w:rFonts w:hint="eastAsia" w:ascii="宋体" w:hAnsi="宋体"/>
                <w:sz w:val="24"/>
                <w:szCs w:val="24"/>
              </w:rPr>
              <w:t>保证金的递交</w:t>
            </w:r>
          </w:p>
        </w:tc>
        <w:tc>
          <w:tcPr>
            <w:tcW w:w="3597" w:type="dxa"/>
            <w:vAlign w:val="center"/>
          </w:tcPr>
          <w:p>
            <w:pPr>
              <w:widowControl w:val="0"/>
              <w:autoSpaceDE w:val="0"/>
              <w:spacing w:line="360" w:lineRule="auto"/>
              <w:jc w:val="center"/>
              <w:rPr>
                <w:rFonts w:ascii="黑体" w:hAnsi="黑体"/>
                <w:sz w:val="24"/>
                <w:szCs w:val="24"/>
              </w:rPr>
            </w:pPr>
            <w:r>
              <w:rPr>
                <w:rFonts w:hint="eastAsia" w:ascii="宋体" w:hAnsi="宋体"/>
                <w:sz w:val="24"/>
                <w:szCs w:val="24"/>
              </w:rPr>
              <w:t>不退还响应保证金的其他情形</w:t>
            </w:r>
          </w:p>
        </w:tc>
        <w:tc>
          <w:tcPr>
            <w:tcW w:w="3285" w:type="dxa"/>
            <w:vAlign w:val="center"/>
          </w:tcPr>
          <w:p>
            <w:pPr>
              <w:widowControl w:val="0"/>
              <w:autoSpaceDE w:val="0"/>
              <w:spacing w:line="360" w:lineRule="auto"/>
              <w:jc w:val="center"/>
              <w:rPr>
                <w:rFonts w:ascii="黑体" w:hAnsi="黑体"/>
                <w:sz w:val="24"/>
                <w:szCs w:val="24"/>
              </w:rPr>
            </w:pPr>
            <w:r>
              <w:rPr>
                <w:rFonts w:hint="eastAsia" w:ascii="宋体" w:hAnsi="宋体"/>
                <w:sz w:val="24"/>
                <w:szCs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widowControl w:val="0"/>
              <w:autoSpaceDE w:val="0"/>
              <w:spacing w:line="360" w:lineRule="auto"/>
              <w:jc w:val="center"/>
              <w:rPr>
                <w:rFonts w:ascii="宋体" w:hAnsi="宋体"/>
                <w:sz w:val="24"/>
                <w:szCs w:val="24"/>
              </w:rPr>
            </w:pPr>
            <w:r>
              <w:rPr>
                <w:rFonts w:hint="eastAsia" w:cs="仿宋" w:asciiTheme="minorEastAsia" w:hAnsiTheme="minorEastAsia" w:eastAsiaTheme="minorEastAsia"/>
                <w:sz w:val="24"/>
                <w:highlight w:val="none"/>
                <w:lang w:eastAsia="zh-CN"/>
              </w:rPr>
              <w:t>☑</w:t>
            </w:r>
            <w:r>
              <w:rPr>
                <w:rFonts w:hint="eastAsia" w:ascii="宋体" w:hAnsi="宋体"/>
                <w:sz w:val="24"/>
                <w:szCs w:val="24"/>
              </w:rPr>
              <w:t>不要求递交</w:t>
            </w:r>
          </w:p>
        </w:tc>
        <w:tc>
          <w:tcPr>
            <w:tcW w:w="3597" w:type="dxa"/>
            <w:vAlign w:val="center"/>
          </w:tcPr>
          <w:p>
            <w:pPr>
              <w:widowControl w:val="0"/>
              <w:autoSpaceDE w:val="0"/>
              <w:spacing w:line="360" w:lineRule="auto"/>
              <w:jc w:val="center"/>
              <w:rPr>
                <w:rFonts w:ascii="黑体" w:hAnsi="黑体"/>
                <w:sz w:val="24"/>
                <w:szCs w:val="24"/>
              </w:rPr>
            </w:pPr>
            <w:r>
              <w:rPr>
                <w:rFonts w:hint="eastAsia" w:cs="仿宋" w:asciiTheme="minorEastAsia" w:hAnsiTheme="minorEastAsia" w:eastAsiaTheme="minorEastAsia"/>
                <w:sz w:val="24"/>
                <w:highlight w:val="none"/>
                <w:lang w:eastAsia="zh-CN"/>
              </w:rPr>
              <w:t>☑</w:t>
            </w:r>
            <w:r>
              <w:rPr>
                <w:rFonts w:hint="eastAsia" w:ascii="宋体" w:hAnsi="宋体"/>
                <w:sz w:val="24"/>
                <w:szCs w:val="24"/>
              </w:rPr>
              <w:t>不适用</w:t>
            </w:r>
          </w:p>
        </w:tc>
        <w:tc>
          <w:tcPr>
            <w:tcW w:w="3285" w:type="dxa"/>
            <w:vAlign w:val="center"/>
          </w:tcPr>
          <w:p>
            <w:pPr>
              <w:widowControl w:val="0"/>
              <w:autoSpaceDE w:val="0"/>
              <w:spacing w:line="360" w:lineRule="auto"/>
              <w:jc w:val="center"/>
              <w:rPr>
                <w:rFonts w:ascii="黑体" w:hAnsi="黑体"/>
                <w:sz w:val="24"/>
                <w:szCs w:val="24"/>
              </w:rPr>
            </w:pPr>
            <w:r>
              <w:rPr>
                <w:rFonts w:hint="eastAsia" w:cs="仿宋" w:asciiTheme="minorEastAsia" w:hAnsiTheme="minorEastAsia" w:eastAsiaTheme="minorEastAsia"/>
                <w:sz w:val="24"/>
                <w:highlight w:val="none"/>
                <w:lang w:eastAsia="zh-CN"/>
              </w:rPr>
              <w:t>☑</w:t>
            </w:r>
            <w:r>
              <w:rPr>
                <w:rFonts w:hint="eastAsia" w:ascii="宋体" w:hAnsi="宋体"/>
                <w:sz w:val="24"/>
                <w:szCs w:val="24"/>
              </w:rPr>
              <w:t>不适用</w:t>
            </w:r>
          </w:p>
        </w:tc>
      </w:tr>
    </w:tbl>
    <w:p>
      <w:pPr>
        <w:rPr>
          <w:rFonts w:hint="eastAsia" w:ascii="黑体" w:hAnsi="黑体"/>
        </w:rPr>
      </w:pPr>
      <w:r>
        <w:rPr>
          <w:rFonts w:hint="eastAsia" w:ascii="黑体" w:hAnsi="黑体"/>
        </w:rPr>
        <w:br w:type="page"/>
      </w:r>
    </w:p>
    <w:p>
      <w:pPr>
        <w:pStyle w:val="5"/>
        <w:jc w:val="both"/>
        <w:outlineLvl w:val="1"/>
        <w:rPr>
          <w:rFonts w:ascii="Arial" w:hAnsi="Arial"/>
        </w:rPr>
      </w:pPr>
      <w:bookmarkStart w:id="46" w:name="_Toc5034"/>
      <w:bookmarkStart w:id="47" w:name="_Toc22364"/>
      <w:bookmarkStart w:id="48" w:name="_Toc6888"/>
      <w:bookmarkStart w:id="49" w:name="_Toc22204"/>
      <w:bookmarkStart w:id="50" w:name="_Toc25823"/>
      <w:r>
        <w:rPr>
          <w:rFonts w:hint="eastAsia"/>
        </w:rPr>
        <w:t>5</w:t>
      </w:r>
      <w:r>
        <w:t xml:space="preserve"> </w:t>
      </w:r>
      <w:r>
        <w:rPr>
          <w:rFonts w:hint="eastAsia" w:ascii="黑体" w:hAnsi="黑体"/>
        </w:rPr>
        <w:t>确定成交供应商的方法</w:t>
      </w:r>
      <w:bookmarkEnd w:id="46"/>
      <w:bookmarkEnd w:id="47"/>
      <w:bookmarkEnd w:id="48"/>
      <w:bookmarkEnd w:id="49"/>
      <w:bookmarkEnd w:id="50"/>
    </w:p>
    <w:p>
      <w:pPr>
        <w:keepNext w:val="0"/>
        <w:keepLines w:val="0"/>
        <w:pageBreakBefore w:val="0"/>
        <w:widowControl/>
        <w:kinsoku/>
        <w:wordWrap/>
        <w:overflowPunct/>
        <w:topLinePunct w:val="0"/>
        <w:autoSpaceDE/>
        <w:autoSpaceDN/>
        <w:bidi w:val="0"/>
        <w:adjustRightInd/>
        <w:snapToGrid/>
        <w:spacing w:line="480" w:lineRule="exact"/>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51" w:name="_Toc7486"/>
      <w:bookmarkStart w:id="52" w:name="_Toc1588"/>
      <w:bookmarkStart w:id="53" w:name="_Toc22884"/>
      <w:r>
        <w:rPr>
          <w:rFonts w:hint="eastAsia" w:asciiTheme="minorEastAsia" w:hAnsiTheme="minorEastAsia" w:eastAsiaTheme="minorEastAsia" w:cstheme="minorEastAsia"/>
          <w:b/>
          <w:bCs/>
          <w:kern w:val="2"/>
          <w:sz w:val="24"/>
          <w:szCs w:val="24"/>
          <w:lang w:val="en-US" w:eastAsia="zh-CN" w:bidi="ar-SA"/>
        </w:rPr>
        <w:t>5.1综合评分法</w:t>
      </w:r>
      <w:bookmarkEnd w:id="51"/>
      <w:bookmarkEnd w:id="52"/>
      <w:bookmarkEnd w:id="53"/>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5.2</w:t>
      </w:r>
      <w:r>
        <w:rPr>
          <w:rFonts w:hint="eastAsia" w:asciiTheme="minorEastAsia" w:hAnsiTheme="minorEastAsia" w:eastAsiaTheme="minorEastAsia" w:cstheme="minorEastAsia"/>
          <w:b w:val="0"/>
          <w:bCs w:val="0"/>
          <w:kern w:val="2"/>
          <w:sz w:val="24"/>
          <w:szCs w:val="24"/>
          <w:lang w:val="en-US" w:eastAsia="zh-CN" w:bidi="ar-SA"/>
        </w:rPr>
        <w:t xml:space="preserve"> 采购人将确定排名第一的成交候选供应商为成交供应商。若排名第一的成交候选供应商未通过履约能力和报价核查，采购人应按推荐的名单排序依次确定其他成交候选供应商为成交供应商。</w:t>
      </w:r>
    </w:p>
    <w:p>
      <w:pPr>
        <w:pStyle w:val="5"/>
        <w:jc w:val="both"/>
        <w:outlineLvl w:val="1"/>
        <w:rPr>
          <w:rFonts w:ascii="Arial" w:hAnsi="Arial"/>
        </w:rPr>
      </w:pPr>
      <w:bookmarkStart w:id="54" w:name="_Toc8053"/>
      <w:bookmarkStart w:id="55" w:name="_Toc17705"/>
      <w:bookmarkStart w:id="56" w:name="_Toc26057"/>
      <w:bookmarkStart w:id="57" w:name="_Toc6307"/>
      <w:bookmarkStart w:id="58" w:name="_Toc18261"/>
      <w:r>
        <w:rPr>
          <w:rFonts w:hint="eastAsia"/>
          <w:lang w:val="en-US" w:eastAsia="zh-CN"/>
        </w:rPr>
        <w:t>6</w:t>
      </w:r>
      <w:r>
        <w:rPr>
          <w:rFonts w:hint="eastAsia"/>
        </w:rPr>
        <w:t>.</w:t>
      </w:r>
      <w:r>
        <w:rPr>
          <w:rFonts w:hint="eastAsia" w:ascii="黑体" w:hAnsi="黑体"/>
        </w:rPr>
        <w:t>采购文件获取</w:t>
      </w:r>
      <w:bookmarkEnd w:id="54"/>
      <w:bookmarkEnd w:id="55"/>
      <w:bookmarkEnd w:id="56"/>
      <w:bookmarkEnd w:id="57"/>
      <w:bookmarkEnd w:id="58"/>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 xml:space="preserve">6.1 </w:t>
      </w:r>
      <w:r>
        <w:rPr>
          <w:rFonts w:hint="eastAsia" w:asciiTheme="minorEastAsia" w:hAnsiTheme="minorEastAsia" w:eastAsiaTheme="minorEastAsia" w:cstheme="minorEastAsia"/>
          <w:b w:val="0"/>
          <w:bCs w:val="0"/>
          <w:kern w:val="2"/>
          <w:sz w:val="24"/>
          <w:szCs w:val="24"/>
          <w:lang w:val="en-US" w:eastAsia="zh-CN" w:bidi="ar-SA"/>
        </w:rPr>
        <w:t>供应商应当于</w:t>
      </w:r>
      <w:r>
        <w:rPr>
          <w:rFonts w:hint="eastAsia" w:asciiTheme="minorEastAsia" w:hAnsiTheme="minorEastAsia" w:eastAsiaTheme="minorEastAsia" w:cstheme="minorEastAsia"/>
          <w:b w:val="0"/>
          <w:bCs w:val="0"/>
          <w:kern w:val="2"/>
          <w:sz w:val="24"/>
          <w:szCs w:val="24"/>
          <w:highlight w:val="yellow"/>
          <w:lang w:val="en-US" w:eastAsia="zh-CN" w:bidi="ar-SA"/>
        </w:rPr>
        <w:t>2024年5月22日至2024年5月26日</w:t>
      </w:r>
      <w:r>
        <w:rPr>
          <w:rFonts w:hint="eastAsia" w:asciiTheme="minorEastAsia" w:hAnsiTheme="minorEastAsia" w:eastAsiaTheme="minorEastAsia" w:cstheme="minorEastAsia"/>
          <w:b w:val="0"/>
          <w:bCs w:val="0"/>
          <w:kern w:val="2"/>
          <w:sz w:val="24"/>
          <w:szCs w:val="24"/>
          <w:lang w:val="en-US" w:eastAsia="zh-CN" w:bidi="ar-SA"/>
        </w:rPr>
        <w:t>，网上直接下载获取采购文件，报价文件最迟应于</w:t>
      </w:r>
      <w:r>
        <w:rPr>
          <w:rFonts w:hint="eastAsia" w:asciiTheme="minorEastAsia" w:hAnsiTheme="minorEastAsia" w:eastAsiaTheme="minorEastAsia" w:cstheme="minorEastAsia"/>
          <w:b w:val="0"/>
          <w:bCs w:val="0"/>
          <w:kern w:val="2"/>
          <w:sz w:val="24"/>
          <w:szCs w:val="24"/>
          <w:highlight w:val="yellow"/>
          <w:u w:val="none"/>
          <w:lang w:val="en-US" w:eastAsia="zh-CN" w:bidi="ar-SA"/>
        </w:rPr>
        <w:t>2024年5月27日12时00分</w:t>
      </w:r>
      <w:r>
        <w:rPr>
          <w:rFonts w:hint="eastAsia" w:asciiTheme="minorEastAsia" w:hAnsiTheme="minorEastAsia" w:eastAsiaTheme="minorEastAsia" w:cstheme="minorEastAsia"/>
          <w:b w:val="0"/>
          <w:bCs w:val="0"/>
          <w:kern w:val="2"/>
          <w:sz w:val="24"/>
          <w:szCs w:val="24"/>
          <w:lang w:val="en-US" w:eastAsia="zh-CN" w:bidi="ar-SA"/>
        </w:rPr>
        <w:t>送达岳阳城陵矶新港有限公司办公楼103室，逾期送达的或者未送达指定地点的文件，不予受理。</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 xml:space="preserve">6.2 </w:t>
      </w:r>
      <w:r>
        <w:rPr>
          <w:rFonts w:hint="eastAsia" w:asciiTheme="minorEastAsia" w:hAnsiTheme="minorEastAsia" w:eastAsiaTheme="minorEastAsia" w:cstheme="minorEastAsia"/>
          <w:b w:val="0"/>
          <w:bCs w:val="0"/>
          <w:kern w:val="2"/>
          <w:sz w:val="24"/>
          <w:szCs w:val="24"/>
          <w:lang w:val="en-US" w:eastAsia="zh-CN" w:bidi="ar-SA"/>
        </w:rPr>
        <w:t>供应商若对本项目采购需求、资格要求等有疑问的，应当于</w:t>
      </w:r>
      <w:r>
        <w:rPr>
          <w:rFonts w:hint="eastAsia" w:asciiTheme="minorEastAsia" w:hAnsiTheme="minorEastAsia" w:eastAsiaTheme="minorEastAsia" w:cstheme="minorEastAsia"/>
          <w:b w:val="0"/>
          <w:bCs w:val="0"/>
          <w:kern w:val="2"/>
          <w:sz w:val="24"/>
          <w:szCs w:val="24"/>
          <w:highlight w:val="yellow"/>
          <w:u w:val="none"/>
          <w:lang w:val="en-US" w:eastAsia="zh-CN" w:bidi="ar-SA"/>
        </w:rPr>
        <w:t>2024年5月25日17时30</w:t>
      </w:r>
      <w:r>
        <w:rPr>
          <w:rFonts w:hint="eastAsia" w:asciiTheme="minorEastAsia" w:hAnsiTheme="minorEastAsia" w:eastAsiaTheme="minorEastAsia" w:cstheme="minorEastAsia"/>
          <w:b w:val="0"/>
          <w:bCs w:val="0"/>
          <w:kern w:val="2"/>
          <w:sz w:val="24"/>
          <w:szCs w:val="24"/>
          <w:highlight w:val="yellow"/>
          <w:lang w:val="en-US" w:eastAsia="zh-CN" w:bidi="ar-SA"/>
        </w:rPr>
        <w:t>分</w:t>
      </w:r>
      <w:r>
        <w:rPr>
          <w:rFonts w:hint="eastAsia" w:asciiTheme="minorEastAsia" w:hAnsiTheme="minorEastAsia" w:eastAsiaTheme="minorEastAsia" w:cstheme="minorEastAsia"/>
          <w:b w:val="0"/>
          <w:bCs w:val="0"/>
          <w:kern w:val="2"/>
          <w:sz w:val="24"/>
          <w:szCs w:val="24"/>
          <w:lang w:val="en-US" w:eastAsia="zh-CN" w:bidi="ar-SA"/>
        </w:rPr>
        <w:t>前向采购人提出澄清要求。</w:t>
      </w:r>
    </w:p>
    <w:p>
      <w:pPr>
        <w:pStyle w:val="5"/>
        <w:jc w:val="both"/>
        <w:outlineLvl w:val="1"/>
      </w:pPr>
      <w:bookmarkStart w:id="59" w:name="_Toc27432"/>
      <w:bookmarkStart w:id="60" w:name="_Toc26482"/>
      <w:bookmarkStart w:id="61" w:name="_Toc30176"/>
      <w:bookmarkStart w:id="62" w:name="_Toc26604"/>
      <w:bookmarkStart w:id="63" w:name="_Toc23835"/>
      <w:r>
        <w:rPr>
          <w:rFonts w:hint="eastAsia"/>
          <w:lang w:val="en-US" w:eastAsia="zh-CN"/>
        </w:rPr>
        <w:t>7</w:t>
      </w:r>
      <w:r>
        <w:rPr>
          <w:rFonts w:hint="eastAsia"/>
        </w:rPr>
        <w:t>.发布</w:t>
      </w:r>
      <w:r>
        <w:rPr>
          <w:rFonts w:hint="eastAsia" w:ascii="黑体" w:hAnsi="黑体"/>
        </w:rPr>
        <w:t>公告的</w:t>
      </w:r>
      <w:r>
        <w:rPr>
          <w:rFonts w:hint="eastAsia"/>
        </w:rPr>
        <w:t>媒介</w:t>
      </w:r>
      <w:bookmarkEnd w:id="59"/>
      <w:bookmarkEnd w:id="60"/>
      <w:bookmarkEnd w:id="61"/>
      <w:bookmarkEnd w:id="62"/>
      <w:bookmarkEnd w:id="63"/>
    </w:p>
    <w:p>
      <w:pPr>
        <w:keepNext w:val="0"/>
        <w:keepLines w:val="0"/>
        <w:pageBreakBefore w:val="0"/>
        <w:widowControl/>
        <w:kinsoku/>
        <w:wordWrap/>
        <w:overflowPunct/>
        <w:topLinePunct w:val="0"/>
        <w:autoSpaceDE/>
        <w:autoSpaceDN/>
        <w:bidi w:val="0"/>
        <w:adjustRightInd/>
        <w:snapToGrid/>
        <w:spacing w:line="480" w:lineRule="exact"/>
        <w:ind w:firstLine="240" w:firstLineChars="1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本次采购公告发布的媒介:</w:t>
      </w:r>
      <w:r>
        <w:rPr>
          <w:rFonts w:hint="eastAsia" w:ascii="宋体" w:hAnsi="宋体" w:cs="宋体"/>
          <w:color w:val="auto"/>
          <w:sz w:val="24"/>
          <w:highlight w:val="none"/>
          <w:u w:val="single"/>
        </w:rPr>
        <w:t>中国招标投标公共服务平台（http://www.cebpubservice.com/）、</w:t>
      </w:r>
      <w:r>
        <w:rPr>
          <w:rFonts w:hint="eastAsia" w:asciiTheme="minorEastAsia" w:hAnsiTheme="minorEastAsia" w:eastAsiaTheme="minorEastAsia" w:cstheme="minorEastAsia"/>
          <w:b w:val="0"/>
          <w:bCs w:val="0"/>
          <w:color w:val="auto"/>
          <w:kern w:val="2"/>
          <w:sz w:val="24"/>
          <w:szCs w:val="24"/>
          <w:lang w:val="en-US" w:eastAsia="zh-CN" w:bidi="ar-SA"/>
        </w:rPr>
        <w:t>湖南省港航水利集团有限公司网站（http://www.hnsghsljt.com/）</w:t>
      </w:r>
      <w:r>
        <w:rPr>
          <w:rFonts w:hint="eastAsia" w:ascii="宋体" w:hAnsi="宋体" w:cs="宋体"/>
          <w:color w:val="auto"/>
          <w:sz w:val="24"/>
          <w:highlight w:val="none"/>
          <w:u w:val="single"/>
          <w:lang w:eastAsia="zh-CN"/>
        </w:rPr>
        <w:t>、湖南省</w:t>
      </w:r>
      <w:r>
        <w:rPr>
          <w:rFonts w:hint="eastAsia" w:ascii="宋体" w:hAnsi="宋体" w:cs="宋体"/>
          <w:color w:val="auto"/>
          <w:sz w:val="24"/>
          <w:highlight w:val="none"/>
          <w:u w:val="single"/>
          <w:lang w:val="en-US" w:eastAsia="zh-CN"/>
        </w:rPr>
        <w:t>城陵矶港口集团</w:t>
      </w:r>
      <w:r>
        <w:rPr>
          <w:rFonts w:hint="eastAsia" w:ascii="宋体" w:hAnsi="宋体" w:cs="宋体"/>
          <w:color w:val="auto"/>
          <w:sz w:val="24"/>
          <w:highlight w:val="none"/>
          <w:u w:val="single"/>
          <w:lang w:eastAsia="zh-CN"/>
        </w:rPr>
        <w:t>有限公司网站（</w:t>
      </w:r>
      <w:r>
        <w:rPr>
          <w:rFonts w:hint="eastAsia" w:ascii="宋体" w:hAnsi="宋体" w:cs="宋体"/>
          <w:color w:val="auto"/>
          <w:sz w:val="24"/>
          <w:highlight w:val="none"/>
          <w:u w:val="single"/>
        </w:rPr>
        <w:t>http://www.hnsgwjt.com/</w:t>
      </w:r>
      <w:r>
        <w:rPr>
          <w:rFonts w:hint="eastAsia" w:ascii="宋体" w:hAnsi="宋体" w:cs="宋体"/>
          <w:color w:val="auto"/>
          <w:sz w:val="24"/>
          <w:highlight w:val="none"/>
          <w:u w:val="single"/>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上发布。</w:t>
      </w:r>
    </w:p>
    <w:p>
      <w:pPr>
        <w:pStyle w:val="5"/>
        <w:jc w:val="both"/>
        <w:outlineLvl w:val="1"/>
      </w:pPr>
      <w:bookmarkStart w:id="64" w:name="_Toc512257471"/>
      <w:bookmarkStart w:id="65" w:name="_Toc76635692"/>
      <w:bookmarkStart w:id="66" w:name="_Toc77254104"/>
      <w:bookmarkStart w:id="67" w:name="_Toc79596547"/>
      <w:bookmarkStart w:id="68" w:name="_Toc11627"/>
      <w:bookmarkStart w:id="69" w:name="_Toc7299"/>
      <w:bookmarkStart w:id="70" w:name="_Toc8840"/>
      <w:bookmarkStart w:id="71" w:name="_Toc28802"/>
      <w:bookmarkStart w:id="72" w:name="_Toc14065"/>
      <w:r>
        <w:rPr>
          <w:rFonts w:hint="eastAsia"/>
          <w:lang w:val="en-US" w:eastAsia="zh-CN"/>
        </w:rPr>
        <w:t>8</w:t>
      </w:r>
      <w:r>
        <w:rPr>
          <w:rFonts w:hint="eastAsia"/>
        </w:rPr>
        <w:t>.</w:t>
      </w:r>
      <w:r>
        <w:t>监督</w:t>
      </w:r>
      <w:bookmarkEnd w:id="64"/>
      <w:bookmarkEnd w:id="65"/>
      <w:bookmarkEnd w:id="66"/>
      <w:r>
        <w:rPr>
          <w:rFonts w:hint="eastAsia"/>
        </w:rPr>
        <w:t>部门</w:t>
      </w:r>
      <w:bookmarkEnd w:id="67"/>
      <w:bookmarkEnd w:id="68"/>
      <w:bookmarkEnd w:id="69"/>
      <w:bookmarkEnd w:id="70"/>
      <w:bookmarkEnd w:id="71"/>
      <w:bookmarkEnd w:id="72"/>
    </w:p>
    <w:p>
      <w:pPr>
        <w:keepNext w:val="0"/>
        <w:keepLines w:val="0"/>
        <w:pageBreakBefore w:val="0"/>
        <w:widowControl/>
        <w:kinsoku/>
        <w:wordWrap/>
        <w:overflowPunct/>
        <w:topLinePunct w:val="0"/>
        <w:autoSpaceDE/>
        <w:autoSpaceDN/>
        <w:bidi w:val="0"/>
        <w:adjustRightInd/>
        <w:snapToGrid/>
        <w:spacing w:line="480" w:lineRule="exact"/>
        <w:ind w:firstLine="240" w:firstLineChars="1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本次采购监督部门为</w:t>
      </w:r>
      <w:r>
        <w:rPr>
          <w:rFonts w:hint="eastAsia" w:asciiTheme="minorEastAsia" w:hAnsiTheme="minorEastAsia" w:eastAsiaTheme="minorEastAsia" w:cstheme="minorEastAsia"/>
          <w:b w:val="0"/>
          <w:bCs w:val="0"/>
          <w:kern w:val="2"/>
          <w:sz w:val="24"/>
          <w:szCs w:val="24"/>
          <w:u w:val="single"/>
          <w:lang w:val="en-US" w:eastAsia="zh-CN" w:bidi="ar-SA"/>
        </w:rPr>
        <w:t>岳阳城陵矶新港有限公司综合管理部</w:t>
      </w:r>
      <w:r>
        <w:rPr>
          <w:rFonts w:hint="eastAsia" w:asciiTheme="minorEastAsia" w:hAnsiTheme="minorEastAsia" w:eastAsiaTheme="minorEastAsia" w:cstheme="minorEastAsia"/>
          <w:b w:val="0"/>
          <w:bCs w:val="0"/>
          <w:kern w:val="2"/>
          <w:sz w:val="24"/>
          <w:szCs w:val="24"/>
          <w:lang w:val="en-US" w:eastAsia="zh-CN" w:bidi="ar-SA"/>
        </w:rPr>
        <w:t>，电话：13975080729 。</w:t>
      </w:r>
    </w:p>
    <w:p>
      <w:pPr>
        <w:pStyle w:val="5"/>
        <w:jc w:val="both"/>
        <w:outlineLvl w:val="1"/>
        <w:rPr>
          <w:rFonts w:ascii="Arial" w:hAnsi="Arial"/>
        </w:rPr>
      </w:pPr>
      <w:bookmarkStart w:id="73" w:name="_Toc28549"/>
      <w:bookmarkStart w:id="74" w:name="_Toc13581"/>
      <w:bookmarkStart w:id="75" w:name="_Toc28828"/>
      <w:bookmarkStart w:id="76" w:name="_Toc15078"/>
      <w:bookmarkStart w:id="77" w:name="_Toc6055"/>
      <w:r>
        <w:rPr>
          <w:rFonts w:hint="eastAsia"/>
          <w:lang w:val="en-US" w:eastAsia="zh-CN"/>
        </w:rPr>
        <w:t>9</w:t>
      </w:r>
      <w:r>
        <w:rPr>
          <w:rFonts w:hint="eastAsia"/>
        </w:rPr>
        <w:t>.</w:t>
      </w:r>
      <w:r>
        <w:rPr>
          <w:rFonts w:hint="eastAsia" w:ascii="黑体" w:hAnsi="黑体"/>
        </w:rPr>
        <w:t>联系方式</w:t>
      </w:r>
      <w:bookmarkEnd w:id="73"/>
      <w:bookmarkEnd w:id="74"/>
      <w:bookmarkEnd w:id="75"/>
      <w:bookmarkEnd w:id="76"/>
      <w:bookmarkEnd w:id="77"/>
    </w:p>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sz w:val="24"/>
          <w:lang w:val="en-US" w:eastAsia="zh-CN"/>
        </w:rPr>
      </w:pPr>
      <w:bookmarkStart w:id="78" w:name="_Toc234832861"/>
      <w:bookmarkStart w:id="79" w:name="_Toc517787494"/>
      <w:r>
        <w:rPr>
          <w:rFonts w:hint="eastAsia" w:ascii="宋体" w:hAnsi="宋体"/>
          <w:sz w:val="24"/>
          <w:lang w:val="en-US" w:eastAsia="zh-CN"/>
        </w:rPr>
        <w:t xml:space="preserve">采 购 人: 岳阳城陵矶新港有限公司             </w:t>
      </w:r>
    </w:p>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sz w:val="24"/>
          <w:lang w:val="en-US" w:eastAsia="zh-CN"/>
        </w:rPr>
      </w:pPr>
      <w:r>
        <w:rPr>
          <w:rFonts w:hint="eastAsia" w:ascii="宋体" w:hAnsi="宋体"/>
          <w:sz w:val="24"/>
          <w:lang w:val="en-US" w:eastAsia="zh-CN"/>
        </w:rPr>
        <w:t xml:space="preserve">地    址: 岳阳市云溪区沿江西路50米岳阳城陵矶新港有限公司             </w:t>
      </w:r>
    </w:p>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sz w:val="24"/>
          <w:lang w:val="en-US" w:eastAsia="zh-CN"/>
        </w:rPr>
      </w:pPr>
      <w:r>
        <w:rPr>
          <w:rFonts w:hint="eastAsia" w:ascii="宋体" w:hAnsi="宋体"/>
          <w:sz w:val="24"/>
          <w:lang w:val="en-US" w:eastAsia="zh-CN"/>
        </w:rPr>
        <w:t>联 系 人: 谈先生</w:t>
      </w:r>
    </w:p>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sz w:val="24"/>
          <w:lang w:val="en-US" w:eastAsia="zh-CN"/>
        </w:rPr>
      </w:pPr>
      <w:r>
        <w:rPr>
          <w:rFonts w:hint="eastAsia" w:ascii="宋体" w:hAnsi="宋体"/>
          <w:sz w:val="24"/>
          <w:lang w:val="en-US" w:eastAsia="zh-CN"/>
        </w:rPr>
        <w:t>电    话: 13808402421</w:t>
      </w:r>
    </w:p>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黑体" w:hAnsi="黑体" w:eastAsia="黑体"/>
          <w:sz w:val="32"/>
          <w:szCs w:val="32"/>
        </w:rPr>
      </w:pPr>
      <w:r>
        <w:rPr>
          <w:rFonts w:hint="eastAsia" w:ascii="宋体" w:hAnsi="宋体" w:cs="Times New Roman"/>
          <w:sz w:val="24"/>
          <w:lang w:val="en-US" w:eastAsia="zh-CN"/>
        </w:rPr>
        <w:t>电子邮箱：331815398@qq.com</w:t>
      </w:r>
      <w:r>
        <w:rPr>
          <w:rFonts w:hint="eastAsia" w:ascii="黑体" w:hAnsi="黑体" w:eastAsia="黑体"/>
          <w:sz w:val="32"/>
          <w:szCs w:val="32"/>
        </w:rPr>
        <w:br w:type="page"/>
      </w:r>
    </w:p>
    <w:p>
      <w:pPr>
        <w:spacing w:line="240" w:lineRule="auto"/>
        <w:jc w:val="center"/>
        <w:outlineLvl w:val="0"/>
        <w:rPr>
          <w:rFonts w:hint="eastAsia" w:ascii="黑体" w:hAnsi="黑体" w:eastAsia="黑体" w:cs="Times New Roman"/>
          <w:sz w:val="36"/>
          <w:szCs w:val="36"/>
          <w:lang w:val="en-US" w:eastAsia="zh-CN"/>
        </w:rPr>
      </w:pPr>
      <w:bookmarkStart w:id="80" w:name="_Toc23557"/>
      <w:bookmarkStart w:id="81" w:name="_Toc4469"/>
      <w:bookmarkStart w:id="82" w:name="_Toc12187"/>
      <w:r>
        <w:rPr>
          <w:rFonts w:hint="eastAsia" w:ascii="黑体" w:hAnsi="黑体" w:eastAsia="黑体" w:cs="Times New Roman"/>
          <w:sz w:val="36"/>
          <w:szCs w:val="36"/>
          <w:lang w:val="en-US" w:eastAsia="zh-CN"/>
        </w:rPr>
        <w:t>第二章  供应商须知</w:t>
      </w:r>
      <w:bookmarkEnd w:id="78"/>
      <w:bookmarkEnd w:id="79"/>
      <w:bookmarkEnd w:id="80"/>
      <w:bookmarkEnd w:id="81"/>
      <w:bookmarkEnd w:id="82"/>
    </w:p>
    <w:p>
      <w:pPr>
        <w:pStyle w:val="2"/>
        <w:spacing w:before="240" w:after="240" w:line="600" w:lineRule="exact"/>
        <w:jc w:val="center"/>
        <w:outlineLvl w:val="1"/>
        <w:rPr>
          <w:rFonts w:ascii="仿宋" w:hAnsi="仿宋" w:eastAsia="仿宋" w:cs="仿宋"/>
          <w:sz w:val="30"/>
          <w:szCs w:val="30"/>
        </w:rPr>
      </w:pPr>
      <w:bookmarkStart w:id="83" w:name="_Toc25714"/>
      <w:bookmarkStart w:id="84" w:name="_Toc25328"/>
      <w:bookmarkStart w:id="85" w:name="_Toc19979"/>
      <w:bookmarkStart w:id="86" w:name="_Toc13079"/>
      <w:bookmarkStart w:id="87" w:name="_Toc18362"/>
      <w:bookmarkStart w:id="88" w:name="_Toc517787495"/>
      <w:bookmarkStart w:id="89" w:name="_Toc31090"/>
      <w:bookmarkStart w:id="90" w:name="_Toc193"/>
      <w:bookmarkStart w:id="91" w:name="_Toc234832862"/>
      <w:r>
        <w:rPr>
          <w:rFonts w:hint="eastAsia" w:ascii="仿宋" w:hAnsi="仿宋" w:eastAsia="仿宋" w:cs="仿宋"/>
          <w:sz w:val="30"/>
          <w:szCs w:val="30"/>
          <w:lang w:val="en-US" w:eastAsia="zh-CN"/>
        </w:rPr>
        <w:t xml:space="preserve">第一节  </w:t>
      </w:r>
      <w:r>
        <w:rPr>
          <w:rFonts w:hint="eastAsia" w:ascii="仿宋" w:hAnsi="仿宋" w:eastAsia="仿宋" w:cs="仿宋"/>
          <w:sz w:val="30"/>
          <w:szCs w:val="30"/>
        </w:rPr>
        <w:t>供应商须知前附表</w:t>
      </w:r>
      <w:bookmarkEnd w:id="83"/>
      <w:bookmarkEnd w:id="84"/>
      <w:bookmarkEnd w:id="85"/>
      <w:bookmarkEnd w:id="86"/>
      <w:bookmarkEnd w:id="87"/>
      <w:bookmarkEnd w:id="88"/>
      <w:bookmarkEnd w:id="89"/>
      <w:bookmarkEnd w:id="90"/>
      <w:bookmarkEnd w:id="91"/>
    </w:p>
    <w:tbl>
      <w:tblPr>
        <w:tblStyle w:val="42"/>
        <w:tblW w:w="10006" w:type="dxa"/>
        <w:tblInd w:w="0" w:type="dxa"/>
        <w:tblLayout w:type="fixed"/>
        <w:tblCellMar>
          <w:top w:w="0" w:type="dxa"/>
          <w:left w:w="108" w:type="dxa"/>
          <w:bottom w:w="0" w:type="dxa"/>
          <w:right w:w="108" w:type="dxa"/>
        </w:tblCellMar>
      </w:tblPr>
      <w:tblGrid>
        <w:gridCol w:w="1415"/>
        <w:gridCol w:w="3091"/>
        <w:gridCol w:w="5500"/>
      </w:tblGrid>
      <w:tr>
        <w:tblPrEx>
          <w:tblCellMar>
            <w:top w:w="0" w:type="dxa"/>
            <w:left w:w="108" w:type="dxa"/>
            <w:bottom w:w="0" w:type="dxa"/>
            <w:right w:w="108" w:type="dxa"/>
          </w:tblCellMar>
        </w:tblPrEx>
        <w:trPr>
          <w:trHeight w:val="434"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条款号</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  款  名  称</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编  列  内  容</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采购方法</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b/>
                <w:bCs/>
                <w:sz w:val="24"/>
                <w:highlight w:val="none"/>
                <w:lang w:eastAsia="zh-CN"/>
              </w:rPr>
              <w:t>☑</w:t>
            </w:r>
            <w:r>
              <w:rPr>
                <w:rFonts w:hint="eastAsia" w:cs="仿宋" w:asciiTheme="minorEastAsia" w:hAnsiTheme="minorEastAsia" w:eastAsiaTheme="minorEastAsia"/>
                <w:b/>
                <w:bCs/>
                <w:sz w:val="24"/>
                <w:highlight w:val="none"/>
              </w:rPr>
              <w:t>询价</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评审办法</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b/>
                <w:bCs/>
                <w:sz w:val="24"/>
                <w:highlight w:val="none"/>
                <w:lang w:eastAsia="zh-CN"/>
              </w:rPr>
              <w:t>☑</w:t>
            </w:r>
            <w:r>
              <w:rPr>
                <w:rFonts w:hint="eastAsia" w:cs="仿宋" w:asciiTheme="minorEastAsia" w:hAnsiTheme="minorEastAsia" w:eastAsiaTheme="minorEastAsia"/>
                <w:b/>
                <w:bCs/>
                <w:sz w:val="24"/>
                <w:highlight w:val="none"/>
              </w:rPr>
              <w:t>综合评分法（性价比法）</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1.7.1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踏勘现场</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b/>
                <w:bCs/>
                <w:sz w:val="24"/>
                <w:highlight w:val="none"/>
                <w:lang w:eastAsia="zh-CN"/>
              </w:rPr>
              <w:t>☑</w:t>
            </w:r>
            <w:r>
              <w:rPr>
                <w:rFonts w:hint="eastAsia" w:cs="仿宋" w:asciiTheme="minorEastAsia" w:hAnsiTheme="minorEastAsia" w:eastAsiaTheme="minorEastAsia"/>
                <w:b/>
                <w:bCs/>
                <w:sz w:val="24"/>
                <w:highlight w:val="none"/>
              </w:rPr>
              <w:t xml:space="preserve">不组织 </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1.8</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采购预备会</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b/>
                <w:bCs/>
                <w:sz w:val="24"/>
                <w:highlight w:val="none"/>
                <w:lang w:eastAsia="zh-CN"/>
              </w:rPr>
              <w:t>☑</w:t>
            </w:r>
            <w:r>
              <w:rPr>
                <w:rFonts w:hint="eastAsia" w:cs="仿宋" w:asciiTheme="minorEastAsia" w:hAnsiTheme="minorEastAsia" w:eastAsiaTheme="minorEastAsia"/>
                <w:b/>
                <w:bCs/>
                <w:sz w:val="24"/>
                <w:highlight w:val="none"/>
              </w:rPr>
              <w:t xml:space="preserve">不召开 </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kern w:val="2"/>
                <w:sz w:val="24"/>
                <w:szCs w:val="24"/>
                <w:highlight w:val="none"/>
                <w:lang w:val="en-US" w:eastAsia="zh-CN" w:bidi="ar-SA"/>
              </w:rPr>
            </w:pPr>
            <w:r>
              <w:rPr>
                <w:rFonts w:hint="eastAsia" w:cs="仿宋" w:asciiTheme="minorEastAsia" w:hAnsiTheme="minorEastAsia" w:eastAsiaTheme="minorEastAsia"/>
                <w:sz w:val="24"/>
                <w:highlight w:val="none"/>
              </w:rPr>
              <w:t>1.9</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kern w:val="2"/>
                <w:sz w:val="24"/>
                <w:szCs w:val="24"/>
                <w:highlight w:val="none"/>
                <w:lang w:val="en-US" w:eastAsia="zh-CN" w:bidi="ar-SA"/>
              </w:rPr>
            </w:pPr>
            <w:r>
              <w:rPr>
                <w:rFonts w:hint="eastAsia" w:cs="仿宋" w:asciiTheme="minorEastAsia" w:hAnsiTheme="minorEastAsia" w:eastAsiaTheme="minorEastAsia"/>
                <w:sz w:val="24"/>
                <w:highlight w:val="none"/>
              </w:rPr>
              <w:t>分包</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kern w:val="2"/>
                <w:sz w:val="24"/>
                <w:szCs w:val="24"/>
                <w:highlight w:val="none"/>
                <w:lang w:val="en-US" w:eastAsia="zh-CN" w:bidi="ar-SA"/>
              </w:rPr>
            </w:pPr>
            <w:r>
              <w:rPr>
                <w:rFonts w:hint="eastAsia" w:cs="仿宋" w:asciiTheme="minorEastAsia" w:hAnsiTheme="minorEastAsia" w:eastAsiaTheme="minorEastAsia"/>
                <w:b/>
                <w:bCs/>
                <w:sz w:val="24"/>
                <w:highlight w:val="none"/>
                <w:lang w:eastAsia="zh-CN"/>
              </w:rPr>
              <w:t>本项目不允许分包</w:t>
            </w:r>
            <w:r>
              <w:rPr>
                <w:rFonts w:hint="eastAsia" w:cs="仿宋" w:asciiTheme="minorEastAsia" w:hAnsiTheme="minorEastAsia" w:eastAsiaTheme="minorEastAsia"/>
                <w:b/>
                <w:bCs/>
                <w:sz w:val="24"/>
                <w:highlight w:val="none"/>
              </w:rPr>
              <w:t xml:space="preserve"> </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212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1.10.2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对非关键条款的偏差</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允许偏差的范围：</w:t>
            </w:r>
            <w:r>
              <w:rPr>
                <w:rFonts w:hint="eastAsia" w:cs="仿宋" w:asciiTheme="minorEastAsia" w:hAnsiTheme="minorEastAsia" w:eastAsiaTheme="minorEastAsia"/>
                <w:sz w:val="24"/>
                <w:highlight w:val="none"/>
                <w:u w:val="single"/>
                <w:lang w:eastAsia="zh-CN"/>
              </w:rPr>
              <w:t>细微偏差</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u w:val="none"/>
              </w:rPr>
              <w:t>响应</w:t>
            </w:r>
            <w:r>
              <w:rPr>
                <w:rFonts w:hint="eastAsia" w:ascii="宋体" w:hAnsi="宋体" w:cs="宋体"/>
                <w:sz w:val="24"/>
                <w:highlight w:val="none"/>
                <w:u w:val="none"/>
              </w:rPr>
              <w:t>文件在实质上响应招标文件要求，但存在含义不明确的内容、明显文字或计算错误等情况，此条件下允许供应商进行澄清解释。</w:t>
            </w:r>
          </w:p>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允许偏差的项数：</w:t>
            </w:r>
            <w:r>
              <w:rPr>
                <w:rFonts w:hint="eastAsia" w:cs="仿宋" w:asciiTheme="minorEastAsia" w:hAnsiTheme="minorEastAsia" w:eastAsiaTheme="minorEastAsia"/>
                <w:sz w:val="24"/>
                <w:highlight w:val="none"/>
                <w:u w:val="single"/>
              </w:rPr>
              <w:t>3</w:t>
            </w:r>
            <w:r>
              <w:rPr>
                <w:rFonts w:hint="eastAsia" w:cs="仿宋" w:asciiTheme="minorEastAsia" w:hAnsiTheme="minorEastAsia" w:eastAsiaTheme="minorEastAsia"/>
                <w:sz w:val="24"/>
                <w:highlight w:val="none"/>
                <w:u w:val="none"/>
              </w:rPr>
              <w:t>项</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71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构成采购文件的其他资料</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资料名称：</w:t>
            </w:r>
            <w:r>
              <w:rPr>
                <w:rFonts w:hint="eastAsia" w:cs="仿宋" w:asciiTheme="minorEastAsia" w:hAnsiTheme="minorEastAsia" w:eastAsiaTheme="minorEastAsia"/>
                <w:sz w:val="24"/>
                <w:highlight w:val="none"/>
                <w:lang w:eastAsia="zh-CN"/>
              </w:rPr>
              <w:t>采购人对采购文件的澄清、通知等文件（如有）</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供应商要求澄清采购文件的时间</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yellow"/>
              </w:rPr>
              <w:t>截止时间：</w:t>
            </w:r>
            <w:r>
              <w:rPr>
                <w:rFonts w:hint="eastAsia" w:asciiTheme="minorEastAsia" w:hAnsiTheme="minorEastAsia" w:eastAsiaTheme="minorEastAsia" w:cstheme="minorEastAsia"/>
                <w:b w:val="0"/>
                <w:bCs w:val="0"/>
                <w:kern w:val="2"/>
                <w:sz w:val="24"/>
                <w:szCs w:val="24"/>
                <w:highlight w:val="yellow"/>
                <w:u w:val="none"/>
                <w:lang w:val="en-US" w:eastAsia="zh-CN" w:bidi="ar-SA"/>
              </w:rPr>
              <w:t>2024年5月25日17时30</w:t>
            </w:r>
            <w:r>
              <w:rPr>
                <w:rFonts w:hint="eastAsia" w:asciiTheme="minorEastAsia" w:hAnsiTheme="minorEastAsia" w:eastAsiaTheme="minorEastAsia" w:cstheme="minorEastAsia"/>
                <w:b w:val="0"/>
                <w:bCs w:val="0"/>
                <w:kern w:val="2"/>
                <w:sz w:val="24"/>
                <w:szCs w:val="24"/>
                <w:highlight w:val="yellow"/>
                <w:lang w:val="en-US" w:eastAsia="zh-CN" w:bidi="ar-SA"/>
              </w:rPr>
              <w:t>分</w:t>
            </w:r>
          </w:p>
        </w:tc>
      </w:tr>
      <w:tr>
        <w:tblPrEx>
          <w:tblCellMar>
            <w:top w:w="0" w:type="dxa"/>
            <w:left w:w="108" w:type="dxa"/>
            <w:bottom w:w="0" w:type="dxa"/>
            <w:right w:w="108" w:type="dxa"/>
          </w:tblCellMar>
        </w:tblPrEx>
        <w:trPr>
          <w:trHeight w:val="128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供应商确认收到采购文件补充文件</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rPr>
              <w:t>确认的最晚时间：</w:t>
            </w:r>
            <w:r>
              <w:rPr>
                <w:rFonts w:hint="eastAsia" w:cs="仿宋" w:asciiTheme="minorEastAsia" w:hAnsiTheme="minorEastAsia" w:eastAsiaTheme="minorEastAsia"/>
                <w:sz w:val="24"/>
                <w:highlight w:val="none"/>
                <w:lang w:eastAsia="zh-CN"/>
              </w:rPr>
              <w:t>收到采购人的澄清文件后</w:t>
            </w:r>
            <w:r>
              <w:rPr>
                <w:rFonts w:hint="eastAsia" w:cs="仿宋" w:asciiTheme="minorEastAsia" w:hAnsiTheme="minorEastAsia" w:eastAsiaTheme="minorEastAsia"/>
                <w:sz w:val="24"/>
                <w:highlight w:val="none"/>
                <w:lang w:val="en-US" w:eastAsia="zh-CN"/>
              </w:rPr>
              <w:t>24小时之内。（以采购人澄清文件发出的时间为准）</w:t>
            </w:r>
          </w:p>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确定的方式：</w:t>
            </w:r>
            <w:r>
              <w:rPr>
                <w:rFonts w:hint="eastAsia" w:cs="仿宋" w:asciiTheme="minorEastAsia" w:hAnsiTheme="minorEastAsia" w:eastAsiaTheme="minorEastAsia"/>
                <w:sz w:val="24"/>
                <w:highlight w:val="none"/>
                <w:u w:val="single"/>
                <w:lang w:eastAsia="zh-CN"/>
              </w:rPr>
              <w:t>以书面形式进行确认</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采购标的数量增减幅度</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采购标的数量增减幅度:</w:t>
            </w:r>
            <w:r>
              <w:rPr>
                <w:rFonts w:hint="eastAsia" w:cs="仿宋" w:asciiTheme="minorEastAsia" w:hAnsiTheme="minorEastAsia" w:eastAsiaTheme="minorEastAsia"/>
                <w:sz w:val="24"/>
                <w:highlight w:val="none"/>
                <w:lang w:val="en-US" w:eastAsia="zh-CN"/>
              </w:rPr>
              <w:t>10</w:t>
            </w:r>
            <w:r>
              <w:rPr>
                <w:rFonts w:hint="eastAsia" w:ascii="宋体" w:hAnsi="宋体" w:cs="宋体"/>
                <w:sz w:val="24"/>
                <w:highlight w:val="none"/>
              </w:rPr>
              <w:t>%</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最高限价或其计算方法</w:t>
            </w:r>
          </w:p>
        </w:tc>
        <w:tc>
          <w:tcPr>
            <w:tcW w:w="5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cs="仿宋" w:asciiTheme="minorEastAsia" w:hAnsiTheme="minorEastAsia" w:eastAsiaTheme="minorEastAsia"/>
                <w:sz w:val="24"/>
                <w:highlight w:val="red"/>
                <w:lang w:val="en-US"/>
              </w:rPr>
            </w:pPr>
            <w:r>
              <w:rPr>
                <w:rFonts w:hint="eastAsia" w:cs="仿宋" w:asciiTheme="minorEastAsia" w:hAnsiTheme="minorEastAsia" w:eastAsiaTheme="minorEastAsia"/>
                <w:b/>
                <w:bCs/>
                <w:sz w:val="24"/>
                <w:highlight w:val="none"/>
                <w:lang w:eastAsia="zh-CN"/>
              </w:rPr>
              <w:t>☑</w:t>
            </w:r>
            <w:r>
              <w:rPr>
                <w:rFonts w:hint="eastAsia" w:cs="仿宋" w:asciiTheme="minorEastAsia" w:hAnsiTheme="minorEastAsia" w:eastAsiaTheme="minorEastAsia"/>
                <w:b/>
                <w:bCs/>
                <w:color w:val="auto"/>
                <w:sz w:val="24"/>
                <w:highlight w:val="none"/>
              </w:rPr>
              <w:t>有</w:t>
            </w:r>
            <w:r>
              <w:rPr>
                <w:rFonts w:hint="eastAsia" w:cs="仿宋" w:asciiTheme="minorEastAsia" w:hAnsiTheme="minorEastAsia" w:eastAsiaTheme="minorEastAsia"/>
                <w:b/>
                <w:bCs/>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最高限价：人民币贰拾玖万贰仟元整（</w:t>
            </w:r>
            <w:r>
              <w:rPr>
                <w:rFonts w:hint="default" w:cs="仿宋" w:asciiTheme="minorEastAsia" w:hAnsiTheme="minorEastAsia" w:eastAsiaTheme="minorEastAsia"/>
                <w:color w:val="auto"/>
                <w:sz w:val="24"/>
                <w:highlight w:val="none"/>
                <w:lang w:val="en-US" w:eastAsia="zh-CN"/>
              </w:rPr>
              <w:t>¥</w:t>
            </w:r>
            <w:r>
              <w:rPr>
                <w:rFonts w:hint="eastAsia" w:cs="仿宋" w:asciiTheme="minorEastAsia" w:hAnsiTheme="minorEastAsia" w:eastAsiaTheme="minorEastAsia"/>
                <w:color w:val="auto"/>
                <w:sz w:val="24"/>
                <w:highlight w:val="none"/>
                <w:lang w:val="en-US" w:eastAsia="zh-CN"/>
              </w:rPr>
              <w:t>292，000.00元）；提供医疗门诊收费票据，超过最高限价的作废。</w:t>
            </w:r>
          </w:p>
        </w:tc>
      </w:tr>
      <w:tr>
        <w:tblPrEx>
          <w:tblCellMar>
            <w:top w:w="0" w:type="dxa"/>
            <w:left w:w="108" w:type="dxa"/>
            <w:bottom w:w="0" w:type="dxa"/>
            <w:right w:w="108" w:type="dxa"/>
          </w:tblCellMar>
        </w:tblPrEx>
        <w:trPr>
          <w:trHeight w:val="959"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3.2.4</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报价的其他要求</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highlight w:val="red"/>
              </w:rPr>
            </w:pPr>
            <w:r>
              <w:rPr>
                <w:rFonts w:hint="eastAsia" w:cs="仿宋" w:asciiTheme="minorEastAsia" w:hAnsiTheme="minorEastAsia" w:eastAsiaTheme="minorEastAsia"/>
                <w:sz w:val="24"/>
                <w:highlight w:val="none"/>
                <w:lang w:eastAsia="zh-CN"/>
              </w:rPr>
              <w:t>此报价应包含</w:t>
            </w:r>
            <w:r>
              <w:rPr>
                <w:rFonts w:hint="eastAsia" w:ascii="宋体" w:hAnsi="宋体"/>
                <w:sz w:val="24"/>
              </w:rPr>
              <w:t>人工服务费、</w:t>
            </w:r>
            <w:r>
              <w:rPr>
                <w:rFonts w:hint="eastAsia" w:ascii="宋体" w:hAnsi="宋体"/>
                <w:sz w:val="24"/>
                <w:lang w:val="en-US" w:eastAsia="zh-CN"/>
              </w:rPr>
              <w:t>材料费、</w:t>
            </w:r>
            <w:r>
              <w:rPr>
                <w:rFonts w:hint="eastAsia" w:ascii="宋体" w:hAnsi="宋体"/>
                <w:sz w:val="24"/>
              </w:rPr>
              <w:t>检测费、诊断费、体检报告、售后服务及税金等</w:t>
            </w:r>
            <w:r>
              <w:rPr>
                <w:rFonts w:hint="eastAsia" w:cs="仿宋" w:asciiTheme="minorEastAsia" w:hAnsiTheme="minorEastAsia" w:eastAsiaTheme="minorEastAsia"/>
                <w:sz w:val="24"/>
                <w:highlight w:val="none"/>
                <w:lang w:eastAsia="zh-CN"/>
              </w:rPr>
              <w:t>应由供应商承担的一切费用。</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3.3.1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响应文件有效期</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递交响应文件截止之日起90日</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响应保证金</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b/>
                <w:bCs/>
                <w:sz w:val="24"/>
                <w:highlight w:val="none"/>
              </w:rPr>
              <w:t>☑不要求递交</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退还响应保证金的时间</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无</w:t>
            </w:r>
          </w:p>
        </w:tc>
      </w:tr>
      <w:tr>
        <w:tblPrEx>
          <w:tblCellMar>
            <w:top w:w="0" w:type="dxa"/>
            <w:left w:w="108" w:type="dxa"/>
            <w:bottom w:w="0" w:type="dxa"/>
            <w:right w:w="108" w:type="dxa"/>
          </w:tblCellMar>
        </w:tblPrEx>
        <w:trPr>
          <w:trHeight w:val="64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不退还响应保证金的其他情形</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无</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5"/>
                <w:rFonts w:asciiTheme="minorEastAsia" w:hAnsiTheme="minorEastAsia" w:eastAsiaTheme="minorEastAsia"/>
                <w:b w:val="0"/>
                <w:color w:val="000000"/>
                <w:sz w:val="24"/>
                <w:highlight w:val="none"/>
              </w:rPr>
            </w:pPr>
            <w:r>
              <w:rPr>
                <w:rStyle w:val="45"/>
                <w:rFonts w:hint="eastAsia" w:asciiTheme="minorEastAsia" w:hAnsiTheme="minorEastAsia" w:eastAsiaTheme="minorEastAsia"/>
                <w:b w:val="0"/>
                <w:color w:val="000000"/>
                <w:sz w:val="24"/>
                <w:highlight w:val="none"/>
              </w:rPr>
              <w:t>依法设立的证明材料</w:t>
            </w:r>
          </w:p>
        </w:tc>
        <w:tc>
          <w:tcPr>
            <w:tcW w:w="5500"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☑适用。</w:t>
            </w:r>
          </w:p>
          <w:p>
            <w:pPr>
              <w:spacing w:line="288" w:lineRule="auto"/>
              <w:ind w:firstLine="240" w:firstLineChars="100"/>
              <w:jc w:val="both"/>
              <w:rPr>
                <w:rFonts w:asciiTheme="minorEastAsia" w:hAnsiTheme="minorEastAsia" w:eastAsiaTheme="minorEastAsia"/>
                <w:color w:val="000000"/>
                <w:sz w:val="24"/>
                <w:highlight w:val="none"/>
              </w:rPr>
            </w:pPr>
            <w:r>
              <w:rPr>
                <w:rFonts w:hint="eastAsia" w:asciiTheme="minorEastAsia" w:hAnsiTheme="minorEastAsia" w:eastAsiaTheme="minorEastAsia" w:cstheme="minorEastAsia"/>
                <w:color w:val="auto"/>
                <w:sz w:val="24"/>
                <w:szCs w:val="24"/>
                <w:highlight w:val="none"/>
              </w:rPr>
              <w:t>供应商应</w:t>
            </w:r>
            <w:r>
              <w:rPr>
                <w:rFonts w:hint="eastAsia" w:asciiTheme="minorEastAsia" w:hAnsiTheme="minorEastAsia" w:eastAsiaTheme="minorEastAsia" w:cstheme="minorEastAsia"/>
                <w:color w:val="auto"/>
                <w:sz w:val="24"/>
                <w:szCs w:val="24"/>
                <w:highlight w:val="none"/>
                <w:lang w:eastAsia="zh-CN"/>
              </w:rPr>
              <w:t>具有</w:t>
            </w:r>
            <w:r>
              <w:rPr>
                <w:rFonts w:hint="eastAsia" w:asciiTheme="minorEastAsia" w:hAnsiTheme="minorEastAsia" w:eastAsiaTheme="minorEastAsia" w:cstheme="minorEastAsia"/>
                <w:color w:val="auto"/>
                <w:sz w:val="24"/>
                <w:szCs w:val="24"/>
                <w:highlight w:val="none"/>
              </w:rPr>
              <w:t>市场监管部门或其他行政机关颁发的可以合法开展</w:t>
            </w:r>
            <w:r>
              <w:rPr>
                <w:rFonts w:hint="eastAsia" w:asciiTheme="minorEastAsia" w:hAnsiTheme="minorEastAsia" w:eastAsiaTheme="minorEastAsia" w:cstheme="minorEastAsia"/>
                <w:color w:val="auto"/>
                <w:sz w:val="24"/>
                <w:szCs w:val="24"/>
                <w:highlight w:val="none"/>
                <w:lang w:val="en-US" w:eastAsia="zh-CN"/>
              </w:rPr>
              <w:t>体检</w:t>
            </w:r>
            <w:r>
              <w:rPr>
                <w:rFonts w:hint="eastAsia" w:asciiTheme="minorEastAsia" w:hAnsiTheme="minorEastAsia" w:eastAsiaTheme="minorEastAsia" w:cstheme="minorEastAsia"/>
                <w:color w:val="auto"/>
                <w:sz w:val="24"/>
                <w:szCs w:val="24"/>
                <w:highlight w:val="none"/>
              </w:rPr>
              <w:t>业务的</w:t>
            </w:r>
            <w:r>
              <w:rPr>
                <w:rFonts w:hint="eastAsia" w:asciiTheme="minorEastAsia" w:hAnsiTheme="minorEastAsia" w:eastAsiaTheme="minorEastAsia" w:cstheme="minorEastAsia"/>
                <w:color w:val="auto"/>
                <w:sz w:val="24"/>
                <w:szCs w:val="24"/>
                <w:highlight w:val="none"/>
                <w:lang w:eastAsia="zh-CN"/>
              </w:rPr>
              <w:t>营业</w:t>
            </w:r>
            <w:r>
              <w:rPr>
                <w:rFonts w:hint="eastAsia" w:asciiTheme="minorEastAsia" w:hAnsiTheme="minorEastAsia" w:eastAsiaTheme="minorEastAsia" w:cstheme="minorEastAsia"/>
                <w:color w:val="auto"/>
                <w:sz w:val="24"/>
                <w:szCs w:val="24"/>
                <w:highlight w:val="none"/>
              </w:rPr>
              <w:t>执照或证书</w:t>
            </w:r>
            <w:r>
              <w:rPr>
                <w:rFonts w:hint="eastAsia" w:asciiTheme="minorEastAsia" w:hAnsiTheme="minorEastAsia" w:eastAsiaTheme="minorEastAsia" w:cstheme="minorEastAsia"/>
                <w:color w:val="auto"/>
                <w:sz w:val="24"/>
                <w:szCs w:val="24"/>
                <w:highlight w:val="none"/>
                <w:lang w:eastAsia="zh-CN"/>
              </w:rPr>
              <w:t>，提供复印件。</w:t>
            </w:r>
          </w:p>
        </w:tc>
      </w:tr>
      <w:tr>
        <w:tblPrEx>
          <w:tblCellMar>
            <w:top w:w="0" w:type="dxa"/>
            <w:left w:w="108" w:type="dxa"/>
            <w:bottom w:w="0" w:type="dxa"/>
            <w:right w:w="108" w:type="dxa"/>
          </w:tblCellMar>
        </w:tblPrEx>
        <w:trPr>
          <w:trHeight w:val="147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Style w:val="45"/>
                <w:rFonts w:hint="eastAsia" w:asciiTheme="minorEastAsia" w:hAnsiTheme="minorEastAsia" w:eastAsiaTheme="minorEastAsia"/>
                <w:b w:val="0"/>
                <w:color w:val="000000"/>
                <w:sz w:val="24"/>
                <w:highlight w:val="none"/>
              </w:rPr>
              <w:t>资质要求证明材料</w:t>
            </w:r>
          </w:p>
        </w:tc>
        <w:tc>
          <w:tcPr>
            <w:tcW w:w="5500"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cs="宋体" w:asciiTheme="minorEastAsia" w:hAnsiTheme="minorEastAsia" w:eastAsiaTheme="minorEastAsia"/>
                <w:b/>
                <w:bCs/>
                <w:color w:val="000000"/>
                <w:sz w:val="24"/>
                <w:highlight w:val="none"/>
              </w:rPr>
            </w:pPr>
            <w:r>
              <w:rPr>
                <w:rFonts w:hint="eastAsia" w:cs="仿宋" w:asciiTheme="minorEastAsia" w:hAnsiTheme="minorEastAsia" w:eastAsiaTheme="minorEastAsia"/>
                <w:b/>
                <w:bCs/>
                <w:sz w:val="24"/>
                <w:highlight w:val="none"/>
              </w:rPr>
              <w:t>☑</w:t>
            </w:r>
            <w:r>
              <w:rPr>
                <w:rFonts w:hint="eastAsia" w:cs="宋体" w:asciiTheme="minorEastAsia" w:hAnsiTheme="minorEastAsia" w:eastAsiaTheme="minorEastAsia"/>
                <w:b/>
                <w:bCs/>
                <w:color w:val="000000"/>
                <w:sz w:val="24"/>
                <w:highlight w:val="none"/>
              </w:rPr>
              <w:t>适用。</w:t>
            </w:r>
          </w:p>
          <w:p>
            <w:pPr>
              <w:adjustRightInd w:val="0"/>
              <w:snapToGrid w:val="0"/>
              <w:spacing w:line="312" w:lineRule="auto"/>
              <w:jc w:val="both"/>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供应商应为二级或以上级别医疗机构开设的体检中心，或具有相应资质的专业体检机构。</w:t>
            </w:r>
          </w:p>
          <w:p>
            <w:pPr>
              <w:adjustRightInd w:val="0"/>
              <w:snapToGrid w:val="0"/>
              <w:spacing w:line="312"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供应商为</w:t>
            </w:r>
            <w:r>
              <w:rPr>
                <w:rFonts w:hint="eastAsia" w:cs="宋体" w:asciiTheme="minorEastAsia" w:hAnsiTheme="minorEastAsia" w:eastAsiaTheme="minorEastAsia"/>
                <w:color w:val="auto"/>
                <w:sz w:val="24"/>
                <w:highlight w:val="none"/>
                <w:lang w:val="en-US" w:eastAsia="zh-CN"/>
              </w:rPr>
              <w:t>二级或以上级别医疗机构</w:t>
            </w:r>
            <w:r>
              <w:rPr>
                <w:rFonts w:hint="eastAsia" w:cs="宋体" w:asciiTheme="minorEastAsia" w:hAnsiTheme="minorEastAsia" w:eastAsiaTheme="minorEastAsia"/>
                <w:color w:val="auto"/>
                <w:sz w:val="24"/>
                <w:highlight w:val="none"/>
              </w:rPr>
              <w:t>的须提供</w:t>
            </w:r>
            <w:r>
              <w:rPr>
                <w:rFonts w:hint="eastAsia" w:cs="宋体" w:asciiTheme="minorEastAsia" w:hAnsiTheme="minorEastAsia" w:eastAsiaTheme="minorEastAsia"/>
                <w:color w:val="auto"/>
                <w:sz w:val="24"/>
                <w:highlight w:val="none"/>
                <w:lang w:val="en-US" w:eastAsia="zh-CN"/>
              </w:rPr>
              <w:t>有效的《医疗机构执业许可证》</w:t>
            </w:r>
            <w:r>
              <w:rPr>
                <w:rFonts w:hint="eastAsia" w:cs="宋体" w:asciiTheme="minorEastAsia" w:hAnsiTheme="minorEastAsia" w:eastAsiaTheme="minorEastAsia"/>
                <w:b w:val="0"/>
                <w:bCs w:val="0"/>
                <w:color w:val="auto"/>
                <w:sz w:val="24"/>
                <w:highlight w:val="none"/>
                <w:lang w:val="en-US" w:eastAsia="zh-CN"/>
              </w:rPr>
              <w:t>、二级或</w:t>
            </w:r>
            <w:r>
              <w:rPr>
                <w:rFonts w:hint="eastAsia" w:cs="宋体" w:asciiTheme="minorEastAsia" w:hAnsiTheme="minorEastAsia" w:eastAsiaTheme="minorEastAsia"/>
                <w:color w:val="auto"/>
                <w:sz w:val="24"/>
                <w:highlight w:val="none"/>
                <w:lang w:val="en-US" w:eastAsia="zh-CN"/>
              </w:rPr>
              <w:t>以上级别医疗机构证明复印件；</w:t>
            </w:r>
          </w:p>
          <w:p>
            <w:pPr>
              <w:adjustRightInd w:val="0"/>
              <w:snapToGrid w:val="0"/>
              <w:spacing w:line="312" w:lineRule="auto"/>
              <w:jc w:val="both"/>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auto"/>
                <w:sz w:val="24"/>
                <w:highlight w:val="none"/>
                <w:lang w:val="en-US" w:eastAsia="zh-CN"/>
              </w:rPr>
              <w:t>若供应商为专业体检机构的须提供有效的《医疗机构执业许可证》复印件。）</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5"/>
                <w:rFonts w:asciiTheme="minorEastAsia" w:hAnsiTheme="minorEastAsia" w:eastAsiaTheme="minorEastAsia"/>
                <w:b w:val="0"/>
                <w:color w:val="000000"/>
                <w:sz w:val="24"/>
                <w:highlight w:val="none"/>
              </w:rPr>
            </w:pPr>
            <w:r>
              <w:rPr>
                <w:rStyle w:val="45"/>
                <w:rFonts w:hint="eastAsia" w:asciiTheme="minorEastAsia" w:hAnsiTheme="minorEastAsia" w:eastAsiaTheme="minorEastAsia"/>
                <w:b w:val="0"/>
                <w:color w:val="000000"/>
                <w:sz w:val="24"/>
                <w:highlight w:val="none"/>
              </w:rPr>
              <w:t>财务要求证明材料</w:t>
            </w:r>
          </w:p>
        </w:tc>
        <w:tc>
          <w:tcPr>
            <w:tcW w:w="5500"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highlight w:val="none"/>
              </w:rPr>
            </w:pPr>
            <w:r>
              <w:rPr>
                <w:rFonts w:hint="eastAsia" w:cs="仿宋" w:asciiTheme="minorEastAsia" w:hAnsiTheme="minorEastAsia" w:eastAsiaTheme="minorEastAsia"/>
                <w:b/>
                <w:bCs/>
                <w:sz w:val="24"/>
                <w:highlight w:val="none"/>
              </w:rPr>
              <w:t>☑</w:t>
            </w:r>
            <w:r>
              <w:rPr>
                <w:rFonts w:hint="eastAsia" w:cs="仿宋" w:asciiTheme="minorEastAsia" w:hAnsiTheme="minorEastAsia" w:eastAsiaTheme="minorEastAsia"/>
                <w:b/>
                <w:bCs/>
                <w:sz w:val="24"/>
                <w:highlight w:val="none"/>
                <w:lang w:val="en-US" w:eastAsia="zh-CN"/>
              </w:rPr>
              <w:t>不</w:t>
            </w:r>
            <w:r>
              <w:rPr>
                <w:rFonts w:hint="eastAsia" w:cs="宋体" w:asciiTheme="minorEastAsia" w:hAnsiTheme="minorEastAsia" w:eastAsiaTheme="minorEastAsia"/>
                <w:b/>
                <w:bCs/>
                <w:sz w:val="24"/>
                <w:highlight w:val="none"/>
              </w:rPr>
              <w:t>适用。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3.5（4）</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业绩要求证明材料</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auto"/>
                <w:sz w:val="24"/>
                <w:highlight w:val="none"/>
              </w:rPr>
              <w:t>适用。</w:t>
            </w:r>
          </w:p>
          <w:p>
            <w:pPr>
              <w:spacing w:line="288" w:lineRule="auto"/>
              <w:jc w:val="both"/>
              <w:rPr>
                <w:rFonts w:hint="eastAsia" w:cs="宋体" w:asciiTheme="minorEastAsia" w:hAnsiTheme="minorEastAsia" w:eastAsiaTheme="minorEastAsia"/>
                <w:color w:val="auto"/>
                <w:sz w:val="24"/>
                <w:highlight w:val="none"/>
                <w:u w:val="none"/>
                <w:lang w:val="en-US" w:eastAsia="zh-CN"/>
              </w:rPr>
            </w:pPr>
            <w:r>
              <w:rPr>
                <w:rFonts w:hint="eastAsia" w:cs="宋体" w:asciiTheme="minorEastAsia" w:hAnsiTheme="minorEastAsia" w:eastAsiaTheme="minorEastAsia"/>
                <w:color w:val="auto"/>
                <w:sz w:val="24"/>
                <w:highlight w:val="none"/>
              </w:rPr>
              <w:t>供应商应提供近</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none"/>
                <w:lang w:eastAsia="zh-CN"/>
              </w:rPr>
              <w:t>（</w:t>
            </w:r>
            <w:r>
              <w:rPr>
                <w:rFonts w:hint="eastAsia" w:cs="宋体" w:asciiTheme="minorEastAsia" w:hAnsiTheme="minorEastAsia" w:eastAsiaTheme="minorEastAsia"/>
                <w:color w:val="auto"/>
                <w:sz w:val="24"/>
                <w:highlight w:val="none"/>
                <w:u w:val="none"/>
                <w:lang w:val="en-US" w:eastAsia="zh-CN"/>
              </w:rPr>
              <w:t>2021年5月至响应文件递交截止时间）</w:t>
            </w:r>
            <w:r>
              <w:rPr>
                <w:rFonts w:hint="eastAsia" w:cs="宋体" w:asciiTheme="minorEastAsia" w:hAnsiTheme="minorEastAsia" w:eastAsiaTheme="minorEastAsia"/>
                <w:color w:val="auto"/>
                <w:sz w:val="24"/>
                <w:highlight w:val="none"/>
              </w:rPr>
              <w:t>的类似项目情况表（格式见第六章“响应文件格式”</w:t>
            </w:r>
            <w:r>
              <w:rPr>
                <w:rFonts w:hint="eastAsia" w:cs="宋体" w:asciiTheme="minorEastAsia" w:hAnsiTheme="minorEastAsia" w:eastAsiaTheme="minorEastAsia"/>
                <w:color w:val="auto"/>
                <w:sz w:val="24"/>
                <w:highlight w:val="none"/>
                <w:lang w:val="en-US" w:eastAsia="zh-CN"/>
              </w:rPr>
              <w:t>五</w:t>
            </w:r>
            <w:r>
              <w:rPr>
                <w:rFonts w:hint="eastAsia" w:cs="宋体" w:asciiTheme="minorEastAsia" w:hAnsiTheme="minorEastAsia" w:eastAsiaTheme="minorEastAsia"/>
                <w:color w:val="auto"/>
                <w:sz w:val="24"/>
                <w:highlight w:val="none"/>
              </w:rPr>
              <w:t>、资格审查资料（</w:t>
            </w:r>
            <w:r>
              <w:rPr>
                <w:rFonts w:hint="eastAsia" w:cs="宋体" w:asciiTheme="minorEastAsia" w:hAnsiTheme="minorEastAsia" w:eastAsiaTheme="minorEastAsia"/>
                <w:color w:val="auto"/>
                <w:sz w:val="24"/>
                <w:highlight w:val="none"/>
                <w:lang w:val="en-US" w:eastAsia="zh-CN"/>
              </w:rPr>
              <w:t>二</w:t>
            </w:r>
            <w:r>
              <w:rPr>
                <w:rFonts w:hint="eastAsia" w:cs="宋体" w:asciiTheme="minorEastAsia" w:hAnsiTheme="minorEastAsia" w:eastAsiaTheme="minorEastAsia"/>
                <w:color w:val="auto"/>
                <w:sz w:val="24"/>
                <w:highlight w:val="none"/>
              </w:rPr>
              <w:t>）近年的类似</w:t>
            </w:r>
            <w:r>
              <w:rPr>
                <w:rFonts w:hint="eastAsia" w:cs="宋体" w:asciiTheme="minorEastAsia" w:hAnsiTheme="minorEastAsia" w:eastAsiaTheme="minorEastAsia"/>
                <w:color w:val="auto"/>
                <w:sz w:val="24"/>
                <w:highlight w:val="none"/>
                <w:lang w:val="en-US" w:eastAsia="zh-CN"/>
              </w:rPr>
              <w:t>项目</w:t>
            </w:r>
            <w:r>
              <w:rPr>
                <w:rFonts w:hint="eastAsia" w:cs="宋体" w:asciiTheme="minorEastAsia" w:hAnsiTheme="minorEastAsia" w:eastAsiaTheme="minorEastAsia"/>
                <w:color w:val="auto"/>
                <w:sz w:val="24"/>
                <w:highlight w:val="none"/>
              </w:rPr>
              <w:t>情况表），以证明供应商具有承担本项目要求的业绩。</w:t>
            </w:r>
          </w:p>
          <w:p>
            <w:pPr>
              <w:widowControl w:val="0"/>
              <w:spacing w:line="320" w:lineRule="exact"/>
              <w:ind w:firstLine="240" w:firstLineChars="1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业绩证明材料</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合同/订单</w:t>
            </w:r>
          </w:p>
          <w:p>
            <w:pPr>
              <w:spacing w:line="288" w:lineRule="auto"/>
              <w:ind w:firstLine="240" w:firstLineChars="100"/>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业绩证明材料种类要求：</w:t>
            </w:r>
            <w:r>
              <w:rPr>
                <w:rFonts w:hint="eastAsia" w:cs="宋体" w:asciiTheme="minorEastAsia" w:hAnsiTheme="minorEastAsia" w:eastAsiaTheme="minorEastAsia"/>
                <w:color w:val="auto"/>
                <w:sz w:val="24"/>
                <w:highlight w:val="none"/>
                <w:lang w:val="en-US" w:eastAsia="zh-CN"/>
              </w:rPr>
              <w:t>供应商须</w:t>
            </w:r>
            <w:r>
              <w:rPr>
                <w:rFonts w:hint="eastAsia" w:cs="宋体" w:asciiTheme="minorEastAsia" w:hAnsiTheme="minorEastAsia" w:eastAsiaTheme="minorEastAsia"/>
                <w:color w:val="auto"/>
                <w:sz w:val="24"/>
                <w:highlight w:val="none"/>
              </w:rPr>
              <w:t>提供</w:t>
            </w:r>
            <w:r>
              <w:rPr>
                <w:rFonts w:hint="eastAsia" w:cs="宋体" w:asciiTheme="minorEastAsia" w:hAnsiTheme="minorEastAsia" w:eastAsiaTheme="minorEastAsia"/>
                <w:color w:val="auto"/>
                <w:sz w:val="24"/>
                <w:highlight w:val="none"/>
                <w:lang w:val="en-US" w:eastAsia="zh-CN"/>
              </w:rPr>
              <w:t xml:space="preserve"> 1</w:t>
            </w:r>
            <w:r>
              <w:rPr>
                <w:rFonts w:hint="eastAsia" w:cs="宋体" w:asciiTheme="minorEastAsia" w:hAnsiTheme="minorEastAsia" w:eastAsiaTheme="minorEastAsia"/>
                <w:color w:val="auto"/>
                <w:sz w:val="24"/>
                <w:highlight w:val="none"/>
                <w:lang w:eastAsia="zh-CN"/>
              </w:rPr>
              <w:t>个</w:t>
            </w:r>
            <w:r>
              <w:rPr>
                <w:rFonts w:hint="eastAsia" w:cs="宋体" w:asciiTheme="minorEastAsia" w:hAnsiTheme="minorEastAsia" w:eastAsiaTheme="minorEastAsia"/>
                <w:color w:val="auto"/>
                <w:sz w:val="24"/>
                <w:highlight w:val="none"/>
                <w:lang w:val="en-US" w:eastAsia="zh-CN"/>
              </w:rPr>
              <w:t>合同额不低于28万元的类似团体体检业绩（以合同签订日期为准），提供合同复印件。</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3.5（5）</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信誉要求证明材料</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lang w:eastAsia="zh-CN"/>
              </w:rPr>
            </w:pPr>
            <w:r>
              <w:rPr>
                <w:rFonts w:hint="eastAsia" w:cs="宋体" w:asciiTheme="minorEastAsia" w:hAnsiTheme="minorEastAsia" w:eastAsiaTheme="minorEastAsia"/>
                <w:b/>
                <w:bCs/>
                <w:color w:val="auto"/>
                <w:sz w:val="24"/>
                <w:highlight w:val="none"/>
                <w:lang w:eastAsia="zh-CN"/>
              </w:rPr>
              <w:sym w:font="Wingdings 2" w:char="0052"/>
            </w:r>
            <w:r>
              <w:rPr>
                <w:rFonts w:hint="eastAsia" w:cs="宋体" w:asciiTheme="minorEastAsia" w:hAnsiTheme="minorEastAsia" w:eastAsiaTheme="minorEastAsia"/>
                <w:b/>
                <w:bCs/>
                <w:color w:val="auto"/>
                <w:sz w:val="24"/>
                <w:highlight w:val="none"/>
                <w:lang w:val="en-US" w:eastAsia="zh-CN"/>
              </w:rPr>
              <w:t>不</w:t>
            </w:r>
            <w:r>
              <w:rPr>
                <w:rFonts w:hint="eastAsia" w:cs="宋体" w:asciiTheme="minorEastAsia" w:hAnsiTheme="minorEastAsia" w:eastAsiaTheme="minorEastAsia"/>
                <w:b/>
                <w:bCs/>
                <w:color w:val="000000"/>
                <w:sz w:val="24"/>
                <w:highlight w:val="none"/>
              </w:rPr>
              <w:t>适用</w:t>
            </w:r>
            <w:r>
              <w:rPr>
                <w:rFonts w:hint="eastAsia" w:cs="宋体" w:asciiTheme="minorEastAsia" w:hAnsiTheme="minorEastAsia" w:eastAsiaTheme="minorEastAsia"/>
                <w:b/>
                <w:bCs/>
                <w:color w:val="000000"/>
                <w:sz w:val="24"/>
                <w:highlight w:val="none"/>
                <w:lang w:eastAsia="zh-CN"/>
              </w:rPr>
              <w:t>。</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3.5（6）</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承担本项目的主要人员要求证明材料</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b/>
                <w:bCs/>
                <w:color w:val="auto"/>
                <w:sz w:val="24"/>
                <w:highlight w:val="none"/>
              </w:rPr>
              <w:sym w:font="Wingdings 2" w:char="0052"/>
            </w:r>
            <w:r>
              <w:rPr>
                <w:rFonts w:hint="eastAsia" w:cs="宋体" w:asciiTheme="minorEastAsia" w:hAnsiTheme="minorEastAsia" w:eastAsiaTheme="minorEastAsia"/>
                <w:b/>
                <w:bCs/>
                <w:color w:val="000000"/>
                <w:sz w:val="24"/>
                <w:highlight w:val="none"/>
              </w:rPr>
              <w:t>不适用</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3.5（7）</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其他要求的证明材料</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b/>
                <w:bCs/>
                <w:color w:val="auto"/>
                <w:sz w:val="24"/>
                <w:lang w:eastAsia="zh-CN"/>
              </w:rPr>
              <w:t>☑</w:t>
            </w:r>
            <w:r>
              <w:rPr>
                <w:rFonts w:hint="eastAsia" w:cs="宋体" w:asciiTheme="minorEastAsia" w:hAnsiTheme="minorEastAsia" w:eastAsiaTheme="minorEastAsia"/>
                <w:b/>
                <w:bCs/>
                <w:color w:val="auto"/>
                <w:sz w:val="24"/>
                <w:lang w:val="en-US" w:eastAsia="zh-CN"/>
              </w:rPr>
              <w:t>不</w:t>
            </w:r>
            <w:r>
              <w:rPr>
                <w:rFonts w:hint="eastAsia" w:cs="宋体" w:asciiTheme="minorEastAsia" w:hAnsiTheme="minorEastAsia" w:eastAsiaTheme="minorEastAsia"/>
                <w:b/>
                <w:bCs/>
                <w:color w:val="auto"/>
                <w:sz w:val="24"/>
              </w:rPr>
              <w:t>适用</w:t>
            </w:r>
            <w:r>
              <w:rPr>
                <w:rFonts w:hint="eastAsia" w:cs="宋体" w:asciiTheme="minorEastAsia" w:hAnsiTheme="minorEastAsia" w:eastAsiaTheme="minorEastAsia"/>
                <w:b/>
                <w:bCs/>
                <w:color w:val="auto"/>
                <w:sz w:val="24"/>
                <w:lang w:eastAsia="zh-CN"/>
              </w:rPr>
              <w:t>。</w:t>
            </w:r>
          </w:p>
        </w:tc>
      </w:tr>
      <w:tr>
        <w:tblPrEx>
          <w:tblCellMar>
            <w:top w:w="0" w:type="dxa"/>
            <w:left w:w="108" w:type="dxa"/>
            <w:bottom w:w="0" w:type="dxa"/>
            <w:right w:w="108" w:type="dxa"/>
          </w:tblCellMar>
        </w:tblPrEx>
        <w:trPr>
          <w:trHeight w:val="9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3.5（8）</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供应商不存在第一章3.1款情形的证明材料</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FF"/>
                <w:sz w:val="24"/>
                <w:highlight w:val="none"/>
              </w:rPr>
            </w:pPr>
            <w:r>
              <w:rPr>
                <w:rFonts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eastAsia="zh-CN"/>
              </w:rPr>
              <w:t>不</w:t>
            </w:r>
            <w:r>
              <w:rPr>
                <w:rFonts w:hint="eastAsia" w:cs="宋体" w:asciiTheme="minorEastAsia" w:hAnsiTheme="minorEastAsia" w:eastAsiaTheme="minorEastAsia"/>
                <w:b/>
                <w:bCs/>
                <w:color w:val="auto"/>
                <w:sz w:val="24"/>
                <w:highlight w:val="none"/>
              </w:rPr>
              <w:t>需要提供证明材料</w:t>
            </w:r>
            <w:r>
              <w:rPr>
                <w:rFonts w:hint="eastAsia" w:cs="宋体" w:asciiTheme="minorEastAsia" w:hAnsiTheme="minorEastAsia" w:eastAsiaTheme="minorEastAsia"/>
                <w:b/>
                <w:bCs/>
                <w:color w:val="auto"/>
                <w:sz w:val="24"/>
                <w:highlight w:val="none"/>
                <w:lang w:eastAsia="zh-CN"/>
              </w:rPr>
              <w:t>。</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对关键条款进行响应的证据或证明材料要求</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highlight w:val="none"/>
                <w:lang w:val="en-US"/>
              </w:rPr>
            </w:pPr>
            <w:r>
              <w:rPr>
                <w:rFonts w:hint="eastAsia" w:cs="宋体" w:asciiTheme="minorEastAsia" w:hAnsiTheme="minorEastAsia" w:eastAsiaTheme="minorEastAsia"/>
                <w:color w:val="000000"/>
                <w:sz w:val="24"/>
                <w:highlight w:val="none"/>
              </w:rPr>
              <w:t>提供证据</w:t>
            </w:r>
            <w:r>
              <w:rPr>
                <w:rFonts w:hint="eastAsia" w:cs="宋体" w:asciiTheme="minorEastAsia" w:hAnsiTheme="minorEastAsia" w:eastAsiaTheme="minorEastAsia"/>
                <w:color w:val="000000"/>
                <w:sz w:val="24"/>
                <w:highlight w:val="none"/>
                <w:lang w:eastAsia="zh-CN"/>
              </w:rPr>
              <w:t>或</w:t>
            </w:r>
            <w:r>
              <w:rPr>
                <w:rFonts w:hint="eastAsia" w:cs="宋体" w:asciiTheme="minorEastAsia" w:hAnsiTheme="minorEastAsia" w:eastAsiaTheme="minorEastAsia"/>
                <w:color w:val="000000"/>
                <w:sz w:val="24"/>
                <w:highlight w:val="none"/>
              </w:rPr>
              <w:t>证明材料复印件</w:t>
            </w:r>
            <w:r>
              <w:rPr>
                <w:rFonts w:hint="eastAsia" w:cs="宋体" w:asciiTheme="minorEastAsia" w:hAnsiTheme="minorEastAsia" w:eastAsiaTheme="minorEastAsia"/>
                <w:color w:val="000000"/>
                <w:sz w:val="24"/>
                <w:highlight w:val="none"/>
                <w:lang w:eastAsia="zh-CN"/>
              </w:rPr>
              <w:t>或扫描件。</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响应方案数量</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仿宋" w:asciiTheme="minorEastAsia" w:hAnsiTheme="minorEastAsia" w:eastAsiaTheme="minorEastAsia"/>
                <w:sz w:val="24"/>
                <w:highlight w:val="none"/>
              </w:rPr>
              <w:t>☑</w:t>
            </w:r>
            <w:r>
              <w:rPr>
                <w:rFonts w:hint="eastAsia" w:cs="宋体" w:asciiTheme="minorEastAsia" w:hAnsiTheme="minorEastAsia" w:eastAsiaTheme="minorEastAsia"/>
                <w:color w:val="000000"/>
                <w:sz w:val="24"/>
                <w:highlight w:val="none"/>
              </w:rPr>
              <w:t>供应商只能提出唯一响应方案</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3.7.5</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响应文件及电子版要求</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是否要求提供电子版响应文件：</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val="en-US" w:eastAsia="zh-CN"/>
              </w:rPr>
              <w:t>不</w:t>
            </w:r>
            <w:r>
              <w:rPr>
                <w:rFonts w:hint="eastAsia" w:cs="宋体" w:asciiTheme="minorEastAsia" w:hAnsiTheme="minorEastAsia" w:eastAsiaTheme="minorEastAsia"/>
                <w:color w:val="000000"/>
                <w:sz w:val="24"/>
                <w:highlight w:val="none"/>
              </w:rPr>
              <w:t>要求</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响应文件的密封</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响应文件须密封包装，并在封套的封口处加盖供应商单位章。</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封套上应载明的信息</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cs="宋体" w:asciiTheme="minorEastAsia" w:hAnsiTheme="minorEastAsia" w:eastAsiaTheme="minorEastAsia"/>
                <w:color w:val="000000"/>
                <w:sz w:val="24"/>
                <w:highlight w:val="none"/>
                <w:lang w:eastAsia="zh-CN"/>
              </w:rPr>
            </w:pPr>
            <w:r>
              <w:rPr>
                <w:rFonts w:hint="eastAsia" w:ascii="MS Gothic" w:hAnsi="MS Gothic" w:eastAsia="MS Gothic" w:cs="MS Gothic"/>
                <w:sz w:val="24"/>
                <w:highlight w:val="none"/>
              </w:rPr>
              <w:t>☑</w:t>
            </w:r>
            <w:r>
              <w:rPr>
                <w:rFonts w:hint="eastAsia" w:cs="宋体" w:asciiTheme="minorEastAsia" w:hAnsiTheme="minorEastAsia" w:eastAsiaTheme="minorEastAsia"/>
                <w:color w:val="000000"/>
                <w:sz w:val="24"/>
                <w:highlight w:val="none"/>
              </w:rPr>
              <w:t>适用，供应商名称：</w:t>
            </w:r>
            <w:r>
              <w:rPr>
                <w:rFonts w:hint="eastAsia" w:cs="宋体" w:asciiTheme="minorEastAsia" w:hAnsiTheme="minorEastAsia" w:eastAsiaTheme="minorEastAsia"/>
                <w:color w:val="000000"/>
                <w:sz w:val="24"/>
                <w:highlight w:val="none"/>
                <w:u w:val="single"/>
                <w:lang w:val="en-US" w:eastAsia="zh-CN"/>
              </w:rPr>
              <w:t xml:space="preserve">            </w:t>
            </w:r>
            <w:r>
              <w:rPr>
                <w:rFonts w:hint="eastAsia" w:cs="宋体" w:asciiTheme="minorEastAsia" w:hAnsiTheme="minorEastAsia" w:eastAsiaTheme="minorEastAsia"/>
                <w:color w:val="000000"/>
                <w:sz w:val="24"/>
                <w:highlight w:val="none"/>
                <w:u w:val="none"/>
                <w:lang w:val="en-US" w:eastAsia="zh-CN"/>
              </w:rPr>
              <w:t>；项目名称：岳阳城陵矶新港</w:t>
            </w:r>
            <w:r>
              <w:rPr>
                <w:rFonts w:hint="eastAsia" w:ascii="宋体" w:hAnsi="宋体" w:eastAsia="宋体" w:cs="宋体"/>
                <w:b w:val="0"/>
                <w:bCs w:val="0"/>
                <w:sz w:val="24"/>
                <w:szCs w:val="24"/>
                <w:u w:val="none"/>
                <w:lang w:val="en-US" w:eastAsia="zh-CN"/>
              </w:rPr>
              <w:t>有限公司</w:t>
            </w:r>
            <w:r>
              <w:rPr>
                <w:rFonts w:hint="eastAsia" w:ascii="宋体" w:hAnsi="宋体" w:cs="宋体"/>
                <w:b w:val="0"/>
                <w:bCs w:val="0"/>
                <w:sz w:val="24"/>
                <w:szCs w:val="24"/>
                <w:u w:val="none"/>
                <w:lang w:val="en-US" w:eastAsia="zh-CN"/>
              </w:rPr>
              <w:t>2024年度职工健康体检</w:t>
            </w:r>
            <w:r>
              <w:rPr>
                <w:rFonts w:hint="eastAsia" w:ascii="宋体" w:hAnsi="宋体" w:eastAsia="宋体" w:cs="宋体"/>
                <w:b w:val="0"/>
                <w:bCs w:val="0"/>
                <w:sz w:val="24"/>
                <w:szCs w:val="24"/>
                <w:u w:val="none"/>
                <w:lang w:val="en-US" w:eastAsia="zh-CN"/>
              </w:rPr>
              <w:t>项目</w:t>
            </w:r>
            <w:r>
              <w:rPr>
                <w:rFonts w:hint="eastAsia" w:cs="宋体" w:asciiTheme="minorEastAsia" w:hAnsiTheme="minorEastAsia" w:eastAsiaTheme="minorEastAsia"/>
                <w:color w:val="000000"/>
                <w:sz w:val="24"/>
                <w:highlight w:val="none"/>
                <w:u w:val="none"/>
              </w:rPr>
              <w:t>响应文件</w:t>
            </w:r>
            <w:r>
              <w:rPr>
                <w:rFonts w:hint="eastAsia" w:cs="宋体" w:asciiTheme="minorEastAsia" w:hAnsiTheme="minorEastAsia" w:eastAsiaTheme="minorEastAsia"/>
                <w:color w:val="000000"/>
                <w:sz w:val="24"/>
                <w:highlight w:val="none"/>
                <w:u w:val="none"/>
                <w:lang w:eastAsia="zh-CN"/>
              </w:rPr>
              <w:t>。</w:t>
            </w:r>
          </w:p>
        </w:tc>
      </w:tr>
      <w:tr>
        <w:tblPrEx>
          <w:tblCellMar>
            <w:top w:w="0" w:type="dxa"/>
            <w:left w:w="108" w:type="dxa"/>
            <w:bottom w:w="0" w:type="dxa"/>
            <w:right w:w="108" w:type="dxa"/>
          </w:tblCellMar>
        </w:tblPrEx>
        <w:trPr>
          <w:trHeight w:val="128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递交响应文件截止时间和地点</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yellow"/>
                <w:u w:val="single"/>
              </w:rPr>
            </w:pPr>
            <w:r>
              <w:rPr>
                <w:rFonts w:hint="eastAsia" w:cs="宋体" w:asciiTheme="minorEastAsia" w:hAnsiTheme="minorEastAsia" w:eastAsiaTheme="minorEastAsia"/>
                <w:color w:val="000000"/>
                <w:sz w:val="24"/>
                <w:highlight w:val="yellow"/>
              </w:rPr>
              <w:t>截止时间</w:t>
            </w:r>
            <w:r>
              <w:rPr>
                <w:rFonts w:hint="eastAsia" w:cs="宋体" w:asciiTheme="minorEastAsia" w:hAnsiTheme="minorEastAsia" w:eastAsiaTheme="minorEastAsia"/>
                <w:color w:val="000000"/>
                <w:sz w:val="24"/>
                <w:highlight w:val="yellow"/>
                <w:u w:val="none"/>
              </w:rPr>
              <w:t>：202</w:t>
            </w:r>
            <w:r>
              <w:rPr>
                <w:rFonts w:hint="eastAsia" w:cs="宋体" w:asciiTheme="minorEastAsia" w:hAnsiTheme="minorEastAsia" w:eastAsiaTheme="minorEastAsia"/>
                <w:color w:val="000000"/>
                <w:sz w:val="24"/>
                <w:highlight w:val="yellow"/>
                <w:u w:val="none"/>
                <w:lang w:val="en-US" w:eastAsia="zh-CN"/>
              </w:rPr>
              <w:t>4</w:t>
            </w:r>
            <w:r>
              <w:rPr>
                <w:rFonts w:hint="eastAsia" w:cs="宋体" w:asciiTheme="minorEastAsia" w:hAnsiTheme="minorEastAsia" w:eastAsiaTheme="minorEastAsia"/>
                <w:color w:val="000000"/>
                <w:sz w:val="24"/>
                <w:highlight w:val="yellow"/>
                <w:u w:val="none"/>
              </w:rPr>
              <w:t>年</w:t>
            </w:r>
            <w:r>
              <w:rPr>
                <w:rFonts w:hint="eastAsia" w:cs="宋体" w:asciiTheme="minorEastAsia" w:hAnsiTheme="minorEastAsia" w:eastAsiaTheme="minorEastAsia"/>
                <w:color w:val="000000"/>
                <w:sz w:val="24"/>
                <w:highlight w:val="yellow"/>
                <w:u w:val="none"/>
                <w:lang w:val="en-US" w:eastAsia="zh-CN"/>
              </w:rPr>
              <w:t>5月27</w:t>
            </w:r>
            <w:r>
              <w:rPr>
                <w:rFonts w:hint="eastAsia" w:cs="宋体" w:asciiTheme="minorEastAsia" w:hAnsiTheme="minorEastAsia" w:eastAsiaTheme="minorEastAsia"/>
                <w:color w:val="000000"/>
                <w:sz w:val="24"/>
                <w:highlight w:val="yellow"/>
                <w:u w:val="none"/>
              </w:rPr>
              <w:t>日</w:t>
            </w:r>
            <w:r>
              <w:rPr>
                <w:rFonts w:hint="eastAsia" w:cs="宋体" w:asciiTheme="minorEastAsia" w:hAnsiTheme="minorEastAsia" w:eastAsiaTheme="minorEastAsia"/>
                <w:color w:val="000000"/>
                <w:sz w:val="24"/>
                <w:highlight w:val="yellow"/>
                <w:u w:val="none"/>
                <w:lang w:val="en-US" w:eastAsia="zh-CN"/>
              </w:rPr>
              <w:t>12时00</w:t>
            </w:r>
            <w:r>
              <w:rPr>
                <w:rFonts w:hint="eastAsia" w:cs="宋体" w:asciiTheme="minorEastAsia" w:hAnsiTheme="minorEastAsia" w:eastAsiaTheme="minorEastAsia"/>
                <w:color w:val="000000"/>
                <w:sz w:val="24"/>
                <w:highlight w:val="yellow"/>
                <w:u w:val="none"/>
              </w:rPr>
              <w:t>分</w:t>
            </w:r>
          </w:p>
          <w:p>
            <w:pPr>
              <w:spacing w:line="288" w:lineRule="auto"/>
              <w:jc w:val="both"/>
              <w:rPr>
                <w:rFonts w:hint="default"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rPr>
              <w:t>递交响应文件的地点：</w:t>
            </w:r>
            <w:r>
              <w:rPr>
                <w:rFonts w:hint="eastAsia" w:cs="宋体" w:asciiTheme="minorEastAsia" w:hAnsiTheme="minorEastAsia" w:eastAsiaTheme="minorEastAsia"/>
                <w:color w:val="000000"/>
                <w:sz w:val="24"/>
                <w:highlight w:val="none"/>
                <w:lang w:val="en-US" w:eastAsia="zh-CN"/>
              </w:rPr>
              <w:t>岳阳城陵矶新港有限公司办公楼103室。</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是否退还响应文件</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仿宋" w:asciiTheme="minorEastAsia" w:hAnsiTheme="minorEastAsia" w:eastAsiaTheme="minorEastAsia"/>
                <w:sz w:val="24"/>
                <w:highlight w:val="none"/>
              </w:rPr>
              <w:t>☑</w:t>
            </w: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681"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4.3.3</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供应商撤回响应文件情况下退还响应保证金的时间</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无</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是否公开开启响应文件</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仿宋" w:asciiTheme="minorEastAsia" w:hAnsiTheme="minorEastAsia" w:eastAsiaTheme="minorEastAsia"/>
                <w:sz w:val="24"/>
                <w:highlight w:val="none"/>
              </w:rPr>
              <w:t>☑</w:t>
            </w: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434"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开启地点</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湖南省港务集团有限公司六楼602开评标室</w:t>
            </w:r>
          </w:p>
        </w:tc>
      </w:tr>
      <w:tr>
        <w:tblPrEx>
          <w:tblCellMar>
            <w:top w:w="0" w:type="dxa"/>
            <w:left w:w="108" w:type="dxa"/>
            <w:bottom w:w="0" w:type="dxa"/>
            <w:right w:w="108" w:type="dxa"/>
          </w:tblCellMar>
        </w:tblPrEx>
        <w:trPr>
          <w:trHeight w:val="58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开启程序</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开启顺序：</w:t>
            </w:r>
            <w:r>
              <w:rPr>
                <w:rFonts w:hint="eastAsia" w:cs="宋体" w:asciiTheme="minorEastAsia" w:hAnsiTheme="minorEastAsia" w:eastAsiaTheme="minorEastAsia"/>
                <w:color w:val="000000"/>
                <w:sz w:val="24"/>
                <w:highlight w:val="none"/>
                <w:u w:val="single"/>
              </w:rPr>
              <w:t>随机</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其他应公布的信息：</w:t>
            </w:r>
            <w:r>
              <w:rPr>
                <w:rFonts w:hint="eastAsia" w:cs="宋体" w:asciiTheme="minorEastAsia" w:hAnsiTheme="minorEastAsia" w:eastAsiaTheme="minorEastAsia"/>
                <w:color w:val="000000"/>
                <w:sz w:val="24"/>
                <w:highlight w:val="none"/>
                <w:u w:val="single"/>
              </w:rPr>
              <w:t>无</w:t>
            </w:r>
          </w:p>
        </w:tc>
      </w:tr>
      <w:tr>
        <w:tblPrEx>
          <w:tblCellMar>
            <w:top w:w="0" w:type="dxa"/>
            <w:left w:w="108" w:type="dxa"/>
            <w:bottom w:w="0" w:type="dxa"/>
            <w:right w:w="108" w:type="dxa"/>
          </w:tblCellMar>
        </w:tblPrEx>
        <w:trPr>
          <w:trHeight w:val="108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6.1.1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评审小组的组建</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rPr>
              <w:t>评</w:t>
            </w:r>
            <w:r>
              <w:rPr>
                <w:rFonts w:hint="eastAsia" w:cs="宋体" w:asciiTheme="minorEastAsia" w:hAnsiTheme="minorEastAsia" w:eastAsiaTheme="minorEastAsia"/>
                <w:color w:val="000000"/>
                <w:sz w:val="24"/>
                <w:highlight w:val="none"/>
                <w:lang w:eastAsia="zh-CN"/>
              </w:rPr>
              <w:t>审</w:t>
            </w:r>
            <w:r>
              <w:rPr>
                <w:rFonts w:hint="eastAsia" w:cs="宋体" w:asciiTheme="minorEastAsia" w:hAnsiTheme="minorEastAsia" w:eastAsiaTheme="minorEastAsia"/>
                <w:color w:val="000000"/>
                <w:sz w:val="24"/>
                <w:highlight w:val="none"/>
              </w:rPr>
              <w:t>小组构成</w:t>
            </w:r>
            <w:r>
              <w:rPr>
                <w:rFonts w:hint="eastAsia" w:cs="宋体" w:asciiTheme="minorEastAsia" w:hAnsiTheme="minorEastAsia" w:eastAsiaTheme="minorEastAsia"/>
                <w:color w:val="000000"/>
                <w:sz w:val="24"/>
                <w:highlight w:val="none"/>
                <w:u w:val="none"/>
              </w:rPr>
              <w:t>：</w:t>
            </w:r>
            <w:r>
              <w:rPr>
                <w:rFonts w:hint="eastAsia" w:cs="宋体" w:asciiTheme="minorEastAsia" w:hAnsiTheme="minorEastAsia" w:eastAsiaTheme="minorEastAsia"/>
                <w:color w:val="000000"/>
                <w:sz w:val="24"/>
                <w:highlight w:val="none"/>
                <w:lang w:eastAsia="zh-CN"/>
              </w:rPr>
              <w:t>评审小组由业主单位代表（</w:t>
            </w:r>
            <w:r>
              <w:rPr>
                <w:rFonts w:hint="eastAsia" w:cs="宋体" w:asciiTheme="minorEastAsia" w:hAnsiTheme="minorEastAsia" w:eastAsiaTheme="minorEastAsia"/>
                <w:color w:val="000000"/>
                <w:sz w:val="24"/>
                <w:highlight w:val="none"/>
                <w:lang w:val="en-US" w:eastAsia="zh-CN"/>
              </w:rPr>
              <w:t>1名）和评审专</w:t>
            </w:r>
            <w:r>
              <w:rPr>
                <w:rFonts w:hint="eastAsia" w:cs="宋体" w:asciiTheme="minorEastAsia" w:hAnsiTheme="minorEastAsia" w:eastAsiaTheme="minorEastAsia"/>
                <w:color w:val="auto"/>
                <w:sz w:val="24"/>
                <w:highlight w:val="none"/>
                <w:lang w:val="en-US" w:eastAsia="zh-CN"/>
              </w:rPr>
              <w:t>家（2名）组成，共</w:t>
            </w:r>
            <w:r>
              <w:rPr>
                <w:rFonts w:hint="eastAsia" w:cs="宋体" w:asciiTheme="minorEastAsia" w:hAnsiTheme="minorEastAsia" w:eastAsiaTheme="minorEastAsia"/>
                <w:color w:val="auto"/>
                <w:sz w:val="24"/>
                <w:highlight w:val="none"/>
                <w:u w:val="single"/>
                <w:lang w:val="en-US" w:eastAsia="zh-CN"/>
              </w:rPr>
              <w:t>3</w:t>
            </w:r>
            <w:r>
              <w:rPr>
                <w:rFonts w:hint="eastAsia" w:cs="宋体" w:asciiTheme="minorEastAsia" w:hAnsiTheme="minorEastAsia" w:eastAsiaTheme="minorEastAsia"/>
                <w:color w:val="auto"/>
                <w:sz w:val="24"/>
                <w:highlight w:val="none"/>
                <w:lang w:val="en-US" w:eastAsia="zh-CN"/>
              </w:rPr>
              <w:t>人</w:t>
            </w:r>
            <w:r>
              <w:rPr>
                <w:rFonts w:hint="eastAsia" w:cs="宋体" w:asciiTheme="minorEastAsia" w:hAnsiTheme="minorEastAsia" w:eastAsiaTheme="minorEastAsia"/>
                <w:color w:val="auto"/>
                <w:sz w:val="24"/>
                <w:highlight w:val="none"/>
              </w:rPr>
              <w:t>。</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auto"/>
                <w:sz w:val="24"/>
                <w:highlight w:val="none"/>
              </w:rPr>
              <w:t>评审专家确定方式：</w:t>
            </w:r>
            <w:r>
              <w:rPr>
                <w:rFonts w:hint="eastAsia" w:cs="宋体" w:asciiTheme="minorEastAsia" w:hAnsiTheme="minorEastAsia" w:eastAsiaTheme="minorEastAsia"/>
                <w:color w:val="auto"/>
                <w:sz w:val="24"/>
                <w:highlight w:val="none"/>
                <w:u w:val="single"/>
              </w:rPr>
              <w:t>在</w:t>
            </w:r>
            <w:r>
              <w:rPr>
                <w:rFonts w:hint="eastAsia" w:cs="宋体" w:asciiTheme="minorEastAsia" w:hAnsiTheme="minorEastAsia" w:eastAsiaTheme="minorEastAsia"/>
                <w:color w:val="auto"/>
                <w:sz w:val="24"/>
                <w:highlight w:val="none"/>
                <w:u w:val="single"/>
                <w:lang w:val="en-US" w:eastAsia="zh-CN"/>
              </w:rPr>
              <w:t>湖南省港务</w:t>
            </w:r>
            <w:r>
              <w:rPr>
                <w:rFonts w:hint="eastAsia" w:cs="宋体" w:asciiTheme="minorEastAsia" w:hAnsiTheme="minorEastAsia" w:eastAsiaTheme="minorEastAsia"/>
                <w:color w:val="auto"/>
                <w:sz w:val="24"/>
                <w:highlight w:val="none"/>
                <w:u w:val="single"/>
              </w:rPr>
              <w:t>集团有限公司综合评标专家库中随机抽取。</w:t>
            </w:r>
          </w:p>
        </w:tc>
      </w:tr>
      <w:tr>
        <w:tblPrEx>
          <w:tblCellMar>
            <w:top w:w="0" w:type="dxa"/>
            <w:left w:w="108" w:type="dxa"/>
            <w:bottom w:w="0" w:type="dxa"/>
            <w:right w:w="108" w:type="dxa"/>
          </w:tblCellMar>
        </w:tblPrEx>
        <w:trPr>
          <w:trHeight w:val="85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6.2.2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评审小组推荐成交候选供应商的数量</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cs="宋体" w:asciiTheme="minorEastAsia" w:hAnsiTheme="minorEastAsia" w:eastAsiaTheme="minorEastAsia"/>
                <w:b/>
                <w:bCs/>
                <w:color w:val="000000"/>
                <w:sz w:val="24"/>
                <w:highlight w:val="none"/>
              </w:rPr>
              <w:t xml:space="preserve">  </w:t>
            </w:r>
            <w:r>
              <w:rPr>
                <w:rFonts w:hint="eastAsia" w:cs="宋体" w:asciiTheme="minorEastAsia" w:hAnsiTheme="minorEastAsia" w:eastAsiaTheme="minorEastAsia"/>
                <w:b/>
                <w:bCs/>
                <w:color w:val="000000"/>
                <w:sz w:val="24"/>
                <w:highlight w:val="none"/>
                <w:u w:val="single"/>
                <w:lang w:val="en-US" w:eastAsia="zh-CN"/>
              </w:rPr>
              <w:t>2-</w:t>
            </w:r>
            <w:r>
              <w:rPr>
                <w:rFonts w:hint="eastAsia" w:cs="宋体" w:asciiTheme="minorEastAsia" w:hAnsiTheme="minorEastAsia" w:eastAsiaTheme="minorEastAsia"/>
                <w:b/>
                <w:bCs/>
                <w:color w:val="000000"/>
                <w:sz w:val="24"/>
                <w:highlight w:val="none"/>
                <w:u w:val="single"/>
              </w:rPr>
              <w:t>3个</w:t>
            </w:r>
            <w:r>
              <w:rPr>
                <w:rFonts w:hint="eastAsia" w:cs="宋体" w:asciiTheme="minorEastAsia" w:hAnsiTheme="minorEastAsia" w:eastAsiaTheme="minorEastAsia"/>
                <w:color w:val="000000"/>
                <w:sz w:val="24"/>
                <w:highlight w:val="none"/>
              </w:rPr>
              <w:t>，并标明推荐顺序。</w:t>
            </w:r>
          </w:p>
        </w:tc>
      </w:tr>
      <w:tr>
        <w:tblPrEx>
          <w:tblCellMar>
            <w:top w:w="0" w:type="dxa"/>
            <w:left w:w="108" w:type="dxa"/>
            <w:bottom w:w="0" w:type="dxa"/>
            <w:right w:w="108" w:type="dxa"/>
          </w:tblCellMar>
        </w:tblPrEx>
        <w:trPr>
          <w:trHeight w:val="212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7.2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成交候选供应商公示</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公示媒介：中国招标投标公共服务平台</w:t>
            </w:r>
            <w:r>
              <w:rPr>
                <w:rFonts w:hint="eastAsia" w:cs="宋体" w:asciiTheme="minorEastAsia" w:hAnsiTheme="minorEastAsia" w:eastAsiaTheme="minorEastAsia"/>
                <w:color w:val="auto"/>
                <w:sz w:val="22"/>
                <w:szCs w:val="22"/>
                <w:highlight w:val="none"/>
                <w:lang w:val="en-US" w:eastAsia="zh-CN"/>
              </w:rPr>
              <w:t>网站</w:t>
            </w:r>
            <w:r>
              <w:rPr>
                <w:rFonts w:hint="eastAsia" w:cs="宋体" w:asciiTheme="minorEastAsia" w:hAnsiTheme="minorEastAsia" w:eastAsiaTheme="minorEastAsia"/>
                <w:color w:val="auto"/>
                <w:sz w:val="22"/>
                <w:szCs w:val="22"/>
                <w:highlight w:val="none"/>
              </w:rPr>
              <w:t>（</w:t>
            </w:r>
            <w:r>
              <w:rPr>
                <w:rFonts w:hint="eastAsia" w:cs="宋体" w:asciiTheme="minorEastAsia" w:hAnsiTheme="minorEastAsia" w:eastAsiaTheme="minorEastAsia"/>
                <w:color w:val="auto"/>
                <w:sz w:val="22"/>
                <w:szCs w:val="22"/>
                <w:highlight w:val="none"/>
              </w:rPr>
              <w:fldChar w:fldCharType="begin"/>
            </w:r>
            <w:r>
              <w:rPr>
                <w:rFonts w:hint="eastAsia" w:cs="宋体" w:asciiTheme="minorEastAsia" w:hAnsiTheme="minorEastAsia" w:eastAsiaTheme="minorEastAsia"/>
                <w:color w:val="auto"/>
                <w:sz w:val="22"/>
                <w:szCs w:val="22"/>
                <w:highlight w:val="none"/>
              </w:rPr>
              <w:instrText xml:space="preserve"> HYPERLINK "http://www.cebpubservice.xn--com)(http-yj3hz052a13bf1fqucx4rk88dsmszeieva300lv4qcpw44ob87ihoc//www.hnsxsjt.com%EF%BC%89%E5%8F%8A%E6%B9%96%E5%8D%97%E7%9C%81%E5%9F%8E%E9%99%B5%E7%9F%B6%E6%B8%AF%E5%8F%A3%E9%9B%86%E5%9B%A2%E6%9C%89%E9%99%90%E5%85%AC%E5%8F%B8%E7%BD%91%E7%AB%99%EF%BC%88http://www.hnsgwjt.com/%EF%BC%89%E4%B8%8A%E5%8F%91%E5%B8%83%E3%80%82" </w:instrText>
            </w:r>
            <w:r>
              <w:rPr>
                <w:rFonts w:hint="eastAsia" w:cs="宋体" w:asciiTheme="minorEastAsia" w:hAnsiTheme="minorEastAsia" w:eastAsiaTheme="minorEastAsia"/>
                <w:color w:val="auto"/>
                <w:sz w:val="22"/>
                <w:szCs w:val="22"/>
                <w:highlight w:val="none"/>
              </w:rPr>
              <w:fldChar w:fldCharType="separate"/>
            </w:r>
            <w:r>
              <w:rPr>
                <w:rFonts w:hint="eastAsia" w:cs="宋体" w:asciiTheme="minorEastAsia" w:hAnsiTheme="minorEastAsia" w:eastAsiaTheme="minorEastAsia"/>
                <w:color w:val="auto"/>
                <w:sz w:val="22"/>
                <w:szCs w:val="22"/>
                <w:highlight w:val="none"/>
              </w:rPr>
              <w:t>http://www.cebpubservice.com/）、湖南省港航水利集团有限公司网站（</w:t>
            </w:r>
            <w:r>
              <w:rPr>
                <w:rFonts w:hint="eastAsia" w:cs="宋体" w:asciiTheme="minorEastAsia" w:hAnsiTheme="minorEastAsia" w:eastAsiaTheme="minorEastAsia"/>
                <w:color w:val="auto"/>
                <w:sz w:val="22"/>
                <w:szCs w:val="22"/>
                <w:highlight w:val="none"/>
                <w:lang w:val="en-US" w:eastAsia="zh-CN"/>
              </w:rPr>
              <w:t>http://www.hnsghsljt.com/</w:t>
            </w:r>
            <w:r>
              <w:rPr>
                <w:rFonts w:hint="eastAsia" w:cs="宋体" w:asciiTheme="minorEastAsia" w:hAnsiTheme="minorEastAsia" w:eastAsiaTheme="minorEastAsia"/>
                <w:color w:val="auto"/>
                <w:sz w:val="22"/>
                <w:szCs w:val="22"/>
                <w:highlight w:val="none"/>
              </w:rPr>
              <w:t>）及湖南省城陵矶港口集团有限公司网站（http://www.hnsgwjt.com/）</w:t>
            </w:r>
            <w:r>
              <w:rPr>
                <w:rFonts w:hint="eastAsia" w:cs="宋体" w:asciiTheme="minorEastAsia" w:hAnsiTheme="minorEastAsia" w:eastAsiaTheme="minorEastAsia"/>
                <w:color w:val="auto"/>
                <w:sz w:val="22"/>
                <w:szCs w:val="22"/>
                <w:highlight w:val="none"/>
              </w:rPr>
              <w:fldChar w:fldCharType="end"/>
            </w:r>
            <w:r>
              <w:rPr>
                <w:rFonts w:hint="eastAsia" w:cs="宋体" w:asciiTheme="minorEastAsia" w:hAnsiTheme="minorEastAsia" w:eastAsiaTheme="minorEastAsia"/>
                <w:color w:val="auto"/>
                <w:sz w:val="22"/>
                <w:szCs w:val="22"/>
                <w:highlight w:val="none"/>
                <w:lang w:eastAsia="zh-CN"/>
              </w:rPr>
              <w:t>。</w:t>
            </w:r>
            <w:bookmarkStart w:id="477" w:name="_GoBack"/>
            <w:bookmarkEnd w:id="477"/>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auto"/>
                <w:sz w:val="22"/>
                <w:szCs w:val="22"/>
                <w:highlight w:val="none"/>
              </w:rPr>
              <w:t>公示期限：3个工作日</w:t>
            </w:r>
          </w:p>
        </w:tc>
      </w:tr>
      <w:tr>
        <w:tblPrEx>
          <w:tblCellMar>
            <w:top w:w="0" w:type="dxa"/>
            <w:left w:w="108" w:type="dxa"/>
            <w:bottom w:w="0" w:type="dxa"/>
            <w:right w:w="108" w:type="dxa"/>
          </w:tblCellMar>
        </w:tblPrEx>
        <w:trPr>
          <w:trHeight w:val="988"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8.1</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异议渠道</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000000"/>
                <w:sz w:val="24"/>
                <w:highlight w:val="none"/>
                <w:lang w:eastAsia="zh-CN"/>
              </w:rPr>
              <w:t>岳阳城陵矶新港有限公司综合管理部</w:t>
            </w:r>
          </w:p>
          <w:p>
            <w:pPr>
              <w:spacing w:line="288" w:lineRule="auto"/>
              <w:jc w:val="left"/>
              <w:rPr>
                <w:rFonts w:hint="default" w:cs="宋体" w:asciiTheme="minorEastAsia" w:hAnsiTheme="minorEastAsia" w:eastAsiaTheme="minorEastAsia"/>
                <w:color w:val="000000"/>
                <w:sz w:val="24"/>
                <w:highlight w:val="none"/>
                <w:lang w:val="en-US"/>
              </w:rPr>
            </w:pPr>
            <w:r>
              <w:rPr>
                <w:rFonts w:hint="eastAsia" w:cs="宋体" w:asciiTheme="minorEastAsia" w:hAnsiTheme="minorEastAsia" w:eastAsiaTheme="minorEastAsia"/>
                <w:color w:val="000000"/>
                <w:sz w:val="24"/>
                <w:highlight w:val="none"/>
                <w:lang w:eastAsia="zh-CN"/>
              </w:rPr>
              <w:t>联系电话：</w:t>
            </w:r>
            <w:r>
              <w:rPr>
                <w:rFonts w:hint="eastAsia" w:ascii="宋体" w:hAnsi="宋体" w:eastAsia="宋体" w:cs="宋体"/>
                <w:color w:val="000000" w:themeColor="text1"/>
                <w:sz w:val="24"/>
                <w:szCs w:val="32"/>
                <w:highlight w:val="none"/>
                <w:lang w:val="en-US" w:eastAsia="zh-CN"/>
                <w14:textFill>
                  <w14:solidFill>
                    <w14:schemeClr w14:val="tx1"/>
                  </w14:solidFill>
                </w14:textFill>
              </w:rPr>
              <w:t>13</w:t>
            </w:r>
            <w:r>
              <w:rPr>
                <w:rFonts w:hint="eastAsia" w:ascii="宋体" w:hAnsi="宋体" w:cs="宋体"/>
                <w:color w:val="000000" w:themeColor="text1"/>
                <w:sz w:val="24"/>
                <w:szCs w:val="32"/>
                <w:highlight w:val="none"/>
                <w:lang w:val="en-US" w:eastAsia="zh-CN"/>
                <w14:textFill>
                  <w14:solidFill>
                    <w14:schemeClr w14:val="tx1"/>
                  </w14:solidFill>
                </w14:textFill>
              </w:rPr>
              <w:t>975080729</w:t>
            </w:r>
          </w:p>
        </w:tc>
      </w:tr>
      <w:tr>
        <w:tblPrEx>
          <w:tblCellMar>
            <w:top w:w="0" w:type="dxa"/>
            <w:left w:w="108" w:type="dxa"/>
            <w:bottom w:w="0" w:type="dxa"/>
            <w:right w:w="108" w:type="dxa"/>
          </w:tblCellMar>
        </w:tblPrEx>
        <w:trPr>
          <w:trHeight w:val="1717"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10.2</w:t>
            </w:r>
          </w:p>
        </w:tc>
        <w:tc>
          <w:tcPr>
            <w:tcW w:w="3091"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需要补充的其他内容</w:t>
            </w:r>
          </w:p>
        </w:tc>
        <w:tc>
          <w:tcPr>
            <w:tcW w:w="550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color w:val="000000"/>
                <w:sz w:val="24"/>
                <w:highlight w:val="none"/>
                <w:lang w:val="en-US" w:eastAsia="zh-CN"/>
              </w:rPr>
              <w:t>1.</w:t>
            </w:r>
            <w:r>
              <w:rPr>
                <w:rFonts w:hint="eastAsia" w:cs="宋体" w:asciiTheme="minorEastAsia" w:hAnsiTheme="minorEastAsia" w:eastAsiaTheme="minorEastAsia"/>
                <w:color w:val="000000"/>
                <w:sz w:val="24"/>
                <w:highlight w:val="none"/>
                <w:lang w:eastAsia="zh-CN"/>
              </w:rPr>
              <w:t>供应商提供的相关证明文件若为复印件，必须加盖单位公章。</w:t>
            </w:r>
          </w:p>
          <w:p>
            <w:pPr>
              <w:spacing w:line="288" w:lineRule="auto"/>
              <w:jc w:val="both"/>
              <w:rPr>
                <w:rFonts w:hint="default" w:cs="宋体" w:asciiTheme="minorEastAsia" w:hAnsiTheme="minorEastAsia" w:eastAsiaTheme="minorEastAsia"/>
                <w:color w:val="000000"/>
                <w:sz w:val="24"/>
                <w:highlight w:val="none"/>
                <w:lang w:val="en-US" w:eastAsia="zh-CN"/>
              </w:rPr>
            </w:pPr>
            <w:r>
              <w:rPr>
                <w:rFonts w:hint="eastAsia" w:cs="宋体" w:asciiTheme="minorEastAsia" w:hAnsiTheme="minorEastAsia" w:eastAsiaTheme="minorEastAsia"/>
                <w:color w:val="000000"/>
                <w:sz w:val="24"/>
                <w:highlight w:val="none"/>
                <w:lang w:val="en-US" w:eastAsia="zh-CN"/>
              </w:rPr>
              <w:t>2.</w:t>
            </w:r>
            <w:r>
              <w:rPr>
                <w:rFonts w:hint="eastAsia" w:cs="宋体" w:asciiTheme="minorEastAsia" w:hAnsiTheme="minorEastAsia" w:eastAsiaTheme="minorEastAsia"/>
                <w:color w:val="000000"/>
                <w:sz w:val="24"/>
                <w:highlight w:val="none"/>
                <w:lang w:eastAsia="zh-CN"/>
              </w:rPr>
              <w:t>本项目</w:t>
            </w:r>
            <w:r>
              <w:rPr>
                <w:rFonts w:hint="eastAsia" w:cs="宋体" w:asciiTheme="minorEastAsia" w:hAnsiTheme="minorEastAsia" w:eastAsiaTheme="minorEastAsia"/>
                <w:b/>
                <w:bCs/>
                <w:color w:val="000000"/>
                <w:sz w:val="24"/>
                <w:highlight w:val="none"/>
                <w:u w:val="single"/>
                <w:lang w:eastAsia="zh-CN"/>
              </w:rPr>
              <w:t>不接受</w:t>
            </w:r>
            <w:r>
              <w:rPr>
                <w:rFonts w:hint="eastAsia" w:cs="宋体" w:asciiTheme="minorEastAsia" w:hAnsiTheme="minorEastAsia" w:eastAsiaTheme="minorEastAsia"/>
                <w:color w:val="000000"/>
                <w:sz w:val="24"/>
                <w:highlight w:val="none"/>
                <w:lang w:eastAsia="zh-CN"/>
              </w:rPr>
              <w:t>联合体投标。</w:t>
            </w:r>
          </w:p>
          <w:p>
            <w:pPr>
              <w:spacing w:line="288" w:lineRule="auto"/>
              <w:jc w:val="both"/>
              <w:rPr>
                <w:rFonts w:hint="default" w:cs="宋体" w:asciiTheme="minorEastAsia" w:hAnsiTheme="minorEastAsia" w:eastAsiaTheme="minorEastAsia"/>
                <w:color w:val="000000"/>
                <w:sz w:val="24"/>
                <w:highlight w:val="none"/>
                <w:lang w:val="en-US"/>
              </w:rPr>
            </w:pPr>
            <w:r>
              <w:rPr>
                <w:rFonts w:hint="eastAsia" w:cs="宋体" w:asciiTheme="minorEastAsia" w:hAnsiTheme="minorEastAsia" w:eastAsiaTheme="minorEastAsia"/>
                <w:color w:val="000000"/>
                <w:sz w:val="24"/>
                <w:highlight w:val="none"/>
                <w:lang w:val="en-US" w:eastAsia="zh-CN"/>
              </w:rPr>
              <w:t>3.响应文件份数：</w:t>
            </w:r>
            <w:r>
              <w:rPr>
                <w:rFonts w:hint="eastAsia" w:cs="宋体" w:asciiTheme="minorEastAsia" w:hAnsiTheme="minorEastAsia" w:eastAsiaTheme="minorEastAsia"/>
                <w:color w:val="000000"/>
                <w:sz w:val="24"/>
                <w:highlight w:val="none"/>
                <w:u w:val="single"/>
              </w:rPr>
              <w:t>正本1份</w:t>
            </w: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b w:val="0"/>
                <w:bCs w:val="0"/>
                <w:color w:val="000000"/>
                <w:sz w:val="24"/>
                <w:highlight w:val="none"/>
                <w:u w:val="single"/>
              </w:rPr>
              <w:t>副本 2 份</w:t>
            </w:r>
            <w:r>
              <w:rPr>
                <w:rFonts w:hint="eastAsia" w:cs="宋体" w:asciiTheme="minorEastAsia" w:hAnsiTheme="minorEastAsia" w:eastAsiaTheme="minorEastAsia"/>
                <w:b w:val="0"/>
                <w:bCs w:val="0"/>
                <w:color w:val="000000"/>
                <w:sz w:val="24"/>
                <w:highlight w:val="none"/>
                <w:u w:val="none"/>
                <w:lang w:eastAsia="zh-CN"/>
              </w:rPr>
              <w:t>。</w:t>
            </w:r>
          </w:p>
        </w:tc>
      </w:tr>
    </w:tbl>
    <w:p>
      <w:pPr>
        <w:spacing w:line="240" w:lineRule="auto"/>
        <w:jc w:val="center"/>
        <w:outlineLvl w:val="1"/>
        <w:rPr>
          <w:rFonts w:ascii="仿宋" w:hAnsi="仿宋" w:eastAsia="仿宋" w:cs="仿宋"/>
          <w:sz w:val="30"/>
          <w:szCs w:val="30"/>
        </w:rPr>
      </w:pPr>
      <w:r>
        <w:rPr>
          <w:rFonts w:ascii="仿宋" w:hAnsi="仿宋" w:eastAsia="仿宋" w:cs="仿宋"/>
          <w:b/>
          <w:bCs/>
          <w:sz w:val="30"/>
          <w:szCs w:val="30"/>
        </w:rPr>
        <w:br w:type="page"/>
      </w:r>
      <w:bookmarkStart w:id="92" w:name="_Toc24627"/>
      <w:bookmarkStart w:id="93" w:name="_Toc13013"/>
      <w:bookmarkStart w:id="94" w:name="_Toc18977"/>
      <w:bookmarkStart w:id="95" w:name="_Toc21714"/>
      <w:bookmarkStart w:id="96" w:name="_Toc7508"/>
      <w:bookmarkStart w:id="97" w:name="_Toc16932"/>
      <w:bookmarkStart w:id="98" w:name="_Toc18601"/>
      <w:r>
        <w:rPr>
          <w:rFonts w:hint="eastAsia" w:ascii="华文中宋" w:hAnsi="华文中宋" w:eastAsia="华文中宋" w:cs="仿宋"/>
          <w:b/>
          <w:bCs/>
          <w:sz w:val="30"/>
          <w:szCs w:val="30"/>
        </w:rPr>
        <w:t>第二</w:t>
      </w:r>
      <w:r>
        <w:rPr>
          <w:rFonts w:hint="eastAsia" w:ascii="华文中宋" w:hAnsi="华文中宋" w:eastAsia="华文中宋" w:cs="仿宋"/>
          <w:b/>
          <w:bCs/>
          <w:sz w:val="30"/>
          <w:szCs w:val="30"/>
          <w:lang w:val="en-US" w:eastAsia="zh-CN"/>
        </w:rPr>
        <w:t xml:space="preserve">节 </w:t>
      </w:r>
      <w:r>
        <w:rPr>
          <w:rFonts w:hint="eastAsia" w:ascii="华文中宋" w:hAnsi="华文中宋" w:eastAsia="华文中宋" w:cs="仿宋"/>
          <w:b/>
          <w:bCs/>
          <w:sz w:val="30"/>
          <w:szCs w:val="30"/>
        </w:rPr>
        <w:t xml:space="preserve"> 供应商须知正文</w:t>
      </w:r>
      <w:bookmarkEnd w:id="92"/>
      <w:bookmarkEnd w:id="93"/>
      <w:bookmarkEnd w:id="94"/>
      <w:bookmarkEnd w:id="95"/>
      <w:bookmarkEnd w:id="96"/>
      <w:bookmarkEnd w:id="97"/>
      <w:bookmarkEnd w:id="98"/>
    </w:p>
    <w:p>
      <w:pPr>
        <w:keepNext w:val="0"/>
        <w:keepLines w:val="0"/>
        <w:pageBreakBefore w:val="0"/>
        <w:kinsoku/>
        <w:wordWrap/>
        <w:overflowPunct/>
        <w:topLinePunct w:val="0"/>
        <w:bidi w:val="0"/>
        <w:adjustRightInd w:val="0"/>
        <w:snapToGrid w:val="0"/>
        <w:spacing w:before="120" w:beforeLines="50" w:after="120" w:afterLines="50" w:line="480" w:lineRule="exact"/>
        <w:jc w:val="both"/>
        <w:textAlignment w:val="auto"/>
        <w:outlineLvl w:val="2"/>
        <w:rPr>
          <w:rFonts w:ascii="宋体" w:hAnsi="宋体" w:cs="仿宋"/>
          <w:b/>
          <w:bCs/>
          <w:sz w:val="24"/>
          <w:highlight w:val="none"/>
        </w:rPr>
      </w:pPr>
      <w:bookmarkStart w:id="99" w:name="_Toc27094"/>
      <w:bookmarkStart w:id="100" w:name="_Toc9084"/>
      <w:bookmarkStart w:id="101" w:name="_Toc18923"/>
      <w:r>
        <w:rPr>
          <w:rFonts w:hint="eastAsia" w:ascii="宋体" w:hAnsi="宋体" w:cs="仿宋"/>
          <w:b/>
          <w:bCs/>
          <w:sz w:val="24"/>
          <w:highlight w:val="none"/>
        </w:rPr>
        <w:t>1 总则</w:t>
      </w:r>
      <w:bookmarkEnd w:id="99"/>
      <w:bookmarkEnd w:id="100"/>
      <w:bookmarkEnd w:id="101"/>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02" w:name="_Toc10446"/>
      <w:bookmarkStart w:id="103" w:name="_Toc25849"/>
      <w:bookmarkStart w:id="104" w:name="_Toc26148"/>
      <w:r>
        <w:rPr>
          <w:rFonts w:hint="eastAsia" w:ascii="宋体" w:hAnsi="宋体" w:cs="仿宋"/>
          <w:b/>
          <w:bCs/>
          <w:sz w:val="24"/>
          <w:highlight w:val="none"/>
        </w:rPr>
        <w:t>1.1采购方法和评审办法</w:t>
      </w:r>
      <w:bookmarkEnd w:id="102"/>
      <w:bookmarkEnd w:id="103"/>
      <w:bookmarkEnd w:id="104"/>
    </w:p>
    <w:p>
      <w:pPr>
        <w:pStyle w:val="75"/>
        <w:keepNext w:val="0"/>
        <w:keepLines w:val="0"/>
        <w:pageBreakBefore w:val="0"/>
        <w:kinsoku/>
        <w:wordWrap/>
        <w:overflowPunct/>
        <w:topLinePunct w:val="0"/>
        <w:bidi w:val="0"/>
        <w:spacing w:before="120" w:after="120" w:line="480" w:lineRule="exact"/>
        <w:ind w:left="426" w:firstLine="48" w:firstLineChars="20"/>
        <w:jc w:val="both"/>
        <w:textAlignment w:val="auto"/>
        <w:rPr>
          <w:rFonts w:ascii="宋体" w:hAnsi="宋体" w:eastAsia="宋体" w:cs="仿宋"/>
          <w:sz w:val="24"/>
          <w:szCs w:val="24"/>
          <w:highlight w:val="none"/>
        </w:rPr>
      </w:pPr>
      <w:bookmarkStart w:id="105" w:name="_Toc2710"/>
      <w:bookmarkStart w:id="106" w:name="_Toc3881"/>
      <w:bookmarkStart w:id="107" w:name="_Toc11117"/>
      <w:r>
        <w:rPr>
          <w:rFonts w:hint="eastAsia" w:ascii="宋体" w:hAnsi="宋体" w:eastAsia="宋体" w:cs="仿宋"/>
          <w:sz w:val="24"/>
          <w:szCs w:val="24"/>
          <w:highlight w:val="none"/>
        </w:rPr>
        <w:t>本项目采用供应商须知前附表规定的采购方式和评审办法。</w:t>
      </w:r>
      <w:bookmarkEnd w:id="105"/>
      <w:bookmarkEnd w:id="106"/>
      <w:bookmarkEnd w:id="107"/>
    </w:p>
    <w:p>
      <w:pPr>
        <w:pStyle w:val="69"/>
        <w:keepNext w:val="0"/>
        <w:keepLines w:val="0"/>
        <w:pageBreakBefore w:val="0"/>
        <w:kinsoku/>
        <w:wordWrap/>
        <w:overflowPunct/>
        <w:topLinePunct w:val="0"/>
        <w:bidi w:val="0"/>
        <w:spacing w:line="480" w:lineRule="exact"/>
        <w:ind w:firstLine="0" w:firstLineChars="0"/>
        <w:textAlignment w:val="auto"/>
        <w:rPr>
          <w:rFonts w:hAnsi="宋体" w:eastAsia="宋体" w:cs="仿宋"/>
          <w:sz w:val="24"/>
          <w:szCs w:val="24"/>
          <w:highlight w:val="none"/>
        </w:rPr>
      </w:pPr>
      <w:r>
        <w:rPr>
          <w:rFonts w:hint="eastAsia" w:hAnsi="宋体" w:eastAsia="宋体" w:cs="仿宋"/>
          <w:sz w:val="24"/>
          <w:szCs w:val="24"/>
          <w:highlight w:val="none"/>
        </w:rPr>
        <w:t>1.1.1采购方法</w:t>
      </w:r>
    </w:p>
    <w:p>
      <w:pPr>
        <w:pStyle w:val="69"/>
        <w:keepNext w:val="0"/>
        <w:keepLines w:val="0"/>
        <w:pageBreakBefore w:val="0"/>
        <w:kinsoku/>
        <w:wordWrap/>
        <w:overflowPunct/>
        <w:topLinePunct w:val="0"/>
        <w:bidi w:val="0"/>
        <w:spacing w:line="480" w:lineRule="exact"/>
        <w:ind w:firstLine="453" w:firstLineChars="189"/>
        <w:textAlignment w:val="auto"/>
        <w:rPr>
          <w:rFonts w:hAnsi="宋体" w:eastAsia="宋体" w:cs="仿宋"/>
          <w:sz w:val="24"/>
          <w:szCs w:val="24"/>
          <w:highlight w:val="none"/>
        </w:rPr>
      </w:pPr>
      <w:r>
        <w:rPr>
          <w:rFonts w:hint="eastAsia" w:hAnsi="宋体" w:eastAsia="宋体" w:cs="仿宋"/>
          <w:sz w:val="24"/>
          <w:szCs w:val="24"/>
          <w:highlight w:val="none"/>
        </w:rPr>
        <w:t>询价采购，是指按照规定程序就采购项目向符合资格要求的供应商进行询价，通过评审、比较确定成交供应商的采购方式。</w:t>
      </w:r>
    </w:p>
    <w:p>
      <w:pPr>
        <w:pStyle w:val="69"/>
        <w:keepNext w:val="0"/>
        <w:keepLines w:val="0"/>
        <w:pageBreakBefore w:val="0"/>
        <w:kinsoku/>
        <w:wordWrap/>
        <w:overflowPunct/>
        <w:topLinePunct w:val="0"/>
        <w:bidi w:val="0"/>
        <w:spacing w:line="480" w:lineRule="exact"/>
        <w:ind w:firstLine="0" w:firstLineChars="0"/>
        <w:textAlignment w:val="auto"/>
        <w:rPr>
          <w:rFonts w:hAnsi="宋体" w:eastAsia="宋体" w:cs="仿宋"/>
          <w:sz w:val="24"/>
          <w:szCs w:val="24"/>
          <w:highlight w:val="none"/>
        </w:rPr>
      </w:pPr>
      <w:r>
        <w:rPr>
          <w:rFonts w:hint="eastAsia" w:hAnsi="宋体" w:eastAsia="宋体" w:cs="仿宋"/>
          <w:sz w:val="24"/>
          <w:szCs w:val="24"/>
          <w:highlight w:val="none"/>
        </w:rPr>
        <w:t>1.1.2评审办法</w:t>
      </w:r>
    </w:p>
    <w:p>
      <w:pPr>
        <w:keepNext w:val="0"/>
        <w:keepLines w:val="0"/>
        <w:pageBreakBefore w:val="0"/>
        <w:kinsoku/>
        <w:wordWrap/>
        <w:overflowPunct/>
        <w:topLinePunct w:val="0"/>
        <w:bidi w:val="0"/>
        <w:adjustRightInd w:val="0"/>
        <w:snapToGrid w:val="0"/>
        <w:spacing w:line="480" w:lineRule="exact"/>
        <w:ind w:firstLine="480" w:firstLineChars="200"/>
        <w:jc w:val="both"/>
        <w:textAlignment w:val="auto"/>
        <w:rPr>
          <w:rFonts w:ascii="宋体" w:hAnsi="宋体" w:cs="仿宋"/>
          <w:sz w:val="24"/>
          <w:highlight w:val="none"/>
        </w:rPr>
      </w:pPr>
      <w:r>
        <w:rPr>
          <w:rFonts w:hint="eastAsia" w:ascii="宋体" w:hAnsi="宋体" w:cs="仿宋"/>
          <w:sz w:val="24"/>
          <w:highlight w:val="none"/>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08" w:name="_Toc19946"/>
      <w:bookmarkStart w:id="109" w:name="_Toc4627"/>
      <w:bookmarkStart w:id="110" w:name="_Toc30494"/>
      <w:r>
        <w:rPr>
          <w:rFonts w:hint="eastAsia" w:ascii="宋体" w:hAnsi="宋体" w:cs="仿宋"/>
          <w:b/>
          <w:bCs/>
          <w:sz w:val="24"/>
          <w:highlight w:val="none"/>
        </w:rPr>
        <w:t>1.2采购项目概况和供应商资格要求</w:t>
      </w:r>
      <w:bookmarkEnd w:id="108"/>
      <w:bookmarkEnd w:id="109"/>
      <w:bookmarkEnd w:id="110"/>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采购项目概况和供应商资格要求见第一章“询价公告”。</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11" w:name="_Toc29213"/>
      <w:bookmarkStart w:id="112" w:name="_Toc3798"/>
      <w:bookmarkStart w:id="113" w:name="_Toc23699"/>
      <w:r>
        <w:rPr>
          <w:rFonts w:hint="eastAsia" w:ascii="宋体" w:hAnsi="宋体" w:cs="仿宋"/>
          <w:b/>
          <w:bCs/>
          <w:sz w:val="24"/>
          <w:highlight w:val="none"/>
        </w:rPr>
        <w:t>1.3 费用承担</w:t>
      </w:r>
      <w:bookmarkEnd w:id="111"/>
      <w:bookmarkEnd w:id="112"/>
      <w:bookmarkEnd w:id="113"/>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供应商准备和参加采购活动所发生的各种费用由供应商自行承担。</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14" w:name="_Toc5269"/>
      <w:bookmarkStart w:id="115" w:name="_Toc30034"/>
      <w:bookmarkStart w:id="116" w:name="_Toc25546"/>
      <w:r>
        <w:rPr>
          <w:rFonts w:hint="eastAsia" w:ascii="宋体" w:hAnsi="宋体" w:cs="仿宋"/>
          <w:b/>
          <w:bCs/>
          <w:sz w:val="24"/>
          <w:highlight w:val="none"/>
        </w:rPr>
        <w:t>1.4保密</w:t>
      </w:r>
      <w:bookmarkEnd w:id="114"/>
      <w:bookmarkEnd w:id="115"/>
      <w:bookmarkEnd w:id="116"/>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参加采购活动的各方应对采购文件和响应文件中的商业和技术等秘密保密，否则应承担相应的法律责任。</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17" w:name="_Toc9412"/>
      <w:bookmarkStart w:id="118" w:name="_Toc11597"/>
      <w:bookmarkStart w:id="119" w:name="_Toc14511"/>
      <w:r>
        <w:rPr>
          <w:rFonts w:hint="eastAsia" w:ascii="宋体" w:hAnsi="宋体" w:cs="仿宋"/>
          <w:b/>
          <w:bCs/>
          <w:sz w:val="24"/>
          <w:highlight w:val="none"/>
        </w:rPr>
        <w:t>1.5语言文字</w:t>
      </w:r>
      <w:bookmarkEnd w:id="117"/>
      <w:bookmarkEnd w:id="118"/>
      <w:bookmarkEnd w:id="119"/>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采购文件和响应文件使用的语言文字为中文。专用术语使用外文的，应附有中文注释。</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20" w:name="_Toc9723"/>
      <w:bookmarkStart w:id="121" w:name="_Toc24149"/>
      <w:bookmarkStart w:id="122" w:name="_Toc24360"/>
      <w:r>
        <w:rPr>
          <w:rFonts w:hint="eastAsia" w:ascii="宋体" w:hAnsi="宋体" w:cs="仿宋"/>
          <w:b/>
          <w:bCs/>
          <w:sz w:val="24"/>
          <w:highlight w:val="none"/>
        </w:rPr>
        <w:t>1.6计量单位</w:t>
      </w:r>
      <w:bookmarkEnd w:id="120"/>
      <w:bookmarkEnd w:id="121"/>
      <w:bookmarkEnd w:id="122"/>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所有计量均采用中华人民共和国法定计量单位。</w:t>
      </w:r>
    </w:p>
    <w:p>
      <w:pPr>
        <w:keepNext w:val="0"/>
        <w:keepLines w:val="0"/>
        <w:pageBreakBefore w:val="0"/>
        <w:kinsoku/>
        <w:wordWrap/>
        <w:overflowPunct/>
        <w:topLinePunct w:val="0"/>
        <w:bidi w:val="0"/>
        <w:adjustRightInd w:val="0"/>
        <w:snapToGrid w:val="0"/>
        <w:spacing w:line="480" w:lineRule="exact"/>
        <w:jc w:val="both"/>
        <w:textAlignment w:val="auto"/>
        <w:rPr>
          <w:rFonts w:hint="eastAsia" w:ascii="宋体" w:hAnsi="宋体" w:eastAsia="宋体" w:cs="仿宋"/>
          <w:b/>
          <w:bCs/>
          <w:sz w:val="24"/>
          <w:highlight w:val="none"/>
          <w:lang w:eastAsia="zh-CN"/>
        </w:rPr>
      </w:pPr>
      <w:r>
        <w:rPr>
          <w:rFonts w:hint="eastAsia" w:ascii="宋体" w:hAnsi="宋体" w:cs="仿宋"/>
          <w:b/>
          <w:bCs/>
          <w:sz w:val="24"/>
          <w:highlight w:val="none"/>
        </w:rPr>
        <w:t>1.7踏勘现场</w:t>
      </w:r>
      <w:r>
        <w:rPr>
          <w:rFonts w:hint="eastAsia" w:ascii="宋体" w:hAnsi="宋体" w:cs="仿宋"/>
          <w:b/>
          <w:bCs/>
          <w:sz w:val="24"/>
          <w:highlight w:val="none"/>
          <w:lang w:eastAsia="zh-CN"/>
        </w:rPr>
        <w:t>（本项目不组织踏勘现场）</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b w:val="0"/>
          <w:bCs/>
          <w:sz w:val="24"/>
          <w:highlight w:val="none"/>
        </w:rPr>
      </w:pPr>
      <w:r>
        <w:rPr>
          <w:rFonts w:hint="eastAsia" w:ascii="宋体" w:hAnsi="宋体" w:cs="仿宋"/>
          <w:b/>
          <w:bCs/>
          <w:sz w:val="24"/>
          <w:highlight w:val="none"/>
        </w:rPr>
        <w:t>1.8采购预备会</w:t>
      </w:r>
      <w:r>
        <w:rPr>
          <w:rFonts w:hint="eastAsia" w:ascii="宋体" w:hAnsi="宋体" w:cs="仿宋"/>
          <w:b/>
          <w:bCs/>
          <w:sz w:val="24"/>
          <w:highlight w:val="none"/>
          <w:lang w:eastAsia="zh-CN"/>
        </w:rPr>
        <w:t>（本项目不召开采购预备会）</w:t>
      </w:r>
      <w:r>
        <w:rPr>
          <w:rFonts w:ascii="宋体" w:hAnsi="宋体" w:cs="仿宋"/>
          <w:b w:val="0"/>
          <w:bCs/>
          <w:sz w:val="24"/>
          <w:highlight w:val="none"/>
        </w:rPr>
        <w:t xml:space="preserve"> </w:t>
      </w:r>
    </w:p>
    <w:p>
      <w:pPr>
        <w:keepNext w:val="0"/>
        <w:keepLines w:val="0"/>
        <w:pageBreakBefore w:val="0"/>
        <w:kinsoku/>
        <w:wordWrap/>
        <w:overflowPunct/>
        <w:topLinePunct w:val="0"/>
        <w:bidi w:val="0"/>
        <w:adjustRightInd w:val="0"/>
        <w:snapToGrid w:val="0"/>
        <w:spacing w:line="480" w:lineRule="exact"/>
        <w:ind w:firstLine="0" w:firstLineChars="0"/>
        <w:jc w:val="both"/>
        <w:textAlignment w:val="auto"/>
        <w:rPr>
          <w:rFonts w:hint="eastAsia" w:ascii="宋体" w:hAnsi="宋体" w:eastAsia="宋体" w:cs="仿宋"/>
          <w:b w:val="0"/>
          <w:bCs/>
          <w:sz w:val="24"/>
          <w:highlight w:val="none"/>
          <w:lang w:eastAsia="zh-CN"/>
        </w:rPr>
      </w:pPr>
      <w:r>
        <w:rPr>
          <w:rFonts w:hint="eastAsia" w:ascii="宋体" w:hAnsi="宋体" w:cs="仿宋"/>
          <w:b/>
          <w:bCs/>
          <w:sz w:val="24"/>
          <w:highlight w:val="none"/>
        </w:rPr>
        <w:t>1.9分包</w:t>
      </w:r>
      <w:r>
        <w:rPr>
          <w:rFonts w:hint="eastAsia" w:ascii="宋体" w:hAnsi="宋体" w:cs="仿宋"/>
          <w:b/>
          <w:bCs/>
          <w:sz w:val="24"/>
          <w:highlight w:val="none"/>
          <w:lang w:eastAsia="zh-CN"/>
        </w:rPr>
        <w:t>（本项目不允许分包）</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b/>
          <w:bCs/>
          <w:sz w:val="24"/>
          <w:highlight w:val="none"/>
        </w:rPr>
      </w:pPr>
      <w:r>
        <w:rPr>
          <w:rFonts w:hint="eastAsia" w:ascii="宋体" w:hAnsi="宋体" w:cs="仿宋"/>
          <w:b/>
          <w:bCs/>
          <w:sz w:val="24"/>
          <w:highlight w:val="none"/>
        </w:rPr>
        <w:t>1.10响应和偏差</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1.10.2供应商须知前附表规定了对非关键条款允许偏差的范围和可以偏差的项数的，如响应文件存在的偏差超出上述范围或项数，将被视为无效。</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23" w:name="_Toc27073"/>
      <w:bookmarkStart w:id="124" w:name="_Toc5261"/>
      <w:bookmarkStart w:id="125" w:name="_Toc16788"/>
      <w:r>
        <w:rPr>
          <w:rFonts w:hint="eastAsia" w:ascii="宋体" w:hAnsi="宋体" w:cs="仿宋"/>
          <w:b/>
          <w:bCs/>
          <w:sz w:val="24"/>
          <w:highlight w:val="none"/>
        </w:rPr>
        <w:t>2询价文件</w:t>
      </w:r>
      <w:bookmarkEnd w:id="123"/>
      <w:bookmarkEnd w:id="124"/>
      <w:bookmarkEnd w:id="125"/>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26" w:name="_Toc11826"/>
      <w:bookmarkStart w:id="127" w:name="_Toc32728"/>
      <w:bookmarkStart w:id="128" w:name="_Toc9712"/>
      <w:r>
        <w:rPr>
          <w:rFonts w:hint="eastAsia" w:ascii="宋体" w:hAnsi="宋体" w:cs="仿宋"/>
          <w:b/>
          <w:bCs/>
          <w:sz w:val="24"/>
          <w:highlight w:val="none"/>
        </w:rPr>
        <w:t>2.1询价文件的组成</w:t>
      </w:r>
      <w:bookmarkEnd w:id="126"/>
      <w:bookmarkEnd w:id="127"/>
      <w:bookmarkEnd w:id="128"/>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本询价文件包括:</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(1)询价公告；</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(2)供应商须知；</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(3)评审办法；</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(4)合同条款及格式；</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(5)采购需求；</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(6)响应文件格式；</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(7)供应商须知前附表规定的其他资料。</w:t>
      </w:r>
    </w:p>
    <w:p>
      <w:pPr>
        <w:keepNext w:val="0"/>
        <w:keepLines w:val="0"/>
        <w:pageBreakBefore w:val="0"/>
        <w:kinsoku/>
        <w:wordWrap/>
        <w:overflowPunct/>
        <w:topLinePunct w:val="0"/>
        <w:bidi w:val="0"/>
        <w:adjustRightInd w:val="0"/>
        <w:snapToGrid w:val="0"/>
        <w:spacing w:line="480" w:lineRule="exact"/>
        <w:ind w:left="105" w:leftChars="50" w:firstLine="453" w:firstLineChars="189"/>
        <w:jc w:val="both"/>
        <w:textAlignment w:val="auto"/>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29" w:name="_Toc26637"/>
      <w:bookmarkStart w:id="130" w:name="_Toc18898"/>
      <w:bookmarkStart w:id="131" w:name="_Toc4774"/>
      <w:r>
        <w:rPr>
          <w:rFonts w:hint="eastAsia" w:ascii="宋体" w:hAnsi="宋体" w:cs="仿宋"/>
          <w:b/>
          <w:bCs/>
          <w:sz w:val="24"/>
          <w:highlight w:val="none"/>
        </w:rPr>
        <w:t>2.2询价文件的澄清和修改</w:t>
      </w:r>
      <w:bookmarkEnd w:id="129"/>
      <w:bookmarkEnd w:id="130"/>
      <w:bookmarkEnd w:id="131"/>
    </w:p>
    <w:p>
      <w:pPr>
        <w:keepNext w:val="0"/>
        <w:keepLines w:val="0"/>
        <w:pageBreakBefore w:val="0"/>
        <w:kinsoku/>
        <w:wordWrap/>
        <w:overflowPunct/>
        <w:topLinePunct w:val="0"/>
        <w:bidi w:val="0"/>
        <w:adjustRightInd w:val="0"/>
        <w:snapToGrid w:val="0"/>
        <w:spacing w:line="480" w:lineRule="exact"/>
        <w:ind w:left="105" w:leftChars="50"/>
        <w:jc w:val="both"/>
        <w:textAlignment w:val="auto"/>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keepNext w:val="0"/>
        <w:keepLines w:val="0"/>
        <w:pageBreakBefore w:val="0"/>
        <w:kinsoku/>
        <w:wordWrap/>
        <w:overflowPunct/>
        <w:topLinePunct w:val="0"/>
        <w:bidi w:val="0"/>
        <w:adjustRightInd w:val="0"/>
        <w:snapToGrid w:val="0"/>
        <w:spacing w:line="480" w:lineRule="exact"/>
        <w:ind w:left="105" w:leftChars="50"/>
        <w:jc w:val="both"/>
        <w:textAlignment w:val="auto"/>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keepNext w:val="0"/>
        <w:keepLines w:val="0"/>
        <w:pageBreakBefore w:val="0"/>
        <w:kinsoku/>
        <w:wordWrap/>
        <w:overflowPunct/>
        <w:topLinePunct w:val="0"/>
        <w:bidi w:val="0"/>
        <w:adjustRightInd w:val="0"/>
        <w:snapToGrid w:val="0"/>
        <w:spacing w:line="480" w:lineRule="exact"/>
        <w:ind w:left="105" w:leftChars="50"/>
        <w:jc w:val="both"/>
        <w:textAlignment w:val="auto"/>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keepNext w:val="0"/>
        <w:keepLines w:val="0"/>
        <w:pageBreakBefore w:val="0"/>
        <w:kinsoku/>
        <w:wordWrap/>
        <w:overflowPunct/>
        <w:topLinePunct w:val="0"/>
        <w:bidi w:val="0"/>
        <w:adjustRightInd w:val="0"/>
        <w:snapToGrid w:val="0"/>
        <w:spacing w:line="480" w:lineRule="exact"/>
        <w:ind w:left="105" w:leftChars="50"/>
        <w:jc w:val="both"/>
        <w:textAlignment w:val="auto"/>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32" w:name="_Toc22053"/>
      <w:bookmarkStart w:id="133" w:name="_Toc26434"/>
      <w:bookmarkStart w:id="134" w:name="_Toc29839"/>
      <w:r>
        <w:rPr>
          <w:rFonts w:hint="eastAsia" w:ascii="宋体" w:hAnsi="宋体" w:cs="仿宋"/>
          <w:b/>
          <w:bCs/>
          <w:sz w:val="24"/>
          <w:highlight w:val="none"/>
        </w:rPr>
        <w:t>3响应文件</w:t>
      </w:r>
      <w:bookmarkEnd w:id="132"/>
      <w:bookmarkEnd w:id="133"/>
      <w:bookmarkEnd w:id="134"/>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35" w:name="_Toc13937"/>
      <w:bookmarkStart w:id="136" w:name="_Toc25923"/>
      <w:bookmarkStart w:id="137" w:name="_Toc5"/>
      <w:r>
        <w:rPr>
          <w:rFonts w:hint="eastAsia" w:ascii="宋体" w:hAnsi="宋体" w:cs="仿宋"/>
          <w:b/>
          <w:bCs/>
          <w:sz w:val="24"/>
          <w:highlight w:val="none"/>
        </w:rPr>
        <w:t>3.1响应文件的组成</w:t>
      </w:r>
      <w:bookmarkEnd w:id="135"/>
      <w:bookmarkEnd w:id="136"/>
      <w:bookmarkEnd w:id="137"/>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3.1.1响应文件应包括下列内容:</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(1)响应函；</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(2)授权委托书(如有)；</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(3)商务和技术偏差表；</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(4)报价表；</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(5)资格审查资料；</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(6)响应方案；</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(7)供应商须知前附表规定的其他资料。</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供应商在评审过程中作出的符合采购文件要求的澄清、说明和补正，构成响应文件的组成部分。</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3.1.2供应商的法定代表人(单位负责人)亲自签署响应文件、亲自参加采购的，响应文件不包括第3.1.1(2)目所指的授权委托书。</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38" w:name="_Toc14761"/>
      <w:bookmarkStart w:id="139" w:name="_Toc1960"/>
      <w:bookmarkStart w:id="140" w:name="_Toc30964"/>
      <w:r>
        <w:rPr>
          <w:rFonts w:hint="eastAsia" w:ascii="宋体" w:hAnsi="宋体" w:cs="仿宋"/>
          <w:b/>
          <w:bCs/>
          <w:sz w:val="24"/>
          <w:highlight w:val="none"/>
        </w:rPr>
        <w:t>3.2报价</w:t>
      </w:r>
      <w:bookmarkEnd w:id="138"/>
      <w:bookmarkEnd w:id="139"/>
      <w:bookmarkEnd w:id="140"/>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color w:val="000000" w:themeColor="text1"/>
          <w:sz w:val="24"/>
          <w:highlight w:val="none"/>
          <w14:textFill>
            <w14:solidFill>
              <w14:schemeClr w14:val="tx1"/>
            </w14:solidFill>
          </w14:textFill>
        </w:rPr>
      </w:pPr>
      <w:r>
        <w:rPr>
          <w:rFonts w:hint="eastAsia" w:ascii="宋体" w:hAnsi="宋体" w:cs="仿宋"/>
          <w:sz w:val="24"/>
          <w:highlight w:val="none"/>
        </w:rPr>
        <w:t>3.2</w:t>
      </w:r>
      <w:r>
        <w:rPr>
          <w:rFonts w:hint="eastAsia" w:ascii="宋体" w:hAnsi="宋体" w:cs="仿宋"/>
          <w:color w:val="000000" w:themeColor="text1"/>
          <w:sz w:val="24"/>
          <w:highlight w:val="none"/>
          <w14:textFill>
            <w14:solidFill>
              <w14:schemeClr w14:val="tx1"/>
            </w14:solidFill>
          </w14:textFill>
        </w:rPr>
        <w:t>.1供应商应按询价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3.2.2供应商应充分了解采购项目的总体情况以及影响报价的其他要素。对于货物采购项目，采购人在签署采购合同</w:t>
      </w:r>
      <w:r>
        <w:rPr>
          <w:rFonts w:hint="eastAsia" w:ascii="宋体" w:hAnsi="宋体" w:cs="仿宋"/>
          <w:sz w:val="24"/>
          <w:highlight w:val="none"/>
          <w:lang w:val="en-US" w:eastAsia="zh-CN"/>
        </w:rPr>
        <w:t>时</w:t>
      </w:r>
      <w:r>
        <w:rPr>
          <w:rFonts w:hint="eastAsia" w:ascii="宋体" w:hAnsi="宋体" w:cs="仿宋"/>
          <w:sz w:val="24"/>
          <w:highlight w:val="none"/>
        </w:rPr>
        <w:t>及合同履行过程中，有权在供应商须知前附表规定的幅度内对采购标的的数量进行增加或减少。</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3.2.3采购人设有最高限价的，供应商的报价不得超过最高限价。最高限价或最高限价计算方法在供应商须知前附表中载明。</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3.2.4报价的其他要求见供应商须知前附表。</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41" w:name="_Toc23920"/>
      <w:bookmarkStart w:id="142" w:name="_Toc16688"/>
      <w:bookmarkStart w:id="143" w:name="_Toc5726"/>
      <w:r>
        <w:rPr>
          <w:rFonts w:hint="eastAsia" w:ascii="宋体" w:hAnsi="宋体" w:cs="仿宋"/>
          <w:b/>
          <w:bCs/>
          <w:sz w:val="24"/>
          <w:highlight w:val="none"/>
        </w:rPr>
        <w:t>3.3响应文件有效期</w:t>
      </w:r>
      <w:bookmarkEnd w:id="141"/>
      <w:bookmarkEnd w:id="142"/>
      <w:bookmarkEnd w:id="143"/>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3.3.1除供应商须知前附表另有规定外，响应文件有效期应为90日，从采购文件规定的递交响应文件的截止时间开始计算。</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b/>
          <w:bCs/>
          <w:sz w:val="24"/>
          <w:highlight w:val="none"/>
        </w:rPr>
        <w:t>3.4响应保证金</w:t>
      </w:r>
      <w:r>
        <w:rPr>
          <w:rFonts w:hint="eastAsia" w:ascii="宋体" w:hAnsi="宋体" w:cs="仿宋"/>
          <w:b/>
          <w:bCs w:val="0"/>
          <w:sz w:val="24"/>
          <w:highlight w:val="none"/>
        </w:rPr>
        <w:t>（本项目不</w:t>
      </w:r>
      <w:r>
        <w:rPr>
          <w:rFonts w:hint="eastAsia" w:ascii="宋体" w:hAnsi="宋体" w:cs="仿宋"/>
          <w:b/>
          <w:bCs w:val="0"/>
          <w:sz w:val="24"/>
          <w:highlight w:val="none"/>
          <w:lang w:eastAsia="zh-CN"/>
        </w:rPr>
        <w:t>递交</w:t>
      </w:r>
      <w:r>
        <w:rPr>
          <w:rFonts w:hint="eastAsia" w:ascii="宋体" w:hAnsi="宋体" w:cs="仿宋"/>
          <w:b/>
          <w:bCs w:val="0"/>
          <w:sz w:val="24"/>
          <w:highlight w:val="none"/>
        </w:rPr>
        <w:t>响应保证金）</w:t>
      </w:r>
    </w:p>
    <w:p>
      <w:pPr>
        <w:keepNext w:val="0"/>
        <w:keepLines w:val="0"/>
        <w:pageBreakBefore w:val="0"/>
        <w:kinsoku/>
        <w:wordWrap/>
        <w:overflowPunct/>
        <w:topLinePunct w:val="0"/>
        <w:bidi w:val="0"/>
        <w:adjustRightInd w:val="0"/>
        <w:snapToGrid w:val="0"/>
        <w:spacing w:line="480" w:lineRule="exact"/>
        <w:ind w:left="120" w:hanging="120" w:hangingChars="50"/>
        <w:jc w:val="both"/>
        <w:textAlignment w:val="auto"/>
        <w:rPr>
          <w:rFonts w:ascii="宋体" w:hAnsi="宋体" w:cs="仿宋"/>
          <w:b/>
          <w:bCs/>
          <w:sz w:val="24"/>
          <w:highlight w:val="none"/>
        </w:rPr>
      </w:pPr>
      <w:r>
        <w:rPr>
          <w:rFonts w:hint="eastAsia" w:ascii="宋体" w:hAnsi="宋体" w:cs="仿宋"/>
          <w:b/>
          <w:bCs/>
          <w:sz w:val="24"/>
          <w:highlight w:val="none"/>
        </w:rPr>
        <w:t>3.5资格审查资料</w:t>
      </w:r>
    </w:p>
    <w:p>
      <w:pPr>
        <w:keepNext w:val="0"/>
        <w:keepLines w:val="0"/>
        <w:pageBreakBefore w:val="0"/>
        <w:kinsoku/>
        <w:wordWrap/>
        <w:overflowPunct/>
        <w:topLinePunct w:val="0"/>
        <w:bidi w:val="0"/>
        <w:adjustRightInd w:val="0"/>
        <w:snapToGrid w:val="0"/>
        <w:spacing w:line="480" w:lineRule="exact"/>
        <w:ind w:left="149" w:leftChars="71" w:firstLine="360" w:firstLineChars="150"/>
        <w:jc w:val="both"/>
        <w:textAlignment w:val="auto"/>
        <w:rPr>
          <w:rFonts w:ascii="宋体" w:hAnsi="宋体" w:cs="仿宋"/>
          <w:sz w:val="24"/>
          <w:highlight w:val="none"/>
        </w:rPr>
      </w:pPr>
      <w:r>
        <w:rPr>
          <w:rFonts w:hint="eastAsia" w:ascii="宋体" w:hAnsi="宋体" w:cs="仿宋"/>
          <w:sz w:val="24"/>
          <w:highlight w:val="none"/>
        </w:rPr>
        <w:t>供应商应提供供应商须知前附表3.5(1)-3.5(</w:t>
      </w:r>
      <w:r>
        <w:rPr>
          <w:rFonts w:hint="eastAsia" w:ascii="宋体" w:hAnsi="宋体" w:cs="仿宋"/>
          <w:sz w:val="24"/>
          <w:highlight w:val="none"/>
          <w:lang w:val="en-US" w:eastAsia="zh-CN"/>
        </w:rPr>
        <w:t>8</w:t>
      </w:r>
      <w:r>
        <w:rPr>
          <w:rFonts w:hint="eastAsia" w:ascii="宋体" w:hAnsi="宋体" w:cs="仿宋"/>
          <w:sz w:val="24"/>
          <w:highlight w:val="none"/>
        </w:rPr>
        <w:t>)中规定的资格审查资料，以证明其满足第一章“询价公告”对供应商的各项资格要求。</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44" w:name="_Toc6298"/>
      <w:bookmarkStart w:id="145" w:name="_Toc6480"/>
      <w:bookmarkStart w:id="146" w:name="_Toc24735"/>
      <w:r>
        <w:rPr>
          <w:rFonts w:hint="eastAsia" w:ascii="宋体" w:hAnsi="宋体" w:cs="仿宋"/>
          <w:b/>
          <w:bCs/>
          <w:sz w:val="24"/>
          <w:highlight w:val="none"/>
        </w:rPr>
        <w:t>3.6响应方案</w:t>
      </w:r>
      <w:bookmarkEnd w:id="144"/>
      <w:bookmarkEnd w:id="145"/>
      <w:bookmarkEnd w:id="146"/>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3.6.1响应文件应当对采购文件中的实质性内容作出响应。采购需求中明确为关键条款(标记“*”)的，供应商还应按照供应商须知前附表的规定提供有关证据或证明材料。</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3.6.2供应商只能提出唯一的响应方案。供应商在响应文件中提出多个响应方案的，其响应文件将被视为无效。</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47" w:name="_Toc22315"/>
      <w:bookmarkStart w:id="148" w:name="_Toc22012"/>
      <w:bookmarkStart w:id="149" w:name="_Toc24744"/>
      <w:r>
        <w:rPr>
          <w:rFonts w:hint="eastAsia" w:ascii="宋体" w:hAnsi="宋体" w:cs="仿宋"/>
          <w:b/>
          <w:bCs/>
          <w:sz w:val="24"/>
          <w:highlight w:val="none"/>
        </w:rPr>
        <w:t>3.7响应文件的编制</w:t>
      </w:r>
      <w:bookmarkEnd w:id="147"/>
      <w:bookmarkEnd w:id="148"/>
      <w:bookmarkEnd w:id="149"/>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3.7.1响应文件应按第六章“响应文件格式”进行编写，如有必要，可以增加附件作为响应文件的组成部分。</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3.7.2响应文件应用不褪色的的材料书写或打印。</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响应函应由供应商的法定代表人(单位负责人)或其授权的代理人签字并加盖单位章。联合体协议书(如有)应由联合体各方的法定代表人(单位负责人)或其授权的代理人签字并加盖单位章。</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响应函或联合体协议书(如有)由代理人签字的，应在响应文件中附授权委托书，授权委托书应由供应商或联合体各方的法定代表人(单位负责人)签字并加盖单位章。</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3.7.3评审过程中供应商对响应文件的澄清、说明和补正应由供应商的法定代表人(单位负责人)或其授权的代理人签字或加盖单位章。</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3.7.4响应文件应尽量避免涂改、行间插字或删除。如果出现上述情况，改动之处应由供应商的法定代表人(单位负责人)或其授权的代理人签字或加盖单位章。</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ascii="宋体" w:hAnsi="宋体" w:cs="仿宋"/>
          <w:sz w:val="24"/>
          <w:highlight w:val="none"/>
        </w:rPr>
        <w:t>3.7.5响应文件正本一份，副本份数见供应商须知前附表。正本和副本的封面右上角应清楚地标记“正本”或“副本”的字样。供应商应根据供应商须知前附表要求提供电子版文件。当副本和正本不</w:t>
      </w:r>
      <w:r>
        <w:rPr>
          <w:rFonts w:hint="eastAsia" w:ascii="宋体" w:hAnsi="宋体" w:cs="仿宋"/>
          <w:sz w:val="24"/>
          <w:highlight w:val="none"/>
          <w:lang w:val="en-US" w:eastAsia="zh-CN"/>
        </w:rPr>
        <w:t>一</w:t>
      </w:r>
      <w:r>
        <w:rPr>
          <w:rFonts w:ascii="宋体" w:hAnsi="宋体" w:cs="仿宋"/>
          <w:sz w:val="24"/>
          <w:highlight w:val="none"/>
        </w:rPr>
        <w:t>致，或电子版文件和纸质正本文件不一致时，以纸质正本文件为准。</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ascii="宋体" w:hAnsi="宋体" w:cs="仿宋"/>
          <w:sz w:val="24"/>
          <w:highlight w:val="none"/>
        </w:rPr>
        <w:t>3.7.6响应文件的正本与副本应分别装订，并编制目录。响应文件需分册装订的，具体分册装订要求见供应商须知前附表规定。</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50" w:name="_Toc2603"/>
      <w:bookmarkStart w:id="151" w:name="_Toc13546"/>
      <w:bookmarkStart w:id="152" w:name="_Toc12593"/>
      <w:r>
        <w:rPr>
          <w:rFonts w:hint="eastAsia" w:ascii="宋体" w:hAnsi="宋体" w:cs="仿宋"/>
          <w:b/>
          <w:bCs/>
          <w:sz w:val="24"/>
          <w:highlight w:val="none"/>
        </w:rPr>
        <w:t>4响应文件的递交</w:t>
      </w:r>
      <w:bookmarkEnd w:id="150"/>
      <w:bookmarkEnd w:id="151"/>
      <w:bookmarkEnd w:id="152"/>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53" w:name="_Toc439"/>
      <w:bookmarkStart w:id="154" w:name="_Toc11513"/>
      <w:bookmarkStart w:id="155" w:name="_Toc10349"/>
      <w:r>
        <w:rPr>
          <w:rFonts w:ascii="宋体" w:hAnsi="宋体" w:cs="仿宋"/>
          <w:b/>
          <w:bCs/>
          <w:sz w:val="24"/>
          <w:highlight w:val="none"/>
        </w:rPr>
        <w:t>4.1响应文件的包装与标记</w:t>
      </w:r>
      <w:bookmarkEnd w:id="153"/>
      <w:bookmarkEnd w:id="154"/>
      <w:bookmarkEnd w:id="155"/>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ascii="宋体" w:hAnsi="宋体" w:cs="仿宋"/>
          <w:sz w:val="24"/>
          <w:highlight w:val="none"/>
        </w:rPr>
        <w:t>4.1.1响应文件应</w:t>
      </w:r>
      <w:r>
        <w:rPr>
          <w:rFonts w:hint="eastAsia" w:ascii="宋体" w:hAnsi="宋体" w:cs="仿宋"/>
          <w:sz w:val="24"/>
          <w:highlight w:val="none"/>
          <w:lang w:val="en-US" w:eastAsia="zh-CN"/>
        </w:rPr>
        <w:t>妥</w:t>
      </w:r>
      <w:r>
        <w:rPr>
          <w:rFonts w:ascii="宋体" w:hAnsi="宋体" w:cs="仿宋"/>
          <w:sz w:val="24"/>
          <w:highlight w:val="none"/>
        </w:rPr>
        <w:t>善包装。供应商须知前附表规定响应文件应密封的，响应文件应按要求密封。</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ascii="宋体" w:hAnsi="宋体" w:cs="仿宋"/>
          <w:sz w:val="24"/>
          <w:highlight w:val="none"/>
        </w:rPr>
        <w:t>4.1.2响应文件封套上应载明的内容见供应商须知前附表。</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56" w:name="_Toc21800"/>
      <w:bookmarkStart w:id="157" w:name="_Toc19262"/>
      <w:bookmarkStart w:id="158" w:name="_Toc30293"/>
      <w:r>
        <w:rPr>
          <w:rFonts w:hint="eastAsia" w:ascii="宋体" w:hAnsi="宋体" w:cs="仿宋"/>
          <w:b/>
          <w:bCs/>
          <w:sz w:val="24"/>
          <w:highlight w:val="none"/>
        </w:rPr>
        <w:t>4.2响应文件的递交</w:t>
      </w:r>
      <w:bookmarkEnd w:id="156"/>
      <w:bookmarkEnd w:id="157"/>
      <w:bookmarkEnd w:id="158"/>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4.2.2除供应商须知前附表另有规定外，供应商所提交的响应文件不</w:t>
      </w:r>
      <w:r>
        <w:rPr>
          <w:rFonts w:hint="eastAsia" w:ascii="宋体" w:hAnsi="宋体" w:cs="仿宋"/>
          <w:sz w:val="24"/>
          <w:highlight w:val="none"/>
          <w:lang w:val="en-US" w:eastAsia="zh-CN"/>
        </w:rPr>
        <w:t>予</w:t>
      </w:r>
      <w:r>
        <w:rPr>
          <w:rFonts w:hint="eastAsia" w:ascii="宋体" w:hAnsi="宋体" w:cs="仿宋"/>
          <w:sz w:val="24"/>
          <w:highlight w:val="none"/>
        </w:rPr>
        <w:t>退还。</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59" w:name="_Toc28230"/>
      <w:bookmarkStart w:id="160" w:name="_Toc2426"/>
      <w:bookmarkStart w:id="161" w:name="_Toc26435"/>
      <w:r>
        <w:rPr>
          <w:rFonts w:hint="eastAsia" w:ascii="宋体" w:hAnsi="宋体" w:cs="仿宋"/>
          <w:b/>
          <w:bCs/>
          <w:sz w:val="24"/>
          <w:highlight w:val="none"/>
        </w:rPr>
        <w:t>4.3响应文件的修改与撤回</w:t>
      </w:r>
      <w:bookmarkEnd w:id="159"/>
      <w:bookmarkEnd w:id="160"/>
      <w:bookmarkEnd w:id="161"/>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4.3.1在本章第4.2.1项规定的递交响应文件的截止时间前，供应商可以修改或撤回已递交的响应文件。</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4.3.2</w:t>
      </w:r>
      <w:r>
        <w:rPr>
          <w:rFonts w:ascii="宋体" w:hAnsi="宋体" w:cs="仿宋"/>
          <w:sz w:val="24"/>
          <w:highlight w:val="none"/>
        </w:rPr>
        <w:t>响应文件的修改文件或供应商</w:t>
      </w:r>
      <w:r>
        <w:rPr>
          <w:rFonts w:hint="eastAsia" w:ascii="宋体" w:hAnsi="宋体" w:cs="仿宋"/>
          <w:sz w:val="24"/>
          <w:highlight w:val="none"/>
        </w:rPr>
        <w:t>撤</w:t>
      </w:r>
      <w:r>
        <w:rPr>
          <w:rFonts w:ascii="宋体" w:hAnsi="宋体" w:cs="仿宋"/>
          <w:sz w:val="24"/>
          <w:highlight w:val="none"/>
        </w:rPr>
        <w:t>回已递交响应文件的书面通知应由供应商的法定代表人(单位负责人)或其授权的代理人签字并加盖单位章。采购人收到供应商修改响应文件的书面文件后，向供应商出具接收凭证</w:t>
      </w:r>
      <w:r>
        <w:rPr>
          <w:rFonts w:hint="eastAsia" w:ascii="宋体" w:hAnsi="宋体" w:cs="仿宋"/>
          <w:sz w:val="24"/>
          <w:highlight w:val="none"/>
        </w:rPr>
        <w:t>；</w:t>
      </w:r>
      <w:r>
        <w:rPr>
          <w:rFonts w:ascii="宋体" w:hAnsi="宋体" w:cs="仿宋"/>
          <w:sz w:val="24"/>
          <w:highlight w:val="none"/>
        </w:rPr>
        <w:t>采购人收到供应商撤回响应文件的书面通知后，退回供应商的响应文件。</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4.3.3除供应商须知前附表另有规定外，供应商撤回响应文件的，采购人应在5日内退还已收取的响应保证金。</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4.3.4修改的内容为响应文件的组成部分。响应文件的修改文件应按照本章第3条、第4条的规定进行编制、包装、标记和递交，并注明“修改”字样。</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62" w:name="_Toc10117"/>
      <w:bookmarkStart w:id="163" w:name="_Toc18035"/>
      <w:bookmarkStart w:id="164" w:name="_Toc6165"/>
      <w:r>
        <w:rPr>
          <w:rFonts w:hint="eastAsia" w:ascii="宋体" w:hAnsi="宋体" w:cs="仿宋"/>
          <w:b/>
          <w:bCs/>
          <w:sz w:val="24"/>
          <w:highlight w:val="none"/>
        </w:rPr>
        <w:t>5开启响应文件</w:t>
      </w:r>
      <w:bookmarkEnd w:id="162"/>
      <w:bookmarkEnd w:id="163"/>
      <w:bookmarkEnd w:id="164"/>
    </w:p>
    <w:p>
      <w:pPr>
        <w:keepNext w:val="0"/>
        <w:keepLines w:val="0"/>
        <w:pageBreakBefore w:val="0"/>
        <w:kinsoku/>
        <w:wordWrap/>
        <w:overflowPunct/>
        <w:topLinePunct w:val="0"/>
        <w:bidi w:val="0"/>
        <w:adjustRightInd w:val="0"/>
        <w:snapToGrid w:val="0"/>
        <w:spacing w:line="480" w:lineRule="exact"/>
        <w:ind w:firstLine="455" w:firstLineChars="189"/>
        <w:jc w:val="both"/>
        <w:textAlignment w:val="auto"/>
        <w:rPr>
          <w:rFonts w:ascii="宋体" w:hAnsi="宋体" w:cs="仿宋"/>
          <w:sz w:val="24"/>
          <w:highlight w:val="none"/>
        </w:rPr>
      </w:pPr>
      <w:r>
        <w:rPr>
          <w:rFonts w:hint="eastAsia" w:ascii="宋体" w:hAnsi="宋体" w:cs="仿宋"/>
          <w:b/>
          <w:sz w:val="24"/>
          <w:highlight w:val="none"/>
        </w:rPr>
        <w:t>采购人一般不公开开启响应文件。</w:t>
      </w:r>
      <w:r>
        <w:rPr>
          <w:rFonts w:hint="eastAsia" w:ascii="宋体" w:hAnsi="宋体" w:cs="仿宋"/>
          <w:sz w:val="24"/>
          <w:highlight w:val="none"/>
        </w:rPr>
        <w:t>如供应商须知前附表规定公开开启响应文件的，开启活动应按本条规定执行。</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hint="eastAsia" w:ascii="宋体" w:hAnsi="宋体" w:cs="仿宋"/>
          <w:b/>
          <w:bCs/>
          <w:color w:val="auto"/>
          <w:sz w:val="24"/>
          <w:highlight w:val="none"/>
        </w:rPr>
      </w:pPr>
      <w:bookmarkStart w:id="165" w:name="_Toc31906"/>
      <w:bookmarkStart w:id="166" w:name="_Toc1936"/>
      <w:bookmarkStart w:id="167" w:name="_Toc3369"/>
      <w:r>
        <w:rPr>
          <w:rFonts w:hint="eastAsia" w:ascii="宋体" w:hAnsi="宋体" w:cs="仿宋"/>
          <w:b/>
          <w:bCs/>
          <w:color w:val="auto"/>
          <w:sz w:val="24"/>
          <w:highlight w:val="none"/>
        </w:rPr>
        <w:t>5.1开启响应文件的时间和地点</w:t>
      </w:r>
      <w:bookmarkEnd w:id="165"/>
      <w:bookmarkEnd w:id="166"/>
      <w:bookmarkEnd w:id="167"/>
    </w:p>
    <w:p>
      <w:pPr>
        <w:keepNext w:val="0"/>
        <w:keepLines w:val="0"/>
        <w:pageBreakBefore w:val="0"/>
        <w:kinsoku/>
        <w:wordWrap/>
        <w:overflowPunct/>
        <w:topLinePunct w:val="0"/>
        <w:bidi w:val="0"/>
        <w:adjustRightInd w:val="0"/>
        <w:snapToGrid w:val="0"/>
        <w:spacing w:line="480" w:lineRule="exact"/>
        <w:ind w:firstLine="480" w:firstLineChars="200"/>
        <w:jc w:val="both"/>
        <w:textAlignment w:val="auto"/>
        <w:rPr>
          <w:rFonts w:hint="eastAsia" w:ascii="宋体" w:hAnsi="宋体" w:eastAsia="宋体" w:cs="仿宋"/>
          <w:color w:val="auto"/>
          <w:sz w:val="24"/>
          <w:highlight w:val="none"/>
          <w:lang w:eastAsia="zh-CN"/>
        </w:rPr>
      </w:pPr>
      <w:r>
        <w:rPr>
          <w:rFonts w:hint="eastAsia" w:ascii="宋体" w:hAnsi="宋体" w:cs="仿宋"/>
          <w:color w:val="auto"/>
          <w:sz w:val="24"/>
          <w:highlight w:val="none"/>
        </w:rPr>
        <w:t>采购人在本章第4.2.1项规定的递交响应文件的截止时间和地点公开开启响应文件</w:t>
      </w:r>
      <w:r>
        <w:rPr>
          <w:rFonts w:hint="eastAsia" w:ascii="宋体" w:hAnsi="宋体" w:cs="仿宋"/>
          <w:color w:val="auto"/>
          <w:sz w:val="24"/>
          <w:highlight w:val="none"/>
          <w:lang w:eastAsia="zh-CN"/>
        </w:rPr>
        <w:t>。</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68" w:name="_Toc6394"/>
      <w:bookmarkStart w:id="169" w:name="_Toc14170"/>
      <w:bookmarkStart w:id="170" w:name="_Toc23973"/>
      <w:r>
        <w:rPr>
          <w:rFonts w:hint="eastAsia" w:ascii="宋体" w:hAnsi="宋体" w:cs="仿宋"/>
          <w:b/>
          <w:bCs/>
          <w:sz w:val="24"/>
          <w:highlight w:val="none"/>
        </w:rPr>
        <w:t>5.2开启程序</w:t>
      </w:r>
      <w:bookmarkEnd w:id="168"/>
      <w:bookmarkEnd w:id="169"/>
      <w:bookmarkEnd w:id="170"/>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主持人按下列程序公开开启响应文件:</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(1)按照供应商须知前附表规定的开启顺序开启响应文件，公布递交响应文件的供应商名称、响应报价及供应商须知前附表规定的其他应公布的信息，并记录在案；</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hint="eastAsia" w:ascii="宋体" w:hAnsi="宋体" w:eastAsia="宋体" w:cs="仿宋"/>
          <w:sz w:val="24"/>
          <w:highlight w:val="none"/>
          <w:lang w:eastAsia="zh-CN"/>
        </w:rPr>
      </w:pPr>
      <w:r>
        <w:rPr>
          <w:rFonts w:hint="eastAsia" w:ascii="宋体" w:hAnsi="宋体" w:cs="仿宋"/>
          <w:sz w:val="24"/>
          <w:highlight w:val="none"/>
        </w:rPr>
        <w:t>(2)开启会议结束。</w:t>
      </w:r>
    </w:p>
    <w:p>
      <w:pPr>
        <w:keepNext w:val="0"/>
        <w:keepLines w:val="0"/>
        <w:pageBreakBefore w:val="0"/>
        <w:kinsoku/>
        <w:wordWrap/>
        <w:overflowPunct/>
        <w:topLinePunct w:val="0"/>
        <w:bidi w:val="0"/>
        <w:adjustRightInd w:val="0"/>
        <w:snapToGrid w:val="0"/>
        <w:spacing w:line="480" w:lineRule="exact"/>
        <w:ind w:firstLine="455" w:firstLineChars="189"/>
        <w:jc w:val="both"/>
        <w:textAlignment w:val="auto"/>
        <w:outlineLvl w:val="2"/>
        <w:rPr>
          <w:rFonts w:ascii="宋体" w:hAnsi="宋体" w:cs="仿宋"/>
          <w:sz w:val="24"/>
          <w:highlight w:val="none"/>
        </w:rPr>
      </w:pPr>
      <w:bookmarkStart w:id="171" w:name="_Toc31982"/>
      <w:bookmarkStart w:id="172" w:name="_Toc22056"/>
      <w:bookmarkStart w:id="173" w:name="_Toc18948"/>
      <w:r>
        <w:rPr>
          <w:rFonts w:hint="eastAsia" w:ascii="宋体" w:hAnsi="宋体" w:cs="仿宋"/>
          <w:b/>
          <w:bCs/>
          <w:sz w:val="24"/>
          <w:highlight w:val="none"/>
        </w:rPr>
        <w:t>5.3递交响应文件的供应商不足的情形</w:t>
      </w:r>
      <w:bookmarkEnd w:id="171"/>
      <w:bookmarkEnd w:id="172"/>
      <w:bookmarkEnd w:id="173"/>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74" w:name="_Toc22381"/>
      <w:bookmarkStart w:id="175" w:name="_Toc18529"/>
      <w:bookmarkStart w:id="176" w:name="_Toc8009"/>
      <w:r>
        <w:rPr>
          <w:rFonts w:hint="eastAsia" w:ascii="宋体" w:hAnsi="宋体" w:cs="仿宋"/>
          <w:b/>
          <w:bCs/>
          <w:sz w:val="24"/>
          <w:highlight w:val="none"/>
        </w:rPr>
        <w:t>6评审</w:t>
      </w:r>
      <w:bookmarkEnd w:id="174"/>
      <w:bookmarkEnd w:id="175"/>
      <w:bookmarkEnd w:id="176"/>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77" w:name="_Toc18729"/>
      <w:bookmarkStart w:id="178" w:name="_Toc6878"/>
      <w:bookmarkStart w:id="179" w:name="_Toc11280"/>
      <w:r>
        <w:rPr>
          <w:rFonts w:hint="eastAsia" w:ascii="宋体" w:hAnsi="宋体" w:cs="仿宋"/>
          <w:b/>
          <w:bCs/>
          <w:sz w:val="24"/>
          <w:highlight w:val="none"/>
        </w:rPr>
        <w:t>6.1评审小组</w:t>
      </w:r>
      <w:bookmarkEnd w:id="177"/>
      <w:bookmarkEnd w:id="178"/>
      <w:bookmarkEnd w:id="179"/>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6.1.1评审由采购人组建的评审小组负责。</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6.1.2评审小组成员有下列情形之的，应当回避:</w:t>
      </w:r>
    </w:p>
    <w:p>
      <w:pPr>
        <w:keepNext w:val="0"/>
        <w:keepLines w:val="0"/>
        <w:pageBreakBefore w:val="0"/>
        <w:kinsoku/>
        <w:wordWrap/>
        <w:overflowPunct/>
        <w:topLinePunct w:val="0"/>
        <w:bidi w:val="0"/>
        <w:adjustRightInd w:val="0"/>
        <w:snapToGrid w:val="0"/>
        <w:spacing w:line="480" w:lineRule="exact"/>
        <w:ind w:left="716" w:leftChars="284" w:hanging="120" w:hangingChars="50"/>
        <w:jc w:val="both"/>
        <w:textAlignment w:val="auto"/>
        <w:rPr>
          <w:rFonts w:hint="eastAsia" w:ascii="宋体" w:hAnsi="宋体" w:eastAsia="宋体" w:cs="仿宋"/>
          <w:sz w:val="24"/>
          <w:highlight w:val="none"/>
          <w:lang w:eastAsia="zh-CN"/>
        </w:rPr>
      </w:pPr>
      <w:r>
        <w:rPr>
          <w:rFonts w:hint="eastAsia" w:ascii="宋体" w:hAnsi="宋体" w:cs="仿宋"/>
          <w:sz w:val="24"/>
          <w:highlight w:val="none"/>
          <w:lang w:eastAsia="zh-CN"/>
        </w:rPr>
        <w:t>（</w:t>
      </w:r>
      <w:r>
        <w:rPr>
          <w:rFonts w:hint="eastAsia" w:ascii="宋体" w:hAnsi="宋体" w:cs="仿宋"/>
          <w:sz w:val="24"/>
          <w:highlight w:val="none"/>
        </w:rPr>
        <w:t>1）供应商主要负责人或供应商主要负责人的近亲属；</w:t>
      </w:r>
    </w:p>
    <w:p>
      <w:pPr>
        <w:keepNext w:val="0"/>
        <w:keepLines w:val="0"/>
        <w:pageBreakBefore w:val="0"/>
        <w:kinsoku/>
        <w:wordWrap/>
        <w:overflowPunct/>
        <w:topLinePunct w:val="0"/>
        <w:bidi w:val="0"/>
        <w:adjustRightInd w:val="0"/>
        <w:snapToGrid w:val="0"/>
        <w:spacing w:line="480" w:lineRule="exact"/>
        <w:ind w:left="716" w:leftChars="284" w:hanging="120" w:hangingChars="50"/>
        <w:jc w:val="both"/>
        <w:textAlignment w:val="auto"/>
        <w:rPr>
          <w:rFonts w:ascii="宋体" w:hAnsi="宋体" w:cs="仿宋"/>
          <w:sz w:val="24"/>
          <w:highlight w:val="none"/>
        </w:rPr>
      </w:pPr>
      <w:r>
        <w:rPr>
          <w:rFonts w:hint="eastAsia" w:ascii="宋体" w:hAnsi="宋体" w:cs="仿宋"/>
          <w:sz w:val="24"/>
          <w:highlight w:val="none"/>
        </w:rPr>
        <w:t>(2)与供应商有经济利益关系或其他利害关系，可能影响公正评审的。</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6.1.3评审小组组建后，评审小组成员共同推选或由采购人指定评审小组组长，评审小组组长负责组织评审工作。</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80" w:name="_Toc10526"/>
      <w:bookmarkStart w:id="181" w:name="_Toc6690"/>
      <w:bookmarkStart w:id="182" w:name="_Toc26049"/>
      <w:r>
        <w:rPr>
          <w:rFonts w:hint="eastAsia" w:ascii="宋体" w:hAnsi="宋体" w:cs="仿宋"/>
          <w:b/>
          <w:bCs/>
          <w:sz w:val="24"/>
          <w:highlight w:val="none"/>
        </w:rPr>
        <w:t>6.2评审</w:t>
      </w:r>
      <w:bookmarkEnd w:id="180"/>
      <w:bookmarkEnd w:id="181"/>
      <w:bookmarkEnd w:id="182"/>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6.2.1评审小组按照第三章“评审办法”规定的评审标准和程序对响应文件进行评审和比较。</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color w:val="000000" w:themeColor="text1"/>
          <w:sz w:val="24"/>
          <w:highlight w:val="none"/>
          <w14:textFill>
            <w14:solidFill>
              <w14:schemeClr w14:val="tx1"/>
            </w14:solidFill>
          </w14:textFill>
        </w:rPr>
      </w:pPr>
      <w:r>
        <w:rPr>
          <w:rFonts w:hint="eastAsia" w:ascii="宋体" w:hAnsi="宋体" w:cs="仿宋"/>
          <w:sz w:val="24"/>
          <w:highlight w:val="none"/>
        </w:rPr>
        <w:t>6.2.2评审完成后，评审小组应当向采购人提交书面评审报告和成交候选供应商名单。评审小组推荐成交候选供应商的排序要求及数量见供应商须知前附表。</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83" w:name="_Toc30486"/>
      <w:bookmarkStart w:id="184" w:name="_Toc17573"/>
      <w:bookmarkStart w:id="185" w:name="_Toc11342"/>
      <w:r>
        <w:rPr>
          <w:rFonts w:hint="eastAsia" w:ascii="宋体" w:hAnsi="宋体" w:cs="仿宋"/>
          <w:b/>
          <w:bCs/>
          <w:sz w:val="24"/>
          <w:highlight w:val="none"/>
        </w:rPr>
        <w:t>7合同授予</w:t>
      </w:r>
      <w:bookmarkEnd w:id="183"/>
      <w:bookmarkEnd w:id="184"/>
      <w:bookmarkEnd w:id="185"/>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86" w:name="_Toc7076"/>
      <w:bookmarkStart w:id="187" w:name="_Toc32144"/>
      <w:bookmarkStart w:id="188" w:name="_Toc11201"/>
      <w:r>
        <w:rPr>
          <w:rFonts w:hint="eastAsia" w:ascii="宋体" w:hAnsi="宋体" w:cs="仿宋"/>
          <w:b/>
          <w:bCs/>
          <w:sz w:val="24"/>
          <w:highlight w:val="none"/>
        </w:rPr>
        <w:t>7.1成交候选供应商报价核查</w:t>
      </w:r>
      <w:bookmarkEnd w:id="186"/>
      <w:bookmarkEnd w:id="187"/>
      <w:bookmarkEnd w:id="188"/>
    </w:p>
    <w:p>
      <w:pPr>
        <w:keepNext w:val="0"/>
        <w:keepLines w:val="0"/>
        <w:pageBreakBefore w:val="0"/>
        <w:widowControl w:val="0"/>
        <w:kinsoku/>
        <w:wordWrap/>
        <w:overflowPunct/>
        <w:topLinePunct w:val="0"/>
        <w:bidi w:val="0"/>
        <w:adjustRightInd w:val="0"/>
        <w:snapToGrid w:val="0"/>
        <w:spacing w:line="480" w:lineRule="exact"/>
        <w:ind w:firstLine="475" w:firstLineChars="198"/>
        <w:jc w:val="both"/>
        <w:textAlignment w:val="auto"/>
        <w:rPr>
          <w:rFonts w:ascii="宋体" w:hAnsi="宋体" w:cs="仿宋"/>
          <w:sz w:val="24"/>
          <w:highlight w:val="none"/>
        </w:rPr>
      </w:pPr>
      <w:r>
        <w:rPr>
          <w:rFonts w:hint="eastAsia" w:ascii="宋体" w:hAnsi="宋体" w:cs="仿宋"/>
          <w:sz w:val="24"/>
          <w:highlight w:val="none"/>
        </w:rPr>
        <w:t>项目评审后，如果采购人认为推荐的成交候选供应商报价明显偏离市场价格时，采购人可以对该报价进行验证，验证后，对明显偏离市场价格的报价不予接受。</w:t>
      </w:r>
    </w:p>
    <w:p>
      <w:pPr>
        <w:keepNext w:val="0"/>
        <w:keepLines w:val="0"/>
        <w:pageBreakBefore w:val="0"/>
        <w:widowControl w:val="0"/>
        <w:kinsoku/>
        <w:wordWrap/>
        <w:overflowPunct/>
        <w:topLinePunct w:val="0"/>
        <w:bidi w:val="0"/>
        <w:adjustRightInd w:val="0"/>
        <w:snapToGrid w:val="0"/>
        <w:spacing w:line="480" w:lineRule="exact"/>
        <w:jc w:val="both"/>
        <w:textAlignment w:val="auto"/>
        <w:outlineLvl w:val="2"/>
        <w:rPr>
          <w:rFonts w:ascii="宋体" w:hAnsi="宋体" w:cs="宋体"/>
          <w:b/>
          <w:bCs/>
          <w:sz w:val="24"/>
          <w:highlight w:val="none"/>
        </w:rPr>
      </w:pPr>
      <w:bookmarkStart w:id="189" w:name="_Toc11091"/>
      <w:bookmarkStart w:id="190" w:name="_Toc18824"/>
      <w:bookmarkStart w:id="191" w:name="_Toc27429"/>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公示</w:t>
      </w:r>
      <w:bookmarkEnd w:id="189"/>
      <w:bookmarkEnd w:id="190"/>
      <w:bookmarkEnd w:id="191"/>
      <w:r>
        <w:rPr>
          <w:rFonts w:hint="eastAsia" w:ascii="宋体" w:hAnsi="宋体" w:cs="宋体"/>
          <w:b/>
          <w:bCs/>
          <w:sz w:val="24"/>
          <w:highlight w:val="none"/>
        </w:rPr>
        <w:t xml:space="preserve"> </w:t>
      </w:r>
    </w:p>
    <w:p>
      <w:pPr>
        <w:keepNext w:val="0"/>
        <w:keepLines w:val="0"/>
        <w:pageBreakBefore w:val="0"/>
        <w:widowControl w:val="0"/>
        <w:kinsoku/>
        <w:wordWrap/>
        <w:overflowPunct/>
        <w:topLinePunct w:val="0"/>
        <w:bidi w:val="0"/>
        <w:adjustRightInd w:val="0"/>
        <w:snapToGrid w:val="0"/>
        <w:spacing w:line="480" w:lineRule="exact"/>
        <w:ind w:firstLine="480" w:firstLineChars="200"/>
        <w:jc w:val="both"/>
        <w:textAlignment w:val="auto"/>
        <w:rPr>
          <w:rFonts w:ascii="宋体" w:hAnsi="宋体" w:cs="宋体"/>
          <w:sz w:val="24"/>
          <w:highlight w:val="none"/>
        </w:rPr>
      </w:pPr>
      <w:r>
        <w:rPr>
          <w:rFonts w:hint="eastAsia" w:ascii="宋体" w:hAnsi="宋体" w:cs="宋体"/>
          <w:sz w:val="24"/>
          <w:highlight w:val="none"/>
        </w:rPr>
        <w:t>采购人按照供应商须知前附表规定的公示媒介和期限公示成交候选供应商。</w:t>
      </w:r>
    </w:p>
    <w:p>
      <w:pPr>
        <w:keepNext w:val="0"/>
        <w:keepLines w:val="0"/>
        <w:pageBreakBefore w:val="0"/>
        <w:widowControl w:val="0"/>
        <w:kinsoku/>
        <w:wordWrap/>
        <w:overflowPunct/>
        <w:topLinePunct w:val="0"/>
        <w:bidi w:val="0"/>
        <w:adjustRightInd w:val="0"/>
        <w:snapToGrid w:val="0"/>
        <w:spacing w:line="480" w:lineRule="exact"/>
        <w:jc w:val="both"/>
        <w:textAlignment w:val="auto"/>
        <w:outlineLvl w:val="2"/>
        <w:rPr>
          <w:rFonts w:ascii="宋体" w:hAnsi="宋体" w:cs="宋体"/>
          <w:b/>
          <w:bCs/>
          <w:sz w:val="24"/>
          <w:highlight w:val="none"/>
        </w:rPr>
      </w:pPr>
      <w:bookmarkStart w:id="192" w:name="_Toc19336"/>
      <w:bookmarkStart w:id="193" w:name="_Toc24135"/>
      <w:bookmarkStart w:id="194" w:name="_Toc21220"/>
      <w:bookmarkStart w:id="195" w:name="_Toc11504"/>
      <w:r>
        <w:rPr>
          <w:rFonts w:hint="eastAsia" w:ascii="宋体" w:hAnsi="宋体" w:cs="宋体"/>
          <w:b/>
          <w:bCs/>
          <w:sz w:val="24"/>
          <w:highlight w:val="none"/>
        </w:rPr>
        <w:t>7.3成交结果异议</w:t>
      </w:r>
      <w:bookmarkEnd w:id="192"/>
      <w:bookmarkEnd w:id="193"/>
      <w:bookmarkEnd w:id="194"/>
      <w:bookmarkEnd w:id="195"/>
      <w:r>
        <w:rPr>
          <w:rFonts w:hint="eastAsia" w:ascii="宋体" w:hAnsi="宋体" w:cs="宋体"/>
          <w:b/>
          <w:bCs/>
          <w:sz w:val="24"/>
          <w:highlight w:val="none"/>
        </w:rPr>
        <w:t xml:space="preserve"> </w:t>
      </w:r>
    </w:p>
    <w:p>
      <w:pPr>
        <w:keepNext w:val="0"/>
        <w:keepLines w:val="0"/>
        <w:pageBreakBefore w:val="0"/>
        <w:kinsoku/>
        <w:wordWrap/>
        <w:overflowPunct/>
        <w:topLinePunct w:val="0"/>
        <w:bidi w:val="0"/>
        <w:adjustRightInd w:val="0"/>
        <w:snapToGrid w:val="0"/>
        <w:spacing w:line="480" w:lineRule="exact"/>
        <w:ind w:firstLine="424" w:firstLineChars="177"/>
        <w:jc w:val="both"/>
        <w:textAlignment w:val="auto"/>
        <w:rPr>
          <w:rFonts w:ascii="宋体" w:hAnsi="宋体" w:cs="宋体"/>
          <w:sz w:val="24"/>
          <w:highlight w:val="none"/>
        </w:rPr>
      </w:pPr>
      <w:r>
        <w:rPr>
          <w:rFonts w:hint="eastAsia" w:ascii="宋体" w:hAnsi="宋体" w:cs="宋体"/>
          <w:sz w:val="24"/>
          <w:highlight w:val="none"/>
        </w:rPr>
        <w:t>供应商或者其他利害关系人对采购结果有异议的，应当在成交候选供应商公示期间提出。</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96" w:name="_Toc11350"/>
      <w:bookmarkStart w:id="197" w:name="_Toc19008"/>
      <w:bookmarkStart w:id="198" w:name="_Toc1884"/>
      <w:r>
        <w:rPr>
          <w:rFonts w:hint="eastAsia" w:ascii="宋体" w:hAnsi="宋体" w:cs="仿宋"/>
          <w:b/>
          <w:bCs/>
          <w:sz w:val="24"/>
          <w:highlight w:val="none"/>
        </w:rPr>
        <w:t>7.4成交候选供应商履约能力核查</w:t>
      </w:r>
      <w:bookmarkEnd w:id="196"/>
      <w:bookmarkEnd w:id="197"/>
      <w:bookmarkEnd w:id="198"/>
    </w:p>
    <w:p>
      <w:pPr>
        <w:keepNext w:val="0"/>
        <w:keepLines w:val="0"/>
        <w:pageBreakBefore w:val="0"/>
        <w:kinsoku/>
        <w:wordWrap/>
        <w:overflowPunct/>
        <w:topLinePunct w:val="0"/>
        <w:bidi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199" w:name="_Toc19303"/>
      <w:bookmarkStart w:id="200" w:name="_Toc8156"/>
      <w:bookmarkStart w:id="201" w:name="_Toc18303"/>
      <w:r>
        <w:rPr>
          <w:rFonts w:hint="eastAsia" w:ascii="宋体" w:hAnsi="宋体" w:cs="仿宋"/>
          <w:b/>
          <w:bCs/>
          <w:sz w:val="24"/>
          <w:highlight w:val="none"/>
        </w:rPr>
        <w:t>7.5发出成交通知书</w:t>
      </w:r>
      <w:bookmarkEnd w:id="199"/>
      <w:bookmarkEnd w:id="200"/>
      <w:bookmarkEnd w:id="201"/>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公示期结束后，在本章第3.3款规定的响应文件有效期内，采购人以书面形式向成交供应商发出成交通知书，并将成交结果书面通知所有提交响应文件的供应商。</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02" w:name="_Toc2454"/>
      <w:bookmarkStart w:id="203" w:name="_Toc28059"/>
      <w:bookmarkStart w:id="204" w:name="_Toc30643"/>
      <w:r>
        <w:rPr>
          <w:rFonts w:hint="eastAsia" w:ascii="宋体" w:hAnsi="宋体" w:cs="仿宋"/>
          <w:b/>
          <w:bCs/>
          <w:sz w:val="24"/>
          <w:highlight w:val="none"/>
        </w:rPr>
        <w:t>7.6履约保证金</w:t>
      </w:r>
      <w:bookmarkEnd w:id="202"/>
      <w:bookmarkEnd w:id="203"/>
      <w:bookmarkEnd w:id="204"/>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both"/>
        <w:textAlignment w:val="auto"/>
        <w:rPr>
          <w:rFonts w:hint="default" w:ascii="宋体" w:hAnsi="宋体" w:eastAsia="宋体" w:cs="仿宋"/>
          <w:b w:val="0"/>
          <w:bCs w:val="0"/>
          <w:sz w:val="24"/>
          <w:highlight w:val="none"/>
          <w:lang w:val="en-US" w:eastAsia="zh-CN"/>
        </w:rPr>
      </w:pPr>
      <w:r>
        <w:rPr>
          <w:rFonts w:hint="eastAsia" w:ascii="宋体" w:hAnsi="宋体" w:cs="仿宋"/>
          <w:b w:val="0"/>
          <w:bCs w:val="0"/>
          <w:sz w:val="24"/>
          <w:highlight w:val="none"/>
          <w:lang w:val="en-US" w:eastAsia="zh-CN"/>
        </w:rPr>
        <w:t>本项目不提交履约保证金。</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05" w:name="_Toc14714"/>
      <w:bookmarkStart w:id="206" w:name="_Toc17204"/>
      <w:bookmarkStart w:id="207" w:name="_Toc11556"/>
      <w:r>
        <w:rPr>
          <w:rFonts w:hint="eastAsia" w:ascii="宋体" w:hAnsi="宋体" w:cs="仿宋"/>
          <w:b/>
          <w:bCs/>
          <w:sz w:val="24"/>
          <w:highlight w:val="none"/>
        </w:rPr>
        <w:t>7.7签订合同</w:t>
      </w:r>
      <w:bookmarkEnd w:id="205"/>
      <w:bookmarkEnd w:id="206"/>
      <w:bookmarkEnd w:id="207"/>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keepNext w:val="0"/>
        <w:keepLines w:val="0"/>
        <w:pageBreakBefore w:val="0"/>
        <w:kinsoku/>
        <w:wordWrap/>
        <w:overflowPunct/>
        <w:topLinePunct w:val="0"/>
        <w:bidi w:val="0"/>
        <w:adjustRightInd w:val="0"/>
        <w:snapToGrid w:val="0"/>
        <w:spacing w:line="480" w:lineRule="exact"/>
        <w:jc w:val="both"/>
        <w:textAlignment w:val="auto"/>
        <w:rPr>
          <w:rFonts w:ascii="宋体" w:hAnsi="宋体" w:cs="仿宋"/>
          <w:sz w:val="24"/>
          <w:highlight w:val="none"/>
        </w:rPr>
      </w:pPr>
      <w:r>
        <w:rPr>
          <w:rFonts w:hint="eastAsia" w:ascii="宋体" w:hAnsi="宋体" w:cs="仿宋"/>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08" w:name="_Toc13998"/>
      <w:bookmarkStart w:id="209" w:name="_Toc17982"/>
      <w:bookmarkStart w:id="210" w:name="_Toc28918"/>
      <w:r>
        <w:rPr>
          <w:rFonts w:hint="eastAsia" w:ascii="宋体" w:hAnsi="宋体" w:cs="仿宋"/>
          <w:b/>
          <w:bCs/>
          <w:sz w:val="24"/>
          <w:highlight w:val="none"/>
        </w:rPr>
        <w:t>7.</w:t>
      </w:r>
      <w:r>
        <w:rPr>
          <w:rFonts w:ascii="宋体" w:hAnsi="宋体" w:cs="仿宋"/>
          <w:b/>
          <w:bCs/>
          <w:sz w:val="24"/>
          <w:highlight w:val="none"/>
        </w:rPr>
        <w:t>8</w:t>
      </w:r>
      <w:r>
        <w:rPr>
          <w:rFonts w:hint="eastAsia" w:ascii="宋体" w:hAnsi="宋体" w:cs="仿宋"/>
          <w:b/>
          <w:bCs/>
          <w:sz w:val="24"/>
          <w:highlight w:val="none"/>
        </w:rPr>
        <w:t>特殊情形处理</w:t>
      </w:r>
      <w:bookmarkEnd w:id="208"/>
      <w:bookmarkEnd w:id="209"/>
      <w:bookmarkEnd w:id="210"/>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11" w:name="_Toc26623"/>
      <w:bookmarkStart w:id="212" w:name="_Toc2666"/>
      <w:bookmarkStart w:id="213" w:name="_Toc18510"/>
      <w:r>
        <w:rPr>
          <w:rFonts w:hint="eastAsia" w:ascii="宋体" w:hAnsi="宋体" w:cs="仿宋"/>
          <w:b/>
          <w:bCs/>
          <w:sz w:val="24"/>
          <w:highlight w:val="none"/>
        </w:rPr>
        <w:t>8异议</w:t>
      </w:r>
      <w:bookmarkEnd w:id="211"/>
      <w:bookmarkEnd w:id="212"/>
      <w:bookmarkEnd w:id="213"/>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14" w:name="_Toc13406"/>
      <w:bookmarkStart w:id="215" w:name="_Toc7300"/>
      <w:bookmarkStart w:id="216" w:name="_Toc4500"/>
      <w:r>
        <w:rPr>
          <w:rFonts w:hint="eastAsia" w:ascii="宋体" w:hAnsi="宋体" w:cs="仿宋"/>
          <w:b/>
          <w:bCs/>
          <w:sz w:val="24"/>
          <w:highlight w:val="none"/>
        </w:rPr>
        <w:t>8.1提出异议</w:t>
      </w:r>
      <w:bookmarkEnd w:id="214"/>
      <w:bookmarkEnd w:id="215"/>
      <w:bookmarkEnd w:id="216"/>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(1)异议人名称、地址、邮政编码、联系人及联系电话；</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 xml:space="preserve"> (2)具体、明确的异议事项、事实依据及与异议事项相关的请求。</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异议函应由异议人的法定代表人(单位负责人)或其授权的代理人签字并加盖单位章。</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17" w:name="_Toc23779"/>
      <w:bookmarkStart w:id="218" w:name="_Toc9781"/>
      <w:bookmarkStart w:id="219" w:name="_Toc29051"/>
      <w:r>
        <w:rPr>
          <w:rFonts w:hint="eastAsia" w:ascii="宋体" w:hAnsi="宋体" w:cs="仿宋"/>
          <w:b/>
          <w:bCs/>
          <w:sz w:val="24"/>
          <w:highlight w:val="none"/>
        </w:rPr>
        <w:t>8.2异议处理</w:t>
      </w:r>
      <w:bookmarkEnd w:id="217"/>
      <w:bookmarkEnd w:id="218"/>
      <w:bookmarkEnd w:id="219"/>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采购人将针对异议事项进行核查，经过核查，发现异议人对相关问题理解有误的，应作出解释；发现采购活动中确实存在错误或不当行为的，应及时予以改正或补救。</w:t>
      </w:r>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采购人认为异议不成立或不影响采购结果的，可以继续进行采购活动。</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20" w:name="_Toc16437"/>
      <w:bookmarkStart w:id="221" w:name="_Toc18922"/>
      <w:bookmarkStart w:id="222" w:name="_Toc15336"/>
      <w:r>
        <w:rPr>
          <w:rFonts w:hint="eastAsia" w:ascii="宋体" w:hAnsi="宋体" w:cs="仿宋"/>
          <w:b/>
          <w:bCs/>
          <w:sz w:val="24"/>
          <w:highlight w:val="none"/>
        </w:rPr>
        <w:t>9纪律要求</w:t>
      </w:r>
      <w:bookmarkEnd w:id="220"/>
      <w:bookmarkEnd w:id="221"/>
      <w:bookmarkEnd w:id="222"/>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23" w:name="_Toc10492"/>
      <w:bookmarkStart w:id="224" w:name="_Toc22175"/>
      <w:bookmarkStart w:id="225" w:name="_Toc3898"/>
      <w:r>
        <w:rPr>
          <w:rFonts w:hint="eastAsia" w:ascii="宋体" w:hAnsi="宋体" w:cs="仿宋"/>
          <w:b/>
          <w:bCs/>
          <w:sz w:val="24"/>
          <w:highlight w:val="none"/>
        </w:rPr>
        <w:t>9.1对采购人的纪律要求</w:t>
      </w:r>
      <w:bookmarkEnd w:id="223"/>
      <w:bookmarkEnd w:id="224"/>
      <w:bookmarkEnd w:id="225"/>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采购人不得泄露采购活动中应当保密的情况和资料，不得与供应商串通损害国家利益、社会公共利益或者他人合法权益。</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26" w:name="_Toc2350"/>
      <w:bookmarkStart w:id="227" w:name="_Toc7265"/>
      <w:bookmarkStart w:id="228" w:name="_Toc6566"/>
      <w:r>
        <w:rPr>
          <w:rFonts w:hint="eastAsia" w:ascii="宋体" w:hAnsi="宋体" w:cs="仿宋"/>
          <w:b/>
          <w:bCs/>
          <w:sz w:val="24"/>
          <w:highlight w:val="none"/>
        </w:rPr>
        <w:t>9.2对供应商的纪律要求</w:t>
      </w:r>
      <w:bookmarkEnd w:id="226"/>
      <w:bookmarkEnd w:id="227"/>
      <w:bookmarkEnd w:id="228"/>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29" w:name="_Toc11083"/>
      <w:bookmarkStart w:id="230" w:name="_Toc22717"/>
      <w:bookmarkStart w:id="231" w:name="_Toc702"/>
      <w:r>
        <w:rPr>
          <w:rFonts w:hint="eastAsia" w:ascii="宋体" w:hAnsi="宋体" w:cs="仿宋"/>
          <w:b/>
          <w:bCs/>
          <w:sz w:val="24"/>
          <w:highlight w:val="none"/>
        </w:rPr>
        <w:t>9.3对评审小组成员的纪律要求</w:t>
      </w:r>
      <w:bookmarkEnd w:id="229"/>
      <w:bookmarkEnd w:id="230"/>
      <w:bookmarkEnd w:id="231"/>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32" w:name="_Toc1546"/>
      <w:bookmarkStart w:id="233" w:name="_Toc31924"/>
      <w:bookmarkStart w:id="234" w:name="_Toc30744"/>
      <w:r>
        <w:rPr>
          <w:rFonts w:hint="eastAsia" w:ascii="宋体" w:hAnsi="宋体" w:cs="仿宋"/>
          <w:b/>
          <w:bCs/>
          <w:sz w:val="24"/>
          <w:highlight w:val="none"/>
        </w:rPr>
        <w:t>9.4对与采购活动有关的工作人员的纪律要求</w:t>
      </w:r>
      <w:bookmarkEnd w:id="232"/>
      <w:bookmarkEnd w:id="233"/>
      <w:bookmarkEnd w:id="234"/>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keepNext w:val="0"/>
        <w:keepLines w:val="0"/>
        <w:pageBreakBefore w:val="0"/>
        <w:kinsoku/>
        <w:wordWrap/>
        <w:overflowPunct/>
        <w:topLinePunct w:val="0"/>
        <w:bidi w:val="0"/>
        <w:adjustRightInd w:val="0"/>
        <w:snapToGrid w:val="0"/>
        <w:spacing w:line="480" w:lineRule="exact"/>
        <w:jc w:val="both"/>
        <w:textAlignment w:val="auto"/>
        <w:outlineLvl w:val="2"/>
        <w:rPr>
          <w:rFonts w:ascii="宋体" w:hAnsi="宋体" w:cs="仿宋"/>
          <w:b/>
          <w:bCs/>
          <w:sz w:val="24"/>
          <w:highlight w:val="none"/>
        </w:rPr>
      </w:pPr>
      <w:bookmarkStart w:id="235" w:name="_Toc10043"/>
      <w:bookmarkStart w:id="236" w:name="_Toc31647"/>
      <w:bookmarkStart w:id="237" w:name="_Toc23826"/>
      <w:r>
        <w:rPr>
          <w:rFonts w:hint="eastAsia" w:ascii="宋体" w:hAnsi="宋体" w:cs="仿宋"/>
          <w:b/>
          <w:bCs/>
          <w:sz w:val="24"/>
          <w:highlight w:val="none"/>
        </w:rPr>
        <w:t>10.2其他</w:t>
      </w:r>
      <w:bookmarkEnd w:id="235"/>
      <w:bookmarkEnd w:id="236"/>
      <w:bookmarkEnd w:id="237"/>
    </w:p>
    <w:p>
      <w:pPr>
        <w:keepNext w:val="0"/>
        <w:keepLines w:val="0"/>
        <w:pageBreakBefore w:val="0"/>
        <w:kinsoku/>
        <w:wordWrap/>
        <w:overflowPunct/>
        <w:topLinePunct w:val="0"/>
        <w:bidi w:val="0"/>
        <w:adjustRightInd w:val="0"/>
        <w:snapToGrid w:val="0"/>
        <w:spacing w:line="480" w:lineRule="exact"/>
        <w:ind w:firstLine="453" w:firstLineChars="189"/>
        <w:jc w:val="both"/>
        <w:textAlignment w:val="auto"/>
        <w:rPr>
          <w:rFonts w:ascii="宋体" w:hAnsi="宋体" w:cs="仿宋"/>
          <w:sz w:val="24"/>
          <w:highlight w:val="none"/>
        </w:rPr>
      </w:pPr>
      <w:r>
        <w:rPr>
          <w:rFonts w:hint="eastAsia" w:ascii="宋体" w:hAnsi="宋体" w:cs="仿宋"/>
          <w:sz w:val="24"/>
          <w:highlight w:val="none"/>
        </w:rPr>
        <w:t>需更补充的其他内容:见供应商须知前附表。</w:t>
      </w: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outlineLvl w:val="0"/>
        <w:rPr>
          <w:rFonts w:ascii="宋体" w:hAnsi="宋体" w:cs="仿宋"/>
          <w:sz w:val="30"/>
          <w:szCs w:val="30"/>
        </w:rPr>
      </w:pPr>
      <w:bookmarkStart w:id="238" w:name="_Toc6707"/>
      <w:bookmarkStart w:id="239" w:name="_Toc9916"/>
      <w:bookmarkStart w:id="240" w:name="_Toc4426"/>
      <w:bookmarkStart w:id="241" w:name="_Toc4748"/>
      <w:bookmarkStart w:id="242" w:name="_Toc23502"/>
      <w:bookmarkStart w:id="243" w:name="_Toc30950"/>
      <w:bookmarkStart w:id="244" w:name="_Toc7339"/>
      <w:r>
        <w:rPr>
          <w:rFonts w:hint="eastAsia" w:ascii="宋体" w:hAnsi="宋体" w:cs="仿宋"/>
          <w:sz w:val="30"/>
          <w:szCs w:val="30"/>
        </w:rPr>
        <w:t>附件1  开启记录表</w:t>
      </w:r>
      <w:bookmarkEnd w:id="238"/>
      <w:bookmarkEnd w:id="239"/>
      <w:bookmarkEnd w:id="240"/>
      <w:bookmarkEnd w:id="241"/>
      <w:bookmarkEnd w:id="242"/>
      <w:bookmarkEnd w:id="243"/>
      <w:bookmarkEnd w:id="244"/>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3"/>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2370"/>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密封情况</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center"/>
              <w:rPr>
                <w:rFonts w:cs="仿宋" w:asciiTheme="minorEastAsia" w:hAnsiTheme="minorEastAsia" w:eastAsiaTheme="minorEastAsia"/>
                <w:sz w:val="24"/>
              </w:rPr>
            </w:pPr>
          </w:p>
        </w:tc>
        <w:tc>
          <w:tcPr>
            <w:tcW w:w="1238"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center"/>
              <w:rPr>
                <w:rFonts w:cs="仿宋" w:asciiTheme="minorEastAsia" w:hAnsiTheme="minorEastAsia" w:eastAsiaTheme="minorEastAsia"/>
                <w:sz w:val="24"/>
              </w:rPr>
            </w:pPr>
          </w:p>
        </w:tc>
        <w:tc>
          <w:tcPr>
            <w:tcW w:w="1238"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center"/>
              <w:rPr>
                <w:rFonts w:cs="仿宋" w:asciiTheme="minorEastAsia" w:hAnsiTheme="minorEastAsia" w:eastAsiaTheme="minorEastAsia"/>
                <w:sz w:val="24"/>
              </w:rPr>
            </w:pPr>
          </w:p>
        </w:tc>
        <w:tc>
          <w:tcPr>
            <w:tcW w:w="1238"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center"/>
              <w:rPr>
                <w:rFonts w:cs="仿宋" w:asciiTheme="minorEastAsia" w:hAnsiTheme="minorEastAsia" w:eastAsiaTheme="minorEastAsia"/>
                <w:sz w:val="24"/>
              </w:rPr>
            </w:pPr>
          </w:p>
        </w:tc>
        <w:tc>
          <w:tcPr>
            <w:tcW w:w="1238"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center"/>
              <w:rPr>
                <w:rFonts w:cs="仿宋" w:asciiTheme="minorEastAsia" w:hAnsiTheme="minorEastAsia" w:eastAsiaTheme="minorEastAsia"/>
                <w:sz w:val="24"/>
              </w:rPr>
            </w:pPr>
          </w:p>
        </w:tc>
        <w:tc>
          <w:tcPr>
            <w:tcW w:w="1238"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c>
          <w:tcPr>
            <w:tcW w:w="1029" w:type="pct"/>
            <w:vAlign w:val="center"/>
          </w:tcPr>
          <w:p>
            <w:pPr>
              <w:widowControl w:val="0"/>
              <w:spacing w:line="360" w:lineRule="auto"/>
              <w:jc w:val="center"/>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0"/>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rPr>
          <w:rFonts w:hint="eastAsia" w:ascii="黑体" w:hAnsi="黑体" w:eastAsia="黑体" w:cs="Times New Roman"/>
          <w:sz w:val="36"/>
          <w:szCs w:val="36"/>
          <w:lang w:val="en-US" w:eastAsia="zh-CN"/>
        </w:rPr>
      </w:pPr>
      <w:bookmarkStart w:id="245" w:name="_Toc6754"/>
      <w:r>
        <w:rPr>
          <w:rFonts w:hint="eastAsia" w:ascii="黑体" w:hAnsi="黑体" w:eastAsia="黑体" w:cs="Times New Roman"/>
          <w:sz w:val="36"/>
          <w:szCs w:val="36"/>
          <w:lang w:val="en-US" w:eastAsia="zh-CN"/>
        </w:rPr>
        <w:br w:type="page"/>
      </w:r>
    </w:p>
    <w:p>
      <w:pPr>
        <w:spacing w:line="240" w:lineRule="auto"/>
        <w:jc w:val="center"/>
        <w:outlineLvl w:val="0"/>
        <w:rPr>
          <w:rFonts w:ascii="黑体" w:hAnsi="黑体" w:eastAsia="黑体" w:cs="仿宋"/>
          <w:bCs/>
          <w:sz w:val="36"/>
          <w:szCs w:val="36"/>
        </w:rPr>
      </w:pPr>
      <w:bookmarkStart w:id="246" w:name="_Toc654"/>
      <w:bookmarkStart w:id="247" w:name="_Toc2669"/>
      <w:r>
        <w:rPr>
          <w:rFonts w:hint="eastAsia" w:ascii="黑体" w:hAnsi="黑体" w:eastAsia="黑体" w:cs="Times New Roman"/>
          <w:sz w:val="36"/>
          <w:szCs w:val="36"/>
          <w:lang w:val="en-US" w:eastAsia="zh-CN"/>
        </w:rPr>
        <w:t>第三章 评审办法</w:t>
      </w:r>
      <w:bookmarkEnd w:id="245"/>
      <w:bookmarkEnd w:id="246"/>
      <w:bookmarkEnd w:id="247"/>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3"/>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vAlign w:val="top"/>
          </w:tcPr>
          <w:p>
            <w:pPr>
              <w:widowControl/>
              <w:adjustRightInd w:val="0"/>
              <w:snapToGrid w:val="0"/>
              <w:spacing w:line="288" w:lineRule="auto"/>
              <w:jc w:val="both"/>
              <w:rPr>
                <w:rFonts w:hint="eastAsia"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5</w:t>
            </w:r>
            <w:r>
              <w:rPr>
                <w:rFonts w:hint="eastAsia" w:cs="仿宋" w:asciiTheme="minorEastAsia" w:hAnsiTheme="minorEastAsia" w:eastAsiaTheme="minorEastAsia"/>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252"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联合体供应商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lang w:eastAsia="zh-CN"/>
              </w:rPr>
              <w:t>非联合体供应商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服务要求或服务标准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评审价格</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评审价格</w:t>
            </w:r>
          </w:p>
        </w:tc>
        <w:tc>
          <w:tcPr>
            <w:tcW w:w="5676" w:type="dxa"/>
          </w:tcPr>
          <w:p>
            <w:pPr>
              <w:widowControl w:val="0"/>
              <w:autoSpaceDE/>
              <w:spacing w:line="360" w:lineRule="auto"/>
              <w:ind w:firstLine="0" w:firstLineChars="0"/>
              <w:jc w:val="both"/>
              <w:rPr>
                <w:rFonts w:hint="eastAsia" w:cs="仿宋" w:asciiTheme="minorEastAsia" w:hAnsiTheme="minorEastAsia" w:eastAsiaTheme="minorEastAsia"/>
                <w:color w:val="FF0000"/>
                <w:szCs w:val="21"/>
                <w:lang w:eastAsia="zh-CN"/>
              </w:rPr>
            </w:pPr>
            <w:r>
              <w:rPr>
                <w:rFonts w:hint="eastAsia" w:ascii="宋体" w:hAnsi="宋体"/>
                <w:b w:val="0"/>
                <w:bCs w:val="0"/>
                <w:color w:val="auto"/>
                <w:sz w:val="21"/>
                <w:szCs w:val="21"/>
                <w:highlight w:val="none"/>
                <w:u w:val="none"/>
                <w:lang w:val="en-US" w:eastAsia="zh-CN"/>
              </w:rPr>
              <w:t>不得超过最高限价：120人*1800元+38人*2000元=292000元，即贰拾玖万贰仟元整。提供医疗门诊收费票据，超过最高限价的作废。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3.1</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分值构成（总分100分）</w:t>
            </w:r>
          </w:p>
        </w:tc>
        <w:tc>
          <w:tcPr>
            <w:tcW w:w="5676" w:type="dxa"/>
          </w:tcPr>
          <w:p>
            <w:pPr>
              <w:widowControl/>
              <w:numPr>
                <w:ilvl w:val="0"/>
                <w:numId w:val="1"/>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商务部分：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40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1"/>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技术部分：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 xml:space="preserve"> 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1"/>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color w:val="auto"/>
                <w:szCs w:val="21"/>
                <w:highlight w:val="none"/>
              </w:rPr>
              <w:t>报价部分：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3.2（2）</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评审基准价计算方法</w:t>
            </w:r>
          </w:p>
        </w:tc>
        <w:tc>
          <w:tcPr>
            <w:tcW w:w="5676" w:type="dxa"/>
          </w:tcPr>
          <w:p>
            <w:pPr>
              <w:widowControl/>
              <w:spacing w:line="240" w:lineRule="auto"/>
              <w:jc w:val="left"/>
              <w:rPr>
                <w:rFonts w:hint="eastAsia" w:cs="仿宋" w:asciiTheme="minorEastAsia" w:hAnsiTheme="minorEastAsia" w:eastAsiaTheme="minorEastAsia"/>
                <w:szCs w:val="21"/>
                <w:lang w:eastAsia="zh-CN"/>
              </w:rPr>
            </w:pPr>
            <w:r>
              <w:rPr>
                <w:rFonts w:hint="eastAsia" w:asciiTheme="minorEastAsia" w:hAnsiTheme="minorEastAsia" w:eastAsiaTheme="minorEastAsia"/>
                <w:color w:val="auto"/>
                <w:szCs w:val="21"/>
                <w:highlight w:val="none"/>
              </w:rPr>
              <w:t>通过初步评审的最低评审价格为评审基准价</w:t>
            </w:r>
            <w:r>
              <w:rPr>
                <w:rFonts w:hint="eastAsia" w:asciiTheme="minorEastAsia" w:hAnsiTheme="minorEastAsia" w:eastAsiaTheme="minor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评分因素</w:t>
            </w:r>
          </w:p>
        </w:tc>
        <w:tc>
          <w:tcPr>
            <w:tcW w:w="5676" w:type="dxa"/>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3.3（1）</w:t>
            </w:r>
          </w:p>
        </w:tc>
        <w:tc>
          <w:tcPr>
            <w:tcW w:w="2825"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商务部分评分标准</w:t>
            </w:r>
          </w:p>
        </w:tc>
        <w:tc>
          <w:tcPr>
            <w:tcW w:w="5676"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3.3（2）</w:t>
            </w:r>
          </w:p>
        </w:tc>
        <w:tc>
          <w:tcPr>
            <w:tcW w:w="2825"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技术部分评分标准</w:t>
            </w:r>
          </w:p>
        </w:tc>
        <w:tc>
          <w:tcPr>
            <w:tcW w:w="5676"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3.3（3）</w:t>
            </w:r>
          </w:p>
        </w:tc>
        <w:tc>
          <w:tcPr>
            <w:tcW w:w="2825"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ascii="宋体" w:hAnsi="宋体"/>
                <w:szCs w:val="21"/>
              </w:rPr>
              <w:t>报价评分标准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Theme="minorEastAsia" w:hAnsiTheme="minorEastAsia" w:eastAsiaTheme="minorEastAsia"/>
                <w:color w:val="auto"/>
                <w:szCs w:val="21"/>
                <w:highlight w:val="none"/>
              </w:rPr>
              <w:t>通过初步评审的最低评审价格为评审基准价，其供应商报价分为满分。其他供应商的报价分统一按照下列公式计算：报价得分＝（评审基准价／评审价格）</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30</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响应</w:t>
            </w:r>
            <w:r>
              <w:rPr>
                <w:rFonts w:hint="eastAsia" w:asciiTheme="minorEastAsia" w:hAnsiTheme="minorEastAsia" w:eastAsiaTheme="minorEastAsia"/>
                <w:color w:val="auto"/>
                <w:szCs w:val="21"/>
                <w:highlight w:val="none"/>
              </w:rPr>
              <w:t>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供应商最终得分的计算方法</w:t>
            </w:r>
          </w:p>
        </w:tc>
        <w:tc>
          <w:tcPr>
            <w:tcW w:w="5676"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color w:val="auto"/>
                <w:szCs w:val="21"/>
                <w:highlight w:val="none"/>
              </w:rPr>
              <w:t>供应商最终得分为商务部分、技术部分、</w:t>
            </w:r>
            <w:r>
              <w:rPr>
                <w:rFonts w:hint="eastAsia" w:asciiTheme="minorEastAsia" w:hAnsiTheme="minorEastAsia" w:eastAsiaTheme="minorEastAsia"/>
                <w:color w:val="auto"/>
                <w:szCs w:val="21"/>
                <w:highlight w:val="none"/>
                <w:lang w:eastAsia="zh-CN"/>
              </w:rPr>
              <w:t>响应</w:t>
            </w:r>
            <w:r>
              <w:rPr>
                <w:rFonts w:hint="eastAsia" w:asciiTheme="minorEastAsia" w:hAnsiTheme="minorEastAsia" w:eastAsiaTheme="minorEastAsia"/>
                <w:color w:val="auto"/>
                <w:szCs w:val="21"/>
                <w:highlight w:val="none"/>
              </w:rPr>
              <w:t>报价3个方面评价得分之和</w:t>
            </w:r>
            <w:r>
              <w:rPr>
                <w:rFonts w:hint="eastAsia" w:asciiTheme="minorEastAsia" w:hAnsiTheme="minorEastAsia" w:eastAsiaTheme="minorEastAsia"/>
                <w:color w:val="auto"/>
                <w:szCs w:val="21"/>
                <w:highlight w:val="none"/>
                <w:lang w:eastAsia="zh-CN"/>
              </w:rPr>
              <w:t>，得分最高供应商为第一成交候选人</w:t>
            </w:r>
            <w:r>
              <w:rPr>
                <w:rFonts w:hint="eastAsia" w:asciiTheme="minorEastAsia" w:hAnsiTheme="minorEastAsia" w:eastAsiaTheme="minorEastAsia"/>
                <w:color w:val="auto"/>
                <w:szCs w:val="21"/>
                <w:highlight w:val="none"/>
              </w:rPr>
              <w:t>。</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rPr>
          <w:rFonts w:ascii="宋体" w:hAnsi="宋体" w:cs="仿宋"/>
          <w:b/>
          <w:bCs/>
          <w:sz w:val="36"/>
          <w:szCs w:val="36"/>
        </w:rPr>
      </w:pP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1"/>
        <w:rPr>
          <w:rFonts w:ascii="宋体" w:hAnsi="宋体" w:cs="仿宋"/>
          <w:b/>
          <w:bCs/>
          <w:sz w:val="24"/>
        </w:rPr>
      </w:pPr>
      <w:bookmarkStart w:id="248" w:name="_Toc2194"/>
      <w:bookmarkStart w:id="249" w:name="_Toc24733"/>
      <w:bookmarkStart w:id="250" w:name="_Toc6719"/>
      <w:bookmarkStart w:id="251" w:name="_Toc18052"/>
      <w:bookmarkStart w:id="252" w:name="_Toc23021"/>
      <w:r>
        <w:rPr>
          <w:rFonts w:hint="eastAsia" w:ascii="宋体" w:hAnsi="宋体" w:cs="仿宋"/>
          <w:b/>
          <w:bCs/>
          <w:sz w:val="24"/>
        </w:rPr>
        <w:t>1评审方法(综合评分法)</w:t>
      </w:r>
      <w:bookmarkEnd w:id="248"/>
      <w:bookmarkEnd w:id="249"/>
      <w:bookmarkEnd w:id="250"/>
      <w:bookmarkEnd w:id="251"/>
      <w:bookmarkEnd w:id="252"/>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1"/>
        <w:rPr>
          <w:rFonts w:ascii="宋体" w:hAnsi="宋体" w:cs="仿宋"/>
          <w:b/>
          <w:bCs/>
          <w:sz w:val="24"/>
        </w:rPr>
      </w:pPr>
      <w:bookmarkStart w:id="253" w:name="_Toc20274"/>
      <w:bookmarkStart w:id="254" w:name="_Toc11957"/>
      <w:bookmarkStart w:id="255" w:name="_Toc30133"/>
      <w:bookmarkStart w:id="256" w:name="_Toc12778"/>
      <w:bookmarkStart w:id="257" w:name="_Toc20275"/>
      <w:r>
        <w:rPr>
          <w:rFonts w:hint="eastAsia" w:ascii="宋体" w:hAnsi="宋体" w:cs="仿宋"/>
          <w:b/>
          <w:bCs/>
          <w:sz w:val="24"/>
        </w:rPr>
        <w:t>2初步评审标准和程序</w:t>
      </w:r>
      <w:bookmarkEnd w:id="253"/>
      <w:bookmarkEnd w:id="254"/>
      <w:bookmarkEnd w:id="255"/>
      <w:bookmarkEnd w:id="256"/>
      <w:bookmarkEnd w:id="257"/>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58" w:name="_Toc32498"/>
      <w:bookmarkStart w:id="259" w:name="_Toc12629"/>
      <w:bookmarkStart w:id="260" w:name="_Toc8984"/>
      <w:r>
        <w:rPr>
          <w:rFonts w:hint="eastAsia" w:ascii="宋体" w:hAnsi="宋体" w:cs="仿宋"/>
          <w:b/>
          <w:bCs/>
          <w:sz w:val="24"/>
        </w:rPr>
        <w:t>2.1初步评审标准</w:t>
      </w:r>
      <w:bookmarkEnd w:id="258"/>
      <w:bookmarkEnd w:id="259"/>
      <w:bookmarkEnd w:id="260"/>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2.1.1形式评审标准:见评审办法前附表。</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2.1.2资格评审标准:见评审办法前附表。</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2.1.3响应性评审标准:见评审办法前附表。</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61" w:name="_Toc19309"/>
      <w:bookmarkStart w:id="262" w:name="_Toc4218"/>
      <w:bookmarkStart w:id="263" w:name="_Toc11779"/>
      <w:r>
        <w:rPr>
          <w:rFonts w:hint="eastAsia" w:ascii="宋体" w:hAnsi="宋体" w:cs="仿宋"/>
          <w:b/>
          <w:bCs/>
          <w:sz w:val="24"/>
        </w:rPr>
        <w:t>2.2初步评审程序</w:t>
      </w:r>
      <w:bookmarkEnd w:id="261"/>
      <w:bookmarkEnd w:id="262"/>
      <w:bookmarkEnd w:id="263"/>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2.2.1评审小组依据本章第2.1款规定的标准对供应商</w:t>
      </w:r>
      <w:r>
        <w:rPr>
          <w:rFonts w:hint="eastAsia" w:ascii="宋体" w:hAnsi="宋体" w:cs="仿宋"/>
          <w:sz w:val="24"/>
          <w:lang w:val="en-US" w:eastAsia="zh-CN"/>
        </w:rPr>
        <w:t>递</w:t>
      </w:r>
      <w:r>
        <w:rPr>
          <w:rFonts w:hint="eastAsia" w:ascii="宋体" w:hAnsi="宋体" w:cs="仿宋"/>
          <w:sz w:val="24"/>
        </w:rPr>
        <w:t>交的响应文件进行初步评审，判断响应文件的形式是否符合要求，供应商是否符合资格条件，响应文件是否实质性响应采购文件的要求。只有以上评审合格的响应文件才可通过初步评审。</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评审价格若超过最高限价(如有)，其响应文件将被视为无效。</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keepNext w:val="0"/>
        <w:keepLines w:val="0"/>
        <w:pageBreakBefore w:val="0"/>
        <w:widowControl/>
        <w:tabs>
          <w:tab w:val="left" w:pos="312"/>
        </w:tabs>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(1)大写金额与小写金额不一致的，以大写金额为准;</w:t>
      </w:r>
    </w:p>
    <w:p>
      <w:pPr>
        <w:keepNext w:val="0"/>
        <w:keepLines w:val="0"/>
        <w:pageBreakBefore w:val="0"/>
        <w:widowControl/>
        <w:tabs>
          <w:tab w:val="left" w:pos="312"/>
        </w:tabs>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keepNext w:val="0"/>
        <w:keepLines w:val="0"/>
        <w:pageBreakBefore w:val="0"/>
        <w:widowControl/>
        <w:tabs>
          <w:tab w:val="left" w:pos="312"/>
        </w:tabs>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(3)报价表合计报价与分项报价的合计不一致的，以各分项报价的合价累计数为准;</w:t>
      </w:r>
    </w:p>
    <w:p>
      <w:pPr>
        <w:keepNext w:val="0"/>
        <w:keepLines w:val="0"/>
        <w:pageBreakBefore w:val="0"/>
        <w:widowControl/>
        <w:tabs>
          <w:tab w:val="left" w:pos="312"/>
        </w:tabs>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keepNext w:val="0"/>
        <w:keepLines w:val="0"/>
        <w:pageBreakBefore w:val="0"/>
        <w:widowControl/>
        <w:tabs>
          <w:tab w:val="left" w:pos="312"/>
        </w:tabs>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2.2.4供应商有串通，弄虚作假、行贿等违法行为的，其响应文件将被视为无效。</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1"/>
        <w:rPr>
          <w:rFonts w:ascii="宋体" w:hAnsi="宋体" w:cs="仿宋"/>
          <w:sz w:val="24"/>
        </w:rPr>
      </w:pPr>
      <w:bookmarkStart w:id="264" w:name="_Toc27764"/>
      <w:bookmarkStart w:id="265" w:name="_Toc12622"/>
      <w:bookmarkStart w:id="266" w:name="_Toc13410"/>
      <w:bookmarkStart w:id="267" w:name="_Toc31606"/>
      <w:bookmarkStart w:id="268" w:name="_Toc19029"/>
      <w:r>
        <w:rPr>
          <w:rFonts w:hint="eastAsia" w:ascii="宋体" w:hAnsi="宋体" w:cs="仿宋"/>
          <w:b/>
          <w:bCs/>
          <w:sz w:val="24"/>
        </w:rPr>
        <w:t>3详细评审标准和程序(综合评分法)</w:t>
      </w:r>
      <w:bookmarkEnd w:id="264"/>
      <w:bookmarkEnd w:id="265"/>
      <w:bookmarkEnd w:id="266"/>
      <w:bookmarkEnd w:id="267"/>
      <w:bookmarkEnd w:id="268"/>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69" w:name="_Toc16923"/>
      <w:bookmarkStart w:id="270" w:name="_Toc2944"/>
      <w:bookmarkStart w:id="271" w:name="_Toc24176"/>
      <w:r>
        <w:rPr>
          <w:rFonts w:hint="eastAsia" w:ascii="宋体" w:hAnsi="宋体" w:cs="仿宋"/>
          <w:b/>
          <w:bCs/>
          <w:sz w:val="24"/>
        </w:rPr>
        <w:t>3.1分值构成</w:t>
      </w:r>
      <w:bookmarkEnd w:id="269"/>
      <w:bookmarkEnd w:id="270"/>
      <w:bookmarkEnd w:id="271"/>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(1)商务部分:见评审办法前附表;</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(2)技术部分:见评审办法前附表;</w:t>
      </w:r>
    </w:p>
    <w:p>
      <w:pPr>
        <w:keepNext w:val="0"/>
        <w:keepLines w:val="0"/>
        <w:pageBreakBefore w:val="0"/>
        <w:widowControl/>
        <w:kinsoku/>
        <w:wordWrap/>
        <w:overflowPunct/>
        <w:topLinePunct w:val="0"/>
        <w:autoSpaceDE/>
        <w:autoSpaceDN/>
        <w:bidi w:val="0"/>
        <w:adjustRightInd w:val="0"/>
        <w:snapToGrid w:val="0"/>
        <w:spacing w:line="480" w:lineRule="exact"/>
        <w:ind w:firstLine="321" w:firstLineChars="134"/>
        <w:jc w:val="both"/>
        <w:textAlignment w:val="auto"/>
        <w:rPr>
          <w:rFonts w:ascii="宋体" w:hAnsi="宋体" w:cs="仿宋"/>
          <w:sz w:val="24"/>
        </w:rPr>
      </w:pPr>
      <w:r>
        <w:rPr>
          <w:rFonts w:hint="eastAsia" w:ascii="宋体" w:hAnsi="宋体" w:cs="仿宋"/>
          <w:sz w:val="24"/>
        </w:rPr>
        <w:t xml:space="preserve"> (3)报价</w:t>
      </w:r>
      <w:r>
        <w:rPr>
          <w:rFonts w:hint="eastAsia" w:ascii="宋体" w:hAnsi="宋体" w:cs="仿宋"/>
          <w:sz w:val="24"/>
          <w:lang w:val="en-US" w:eastAsia="zh-CN"/>
        </w:rPr>
        <w:t>部分</w:t>
      </w:r>
      <w:r>
        <w:rPr>
          <w:rFonts w:hint="eastAsia" w:ascii="宋体" w:hAnsi="宋体" w:cs="仿宋"/>
          <w:sz w:val="24"/>
        </w:rPr>
        <w:t>:见评审办法前附表;</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72" w:name="_Toc27544"/>
      <w:bookmarkStart w:id="273" w:name="_Toc20770"/>
      <w:bookmarkStart w:id="274" w:name="_Toc3468"/>
      <w:r>
        <w:rPr>
          <w:rFonts w:hint="eastAsia" w:ascii="宋体" w:hAnsi="宋体" w:cs="仿宋"/>
          <w:b/>
          <w:bCs/>
          <w:sz w:val="24"/>
        </w:rPr>
        <w:t>3.2评分标准</w:t>
      </w:r>
      <w:bookmarkEnd w:id="272"/>
      <w:bookmarkEnd w:id="273"/>
      <w:bookmarkEnd w:id="274"/>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(1)商务评分标准:见评审办法前附表;</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(2)技术评分标准:见评审办法前附表;</w:t>
      </w:r>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(3)报价评分标准: 见评审办法前附表;</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75" w:name="_Toc24305"/>
      <w:bookmarkStart w:id="276" w:name="_Toc20458"/>
      <w:bookmarkStart w:id="277" w:name="_Toc12775"/>
      <w:r>
        <w:rPr>
          <w:rFonts w:hint="eastAsia" w:ascii="宋体" w:hAnsi="宋体" w:cs="仿宋"/>
          <w:b/>
          <w:bCs/>
          <w:sz w:val="24"/>
        </w:rPr>
        <w:t>3.3评分</w:t>
      </w:r>
      <w:bookmarkEnd w:id="275"/>
      <w:bookmarkEnd w:id="276"/>
      <w:bookmarkEnd w:id="277"/>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sz w:val="24"/>
        </w:rPr>
      </w:pPr>
      <w:bookmarkStart w:id="278" w:name="_Toc4779"/>
      <w:bookmarkStart w:id="279" w:name="_Toc21331"/>
      <w:bookmarkStart w:id="280" w:name="_Toc11154"/>
      <w:r>
        <w:rPr>
          <w:rFonts w:hint="eastAsia" w:ascii="宋体" w:hAnsi="宋体" w:cs="仿宋"/>
          <w:b/>
          <w:bCs/>
          <w:sz w:val="24"/>
        </w:rPr>
        <w:t>3.4汇总</w:t>
      </w:r>
      <w:bookmarkEnd w:id="278"/>
      <w:bookmarkEnd w:id="279"/>
      <w:bookmarkEnd w:id="280"/>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81" w:name="_Toc7155"/>
      <w:bookmarkStart w:id="282" w:name="_Toc27892"/>
      <w:bookmarkStart w:id="283" w:name="_Toc525"/>
      <w:r>
        <w:rPr>
          <w:rFonts w:hint="eastAsia" w:ascii="宋体" w:hAnsi="宋体" w:cs="仿宋"/>
          <w:b/>
          <w:bCs/>
          <w:sz w:val="24"/>
        </w:rPr>
        <w:t>3.5排序</w:t>
      </w:r>
      <w:bookmarkEnd w:id="281"/>
      <w:bookmarkEnd w:id="282"/>
      <w:bookmarkEnd w:id="283"/>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1"/>
        <w:rPr>
          <w:rFonts w:ascii="宋体" w:hAnsi="宋体" w:cs="仿宋"/>
          <w:b/>
          <w:bCs/>
          <w:sz w:val="24"/>
        </w:rPr>
      </w:pPr>
      <w:bookmarkStart w:id="284" w:name="_Toc23961"/>
      <w:bookmarkStart w:id="285" w:name="_Toc11557"/>
      <w:bookmarkStart w:id="286" w:name="_Toc23274"/>
      <w:bookmarkStart w:id="287" w:name="_Toc28197"/>
      <w:bookmarkStart w:id="288" w:name="_Toc13810"/>
      <w:r>
        <w:rPr>
          <w:rFonts w:hint="eastAsia" w:ascii="宋体" w:hAnsi="宋体" w:cs="仿宋"/>
          <w:b/>
          <w:bCs/>
          <w:sz w:val="24"/>
        </w:rPr>
        <w:t>4评审结果</w:t>
      </w:r>
      <w:bookmarkEnd w:id="284"/>
      <w:bookmarkEnd w:id="285"/>
      <w:bookmarkEnd w:id="286"/>
      <w:bookmarkEnd w:id="287"/>
      <w:bookmarkEnd w:id="288"/>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89" w:name="_Toc27324"/>
      <w:bookmarkStart w:id="290" w:name="_Toc8065"/>
      <w:bookmarkStart w:id="291" w:name="_Toc6039"/>
      <w:r>
        <w:rPr>
          <w:rFonts w:hint="eastAsia" w:ascii="宋体" w:hAnsi="宋体" w:cs="仿宋"/>
          <w:b/>
          <w:bCs/>
          <w:sz w:val="24"/>
        </w:rPr>
        <w:t>4.1提交书面评审报告</w:t>
      </w:r>
      <w:bookmarkEnd w:id="289"/>
      <w:bookmarkEnd w:id="290"/>
      <w:bookmarkEnd w:id="291"/>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评审小组完成评审后，应当向采购人提交书面评审报告。</w:t>
      </w:r>
    </w:p>
    <w:p>
      <w:pPr>
        <w:keepNext w:val="0"/>
        <w:keepLines w:val="0"/>
        <w:pageBreakBefore w:val="0"/>
        <w:widowControl/>
        <w:kinsoku/>
        <w:wordWrap/>
        <w:overflowPunct/>
        <w:topLinePunct w:val="0"/>
        <w:autoSpaceDE/>
        <w:autoSpaceDN/>
        <w:bidi w:val="0"/>
        <w:adjustRightInd w:val="0"/>
        <w:snapToGrid w:val="0"/>
        <w:spacing w:line="480" w:lineRule="exact"/>
        <w:jc w:val="both"/>
        <w:textAlignment w:val="auto"/>
        <w:outlineLvl w:val="2"/>
        <w:rPr>
          <w:rFonts w:ascii="宋体" w:hAnsi="宋体" w:cs="仿宋"/>
          <w:b/>
          <w:bCs/>
          <w:sz w:val="24"/>
        </w:rPr>
      </w:pPr>
      <w:bookmarkStart w:id="292" w:name="_Toc30957"/>
      <w:bookmarkStart w:id="293" w:name="_Toc14211"/>
      <w:bookmarkStart w:id="294" w:name="_Toc15553"/>
      <w:r>
        <w:rPr>
          <w:rFonts w:hint="eastAsia" w:ascii="宋体" w:hAnsi="宋体" w:cs="仿宋"/>
          <w:b/>
          <w:bCs/>
          <w:sz w:val="24"/>
        </w:rPr>
        <w:t>4.2推荐成交候选供应商排序要求及数量</w:t>
      </w:r>
      <w:bookmarkEnd w:id="292"/>
      <w:bookmarkEnd w:id="293"/>
      <w:bookmarkEnd w:id="294"/>
    </w:p>
    <w:p>
      <w:pPr>
        <w:keepNext w:val="0"/>
        <w:keepLines w:val="0"/>
        <w:pageBreakBefore w:val="0"/>
        <w:widowControl/>
        <w:kinsoku/>
        <w:wordWrap/>
        <w:overflowPunct/>
        <w:topLinePunct w:val="0"/>
        <w:autoSpaceDE/>
        <w:autoSpaceDN/>
        <w:bidi w:val="0"/>
        <w:adjustRightInd w:val="0"/>
        <w:snapToGrid w:val="0"/>
        <w:spacing w:line="480" w:lineRule="exact"/>
        <w:ind w:firstLine="453" w:firstLineChars="189"/>
        <w:jc w:val="both"/>
        <w:textAlignment w:val="auto"/>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outlineLvl w:val="9"/>
        <w:rPr>
          <w:rFonts w:ascii="黑体" w:hAnsi="黑体" w:eastAsia="黑体" w:cs="宋体"/>
          <w:kern w:val="44"/>
          <w:sz w:val="32"/>
          <w:szCs w:val="32"/>
        </w:rPr>
      </w:pPr>
    </w:p>
    <w:p>
      <w:pPr>
        <w:rPr>
          <w:rFonts w:hint="eastAsia" w:ascii="黑体" w:hAnsi="黑体" w:eastAsia="黑体" w:cs="宋体"/>
          <w:kern w:val="44"/>
          <w:sz w:val="32"/>
          <w:szCs w:val="32"/>
        </w:rPr>
      </w:pPr>
      <w:r>
        <w:rPr>
          <w:rFonts w:hint="eastAsia" w:ascii="黑体" w:hAnsi="黑体" w:eastAsia="黑体" w:cs="宋体"/>
          <w:kern w:val="44"/>
          <w:sz w:val="32"/>
          <w:szCs w:val="32"/>
        </w:rPr>
        <w:br w:type="page"/>
      </w:r>
    </w:p>
    <w:p>
      <w:pPr>
        <w:widowControl w:val="0"/>
        <w:snapToGrid w:val="0"/>
        <w:spacing w:line="490" w:lineRule="exact"/>
        <w:jc w:val="center"/>
        <w:outlineLvl w:val="1"/>
        <w:rPr>
          <w:rFonts w:ascii="黑体" w:hAnsi="黑体" w:eastAsia="黑体" w:cs="宋体"/>
          <w:kern w:val="44"/>
          <w:sz w:val="32"/>
          <w:szCs w:val="32"/>
        </w:rPr>
      </w:pPr>
      <w:bookmarkStart w:id="295" w:name="_Toc12981"/>
      <w:bookmarkStart w:id="296" w:name="_Toc26803"/>
      <w:bookmarkStart w:id="297" w:name="_Toc27380"/>
      <w:bookmarkStart w:id="298" w:name="_Toc13356"/>
      <w:bookmarkStart w:id="299" w:name="_Toc112"/>
      <w:bookmarkStart w:id="300" w:name="_Toc23572"/>
      <w:r>
        <w:rPr>
          <w:rFonts w:hint="eastAsia" w:ascii="黑体" w:hAnsi="黑体" w:eastAsia="黑体" w:cs="宋体"/>
          <w:kern w:val="44"/>
          <w:sz w:val="32"/>
          <w:szCs w:val="32"/>
        </w:rPr>
        <w:t>附表1  商务部分评分表</w:t>
      </w:r>
      <w:bookmarkEnd w:id="295"/>
      <w:bookmarkEnd w:id="296"/>
      <w:bookmarkEnd w:id="297"/>
      <w:bookmarkEnd w:id="298"/>
      <w:bookmarkEnd w:id="299"/>
      <w:bookmarkEnd w:id="300"/>
    </w:p>
    <w:p>
      <w:pPr>
        <w:snapToGrid w:val="0"/>
        <w:spacing w:line="400" w:lineRule="exact"/>
        <w:jc w:val="both"/>
        <w:rPr>
          <w:rFonts w:hint="eastAsia" w:ascii="宋体" w:hAnsi="宋体" w:cs="Times New Roman"/>
          <w:sz w:val="24"/>
        </w:rPr>
      </w:pPr>
      <w:r>
        <w:rPr>
          <w:rFonts w:hint="eastAsia" w:ascii="宋体" w:hAnsi="宋体"/>
          <w:sz w:val="24"/>
        </w:rPr>
        <w:t>项目名称：</w:t>
      </w:r>
      <w:r>
        <w:rPr>
          <w:rFonts w:hint="eastAsia" w:ascii="宋体" w:hAnsi="宋体" w:cs="Times New Roman"/>
          <w:sz w:val="24"/>
          <w:lang w:val="en-US" w:eastAsia="zh-CN"/>
        </w:rPr>
        <w:t>岳阳城陵矶新港有限公司2024年度职工健康体检项目</w:t>
      </w:r>
    </w:p>
    <w:tbl>
      <w:tblPr>
        <w:tblStyle w:val="42"/>
        <w:tblW w:w="10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序号</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评分因素</w:t>
            </w:r>
          </w:p>
        </w:tc>
        <w:tc>
          <w:tcPr>
            <w:tcW w:w="481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评价内容/分值</w:t>
            </w:r>
          </w:p>
        </w:tc>
        <w:tc>
          <w:tcPr>
            <w:tcW w:w="3254"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r>
              <w:rPr>
                <w:rFonts w:hint="eastAsia" w:ascii="宋体" w:hAnsi="宋体"/>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85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481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资质</w:t>
            </w:r>
          </w:p>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分）</w:t>
            </w:r>
          </w:p>
        </w:tc>
        <w:tc>
          <w:tcPr>
            <w:tcW w:w="481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hint="eastAsia" w:ascii="宋体" w:hAnsi="宋体" w:eastAsia="宋体" w:cs="宋体"/>
                <w:szCs w:val="21"/>
                <w:highlight w:val="none"/>
                <w:lang w:eastAsia="zh-CN"/>
              </w:rPr>
            </w:pPr>
            <w:r>
              <w:rPr>
                <w:rFonts w:hint="eastAsia" w:ascii="宋体" w:hAnsi="宋体" w:eastAsia="宋体" w:cs="宋体"/>
                <w:szCs w:val="21"/>
                <w:highlight w:val="none"/>
              </w:rPr>
              <w:t>供应商具备三级甲等医疗机构资质的计1</w:t>
            </w:r>
            <w:r>
              <w:rPr>
                <w:rFonts w:hint="eastAsia" w:ascii="宋体" w:hAnsi="宋体" w:cs="宋体"/>
                <w:szCs w:val="21"/>
                <w:highlight w:val="none"/>
                <w:lang w:val="en-US" w:eastAsia="zh-CN"/>
              </w:rPr>
              <w:t>5</w:t>
            </w:r>
            <w:r>
              <w:rPr>
                <w:rFonts w:hint="eastAsia" w:ascii="宋体" w:hAnsi="宋体" w:eastAsia="宋体" w:cs="宋体"/>
                <w:szCs w:val="21"/>
                <w:highlight w:val="none"/>
              </w:rPr>
              <w:t>分</w:t>
            </w:r>
            <w:r>
              <w:rPr>
                <w:rFonts w:hint="eastAsia" w:ascii="宋体" w:hAnsi="宋体" w:cs="宋体"/>
                <w:szCs w:val="21"/>
                <w:highlight w:val="none"/>
                <w:lang w:eastAsia="zh-CN"/>
              </w:rPr>
              <w:t>；</w:t>
            </w:r>
          </w:p>
          <w:p>
            <w:pPr>
              <w:widowControl w:val="0"/>
              <w:spacing w:line="240" w:lineRule="auto"/>
              <w:jc w:val="both"/>
              <w:rPr>
                <w:rFonts w:hint="eastAsia" w:ascii="宋体" w:hAnsi="宋体" w:cs="宋体"/>
                <w:szCs w:val="21"/>
                <w:highlight w:val="none"/>
                <w:lang w:eastAsia="zh-CN"/>
              </w:rPr>
            </w:pPr>
            <w:r>
              <w:rPr>
                <w:rFonts w:hint="eastAsia" w:ascii="宋体" w:hAnsi="宋体" w:cs="宋体"/>
                <w:szCs w:val="21"/>
                <w:highlight w:val="none"/>
                <w:lang w:val="en-US" w:eastAsia="zh-CN"/>
              </w:rPr>
              <w:t>供应商</w:t>
            </w:r>
            <w:r>
              <w:rPr>
                <w:rFonts w:hint="eastAsia" w:ascii="宋体" w:hAnsi="宋体" w:eastAsia="宋体" w:cs="宋体"/>
                <w:szCs w:val="21"/>
                <w:highlight w:val="none"/>
              </w:rPr>
              <w:t>具备三级其他等级医疗机构资质的计</w:t>
            </w:r>
            <w:r>
              <w:rPr>
                <w:rFonts w:hint="eastAsia" w:ascii="宋体" w:hAnsi="宋体" w:cs="宋体"/>
                <w:szCs w:val="21"/>
                <w:highlight w:val="none"/>
                <w:lang w:val="en-US" w:eastAsia="zh-CN"/>
              </w:rPr>
              <w:t>12</w:t>
            </w:r>
            <w:r>
              <w:rPr>
                <w:rFonts w:hint="eastAsia" w:ascii="宋体" w:hAnsi="宋体" w:eastAsia="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供应商</w:t>
            </w:r>
            <w:r>
              <w:rPr>
                <w:rFonts w:hint="eastAsia" w:ascii="宋体" w:hAnsi="宋体" w:eastAsia="宋体" w:cs="宋体"/>
                <w:szCs w:val="21"/>
                <w:highlight w:val="none"/>
              </w:rPr>
              <w:t>具备二级医疗机构资质</w:t>
            </w:r>
            <w:r>
              <w:rPr>
                <w:rFonts w:hint="eastAsia" w:ascii="宋体" w:hAnsi="宋体" w:cs="宋体"/>
                <w:szCs w:val="21"/>
                <w:highlight w:val="none"/>
                <w:lang w:val="en-US" w:eastAsia="zh-CN"/>
              </w:rPr>
              <w:t>的</w:t>
            </w:r>
            <w:r>
              <w:rPr>
                <w:rFonts w:hint="eastAsia" w:ascii="宋体" w:hAnsi="宋体" w:eastAsia="宋体" w:cs="宋体"/>
                <w:szCs w:val="21"/>
                <w:highlight w:val="none"/>
              </w:rPr>
              <w:t>计</w:t>
            </w:r>
            <w:r>
              <w:rPr>
                <w:rFonts w:hint="eastAsia" w:ascii="宋体" w:hAnsi="宋体" w:cs="宋体"/>
                <w:szCs w:val="21"/>
                <w:highlight w:val="none"/>
                <w:lang w:val="en-US" w:eastAsia="zh-CN"/>
              </w:rPr>
              <w:t>9</w:t>
            </w:r>
            <w:r>
              <w:rPr>
                <w:rFonts w:hint="eastAsia" w:ascii="宋体" w:hAnsi="宋体" w:eastAsia="宋体" w:cs="宋体"/>
                <w:szCs w:val="21"/>
                <w:highlight w:val="none"/>
              </w:rPr>
              <w:t>分</w:t>
            </w:r>
            <w:r>
              <w:rPr>
                <w:rFonts w:hint="eastAsia" w:ascii="宋体" w:hAnsi="宋体" w:cs="宋体"/>
                <w:szCs w:val="21"/>
                <w:highlight w:val="none"/>
                <w:lang w:eastAsia="zh-CN"/>
              </w:rPr>
              <w:t>。</w:t>
            </w:r>
          </w:p>
          <w:p>
            <w:pPr>
              <w:widowControl w:val="0"/>
              <w:spacing w:line="240" w:lineRule="auto"/>
              <w:jc w:val="both"/>
              <w:rPr>
                <w:rFonts w:hint="eastAsia" w:ascii="宋体" w:hAnsi="宋体" w:cs="宋体"/>
                <w:b/>
                <w:bCs/>
                <w:color w:val="auto"/>
                <w:sz w:val="21"/>
                <w:szCs w:val="21"/>
                <w:highlight w:val="none"/>
                <w:lang w:eastAsia="zh-CN"/>
              </w:rPr>
            </w:pPr>
            <w:r>
              <w:rPr>
                <w:rFonts w:hint="eastAsia" w:ascii="宋体" w:hAnsi="宋体" w:cs="宋体"/>
                <w:b/>
                <w:bCs/>
                <w:szCs w:val="21"/>
                <w:highlight w:val="none"/>
                <w:lang w:val="en-US" w:eastAsia="zh-CN"/>
              </w:rPr>
              <w:t>注：需提交</w:t>
            </w:r>
            <w:r>
              <w:rPr>
                <w:rFonts w:hint="eastAsia" w:ascii="宋体" w:hAnsi="宋体" w:eastAsia="宋体" w:cs="宋体"/>
                <w:b/>
                <w:bCs/>
                <w:szCs w:val="21"/>
                <w:highlight w:val="none"/>
              </w:rPr>
              <w:t>相应证明材料</w:t>
            </w:r>
            <w:r>
              <w:rPr>
                <w:rFonts w:hint="eastAsia" w:ascii="宋体" w:hAnsi="宋体" w:cs="宋体"/>
                <w:b/>
                <w:bCs/>
                <w:szCs w:val="21"/>
                <w:highlight w:val="none"/>
                <w:lang w:val="en-US" w:eastAsia="zh-CN"/>
              </w:rPr>
              <w:t>复印件，加盖单位公章。</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3</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类似业绩</w:t>
            </w:r>
          </w:p>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分）</w:t>
            </w:r>
          </w:p>
        </w:tc>
        <w:tc>
          <w:tcPr>
            <w:tcW w:w="481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rPr>
              <w:t>供应商</w:t>
            </w:r>
            <w:r>
              <w:rPr>
                <w:rFonts w:hint="eastAsia" w:ascii="宋体" w:hAnsi="宋体" w:eastAsia="宋体" w:cs="宋体"/>
                <w:szCs w:val="21"/>
                <w:highlight w:val="none"/>
                <w:lang w:val="en-US" w:eastAsia="zh-CN"/>
              </w:rPr>
              <w:t>满足资格审查“供应商须知前附表”业绩要求的得5分，近3年（2021年5月至响应文件递交截止时间）</w:t>
            </w:r>
            <w:r>
              <w:rPr>
                <w:rFonts w:hint="eastAsia" w:ascii="宋体" w:hAnsi="宋体" w:eastAsia="宋体" w:cs="宋体"/>
                <w:szCs w:val="21"/>
                <w:highlight w:val="none"/>
              </w:rPr>
              <w:t>每额外增加1个</w:t>
            </w:r>
            <w:r>
              <w:rPr>
                <w:rFonts w:hint="eastAsia" w:ascii="宋体" w:hAnsi="宋体" w:eastAsia="宋体" w:cs="宋体"/>
                <w:szCs w:val="21"/>
                <w:highlight w:val="none"/>
                <w:lang w:val="en-US" w:eastAsia="zh-CN"/>
              </w:rPr>
              <w:t>承接体检服务（团体）类似业绩的得2分。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eastAsia="zh-CN"/>
              </w:rPr>
              <w:t>注：此项得分可累计，但最多得</w:t>
            </w:r>
            <w:r>
              <w:rPr>
                <w:rFonts w:hint="eastAsia" w:ascii="宋体" w:hAnsi="宋体" w:cs="宋体"/>
                <w:b/>
                <w:bCs/>
                <w:color w:val="auto"/>
                <w:sz w:val="21"/>
                <w:szCs w:val="21"/>
                <w:highlight w:val="none"/>
                <w:lang w:val="en-US" w:eastAsia="zh-CN"/>
              </w:rPr>
              <w:t>9分。</w:t>
            </w:r>
            <w:r>
              <w:rPr>
                <w:rFonts w:hint="eastAsia" w:ascii="宋体" w:hAnsi="宋体" w:eastAsia="宋体" w:cs="宋体"/>
                <w:b/>
                <w:bCs/>
                <w:color w:val="auto"/>
                <w:sz w:val="21"/>
                <w:szCs w:val="21"/>
                <w:highlight w:val="none"/>
                <w:lang w:eastAsia="zh-CN"/>
              </w:rPr>
              <w:t>需提供</w:t>
            </w:r>
            <w:r>
              <w:rPr>
                <w:rFonts w:hint="eastAsia" w:ascii="宋体" w:hAnsi="宋体" w:cs="宋体"/>
                <w:b/>
                <w:bCs/>
                <w:color w:val="auto"/>
                <w:sz w:val="21"/>
                <w:szCs w:val="21"/>
                <w:highlight w:val="none"/>
                <w:lang w:eastAsia="zh-CN"/>
              </w:rPr>
              <w:t>业绩</w:t>
            </w:r>
            <w:r>
              <w:rPr>
                <w:rFonts w:hint="eastAsia" w:ascii="宋体" w:hAnsi="宋体" w:eastAsia="宋体" w:cs="宋体"/>
                <w:b/>
                <w:bCs/>
                <w:color w:val="auto"/>
                <w:sz w:val="21"/>
                <w:szCs w:val="21"/>
                <w:highlight w:val="none"/>
                <w:lang w:eastAsia="zh-CN"/>
              </w:rPr>
              <w:t>合同</w:t>
            </w:r>
            <w:r>
              <w:rPr>
                <w:rFonts w:hint="eastAsia" w:ascii="宋体" w:hAnsi="宋体" w:cs="宋体"/>
                <w:b/>
                <w:bCs/>
                <w:color w:val="auto"/>
                <w:sz w:val="21"/>
                <w:szCs w:val="21"/>
                <w:highlight w:val="none"/>
                <w:lang w:eastAsia="zh-CN"/>
              </w:rPr>
              <w:t>复印件，</w:t>
            </w:r>
            <w:r>
              <w:rPr>
                <w:rFonts w:hint="eastAsia" w:ascii="宋体" w:hAnsi="宋体" w:cs="宋体"/>
                <w:b/>
                <w:bCs/>
                <w:color w:val="auto"/>
                <w:sz w:val="21"/>
                <w:szCs w:val="21"/>
                <w:highlight w:val="none"/>
                <w:lang w:val="en-US" w:eastAsia="zh-CN"/>
              </w:rPr>
              <w:t>加盖单位公章</w:t>
            </w:r>
            <w:r>
              <w:rPr>
                <w:rFonts w:hint="eastAsia" w:ascii="宋体" w:hAnsi="宋体" w:cs="宋体"/>
                <w:b/>
                <w:bCs/>
                <w:color w:val="auto"/>
                <w:sz w:val="21"/>
                <w:szCs w:val="21"/>
                <w:highlight w:val="none"/>
                <w:lang w:eastAsia="zh-CN"/>
              </w:rPr>
              <w:t>。</w:t>
            </w: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lang w:val="en-US" w:eastAsia="zh-CN" w:bidi="ar-SA"/>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2"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人员配置</w:t>
            </w:r>
          </w:p>
          <w:p>
            <w:pPr>
              <w:jc w:val="center"/>
              <w:rPr>
                <w:rFonts w:hint="eastAsia" w:ascii="宋体" w:hAnsi="宋体" w:eastAsia="宋体" w:cs="宋体"/>
                <w:color w:val="auto"/>
                <w:szCs w:val="21"/>
                <w:highlight w:val="none"/>
                <w:lang w:eastAsia="zh-CN"/>
              </w:rPr>
            </w:pPr>
            <w:r>
              <w:rPr>
                <w:rFonts w:hint="eastAsia" w:ascii="宋体" w:hAnsi="宋体" w:cs="宋体"/>
                <w:sz w:val="21"/>
                <w:szCs w:val="21"/>
                <w:highlight w:val="none"/>
                <w:lang w:val="en-US" w:eastAsia="zh-CN"/>
              </w:rPr>
              <w:t>（16分）</w:t>
            </w:r>
          </w:p>
        </w:tc>
        <w:tc>
          <w:tcPr>
            <w:tcW w:w="4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eastAsia="宋体"/>
                <w:highlight w:val="none"/>
                <w:lang w:eastAsia="zh-CN"/>
              </w:rPr>
            </w:pPr>
            <w:r>
              <w:rPr>
                <w:rFonts w:hint="eastAsia"/>
                <w:highlight w:val="none"/>
              </w:rPr>
              <w:t>提供各科室拟派人员配备一览表</w:t>
            </w:r>
            <w:r>
              <w:rPr>
                <w:rFonts w:hint="eastAsia"/>
                <w:highlight w:val="none"/>
                <w:lang w:eastAsia="zh-CN"/>
              </w:rPr>
              <w:t>，</w:t>
            </w:r>
            <w:r>
              <w:rPr>
                <w:rFonts w:hint="eastAsia"/>
                <w:highlight w:val="none"/>
              </w:rPr>
              <w:t>列明</w:t>
            </w:r>
            <w:r>
              <w:rPr>
                <w:rFonts w:hint="eastAsia"/>
                <w:highlight w:val="none"/>
                <w:lang w:val="en-US" w:eastAsia="zh-CN"/>
              </w:rPr>
              <w:t>职务、</w:t>
            </w:r>
            <w:r>
              <w:rPr>
                <w:rFonts w:hint="eastAsia"/>
                <w:highlight w:val="none"/>
              </w:rPr>
              <w:t>专业职称等</w:t>
            </w:r>
            <w:r>
              <w:rPr>
                <w:rFonts w:hint="eastAsia"/>
                <w:highlight w:val="none"/>
                <w:lang w:eastAsia="zh-CN"/>
              </w:rPr>
              <w:t>。</w:t>
            </w:r>
          </w:p>
          <w:p>
            <w:pPr>
              <w:adjustRightInd w:val="0"/>
              <w:snapToGrid w:val="0"/>
              <w:spacing w:line="320" w:lineRule="exact"/>
              <w:rPr>
                <w:highlight w:val="none"/>
              </w:rPr>
            </w:pPr>
            <w:r>
              <w:rPr>
                <w:rFonts w:hint="eastAsia"/>
                <w:highlight w:val="none"/>
              </w:rPr>
              <w:t>1</w:t>
            </w:r>
            <w:r>
              <w:rPr>
                <w:rFonts w:hint="eastAsia"/>
                <w:highlight w:val="none"/>
                <w:lang w:eastAsia="zh-CN"/>
              </w:rPr>
              <w:t>、</w:t>
            </w:r>
            <w:r>
              <w:rPr>
                <w:rFonts w:hint="eastAsia"/>
                <w:highlight w:val="none"/>
              </w:rPr>
              <w:t>B超</w:t>
            </w:r>
            <w:r>
              <w:rPr>
                <w:rFonts w:hint="eastAsia"/>
                <w:highlight w:val="none"/>
                <w:lang w:val="en-US" w:eastAsia="zh-CN"/>
              </w:rPr>
              <w:t>每</w:t>
            </w:r>
            <w:r>
              <w:rPr>
                <w:rFonts w:hint="eastAsia"/>
                <w:highlight w:val="none"/>
              </w:rPr>
              <w:t>提供一名</w:t>
            </w:r>
            <w:r>
              <w:rPr>
                <w:rFonts w:hint="eastAsia"/>
              </w:rPr>
              <w:t>副高</w:t>
            </w:r>
            <w:r>
              <w:rPr>
                <w:rFonts w:hint="eastAsia"/>
                <w:lang w:val="en-US" w:eastAsia="zh-CN"/>
              </w:rPr>
              <w:t>级</w:t>
            </w:r>
            <w:r>
              <w:rPr>
                <w:rFonts w:hint="eastAsia"/>
              </w:rPr>
              <w:t>职称者得</w:t>
            </w:r>
            <w:r>
              <w:t>2</w:t>
            </w:r>
            <w:r>
              <w:rPr>
                <w:rFonts w:hint="eastAsia"/>
              </w:rPr>
              <w:t>分</w:t>
            </w:r>
            <w:r>
              <w:rPr>
                <w:rFonts w:hint="eastAsia"/>
                <w:highlight w:val="none"/>
              </w:rPr>
              <w:t>，</w:t>
            </w:r>
            <w:r>
              <w:rPr>
                <w:rFonts w:hint="eastAsia"/>
                <w:highlight w:val="none"/>
                <w:lang w:val="en-US" w:eastAsia="zh-CN"/>
              </w:rPr>
              <w:t>每提供1名中级职称者得1分，本项最高计4分；</w:t>
            </w:r>
          </w:p>
          <w:p>
            <w:pPr>
              <w:adjustRightInd w:val="0"/>
              <w:snapToGrid w:val="0"/>
              <w:spacing w:line="320" w:lineRule="exact"/>
              <w:rPr>
                <w:highlight w:val="none"/>
              </w:rPr>
            </w:pPr>
            <w:r>
              <w:rPr>
                <w:rFonts w:hint="eastAsia"/>
                <w:highlight w:val="none"/>
              </w:rPr>
              <w:t>2</w:t>
            </w:r>
            <w:r>
              <w:rPr>
                <w:rFonts w:hint="eastAsia"/>
                <w:highlight w:val="none"/>
                <w:lang w:eastAsia="zh-CN"/>
              </w:rPr>
              <w:t>、</w:t>
            </w:r>
            <w:r>
              <w:rPr>
                <w:rFonts w:hint="eastAsia"/>
                <w:highlight w:val="none"/>
              </w:rPr>
              <w:t>放射科读片</w:t>
            </w:r>
            <w:r>
              <w:rPr>
                <w:rFonts w:hint="eastAsia"/>
                <w:highlight w:val="none"/>
                <w:lang w:val="en-US" w:eastAsia="zh-CN"/>
              </w:rPr>
              <w:t>每</w:t>
            </w:r>
            <w:r>
              <w:rPr>
                <w:rFonts w:hint="eastAsia"/>
              </w:rPr>
              <w:t>提供一名副高</w:t>
            </w:r>
            <w:r>
              <w:rPr>
                <w:rFonts w:hint="eastAsia"/>
                <w:lang w:val="en-US" w:eastAsia="zh-CN"/>
              </w:rPr>
              <w:t>级</w:t>
            </w:r>
            <w:r>
              <w:rPr>
                <w:rFonts w:hint="eastAsia"/>
              </w:rPr>
              <w:t>职称者得</w:t>
            </w:r>
            <w:r>
              <w:t>2</w:t>
            </w:r>
            <w:r>
              <w:rPr>
                <w:rFonts w:hint="eastAsia"/>
              </w:rPr>
              <w:t>分</w:t>
            </w:r>
            <w:r>
              <w:rPr>
                <w:rFonts w:hint="eastAsia"/>
                <w:highlight w:val="none"/>
              </w:rPr>
              <w:t>，</w:t>
            </w:r>
            <w:r>
              <w:rPr>
                <w:rFonts w:hint="eastAsia"/>
                <w:highlight w:val="none"/>
                <w:lang w:val="en-US" w:eastAsia="zh-CN"/>
              </w:rPr>
              <w:t>每提供1名中级职称者得1分，本项最高计4分；</w:t>
            </w:r>
          </w:p>
          <w:p>
            <w:pPr>
              <w:adjustRightInd w:val="0"/>
              <w:snapToGrid w:val="0"/>
              <w:spacing w:line="320" w:lineRule="exact"/>
              <w:rPr>
                <w:highlight w:val="none"/>
              </w:rPr>
            </w:pPr>
            <w:r>
              <w:rPr>
                <w:rFonts w:hint="eastAsia"/>
                <w:highlight w:val="none"/>
              </w:rPr>
              <w:t>3</w:t>
            </w:r>
            <w:r>
              <w:rPr>
                <w:rFonts w:hint="eastAsia"/>
                <w:highlight w:val="none"/>
                <w:lang w:eastAsia="zh-CN"/>
              </w:rPr>
              <w:t>、</w:t>
            </w:r>
            <w:r>
              <w:rPr>
                <w:rFonts w:hint="eastAsia"/>
                <w:highlight w:val="none"/>
              </w:rPr>
              <w:t>内科</w:t>
            </w:r>
            <w:r>
              <w:rPr>
                <w:rFonts w:hint="eastAsia"/>
                <w:highlight w:val="none"/>
                <w:lang w:val="en-US" w:eastAsia="zh-CN"/>
              </w:rPr>
              <w:t>每</w:t>
            </w:r>
            <w:r>
              <w:rPr>
                <w:rFonts w:hint="eastAsia"/>
                <w:highlight w:val="none"/>
              </w:rPr>
              <w:t>提供一名</w:t>
            </w:r>
            <w:r>
              <w:rPr>
                <w:rFonts w:hint="eastAsia"/>
              </w:rPr>
              <w:t>副高</w:t>
            </w:r>
            <w:r>
              <w:rPr>
                <w:rFonts w:hint="eastAsia"/>
                <w:lang w:val="en-US" w:eastAsia="zh-CN"/>
              </w:rPr>
              <w:t>级职</w:t>
            </w:r>
            <w:r>
              <w:rPr>
                <w:rFonts w:hint="eastAsia"/>
              </w:rPr>
              <w:t>称者得</w:t>
            </w:r>
            <w:r>
              <w:t>2</w:t>
            </w:r>
            <w:r>
              <w:rPr>
                <w:rFonts w:hint="eastAsia"/>
              </w:rPr>
              <w:t>分</w:t>
            </w:r>
            <w:r>
              <w:rPr>
                <w:rFonts w:hint="eastAsia"/>
                <w:highlight w:val="none"/>
              </w:rPr>
              <w:t>，</w:t>
            </w:r>
            <w:r>
              <w:rPr>
                <w:rFonts w:hint="eastAsia"/>
                <w:highlight w:val="none"/>
                <w:lang w:val="en-US" w:eastAsia="zh-CN"/>
              </w:rPr>
              <w:t>每提供1名中级职称者得1分，本项最高计4分；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highlight w:val="none"/>
              </w:rPr>
            </w:pPr>
            <w:r>
              <w:rPr>
                <w:rFonts w:hint="eastAsia"/>
                <w:highlight w:val="none"/>
                <w:lang w:val="en-US" w:eastAsia="zh-CN"/>
              </w:rPr>
              <w:t>4、</w:t>
            </w:r>
            <w:r>
              <w:rPr>
                <w:rFonts w:hint="eastAsia"/>
                <w:highlight w:val="none"/>
              </w:rPr>
              <w:t>妇科每提供一名</w:t>
            </w:r>
            <w:r>
              <w:rPr>
                <w:rFonts w:hint="eastAsia"/>
              </w:rPr>
              <w:t>副高</w:t>
            </w:r>
            <w:r>
              <w:rPr>
                <w:rFonts w:hint="eastAsia"/>
                <w:lang w:val="en-US" w:eastAsia="zh-CN"/>
              </w:rPr>
              <w:t>级</w:t>
            </w:r>
            <w:r>
              <w:rPr>
                <w:rFonts w:hint="eastAsia"/>
              </w:rPr>
              <w:t>职称者得</w:t>
            </w:r>
            <w:r>
              <w:t>2</w:t>
            </w:r>
            <w:r>
              <w:rPr>
                <w:rFonts w:hint="eastAsia"/>
              </w:rPr>
              <w:t>分</w:t>
            </w:r>
            <w:r>
              <w:rPr>
                <w:rFonts w:hint="eastAsia"/>
                <w:highlight w:val="none"/>
              </w:rPr>
              <w:t>，</w:t>
            </w:r>
            <w:r>
              <w:rPr>
                <w:rFonts w:hint="eastAsia"/>
                <w:highlight w:val="none"/>
                <w:lang w:val="en-US" w:eastAsia="zh-CN"/>
              </w:rPr>
              <w:t>每提供1名中级职称者得1分，本项最高计4分。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eastAsia="宋体"/>
                <w:highlight w:val="none"/>
                <w:lang w:val="en-US" w:eastAsia="zh-CN"/>
              </w:rPr>
            </w:pPr>
            <w:r>
              <w:rPr>
                <w:rFonts w:hint="eastAsia"/>
                <w:b/>
                <w:bCs/>
                <w:highlight w:val="none"/>
                <w:lang w:val="en-US" w:eastAsia="zh-CN"/>
              </w:rPr>
              <w:t>注：此项得分为累计计分，最多得16分。需提供相关职称证书复印件，加盖单位公章。</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both"/>
              <w:rPr>
                <w:rFonts w:hint="default" w:ascii="宋体" w:hAnsi="宋体" w:eastAsia="宋体"/>
                <w:color w:val="auto"/>
                <w:kern w:val="0"/>
                <w:szCs w:val="21"/>
                <w:highlight w:val="none"/>
                <w:lang w:val="en-US" w:eastAsia="zh-CN"/>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9"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szCs w:val="21"/>
                <w:lang w:eastAsia="zh-CN"/>
              </w:rPr>
            </w:pPr>
            <w:r>
              <w:rPr>
                <w:rFonts w:hint="eastAsia" w:ascii="宋体" w:hAnsi="宋体"/>
                <w:b/>
                <w:kern w:val="0"/>
                <w:szCs w:val="21"/>
              </w:rPr>
              <w:t xml:space="preserve">合    计  </w:t>
            </w:r>
            <w:r>
              <w:rPr>
                <w:rFonts w:hint="eastAsia" w:ascii="宋体" w:hAnsi="宋体"/>
                <w:b/>
                <w:kern w:val="0"/>
                <w:szCs w:val="21"/>
                <w:lang w:eastAsia="zh-CN"/>
              </w:rPr>
              <w:t>（</w:t>
            </w:r>
            <w:r>
              <w:rPr>
                <w:rFonts w:hint="eastAsia" w:ascii="宋体" w:hAnsi="宋体"/>
                <w:b/>
                <w:kern w:val="0"/>
                <w:szCs w:val="21"/>
                <w:lang w:val="en-US" w:eastAsia="zh-CN"/>
              </w:rPr>
              <w:t>40</w:t>
            </w:r>
            <w:r>
              <w:rPr>
                <w:rFonts w:hint="eastAsia" w:ascii="宋体" w:hAnsi="宋体"/>
                <w:b/>
                <w:kern w:val="0"/>
                <w:szCs w:val="21"/>
              </w:rPr>
              <w:t>分</w:t>
            </w:r>
            <w:r>
              <w:rPr>
                <w:rFonts w:hint="eastAsia" w:ascii="宋体" w:hAnsi="宋体"/>
                <w:b/>
                <w:kern w:val="0"/>
                <w:szCs w:val="21"/>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bl>
    <w:p>
      <w:pPr>
        <w:widowControl w:val="0"/>
        <w:adjustRightInd w:val="0"/>
        <w:snapToGrid w:val="0"/>
        <w:spacing w:line="312" w:lineRule="auto"/>
        <w:jc w:val="both"/>
        <w:rPr>
          <w:rFonts w:ascii="宋体" w:hAnsi="宋体"/>
          <w:szCs w:val="21"/>
        </w:rPr>
      </w:pPr>
      <w:r>
        <w:rPr>
          <w:rFonts w:hint="eastAsia" w:ascii="宋体" w:hAnsi="宋体"/>
          <w:b/>
          <w:kern w:val="0"/>
          <w:szCs w:val="21"/>
        </w:rPr>
        <w:t>注：</w:t>
      </w:r>
      <w:r>
        <w:rPr>
          <w:rFonts w:hint="eastAsia" w:ascii="宋体" w:hAnsi="宋体"/>
          <w:kern w:val="0"/>
          <w:szCs w:val="21"/>
        </w:rPr>
        <w:t>1、</w:t>
      </w:r>
      <w:r>
        <w:rPr>
          <w:rFonts w:hint="eastAsia" w:ascii="宋体" w:hAnsi="宋体"/>
          <w:szCs w:val="21"/>
        </w:rPr>
        <w:t>本表由评审小组集体评议，统一计分。评审小组成员中对结论有不同意见时，按少数服从多数的原则，确定得分。</w:t>
      </w:r>
    </w:p>
    <w:p>
      <w:pPr>
        <w:widowControl w:val="0"/>
        <w:adjustRightInd w:val="0"/>
        <w:snapToGrid w:val="0"/>
        <w:spacing w:line="312" w:lineRule="auto"/>
        <w:ind w:firstLine="420" w:firstLineChars="200"/>
        <w:outlineLvl w:val="1"/>
        <w:rPr>
          <w:rFonts w:hint="eastAsia" w:ascii="宋体" w:hAnsi="宋体" w:eastAsia="宋体"/>
          <w:kern w:val="0"/>
          <w:szCs w:val="21"/>
          <w:highlight w:val="none"/>
          <w:lang w:val="en-US" w:eastAsia="zh-CN"/>
        </w:rPr>
      </w:pPr>
      <w:bookmarkStart w:id="301" w:name="_Toc18325"/>
      <w:bookmarkStart w:id="302" w:name="_Toc27337"/>
      <w:bookmarkStart w:id="303" w:name="_Toc21174"/>
      <w:bookmarkStart w:id="304" w:name="_Toc32025"/>
      <w:bookmarkStart w:id="305" w:name="_Toc1488"/>
      <w:r>
        <w:rPr>
          <w:rFonts w:hint="eastAsia" w:ascii="宋体" w:hAnsi="宋体"/>
          <w:kern w:val="0"/>
          <w:szCs w:val="21"/>
          <w:highlight w:val="none"/>
          <w:lang w:val="en-US" w:eastAsia="zh-CN"/>
        </w:rPr>
        <w:t>2、商务</w:t>
      </w:r>
      <w:r>
        <w:rPr>
          <w:rFonts w:hint="eastAsia" w:ascii="宋体" w:hAnsi="宋体"/>
          <w:kern w:val="0"/>
          <w:szCs w:val="21"/>
          <w:highlight w:val="none"/>
        </w:rPr>
        <w:t>文件中缺失某项评分因素的，该项评分因素计0分。</w:t>
      </w:r>
      <w:bookmarkEnd w:id="301"/>
      <w:bookmarkEnd w:id="302"/>
      <w:bookmarkEnd w:id="303"/>
      <w:bookmarkEnd w:id="304"/>
      <w:bookmarkEnd w:id="305"/>
    </w:p>
    <w:p>
      <w:pPr>
        <w:widowControl w:val="0"/>
        <w:adjustRightInd w:val="0"/>
        <w:snapToGrid w:val="0"/>
        <w:spacing w:line="312" w:lineRule="auto"/>
        <w:ind w:firstLine="420" w:firstLineChars="200"/>
        <w:jc w:val="both"/>
        <w:rPr>
          <w:rFonts w:ascii="宋体" w:hAnsi="宋体"/>
          <w:kern w:val="0"/>
          <w:szCs w:val="21"/>
          <w:highlight w:val="none"/>
        </w:rPr>
      </w:pPr>
      <w:r>
        <w:rPr>
          <w:rFonts w:hint="eastAsia" w:ascii="宋体" w:hAnsi="宋体"/>
          <w:kern w:val="0"/>
          <w:szCs w:val="21"/>
          <w:highlight w:val="none"/>
          <w:lang w:val="en-US" w:eastAsia="zh-CN"/>
        </w:rPr>
        <w:t>3</w:t>
      </w:r>
      <w:r>
        <w:rPr>
          <w:rFonts w:hint="eastAsia" w:ascii="宋体" w:hAnsi="宋体"/>
          <w:kern w:val="0"/>
          <w:szCs w:val="21"/>
          <w:highlight w:val="none"/>
        </w:rPr>
        <w:t>、各评分因素中基本合理项的最低分值不得低于该评分因素和评分标准最高分值的60%。</w:t>
      </w:r>
      <w:r>
        <w:rPr>
          <w:rFonts w:hint="eastAsia" w:ascii="宋体" w:hAnsi="宋体"/>
          <w:szCs w:val="21"/>
          <w:highlight w:val="none"/>
        </w:rPr>
        <w:t>评审小组</w:t>
      </w:r>
      <w:r>
        <w:rPr>
          <w:rFonts w:hint="eastAsia" w:ascii="宋体" w:hAnsi="宋体"/>
          <w:kern w:val="0"/>
          <w:szCs w:val="21"/>
          <w:highlight w:val="none"/>
        </w:rPr>
        <w:t>对某评分因素评审计分低于该评分因素和评分标准最高分值的60%的，评委应说明原因。</w:t>
      </w:r>
    </w:p>
    <w:p>
      <w:pPr>
        <w:widowControl w:val="0"/>
        <w:jc w:val="both"/>
        <w:rPr>
          <w:rFonts w:ascii="宋体" w:hAnsi="宋体"/>
          <w:sz w:val="24"/>
          <w:highlight w:val="none"/>
        </w:rPr>
      </w:pPr>
    </w:p>
    <w:p>
      <w:pPr>
        <w:widowControl w:val="0"/>
        <w:jc w:val="both"/>
        <w:rPr>
          <w:rFonts w:ascii="宋体" w:hAnsi="宋体"/>
          <w:sz w:val="24"/>
          <w:highlight w:val="none"/>
        </w:rPr>
      </w:pPr>
    </w:p>
    <w:p>
      <w:pPr>
        <w:widowControl w:val="0"/>
        <w:jc w:val="both"/>
        <w:rPr>
          <w:rFonts w:ascii="宋体" w:hAnsi="宋体"/>
          <w:bCs/>
          <w:sz w:val="24"/>
          <w:highlight w:val="none"/>
        </w:rPr>
      </w:pPr>
      <w:r>
        <w:rPr>
          <w:rFonts w:hint="eastAsia" w:ascii="宋体" w:hAnsi="宋体"/>
          <w:sz w:val="24"/>
          <w:highlight w:val="none"/>
        </w:rPr>
        <w:t>评审小组</w:t>
      </w:r>
      <w:r>
        <w:rPr>
          <w:rFonts w:ascii="宋体" w:hAnsi="宋体"/>
          <w:sz w:val="24"/>
          <w:highlight w:val="none"/>
        </w:rPr>
        <w:t>全体成员签字：</w:t>
      </w:r>
    </w:p>
    <w:p>
      <w:pPr>
        <w:widowControl w:val="0"/>
        <w:snapToGrid w:val="0"/>
        <w:spacing w:line="240" w:lineRule="auto"/>
        <w:jc w:val="both"/>
        <w:outlineLvl w:val="9"/>
        <w:rPr>
          <w:rFonts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br w:type="page"/>
      </w:r>
    </w:p>
    <w:p>
      <w:pPr>
        <w:widowControl w:val="0"/>
        <w:snapToGrid w:val="0"/>
        <w:spacing w:line="240" w:lineRule="auto"/>
        <w:jc w:val="center"/>
        <w:outlineLvl w:val="2"/>
        <w:rPr>
          <w:rFonts w:ascii="黑体" w:hAnsi="黑体" w:eastAsia="黑体"/>
          <w:sz w:val="32"/>
          <w:szCs w:val="32"/>
        </w:rPr>
      </w:pPr>
      <w:bookmarkStart w:id="306" w:name="_Toc19090"/>
      <w:bookmarkStart w:id="307" w:name="_Toc32457"/>
      <w:bookmarkStart w:id="308" w:name="_Toc19306"/>
      <w:r>
        <w:rPr>
          <w:rFonts w:hint="eastAsia" w:ascii="黑体" w:hAnsi="黑体" w:eastAsia="黑体"/>
          <w:sz w:val="32"/>
          <w:szCs w:val="32"/>
        </w:rPr>
        <w:t xml:space="preserve">附表2 </w:t>
      </w:r>
      <w:r>
        <w:rPr>
          <w:rFonts w:hint="eastAsia" w:ascii="黑体" w:hAnsi="黑体" w:eastAsia="黑体"/>
          <w:sz w:val="32"/>
          <w:szCs w:val="32"/>
          <w:lang w:val="en-US" w:eastAsia="zh-CN"/>
        </w:rPr>
        <w:t xml:space="preserve"> </w:t>
      </w:r>
      <w:r>
        <w:rPr>
          <w:rFonts w:hint="eastAsia" w:ascii="黑体" w:hAnsi="黑体" w:eastAsia="黑体"/>
          <w:sz w:val="32"/>
          <w:szCs w:val="32"/>
        </w:rPr>
        <w:t>技术部分评分表</w:t>
      </w:r>
      <w:bookmarkEnd w:id="306"/>
      <w:bookmarkEnd w:id="307"/>
      <w:bookmarkEnd w:id="308"/>
    </w:p>
    <w:p>
      <w:pPr>
        <w:widowControl w:val="0"/>
        <w:adjustRightInd w:val="0"/>
        <w:snapToGrid w:val="0"/>
        <w:spacing w:line="312" w:lineRule="auto"/>
        <w:jc w:val="both"/>
        <w:rPr>
          <w:rFonts w:ascii="宋体" w:hAnsi="宋体"/>
          <w:kern w:val="0"/>
          <w:sz w:val="24"/>
        </w:rPr>
      </w:pPr>
    </w:p>
    <w:p>
      <w:pPr>
        <w:widowControl w:val="0"/>
        <w:adjustRightInd w:val="0"/>
        <w:snapToGrid w:val="0"/>
        <w:spacing w:line="312" w:lineRule="auto"/>
        <w:jc w:val="both"/>
        <w:rPr>
          <w:rFonts w:hint="eastAsia" w:ascii="宋体" w:hAnsi="宋体" w:cs="Times New Roman"/>
          <w:kern w:val="0"/>
          <w:sz w:val="24"/>
        </w:rPr>
      </w:pPr>
      <w:r>
        <w:rPr>
          <w:rFonts w:hint="eastAsia" w:ascii="宋体" w:hAnsi="宋体"/>
          <w:kern w:val="0"/>
          <w:sz w:val="24"/>
        </w:rPr>
        <w:t>项目名称：</w:t>
      </w:r>
      <w:r>
        <w:rPr>
          <w:rFonts w:hint="eastAsia" w:ascii="宋体" w:hAnsi="宋体" w:cs="Times New Roman"/>
          <w:sz w:val="24"/>
          <w:lang w:val="en-US" w:eastAsia="zh-CN"/>
        </w:rPr>
        <w:t>岳阳城陵矶新港有限公司2024年度职工健康体检项</w:t>
      </w:r>
      <w:r>
        <w:rPr>
          <w:rFonts w:hint="eastAsia" w:ascii="宋体" w:hAnsi="宋体" w:cs="Times New Roman"/>
          <w:kern w:val="0"/>
          <w:sz w:val="24"/>
          <w:lang w:val="en-US" w:eastAsia="zh-CN"/>
        </w:rPr>
        <w:t>目</w:t>
      </w:r>
    </w:p>
    <w:tbl>
      <w:tblPr>
        <w:tblStyle w:val="42"/>
        <w:tblW w:w="10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94"/>
        <w:gridCol w:w="5482"/>
        <w:gridCol w:w="763"/>
        <w:gridCol w:w="84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序号</w:t>
            </w:r>
          </w:p>
        </w:tc>
        <w:tc>
          <w:tcPr>
            <w:tcW w:w="1494"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评分因素</w:t>
            </w:r>
          </w:p>
        </w:tc>
        <w:tc>
          <w:tcPr>
            <w:tcW w:w="5482"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kern w:val="0"/>
                <w:szCs w:val="21"/>
              </w:rPr>
              <w:t>评分标准</w:t>
            </w:r>
            <w:r>
              <w:rPr>
                <w:rFonts w:hint="eastAsia" w:ascii="宋体" w:hAnsi="宋体"/>
                <w:b/>
                <w:szCs w:val="21"/>
              </w:rPr>
              <w:t>/分值</w:t>
            </w:r>
          </w:p>
        </w:tc>
        <w:tc>
          <w:tcPr>
            <w:tcW w:w="249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1494" w:type="dxa"/>
            <w:vMerge w:val="continue"/>
            <w:tcBorders>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548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1" w:hRule="exact"/>
        </w:trPr>
        <w:tc>
          <w:tcPr>
            <w:tcW w:w="7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szCs w:val="21"/>
                <w:highlight w:val="none"/>
                <w:lang w:val="en-US" w:eastAsia="zh-CN"/>
              </w:rPr>
            </w:pPr>
            <w:r>
              <w:rPr>
                <w:rFonts w:hint="eastAsia" w:ascii="宋体" w:hAnsi="宋体"/>
                <w:szCs w:val="21"/>
                <w:highlight w:val="none"/>
                <w:lang w:val="en-US" w:eastAsia="zh-CN"/>
              </w:rPr>
              <w:t>1</w:t>
            </w:r>
          </w:p>
        </w:tc>
        <w:tc>
          <w:tcPr>
            <w:tcW w:w="14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服务方案</w:t>
            </w:r>
          </w:p>
          <w:p>
            <w:pPr>
              <w:pStyle w:val="13"/>
              <w:jc w:val="center"/>
              <w:rPr>
                <w:rFonts w:hint="default" w:eastAsia="宋体"/>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25分）</w:t>
            </w:r>
          </w:p>
        </w:tc>
        <w:tc>
          <w:tcPr>
            <w:tcW w:w="5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szCs w:val="21"/>
                <w:highlight w:val="none"/>
              </w:rPr>
              <w:t>根据供应商提供的服务方案，从以下</w:t>
            </w:r>
            <w:r>
              <w:rPr>
                <w:rFonts w:hint="eastAsia" w:ascii="宋体" w:hAnsi="宋体" w:cs="宋体"/>
                <w:szCs w:val="21"/>
                <w:highlight w:val="none"/>
                <w:lang w:val="en-US" w:eastAsia="zh-CN"/>
              </w:rPr>
              <w:t>各</w:t>
            </w:r>
            <w:r>
              <w:rPr>
                <w:rFonts w:hint="eastAsia" w:ascii="宋体" w:hAnsi="宋体" w:eastAsia="宋体" w:cs="宋体"/>
                <w:szCs w:val="21"/>
                <w:highlight w:val="none"/>
              </w:rPr>
              <w:t>方面综合对比并分档计分：</w:t>
            </w:r>
          </w:p>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szCs w:val="21"/>
                <w:highlight w:val="none"/>
              </w:rPr>
              <w:t>1、服务团队的技术实力，人员配置的合理性等；</w:t>
            </w:r>
          </w:p>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szCs w:val="21"/>
                <w:highlight w:val="none"/>
              </w:rPr>
              <w:t>2、拟配套设备的先进性、安全性、可靠性等；</w:t>
            </w:r>
          </w:p>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、体检管理系统的科学性、完善性、有效性等；</w:t>
            </w:r>
          </w:p>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szCs w:val="21"/>
                <w:highlight w:val="none"/>
              </w:rPr>
              <w:t>4、服务质量、响应时间、服务承诺全面且有相应措施；</w:t>
            </w:r>
          </w:p>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szCs w:val="21"/>
                <w:highlight w:val="none"/>
              </w:rPr>
              <w:t>5、</w:t>
            </w:r>
            <w:r>
              <w:rPr>
                <w:rFonts w:ascii="宋体" w:hAnsi="宋体" w:eastAsia="宋体" w:cs="宋体"/>
                <w:szCs w:val="21"/>
                <w:highlight w:val="none"/>
              </w:rPr>
              <w:t>服务质量有明确控制目标，对体检过程各环节的质量控制措施完善且可靠</w:t>
            </w:r>
            <w:r>
              <w:rPr>
                <w:rFonts w:hint="eastAsia" w:ascii="宋体" w:hAnsi="宋体" w:eastAsia="宋体" w:cs="宋体"/>
                <w:szCs w:val="21"/>
                <w:highlight w:val="none"/>
              </w:rPr>
              <w:t>，</w:t>
            </w:r>
            <w:r>
              <w:rPr>
                <w:rFonts w:ascii="宋体" w:hAnsi="宋体" w:eastAsia="宋体" w:cs="宋体"/>
                <w:szCs w:val="21"/>
                <w:highlight w:val="none"/>
              </w:rPr>
              <w:t>体检结果跟踪服务完善</w:t>
            </w:r>
            <w:r>
              <w:rPr>
                <w:rFonts w:hint="eastAsia" w:ascii="宋体" w:hAnsi="宋体" w:eastAsia="宋体" w:cs="宋体"/>
                <w:szCs w:val="21"/>
                <w:highlight w:val="none"/>
              </w:rPr>
              <w:t>且</w:t>
            </w:r>
            <w:r>
              <w:rPr>
                <w:rFonts w:ascii="宋体" w:hAnsi="宋体" w:eastAsia="宋体" w:cs="宋体"/>
                <w:szCs w:val="21"/>
                <w:highlight w:val="none"/>
              </w:rPr>
              <w:t>处理方案可行</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szCs w:val="21"/>
                <w:highlight w:val="none"/>
                <w:lang w:val="en-US" w:eastAsia="zh-CN"/>
              </w:rPr>
            </w:pPr>
            <w:r>
              <w:rPr>
                <w:rFonts w:hint="eastAsia" w:ascii="宋体" w:hAnsi="宋体" w:eastAsia="宋体" w:cs="宋体"/>
                <w:b/>
                <w:bCs/>
                <w:szCs w:val="21"/>
                <w:highlight w:val="none"/>
              </w:rPr>
              <w:t>每方面进行分档计分，优秀的计</w:t>
            </w:r>
            <w:r>
              <w:rPr>
                <w:rFonts w:hint="eastAsia" w:ascii="宋体" w:hAnsi="宋体" w:cs="宋体"/>
                <w:b/>
                <w:bCs/>
                <w:szCs w:val="21"/>
                <w:highlight w:val="none"/>
                <w:lang w:val="en-US" w:eastAsia="zh-CN"/>
              </w:rPr>
              <w:t>5</w:t>
            </w:r>
            <w:r>
              <w:rPr>
                <w:rFonts w:hint="eastAsia" w:ascii="宋体" w:hAnsi="宋体" w:eastAsia="宋体" w:cs="宋体"/>
                <w:b/>
                <w:bCs/>
                <w:szCs w:val="21"/>
                <w:highlight w:val="none"/>
              </w:rPr>
              <w:t>分，良好的计</w:t>
            </w:r>
            <w:r>
              <w:rPr>
                <w:rFonts w:hint="eastAsia" w:ascii="宋体" w:hAnsi="宋体" w:cs="宋体"/>
                <w:b/>
                <w:bCs/>
                <w:szCs w:val="21"/>
                <w:highlight w:val="none"/>
                <w:lang w:val="en-US" w:eastAsia="zh-CN"/>
              </w:rPr>
              <w:t>4</w:t>
            </w:r>
            <w:r>
              <w:rPr>
                <w:rFonts w:hint="eastAsia" w:ascii="宋体" w:hAnsi="宋体" w:eastAsia="宋体" w:cs="宋体"/>
                <w:b/>
                <w:bCs/>
                <w:szCs w:val="21"/>
                <w:highlight w:val="none"/>
              </w:rPr>
              <w:t>分，一般的计</w:t>
            </w:r>
            <w:r>
              <w:rPr>
                <w:rFonts w:hint="eastAsia" w:ascii="宋体" w:hAnsi="宋体" w:cs="宋体"/>
                <w:b/>
                <w:bCs/>
                <w:szCs w:val="21"/>
                <w:highlight w:val="none"/>
                <w:lang w:val="en-US" w:eastAsia="zh-CN"/>
              </w:rPr>
              <w:t>3</w:t>
            </w:r>
            <w:r>
              <w:rPr>
                <w:rFonts w:hint="eastAsia" w:ascii="宋体" w:hAnsi="宋体" w:eastAsia="宋体" w:cs="宋体"/>
                <w:b/>
                <w:bCs/>
                <w:szCs w:val="21"/>
                <w:highlight w:val="none"/>
              </w:rPr>
              <w:t>分</w:t>
            </w:r>
            <w:r>
              <w:rPr>
                <w:rFonts w:hint="eastAsia" w:ascii="宋体" w:hAnsi="宋体" w:cs="宋体"/>
                <w:b/>
                <w:bCs/>
                <w:szCs w:val="21"/>
                <w:highlight w:val="none"/>
                <w:lang w:eastAsia="zh-CN"/>
              </w:rPr>
              <w:t>。</w:t>
            </w:r>
          </w:p>
        </w:tc>
        <w:tc>
          <w:tcPr>
            <w:tcW w:w="76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szCs w:val="21"/>
                <w:highlight w:val="none"/>
                <w:lang w:val="en-US"/>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exact"/>
        </w:trPr>
        <w:tc>
          <w:tcPr>
            <w:tcW w:w="7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2</w:t>
            </w:r>
          </w:p>
        </w:tc>
        <w:tc>
          <w:tcPr>
            <w:tcW w:w="1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增值服务</w:t>
            </w:r>
          </w:p>
          <w:p>
            <w:pPr>
              <w:pStyle w:val="13"/>
              <w:jc w:val="center"/>
              <w:rPr>
                <w:rFonts w:hint="default" w:eastAsia="宋体"/>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5分）</w:t>
            </w:r>
          </w:p>
        </w:tc>
        <w:tc>
          <w:tcPr>
            <w:tcW w:w="5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cs="宋体"/>
                <w:szCs w:val="21"/>
                <w:highlight w:val="none"/>
                <w:lang w:eastAsia="zh-CN"/>
              </w:rPr>
            </w:pPr>
            <w:r>
              <w:rPr>
                <w:rFonts w:hint="eastAsia" w:ascii="宋体" w:hAnsi="宋体" w:eastAsia="宋体" w:cs="宋体"/>
                <w:szCs w:val="21"/>
                <w:highlight w:val="none"/>
              </w:rPr>
              <w:t>根据供应商提供的增值服务内容，横向比较其丰富程度，与项目的关联程度等方面</w:t>
            </w:r>
            <w:r>
              <w:rPr>
                <w:rFonts w:hint="eastAsia" w:ascii="宋体" w:hAnsi="宋体" w:cs="宋体"/>
                <w:szCs w:val="21"/>
                <w:highlight w:val="none"/>
                <w:lang w:val="en-US" w:eastAsia="zh-CN"/>
              </w:rPr>
              <w:t>进行评价</w:t>
            </w:r>
            <w:r>
              <w:rPr>
                <w:rFonts w:hint="eastAsia" w:ascii="宋体" w:hAnsi="宋体" w:cs="宋体"/>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cs="宋体"/>
                <w:szCs w:val="21"/>
                <w:highlight w:val="none"/>
                <w:lang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rPr>
              <w:t>优秀的计</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r>
              <w:rPr>
                <w:rFonts w:hint="eastAsia" w:ascii="宋体" w:hAnsi="宋体" w:cs="宋体"/>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cs="宋体"/>
                <w:szCs w:val="21"/>
                <w:highlight w:val="none"/>
                <w:lang w:eastAsia="zh-CN"/>
              </w:rPr>
            </w:pPr>
            <w:r>
              <w:rPr>
                <w:rFonts w:hint="eastAsia" w:ascii="宋体" w:hAnsi="宋体" w:cs="宋体"/>
                <w:szCs w:val="21"/>
                <w:highlight w:val="none"/>
                <w:lang w:val="en-US" w:eastAsia="zh-CN"/>
              </w:rPr>
              <w:t>2、</w:t>
            </w:r>
            <w:r>
              <w:rPr>
                <w:rFonts w:hint="eastAsia" w:ascii="宋体" w:hAnsi="宋体" w:eastAsia="宋体" w:cs="宋体"/>
                <w:szCs w:val="21"/>
                <w:highlight w:val="none"/>
              </w:rPr>
              <w:t>良好的计</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w:t>
            </w:r>
            <w:r>
              <w:rPr>
                <w:rFonts w:hint="eastAsia" w:ascii="宋体" w:hAnsi="宋体" w:cs="宋体"/>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lang w:val="en-US" w:eastAsia="zh-CN"/>
              </w:rPr>
              <w:t>3、</w:t>
            </w:r>
            <w:r>
              <w:rPr>
                <w:rFonts w:hint="eastAsia" w:ascii="宋体" w:hAnsi="宋体" w:eastAsia="宋体" w:cs="宋体"/>
                <w:szCs w:val="21"/>
                <w:highlight w:val="none"/>
              </w:rPr>
              <w:t>一般的计</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tc>
        <w:tc>
          <w:tcPr>
            <w:tcW w:w="76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cs="Times New Roman"/>
                <w:kern w:val="2"/>
                <w:sz w:val="21"/>
                <w:szCs w:val="21"/>
                <w:highlight w:val="none"/>
                <w:lang w:val="en-US" w:eastAsia="zh-CN" w:bidi="ar-SA"/>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kern w:val="2"/>
                <w:sz w:val="21"/>
                <w:szCs w:val="21"/>
                <w:highlight w:val="none"/>
                <w:lang w:val="en-US" w:eastAsia="zh-CN" w:bidi="ar-SA"/>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770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hint="default" w:ascii="宋体" w:hAnsi="宋体" w:eastAsia="宋体"/>
                <w:szCs w:val="21"/>
                <w:lang w:val="en-US" w:eastAsia="zh-CN"/>
              </w:rPr>
            </w:pPr>
            <w:r>
              <w:rPr>
                <w:rFonts w:hint="eastAsia" w:ascii="宋体" w:hAnsi="宋体"/>
                <w:b/>
                <w:szCs w:val="21"/>
              </w:rPr>
              <w:t>合计</w:t>
            </w:r>
          </w:p>
        </w:tc>
        <w:tc>
          <w:tcPr>
            <w:tcW w:w="76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bl>
    <w:p>
      <w:pPr>
        <w:widowControl w:val="0"/>
        <w:adjustRightInd w:val="0"/>
        <w:snapToGrid w:val="0"/>
        <w:spacing w:line="312" w:lineRule="auto"/>
        <w:ind w:firstLine="315" w:firstLineChars="150"/>
        <w:rPr>
          <w:rFonts w:ascii="宋体" w:hAnsi="宋体"/>
          <w:kern w:val="0"/>
          <w:szCs w:val="21"/>
        </w:rPr>
      </w:pPr>
      <w:r>
        <w:rPr>
          <w:rFonts w:hint="eastAsia" w:ascii="宋体" w:hAnsi="宋体"/>
          <w:kern w:val="0"/>
          <w:szCs w:val="21"/>
        </w:rPr>
        <w:t>注：1、本表小计总分为</w:t>
      </w:r>
      <w:r>
        <w:rPr>
          <w:rFonts w:ascii="宋体" w:hAnsi="宋体"/>
          <w:szCs w:val="21"/>
          <w:u w:val="single"/>
        </w:rPr>
        <w:t xml:space="preserve">  </w:t>
      </w:r>
      <w:r>
        <w:rPr>
          <w:rFonts w:hint="eastAsia" w:ascii="宋体" w:hAnsi="宋体"/>
          <w:szCs w:val="21"/>
          <w:u w:val="single"/>
          <w:lang w:val="en-US" w:eastAsia="zh-CN"/>
        </w:rPr>
        <w:t>30</w:t>
      </w:r>
      <w:r>
        <w:rPr>
          <w:rFonts w:ascii="宋体" w:hAnsi="宋体"/>
          <w:szCs w:val="21"/>
          <w:u w:val="single"/>
        </w:rPr>
        <w:t xml:space="preserve">  </w:t>
      </w:r>
      <w:r>
        <w:rPr>
          <w:rFonts w:hint="eastAsia" w:ascii="宋体" w:hAnsi="宋体"/>
          <w:kern w:val="0"/>
          <w:szCs w:val="21"/>
        </w:rPr>
        <w:t>分。</w:t>
      </w:r>
    </w:p>
    <w:p>
      <w:pPr>
        <w:widowControl w:val="0"/>
        <w:adjustRightInd w:val="0"/>
        <w:snapToGrid w:val="0"/>
        <w:spacing w:line="312" w:lineRule="auto"/>
        <w:ind w:firstLine="735" w:firstLineChars="350"/>
        <w:outlineLvl w:val="1"/>
        <w:rPr>
          <w:rFonts w:ascii="宋体" w:hAnsi="宋体"/>
          <w:kern w:val="0"/>
          <w:szCs w:val="21"/>
        </w:rPr>
      </w:pPr>
      <w:bookmarkStart w:id="309" w:name="_Toc931"/>
      <w:bookmarkStart w:id="310" w:name="_Toc18740"/>
      <w:bookmarkStart w:id="311" w:name="_Toc769"/>
      <w:bookmarkStart w:id="312" w:name="_Toc22241"/>
      <w:bookmarkStart w:id="313" w:name="_Toc16132"/>
      <w:r>
        <w:rPr>
          <w:rFonts w:hint="eastAsia" w:ascii="宋体" w:hAnsi="宋体"/>
          <w:kern w:val="0"/>
          <w:szCs w:val="21"/>
        </w:rPr>
        <w:t>2、技术文件中缺失某项评分因素的，该项评分因素计0分。</w:t>
      </w:r>
      <w:bookmarkEnd w:id="309"/>
      <w:bookmarkEnd w:id="310"/>
      <w:bookmarkEnd w:id="311"/>
      <w:bookmarkEnd w:id="312"/>
      <w:bookmarkEnd w:id="313"/>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3、该项评分内容计分，由</w:t>
      </w:r>
      <w:r>
        <w:rPr>
          <w:rFonts w:hint="eastAsia" w:ascii="宋体" w:hAnsi="宋体"/>
          <w:szCs w:val="21"/>
        </w:rPr>
        <w:t>评审小组</w:t>
      </w:r>
      <w:r>
        <w:rPr>
          <w:rFonts w:hint="eastAsia" w:ascii="宋体" w:hAnsi="宋体"/>
          <w:kern w:val="0"/>
          <w:szCs w:val="21"/>
        </w:rPr>
        <w:t>集体评议，评委根据集体评议意见，自主评分。</w:t>
      </w:r>
      <w:r>
        <w:rPr>
          <w:rFonts w:hint="eastAsia" w:ascii="宋体" w:hAnsi="宋体"/>
          <w:b/>
          <w:kern w:val="0"/>
          <w:szCs w:val="21"/>
        </w:rPr>
        <w:t>技术文件得分为评委个人评审计分的算术平均值。</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4、采购人可根据项目的具体特点和需要设置合理的评分因素，项目没有具体需要的不得设置为评分因素内容。</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5、</w:t>
      </w:r>
      <w:r>
        <w:rPr>
          <w:rFonts w:hint="eastAsia" w:ascii="宋体" w:hAnsi="宋体"/>
          <w:b/>
          <w:kern w:val="0"/>
          <w:szCs w:val="21"/>
        </w:rPr>
        <w:t>各评分因素中基本合理项的最低分值不得低于该评分因素和评分标准最高分值的60%。评审小组对某评分因素评审计分低于该评分因素和评分标准最高分值的60%的，评委应说明原因。</w:t>
      </w:r>
    </w:p>
    <w:p>
      <w:pPr>
        <w:widowControl w:val="0"/>
        <w:adjustRightInd w:val="0"/>
        <w:snapToGrid w:val="0"/>
        <w:spacing w:line="312" w:lineRule="auto"/>
        <w:ind w:firstLine="738" w:firstLineChars="350"/>
        <w:rPr>
          <w:rFonts w:ascii="宋体" w:hAnsi="宋体"/>
          <w:b/>
          <w:kern w:val="0"/>
          <w:szCs w:val="21"/>
        </w:rPr>
      </w:pPr>
    </w:p>
    <w:p>
      <w:pPr>
        <w:widowControl w:val="0"/>
        <w:adjustRightInd w:val="0"/>
        <w:snapToGrid w:val="0"/>
        <w:spacing w:line="312" w:lineRule="auto"/>
        <w:ind w:firstLine="738" w:firstLineChars="350"/>
        <w:rPr>
          <w:rFonts w:ascii="宋体" w:hAnsi="宋体"/>
          <w:b/>
          <w:kern w:val="0"/>
          <w:szCs w:val="21"/>
        </w:rPr>
      </w:pPr>
    </w:p>
    <w:p>
      <w:pPr>
        <w:widowControl w:val="0"/>
        <w:adjustRightInd w:val="0"/>
        <w:snapToGrid w:val="0"/>
        <w:spacing w:line="312" w:lineRule="auto"/>
        <w:ind w:firstLine="480" w:firstLineChars="200"/>
        <w:jc w:val="both"/>
        <w:rPr>
          <w:rFonts w:ascii="宋体" w:hAnsi="宋体"/>
          <w:sz w:val="24"/>
        </w:rPr>
      </w:pPr>
      <w:r>
        <w:rPr>
          <w:rFonts w:hint="eastAsia" w:ascii="宋体" w:hAnsi="宋体"/>
          <w:sz w:val="24"/>
        </w:rPr>
        <w:t>评审小组</w:t>
      </w:r>
      <w:r>
        <w:rPr>
          <w:rFonts w:ascii="宋体" w:hAnsi="宋体"/>
          <w:sz w:val="24"/>
        </w:rPr>
        <w:t>全体成员签字：</w:t>
      </w:r>
    </w:p>
    <w:p>
      <w:pPr>
        <w:rPr>
          <w:rFonts w:hint="eastAsia" w:ascii="黑体" w:hAnsi="黑体" w:eastAsia="黑体" w:cs="Times New Roman"/>
          <w:sz w:val="36"/>
          <w:szCs w:val="36"/>
          <w:lang w:val="en-US" w:eastAsia="zh-CN"/>
        </w:rPr>
      </w:pPr>
      <w:r>
        <w:rPr>
          <w:rFonts w:hint="eastAsia" w:ascii="黑体" w:hAnsi="黑体" w:eastAsia="黑体" w:cs="Times New Roman"/>
          <w:sz w:val="36"/>
          <w:szCs w:val="36"/>
          <w:lang w:val="en-US" w:eastAsia="zh-CN"/>
        </w:rPr>
        <w:br w:type="page"/>
      </w:r>
    </w:p>
    <w:p>
      <w:pPr>
        <w:numPr>
          <w:ilvl w:val="0"/>
          <w:numId w:val="2"/>
        </w:numPr>
        <w:spacing w:line="240" w:lineRule="auto"/>
        <w:jc w:val="center"/>
        <w:outlineLvl w:val="0"/>
        <w:rPr>
          <w:rFonts w:hint="eastAsia" w:ascii="黑体" w:hAnsi="黑体" w:eastAsia="黑体" w:cs="Times New Roman"/>
          <w:color w:val="auto"/>
          <w:sz w:val="36"/>
          <w:szCs w:val="36"/>
          <w:lang w:val="en-US" w:eastAsia="zh-CN"/>
        </w:rPr>
      </w:pPr>
      <w:r>
        <w:rPr>
          <w:rFonts w:hint="eastAsia" w:ascii="黑体" w:hAnsi="黑体" w:eastAsia="黑体" w:cs="Times New Roman"/>
          <w:color w:val="auto"/>
          <w:sz w:val="36"/>
          <w:szCs w:val="36"/>
          <w:lang w:val="en-US" w:eastAsia="zh-CN"/>
        </w:rPr>
        <w:t xml:space="preserve"> </w:t>
      </w:r>
      <w:bookmarkStart w:id="314" w:name="_Toc14130"/>
      <w:r>
        <w:rPr>
          <w:rFonts w:hint="eastAsia" w:ascii="黑体" w:hAnsi="黑体" w:eastAsia="黑体" w:cs="Times New Roman"/>
          <w:color w:val="auto"/>
          <w:sz w:val="36"/>
          <w:szCs w:val="36"/>
          <w:lang w:val="en-US" w:eastAsia="zh-CN"/>
        </w:rPr>
        <w:t>合同条款及格式</w:t>
      </w:r>
      <w:bookmarkEnd w:id="314"/>
      <w:bookmarkStart w:id="315" w:name="_Toc10306"/>
    </w:p>
    <w:p>
      <w:pPr>
        <w:jc w:val="center"/>
        <w:rPr>
          <w:color w:val="auto"/>
          <w:highlight w:val="none"/>
          <w:lang w:val="zh-CN"/>
        </w:rPr>
      </w:pPr>
    </w:p>
    <w:p>
      <w:pPr>
        <w:wordWrap/>
        <w:adjustRightInd w:val="0"/>
        <w:snapToGrid w:val="0"/>
        <w:ind w:firstLine="0" w:firstLineChars="0"/>
        <w:jc w:val="center"/>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lang w:val="en-US" w:eastAsia="zh-CN"/>
        </w:rPr>
        <w:t xml:space="preserve">                          </w:t>
      </w:r>
      <w:r>
        <w:rPr>
          <w:rFonts w:hint="eastAsia" w:ascii="微软雅黑" w:hAnsi="微软雅黑" w:eastAsia="微软雅黑" w:cs="微软雅黑"/>
          <w:b/>
          <w:bCs/>
          <w:color w:val="auto"/>
          <w:sz w:val="32"/>
          <w:szCs w:val="32"/>
          <w:highlight w:val="none"/>
        </w:rPr>
        <w:t xml:space="preserve"> 合同编号：   </w:t>
      </w:r>
    </w:p>
    <w:p>
      <w:pPr>
        <w:adjustRightInd w:val="0"/>
        <w:snapToGrid w:val="0"/>
        <w:spacing w:line="180" w:lineRule="auto"/>
        <w:outlineLvl w:val="9"/>
        <w:rPr>
          <w:rFonts w:ascii="微软雅黑" w:hAnsi="微软雅黑" w:eastAsia="微软雅黑" w:cs="微软雅黑"/>
          <w:b/>
          <w:bCs/>
          <w:color w:val="auto"/>
          <w:sz w:val="72"/>
          <w:szCs w:val="72"/>
          <w:highlight w:val="none"/>
        </w:rPr>
      </w:pPr>
    </w:p>
    <w:p>
      <w:pPr>
        <w:wordWrap w:val="0"/>
        <w:adjustRightInd w:val="0"/>
        <w:snapToGrid w:val="0"/>
        <w:jc w:val="right"/>
        <w:rPr>
          <w:rFonts w:hint="eastAsia" w:ascii="微软雅黑" w:hAnsi="微软雅黑" w:eastAsia="微软雅黑" w:cs="微软雅黑"/>
          <w:b/>
          <w:bCs/>
          <w:color w:val="auto"/>
          <w:sz w:val="24"/>
          <w:highlight w:val="none"/>
          <w:lang w:val="en-US" w:eastAsia="zh-CN"/>
        </w:rPr>
      </w:pPr>
      <w:r>
        <w:rPr>
          <w:rFonts w:hint="eastAsia" w:ascii="微软雅黑" w:hAnsi="微软雅黑" w:eastAsia="微软雅黑" w:cs="微软雅黑"/>
          <w:b/>
          <w:bCs/>
          <w:color w:val="auto"/>
          <w:sz w:val="24"/>
          <w:highlight w:val="none"/>
          <w:lang w:val="en-US" w:eastAsia="zh-CN"/>
        </w:rPr>
        <w:t xml:space="preserve"> </w:t>
      </w:r>
    </w:p>
    <w:p>
      <w:pPr>
        <w:adjustRightInd w:val="0"/>
        <w:snapToGrid w:val="0"/>
        <w:jc w:val="center"/>
        <w:rPr>
          <w:rFonts w:ascii="微软雅黑" w:hAnsi="微软雅黑" w:eastAsia="微软雅黑" w:cs="微软雅黑"/>
          <w:b/>
          <w:bCs/>
          <w:color w:val="auto"/>
          <w:sz w:val="24"/>
          <w:highlight w:val="none"/>
        </w:rPr>
      </w:pPr>
    </w:p>
    <w:p>
      <w:pPr>
        <w:adjustRightInd w:val="0"/>
        <w:snapToGrid w:val="0"/>
        <w:jc w:val="center"/>
        <w:rPr>
          <w:rFonts w:ascii="微软雅黑" w:hAnsi="微软雅黑" w:eastAsia="微软雅黑" w:cs="微软雅黑"/>
          <w:b/>
          <w:bCs/>
          <w:color w:val="auto"/>
          <w:sz w:val="24"/>
          <w:highlight w:val="none"/>
        </w:rPr>
      </w:pPr>
    </w:p>
    <w:p>
      <w:pPr>
        <w:tabs>
          <w:tab w:val="left" w:pos="8092"/>
        </w:tabs>
        <w:adjustRightInd w:val="0"/>
        <w:snapToGrid w:val="0"/>
        <w:jc w:val="left"/>
        <w:rPr>
          <w:rFonts w:ascii="微软雅黑" w:hAnsi="微软雅黑" w:eastAsia="微软雅黑" w:cs="微软雅黑"/>
          <w:b/>
          <w:bCs/>
          <w:color w:val="auto"/>
          <w:sz w:val="16"/>
          <w:szCs w:val="16"/>
          <w:highlight w:val="none"/>
        </w:rPr>
      </w:pPr>
      <w:r>
        <w:rPr>
          <w:rFonts w:hint="eastAsia" w:ascii="微软雅黑" w:hAnsi="微软雅黑" w:eastAsia="微软雅黑" w:cs="微软雅黑"/>
          <w:b/>
          <w:bCs/>
          <w:color w:val="auto"/>
          <w:sz w:val="24"/>
          <w:highlight w:val="none"/>
        </w:rPr>
        <w:tab/>
      </w:r>
    </w:p>
    <w:p>
      <w:pPr>
        <w:tabs>
          <w:tab w:val="left" w:pos="8092"/>
        </w:tabs>
        <w:adjustRightInd w:val="0"/>
        <w:snapToGrid w:val="0"/>
        <w:jc w:val="left"/>
        <w:rPr>
          <w:rFonts w:ascii="微软雅黑" w:hAnsi="微软雅黑" w:eastAsia="微软雅黑" w:cs="微软雅黑"/>
          <w:b/>
          <w:bCs/>
          <w:color w:val="auto"/>
          <w:sz w:val="24"/>
          <w:highlight w:val="none"/>
        </w:rPr>
      </w:pPr>
    </w:p>
    <w:p>
      <w:pPr>
        <w:tabs>
          <w:tab w:val="left" w:pos="8092"/>
        </w:tabs>
        <w:adjustRightInd w:val="0"/>
        <w:snapToGrid w:val="0"/>
        <w:jc w:val="left"/>
        <w:rPr>
          <w:rFonts w:ascii="微软雅黑" w:hAnsi="微软雅黑" w:eastAsia="微软雅黑" w:cs="微软雅黑"/>
          <w:b/>
          <w:bCs/>
          <w:color w:val="auto"/>
          <w:sz w:val="24"/>
          <w:highlight w:val="none"/>
        </w:rPr>
      </w:pPr>
    </w:p>
    <w:p>
      <w:pPr>
        <w:tabs>
          <w:tab w:val="left" w:pos="8092"/>
        </w:tabs>
        <w:adjustRightInd w:val="0"/>
        <w:snapToGrid w:val="0"/>
        <w:jc w:val="left"/>
        <w:rPr>
          <w:rFonts w:ascii="微软雅黑" w:hAnsi="微软雅黑" w:eastAsia="微软雅黑" w:cs="微软雅黑"/>
          <w:b/>
          <w:bCs/>
          <w:color w:val="auto"/>
          <w:sz w:val="24"/>
          <w:highlight w:val="none"/>
        </w:rPr>
      </w:pPr>
    </w:p>
    <w:p>
      <w:pPr>
        <w:adjustRightInd w:val="0"/>
        <w:snapToGrid w:val="0"/>
        <w:spacing w:line="180" w:lineRule="auto"/>
        <w:jc w:val="center"/>
        <w:outlineLvl w:val="1"/>
        <w:rPr>
          <w:rFonts w:ascii="微软雅黑" w:hAnsi="微软雅黑" w:eastAsia="微软雅黑" w:cs="微软雅黑"/>
          <w:b/>
          <w:bCs/>
          <w:color w:val="auto"/>
          <w:sz w:val="72"/>
          <w:szCs w:val="72"/>
          <w:highlight w:val="none"/>
        </w:rPr>
      </w:pPr>
      <w:bookmarkStart w:id="316" w:name="_Toc14826"/>
      <w:bookmarkStart w:id="317" w:name="_Toc25040"/>
      <w:bookmarkStart w:id="318" w:name="_Toc18360"/>
      <w:r>
        <w:rPr>
          <w:rFonts w:hint="eastAsia" w:ascii="微软雅黑" w:hAnsi="微软雅黑" w:eastAsia="微软雅黑" w:cs="微软雅黑"/>
          <w:b/>
          <w:bCs/>
          <w:color w:val="auto"/>
          <w:sz w:val="72"/>
          <w:szCs w:val="72"/>
          <w:highlight w:val="none"/>
        </w:rPr>
        <w:t>健</w:t>
      </w:r>
      <w:bookmarkEnd w:id="316"/>
      <w:bookmarkEnd w:id="317"/>
      <w:bookmarkEnd w:id="318"/>
    </w:p>
    <w:p>
      <w:pPr>
        <w:adjustRightInd w:val="0"/>
        <w:snapToGrid w:val="0"/>
        <w:spacing w:line="180" w:lineRule="auto"/>
        <w:jc w:val="center"/>
        <w:rPr>
          <w:rFonts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康</w:t>
      </w:r>
    </w:p>
    <w:p>
      <w:pPr>
        <w:adjustRightInd w:val="0"/>
        <w:snapToGrid w:val="0"/>
        <w:spacing w:line="180" w:lineRule="auto"/>
        <w:jc w:val="center"/>
        <w:rPr>
          <w:rFonts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体</w:t>
      </w:r>
    </w:p>
    <w:p>
      <w:pPr>
        <w:adjustRightInd w:val="0"/>
        <w:snapToGrid w:val="0"/>
        <w:spacing w:line="180" w:lineRule="auto"/>
        <w:jc w:val="center"/>
        <w:rPr>
          <w:rFonts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检</w:t>
      </w:r>
    </w:p>
    <w:p>
      <w:pPr>
        <w:adjustRightInd w:val="0"/>
        <w:snapToGrid w:val="0"/>
        <w:spacing w:line="180" w:lineRule="auto"/>
        <w:jc w:val="center"/>
        <w:rPr>
          <w:rFonts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服</w:t>
      </w:r>
    </w:p>
    <w:p>
      <w:pPr>
        <w:adjustRightInd w:val="0"/>
        <w:snapToGrid w:val="0"/>
        <w:spacing w:line="180" w:lineRule="auto"/>
        <w:jc w:val="center"/>
        <w:rPr>
          <w:rFonts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务</w:t>
      </w:r>
    </w:p>
    <w:p>
      <w:pPr>
        <w:adjustRightInd w:val="0"/>
        <w:snapToGrid w:val="0"/>
        <w:spacing w:line="180" w:lineRule="auto"/>
        <w:jc w:val="center"/>
        <w:rPr>
          <w:rFonts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合</w:t>
      </w:r>
    </w:p>
    <w:p>
      <w:pPr>
        <w:adjustRightInd w:val="0"/>
        <w:snapToGrid w:val="0"/>
        <w:spacing w:line="180" w:lineRule="auto"/>
        <w:jc w:val="center"/>
        <w:rPr>
          <w:rFonts w:ascii="微软雅黑" w:hAnsi="微软雅黑" w:eastAsia="微软雅黑" w:cs="微软雅黑"/>
          <w:b/>
          <w:bCs/>
          <w:color w:val="auto"/>
          <w:sz w:val="72"/>
          <w:szCs w:val="72"/>
          <w:highlight w:val="none"/>
        </w:rPr>
        <w:sectPr>
          <w:footerReference r:id="rId6" w:type="default"/>
          <w:pgSz w:w="11906" w:h="16838"/>
          <w:pgMar w:top="1134" w:right="1134" w:bottom="1134" w:left="1134" w:header="851" w:footer="992" w:gutter="0"/>
          <w:pgNumType w:fmt="decimal" w:start="1"/>
          <w:cols w:space="425" w:num="1"/>
          <w:docGrid w:type="lines" w:linePitch="312" w:charSpace="0"/>
        </w:sectPr>
      </w:pPr>
      <w:r>
        <w:rPr>
          <w:rFonts w:hint="eastAsia" w:ascii="微软雅黑" w:hAnsi="微软雅黑" w:eastAsia="微软雅黑" w:cs="微软雅黑"/>
          <w:b/>
          <w:bCs/>
          <w:color w:val="auto"/>
          <w:sz w:val="72"/>
          <w:szCs w:val="72"/>
          <w:highlight w:val="none"/>
        </w:rPr>
        <w:t>同</w:t>
      </w:r>
    </w:p>
    <w:p>
      <w:pPr>
        <w:adjustRightInd w:val="0"/>
        <w:snapToGrid w:val="0"/>
        <w:outlineLvl w:val="0"/>
        <w:rPr>
          <w:rFonts w:hint="eastAsia" w:ascii="宋体" w:hAnsi="宋体" w:eastAsia="宋体" w:cs="宋体"/>
          <w:b/>
          <w:bCs/>
          <w:color w:val="auto"/>
          <w:sz w:val="24"/>
          <w:highlight w:val="none"/>
        </w:rPr>
      </w:pPr>
      <w:bookmarkStart w:id="319" w:name="_Toc21083"/>
      <w:bookmarkStart w:id="320" w:name="_Toc8314"/>
      <w:bookmarkStart w:id="321" w:name="_Toc15905"/>
      <w:bookmarkStart w:id="322" w:name="_Toc4793"/>
      <w:bookmarkStart w:id="323" w:name="_Toc26018"/>
      <w:bookmarkStart w:id="324" w:name="_Toc20364"/>
      <w:bookmarkStart w:id="325" w:name="_Toc30900"/>
      <w:r>
        <w:rPr>
          <w:rFonts w:hint="eastAsia" w:ascii="宋体" w:hAnsi="宋体" w:eastAsia="宋体" w:cs="宋体"/>
          <w:b/>
          <w:bCs/>
          <w:color w:val="auto"/>
          <w:sz w:val="24"/>
          <w:highlight w:val="none"/>
        </w:rPr>
        <w:t>甲方：</w:t>
      </w:r>
      <w:r>
        <w:rPr>
          <w:rFonts w:hint="eastAsia" w:ascii="宋体" w:hAnsi="宋体" w:eastAsia="宋体" w:cs="宋体"/>
          <w:b/>
          <w:bCs/>
          <w:color w:val="auto"/>
          <w:sz w:val="24"/>
          <w:highlight w:val="none"/>
          <w:lang w:val="en-US" w:eastAsia="zh-CN"/>
        </w:rPr>
        <w:t>岳阳城陵矶新港有限</w:t>
      </w:r>
      <w:r>
        <w:rPr>
          <w:rFonts w:hint="eastAsia" w:ascii="宋体" w:hAnsi="宋体" w:eastAsia="宋体" w:cs="宋体"/>
          <w:b/>
          <w:bCs/>
          <w:color w:val="auto"/>
          <w:sz w:val="24"/>
          <w:highlight w:val="none"/>
        </w:rPr>
        <w:t>公司</w:t>
      </w:r>
      <w:bookmarkEnd w:id="319"/>
      <w:bookmarkEnd w:id="320"/>
      <w:bookmarkEnd w:id="321"/>
      <w:bookmarkEnd w:id="322"/>
      <w:bookmarkEnd w:id="323"/>
      <w:bookmarkEnd w:id="324"/>
      <w:bookmarkEnd w:id="325"/>
    </w:p>
    <w:p>
      <w:pPr>
        <w:adjustRightInd w:val="0"/>
        <w:snapToGrid w:val="0"/>
        <w:outlineLvl w:val="0"/>
        <w:rPr>
          <w:rFonts w:hint="eastAsia" w:ascii="宋体" w:hAnsi="宋体" w:eastAsia="宋体" w:cs="宋体"/>
          <w:b/>
          <w:bCs/>
          <w:color w:val="auto"/>
          <w:sz w:val="24"/>
          <w:highlight w:val="none"/>
        </w:rPr>
      </w:pPr>
      <w:bookmarkStart w:id="326" w:name="_Toc12544"/>
      <w:bookmarkStart w:id="327" w:name="_Toc7981"/>
      <w:bookmarkStart w:id="328" w:name="_Toc29450"/>
      <w:bookmarkStart w:id="329" w:name="_Toc4552"/>
      <w:bookmarkStart w:id="330" w:name="_Toc19530"/>
      <w:bookmarkStart w:id="331" w:name="_Toc21290"/>
      <w:bookmarkStart w:id="332" w:name="_Toc3946"/>
      <w:r>
        <w:rPr>
          <w:rFonts w:hint="eastAsia" w:ascii="宋体" w:hAnsi="宋体" w:eastAsia="宋体" w:cs="宋体"/>
          <w:b/>
          <w:bCs/>
          <w:color w:val="auto"/>
          <w:sz w:val="24"/>
          <w:highlight w:val="none"/>
        </w:rPr>
        <w:t>乙方：</w:t>
      </w:r>
      <w:bookmarkEnd w:id="326"/>
      <w:bookmarkEnd w:id="327"/>
      <w:bookmarkEnd w:id="328"/>
      <w:bookmarkEnd w:id="329"/>
      <w:bookmarkEnd w:id="330"/>
      <w:bookmarkEnd w:id="331"/>
      <w:bookmarkEnd w:id="332"/>
    </w:p>
    <w:p>
      <w:pPr>
        <w:adjustRightInd w:val="0"/>
        <w:snapToGrid w:val="0"/>
        <w:rPr>
          <w:rFonts w:hint="eastAsia" w:ascii="宋体" w:hAnsi="宋体" w:eastAsia="宋体" w:cs="宋体"/>
          <w:color w:val="auto"/>
          <w:sz w:val="24"/>
          <w:highlight w:val="none"/>
        </w:rPr>
      </w:pPr>
    </w:p>
    <w:p>
      <w:pPr>
        <w:adjustRightInd w:val="0"/>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甲乙双方根据</w:t>
      </w:r>
      <w:r>
        <w:rPr>
          <w:rFonts w:hint="eastAsia" w:ascii="宋体" w:hAnsi="宋体" w:eastAsia="宋体" w:cs="宋体"/>
          <w:color w:val="auto"/>
          <w:sz w:val="24"/>
          <w:highlight w:val="none"/>
          <w:lang w:val="en-US" w:eastAsia="zh-CN"/>
        </w:rPr>
        <w:t>民法典</w:t>
      </w:r>
      <w:r>
        <w:rPr>
          <w:rFonts w:hint="eastAsia" w:ascii="宋体" w:hAnsi="宋体" w:eastAsia="宋体" w:cs="宋体"/>
          <w:color w:val="auto"/>
          <w:sz w:val="24"/>
          <w:highlight w:val="none"/>
        </w:rPr>
        <w:t>等法律规定，经友好协商，现就甲方委托乙方对其所属体检者进行健康检查达成一致，协议如下：</w:t>
      </w:r>
    </w:p>
    <w:p>
      <w:pPr>
        <w:adjustRightInd w:val="0"/>
        <w:snapToGrid w:val="0"/>
        <w:outlineLvl w:val="1"/>
        <w:rPr>
          <w:rFonts w:hint="eastAsia" w:ascii="宋体" w:hAnsi="宋体" w:eastAsia="宋体" w:cs="宋体"/>
          <w:b/>
          <w:bCs/>
          <w:color w:val="auto"/>
          <w:sz w:val="24"/>
          <w:highlight w:val="none"/>
        </w:rPr>
      </w:pPr>
      <w:bookmarkStart w:id="333" w:name="_Toc6609"/>
      <w:bookmarkStart w:id="334" w:name="_Toc26881"/>
      <w:bookmarkStart w:id="335" w:name="_Toc14490"/>
      <w:bookmarkStart w:id="336" w:name="_Toc11912"/>
      <w:bookmarkStart w:id="337" w:name="_Toc6399"/>
      <w:bookmarkStart w:id="338" w:name="_Toc21508"/>
      <w:r>
        <w:rPr>
          <w:rFonts w:hint="eastAsia" w:ascii="宋体" w:hAnsi="宋体" w:eastAsia="宋体" w:cs="宋体"/>
          <w:b/>
          <w:bCs/>
          <w:color w:val="auto"/>
          <w:sz w:val="24"/>
          <w:highlight w:val="none"/>
        </w:rPr>
        <w:t>一、乙方服务项目</w:t>
      </w:r>
      <w:bookmarkEnd w:id="333"/>
      <w:bookmarkEnd w:id="334"/>
      <w:bookmarkEnd w:id="335"/>
      <w:bookmarkEnd w:id="336"/>
      <w:bookmarkEnd w:id="337"/>
      <w:bookmarkEnd w:id="338"/>
    </w:p>
    <w:p>
      <w:pPr>
        <w:adjustRightInd w:val="0"/>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1、组织有执业资质的医务人员为甲方体检者进行健康检查(体检)</w:t>
      </w:r>
      <w:r>
        <w:rPr>
          <w:rFonts w:hint="eastAsia" w:ascii="宋体" w:hAnsi="宋体" w:eastAsia="宋体" w:cs="宋体"/>
          <w:color w:val="auto"/>
          <w:sz w:val="24"/>
          <w:highlight w:val="none"/>
          <w:lang w:eastAsia="zh-CN"/>
        </w:rPr>
        <w:t>。</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2、将针对甲方体检者的体检结果，安排医务人员对体检结果进行解读。</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为保障体检者个人隐私，乙方采取有效措施（计算机程序设置密码）对甲方受检者个人信息严格保密，员工健康档案设专人负责保管，特殊情况甲方有关部门借阅受检者档案时，需甲方负责人批准；甲方应对受检者体检信息予以保密。</w:t>
      </w:r>
    </w:p>
    <w:p>
      <w:pPr>
        <w:adjustRightInd w:val="0"/>
        <w:snapToGrid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为每位体检者提供体检当天早餐一份</w:t>
      </w:r>
      <w:r>
        <w:rPr>
          <w:rFonts w:hint="eastAsia" w:ascii="宋体" w:hAnsi="宋体" w:eastAsia="宋体" w:cs="宋体"/>
          <w:color w:val="auto"/>
          <w:sz w:val="24"/>
          <w:highlight w:val="none"/>
        </w:rPr>
        <w:t>。</w:t>
      </w:r>
    </w:p>
    <w:p>
      <w:pPr>
        <w:adjustRightInd w:val="0"/>
        <w:snapToGrid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体检结束后，乙方向甲方提供受检者个人及团体健康体检报告各壹份(密封)。甲方不得擅自拆阅体检者的个体报告并获悉体检者的个人体检信息。团检报告由甲方专人负责保管并予以保密，若造成隐私泄露由此引起的任何责任由甲方自行承担。</w:t>
      </w:r>
    </w:p>
    <w:p>
      <w:pPr>
        <w:adjustRightInd w:val="0"/>
        <w:snapToGrid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、领取报告方式（请勾选）：</w:t>
      </w:r>
    </w:p>
    <w:p>
      <w:pPr>
        <w:adjustRightInd w:val="0"/>
        <w:snapToGrid w:val="0"/>
        <w:outlineLvl w:val="1"/>
        <w:rPr>
          <w:rFonts w:hint="eastAsia" w:ascii="宋体" w:hAnsi="宋体" w:eastAsia="宋体" w:cs="宋体"/>
          <w:color w:val="auto"/>
          <w:sz w:val="24"/>
          <w:highlight w:val="none"/>
        </w:rPr>
      </w:pPr>
      <w:bookmarkStart w:id="339" w:name="_Toc6101"/>
      <w:bookmarkStart w:id="340" w:name="_Toc9388"/>
      <w:bookmarkStart w:id="341" w:name="_Toc3706"/>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①个人自取(建议该方式领取，以便您体检后进行检后个性化咨询）。</w:t>
      </w:r>
      <w:bookmarkEnd w:id="339"/>
      <w:bookmarkEnd w:id="340"/>
      <w:bookmarkEnd w:id="341"/>
    </w:p>
    <w:p>
      <w:pPr>
        <w:adjustRightInd w:val="0"/>
        <w:snapToGrid w:val="0"/>
        <w:outlineLvl w:val="1"/>
        <w:rPr>
          <w:rFonts w:hint="eastAsia" w:ascii="宋体" w:hAnsi="宋体" w:eastAsia="宋体" w:cs="宋体"/>
          <w:color w:val="auto"/>
          <w:sz w:val="24"/>
          <w:highlight w:val="none"/>
        </w:rPr>
      </w:pPr>
      <w:bookmarkStart w:id="342" w:name="_Toc13873"/>
      <w:bookmarkStart w:id="343" w:name="_Toc22396"/>
      <w:bookmarkStart w:id="344" w:name="_Toc8993"/>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②委托代理人统一领取。</w:t>
      </w:r>
      <w:bookmarkEnd w:id="342"/>
      <w:bookmarkEnd w:id="343"/>
      <w:bookmarkEnd w:id="344"/>
    </w:p>
    <w:p>
      <w:pPr>
        <w:adjustRightInd w:val="0"/>
        <w:snapToGrid w:val="0"/>
        <w:outlineLvl w:val="1"/>
        <w:rPr>
          <w:rFonts w:hint="eastAsia" w:ascii="宋体" w:hAnsi="宋体" w:eastAsia="宋体" w:cs="宋体"/>
          <w:b/>
          <w:bCs/>
          <w:color w:val="auto"/>
          <w:sz w:val="24"/>
          <w:highlight w:val="none"/>
        </w:rPr>
      </w:pPr>
      <w:bookmarkStart w:id="345" w:name="_Toc31705"/>
      <w:bookmarkStart w:id="346" w:name="_Toc20310"/>
      <w:bookmarkStart w:id="347" w:name="_Toc17347"/>
      <w:bookmarkStart w:id="348" w:name="_Toc25893"/>
      <w:bookmarkStart w:id="349" w:name="_Toc7429"/>
      <w:r>
        <w:rPr>
          <w:rFonts w:hint="eastAsia" w:ascii="宋体" w:hAnsi="宋体" w:eastAsia="宋体" w:cs="宋体"/>
          <w:b/>
          <w:bCs/>
          <w:color w:val="auto"/>
          <w:sz w:val="24"/>
          <w:highlight w:val="none"/>
        </w:rPr>
        <w:t>二、体检时间</w:t>
      </w:r>
      <w:bookmarkEnd w:id="345"/>
      <w:bookmarkEnd w:id="346"/>
      <w:bookmarkEnd w:id="347"/>
      <w:bookmarkEnd w:id="348"/>
      <w:bookmarkEnd w:id="349"/>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1、体检服务期限</w:t>
      </w:r>
      <w:r>
        <w:rPr>
          <w:rFonts w:hint="eastAsia" w:ascii="宋体" w:hAnsi="宋体" w:cs="宋体"/>
          <w:color w:val="auto"/>
          <w:sz w:val="24"/>
          <w:highlight w:val="none"/>
          <w:u w:val="none"/>
          <w:lang w:val="en-US" w:eastAsia="zh-CN"/>
        </w:rPr>
        <w:t>为</w:t>
      </w:r>
      <w:r>
        <w:rPr>
          <w:rFonts w:hint="eastAsia" w:ascii="宋体" w:hAnsi="宋体"/>
          <w:color w:val="auto"/>
          <w:sz w:val="24"/>
          <w:highlight w:val="none"/>
          <w:lang w:val="en-US" w:eastAsia="zh-CN"/>
        </w:rPr>
        <w:t>90个日历天</w:t>
      </w:r>
      <w:r>
        <w:rPr>
          <w:rFonts w:hint="eastAsia" w:ascii="宋体" w:hAnsi="宋体" w:eastAsia="宋体" w:cs="宋体"/>
          <w:color w:val="auto"/>
          <w:sz w:val="24"/>
          <w:highlight w:val="none"/>
        </w:rPr>
        <w:t>，自</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止</w:t>
      </w:r>
      <w:r>
        <w:rPr>
          <w:rFonts w:hint="eastAsia" w:ascii="宋体" w:hAnsi="宋体" w:eastAsia="宋体" w:cs="宋体"/>
          <w:color w:val="auto"/>
          <w:sz w:val="24"/>
          <w:highlight w:val="none"/>
        </w:rPr>
        <w:t>。</w:t>
      </w:r>
    </w:p>
    <w:p>
      <w:pPr>
        <w:adjustRightInd w:val="0"/>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2、甲方有集中体检需求的预计集中体检时间为：</w:t>
      </w:r>
      <w:r>
        <w:rPr>
          <w:rFonts w:hint="eastAsia" w:ascii="宋体" w:hAnsi="宋体" w:eastAsia="宋体" w:cs="宋体"/>
          <w:color w:val="auto"/>
          <w:sz w:val="24"/>
          <w:highlight w:val="none"/>
          <w:u w:val="single"/>
          <w:lang w:val="en-US" w:eastAsia="zh-CN"/>
        </w:rPr>
        <w:t>提前一个星期</w:t>
      </w:r>
      <w:r>
        <w:rPr>
          <w:rFonts w:hint="eastAsia" w:ascii="宋体" w:hAnsi="宋体" w:eastAsia="宋体" w:cs="宋体"/>
          <w:color w:val="auto"/>
          <w:sz w:val="24"/>
          <w:highlight w:val="none"/>
          <w:u w:val="single"/>
        </w:rPr>
        <w:t>通知</w:t>
      </w:r>
      <w:r>
        <w:rPr>
          <w:rFonts w:hint="eastAsia" w:ascii="宋体" w:hAnsi="宋体" w:eastAsia="宋体" w:cs="宋体"/>
          <w:color w:val="auto"/>
          <w:sz w:val="24"/>
          <w:highlight w:val="none"/>
        </w:rPr>
        <w:t>，为保障体检服务质量，甲、乙双方可根据实际情况分批安排甲方体检者进行体检（即“体检排期”），最终以甲乙双方约定的排期为准。</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为保障体检过程顺利，甲方体检者需按照“体检排期”时间到检，如需变更，须不晚于“体检排期”日的前7个工作日由甲方委托人通知乙方，沟通延迟体检事宜，延迟体检日期应在本合同预定的体检服务期限之内。</w:t>
      </w:r>
    </w:p>
    <w:p>
      <w:pPr>
        <w:adjustRightInd w:val="0"/>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4、乙方应于体检完成后 10 日内提供参检者个人体检报告，并于甲方全部人员体检完成后15日内提供团检报告。</w:t>
      </w:r>
    </w:p>
    <w:p>
      <w:pPr>
        <w:adjustRightInd w:val="0"/>
        <w:snapToGrid w:val="0"/>
        <w:outlineLvl w:val="1"/>
        <w:rPr>
          <w:rFonts w:hint="eastAsia" w:ascii="宋体" w:hAnsi="宋体" w:eastAsia="宋体" w:cs="宋体"/>
          <w:color w:val="auto"/>
          <w:sz w:val="24"/>
          <w:highlight w:val="none"/>
        </w:rPr>
      </w:pPr>
      <w:bookmarkStart w:id="350" w:name="_Toc11745"/>
      <w:bookmarkStart w:id="351" w:name="_Toc21523"/>
      <w:bookmarkStart w:id="352" w:name="_Toc19578"/>
      <w:bookmarkStart w:id="353" w:name="_Toc29577"/>
      <w:bookmarkStart w:id="354" w:name="_Toc7013"/>
      <w:bookmarkStart w:id="355" w:name="_Toc24123"/>
      <w:r>
        <w:rPr>
          <w:rFonts w:hint="eastAsia" w:ascii="宋体" w:hAnsi="宋体" w:eastAsia="宋体" w:cs="宋体"/>
          <w:b/>
          <w:bCs/>
          <w:color w:val="auto"/>
          <w:sz w:val="24"/>
          <w:highlight w:val="none"/>
        </w:rPr>
        <w:t>三、付款及结算方式</w:t>
      </w:r>
      <w:bookmarkEnd w:id="350"/>
      <w:bookmarkEnd w:id="351"/>
      <w:bookmarkEnd w:id="352"/>
      <w:bookmarkEnd w:id="353"/>
      <w:bookmarkEnd w:id="354"/>
      <w:bookmarkEnd w:id="355"/>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参检员工</w:t>
      </w:r>
      <w:r>
        <w:rPr>
          <w:rFonts w:hint="eastAsia" w:ascii="宋体" w:hAnsi="宋体" w:cs="宋体"/>
          <w:color w:val="auto"/>
          <w:sz w:val="24"/>
          <w:highlight w:val="none"/>
          <w:u w:val="single"/>
          <w:lang w:val="en-US" w:eastAsia="zh-CN"/>
        </w:rPr>
        <w:t>158</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其中男员工120人，女员工38人）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体检费用标准为</w:t>
      </w:r>
      <w:r>
        <w:rPr>
          <w:rFonts w:hint="eastAsia" w:ascii="宋体" w:hAnsi="宋体" w:eastAsia="宋体" w:cs="宋体"/>
          <w:color w:val="auto"/>
          <w:sz w:val="24"/>
          <w:highlight w:val="none"/>
          <w:u w:val="none"/>
        </w:rPr>
        <w:t>男</w:t>
      </w:r>
      <w:r>
        <w:rPr>
          <w:rFonts w:hint="eastAsia" w:ascii="宋体" w:hAnsi="宋体" w:cs="宋体"/>
          <w:color w:val="auto"/>
          <w:sz w:val="24"/>
          <w:highlight w:val="none"/>
          <w:u w:val="none"/>
          <w:lang w:val="en-US" w:eastAsia="zh-CN"/>
        </w:rPr>
        <w:t>员工</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1800</w:t>
      </w:r>
      <w:r>
        <w:rPr>
          <w:rFonts w:hint="eastAsia" w:ascii="宋体" w:hAnsi="宋体" w:eastAsia="宋体" w:cs="宋体"/>
          <w:color w:val="auto"/>
          <w:sz w:val="24"/>
          <w:highlight w:val="none"/>
          <w:u w:val="none"/>
        </w:rPr>
        <w:t>元/人、女</w:t>
      </w:r>
      <w:r>
        <w:rPr>
          <w:rFonts w:hint="eastAsia" w:ascii="宋体" w:hAnsi="宋体" w:cs="宋体"/>
          <w:color w:val="auto"/>
          <w:sz w:val="24"/>
          <w:highlight w:val="none"/>
          <w:u w:val="none"/>
          <w:lang w:val="en-US" w:eastAsia="zh-CN"/>
        </w:rPr>
        <w:t>员工</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2000</w:t>
      </w:r>
      <w:r>
        <w:rPr>
          <w:rFonts w:hint="eastAsia" w:ascii="宋体" w:hAnsi="宋体" w:eastAsia="宋体" w:cs="宋体"/>
          <w:color w:val="auto"/>
          <w:sz w:val="24"/>
          <w:highlight w:val="none"/>
          <w:u w:val="none"/>
        </w:rPr>
        <w:t>元/人</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共计292000元。待职工个人体检报告和团检报告出具后，乙方按照实际体检人数及体检费用标准开具发票，甲方在15个工作日内一次性全额支付。</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2、甲方体检者如超过双方合同约定健康体检项目明细的，则新增金额按以下方式支付至乙方指定账户（请勾选）：</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①体检者现场自行支付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②甲方统一结算。</w:t>
      </w:r>
    </w:p>
    <w:p>
      <w:pPr>
        <w:adjustRightInd w:val="0"/>
        <w:snapToGrid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、结算方式：</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甲方应以银行转账形式支付结算款至乙方账户。</w:t>
      </w:r>
    </w:p>
    <w:p>
      <w:pPr>
        <w:adjustRightInd w:val="0"/>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乙方账户信息如下：</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收款户名：</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开 户 行：</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银行账号：</w:t>
      </w:r>
    </w:p>
    <w:p>
      <w:pPr>
        <w:numPr>
          <w:ilvl w:val="0"/>
          <w:numId w:val="0"/>
        </w:numPr>
        <w:adjustRightInd w:val="0"/>
        <w:snapToGrid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甲方支付款项前，乙方应提供</w:t>
      </w:r>
      <w:r>
        <w:rPr>
          <w:rFonts w:hint="eastAsia" w:ascii="宋体" w:hAnsi="宋体"/>
          <w:b w:val="0"/>
          <w:bCs w:val="0"/>
          <w:color w:val="auto"/>
          <w:sz w:val="24"/>
          <w:highlight w:val="none"/>
          <w:u w:val="none"/>
          <w:lang w:val="en-US" w:eastAsia="zh-CN"/>
        </w:rPr>
        <w:t>医疗门诊收费票据</w:t>
      </w:r>
      <w:r>
        <w:rPr>
          <w:rFonts w:hint="eastAsia" w:ascii="宋体" w:hAnsi="宋体" w:eastAsia="宋体" w:cs="宋体"/>
          <w:color w:val="auto"/>
          <w:sz w:val="24"/>
          <w:highlight w:val="none"/>
          <w:lang w:val="en-US" w:eastAsia="zh-CN"/>
        </w:rPr>
        <w:t>，否则甲方有权拒绝付款而不构成违约。</w:t>
      </w:r>
    </w:p>
    <w:p>
      <w:pPr>
        <w:adjustRightInd w:val="0"/>
        <w:snapToGrid w:val="0"/>
        <w:outlineLvl w:val="1"/>
        <w:rPr>
          <w:rFonts w:hint="eastAsia" w:ascii="宋体" w:hAnsi="宋体" w:eastAsia="宋体" w:cs="宋体"/>
          <w:b/>
          <w:bCs/>
          <w:color w:val="auto"/>
          <w:sz w:val="24"/>
          <w:highlight w:val="none"/>
        </w:rPr>
      </w:pPr>
      <w:bookmarkStart w:id="356" w:name="_Toc20863"/>
      <w:bookmarkStart w:id="357" w:name="_Toc7153"/>
      <w:bookmarkStart w:id="358" w:name="_Toc9928"/>
      <w:bookmarkStart w:id="359" w:name="_Toc19598"/>
      <w:bookmarkStart w:id="360" w:name="_Toc16639"/>
      <w:bookmarkStart w:id="361" w:name="_Toc26732"/>
      <w:r>
        <w:rPr>
          <w:rFonts w:hint="eastAsia" w:ascii="宋体" w:hAnsi="宋体" w:eastAsia="宋体" w:cs="宋体"/>
          <w:b/>
          <w:bCs/>
          <w:color w:val="auto"/>
          <w:sz w:val="24"/>
          <w:highlight w:val="none"/>
        </w:rPr>
        <w:t>四、违约责任</w:t>
      </w:r>
      <w:bookmarkEnd w:id="356"/>
      <w:bookmarkEnd w:id="357"/>
      <w:bookmarkEnd w:id="358"/>
      <w:bookmarkEnd w:id="359"/>
      <w:bookmarkEnd w:id="360"/>
      <w:bookmarkEnd w:id="361"/>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1、甲、乙双方均应严格遵守本合同的约定，如有违约，违约方向守约方按合同费用的10%支付违约金，并向守约方赔偿由此造成的实际以及可预见的相关经济损失；</w:t>
      </w:r>
      <w:r>
        <w:rPr>
          <w:rFonts w:hint="eastAsia" w:ascii="宋体" w:hAnsi="宋体" w:cs="宋体"/>
          <w:color w:val="auto"/>
          <w:sz w:val="24"/>
          <w:highlight w:val="none"/>
          <w:lang w:val="en-US" w:eastAsia="zh-CN"/>
        </w:rPr>
        <w:t>本合同另有约定的除外；</w:t>
      </w:r>
      <w:r>
        <w:rPr>
          <w:rFonts w:hint="eastAsia" w:ascii="宋体" w:hAnsi="宋体" w:eastAsia="宋体" w:cs="宋体"/>
          <w:color w:val="auto"/>
          <w:sz w:val="24"/>
          <w:highlight w:val="none"/>
        </w:rPr>
        <w:t>违约事项不影响本合同其他条款的继续履行；守约方除获得违约方赔偿外，亦有权提前终止本合同。</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2、如甲方未按时履行付款义务，则</w:t>
      </w:r>
      <w:r>
        <w:rPr>
          <w:rFonts w:hint="eastAsia" w:ascii="宋体" w:hAnsi="宋体" w:cs="宋体"/>
          <w:color w:val="auto"/>
          <w:sz w:val="24"/>
          <w:highlight w:val="none"/>
          <w:lang w:val="en-US" w:eastAsia="zh-CN"/>
        </w:rPr>
        <w:t>每</w:t>
      </w:r>
      <w:r>
        <w:rPr>
          <w:rFonts w:hint="eastAsia" w:ascii="宋体" w:hAnsi="宋体" w:eastAsia="宋体" w:cs="宋体"/>
          <w:color w:val="auto"/>
          <w:sz w:val="24"/>
          <w:highlight w:val="none"/>
        </w:rPr>
        <w:t>延迟一日，应向乙方支付应付金额的</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作为滞纳金，超过30日仍未付款的，乙方有权解除本协议，甲方除支付滞纳金外，还应对由此给乙方造成的损失承担赔偿责任。</w:t>
      </w:r>
    </w:p>
    <w:p>
      <w:pPr>
        <w:adjustRightInd w:val="0"/>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3、如乙方未按时提供全部体检报告，则每延迟一日，应向甲方支付合同总金额的</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作为滞纳金，超过30日仍未</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lang w:val="zh-CN"/>
        </w:rPr>
        <w:t>的，甲方有权解除本协议，乙方除支付滞纳金外，还应对由此给甲方造成的损失承担赔偿责任。</w:t>
      </w:r>
    </w:p>
    <w:p>
      <w:pPr>
        <w:adjustRightInd w:val="0"/>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4、若在规定体检项目内，因工作缺陷造成体检质量问题的（如漏诊、误诊等），乙方应予以相应解释并予以补救，因此给甲方或甲方体检人员造成人身或财产损失的，还应当负责赔偿。</w:t>
      </w:r>
    </w:p>
    <w:p>
      <w:pPr>
        <w:adjustRightInd w:val="0"/>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5、违约方还应承担守约方为维权所支出的合理费用，包含但不限于诉讼费、鉴定费、公告费、保全费、保全保险费、律师费等合理费用。</w:t>
      </w:r>
    </w:p>
    <w:p>
      <w:pPr>
        <w:adjustRightInd w:val="0"/>
        <w:snapToGrid w:val="0"/>
        <w:outlineLvl w:val="1"/>
        <w:rPr>
          <w:rFonts w:hint="eastAsia" w:ascii="宋体" w:hAnsi="宋体" w:eastAsia="宋体" w:cs="宋体"/>
          <w:b/>
          <w:bCs/>
          <w:color w:val="auto"/>
          <w:sz w:val="24"/>
          <w:highlight w:val="none"/>
        </w:rPr>
      </w:pPr>
      <w:bookmarkStart w:id="362" w:name="_Toc30192"/>
      <w:bookmarkStart w:id="363" w:name="_Toc20238"/>
      <w:bookmarkStart w:id="364" w:name="_Toc27636"/>
      <w:bookmarkStart w:id="365" w:name="_Toc17139"/>
      <w:bookmarkStart w:id="366" w:name="_Toc25359"/>
      <w:bookmarkStart w:id="367" w:name="_Toc13414"/>
      <w:r>
        <w:rPr>
          <w:rFonts w:hint="eastAsia" w:ascii="宋体" w:hAnsi="宋体" w:eastAsia="宋体" w:cs="宋体"/>
          <w:b/>
          <w:bCs/>
          <w:color w:val="auto"/>
          <w:sz w:val="24"/>
          <w:highlight w:val="none"/>
        </w:rPr>
        <w:t>五、其他约定</w:t>
      </w:r>
      <w:bookmarkEnd w:id="362"/>
      <w:bookmarkEnd w:id="363"/>
      <w:bookmarkEnd w:id="364"/>
      <w:bookmarkEnd w:id="365"/>
      <w:bookmarkEnd w:id="366"/>
      <w:bookmarkEnd w:id="367"/>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1、如因甲方延迟提供体检者名</w:t>
      </w:r>
      <w:r>
        <w:rPr>
          <w:rFonts w:hint="eastAsia" w:ascii="宋体" w:hAnsi="宋体" w:eastAsia="宋体" w:cs="宋体"/>
          <w:color w:val="auto"/>
          <w:sz w:val="24"/>
          <w:highlight w:val="none"/>
          <w:lang w:val="en-US" w:eastAsia="zh-CN"/>
        </w:rPr>
        <w:t>单</w:t>
      </w:r>
      <w:r>
        <w:rPr>
          <w:rFonts w:hint="eastAsia" w:ascii="宋体" w:hAnsi="宋体" w:eastAsia="宋体" w:cs="宋体"/>
          <w:color w:val="auto"/>
          <w:sz w:val="24"/>
          <w:highlight w:val="none"/>
        </w:rPr>
        <w:t>，致使乙方未能按约定完成排检预约等手续，乙方不承担任何责任。</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highlight w:val="none"/>
        </w:rPr>
        <w:t xml:space="preserve">允许 /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highlight w:val="none"/>
        </w:rPr>
        <w:t>不允许）非员工本人体检。</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3、体检者若在体检过程中，体检者不做合同约定体检项目的视同自动放弃，按弃检处理，乙方不予退还相应费用。</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4、如甲方体检者未按约定时间体检或自身原因导致无法完成体检的（如女性经期所致的妇科等项目</w:t>
      </w:r>
      <w:r>
        <w:rPr>
          <w:rFonts w:hint="eastAsia" w:ascii="宋体" w:hAnsi="宋体" w:cs="宋体"/>
          <w:color w:val="auto"/>
          <w:sz w:val="24"/>
          <w:highlight w:val="none"/>
          <w:lang w:eastAsia="zh-CN"/>
        </w:rPr>
        <w:t>检查</w:t>
      </w:r>
      <w:r>
        <w:rPr>
          <w:rFonts w:hint="eastAsia" w:ascii="宋体" w:hAnsi="宋体" w:eastAsia="宋体" w:cs="宋体"/>
          <w:color w:val="auto"/>
          <w:sz w:val="24"/>
          <w:highlight w:val="none"/>
        </w:rPr>
        <w:t>延迟）本人未在30日内完成补检的，视同自动放弃，按弃检处理，乙方不予退还相应费用并不承担由此引发的任何责任。</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5、乙方为甲方提供的体检报告仅包括：参检者个人体检报告（每人</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份），团检报告一份（如未选择基础体检套餐，将无法出具完整体检报告，只出具单项报告；体检者自选体检套餐或员工家属体检的，其体检数据将不纳入团检报告中）</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6、乙方对此次健康体检的报告进行负责，若因体检者未遵守《健康体检须知》，导致体检报告和相关信息不准确的，乙方不承担任何责任。</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7、乙方在健康体检中发现严重健康损害（含传染病疫情）或检查结果显著异常者，应及时通知本人，并且按照相关法律法规报告疫情。</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8、本合同在履行过程中发生争议，双方应友好协商解决。若双方仍协商不成功，任何一方均可向</w:t>
      </w:r>
      <w:r>
        <w:rPr>
          <w:rFonts w:hint="eastAsia" w:ascii="宋体" w:hAnsi="宋体" w:cs="宋体"/>
          <w:color w:val="auto"/>
          <w:sz w:val="24"/>
          <w:highlight w:val="none"/>
          <w:lang w:val="en-US" w:eastAsia="zh-CN"/>
        </w:rPr>
        <w:t>甲方所在地</w:t>
      </w:r>
      <w:r>
        <w:rPr>
          <w:rFonts w:hint="eastAsia" w:ascii="宋体" w:hAnsi="宋体" w:eastAsia="宋体" w:cs="宋体"/>
          <w:color w:val="auto"/>
          <w:sz w:val="24"/>
          <w:highlight w:val="none"/>
        </w:rPr>
        <w:t>有管辖权的人民法院起诉，以解决争议。</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9、本合同的附件和补充合同均为本合同不可分割的组成部分，与本合同具有同等的法律效力。</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10、本协议的任何条款</w:t>
      </w:r>
      <w:r>
        <w:rPr>
          <w:rFonts w:hint="eastAsia" w:ascii="宋体" w:hAnsi="宋体" w:cs="宋体"/>
          <w:color w:val="auto"/>
          <w:sz w:val="24"/>
          <w:highlight w:val="none"/>
          <w:lang w:eastAsia="zh-CN"/>
        </w:rPr>
        <w:t>未经</w:t>
      </w:r>
      <w:r>
        <w:rPr>
          <w:rFonts w:hint="eastAsia" w:ascii="宋体" w:hAnsi="宋体" w:eastAsia="宋体" w:cs="宋体"/>
          <w:color w:val="auto"/>
          <w:sz w:val="24"/>
          <w:highlight w:val="none"/>
        </w:rPr>
        <w:t>双方签字同意，任何修改均属无效。</w:t>
      </w:r>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11、本协议以中文签署，自双方加盖单位公章或合同专用章之日起生效，一式</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壹</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壹 </w:t>
      </w:r>
      <w:r>
        <w:rPr>
          <w:rFonts w:hint="eastAsia" w:ascii="宋体" w:hAnsi="宋体" w:eastAsia="宋体" w:cs="宋体"/>
          <w:color w:val="auto"/>
          <w:sz w:val="24"/>
          <w:highlight w:val="none"/>
        </w:rPr>
        <w:t>份。</w:t>
      </w:r>
    </w:p>
    <w:p>
      <w:pPr>
        <w:adjustRightInd w:val="0"/>
        <w:snapToGrid w:val="0"/>
        <w:rPr>
          <w:rFonts w:hint="eastAsia" w:ascii="宋体" w:hAnsi="宋体" w:eastAsia="宋体" w:cs="宋体"/>
          <w:color w:val="auto"/>
          <w:sz w:val="24"/>
          <w:highlight w:val="none"/>
        </w:rPr>
      </w:pPr>
    </w:p>
    <w:p>
      <w:pPr>
        <w:adjustRightInd w:val="0"/>
        <w:snapToGrid w:val="0"/>
        <w:outlineLvl w:val="0"/>
        <w:rPr>
          <w:rFonts w:hint="eastAsia" w:ascii="宋体" w:hAnsi="宋体" w:eastAsia="宋体" w:cs="宋体"/>
          <w:color w:val="auto"/>
          <w:sz w:val="24"/>
          <w:highlight w:val="none"/>
        </w:rPr>
      </w:pPr>
      <w:bookmarkStart w:id="368" w:name="_Toc15978"/>
      <w:bookmarkStart w:id="369" w:name="_Toc21855"/>
      <w:bookmarkStart w:id="370" w:name="_Toc31987"/>
      <w:bookmarkStart w:id="371" w:name="_Toc13232"/>
      <w:bookmarkStart w:id="372" w:name="_Toc5052"/>
      <w:bookmarkStart w:id="373" w:name="_Toc10823"/>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：《健康体检套餐价格表》</w:t>
      </w:r>
      <w:bookmarkEnd w:id="368"/>
      <w:bookmarkEnd w:id="369"/>
      <w:bookmarkEnd w:id="370"/>
      <w:bookmarkEnd w:id="371"/>
      <w:bookmarkEnd w:id="372"/>
      <w:bookmarkEnd w:id="373"/>
    </w:p>
    <w:p>
      <w:pPr>
        <w:adjustRightInd w:val="0"/>
        <w:snapToGrid w:val="0"/>
        <w:outlineLvl w:val="0"/>
        <w:rPr>
          <w:rFonts w:hint="eastAsia" w:ascii="宋体" w:hAnsi="宋体" w:eastAsia="宋体" w:cs="宋体"/>
          <w:color w:val="auto"/>
          <w:sz w:val="24"/>
          <w:highlight w:val="none"/>
        </w:rPr>
      </w:pPr>
      <w:bookmarkStart w:id="374" w:name="_Toc15860"/>
      <w:bookmarkStart w:id="375" w:name="_Toc14351"/>
      <w:bookmarkStart w:id="376" w:name="_Toc844"/>
      <w:bookmarkStart w:id="377" w:name="_Toc12617"/>
      <w:bookmarkStart w:id="378" w:name="_Toc28402"/>
      <w:bookmarkStart w:id="379" w:name="_Toc17378"/>
      <w:bookmarkStart w:id="380" w:name="_Toc18003"/>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：《健康体检套餐明细》</w:t>
      </w:r>
      <w:bookmarkEnd w:id="374"/>
      <w:bookmarkEnd w:id="375"/>
      <w:bookmarkEnd w:id="376"/>
      <w:bookmarkEnd w:id="377"/>
      <w:bookmarkEnd w:id="378"/>
      <w:bookmarkEnd w:id="379"/>
      <w:bookmarkEnd w:id="380"/>
    </w:p>
    <w:p>
      <w:pPr>
        <w:adjustRightInd w:val="0"/>
        <w:snapToGrid w:val="0"/>
        <w:outlineLvl w:val="0"/>
        <w:rPr>
          <w:rFonts w:hint="eastAsia" w:ascii="宋体" w:hAnsi="宋体" w:eastAsia="宋体" w:cs="宋体"/>
          <w:color w:val="auto"/>
          <w:sz w:val="24"/>
          <w:highlight w:val="none"/>
        </w:rPr>
      </w:pPr>
      <w:bookmarkStart w:id="381" w:name="_Toc10622"/>
      <w:bookmarkStart w:id="382" w:name="_Toc25324"/>
      <w:bookmarkStart w:id="383" w:name="_Toc19863"/>
      <w:bookmarkStart w:id="384" w:name="_Toc7488"/>
      <w:bookmarkStart w:id="385" w:name="_Toc26648"/>
      <w:bookmarkStart w:id="386" w:name="_Toc12830"/>
      <w:bookmarkStart w:id="387" w:name="_Toc25907"/>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：《单位体检人员名单》</w:t>
      </w:r>
      <w:bookmarkEnd w:id="381"/>
      <w:bookmarkEnd w:id="382"/>
      <w:bookmarkEnd w:id="383"/>
      <w:bookmarkEnd w:id="384"/>
      <w:bookmarkEnd w:id="385"/>
      <w:bookmarkEnd w:id="386"/>
      <w:bookmarkEnd w:id="387"/>
    </w:p>
    <w:p>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（以下无正文）</w:t>
      </w:r>
    </w:p>
    <w:p>
      <w:pPr>
        <w:adjustRightInd w:val="0"/>
        <w:snapToGrid w:val="0"/>
        <w:rPr>
          <w:rFonts w:hint="eastAsia" w:ascii="宋体" w:hAnsi="宋体" w:eastAsia="宋体" w:cs="宋体"/>
          <w:b/>
          <w:bCs/>
          <w:color w:val="auto"/>
          <w:sz w:val="24"/>
          <w:szCs w:val="24"/>
          <w:highlight w:val="none"/>
        </w:rPr>
      </w:pPr>
    </w:p>
    <w:tbl>
      <w:tblPr>
        <w:tblStyle w:val="42"/>
        <w:tblpPr w:leftFromText="180" w:rightFromText="180" w:vertAnchor="text" w:horzAnchor="page" w:tblpXSpec="center" w:tblpY="109"/>
        <w:tblOverlap w:val="never"/>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0"/>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0" w:type="dxa"/>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岳阳城陵矶新港有限</w:t>
            </w:r>
            <w:r>
              <w:rPr>
                <w:rFonts w:hint="eastAsia" w:ascii="宋体" w:hAnsi="宋体" w:eastAsia="宋体" w:cs="宋体"/>
                <w:color w:val="auto"/>
                <w:sz w:val="24"/>
                <w:szCs w:val="24"/>
                <w:highlight w:val="none"/>
              </w:rPr>
              <w:t>公司</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p>
            <w:pPr>
              <w:adjustRightInd w:val="0"/>
              <w:snapToGrid w:val="0"/>
              <w:rPr>
                <w:rFonts w:hint="eastAsia" w:ascii="宋体" w:hAnsi="宋体" w:eastAsia="宋体" w:cs="宋体"/>
                <w:color w:val="auto"/>
                <w:sz w:val="24"/>
                <w:szCs w:val="24"/>
                <w:highlight w:val="none"/>
              </w:rPr>
            </w:pPr>
          </w:p>
          <w:p>
            <w:pPr>
              <w:adjustRightInd w:val="0"/>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岳阳市云溪区沿江西路50米岳阳城陵矶</w:t>
            </w:r>
          </w:p>
          <w:p>
            <w:pPr>
              <w:adjustRightInd w:val="0"/>
              <w:snapToGrid w:val="0"/>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新港有限公司</w:t>
            </w:r>
          </w:p>
          <w:p>
            <w:pPr>
              <w:adjustRightInd w:val="0"/>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税号： </w:t>
            </w:r>
            <w:r>
              <w:rPr>
                <w:rFonts w:hint="eastAsia" w:ascii="宋体" w:hAnsi="宋体" w:eastAsia="宋体" w:cs="宋体"/>
                <w:color w:val="auto"/>
                <w:sz w:val="24"/>
                <w:szCs w:val="24"/>
                <w:highlight w:val="none"/>
                <w:lang w:val="en-US" w:eastAsia="zh-CN"/>
              </w:rPr>
              <w:t>9143 0600 66166 8630D</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邮箱： </w:t>
            </w:r>
            <w:r>
              <w:rPr>
                <w:rFonts w:hint="eastAsia" w:ascii="宋体" w:hAnsi="宋体" w:eastAsia="宋体" w:cs="宋体"/>
                <w:color w:val="auto"/>
                <w:sz w:val="24"/>
                <w:szCs w:val="24"/>
                <w:highlight w:val="none"/>
                <w:lang w:val="en-US" w:eastAsia="zh-CN"/>
              </w:rPr>
              <w:t>331815398@qq.com</w:t>
            </w:r>
            <w:r>
              <w:rPr>
                <w:rFonts w:hint="eastAsia" w:ascii="宋体" w:hAnsi="宋体" w:eastAsia="宋体" w:cs="宋体"/>
                <w:color w:val="auto"/>
                <w:sz w:val="24"/>
                <w:szCs w:val="24"/>
                <w:highlight w:val="none"/>
              </w:rPr>
              <w:t xml:space="preserve">                                    </w:t>
            </w:r>
          </w:p>
          <w:p>
            <w:pPr>
              <w:adjustRightInd w:val="0"/>
              <w:snapToGrid w:val="0"/>
              <w:rPr>
                <w:rFonts w:hint="eastAsia" w:ascii="宋体" w:hAnsi="宋体" w:eastAsia="宋体" w:cs="宋体"/>
                <w:color w:val="auto"/>
                <w:sz w:val="24"/>
                <w:szCs w:val="24"/>
                <w:highlight w:val="none"/>
              </w:rPr>
            </w:pP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甲方法定代表人：</w:t>
            </w:r>
            <w:r>
              <w:rPr>
                <w:rFonts w:hint="eastAsia" w:ascii="宋体" w:hAnsi="宋体" w:eastAsia="宋体" w:cs="宋体"/>
                <w:color w:val="auto"/>
                <w:sz w:val="24"/>
                <w:szCs w:val="24"/>
                <w:highlight w:val="none"/>
              </w:rPr>
              <w:t xml:space="preserve">   </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或其委托代理人</w:t>
            </w:r>
            <w:r>
              <w:rPr>
                <w:rFonts w:hint="eastAsia" w:ascii="宋体" w:hAnsi="宋体" w:eastAsia="宋体" w:cs="宋体"/>
                <w:color w:val="auto"/>
                <w:sz w:val="24"/>
                <w:szCs w:val="24"/>
                <w:highlight w:val="none"/>
              </w:rPr>
              <w:t xml:space="preserve">：                 </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c>
          <w:tcPr>
            <w:tcW w:w="5100" w:type="dxa"/>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p>
            <w:pPr>
              <w:adjustRightInd w:val="0"/>
              <w:snapToGrid w:val="0"/>
              <w:rPr>
                <w:rFonts w:hint="eastAsia" w:ascii="宋体" w:hAnsi="宋体" w:eastAsia="宋体" w:cs="宋体"/>
                <w:color w:val="auto"/>
                <w:sz w:val="24"/>
                <w:szCs w:val="24"/>
                <w:highlight w:val="none"/>
              </w:rPr>
            </w:pPr>
          </w:p>
          <w:p>
            <w:pPr>
              <w:adjustRightInd w:val="0"/>
              <w:snapToGrid w:val="0"/>
              <w:ind w:left="638" w:hanging="696" w:hangingChars="2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w:t>
            </w:r>
          </w:p>
          <w:p>
            <w:pPr>
              <w:adjustRightInd w:val="0"/>
              <w:snapToGrid w:val="0"/>
              <w:rPr>
                <w:rFonts w:hint="eastAsia" w:ascii="宋体" w:hAnsi="宋体" w:eastAsia="宋体" w:cs="宋体"/>
                <w:color w:val="auto"/>
                <w:sz w:val="24"/>
                <w:szCs w:val="24"/>
                <w:highlight w:val="none"/>
              </w:rPr>
            </w:pP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p>
          <w:p>
            <w:pPr>
              <w:adjustRightInd w:val="0"/>
              <w:snapToGrid w:val="0"/>
              <w:rPr>
                <w:rFonts w:hint="eastAsia" w:ascii="宋体" w:hAnsi="宋体" w:eastAsia="宋体" w:cs="宋体"/>
                <w:color w:val="auto"/>
                <w:sz w:val="24"/>
                <w:szCs w:val="24"/>
                <w:highlight w:val="none"/>
              </w:rPr>
            </w:pP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乙方法定代表人</w:t>
            </w:r>
            <w:r>
              <w:rPr>
                <w:rFonts w:hint="eastAsia" w:ascii="宋体" w:hAnsi="宋体" w:eastAsia="宋体" w:cs="宋体"/>
                <w:color w:val="auto"/>
                <w:sz w:val="24"/>
                <w:szCs w:val="24"/>
                <w:highlight w:val="none"/>
              </w:rPr>
              <w:t>：</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或其委托代理人</w:t>
            </w:r>
            <w:r>
              <w:rPr>
                <w:rFonts w:hint="eastAsia" w:ascii="宋体" w:hAnsi="宋体" w:eastAsia="宋体" w:cs="宋体"/>
                <w:color w:val="auto"/>
                <w:sz w:val="24"/>
                <w:szCs w:val="24"/>
                <w:highlight w:val="none"/>
              </w:rPr>
              <w:t xml:space="preserve">：                         </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tc>
      </w:tr>
    </w:tbl>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sectPr>
          <w:headerReference r:id="rId7" w:type="default"/>
          <w:footerReference r:id="rId8" w:type="default"/>
          <w:pgSz w:w="11906" w:h="16838"/>
          <w:pgMar w:top="1134" w:right="1134" w:bottom="1134" w:left="1134" w:header="851" w:footer="992" w:gutter="0"/>
          <w:pgNumType w:fmt="decimal"/>
          <w:cols w:space="425" w:num="1"/>
          <w:docGrid w:type="lines" w:linePitch="312" w:charSpace="0"/>
        </w:sectPr>
      </w:pPr>
    </w:p>
    <w:p>
      <w:pPr>
        <w:adjustRightInd w:val="0"/>
        <w:snapToGrid w:val="0"/>
        <w:jc w:val="left"/>
        <w:outlineLvl w:val="0"/>
        <w:rPr>
          <w:rFonts w:hint="eastAsia" w:ascii="宋体" w:hAnsi="宋体" w:eastAsia="宋体" w:cs="宋体"/>
          <w:b/>
          <w:bCs/>
          <w:color w:val="auto"/>
          <w:sz w:val="24"/>
          <w:szCs w:val="24"/>
          <w:highlight w:val="none"/>
          <w:lang w:val="en-US" w:eastAsia="zh-CN"/>
        </w:rPr>
      </w:pPr>
      <w:bookmarkStart w:id="388" w:name="_Toc2520"/>
      <w:bookmarkStart w:id="389" w:name="_Toc13237"/>
      <w:bookmarkStart w:id="390" w:name="_Toc3500"/>
      <w:bookmarkStart w:id="391" w:name="_Toc28970"/>
      <w:bookmarkStart w:id="392" w:name="_Toc17403"/>
      <w:bookmarkStart w:id="393" w:name="_Toc3985"/>
      <w:r>
        <w:rPr>
          <w:rFonts w:hint="eastAsia" w:ascii="宋体" w:hAnsi="宋体" w:eastAsia="宋体" w:cs="宋体"/>
          <w:b/>
          <w:bCs/>
          <w:color w:val="auto"/>
          <w:sz w:val="24"/>
          <w:szCs w:val="24"/>
          <w:highlight w:val="none"/>
        </w:rPr>
        <w:t>附件</w:t>
      </w:r>
      <w:bookmarkEnd w:id="388"/>
      <w:bookmarkEnd w:id="389"/>
      <w:r>
        <w:rPr>
          <w:rFonts w:hint="eastAsia" w:ascii="宋体" w:hAnsi="宋体" w:cs="宋体"/>
          <w:b/>
          <w:bCs/>
          <w:color w:val="auto"/>
          <w:sz w:val="24"/>
          <w:szCs w:val="24"/>
          <w:highlight w:val="none"/>
          <w:lang w:val="en-US" w:eastAsia="zh-CN"/>
        </w:rPr>
        <w:t>1</w:t>
      </w:r>
      <w:bookmarkEnd w:id="390"/>
      <w:bookmarkEnd w:id="391"/>
      <w:bookmarkEnd w:id="392"/>
      <w:bookmarkEnd w:id="393"/>
    </w:p>
    <w:p>
      <w:pPr>
        <w:adjustRightInd w:val="0"/>
        <w:snapToGrid w:val="0"/>
        <w:jc w:val="left"/>
        <w:outlineLvl w:val="9"/>
        <w:rPr>
          <w:rFonts w:hint="eastAsia" w:ascii="宋体" w:hAnsi="宋体" w:eastAsia="宋体" w:cs="宋体"/>
          <w:b/>
          <w:bCs/>
          <w:color w:val="auto"/>
          <w:sz w:val="24"/>
          <w:szCs w:val="24"/>
          <w:highlight w:val="none"/>
        </w:rPr>
      </w:pPr>
    </w:p>
    <w:p>
      <w:p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健康体检套餐价格表</w:t>
      </w:r>
    </w:p>
    <w:tbl>
      <w:tblPr>
        <w:tblStyle w:val="42"/>
        <w:tblW w:w="86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6"/>
        <w:gridCol w:w="2510"/>
        <w:gridCol w:w="2045"/>
        <w:gridCol w:w="2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套餐名称</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实收金额</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人数</w:t>
            </w:r>
          </w:p>
        </w:tc>
        <w:tc>
          <w:tcPr>
            <w:tcW w:w="2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小计</w:t>
            </w:r>
            <w:r>
              <w:rPr>
                <w:rFonts w:hint="eastAsia" w:ascii="宋体" w:hAnsi="宋体" w:cs="宋体"/>
                <w:b/>
                <w:bCs/>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C5E6E5"/>
            <w:vAlign w:val="center"/>
          </w:tcPr>
          <w:p>
            <w:pPr>
              <w:jc w:val="center"/>
              <w:rPr>
                <w:rFonts w:hint="eastAsia" w:ascii="宋体" w:hAnsi="宋体" w:eastAsia="宋体" w:cs="宋体"/>
                <w:b/>
                <w:bCs/>
                <w:i w:val="0"/>
                <w:iCs w:val="0"/>
                <w:color w:val="auto"/>
                <w:sz w:val="24"/>
                <w:szCs w:val="24"/>
                <w:highlight w:val="none"/>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shd w:val="clear"/>
                <w:lang w:val="en-US" w:eastAsia="zh-CN" w:bidi="ar"/>
              </w:rPr>
              <w:t>（元/人）</w:t>
            </w: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C5E6E5"/>
            <w:vAlign w:val="center"/>
          </w:tcPr>
          <w:p>
            <w:pPr>
              <w:jc w:val="center"/>
              <w:rPr>
                <w:rFonts w:hint="eastAsia" w:ascii="宋体" w:hAnsi="宋体" w:eastAsia="宋体" w:cs="宋体"/>
                <w:b/>
                <w:bCs/>
                <w:i w:val="0"/>
                <w:iCs w:val="0"/>
                <w:color w:val="auto"/>
                <w:sz w:val="24"/>
                <w:szCs w:val="24"/>
                <w:highlight w:val="none"/>
                <w:u w:val="none"/>
              </w:rPr>
            </w:pPr>
          </w:p>
        </w:tc>
        <w:tc>
          <w:tcPr>
            <w:tcW w:w="2609" w:type="dxa"/>
            <w:vMerge w:val="continue"/>
            <w:tcBorders>
              <w:top w:val="single" w:color="000000" w:sz="4" w:space="0"/>
              <w:left w:val="single" w:color="000000" w:sz="4" w:space="0"/>
              <w:bottom w:val="single" w:color="000000" w:sz="4" w:space="0"/>
              <w:right w:val="single" w:color="000000" w:sz="4" w:space="0"/>
            </w:tcBorders>
            <w:shd w:val="clear" w:color="auto" w:fill="C5E6E5"/>
            <w:vAlign w:val="center"/>
          </w:tcPr>
          <w:p>
            <w:pPr>
              <w:jc w:val="center"/>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男</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1800</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120</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女</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2000</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38</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auto"/>
                <w:sz w:val="24"/>
                <w:szCs w:val="24"/>
                <w:highlight w:val="none"/>
                <w:u w:val="none"/>
                <w:lang w:val="en-US" w:eastAsia="zh-CN"/>
              </w:rPr>
            </w:pPr>
            <w:r>
              <w:rPr>
                <w:rFonts w:hint="eastAsia" w:ascii="宋体" w:hAnsi="宋体" w:cs="宋体"/>
                <w:b/>
                <w:bCs/>
                <w:i w:val="0"/>
                <w:iCs w:val="0"/>
                <w:color w:val="auto"/>
                <w:sz w:val="24"/>
                <w:szCs w:val="24"/>
                <w:highlight w:val="none"/>
                <w:u w:val="none"/>
                <w:lang w:val="en-US" w:eastAsia="zh-CN"/>
              </w:rPr>
              <w:t>158</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cs="宋体"/>
                <w:b/>
                <w:bCs/>
                <w:i w:val="0"/>
                <w:iCs w:val="0"/>
                <w:color w:val="auto"/>
                <w:kern w:val="0"/>
                <w:sz w:val="24"/>
                <w:szCs w:val="24"/>
                <w:highlight w:val="none"/>
                <w:u w:val="none"/>
                <w:lang w:val="en-US" w:eastAsia="zh-CN" w:bidi="ar"/>
              </w:rPr>
              <w:t>292000</w:t>
            </w:r>
          </w:p>
        </w:tc>
      </w:tr>
    </w:tbl>
    <w:p>
      <w:pPr>
        <w:adjustRightInd w:val="0"/>
        <w:snapToGrid w:val="0"/>
        <w:jc w:val="center"/>
        <w:rPr>
          <w:rFonts w:hint="eastAsia" w:ascii="宋体" w:hAnsi="宋体" w:eastAsia="宋体" w:cs="宋体"/>
          <w:b/>
          <w:bCs/>
          <w:color w:val="auto"/>
          <w:sz w:val="24"/>
          <w:szCs w:val="24"/>
          <w:highlight w:val="none"/>
        </w:rPr>
      </w:pPr>
    </w:p>
    <w:p>
      <w:pPr>
        <w:adjustRightInd w:val="0"/>
        <w:snapToGrid w:val="0"/>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合同总金额：</w:t>
      </w:r>
      <w:r>
        <w:rPr>
          <w:rFonts w:hint="eastAsia" w:ascii="宋体" w:hAnsi="宋体" w:cs="宋体"/>
          <w:b/>
          <w:bCs/>
          <w:color w:val="auto"/>
          <w:sz w:val="24"/>
          <w:szCs w:val="24"/>
          <w:highlight w:val="none"/>
          <w:lang w:val="en-US" w:eastAsia="zh-CN"/>
        </w:rPr>
        <w:t>292000</w:t>
      </w:r>
      <w:r>
        <w:rPr>
          <w:rFonts w:hint="eastAsia" w:ascii="宋体" w:hAnsi="宋体" w:eastAsia="宋体" w:cs="宋体"/>
          <w:b/>
          <w:bCs/>
          <w:color w:val="auto"/>
          <w:sz w:val="24"/>
          <w:szCs w:val="24"/>
          <w:highlight w:val="none"/>
        </w:rPr>
        <w:t>元，大写：</w:t>
      </w:r>
      <w:r>
        <w:rPr>
          <w:rFonts w:hint="eastAsia" w:ascii="宋体" w:hAnsi="宋体" w:cs="宋体"/>
          <w:b/>
          <w:bCs/>
          <w:color w:val="auto"/>
          <w:sz w:val="24"/>
          <w:szCs w:val="24"/>
          <w:highlight w:val="none"/>
          <w:lang w:val="en-US" w:eastAsia="zh-CN"/>
        </w:rPr>
        <w:t>贰拾玖万贰仟元</w:t>
      </w:r>
      <w:r>
        <w:rPr>
          <w:rFonts w:hint="eastAsia" w:ascii="宋体" w:hAnsi="宋体" w:eastAsia="宋体" w:cs="宋体"/>
          <w:b/>
          <w:bCs/>
          <w:color w:val="auto"/>
          <w:sz w:val="24"/>
          <w:szCs w:val="24"/>
          <w:highlight w:val="none"/>
          <w:lang w:val="en-US" w:eastAsia="zh-CN"/>
        </w:rPr>
        <w:t>整</w:t>
      </w:r>
      <w:r>
        <w:rPr>
          <w:rFonts w:hint="eastAsia" w:ascii="宋体" w:hAnsi="宋体" w:cs="宋体"/>
          <w:b/>
          <w:bCs/>
          <w:color w:val="auto"/>
          <w:sz w:val="24"/>
          <w:szCs w:val="24"/>
          <w:highlight w:val="none"/>
          <w:lang w:val="en-US" w:eastAsia="zh-CN"/>
        </w:rPr>
        <w:t>。</w:t>
      </w:r>
    </w:p>
    <w:p>
      <w:pPr>
        <w:adjustRightInd w:val="0"/>
        <w:snapToGrid w:val="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p>
    <w:p>
      <w:pPr>
        <w:adjustRightInd w:val="0"/>
        <w:snapToGrid w:val="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r>
        <w:rPr>
          <w:rFonts w:hint="eastAsia" w:ascii="宋体" w:hAnsi="宋体" w:eastAsia="宋体" w:cs="宋体"/>
          <w:b/>
          <w:bCs/>
          <w:color w:val="auto"/>
          <w:sz w:val="24"/>
          <w:szCs w:val="24"/>
          <w:highlight w:val="none"/>
          <w:lang w:val="en-US" w:eastAsia="zh-CN"/>
        </w:rPr>
        <w:t>体检套餐为</w:t>
      </w:r>
      <w:r>
        <w:rPr>
          <w:rFonts w:hint="eastAsia" w:ascii="宋体" w:hAnsi="宋体" w:eastAsia="宋体" w:cs="宋体"/>
          <w:b/>
          <w:bCs/>
          <w:color w:val="auto"/>
          <w:sz w:val="24"/>
          <w:szCs w:val="24"/>
          <w:highlight w:val="none"/>
        </w:rPr>
        <w:t>固定</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自选，固定套餐明细附后。</w:t>
      </w:r>
    </w:p>
    <w:p>
      <w:pPr>
        <w:rPr>
          <w:rFonts w:hint="eastAsia"/>
          <w:color w:val="auto"/>
        </w:rPr>
      </w:pPr>
      <w:r>
        <w:rPr>
          <w:rFonts w:hint="eastAsia"/>
          <w:color w:val="auto"/>
        </w:rPr>
        <w:br w:type="page"/>
      </w:r>
    </w:p>
    <w:p>
      <w:pPr>
        <w:pStyle w:val="39"/>
        <w:ind w:left="0" w:leftChars="0" w:firstLine="0" w:firstLineChars="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附件</w:t>
      </w:r>
      <w:r>
        <w:rPr>
          <w:rFonts w:hint="eastAsia" w:ascii="仿宋" w:hAnsi="仿宋" w:eastAsia="仿宋" w:cs="仿宋"/>
          <w:b w:val="0"/>
          <w:bCs w:val="0"/>
          <w:color w:val="auto"/>
          <w:sz w:val="28"/>
          <w:szCs w:val="28"/>
          <w:highlight w:val="none"/>
          <w:lang w:val="en-US" w:eastAsia="zh-CN"/>
        </w:rPr>
        <w:t>2</w:t>
      </w:r>
    </w:p>
    <w:p>
      <w:pPr>
        <w:pStyle w:val="39"/>
        <w:ind w:left="0" w:leftChars="0" w:firstLine="0" w:firstLineChars="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岳阳城陵矶新港有限公司2024年度职工健康体检套餐</w:t>
      </w:r>
    </w:p>
    <w:tbl>
      <w:tblPr>
        <w:tblStyle w:val="42"/>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830"/>
        <w:gridCol w:w="5310"/>
        <w:gridCol w:w="84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体检项目</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检查内容及意义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身高、体重、血压、腰围、臀围</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用于筛查高血压、超重、肥胖、消瘦、矮小症等，为相关科室检查提供重要依据。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尿常规+尿沉渣</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检查有无泌尿系统感染性疾病、急慢性肾病及其它与肾脏有关的代谢障碍性疾病，糖尿病的辅助检查。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通过血液分析可发现有无贫血、血小板减少、细菌感染、病毒感染、败血症等血液方面疾病。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血糖（静脉血）</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筛查糖尿病最基本的方法，除此之外还见于甲亢、肾上腺皮质功能亢进和生理性高血糖。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肝功能常规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检测肝细胞功能、胆道排泄、肝脏胆红素代谢功能、肝脏合成蛋白质能力；检出黄疸，判断黄疸类型，评价营养状况、筛查肝、胆疾病及合并感染症。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肾功能常规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检查肾脏排泄功能是否正常，有无肾脏炎症或器质性受损等。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血脂四项</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评估血脂有无异常，辅助评估糖尿病、肥胖、高脂血症、冠心病、高血压病、动脉粥样硬化等。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糖化血红蛋白</w:t>
            </w:r>
          </w:p>
        </w:tc>
        <w:tc>
          <w:tcPr>
            <w:tcW w:w="5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近三个月的平均血糖水平，筛查糖尿病最基本的方法之一。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多肿瘤标志物12项联合检测</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癌胚抗原CEA、甲胎蛋白AFP、糖类抗原125(CA125)、糖类抗原199(CA199)、糖类抗原242(CA242)、游离前列腺特异性抗原(FPSA)、总前列腺特异抗原(TPSA)、神经元特异性烯醇化酶NSE、糖类抗原724(CA72-4)、人绒毛膜促性腺激素β-HCG、铁蛋白、鳞癌细胞抗原SC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多肿瘤标志物12项联合检测</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癌胚抗原CEA、甲胎蛋白AFP、糖类抗原125(CA125)、糖类抗原199(CA199)、糖类抗原724(CA72-4)、糖类抗原153(CA153)、糖类抗原50(CA-50)、CYFRA21-1、铁蛋白、人绒毛膜促性腺激素β-HCG、神经元特异性烯醇化酶NSE、鳞癌细胞抗原SCC。</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同型半胱氨酸</w:t>
            </w:r>
          </w:p>
        </w:tc>
        <w:tc>
          <w:tcPr>
            <w:tcW w:w="5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心脑血管事件风险的独立指标。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碳14呼气试验</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检测幽门螺杆菌感染的金标准。消化性溃疡、慢性活动性胃炎、胃癌等消化系统疾病病因检测和筛查。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12导联心电图检查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判断和评估心律失常、心肌肥厚、心肌缺血、心肌梗塞等。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肝胆脾胰+双肾输尿管膀胱前列腺彩超</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检查肝、胆、脾、胰、双肾、前列腺结构，筛查病变。 彩超有较强的分辨力和有效鉴别器官病变性质。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肝胆脾胰+双肾输尿管膀胱+子宫附件彩超</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检查肝、胆、脾、胰、双肾、女性盆腔子宫和附件结构，筛查病变。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甲状腺彩超</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应用超声技术检查甲状腺疾患，如：肿大、炎症、腺瘤及癌变等，简便快捷，准确性较高。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双乳腺彩超</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通过彩色超声仪器检查乳腺，发现乳腺增生、肿物、结节、囊肿、腺瘤、乳腺癌等病变。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颈部血管（颈动脉+椎动脉）</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检查颈动脉和椎动脉结构、弹性、内膜厚度，有无斑块，管腔有无狭窄，预警和评估血管疾病如高血压病、糖尿病、冠心病、脑卒中等风险和中风预报。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妇科</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主要用于阴道炎、宫颈炎以及妇科等疾病的检查。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阴道炎5项</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专用现代设备自动检测细菌性阴道病、念珠性阴道炎、滴虫性阴道炎、需氧性阴道炎及阴道混合型感染，全面评价感染及治疗后阴道微生物生态状况，准确反应阴道炎病原菌，并与传统的检验方法具有互补性，为临床诊疗提供有力依据早期筛查宫颈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液基TCT</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是目前国内外替代传统宫颈涂片检测宫颈癌最准确的检测技术，大大减少了由于血液、粘液、炎症而造成的模糊子宫颈细胞样本的数量，从而大大提高了妇女宫颈癌早期病变的检出率。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人乳头瘤病毒HPV</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直接反映人体内乳头瘤病毒是否存在，可具体判断出感染型别，为临床诊断宫颈癌提供参考。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CT胸部平扫</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胸部疾病常用的一种检查方法，可以检查出胸壁、胸膜、肺部病变、心脏、大血管的病变等。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bl>
    <w:p>
      <w:pPr>
        <w:pStyle w:val="39"/>
        <w:ind w:left="0" w:leftChars="0" w:firstLine="0" w:firstLineChars="0"/>
        <w:jc w:val="both"/>
        <w:rPr>
          <w:rFonts w:hint="eastAsia" w:ascii="仿宋" w:hAnsi="仿宋" w:eastAsia="仿宋" w:cs="仿宋"/>
          <w:b/>
          <w:bCs/>
          <w:color w:val="auto"/>
          <w:sz w:val="28"/>
          <w:szCs w:val="28"/>
          <w:highlight w:val="none"/>
          <w:lang w:val="en-US" w:eastAsia="zh-CN"/>
        </w:rPr>
      </w:pPr>
    </w:p>
    <w:p>
      <w:pPr>
        <w:pStyle w:val="39"/>
        <w:ind w:left="0" w:leftChars="0" w:firstLine="0" w:firstLineChars="0"/>
        <w:jc w:val="left"/>
        <w:rPr>
          <w:rFonts w:hint="eastAsia" w:ascii="仿宋" w:hAnsi="仿宋" w:eastAsia="仿宋" w:cs="仿宋"/>
          <w:b w:val="0"/>
          <w:bCs w:val="0"/>
          <w:color w:val="595959" w:themeColor="text1" w:themeTint="A6"/>
          <w:sz w:val="28"/>
          <w:szCs w:val="28"/>
          <w:highlight w:val="none"/>
          <w:lang w:val="en-US" w:eastAsia="zh-CN"/>
          <w14:textFill>
            <w14:solidFill>
              <w14:schemeClr w14:val="tx1">
                <w14:lumMod w14:val="65000"/>
                <w14:lumOff w14:val="35000"/>
              </w14:schemeClr>
            </w14:solidFill>
          </w14:textFill>
        </w:rPr>
      </w:pPr>
    </w:p>
    <w:p>
      <w:pPr>
        <w:pStyle w:val="39"/>
        <w:ind w:left="0" w:leftChars="0" w:firstLine="0" w:firstLineChars="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附件3：（体检人员名单签订合同时予以完善）</w:t>
      </w:r>
    </w:p>
    <w:p>
      <w:pPr>
        <w:numPr>
          <w:ilvl w:val="0"/>
          <w:numId w:val="0"/>
        </w:numPr>
        <w:spacing w:line="240" w:lineRule="auto"/>
        <w:jc w:val="center"/>
        <w:outlineLvl w:val="9"/>
        <w:rPr>
          <w:rFonts w:hint="eastAsia" w:ascii="宋体" w:hAnsi="宋体" w:eastAsia="宋体" w:cs="宋体"/>
          <w:b/>
          <w:bCs/>
          <w:color w:val="auto"/>
          <w:sz w:val="32"/>
          <w:szCs w:val="32"/>
          <w:lang w:val="en-US" w:eastAsia="zh-CN"/>
        </w:rPr>
      </w:pPr>
    </w:p>
    <w:bookmarkEnd w:id="315"/>
    <w:p>
      <w:pPr>
        <w:rPr>
          <w:rFonts w:hint="eastAsia" w:ascii="黑体" w:hAnsi="黑体" w:eastAsia="黑体" w:cs="Times New Roman"/>
          <w:sz w:val="36"/>
          <w:szCs w:val="36"/>
          <w:lang w:val="en-US" w:eastAsia="zh-CN"/>
        </w:rPr>
      </w:pPr>
      <w:r>
        <w:rPr>
          <w:rFonts w:hint="eastAsia" w:ascii="黑体" w:hAnsi="黑体" w:eastAsia="黑体" w:cs="Times New Roman"/>
          <w:sz w:val="36"/>
          <w:szCs w:val="36"/>
          <w:lang w:val="en-US" w:eastAsia="zh-CN"/>
        </w:rPr>
        <w:br w:type="page"/>
      </w:r>
    </w:p>
    <w:p>
      <w:pPr>
        <w:spacing w:line="312" w:lineRule="auto"/>
        <w:jc w:val="center"/>
        <w:outlineLvl w:val="0"/>
        <w:rPr>
          <w:rFonts w:hint="eastAsia" w:ascii="黑体" w:hAnsi="黑体" w:eastAsia="黑体" w:cs="仿宋"/>
          <w:b/>
          <w:color w:val="auto"/>
          <w:sz w:val="36"/>
          <w:szCs w:val="36"/>
          <w:highlight w:val="none"/>
          <w:lang w:val="en-US" w:eastAsia="zh-CN"/>
        </w:rPr>
      </w:pPr>
      <w:bookmarkStart w:id="394" w:name="_Toc3734"/>
      <w:bookmarkStart w:id="395" w:name="_Toc18293_WPSOffice_Level1"/>
      <w:bookmarkStart w:id="396" w:name="_Toc15127"/>
      <w:bookmarkStart w:id="397" w:name="_Toc15626"/>
      <w:bookmarkStart w:id="398" w:name="_Toc21448_WPSOffice_Level1"/>
      <w:bookmarkStart w:id="399" w:name="_Toc29282"/>
      <w:r>
        <w:rPr>
          <w:rFonts w:hint="eastAsia" w:ascii="黑体" w:hAnsi="黑体" w:eastAsia="黑体" w:cs="仿宋"/>
          <w:b/>
          <w:color w:val="auto"/>
          <w:sz w:val="36"/>
          <w:szCs w:val="36"/>
          <w:highlight w:val="none"/>
          <w:lang w:val="en-US" w:eastAsia="zh-CN"/>
        </w:rPr>
        <w:t>第五章  采购需求</w:t>
      </w:r>
      <w:bookmarkEnd w:id="394"/>
      <w:bookmarkEnd w:id="395"/>
      <w:bookmarkEnd w:id="396"/>
      <w:bookmarkEnd w:id="397"/>
      <w:bookmarkEnd w:id="398"/>
      <w:bookmarkEnd w:id="399"/>
    </w:p>
    <w:p>
      <w:pPr>
        <w:autoSpaceDE w:val="0"/>
        <w:spacing w:line="400" w:lineRule="exact"/>
        <w:jc w:val="left"/>
        <w:rPr>
          <w:rFonts w:hint="eastAsia" w:ascii="宋体" w:hAnsi="宋体"/>
          <w:color w:val="auto"/>
          <w:sz w:val="24"/>
          <w:highlight w:val="none"/>
          <w:lang w:eastAsia="zh-CN"/>
        </w:rPr>
      </w:pPr>
    </w:p>
    <w:p>
      <w:pPr>
        <w:autoSpaceDE/>
        <w:spacing w:line="360" w:lineRule="auto"/>
        <w:jc w:val="both"/>
        <w:rPr>
          <w:rFonts w:hint="default" w:ascii="宋体" w:hAnsi="宋体" w:eastAsia="宋体"/>
          <w:b/>
          <w:bCs/>
          <w:color w:val="auto"/>
          <w:sz w:val="24"/>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采购范围:</w:t>
      </w:r>
      <w:r>
        <w:rPr>
          <w:rFonts w:hint="eastAsia" w:ascii="宋体" w:hAnsi="宋体"/>
          <w:color w:val="auto"/>
          <w:sz w:val="24"/>
          <w:highlight w:val="none"/>
          <w:lang w:val="en-US" w:eastAsia="zh-CN"/>
        </w:rPr>
        <w:t>岳阳城陵矶新港有限公司2024年度职工健康体检，</w:t>
      </w:r>
      <w:r>
        <w:rPr>
          <w:rFonts w:hint="eastAsia" w:ascii="宋体" w:hAnsi="宋体"/>
          <w:color w:val="auto"/>
          <w:sz w:val="24"/>
          <w:highlight w:val="none"/>
        </w:rPr>
        <w:t>参与体检</w:t>
      </w:r>
      <w:r>
        <w:rPr>
          <w:rFonts w:hint="eastAsia" w:ascii="宋体" w:hAnsi="宋体"/>
          <w:color w:val="auto"/>
          <w:sz w:val="24"/>
          <w:highlight w:val="none"/>
          <w:lang w:val="en-US" w:eastAsia="zh-CN"/>
        </w:rPr>
        <w:t>职</w:t>
      </w:r>
      <w:r>
        <w:rPr>
          <w:rFonts w:hint="eastAsia" w:ascii="宋体" w:hAnsi="宋体"/>
          <w:color w:val="auto"/>
          <w:sz w:val="24"/>
          <w:highlight w:val="none"/>
        </w:rPr>
        <w:t>工</w:t>
      </w:r>
      <w:r>
        <w:rPr>
          <w:rFonts w:hint="eastAsia" w:ascii="宋体" w:hAnsi="宋体"/>
          <w:color w:val="auto"/>
          <w:sz w:val="24"/>
          <w:highlight w:val="none"/>
          <w:lang w:val="en-US" w:eastAsia="zh-CN"/>
        </w:rPr>
        <w:t>共158</w:t>
      </w:r>
      <w:r>
        <w:rPr>
          <w:rFonts w:hint="eastAsia" w:ascii="宋体" w:hAnsi="宋体"/>
          <w:color w:val="auto"/>
          <w:sz w:val="24"/>
          <w:highlight w:val="none"/>
        </w:rPr>
        <w:t>人（其中男</w:t>
      </w:r>
      <w:r>
        <w:rPr>
          <w:rFonts w:hint="eastAsia" w:ascii="宋体" w:hAnsi="宋体"/>
          <w:color w:val="auto"/>
          <w:sz w:val="24"/>
          <w:highlight w:val="none"/>
          <w:lang w:val="en-US" w:eastAsia="zh-CN"/>
        </w:rPr>
        <w:t>职</w:t>
      </w:r>
      <w:r>
        <w:rPr>
          <w:rFonts w:hint="eastAsia" w:ascii="宋体" w:hAnsi="宋体"/>
          <w:color w:val="auto"/>
          <w:sz w:val="24"/>
          <w:highlight w:val="none"/>
        </w:rPr>
        <w:t>工1</w:t>
      </w:r>
      <w:r>
        <w:rPr>
          <w:rFonts w:hint="eastAsia" w:ascii="宋体" w:hAnsi="宋体"/>
          <w:color w:val="auto"/>
          <w:sz w:val="24"/>
          <w:highlight w:val="none"/>
          <w:lang w:val="en-US" w:eastAsia="zh-CN"/>
        </w:rPr>
        <w:t>20</w:t>
      </w:r>
      <w:r>
        <w:rPr>
          <w:rFonts w:hint="eastAsia" w:ascii="宋体" w:hAnsi="宋体"/>
          <w:color w:val="auto"/>
          <w:sz w:val="24"/>
          <w:highlight w:val="none"/>
        </w:rPr>
        <w:t>人、女</w:t>
      </w:r>
      <w:r>
        <w:rPr>
          <w:rFonts w:hint="eastAsia" w:ascii="宋体" w:hAnsi="宋体"/>
          <w:color w:val="auto"/>
          <w:sz w:val="24"/>
          <w:highlight w:val="none"/>
          <w:lang w:val="en-US" w:eastAsia="zh-CN"/>
        </w:rPr>
        <w:t>职</w:t>
      </w:r>
      <w:r>
        <w:rPr>
          <w:rFonts w:hint="eastAsia" w:ascii="宋体" w:hAnsi="宋体"/>
          <w:color w:val="auto"/>
          <w:sz w:val="24"/>
          <w:highlight w:val="none"/>
        </w:rPr>
        <w:t>工</w:t>
      </w:r>
      <w:r>
        <w:rPr>
          <w:rFonts w:hint="eastAsia" w:ascii="宋体" w:hAnsi="宋体"/>
          <w:color w:val="auto"/>
          <w:sz w:val="24"/>
          <w:highlight w:val="none"/>
          <w:lang w:val="en-US" w:eastAsia="zh-CN"/>
        </w:rPr>
        <w:t>38</w:t>
      </w:r>
      <w:r>
        <w:rPr>
          <w:rFonts w:hint="eastAsia" w:ascii="宋体" w:hAnsi="宋体"/>
          <w:color w:val="auto"/>
          <w:sz w:val="24"/>
          <w:highlight w:val="none"/>
        </w:rPr>
        <w:t>人），体检费用标准为男</w:t>
      </w:r>
      <w:r>
        <w:rPr>
          <w:rFonts w:hint="eastAsia" w:ascii="宋体" w:hAnsi="宋体"/>
          <w:color w:val="auto"/>
          <w:sz w:val="24"/>
          <w:highlight w:val="none"/>
          <w:lang w:val="en-US" w:eastAsia="zh-CN"/>
        </w:rPr>
        <w:t>职</w:t>
      </w:r>
      <w:r>
        <w:rPr>
          <w:rFonts w:hint="eastAsia" w:ascii="宋体" w:hAnsi="宋体"/>
          <w:color w:val="auto"/>
          <w:sz w:val="24"/>
          <w:highlight w:val="none"/>
        </w:rPr>
        <w:t>工人均1</w:t>
      </w:r>
      <w:r>
        <w:rPr>
          <w:rFonts w:hint="eastAsia" w:ascii="宋体" w:hAnsi="宋体"/>
          <w:color w:val="auto"/>
          <w:sz w:val="24"/>
          <w:highlight w:val="none"/>
          <w:lang w:val="en-US" w:eastAsia="zh-CN"/>
        </w:rPr>
        <w:t>800</w:t>
      </w:r>
      <w:r>
        <w:rPr>
          <w:rFonts w:hint="eastAsia" w:ascii="宋体" w:hAnsi="宋体"/>
          <w:color w:val="auto"/>
          <w:sz w:val="24"/>
          <w:highlight w:val="none"/>
        </w:rPr>
        <w:t>元，女</w:t>
      </w:r>
      <w:r>
        <w:rPr>
          <w:rFonts w:hint="eastAsia" w:ascii="宋体" w:hAnsi="宋体"/>
          <w:color w:val="auto"/>
          <w:sz w:val="24"/>
          <w:highlight w:val="none"/>
          <w:lang w:val="en-US" w:eastAsia="zh-CN"/>
        </w:rPr>
        <w:t>职</w:t>
      </w:r>
      <w:r>
        <w:rPr>
          <w:rFonts w:hint="eastAsia" w:ascii="宋体" w:hAnsi="宋体"/>
          <w:color w:val="auto"/>
          <w:sz w:val="24"/>
          <w:highlight w:val="none"/>
        </w:rPr>
        <w:t>工人均</w:t>
      </w:r>
      <w:r>
        <w:rPr>
          <w:rFonts w:hint="eastAsia" w:ascii="宋体" w:hAnsi="宋体"/>
          <w:color w:val="auto"/>
          <w:sz w:val="24"/>
          <w:highlight w:val="none"/>
          <w:lang w:val="en-US" w:eastAsia="zh-CN"/>
        </w:rPr>
        <w:t>2000</w:t>
      </w:r>
      <w:r>
        <w:rPr>
          <w:rFonts w:hint="eastAsia" w:ascii="宋体" w:hAnsi="宋体"/>
          <w:color w:val="auto"/>
          <w:sz w:val="24"/>
          <w:highlight w:val="none"/>
        </w:rPr>
        <w:t>元，合计</w:t>
      </w:r>
      <w:r>
        <w:rPr>
          <w:rFonts w:hint="eastAsia" w:ascii="宋体" w:hAnsi="宋体"/>
          <w:color w:val="auto"/>
          <w:sz w:val="24"/>
          <w:highlight w:val="none"/>
          <w:lang w:val="en-US" w:eastAsia="zh-CN"/>
        </w:rPr>
        <w:t>29.2</w:t>
      </w:r>
      <w:r>
        <w:rPr>
          <w:rFonts w:hint="eastAsia" w:ascii="宋体" w:hAnsi="宋体"/>
          <w:color w:val="auto"/>
          <w:sz w:val="24"/>
          <w:highlight w:val="none"/>
        </w:rPr>
        <w:t>万元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具体以实际到检人数费用进行结算。</w:t>
      </w:r>
      <w:r>
        <w:rPr>
          <w:rFonts w:hint="eastAsia" w:ascii="宋体" w:hAnsi="宋体"/>
          <w:b/>
          <w:bCs/>
          <w:color w:val="auto"/>
          <w:sz w:val="24"/>
          <w:highlight w:val="none"/>
          <w:lang w:val="en-US" w:eastAsia="zh-CN"/>
        </w:rPr>
        <w:t>本公司已拟定体检项目，并就该项目以综合评分法对外公开询价，体检费用标准与成交价的差额由职工在该体检中心自主消费完毕，自主消费项目收费标准按挂牌价享受8折优惠。</w:t>
      </w:r>
    </w:p>
    <w:p>
      <w:pPr>
        <w:autoSpaceDE w:val="0"/>
        <w:spacing w:line="360" w:lineRule="auto"/>
        <w:jc w:val="both"/>
        <w:rPr>
          <w:rFonts w:hint="default" w:ascii="宋体" w:hAnsi="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 xml:space="preserve">服务期限: </w:t>
      </w:r>
      <w:r>
        <w:rPr>
          <w:rFonts w:hint="eastAsia" w:ascii="宋体" w:hAnsi="宋体"/>
          <w:color w:val="auto"/>
          <w:sz w:val="24"/>
          <w:highlight w:val="none"/>
          <w:lang w:val="en-US" w:eastAsia="zh-CN"/>
        </w:rPr>
        <w:t>90个日历天。</w:t>
      </w:r>
    </w:p>
    <w:p>
      <w:pPr>
        <w:autoSpaceDE w:val="0"/>
        <w:spacing w:line="360" w:lineRule="auto"/>
        <w:jc w:val="both"/>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 xml:space="preserve">服务地点: </w:t>
      </w:r>
      <w:r>
        <w:rPr>
          <w:rFonts w:hint="eastAsia" w:ascii="宋体" w:hAnsi="宋体"/>
          <w:color w:val="auto"/>
          <w:sz w:val="24"/>
          <w:highlight w:val="none"/>
          <w:lang w:val="en-US" w:eastAsia="zh-CN"/>
        </w:rPr>
        <w:t>供应商</w:t>
      </w:r>
      <w:r>
        <w:rPr>
          <w:rFonts w:hint="eastAsia" w:ascii="宋体" w:hAnsi="宋体" w:eastAsia="宋体" w:cs="宋体"/>
          <w:sz w:val="24"/>
          <w:szCs w:val="24"/>
          <w:highlight w:val="none"/>
          <w:lang w:eastAsia="zh-CN"/>
        </w:rPr>
        <w:t>专业体检中心</w:t>
      </w:r>
      <w:r>
        <w:rPr>
          <w:rFonts w:hint="eastAsia" w:ascii="宋体" w:hAnsi="宋体" w:cs="宋体"/>
          <w:sz w:val="24"/>
          <w:szCs w:val="24"/>
          <w:highlight w:val="none"/>
          <w:lang w:eastAsia="zh-CN"/>
        </w:rPr>
        <w:t>。</w:t>
      </w:r>
    </w:p>
    <w:p>
      <w:pPr>
        <w:spacing w:line="400" w:lineRule="exact"/>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4、服务要求：</w:t>
      </w:r>
    </w:p>
    <w:p>
      <w:pPr>
        <w:spacing w:line="400" w:lineRule="exact"/>
        <w:ind w:firstLine="480" w:firstLineChars="200"/>
        <w:outlineLvl w:val="1"/>
        <w:rPr>
          <w:rFonts w:hint="eastAsia" w:ascii="宋体" w:hAnsi="宋体" w:eastAsia="宋体" w:cs="宋体"/>
          <w:sz w:val="24"/>
          <w:szCs w:val="24"/>
          <w:highlight w:val="none"/>
          <w:lang w:eastAsia="zh-CN"/>
        </w:rPr>
      </w:pPr>
      <w:bookmarkStart w:id="400" w:name="_Toc15299"/>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1成交供应商设采购人体检专场，体检计划在30日内完成。</w:t>
      </w:r>
      <w:bookmarkEnd w:id="400"/>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4.2</w:t>
      </w:r>
      <w:r>
        <w:rPr>
          <w:rFonts w:hint="eastAsia" w:ascii="宋体" w:hAnsi="宋体" w:eastAsia="宋体" w:cs="宋体"/>
          <w:sz w:val="24"/>
          <w:szCs w:val="24"/>
          <w:highlight w:val="none"/>
          <w:lang w:eastAsia="zh-CN"/>
        </w:rPr>
        <w:t>在体检区域内须有清晰准确的体检引导牌和体检导诊员，导诊员负责体检现场指导工作，并对体检过程中发生的事故进行及时有效处置，以保证体检工作按时有序完成。同时应做好体检资料的制作、管理、发放（包括体检表，体检须知），如采购人不慎遗失体检表或因工作调动等原因漏报体检人数，成交供应商应及时补发。</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4.3</w:t>
      </w:r>
      <w:r>
        <w:rPr>
          <w:rFonts w:hint="eastAsia" w:ascii="宋体" w:hAnsi="宋体" w:eastAsia="宋体" w:cs="宋体"/>
          <w:sz w:val="24"/>
          <w:szCs w:val="24"/>
          <w:highlight w:val="none"/>
          <w:lang w:eastAsia="zh-CN"/>
        </w:rPr>
        <w:t>成交供应商在体检期间须派具一名具有中级以上职称的内科医生作为现场咨询专家，要求专家耐心细致，能认真回答体检员工的相关疑问。</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4.4</w:t>
      </w:r>
      <w:r>
        <w:rPr>
          <w:rFonts w:hint="eastAsia" w:ascii="宋体" w:hAnsi="宋体" w:eastAsia="宋体" w:cs="宋体"/>
          <w:sz w:val="24"/>
          <w:szCs w:val="24"/>
          <w:highlight w:val="none"/>
          <w:lang w:eastAsia="zh-CN"/>
        </w:rPr>
        <w:t>成交供应商应对体检结果负责，安排中级以上医生填写每人的健康体检报告，体检报告应提供纸质版和电子版。</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eastAsia="zh-CN"/>
        </w:rPr>
        <w:t>体检过程中如遇发现疑似恶性肿瘤，传染病等特殊情况，成交供应商应立即通知采购人，对可疑病例要复查的，复查名单与内容通知体检员工本人及采购单位联系人。</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4.6</w:t>
      </w:r>
      <w:r>
        <w:rPr>
          <w:rFonts w:hint="eastAsia" w:ascii="宋体" w:hAnsi="宋体" w:eastAsia="宋体" w:cs="宋体"/>
          <w:sz w:val="24"/>
          <w:szCs w:val="24"/>
          <w:highlight w:val="none"/>
          <w:lang w:eastAsia="zh-CN"/>
        </w:rPr>
        <w:t>成交供应商承诺未按服务项目完成或完成不彻底，须按要求重新安排体检，且采购人有权扣减合同付款金额直至终止合同，由此造成的一切后果由成交供应商承担。成交供应商在服务期间由于自身责任造成采购人的一切损失由成交供应商负责赔偿。</w:t>
      </w:r>
    </w:p>
    <w:p>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4.7</w:t>
      </w:r>
      <w:r>
        <w:rPr>
          <w:rFonts w:hint="eastAsia" w:ascii="宋体" w:hAnsi="宋体" w:eastAsia="宋体" w:cs="宋体"/>
          <w:sz w:val="24"/>
          <w:szCs w:val="24"/>
          <w:highlight w:val="none"/>
          <w:lang w:val="en-US" w:eastAsia="zh-CN"/>
        </w:rPr>
        <w:t>由于</w:t>
      </w:r>
      <w:r>
        <w:rPr>
          <w:rFonts w:hint="eastAsia" w:ascii="宋体" w:hAnsi="宋体" w:eastAsia="宋体" w:cs="宋体"/>
          <w:sz w:val="24"/>
          <w:szCs w:val="24"/>
          <w:highlight w:val="none"/>
          <w:lang w:eastAsia="zh-CN"/>
        </w:rPr>
        <w:t>不同</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lang w:eastAsia="zh-CN"/>
        </w:rPr>
        <w:t>人有不同健康需求和风险因素，为确保每位职工接受到全面、个性化的健康评估和筛查，</w:t>
      </w:r>
      <w:r>
        <w:rPr>
          <w:rFonts w:hint="eastAsia" w:ascii="宋体" w:hAnsi="宋体" w:eastAsia="宋体" w:cs="宋体"/>
          <w:sz w:val="24"/>
          <w:szCs w:val="24"/>
          <w:highlight w:val="none"/>
          <w:lang w:val="en-US" w:eastAsia="zh-CN"/>
        </w:rPr>
        <w:t>在不超出体检费用标准前提下，成交供应商应在实际体检过程中</w:t>
      </w:r>
      <w:r>
        <w:rPr>
          <w:rFonts w:hint="eastAsia" w:ascii="宋体" w:hAnsi="宋体" w:eastAsia="宋体" w:cs="宋体"/>
          <w:sz w:val="24"/>
          <w:szCs w:val="24"/>
          <w:highlight w:val="none"/>
          <w:lang w:eastAsia="zh-CN"/>
        </w:rPr>
        <w:t>根据</w:t>
      </w:r>
      <w:r>
        <w:rPr>
          <w:rFonts w:hint="eastAsia" w:ascii="宋体" w:hAnsi="宋体" w:eastAsia="宋体" w:cs="宋体"/>
          <w:sz w:val="24"/>
          <w:szCs w:val="24"/>
          <w:highlight w:val="none"/>
          <w:lang w:val="en-US" w:eastAsia="zh-CN"/>
        </w:rPr>
        <w:t>特殊</w:t>
      </w:r>
      <w:r>
        <w:rPr>
          <w:rFonts w:hint="eastAsia" w:ascii="宋体" w:hAnsi="宋体" w:eastAsia="宋体" w:cs="宋体"/>
          <w:sz w:val="24"/>
          <w:szCs w:val="24"/>
          <w:highlight w:val="none"/>
          <w:lang w:eastAsia="zh-CN"/>
        </w:rPr>
        <w:t>个体情况</w:t>
      </w:r>
      <w:r>
        <w:rPr>
          <w:rFonts w:hint="eastAsia" w:ascii="宋体" w:hAnsi="宋体" w:eastAsia="宋体" w:cs="宋体"/>
          <w:sz w:val="24"/>
          <w:szCs w:val="24"/>
          <w:highlight w:val="none"/>
          <w:lang w:val="en-US" w:eastAsia="zh-CN"/>
        </w:rPr>
        <w:t>调整体检项目。</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4.8</w:t>
      </w:r>
      <w:r>
        <w:rPr>
          <w:rFonts w:hint="eastAsia" w:ascii="宋体" w:hAnsi="宋体" w:eastAsia="宋体" w:cs="宋体"/>
          <w:sz w:val="24"/>
          <w:szCs w:val="24"/>
          <w:highlight w:val="none"/>
          <w:lang w:eastAsia="zh-CN"/>
        </w:rPr>
        <w:t>成交供应商</w:t>
      </w:r>
      <w:r>
        <w:rPr>
          <w:rFonts w:hint="eastAsia" w:ascii="宋体" w:hAnsi="宋体" w:cs="宋体"/>
          <w:sz w:val="24"/>
          <w:szCs w:val="24"/>
          <w:highlight w:val="none"/>
          <w:lang w:val="en-US" w:eastAsia="zh-CN"/>
        </w:rPr>
        <w:t>免费为体检员工提供</w:t>
      </w:r>
      <w:r>
        <w:rPr>
          <w:rFonts w:hint="eastAsia" w:ascii="宋体" w:hAnsi="宋体" w:eastAsia="宋体" w:cs="宋体"/>
          <w:sz w:val="24"/>
          <w:szCs w:val="24"/>
          <w:highlight w:val="none"/>
          <w:lang w:eastAsia="zh-CN"/>
        </w:rPr>
        <w:t>体检</w:t>
      </w:r>
      <w:r>
        <w:rPr>
          <w:rFonts w:hint="eastAsia" w:ascii="宋体" w:hAnsi="宋体" w:cs="宋体"/>
          <w:sz w:val="24"/>
          <w:szCs w:val="24"/>
          <w:highlight w:val="none"/>
          <w:lang w:val="en-US" w:eastAsia="zh-CN"/>
        </w:rPr>
        <w:t>集中</w:t>
      </w:r>
      <w:r>
        <w:rPr>
          <w:rFonts w:hint="eastAsia" w:ascii="宋体" w:hAnsi="宋体" w:eastAsia="宋体" w:cs="宋体"/>
          <w:sz w:val="24"/>
          <w:szCs w:val="24"/>
          <w:highlight w:val="none"/>
          <w:lang w:eastAsia="zh-CN"/>
        </w:rPr>
        <w:t>接送服务。</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4.9</w:t>
      </w:r>
      <w:r>
        <w:rPr>
          <w:rFonts w:hint="eastAsia" w:ascii="宋体" w:hAnsi="宋体" w:eastAsia="宋体" w:cs="宋体"/>
          <w:sz w:val="24"/>
          <w:szCs w:val="24"/>
          <w:highlight w:val="none"/>
          <w:lang w:eastAsia="zh-CN"/>
        </w:rPr>
        <w:t>成交供应商</w:t>
      </w:r>
      <w:r>
        <w:rPr>
          <w:rFonts w:hint="eastAsia" w:ascii="宋体" w:hAnsi="宋体" w:cs="宋体"/>
          <w:color w:val="auto"/>
          <w:sz w:val="24"/>
          <w:highlight w:val="none"/>
          <w:lang w:val="en-US" w:eastAsia="zh-CN"/>
        </w:rPr>
        <w:t>为每位体检者提供体检当天早餐一份</w:t>
      </w:r>
      <w:r>
        <w:rPr>
          <w:rFonts w:hint="eastAsia" w:ascii="宋体" w:hAnsi="宋体" w:eastAsia="宋体" w:cs="宋体"/>
          <w:sz w:val="24"/>
          <w:szCs w:val="24"/>
          <w:highlight w:val="none"/>
          <w:lang w:eastAsia="zh-CN"/>
        </w:rPr>
        <w:t>。</w:t>
      </w:r>
    </w:p>
    <w:p>
      <w:pPr>
        <w:numPr>
          <w:ilvl w:val="0"/>
          <w:numId w:val="0"/>
        </w:numPr>
        <w:spacing w:line="440" w:lineRule="exact"/>
        <w:rPr>
          <w:rFonts w:hint="eastAsia" w:ascii="宋体" w:hAnsi="宋体"/>
          <w:color w:val="auto"/>
          <w:sz w:val="24"/>
          <w:highlight w:val="none"/>
        </w:rPr>
      </w:pPr>
      <w:r>
        <w:rPr>
          <w:rFonts w:hint="eastAsia" w:ascii="宋体" w:hAnsi="宋体"/>
          <w:color w:val="auto"/>
          <w:sz w:val="24"/>
          <w:highlight w:val="none"/>
          <w:lang w:val="en-US" w:eastAsia="zh-CN"/>
        </w:rPr>
        <w:t>5、报价方案</w:t>
      </w:r>
      <w:r>
        <w:rPr>
          <w:rFonts w:hint="eastAsia" w:ascii="宋体" w:hAnsi="宋体"/>
          <w:color w:val="auto"/>
          <w:sz w:val="24"/>
          <w:highlight w:val="none"/>
        </w:rPr>
        <w:t xml:space="preserve">: </w:t>
      </w:r>
    </w:p>
    <w:p>
      <w:pPr>
        <w:adjustRightInd/>
        <w:snapToGrid/>
        <w:jc w:val="center"/>
        <w:outlineLvl w:val="0"/>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pPr>
      <w:bookmarkStart w:id="401" w:name="_Toc14369"/>
      <w:bookmarkStart w:id="402" w:name="_Toc21286"/>
      <w:bookmarkStart w:id="403" w:name="_Toc19666"/>
      <w:bookmarkStart w:id="404" w:name="_Toc8618"/>
      <w:bookmarkStart w:id="405" w:name="_Toc3705"/>
      <w:bookmarkStart w:id="406" w:name="_Toc31080"/>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br w:type="page"/>
      </w:r>
      <w:bookmarkStart w:id="407" w:name="_Toc11515"/>
      <w:r>
        <w:rPr>
          <w:rFonts w:hint="eastAsia" w:ascii="微软雅黑" w:hAnsi="微软雅黑" w:eastAsia="微软雅黑" w:cs="微软雅黑"/>
          <w:b/>
          <w:bCs/>
          <w:color w:val="595959" w:themeColor="text1" w:themeTint="A6"/>
          <w:sz w:val="28"/>
          <w:szCs w:val="28"/>
          <w:highlight w:val="none"/>
          <w:lang w:val="en-US" w:eastAsia="zh-CN"/>
          <w14:textFill>
            <w14:solidFill>
              <w14:schemeClr w14:val="tx1">
                <w14:lumMod w14:val="65000"/>
                <w14:lumOff w14:val="35000"/>
              </w14:schemeClr>
            </w14:solidFill>
          </w14:textFill>
        </w:rPr>
        <w:t>岳阳城陵矶新港有限公司2024年度职工健康体检套餐</w:t>
      </w:r>
      <w:bookmarkEnd w:id="407"/>
    </w:p>
    <w:bookmarkEnd w:id="401"/>
    <w:bookmarkEnd w:id="402"/>
    <w:bookmarkEnd w:id="403"/>
    <w:bookmarkEnd w:id="404"/>
    <w:bookmarkEnd w:id="405"/>
    <w:bookmarkEnd w:id="406"/>
    <w:tbl>
      <w:tblPr>
        <w:tblStyle w:val="42"/>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830"/>
        <w:gridCol w:w="5331"/>
        <w:gridCol w:w="819"/>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体检项目</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检查内容及意义</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身高、体重、血压、腰围、臀围</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用于筛查高血压、超重、肥胖、消瘦、矮小症等，为相关科室检查提供重要依据。</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尿常规+尿沉渣</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检查有无泌尿系统感染性疾病、急慢性肾病及其它与肾脏有关的代谢障碍性疾病，糖尿病的辅助检查。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血常规</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通过血液分析可发现有无贫血、血小板减少、细菌感染、病毒感染、败血症等血液方面疾病。</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血糖（静脉血）</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筛查糖尿病最基本的方法，除此之外还见于甲亢、肾上腺皮质功能亢进和生理性高血糖。</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肝功能常规</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检测肝细胞功能、胆道排泄、肝脏胆红素代谢功能、肝脏合成蛋白质能力；检出黄疸，判断黄疸类型，评价营养状况、筛查肝、胆疾病及合并感染症。</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肾功能常规</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检查肾脏排泄功能是否正常，有无肾脏炎症或器质性受损等。</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血脂四项</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评估血脂有无异常，辅助评估糖尿病、肥胖、高脂血症、冠心病、高血压病、动脉粥样硬化等。</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糖化血红蛋白</w:t>
            </w:r>
          </w:p>
        </w:tc>
        <w:tc>
          <w:tcPr>
            <w:tcW w:w="5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近三个月的平均血糖水平，筛查糖尿病最基本的方法之一。</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多肿瘤标志物12项联合检测</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癌胚抗原CEA、甲胎蛋白AFP、糖类抗原125(CA125)、糖类抗原199(CA199)、糖类抗原242(CA242)、游离前列腺特异性抗原(FPSA)、总前列腺特异抗原(TPSA)、神经元特异性烯醇化酶NSE、糖类抗原724(CA72-4)、人绒毛膜促性腺激素β-HCG、铁蛋白、鳞癌细胞抗原SC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多肿瘤标志物12项联合检测</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癌胚抗原CEA、甲胎蛋白AFP、糖类抗原125(CA125)、糖类抗原199(CA199)、糖类抗原724(CA72-4)、糖类抗原153(CA153)、糖类抗原50(CA-50)、CYFRA21-1、铁蛋白、人绒毛膜促性腺激素β-HCG、神经元特异性烯醇化酶NSE、鳞癌细胞抗原SCC。</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同型半胱氨酸</w:t>
            </w:r>
          </w:p>
        </w:tc>
        <w:tc>
          <w:tcPr>
            <w:tcW w:w="5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心脑血管事件风险的独立指标。</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碳14呼气试验</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检测幽门螺杆菌感染的金标准。消化性溃疡、慢性活动性胃炎、胃癌等消化系统疾病病因检测和筛查。</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12导联心电图检查</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判断和评估心律失常、心肌肥厚、心肌缺血、心肌梗塞等。</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肝胆脾胰+双肾输尿管膀胱前列腺彩超</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检查肝、胆、脾、胰、双肾、前列腺结构，筛查病变。 彩超有较强的分辨力和有效鉴别器官病变性质。</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肝胆脾胰+双肾输尿管膀胱+子宫附件彩超</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检查肝、胆、脾、胰、双肾、女性盆腔子宫和附件结构，筛查病变。</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甲状腺彩超</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应用超声技术检查甲状腺疾患，如：肿大、炎症、腺瘤及癌变等，简便快捷，准确性较高。</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双乳腺彩超</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通过彩色超声仪器检查乳腺，发现乳腺增生、肿物、结节、囊肿、腺瘤、乳腺癌等病变。</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颈部血管（颈动脉+椎动脉）</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检查颈动脉和椎动脉结构、弹性、内膜厚度，有无斑块，管腔有无狭窄，预警和评估血管疾病如高血压病、糖尿病、冠心病、脑卒中等风险和中风预报。</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妇科</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主要用于阴道炎、宫颈炎以及妇科等疾病的检查。</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阴道炎5项</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专用现代设备自动检测细菌性阴道病、念珠性阴道炎、滴虫性阴道炎、需氧性阴道炎及阴道混合型感染，全面评价感染及治疗后阴道微生物生态状况，准确反应阴道炎病原菌，并与传统的检验方法具有互补性，为临床诊疗提供有力依据早期筛查宫颈癌。</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液基TCT</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是目前国内外替代传统宫颈涂片检测宫颈癌最准确的检测技术，大大减少了由于血液、粘液、炎症而造成的模糊子宫颈细胞样本的数量，从而大大提高了妇女宫颈癌早期病变的检出率。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人乳头瘤病毒HPV</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直接反映人体内乳头瘤病毒是否存在，可具体判断出感染型别，为临床诊断宫颈癌提供参考。</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CT胸部平扫</w:t>
            </w:r>
          </w:p>
        </w:tc>
        <w:tc>
          <w:tcPr>
            <w:tcW w:w="5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胸部疾病常用的一种检查方法，可以检查出胸壁、胸膜、肺部病变、心脏、大血管的病变等。</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bl>
    <w:p>
      <w:pPr>
        <w:pStyle w:val="39"/>
        <w:rPr>
          <w:rFonts w:hint="eastAsia"/>
          <w:lang w:val="en-US" w:eastAsia="zh-CN"/>
        </w:rPr>
      </w:pPr>
    </w:p>
    <w:p>
      <w:pPr>
        <w:pStyle w:val="39"/>
        <w:rPr>
          <w:rFonts w:hint="eastAsia"/>
          <w:highlight w:val="none"/>
          <w:lang w:val="en-US" w:eastAsia="zh-CN"/>
        </w:rPr>
      </w:pPr>
    </w:p>
    <w:p>
      <w:pPr>
        <w:pStyle w:val="13"/>
        <w:numPr>
          <w:ilvl w:val="-1"/>
          <w:numId w:val="0"/>
        </w:numPr>
        <w:rPr>
          <w:rFonts w:hint="eastAsia"/>
          <w:highlight w:val="none"/>
        </w:rPr>
      </w:pPr>
    </w:p>
    <w:p>
      <w:pPr>
        <w:adjustRightInd w:val="0"/>
        <w:snapToGrid w:val="0"/>
        <w:spacing w:line="312" w:lineRule="auto"/>
        <w:rPr>
          <w:rFonts w:hint="eastAsia"/>
          <w:lang w:val="en-US" w:eastAsia="zh-CN"/>
        </w:rPr>
      </w:pPr>
    </w:p>
    <w:p>
      <w:pPr>
        <w:rPr>
          <w:rFonts w:hint="eastAsia" w:ascii="黑体" w:hAnsi="黑体" w:eastAsia="黑体" w:cs="Times New Roman"/>
          <w:sz w:val="36"/>
          <w:szCs w:val="36"/>
          <w:lang w:val="en-US" w:eastAsia="zh-CN"/>
        </w:rPr>
      </w:pPr>
      <w:bookmarkStart w:id="408" w:name="_Toc24831"/>
      <w:bookmarkStart w:id="409" w:name="_Toc20262"/>
      <w:r>
        <w:rPr>
          <w:rFonts w:hint="eastAsia" w:ascii="黑体" w:hAnsi="黑体" w:eastAsia="黑体" w:cs="Times New Roman"/>
          <w:sz w:val="36"/>
          <w:szCs w:val="36"/>
          <w:lang w:val="en-US" w:eastAsia="zh-CN"/>
        </w:rPr>
        <w:br w:type="page"/>
      </w:r>
    </w:p>
    <w:p>
      <w:pPr>
        <w:jc w:val="center"/>
        <w:outlineLvl w:val="0"/>
        <w:rPr>
          <w:rFonts w:hint="eastAsia" w:ascii="黑体" w:hAnsi="黑体" w:eastAsia="黑体" w:cs="Times New Roman"/>
          <w:sz w:val="36"/>
          <w:szCs w:val="36"/>
          <w:lang w:val="en-US" w:eastAsia="zh-CN"/>
        </w:rPr>
      </w:pPr>
      <w:bookmarkStart w:id="410" w:name="_Toc5087"/>
      <w:r>
        <w:rPr>
          <w:rFonts w:hint="eastAsia" w:ascii="黑体" w:hAnsi="黑体" w:eastAsia="黑体" w:cs="Times New Roman"/>
          <w:sz w:val="36"/>
          <w:szCs w:val="36"/>
          <w:lang w:val="en-US" w:eastAsia="zh-CN"/>
        </w:rPr>
        <w:t>第六章  响应文件格式</w:t>
      </w:r>
      <w:bookmarkEnd w:id="408"/>
      <w:bookmarkEnd w:id="409"/>
      <w:bookmarkEnd w:id="410"/>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 w:hAnsi="仿宋" w:eastAsia="仿宋" w:cs="仿宋"/>
          <w:sz w:val="30"/>
          <w:szCs w:val="30"/>
        </w:rPr>
      </w:pPr>
    </w:p>
    <w:p>
      <w:pPr>
        <w:snapToGrid w:val="0"/>
        <w:spacing w:before="0" w:beforeAutospacing="0" w:after="0" w:afterAutospacing="0" w:line="900" w:lineRule="exact"/>
        <w:ind w:firstLine="0" w:firstLineChars="0"/>
        <w:jc w:val="center"/>
        <w:outlineLvl w:val="1"/>
        <w:rPr>
          <w:rFonts w:hint="eastAsia" w:ascii="黑体" w:hAnsi="黑体" w:eastAsia="黑体" w:cs="Times New Roman"/>
          <w:b/>
          <w:bCs/>
          <w:color w:val="auto"/>
          <w:kern w:val="2"/>
          <w:sz w:val="48"/>
          <w:szCs w:val="48"/>
          <w:highlight w:val="none"/>
          <w:u w:val="none"/>
          <w:lang w:val="en-US" w:eastAsia="zh-CN" w:bidi="ar"/>
        </w:rPr>
      </w:pPr>
      <w:bookmarkStart w:id="411" w:name="_Toc21763"/>
      <w:bookmarkStart w:id="412" w:name="_Toc4161"/>
      <w:bookmarkStart w:id="413" w:name="_Toc18180"/>
      <w:bookmarkStart w:id="414" w:name="_Toc26491"/>
      <w:bookmarkStart w:id="415" w:name="_Toc12034"/>
      <w:bookmarkStart w:id="416" w:name="_Toc10820"/>
      <w:bookmarkStart w:id="417" w:name="_Toc30536"/>
      <w:bookmarkStart w:id="418" w:name="_Toc14139"/>
      <w:r>
        <w:rPr>
          <w:rFonts w:hint="eastAsia" w:ascii="黑体" w:hAnsi="黑体" w:eastAsia="黑体" w:cs="Times New Roman"/>
          <w:b/>
          <w:bCs/>
          <w:color w:val="auto"/>
          <w:kern w:val="2"/>
          <w:sz w:val="48"/>
          <w:szCs w:val="48"/>
          <w:highlight w:val="none"/>
          <w:u w:val="none"/>
          <w:lang w:val="en-US" w:eastAsia="zh-CN" w:bidi="ar"/>
        </w:rPr>
        <w:t>岳阳城陵矶新港有限公司</w:t>
      </w:r>
      <w:bookmarkEnd w:id="411"/>
      <w:bookmarkEnd w:id="412"/>
      <w:bookmarkEnd w:id="413"/>
      <w:bookmarkEnd w:id="414"/>
      <w:bookmarkEnd w:id="415"/>
      <w:bookmarkEnd w:id="416"/>
      <w:bookmarkEnd w:id="417"/>
      <w:bookmarkEnd w:id="418"/>
    </w:p>
    <w:p>
      <w:pPr>
        <w:snapToGrid w:val="0"/>
        <w:spacing w:line="900" w:lineRule="exact"/>
        <w:jc w:val="center"/>
        <w:outlineLvl w:val="0"/>
        <w:rPr>
          <w:rFonts w:hint="eastAsia" w:ascii="黑体" w:hAnsi="黑体" w:eastAsia="黑体"/>
          <w:b/>
          <w:bCs/>
          <w:color w:val="auto"/>
          <w:sz w:val="48"/>
          <w:szCs w:val="48"/>
          <w:highlight w:val="none"/>
          <w:u w:val="none"/>
          <w:lang w:val="en-US" w:eastAsia="zh-CN" w:bidi="ar"/>
        </w:rPr>
      </w:pPr>
      <w:bookmarkStart w:id="419" w:name="_Toc16740"/>
      <w:bookmarkStart w:id="420" w:name="_Toc28358_WPSOffice_Level1"/>
      <w:bookmarkStart w:id="421" w:name="_Toc19085"/>
      <w:bookmarkStart w:id="422" w:name="_Toc22027"/>
      <w:bookmarkStart w:id="423" w:name="_Toc15469"/>
      <w:bookmarkStart w:id="424" w:name="_Toc29852"/>
      <w:bookmarkStart w:id="425" w:name="_Toc29904"/>
      <w:bookmarkStart w:id="426" w:name="_Toc28640"/>
      <w:bookmarkStart w:id="427" w:name="_Toc17561"/>
      <w:bookmarkStart w:id="428" w:name="_Toc27645"/>
      <w:r>
        <w:rPr>
          <w:rFonts w:hint="eastAsia" w:ascii="黑体" w:hAnsi="黑体" w:eastAsia="黑体" w:cs="Times New Roman"/>
          <w:b/>
          <w:bCs/>
          <w:color w:val="auto"/>
          <w:kern w:val="2"/>
          <w:sz w:val="48"/>
          <w:szCs w:val="48"/>
          <w:highlight w:val="none"/>
          <w:u w:val="none"/>
          <w:lang w:eastAsia="zh-CN" w:bidi="ar"/>
        </w:rPr>
        <w:t>20</w:t>
      </w:r>
      <w:r>
        <w:rPr>
          <w:rFonts w:hint="eastAsia" w:ascii="黑体" w:hAnsi="黑体" w:eastAsia="黑体" w:cs="Times New Roman"/>
          <w:b/>
          <w:bCs/>
          <w:color w:val="auto"/>
          <w:kern w:val="2"/>
          <w:sz w:val="48"/>
          <w:szCs w:val="48"/>
          <w:highlight w:val="none"/>
          <w:u w:val="none"/>
          <w:lang w:val="en-US" w:eastAsia="zh-CN" w:bidi="ar"/>
        </w:rPr>
        <w:t>24</w:t>
      </w:r>
      <w:r>
        <w:rPr>
          <w:rFonts w:hint="eastAsia" w:ascii="黑体" w:hAnsi="黑体" w:eastAsia="黑体" w:cs="Times New Roman"/>
          <w:b/>
          <w:bCs/>
          <w:color w:val="auto"/>
          <w:kern w:val="2"/>
          <w:sz w:val="48"/>
          <w:szCs w:val="48"/>
          <w:highlight w:val="none"/>
          <w:u w:val="none"/>
          <w:lang w:eastAsia="zh-CN" w:bidi="ar"/>
        </w:rPr>
        <w:t>年度职工</w:t>
      </w:r>
      <w:r>
        <w:rPr>
          <w:rFonts w:hint="eastAsia" w:ascii="黑体" w:hAnsi="黑体" w:eastAsia="黑体" w:cs="Times New Roman"/>
          <w:b/>
          <w:bCs/>
          <w:color w:val="auto"/>
          <w:kern w:val="2"/>
          <w:sz w:val="48"/>
          <w:szCs w:val="48"/>
          <w:highlight w:val="none"/>
          <w:u w:val="none"/>
          <w:lang w:val="en-US" w:eastAsia="zh-CN" w:bidi="ar"/>
        </w:rPr>
        <w:t>健康</w:t>
      </w:r>
      <w:r>
        <w:rPr>
          <w:rFonts w:hint="eastAsia" w:ascii="黑体" w:hAnsi="黑体" w:eastAsia="黑体" w:cs="Times New Roman"/>
          <w:b/>
          <w:bCs/>
          <w:color w:val="auto"/>
          <w:kern w:val="2"/>
          <w:sz w:val="48"/>
          <w:szCs w:val="48"/>
          <w:highlight w:val="none"/>
          <w:u w:val="none"/>
          <w:lang w:eastAsia="zh-CN" w:bidi="ar"/>
        </w:rPr>
        <w:t>体检项目</w:t>
      </w:r>
      <w:bookmarkEnd w:id="419"/>
      <w:bookmarkEnd w:id="420"/>
      <w:bookmarkEnd w:id="421"/>
      <w:bookmarkEnd w:id="422"/>
      <w:bookmarkEnd w:id="423"/>
      <w:bookmarkEnd w:id="424"/>
      <w:bookmarkEnd w:id="425"/>
      <w:bookmarkEnd w:id="426"/>
      <w:bookmarkEnd w:id="427"/>
      <w:bookmarkEnd w:id="428"/>
      <w:r>
        <w:rPr>
          <w:rFonts w:hint="eastAsia" w:ascii="黑体" w:hAnsi="黑体" w:eastAsia="黑体" w:cs="Times New Roman"/>
          <w:b/>
          <w:bCs/>
          <w:color w:val="auto"/>
          <w:kern w:val="2"/>
          <w:sz w:val="48"/>
          <w:szCs w:val="48"/>
          <w:highlight w:val="none"/>
          <w:u w:val="none"/>
          <w:lang w:bidi="ar"/>
        </w:rPr>
        <w:t xml:space="preserve"> </w:t>
      </w:r>
    </w:p>
    <w:p>
      <w:pPr>
        <w:widowControl/>
        <w:snapToGrid w:val="0"/>
        <w:spacing w:before="0" w:beforeLines="-2147483648" w:after="0" w:afterLines="-2147483648" w:line="900" w:lineRule="exact"/>
        <w:ind w:firstLine="0" w:firstLineChars="0"/>
        <w:jc w:val="center"/>
        <w:outlineLvl w:val="9"/>
        <w:rPr>
          <w:rFonts w:hint="eastAsia" w:ascii="黑体" w:hAnsi="黑体" w:eastAsia="黑体"/>
          <w:b/>
          <w:bCs/>
          <w:color w:val="auto"/>
          <w:sz w:val="48"/>
          <w:szCs w:val="48"/>
          <w:highlight w:val="none"/>
          <w:u w:val="none"/>
          <w:lang w:bidi="ar"/>
        </w:rPr>
      </w:pPr>
      <w:bookmarkStart w:id="429" w:name="_Toc22236"/>
    </w:p>
    <w:p>
      <w:pPr>
        <w:widowControl w:val="0"/>
        <w:spacing w:before="240" w:beforeLines="100" w:after="240" w:afterLines="100" w:line="240" w:lineRule="auto"/>
        <w:ind w:firstLine="0" w:firstLineChars="0"/>
        <w:jc w:val="center"/>
        <w:outlineLvl w:val="0"/>
        <w:rPr>
          <w:rFonts w:eastAsia="楷体_GB2312"/>
          <w:b/>
          <w:bCs/>
          <w:color w:val="auto"/>
          <w:sz w:val="28"/>
          <w:szCs w:val="28"/>
          <w:highlight w:val="none"/>
        </w:rPr>
      </w:pPr>
      <w:bookmarkStart w:id="430" w:name="_Toc2941"/>
      <w:bookmarkStart w:id="431" w:name="_Toc27459"/>
      <w:bookmarkStart w:id="432" w:name="_Toc1137"/>
      <w:bookmarkStart w:id="433" w:name="_Toc31152_WPSOffice_Level1"/>
      <w:bookmarkStart w:id="434" w:name="_Toc283"/>
      <w:bookmarkStart w:id="435" w:name="_Toc32110"/>
      <w:bookmarkStart w:id="436" w:name="_Toc3336"/>
      <w:bookmarkStart w:id="437" w:name="_Toc21939"/>
      <w:bookmarkStart w:id="438" w:name="_Toc8121"/>
      <w:bookmarkStart w:id="439" w:name="_Toc4116"/>
      <w:bookmarkStart w:id="440" w:name="_Toc22498"/>
      <w:r>
        <w:rPr>
          <w:rFonts w:eastAsia="楷体_GB2312"/>
          <w:b/>
          <w:bCs/>
          <w:color w:val="auto"/>
          <w:sz w:val="28"/>
          <w:szCs w:val="28"/>
          <w:highlight w:val="none"/>
        </w:rPr>
        <w:t>（项目</w:t>
      </w:r>
      <w:r>
        <w:rPr>
          <w:rFonts w:hint="eastAsia" w:eastAsia="楷体_GB2312"/>
          <w:b/>
          <w:bCs/>
          <w:color w:val="auto"/>
          <w:sz w:val="28"/>
          <w:szCs w:val="28"/>
          <w:highlight w:val="none"/>
        </w:rPr>
        <w:t>采购</w:t>
      </w:r>
      <w:r>
        <w:rPr>
          <w:rFonts w:eastAsia="楷体_GB2312"/>
          <w:b/>
          <w:bCs/>
          <w:color w:val="auto"/>
          <w:sz w:val="28"/>
          <w:szCs w:val="28"/>
          <w:highlight w:val="none"/>
        </w:rPr>
        <w:t>编号：</w:t>
      </w:r>
      <w:r>
        <w:rPr>
          <w:rFonts w:eastAsia="楷体_GB2312"/>
          <w:b/>
          <w:bCs/>
          <w:color w:val="auto"/>
          <w:sz w:val="28"/>
          <w:szCs w:val="28"/>
          <w:highlight w:val="none"/>
          <w:u w:val="single"/>
        </w:rPr>
        <w:t xml:space="preserve">   </w:t>
      </w:r>
      <w:r>
        <w:rPr>
          <w:rFonts w:hint="eastAsia" w:eastAsia="楷体_GB2312"/>
          <w:b/>
          <w:bCs/>
          <w:color w:val="auto"/>
          <w:sz w:val="28"/>
          <w:szCs w:val="28"/>
          <w:highlight w:val="none"/>
          <w:u w:val="single"/>
        </w:rPr>
        <w:t>填入项目采购编号</w:t>
      </w:r>
      <w:r>
        <w:rPr>
          <w:rFonts w:eastAsia="楷体_GB2312"/>
          <w:b/>
          <w:bCs/>
          <w:color w:val="auto"/>
          <w:sz w:val="28"/>
          <w:szCs w:val="28"/>
          <w:highlight w:val="none"/>
          <w:u w:val="single"/>
        </w:rPr>
        <w:t xml:space="preserve">     </w:t>
      </w:r>
      <w:r>
        <w:rPr>
          <w:rFonts w:eastAsia="楷体_GB2312"/>
          <w:b/>
          <w:bCs/>
          <w:color w:val="auto"/>
          <w:sz w:val="28"/>
          <w:szCs w:val="28"/>
          <w:highlight w:val="none"/>
        </w:rPr>
        <w:t>）</w:t>
      </w:r>
      <w:bookmarkEnd w:id="429"/>
      <w:bookmarkEnd w:id="430"/>
      <w:bookmarkEnd w:id="431"/>
      <w:bookmarkEnd w:id="432"/>
      <w:bookmarkEnd w:id="433"/>
      <w:bookmarkEnd w:id="434"/>
      <w:bookmarkEnd w:id="435"/>
      <w:bookmarkEnd w:id="436"/>
      <w:bookmarkEnd w:id="437"/>
      <w:bookmarkEnd w:id="438"/>
      <w:bookmarkEnd w:id="439"/>
      <w:bookmarkEnd w:id="440"/>
    </w:p>
    <w:p>
      <w:pPr>
        <w:widowControl w:val="0"/>
        <w:adjustRightInd w:val="0"/>
        <w:snapToGrid w:val="0"/>
        <w:rPr>
          <w:b/>
          <w:color w:val="auto"/>
          <w:highlight w:val="none"/>
        </w:rPr>
      </w:pPr>
    </w:p>
    <w:p>
      <w:pPr>
        <w:spacing w:line="288" w:lineRule="auto"/>
        <w:jc w:val="center"/>
        <w:rPr>
          <w:rFonts w:eastAsia="方正小标宋_GBK"/>
          <w:b/>
          <w:bCs/>
          <w:color w:val="auto"/>
          <w:spacing w:val="160"/>
          <w:sz w:val="72"/>
          <w:szCs w:val="72"/>
          <w:highlight w:val="none"/>
        </w:rPr>
      </w:pPr>
    </w:p>
    <w:p>
      <w:pPr>
        <w:pStyle w:val="4"/>
        <w:outlineLvl w:val="9"/>
        <w:rPr>
          <w:color w:val="auto"/>
          <w:highlight w:val="none"/>
        </w:rPr>
      </w:pPr>
    </w:p>
    <w:p>
      <w:pPr>
        <w:spacing w:line="288" w:lineRule="auto"/>
        <w:jc w:val="center"/>
        <w:outlineLvl w:val="0"/>
        <w:rPr>
          <w:rFonts w:eastAsia="方正小标宋_GBK"/>
          <w:b/>
          <w:bCs/>
          <w:color w:val="auto"/>
          <w:spacing w:val="160"/>
          <w:sz w:val="72"/>
          <w:szCs w:val="72"/>
          <w:highlight w:val="none"/>
        </w:rPr>
      </w:pPr>
      <w:bookmarkStart w:id="441" w:name="_Toc2697"/>
      <w:bookmarkStart w:id="442" w:name="_Toc22936"/>
      <w:bookmarkStart w:id="443" w:name="_Toc11795_WPSOffice_Level1"/>
      <w:bookmarkStart w:id="444" w:name="_Toc1021"/>
      <w:bookmarkStart w:id="445" w:name="_Toc2815"/>
      <w:bookmarkStart w:id="446" w:name="_Toc28474"/>
      <w:bookmarkStart w:id="447" w:name="_Toc6097"/>
      <w:bookmarkStart w:id="448" w:name="_Toc22722"/>
      <w:bookmarkStart w:id="449" w:name="_Toc20945"/>
      <w:bookmarkStart w:id="450" w:name="_Toc16801"/>
      <w:bookmarkStart w:id="451" w:name="_Toc6082"/>
      <w:bookmarkStart w:id="452" w:name="_Toc421"/>
      <w:r>
        <w:rPr>
          <w:rFonts w:hint="eastAsia" w:eastAsia="方正小标宋_GBK"/>
          <w:b/>
          <w:bCs/>
          <w:color w:val="auto"/>
          <w:spacing w:val="160"/>
          <w:sz w:val="72"/>
          <w:szCs w:val="72"/>
          <w:highlight w:val="none"/>
        </w:rPr>
        <w:t>响应</w:t>
      </w:r>
      <w:r>
        <w:rPr>
          <w:rFonts w:eastAsia="方正小标宋_GBK"/>
          <w:b/>
          <w:bCs/>
          <w:color w:val="auto"/>
          <w:spacing w:val="160"/>
          <w:sz w:val="72"/>
          <w:szCs w:val="72"/>
          <w:highlight w:val="none"/>
        </w:rPr>
        <w:t>文件</w:t>
      </w:r>
      <w:bookmarkEnd w:id="441"/>
      <w:bookmarkEnd w:id="442"/>
      <w:bookmarkEnd w:id="443"/>
      <w:bookmarkEnd w:id="444"/>
      <w:bookmarkEnd w:id="445"/>
      <w:bookmarkEnd w:id="446"/>
      <w:bookmarkEnd w:id="447"/>
      <w:bookmarkEnd w:id="448"/>
      <w:bookmarkEnd w:id="449"/>
      <w:bookmarkEnd w:id="450"/>
      <w:bookmarkEnd w:id="451"/>
      <w:bookmarkEnd w:id="452"/>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rPr>
          <w:rFonts w:hint="eastAsia" w:ascii="黑体" w:hAnsi="黑体" w:eastAsia="黑体" w:cs="仿宋"/>
          <w:sz w:val="36"/>
          <w:szCs w:val="36"/>
        </w:rPr>
      </w:pPr>
      <w:r>
        <w:rPr>
          <w:rFonts w:hint="eastAsia" w:ascii="黑体" w:hAnsi="黑体" w:eastAsia="黑体" w:cs="仿宋"/>
          <w:sz w:val="36"/>
          <w:szCs w:val="36"/>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rPr>
        <w:t>一、响应函</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rPr>
        <w:t>二、授权委托书(适用于有委托代理人的情况)</w:t>
      </w:r>
    </w:p>
    <w:p>
      <w:pPr>
        <w:adjustRightInd w:val="0"/>
        <w:snapToGrid w:val="0"/>
        <w:spacing w:line="600" w:lineRule="exact"/>
        <w:jc w:val="both"/>
        <w:rPr>
          <w:rFonts w:hint="eastAsia" w:ascii="宋体" w:hAnsi="宋体" w:eastAsia="宋体" w:cs="仿宋"/>
          <w:sz w:val="24"/>
          <w:highlight w:val="none"/>
          <w:lang w:eastAsia="zh-CN"/>
        </w:rPr>
      </w:pPr>
      <w:r>
        <w:rPr>
          <w:rFonts w:hint="eastAsia" w:ascii="宋体" w:hAnsi="宋体" w:cs="仿宋"/>
          <w:sz w:val="24"/>
          <w:highlight w:val="none"/>
          <w:lang w:val="en-US" w:eastAsia="zh-CN"/>
        </w:rPr>
        <w:t>三</w:t>
      </w:r>
      <w:r>
        <w:rPr>
          <w:rFonts w:hint="eastAsia" w:ascii="宋体" w:hAnsi="宋体" w:cs="仿宋"/>
          <w:sz w:val="24"/>
          <w:highlight w:val="none"/>
        </w:rPr>
        <w:t>、商务和技术偏差表</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四</w:t>
      </w:r>
      <w:r>
        <w:rPr>
          <w:rFonts w:hint="eastAsia" w:ascii="宋体" w:hAnsi="宋体" w:cs="仿宋"/>
          <w:sz w:val="24"/>
        </w:rPr>
        <w:t>、报价表</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五</w:t>
      </w:r>
      <w:r>
        <w:rPr>
          <w:rFonts w:hint="eastAsia" w:ascii="宋体" w:hAnsi="宋体" w:cs="仿宋"/>
          <w:sz w:val="24"/>
        </w:rPr>
        <w:t>、资格审查资料</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六</w:t>
      </w:r>
      <w:r>
        <w:rPr>
          <w:rFonts w:hint="eastAsia" w:ascii="宋体" w:hAnsi="宋体" w:cs="仿宋"/>
          <w:sz w:val="24"/>
        </w:rPr>
        <w:t>、响应方案</w:t>
      </w:r>
    </w:p>
    <w:p>
      <w:pPr>
        <w:adjustRightInd w:val="0"/>
        <w:snapToGrid w:val="0"/>
        <w:spacing w:line="600" w:lineRule="exact"/>
        <w:jc w:val="both"/>
        <w:rPr>
          <w:rFonts w:hint="eastAsia" w:ascii="宋体" w:hAnsi="宋体" w:cs="仿宋"/>
          <w:sz w:val="24"/>
          <w:lang w:val="en-US" w:eastAsia="zh-CN"/>
        </w:rPr>
      </w:pPr>
      <w:r>
        <w:rPr>
          <w:rFonts w:hint="eastAsia" w:ascii="宋体" w:hAnsi="宋体" w:cs="仿宋"/>
          <w:sz w:val="24"/>
          <w:lang w:val="en-US" w:eastAsia="zh-CN"/>
        </w:rPr>
        <w:t>七</w:t>
      </w:r>
      <w:r>
        <w:rPr>
          <w:rFonts w:hint="eastAsia" w:ascii="宋体" w:hAnsi="宋体" w:cs="仿宋"/>
          <w:sz w:val="24"/>
        </w:rPr>
        <w:t>、其他</w:t>
      </w:r>
      <w:r>
        <w:rPr>
          <w:rFonts w:hint="eastAsia" w:ascii="宋体" w:hAnsi="宋体" w:cs="仿宋"/>
          <w:sz w:val="24"/>
          <w:lang w:val="en-US" w:eastAsia="zh-CN"/>
        </w:rPr>
        <w:t>资料</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473"/>
        </w:tabs>
        <w:bidi w:val="0"/>
        <w:jc w:val="left"/>
        <w:rPr>
          <w:rFonts w:hint="default"/>
          <w:lang w:val="en-US" w:eastAsia="zh-CN"/>
        </w:rPr>
      </w:pPr>
    </w:p>
    <w:p>
      <w:pPr>
        <w:pStyle w:val="40"/>
        <w:rPr>
          <w:rFonts w:hint="default"/>
          <w:lang w:val="en-US" w:eastAsia="zh-CN"/>
        </w:rPr>
      </w:pPr>
    </w:p>
    <w:p>
      <w:pPr>
        <w:pStyle w:val="41"/>
        <w:rPr>
          <w:rFonts w:hint="default"/>
          <w:lang w:val="en-US" w:eastAsia="zh-CN"/>
        </w:rPr>
      </w:pPr>
    </w:p>
    <w:p>
      <w:pPr>
        <w:pStyle w:val="41"/>
        <w:rPr>
          <w:rFonts w:hint="default"/>
          <w:lang w:val="en-US" w:eastAsia="zh-CN"/>
        </w:rPr>
      </w:pPr>
    </w:p>
    <w:p>
      <w:pPr>
        <w:adjustRightInd w:val="0"/>
        <w:snapToGrid w:val="0"/>
        <w:spacing w:line="600" w:lineRule="exact"/>
        <w:jc w:val="center"/>
        <w:rPr>
          <w:rFonts w:hint="eastAsia" w:ascii="黑体" w:hAnsi="黑体" w:eastAsia="黑体" w:cs="仿宋"/>
          <w:sz w:val="36"/>
          <w:szCs w:val="36"/>
          <w:lang w:val="en-US" w:eastAsia="zh-CN"/>
        </w:rPr>
        <w:sectPr>
          <w:headerReference r:id="rId9" w:type="default"/>
          <w:footerReference r:id="rId10" w:type="default"/>
          <w:pgSz w:w="11906" w:h="16838"/>
          <w:pgMar w:top="1440" w:right="1080" w:bottom="1440" w:left="1080" w:header="851" w:footer="850" w:gutter="0"/>
          <w:pgNumType w:fmt="decimal"/>
          <w:cols w:space="720" w:num="1"/>
          <w:docGrid w:linePitch="312" w:charSpace="0"/>
        </w:sectPr>
      </w:pPr>
    </w:p>
    <w:p>
      <w:pPr>
        <w:jc w:val="center"/>
        <w:outlineLvl w:val="1"/>
        <w:rPr>
          <w:rFonts w:hint="eastAsia" w:ascii="黑体" w:hAnsi="黑体" w:eastAsia="黑体" w:cs="仿宋"/>
          <w:sz w:val="36"/>
          <w:szCs w:val="36"/>
          <w:lang w:val="en-US" w:eastAsia="zh-CN"/>
        </w:rPr>
      </w:pPr>
      <w:bookmarkStart w:id="453" w:name="_Toc28411"/>
      <w:r>
        <w:rPr>
          <w:rFonts w:hint="eastAsia" w:ascii="黑体" w:hAnsi="黑体" w:eastAsia="黑体" w:cs="仿宋"/>
          <w:sz w:val="36"/>
          <w:szCs w:val="36"/>
          <w:lang w:val="en-US" w:eastAsia="zh-CN"/>
        </w:rPr>
        <w:t>一、响应函</w:t>
      </w:r>
      <w:bookmarkEnd w:id="453"/>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(采购人名称):</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宋体" w:hAnsi="宋体" w:eastAsia="宋体" w:cs="Times New Roman"/>
          <w:color w:val="auto"/>
          <w:sz w:val="24"/>
          <w:highlight w:val="none"/>
          <w:lang w:val="en-US" w:eastAsia="zh-CN"/>
        </w:rPr>
      </w:pPr>
      <w:bookmarkStart w:id="454" w:name="_Toc7878"/>
      <w:bookmarkStart w:id="455" w:name="_Toc20740"/>
      <w:bookmarkStart w:id="456" w:name="_Toc7813"/>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rPr>
        <w:t>我方已仔细研究了</w:t>
      </w:r>
      <w:r>
        <w:rPr>
          <w:rFonts w:hint="eastAsia" w:ascii="宋体" w:hAnsi="宋体" w:cs="Times New Roman"/>
          <w:color w:val="auto"/>
          <w:sz w:val="24"/>
          <w:highlight w:val="none"/>
          <w:lang w:val="en-US" w:eastAsia="zh-CN"/>
        </w:rPr>
        <w:t>贵公司《</w:t>
      </w:r>
      <w:r>
        <w:rPr>
          <w:rFonts w:hint="eastAsia" w:ascii="宋体" w:hAnsi="宋体" w:cs="Times New Roman"/>
          <w:b w:val="0"/>
          <w:bCs w:val="0"/>
          <w:color w:val="auto"/>
          <w:kern w:val="2"/>
          <w:sz w:val="24"/>
          <w:szCs w:val="24"/>
          <w:highlight w:val="none"/>
          <w:u w:val="none"/>
          <w:lang w:val="en-US" w:eastAsia="zh-CN" w:bidi="ar"/>
        </w:rPr>
        <w:t>2024年度职工健康体检</w:t>
      </w:r>
      <w:r>
        <w:rPr>
          <w:rFonts w:hint="eastAsia" w:ascii="宋体" w:hAnsi="宋体" w:eastAsia="宋体" w:cs="Times New Roman"/>
          <w:b w:val="0"/>
          <w:bCs w:val="0"/>
          <w:color w:val="auto"/>
          <w:kern w:val="2"/>
          <w:sz w:val="24"/>
          <w:szCs w:val="24"/>
          <w:highlight w:val="none"/>
          <w:u w:val="none"/>
          <w:lang w:val="en-US" w:eastAsia="zh-CN" w:bidi="ar"/>
        </w:rPr>
        <w:t>项目</w:t>
      </w:r>
      <w:r>
        <w:rPr>
          <w:rFonts w:hint="eastAsia" w:ascii="宋体" w:hAnsi="宋体" w:cs="Times New Roman"/>
          <w:b w:val="0"/>
          <w:bCs w:val="0"/>
          <w:color w:val="auto"/>
          <w:kern w:val="2"/>
          <w:sz w:val="24"/>
          <w:szCs w:val="24"/>
          <w:highlight w:val="none"/>
          <w:u w:val="none"/>
          <w:lang w:val="en-US" w:eastAsia="zh-CN" w:bidi="ar"/>
        </w:rPr>
        <w:t>》</w:t>
      </w:r>
      <w:r>
        <w:rPr>
          <w:rFonts w:hint="eastAsia" w:ascii="宋体" w:hAnsi="宋体" w:eastAsia="宋体" w:cs="Times New Roman"/>
          <w:color w:val="auto"/>
          <w:sz w:val="24"/>
          <w:highlight w:val="none"/>
        </w:rPr>
        <w:t>采购文件的全部内容，愿意以人民币(大写)</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rPr>
        <w:t>)的报价</w:t>
      </w:r>
      <w:r>
        <w:rPr>
          <w:rFonts w:hint="eastAsia" w:ascii="宋体" w:hAnsi="宋体" w:cs="Times New Roman"/>
          <w:color w:val="auto"/>
          <w:sz w:val="24"/>
          <w:highlight w:val="none"/>
          <w:lang w:eastAsia="zh-CN"/>
        </w:rPr>
        <w:t>提供</w:t>
      </w:r>
      <w:r>
        <w:rPr>
          <w:rFonts w:hint="eastAsia" w:ascii="宋体" w:hAnsi="宋体" w:eastAsia="宋体" w:cs="Times New Roman"/>
          <w:color w:val="auto"/>
          <w:sz w:val="24"/>
          <w:highlight w:val="none"/>
        </w:rPr>
        <w:t>服务，</w:t>
      </w:r>
      <w:r>
        <w:rPr>
          <w:rFonts w:hint="eastAsia" w:ascii="宋体" w:hAnsi="宋体"/>
          <w:b w:val="0"/>
          <w:bCs w:val="0"/>
          <w:color w:val="auto"/>
          <w:sz w:val="24"/>
          <w:highlight w:val="none"/>
          <w:u w:val="none"/>
          <w:lang w:val="en-US" w:eastAsia="zh-CN"/>
        </w:rPr>
        <w:t>提供医疗门诊收费票据，</w:t>
      </w:r>
      <w:r>
        <w:rPr>
          <w:rFonts w:hint="eastAsia" w:ascii="宋体" w:hAnsi="宋体" w:eastAsia="宋体" w:cs="Times New Roman"/>
          <w:color w:val="auto"/>
          <w:sz w:val="24"/>
          <w:highlight w:val="none"/>
        </w:rPr>
        <w:t>并按合同约定履行义务。</w:t>
      </w:r>
      <w:r>
        <w:rPr>
          <w:rFonts w:hint="eastAsia" w:ascii="宋体" w:hAnsi="宋体" w:cs="Times New Roman"/>
          <w:color w:val="auto"/>
          <w:sz w:val="24"/>
          <w:highlight w:val="none"/>
          <w:lang w:val="en-US" w:eastAsia="zh-CN"/>
        </w:rPr>
        <w:t>服务期限：90个日历天。</w:t>
      </w:r>
    </w:p>
    <w:p>
      <w:pPr>
        <w:adjustRightInd w:val="0"/>
        <w:snapToGrid w:val="0"/>
        <w:spacing w:line="600" w:lineRule="exact"/>
        <w:jc w:val="both"/>
        <w:outlineLvl w:val="1"/>
        <w:rPr>
          <w:rFonts w:cs="仿宋" w:asciiTheme="minorEastAsia" w:hAnsiTheme="minorEastAsia" w:eastAsiaTheme="minorEastAsia"/>
          <w:sz w:val="24"/>
          <w:highlight w:val="none"/>
        </w:rPr>
      </w:pPr>
      <w:bookmarkStart w:id="457" w:name="_Toc3656"/>
      <w:r>
        <w:rPr>
          <w:rFonts w:hint="eastAsia" w:cs="仿宋" w:asciiTheme="minorEastAsia" w:hAnsiTheme="minorEastAsia" w:eastAsiaTheme="minorEastAsia"/>
          <w:sz w:val="24"/>
          <w:highlight w:val="none"/>
        </w:rPr>
        <w:t>2.我方的响应文件包括下列内容:</w:t>
      </w:r>
      <w:bookmarkEnd w:id="454"/>
      <w:bookmarkEnd w:id="455"/>
      <w:bookmarkEnd w:id="456"/>
      <w:bookmarkEnd w:id="457"/>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(1)响应函；</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(2)授权委托书(如有)；</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(3)商务和技术偏差表；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(4)报价表；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(5)资格审查资料；</w:t>
      </w:r>
    </w:p>
    <w:p>
      <w:pPr>
        <w:adjustRightInd w:val="0"/>
        <w:snapToGrid w:val="0"/>
        <w:spacing w:line="600" w:lineRule="exact"/>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(6)响应方案；</w:t>
      </w:r>
    </w:p>
    <w:p>
      <w:pPr>
        <w:adjustRightInd w:val="0"/>
        <w:snapToGrid w:val="0"/>
        <w:spacing w:line="600" w:lineRule="exact"/>
        <w:jc w:val="both"/>
        <w:rPr>
          <w:highlight w:val="none"/>
        </w:rPr>
      </w:pP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val="en-US" w:eastAsia="zh-CN"/>
        </w:rPr>
        <w:t>7</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其他资料（如有）</w:t>
      </w:r>
      <w:r>
        <w:rPr>
          <w:rFonts w:hint="eastAsia" w:cs="仿宋" w:asciiTheme="minorEastAsia" w:hAnsiTheme="minorEastAsia" w:eastAsiaTheme="minorEastAsia"/>
          <w:sz w:val="24"/>
          <w:highlight w:val="none"/>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响应文件的上述组成部分如存在内容不</w:t>
      </w:r>
      <w:r>
        <w:rPr>
          <w:rFonts w:hint="eastAsia" w:cs="仿宋" w:asciiTheme="minorEastAsia" w:hAnsiTheme="minorEastAsia" w:eastAsiaTheme="minorEastAsia"/>
          <w:sz w:val="24"/>
          <w:highlight w:val="none"/>
          <w:lang w:val="en-US" w:eastAsia="zh-CN"/>
        </w:rPr>
        <w:t>一</w:t>
      </w:r>
      <w:r>
        <w:rPr>
          <w:rFonts w:hint="eastAsia" w:cs="仿宋" w:asciiTheme="minorEastAsia" w:hAnsiTheme="minorEastAsia" w:eastAsiaTheme="minorEastAsia"/>
          <w:sz w:val="24"/>
          <w:highlight w:val="none"/>
        </w:rPr>
        <w:t>致的，以响应函为准。</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3.我方承诺除商务和技术偏差表列出的偏差外，我方响应采购文件的全部要求。</w:t>
      </w:r>
    </w:p>
    <w:p>
      <w:pPr>
        <w:numPr>
          <w:ilvl w:val="0"/>
          <w:numId w:val="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我方承诺在采购文件规定的响应文件有效期内不撤销响应文件。</w:t>
      </w:r>
    </w:p>
    <w:p>
      <w:pPr>
        <w:numPr>
          <w:ilvl w:val="0"/>
          <w:numId w:val="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(2)在签订合同时不向你方提出附加条件；</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6.我方在此声明，所递交的响应文件及有关资料内容完整、真实和准确，</w:t>
      </w:r>
      <w:r>
        <w:rPr>
          <w:rFonts w:hint="eastAsia" w:cs="仿宋" w:asciiTheme="minorEastAsia" w:hAnsiTheme="minorEastAsia" w:eastAsiaTheme="minorEastAsia"/>
          <w:b/>
          <w:bCs/>
          <w:sz w:val="24"/>
          <w:highlight w:val="none"/>
        </w:rPr>
        <w:t>且不</w:t>
      </w:r>
      <w:r>
        <w:rPr>
          <w:rFonts w:hint="eastAsia" w:cs="仿宋" w:asciiTheme="minorEastAsia" w:hAnsiTheme="minorEastAsia" w:eastAsiaTheme="minorEastAsia"/>
          <w:b/>
          <w:bCs/>
          <w:sz w:val="24"/>
          <w:highlight w:val="none"/>
          <w:lang w:val="en-US" w:eastAsia="zh-CN"/>
        </w:rPr>
        <w:t>存</w:t>
      </w:r>
      <w:r>
        <w:rPr>
          <w:rFonts w:hint="eastAsia" w:cs="仿宋" w:asciiTheme="minorEastAsia" w:hAnsiTheme="minorEastAsia" w:eastAsiaTheme="minorEastAsia"/>
          <w:b/>
          <w:bCs/>
          <w:sz w:val="24"/>
          <w:highlight w:val="none"/>
        </w:rPr>
        <w:t>在第一章“询价公告”中规定的供应商不得存在的情形</w:t>
      </w:r>
      <w:r>
        <w:rPr>
          <w:rFonts w:hint="eastAsia" w:cs="仿宋" w:asciiTheme="minorEastAsia" w:hAnsiTheme="minorEastAsia" w:eastAsiaTheme="minorEastAsia"/>
          <w:sz w:val="24"/>
          <w:highlight w:val="none"/>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7.(其他补充说明)。</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供应商:________________________(盖单位章)</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法定代表人(单位负责人)或其授权的代理人:(签字) </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电子邮箱：_______________________________________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电话：____________________________________________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传真：____________________________________________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邮政编码：_______________________________________</w:t>
      </w:r>
    </w:p>
    <w:p>
      <w:pPr>
        <w:spacing w:line="600" w:lineRule="exact"/>
        <w:jc w:val="both"/>
        <w:rPr>
          <w:rFonts w:cs="仿宋" w:asciiTheme="minorEastAsia" w:hAnsiTheme="minorEastAsia" w:eastAsiaTheme="minorEastAsia"/>
          <w:sz w:val="24"/>
          <w:highlight w:val="none"/>
        </w:rPr>
      </w:pPr>
    </w:p>
    <w:p>
      <w:pPr>
        <w:spacing w:line="600" w:lineRule="exact"/>
        <w:ind w:firstLine="7200" w:firstLineChars="30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年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lang w:val="en-US" w:eastAsia="zh-CN"/>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 xml:space="preserve">月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240" w:lineRule="auto"/>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outlineLvl w:val="1"/>
        <w:rPr>
          <w:rFonts w:cs="仿宋" w:asciiTheme="minorEastAsia" w:hAnsiTheme="minorEastAsia" w:eastAsiaTheme="minorEastAsia"/>
          <w:sz w:val="24"/>
        </w:rPr>
      </w:pPr>
      <w:bookmarkStart w:id="458" w:name="_Toc17635"/>
      <w:bookmarkStart w:id="459" w:name="_Toc10553"/>
      <w:bookmarkStart w:id="460" w:name="_Toc30769"/>
      <w:bookmarkStart w:id="461" w:name="_Toc29550"/>
      <w:r>
        <w:rPr>
          <w:rFonts w:hint="eastAsia" w:cs="仿宋" w:asciiTheme="minorEastAsia" w:hAnsiTheme="minorEastAsia" w:eastAsiaTheme="minorEastAsia"/>
          <w:sz w:val="24"/>
        </w:rPr>
        <w:t>5、无联合体另外报价。</w:t>
      </w:r>
      <w:bookmarkEnd w:id="458"/>
      <w:bookmarkEnd w:id="459"/>
      <w:bookmarkEnd w:id="460"/>
      <w:bookmarkEnd w:id="461"/>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rPr>
          <w:rFonts w:hint="eastAsia" w:ascii="黑体" w:hAnsi="黑体" w:eastAsia="黑体" w:cs="仿宋"/>
          <w:sz w:val="36"/>
          <w:szCs w:val="36"/>
        </w:rPr>
      </w:pPr>
      <w:r>
        <w:rPr>
          <w:rFonts w:hint="eastAsia" w:ascii="黑体" w:hAnsi="黑体" w:eastAsia="黑体" w:cs="仿宋"/>
          <w:sz w:val="36"/>
          <w:szCs w:val="36"/>
        </w:rPr>
        <w:br w:type="page"/>
      </w:r>
    </w:p>
    <w:p>
      <w:pPr>
        <w:jc w:val="center"/>
        <w:outlineLvl w:val="1"/>
        <w:rPr>
          <w:rFonts w:hint="eastAsia" w:ascii="黑体" w:hAnsi="黑体" w:eastAsia="黑体" w:cs="仿宋"/>
          <w:sz w:val="36"/>
          <w:szCs w:val="36"/>
          <w:lang w:val="en-US" w:eastAsia="zh-CN"/>
        </w:rPr>
      </w:pPr>
      <w:bookmarkStart w:id="462" w:name="_Toc17472"/>
      <w:r>
        <w:rPr>
          <w:rFonts w:hint="eastAsia" w:ascii="黑体" w:hAnsi="黑体" w:eastAsia="黑体" w:cs="仿宋"/>
          <w:sz w:val="36"/>
          <w:szCs w:val="36"/>
          <w:lang w:val="en-US" w:eastAsia="zh-CN"/>
        </w:rPr>
        <w:t>二、授权委托书</w:t>
      </w:r>
      <w:bookmarkEnd w:id="462"/>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年</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日</w:t>
      </w:r>
    </w:p>
    <w:p>
      <w:pPr>
        <w:rPr>
          <w:rFonts w:hint="eastAsia" w:ascii="黑体" w:hAnsi="黑体" w:eastAsia="黑体" w:cs="仿宋"/>
          <w:sz w:val="36"/>
          <w:szCs w:val="36"/>
          <w:lang w:val="en-US" w:eastAsia="zh-CN"/>
        </w:rPr>
      </w:pPr>
      <w:r>
        <w:rPr>
          <w:rFonts w:hint="eastAsia" w:ascii="黑体" w:hAnsi="黑体" w:eastAsia="黑体" w:cs="仿宋"/>
          <w:sz w:val="36"/>
          <w:szCs w:val="36"/>
          <w:lang w:val="en-US" w:eastAsia="zh-CN"/>
        </w:rPr>
        <w:br w:type="page"/>
      </w:r>
    </w:p>
    <w:p>
      <w:pPr>
        <w:jc w:val="center"/>
        <w:outlineLvl w:val="1"/>
        <w:rPr>
          <w:rFonts w:hint="eastAsia" w:ascii="黑体" w:hAnsi="黑体" w:eastAsia="黑体" w:cs="仿宋"/>
          <w:sz w:val="36"/>
          <w:szCs w:val="36"/>
        </w:rPr>
      </w:pPr>
      <w:bookmarkStart w:id="463" w:name="_Toc31372"/>
      <w:r>
        <w:rPr>
          <w:rFonts w:hint="eastAsia" w:ascii="黑体" w:hAnsi="黑体" w:eastAsia="黑体" w:cs="仿宋"/>
          <w:sz w:val="36"/>
          <w:szCs w:val="36"/>
          <w:lang w:val="en-US" w:eastAsia="zh-CN"/>
        </w:rPr>
        <w:t>三</w:t>
      </w:r>
      <w:r>
        <w:rPr>
          <w:rFonts w:hint="eastAsia" w:ascii="黑体" w:hAnsi="黑体" w:eastAsia="黑体" w:cs="仿宋"/>
          <w:sz w:val="36"/>
          <w:szCs w:val="36"/>
        </w:rPr>
        <w:t>、商务和技术偏差表</w:t>
      </w:r>
      <w:bookmarkEnd w:id="463"/>
    </w:p>
    <w:p>
      <w:pPr>
        <w:spacing w:line="600" w:lineRule="exact"/>
        <w:jc w:val="center"/>
        <w:rPr>
          <w:rFonts w:cs="仿宋" w:asciiTheme="minorEastAsia" w:hAnsiTheme="minorEastAsia" w:eastAsiaTheme="minorEastAsia"/>
          <w:sz w:val="24"/>
        </w:rPr>
      </w:pP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719"/>
        <w:gridCol w:w="2699"/>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719"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99"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both"/>
              <w:rPr>
                <w:rFonts w:cs="仿宋" w:asciiTheme="minorEastAsia" w:hAnsiTheme="minorEastAsia" w:eastAsiaTheme="minorEastAsia"/>
                <w:sz w:val="24"/>
              </w:rPr>
            </w:pPr>
          </w:p>
        </w:tc>
        <w:tc>
          <w:tcPr>
            <w:tcW w:w="2719" w:type="dxa"/>
          </w:tcPr>
          <w:p>
            <w:pPr>
              <w:widowControl/>
              <w:spacing w:line="600" w:lineRule="exact"/>
              <w:jc w:val="both"/>
              <w:rPr>
                <w:rFonts w:cs="仿宋" w:asciiTheme="minorEastAsia" w:hAnsiTheme="minorEastAsia" w:eastAsiaTheme="minorEastAsia"/>
                <w:sz w:val="24"/>
              </w:rPr>
            </w:pPr>
          </w:p>
        </w:tc>
        <w:tc>
          <w:tcPr>
            <w:tcW w:w="2699"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both"/>
              <w:rPr>
                <w:rFonts w:cs="仿宋" w:asciiTheme="minorEastAsia" w:hAnsiTheme="minorEastAsia" w:eastAsiaTheme="minorEastAsia"/>
                <w:sz w:val="24"/>
              </w:rPr>
            </w:pPr>
          </w:p>
        </w:tc>
        <w:tc>
          <w:tcPr>
            <w:tcW w:w="2719" w:type="dxa"/>
          </w:tcPr>
          <w:p>
            <w:pPr>
              <w:widowControl/>
              <w:spacing w:line="600" w:lineRule="exact"/>
              <w:jc w:val="both"/>
              <w:rPr>
                <w:rFonts w:cs="仿宋" w:asciiTheme="minorEastAsia" w:hAnsiTheme="minorEastAsia" w:eastAsiaTheme="minorEastAsia"/>
                <w:sz w:val="24"/>
              </w:rPr>
            </w:pPr>
          </w:p>
        </w:tc>
        <w:tc>
          <w:tcPr>
            <w:tcW w:w="2699"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both"/>
              <w:rPr>
                <w:rFonts w:cs="仿宋" w:asciiTheme="minorEastAsia" w:hAnsiTheme="minorEastAsia" w:eastAsiaTheme="minorEastAsia"/>
                <w:sz w:val="24"/>
              </w:rPr>
            </w:pPr>
          </w:p>
        </w:tc>
        <w:tc>
          <w:tcPr>
            <w:tcW w:w="2719" w:type="dxa"/>
          </w:tcPr>
          <w:p>
            <w:pPr>
              <w:widowControl/>
              <w:spacing w:line="600" w:lineRule="exact"/>
              <w:jc w:val="both"/>
              <w:rPr>
                <w:rFonts w:cs="仿宋" w:asciiTheme="minorEastAsia" w:hAnsiTheme="minorEastAsia" w:eastAsiaTheme="minorEastAsia"/>
                <w:sz w:val="24"/>
              </w:rPr>
            </w:pPr>
          </w:p>
        </w:tc>
        <w:tc>
          <w:tcPr>
            <w:tcW w:w="2699"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Pr>
          <w:p>
            <w:pPr>
              <w:widowControl/>
              <w:spacing w:line="600" w:lineRule="exact"/>
              <w:jc w:val="both"/>
              <w:rPr>
                <w:rFonts w:cs="仿宋" w:asciiTheme="minorEastAsia" w:hAnsiTheme="minorEastAsia" w:eastAsiaTheme="minorEastAsia"/>
                <w:sz w:val="24"/>
              </w:rPr>
            </w:pPr>
          </w:p>
        </w:tc>
        <w:tc>
          <w:tcPr>
            <w:tcW w:w="2719" w:type="dxa"/>
          </w:tcPr>
          <w:p>
            <w:pPr>
              <w:widowControl/>
              <w:spacing w:line="600" w:lineRule="exact"/>
              <w:jc w:val="both"/>
              <w:rPr>
                <w:rFonts w:cs="仿宋" w:asciiTheme="minorEastAsia" w:hAnsiTheme="minorEastAsia" w:eastAsiaTheme="minorEastAsia"/>
                <w:sz w:val="24"/>
              </w:rPr>
            </w:pPr>
          </w:p>
        </w:tc>
        <w:tc>
          <w:tcPr>
            <w:tcW w:w="2699"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600" w:lineRule="exact"/>
        <w:ind w:left="0"/>
        <w:jc w:val="center"/>
        <w:outlineLvl w:val="1"/>
        <w:rPr>
          <w:rFonts w:ascii="黑体" w:hAnsi="黑体" w:eastAsia="黑体" w:cs="仿宋"/>
          <w:color w:val="auto"/>
          <w:sz w:val="36"/>
          <w:szCs w:val="36"/>
          <w:highlight w:val="none"/>
        </w:rPr>
      </w:pPr>
      <w:r>
        <w:rPr>
          <w:rFonts w:hint="eastAsia" w:cs="仿宋" w:asciiTheme="minorEastAsia" w:hAnsiTheme="minorEastAsia" w:eastAsiaTheme="minorEastAsia"/>
          <w:sz w:val="24"/>
        </w:rPr>
        <w:br w:type="page"/>
      </w:r>
      <w:bookmarkStart w:id="464" w:name="_Toc18225"/>
      <w:bookmarkStart w:id="465" w:name="_Toc1482"/>
      <w:bookmarkStart w:id="466" w:name="_Toc14458"/>
      <w:bookmarkStart w:id="467" w:name="_Toc8365"/>
      <w:bookmarkStart w:id="468" w:name="_Toc16238"/>
      <w:r>
        <w:rPr>
          <w:rFonts w:hint="eastAsia" w:ascii="黑体" w:hAnsi="黑体" w:eastAsia="黑体" w:cs="仿宋"/>
          <w:sz w:val="36"/>
          <w:szCs w:val="36"/>
          <w:lang w:val="en-US" w:eastAsia="zh-CN"/>
        </w:rPr>
        <w:t>四、报价表</w:t>
      </w:r>
      <w:bookmarkEnd w:id="464"/>
      <w:bookmarkEnd w:id="465"/>
      <w:bookmarkEnd w:id="466"/>
      <w:bookmarkEnd w:id="467"/>
      <w:bookmarkEnd w:id="468"/>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1.报价表说明</w:t>
      </w:r>
    </w:p>
    <w:p>
      <w:pPr>
        <w:spacing w:line="600" w:lineRule="exact"/>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2.报价</w:t>
      </w:r>
      <w:r>
        <w:rPr>
          <w:rFonts w:hint="eastAsia" w:cs="仿宋" w:asciiTheme="minorEastAsia" w:hAnsiTheme="minorEastAsia" w:eastAsiaTheme="minorEastAsia"/>
          <w:color w:val="auto"/>
          <w:sz w:val="24"/>
          <w:highlight w:val="none"/>
          <w:lang w:val="en-US" w:eastAsia="zh-CN"/>
        </w:rPr>
        <w:t>总</w:t>
      </w:r>
      <w:r>
        <w:rPr>
          <w:rFonts w:hint="eastAsia" w:cs="仿宋" w:asciiTheme="minorEastAsia" w:hAnsiTheme="minorEastAsia" w:eastAsiaTheme="minorEastAsia"/>
          <w:color w:val="auto"/>
          <w:sz w:val="24"/>
          <w:highlight w:val="none"/>
        </w:rPr>
        <w:t>表</w:t>
      </w:r>
    </w:p>
    <w:tbl>
      <w:tblPr>
        <w:tblStyle w:val="42"/>
        <w:tblW w:w="95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2509"/>
        <w:gridCol w:w="1492"/>
        <w:gridCol w:w="1754"/>
        <w:gridCol w:w="1615"/>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体检套餐项目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参检人员</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体检人数</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体检费</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单价（元）</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体检费</w:t>
            </w:r>
          </w:p>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见第五章采购需求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（五）报价方案</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男</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120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见第五章采购需求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（五）报价方案</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女</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38</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80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kern w:val="0"/>
                <w:sz w:val="22"/>
                <w:szCs w:val="22"/>
                <w:highlight w:val="none"/>
                <w:u w:val="none"/>
                <w:lang w:val="en-US" w:eastAsia="zh-CN" w:bidi="ar"/>
              </w:rPr>
              <w:t>合计</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bl>
    <w:p>
      <w:pPr>
        <w:autoSpaceDE w:val="0"/>
        <w:spacing w:line="360" w:lineRule="auto"/>
        <w:jc w:val="both"/>
        <w:rPr>
          <w:rFonts w:hint="default" w:ascii="宋体" w:hAnsi="宋体" w:eastAsia="宋体" w:cs="宋体"/>
          <w:color w:val="auto"/>
          <w:sz w:val="24"/>
          <w:highlight w:val="none"/>
          <w:lang w:val="en-US" w:eastAsia="zh-CN"/>
        </w:rPr>
      </w:pPr>
    </w:p>
    <w:p>
      <w:pPr>
        <w:numPr>
          <w:ilvl w:val="0"/>
          <w:numId w:val="4"/>
        </w:numPr>
        <w:autoSpaceDE w:val="0"/>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体检项目分项报价表</w:t>
      </w:r>
    </w:p>
    <w:p>
      <w:pPr>
        <w:numPr>
          <w:ilvl w:val="0"/>
          <w:numId w:val="0"/>
        </w:numPr>
        <w:autoSpaceDE w:val="0"/>
        <w:spacing w:line="360" w:lineRule="auto"/>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岳阳城陵矶新港有限公司2024年度男职工健康体检套餐分项报价表</w:t>
      </w:r>
    </w:p>
    <w:tbl>
      <w:tblPr>
        <w:tblStyle w:val="42"/>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830"/>
        <w:gridCol w:w="531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blHead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体检项目</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检查内容及意义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身高、体重、血压、腰围、臀围</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用于筛查高血压、超重、肥胖、消瘦、矮小症等，为相关科室检查提供重要依据。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尿常规+尿沉渣</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检查有无泌尿系统感染性疾病、急慢性肾病及其它与肾脏有关的代谢障碍性疾病，糖尿病的辅助检查。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通过血液分析可发现有无贫血、血小板减少、细菌感染、病毒感染、败血症等血液方面疾病。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血糖（静脉血）</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筛查糖尿病最基本的方法，除此之外还见于甲亢、肾上腺皮质功能亢进和生理性高血糖。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肝功能常规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检测肝细胞功能、胆道排泄、肝脏胆红素代谢功能、肝脏合成蛋白质能力；检出黄疸，判断黄疸类型，评价营养状况、筛查肝、胆疾病及合并感染症。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肾功能常规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检查肾脏排泄功能是否正常，有无肾脏炎症或器质性受损等。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血脂四项</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评估血脂有无异常，辅助评估糖尿病、肥胖、高脂血症、冠心病、高血压病、动脉粥样硬化等。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糖化血红蛋白</w:t>
            </w:r>
          </w:p>
        </w:tc>
        <w:tc>
          <w:tcPr>
            <w:tcW w:w="5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近三个月的平均血糖水平，筛查糖尿病最基本的方法之一。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多肿瘤标志物12项联合检测</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癌胚抗原CEA、甲胎蛋白AFP、糖类抗原125(CA125)、糖类抗原199(CA199)、糖类抗原242(CA242)、游离前列腺特异性抗原(FPSA)、总前列腺特异抗原(TPSA)、神经元特异性烯醇化酶NSE、糖类抗原724(CA72-4)、人绒毛膜促性腺激素β-HCG、铁蛋白、鳞癌细胞抗原SC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同型半胱氨酸</w:t>
            </w:r>
          </w:p>
        </w:tc>
        <w:tc>
          <w:tcPr>
            <w:tcW w:w="5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心脑血管事件风险的独立指标。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碳14呼气试验</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检测幽门螺杆菌感染的金标准。消化性溃疡、慢性活动性胃炎、胃癌等消化系统疾病病因检测和筛查。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12导联心电图检查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判断和评估心律失常、心肌肥厚、心肌缺血、心肌梗塞等。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肝胆脾胰+双肾输尿管膀胱前列腺彩超</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检查肝、胆、脾、胰、双肾、前列腺结构，筛查病变。 彩超有较强的分辨力和有效鉴别器官病变性质。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甲状腺彩超</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应用超声技术检查甲状腺疾患，如：肿大、炎症、腺瘤及癌变等，简便快捷，准确性较高。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颈部血管（颈动脉+椎动脉）</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检查颈动脉和椎动脉结构、弹性、内膜厚度，有无斑块，管腔有无狭窄，预警和评估血管疾病如高血压病、糖尿病、冠心病、脑卒中等风险和中风预报。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CT胸部平扫</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胸部疾病常用的一种检查方法，可以检查出胸壁、胸膜、肺部病变、心脏、大血管的病变等。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bl>
    <w:p>
      <w:pPr>
        <w:numPr>
          <w:ilvl w:val="0"/>
          <w:numId w:val="0"/>
        </w:numPr>
        <w:autoSpaceDE w:val="0"/>
        <w:spacing w:line="360" w:lineRule="auto"/>
        <w:jc w:val="both"/>
        <w:rPr>
          <w:rFonts w:hint="eastAsia" w:ascii="宋体" w:hAnsi="宋体" w:cs="宋体"/>
          <w:color w:val="auto"/>
          <w:sz w:val="24"/>
          <w:highlight w:val="none"/>
          <w:lang w:val="en-US" w:eastAsia="zh-CN"/>
        </w:rPr>
      </w:pPr>
    </w:p>
    <w:p>
      <w:pPr>
        <w:numPr>
          <w:ilvl w:val="0"/>
          <w:numId w:val="0"/>
        </w:numPr>
        <w:autoSpaceDE w:val="0"/>
        <w:spacing w:line="360" w:lineRule="auto"/>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岳阳城陵矶新港有限公司2024年度女职工健康体检套餐分项报价表</w:t>
      </w:r>
    </w:p>
    <w:tbl>
      <w:tblPr>
        <w:tblStyle w:val="42"/>
        <w:tblW w:w="9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830"/>
        <w:gridCol w:w="531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blHead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体检项目</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检查内容及意义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身高、体重、血压、腰围、臀围</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用于筛查高血压、超重、肥胖、消瘦、矮小症等，为相关科室检查提供重要依据。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尿常规+尿沉渣</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检查有无泌尿系统感染性疾病、急慢性肾病及其它与肾脏有关的代谢障碍性疾病，糖尿病的辅助检查。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通过血液分析可发现有无贫血、血小板减少、细菌感染、病毒感染、败血症等血液方面疾病。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血糖（静脉血）</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筛查糖尿病最基本的方法，除此之外还见于甲亢、肾上腺皮质功能亢进和生理性高血糖。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肝功能常规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检测肝细胞功能、胆道排泄、肝脏胆红素代谢功能、肝脏合成蛋白质能力；检出黄疸，判断黄疸类型，评价营养状况、筛查肝、胆疾病及合并感染症。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肾功能常规</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检查肾脏排泄功能是否正常，有无肾脏炎症或器质性受损等。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血脂四项</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评估血脂有无异常，辅助评估糖尿病、肥胖、高脂血症、冠心病、高血压病、动脉粥样硬化等。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多肿瘤标志物12项联合检测</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癌胚抗原CEA、甲胎蛋白AFP、糖类抗原125(CA125)、糖类抗原199(CA199)、糖类抗原724(CA72-4)、糖类抗原153(CA153)、糖类抗原50(CA-50)、CYFRA21-1、铁蛋白、人绒毛膜促性腺激素β-HCG、神经元特异性烯醇化酶NSE、鳞癌细胞抗原SC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碳14呼气试验</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检测幽门螺杆菌感染的金标准。消化性溃疡、慢性活动性胃炎、胃癌等消化系统疾病病因检测和筛查。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12导联心电图检查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判断和评估心律失常、心肌肥厚、心肌缺血、心肌梗塞等。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肝胆脾胰+双肾输尿管膀胱+子宫附件彩超</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检查肝、胆、脾、胰、双肾、女性盆腔子宫和附件结构，筛查病变。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双乳腺彩超</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通过彩色超声仪器检查乳腺，发现乳腺增生、肿物、结节、囊肿、腺瘤、乳腺癌等病变。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妇科</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主要用于阴道炎、宫颈炎以及妇科等疾病的检查。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阴道炎5项</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专用现代设备自动检测细菌性阴道病、念珠性阴道炎、滴虫性阴道炎、需氧性阴道炎及阴道混合型感染，全面评价感染及治疗后阴道微生物生态状况，准确反应阴道炎病原菌，并与传统的检验方法具有互补性，为临床诊疗提供有力依据早期筛查宫颈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液基TCT</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是目前国内外替代传统宫颈涂片检测宫颈癌最准确的检测技术，大大减少了由于血液、粘液、炎症而造成的模糊子宫颈细胞样本的数量，从而大大提高了妇女宫颈癌早期病变的检出率。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人乳头瘤病毒HPV</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直接反映人体内乳头瘤病毒是否存在，可具体判断出感染型别，为临床诊断宫颈癌提供参考。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CT胸部平扫</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胸部疾病常用的一种检查方法，可以检查出胸壁、胸膜、肺部病变、心脏、大血管的病变等。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bl>
    <w:p>
      <w:pPr>
        <w:numPr>
          <w:ilvl w:val="0"/>
          <w:numId w:val="0"/>
        </w:numPr>
        <w:autoSpaceDE w:val="0"/>
        <w:spacing w:line="360" w:lineRule="auto"/>
        <w:jc w:val="both"/>
        <w:rPr>
          <w:rFonts w:hint="eastAsia" w:ascii="宋体" w:hAnsi="宋体" w:cs="宋体"/>
          <w:b/>
          <w:bCs/>
          <w:color w:val="auto"/>
          <w:sz w:val="24"/>
          <w:highlight w:val="none"/>
          <w:lang w:val="en-US" w:eastAsia="zh-CN"/>
        </w:rPr>
      </w:pPr>
    </w:p>
    <w:p>
      <w:pPr>
        <w:numPr>
          <w:ilvl w:val="0"/>
          <w:numId w:val="0"/>
        </w:numPr>
        <w:autoSpaceDE w:val="0"/>
        <w:spacing w:line="360" w:lineRule="auto"/>
        <w:jc w:val="both"/>
        <w:rPr>
          <w:rFonts w:hint="default" w:ascii="宋体" w:hAnsi="宋体" w:cs="宋体"/>
          <w:color w:val="auto"/>
          <w:sz w:val="24"/>
          <w:highlight w:val="none"/>
          <w:lang w:val="en-US" w:eastAsia="zh-CN"/>
        </w:rPr>
      </w:pPr>
    </w:p>
    <w:p>
      <w:pPr>
        <w:autoSpaceDE w:val="0"/>
        <w:spacing w:line="360" w:lineRule="auto"/>
        <w:ind w:left="0" w:leftChars="0" w:firstLine="0" w:firstLineChars="0"/>
        <w:jc w:val="both"/>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b w:val="0"/>
          <w:bCs w:val="0"/>
          <w:color w:val="auto"/>
          <w:sz w:val="24"/>
          <w:highlight w:val="none"/>
          <w:u w:val="none"/>
          <w:lang w:val="en-US" w:eastAsia="zh-CN"/>
        </w:rPr>
        <w:t>招标人为本次招标编制了最高投标限价，最高限价：12</w:t>
      </w:r>
      <w:r>
        <w:rPr>
          <w:rFonts w:hint="eastAsia" w:ascii="宋体" w:hAnsi="宋体" w:cs="宋体"/>
          <w:b w:val="0"/>
          <w:bCs w:val="0"/>
          <w:color w:val="auto"/>
          <w:sz w:val="24"/>
          <w:highlight w:val="none"/>
          <w:u w:val="none"/>
          <w:lang w:val="en-US" w:eastAsia="zh-CN"/>
        </w:rPr>
        <w:t>0人</w:t>
      </w:r>
      <w:r>
        <w:rPr>
          <w:rFonts w:hint="eastAsia" w:ascii="宋体" w:hAnsi="宋体" w:eastAsia="宋体" w:cs="宋体"/>
          <w:b w:val="0"/>
          <w:bCs w:val="0"/>
          <w:color w:val="auto"/>
          <w:sz w:val="24"/>
          <w:highlight w:val="none"/>
          <w:u w:val="none"/>
          <w:lang w:val="en-US" w:eastAsia="zh-CN"/>
        </w:rPr>
        <w:t>*1800</w:t>
      </w:r>
      <w:r>
        <w:rPr>
          <w:rFonts w:hint="eastAsia" w:ascii="宋体" w:hAnsi="宋体" w:cs="宋体"/>
          <w:b w:val="0"/>
          <w:bCs w:val="0"/>
          <w:color w:val="auto"/>
          <w:sz w:val="24"/>
          <w:highlight w:val="none"/>
          <w:u w:val="none"/>
          <w:lang w:val="en-US" w:eastAsia="zh-CN"/>
        </w:rPr>
        <w:t>元</w:t>
      </w:r>
      <w:r>
        <w:rPr>
          <w:rFonts w:hint="eastAsia" w:ascii="宋体" w:hAnsi="宋体" w:eastAsia="宋体" w:cs="宋体"/>
          <w:b w:val="0"/>
          <w:bCs w:val="0"/>
          <w:color w:val="auto"/>
          <w:sz w:val="24"/>
          <w:highlight w:val="none"/>
          <w:u w:val="none"/>
          <w:lang w:val="en-US" w:eastAsia="zh-CN"/>
        </w:rPr>
        <w:t>+38</w:t>
      </w:r>
      <w:r>
        <w:rPr>
          <w:rFonts w:hint="eastAsia" w:ascii="宋体" w:hAnsi="宋体" w:cs="宋体"/>
          <w:b w:val="0"/>
          <w:bCs w:val="0"/>
          <w:color w:val="auto"/>
          <w:sz w:val="24"/>
          <w:highlight w:val="none"/>
          <w:u w:val="none"/>
          <w:lang w:val="en-US" w:eastAsia="zh-CN"/>
        </w:rPr>
        <w:t>人</w:t>
      </w:r>
      <w:r>
        <w:rPr>
          <w:rFonts w:hint="eastAsia" w:ascii="宋体" w:hAnsi="宋体" w:eastAsia="宋体" w:cs="宋体"/>
          <w:b w:val="0"/>
          <w:bCs w:val="0"/>
          <w:color w:val="auto"/>
          <w:sz w:val="24"/>
          <w:highlight w:val="none"/>
          <w:u w:val="none"/>
          <w:lang w:val="en-US" w:eastAsia="zh-CN"/>
        </w:rPr>
        <w:t>*2000</w:t>
      </w:r>
      <w:r>
        <w:rPr>
          <w:rFonts w:hint="eastAsia" w:ascii="宋体" w:hAnsi="宋体" w:cs="宋体"/>
          <w:b w:val="0"/>
          <w:bCs w:val="0"/>
          <w:color w:val="auto"/>
          <w:sz w:val="24"/>
          <w:highlight w:val="none"/>
          <w:u w:val="none"/>
          <w:lang w:val="en-US" w:eastAsia="zh-CN"/>
        </w:rPr>
        <w:t>元</w:t>
      </w:r>
      <w:r>
        <w:rPr>
          <w:rFonts w:hint="eastAsia" w:ascii="宋体" w:hAnsi="宋体" w:eastAsia="宋体" w:cs="宋体"/>
          <w:b w:val="0"/>
          <w:bCs w:val="0"/>
          <w:color w:val="auto"/>
          <w:sz w:val="24"/>
          <w:highlight w:val="none"/>
          <w:u w:val="none"/>
          <w:lang w:val="en-US" w:eastAsia="zh-CN"/>
        </w:rPr>
        <w:t>=</w:t>
      </w:r>
      <w:r>
        <w:rPr>
          <w:rFonts w:hint="eastAsia" w:ascii="宋体" w:hAnsi="宋体" w:cs="宋体"/>
          <w:b w:val="0"/>
          <w:bCs w:val="0"/>
          <w:color w:val="auto"/>
          <w:sz w:val="24"/>
          <w:highlight w:val="none"/>
          <w:u w:val="none"/>
          <w:lang w:val="en-US" w:eastAsia="zh-CN"/>
        </w:rPr>
        <w:t>292</w:t>
      </w:r>
      <w:r>
        <w:rPr>
          <w:rFonts w:hint="eastAsia" w:ascii="宋体" w:hAnsi="宋体" w:eastAsia="宋体" w:cs="宋体"/>
          <w:b w:val="0"/>
          <w:bCs w:val="0"/>
          <w:color w:val="auto"/>
          <w:sz w:val="24"/>
          <w:highlight w:val="none"/>
          <w:u w:val="none"/>
          <w:lang w:val="en-US" w:eastAsia="zh-CN"/>
        </w:rPr>
        <w:t>000元，即</w:t>
      </w:r>
      <w:r>
        <w:rPr>
          <w:rFonts w:hint="eastAsia" w:ascii="宋体" w:hAnsi="宋体" w:cs="宋体"/>
          <w:b w:val="0"/>
          <w:bCs w:val="0"/>
          <w:color w:val="auto"/>
          <w:sz w:val="24"/>
          <w:highlight w:val="none"/>
          <w:u w:val="none"/>
          <w:lang w:val="en-US" w:eastAsia="zh-CN"/>
        </w:rPr>
        <w:t>贰拾玖万贰仟</w:t>
      </w:r>
      <w:r>
        <w:rPr>
          <w:rFonts w:hint="eastAsia" w:ascii="宋体" w:hAnsi="宋体" w:eastAsia="宋体" w:cs="宋体"/>
          <w:b w:val="0"/>
          <w:bCs w:val="0"/>
          <w:color w:val="auto"/>
          <w:sz w:val="24"/>
          <w:highlight w:val="none"/>
          <w:u w:val="none"/>
          <w:lang w:val="en-US" w:eastAsia="zh-CN"/>
        </w:rPr>
        <w:t>元整。提供医疗门诊收费票据，超过最高限价的作废。</w:t>
      </w:r>
    </w:p>
    <w:p>
      <w:pPr>
        <w:keepNext w:val="0"/>
        <w:keepLines w:val="0"/>
        <w:pageBreakBefore w:val="0"/>
        <w:widowControl/>
        <w:kinsoku/>
        <w:wordWrap/>
        <w:overflowPunct/>
        <w:topLinePunct w:val="0"/>
        <w:autoSpaceDE w:val="0"/>
        <w:autoSpaceDN/>
        <w:bidi w:val="0"/>
        <w:adjustRightInd/>
        <w:snapToGrid/>
        <w:spacing w:line="360" w:lineRule="auto"/>
        <w:ind w:left="0" w:leftChars="0" w:firstLine="360" w:firstLineChars="150"/>
        <w:jc w:val="both"/>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w:t>
      </w:r>
      <w:r>
        <w:rPr>
          <w:rFonts w:hint="eastAsia" w:ascii="宋体" w:hAnsi="宋体" w:eastAsia="宋体" w:cs="宋体"/>
          <w:color w:val="auto"/>
          <w:sz w:val="24"/>
          <w:highlight w:val="none"/>
          <w:u w:val="none"/>
        </w:rPr>
        <w:t>若分项费用的计算依据、过程和公式不便在表中表述，可单独另附表格或描述进行说明。</w:t>
      </w:r>
    </w:p>
    <w:p>
      <w:pPr>
        <w:keepNext w:val="0"/>
        <w:keepLines w:val="0"/>
        <w:pageBreakBefore w:val="0"/>
        <w:widowControl/>
        <w:kinsoku/>
        <w:wordWrap/>
        <w:overflowPunct/>
        <w:topLinePunct w:val="0"/>
        <w:autoSpaceDE w:val="0"/>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b w:val="0"/>
          <w:bCs w:val="0"/>
          <w:color w:val="auto"/>
          <w:sz w:val="24"/>
          <w:highlight w:val="none"/>
          <w:u w:val="none"/>
          <w:lang w:val="en-US" w:eastAsia="zh-CN"/>
        </w:rPr>
        <w:t>3、</w:t>
      </w:r>
      <w:r>
        <w:rPr>
          <w:rFonts w:hint="eastAsia" w:ascii="宋体" w:hAnsi="宋体" w:cs="宋体"/>
          <w:b w:val="0"/>
          <w:bCs w:val="0"/>
          <w:color w:val="auto"/>
          <w:sz w:val="24"/>
          <w:highlight w:val="none"/>
          <w:u w:val="none"/>
          <w:lang w:val="en-US" w:eastAsia="zh-CN"/>
        </w:rPr>
        <w:t>体检费用标准与成交价的差额由职工在该体检中心自主消费完毕，自主消费项目收费标准按照挂牌价享受8折优惠。</w:t>
      </w:r>
    </w:p>
    <w:p>
      <w:pPr>
        <w:numPr>
          <w:ilvl w:val="0"/>
          <w:numId w:val="0"/>
        </w:numPr>
        <w:spacing w:line="600" w:lineRule="exact"/>
        <w:jc w:val="left"/>
        <w:rPr>
          <w:rFonts w:hint="eastAsia" w:cs="仿宋" w:asciiTheme="minorEastAsia" w:hAnsiTheme="minorEastAsia" w:eastAsiaTheme="minorEastAsia"/>
          <w:sz w:val="24"/>
          <w:highlight w:val="none"/>
          <w:lang w:eastAsia="zh-CN"/>
        </w:rPr>
      </w:pPr>
    </w:p>
    <w:p>
      <w:pPr>
        <w:spacing w:line="600" w:lineRule="exact"/>
        <w:jc w:val="both"/>
        <w:rPr>
          <w:rFonts w:cs="仿宋" w:asciiTheme="minorEastAsia" w:hAnsiTheme="minorEastAsia" w:eastAsiaTheme="minorEastAsia"/>
          <w:color w:val="FF0000"/>
          <w:sz w:val="24"/>
        </w:rPr>
      </w:pPr>
    </w:p>
    <w:p>
      <w:pPr>
        <w:spacing w:line="600" w:lineRule="exact"/>
        <w:jc w:val="center"/>
        <w:outlineLvl w:val="1"/>
        <w:rPr>
          <w:rFonts w:ascii="黑体" w:hAnsi="黑体" w:eastAsia="黑体" w:cs="仿宋"/>
          <w:color w:val="auto"/>
          <w:sz w:val="36"/>
          <w:szCs w:val="36"/>
          <w:highlight w:val="none"/>
        </w:rPr>
      </w:pPr>
      <w:r>
        <w:rPr>
          <w:rFonts w:hint="eastAsia" w:ascii="黑体" w:hAnsi="黑体" w:eastAsia="黑体" w:cs="仿宋"/>
          <w:sz w:val="36"/>
          <w:szCs w:val="36"/>
          <w:lang w:val="en-US" w:eastAsia="zh-CN"/>
        </w:rPr>
        <w:br w:type="page"/>
      </w:r>
      <w:bookmarkStart w:id="469" w:name="_Toc16422"/>
      <w:bookmarkStart w:id="470" w:name="_Toc24758"/>
      <w:bookmarkStart w:id="471" w:name="_Toc11229"/>
      <w:bookmarkStart w:id="472" w:name="_Toc24748"/>
      <w:bookmarkStart w:id="473" w:name="_Toc17131"/>
      <w:r>
        <w:rPr>
          <w:rFonts w:hint="eastAsia" w:ascii="黑体" w:hAnsi="黑体" w:eastAsia="黑体" w:cs="仿宋"/>
          <w:sz w:val="36"/>
          <w:szCs w:val="36"/>
          <w:lang w:val="en-US" w:eastAsia="zh-CN"/>
        </w:rPr>
        <w:t>五、资格审查资料</w:t>
      </w:r>
      <w:bookmarkEnd w:id="469"/>
      <w:bookmarkEnd w:id="470"/>
      <w:bookmarkEnd w:id="471"/>
      <w:bookmarkEnd w:id="472"/>
      <w:bookmarkEnd w:id="473"/>
    </w:p>
    <w:p>
      <w:pPr>
        <w:spacing w:line="600" w:lineRule="exact"/>
        <w:jc w:val="center"/>
        <w:rPr>
          <w:rFonts w:ascii="黑体" w:hAnsi="黑体" w:eastAsia="黑体" w:cs="仿宋"/>
          <w:color w:val="auto"/>
          <w:sz w:val="36"/>
          <w:szCs w:val="36"/>
          <w:highlight w:val="none"/>
        </w:rPr>
      </w:pP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（一）基本情况</w:t>
      </w:r>
    </w:p>
    <w:p>
      <w:pPr>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供应商应根据供应商须知前附表第3.5（1）项和第3.5（2）项的要求提供主体资格证明及相关资质证明资料。</w:t>
      </w:r>
    </w:p>
    <w:p>
      <w:pPr>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供应商还应根据供应商须知前附表第3.5（</w:t>
      </w:r>
      <w:r>
        <w:rPr>
          <w:rFonts w:hint="eastAsia" w:cs="仿宋" w:asciiTheme="minorEastAsia" w:hAnsiTheme="minorEastAsia" w:eastAsiaTheme="minorEastAsia"/>
          <w:color w:val="auto"/>
          <w:sz w:val="24"/>
          <w:highlight w:val="none"/>
          <w:lang w:val="en-US" w:eastAsia="zh-CN"/>
        </w:rPr>
        <w:t>3</w:t>
      </w:r>
      <w:r>
        <w:rPr>
          <w:rFonts w:hint="eastAsia" w:cs="仿宋" w:asciiTheme="minorEastAsia" w:hAnsiTheme="minorEastAsia" w:eastAsiaTheme="minorEastAsia"/>
          <w:color w:val="auto"/>
          <w:sz w:val="24"/>
          <w:highlight w:val="none"/>
        </w:rPr>
        <w:t>）项</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第3.5（</w:t>
      </w:r>
      <w:r>
        <w:rPr>
          <w:rFonts w:hint="eastAsia" w:cs="仿宋" w:asciiTheme="minorEastAsia" w:hAnsiTheme="minorEastAsia" w:eastAsiaTheme="minorEastAsia"/>
          <w:color w:val="auto"/>
          <w:sz w:val="24"/>
          <w:highlight w:val="none"/>
          <w:lang w:val="en-US" w:eastAsia="zh-CN"/>
        </w:rPr>
        <w:t>5</w:t>
      </w:r>
      <w:r>
        <w:rPr>
          <w:rFonts w:hint="eastAsia" w:cs="仿宋" w:asciiTheme="minorEastAsia" w:hAnsiTheme="minorEastAsia" w:eastAsiaTheme="minorEastAsia"/>
          <w:color w:val="auto"/>
          <w:sz w:val="24"/>
          <w:highlight w:val="none"/>
        </w:rPr>
        <w:t>）项</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第3.5（</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）项</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第3.5（</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rPr>
        <w:t>）项</w:t>
      </w:r>
      <w:r>
        <w:rPr>
          <w:rFonts w:hint="eastAsia" w:cs="仿宋" w:asciiTheme="minorEastAsia" w:hAnsiTheme="minorEastAsia" w:eastAsiaTheme="minorEastAsia"/>
          <w:color w:val="auto"/>
          <w:sz w:val="24"/>
          <w:highlight w:val="none"/>
          <w:lang w:val="en-US" w:eastAsia="zh-CN"/>
        </w:rPr>
        <w:t>和</w:t>
      </w:r>
      <w:r>
        <w:rPr>
          <w:rFonts w:hint="eastAsia" w:cs="仿宋" w:asciiTheme="minorEastAsia" w:hAnsiTheme="minorEastAsia" w:eastAsiaTheme="minorEastAsia"/>
          <w:color w:val="auto"/>
          <w:sz w:val="24"/>
          <w:highlight w:val="none"/>
        </w:rPr>
        <w:t>第3.5（8）项的要求提供其他相关证明材料。</w:t>
      </w:r>
    </w:p>
    <w:p>
      <w:pPr>
        <w:spacing w:line="600" w:lineRule="exact"/>
        <w:jc w:val="both"/>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eastAsia="zh-CN"/>
        </w:rPr>
        <w:t>二</w:t>
      </w:r>
      <w:r>
        <w:rPr>
          <w:rFonts w:hint="eastAsia" w:cs="仿宋" w:asciiTheme="minorEastAsia" w:hAnsiTheme="minorEastAsia" w:eastAsiaTheme="minorEastAsia"/>
          <w:color w:val="auto"/>
          <w:sz w:val="24"/>
          <w:highlight w:val="none"/>
        </w:rPr>
        <w:t>）近年的类似</w:t>
      </w:r>
      <w:r>
        <w:rPr>
          <w:rFonts w:hint="eastAsia" w:cs="仿宋" w:asciiTheme="minorEastAsia" w:hAnsiTheme="minorEastAsia" w:eastAsiaTheme="minorEastAsia"/>
          <w:color w:val="auto"/>
          <w:sz w:val="24"/>
          <w:highlight w:val="none"/>
          <w:lang w:eastAsia="zh-CN"/>
        </w:rPr>
        <w:t>项目</w:t>
      </w:r>
      <w:r>
        <w:rPr>
          <w:rFonts w:hint="eastAsia" w:cs="仿宋" w:asciiTheme="minorEastAsia" w:hAnsiTheme="minorEastAsia" w:eastAsiaTheme="minorEastAsia"/>
          <w:color w:val="auto"/>
          <w:sz w:val="24"/>
          <w:highlight w:val="none"/>
        </w:rPr>
        <w:t>情况表</w:t>
      </w: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585"/>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项目名称</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服务内容</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委托人/发包人名称</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委托人/发包人联系人及电话</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合同价格</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服务是否完成</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项目负责人（如有）</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项目概况及供应商履约情况</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备注</w:t>
            </w:r>
          </w:p>
        </w:tc>
        <w:tc>
          <w:tcPr>
            <w:tcW w:w="1585"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bl>
    <w:p>
      <w:pPr>
        <w:spacing w:line="360" w:lineRule="auto"/>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注：供应商应根据供应商须知前附表第3.5（4）项的要求在本表后附相关证明材料。</w:t>
      </w:r>
    </w:p>
    <w:p>
      <w:pPr>
        <w:widowControl w:val="0"/>
        <w:spacing w:line="360" w:lineRule="auto"/>
        <w:ind w:firstLine="480" w:firstLineChars="200"/>
        <w:jc w:val="both"/>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如：供应商须</w:t>
      </w:r>
      <w:r>
        <w:rPr>
          <w:rFonts w:hint="eastAsia" w:cs="宋体" w:asciiTheme="minorEastAsia" w:hAnsiTheme="minorEastAsia" w:eastAsiaTheme="minorEastAsia"/>
          <w:color w:val="auto"/>
          <w:sz w:val="24"/>
          <w:highlight w:val="none"/>
        </w:rPr>
        <w:t>提供</w:t>
      </w:r>
      <w:r>
        <w:rPr>
          <w:rFonts w:hint="eastAsia" w:cs="宋体" w:asciiTheme="minorEastAsia" w:hAnsiTheme="minorEastAsia" w:eastAsiaTheme="minorEastAsia"/>
          <w:color w:val="auto"/>
          <w:sz w:val="24"/>
          <w:highlight w:val="none"/>
          <w:lang w:val="en-US" w:eastAsia="zh-CN"/>
        </w:rPr>
        <w:t xml:space="preserve"> 1</w:t>
      </w:r>
      <w:r>
        <w:rPr>
          <w:rFonts w:hint="eastAsia" w:cs="宋体" w:asciiTheme="minorEastAsia" w:hAnsiTheme="minorEastAsia" w:eastAsiaTheme="minorEastAsia"/>
          <w:color w:val="auto"/>
          <w:sz w:val="24"/>
          <w:highlight w:val="none"/>
          <w:lang w:eastAsia="zh-CN"/>
        </w:rPr>
        <w:t>个</w:t>
      </w:r>
      <w:r>
        <w:rPr>
          <w:rFonts w:hint="eastAsia" w:cs="宋体" w:asciiTheme="minorEastAsia" w:hAnsiTheme="minorEastAsia" w:eastAsiaTheme="minorEastAsia"/>
          <w:color w:val="auto"/>
          <w:sz w:val="24"/>
          <w:highlight w:val="none"/>
          <w:lang w:val="en-US" w:eastAsia="zh-CN"/>
        </w:rPr>
        <w:t>合同额不低于28万元的类似团体体检业绩（以合同签订日期为准），提供合同复印件。</w:t>
      </w:r>
    </w:p>
    <w:p>
      <w:pPr>
        <w:rPr>
          <w:rFonts w:hint="eastAsia" w:ascii="黑体" w:hAnsi="黑体" w:eastAsia="黑体" w:cs="仿宋"/>
          <w:sz w:val="36"/>
          <w:szCs w:val="36"/>
          <w:lang w:val="en-US" w:eastAsia="zh-CN"/>
        </w:rPr>
      </w:pPr>
      <w:r>
        <w:rPr>
          <w:rFonts w:hint="eastAsia" w:ascii="黑体" w:hAnsi="黑体" w:eastAsia="黑体" w:cs="仿宋"/>
          <w:sz w:val="36"/>
          <w:szCs w:val="36"/>
          <w:lang w:val="en-US" w:eastAsia="zh-CN"/>
        </w:rPr>
        <w:br w:type="page"/>
      </w:r>
    </w:p>
    <w:p>
      <w:pPr>
        <w:jc w:val="center"/>
        <w:outlineLvl w:val="1"/>
        <w:rPr>
          <w:rFonts w:hint="eastAsia" w:ascii="黑体" w:hAnsi="黑体" w:eastAsia="黑体" w:cs="仿宋"/>
          <w:sz w:val="36"/>
          <w:szCs w:val="36"/>
          <w:lang w:val="en-US" w:eastAsia="zh-CN"/>
        </w:rPr>
      </w:pPr>
      <w:bookmarkStart w:id="474" w:name="_Toc9267"/>
      <w:bookmarkStart w:id="475" w:name="_Toc8504"/>
      <w:r>
        <w:rPr>
          <w:rFonts w:hint="eastAsia" w:ascii="黑体" w:hAnsi="黑体" w:eastAsia="黑体" w:cs="仿宋"/>
          <w:sz w:val="36"/>
          <w:szCs w:val="36"/>
          <w:lang w:val="en-US" w:eastAsia="zh-CN"/>
        </w:rPr>
        <w:t>六、响应方案</w:t>
      </w:r>
      <w:bookmarkEnd w:id="474"/>
      <w:bookmarkEnd w:id="475"/>
    </w:p>
    <w:p>
      <w:pPr>
        <w:pStyle w:val="13"/>
        <w:rPr>
          <w:rFonts w:hint="eastAsia"/>
          <w:color w:val="auto"/>
          <w:highlight w:val="none"/>
          <w:lang w:eastAsia="zh-CN"/>
        </w:rPr>
      </w:pPr>
    </w:p>
    <w:p>
      <w:pPr>
        <w:adjustRightInd w:val="0"/>
        <w:snapToGrid w:val="0"/>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响应方案一般包括(但不限于)下列内容:</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(1)对项目的理解;</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(2)服务范围及内容;</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(3)服务工作的依据、工作目标;</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(4)服务机构设置(框图)、岗位职责;</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(5)拟投入本项目的服务人员及主要人员简历;</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)服务质量、进度、保密等保证措施;</w:t>
      </w:r>
    </w:p>
    <w:p>
      <w:pPr>
        <w:adjustRightInd w:val="0"/>
        <w:snapToGrid w:val="0"/>
        <w:spacing w:line="600" w:lineRule="exact"/>
        <w:ind w:leftChars="200" w:firstLine="0" w:firstLineChars="0"/>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rPr>
        <w:t>)服务工作重点、难点分析;</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)对本项目的合理化建议。</w:t>
      </w:r>
      <w:r>
        <w:rPr>
          <w:rFonts w:hint="eastAsia" w:cs="仿宋" w:asciiTheme="minorEastAsia" w:hAnsiTheme="minorEastAsia" w:eastAsiaTheme="minorEastAsia"/>
          <w:color w:val="auto"/>
          <w:sz w:val="24"/>
          <w:highlight w:val="none"/>
        </w:rPr>
        <w:br w:type="page"/>
      </w:r>
    </w:p>
    <w:p>
      <w:pPr>
        <w:jc w:val="center"/>
        <w:outlineLvl w:val="1"/>
        <w:rPr>
          <w:rFonts w:ascii="黑体" w:hAnsi="黑体" w:eastAsia="黑体" w:cs="仿宋"/>
          <w:sz w:val="36"/>
          <w:szCs w:val="36"/>
        </w:rPr>
      </w:pPr>
      <w:bookmarkStart w:id="476" w:name="_Toc22248"/>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bookmarkEnd w:id="476"/>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asciiTheme="minorEastAsia" w:hAnsiTheme="minorEastAsia" w:eastAsiaTheme="minorEastAsia"/>
          <w:sz w:val="24"/>
        </w:rPr>
      </w:pPr>
      <w:r>
        <w:rPr>
          <w:rFonts w:hint="eastAsia" w:cs="仿宋" w:asciiTheme="minorEastAsia" w:hAnsiTheme="minorEastAsia" w:eastAsiaTheme="minorEastAsia"/>
          <w:sz w:val="24"/>
        </w:rPr>
        <w:t>供应商需提交的其他资料。</w:t>
      </w:r>
    </w:p>
    <w:sectPr>
      <w:footerReference r:id="rId11" w:type="default"/>
      <w:pgSz w:w="11906" w:h="16838"/>
      <w:pgMar w:top="1440" w:right="1080" w:bottom="1440" w:left="1080" w:header="851" w:footer="850"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00F7282-6080-464E-B54D-A70B13DD0496}"/>
  </w:font>
  <w:font w:name="Arial">
    <w:panose1 w:val="020B0604020202020204"/>
    <w:charset w:val="01"/>
    <w:family w:val="swiss"/>
    <w:pitch w:val="default"/>
    <w:sig w:usb0="E0002EFF" w:usb1="C000785B" w:usb2="00000009" w:usb3="00000000" w:csb0="400001FF" w:csb1="FFFF0000"/>
    <w:embedRegular r:id="rId2" w:fontKey="{2A203120-E27F-49FD-B64C-E0B318DB9EE3}"/>
  </w:font>
  <w:font w:name="黑体">
    <w:panose1 w:val="02010609060101010101"/>
    <w:charset w:val="86"/>
    <w:family w:val="auto"/>
    <w:pitch w:val="default"/>
    <w:sig w:usb0="800002BF" w:usb1="38CF7CFA" w:usb2="00000016" w:usb3="00000000" w:csb0="00040001" w:csb1="00000000"/>
    <w:embedRegular r:id="rId3" w:fontKey="{8C6F02E7-A10D-42F9-BB4D-940B7414C3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4" w:fontKey="{7AA9B7A1-CAC0-49BA-8F3B-DC8D8A97AF46}"/>
  </w:font>
  <w:font w:name="仿宋">
    <w:panose1 w:val="02010609060101010101"/>
    <w:charset w:val="86"/>
    <w:family w:val="auto"/>
    <w:pitch w:val="default"/>
    <w:sig w:usb0="800002BF" w:usb1="38CF7CFA" w:usb2="00000016" w:usb3="00000000" w:csb0="00040001" w:csb1="00000000"/>
    <w:embedRegular r:id="rId5" w:fontKey="{FAC58BEE-018E-44B6-8BAE-2EF54AC08364}"/>
  </w:font>
  <w:font w:name="楷体_GB2312">
    <w:panose1 w:val="02010609030101010101"/>
    <w:charset w:val="86"/>
    <w:family w:val="modern"/>
    <w:pitch w:val="default"/>
    <w:sig w:usb0="00000001" w:usb1="080E0000" w:usb2="00000000" w:usb3="00000000" w:csb0="00040000" w:csb1="00000000"/>
    <w:embedRegular r:id="rId6" w:fontKey="{815622E6-437C-4AD7-AC1C-2D610B523FF8}"/>
  </w:font>
  <w:font w:name="Wingdings 2">
    <w:panose1 w:val="05020102010507070707"/>
    <w:charset w:val="00"/>
    <w:family w:val="auto"/>
    <w:pitch w:val="default"/>
    <w:sig w:usb0="00000000" w:usb1="00000000" w:usb2="00000000" w:usb3="00000000" w:csb0="80000000" w:csb1="00000000"/>
    <w:embedRegular r:id="rId7" w:fontKey="{61302C17-32C4-4684-BF1C-7D2E214B4CC3}"/>
  </w:font>
  <w:font w:name="MS Gothic">
    <w:panose1 w:val="020B0609070205080204"/>
    <w:charset w:val="80"/>
    <w:family w:val="modern"/>
    <w:pitch w:val="default"/>
    <w:sig w:usb0="E00002FF" w:usb1="6AC7FDFB" w:usb2="08000012" w:usb3="00000000" w:csb0="4002009F" w:csb1="DFD70000"/>
    <w:embedRegular r:id="rId8" w:fontKey="{9F8828FB-970F-48B5-9757-BAFB7848A7CB}"/>
  </w:font>
  <w:font w:name="华文中宋">
    <w:panose1 w:val="02010600040101010101"/>
    <w:charset w:val="86"/>
    <w:family w:val="auto"/>
    <w:pitch w:val="default"/>
    <w:sig w:usb0="00000287" w:usb1="080F0000" w:usb2="00000000" w:usb3="00000000" w:csb0="0004009F" w:csb1="DFD70000"/>
    <w:embedRegular r:id="rId9" w:fontKey="{42B59FC0-99B4-4844-B570-BC5B16D9893F}"/>
  </w:font>
  <w:font w:name="微软雅黑">
    <w:panose1 w:val="020B0503020204020204"/>
    <w:charset w:val="86"/>
    <w:family w:val="swiss"/>
    <w:pitch w:val="default"/>
    <w:sig w:usb0="80000287" w:usb1="2ACF3C50" w:usb2="00000016" w:usb3="00000000" w:csb0="0004001F" w:csb1="00000000"/>
    <w:embedRegular r:id="rId10" w:fontKey="{C65E7CE8-8DB3-40D3-9F94-030BC67033DB}"/>
  </w:font>
  <w:font w:name="方正小标宋_GBK">
    <w:panose1 w:val="02000000000000000000"/>
    <w:charset w:val="86"/>
    <w:family w:val="auto"/>
    <w:pitch w:val="default"/>
    <w:sig w:usb0="A00002BF" w:usb1="38CF7CFA" w:usb2="00082016" w:usb3="00000000" w:csb0="00040001" w:csb1="00000000"/>
    <w:embedRegular r:id="rId11" w:fontKey="{F48D2D38-6679-4A8D-87BA-C799121862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153"/>
        <w:tab w:val="right"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53"/>
        <w:tab w:val="right"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53"/>
        <w:tab w:val="right"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12B979A4"/>
    <w:multiLevelType w:val="singleLevel"/>
    <w:tmpl w:val="12B979A4"/>
    <w:lvl w:ilvl="0" w:tentative="0">
      <w:start w:val="3"/>
      <w:numFmt w:val="decimal"/>
      <w:lvlText w:val="%1."/>
      <w:lvlJc w:val="left"/>
      <w:pPr>
        <w:tabs>
          <w:tab w:val="left" w:pos="312"/>
        </w:tabs>
      </w:pPr>
    </w:lvl>
  </w:abstractNum>
  <w:abstractNum w:abstractNumId="3">
    <w:nsid w:val="4CA0EFA7"/>
    <w:multiLevelType w:val="singleLevel"/>
    <w:tmpl w:val="4CA0EFA7"/>
    <w:lvl w:ilvl="0" w:tentative="0">
      <w:start w:val="4"/>
      <w:numFmt w:val="chineseCounting"/>
      <w:suff w:val="space"/>
      <w:lvlText w:val="第%1章"/>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MzE4MjRhZTJhYTg4YWE5N2Y0YTFlOGY4YTA3YmI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1FF9"/>
    <w:rsid w:val="000C4E44"/>
    <w:rsid w:val="000C5689"/>
    <w:rsid w:val="000D0FD0"/>
    <w:rsid w:val="000D3A07"/>
    <w:rsid w:val="000E5829"/>
    <w:rsid w:val="000F2F60"/>
    <w:rsid w:val="000F3D59"/>
    <w:rsid w:val="000F572C"/>
    <w:rsid w:val="000F65C5"/>
    <w:rsid w:val="00101210"/>
    <w:rsid w:val="0011760F"/>
    <w:rsid w:val="00124EA9"/>
    <w:rsid w:val="00133753"/>
    <w:rsid w:val="00141200"/>
    <w:rsid w:val="001421A1"/>
    <w:rsid w:val="0014231F"/>
    <w:rsid w:val="001429F5"/>
    <w:rsid w:val="00143EE9"/>
    <w:rsid w:val="00144A0B"/>
    <w:rsid w:val="00155F5F"/>
    <w:rsid w:val="00164C26"/>
    <w:rsid w:val="0016577A"/>
    <w:rsid w:val="00172E5F"/>
    <w:rsid w:val="00175066"/>
    <w:rsid w:val="00186D78"/>
    <w:rsid w:val="001A1831"/>
    <w:rsid w:val="001A77A4"/>
    <w:rsid w:val="001B2C90"/>
    <w:rsid w:val="001B336A"/>
    <w:rsid w:val="001D03F9"/>
    <w:rsid w:val="001E387A"/>
    <w:rsid w:val="001F14F9"/>
    <w:rsid w:val="001F28D4"/>
    <w:rsid w:val="001F3ADA"/>
    <w:rsid w:val="001F55EE"/>
    <w:rsid w:val="00200C8B"/>
    <w:rsid w:val="0020642B"/>
    <w:rsid w:val="00207642"/>
    <w:rsid w:val="00210B19"/>
    <w:rsid w:val="0021628B"/>
    <w:rsid w:val="0022239A"/>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07A95"/>
    <w:rsid w:val="0031048F"/>
    <w:rsid w:val="003220EE"/>
    <w:rsid w:val="003276E9"/>
    <w:rsid w:val="003332ED"/>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B44E3"/>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E2611"/>
    <w:rsid w:val="004F03C7"/>
    <w:rsid w:val="004F1CF3"/>
    <w:rsid w:val="004F7BD5"/>
    <w:rsid w:val="004F7F0C"/>
    <w:rsid w:val="00501EE6"/>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037B"/>
    <w:rsid w:val="005F29AC"/>
    <w:rsid w:val="005F3C29"/>
    <w:rsid w:val="005F481F"/>
    <w:rsid w:val="005F499C"/>
    <w:rsid w:val="00602185"/>
    <w:rsid w:val="00610597"/>
    <w:rsid w:val="00612206"/>
    <w:rsid w:val="00617F38"/>
    <w:rsid w:val="00627E6B"/>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0CE9"/>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D138C"/>
    <w:rsid w:val="008F6B51"/>
    <w:rsid w:val="0090589A"/>
    <w:rsid w:val="00920750"/>
    <w:rsid w:val="009315C2"/>
    <w:rsid w:val="00935E41"/>
    <w:rsid w:val="00935ED2"/>
    <w:rsid w:val="009413B0"/>
    <w:rsid w:val="00954F74"/>
    <w:rsid w:val="00955643"/>
    <w:rsid w:val="009573B9"/>
    <w:rsid w:val="00965E94"/>
    <w:rsid w:val="00983877"/>
    <w:rsid w:val="009A1BD2"/>
    <w:rsid w:val="009A24B1"/>
    <w:rsid w:val="009B084E"/>
    <w:rsid w:val="009B5405"/>
    <w:rsid w:val="009B626F"/>
    <w:rsid w:val="009B66AE"/>
    <w:rsid w:val="009F2456"/>
    <w:rsid w:val="00A02DDD"/>
    <w:rsid w:val="00A12741"/>
    <w:rsid w:val="00A15750"/>
    <w:rsid w:val="00A2148B"/>
    <w:rsid w:val="00A2462C"/>
    <w:rsid w:val="00A27204"/>
    <w:rsid w:val="00A33D67"/>
    <w:rsid w:val="00A34215"/>
    <w:rsid w:val="00A3767B"/>
    <w:rsid w:val="00A41388"/>
    <w:rsid w:val="00A477C0"/>
    <w:rsid w:val="00A507DC"/>
    <w:rsid w:val="00A54E02"/>
    <w:rsid w:val="00A67EC8"/>
    <w:rsid w:val="00A81F80"/>
    <w:rsid w:val="00A868EF"/>
    <w:rsid w:val="00A906E2"/>
    <w:rsid w:val="00A97848"/>
    <w:rsid w:val="00AA0F15"/>
    <w:rsid w:val="00AD2A48"/>
    <w:rsid w:val="00AD2C8A"/>
    <w:rsid w:val="00AD38AF"/>
    <w:rsid w:val="00AD6819"/>
    <w:rsid w:val="00AE15F3"/>
    <w:rsid w:val="00AE30B0"/>
    <w:rsid w:val="00AF4CC2"/>
    <w:rsid w:val="00B01BCC"/>
    <w:rsid w:val="00B25D89"/>
    <w:rsid w:val="00B33F50"/>
    <w:rsid w:val="00B3664B"/>
    <w:rsid w:val="00B439A9"/>
    <w:rsid w:val="00B4446C"/>
    <w:rsid w:val="00B60605"/>
    <w:rsid w:val="00B64A25"/>
    <w:rsid w:val="00B6591E"/>
    <w:rsid w:val="00B66C84"/>
    <w:rsid w:val="00B71F65"/>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E1545"/>
    <w:rsid w:val="00BF2669"/>
    <w:rsid w:val="00C03C07"/>
    <w:rsid w:val="00C12666"/>
    <w:rsid w:val="00C12DE3"/>
    <w:rsid w:val="00C14B63"/>
    <w:rsid w:val="00C16814"/>
    <w:rsid w:val="00C22565"/>
    <w:rsid w:val="00C52E06"/>
    <w:rsid w:val="00C53A90"/>
    <w:rsid w:val="00C54AC5"/>
    <w:rsid w:val="00C7182C"/>
    <w:rsid w:val="00C80A31"/>
    <w:rsid w:val="00C823C4"/>
    <w:rsid w:val="00C938B5"/>
    <w:rsid w:val="00C94DBF"/>
    <w:rsid w:val="00CB1EB4"/>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743B5"/>
    <w:rsid w:val="00D812B2"/>
    <w:rsid w:val="00D841AD"/>
    <w:rsid w:val="00D86B1B"/>
    <w:rsid w:val="00D90F37"/>
    <w:rsid w:val="00D92EB2"/>
    <w:rsid w:val="00D962D6"/>
    <w:rsid w:val="00DA2E85"/>
    <w:rsid w:val="00DA3A70"/>
    <w:rsid w:val="00DA6572"/>
    <w:rsid w:val="00DB2007"/>
    <w:rsid w:val="00DC19CB"/>
    <w:rsid w:val="00DC3790"/>
    <w:rsid w:val="00DC758D"/>
    <w:rsid w:val="00DD03AC"/>
    <w:rsid w:val="00DD081E"/>
    <w:rsid w:val="00DD63AD"/>
    <w:rsid w:val="00DD7197"/>
    <w:rsid w:val="00DE5743"/>
    <w:rsid w:val="00DF2B35"/>
    <w:rsid w:val="00E006FA"/>
    <w:rsid w:val="00E07092"/>
    <w:rsid w:val="00E10A95"/>
    <w:rsid w:val="00E25112"/>
    <w:rsid w:val="00E263FD"/>
    <w:rsid w:val="00E30201"/>
    <w:rsid w:val="00E44E6A"/>
    <w:rsid w:val="00E5145F"/>
    <w:rsid w:val="00E5459C"/>
    <w:rsid w:val="00E60A9C"/>
    <w:rsid w:val="00E61B4A"/>
    <w:rsid w:val="00E65DCA"/>
    <w:rsid w:val="00E80370"/>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191B"/>
    <w:rsid w:val="00F138CF"/>
    <w:rsid w:val="00F17C9D"/>
    <w:rsid w:val="00F211EF"/>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0FF670A"/>
    <w:rsid w:val="01145609"/>
    <w:rsid w:val="01156757"/>
    <w:rsid w:val="01207B0A"/>
    <w:rsid w:val="012670EA"/>
    <w:rsid w:val="013C690E"/>
    <w:rsid w:val="014365C7"/>
    <w:rsid w:val="014632E9"/>
    <w:rsid w:val="015C48BA"/>
    <w:rsid w:val="016110B2"/>
    <w:rsid w:val="016110F4"/>
    <w:rsid w:val="016A5229"/>
    <w:rsid w:val="016F45ED"/>
    <w:rsid w:val="017F6DDD"/>
    <w:rsid w:val="01802C9E"/>
    <w:rsid w:val="018207C5"/>
    <w:rsid w:val="01852063"/>
    <w:rsid w:val="01875DDB"/>
    <w:rsid w:val="01883901"/>
    <w:rsid w:val="018C33F1"/>
    <w:rsid w:val="01916216"/>
    <w:rsid w:val="01987FE8"/>
    <w:rsid w:val="01995B0E"/>
    <w:rsid w:val="019E4ED3"/>
    <w:rsid w:val="01AC7279"/>
    <w:rsid w:val="01B372CB"/>
    <w:rsid w:val="01B446F6"/>
    <w:rsid w:val="01D134FA"/>
    <w:rsid w:val="01D4498F"/>
    <w:rsid w:val="01E468FF"/>
    <w:rsid w:val="01EE19B6"/>
    <w:rsid w:val="01EF572E"/>
    <w:rsid w:val="01F3521E"/>
    <w:rsid w:val="01FE5971"/>
    <w:rsid w:val="020A1730"/>
    <w:rsid w:val="020E3E06"/>
    <w:rsid w:val="02111B48"/>
    <w:rsid w:val="0213141D"/>
    <w:rsid w:val="02151639"/>
    <w:rsid w:val="02181129"/>
    <w:rsid w:val="02182ED7"/>
    <w:rsid w:val="02331ABF"/>
    <w:rsid w:val="023615AF"/>
    <w:rsid w:val="024008A5"/>
    <w:rsid w:val="0241242E"/>
    <w:rsid w:val="024535A0"/>
    <w:rsid w:val="02497534"/>
    <w:rsid w:val="02581525"/>
    <w:rsid w:val="02587777"/>
    <w:rsid w:val="027F4D04"/>
    <w:rsid w:val="028D5673"/>
    <w:rsid w:val="0295277A"/>
    <w:rsid w:val="02963DFC"/>
    <w:rsid w:val="029A7D90"/>
    <w:rsid w:val="02A46519"/>
    <w:rsid w:val="02A8425B"/>
    <w:rsid w:val="02A97FD3"/>
    <w:rsid w:val="02B80216"/>
    <w:rsid w:val="02BC1AB4"/>
    <w:rsid w:val="02C82FD8"/>
    <w:rsid w:val="02CC42EB"/>
    <w:rsid w:val="02D50DC8"/>
    <w:rsid w:val="02D52B76"/>
    <w:rsid w:val="02D7069C"/>
    <w:rsid w:val="02D908B8"/>
    <w:rsid w:val="02D92666"/>
    <w:rsid w:val="02DB2E36"/>
    <w:rsid w:val="02DF57A3"/>
    <w:rsid w:val="02E66B31"/>
    <w:rsid w:val="02EA4873"/>
    <w:rsid w:val="02ED7EC0"/>
    <w:rsid w:val="02EE5303"/>
    <w:rsid w:val="02EF1E8A"/>
    <w:rsid w:val="02F4124E"/>
    <w:rsid w:val="02F70D3E"/>
    <w:rsid w:val="02FA25DD"/>
    <w:rsid w:val="03004097"/>
    <w:rsid w:val="03062D2F"/>
    <w:rsid w:val="03092820"/>
    <w:rsid w:val="030B6598"/>
    <w:rsid w:val="030D2310"/>
    <w:rsid w:val="032064E7"/>
    <w:rsid w:val="03343D40"/>
    <w:rsid w:val="03345AEF"/>
    <w:rsid w:val="03353615"/>
    <w:rsid w:val="03394EB3"/>
    <w:rsid w:val="033E696D"/>
    <w:rsid w:val="03451AAA"/>
    <w:rsid w:val="03463A74"/>
    <w:rsid w:val="034F0B7A"/>
    <w:rsid w:val="03600692"/>
    <w:rsid w:val="0361440A"/>
    <w:rsid w:val="0374413D"/>
    <w:rsid w:val="037B196F"/>
    <w:rsid w:val="037E320E"/>
    <w:rsid w:val="03A26EFC"/>
    <w:rsid w:val="03AF33C7"/>
    <w:rsid w:val="03B60BF9"/>
    <w:rsid w:val="03B66504"/>
    <w:rsid w:val="03B86720"/>
    <w:rsid w:val="03B94246"/>
    <w:rsid w:val="03BC07A2"/>
    <w:rsid w:val="03BF149B"/>
    <w:rsid w:val="03C07382"/>
    <w:rsid w:val="03C2134C"/>
    <w:rsid w:val="03C5328B"/>
    <w:rsid w:val="03C81C0C"/>
    <w:rsid w:val="03CA0201"/>
    <w:rsid w:val="03CA1FAF"/>
    <w:rsid w:val="03D472D2"/>
    <w:rsid w:val="03D746CC"/>
    <w:rsid w:val="03DE5A5A"/>
    <w:rsid w:val="03E31959"/>
    <w:rsid w:val="03EF1A15"/>
    <w:rsid w:val="03F86B1C"/>
    <w:rsid w:val="03FB485E"/>
    <w:rsid w:val="04001E75"/>
    <w:rsid w:val="0406304E"/>
    <w:rsid w:val="0411629F"/>
    <w:rsid w:val="04207E21"/>
    <w:rsid w:val="04247911"/>
    <w:rsid w:val="04294F27"/>
    <w:rsid w:val="042B5143"/>
    <w:rsid w:val="042C4A18"/>
    <w:rsid w:val="043B2184"/>
    <w:rsid w:val="043D4E77"/>
    <w:rsid w:val="043F0BEF"/>
    <w:rsid w:val="044C2EB2"/>
    <w:rsid w:val="046248DD"/>
    <w:rsid w:val="046C12B8"/>
    <w:rsid w:val="04784101"/>
    <w:rsid w:val="04787C5D"/>
    <w:rsid w:val="047A1C27"/>
    <w:rsid w:val="047F723D"/>
    <w:rsid w:val="048D6709"/>
    <w:rsid w:val="04934A97"/>
    <w:rsid w:val="049F343C"/>
    <w:rsid w:val="04A22F2C"/>
    <w:rsid w:val="04A42800"/>
    <w:rsid w:val="04A65DBC"/>
    <w:rsid w:val="04B844FD"/>
    <w:rsid w:val="04BA0275"/>
    <w:rsid w:val="04C11604"/>
    <w:rsid w:val="04D05CEB"/>
    <w:rsid w:val="04D1736D"/>
    <w:rsid w:val="04E13A54"/>
    <w:rsid w:val="04E35A1E"/>
    <w:rsid w:val="04E62E18"/>
    <w:rsid w:val="04E86B91"/>
    <w:rsid w:val="04EB21F1"/>
    <w:rsid w:val="04EB48D3"/>
    <w:rsid w:val="04F35535"/>
    <w:rsid w:val="050B0AD1"/>
    <w:rsid w:val="050D2A9B"/>
    <w:rsid w:val="050D4849"/>
    <w:rsid w:val="0530678A"/>
    <w:rsid w:val="05341DD6"/>
    <w:rsid w:val="053718C6"/>
    <w:rsid w:val="0543698F"/>
    <w:rsid w:val="05453FE3"/>
    <w:rsid w:val="05485881"/>
    <w:rsid w:val="054F6C10"/>
    <w:rsid w:val="05557F9E"/>
    <w:rsid w:val="05575AC4"/>
    <w:rsid w:val="0559183C"/>
    <w:rsid w:val="055C132D"/>
    <w:rsid w:val="056A1C9B"/>
    <w:rsid w:val="056A57F8"/>
    <w:rsid w:val="057523EE"/>
    <w:rsid w:val="057B7A05"/>
    <w:rsid w:val="05863DE1"/>
    <w:rsid w:val="0588226B"/>
    <w:rsid w:val="059960DD"/>
    <w:rsid w:val="059B6C35"/>
    <w:rsid w:val="059E1945"/>
    <w:rsid w:val="05A54A82"/>
    <w:rsid w:val="05AA653C"/>
    <w:rsid w:val="05AC22B4"/>
    <w:rsid w:val="05B178CA"/>
    <w:rsid w:val="05C14046"/>
    <w:rsid w:val="05C8377A"/>
    <w:rsid w:val="05CD3A4B"/>
    <w:rsid w:val="05D47115"/>
    <w:rsid w:val="05DB04A3"/>
    <w:rsid w:val="05E03D0C"/>
    <w:rsid w:val="05EF1FFE"/>
    <w:rsid w:val="05F41565"/>
    <w:rsid w:val="05FA6D67"/>
    <w:rsid w:val="06043E9E"/>
    <w:rsid w:val="060C2D53"/>
    <w:rsid w:val="060E0879"/>
    <w:rsid w:val="061E4834"/>
    <w:rsid w:val="061F2A86"/>
    <w:rsid w:val="06231E4A"/>
    <w:rsid w:val="06257970"/>
    <w:rsid w:val="062F6A41"/>
    <w:rsid w:val="063032E6"/>
    <w:rsid w:val="06311401"/>
    <w:rsid w:val="063302DF"/>
    <w:rsid w:val="0639166E"/>
    <w:rsid w:val="063B6996"/>
    <w:rsid w:val="06471FDD"/>
    <w:rsid w:val="06510766"/>
    <w:rsid w:val="065344DE"/>
    <w:rsid w:val="06540256"/>
    <w:rsid w:val="065A3ABE"/>
    <w:rsid w:val="065B15E4"/>
    <w:rsid w:val="0665331F"/>
    <w:rsid w:val="06764670"/>
    <w:rsid w:val="067F3525"/>
    <w:rsid w:val="06936FD0"/>
    <w:rsid w:val="06941C75"/>
    <w:rsid w:val="069A65B0"/>
    <w:rsid w:val="06A05249"/>
    <w:rsid w:val="06A50AB1"/>
    <w:rsid w:val="06AC1E40"/>
    <w:rsid w:val="06AE5BB8"/>
    <w:rsid w:val="06BB2083"/>
    <w:rsid w:val="06BF6017"/>
    <w:rsid w:val="06D85299"/>
    <w:rsid w:val="06E15F8D"/>
    <w:rsid w:val="06E17D3B"/>
    <w:rsid w:val="06E25862"/>
    <w:rsid w:val="06E415DA"/>
    <w:rsid w:val="06EC66E0"/>
    <w:rsid w:val="06FA704F"/>
    <w:rsid w:val="070B300A"/>
    <w:rsid w:val="071C2DD7"/>
    <w:rsid w:val="071F2612"/>
    <w:rsid w:val="07267E44"/>
    <w:rsid w:val="072B545A"/>
    <w:rsid w:val="073360BD"/>
    <w:rsid w:val="074107DA"/>
    <w:rsid w:val="0744651C"/>
    <w:rsid w:val="0752156E"/>
    <w:rsid w:val="075C3866"/>
    <w:rsid w:val="0765096C"/>
    <w:rsid w:val="07666CB3"/>
    <w:rsid w:val="07697D31"/>
    <w:rsid w:val="07731EDA"/>
    <w:rsid w:val="07797F74"/>
    <w:rsid w:val="078D3D72"/>
    <w:rsid w:val="07927288"/>
    <w:rsid w:val="07996868"/>
    <w:rsid w:val="079F3753"/>
    <w:rsid w:val="07BE007D"/>
    <w:rsid w:val="07CA6A21"/>
    <w:rsid w:val="07D258D6"/>
    <w:rsid w:val="07DD49A7"/>
    <w:rsid w:val="07F95559"/>
    <w:rsid w:val="080804DF"/>
    <w:rsid w:val="080812F8"/>
    <w:rsid w:val="081764A3"/>
    <w:rsid w:val="082A74C0"/>
    <w:rsid w:val="08556759"/>
    <w:rsid w:val="085F10A3"/>
    <w:rsid w:val="08766BA9"/>
    <w:rsid w:val="08783254"/>
    <w:rsid w:val="087F5A5E"/>
    <w:rsid w:val="08826D5B"/>
    <w:rsid w:val="088F5575"/>
    <w:rsid w:val="089112ED"/>
    <w:rsid w:val="08915791"/>
    <w:rsid w:val="089332B7"/>
    <w:rsid w:val="089B216C"/>
    <w:rsid w:val="089F1C5C"/>
    <w:rsid w:val="08A2799E"/>
    <w:rsid w:val="08A76D63"/>
    <w:rsid w:val="08AA23AF"/>
    <w:rsid w:val="08AB6853"/>
    <w:rsid w:val="08AE3E1E"/>
    <w:rsid w:val="08BA6A96"/>
    <w:rsid w:val="08BB280E"/>
    <w:rsid w:val="08C6543B"/>
    <w:rsid w:val="08C72F61"/>
    <w:rsid w:val="08C94F2B"/>
    <w:rsid w:val="08CC67C9"/>
    <w:rsid w:val="08D538D0"/>
    <w:rsid w:val="08D5567E"/>
    <w:rsid w:val="08DB6A0C"/>
    <w:rsid w:val="08E753B1"/>
    <w:rsid w:val="08F024B8"/>
    <w:rsid w:val="08F55D20"/>
    <w:rsid w:val="08FD4BD5"/>
    <w:rsid w:val="090441B5"/>
    <w:rsid w:val="09063A89"/>
    <w:rsid w:val="090B72F2"/>
    <w:rsid w:val="09102B5A"/>
    <w:rsid w:val="09137F54"/>
    <w:rsid w:val="09212671"/>
    <w:rsid w:val="09287EA3"/>
    <w:rsid w:val="09322AD0"/>
    <w:rsid w:val="0932487E"/>
    <w:rsid w:val="09343645"/>
    <w:rsid w:val="09420839"/>
    <w:rsid w:val="09475E50"/>
    <w:rsid w:val="094B1DE4"/>
    <w:rsid w:val="094B5940"/>
    <w:rsid w:val="094D790A"/>
    <w:rsid w:val="09572537"/>
    <w:rsid w:val="0958005D"/>
    <w:rsid w:val="096133B5"/>
    <w:rsid w:val="096802A0"/>
    <w:rsid w:val="096D1D5A"/>
    <w:rsid w:val="097D1872"/>
    <w:rsid w:val="098175B4"/>
    <w:rsid w:val="098403FE"/>
    <w:rsid w:val="0985716A"/>
    <w:rsid w:val="098B21E0"/>
    <w:rsid w:val="098F1CD1"/>
    <w:rsid w:val="099A2423"/>
    <w:rsid w:val="09A339CE"/>
    <w:rsid w:val="09A82D92"/>
    <w:rsid w:val="09AB2883"/>
    <w:rsid w:val="09AF2373"/>
    <w:rsid w:val="09C15C02"/>
    <w:rsid w:val="09C37BCC"/>
    <w:rsid w:val="09C6304D"/>
    <w:rsid w:val="09CA0F5B"/>
    <w:rsid w:val="09D26061"/>
    <w:rsid w:val="09D5113E"/>
    <w:rsid w:val="09D516AE"/>
    <w:rsid w:val="09DC2A3C"/>
    <w:rsid w:val="09E07D73"/>
    <w:rsid w:val="09E518F1"/>
    <w:rsid w:val="09E7100A"/>
    <w:rsid w:val="09EB0ED1"/>
    <w:rsid w:val="09EF6C13"/>
    <w:rsid w:val="09FC4E8C"/>
    <w:rsid w:val="0A0B50CF"/>
    <w:rsid w:val="0A0D52EB"/>
    <w:rsid w:val="0A165F4E"/>
    <w:rsid w:val="0A187F18"/>
    <w:rsid w:val="0A1B2824"/>
    <w:rsid w:val="0A217411"/>
    <w:rsid w:val="0A390C74"/>
    <w:rsid w:val="0A456833"/>
    <w:rsid w:val="0A4923BF"/>
    <w:rsid w:val="0A5F5B47"/>
    <w:rsid w:val="0A717628"/>
    <w:rsid w:val="0A7315F2"/>
    <w:rsid w:val="0A740EC6"/>
    <w:rsid w:val="0A7964DD"/>
    <w:rsid w:val="0A7D7D7B"/>
    <w:rsid w:val="0A997C59"/>
    <w:rsid w:val="0AA7129C"/>
    <w:rsid w:val="0AAF1EFF"/>
    <w:rsid w:val="0AB6328D"/>
    <w:rsid w:val="0ABB4D47"/>
    <w:rsid w:val="0ABF0394"/>
    <w:rsid w:val="0ACC485F"/>
    <w:rsid w:val="0AD32091"/>
    <w:rsid w:val="0AD656DD"/>
    <w:rsid w:val="0ADD2F10"/>
    <w:rsid w:val="0AE178F5"/>
    <w:rsid w:val="0AE53B72"/>
    <w:rsid w:val="0AE941D3"/>
    <w:rsid w:val="0AED2D32"/>
    <w:rsid w:val="0AF00027"/>
    <w:rsid w:val="0AF344E1"/>
    <w:rsid w:val="0AF50259"/>
    <w:rsid w:val="0AFA5870"/>
    <w:rsid w:val="0B0D605F"/>
    <w:rsid w:val="0B100BEF"/>
    <w:rsid w:val="0B27418B"/>
    <w:rsid w:val="0B300652"/>
    <w:rsid w:val="0B416FFB"/>
    <w:rsid w:val="0B420FC5"/>
    <w:rsid w:val="0B424B21"/>
    <w:rsid w:val="0B440899"/>
    <w:rsid w:val="0B50723E"/>
    <w:rsid w:val="0B584344"/>
    <w:rsid w:val="0B5F3925"/>
    <w:rsid w:val="0B7C6285"/>
    <w:rsid w:val="0B8D0492"/>
    <w:rsid w:val="0B923CFA"/>
    <w:rsid w:val="0BA0392E"/>
    <w:rsid w:val="0BA61553"/>
    <w:rsid w:val="0BA8707A"/>
    <w:rsid w:val="0BAE0408"/>
    <w:rsid w:val="0BB30DED"/>
    <w:rsid w:val="0BB567C0"/>
    <w:rsid w:val="0BB772BD"/>
    <w:rsid w:val="0BBE03E7"/>
    <w:rsid w:val="0BC96FF0"/>
    <w:rsid w:val="0BCD4D32"/>
    <w:rsid w:val="0BE1258C"/>
    <w:rsid w:val="0BE65DF4"/>
    <w:rsid w:val="0BF422BF"/>
    <w:rsid w:val="0BF73B5D"/>
    <w:rsid w:val="0C013B43"/>
    <w:rsid w:val="0C060244"/>
    <w:rsid w:val="0C061FF2"/>
    <w:rsid w:val="0C0D512F"/>
    <w:rsid w:val="0C201171"/>
    <w:rsid w:val="0C201306"/>
    <w:rsid w:val="0C255D6D"/>
    <w:rsid w:val="0C2661F0"/>
    <w:rsid w:val="0C285E2F"/>
    <w:rsid w:val="0C3628D7"/>
    <w:rsid w:val="0C3923C8"/>
    <w:rsid w:val="0C440EE1"/>
    <w:rsid w:val="0C510D41"/>
    <w:rsid w:val="0C594818"/>
    <w:rsid w:val="0C5965C6"/>
    <w:rsid w:val="0C6308E0"/>
    <w:rsid w:val="0C654F6B"/>
    <w:rsid w:val="0C6C00A7"/>
    <w:rsid w:val="0C803B53"/>
    <w:rsid w:val="0C8573BB"/>
    <w:rsid w:val="0C8F3D96"/>
    <w:rsid w:val="0C905B62"/>
    <w:rsid w:val="0C9910B8"/>
    <w:rsid w:val="0C992E66"/>
    <w:rsid w:val="0C994C14"/>
    <w:rsid w:val="0CA21D1B"/>
    <w:rsid w:val="0CAC0DEC"/>
    <w:rsid w:val="0CB101B0"/>
    <w:rsid w:val="0CC47EE3"/>
    <w:rsid w:val="0CCC4FEA"/>
    <w:rsid w:val="0CCC561D"/>
    <w:rsid w:val="0CCF6888"/>
    <w:rsid w:val="0CD36378"/>
    <w:rsid w:val="0CD619C5"/>
    <w:rsid w:val="0CE02BCB"/>
    <w:rsid w:val="0CF63E15"/>
    <w:rsid w:val="0D002EE5"/>
    <w:rsid w:val="0D013BBD"/>
    <w:rsid w:val="0D0E5602"/>
    <w:rsid w:val="0D1129FD"/>
    <w:rsid w:val="0D2070E4"/>
    <w:rsid w:val="0D335069"/>
    <w:rsid w:val="0D366907"/>
    <w:rsid w:val="0D3D1A44"/>
    <w:rsid w:val="0D411534"/>
    <w:rsid w:val="0D414932"/>
    <w:rsid w:val="0D4252AC"/>
    <w:rsid w:val="0D5079C9"/>
    <w:rsid w:val="0D646FD0"/>
    <w:rsid w:val="0D6945E7"/>
    <w:rsid w:val="0D6D057B"/>
    <w:rsid w:val="0D7511DD"/>
    <w:rsid w:val="0D7B0357"/>
    <w:rsid w:val="0D872355"/>
    <w:rsid w:val="0D8B5F9E"/>
    <w:rsid w:val="0D8C6527"/>
    <w:rsid w:val="0DAE47E8"/>
    <w:rsid w:val="0DB759FC"/>
    <w:rsid w:val="0DBE0DD6"/>
    <w:rsid w:val="0DC51B46"/>
    <w:rsid w:val="0DD71E98"/>
    <w:rsid w:val="0DE14AC5"/>
    <w:rsid w:val="0DE819AF"/>
    <w:rsid w:val="0DFA16E3"/>
    <w:rsid w:val="0E025E4C"/>
    <w:rsid w:val="0E0407B3"/>
    <w:rsid w:val="0E0A5DCA"/>
    <w:rsid w:val="0E0E5FCE"/>
    <w:rsid w:val="0E15651D"/>
    <w:rsid w:val="0E1C78AB"/>
    <w:rsid w:val="0E2C4F72"/>
    <w:rsid w:val="0E320E7D"/>
    <w:rsid w:val="0E323572"/>
    <w:rsid w:val="0E344BF5"/>
    <w:rsid w:val="0E35096D"/>
    <w:rsid w:val="0E590AFF"/>
    <w:rsid w:val="0E5B4877"/>
    <w:rsid w:val="0E677633"/>
    <w:rsid w:val="0E6A6868"/>
    <w:rsid w:val="0E6F3E7F"/>
    <w:rsid w:val="0E76520D"/>
    <w:rsid w:val="0E7C659C"/>
    <w:rsid w:val="0E807E3A"/>
    <w:rsid w:val="0E87566C"/>
    <w:rsid w:val="0E891CDE"/>
    <w:rsid w:val="0E912047"/>
    <w:rsid w:val="0E953034"/>
    <w:rsid w:val="0E975183"/>
    <w:rsid w:val="0E981627"/>
    <w:rsid w:val="0EA77ABC"/>
    <w:rsid w:val="0EB126E9"/>
    <w:rsid w:val="0ECA37AB"/>
    <w:rsid w:val="0ECA7500"/>
    <w:rsid w:val="0ED939EE"/>
    <w:rsid w:val="0ED9579C"/>
    <w:rsid w:val="0EE06B2A"/>
    <w:rsid w:val="0EEA79A9"/>
    <w:rsid w:val="0EED1247"/>
    <w:rsid w:val="0EF40828"/>
    <w:rsid w:val="0EF820C6"/>
    <w:rsid w:val="0EF97BEC"/>
    <w:rsid w:val="0F0071CD"/>
    <w:rsid w:val="0F0767AD"/>
    <w:rsid w:val="0F087E2F"/>
    <w:rsid w:val="0F0A004B"/>
    <w:rsid w:val="0F24110D"/>
    <w:rsid w:val="0F242EBB"/>
    <w:rsid w:val="0F250657"/>
    <w:rsid w:val="0F29227F"/>
    <w:rsid w:val="0F307AB2"/>
    <w:rsid w:val="0F563291"/>
    <w:rsid w:val="0F59068B"/>
    <w:rsid w:val="0F5B7037"/>
    <w:rsid w:val="0F5D017B"/>
    <w:rsid w:val="0F625791"/>
    <w:rsid w:val="0F68729F"/>
    <w:rsid w:val="0F692FC4"/>
    <w:rsid w:val="0F711E78"/>
    <w:rsid w:val="0F84395A"/>
    <w:rsid w:val="0F855910"/>
    <w:rsid w:val="0F8D6973"/>
    <w:rsid w:val="0F8E6586"/>
    <w:rsid w:val="0F987405"/>
    <w:rsid w:val="0FA20284"/>
    <w:rsid w:val="0FA7589A"/>
    <w:rsid w:val="0FA91612"/>
    <w:rsid w:val="0FAB0EE6"/>
    <w:rsid w:val="0FAC53B1"/>
    <w:rsid w:val="0FB12275"/>
    <w:rsid w:val="0FB5165B"/>
    <w:rsid w:val="0FB83603"/>
    <w:rsid w:val="0FBC7598"/>
    <w:rsid w:val="0FC24482"/>
    <w:rsid w:val="0FC95811"/>
    <w:rsid w:val="0FCB77DB"/>
    <w:rsid w:val="0FCC70AF"/>
    <w:rsid w:val="0FE04BDF"/>
    <w:rsid w:val="0FE216C6"/>
    <w:rsid w:val="0FF705D0"/>
    <w:rsid w:val="0FFE370C"/>
    <w:rsid w:val="100B7BD7"/>
    <w:rsid w:val="100D394F"/>
    <w:rsid w:val="101C2B60"/>
    <w:rsid w:val="10280789"/>
    <w:rsid w:val="102B2027"/>
    <w:rsid w:val="102F7D69"/>
    <w:rsid w:val="103709CC"/>
    <w:rsid w:val="103A670E"/>
    <w:rsid w:val="10507CE0"/>
    <w:rsid w:val="105253A5"/>
    <w:rsid w:val="106079A9"/>
    <w:rsid w:val="10635C65"/>
    <w:rsid w:val="1065378B"/>
    <w:rsid w:val="1066707D"/>
    <w:rsid w:val="106A6FF4"/>
    <w:rsid w:val="106D36EE"/>
    <w:rsid w:val="107439CE"/>
    <w:rsid w:val="1074577C"/>
    <w:rsid w:val="107F4121"/>
    <w:rsid w:val="10853AAC"/>
    <w:rsid w:val="108B0D18"/>
    <w:rsid w:val="10A157BC"/>
    <w:rsid w:val="10A83678"/>
    <w:rsid w:val="10B10EAD"/>
    <w:rsid w:val="10B244F7"/>
    <w:rsid w:val="10C009C2"/>
    <w:rsid w:val="10C20BDE"/>
    <w:rsid w:val="10C2298C"/>
    <w:rsid w:val="10D715D2"/>
    <w:rsid w:val="10DD5A17"/>
    <w:rsid w:val="10E01064"/>
    <w:rsid w:val="10E548CC"/>
    <w:rsid w:val="10E943BC"/>
    <w:rsid w:val="10FB6ED7"/>
    <w:rsid w:val="11001706"/>
    <w:rsid w:val="11056D1C"/>
    <w:rsid w:val="11074842"/>
    <w:rsid w:val="110F1949"/>
    <w:rsid w:val="111725AC"/>
    <w:rsid w:val="11186A50"/>
    <w:rsid w:val="111B02EE"/>
    <w:rsid w:val="1125116C"/>
    <w:rsid w:val="11292A0B"/>
    <w:rsid w:val="112C7E93"/>
    <w:rsid w:val="1131366D"/>
    <w:rsid w:val="113373E5"/>
    <w:rsid w:val="113B3D20"/>
    <w:rsid w:val="11576D6C"/>
    <w:rsid w:val="11587F1F"/>
    <w:rsid w:val="116C0B49"/>
    <w:rsid w:val="1170063A"/>
    <w:rsid w:val="1182036D"/>
    <w:rsid w:val="118539B9"/>
    <w:rsid w:val="11934328"/>
    <w:rsid w:val="119E5E08"/>
    <w:rsid w:val="119F43A3"/>
    <w:rsid w:val="11A227BD"/>
    <w:rsid w:val="11A46535"/>
    <w:rsid w:val="11A71B81"/>
    <w:rsid w:val="11AF3F8B"/>
    <w:rsid w:val="11BA3663"/>
    <w:rsid w:val="11BF511D"/>
    <w:rsid w:val="11D230A2"/>
    <w:rsid w:val="11E84674"/>
    <w:rsid w:val="11EC3A38"/>
    <w:rsid w:val="11FF551A"/>
    <w:rsid w:val="12064AFA"/>
    <w:rsid w:val="12080872"/>
    <w:rsid w:val="12127CF6"/>
    <w:rsid w:val="121721BA"/>
    <w:rsid w:val="121C256F"/>
    <w:rsid w:val="122570FC"/>
    <w:rsid w:val="12274A70"/>
    <w:rsid w:val="1232769D"/>
    <w:rsid w:val="124318AA"/>
    <w:rsid w:val="124D097B"/>
    <w:rsid w:val="124D44D7"/>
    <w:rsid w:val="12541D09"/>
    <w:rsid w:val="12555A81"/>
    <w:rsid w:val="1255782F"/>
    <w:rsid w:val="125910CE"/>
    <w:rsid w:val="125C296C"/>
    <w:rsid w:val="12633CFA"/>
    <w:rsid w:val="126D4B79"/>
    <w:rsid w:val="12764066"/>
    <w:rsid w:val="1283439D"/>
    <w:rsid w:val="1288550F"/>
    <w:rsid w:val="12940358"/>
    <w:rsid w:val="129C545E"/>
    <w:rsid w:val="129C720C"/>
    <w:rsid w:val="129E3275"/>
    <w:rsid w:val="12C0739F"/>
    <w:rsid w:val="12C2066C"/>
    <w:rsid w:val="12C80001"/>
    <w:rsid w:val="12CF1390"/>
    <w:rsid w:val="12D25FB0"/>
    <w:rsid w:val="12E0534B"/>
    <w:rsid w:val="12E36BE9"/>
    <w:rsid w:val="12E806A4"/>
    <w:rsid w:val="12F40DF6"/>
    <w:rsid w:val="12F62DC0"/>
    <w:rsid w:val="12F91841"/>
    <w:rsid w:val="12FC2B62"/>
    <w:rsid w:val="130C25E4"/>
    <w:rsid w:val="130F5C30"/>
    <w:rsid w:val="1319085D"/>
    <w:rsid w:val="131E2317"/>
    <w:rsid w:val="13201BEB"/>
    <w:rsid w:val="13203999"/>
    <w:rsid w:val="132D60B6"/>
    <w:rsid w:val="132E255A"/>
    <w:rsid w:val="133631BD"/>
    <w:rsid w:val="133D454B"/>
    <w:rsid w:val="13541895"/>
    <w:rsid w:val="13581385"/>
    <w:rsid w:val="135E44C2"/>
    <w:rsid w:val="136C60D7"/>
    <w:rsid w:val="136C6BDF"/>
    <w:rsid w:val="13806B2E"/>
    <w:rsid w:val="13833F28"/>
    <w:rsid w:val="13871C6A"/>
    <w:rsid w:val="138959E3"/>
    <w:rsid w:val="13897791"/>
    <w:rsid w:val="138C54D3"/>
    <w:rsid w:val="13904FC3"/>
    <w:rsid w:val="13A20852"/>
    <w:rsid w:val="13A4281C"/>
    <w:rsid w:val="13A97E33"/>
    <w:rsid w:val="13AA4288"/>
    <w:rsid w:val="13AC16D1"/>
    <w:rsid w:val="13B14F39"/>
    <w:rsid w:val="13BB7B66"/>
    <w:rsid w:val="13C80C8A"/>
    <w:rsid w:val="13CC1D73"/>
    <w:rsid w:val="13CE1647"/>
    <w:rsid w:val="13D80718"/>
    <w:rsid w:val="13E26EA1"/>
    <w:rsid w:val="13F53078"/>
    <w:rsid w:val="14072DAB"/>
    <w:rsid w:val="141B323A"/>
    <w:rsid w:val="141D437D"/>
    <w:rsid w:val="141D612B"/>
    <w:rsid w:val="1424570B"/>
    <w:rsid w:val="142D2812"/>
    <w:rsid w:val="1441006B"/>
    <w:rsid w:val="14425B91"/>
    <w:rsid w:val="144C07BE"/>
    <w:rsid w:val="144E2788"/>
    <w:rsid w:val="14504752"/>
    <w:rsid w:val="145076DA"/>
    <w:rsid w:val="146A2CD4"/>
    <w:rsid w:val="146A5814"/>
    <w:rsid w:val="146B6E96"/>
    <w:rsid w:val="147026FF"/>
    <w:rsid w:val="14726477"/>
    <w:rsid w:val="14773A8D"/>
    <w:rsid w:val="147A17CF"/>
    <w:rsid w:val="147E12BF"/>
    <w:rsid w:val="14832432"/>
    <w:rsid w:val="14883EEC"/>
    <w:rsid w:val="14991C55"/>
    <w:rsid w:val="149C34F4"/>
    <w:rsid w:val="14A95C11"/>
    <w:rsid w:val="14B46A8F"/>
    <w:rsid w:val="14B70C0B"/>
    <w:rsid w:val="14BC5944"/>
    <w:rsid w:val="14C34F24"/>
    <w:rsid w:val="14E8498B"/>
    <w:rsid w:val="14F7697C"/>
    <w:rsid w:val="14FE5E91"/>
    <w:rsid w:val="15100288"/>
    <w:rsid w:val="15205ED3"/>
    <w:rsid w:val="1525798D"/>
    <w:rsid w:val="15267261"/>
    <w:rsid w:val="152D05F0"/>
    <w:rsid w:val="152F25BA"/>
    <w:rsid w:val="15396F94"/>
    <w:rsid w:val="153C6A85"/>
    <w:rsid w:val="15415E49"/>
    <w:rsid w:val="15431BC1"/>
    <w:rsid w:val="15437681"/>
    <w:rsid w:val="155D0ED5"/>
    <w:rsid w:val="155D7127"/>
    <w:rsid w:val="155E2E9F"/>
    <w:rsid w:val="15630A9A"/>
    <w:rsid w:val="15744470"/>
    <w:rsid w:val="15763D45"/>
    <w:rsid w:val="15791A87"/>
    <w:rsid w:val="15793835"/>
    <w:rsid w:val="157B4735"/>
    <w:rsid w:val="15806971"/>
    <w:rsid w:val="15826B8D"/>
    <w:rsid w:val="15836462"/>
    <w:rsid w:val="15910B7E"/>
    <w:rsid w:val="15A07AD1"/>
    <w:rsid w:val="15A16F7B"/>
    <w:rsid w:val="15A20FDE"/>
    <w:rsid w:val="15A87E7A"/>
    <w:rsid w:val="15A9236C"/>
    <w:rsid w:val="15AE34DE"/>
    <w:rsid w:val="15B42ABF"/>
    <w:rsid w:val="15C076B6"/>
    <w:rsid w:val="15C947BC"/>
    <w:rsid w:val="15D62A35"/>
    <w:rsid w:val="15D81A45"/>
    <w:rsid w:val="15D867AD"/>
    <w:rsid w:val="15DB629E"/>
    <w:rsid w:val="15DD3DC4"/>
    <w:rsid w:val="15E05662"/>
    <w:rsid w:val="15E46B97"/>
    <w:rsid w:val="15E769F0"/>
    <w:rsid w:val="15FC6940"/>
    <w:rsid w:val="16117F11"/>
    <w:rsid w:val="16201F02"/>
    <w:rsid w:val="16314BAD"/>
    <w:rsid w:val="1638724C"/>
    <w:rsid w:val="163D4862"/>
    <w:rsid w:val="1647748F"/>
    <w:rsid w:val="16491459"/>
    <w:rsid w:val="164976AB"/>
    <w:rsid w:val="164B6F7F"/>
    <w:rsid w:val="164E081E"/>
    <w:rsid w:val="165027E8"/>
    <w:rsid w:val="16565924"/>
    <w:rsid w:val="165D4F05"/>
    <w:rsid w:val="1660497C"/>
    <w:rsid w:val="167A7865"/>
    <w:rsid w:val="167C538B"/>
    <w:rsid w:val="167F30CD"/>
    <w:rsid w:val="16821794"/>
    <w:rsid w:val="169052DA"/>
    <w:rsid w:val="16924BAE"/>
    <w:rsid w:val="16A11295"/>
    <w:rsid w:val="16D8458B"/>
    <w:rsid w:val="16E80C72"/>
    <w:rsid w:val="16ED6288"/>
    <w:rsid w:val="16F2564D"/>
    <w:rsid w:val="16F5513D"/>
    <w:rsid w:val="17092D7A"/>
    <w:rsid w:val="17100B20"/>
    <w:rsid w:val="1719707D"/>
    <w:rsid w:val="1723614E"/>
    <w:rsid w:val="172441DF"/>
    <w:rsid w:val="17306175"/>
    <w:rsid w:val="1732013F"/>
    <w:rsid w:val="173C2D6C"/>
    <w:rsid w:val="173D7210"/>
    <w:rsid w:val="173F02B3"/>
    <w:rsid w:val="174A36DB"/>
    <w:rsid w:val="17594306"/>
    <w:rsid w:val="175D340E"/>
    <w:rsid w:val="17604CAC"/>
    <w:rsid w:val="17606A5A"/>
    <w:rsid w:val="17614581"/>
    <w:rsid w:val="1767603B"/>
    <w:rsid w:val="177B1022"/>
    <w:rsid w:val="177B5642"/>
    <w:rsid w:val="17800EAB"/>
    <w:rsid w:val="17822E75"/>
    <w:rsid w:val="1794667B"/>
    <w:rsid w:val="179D1A5D"/>
    <w:rsid w:val="17A34B99"/>
    <w:rsid w:val="17AF353E"/>
    <w:rsid w:val="17BB0135"/>
    <w:rsid w:val="17CF3BE0"/>
    <w:rsid w:val="17D42FA4"/>
    <w:rsid w:val="17D539F2"/>
    <w:rsid w:val="17D631C0"/>
    <w:rsid w:val="17D80CE7"/>
    <w:rsid w:val="17D905BB"/>
    <w:rsid w:val="17DD7BFF"/>
    <w:rsid w:val="17EC4792"/>
    <w:rsid w:val="18023FB5"/>
    <w:rsid w:val="18062DF3"/>
    <w:rsid w:val="18095344"/>
    <w:rsid w:val="180A4C18"/>
    <w:rsid w:val="180C0990"/>
    <w:rsid w:val="18136AFE"/>
    <w:rsid w:val="18194E5B"/>
    <w:rsid w:val="181D0DEF"/>
    <w:rsid w:val="182E4DAB"/>
    <w:rsid w:val="182E6B59"/>
    <w:rsid w:val="182F06CB"/>
    <w:rsid w:val="183103F7"/>
    <w:rsid w:val="1833416F"/>
    <w:rsid w:val="18357EE7"/>
    <w:rsid w:val="18386A56"/>
    <w:rsid w:val="18386F0B"/>
    <w:rsid w:val="183D3240"/>
    <w:rsid w:val="183F2B14"/>
    <w:rsid w:val="1840688C"/>
    <w:rsid w:val="184E0FA9"/>
    <w:rsid w:val="187267B4"/>
    <w:rsid w:val="187327BD"/>
    <w:rsid w:val="187D188E"/>
    <w:rsid w:val="187D363C"/>
    <w:rsid w:val="18814EDA"/>
    <w:rsid w:val="188E75F7"/>
    <w:rsid w:val="18961368"/>
    <w:rsid w:val="189664AC"/>
    <w:rsid w:val="189A5F9C"/>
    <w:rsid w:val="18A7445B"/>
    <w:rsid w:val="18A94431"/>
    <w:rsid w:val="18AB01A9"/>
    <w:rsid w:val="18AE1A47"/>
    <w:rsid w:val="18AE37F5"/>
    <w:rsid w:val="18B76B4E"/>
    <w:rsid w:val="18C272A1"/>
    <w:rsid w:val="18D019BE"/>
    <w:rsid w:val="18D45952"/>
    <w:rsid w:val="18DB45BF"/>
    <w:rsid w:val="18E13BCB"/>
    <w:rsid w:val="18E45469"/>
    <w:rsid w:val="18E4741C"/>
    <w:rsid w:val="18E47B5C"/>
    <w:rsid w:val="18ED2570"/>
    <w:rsid w:val="18F25579"/>
    <w:rsid w:val="18F71640"/>
    <w:rsid w:val="19031D93"/>
    <w:rsid w:val="19097045"/>
    <w:rsid w:val="190A3122"/>
    <w:rsid w:val="19173A91"/>
    <w:rsid w:val="191A70DD"/>
    <w:rsid w:val="191E097B"/>
    <w:rsid w:val="192501A9"/>
    <w:rsid w:val="192835A8"/>
    <w:rsid w:val="192B12EA"/>
    <w:rsid w:val="192B3098"/>
    <w:rsid w:val="192E299C"/>
    <w:rsid w:val="192F4936"/>
    <w:rsid w:val="194D74B2"/>
    <w:rsid w:val="1954439D"/>
    <w:rsid w:val="195C14A3"/>
    <w:rsid w:val="1968609A"/>
    <w:rsid w:val="196A4431"/>
    <w:rsid w:val="197607B7"/>
    <w:rsid w:val="197762DD"/>
    <w:rsid w:val="197C38F4"/>
    <w:rsid w:val="19805192"/>
    <w:rsid w:val="19856C4C"/>
    <w:rsid w:val="198804EA"/>
    <w:rsid w:val="19A05834"/>
    <w:rsid w:val="19AA0461"/>
    <w:rsid w:val="19AC6690"/>
    <w:rsid w:val="19AF1F1B"/>
    <w:rsid w:val="19B72B7E"/>
    <w:rsid w:val="19C257AA"/>
    <w:rsid w:val="19C332D1"/>
    <w:rsid w:val="19C37774"/>
    <w:rsid w:val="19C71013"/>
    <w:rsid w:val="19D13C3F"/>
    <w:rsid w:val="19D76D7C"/>
    <w:rsid w:val="19E41BC5"/>
    <w:rsid w:val="19EC2827"/>
    <w:rsid w:val="19F8741E"/>
    <w:rsid w:val="1A085187"/>
    <w:rsid w:val="1A0A0EFF"/>
    <w:rsid w:val="1A104EBC"/>
    <w:rsid w:val="1A1B0030"/>
    <w:rsid w:val="1A257974"/>
    <w:rsid w:val="1A3D3083"/>
    <w:rsid w:val="1A3F504D"/>
    <w:rsid w:val="1A4563DB"/>
    <w:rsid w:val="1A4E34E2"/>
    <w:rsid w:val="1A501008"/>
    <w:rsid w:val="1A587EBD"/>
    <w:rsid w:val="1A5A1E87"/>
    <w:rsid w:val="1A5D3725"/>
    <w:rsid w:val="1A5D54D3"/>
    <w:rsid w:val="1A5F124B"/>
    <w:rsid w:val="1A7171D0"/>
    <w:rsid w:val="1A772A39"/>
    <w:rsid w:val="1A7F18ED"/>
    <w:rsid w:val="1A8011C2"/>
    <w:rsid w:val="1A9D2818"/>
    <w:rsid w:val="1AA2382E"/>
    <w:rsid w:val="1AA9696A"/>
    <w:rsid w:val="1AB01AA7"/>
    <w:rsid w:val="1AB05F4B"/>
    <w:rsid w:val="1AB31597"/>
    <w:rsid w:val="1AB772D9"/>
    <w:rsid w:val="1ABA20D4"/>
    <w:rsid w:val="1AC92E03"/>
    <w:rsid w:val="1ACB4B33"/>
    <w:rsid w:val="1ACB68E1"/>
    <w:rsid w:val="1AD25EC1"/>
    <w:rsid w:val="1AD27C6F"/>
    <w:rsid w:val="1AD75285"/>
    <w:rsid w:val="1ADC1DF2"/>
    <w:rsid w:val="1AE41750"/>
    <w:rsid w:val="1AE654C9"/>
    <w:rsid w:val="1AE71241"/>
    <w:rsid w:val="1AF47500"/>
    <w:rsid w:val="1AFA5418"/>
    <w:rsid w:val="1AFC2F3E"/>
    <w:rsid w:val="1B0342CC"/>
    <w:rsid w:val="1B0B4F2F"/>
    <w:rsid w:val="1B0E67CD"/>
    <w:rsid w:val="1B140288"/>
    <w:rsid w:val="1B1A7868"/>
    <w:rsid w:val="1B2453AC"/>
    <w:rsid w:val="1B261BEF"/>
    <w:rsid w:val="1B2D1349"/>
    <w:rsid w:val="1B2F50C2"/>
    <w:rsid w:val="1B3501FE"/>
    <w:rsid w:val="1B351FAC"/>
    <w:rsid w:val="1B397CEE"/>
    <w:rsid w:val="1B3A75C2"/>
    <w:rsid w:val="1B43628A"/>
    <w:rsid w:val="1B4D72F6"/>
    <w:rsid w:val="1B590390"/>
    <w:rsid w:val="1B5C39DD"/>
    <w:rsid w:val="1B684130"/>
    <w:rsid w:val="1B7156DA"/>
    <w:rsid w:val="1B866CAC"/>
    <w:rsid w:val="1B8847D2"/>
    <w:rsid w:val="1B9273FE"/>
    <w:rsid w:val="1B942F46"/>
    <w:rsid w:val="1B974A15"/>
    <w:rsid w:val="1B9B2757"/>
    <w:rsid w:val="1BA23AE5"/>
    <w:rsid w:val="1BA3160C"/>
    <w:rsid w:val="1BB05AD7"/>
    <w:rsid w:val="1BBB0703"/>
    <w:rsid w:val="1BBB6955"/>
    <w:rsid w:val="1BC51582"/>
    <w:rsid w:val="1BCA64B0"/>
    <w:rsid w:val="1BD143CB"/>
    <w:rsid w:val="1BD451C2"/>
    <w:rsid w:val="1BD712B5"/>
    <w:rsid w:val="1BDE43F2"/>
    <w:rsid w:val="1BE0460E"/>
    <w:rsid w:val="1BE13EE2"/>
    <w:rsid w:val="1BE55043"/>
    <w:rsid w:val="1BF51661"/>
    <w:rsid w:val="1BF63E31"/>
    <w:rsid w:val="1BF754B3"/>
    <w:rsid w:val="1C026332"/>
    <w:rsid w:val="1C085913"/>
    <w:rsid w:val="1C0C0F5F"/>
    <w:rsid w:val="1C2276D5"/>
    <w:rsid w:val="1C393D1E"/>
    <w:rsid w:val="1C3B1844"/>
    <w:rsid w:val="1C3C3AD1"/>
    <w:rsid w:val="1C3D736A"/>
    <w:rsid w:val="1C3E30E2"/>
    <w:rsid w:val="1C444B9D"/>
    <w:rsid w:val="1C450915"/>
    <w:rsid w:val="1C47643B"/>
    <w:rsid w:val="1C490AB2"/>
    <w:rsid w:val="1C4C066A"/>
    <w:rsid w:val="1C511068"/>
    <w:rsid w:val="1C550B58"/>
    <w:rsid w:val="1C5823F6"/>
    <w:rsid w:val="1C5D7E54"/>
    <w:rsid w:val="1C60574F"/>
    <w:rsid w:val="1C782C96"/>
    <w:rsid w:val="1C7B7E93"/>
    <w:rsid w:val="1C827473"/>
    <w:rsid w:val="1C844F99"/>
    <w:rsid w:val="1C9A0D8C"/>
    <w:rsid w:val="1CA4388D"/>
    <w:rsid w:val="1CA92C52"/>
    <w:rsid w:val="1CBA4E5F"/>
    <w:rsid w:val="1CBA6C0D"/>
    <w:rsid w:val="1CC47A8B"/>
    <w:rsid w:val="1CC57360"/>
    <w:rsid w:val="1CD221A8"/>
    <w:rsid w:val="1CE343B6"/>
    <w:rsid w:val="1CE7377A"/>
    <w:rsid w:val="1CEC2B3E"/>
    <w:rsid w:val="1CEE68B6"/>
    <w:rsid w:val="1D0205B4"/>
    <w:rsid w:val="1D0B7468"/>
    <w:rsid w:val="1D0D31E0"/>
    <w:rsid w:val="1D1D1704"/>
    <w:rsid w:val="1D2D3883"/>
    <w:rsid w:val="1D2F73B5"/>
    <w:rsid w:val="1D383FD6"/>
    <w:rsid w:val="1D3E15EC"/>
    <w:rsid w:val="1D402A51"/>
    <w:rsid w:val="1D4361D3"/>
    <w:rsid w:val="1D554B87"/>
    <w:rsid w:val="1D5D05DC"/>
    <w:rsid w:val="1D5E3A3C"/>
    <w:rsid w:val="1D644DCB"/>
    <w:rsid w:val="1D6812E1"/>
    <w:rsid w:val="1D72568A"/>
    <w:rsid w:val="1D7A639C"/>
    <w:rsid w:val="1D880AB9"/>
    <w:rsid w:val="1D8F0099"/>
    <w:rsid w:val="1D905BC0"/>
    <w:rsid w:val="1D921938"/>
    <w:rsid w:val="1D976F4E"/>
    <w:rsid w:val="1D9B6A3E"/>
    <w:rsid w:val="1DAA233B"/>
    <w:rsid w:val="1DAB68D7"/>
    <w:rsid w:val="1DAF4298"/>
    <w:rsid w:val="1DB418AE"/>
    <w:rsid w:val="1DB96EC4"/>
    <w:rsid w:val="1DBB01B3"/>
    <w:rsid w:val="1DBB7D72"/>
    <w:rsid w:val="1DBE272D"/>
    <w:rsid w:val="1DC13FCB"/>
    <w:rsid w:val="1DC53ABB"/>
    <w:rsid w:val="1DC7279C"/>
    <w:rsid w:val="1DCD1DA8"/>
    <w:rsid w:val="1DD65CC8"/>
    <w:rsid w:val="1DD737EE"/>
    <w:rsid w:val="1DE71C83"/>
    <w:rsid w:val="1DEC3661"/>
    <w:rsid w:val="1DEF28E6"/>
    <w:rsid w:val="1DF4614E"/>
    <w:rsid w:val="1DFE6FCD"/>
    <w:rsid w:val="1E087E4C"/>
    <w:rsid w:val="1E0C3498"/>
    <w:rsid w:val="1E164317"/>
    <w:rsid w:val="1E1F3B60"/>
    <w:rsid w:val="1E214A6A"/>
    <w:rsid w:val="1E245501"/>
    <w:rsid w:val="1E25455A"/>
    <w:rsid w:val="1E34613C"/>
    <w:rsid w:val="1E346CF2"/>
    <w:rsid w:val="1E403142"/>
    <w:rsid w:val="1E48649A"/>
    <w:rsid w:val="1E4D585F"/>
    <w:rsid w:val="1E5803E7"/>
    <w:rsid w:val="1E7E3C6A"/>
    <w:rsid w:val="1E85149C"/>
    <w:rsid w:val="1E901304"/>
    <w:rsid w:val="1E91399D"/>
    <w:rsid w:val="1E9504BB"/>
    <w:rsid w:val="1E9B0CC0"/>
    <w:rsid w:val="1E9D0594"/>
    <w:rsid w:val="1EA731C1"/>
    <w:rsid w:val="1EBB4EBE"/>
    <w:rsid w:val="1EBF050A"/>
    <w:rsid w:val="1EC41FC5"/>
    <w:rsid w:val="1ECC0E79"/>
    <w:rsid w:val="1ECE4BF1"/>
    <w:rsid w:val="1EDB2E6A"/>
    <w:rsid w:val="1EDF295B"/>
    <w:rsid w:val="1EE61F3B"/>
    <w:rsid w:val="1EF65EF6"/>
    <w:rsid w:val="1EFA0AE5"/>
    <w:rsid w:val="1EFA3C38"/>
    <w:rsid w:val="1F031D0C"/>
    <w:rsid w:val="1F0C571A"/>
    <w:rsid w:val="1F0D1F99"/>
    <w:rsid w:val="1F1620F4"/>
    <w:rsid w:val="1F1840BF"/>
    <w:rsid w:val="1F185E6D"/>
    <w:rsid w:val="1F1A7E37"/>
    <w:rsid w:val="1F1D3483"/>
    <w:rsid w:val="1F2111C5"/>
    <w:rsid w:val="1F264A2D"/>
    <w:rsid w:val="1F2E0BFF"/>
    <w:rsid w:val="1F332CA6"/>
    <w:rsid w:val="1F3C5FFF"/>
    <w:rsid w:val="1F460C2C"/>
    <w:rsid w:val="1F4629DA"/>
    <w:rsid w:val="1F4F3119"/>
    <w:rsid w:val="1F503858"/>
    <w:rsid w:val="1F5275D0"/>
    <w:rsid w:val="1F552E57"/>
    <w:rsid w:val="1F6433AA"/>
    <w:rsid w:val="1F672950"/>
    <w:rsid w:val="1F6B2440"/>
    <w:rsid w:val="1F6E1F30"/>
    <w:rsid w:val="1F721A21"/>
    <w:rsid w:val="1F7D4C17"/>
    <w:rsid w:val="1F7E6617"/>
    <w:rsid w:val="1F82454D"/>
    <w:rsid w:val="1F833B5F"/>
    <w:rsid w:val="1F886705"/>
    <w:rsid w:val="1F896904"/>
    <w:rsid w:val="1F9A2D26"/>
    <w:rsid w:val="1F9D58D9"/>
    <w:rsid w:val="1FA15E62"/>
    <w:rsid w:val="1FA616CA"/>
    <w:rsid w:val="1FAB4F33"/>
    <w:rsid w:val="1FAE057F"/>
    <w:rsid w:val="1FB262C1"/>
    <w:rsid w:val="1FB37BD1"/>
    <w:rsid w:val="1FB77434"/>
    <w:rsid w:val="1FBF76D7"/>
    <w:rsid w:val="1FC97167"/>
    <w:rsid w:val="1FD61FB0"/>
    <w:rsid w:val="1FDE0E64"/>
    <w:rsid w:val="1FE02E2E"/>
    <w:rsid w:val="1FF16DE9"/>
    <w:rsid w:val="20062169"/>
    <w:rsid w:val="20166850"/>
    <w:rsid w:val="201A79C2"/>
    <w:rsid w:val="201C7BDE"/>
    <w:rsid w:val="20234AC9"/>
    <w:rsid w:val="20315438"/>
    <w:rsid w:val="2039253E"/>
    <w:rsid w:val="20401B1F"/>
    <w:rsid w:val="204131A1"/>
    <w:rsid w:val="20692753"/>
    <w:rsid w:val="206D21E8"/>
    <w:rsid w:val="207062E1"/>
    <w:rsid w:val="207812B9"/>
    <w:rsid w:val="20784E15"/>
    <w:rsid w:val="20796DDF"/>
    <w:rsid w:val="208E288A"/>
    <w:rsid w:val="20987265"/>
    <w:rsid w:val="20AC3352"/>
    <w:rsid w:val="20AE4CDA"/>
    <w:rsid w:val="20B63B8F"/>
    <w:rsid w:val="20B816B5"/>
    <w:rsid w:val="20C31E08"/>
    <w:rsid w:val="20D12BB7"/>
    <w:rsid w:val="20E029BA"/>
    <w:rsid w:val="20E36A1C"/>
    <w:rsid w:val="20E56222"/>
    <w:rsid w:val="20EB5EB9"/>
    <w:rsid w:val="20EC75B1"/>
    <w:rsid w:val="20F36B91"/>
    <w:rsid w:val="21020B82"/>
    <w:rsid w:val="21022930"/>
    <w:rsid w:val="210448FA"/>
    <w:rsid w:val="210E5B18"/>
    <w:rsid w:val="21134B3E"/>
    <w:rsid w:val="211663DC"/>
    <w:rsid w:val="21186CA9"/>
    <w:rsid w:val="211C7E96"/>
    <w:rsid w:val="211D776A"/>
    <w:rsid w:val="211F34E2"/>
    <w:rsid w:val="212705E9"/>
    <w:rsid w:val="212E078A"/>
    <w:rsid w:val="213571AA"/>
    <w:rsid w:val="21374CD0"/>
    <w:rsid w:val="213845A4"/>
    <w:rsid w:val="213B5E42"/>
    <w:rsid w:val="2144119B"/>
    <w:rsid w:val="21470C8B"/>
    <w:rsid w:val="21472A39"/>
    <w:rsid w:val="2152696C"/>
    <w:rsid w:val="21555156"/>
    <w:rsid w:val="215A276C"/>
    <w:rsid w:val="21676C37"/>
    <w:rsid w:val="21692707"/>
    <w:rsid w:val="216C24A0"/>
    <w:rsid w:val="21730876"/>
    <w:rsid w:val="217A2E0F"/>
    <w:rsid w:val="217D46AD"/>
    <w:rsid w:val="21867A05"/>
    <w:rsid w:val="21893052"/>
    <w:rsid w:val="219C2D85"/>
    <w:rsid w:val="219D08AB"/>
    <w:rsid w:val="21AA36F4"/>
    <w:rsid w:val="21B52099"/>
    <w:rsid w:val="21BE2CFB"/>
    <w:rsid w:val="21C62597"/>
    <w:rsid w:val="21C67E02"/>
    <w:rsid w:val="21C81DCC"/>
    <w:rsid w:val="21CA5B44"/>
    <w:rsid w:val="21CB18BC"/>
    <w:rsid w:val="21CF4F08"/>
    <w:rsid w:val="21D342CD"/>
    <w:rsid w:val="21D70261"/>
    <w:rsid w:val="21D73DBD"/>
    <w:rsid w:val="21D97B35"/>
    <w:rsid w:val="21DC13D3"/>
    <w:rsid w:val="21DE339D"/>
    <w:rsid w:val="21E14992"/>
    <w:rsid w:val="21EA7F94"/>
    <w:rsid w:val="21FE57EE"/>
    <w:rsid w:val="22066450"/>
    <w:rsid w:val="220B7F0B"/>
    <w:rsid w:val="220D77DF"/>
    <w:rsid w:val="221C5C74"/>
    <w:rsid w:val="22230DB0"/>
    <w:rsid w:val="222B72CC"/>
    <w:rsid w:val="22342FBD"/>
    <w:rsid w:val="22364F87"/>
    <w:rsid w:val="2237485C"/>
    <w:rsid w:val="223E3E3C"/>
    <w:rsid w:val="224376A4"/>
    <w:rsid w:val="224D407F"/>
    <w:rsid w:val="224F7DF7"/>
    <w:rsid w:val="225C2514"/>
    <w:rsid w:val="22646487"/>
    <w:rsid w:val="22673393"/>
    <w:rsid w:val="226C5EBA"/>
    <w:rsid w:val="22715D97"/>
    <w:rsid w:val="22791318"/>
    <w:rsid w:val="227930C6"/>
    <w:rsid w:val="227C6712"/>
    <w:rsid w:val="228026A7"/>
    <w:rsid w:val="22806203"/>
    <w:rsid w:val="22877C26"/>
    <w:rsid w:val="22A53EBB"/>
    <w:rsid w:val="22AC1F65"/>
    <w:rsid w:val="22BD2FB3"/>
    <w:rsid w:val="22C2681B"/>
    <w:rsid w:val="22C500B9"/>
    <w:rsid w:val="22C72083"/>
    <w:rsid w:val="22CD081E"/>
    <w:rsid w:val="22CD0ADC"/>
    <w:rsid w:val="22CD6F6E"/>
    <w:rsid w:val="22D447A0"/>
    <w:rsid w:val="22D80AB8"/>
    <w:rsid w:val="22D9209E"/>
    <w:rsid w:val="22DB0554"/>
    <w:rsid w:val="22DD5403"/>
    <w:rsid w:val="22F607B5"/>
    <w:rsid w:val="22F866E1"/>
    <w:rsid w:val="22F97D63"/>
    <w:rsid w:val="2302130E"/>
    <w:rsid w:val="23045086"/>
    <w:rsid w:val="230A01C2"/>
    <w:rsid w:val="230C5CE8"/>
    <w:rsid w:val="231E77CA"/>
    <w:rsid w:val="232C0139"/>
    <w:rsid w:val="23331D17"/>
    <w:rsid w:val="23384D2F"/>
    <w:rsid w:val="233B65CE"/>
    <w:rsid w:val="233D40F4"/>
    <w:rsid w:val="233F60BE"/>
    <w:rsid w:val="233F7E6C"/>
    <w:rsid w:val="2351194D"/>
    <w:rsid w:val="235B27CC"/>
    <w:rsid w:val="235B5479"/>
    <w:rsid w:val="235C6C70"/>
    <w:rsid w:val="235D02F2"/>
    <w:rsid w:val="23607DE2"/>
    <w:rsid w:val="23700025"/>
    <w:rsid w:val="23775858"/>
    <w:rsid w:val="237F295E"/>
    <w:rsid w:val="238910E7"/>
    <w:rsid w:val="239F6B5C"/>
    <w:rsid w:val="23A203FB"/>
    <w:rsid w:val="23A75A11"/>
    <w:rsid w:val="23A81EB5"/>
    <w:rsid w:val="23AE4FF1"/>
    <w:rsid w:val="23B02B18"/>
    <w:rsid w:val="23B048C6"/>
    <w:rsid w:val="23C87E61"/>
    <w:rsid w:val="23C91E2B"/>
    <w:rsid w:val="23D762F6"/>
    <w:rsid w:val="23DD1433"/>
    <w:rsid w:val="23E80503"/>
    <w:rsid w:val="23EF1892"/>
    <w:rsid w:val="23F92711"/>
    <w:rsid w:val="24013373"/>
    <w:rsid w:val="240F5A90"/>
    <w:rsid w:val="24125580"/>
    <w:rsid w:val="24286B52"/>
    <w:rsid w:val="244B45EE"/>
    <w:rsid w:val="245416F5"/>
    <w:rsid w:val="246A0F18"/>
    <w:rsid w:val="246A53BC"/>
    <w:rsid w:val="247753E3"/>
    <w:rsid w:val="24787153"/>
    <w:rsid w:val="2479115B"/>
    <w:rsid w:val="248A5117"/>
    <w:rsid w:val="248F6BD1"/>
    <w:rsid w:val="249146F7"/>
    <w:rsid w:val="24961D0D"/>
    <w:rsid w:val="249B5576"/>
    <w:rsid w:val="249D12EE"/>
    <w:rsid w:val="24A813F5"/>
    <w:rsid w:val="24AF1021"/>
    <w:rsid w:val="24C25045"/>
    <w:rsid w:val="24C30629"/>
    <w:rsid w:val="24C525F3"/>
    <w:rsid w:val="24C70119"/>
    <w:rsid w:val="24C820E3"/>
    <w:rsid w:val="24CF2408"/>
    <w:rsid w:val="24D97E4C"/>
    <w:rsid w:val="24DB21DC"/>
    <w:rsid w:val="24DE1906"/>
    <w:rsid w:val="24DE608A"/>
    <w:rsid w:val="24E30CCB"/>
    <w:rsid w:val="24E8008F"/>
    <w:rsid w:val="24EA2059"/>
    <w:rsid w:val="24F42ED8"/>
    <w:rsid w:val="24F627AC"/>
    <w:rsid w:val="24FD1D8D"/>
    <w:rsid w:val="25040A04"/>
    <w:rsid w:val="250D077C"/>
    <w:rsid w:val="250D7AF6"/>
    <w:rsid w:val="252F3F10"/>
    <w:rsid w:val="25313DAC"/>
    <w:rsid w:val="2536704D"/>
    <w:rsid w:val="25430CB4"/>
    <w:rsid w:val="255A71DF"/>
    <w:rsid w:val="255F65A3"/>
    <w:rsid w:val="25670F4C"/>
    <w:rsid w:val="256718FC"/>
    <w:rsid w:val="256E4A38"/>
    <w:rsid w:val="257302A1"/>
    <w:rsid w:val="25757B75"/>
    <w:rsid w:val="25787665"/>
    <w:rsid w:val="25861D82"/>
    <w:rsid w:val="258C1362"/>
    <w:rsid w:val="25951FC5"/>
    <w:rsid w:val="259F2E44"/>
    <w:rsid w:val="25A22934"/>
    <w:rsid w:val="25AB17E9"/>
    <w:rsid w:val="25AD25C8"/>
    <w:rsid w:val="25B368EF"/>
    <w:rsid w:val="25B6018D"/>
    <w:rsid w:val="25C94365"/>
    <w:rsid w:val="25CE3729"/>
    <w:rsid w:val="25D51B70"/>
    <w:rsid w:val="25D86356"/>
    <w:rsid w:val="25DC5E46"/>
    <w:rsid w:val="25E35426"/>
    <w:rsid w:val="25E66CC5"/>
    <w:rsid w:val="25EB7E37"/>
    <w:rsid w:val="25F211C5"/>
    <w:rsid w:val="25F82554"/>
    <w:rsid w:val="26013AFE"/>
    <w:rsid w:val="260158AC"/>
    <w:rsid w:val="26061115"/>
    <w:rsid w:val="260B1494"/>
    <w:rsid w:val="260B7C08"/>
    <w:rsid w:val="26123616"/>
    <w:rsid w:val="26127ABA"/>
    <w:rsid w:val="26213859"/>
    <w:rsid w:val="26265313"/>
    <w:rsid w:val="262B4D16"/>
    <w:rsid w:val="26355556"/>
    <w:rsid w:val="264D17F1"/>
    <w:rsid w:val="264E03C6"/>
    <w:rsid w:val="264E6DB9"/>
    <w:rsid w:val="26526108"/>
    <w:rsid w:val="265359DC"/>
    <w:rsid w:val="265539E5"/>
    <w:rsid w:val="26555BF8"/>
    <w:rsid w:val="26577C71"/>
    <w:rsid w:val="265956E8"/>
    <w:rsid w:val="26633E71"/>
    <w:rsid w:val="26647BE9"/>
    <w:rsid w:val="266A2634"/>
    <w:rsid w:val="266A3452"/>
    <w:rsid w:val="266D2F42"/>
    <w:rsid w:val="266F4F92"/>
    <w:rsid w:val="2672726E"/>
    <w:rsid w:val="267C3185"/>
    <w:rsid w:val="26867B60"/>
    <w:rsid w:val="268A3AF4"/>
    <w:rsid w:val="268B33C8"/>
    <w:rsid w:val="26903A80"/>
    <w:rsid w:val="269B185D"/>
    <w:rsid w:val="26A05072"/>
    <w:rsid w:val="26A050C5"/>
    <w:rsid w:val="26A76454"/>
    <w:rsid w:val="26AA5F44"/>
    <w:rsid w:val="26B02E2F"/>
    <w:rsid w:val="26D60AE7"/>
    <w:rsid w:val="26D819EB"/>
    <w:rsid w:val="26DB7EAB"/>
    <w:rsid w:val="26EA00EF"/>
    <w:rsid w:val="26EA4592"/>
    <w:rsid w:val="26EE4083"/>
    <w:rsid w:val="26F15921"/>
    <w:rsid w:val="26F35E32"/>
    <w:rsid w:val="26FE003E"/>
    <w:rsid w:val="27070CA1"/>
    <w:rsid w:val="27111B1F"/>
    <w:rsid w:val="27196C26"/>
    <w:rsid w:val="271A637B"/>
    <w:rsid w:val="272555CB"/>
    <w:rsid w:val="272A2BE1"/>
    <w:rsid w:val="272F6449"/>
    <w:rsid w:val="273566E0"/>
    <w:rsid w:val="273852FE"/>
    <w:rsid w:val="274C0DA9"/>
    <w:rsid w:val="274E2D73"/>
    <w:rsid w:val="2753038A"/>
    <w:rsid w:val="27545EB0"/>
    <w:rsid w:val="27547C5E"/>
    <w:rsid w:val="275639D6"/>
    <w:rsid w:val="275814FC"/>
    <w:rsid w:val="275F6D2E"/>
    <w:rsid w:val="27604855"/>
    <w:rsid w:val="27637EA1"/>
    <w:rsid w:val="276854B7"/>
    <w:rsid w:val="2778394C"/>
    <w:rsid w:val="277976C4"/>
    <w:rsid w:val="277B343D"/>
    <w:rsid w:val="27800A53"/>
    <w:rsid w:val="27875C31"/>
    <w:rsid w:val="278C564A"/>
    <w:rsid w:val="27906EE8"/>
    <w:rsid w:val="279D33B3"/>
    <w:rsid w:val="279F35CF"/>
    <w:rsid w:val="27A26C1B"/>
    <w:rsid w:val="27B801ED"/>
    <w:rsid w:val="27CB7F20"/>
    <w:rsid w:val="27CE5C62"/>
    <w:rsid w:val="27D019DA"/>
    <w:rsid w:val="27E2526A"/>
    <w:rsid w:val="27E47234"/>
    <w:rsid w:val="27E72880"/>
    <w:rsid w:val="27F168C8"/>
    <w:rsid w:val="27F31225"/>
    <w:rsid w:val="27F37477"/>
    <w:rsid w:val="27F76F67"/>
    <w:rsid w:val="27F82CDF"/>
    <w:rsid w:val="27FB7195"/>
    <w:rsid w:val="281E30AB"/>
    <w:rsid w:val="28210B10"/>
    <w:rsid w:val="28321D4D"/>
    <w:rsid w:val="28416434"/>
    <w:rsid w:val="284F2296"/>
    <w:rsid w:val="285443B9"/>
    <w:rsid w:val="28575C58"/>
    <w:rsid w:val="286914E7"/>
    <w:rsid w:val="286B525F"/>
    <w:rsid w:val="2872440F"/>
    <w:rsid w:val="28793E20"/>
    <w:rsid w:val="288602EB"/>
    <w:rsid w:val="28996270"/>
    <w:rsid w:val="28A644E9"/>
    <w:rsid w:val="28B210E0"/>
    <w:rsid w:val="28B9246E"/>
    <w:rsid w:val="28C17575"/>
    <w:rsid w:val="28C37B2C"/>
    <w:rsid w:val="28C50F38"/>
    <w:rsid w:val="28C80903"/>
    <w:rsid w:val="28CD0E0B"/>
    <w:rsid w:val="28D21782"/>
    <w:rsid w:val="28DC43AF"/>
    <w:rsid w:val="28E15521"/>
    <w:rsid w:val="28EE7628"/>
    <w:rsid w:val="28F65471"/>
    <w:rsid w:val="28FC05AD"/>
    <w:rsid w:val="2900009D"/>
    <w:rsid w:val="290731DA"/>
    <w:rsid w:val="290A0F1C"/>
    <w:rsid w:val="29211DC2"/>
    <w:rsid w:val="29233D8C"/>
    <w:rsid w:val="29242A1C"/>
    <w:rsid w:val="294361DC"/>
    <w:rsid w:val="294C6E3F"/>
    <w:rsid w:val="295108F9"/>
    <w:rsid w:val="2953641F"/>
    <w:rsid w:val="295E13D6"/>
    <w:rsid w:val="295E4DC4"/>
    <w:rsid w:val="295F1BEE"/>
    <w:rsid w:val="29656152"/>
    <w:rsid w:val="29791BFE"/>
    <w:rsid w:val="29826D04"/>
    <w:rsid w:val="29842A7C"/>
    <w:rsid w:val="298567F4"/>
    <w:rsid w:val="29AE18A7"/>
    <w:rsid w:val="29B42C36"/>
    <w:rsid w:val="29BA46F0"/>
    <w:rsid w:val="29BB2216"/>
    <w:rsid w:val="29BB3FC4"/>
    <w:rsid w:val="29D357B2"/>
    <w:rsid w:val="29D532D8"/>
    <w:rsid w:val="29D65B8A"/>
    <w:rsid w:val="29DB4666"/>
    <w:rsid w:val="29E4351B"/>
    <w:rsid w:val="29E754BD"/>
    <w:rsid w:val="29FE7C6D"/>
    <w:rsid w:val="2A0616E3"/>
    <w:rsid w:val="2A063491"/>
    <w:rsid w:val="2A151926"/>
    <w:rsid w:val="2A156B0A"/>
    <w:rsid w:val="2A2E4796"/>
    <w:rsid w:val="2A30050E"/>
    <w:rsid w:val="2A3049B2"/>
    <w:rsid w:val="2A390A75"/>
    <w:rsid w:val="2A44045E"/>
    <w:rsid w:val="2A482E16"/>
    <w:rsid w:val="2A4D10C0"/>
    <w:rsid w:val="2A5F7045"/>
    <w:rsid w:val="2A685EFA"/>
    <w:rsid w:val="2A6D1762"/>
    <w:rsid w:val="2A756869"/>
    <w:rsid w:val="2A77438F"/>
    <w:rsid w:val="2A7757C9"/>
    <w:rsid w:val="2A7B22B9"/>
    <w:rsid w:val="2A7F6F09"/>
    <w:rsid w:val="2A810C26"/>
    <w:rsid w:val="2A8D5961"/>
    <w:rsid w:val="2A992557"/>
    <w:rsid w:val="2A9A007E"/>
    <w:rsid w:val="2A9F7442"/>
    <w:rsid w:val="2AA1140C"/>
    <w:rsid w:val="2AA1765E"/>
    <w:rsid w:val="2AB253C7"/>
    <w:rsid w:val="2AB75A98"/>
    <w:rsid w:val="2ABC6246"/>
    <w:rsid w:val="2ABF7AE4"/>
    <w:rsid w:val="2AC1560A"/>
    <w:rsid w:val="2AC6069A"/>
    <w:rsid w:val="2AC770A0"/>
    <w:rsid w:val="2ACA2711"/>
    <w:rsid w:val="2ACF5F79"/>
    <w:rsid w:val="2AD52E64"/>
    <w:rsid w:val="2AD6555A"/>
    <w:rsid w:val="2AE31A25"/>
    <w:rsid w:val="2AEB642C"/>
    <w:rsid w:val="2AF94DA4"/>
    <w:rsid w:val="2AFE060C"/>
    <w:rsid w:val="2B02634F"/>
    <w:rsid w:val="2B08148B"/>
    <w:rsid w:val="2B1716CE"/>
    <w:rsid w:val="2B231E21"/>
    <w:rsid w:val="2B2D2CA0"/>
    <w:rsid w:val="2B434271"/>
    <w:rsid w:val="2B4A570C"/>
    <w:rsid w:val="2B5841C1"/>
    <w:rsid w:val="2B597E59"/>
    <w:rsid w:val="2B5B15BB"/>
    <w:rsid w:val="2B5E10AB"/>
    <w:rsid w:val="2B65068C"/>
    <w:rsid w:val="2B68600A"/>
    <w:rsid w:val="2B6F6B01"/>
    <w:rsid w:val="2B732DA8"/>
    <w:rsid w:val="2B77216D"/>
    <w:rsid w:val="2B795EE5"/>
    <w:rsid w:val="2B7B7EAF"/>
    <w:rsid w:val="2B7E52A9"/>
    <w:rsid w:val="2B855BF2"/>
    <w:rsid w:val="2B856638"/>
    <w:rsid w:val="2B940F71"/>
    <w:rsid w:val="2BAA2542"/>
    <w:rsid w:val="2BAE77C2"/>
    <w:rsid w:val="2BAF1907"/>
    <w:rsid w:val="2BAF20E2"/>
    <w:rsid w:val="2BB138D1"/>
    <w:rsid w:val="2BB311E2"/>
    <w:rsid w:val="2BB533C1"/>
    <w:rsid w:val="2BBE1B4A"/>
    <w:rsid w:val="2BCB017A"/>
    <w:rsid w:val="2BCC24B9"/>
    <w:rsid w:val="2BEF61A7"/>
    <w:rsid w:val="2BF10955"/>
    <w:rsid w:val="2BF37A45"/>
    <w:rsid w:val="2C0559CB"/>
    <w:rsid w:val="2C0E487F"/>
    <w:rsid w:val="2C29790B"/>
    <w:rsid w:val="2C4B162F"/>
    <w:rsid w:val="2C532BDA"/>
    <w:rsid w:val="2C5801F0"/>
    <w:rsid w:val="2C6170A5"/>
    <w:rsid w:val="2C622E1D"/>
    <w:rsid w:val="2C624BCB"/>
    <w:rsid w:val="2C695F59"/>
    <w:rsid w:val="2C7072E8"/>
    <w:rsid w:val="2C730B86"/>
    <w:rsid w:val="2C736DD8"/>
    <w:rsid w:val="2C746626"/>
    <w:rsid w:val="2C7548FE"/>
    <w:rsid w:val="2C772424"/>
    <w:rsid w:val="2C7A0167"/>
    <w:rsid w:val="2C7F752B"/>
    <w:rsid w:val="2C8C39F6"/>
    <w:rsid w:val="2C92725E"/>
    <w:rsid w:val="2C937BFF"/>
    <w:rsid w:val="2C9A6113"/>
    <w:rsid w:val="2C9D5C03"/>
    <w:rsid w:val="2CA3146B"/>
    <w:rsid w:val="2CA927FA"/>
    <w:rsid w:val="2CB27900"/>
    <w:rsid w:val="2CB35427"/>
    <w:rsid w:val="2CB7420D"/>
    <w:rsid w:val="2CCB451E"/>
    <w:rsid w:val="2CDE24A4"/>
    <w:rsid w:val="2CED26E7"/>
    <w:rsid w:val="2CF00429"/>
    <w:rsid w:val="2D0143E4"/>
    <w:rsid w:val="2D053ED4"/>
    <w:rsid w:val="2D0765E4"/>
    <w:rsid w:val="2D0B0DBF"/>
    <w:rsid w:val="2D0E4090"/>
    <w:rsid w:val="2D0E7289"/>
    <w:rsid w:val="2D101F87"/>
    <w:rsid w:val="2D1B12F6"/>
    <w:rsid w:val="2D2325AC"/>
    <w:rsid w:val="2D254B40"/>
    <w:rsid w:val="2D2C2E23"/>
    <w:rsid w:val="2D2C76B3"/>
    <w:rsid w:val="2D2E6769"/>
    <w:rsid w:val="2D306A77"/>
    <w:rsid w:val="2D3C71CA"/>
    <w:rsid w:val="2D460049"/>
    <w:rsid w:val="2D480265"/>
    <w:rsid w:val="2D614E83"/>
    <w:rsid w:val="2D7828F8"/>
    <w:rsid w:val="2D8017AD"/>
    <w:rsid w:val="2D8079FF"/>
    <w:rsid w:val="2D933C05"/>
    <w:rsid w:val="2DD92C6B"/>
    <w:rsid w:val="2DD9710F"/>
    <w:rsid w:val="2DF950BB"/>
    <w:rsid w:val="2DFB7085"/>
    <w:rsid w:val="2E093550"/>
    <w:rsid w:val="2E0E4C07"/>
    <w:rsid w:val="2E0F2B31"/>
    <w:rsid w:val="2E1D6FFC"/>
    <w:rsid w:val="2E206AEC"/>
    <w:rsid w:val="2E3305CD"/>
    <w:rsid w:val="2E3507E9"/>
    <w:rsid w:val="2E41641E"/>
    <w:rsid w:val="2E426A62"/>
    <w:rsid w:val="2E496043"/>
    <w:rsid w:val="2E505623"/>
    <w:rsid w:val="2E513149"/>
    <w:rsid w:val="2E530C6F"/>
    <w:rsid w:val="2E532A1D"/>
    <w:rsid w:val="2E6C3ADF"/>
    <w:rsid w:val="2E7D3D65"/>
    <w:rsid w:val="2E7F6685"/>
    <w:rsid w:val="2E8F4316"/>
    <w:rsid w:val="2E905A1F"/>
    <w:rsid w:val="2E924152"/>
    <w:rsid w:val="2E935510"/>
    <w:rsid w:val="2E944985"/>
    <w:rsid w:val="2E9D013C"/>
    <w:rsid w:val="2EA63495"/>
    <w:rsid w:val="2EAE5EA6"/>
    <w:rsid w:val="2EC76F67"/>
    <w:rsid w:val="2ECB6A58"/>
    <w:rsid w:val="2EDC4186"/>
    <w:rsid w:val="2EE93382"/>
    <w:rsid w:val="2EEA3E19"/>
    <w:rsid w:val="2EF7784D"/>
    <w:rsid w:val="2F05640D"/>
    <w:rsid w:val="2F0977FE"/>
    <w:rsid w:val="2F0B32F8"/>
    <w:rsid w:val="2F0D52C2"/>
    <w:rsid w:val="2F104DB2"/>
    <w:rsid w:val="2F1877C3"/>
    <w:rsid w:val="2F1C5505"/>
    <w:rsid w:val="2F1C72B3"/>
    <w:rsid w:val="2F234AE5"/>
    <w:rsid w:val="2F266384"/>
    <w:rsid w:val="2F2927F8"/>
    <w:rsid w:val="2F2D326E"/>
    <w:rsid w:val="2F407445"/>
    <w:rsid w:val="2F4A3E20"/>
    <w:rsid w:val="2F4B5DEA"/>
    <w:rsid w:val="2F4D56BE"/>
    <w:rsid w:val="2F4F58DB"/>
    <w:rsid w:val="2F503401"/>
    <w:rsid w:val="2F5A7DDB"/>
    <w:rsid w:val="2F666780"/>
    <w:rsid w:val="2F6D5D61"/>
    <w:rsid w:val="2F7B222C"/>
    <w:rsid w:val="2F837332"/>
    <w:rsid w:val="2F884949"/>
    <w:rsid w:val="2F950E14"/>
    <w:rsid w:val="2FA06136"/>
    <w:rsid w:val="2FA17BCC"/>
    <w:rsid w:val="2FB614B6"/>
    <w:rsid w:val="2FC736C3"/>
    <w:rsid w:val="2FCA31B3"/>
    <w:rsid w:val="2FD26F55"/>
    <w:rsid w:val="2FDB716E"/>
    <w:rsid w:val="2FFD1E48"/>
    <w:rsid w:val="30006BD5"/>
    <w:rsid w:val="30096558"/>
    <w:rsid w:val="301270DA"/>
    <w:rsid w:val="301F34FF"/>
    <w:rsid w:val="30224D9D"/>
    <w:rsid w:val="30234671"/>
    <w:rsid w:val="302E54F0"/>
    <w:rsid w:val="303B19BB"/>
    <w:rsid w:val="303B7C0D"/>
    <w:rsid w:val="305111DE"/>
    <w:rsid w:val="30556F21"/>
    <w:rsid w:val="30590093"/>
    <w:rsid w:val="30640F12"/>
    <w:rsid w:val="30662EDC"/>
    <w:rsid w:val="306929CC"/>
    <w:rsid w:val="30782C0F"/>
    <w:rsid w:val="308710A4"/>
    <w:rsid w:val="308E41E1"/>
    <w:rsid w:val="309A4933"/>
    <w:rsid w:val="309D2676"/>
    <w:rsid w:val="30AB6B41"/>
    <w:rsid w:val="30AE2458"/>
    <w:rsid w:val="30B579BF"/>
    <w:rsid w:val="30BD4AC6"/>
    <w:rsid w:val="30C10112"/>
    <w:rsid w:val="30C71C5F"/>
    <w:rsid w:val="30CC4D09"/>
    <w:rsid w:val="30CC6AB7"/>
    <w:rsid w:val="30CE6CD3"/>
    <w:rsid w:val="30DE2DAE"/>
    <w:rsid w:val="30DF67EA"/>
    <w:rsid w:val="30E738F1"/>
    <w:rsid w:val="30E97669"/>
    <w:rsid w:val="30EE2ED1"/>
    <w:rsid w:val="30F5600E"/>
    <w:rsid w:val="30F65DE1"/>
    <w:rsid w:val="30F93D50"/>
    <w:rsid w:val="30FB4890"/>
    <w:rsid w:val="30FF0C3A"/>
    <w:rsid w:val="311346E6"/>
    <w:rsid w:val="31181CFC"/>
    <w:rsid w:val="311C4A56"/>
    <w:rsid w:val="313034EA"/>
    <w:rsid w:val="313A7EC4"/>
    <w:rsid w:val="313C3C3D"/>
    <w:rsid w:val="31424684"/>
    <w:rsid w:val="314825E1"/>
    <w:rsid w:val="31523460"/>
    <w:rsid w:val="316311C9"/>
    <w:rsid w:val="31796C3F"/>
    <w:rsid w:val="317A0DCB"/>
    <w:rsid w:val="31815AF3"/>
    <w:rsid w:val="3184468C"/>
    <w:rsid w:val="318555E4"/>
    <w:rsid w:val="31943A79"/>
    <w:rsid w:val="319C1B8D"/>
    <w:rsid w:val="31A35A6A"/>
    <w:rsid w:val="31A55C86"/>
    <w:rsid w:val="31AC66FC"/>
    <w:rsid w:val="31C0661C"/>
    <w:rsid w:val="31CC3212"/>
    <w:rsid w:val="31DD71CE"/>
    <w:rsid w:val="31E16592"/>
    <w:rsid w:val="31F6028F"/>
    <w:rsid w:val="31F75BE8"/>
    <w:rsid w:val="31F84007"/>
    <w:rsid w:val="31FE5396"/>
    <w:rsid w:val="320504D2"/>
    <w:rsid w:val="3207424B"/>
    <w:rsid w:val="32075FF9"/>
    <w:rsid w:val="320D7387"/>
    <w:rsid w:val="320F30FF"/>
    <w:rsid w:val="32140715"/>
    <w:rsid w:val="3216448E"/>
    <w:rsid w:val="32250B75"/>
    <w:rsid w:val="322748ED"/>
    <w:rsid w:val="3236068C"/>
    <w:rsid w:val="323668DE"/>
    <w:rsid w:val="3239017C"/>
    <w:rsid w:val="32430356"/>
    <w:rsid w:val="32432DA9"/>
    <w:rsid w:val="324C6101"/>
    <w:rsid w:val="324C7EAF"/>
    <w:rsid w:val="324E3C27"/>
    <w:rsid w:val="32566F80"/>
    <w:rsid w:val="326276D3"/>
    <w:rsid w:val="326A2A2B"/>
    <w:rsid w:val="32700042"/>
    <w:rsid w:val="32756EB2"/>
    <w:rsid w:val="328A0351"/>
    <w:rsid w:val="328A09D8"/>
    <w:rsid w:val="32947966"/>
    <w:rsid w:val="32957AA8"/>
    <w:rsid w:val="329D4C70"/>
    <w:rsid w:val="329F26D5"/>
    <w:rsid w:val="32A16441"/>
    <w:rsid w:val="32A7158A"/>
    <w:rsid w:val="32A777DC"/>
    <w:rsid w:val="32AB107A"/>
    <w:rsid w:val="32AF419E"/>
    <w:rsid w:val="32B06690"/>
    <w:rsid w:val="32B53CA7"/>
    <w:rsid w:val="32C043F9"/>
    <w:rsid w:val="32C91500"/>
    <w:rsid w:val="32C959A4"/>
    <w:rsid w:val="32CB5278"/>
    <w:rsid w:val="32D1195D"/>
    <w:rsid w:val="32D305D1"/>
    <w:rsid w:val="32E60304"/>
    <w:rsid w:val="32F347CF"/>
    <w:rsid w:val="32F72511"/>
    <w:rsid w:val="32F842C3"/>
    <w:rsid w:val="32FD11AA"/>
    <w:rsid w:val="331309CD"/>
    <w:rsid w:val="331A1D5C"/>
    <w:rsid w:val="331B1E7F"/>
    <w:rsid w:val="33226E62"/>
    <w:rsid w:val="33244988"/>
    <w:rsid w:val="332826CA"/>
    <w:rsid w:val="332B3F69"/>
    <w:rsid w:val="332C1A8F"/>
    <w:rsid w:val="33370B5F"/>
    <w:rsid w:val="3337290D"/>
    <w:rsid w:val="33386686"/>
    <w:rsid w:val="334119DE"/>
    <w:rsid w:val="33482D6D"/>
    <w:rsid w:val="33576B0C"/>
    <w:rsid w:val="33596D28"/>
    <w:rsid w:val="33687566"/>
    <w:rsid w:val="336B0809"/>
    <w:rsid w:val="337376BE"/>
    <w:rsid w:val="33835B53"/>
    <w:rsid w:val="339248A7"/>
    <w:rsid w:val="33A1422B"/>
    <w:rsid w:val="33B7001B"/>
    <w:rsid w:val="33B757FC"/>
    <w:rsid w:val="33C543BD"/>
    <w:rsid w:val="33C87A09"/>
    <w:rsid w:val="33CA19D4"/>
    <w:rsid w:val="33E32A95"/>
    <w:rsid w:val="33EA433A"/>
    <w:rsid w:val="33ED7470"/>
    <w:rsid w:val="33F2532C"/>
    <w:rsid w:val="33F26834"/>
    <w:rsid w:val="33F46A50"/>
    <w:rsid w:val="33FE342B"/>
    <w:rsid w:val="340F5638"/>
    <w:rsid w:val="341449FD"/>
    <w:rsid w:val="34362BC5"/>
    <w:rsid w:val="343F6D1F"/>
    <w:rsid w:val="344057F2"/>
    <w:rsid w:val="344352E2"/>
    <w:rsid w:val="344C4197"/>
    <w:rsid w:val="34545741"/>
    <w:rsid w:val="34563267"/>
    <w:rsid w:val="346D04EA"/>
    <w:rsid w:val="346E6803"/>
    <w:rsid w:val="347D18EA"/>
    <w:rsid w:val="347E184F"/>
    <w:rsid w:val="34874156"/>
    <w:rsid w:val="34897199"/>
    <w:rsid w:val="3491429F"/>
    <w:rsid w:val="349873DC"/>
    <w:rsid w:val="34B41D3C"/>
    <w:rsid w:val="34BF2BBB"/>
    <w:rsid w:val="34C208FD"/>
    <w:rsid w:val="34CA77B1"/>
    <w:rsid w:val="34D4418C"/>
    <w:rsid w:val="34DB376C"/>
    <w:rsid w:val="34DC45DC"/>
    <w:rsid w:val="34F605A6"/>
    <w:rsid w:val="35032B89"/>
    <w:rsid w:val="351B1DBB"/>
    <w:rsid w:val="351E6AD6"/>
    <w:rsid w:val="35260E8C"/>
    <w:rsid w:val="3529272A"/>
    <w:rsid w:val="35326D7C"/>
    <w:rsid w:val="3538644B"/>
    <w:rsid w:val="35415CC5"/>
    <w:rsid w:val="35433155"/>
    <w:rsid w:val="35447564"/>
    <w:rsid w:val="3558300F"/>
    <w:rsid w:val="356419B4"/>
    <w:rsid w:val="35645510"/>
    <w:rsid w:val="356B2D42"/>
    <w:rsid w:val="35747E49"/>
    <w:rsid w:val="357A11D7"/>
    <w:rsid w:val="357D5D7F"/>
    <w:rsid w:val="35831E3A"/>
    <w:rsid w:val="35845BB2"/>
    <w:rsid w:val="35927056"/>
    <w:rsid w:val="35951755"/>
    <w:rsid w:val="359A3628"/>
    <w:rsid w:val="359B6AF0"/>
    <w:rsid w:val="359D0A22"/>
    <w:rsid w:val="35A10512"/>
    <w:rsid w:val="35AB75E3"/>
    <w:rsid w:val="35B446E9"/>
    <w:rsid w:val="35B46497"/>
    <w:rsid w:val="35B77D36"/>
    <w:rsid w:val="35BC534C"/>
    <w:rsid w:val="35BC70FA"/>
    <w:rsid w:val="35BE7316"/>
    <w:rsid w:val="35C44201"/>
    <w:rsid w:val="35CF507F"/>
    <w:rsid w:val="35D408E8"/>
    <w:rsid w:val="35D42696"/>
    <w:rsid w:val="35DF103A"/>
    <w:rsid w:val="35E068D3"/>
    <w:rsid w:val="35E93C67"/>
    <w:rsid w:val="35ED7BFB"/>
    <w:rsid w:val="35F5085E"/>
    <w:rsid w:val="35FA5E74"/>
    <w:rsid w:val="35FB2318"/>
    <w:rsid w:val="36032F7B"/>
    <w:rsid w:val="36054F45"/>
    <w:rsid w:val="360C62D3"/>
    <w:rsid w:val="360D2EDF"/>
    <w:rsid w:val="3619279E"/>
    <w:rsid w:val="36237A11"/>
    <w:rsid w:val="3628478F"/>
    <w:rsid w:val="362F3A36"/>
    <w:rsid w:val="363E0457"/>
    <w:rsid w:val="36413AA3"/>
    <w:rsid w:val="364315C9"/>
    <w:rsid w:val="365612FD"/>
    <w:rsid w:val="365D08DD"/>
    <w:rsid w:val="369869D2"/>
    <w:rsid w:val="369B6216"/>
    <w:rsid w:val="369E5F5A"/>
    <w:rsid w:val="36AA5AEC"/>
    <w:rsid w:val="36AA789A"/>
    <w:rsid w:val="36C77B9B"/>
    <w:rsid w:val="36C95F72"/>
    <w:rsid w:val="36CA1CEB"/>
    <w:rsid w:val="36D57A86"/>
    <w:rsid w:val="36D93CDC"/>
    <w:rsid w:val="36E44B5A"/>
    <w:rsid w:val="36F079A3"/>
    <w:rsid w:val="370074BA"/>
    <w:rsid w:val="37192788"/>
    <w:rsid w:val="371D1E1A"/>
    <w:rsid w:val="371F2036"/>
    <w:rsid w:val="372A4537"/>
    <w:rsid w:val="372C4753"/>
    <w:rsid w:val="372E4027"/>
    <w:rsid w:val="37307DA0"/>
    <w:rsid w:val="37441A9D"/>
    <w:rsid w:val="374970B3"/>
    <w:rsid w:val="37536C3F"/>
    <w:rsid w:val="375A12C0"/>
    <w:rsid w:val="375B2943"/>
    <w:rsid w:val="377203B8"/>
    <w:rsid w:val="3780389B"/>
    <w:rsid w:val="37911A79"/>
    <w:rsid w:val="37983B97"/>
    <w:rsid w:val="37985945"/>
    <w:rsid w:val="379A346B"/>
    <w:rsid w:val="379B30ED"/>
    <w:rsid w:val="379F0A81"/>
    <w:rsid w:val="379F2985"/>
    <w:rsid w:val="37B564F7"/>
    <w:rsid w:val="37BA58BB"/>
    <w:rsid w:val="37C91FA2"/>
    <w:rsid w:val="37DA7D0B"/>
    <w:rsid w:val="37DF17C6"/>
    <w:rsid w:val="37E36BED"/>
    <w:rsid w:val="37E961A0"/>
    <w:rsid w:val="37ED7A3F"/>
    <w:rsid w:val="37F4701F"/>
    <w:rsid w:val="37FC4126"/>
    <w:rsid w:val="37FF7772"/>
    <w:rsid w:val="38037262"/>
    <w:rsid w:val="38066D52"/>
    <w:rsid w:val="3806709E"/>
    <w:rsid w:val="3810197F"/>
    <w:rsid w:val="381E32DD"/>
    <w:rsid w:val="38201673"/>
    <w:rsid w:val="382611A3"/>
    <w:rsid w:val="38262F51"/>
    <w:rsid w:val="383001B1"/>
    <w:rsid w:val="38302D1E"/>
    <w:rsid w:val="38352061"/>
    <w:rsid w:val="383C09AF"/>
    <w:rsid w:val="383E010F"/>
    <w:rsid w:val="38431D54"/>
    <w:rsid w:val="3845787B"/>
    <w:rsid w:val="384B29B7"/>
    <w:rsid w:val="384D2BD3"/>
    <w:rsid w:val="385201EA"/>
    <w:rsid w:val="38521F98"/>
    <w:rsid w:val="385D55F1"/>
    <w:rsid w:val="385E093C"/>
    <w:rsid w:val="385E26EA"/>
    <w:rsid w:val="386F48F8"/>
    <w:rsid w:val="3870241E"/>
    <w:rsid w:val="387168C2"/>
    <w:rsid w:val="3872263A"/>
    <w:rsid w:val="387B329C"/>
    <w:rsid w:val="387C7014"/>
    <w:rsid w:val="388D1222"/>
    <w:rsid w:val="38AC5B4C"/>
    <w:rsid w:val="38B30C88"/>
    <w:rsid w:val="38C22C79"/>
    <w:rsid w:val="38C32995"/>
    <w:rsid w:val="38C84008"/>
    <w:rsid w:val="38D8249D"/>
    <w:rsid w:val="38E54BBA"/>
    <w:rsid w:val="38E76B84"/>
    <w:rsid w:val="38F35529"/>
    <w:rsid w:val="38F66DC7"/>
    <w:rsid w:val="38F82B3F"/>
    <w:rsid w:val="38FE7A29"/>
    <w:rsid w:val="39050DB8"/>
    <w:rsid w:val="39094D4C"/>
    <w:rsid w:val="390A63CE"/>
    <w:rsid w:val="390C2146"/>
    <w:rsid w:val="390C65EA"/>
    <w:rsid w:val="390E2362"/>
    <w:rsid w:val="390F7E89"/>
    <w:rsid w:val="3914549F"/>
    <w:rsid w:val="391D4354"/>
    <w:rsid w:val="39237490"/>
    <w:rsid w:val="39292CF8"/>
    <w:rsid w:val="392A6A70"/>
    <w:rsid w:val="393671C3"/>
    <w:rsid w:val="393D67A4"/>
    <w:rsid w:val="39423DBA"/>
    <w:rsid w:val="39477622"/>
    <w:rsid w:val="3958125E"/>
    <w:rsid w:val="3958538C"/>
    <w:rsid w:val="395A55A8"/>
    <w:rsid w:val="39673821"/>
    <w:rsid w:val="3986639D"/>
    <w:rsid w:val="39875C71"/>
    <w:rsid w:val="398919E9"/>
    <w:rsid w:val="398C3287"/>
    <w:rsid w:val="39981C2C"/>
    <w:rsid w:val="399A5E03"/>
    <w:rsid w:val="39A131D7"/>
    <w:rsid w:val="39A9208B"/>
    <w:rsid w:val="39B06F76"/>
    <w:rsid w:val="39C11183"/>
    <w:rsid w:val="39C96499"/>
    <w:rsid w:val="39D0586A"/>
    <w:rsid w:val="39D2513E"/>
    <w:rsid w:val="39DA2245"/>
    <w:rsid w:val="39E15381"/>
    <w:rsid w:val="39E906DA"/>
    <w:rsid w:val="39EF3F42"/>
    <w:rsid w:val="39FA6443"/>
    <w:rsid w:val="3A0930EC"/>
    <w:rsid w:val="3A0E1EEE"/>
    <w:rsid w:val="3A10210A"/>
    <w:rsid w:val="3A173238"/>
    <w:rsid w:val="3A173499"/>
    <w:rsid w:val="3A1D0739"/>
    <w:rsid w:val="3A2A4F7A"/>
    <w:rsid w:val="3A322081"/>
    <w:rsid w:val="3A3E4582"/>
    <w:rsid w:val="3A4A1178"/>
    <w:rsid w:val="3A4A561C"/>
    <w:rsid w:val="3A4F7DCC"/>
    <w:rsid w:val="3A5C3FFC"/>
    <w:rsid w:val="3A663AD8"/>
    <w:rsid w:val="3A744447"/>
    <w:rsid w:val="3A79380C"/>
    <w:rsid w:val="3A830B2E"/>
    <w:rsid w:val="3A83468A"/>
    <w:rsid w:val="3A970136"/>
    <w:rsid w:val="3AB46F3A"/>
    <w:rsid w:val="3AB807D8"/>
    <w:rsid w:val="3AC0768C"/>
    <w:rsid w:val="3AC86541"/>
    <w:rsid w:val="3ACC4283"/>
    <w:rsid w:val="3AE72E6B"/>
    <w:rsid w:val="3AF235BE"/>
    <w:rsid w:val="3AF31810"/>
    <w:rsid w:val="3AF410E4"/>
    <w:rsid w:val="3AF86E26"/>
    <w:rsid w:val="3AF93B99"/>
    <w:rsid w:val="3B091033"/>
    <w:rsid w:val="3B0E664A"/>
    <w:rsid w:val="3B0F5F1E"/>
    <w:rsid w:val="3B183024"/>
    <w:rsid w:val="3B2B40CB"/>
    <w:rsid w:val="3B2C6AD0"/>
    <w:rsid w:val="3B392F9B"/>
    <w:rsid w:val="3B3D0CDD"/>
    <w:rsid w:val="3B4D60F6"/>
    <w:rsid w:val="3B5109E1"/>
    <w:rsid w:val="3B5A363D"/>
    <w:rsid w:val="3B6049CB"/>
    <w:rsid w:val="3B64626A"/>
    <w:rsid w:val="3B693880"/>
    <w:rsid w:val="3B7566C9"/>
    <w:rsid w:val="3B77584C"/>
    <w:rsid w:val="3B786F8B"/>
    <w:rsid w:val="3B7F30A4"/>
    <w:rsid w:val="3B8A37F6"/>
    <w:rsid w:val="3B912DD7"/>
    <w:rsid w:val="3B9308FD"/>
    <w:rsid w:val="3B934DA1"/>
    <w:rsid w:val="3BA96372"/>
    <w:rsid w:val="3BAE1BDB"/>
    <w:rsid w:val="3BBB7E54"/>
    <w:rsid w:val="3BBC60A6"/>
    <w:rsid w:val="3BC60CD2"/>
    <w:rsid w:val="3BC61B14"/>
    <w:rsid w:val="3BC62A80"/>
    <w:rsid w:val="3BC767F9"/>
    <w:rsid w:val="3BD50F16"/>
    <w:rsid w:val="3BD74C8E"/>
    <w:rsid w:val="3BDB4052"/>
    <w:rsid w:val="3BE9676F"/>
    <w:rsid w:val="3BFE0815"/>
    <w:rsid w:val="3C0637C5"/>
    <w:rsid w:val="3C0B4937"/>
    <w:rsid w:val="3C1156F7"/>
    <w:rsid w:val="3C137C90"/>
    <w:rsid w:val="3C195A73"/>
    <w:rsid w:val="3C1E0B0E"/>
    <w:rsid w:val="3C1F6635"/>
    <w:rsid w:val="3C291261"/>
    <w:rsid w:val="3C3519B4"/>
    <w:rsid w:val="3C37572C"/>
    <w:rsid w:val="3C3C71E7"/>
    <w:rsid w:val="3C4147FD"/>
    <w:rsid w:val="3C4165AB"/>
    <w:rsid w:val="3C544530"/>
    <w:rsid w:val="3C6D55F2"/>
    <w:rsid w:val="3C706E90"/>
    <w:rsid w:val="3C7F70D3"/>
    <w:rsid w:val="3C885F88"/>
    <w:rsid w:val="3C94492D"/>
    <w:rsid w:val="3C9C7C85"/>
    <w:rsid w:val="3C9E1C4F"/>
    <w:rsid w:val="3CA863A8"/>
    <w:rsid w:val="3CAD59EE"/>
    <w:rsid w:val="3CB21257"/>
    <w:rsid w:val="3CB308EA"/>
    <w:rsid w:val="3CB925E5"/>
    <w:rsid w:val="3CCB2319"/>
    <w:rsid w:val="3CCD6091"/>
    <w:rsid w:val="3CCF3BB7"/>
    <w:rsid w:val="3CD02638"/>
    <w:rsid w:val="3CD411CD"/>
    <w:rsid w:val="3CD4741F"/>
    <w:rsid w:val="3CD72A6B"/>
    <w:rsid w:val="3CE33B06"/>
    <w:rsid w:val="3CF47AC1"/>
    <w:rsid w:val="3CF950D8"/>
    <w:rsid w:val="3D033860"/>
    <w:rsid w:val="3D115F7D"/>
    <w:rsid w:val="3D1B6DFC"/>
    <w:rsid w:val="3D347271"/>
    <w:rsid w:val="3D361E88"/>
    <w:rsid w:val="3D37175C"/>
    <w:rsid w:val="3D3B2FFA"/>
    <w:rsid w:val="3D3E2AEA"/>
    <w:rsid w:val="3D461FBA"/>
    <w:rsid w:val="3D520030"/>
    <w:rsid w:val="3D5B45EF"/>
    <w:rsid w:val="3D606F05"/>
    <w:rsid w:val="3D6848F6"/>
    <w:rsid w:val="3D6B79C6"/>
    <w:rsid w:val="3D70539A"/>
    <w:rsid w:val="3D736C38"/>
    <w:rsid w:val="3D766728"/>
    <w:rsid w:val="3D7B5AED"/>
    <w:rsid w:val="3D7D39C6"/>
    <w:rsid w:val="3D9848F1"/>
    <w:rsid w:val="3D995F73"/>
    <w:rsid w:val="3DA52B6A"/>
    <w:rsid w:val="3DAC3EF8"/>
    <w:rsid w:val="3DAC72BB"/>
    <w:rsid w:val="3DAE1A1E"/>
    <w:rsid w:val="3DB57251"/>
    <w:rsid w:val="3DBA03C3"/>
    <w:rsid w:val="3DBA1C5F"/>
    <w:rsid w:val="3DBF00CF"/>
    <w:rsid w:val="3DBF3C2B"/>
    <w:rsid w:val="3DC56D68"/>
    <w:rsid w:val="3DCC459A"/>
    <w:rsid w:val="3DCC4951"/>
    <w:rsid w:val="3DD1395F"/>
    <w:rsid w:val="3DD1570D"/>
    <w:rsid w:val="3DD551FD"/>
    <w:rsid w:val="3DD84CED"/>
    <w:rsid w:val="3DDC1B5E"/>
    <w:rsid w:val="3DEB4A20"/>
    <w:rsid w:val="3DF15DAF"/>
    <w:rsid w:val="3E027FBC"/>
    <w:rsid w:val="3E175815"/>
    <w:rsid w:val="3E185EB9"/>
    <w:rsid w:val="3E241CE0"/>
    <w:rsid w:val="3E2D328B"/>
    <w:rsid w:val="3E3068D7"/>
    <w:rsid w:val="3E32264F"/>
    <w:rsid w:val="3E4D7489"/>
    <w:rsid w:val="3E502AD5"/>
    <w:rsid w:val="3E587BDC"/>
    <w:rsid w:val="3E5F0F6A"/>
    <w:rsid w:val="3E622809"/>
    <w:rsid w:val="3E652BD4"/>
    <w:rsid w:val="3E6A30FB"/>
    <w:rsid w:val="3E6D18D9"/>
    <w:rsid w:val="3E742C68"/>
    <w:rsid w:val="3E7C1B1C"/>
    <w:rsid w:val="3E817133"/>
    <w:rsid w:val="3E834C59"/>
    <w:rsid w:val="3E8804C1"/>
    <w:rsid w:val="3E9C33B9"/>
    <w:rsid w:val="3E9C3F6D"/>
    <w:rsid w:val="3EA177D5"/>
    <w:rsid w:val="3EA96181"/>
    <w:rsid w:val="3EAD617A"/>
    <w:rsid w:val="3ED454B4"/>
    <w:rsid w:val="3EDB4A95"/>
    <w:rsid w:val="3EE50F3B"/>
    <w:rsid w:val="3EED47C8"/>
    <w:rsid w:val="3EF20030"/>
    <w:rsid w:val="3EF47905"/>
    <w:rsid w:val="3F0013D8"/>
    <w:rsid w:val="3F163D1F"/>
    <w:rsid w:val="3F2301EA"/>
    <w:rsid w:val="3F3E5024"/>
    <w:rsid w:val="3F422D66"/>
    <w:rsid w:val="3F491C06"/>
    <w:rsid w:val="3F585F31"/>
    <w:rsid w:val="3F632CDC"/>
    <w:rsid w:val="3F650802"/>
    <w:rsid w:val="3F747742"/>
    <w:rsid w:val="3F7D3D9E"/>
    <w:rsid w:val="3F7F6E3B"/>
    <w:rsid w:val="3F84237D"/>
    <w:rsid w:val="3F8769CB"/>
    <w:rsid w:val="3F8F587F"/>
    <w:rsid w:val="3F9B06C8"/>
    <w:rsid w:val="3FA72BC9"/>
    <w:rsid w:val="3FB157F6"/>
    <w:rsid w:val="3FB35A12"/>
    <w:rsid w:val="3FB86B84"/>
    <w:rsid w:val="3FB93C81"/>
    <w:rsid w:val="3FBD23EC"/>
    <w:rsid w:val="3FBD419A"/>
    <w:rsid w:val="3FBF43B6"/>
    <w:rsid w:val="3FC3686F"/>
    <w:rsid w:val="3FC92B3F"/>
    <w:rsid w:val="3FC96FE3"/>
    <w:rsid w:val="3FCE03DB"/>
    <w:rsid w:val="3FCE45FA"/>
    <w:rsid w:val="3FD2541A"/>
    <w:rsid w:val="3FD339BE"/>
    <w:rsid w:val="3FDD2A8F"/>
    <w:rsid w:val="3FE21E53"/>
    <w:rsid w:val="3FE37B0A"/>
    <w:rsid w:val="3FE77469"/>
    <w:rsid w:val="3FEE6A4A"/>
    <w:rsid w:val="3FFB2F15"/>
    <w:rsid w:val="3FFD4EDF"/>
    <w:rsid w:val="3FFF2A05"/>
    <w:rsid w:val="400242A3"/>
    <w:rsid w:val="400C5122"/>
    <w:rsid w:val="4013025E"/>
    <w:rsid w:val="401A783F"/>
    <w:rsid w:val="40210BCD"/>
    <w:rsid w:val="40287202"/>
    <w:rsid w:val="40381A73"/>
    <w:rsid w:val="403F2E01"/>
    <w:rsid w:val="404228F2"/>
    <w:rsid w:val="404A53C9"/>
    <w:rsid w:val="40500053"/>
    <w:rsid w:val="405F5252"/>
    <w:rsid w:val="406311E6"/>
    <w:rsid w:val="40644F5E"/>
    <w:rsid w:val="406805AA"/>
    <w:rsid w:val="407A02DD"/>
    <w:rsid w:val="408353E4"/>
    <w:rsid w:val="40850A58"/>
    <w:rsid w:val="408A49C4"/>
    <w:rsid w:val="40B530C4"/>
    <w:rsid w:val="40BB2DD0"/>
    <w:rsid w:val="40BC26A4"/>
    <w:rsid w:val="40BE466E"/>
    <w:rsid w:val="40C0232B"/>
    <w:rsid w:val="40CD665F"/>
    <w:rsid w:val="40D043A1"/>
    <w:rsid w:val="40DB5220"/>
    <w:rsid w:val="40DD028C"/>
    <w:rsid w:val="40EA5463"/>
    <w:rsid w:val="40EF00B0"/>
    <w:rsid w:val="40FA31CC"/>
    <w:rsid w:val="410D2F00"/>
    <w:rsid w:val="411631BE"/>
    <w:rsid w:val="412169AB"/>
    <w:rsid w:val="412308EE"/>
    <w:rsid w:val="41281AE7"/>
    <w:rsid w:val="412F731A"/>
    <w:rsid w:val="413B181B"/>
    <w:rsid w:val="41432DC5"/>
    <w:rsid w:val="41456B3D"/>
    <w:rsid w:val="41727207"/>
    <w:rsid w:val="41766CF7"/>
    <w:rsid w:val="417B2017"/>
    <w:rsid w:val="417E5BAB"/>
    <w:rsid w:val="418105AD"/>
    <w:rsid w:val="41886A2A"/>
    <w:rsid w:val="418C0847"/>
    <w:rsid w:val="418C2076"/>
    <w:rsid w:val="418C4D19"/>
    <w:rsid w:val="419158DF"/>
    <w:rsid w:val="419E7FFC"/>
    <w:rsid w:val="41A7646C"/>
    <w:rsid w:val="41B810BD"/>
    <w:rsid w:val="41BA3087"/>
    <w:rsid w:val="41C94EB3"/>
    <w:rsid w:val="41C95079"/>
    <w:rsid w:val="41CE08E1"/>
    <w:rsid w:val="41CE0EB7"/>
    <w:rsid w:val="41D35EF7"/>
    <w:rsid w:val="41D63C39"/>
    <w:rsid w:val="41DA506E"/>
    <w:rsid w:val="41E9396D"/>
    <w:rsid w:val="41F320F5"/>
    <w:rsid w:val="41F45E6E"/>
    <w:rsid w:val="41F63994"/>
    <w:rsid w:val="41F8595E"/>
    <w:rsid w:val="42002A64"/>
    <w:rsid w:val="42024A2E"/>
    <w:rsid w:val="420A0693"/>
    <w:rsid w:val="420F2CA7"/>
    <w:rsid w:val="421107CE"/>
    <w:rsid w:val="42204EB5"/>
    <w:rsid w:val="422624CB"/>
    <w:rsid w:val="42276243"/>
    <w:rsid w:val="422E137F"/>
    <w:rsid w:val="42332E3A"/>
    <w:rsid w:val="42415557"/>
    <w:rsid w:val="42462B6D"/>
    <w:rsid w:val="42562684"/>
    <w:rsid w:val="42641245"/>
    <w:rsid w:val="4269685C"/>
    <w:rsid w:val="427C658F"/>
    <w:rsid w:val="42823479"/>
    <w:rsid w:val="42862F6A"/>
    <w:rsid w:val="42884F34"/>
    <w:rsid w:val="428B0580"/>
    <w:rsid w:val="429548C4"/>
    <w:rsid w:val="429D02B3"/>
    <w:rsid w:val="429D6505"/>
    <w:rsid w:val="42A31D6D"/>
    <w:rsid w:val="42A47894"/>
    <w:rsid w:val="42A653BA"/>
    <w:rsid w:val="42AD609A"/>
    <w:rsid w:val="42B555FD"/>
    <w:rsid w:val="42B9360E"/>
    <w:rsid w:val="42BE0955"/>
    <w:rsid w:val="42C26CB2"/>
    <w:rsid w:val="42C35F6C"/>
    <w:rsid w:val="42CE4911"/>
    <w:rsid w:val="42D33CD5"/>
    <w:rsid w:val="42DA32B5"/>
    <w:rsid w:val="42DF267A"/>
    <w:rsid w:val="42E02E70"/>
    <w:rsid w:val="42E12896"/>
    <w:rsid w:val="42E67EAC"/>
    <w:rsid w:val="42ED2FE9"/>
    <w:rsid w:val="42EE5E4D"/>
    <w:rsid w:val="430C7A94"/>
    <w:rsid w:val="431C742A"/>
    <w:rsid w:val="436112E1"/>
    <w:rsid w:val="436963BD"/>
    <w:rsid w:val="436F1C50"/>
    <w:rsid w:val="4383394D"/>
    <w:rsid w:val="439416B6"/>
    <w:rsid w:val="439E0787"/>
    <w:rsid w:val="43A23DD3"/>
    <w:rsid w:val="43A86F10"/>
    <w:rsid w:val="43AC6A00"/>
    <w:rsid w:val="43AF029E"/>
    <w:rsid w:val="43BC1982"/>
    <w:rsid w:val="43BD0C0D"/>
    <w:rsid w:val="43BD6E5F"/>
    <w:rsid w:val="43BE6733"/>
    <w:rsid w:val="43C24475"/>
    <w:rsid w:val="43C31F9B"/>
    <w:rsid w:val="43C55D14"/>
    <w:rsid w:val="43CA157C"/>
    <w:rsid w:val="43CC5E6C"/>
    <w:rsid w:val="43D971F8"/>
    <w:rsid w:val="43DD4E0B"/>
    <w:rsid w:val="43DE42AE"/>
    <w:rsid w:val="44000AFA"/>
    <w:rsid w:val="44056110"/>
    <w:rsid w:val="440E76BA"/>
    <w:rsid w:val="440F6F8F"/>
    <w:rsid w:val="44136A7F"/>
    <w:rsid w:val="441445A5"/>
    <w:rsid w:val="44150A49"/>
    <w:rsid w:val="443F7874"/>
    <w:rsid w:val="44421112"/>
    <w:rsid w:val="444255B6"/>
    <w:rsid w:val="44586B88"/>
    <w:rsid w:val="446077EA"/>
    <w:rsid w:val="446612A5"/>
    <w:rsid w:val="448C05DF"/>
    <w:rsid w:val="448E6105"/>
    <w:rsid w:val="449654F9"/>
    <w:rsid w:val="449851D6"/>
    <w:rsid w:val="44986F84"/>
    <w:rsid w:val="449D27EC"/>
    <w:rsid w:val="44AB4F09"/>
    <w:rsid w:val="44B26298"/>
    <w:rsid w:val="44BA514C"/>
    <w:rsid w:val="44C164DB"/>
    <w:rsid w:val="44C45FCB"/>
    <w:rsid w:val="44C9538F"/>
    <w:rsid w:val="44CB735A"/>
    <w:rsid w:val="44CE29A6"/>
    <w:rsid w:val="44D14A1F"/>
    <w:rsid w:val="44E64193"/>
    <w:rsid w:val="44E87F0C"/>
    <w:rsid w:val="44EB79FC"/>
    <w:rsid w:val="44EE4DF6"/>
    <w:rsid w:val="44F20D8A"/>
    <w:rsid w:val="44FC7513"/>
    <w:rsid w:val="44FE14DD"/>
    <w:rsid w:val="45012D7B"/>
    <w:rsid w:val="45017703"/>
    <w:rsid w:val="4503099B"/>
    <w:rsid w:val="45063999"/>
    <w:rsid w:val="4508410A"/>
    <w:rsid w:val="450B72BB"/>
    <w:rsid w:val="4513485D"/>
    <w:rsid w:val="451C1963"/>
    <w:rsid w:val="4521341D"/>
    <w:rsid w:val="452627E2"/>
    <w:rsid w:val="452A22D2"/>
    <w:rsid w:val="45392515"/>
    <w:rsid w:val="453D7EFA"/>
    <w:rsid w:val="454A2974"/>
    <w:rsid w:val="455235D7"/>
    <w:rsid w:val="45561319"/>
    <w:rsid w:val="45570BED"/>
    <w:rsid w:val="455B69D8"/>
    <w:rsid w:val="455C26A8"/>
    <w:rsid w:val="4565155C"/>
    <w:rsid w:val="4571013B"/>
    <w:rsid w:val="457479F1"/>
    <w:rsid w:val="45763769"/>
    <w:rsid w:val="4577303D"/>
    <w:rsid w:val="457E617A"/>
    <w:rsid w:val="458319E2"/>
    <w:rsid w:val="4585575A"/>
    <w:rsid w:val="45921326"/>
    <w:rsid w:val="45921C25"/>
    <w:rsid w:val="45941E41"/>
    <w:rsid w:val="45961716"/>
    <w:rsid w:val="45977A58"/>
    <w:rsid w:val="45AE42EC"/>
    <w:rsid w:val="45B07DEB"/>
    <w:rsid w:val="45B93656"/>
    <w:rsid w:val="45BC000D"/>
    <w:rsid w:val="45D3296A"/>
    <w:rsid w:val="45D40490"/>
    <w:rsid w:val="45D87F80"/>
    <w:rsid w:val="45DE4E6B"/>
    <w:rsid w:val="45E5444B"/>
    <w:rsid w:val="45E615FB"/>
    <w:rsid w:val="45E71F71"/>
    <w:rsid w:val="45F20916"/>
    <w:rsid w:val="45F823D0"/>
    <w:rsid w:val="46001285"/>
    <w:rsid w:val="46012E53"/>
    <w:rsid w:val="46182FF9"/>
    <w:rsid w:val="461F5BAF"/>
    <w:rsid w:val="46256F3D"/>
    <w:rsid w:val="463827CD"/>
    <w:rsid w:val="46396545"/>
    <w:rsid w:val="463A7241"/>
    <w:rsid w:val="463D1554"/>
    <w:rsid w:val="464078D3"/>
    <w:rsid w:val="4642189D"/>
    <w:rsid w:val="4642364B"/>
    <w:rsid w:val="46454EEA"/>
    <w:rsid w:val="46480423"/>
    <w:rsid w:val="464A0752"/>
    <w:rsid w:val="464E0242"/>
    <w:rsid w:val="46535859"/>
    <w:rsid w:val="465B470D"/>
    <w:rsid w:val="466F3B42"/>
    <w:rsid w:val="46712183"/>
    <w:rsid w:val="46731A57"/>
    <w:rsid w:val="46737CA9"/>
    <w:rsid w:val="46853538"/>
    <w:rsid w:val="4689127A"/>
    <w:rsid w:val="46893028"/>
    <w:rsid w:val="468C48C7"/>
    <w:rsid w:val="4698770F"/>
    <w:rsid w:val="469C7200"/>
    <w:rsid w:val="469C74C5"/>
    <w:rsid w:val="46A00372"/>
    <w:rsid w:val="46A32464"/>
    <w:rsid w:val="46AC6D17"/>
    <w:rsid w:val="46C16C66"/>
    <w:rsid w:val="46C44BD5"/>
    <w:rsid w:val="46CE32A7"/>
    <w:rsid w:val="46EE5581"/>
    <w:rsid w:val="46FA2178"/>
    <w:rsid w:val="46FA6535"/>
    <w:rsid w:val="46FD0ED7"/>
    <w:rsid w:val="470248DE"/>
    <w:rsid w:val="470703F1"/>
    <w:rsid w:val="470A2EDA"/>
    <w:rsid w:val="470D3C59"/>
    <w:rsid w:val="471548BC"/>
    <w:rsid w:val="472C640A"/>
    <w:rsid w:val="472F1E22"/>
    <w:rsid w:val="473311E6"/>
    <w:rsid w:val="473531B0"/>
    <w:rsid w:val="47362C80"/>
    <w:rsid w:val="47376F28"/>
    <w:rsid w:val="473A1C92"/>
    <w:rsid w:val="47413903"/>
    <w:rsid w:val="474E7DCE"/>
    <w:rsid w:val="47507FEA"/>
    <w:rsid w:val="47523D62"/>
    <w:rsid w:val="47571378"/>
    <w:rsid w:val="47573126"/>
    <w:rsid w:val="47592E4A"/>
    <w:rsid w:val="476475F1"/>
    <w:rsid w:val="4766336A"/>
    <w:rsid w:val="47680E90"/>
    <w:rsid w:val="476A10AC"/>
    <w:rsid w:val="476D294A"/>
    <w:rsid w:val="47841A42"/>
    <w:rsid w:val="478D4D9A"/>
    <w:rsid w:val="478F0D96"/>
    <w:rsid w:val="47961EA1"/>
    <w:rsid w:val="47A345BE"/>
    <w:rsid w:val="47AF2F63"/>
    <w:rsid w:val="47BE31A6"/>
    <w:rsid w:val="47C307BC"/>
    <w:rsid w:val="47D06A35"/>
    <w:rsid w:val="47D12ED9"/>
    <w:rsid w:val="47D44A52"/>
    <w:rsid w:val="47D76015"/>
    <w:rsid w:val="47DB78B4"/>
    <w:rsid w:val="47F15329"/>
    <w:rsid w:val="47F40975"/>
    <w:rsid w:val="47FB7F56"/>
    <w:rsid w:val="47FE6967"/>
    <w:rsid w:val="4800556C"/>
    <w:rsid w:val="48074B4D"/>
    <w:rsid w:val="480C3F11"/>
    <w:rsid w:val="480C5CBF"/>
    <w:rsid w:val="480D36B8"/>
    <w:rsid w:val="480E2480"/>
    <w:rsid w:val="480F1C53"/>
    <w:rsid w:val="480F3A01"/>
    <w:rsid w:val="480F755D"/>
    <w:rsid w:val="48142DC6"/>
    <w:rsid w:val="481C3C42"/>
    <w:rsid w:val="481D7ECC"/>
    <w:rsid w:val="48272AF9"/>
    <w:rsid w:val="48276F9D"/>
    <w:rsid w:val="4840005F"/>
    <w:rsid w:val="484336AB"/>
    <w:rsid w:val="4847319B"/>
    <w:rsid w:val="484E4529"/>
    <w:rsid w:val="484F23EF"/>
    <w:rsid w:val="486024AF"/>
    <w:rsid w:val="48645AFB"/>
    <w:rsid w:val="4865210C"/>
    <w:rsid w:val="487D4E0F"/>
    <w:rsid w:val="4880045B"/>
    <w:rsid w:val="48822425"/>
    <w:rsid w:val="488C32A4"/>
    <w:rsid w:val="488E2B78"/>
    <w:rsid w:val="488E4926"/>
    <w:rsid w:val="488F069E"/>
    <w:rsid w:val="48932803"/>
    <w:rsid w:val="48934632"/>
    <w:rsid w:val="48981C49"/>
    <w:rsid w:val="489857A5"/>
    <w:rsid w:val="48A73C3A"/>
    <w:rsid w:val="48AE6D76"/>
    <w:rsid w:val="48BA1BBF"/>
    <w:rsid w:val="48C26CC5"/>
    <w:rsid w:val="48C93BB0"/>
    <w:rsid w:val="48CC544E"/>
    <w:rsid w:val="48CE566A"/>
    <w:rsid w:val="48D013E2"/>
    <w:rsid w:val="48D16F09"/>
    <w:rsid w:val="48D569F9"/>
    <w:rsid w:val="48F50E49"/>
    <w:rsid w:val="48F77700"/>
    <w:rsid w:val="48F826E7"/>
    <w:rsid w:val="490270C2"/>
    <w:rsid w:val="49061DFF"/>
    <w:rsid w:val="49172B6D"/>
    <w:rsid w:val="491D214E"/>
    <w:rsid w:val="491E223B"/>
    <w:rsid w:val="49226CE1"/>
    <w:rsid w:val="49227764"/>
    <w:rsid w:val="492B486B"/>
    <w:rsid w:val="49301E81"/>
    <w:rsid w:val="4933371F"/>
    <w:rsid w:val="49415E3C"/>
    <w:rsid w:val="49463453"/>
    <w:rsid w:val="49470F79"/>
    <w:rsid w:val="495042D1"/>
    <w:rsid w:val="49535B70"/>
    <w:rsid w:val="495F2766"/>
    <w:rsid w:val="4961028C"/>
    <w:rsid w:val="49627B61"/>
    <w:rsid w:val="496658A3"/>
    <w:rsid w:val="4968786D"/>
    <w:rsid w:val="4972249A"/>
    <w:rsid w:val="497A5766"/>
    <w:rsid w:val="497E2BEC"/>
    <w:rsid w:val="49836455"/>
    <w:rsid w:val="49902920"/>
    <w:rsid w:val="499F2B63"/>
    <w:rsid w:val="49A14B2D"/>
    <w:rsid w:val="49B04D70"/>
    <w:rsid w:val="49B4660E"/>
    <w:rsid w:val="49B52386"/>
    <w:rsid w:val="49C12AD9"/>
    <w:rsid w:val="49CB1BAA"/>
    <w:rsid w:val="49E03E1E"/>
    <w:rsid w:val="49E352A4"/>
    <w:rsid w:val="49E52C6C"/>
    <w:rsid w:val="49F904C5"/>
    <w:rsid w:val="4A01737A"/>
    <w:rsid w:val="4A062BE2"/>
    <w:rsid w:val="4A070E34"/>
    <w:rsid w:val="4A0A4883"/>
    <w:rsid w:val="4A137078"/>
    <w:rsid w:val="4A1946C3"/>
    <w:rsid w:val="4A1C41B3"/>
    <w:rsid w:val="4A2A2D74"/>
    <w:rsid w:val="4A2F038B"/>
    <w:rsid w:val="4A325785"/>
    <w:rsid w:val="4A331C29"/>
    <w:rsid w:val="4A404346"/>
    <w:rsid w:val="4A407EA2"/>
    <w:rsid w:val="4A4554B8"/>
    <w:rsid w:val="4A4A0D21"/>
    <w:rsid w:val="4A534079"/>
    <w:rsid w:val="4A557B85"/>
    <w:rsid w:val="4A5B2F2E"/>
    <w:rsid w:val="4A606796"/>
    <w:rsid w:val="4A625DAC"/>
    <w:rsid w:val="4A7B35D0"/>
    <w:rsid w:val="4A8835F7"/>
    <w:rsid w:val="4A8A55C1"/>
    <w:rsid w:val="4A914926"/>
    <w:rsid w:val="4A9E2E1A"/>
    <w:rsid w:val="4AA30431"/>
    <w:rsid w:val="4AB12B4E"/>
    <w:rsid w:val="4ABB1C1E"/>
    <w:rsid w:val="4ABD1B1C"/>
    <w:rsid w:val="4AC07235"/>
    <w:rsid w:val="4AC46D25"/>
    <w:rsid w:val="4AD056CA"/>
    <w:rsid w:val="4AE253FD"/>
    <w:rsid w:val="4AE747C1"/>
    <w:rsid w:val="4AEE5B50"/>
    <w:rsid w:val="4AF34F14"/>
    <w:rsid w:val="4AFA44F5"/>
    <w:rsid w:val="4B0B4954"/>
    <w:rsid w:val="4B187071"/>
    <w:rsid w:val="4B245A16"/>
    <w:rsid w:val="4B2B6DA4"/>
    <w:rsid w:val="4B321EE0"/>
    <w:rsid w:val="4B3317B5"/>
    <w:rsid w:val="4B3774F7"/>
    <w:rsid w:val="4B4218C2"/>
    <w:rsid w:val="4B4734B2"/>
    <w:rsid w:val="4B475260"/>
    <w:rsid w:val="4B50680B"/>
    <w:rsid w:val="4B5160DF"/>
    <w:rsid w:val="4B693428"/>
    <w:rsid w:val="4B771FE9"/>
    <w:rsid w:val="4B7E5126"/>
    <w:rsid w:val="4B865D88"/>
    <w:rsid w:val="4B8D7117"/>
    <w:rsid w:val="4B970F90"/>
    <w:rsid w:val="4BA044F9"/>
    <w:rsid w:val="4BA95F1B"/>
    <w:rsid w:val="4BAF3531"/>
    <w:rsid w:val="4BB73BE9"/>
    <w:rsid w:val="4BBA1ED6"/>
    <w:rsid w:val="4BBE2FC3"/>
    <w:rsid w:val="4BC13264"/>
    <w:rsid w:val="4BCB7C3F"/>
    <w:rsid w:val="4BDA0368"/>
    <w:rsid w:val="4BDA4326"/>
    <w:rsid w:val="4BDF193C"/>
    <w:rsid w:val="4BEB2031"/>
    <w:rsid w:val="4BF70A34"/>
    <w:rsid w:val="4BFE0015"/>
    <w:rsid w:val="4C0118B3"/>
    <w:rsid w:val="4C017B05"/>
    <w:rsid w:val="4C035E32"/>
    <w:rsid w:val="4C043151"/>
    <w:rsid w:val="4C0575F5"/>
    <w:rsid w:val="4C0A4C0B"/>
    <w:rsid w:val="4C1415E6"/>
    <w:rsid w:val="4C177328"/>
    <w:rsid w:val="4C1C493F"/>
    <w:rsid w:val="4C286E40"/>
    <w:rsid w:val="4C2C5768"/>
    <w:rsid w:val="4C3103EA"/>
    <w:rsid w:val="4C371778"/>
    <w:rsid w:val="4C387642"/>
    <w:rsid w:val="4C3954F1"/>
    <w:rsid w:val="4C4023DB"/>
    <w:rsid w:val="4C4D4AF8"/>
    <w:rsid w:val="4C4D68A6"/>
    <w:rsid w:val="4C51283A"/>
    <w:rsid w:val="4C520360"/>
    <w:rsid w:val="4C6562E6"/>
    <w:rsid w:val="4C6F0F12"/>
    <w:rsid w:val="4C76404F"/>
    <w:rsid w:val="4C7E2F03"/>
    <w:rsid w:val="4C8D3147"/>
    <w:rsid w:val="4C8D7FB6"/>
    <w:rsid w:val="4C9170DB"/>
    <w:rsid w:val="4C942727"/>
    <w:rsid w:val="4C96024D"/>
    <w:rsid w:val="4C9B1D07"/>
    <w:rsid w:val="4C9B2DA8"/>
    <w:rsid w:val="4C9D15DC"/>
    <w:rsid w:val="4CAF130F"/>
    <w:rsid w:val="4CB15087"/>
    <w:rsid w:val="4CB46925"/>
    <w:rsid w:val="4CCA439B"/>
    <w:rsid w:val="4CCE2C2C"/>
    <w:rsid w:val="4CD174D7"/>
    <w:rsid w:val="4CE23492"/>
    <w:rsid w:val="4CE865CF"/>
    <w:rsid w:val="4CF3569F"/>
    <w:rsid w:val="4CFB4554"/>
    <w:rsid w:val="4CFB75B5"/>
    <w:rsid w:val="4D023B34"/>
    <w:rsid w:val="4D033A7A"/>
    <w:rsid w:val="4D0936B4"/>
    <w:rsid w:val="4D110FBB"/>
    <w:rsid w:val="4D185106"/>
    <w:rsid w:val="4D1A0E7E"/>
    <w:rsid w:val="4D331F40"/>
    <w:rsid w:val="4D3637DE"/>
    <w:rsid w:val="4D3857A8"/>
    <w:rsid w:val="4D3B0DF4"/>
    <w:rsid w:val="4D405120"/>
    <w:rsid w:val="4D4759EB"/>
    <w:rsid w:val="4D5123C6"/>
    <w:rsid w:val="4D537EEC"/>
    <w:rsid w:val="4D551EB6"/>
    <w:rsid w:val="4D565C2E"/>
    <w:rsid w:val="4D61085B"/>
    <w:rsid w:val="4D6E2F78"/>
    <w:rsid w:val="4D785BA5"/>
    <w:rsid w:val="4D7D047C"/>
    <w:rsid w:val="4D7F0CE1"/>
    <w:rsid w:val="4D7F33D7"/>
    <w:rsid w:val="4D8308BE"/>
    <w:rsid w:val="4D87403A"/>
    <w:rsid w:val="4D8A2AFE"/>
    <w:rsid w:val="4D956757"/>
    <w:rsid w:val="4D970721"/>
    <w:rsid w:val="4D9B5D22"/>
    <w:rsid w:val="4DA644C0"/>
    <w:rsid w:val="4DAE5A6A"/>
    <w:rsid w:val="4DB017E2"/>
    <w:rsid w:val="4DB7491F"/>
    <w:rsid w:val="4DBE75E7"/>
    <w:rsid w:val="4DC96400"/>
    <w:rsid w:val="4DCB3F26"/>
    <w:rsid w:val="4DD454D1"/>
    <w:rsid w:val="4DD54DA5"/>
    <w:rsid w:val="4DDF3E76"/>
    <w:rsid w:val="4DF27705"/>
    <w:rsid w:val="4DFF1896"/>
    <w:rsid w:val="4E031912"/>
    <w:rsid w:val="4E094A4F"/>
    <w:rsid w:val="4E137DBE"/>
    <w:rsid w:val="4E315603"/>
    <w:rsid w:val="4E3C4E24"/>
    <w:rsid w:val="4E4B32B9"/>
    <w:rsid w:val="4E4D0DDF"/>
    <w:rsid w:val="4E557C94"/>
    <w:rsid w:val="4E5A52AA"/>
    <w:rsid w:val="4E5F0909"/>
    <w:rsid w:val="4E600B13"/>
    <w:rsid w:val="4E6200BB"/>
    <w:rsid w:val="4E8F764A"/>
    <w:rsid w:val="4E9133C2"/>
    <w:rsid w:val="4E916F1E"/>
    <w:rsid w:val="4E962786"/>
    <w:rsid w:val="4E974E4A"/>
    <w:rsid w:val="4E9C3B15"/>
    <w:rsid w:val="4EA50589"/>
    <w:rsid w:val="4EA50C1B"/>
    <w:rsid w:val="4EA728BF"/>
    <w:rsid w:val="4EB33338"/>
    <w:rsid w:val="4EB557AE"/>
    <w:rsid w:val="4EBD5F65"/>
    <w:rsid w:val="4EC76DE4"/>
    <w:rsid w:val="4ED60DD5"/>
    <w:rsid w:val="4ED65279"/>
    <w:rsid w:val="4EE2777A"/>
    <w:rsid w:val="4EEE25C2"/>
    <w:rsid w:val="4EF23735"/>
    <w:rsid w:val="4EFA0F67"/>
    <w:rsid w:val="4F035942"/>
    <w:rsid w:val="4F0D0216"/>
    <w:rsid w:val="4F1638C7"/>
    <w:rsid w:val="4F165675"/>
    <w:rsid w:val="4F253B0A"/>
    <w:rsid w:val="4F27620E"/>
    <w:rsid w:val="4F367AC5"/>
    <w:rsid w:val="4F3D70A6"/>
    <w:rsid w:val="4F50502B"/>
    <w:rsid w:val="4F5A7C58"/>
    <w:rsid w:val="4F5F0DCA"/>
    <w:rsid w:val="4F602D94"/>
    <w:rsid w:val="4F6A715F"/>
    <w:rsid w:val="4F734876"/>
    <w:rsid w:val="4F772D50"/>
    <w:rsid w:val="4F7855EA"/>
    <w:rsid w:val="4F7A3E56"/>
    <w:rsid w:val="4F876573"/>
    <w:rsid w:val="4F8B6063"/>
    <w:rsid w:val="4F940716"/>
    <w:rsid w:val="4F9C72BF"/>
    <w:rsid w:val="4FA15887"/>
    <w:rsid w:val="4FA90297"/>
    <w:rsid w:val="4FAE1D52"/>
    <w:rsid w:val="4FB01626"/>
    <w:rsid w:val="4FC60E49"/>
    <w:rsid w:val="4FC82E13"/>
    <w:rsid w:val="4FD73056"/>
    <w:rsid w:val="4FE70DC0"/>
    <w:rsid w:val="50016325"/>
    <w:rsid w:val="50041972"/>
    <w:rsid w:val="50055E16"/>
    <w:rsid w:val="50146059"/>
    <w:rsid w:val="501A5E16"/>
    <w:rsid w:val="50203001"/>
    <w:rsid w:val="50242014"/>
    <w:rsid w:val="50243DC2"/>
    <w:rsid w:val="50281B04"/>
    <w:rsid w:val="502E7DFF"/>
    <w:rsid w:val="502F6BAC"/>
    <w:rsid w:val="503C1682"/>
    <w:rsid w:val="503C55AF"/>
    <w:rsid w:val="505446A7"/>
    <w:rsid w:val="50613214"/>
    <w:rsid w:val="50642410"/>
    <w:rsid w:val="50700DB5"/>
    <w:rsid w:val="50771FBD"/>
    <w:rsid w:val="5081196D"/>
    <w:rsid w:val="50836D3A"/>
    <w:rsid w:val="508451DC"/>
    <w:rsid w:val="508F56DF"/>
    <w:rsid w:val="509176A9"/>
    <w:rsid w:val="50B43398"/>
    <w:rsid w:val="50B9275C"/>
    <w:rsid w:val="50BE4216"/>
    <w:rsid w:val="50C17863"/>
    <w:rsid w:val="50CF3D2E"/>
    <w:rsid w:val="50D15CF8"/>
    <w:rsid w:val="50D70E34"/>
    <w:rsid w:val="50EA0B67"/>
    <w:rsid w:val="50F47C38"/>
    <w:rsid w:val="50FB0FC7"/>
    <w:rsid w:val="51037E7B"/>
    <w:rsid w:val="510936E3"/>
    <w:rsid w:val="511A58F1"/>
    <w:rsid w:val="511D2CEB"/>
    <w:rsid w:val="511F3550"/>
    <w:rsid w:val="51312C3A"/>
    <w:rsid w:val="51340035"/>
    <w:rsid w:val="51426BF5"/>
    <w:rsid w:val="51430B2C"/>
    <w:rsid w:val="5147420C"/>
    <w:rsid w:val="514B3CFC"/>
    <w:rsid w:val="514D1BDE"/>
    <w:rsid w:val="51501312"/>
    <w:rsid w:val="51542485"/>
    <w:rsid w:val="51581F75"/>
    <w:rsid w:val="515D758B"/>
    <w:rsid w:val="51694182"/>
    <w:rsid w:val="516A7EFA"/>
    <w:rsid w:val="516C72A2"/>
    <w:rsid w:val="51864D34"/>
    <w:rsid w:val="518965D2"/>
    <w:rsid w:val="51962A9D"/>
    <w:rsid w:val="51986815"/>
    <w:rsid w:val="519D207E"/>
    <w:rsid w:val="51B318A1"/>
    <w:rsid w:val="51C02CB5"/>
    <w:rsid w:val="51C07B1A"/>
    <w:rsid w:val="51C21AE4"/>
    <w:rsid w:val="51C4585C"/>
    <w:rsid w:val="51CD2963"/>
    <w:rsid w:val="51E952C3"/>
    <w:rsid w:val="51EC090F"/>
    <w:rsid w:val="51F021AD"/>
    <w:rsid w:val="51F83758"/>
    <w:rsid w:val="51FC4FF6"/>
    <w:rsid w:val="520004CA"/>
    <w:rsid w:val="52075749"/>
    <w:rsid w:val="521340EE"/>
    <w:rsid w:val="521A722A"/>
    <w:rsid w:val="521D6D1B"/>
    <w:rsid w:val="52263E21"/>
    <w:rsid w:val="523227C6"/>
    <w:rsid w:val="52326C6A"/>
    <w:rsid w:val="52344790"/>
    <w:rsid w:val="523E560F"/>
    <w:rsid w:val="52416EAD"/>
    <w:rsid w:val="524349D3"/>
    <w:rsid w:val="52497B10"/>
    <w:rsid w:val="524B1ADA"/>
    <w:rsid w:val="525070F0"/>
    <w:rsid w:val="52552958"/>
    <w:rsid w:val="525A3ACB"/>
    <w:rsid w:val="525E180D"/>
    <w:rsid w:val="526D7CA2"/>
    <w:rsid w:val="527E5A0B"/>
    <w:rsid w:val="527F1783"/>
    <w:rsid w:val="528648C0"/>
    <w:rsid w:val="528B0128"/>
    <w:rsid w:val="528D161E"/>
    <w:rsid w:val="52943481"/>
    <w:rsid w:val="529C0587"/>
    <w:rsid w:val="52A03BD4"/>
    <w:rsid w:val="52AB4326"/>
    <w:rsid w:val="52B2697B"/>
    <w:rsid w:val="52DB2E5E"/>
    <w:rsid w:val="52DE294E"/>
    <w:rsid w:val="52EB0BC7"/>
    <w:rsid w:val="52F061DD"/>
    <w:rsid w:val="52F43F1F"/>
    <w:rsid w:val="52FE3C2E"/>
    <w:rsid w:val="530A3743"/>
    <w:rsid w:val="53146370"/>
    <w:rsid w:val="531620E8"/>
    <w:rsid w:val="53177F46"/>
    <w:rsid w:val="53206AC2"/>
    <w:rsid w:val="532C190B"/>
    <w:rsid w:val="532D11DF"/>
    <w:rsid w:val="533575BC"/>
    <w:rsid w:val="53394028"/>
    <w:rsid w:val="53446C55"/>
    <w:rsid w:val="534F55FA"/>
    <w:rsid w:val="53661524"/>
    <w:rsid w:val="536A2433"/>
    <w:rsid w:val="537E1A3B"/>
    <w:rsid w:val="53837051"/>
    <w:rsid w:val="53890B0C"/>
    <w:rsid w:val="53933738"/>
    <w:rsid w:val="53937294"/>
    <w:rsid w:val="539574B0"/>
    <w:rsid w:val="53966D85"/>
    <w:rsid w:val="53AE0572"/>
    <w:rsid w:val="53B67427"/>
    <w:rsid w:val="53C27B7A"/>
    <w:rsid w:val="53C438F2"/>
    <w:rsid w:val="53C658BC"/>
    <w:rsid w:val="53C953AC"/>
    <w:rsid w:val="53CB1124"/>
    <w:rsid w:val="53D1600F"/>
    <w:rsid w:val="53DA3115"/>
    <w:rsid w:val="53DB6E8D"/>
    <w:rsid w:val="53E47AF0"/>
    <w:rsid w:val="53E63B9C"/>
    <w:rsid w:val="53E977FC"/>
    <w:rsid w:val="53F8359B"/>
    <w:rsid w:val="53FA7313"/>
    <w:rsid w:val="53FD0BB2"/>
    <w:rsid w:val="54014B46"/>
    <w:rsid w:val="540B7773"/>
    <w:rsid w:val="540E1011"/>
    <w:rsid w:val="541A1764"/>
    <w:rsid w:val="541D0D18"/>
    <w:rsid w:val="541D2076"/>
    <w:rsid w:val="541F321E"/>
    <w:rsid w:val="54212AF2"/>
    <w:rsid w:val="5422279F"/>
    <w:rsid w:val="54260108"/>
    <w:rsid w:val="542D593B"/>
    <w:rsid w:val="54332825"/>
    <w:rsid w:val="543C792C"/>
    <w:rsid w:val="54435882"/>
    <w:rsid w:val="54482775"/>
    <w:rsid w:val="5452714F"/>
    <w:rsid w:val="54554E92"/>
    <w:rsid w:val="54574766"/>
    <w:rsid w:val="545A1D22"/>
    <w:rsid w:val="5472334E"/>
    <w:rsid w:val="54754BEC"/>
    <w:rsid w:val="54774E08"/>
    <w:rsid w:val="547846DC"/>
    <w:rsid w:val="548117E3"/>
    <w:rsid w:val="54866DF9"/>
    <w:rsid w:val="54921C42"/>
    <w:rsid w:val="5492579E"/>
    <w:rsid w:val="54947768"/>
    <w:rsid w:val="549759D6"/>
    <w:rsid w:val="54A40077"/>
    <w:rsid w:val="54A86D6F"/>
    <w:rsid w:val="54B020C8"/>
    <w:rsid w:val="54BC281B"/>
    <w:rsid w:val="54BC6CBF"/>
    <w:rsid w:val="54C32B11"/>
    <w:rsid w:val="54C6369A"/>
    <w:rsid w:val="54CA13DC"/>
    <w:rsid w:val="54D67D81"/>
    <w:rsid w:val="54D97871"/>
    <w:rsid w:val="54DC56F8"/>
    <w:rsid w:val="54E42994"/>
    <w:rsid w:val="54ED3084"/>
    <w:rsid w:val="54F226E1"/>
    <w:rsid w:val="55006BAB"/>
    <w:rsid w:val="5512068D"/>
    <w:rsid w:val="55164621"/>
    <w:rsid w:val="551B39E5"/>
    <w:rsid w:val="55236D3E"/>
    <w:rsid w:val="552503C0"/>
    <w:rsid w:val="552F56E3"/>
    <w:rsid w:val="55346855"/>
    <w:rsid w:val="554747DA"/>
    <w:rsid w:val="55482300"/>
    <w:rsid w:val="554C1DF1"/>
    <w:rsid w:val="554F18E1"/>
    <w:rsid w:val="55570796"/>
    <w:rsid w:val="555D2250"/>
    <w:rsid w:val="5567428D"/>
    <w:rsid w:val="556A04C9"/>
    <w:rsid w:val="55735C18"/>
    <w:rsid w:val="557B26D6"/>
    <w:rsid w:val="557E569C"/>
    <w:rsid w:val="55825812"/>
    <w:rsid w:val="55886BA1"/>
    <w:rsid w:val="55A0038E"/>
    <w:rsid w:val="55B02A26"/>
    <w:rsid w:val="55B31E70"/>
    <w:rsid w:val="55B654BC"/>
    <w:rsid w:val="55BB2AD2"/>
    <w:rsid w:val="55C951EF"/>
    <w:rsid w:val="55D12057"/>
    <w:rsid w:val="55E53FF3"/>
    <w:rsid w:val="55EE4C56"/>
    <w:rsid w:val="55FC3817"/>
    <w:rsid w:val="56024BA5"/>
    <w:rsid w:val="5604091D"/>
    <w:rsid w:val="560C1349"/>
    <w:rsid w:val="560E70A6"/>
    <w:rsid w:val="56116B96"/>
    <w:rsid w:val="5621327D"/>
    <w:rsid w:val="56262642"/>
    <w:rsid w:val="562B40FC"/>
    <w:rsid w:val="56367C5B"/>
    <w:rsid w:val="563805C7"/>
    <w:rsid w:val="5642146D"/>
    <w:rsid w:val="5647080A"/>
    <w:rsid w:val="564927D4"/>
    <w:rsid w:val="564B02FA"/>
    <w:rsid w:val="565A053D"/>
    <w:rsid w:val="565D1DDC"/>
    <w:rsid w:val="565D3B8A"/>
    <w:rsid w:val="56653CED"/>
    <w:rsid w:val="56665134"/>
    <w:rsid w:val="56677807"/>
    <w:rsid w:val="56680EAC"/>
    <w:rsid w:val="56682C5A"/>
    <w:rsid w:val="567540C3"/>
    <w:rsid w:val="56777341"/>
    <w:rsid w:val="567809C3"/>
    <w:rsid w:val="56820D5B"/>
    <w:rsid w:val="568A7075"/>
    <w:rsid w:val="569A430A"/>
    <w:rsid w:val="56A45C5C"/>
    <w:rsid w:val="56B57E6A"/>
    <w:rsid w:val="56B85264"/>
    <w:rsid w:val="56BA722E"/>
    <w:rsid w:val="56BC6B02"/>
    <w:rsid w:val="56BF4844"/>
    <w:rsid w:val="56C63E25"/>
    <w:rsid w:val="56C9121F"/>
    <w:rsid w:val="56CF0F2B"/>
    <w:rsid w:val="56D26326"/>
    <w:rsid w:val="56DF070E"/>
    <w:rsid w:val="56DF6C95"/>
    <w:rsid w:val="56E83D9B"/>
    <w:rsid w:val="56ED13B1"/>
    <w:rsid w:val="56EE45EC"/>
    <w:rsid w:val="56EF6ED8"/>
    <w:rsid w:val="56F269C8"/>
    <w:rsid w:val="56F52014"/>
    <w:rsid w:val="56F91B04"/>
    <w:rsid w:val="56FB1D20"/>
    <w:rsid w:val="56FE711B"/>
    <w:rsid w:val="57096D7C"/>
    <w:rsid w:val="570A1F63"/>
    <w:rsid w:val="571701DC"/>
    <w:rsid w:val="572823EA"/>
    <w:rsid w:val="572A6162"/>
    <w:rsid w:val="574511ED"/>
    <w:rsid w:val="574D1E50"/>
    <w:rsid w:val="57566F57"/>
    <w:rsid w:val="575E5E0B"/>
    <w:rsid w:val="57603931"/>
    <w:rsid w:val="57623B4D"/>
    <w:rsid w:val="57631674"/>
    <w:rsid w:val="57664CC0"/>
    <w:rsid w:val="576A2A02"/>
    <w:rsid w:val="576F1DC6"/>
    <w:rsid w:val="57723665"/>
    <w:rsid w:val="577613A7"/>
    <w:rsid w:val="577675F9"/>
    <w:rsid w:val="57776ECD"/>
    <w:rsid w:val="57822857"/>
    <w:rsid w:val="57835872"/>
    <w:rsid w:val="57882E88"/>
    <w:rsid w:val="578C0BCA"/>
    <w:rsid w:val="578F2469"/>
    <w:rsid w:val="578F4217"/>
    <w:rsid w:val="579051E9"/>
    <w:rsid w:val="579B0911"/>
    <w:rsid w:val="57C06AC6"/>
    <w:rsid w:val="57C55E8A"/>
    <w:rsid w:val="57E02CC4"/>
    <w:rsid w:val="57E04A72"/>
    <w:rsid w:val="57E502DB"/>
    <w:rsid w:val="57E52089"/>
    <w:rsid w:val="57F549C2"/>
    <w:rsid w:val="57FA3D86"/>
    <w:rsid w:val="57FB5D50"/>
    <w:rsid w:val="58020E8D"/>
    <w:rsid w:val="580544D9"/>
    <w:rsid w:val="58070251"/>
    <w:rsid w:val="580764A3"/>
    <w:rsid w:val="581A61D6"/>
    <w:rsid w:val="58242BB1"/>
    <w:rsid w:val="582726A1"/>
    <w:rsid w:val="582901C7"/>
    <w:rsid w:val="58331046"/>
    <w:rsid w:val="583848AE"/>
    <w:rsid w:val="5846521D"/>
    <w:rsid w:val="58490869"/>
    <w:rsid w:val="58555460"/>
    <w:rsid w:val="585B5F86"/>
    <w:rsid w:val="5866141B"/>
    <w:rsid w:val="586C2ED0"/>
    <w:rsid w:val="58726012"/>
    <w:rsid w:val="587358E6"/>
    <w:rsid w:val="5875165E"/>
    <w:rsid w:val="587753D7"/>
    <w:rsid w:val="587873A1"/>
    <w:rsid w:val="58816255"/>
    <w:rsid w:val="58845D45"/>
    <w:rsid w:val="58847AF3"/>
    <w:rsid w:val="58871D81"/>
    <w:rsid w:val="588834ED"/>
    <w:rsid w:val="588C69A8"/>
    <w:rsid w:val="58922210"/>
    <w:rsid w:val="58937D37"/>
    <w:rsid w:val="58977827"/>
    <w:rsid w:val="58A41F44"/>
    <w:rsid w:val="58A65CBC"/>
    <w:rsid w:val="58A957AC"/>
    <w:rsid w:val="58A9755A"/>
    <w:rsid w:val="58B50EBC"/>
    <w:rsid w:val="58BD4DB3"/>
    <w:rsid w:val="58C47EF0"/>
    <w:rsid w:val="58D06D06"/>
    <w:rsid w:val="58D740C7"/>
    <w:rsid w:val="58DC348C"/>
    <w:rsid w:val="58DD0FB2"/>
    <w:rsid w:val="58DD3B7B"/>
    <w:rsid w:val="58E660B8"/>
    <w:rsid w:val="58EB7B73"/>
    <w:rsid w:val="58F05189"/>
    <w:rsid w:val="58F133F6"/>
    <w:rsid w:val="58F20F01"/>
    <w:rsid w:val="58F32DDD"/>
    <w:rsid w:val="58FD3402"/>
    <w:rsid w:val="5903310E"/>
    <w:rsid w:val="59034EBC"/>
    <w:rsid w:val="590824D3"/>
    <w:rsid w:val="59097FF9"/>
    <w:rsid w:val="590B5B1F"/>
    <w:rsid w:val="590F3861"/>
    <w:rsid w:val="59162E41"/>
    <w:rsid w:val="59172716"/>
    <w:rsid w:val="591A2206"/>
    <w:rsid w:val="591C1F72"/>
    <w:rsid w:val="59284923"/>
    <w:rsid w:val="592B61C1"/>
    <w:rsid w:val="59305585"/>
    <w:rsid w:val="593A6404"/>
    <w:rsid w:val="593C217C"/>
    <w:rsid w:val="5943175D"/>
    <w:rsid w:val="59441031"/>
    <w:rsid w:val="59464DA9"/>
    <w:rsid w:val="594A2AEB"/>
    <w:rsid w:val="594B184B"/>
    <w:rsid w:val="594B6A64"/>
    <w:rsid w:val="5952374E"/>
    <w:rsid w:val="595C45CC"/>
    <w:rsid w:val="595C637A"/>
    <w:rsid w:val="59600776"/>
    <w:rsid w:val="5967369D"/>
    <w:rsid w:val="59682F71"/>
    <w:rsid w:val="598853C1"/>
    <w:rsid w:val="598D29D8"/>
    <w:rsid w:val="59927FEE"/>
    <w:rsid w:val="59956439"/>
    <w:rsid w:val="599B3347"/>
    <w:rsid w:val="59A246D5"/>
    <w:rsid w:val="59A250DC"/>
    <w:rsid w:val="59AF0BA0"/>
    <w:rsid w:val="59AF6DF2"/>
    <w:rsid w:val="59B83EF9"/>
    <w:rsid w:val="59B85ACE"/>
    <w:rsid w:val="59C02DAD"/>
    <w:rsid w:val="59C4289D"/>
    <w:rsid w:val="59D40607"/>
    <w:rsid w:val="59D5260B"/>
    <w:rsid w:val="59E940B2"/>
    <w:rsid w:val="59EF0FFD"/>
    <w:rsid w:val="59F1740B"/>
    <w:rsid w:val="59F20A8D"/>
    <w:rsid w:val="59F510C8"/>
    <w:rsid w:val="59FD5DAF"/>
    <w:rsid w:val="5A033D79"/>
    <w:rsid w:val="5A040EEC"/>
    <w:rsid w:val="5A0C5FF2"/>
    <w:rsid w:val="5A13112F"/>
    <w:rsid w:val="5A1418BA"/>
    <w:rsid w:val="5A190D99"/>
    <w:rsid w:val="5A225816"/>
    <w:rsid w:val="5A3317D1"/>
    <w:rsid w:val="5A33357F"/>
    <w:rsid w:val="5A3B2D8E"/>
    <w:rsid w:val="5A3D43FE"/>
    <w:rsid w:val="5A465B9D"/>
    <w:rsid w:val="5A504131"/>
    <w:rsid w:val="5A504F51"/>
    <w:rsid w:val="5A576D81"/>
    <w:rsid w:val="5A631C3C"/>
    <w:rsid w:val="5A7F4A16"/>
    <w:rsid w:val="5A84202D"/>
    <w:rsid w:val="5A871B1D"/>
    <w:rsid w:val="5A89319F"/>
    <w:rsid w:val="5A9A35FE"/>
    <w:rsid w:val="5A9A6067"/>
    <w:rsid w:val="5A9C7376"/>
    <w:rsid w:val="5AA4622B"/>
    <w:rsid w:val="5AA75D1B"/>
    <w:rsid w:val="5AA77AC9"/>
    <w:rsid w:val="5AAE0E58"/>
    <w:rsid w:val="5AB126F6"/>
    <w:rsid w:val="5AB26B9A"/>
    <w:rsid w:val="5AB3021C"/>
    <w:rsid w:val="5AC97A40"/>
    <w:rsid w:val="5AD85ED5"/>
    <w:rsid w:val="5ADD2319"/>
    <w:rsid w:val="5AE14D89"/>
    <w:rsid w:val="5AE8436A"/>
    <w:rsid w:val="5AF56A87"/>
    <w:rsid w:val="5AF71073"/>
    <w:rsid w:val="5AFF16B3"/>
    <w:rsid w:val="5B01542B"/>
    <w:rsid w:val="5B0A0784"/>
    <w:rsid w:val="5B2829B8"/>
    <w:rsid w:val="5B286E5C"/>
    <w:rsid w:val="5B305D11"/>
    <w:rsid w:val="5B321A89"/>
    <w:rsid w:val="5B465534"/>
    <w:rsid w:val="5B490B80"/>
    <w:rsid w:val="5B4D0671"/>
    <w:rsid w:val="5B547C51"/>
    <w:rsid w:val="5B5E287E"/>
    <w:rsid w:val="5B5F03A4"/>
    <w:rsid w:val="5B6270CB"/>
    <w:rsid w:val="5B687259"/>
    <w:rsid w:val="5B6A2FD1"/>
    <w:rsid w:val="5B6B4F9B"/>
    <w:rsid w:val="5B762465"/>
    <w:rsid w:val="5B7756EE"/>
    <w:rsid w:val="5B857E0A"/>
    <w:rsid w:val="5B865931"/>
    <w:rsid w:val="5B8F0C89"/>
    <w:rsid w:val="5B9E0ECC"/>
    <w:rsid w:val="5BAA161F"/>
    <w:rsid w:val="5BAD110F"/>
    <w:rsid w:val="5BB24FC7"/>
    <w:rsid w:val="5BB97AB4"/>
    <w:rsid w:val="5BBC75A4"/>
    <w:rsid w:val="5BC326E1"/>
    <w:rsid w:val="5BD668B8"/>
    <w:rsid w:val="5BE03293"/>
    <w:rsid w:val="5BED59B0"/>
    <w:rsid w:val="5BF62AB6"/>
    <w:rsid w:val="5C036210"/>
    <w:rsid w:val="5C052CF9"/>
    <w:rsid w:val="5C0C22DA"/>
    <w:rsid w:val="5C0D6AD2"/>
    <w:rsid w:val="5C207B33"/>
    <w:rsid w:val="5C261BFE"/>
    <w:rsid w:val="5C2F5FC8"/>
    <w:rsid w:val="5C341831"/>
    <w:rsid w:val="5C34538D"/>
    <w:rsid w:val="5C3A6E47"/>
    <w:rsid w:val="5C3D06E5"/>
    <w:rsid w:val="5C480E38"/>
    <w:rsid w:val="5C4C6B7A"/>
    <w:rsid w:val="5C5477DD"/>
    <w:rsid w:val="5C553C81"/>
    <w:rsid w:val="5C5F68AD"/>
    <w:rsid w:val="5C6338A6"/>
    <w:rsid w:val="5C6914DA"/>
    <w:rsid w:val="5C6C4B26"/>
    <w:rsid w:val="5C6E089F"/>
    <w:rsid w:val="5C700ABB"/>
    <w:rsid w:val="5C741C2D"/>
    <w:rsid w:val="5C78796F"/>
    <w:rsid w:val="5C7B745F"/>
    <w:rsid w:val="5C801E11"/>
    <w:rsid w:val="5C814A76"/>
    <w:rsid w:val="5C8956D8"/>
    <w:rsid w:val="5C9522CF"/>
    <w:rsid w:val="5C983B6D"/>
    <w:rsid w:val="5C9A1694"/>
    <w:rsid w:val="5C9A78E6"/>
    <w:rsid w:val="5C9B6DBC"/>
    <w:rsid w:val="5C9D73D6"/>
    <w:rsid w:val="5CA02A22"/>
    <w:rsid w:val="5CA22C3E"/>
    <w:rsid w:val="5CA249EC"/>
    <w:rsid w:val="5CA2679A"/>
    <w:rsid w:val="5CA97B29"/>
    <w:rsid w:val="5CB07109"/>
    <w:rsid w:val="5CB12E81"/>
    <w:rsid w:val="5CBA3AE4"/>
    <w:rsid w:val="5CBF734C"/>
    <w:rsid w:val="5CC2508E"/>
    <w:rsid w:val="5CC76201"/>
    <w:rsid w:val="5CD821BC"/>
    <w:rsid w:val="5CE15514"/>
    <w:rsid w:val="5CE648D9"/>
    <w:rsid w:val="5CEE5E83"/>
    <w:rsid w:val="5CF1327E"/>
    <w:rsid w:val="5CF50FC0"/>
    <w:rsid w:val="5CF97917"/>
    <w:rsid w:val="5D094A6B"/>
    <w:rsid w:val="5D0E5BDE"/>
    <w:rsid w:val="5D1E4A62"/>
    <w:rsid w:val="5D245401"/>
    <w:rsid w:val="5D272F0E"/>
    <w:rsid w:val="5D276C9F"/>
    <w:rsid w:val="5D2C42B6"/>
    <w:rsid w:val="5D355860"/>
    <w:rsid w:val="5D380EAD"/>
    <w:rsid w:val="5D437F7D"/>
    <w:rsid w:val="5D494E68"/>
    <w:rsid w:val="5D4B0BE0"/>
    <w:rsid w:val="5D5201C0"/>
    <w:rsid w:val="5D526412"/>
    <w:rsid w:val="5D5A5542"/>
    <w:rsid w:val="5D5C103F"/>
    <w:rsid w:val="5D5C4B9B"/>
    <w:rsid w:val="5D5E6B65"/>
    <w:rsid w:val="5D663C6C"/>
    <w:rsid w:val="5D6B2358"/>
    <w:rsid w:val="5D7C348F"/>
    <w:rsid w:val="5D804D2D"/>
    <w:rsid w:val="5D8365CC"/>
    <w:rsid w:val="5D885990"/>
    <w:rsid w:val="5D8D11F8"/>
    <w:rsid w:val="5D972077"/>
    <w:rsid w:val="5D997B9D"/>
    <w:rsid w:val="5DAA7FFC"/>
    <w:rsid w:val="5DAD3649"/>
    <w:rsid w:val="5DB06C95"/>
    <w:rsid w:val="5DB61D00"/>
    <w:rsid w:val="5DBD75BE"/>
    <w:rsid w:val="5DC21E32"/>
    <w:rsid w:val="5DC664B8"/>
    <w:rsid w:val="5DDB3A67"/>
    <w:rsid w:val="5DDE3802"/>
    <w:rsid w:val="5DE132F2"/>
    <w:rsid w:val="5DE27796"/>
    <w:rsid w:val="5DE3706A"/>
    <w:rsid w:val="5DE66B5A"/>
    <w:rsid w:val="5DE86843"/>
    <w:rsid w:val="5DF23751"/>
    <w:rsid w:val="5E007081"/>
    <w:rsid w:val="5E082F75"/>
    <w:rsid w:val="5E113BD7"/>
    <w:rsid w:val="5E135BA1"/>
    <w:rsid w:val="5E1B2CA8"/>
    <w:rsid w:val="5E2733FB"/>
    <w:rsid w:val="5E2979F3"/>
    <w:rsid w:val="5E343D6A"/>
    <w:rsid w:val="5E3E0745"/>
    <w:rsid w:val="5E47584B"/>
    <w:rsid w:val="5E510478"/>
    <w:rsid w:val="5E512226"/>
    <w:rsid w:val="5E5D6E1D"/>
    <w:rsid w:val="5E646A2E"/>
    <w:rsid w:val="5E652175"/>
    <w:rsid w:val="5E6957C1"/>
    <w:rsid w:val="5E6A153A"/>
    <w:rsid w:val="5E7B54F5"/>
    <w:rsid w:val="5E7B72A3"/>
    <w:rsid w:val="5E850121"/>
    <w:rsid w:val="5E8F2D4E"/>
    <w:rsid w:val="5E9071F2"/>
    <w:rsid w:val="5E9345EC"/>
    <w:rsid w:val="5E960581"/>
    <w:rsid w:val="5EA22A81"/>
    <w:rsid w:val="5EA7453C"/>
    <w:rsid w:val="5EBA426F"/>
    <w:rsid w:val="5EBF3633"/>
    <w:rsid w:val="5ECB647C"/>
    <w:rsid w:val="5ECD6940"/>
    <w:rsid w:val="5ED16751"/>
    <w:rsid w:val="5ED30E8D"/>
    <w:rsid w:val="5ED44F7D"/>
    <w:rsid w:val="5ED846F5"/>
    <w:rsid w:val="5EEC1F4F"/>
    <w:rsid w:val="5EF07C91"/>
    <w:rsid w:val="5EF808F3"/>
    <w:rsid w:val="5F0140EF"/>
    <w:rsid w:val="5F0D0843"/>
    <w:rsid w:val="5F1478DE"/>
    <w:rsid w:val="5F1D65AC"/>
    <w:rsid w:val="5F1E1D63"/>
    <w:rsid w:val="5F223BC2"/>
    <w:rsid w:val="5F2B6F1B"/>
    <w:rsid w:val="5F2E4599"/>
    <w:rsid w:val="5F304531"/>
    <w:rsid w:val="5F335DCF"/>
    <w:rsid w:val="5F3C1128"/>
    <w:rsid w:val="5F4B3119"/>
    <w:rsid w:val="5F546472"/>
    <w:rsid w:val="5F553F98"/>
    <w:rsid w:val="5F5A7169"/>
    <w:rsid w:val="5F5C0E82"/>
    <w:rsid w:val="5F6C4260"/>
    <w:rsid w:val="5F742670"/>
    <w:rsid w:val="5F7563E8"/>
    <w:rsid w:val="5F7654D2"/>
    <w:rsid w:val="5F814D8D"/>
    <w:rsid w:val="5F845D6D"/>
    <w:rsid w:val="5F84662B"/>
    <w:rsid w:val="5F950838"/>
    <w:rsid w:val="5F9C7E4F"/>
    <w:rsid w:val="5F9E149B"/>
    <w:rsid w:val="5FA558FD"/>
    <w:rsid w:val="5FB00EF7"/>
    <w:rsid w:val="5FBA0C8C"/>
    <w:rsid w:val="5FBC6DF6"/>
    <w:rsid w:val="5FC47C57"/>
    <w:rsid w:val="5FC52CF8"/>
    <w:rsid w:val="5FC5301A"/>
    <w:rsid w:val="5FCB6008"/>
    <w:rsid w:val="5FCD1D80"/>
    <w:rsid w:val="5FD17AC2"/>
    <w:rsid w:val="5FD44EBD"/>
    <w:rsid w:val="5FDC6467"/>
    <w:rsid w:val="5FE64732"/>
    <w:rsid w:val="5FEF7F48"/>
    <w:rsid w:val="5FFB68ED"/>
    <w:rsid w:val="60025ECE"/>
    <w:rsid w:val="60067040"/>
    <w:rsid w:val="6008100A"/>
    <w:rsid w:val="600B28A8"/>
    <w:rsid w:val="600D03CE"/>
    <w:rsid w:val="601B2AEB"/>
    <w:rsid w:val="60213E7A"/>
    <w:rsid w:val="602C2F4B"/>
    <w:rsid w:val="6031230F"/>
    <w:rsid w:val="60327E35"/>
    <w:rsid w:val="603B4F3C"/>
    <w:rsid w:val="603E4A2C"/>
    <w:rsid w:val="60412B9C"/>
    <w:rsid w:val="60457B68"/>
    <w:rsid w:val="604E1113"/>
    <w:rsid w:val="60593313"/>
    <w:rsid w:val="60593614"/>
    <w:rsid w:val="606003E7"/>
    <w:rsid w:val="60681AA9"/>
    <w:rsid w:val="606C77EB"/>
    <w:rsid w:val="60822B6A"/>
    <w:rsid w:val="6082700E"/>
    <w:rsid w:val="60870181"/>
    <w:rsid w:val="608E137D"/>
    <w:rsid w:val="60912DAE"/>
    <w:rsid w:val="60934D78"/>
    <w:rsid w:val="60A52CFD"/>
    <w:rsid w:val="60AC408B"/>
    <w:rsid w:val="60B66CB8"/>
    <w:rsid w:val="60B847DE"/>
    <w:rsid w:val="60C43183"/>
    <w:rsid w:val="60CE4002"/>
    <w:rsid w:val="60D55390"/>
    <w:rsid w:val="60D96503"/>
    <w:rsid w:val="60E14966"/>
    <w:rsid w:val="60EF5D26"/>
    <w:rsid w:val="60F5158E"/>
    <w:rsid w:val="60FF41BB"/>
    <w:rsid w:val="61083887"/>
    <w:rsid w:val="611063C8"/>
    <w:rsid w:val="61124939"/>
    <w:rsid w:val="611B4D6D"/>
    <w:rsid w:val="61227EAA"/>
    <w:rsid w:val="612B4FB0"/>
    <w:rsid w:val="613876CD"/>
    <w:rsid w:val="614F7970"/>
    <w:rsid w:val="6162299C"/>
    <w:rsid w:val="6162474A"/>
    <w:rsid w:val="61642270"/>
    <w:rsid w:val="6166423A"/>
    <w:rsid w:val="61677FB2"/>
    <w:rsid w:val="616C7377"/>
    <w:rsid w:val="616D55C9"/>
    <w:rsid w:val="617C3A5E"/>
    <w:rsid w:val="618D5C6B"/>
    <w:rsid w:val="618E3791"/>
    <w:rsid w:val="618E5D0D"/>
    <w:rsid w:val="619012B7"/>
    <w:rsid w:val="61A62889"/>
    <w:rsid w:val="61A66D2D"/>
    <w:rsid w:val="61AD1E69"/>
    <w:rsid w:val="61BD7BD2"/>
    <w:rsid w:val="61BF1B9C"/>
    <w:rsid w:val="61C176C2"/>
    <w:rsid w:val="61C3168D"/>
    <w:rsid w:val="61C40F61"/>
    <w:rsid w:val="61CB6793"/>
    <w:rsid w:val="61D45A52"/>
    <w:rsid w:val="61DB4C28"/>
    <w:rsid w:val="61EB2991"/>
    <w:rsid w:val="61F614BD"/>
    <w:rsid w:val="620852F1"/>
    <w:rsid w:val="621B3277"/>
    <w:rsid w:val="62265778"/>
    <w:rsid w:val="622A5268"/>
    <w:rsid w:val="622D4D58"/>
    <w:rsid w:val="623936FD"/>
    <w:rsid w:val="623B3834"/>
    <w:rsid w:val="624A590A"/>
    <w:rsid w:val="62500A46"/>
    <w:rsid w:val="625247BE"/>
    <w:rsid w:val="62525166"/>
    <w:rsid w:val="62586279"/>
    <w:rsid w:val="62627387"/>
    <w:rsid w:val="626544F2"/>
    <w:rsid w:val="62685D90"/>
    <w:rsid w:val="626C5880"/>
    <w:rsid w:val="626D33A6"/>
    <w:rsid w:val="628506F0"/>
    <w:rsid w:val="62886432"/>
    <w:rsid w:val="628C1A7E"/>
    <w:rsid w:val="629848C7"/>
    <w:rsid w:val="629D0130"/>
    <w:rsid w:val="62A0377C"/>
    <w:rsid w:val="62A36DC8"/>
    <w:rsid w:val="62AF1C11"/>
    <w:rsid w:val="62B47227"/>
    <w:rsid w:val="62B72874"/>
    <w:rsid w:val="62BD5CB8"/>
    <w:rsid w:val="62C27B96"/>
    <w:rsid w:val="62CC631F"/>
    <w:rsid w:val="62D358FF"/>
    <w:rsid w:val="62F15D85"/>
    <w:rsid w:val="62FF4946"/>
    <w:rsid w:val="630E2DDB"/>
    <w:rsid w:val="63147CC6"/>
    <w:rsid w:val="631877B6"/>
    <w:rsid w:val="631B1054"/>
    <w:rsid w:val="632E0D88"/>
    <w:rsid w:val="632F0827"/>
    <w:rsid w:val="63310F09"/>
    <w:rsid w:val="63332842"/>
    <w:rsid w:val="633A0AC0"/>
    <w:rsid w:val="63514A76"/>
    <w:rsid w:val="63534C92"/>
    <w:rsid w:val="635F3637"/>
    <w:rsid w:val="636649C5"/>
    <w:rsid w:val="636C18B0"/>
    <w:rsid w:val="636C7B02"/>
    <w:rsid w:val="63704C1B"/>
    <w:rsid w:val="6381535B"/>
    <w:rsid w:val="638E5CCA"/>
    <w:rsid w:val="6393508F"/>
    <w:rsid w:val="639D7CBB"/>
    <w:rsid w:val="63A159FD"/>
    <w:rsid w:val="63A63014"/>
    <w:rsid w:val="63B84AF5"/>
    <w:rsid w:val="63B84F56"/>
    <w:rsid w:val="63BB037F"/>
    <w:rsid w:val="63CB4828"/>
    <w:rsid w:val="63D95197"/>
    <w:rsid w:val="63E47698"/>
    <w:rsid w:val="63E61662"/>
    <w:rsid w:val="63E63410"/>
    <w:rsid w:val="63EA18D6"/>
    <w:rsid w:val="63ED139D"/>
    <w:rsid w:val="63F57AF7"/>
    <w:rsid w:val="64102818"/>
    <w:rsid w:val="641C6E32"/>
    <w:rsid w:val="641E605D"/>
    <w:rsid w:val="641F6922"/>
    <w:rsid w:val="641F7451"/>
    <w:rsid w:val="64234664"/>
    <w:rsid w:val="64346872"/>
    <w:rsid w:val="64485E79"/>
    <w:rsid w:val="64520AA6"/>
    <w:rsid w:val="64557A48"/>
    <w:rsid w:val="645A795A"/>
    <w:rsid w:val="645E38EF"/>
    <w:rsid w:val="64632CB3"/>
    <w:rsid w:val="64721148"/>
    <w:rsid w:val="64754794"/>
    <w:rsid w:val="647E6E92"/>
    <w:rsid w:val="64813139"/>
    <w:rsid w:val="649410BE"/>
    <w:rsid w:val="64A05CB5"/>
    <w:rsid w:val="64AC28AC"/>
    <w:rsid w:val="64C00105"/>
    <w:rsid w:val="64C179D9"/>
    <w:rsid w:val="64C574CA"/>
    <w:rsid w:val="64EA33D4"/>
    <w:rsid w:val="64F41B5D"/>
    <w:rsid w:val="64FB2EEB"/>
    <w:rsid w:val="6502071E"/>
    <w:rsid w:val="650A75D2"/>
    <w:rsid w:val="65173CEC"/>
    <w:rsid w:val="652266CA"/>
    <w:rsid w:val="65401246"/>
    <w:rsid w:val="65404DA2"/>
    <w:rsid w:val="654F3237"/>
    <w:rsid w:val="655434D9"/>
    <w:rsid w:val="65571836"/>
    <w:rsid w:val="6562740E"/>
    <w:rsid w:val="65652A5B"/>
    <w:rsid w:val="656C3DE9"/>
    <w:rsid w:val="656E7B61"/>
    <w:rsid w:val="65736F26"/>
    <w:rsid w:val="6578278E"/>
    <w:rsid w:val="658C0849"/>
    <w:rsid w:val="65A11CE5"/>
    <w:rsid w:val="65A672FB"/>
    <w:rsid w:val="65C415C7"/>
    <w:rsid w:val="65C77271"/>
    <w:rsid w:val="65D11E9E"/>
    <w:rsid w:val="65D8322D"/>
    <w:rsid w:val="65DA6FA5"/>
    <w:rsid w:val="65DF45BB"/>
    <w:rsid w:val="65E41BD1"/>
    <w:rsid w:val="65E54EB0"/>
    <w:rsid w:val="65E64613"/>
    <w:rsid w:val="65E73470"/>
    <w:rsid w:val="65F22540"/>
    <w:rsid w:val="65FA7647"/>
    <w:rsid w:val="65FB5BC0"/>
    <w:rsid w:val="660D1128"/>
    <w:rsid w:val="661204ED"/>
    <w:rsid w:val="6613005E"/>
    <w:rsid w:val="661E1587"/>
    <w:rsid w:val="66320B8F"/>
    <w:rsid w:val="663E10C6"/>
    <w:rsid w:val="6645639C"/>
    <w:rsid w:val="664803B2"/>
    <w:rsid w:val="665E1984"/>
    <w:rsid w:val="66652D12"/>
    <w:rsid w:val="666552E6"/>
    <w:rsid w:val="66682803"/>
    <w:rsid w:val="666B22F3"/>
    <w:rsid w:val="666F3B91"/>
    <w:rsid w:val="66742F55"/>
    <w:rsid w:val="667B2536"/>
    <w:rsid w:val="667C4500"/>
    <w:rsid w:val="668B7395"/>
    <w:rsid w:val="66A3383B"/>
    <w:rsid w:val="66A86C9C"/>
    <w:rsid w:val="66C57C55"/>
    <w:rsid w:val="66CB4B3F"/>
    <w:rsid w:val="66CD08B8"/>
    <w:rsid w:val="66DE0D17"/>
    <w:rsid w:val="66E8749F"/>
    <w:rsid w:val="66E96BA7"/>
    <w:rsid w:val="66ED2D08"/>
    <w:rsid w:val="66F66060"/>
    <w:rsid w:val="66F92E6D"/>
    <w:rsid w:val="670047E9"/>
    <w:rsid w:val="670C696D"/>
    <w:rsid w:val="670D5158"/>
    <w:rsid w:val="67112E9A"/>
    <w:rsid w:val="67144738"/>
    <w:rsid w:val="67277FC8"/>
    <w:rsid w:val="67380B86"/>
    <w:rsid w:val="673821D5"/>
    <w:rsid w:val="673830B3"/>
    <w:rsid w:val="6740552D"/>
    <w:rsid w:val="67564D51"/>
    <w:rsid w:val="675C175D"/>
    <w:rsid w:val="676254A4"/>
    <w:rsid w:val="677A27ED"/>
    <w:rsid w:val="67825B46"/>
    <w:rsid w:val="678278F4"/>
    <w:rsid w:val="67871CA1"/>
    <w:rsid w:val="67927140"/>
    <w:rsid w:val="67980EC5"/>
    <w:rsid w:val="679A69EC"/>
    <w:rsid w:val="679B09B6"/>
    <w:rsid w:val="67A07D7A"/>
    <w:rsid w:val="67A413D4"/>
    <w:rsid w:val="67A4786A"/>
    <w:rsid w:val="67AB0BF9"/>
    <w:rsid w:val="67B37AAD"/>
    <w:rsid w:val="67B945ED"/>
    <w:rsid w:val="67BC2E06"/>
    <w:rsid w:val="67C223E6"/>
    <w:rsid w:val="67C87352"/>
    <w:rsid w:val="67C972D1"/>
    <w:rsid w:val="67CC6DC1"/>
    <w:rsid w:val="67CD5453"/>
    <w:rsid w:val="67CE48E7"/>
    <w:rsid w:val="67D6379C"/>
    <w:rsid w:val="67DB2C51"/>
    <w:rsid w:val="67DF6BD7"/>
    <w:rsid w:val="67ED7463"/>
    <w:rsid w:val="68096B78"/>
    <w:rsid w:val="680D3662"/>
    <w:rsid w:val="680E73DA"/>
    <w:rsid w:val="68103152"/>
    <w:rsid w:val="681C38A5"/>
    <w:rsid w:val="68210976"/>
    <w:rsid w:val="68232E85"/>
    <w:rsid w:val="684921C0"/>
    <w:rsid w:val="684D3A5E"/>
    <w:rsid w:val="68562B5B"/>
    <w:rsid w:val="68580655"/>
    <w:rsid w:val="68582130"/>
    <w:rsid w:val="685A261F"/>
    <w:rsid w:val="686314D3"/>
    <w:rsid w:val="686B311E"/>
    <w:rsid w:val="68701E42"/>
    <w:rsid w:val="68730545"/>
    <w:rsid w:val="68757459"/>
    <w:rsid w:val="68784853"/>
    <w:rsid w:val="68802085"/>
    <w:rsid w:val="688651C2"/>
    <w:rsid w:val="68882CE8"/>
    <w:rsid w:val="68993147"/>
    <w:rsid w:val="689E521E"/>
    <w:rsid w:val="689F0032"/>
    <w:rsid w:val="68A85138"/>
    <w:rsid w:val="68AB69D7"/>
    <w:rsid w:val="68B735CD"/>
    <w:rsid w:val="68CC52CB"/>
    <w:rsid w:val="68CF6B69"/>
    <w:rsid w:val="68DB72BC"/>
    <w:rsid w:val="68E02B24"/>
    <w:rsid w:val="68E1064A"/>
    <w:rsid w:val="68E65C61"/>
    <w:rsid w:val="68EB0D11"/>
    <w:rsid w:val="68EB3277"/>
    <w:rsid w:val="68ED3493"/>
    <w:rsid w:val="68F55EA4"/>
    <w:rsid w:val="69054339"/>
    <w:rsid w:val="690600B1"/>
    <w:rsid w:val="690E58E3"/>
    <w:rsid w:val="690F3409"/>
    <w:rsid w:val="691B1DAE"/>
    <w:rsid w:val="691C78D4"/>
    <w:rsid w:val="691F2E8A"/>
    <w:rsid w:val="69270753"/>
    <w:rsid w:val="692D388F"/>
    <w:rsid w:val="692D497F"/>
    <w:rsid w:val="694330B3"/>
    <w:rsid w:val="6949691B"/>
    <w:rsid w:val="695232F6"/>
    <w:rsid w:val="6954706E"/>
    <w:rsid w:val="6958090C"/>
    <w:rsid w:val="695A0B28"/>
    <w:rsid w:val="696A6892"/>
    <w:rsid w:val="696C260A"/>
    <w:rsid w:val="69796AD5"/>
    <w:rsid w:val="69821E2D"/>
    <w:rsid w:val="6985191D"/>
    <w:rsid w:val="698F62F8"/>
    <w:rsid w:val="69992CD3"/>
    <w:rsid w:val="69A27DD9"/>
    <w:rsid w:val="69A578CA"/>
    <w:rsid w:val="69BA15C7"/>
    <w:rsid w:val="69BB0E9B"/>
    <w:rsid w:val="69C33E4E"/>
    <w:rsid w:val="69D81A4D"/>
    <w:rsid w:val="69E06B54"/>
    <w:rsid w:val="69FB573C"/>
    <w:rsid w:val="6A022F6E"/>
    <w:rsid w:val="6A070584"/>
    <w:rsid w:val="6A0720EC"/>
    <w:rsid w:val="6A10568B"/>
    <w:rsid w:val="6A132A85"/>
    <w:rsid w:val="6A164324"/>
    <w:rsid w:val="6A244106"/>
    <w:rsid w:val="6A246A40"/>
    <w:rsid w:val="6A3053E5"/>
    <w:rsid w:val="6A3550F2"/>
    <w:rsid w:val="6A3C022E"/>
    <w:rsid w:val="6A582B8E"/>
    <w:rsid w:val="6A5A6906"/>
    <w:rsid w:val="6A5C267E"/>
    <w:rsid w:val="6A6432E1"/>
    <w:rsid w:val="6A647785"/>
    <w:rsid w:val="6A681023"/>
    <w:rsid w:val="6A6E5F0E"/>
    <w:rsid w:val="6A835E5D"/>
    <w:rsid w:val="6A941E18"/>
    <w:rsid w:val="6A99612A"/>
    <w:rsid w:val="6A9A4F55"/>
    <w:rsid w:val="6AA134E3"/>
    <w:rsid w:val="6AAA1AFA"/>
    <w:rsid w:val="6AB778B5"/>
    <w:rsid w:val="6ABA73A5"/>
    <w:rsid w:val="6ACA6640"/>
    <w:rsid w:val="6ACB3360"/>
    <w:rsid w:val="6AD00976"/>
    <w:rsid w:val="6AD379C8"/>
    <w:rsid w:val="6AD42215"/>
    <w:rsid w:val="6ADC37BF"/>
    <w:rsid w:val="6AE54422"/>
    <w:rsid w:val="6AEF34F2"/>
    <w:rsid w:val="6AF6662F"/>
    <w:rsid w:val="6AFA04F5"/>
    <w:rsid w:val="6B07083C"/>
    <w:rsid w:val="6B0F5943"/>
    <w:rsid w:val="6B106FC5"/>
    <w:rsid w:val="6B107358"/>
    <w:rsid w:val="6B122D3D"/>
    <w:rsid w:val="6B2A62D8"/>
    <w:rsid w:val="6B2D7B77"/>
    <w:rsid w:val="6B2F5A5F"/>
    <w:rsid w:val="6B301415"/>
    <w:rsid w:val="6B317667"/>
    <w:rsid w:val="6B340F05"/>
    <w:rsid w:val="6B3B6738"/>
    <w:rsid w:val="6B3E1D84"/>
    <w:rsid w:val="6B3F724F"/>
    <w:rsid w:val="6B403D4E"/>
    <w:rsid w:val="6B4355EC"/>
    <w:rsid w:val="6B513865"/>
    <w:rsid w:val="6B533C17"/>
    <w:rsid w:val="6B5D5C8E"/>
    <w:rsid w:val="6B6317EA"/>
    <w:rsid w:val="6B6A0DCB"/>
    <w:rsid w:val="6B6D4417"/>
    <w:rsid w:val="6B7B4D86"/>
    <w:rsid w:val="6B833C3B"/>
    <w:rsid w:val="6B96571C"/>
    <w:rsid w:val="6B994A5D"/>
    <w:rsid w:val="6BA02A3F"/>
    <w:rsid w:val="6BA50055"/>
    <w:rsid w:val="6BB40298"/>
    <w:rsid w:val="6BD821D8"/>
    <w:rsid w:val="6BDB75D3"/>
    <w:rsid w:val="6BE20961"/>
    <w:rsid w:val="6BE446D9"/>
    <w:rsid w:val="6BF07522"/>
    <w:rsid w:val="6BF32B6E"/>
    <w:rsid w:val="6BF46AF8"/>
    <w:rsid w:val="6BF80185"/>
    <w:rsid w:val="6C027255"/>
    <w:rsid w:val="6C0703C8"/>
    <w:rsid w:val="6C0A7EB8"/>
    <w:rsid w:val="6C0B610A"/>
    <w:rsid w:val="6C0C59DE"/>
    <w:rsid w:val="6C1256EA"/>
    <w:rsid w:val="6C152AE5"/>
    <w:rsid w:val="6C1A459F"/>
    <w:rsid w:val="6C1A634D"/>
    <w:rsid w:val="6C21592D"/>
    <w:rsid w:val="6C223454"/>
    <w:rsid w:val="6C295737"/>
    <w:rsid w:val="6C44161C"/>
    <w:rsid w:val="6C4909E0"/>
    <w:rsid w:val="6C4E4249"/>
    <w:rsid w:val="6C580C23"/>
    <w:rsid w:val="6C5B6D25"/>
    <w:rsid w:val="6C5C0714"/>
    <w:rsid w:val="6C6B0957"/>
    <w:rsid w:val="6C6B7EC9"/>
    <w:rsid w:val="6C702411"/>
    <w:rsid w:val="6C7F08A6"/>
    <w:rsid w:val="6C830396"/>
    <w:rsid w:val="6C8B724B"/>
    <w:rsid w:val="6C975BF0"/>
    <w:rsid w:val="6CC85DA9"/>
    <w:rsid w:val="6CCB7647"/>
    <w:rsid w:val="6CD504C6"/>
    <w:rsid w:val="6CDE737B"/>
    <w:rsid w:val="6CE10C19"/>
    <w:rsid w:val="6CE150BD"/>
    <w:rsid w:val="6CE54BAD"/>
    <w:rsid w:val="6CEF77DA"/>
    <w:rsid w:val="6CF070AE"/>
    <w:rsid w:val="6CF46B9E"/>
    <w:rsid w:val="6CFE7A1D"/>
    <w:rsid w:val="6CFF5543"/>
    <w:rsid w:val="6D125276"/>
    <w:rsid w:val="6D1C60F5"/>
    <w:rsid w:val="6D1C7EA3"/>
    <w:rsid w:val="6D1F7993"/>
    <w:rsid w:val="6D2D3E5E"/>
    <w:rsid w:val="6D350F65"/>
    <w:rsid w:val="6D366B80"/>
    <w:rsid w:val="6D4C4C2C"/>
    <w:rsid w:val="6D561607"/>
    <w:rsid w:val="6D57712D"/>
    <w:rsid w:val="6D673814"/>
    <w:rsid w:val="6D7221B9"/>
    <w:rsid w:val="6D741A8D"/>
    <w:rsid w:val="6D761CA9"/>
    <w:rsid w:val="6D785A21"/>
    <w:rsid w:val="6D8223FC"/>
    <w:rsid w:val="6D8819DC"/>
    <w:rsid w:val="6D8B6DD7"/>
    <w:rsid w:val="6D8C5028"/>
    <w:rsid w:val="6D934609"/>
    <w:rsid w:val="6D9B34BE"/>
    <w:rsid w:val="6D9B526C"/>
    <w:rsid w:val="6D9D7236"/>
    <w:rsid w:val="6DAC1227"/>
    <w:rsid w:val="6DAC57EC"/>
    <w:rsid w:val="6DAF0D17"/>
    <w:rsid w:val="6DBF657D"/>
    <w:rsid w:val="6DC04CD2"/>
    <w:rsid w:val="6DCE2F61"/>
    <w:rsid w:val="6DDD3AD6"/>
    <w:rsid w:val="6DF130DE"/>
    <w:rsid w:val="6DF95F1D"/>
    <w:rsid w:val="6E001573"/>
    <w:rsid w:val="6E096679"/>
    <w:rsid w:val="6E0C63EB"/>
    <w:rsid w:val="6E2434B3"/>
    <w:rsid w:val="6E292877"/>
    <w:rsid w:val="6E2A65EF"/>
    <w:rsid w:val="6E4476B1"/>
    <w:rsid w:val="6E494CC8"/>
    <w:rsid w:val="6E4B4EE4"/>
    <w:rsid w:val="6E4D33EC"/>
    <w:rsid w:val="6E5F273D"/>
    <w:rsid w:val="6E6164B5"/>
    <w:rsid w:val="6E661D1D"/>
    <w:rsid w:val="6E680F69"/>
    <w:rsid w:val="6E6C4E5A"/>
    <w:rsid w:val="6E7A7577"/>
    <w:rsid w:val="6E8D72AA"/>
    <w:rsid w:val="6E971ED7"/>
    <w:rsid w:val="6E9D3265"/>
    <w:rsid w:val="6E9E14B7"/>
    <w:rsid w:val="6EAE7733"/>
    <w:rsid w:val="6EB04D47"/>
    <w:rsid w:val="6EB365E5"/>
    <w:rsid w:val="6EB8009F"/>
    <w:rsid w:val="6EBD7FFE"/>
    <w:rsid w:val="6EC13E25"/>
    <w:rsid w:val="6EC6456A"/>
    <w:rsid w:val="6ECC76A7"/>
    <w:rsid w:val="6EDE34F4"/>
    <w:rsid w:val="6EFE3D04"/>
    <w:rsid w:val="6F011A46"/>
    <w:rsid w:val="6F1837EE"/>
    <w:rsid w:val="6F2A4AF9"/>
    <w:rsid w:val="6F347726"/>
    <w:rsid w:val="6F3E2352"/>
    <w:rsid w:val="6F4A3F3C"/>
    <w:rsid w:val="6F55769C"/>
    <w:rsid w:val="6F573414"/>
    <w:rsid w:val="6F5D6566"/>
    <w:rsid w:val="6F6B5112"/>
    <w:rsid w:val="6F77738D"/>
    <w:rsid w:val="6F914B78"/>
    <w:rsid w:val="6FA26D85"/>
    <w:rsid w:val="6FA36659"/>
    <w:rsid w:val="6FB645DF"/>
    <w:rsid w:val="6FBB39A3"/>
    <w:rsid w:val="6FC30AAA"/>
    <w:rsid w:val="6FC50CC6"/>
    <w:rsid w:val="6FC62348"/>
    <w:rsid w:val="6FCA2B56"/>
    <w:rsid w:val="6FD45398"/>
    <w:rsid w:val="6FD809F9"/>
    <w:rsid w:val="6FDB4045"/>
    <w:rsid w:val="6FDC1B6B"/>
    <w:rsid w:val="6FE54EC4"/>
    <w:rsid w:val="6FE86762"/>
    <w:rsid w:val="700C41FF"/>
    <w:rsid w:val="700E61C9"/>
    <w:rsid w:val="700F0193"/>
    <w:rsid w:val="701B2694"/>
    <w:rsid w:val="701D465E"/>
    <w:rsid w:val="702E686B"/>
    <w:rsid w:val="703B2D36"/>
    <w:rsid w:val="70447E3C"/>
    <w:rsid w:val="70495453"/>
    <w:rsid w:val="704C6CF1"/>
    <w:rsid w:val="704F0094"/>
    <w:rsid w:val="705A531C"/>
    <w:rsid w:val="70756248"/>
    <w:rsid w:val="70862203"/>
    <w:rsid w:val="708741CD"/>
    <w:rsid w:val="7089584F"/>
    <w:rsid w:val="708B5A6B"/>
    <w:rsid w:val="708B7819"/>
    <w:rsid w:val="70910BA8"/>
    <w:rsid w:val="70912956"/>
    <w:rsid w:val="70950698"/>
    <w:rsid w:val="70981F36"/>
    <w:rsid w:val="709D754D"/>
    <w:rsid w:val="70A66401"/>
    <w:rsid w:val="70B2124A"/>
    <w:rsid w:val="70B7060E"/>
    <w:rsid w:val="70BF5715"/>
    <w:rsid w:val="70C1148D"/>
    <w:rsid w:val="70C46FA0"/>
    <w:rsid w:val="70C60851"/>
    <w:rsid w:val="70DA42FD"/>
    <w:rsid w:val="70E1568B"/>
    <w:rsid w:val="70E433CD"/>
    <w:rsid w:val="70E55816"/>
    <w:rsid w:val="70ED4030"/>
    <w:rsid w:val="70F52EE5"/>
    <w:rsid w:val="70FA6D60"/>
    <w:rsid w:val="70FB6A8F"/>
    <w:rsid w:val="71015D2D"/>
    <w:rsid w:val="711C2B67"/>
    <w:rsid w:val="711E68DF"/>
    <w:rsid w:val="711F4406"/>
    <w:rsid w:val="71397275"/>
    <w:rsid w:val="713A123F"/>
    <w:rsid w:val="714125CE"/>
    <w:rsid w:val="71461992"/>
    <w:rsid w:val="71597917"/>
    <w:rsid w:val="715C2F1C"/>
    <w:rsid w:val="71681909"/>
    <w:rsid w:val="716F16D1"/>
    <w:rsid w:val="71883D59"/>
    <w:rsid w:val="718A3708"/>
    <w:rsid w:val="71973F9C"/>
    <w:rsid w:val="71995F66"/>
    <w:rsid w:val="719A4CA2"/>
    <w:rsid w:val="71A843FB"/>
    <w:rsid w:val="71A93908"/>
    <w:rsid w:val="71AD1A11"/>
    <w:rsid w:val="71AD7C63"/>
    <w:rsid w:val="71B66B18"/>
    <w:rsid w:val="71BB5EDC"/>
    <w:rsid w:val="71C31377"/>
    <w:rsid w:val="71CB1E97"/>
    <w:rsid w:val="71CC00E9"/>
    <w:rsid w:val="71CF1988"/>
    <w:rsid w:val="71CF3736"/>
    <w:rsid w:val="71D15700"/>
    <w:rsid w:val="71D90A58"/>
    <w:rsid w:val="71DB657E"/>
    <w:rsid w:val="71E74047"/>
    <w:rsid w:val="71F47640"/>
    <w:rsid w:val="71F96A05"/>
    <w:rsid w:val="71FE226D"/>
    <w:rsid w:val="72023B0B"/>
    <w:rsid w:val="7205398F"/>
    <w:rsid w:val="72086C48"/>
    <w:rsid w:val="720979F9"/>
    <w:rsid w:val="72111FA0"/>
    <w:rsid w:val="721F53BF"/>
    <w:rsid w:val="722A12B4"/>
    <w:rsid w:val="722F5F3C"/>
    <w:rsid w:val="723652CB"/>
    <w:rsid w:val="72367C59"/>
    <w:rsid w:val="723B526F"/>
    <w:rsid w:val="723E2669"/>
    <w:rsid w:val="723F6B0D"/>
    <w:rsid w:val="724539F8"/>
    <w:rsid w:val="72457E9C"/>
    <w:rsid w:val="724A54B2"/>
    <w:rsid w:val="725B76BF"/>
    <w:rsid w:val="725D6F93"/>
    <w:rsid w:val="726227FC"/>
    <w:rsid w:val="72712A3F"/>
    <w:rsid w:val="727644F9"/>
    <w:rsid w:val="727D5888"/>
    <w:rsid w:val="72842772"/>
    <w:rsid w:val="72907369"/>
    <w:rsid w:val="729F75AC"/>
    <w:rsid w:val="72A44BC2"/>
    <w:rsid w:val="72A526E9"/>
    <w:rsid w:val="72AA7CFF"/>
    <w:rsid w:val="72B03567"/>
    <w:rsid w:val="72B5153D"/>
    <w:rsid w:val="72BC63B0"/>
    <w:rsid w:val="72BD3ED6"/>
    <w:rsid w:val="72C62D8B"/>
    <w:rsid w:val="72D54D7C"/>
    <w:rsid w:val="72E27499"/>
    <w:rsid w:val="72F4561A"/>
    <w:rsid w:val="730B2E93"/>
    <w:rsid w:val="73125FD0"/>
    <w:rsid w:val="731878DB"/>
    <w:rsid w:val="73320420"/>
    <w:rsid w:val="73337CF4"/>
    <w:rsid w:val="7349576A"/>
    <w:rsid w:val="73520AC2"/>
    <w:rsid w:val="73644352"/>
    <w:rsid w:val="736600CA"/>
    <w:rsid w:val="7366631C"/>
    <w:rsid w:val="73691968"/>
    <w:rsid w:val="736C43E3"/>
    <w:rsid w:val="73724CC1"/>
    <w:rsid w:val="73740A39"/>
    <w:rsid w:val="737A5923"/>
    <w:rsid w:val="7386076C"/>
    <w:rsid w:val="738B7B30"/>
    <w:rsid w:val="73903399"/>
    <w:rsid w:val="7399224D"/>
    <w:rsid w:val="73A66718"/>
    <w:rsid w:val="73AF1A71"/>
    <w:rsid w:val="73B76B77"/>
    <w:rsid w:val="73BC5AD9"/>
    <w:rsid w:val="73D72D76"/>
    <w:rsid w:val="73D834C2"/>
    <w:rsid w:val="73D85E91"/>
    <w:rsid w:val="73E3796C"/>
    <w:rsid w:val="73F05BE5"/>
    <w:rsid w:val="73F12089"/>
    <w:rsid w:val="73F6144E"/>
    <w:rsid w:val="73F751C6"/>
    <w:rsid w:val="73F97190"/>
    <w:rsid w:val="740C0C71"/>
    <w:rsid w:val="741B2C62"/>
    <w:rsid w:val="741B7106"/>
    <w:rsid w:val="74251D33"/>
    <w:rsid w:val="742C1313"/>
    <w:rsid w:val="742F0E63"/>
    <w:rsid w:val="742F4960"/>
    <w:rsid w:val="74367A9C"/>
    <w:rsid w:val="74393A30"/>
    <w:rsid w:val="743B1556"/>
    <w:rsid w:val="743E4BA3"/>
    <w:rsid w:val="7440091B"/>
    <w:rsid w:val="74485A21"/>
    <w:rsid w:val="744918F6"/>
    <w:rsid w:val="744A79EB"/>
    <w:rsid w:val="744D4DE6"/>
    <w:rsid w:val="7453751A"/>
    <w:rsid w:val="745C758A"/>
    <w:rsid w:val="74626AE3"/>
    <w:rsid w:val="7463285B"/>
    <w:rsid w:val="746453A7"/>
    <w:rsid w:val="74732A9E"/>
    <w:rsid w:val="74847FAA"/>
    <w:rsid w:val="7499002B"/>
    <w:rsid w:val="7499627D"/>
    <w:rsid w:val="749F1AE5"/>
    <w:rsid w:val="74B35591"/>
    <w:rsid w:val="74BA691F"/>
    <w:rsid w:val="74BB4445"/>
    <w:rsid w:val="74BE4571"/>
    <w:rsid w:val="74C57072"/>
    <w:rsid w:val="74CC659F"/>
    <w:rsid w:val="74D30C9A"/>
    <w:rsid w:val="74D6127F"/>
    <w:rsid w:val="74DD260E"/>
    <w:rsid w:val="74F141CA"/>
    <w:rsid w:val="74FD27C7"/>
    <w:rsid w:val="750951B1"/>
    <w:rsid w:val="7516167C"/>
    <w:rsid w:val="751B4DE5"/>
    <w:rsid w:val="751F49D4"/>
    <w:rsid w:val="7524023C"/>
    <w:rsid w:val="752B15CB"/>
    <w:rsid w:val="752C0E9F"/>
    <w:rsid w:val="752E4C17"/>
    <w:rsid w:val="75306BE1"/>
    <w:rsid w:val="75363ACC"/>
    <w:rsid w:val="75371D9F"/>
    <w:rsid w:val="755C79D6"/>
    <w:rsid w:val="75625F0A"/>
    <w:rsid w:val="756920F3"/>
    <w:rsid w:val="756D3991"/>
    <w:rsid w:val="757A4300"/>
    <w:rsid w:val="757C1E26"/>
    <w:rsid w:val="758B02BC"/>
    <w:rsid w:val="759012A6"/>
    <w:rsid w:val="759233F8"/>
    <w:rsid w:val="75A4312B"/>
    <w:rsid w:val="75B0387E"/>
    <w:rsid w:val="75B82733"/>
    <w:rsid w:val="75BF1D13"/>
    <w:rsid w:val="75C80BC8"/>
    <w:rsid w:val="75D237F5"/>
    <w:rsid w:val="75D43A11"/>
    <w:rsid w:val="75DB4D9F"/>
    <w:rsid w:val="75F23E97"/>
    <w:rsid w:val="76013066"/>
    <w:rsid w:val="76013836"/>
    <w:rsid w:val="76036776"/>
    <w:rsid w:val="76037E52"/>
    <w:rsid w:val="76067942"/>
    <w:rsid w:val="760D0CD1"/>
    <w:rsid w:val="761107C1"/>
    <w:rsid w:val="76143E0D"/>
    <w:rsid w:val="761B33ED"/>
    <w:rsid w:val="762322A2"/>
    <w:rsid w:val="76391AC6"/>
    <w:rsid w:val="76402E54"/>
    <w:rsid w:val="764566BC"/>
    <w:rsid w:val="764D1C01"/>
    <w:rsid w:val="76746FA2"/>
    <w:rsid w:val="767F6B9B"/>
    <w:rsid w:val="76854D0B"/>
    <w:rsid w:val="769907B6"/>
    <w:rsid w:val="76A21419"/>
    <w:rsid w:val="76AB7859"/>
    <w:rsid w:val="76B4739E"/>
    <w:rsid w:val="76BE1FCB"/>
    <w:rsid w:val="76C92E49"/>
    <w:rsid w:val="76CA0970"/>
    <w:rsid w:val="76DB2B7D"/>
    <w:rsid w:val="76EF6628"/>
    <w:rsid w:val="76F37EC6"/>
    <w:rsid w:val="76FA79E7"/>
    <w:rsid w:val="76FB11AB"/>
    <w:rsid w:val="76FB4FCD"/>
    <w:rsid w:val="770420D4"/>
    <w:rsid w:val="771147F0"/>
    <w:rsid w:val="77204A34"/>
    <w:rsid w:val="772067E2"/>
    <w:rsid w:val="772207AC"/>
    <w:rsid w:val="77242776"/>
    <w:rsid w:val="77275DC2"/>
    <w:rsid w:val="772A140E"/>
    <w:rsid w:val="773D7394"/>
    <w:rsid w:val="77400CB2"/>
    <w:rsid w:val="77401EC1"/>
    <w:rsid w:val="774536CC"/>
    <w:rsid w:val="77505319"/>
    <w:rsid w:val="77530965"/>
    <w:rsid w:val="77535EA9"/>
    <w:rsid w:val="775766A7"/>
    <w:rsid w:val="77731007"/>
    <w:rsid w:val="777A2396"/>
    <w:rsid w:val="77814BC8"/>
    <w:rsid w:val="77822FF8"/>
    <w:rsid w:val="778D031B"/>
    <w:rsid w:val="778D20C9"/>
    <w:rsid w:val="779571D0"/>
    <w:rsid w:val="779D7E32"/>
    <w:rsid w:val="77A40E96"/>
    <w:rsid w:val="77AD4519"/>
    <w:rsid w:val="77B238DE"/>
    <w:rsid w:val="77C35AEB"/>
    <w:rsid w:val="77C81353"/>
    <w:rsid w:val="77E43CB3"/>
    <w:rsid w:val="77EB5041"/>
    <w:rsid w:val="77F24622"/>
    <w:rsid w:val="77F57C6E"/>
    <w:rsid w:val="77F73860"/>
    <w:rsid w:val="78001FB4"/>
    <w:rsid w:val="78003EBC"/>
    <w:rsid w:val="780126CE"/>
    <w:rsid w:val="7808174F"/>
    <w:rsid w:val="780879A1"/>
    <w:rsid w:val="780954C8"/>
    <w:rsid w:val="78153E6C"/>
    <w:rsid w:val="781C344D"/>
    <w:rsid w:val="781F4CEB"/>
    <w:rsid w:val="78252301"/>
    <w:rsid w:val="78281DF2"/>
    <w:rsid w:val="782A5B6A"/>
    <w:rsid w:val="7831493E"/>
    <w:rsid w:val="784D7AAA"/>
    <w:rsid w:val="78564BB1"/>
    <w:rsid w:val="78623556"/>
    <w:rsid w:val="786848E4"/>
    <w:rsid w:val="786A240A"/>
    <w:rsid w:val="787212BF"/>
    <w:rsid w:val="78760DAF"/>
    <w:rsid w:val="788D60F9"/>
    <w:rsid w:val="789B0816"/>
    <w:rsid w:val="78AA2807"/>
    <w:rsid w:val="78AD4288"/>
    <w:rsid w:val="78AF2513"/>
    <w:rsid w:val="78B11DE7"/>
    <w:rsid w:val="78B6564F"/>
    <w:rsid w:val="78C22246"/>
    <w:rsid w:val="78CA23D8"/>
    <w:rsid w:val="78CA2EA9"/>
    <w:rsid w:val="78CF226D"/>
    <w:rsid w:val="78D37FAF"/>
    <w:rsid w:val="78D41F79"/>
    <w:rsid w:val="78DE0702"/>
    <w:rsid w:val="78E26444"/>
    <w:rsid w:val="78EA52F9"/>
    <w:rsid w:val="78EC2E1F"/>
    <w:rsid w:val="78F41CD4"/>
    <w:rsid w:val="78FB3062"/>
    <w:rsid w:val="78FE2B52"/>
    <w:rsid w:val="79091C23"/>
    <w:rsid w:val="790F4D60"/>
    <w:rsid w:val="791B4FCD"/>
    <w:rsid w:val="7927654D"/>
    <w:rsid w:val="792A1B99"/>
    <w:rsid w:val="792E3438"/>
    <w:rsid w:val="79352A18"/>
    <w:rsid w:val="793B59A2"/>
    <w:rsid w:val="793F73F3"/>
    <w:rsid w:val="79426EE3"/>
    <w:rsid w:val="794762A8"/>
    <w:rsid w:val="79492020"/>
    <w:rsid w:val="795D3D1D"/>
    <w:rsid w:val="79694470"/>
    <w:rsid w:val="796B01E8"/>
    <w:rsid w:val="797057FE"/>
    <w:rsid w:val="79732DE9"/>
    <w:rsid w:val="797352EE"/>
    <w:rsid w:val="79751067"/>
    <w:rsid w:val="79752E15"/>
    <w:rsid w:val="797A042B"/>
    <w:rsid w:val="798968C0"/>
    <w:rsid w:val="798D4602"/>
    <w:rsid w:val="79905EA0"/>
    <w:rsid w:val="79927E6B"/>
    <w:rsid w:val="79975481"/>
    <w:rsid w:val="799D45FD"/>
    <w:rsid w:val="79A27982"/>
    <w:rsid w:val="79A404AD"/>
    <w:rsid w:val="79AB2CDA"/>
    <w:rsid w:val="79B7167F"/>
    <w:rsid w:val="79C2533B"/>
    <w:rsid w:val="79CB17D1"/>
    <w:rsid w:val="79CB6ED9"/>
    <w:rsid w:val="79D55FA9"/>
    <w:rsid w:val="79D7587D"/>
    <w:rsid w:val="79D86A5F"/>
    <w:rsid w:val="79EE0E19"/>
    <w:rsid w:val="79FF4DD4"/>
    <w:rsid w:val="7A024D1C"/>
    <w:rsid w:val="7A070125"/>
    <w:rsid w:val="7A0C4A94"/>
    <w:rsid w:val="7A1268B5"/>
    <w:rsid w:val="7A2605B3"/>
    <w:rsid w:val="7A2860D9"/>
    <w:rsid w:val="7A2F7467"/>
    <w:rsid w:val="7A3507F6"/>
    <w:rsid w:val="7A356A48"/>
    <w:rsid w:val="7A3A405E"/>
    <w:rsid w:val="7A4F3F08"/>
    <w:rsid w:val="7A666C01"/>
    <w:rsid w:val="7A707A80"/>
    <w:rsid w:val="7A747570"/>
    <w:rsid w:val="7A770E0E"/>
    <w:rsid w:val="7A835A05"/>
    <w:rsid w:val="7A8A0B42"/>
    <w:rsid w:val="7A94376E"/>
    <w:rsid w:val="7AA80FC8"/>
    <w:rsid w:val="7AA8721A"/>
    <w:rsid w:val="7ADD3367"/>
    <w:rsid w:val="7AE2272C"/>
    <w:rsid w:val="7AE77D42"/>
    <w:rsid w:val="7AEA15E0"/>
    <w:rsid w:val="7AF4245F"/>
    <w:rsid w:val="7AF75AAB"/>
    <w:rsid w:val="7B007056"/>
    <w:rsid w:val="7B152B01"/>
    <w:rsid w:val="7B2C7E4B"/>
    <w:rsid w:val="7B2F3497"/>
    <w:rsid w:val="7B362A78"/>
    <w:rsid w:val="7B3A2568"/>
    <w:rsid w:val="7B3B008E"/>
    <w:rsid w:val="7B3D5BB4"/>
    <w:rsid w:val="7B4927AB"/>
    <w:rsid w:val="7B511F39"/>
    <w:rsid w:val="7B5D1DB2"/>
    <w:rsid w:val="7B6A2721"/>
    <w:rsid w:val="7B7315D6"/>
    <w:rsid w:val="7B780263"/>
    <w:rsid w:val="7B7A2964"/>
    <w:rsid w:val="7B8A691F"/>
    <w:rsid w:val="7B9529FC"/>
    <w:rsid w:val="7B9553D2"/>
    <w:rsid w:val="7B98103C"/>
    <w:rsid w:val="7B99300E"/>
    <w:rsid w:val="7B9D48A5"/>
    <w:rsid w:val="7BA619AB"/>
    <w:rsid w:val="7BAB0D70"/>
    <w:rsid w:val="7BAC2D3A"/>
    <w:rsid w:val="7BB87930"/>
    <w:rsid w:val="7BBF2A6D"/>
    <w:rsid w:val="7BCF57C7"/>
    <w:rsid w:val="7BD36518"/>
    <w:rsid w:val="7BE20509"/>
    <w:rsid w:val="7BE401C5"/>
    <w:rsid w:val="7C042B76"/>
    <w:rsid w:val="7C0861C2"/>
    <w:rsid w:val="7C1822AA"/>
    <w:rsid w:val="7C350F81"/>
    <w:rsid w:val="7C366302"/>
    <w:rsid w:val="7C3945CD"/>
    <w:rsid w:val="7C3B7086"/>
    <w:rsid w:val="7C442F72"/>
    <w:rsid w:val="7C460A98"/>
    <w:rsid w:val="7C596A1E"/>
    <w:rsid w:val="7C611D76"/>
    <w:rsid w:val="7C63789C"/>
    <w:rsid w:val="7C653614"/>
    <w:rsid w:val="7C66738C"/>
    <w:rsid w:val="7C694787"/>
    <w:rsid w:val="7C6E3281"/>
    <w:rsid w:val="7C6F7FEF"/>
    <w:rsid w:val="7C703D67"/>
    <w:rsid w:val="7C800F3E"/>
    <w:rsid w:val="7C8141C6"/>
    <w:rsid w:val="7C8A307B"/>
    <w:rsid w:val="7C8B0BA1"/>
    <w:rsid w:val="7C8D245C"/>
    <w:rsid w:val="7C9537CE"/>
    <w:rsid w:val="7C9712F4"/>
    <w:rsid w:val="7C9E2682"/>
    <w:rsid w:val="7CA0289E"/>
    <w:rsid w:val="7CAA1027"/>
    <w:rsid w:val="7CB00608"/>
    <w:rsid w:val="7CC85951"/>
    <w:rsid w:val="7CCD11BA"/>
    <w:rsid w:val="7CD12A58"/>
    <w:rsid w:val="7CD267D0"/>
    <w:rsid w:val="7CD75B94"/>
    <w:rsid w:val="7CDC31AB"/>
    <w:rsid w:val="7CDE33C7"/>
    <w:rsid w:val="7CDE5175"/>
    <w:rsid w:val="7CF14EA8"/>
    <w:rsid w:val="7CF46746"/>
    <w:rsid w:val="7D0A7D18"/>
    <w:rsid w:val="7D133070"/>
    <w:rsid w:val="7D16490F"/>
    <w:rsid w:val="7D1D3EEF"/>
    <w:rsid w:val="7D1F7C67"/>
    <w:rsid w:val="7D207CCC"/>
    <w:rsid w:val="7D2D1C58"/>
    <w:rsid w:val="7D2D756F"/>
    <w:rsid w:val="7D326575"/>
    <w:rsid w:val="7D354D4D"/>
    <w:rsid w:val="7D384885"/>
    <w:rsid w:val="7D39684F"/>
    <w:rsid w:val="7D3A0587"/>
    <w:rsid w:val="7D423956"/>
    <w:rsid w:val="7D4274B2"/>
    <w:rsid w:val="7D52346D"/>
    <w:rsid w:val="7D6C09D3"/>
    <w:rsid w:val="7D731D61"/>
    <w:rsid w:val="7D781125"/>
    <w:rsid w:val="7D847ACA"/>
    <w:rsid w:val="7D851A94"/>
    <w:rsid w:val="7D8C4BD1"/>
    <w:rsid w:val="7D8C6BBD"/>
    <w:rsid w:val="7DA35C21"/>
    <w:rsid w:val="7DB06B11"/>
    <w:rsid w:val="7DB1356C"/>
    <w:rsid w:val="7DBD2FDC"/>
    <w:rsid w:val="7DC12ACC"/>
    <w:rsid w:val="7DC600E3"/>
    <w:rsid w:val="7DC75C09"/>
    <w:rsid w:val="7DCA72C5"/>
    <w:rsid w:val="7DCE211B"/>
    <w:rsid w:val="7DD345AE"/>
    <w:rsid w:val="7DD520D4"/>
    <w:rsid w:val="7DD547CA"/>
    <w:rsid w:val="7DD56578"/>
    <w:rsid w:val="7DD87E16"/>
    <w:rsid w:val="7DFD5ACF"/>
    <w:rsid w:val="7E066731"/>
    <w:rsid w:val="7E1370A0"/>
    <w:rsid w:val="7E1A042F"/>
    <w:rsid w:val="7E290672"/>
    <w:rsid w:val="7E327526"/>
    <w:rsid w:val="7E3A462D"/>
    <w:rsid w:val="7E413C0D"/>
    <w:rsid w:val="7E466A7F"/>
    <w:rsid w:val="7E4F56FA"/>
    <w:rsid w:val="7E5A4CCF"/>
    <w:rsid w:val="7E5D76A5"/>
    <w:rsid w:val="7E6A3164"/>
    <w:rsid w:val="7E6B2A38"/>
    <w:rsid w:val="7E723DC7"/>
    <w:rsid w:val="7E751B09"/>
    <w:rsid w:val="7E857F9E"/>
    <w:rsid w:val="7E9755DB"/>
    <w:rsid w:val="7E9E2E0E"/>
    <w:rsid w:val="7E9E696A"/>
    <w:rsid w:val="7EA877E8"/>
    <w:rsid w:val="7EB0669D"/>
    <w:rsid w:val="7EB10D93"/>
    <w:rsid w:val="7EB459DD"/>
    <w:rsid w:val="7EB663A9"/>
    <w:rsid w:val="7EB73ECF"/>
    <w:rsid w:val="7EB77A2B"/>
    <w:rsid w:val="7ECB1729"/>
    <w:rsid w:val="7ECF746B"/>
    <w:rsid w:val="7ED23CD6"/>
    <w:rsid w:val="7EED5B43"/>
    <w:rsid w:val="7EF46ED2"/>
    <w:rsid w:val="7EF5628C"/>
    <w:rsid w:val="7F002CF6"/>
    <w:rsid w:val="7F182BC0"/>
    <w:rsid w:val="7F190573"/>
    <w:rsid w:val="7F203823"/>
    <w:rsid w:val="7F211349"/>
    <w:rsid w:val="7F364DF4"/>
    <w:rsid w:val="7F384243"/>
    <w:rsid w:val="7F3C7AC2"/>
    <w:rsid w:val="7F3D2627"/>
    <w:rsid w:val="7F4C0ABC"/>
    <w:rsid w:val="7F561BD0"/>
    <w:rsid w:val="7F6862B5"/>
    <w:rsid w:val="7F6C6A68"/>
    <w:rsid w:val="7F6F0306"/>
    <w:rsid w:val="7F736048"/>
    <w:rsid w:val="7F7973D7"/>
    <w:rsid w:val="7F7B6CAB"/>
    <w:rsid w:val="7F840255"/>
    <w:rsid w:val="7F8738A2"/>
    <w:rsid w:val="7F8E2E82"/>
    <w:rsid w:val="7F945FBF"/>
    <w:rsid w:val="7F961D37"/>
    <w:rsid w:val="7F9A1827"/>
    <w:rsid w:val="7FA06540"/>
    <w:rsid w:val="7FA36202"/>
    <w:rsid w:val="7FA51F7A"/>
    <w:rsid w:val="7FA77AA0"/>
    <w:rsid w:val="7FAD3E96"/>
    <w:rsid w:val="7FB87EFF"/>
    <w:rsid w:val="7FCA378E"/>
    <w:rsid w:val="7FCE327F"/>
    <w:rsid w:val="7FDD7966"/>
    <w:rsid w:val="7FE9630A"/>
    <w:rsid w:val="7FEB2083"/>
    <w:rsid w:val="7FF8479F"/>
    <w:rsid w:val="7FFA4074"/>
    <w:rsid w:val="7FFF0B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qFormat="1"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5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autoRedefine/>
    <w:qFormat/>
    <w:uiPriority w:val="0"/>
    <w:pPr>
      <w:spacing w:before="100" w:beforeAutospacing="1" w:after="100" w:afterAutospacing="1"/>
      <w:outlineLvl w:val="1"/>
    </w:pPr>
    <w:rPr>
      <w:rFonts w:ascii="宋体" w:hAnsi="宋体"/>
      <w:b/>
      <w:bCs/>
      <w:kern w:val="0"/>
      <w:sz w:val="36"/>
      <w:szCs w:val="36"/>
    </w:rPr>
  </w:style>
  <w:style w:type="paragraph" w:styleId="4">
    <w:name w:val="heading 3"/>
    <w:basedOn w:val="3"/>
    <w:next w:val="1"/>
    <w:autoRedefine/>
    <w:qFormat/>
    <w:uiPriority w:val="0"/>
    <w:pPr>
      <w:keepNext/>
      <w:keepLines/>
      <w:spacing w:before="260" w:after="260" w:line="415" w:lineRule="auto"/>
      <w:outlineLvl w:val="2"/>
    </w:pPr>
    <w:rPr>
      <w:sz w:val="32"/>
      <w:szCs w:val="32"/>
    </w:rPr>
  </w:style>
  <w:style w:type="paragraph" w:styleId="5">
    <w:name w:val="heading 4"/>
    <w:basedOn w:val="1"/>
    <w:next w:val="1"/>
    <w:link w:val="189"/>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1680" w:hanging="210"/>
    </w:pPr>
    <w:rPr>
      <w:rFonts w:ascii="Calibri" w:hAnsi="Calibri"/>
      <w:sz w:val="20"/>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index 5"/>
    <w:basedOn w:val="1"/>
    <w:next w:val="1"/>
    <w:autoRedefine/>
    <w:qFormat/>
    <w:uiPriority w:val="0"/>
    <w:pPr>
      <w:ind w:left="1050" w:hanging="210"/>
    </w:pPr>
    <w:rPr>
      <w:rFonts w:ascii="Calibri" w:hAnsi="Calibri"/>
      <w:sz w:val="20"/>
      <w:szCs w:val="20"/>
    </w:rPr>
  </w:style>
  <w:style w:type="paragraph" w:styleId="9">
    <w:name w:val="Document Map"/>
    <w:basedOn w:val="1"/>
    <w:link w:val="174"/>
    <w:autoRedefine/>
    <w:semiHidden/>
    <w:qFormat/>
    <w:uiPriority w:val="0"/>
    <w:pPr>
      <w:shd w:val="clear" w:color="auto" w:fill="000080"/>
    </w:pPr>
    <w:rPr>
      <w:rFonts w:asciiTheme="minorHAnsi" w:hAnsiTheme="minorHAnsi" w:eastAsiaTheme="minorEastAsia" w:cstheme="minorBidi"/>
    </w:rPr>
  </w:style>
  <w:style w:type="paragraph" w:styleId="10">
    <w:name w:val="annotation text"/>
    <w:basedOn w:val="1"/>
    <w:link w:val="171"/>
    <w:autoRedefine/>
    <w:semiHidden/>
    <w:qFormat/>
    <w:uiPriority w:val="0"/>
    <w:rPr>
      <w:rFonts w:asciiTheme="minorHAnsi" w:hAnsiTheme="minorHAnsi" w:eastAsiaTheme="minorEastAsia" w:cstheme="minorBidi"/>
    </w:rPr>
  </w:style>
  <w:style w:type="paragraph" w:styleId="11">
    <w:name w:val="index 6"/>
    <w:basedOn w:val="1"/>
    <w:next w:val="1"/>
    <w:autoRedefine/>
    <w:qFormat/>
    <w:uiPriority w:val="0"/>
    <w:pPr>
      <w:ind w:left="1260" w:hanging="210"/>
    </w:pPr>
    <w:rPr>
      <w:rFonts w:ascii="Calibri" w:hAnsi="Calibri"/>
      <w:sz w:val="20"/>
      <w:szCs w:val="20"/>
    </w:rPr>
  </w:style>
  <w:style w:type="paragraph" w:styleId="12">
    <w:name w:val="Body Text 3"/>
    <w:basedOn w:val="1"/>
    <w:link w:val="182"/>
    <w:autoRedefine/>
    <w:semiHidden/>
    <w:unhideWhenUsed/>
    <w:qFormat/>
    <w:uiPriority w:val="99"/>
    <w:pPr>
      <w:spacing w:after="120"/>
    </w:pPr>
    <w:rPr>
      <w:sz w:val="16"/>
      <w:szCs w:val="16"/>
    </w:rPr>
  </w:style>
  <w:style w:type="paragraph" w:styleId="13">
    <w:name w:val="Body Text"/>
    <w:basedOn w:val="1"/>
    <w:next w:val="14"/>
    <w:link w:val="187"/>
    <w:autoRedefine/>
    <w:semiHidden/>
    <w:unhideWhenUsed/>
    <w:qFormat/>
    <w:uiPriority w:val="99"/>
    <w:pPr>
      <w:spacing w:after="120"/>
    </w:pPr>
  </w:style>
  <w:style w:type="paragraph" w:customStyle="1" w:styleId="14">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5">
    <w:name w:val="Body Text Indent"/>
    <w:basedOn w:val="1"/>
    <w:next w:val="16"/>
    <w:autoRedefine/>
    <w:qFormat/>
    <w:uiPriority w:val="0"/>
    <w:pPr>
      <w:spacing w:after="120"/>
      <w:ind w:left="420" w:leftChars="200"/>
    </w:pPr>
  </w:style>
  <w:style w:type="paragraph" w:styleId="16">
    <w:name w:val="annotation subject"/>
    <w:basedOn w:val="10"/>
    <w:next w:val="10"/>
    <w:link w:val="179"/>
    <w:autoRedefine/>
    <w:semiHidden/>
    <w:qFormat/>
    <w:uiPriority w:val="0"/>
    <w:rPr>
      <w:b/>
      <w:bCs/>
    </w:rPr>
  </w:style>
  <w:style w:type="paragraph" w:styleId="17">
    <w:name w:val="index 4"/>
    <w:basedOn w:val="1"/>
    <w:next w:val="1"/>
    <w:autoRedefine/>
    <w:qFormat/>
    <w:uiPriority w:val="0"/>
    <w:pPr>
      <w:ind w:left="840" w:hanging="210"/>
    </w:pPr>
    <w:rPr>
      <w:rFonts w:ascii="Calibri" w:hAnsi="Calibri"/>
      <w:sz w:val="20"/>
      <w:szCs w:val="20"/>
    </w:rPr>
  </w:style>
  <w:style w:type="paragraph" w:styleId="18">
    <w:name w:val="toc 3"/>
    <w:basedOn w:val="1"/>
    <w:next w:val="1"/>
    <w:autoRedefine/>
    <w:semiHidden/>
    <w:unhideWhenUsed/>
    <w:qFormat/>
    <w:uiPriority w:val="0"/>
    <w:pPr>
      <w:ind w:left="840" w:leftChars="400"/>
    </w:pPr>
  </w:style>
  <w:style w:type="paragraph" w:styleId="19">
    <w:name w:val="Plain Text"/>
    <w:basedOn w:val="1"/>
    <w:link w:val="185"/>
    <w:autoRedefine/>
    <w:unhideWhenUsed/>
    <w:qFormat/>
    <w:uiPriority w:val="99"/>
    <w:pPr>
      <w:widowControl w:val="0"/>
      <w:spacing w:line="240" w:lineRule="auto"/>
      <w:jc w:val="both"/>
    </w:pPr>
    <w:rPr>
      <w:rFonts w:ascii="宋体" w:hAnsi="Courier New" w:cs="Courier New"/>
      <w:szCs w:val="21"/>
    </w:rPr>
  </w:style>
  <w:style w:type="paragraph" w:styleId="20">
    <w:name w:val="index 3"/>
    <w:basedOn w:val="1"/>
    <w:next w:val="1"/>
    <w:autoRedefine/>
    <w:qFormat/>
    <w:uiPriority w:val="0"/>
    <w:pPr>
      <w:ind w:left="630" w:hanging="210"/>
    </w:pPr>
    <w:rPr>
      <w:rFonts w:ascii="Calibri" w:hAnsi="Calibri"/>
      <w:sz w:val="20"/>
      <w:szCs w:val="20"/>
    </w:rPr>
  </w:style>
  <w:style w:type="paragraph" w:styleId="21">
    <w:name w:val="Date"/>
    <w:basedOn w:val="1"/>
    <w:next w:val="1"/>
    <w:link w:val="173"/>
    <w:autoRedefine/>
    <w:qFormat/>
    <w:uiPriority w:val="99"/>
    <w:pPr>
      <w:ind w:left="100" w:leftChars="2500"/>
    </w:pPr>
    <w:rPr>
      <w:rFonts w:asciiTheme="minorHAnsi" w:hAnsiTheme="minorHAnsi" w:eastAsiaTheme="minorEastAsia" w:cstheme="minorBidi"/>
    </w:rPr>
  </w:style>
  <w:style w:type="paragraph" w:styleId="22">
    <w:name w:val="Body Text Indent 2"/>
    <w:basedOn w:val="1"/>
    <w:link w:val="163"/>
    <w:autoRedefine/>
    <w:qFormat/>
    <w:uiPriority w:val="99"/>
    <w:pPr>
      <w:spacing w:after="120" w:line="480" w:lineRule="auto"/>
      <w:ind w:left="420" w:leftChars="200"/>
    </w:pPr>
    <w:rPr>
      <w:rFonts w:asciiTheme="minorHAnsi" w:hAnsiTheme="minorHAnsi" w:eastAsiaTheme="minorEastAsia" w:cstheme="minorBidi"/>
    </w:rPr>
  </w:style>
  <w:style w:type="paragraph" w:styleId="23">
    <w:name w:val="endnote text"/>
    <w:basedOn w:val="1"/>
    <w:link w:val="180"/>
    <w:autoRedefine/>
    <w:semiHidden/>
    <w:qFormat/>
    <w:uiPriority w:val="0"/>
    <w:pPr>
      <w:snapToGrid w:val="0"/>
    </w:pPr>
    <w:rPr>
      <w:rFonts w:asciiTheme="minorHAnsi" w:hAnsiTheme="minorHAnsi" w:eastAsiaTheme="minorEastAsia" w:cstheme="minorBidi"/>
    </w:rPr>
  </w:style>
  <w:style w:type="paragraph" w:styleId="24">
    <w:name w:val="Balloon Text"/>
    <w:basedOn w:val="1"/>
    <w:link w:val="149"/>
    <w:autoRedefine/>
    <w:qFormat/>
    <w:uiPriority w:val="99"/>
    <w:rPr>
      <w:rFonts w:asciiTheme="minorHAnsi" w:hAnsiTheme="minorHAnsi" w:eastAsiaTheme="minorEastAsia" w:cstheme="minorBidi"/>
      <w:sz w:val="18"/>
      <w:szCs w:val="18"/>
    </w:rPr>
  </w:style>
  <w:style w:type="paragraph" w:styleId="25">
    <w:name w:val="footer"/>
    <w:basedOn w:val="1"/>
    <w:link w:val="170"/>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6">
    <w:name w:val="header"/>
    <w:basedOn w:val="1"/>
    <w:link w:val="152"/>
    <w:autoRedefine/>
    <w:qFormat/>
    <w:uiPriority w:val="99"/>
    <w:pPr>
      <w:snapToGrid w:val="0"/>
    </w:pPr>
    <w:rPr>
      <w:rFonts w:asciiTheme="minorHAnsi" w:hAnsiTheme="minorHAnsi" w:eastAsiaTheme="minorEastAsia" w:cstheme="minorBidi"/>
      <w:sz w:val="18"/>
      <w:szCs w:val="18"/>
    </w:rPr>
  </w:style>
  <w:style w:type="paragraph" w:styleId="27">
    <w:name w:val="toc 1"/>
    <w:basedOn w:val="1"/>
    <w:next w:val="1"/>
    <w:autoRedefine/>
    <w:semiHidden/>
    <w:qFormat/>
    <w:uiPriority w:val="0"/>
    <w:pPr>
      <w:tabs>
        <w:tab w:val="right" w:leader="dot" w:pos="9242"/>
      </w:tabs>
      <w:spacing w:beforeLines="25" w:afterLines="25"/>
    </w:pPr>
    <w:rPr>
      <w:rFonts w:ascii="宋体"/>
      <w:szCs w:val="21"/>
    </w:rPr>
  </w:style>
  <w:style w:type="paragraph" w:styleId="28">
    <w:name w:val="index heading"/>
    <w:basedOn w:val="1"/>
    <w:next w:val="29"/>
    <w:autoRedefine/>
    <w:qFormat/>
    <w:uiPriority w:val="0"/>
    <w:pPr>
      <w:spacing w:before="120" w:after="120"/>
      <w:jc w:val="center"/>
    </w:pPr>
    <w:rPr>
      <w:rFonts w:ascii="Calibri" w:hAnsi="Calibri"/>
      <w:b/>
      <w:bCs/>
      <w:iCs/>
      <w:szCs w:val="20"/>
    </w:rPr>
  </w:style>
  <w:style w:type="paragraph" w:styleId="29">
    <w:name w:val="index 1"/>
    <w:basedOn w:val="1"/>
    <w:next w:val="1"/>
    <w:autoRedefine/>
    <w:unhideWhenUsed/>
    <w:qFormat/>
    <w:uiPriority w:val="0"/>
  </w:style>
  <w:style w:type="paragraph" w:styleId="30">
    <w:name w:val="footnote text"/>
    <w:basedOn w:val="1"/>
    <w:link w:val="159"/>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autoRedefine/>
    <w:qFormat/>
    <w:uiPriority w:val="0"/>
    <w:pPr>
      <w:ind w:left="1470" w:hanging="210"/>
    </w:pPr>
    <w:rPr>
      <w:rFonts w:ascii="Calibri" w:hAnsi="Calibri"/>
      <w:sz w:val="20"/>
      <w:szCs w:val="20"/>
    </w:rPr>
  </w:style>
  <w:style w:type="paragraph" w:styleId="32">
    <w:name w:val="index 9"/>
    <w:basedOn w:val="1"/>
    <w:next w:val="1"/>
    <w:autoRedefine/>
    <w:qFormat/>
    <w:uiPriority w:val="0"/>
    <w:pPr>
      <w:ind w:left="1890" w:hanging="210"/>
    </w:pPr>
    <w:rPr>
      <w:rFonts w:ascii="Calibri" w:hAnsi="Calibri"/>
      <w:sz w:val="20"/>
      <w:szCs w:val="20"/>
    </w:rPr>
  </w:style>
  <w:style w:type="paragraph" w:styleId="33">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Body Text 2"/>
    <w:basedOn w:val="1"/>
    <w:autoRedefine/>
    <w:qFormat/>
    <w:uiPriority w:val="0"/>
    <w:rPr>
      <w:bCs/>
      <w:kern w:val="0"/>
      <w:sz w:val="28"/>
      <w:szCs w:val="20"/>
    </w:rPr>
  </w:style>
  <w:style w:type="paragraph" w:styleId="35">
    <w:name w:val="HTML Preformatted"/>
    <w:basedOn w:val="1"/>
    <w:link w:val="157"/>
    <w:autoRedefine/>
    <w:qFormat/>
    <w:uiPriority w:val="0"/>
    <w:rPr>
      <w:rFonts w:ascii="Courier New" w:hAnsi="Courier New" w:cs="Courier New" w:eastAsiaTheme="minorEastAsia"/>
      <w:szCs w:val="22"/>
    </w:rPr>
  </w:style>
  <w:style w:type="paragraph" w:styleId="36">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7">
    <w:name w:val="index 2"/>
    <w:basedOn w:val="1"/>
    <w:next w:val="1"/>
    <w:autoRedefine/>
    <w:qFormat/>
    <w:uiPriority w:val="0"/>
    <w:pPr>
      <w:ind w:left="420" w:hanging="210"/>
    </w:pPr>
    <w:rPr>
      <w:rFonts w:ascii="Calibri" w:hAnsi="Calibri"/>
      <w:sz w:val="20"/>
      <w:szCs w:val="20"/>
    </w:rPr>
  </w:style>
  <w:style w:type="paragraph" w:styleId="38">
    <w:name w:val="Title"/>
    <w:basedOn w:val="1"/>
    <w:link w:val="183"/>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9">
    <w:name w:val="Body Text First Indent"/>
    <w:basedOn w:val="13"/>
    <w:autoRedefine/>
    <w:qFormat/>
    <w:uiPriority w:val="0"/>
    <w:pPr>
      <w:autoSpaceDE w:val="0"/>
      <w:autoSpaceDN w:val="0"/>
      <w:adjustRightInd w:val="0"/>
      <w:ind w:firstLine="420"/>
      <w:textAlignment w:val="baseline"/>
    </w:pPr>
    <w:rPr>
      <w:rFonts w:ascii="宋体"/>
      <w:sz w:val="34"/>
    </w:rPr>
  </w:style>
  <w:style w:type="paragraph" w:styleId="40">
    <w:name w:val="Body Text First Indent 2"/>
    <w:basedOn w:val="15"/>
    <w:next w:val="41"/>
    <w:autoRedefine/>
    <w:unhideWhenUsed/>
    <w:qFormat/>
    <w:uiPriority w:val="99"/>
    <w:pPr>
      <w:autoSpaceDE w:val="0"/>
      <w:autoSpaceDN w:val="0"/>
      <w:adjustRightInd w:val="0"/>
      <w:jc w:val="left"/>
    </w:pPr>
    <w:rPr>
      <w:kern w:val="0"/>
    </w:rPr>
  </w:style>
  <w:style w:type="paragraph" w:customStyle="1" w:styleId="41">
    <w:name w:val="正文1"/>
    <w:autoRedefine/>
    <w:qFormat/>
    <w:uiPriority w:val="0"/>
    <w:pPr>
      <w:widowControl w:val="0"/>
      <w:ind w:firstLine="540"/>
      <w:jc w:val="both"/>
    </w:pPr>
    <w:rPr>
      <w:rFonts w:ascii="Times New Roman" w:hAnsi="Times New Roman" w:eastAsia="宋体" w:cs="Times New Roman"/>
      <w:kern w:val="2"/>
      <w:sz w:val="24"/>
      <w:szCs w:val="20"/>
      <w:lang w:val="en-US" w:eastAsia="zh-CN" w:bidi="ar-SA"/>
    </w:rPr>
  </w:style>
  <w:style w:type="table" w:styleId="43">
    <w:name w:val="Table Grid"/>
    <w:basedOn w:val="4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autoRedefine/>
    <w:qFormat/>
    <w:uiPriority w:val="99"/>
    <w:rPr>
      <w:rFonts w:ascii="Times New Roman" w:hAnsi="Times New Roman" w:eastAsia="宋体"/>
      <w:sz w:val="18"/>
    </w:rPr>
  </w:style>
  <w:style w:type="character" w:styleId="47">
    <w:name w:val="FollowedHyperlink"/>
    <w:autoRedefine/>
    <w:qFormat/>
    <w:uiPriority w:val="0"/>
    <w:rPr>
      <w:color w:val="800080"/>
      <w:u w:val="single"/>
    </w:rPr>
  </w:style>
  <w:style w:type="character" w:styleId="48">
    <w:name w:val="Emphasis"/>
    <w:autoRedefine/>
    <w:qFormat/>
    <w:uiPriority w:val="20"/>
    <w:rPr>
      <w:color w:val="CC0000"/>
    </w:rPr>
  </w:style>
  <w:style w:type="character" w:styleId="49">
    <w:name w:val="Hyperlink"/>
    <w:autoRedefine/>
    <w:qFormat/>
    <w:uiPriority w:val="99"/>
    <w:rPr>
      <w:color w:val="0000FF"/>
      <w:spacing w:val="0"/>
      <w:w w:val="100"/>
      <w:szCs w:val="21"/>
      <w:u w:val="single"/>
      <w:lang w:val="en-US" w:eastAsia="zh-CN"/>
    </w:rPr>
  </w:style>
  <w:style w:type="character" w:styleId="50">
    <w:name w:val="annotation reference"/>
    <w:basedOn w:val="44"/>
    <w:autoRedefine/>
    <w:semiHidden/>
    <w:unhideWhenUsed/>
    <w:qFormat/>
    <w:uiPriority w:val="0"/>
    <w:rPr>
      <w:sz w:val="21"/>
      <w:szCs w:val="21"/>
    </w:rPr>
  </w:style>
  <w:style w:type="character" w:styleId="51">
    <w:name w:val="footnote reference"/>
    <w:autoRedefine/>
    <w:qFormat/>
    <w:uiPriority w:val="0"/>
    <w:rPr>
      <w:vertAlign w:val="superscript"/>
    </w:rPr>
  </w:style>
  <w:style w:type="paragraph" w:customStyle="1" w:styleId="52">
    <w:name w:val="Body Text Indent 21"/>
    <w:basedOn w:val="1"/>
    <w:next w:val="26"/>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3">
    <w:name w:val="标题 1 字符"/>
    <w:basedOn w:val="44"/>
    <w:link w:val="2"/>
    <w:autoRedefine/>
    <w:qFormat/>
    <w:uiPriority w:val="0"/>
    <w:rPr>
      <w:rFonts w:ascii="Times New Roman" w:hAnsi="Times New Roman" w:eastAsia="宋体" w:cs="Times New Roman"/>
      <w:b/>
      <w:bCs/>
      <w:kern w:val="44"/>
      <w:sz w:val="44"/>
      <w:szCs w:val="44"/>
    </w:rPr>
  </w:style>
  <w:style w:type="character" w:customStyle="1" w:styleId="54">
    <w:name w:val="标题 2 字符"/>
    <w:basedOn w:val="44"/>
    <w:link w:val="3"/>
    <w:autoRedefine/>
    <w:qFormat/>
    <w:uiPriority w:val="0"/>
    <w:rPr>
      <w:rFonts w:ascii="宋体" w:hAnsi="宋体" w:eastAsia="宋体" w:cs="Times New Roman"/>
      <w:b/>
      <w:bCs/>
      <w:kern w:val="0"/>
      <w:sz w:val="36"/>
      <w:szCs w:val="36"/>
    </w:rPr>
  </w:style>
  <w:style w:type="character" w:customStyle="1" w:styleId="55">
    <w:name w:val="批注文字 Char"/>
    <w:autoRedefine/>
    <w:semiHidden/>
    <w:qFormat/>
    <w:uiPriority w:val="0"/>
    <w:rPr>
      <w:szCs w:val="24"/>
    </w:rPr>
  </w:style>
  <w:style w:type="character" w:customStyle="1" w:styleId="56">
    <w:name w:val="批注主题 Char"/>
    <w:autoRedefine/>
    <w:semiHidden/>
    <w:qFormat/>
    <w:uiPriority w:val="0"/>
    <w:rPr>
      <w:b/>
      <w:bCs/>
      <w:szCs w:val="24"/>
    </w:rPr>
  </w:style>
  <w:style w:type="character" w:customStyle="1" w:styleId="57">
    <w:name w:val="文档结构图 Char"/>
    <w:autoRedefine/>
    <w:semiHidden/>
    <w:qFormat/>
    <w:uiPriority w:val="0"/>
    <w:rPr>
      <w:szCs w:val="24"/>
      <w:shd w:val="clear" w:color="auto" w:fill="000080"/>
    </w:rPr>
  </w:style>
  <w:style w:type="character" w:customStyle="1" w:styleId="58">
    <w:name w:val="脚注文本 Char"/>
    <w:autoRedefine/>
    <w:qFormat/>
    <w:uiPriority w:val="0"/>
    <w:rPr>
      <w:rFonts w:ascii="宋体"/>
      <w:sz w:val="18"/>
      <w:szCs w:val="18"/>
    </w:rPr>
  </w:style>
  <w:style w:type="character" w:customStyle="1" w:styleId="59">
    <w:name w:val="con"/>
    <w:autoRedefine/>
    <w:qFormat/>
    <w:uiPriority w:val="0"/>
  </w:style>
  <w:style w:type="character" w:customStyle="1" w:styleId="60">
    <w:name w:val="bar-label2"/>
    <w:autoRedefine/>
    <w:qFormat/>
    <w:uiPriority w:val="99"/>
  </w:style>
  <w:style w:type="character" w:customStyle="1" w:styleId="61">
    <w:name w:val="正文文本缩进 2 Char"/>
    <w:autoRedefine/>
    <w:qFormat/>
    <w:uiPriority w:val="99"/>
    <w:rPr>
      <w:szCs w:val="24"/>
    </w:rPr>
  </w:style>
  <w:style w:type="character" w:customStyle="1" w:styleId="62">
    <w:name w:val="日期 Char"/>
    <w:autoRedefine/>
    <w:qFormat/>
    <w:uiPriority w:val="99"/>
    <w:rPr>
      <w:szCs w:val="24"/>
    </w:rPr>
  </w:style>
  <w:style w:type="character" w:customStyle="1" w:styleId="63">
    <w:name w:val="页脚 Char"/>
    <w:autoRedefine/>
    <w:qFormat/>
    <w:locked/>
    <w:uiPriority w:val="99"/>
    <w:rPr>
      <w:sz w:val="18"/>
      <w:szCs w:val="18"/>
    </w:rPr>
  </w:style>
  <w:style w:type="character" w:customStyle="1" w:styleId="64">
    <w:name w:val="apple-converted-space"/>
    <w:basedOn w:val="44"/>
    <w:autoRedefine/>
    <w:qFormat/>
    <w:uiPriority w:val="0"/>
  </w:style>
  <w:style w:type="character" w:customStyle="1" w:styleId="65">
    <w:name w:val="批注框文本 Char"/>
    <w:autoRedefine/>
    <w:qFormat/>
    <w:uiPriority w:val="99"/>
    <w:rPr>
      <w:sz w:val="18"/>
      <w:szCs w:val="18"/>
    </w:rPr>
  </w:style>
  <w:style w:type="character" w:customStyle="1" w:styleId="66">
    <w:name w:val="页眉 Char"/>
    <w:autoRedefine/>
    <w:qFormat/>
    <w:locked/>
    <w:uiPriority w:val="99"/>
    <w:rPr>
      <w:sz w:val="18"/>
      <w:szCs w:val="18"/>
    </w:rPr>
  </w:style>
  <w:style w:type="character" w:customStyle="1" w:styleId="67">
    <w:name w:val="首示例 Char"/>
    <w:link w:val="68"/>
    <w:autoRedefine/>
    <w:qFormat/>
    <w:uiPriority w:val="0"/>
    <w:rPr>
      <w:rFonts w:ascii="宋体" w:hAnsi="宋体"/>
      <w:sz w:val="18"/>
      <w:szCs w:val="18"/>
    </w:rPr>
  </w:style>
  <w:style w:type="paragraph" w:customStyle="1" w:styleId="68">
    <w:name w:val="首示例"/>
    <w:next w:val="69"/>
    <w:link w:val="67"/>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9">
    <w:name w:val="段"/>
    <w:link w:val="70"/>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0">
    <w:name w:val="段 Char"/>
    <w:link w:val="69"/>
    <w:autoRedefine/>
    <w:qFormat/>
    <w:uiPriority w:val="0"/>
    <w:rPr>
      <w:rFonts w:ascii="宋体"/>
    </w:rPr>
  </w:style>
  <w:style w:type="character" w:customStyle="1" w:styleId="71">
    <w:name w:val="附录公式 Char"/>
    <w:basedOn w:val="70"/>
    <w:link w:val="72"/>
    <w:autoRedefine/>
    <w:qFormat/>
    <w:uiPriority w:val="0"/>
    <w:rPr>
      <w:rFonts w:ascii="宋体"/>
    </w:rPr>
  </w:style>
  <w:style w:type="paragraph" w:customStyle="1" w:styleId="72">
    <w:name w:val="附录公式"/>
    <w:basedOn w:val="69"/>
    <w:next w:val="69"/>
    <w:link w:val="71"/>
    <w:autoRedefine/>
    <w:qFormat/>
    <w:uiPriority w:val="0"/>
  </w:style>
  <w:style w:type="character" w:customStyle="1" w:styleId="73">
    <w:name w:val="发布"/>
    <w:autoRedefine/>
    <w:qFormat/>
    <w:uiPriority w:val="0"/>
    <w:rPr>
      <w:rFonts w:ascii="黑体" w:eastAsia="黑体"/>
      <w:spacing w:val="85"/>
      <w:w w:val="100"/>
      <w:position w:val="3"/>
      <w:sz w:val="28"/>
      <w:szCs w:val="28"/>
    </w:rPr>
  </w:style>
  <w:style w:type="character" w:customStyle="1" w:styleId="74">
    <w:name w:val="一级条标题 Char"/>
    <w:link w:val="75"/>
    <w:autoRedefine/>
    <w:qFormat/>
    <w:uiPriority w:val="0"/>
    <w:rPr>
      <w:rFonts w:ascii="黑体" w:eastAsia="黑体"/>
      <w:szCs w:val="21"/>
    </w:rPr>
  </w:style>
  <w:style w:type="paragraph" w:customStyle="1" w:styleId="75">
    <w:name w:val="一级条标题"/>
    <w:next w:val="69"/>
    <w:link w:val="74"/>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6">
    <w:name w:val="HTML 预设格式 Char"/>
    <w:autoRedefine/>
    <w:qFormat/>
    <w:uiPriority w:val="0"/>
    <w:rPr>
      <w:rFonts w:ascii="Courier New" w:hAnsi="Courier New" w:cs="Courier New"/>
    </w:rPr>
  </w:style>
  <w:style w:type="character" w:customStyle="1" w:styleId="77">
    <w:name w:val="尾注文本 Char"/>
    <w:autoRedefine/>
    <w:semiHidden/>
    <w:qFormat/>
    <w:uiPriority w:val="0"/>
    <w:rPr>
      <w:szCs w:val="24"/>
    </w:rPr>
  </w:style>
  <w:style w:type="paragraph" w:customStyle="1" w:styleId="78">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79">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80">
    <w:name w:val="List Paragraph"/>
    <w:basedOn w:val="1"/>
    <w:autoRedefine/>
    <w:qFormat/>
    <w:uiPriority w:val="34"/>
    <w:pPr>
      <w:ind w:firstLine="420" w:firstLineChars="200"/>
    </w:pPr>
    <w:rPr>
      <w:rFonts w:ascii="宋体" w:hAnsi="宋体" w:cs="宋体"/>
      <w:kern w:val="0"/>
      <w:sz w:val="24"/>
    </w:rPr>
  </w:style>
  <w:style w:type="paragraph" w:customStyle="1" w:styleId="81">
    <w:name w:val="封面一致性程度标识2"/>
    <w:basedOn w:val="82"/>
    <w:autoRedefine/>
    <w:qFormat/>
    <w:uiPriority w:val="0"/>
    <w:pPr>
      <w:framePr w:wrap="around" w:y="4469"/>
    </w:pPr>
  </w:style>
  <w:style w:type="paragraph" w:customStyle="1" w:styleId="82">
    <w:name w:val="封面一致性程度标识"/>
    <w:basedOn w:val="83"/>
    <w:autoRedefine/>
    <w:qFormat/>
    <w:uiPriority w:val="0"/>
    <w:pPr>
      <w:framePr w:wrap="around"/>
      <w:spacing w:before="440"/>
    </w:pPr>
    <w:rPr>
      <w:rFonts w:ascii="宋体" w:eastAsia="宋体"/>
    </w:rPr>
  </w:style>
  <w:style w:type="paragraph" w:customStyle="1" w:styleId="83">
    <w:name w:val="封面标准英文名称"/>
    <w:basedOn w:val="84"/>
    <w:autoRedefine/>
    <w:qFormat/>
    <w:uiPriority w:val="0"/>
    <w:pPr>
      <w:framePr w:wrap="around"/>
      <w:spacing w:before="370" w:line="400" w:lineRule="exact"/>
    </w:pPr>
    <w:rPr>
      <w:rFonts w:ascii="Times New Roman"/>
      <w:sz w:val="28"/>
      <w:szCs w:val="28"/>
    </w:rPr>
  </w:style>
  <w:style w:type="paragraph" w:customStyle="1" w:styleId="8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标准英文名称2"/>
    <w:basedOn w:val="83"/>
    <w:autoRedefine/>
    <w:qFormat/>
    <w:uiPriority w:val="0"/>
    <w:pPr>
      <w:framePr w:wrap="around" w:y="4469"/>
    </w:pPr>
  </w:style>
  <w:style w:type="paragraph" w:customStyle="1" w:styleId="86">
    <w:name w:val="其他发布日期"/>
    <w:basedOn w:val="87"/>
    <w:autoRedefine/>
    <w:qFormat/>
    <w:uiPriority w:val="0"/>
    <w:pPr>
      <w:framePr w:wrap="around" w:vAnchor="page" w:hAnchor="text" w:x="1419"/>
    </w:pPr>
  </w:style>
  <w:style w:type="paragraph" w:customStyle="1" w:styleId="87">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8">
    <w:name w:val="正文公式编号制表符"/>
    <w:basedOn w:val="69"/>
    <w:next w:val="69"/>
    <w:autoRedefine/>
    <w:qFormat/>
    <w:uiPriority w:val="0"/>
    <w:pPr>
      <w:ind w:firstLine="0" w:firstLineChars="0"/>
    </w:pPr>
  </w:style>
  <w:style w:type="paragraph" w:customStyle="1" w:styleId="89">
    <w:name w:val="正文表标题"/>
    <w:next w:val="69"/>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0">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1">
    <w:name w:val="一级无"/>
    <w:basedOn w:val="75"/>
    <w:autoRedefine/>
    <w:qFormat/>
    <w:uiPriority w:val="0"/>
  </w:style>
  <w:style w:type="paragraph" w:customStyle="1" w:styleId="92">
    <w:name w:val="图的脚注"/>
    <w:next w:val="69"/>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3">
    <w:name w:val="图标脚注说明"/>
    <w:basedOn w:val="69"/>
    <w:autoRedefine/>
    <w:qFormat/>
    <w:uiPriority w:val="0"/>
    <w:pPr>
      <w:ind w:left="840" w:hanging="420" w:firstLineChars="0"/>
    </w:pPr>
    <w:rPr>
      <w:sz w:val="18"/>
      <w:szCs w:val="18"/>
    </w:rPr>
  </w:style>
  <w:style w:type="paragraph" w:customStyle="1" w:styleId="94">
    <w:name w:val="示例后文字"/>
    <w:basedOn w:val="69"/>
    <w:next w:val="69"/>
    <w:autoRedefine/>
    <w:qFormat/>
    <w:uiPriority w:val="0"/>
    <w:pPr>
      <w:ind w:firstLine="360"/>
    </w:pPr>
    <w:rPr>
      <w:sz w:val="18"/>
    </w:rPr>
  </w:style>
  <w:style w:type="paragraph" w:customStyle="1" w:styleId="95">
    <w:name w:val="实施日期"/>
    <w:basedOn w:val="87"/>
    <w:autoRedefine/>
    <w:qFormat/>
    <w:uiPriority w:val="0"/>
    <w:pPr>
      <w:framePr w:wrap="around" w:vAnchor="page" w:hAnchor="text"/>
      <w:jc w:val="right"/>
    </w:pPr>
  </w:style>
  <w:style w:type="paragraph" w:customStyle="1" w:styleId="96">
    <w:name w:val="前言、引言标题"/>
    <w:next w:val="69"/>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7">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8">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100">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1">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2">
    <w:name w:val="条文脚注"/>
    <w:basedOn w:val="30"/>
    <w:autoRedefine/>
    <w:qFormat/>
    <w:uiPriority w:val="0"/>
    <w:pPr>
      <w:ind w:left="0" w:firstLine="0"/>
      <w:jc w:val="both"/>
    </w:pPr>
  </w:style>
  <w:style w:type="paragraph" w:customStyle="1" w:styleId="103">
    <w:name w:val="附录一级无"/>
    <w:basedOn w:val="104"/>
    <w:autoRedefine/>
    <w:qFormat/>
    <w:uiPriority w:val="0"/>
    <w:pPr>
      <w:tabs>
        <w:tab w:val="left" w:pos="360"/>
      </w:tabs>
      <w:spacing w:beforeLines="0" w:afterLines="0"/>
    </w:pPr>
    <w:rPr>
      <w:rFonts w:ascii="宋体" w:eastAsia="宋体"/>
      <w:szCs w:val="21"/>
    </w:rPr>
  </w:style>
  <w:style w:type="paragraph" w:customStyle="1" w:styleId="104">
    <w:name w:val="附录一级条标题"/>
    <w:basedOn w:val="105"/>
    <w:next w:val="69"/>
    <w:autoRedefine/>
    <w:qFormat/>
    <w:uiPriority w:val="0"/>
    <w:pPr>
      <w:tabs>
        <w:tab w:val="left" w:pos="360"/>
      </w:tabs>
      <w:autoSpaceDN w:val="0"/>
      <w:spacing w:beforeLines="50" w:afterLines="50"/>
      <w:outlineLvl w:val="2"/>
    </w:pPr>
  </w:style>
  <w:style w:type="paragraph" w:customStyle="1" w:styleId="105">
    <w:name w:val="附录章标题"/>
    <w:next w:val="69"/>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五级无"/>
    <w:basedOn w:val="107"/>
    <w:autoRedefine/>
    <w:qFormat/>
    <w:uiPriority w:val="0"/>
    <w:pPr>
      <w:tabs>
        <w:tab w:val="left" w:pos="360"/>
      </w:tabs>
      <w:spacing w:beforeLines="0" w:afterLines="0"/>
    </w:pPr>
    <w:rPr>
      <w:rFonts w:ascii="宋体" w:eastAsia="宋体"/>
      <w:szCs w:val="21"/>
    </w:rPr>
  </w:style>
  <w:style w:type="paragraph" w:customStyle="1" w:styleId="107">
    <w:name w:val="附录五级条标题"/>
    <w:basedOn w:val="108"/>
    <w:next w:val="69"/>
    <w:autoRedefine/>
    <w:qFormat/>
    <w:uiPriority w:val="0"/>
    <w:pPr>
      <w:tabs>
        <w:tab w:val="left" w:pos="360"/>
      </w:tabs>
      <w:outlineLvl w:val="6"/>
    </w:pPr>
  </w:style>
  <w:style w:type="paragraph" w:customStyle="1" w:styleId="108">
    <w:name w:val="附录四级条标题"/>
    <w:basedOn w:val="109"/>
    <w:next w:val="69"/>
    <w:autoRedefine/>
    <w:qFormat/>
    <w:uiPriority w:val="0"/>
    <w:pPr>
      <w:tabs>
        <w:tab w:val="left" w:pos="360"/>
      </w:tabs>
    </w:pPr>
  </w:style>
  <w:style w:type="paragraph" w:customStyle="1" w:styleId="109">
    <w:name w:val="附录三级条标题"/>
    <w:basedOn w:val="110"/>
    <w:next w:val="69"/>
    <w:autoRedefine/>
    <w:qFormat/>
    <w:uiPriority w:val="0"/>
    <w:pPr>
      <w:tabs>
        <w:tab w:val="left" w:pos="360"/>
      </w:tabs>
    </w:pPr>
  </w:style>
  <w:style w:type="paragraph" w:customStyle="1" w:styleId="110">
    <w:name w:val="附录二级条标题"/>
    <w:basedOn w:val="1"/>
    <w:next w:val="69"/>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1">
    <w:name w:val="附录图标题"/>
    <w:basedOn w:val="1"/>
    <w:next w:val="69"/>
    <w:autoRedefine/>
    <w:qFormat/>
    <w:uiPriority w:val="0"/>
    <w:pPr>
      <w:tabs>
        <w:tab w:val="left" w:pos="363"/>
      </w:tabs>
      <w:spacing w:beforeLines="50" w:afterLines="50"/>
      <w:jc w:val="center"/>
    </w:pPr>
    <w:rPr>
      <w:rFonts w:ascii="黑体" w:eastAsia="黑体"/>
      <w:szCs w:val="21"/>
    </w:rPr>
  </w:style>
  <w:style w:type="paragraph" w:customStyle="1" w:styleId="112">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3">
    <w:name w:val="附录四级无"/>
    <w:basedOn w:val="108"/>
    <w:autoRedefine/>
    <w:qFormat/>
    <w:uiPriority w:val="0"/>
    <w:pPr>
      <w:tabs>
        <w:tab w:val="clear" w:pos="360"/>
      </w:tabs>
      <w:spacing w:beforeLines="0" w:afterLines="0"/>
      <w:outlineLvl w:val="5"/>
    </w:pPr>
    <w:rPr>
      <w:rFonts w:ascii="宋体" w:eastAsia="宋体"/>
      <w:szCs w:val="21"/>
    </w:rPr>
  </w:style>
  <w:style w:type="paragraph" w:customStyle="1" w:styleId="114">
    <w:name w:val="附录三级无"/>
    <w:basedOn w:val="109"/>
    <w:autoRedefine/>
    <w:qFormat/>
    <w:uiPriority w:val="0"/>
  </w:style>
  <w:style w:type="paragraph" w:customStyle="1" w:styleId="115">
    <w:name w:val="注："/>
    <w:next w:val="69"/>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6">
    <w:name w:val="附录公式编号制表符"/>
    <w:basedOn w:val="1"/>
    <w:next w:val="69"/>
    <w:autoRedefine/>
    <w:qFormat/>
    <w:uiPriority w:val="0"/>
    <w:pPr>
      <w:tabs>
        <w:tab w:val="center" w:pos="4201"/>
        <w:tab w:val="right" w:leader="dot" w:pos="9298"/>
      </w:tabs>
      <w:autoSpaceDE w:val="0"/>
      <w:autoSpaceDN w:val="0"/>
    </w:pPr>
    <w:rPr>
      <w:rFonts w:ascii="宋体"/>
      <w:kern w:val="0"/>
      <w:szCs w:val="20"/>
    </w:rPr>
  </w:style>
  <w:style w:type="paragraph" w:customStyle="1" w:styleId="117">
    <w:name w:val="附录二级无"/>
    <w:basedOn w:val="110"/>
    <w:autoRedefine/>
    <w:qFormat/>
    <w:uiPriority w:val="0"/>
  </w:style>
  <w:style w:type="paragraph" w:customStyle="1" w:styleId="118">
    <w:name w:val="附录标题"/>
    <w:basedOn w:val="69"/>
    <w:next w:val="69"/>
    <w:autoRedefine/>
    <w:qFormat/>
    <w:uiPriority w:val="0"/>
    <w:pPr>
      <w:ind w:firstLine="0" w:firstLineChars="0"/>
      <w:jc w:val="center"/>
    </w:pPr>
    <w:rPr>
      <w:rFonts w:ascii="黑体" w:eastAsia="黑体"/>
    </w:rPr>
  </w:style>
  <w:style w:type="paragraph" w:customStyle="1" w:styleId="119">
    <w:name w:val="参考文献"/>
    <w:basedOn w:val="1"/>
    <w:next w:val="69"/>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0">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21">
    <w:name w:val="封面标准文稿类别"/>
    <w:basedOn w:val="82"/>
    <w:autoRedefine/>
    <w:qFormat/>
    <w:uiPriority w:val="0"/>
    <w:pPr>
      <w:framePr w:wrap="around"/>
      <w:spacing w:after="160" w:line="240" w:lineRule="auto"/>
    </w:pPr>
    <w:rPr>
      <w:sz w:val="24"/>
    </w:rPr>
  </w:style>
  <w:style w:type="paragraph" w:customStyle="1" w:styleId="122">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3">
    <w:name w:val="其他实施日期"/>
    <w:basedOn w:val="95"/>
    <w:autoRedefine/>
    <w:qFormat/>
    <w:uiPriority w:val="0"/>
    <w:pPr>
      <w:framePr w:wrap="around" w:vAnchor="margin" w:hAnchor="page"/>
    </w:pPr>
  </w:style>
  <w:style w:type="paragraph" w:customStyle="1" w:styleId="124">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5">
    <w:name w:val="发布部门"/>
    <w:next w:val="69"/>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6">
    <w:name w:val="注：（正文）"/>
    <w:basedOn w:val="115"/>
    <w:next w:val="69"/>
    <w:autoRedefine/>
    <w:qFormat/>
    <w:uiPriority w:val="0"/>
  </w:style>
  <w:style w:type="paragraph" w:customStyle="1" w:styleId="127">
    <w:name w:val="参考文献、索引标题"/>
    <w:basedOn w:val="1"/>
    <w:next w:val="69"/>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8">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9">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0">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1">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2">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3">
    <w:name w:val="示例×："/>
    <w:basedOn w:val="134"/>
    <w:autoRedefine/>
    <w:qFormat/>
    <w:uiPriority w:val="0"/>
    <w:pPr>
      <w:spacing w:beforeLines="0" w:afterLines="0"/>
      <w:ind w:firstLine="363"/>
      <w:outlineLvl w:val="9"/>
    </w:pPr>
    <w:rPr>
      <w:rFonts w:ascii="宋体" w:eastAsia="宋体"/>
      <w:sz w:val="18"/>
      <w:szCs w:val="18"/>
    </w:rPr>
  </w:style>
  <w:style w:type="paragraph" w:customStyle="1" w:styleId="134">
    <w:name w:val="章标题"/>
    <w:next w:val="69"/>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5">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6">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7">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8">
    <w:name w:val="五级无"/>
    <w:basedOn w:val="139"/>
    <w:autoRedefine/>
    <w:qFormat/>
    <w:uiPriority w:val="0"/>
    <w:pPr>
      <w:spacing w:beforeLines="0" w:afterLines="0"/>
      <w:outlineLvl w:val="6"/>
    </w:pPr>
    <w:rPr>
      <w:rFonts w:ascii="宋体" w:eastAsia="宋体"/>
    </w:rPr>
  </w:style>
  <w:style w:type="paragraph" w:customStyle="1" w:styleId="139">
    <w:name w:val="五级条标题"/>
    <w:basedOn w:val="140"/>
    <w:next w:val="69"/>
    <w:autoRedefine/>
    <w:qFormat/>
    <w:uiPriority w:val="0"/>
  </w:style>
  <w:style w:type="paragraph" w:customStyle="1" w:styleId="140">
    <w:name w:val="四级条标题"/>
    <w:basedOn w:val="141"/>
    <w:next w:val="69"/>
    <w:autoRedefine/>
    <w:qFormat/>
    <w:uiPriority w:val="0"/>
  </w:style>
  <w:style w:type="paragraph" w:customStyle="1" w:styleId="141">
    <w:name w:val="三级条标题"/>
    <w:basedOn w:val="142"/>
    <w:next w:val="69"/>
    <w:autoRedefine/>
    <w:qFormat/>
    <w:uiPriority w:val="0"/>
  </w:style>
  <w:style w:type="paragraph" w:customStyle="1" w:styleId="142">
    <w:name w:val="二级条标题"/>
    <w:basedOn w:val="75"/>
    <w:next w:val="69"/>
    <w:autoRedefine/>
    <w:qFormat/>
    <w:uiPriority w:val="0"/>
  </w:style>
  <w:style w:type="paragraph" w:customStyle="1" w:styleId="143">
    <w:name w:val="四级无"/>
    <w:basedOn w:val="140"/>
    <w:autoRedefine/>
    <w:qFormat/>
    <w:uiPriority w:val="0"/>
  </w:style>
  <w:style w:type="paragraph" w:customStyle="1" w:styleId="144">
    <w:name w:val="三级无"/>
    <w:basedOn w:val="141"/>
    <w:autoRedefine/>
    <w:qFormat/>
    <w:uiPriority w:val="0"/>
  </w:style>
  <w:style w:type="paragraph" w:customStyle="1" w:styleId="145">
    <w:name w:val="其他标准标志"/>
    <w:basedOn w:val="129"/>
    <w:autoRedefine/>
    <w:qFormat/>
    <w:uiPriority w:val="0"/>
    <w:pPr>
      <w:framePr w:w="6101" w:wrap="around" w:vAnchor="page" w:hAnchor="page" w:x="4673" w:y="942"/>
    </w:pPr>
    <w:rPr>
      <w:w w:val="130"/>
    </w:rPr>
  </w:style>
  <w:style w:type="paragraph" w:customStyle="1" w:styleId="146">
    <w:name w:val="目次、标准名称标题"/>
    <w:basedOn w:val="1"/>
    <w:next w:val="69"/>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7">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9">
    <w:name w:val="批注框文本 字符"/>
    <w:basedOn w:val="44"/>
    <w:link w:val="24"/>
    <w:autoRedefine/>
    <w:semiHidden/>
    <w:qFormat/>
    <w:uiPriority w:val="99"/>
    <w:rPr>
      <w:rFonts w:ascii="Times New Roman" w:hAnsi="Times New Roman" w:eastAsia="宋体" w:cs="Times New Roman"/>
      <w:sz w:val="18"/>
      <w:szCs w:val="18"/>
    </w:rPr>
  </w:style>
  <w:style w:type="paragraph" w:customStyle="1" w:styleId="150">
    <w:name w:val="列项◆（三级）"/>
    <w:basedOn w:val="1"/>
    <w:autoRedefine/>
    <w:qFormat/>
    <w:uiPriority w:val="99"/>
    <w:pPr>
      <w:tabs>
        <w:tab w:val="left" w:pos="969"/>
      </w:tabs>
      <w:ind w:left="969" w:hanging="414"/>
    </w:pPr>
    <w:rPr>
      <w:rFonts w:ascii="宋体"/>
      <w:szCs w:val="21"/>
    </w:rPr>
  </w:style>
  <w:style w:type="paragraph" w:customStyle="1" w:styleId="151">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2">
    <w:name w:val="页眉 字符"/>
    <w:basedOn w:val="44"/>
    <w:link w:val="26"/>
    <w:autoRedefine/>
    <w:semiHidden/>
    <w:qFormat/>
    <w:uiPriority w:val="99"/>
    <w:rPr>
      <w:rFonts w:ascii="Times New Roman" w:hAnsi="Times New Roman" w:eastAsia="宋体" w:cs="Times New Roman"/>
      <w:sz w:val="18"/>
      <w:szCs w:val="18"/>
    </w:rPr>
  </w:style>
  <w:style w:type="paragraph" w:customStyle="1" w:styleId="153">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4">
    <w:name w:val="其他发布部门"/>
    <w:basedOn w:val="125"/>
    <w:autoRedefine/>
    <w:qFormat/>
    <w:uiPriority w:val="0"/>
    <w:pPr>
      <w:framePr w:wrap="around" w:y="15310"/>
      <w:spacing w:line="0" w:lineRule="atLeast"/>
    </w:pPr>
    <w:rPr>
      <w:rFonts w:ascii="黑体" w:eastAsia="黑体"/>
      <w:b w:val="0"/>
    </w:rPr>
  </w:style>
  <w:style w:type="paragraph" w:customStyle="1" w:styleId="155">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6">
    <w:name w:val="正文图标题"/>
    <w:next w:val="69"/>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7">
    <w:name w:val="HTML 预设格式 字符"/>
    <w:basedOn w:val="44"/>
    <w:link w:val="35"/>
    <w:autoRedefine/>
    <w:semiHidden/>
    <w:qFormat/>
    <w:uiPriority w:val="99"/>
    <w:rPr>
      <w:rFonts w:ascii="Courier New" w:hAnsi="Courier New" w:eastAsia="宋体" w:cs="Courier New"/>
      <w:sz w:val="20"/>
      <w:szCs w:val="20"/>
    </w:rPr>
  </w:style>
  <w:style w:type="paragraph" w:customStyle="1" w:styleId="158">
    <w:name w:val="附录标识"/>
    <w:basedOn w:val="1"/>
    <w:next w:val="69"/>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9">
    <w:name w:val="脚注文本 字符"/>
    <w:basedOn w:val="44"/>
    <w:link w:val="30"/>
    <w:autoRedefine/>
    <w:semiHidden/>
    <w:qFormat/>
    <w:uiPriority w:val="99"/>
    <w:rPr>
      <w:rFonts w:ascii="Times New Roman" w:hAnsi="Times New Roman" w:eastAsia="宋体" w:cs="Times New Roman"/>
      <w:sz w:val="18"/>
      <w:szCs w:val="18"/>
    </w:rPr>
  </w:style>
  <w:style w:type="paragraph" w:customStyle="1" w:styleId="160">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1">
    <w:name w:val="二级无"/>
    <w:basedOn w:val="142"/>
    <w:autoRedefine/>
    <w:qFormat/>
    <w:uiPriority w:val="0"/>
  </w:style>
  <w:style w:type="paragraph" w:customStyle="1" w:styleId="162">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3">
    <w:name w:val="正文文本缩进 2 字符"/>
    <w:basedOn w:val="44"/>
    <w:link w:val="22"/>
    <w:autoRedefine/>
    <w:semiHidden/>
    <w:qFormat/>
    <w:uiPriority w:val="99"/>
    <w:rPr>
      <w:rFonts w:ascii="Times New Roman" w:hAnsi="Times New Roman" w:eastAsia="宋体" w:cs="Times New Roman"/>
      <w:szCs w:val="24"/>
    </w:rPr>
  </w:style>
  <w:style w:type="paragraph" w:customStyle="1" w:styleId="164">
    <w:name w:val="封面标准文稿编辑信息2"/>
    <w:basedOn w:val="165"/>
    <w:autoRedefine/>
    <w:qFormat/>
    <w:uiPriority w:val="0"/>
    <w:pPr>
      <w:framePr w:wrap="around" w:y="4469"/>
    </w:pPr>
  </w:style>
  <w:style w:type="paragraph" w:customStyle="1" w:styleId="165">
    <w:name w:val="封面标准文稿编辑信息"/>
    <w:basedOn w:val="121"/>
    <w:autoRedefine/>
    <w:qFormat/>
    <w:uiPriority w:val="0"/>
    <w:pPr>
      <w:framePr w:wrap="around"/>
      <w:spacing w:before="180" w:line="180" w:lineRule="exact"/>
    </w:pPr>
    <w:rPr>
      <w:sz w:val="21"/>
    </w:rPr>
  </w:style>
  <w:style w:type="paragraph" w:customStyle="1" w:styleId="166">
    <w:name w:val="附录表标题"/>
    <w:basedOn w:val="1"/>
    <w:next w:val="69"/>
    <w:autoRedefine/>
    <w:qFormat/>
    <w:uiPriority w:val="0"/>
    <w:pPr>
      <w:tabs>
        <w:tab w:val="left" w:pos="180"/>
      </w:tabs>
      <w:spacing w:beforeLines="50" w:afterLines="50"/>
      <w:jc w:val="center"/>
    </w:pPr>
    <w:rPr>
      <w:rFonts w:ascii="黑体" w:eastAsia="黑体"/>
      <w:szCs w:val="21"/>
    </w:rPr>
  </w:style>
  <w:style w:type="paragraph" w:customStyle="1" w:styleId="167">
    <w:name w:val="标准书眉_偶数页"/>
    <w:basedOn w:val="151"/>
    <w:next w:val="1"/>
    <w:autoRedefine/>
    <w:qFormat/>
    <w:uiPriority w:val="0"/>
    <w:pPr>
      <w:jc w:val="left"/>
    </w:pPr>
  </w:style>
  <w:style w:type="paragraph" w:customStyle="1" w:styleId="168">
    <w:name w:val="附录表标号"/>
    <w:basedOn w:val="1"/>
    <w:next w:val="69"/>
    <w:autoRedefine/>
    <w:qFormat/>
    <w:uiPriority w:val="0"/>
    <w:pPr>
      <w:spacing w:line="14" w:lineRule="exact"/>
      <w:ind w:left="811" w:hanging="448"/>
      <w:jc w:val="center"/>
      <w:outlineLvl w:val="0"/>
    </w:pPr>
    <w:rPr>
      <w:color w:val="FFFFFF"/>
    </w:rPr>
  </w:style>
  <w:style w:type="paragraph" w:customStyle="1" w:styleId="169">
    <w:name w:val="图表脚注说明"/>
    <w:basedOn w:val="1"/>
    <w:autoRedefine/>
    <w:qFormat/>
    <w:uiPriority w:val="0"/>
    <w:pPr>
      <w:ind w:left="544" w:hanging="181"/>
    </w:pPr>
    <w:rPr>
      <w:rFonts w:ascii="宋体"/>
      <w:sz w:val="18"/>
      <w:szCs w:val="18"/>
    </w:rPr>
  </w:style>
  <w:style w:type="character" w:customStyle="1" w:styleId="170">
    <w:name w:val="页脚 字符"/>
    <w:basedOn w:val="44"/>
    <w:link w:val="25"/>
    <w:autoRedefine/>
    <w:semiHidden/>
    <w:qFormat/>
    <w:uiPriority w:val="99"/>
    <w:rPr>
      <w:rFonts w:ascii="Times New Roman" w:hAnsi="Times New Roman" w:eastAsia="宋体" w:cs="Times New Roman"/>
      <w:sz w:val="18"/>
      <w:szCs w:val="18"/>
    </w:rPr>
  </w:style>
  <w:style w:type="character" w:customStyle="1" w:styleId="171">
    <w:name w:val="批注文字 字符"/>
    <w:basedOn w:val="44"/>
    <w:link w:val="10"/>
    <w:autoRedefine/>
    <w:semiHidden/>
    <w:qFormat/>
    <w:uiPriority w:val="99"/>
    <w:rPr>
      <w:rFonts w:ascii="Times New Roman" w:hAnsi="Times New Roman" w:eastAsia="宋体" w:cs="Times New Roman"/>
      <w:szCs w:val="24"/>
    </w:rPr>
  </w:style>
  <w:style w:type="paragraph" w:customStyle="1" w:styleId="172">
    <w:name w:val="封面标准名称2"/>
    <w:basedOn w:val="84"/>
    <w:autoRedefine/>
    <w:qFormat/>
    <w:uiPriority w:val="0"/>
    <w:pPr>
      <w:framePr w:wrap="around" w:y="4469"/>
      <w:spacing w:beforeLines="630"/>
    </w:pPr>
  </w:style>
  <w:style w:type="character" w:customStyle="1" w:styleId="173">
    <w:name w:val="日期 字符"/>
    <w:basedOn w:val="44"/>
    <w:link w:val="21"/>
    <w:autoRedefine/>
    <w:semiHidden/>
    <w:qFormat/>
    <w:uiPriority w:val="99"/>
    <w:rPr>
      <w:rFonts w:ascii="Times New Roman" w:hAnsi="Times New Roman" w:eastAsia="宋体" w:cs="Times New Roman"/>
      <w:szCs w:val="24"/>
    </w:rPr>
  </w:style>
  <w:style w:type="character" w:customStyle="1" w:styleId="174">
    <w:name w:val="文档结构图 字符"/>
    <w:basedOn w:val="44"/>
    <w:link w:val="9"/>
    <w:autoRedefine/>
    <w:semiHidden/>
    <w:qFormat/>
    <w:uiPriority w:val="99"/>
    <w:rPr>
      <w:rFonts w:ascii="宋体" w:hAnsi="Times New Roman" w:eastAsia="宋体" w:cs="Times New Roman"/>
      <w:sz w:val="18"/>
      <w:szCs w:val="18"/>
    </w:rPr>
  </w:style>
  <w:style w:type="paragraph" w:customStyle="1" w:styleId="175">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6">
    <w:name w:val="封面标准文稿类别2"/>
    <w:basedOn w:val="121"/>
    <w:autoRedefine/>
    <w:qFormat/>
    <w:uiPriority w:val="0"/>
    <w:pPr>
      <w:framePr w:wrap="around" w:y="4469"/>
    </w:pPr>
  </w:style>
  <w:style w:type="paragraph" w:customStyle="1" w:styleId="177">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8">
    <w:name w:val="终结线"/>
    <w:basedOn w:val="1"/>
    <w:autoRedefine/>
    <w:qFormat/>
    <w:uiPriority w:val="0"/>
    <w:pPr>
      <w:framePr w:hSpace="181" w:vSpace="181" w:wrap="around" w:vAnchor="text" w:hAnchor="margin" w:xAlign="center" w:y="285"/>
    </w:pPr>
  </w:style>
  <w:style w:type="character" w:customStyle="1" w:styleId="179">
    <w:name w:val="批注主题 字符"/>
    <w:basedOn w:val="171"/>
    <w:link w:val="16"/>
    <w:autoRedefine/>
    <w:semiHidden/>
    <w:qFormat/>
    <w:uiPriority w:val="99"/>
    <w:rPr>
      <w:rFonts w:ascii="Times New Roman" w:hAnsi="Times New Roman" w:eastAsia="宋体" w:cs="Times New Roman"/>
      <w:b/>
      <w:bCs/>
      <w:szCs w:val="24"/>
    </w:rPr>
  </w:style>
  <w:style w:type="character" w:customStyle="1" w:styleId="180">
    <w:name w:val="尾注文本 字符"/>
    <w:basedOn w:val="44"/>
    <w:link w:val="23"/>
    <w:autoRedefine/>
    <w:semiHidden/>
    <w:qFormat/>
    <w:uiPriority w:val="99"/>
    <w:rPr>
      <w:rFonts w:ascii="Times New Roman" w:hAnsi="Times New Roman" w:eastAsia="宋体" w:cs="Times New Roman"/>
      <w:szCs w:val="24"/>
    </w:rPr>
  </w:style>
  <w:style w:type="paragraph" w:customStyle="1" w:styleId="181">
    <w:name w:val="示例"/>
    <w:next w:val="132"/>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2">
    <w:name w:val="正文文本 3 字符"/>
    <w:basedOn w:val="44"/>
    <w:link w:val="12"/>
    <w:autoRedefine/>
    <w:semiHidden/>
    <w:qFormat/>
    <w:uiPriority w:val="99"/>
    <w:rPr>
      <w:rFonts w:ascii="Times New Roman" w:hAnsi="Times New Roman" w:eastAsia="宋体" w:cs="Times New Roman"/>
      <w:sz w:val="16"/>
      <w:szCs w:val="16"/>
    </w:rPr>
  </w:style>
  <w:style w:type="character" w:customStyle="1" w:styleId="183">
    <w:name w:val="标题 字符"/>
    <w:basedOn w:val="44"/>
    <w:link w:val="38"/>
    <w:autoRedefine/>
    <w:qFormat/>
    <w:uiPriority w:val="0"/>
    <w:rPr>
      <w:rFonts w:ascii="Arial" w:hAnsi="Arial" w:eastAsia="宋体" w:cs="Times New Roman"/>
      <w:b/>
      <w:kern w:val="0"/>
      <w:sz w:val="32"/>
      <w:szCs w:val="20"/>
    </w:rPr>
  </w:style>
  <w:style w:type="paragraph" w:customStyle="1" w:styleId="184">
    <w:name w:val="p0"/>
    <w:basedOn w:val="1"/>
    <w:autoRedefine/>
    <w:qFormat/>
    <w:uiPriority w:val="0"/>
    <w:pPr>
      <w:spacing w:line="240" w:lineRule="auto"/>
      <w:jc w:val="both"/>
    </w:pPr>
    <w:rPr>
      <w:kern w:val="0"/>
      <w:szCs w:val="21"/>
    </w:rPr>
  </w:style>
  <w:style w:type="character" w:customStyle="1" w:styleId="185">
    <w:name w:val="纯文本 字符"/>
    <w:basedOn w:val="44"/>
    <w:link w:val="19"/>
    <w:autoRedefine/>
    <w:qFormat/>
    <w:uiPriority w:val="99"/>
    <w:rPr>
      <w:rFonts w:ascii="宋体" w:hAnsi="Courier New" w:eastAsia="宋体" w:cs="Courier New"/>
      <w:szCs w:val="21"/>
    </w:rPr>
  </w:style>
  <w:style w:type="paragraph" w:customStyle="1" w:styleId="18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7">
    <w:name w:val="正文文本 字符"/>
    <w:basedOn w:val="44"/>
    <w:link w:val="13"/>
    <w:autoRedefine/>
    <w:semiHidden/>
    <w:qFormat/>
    <w:uiPriority w:val="99"/>
    <w:rPr>
      <w:kern w:val="2"/>
      <w:sz w:val="21"/>
      <w:szCs w:val="24"/>
    </w:rPr>
  </w:style>
  <w:style w:type="paragraph" w:customStyle="1" w:styleId="188">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9">
    <w:name w:val="标题 4 字符"/>
    <w:basedOn w:val="44"/>
    <w:link w:val="5"/>
    <w:autoRedefine/>
    <w:semiHidden/>
    <w:qFormat/>
    <w:uiPriority w:val="9"/>
    <w:rPr>
      <w:rFonts w:asciiTheme="majorHAnsi" w:hAnsiTheme="majorHAnsi" w:eastAsiaTheme="majorEastAsia" w:cstheme="majorBidi"/>
      <w:b/>
      <w:bCs/>
      <w:kern w:val="2"/>
      <w:sz w:val="28"/>
      <w:szCs w:val="28"/>
    </w:rPr>
  </w:style>
  <w:style w:type="paragraph" w:customStyle="1" w:styleId="190">
    <w:name w:val="_Style 2"/>
    <w:basedOn w:val="2"/>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91">
    <w:name w:val="_Style 4"/>
    <w:autoRedefine/>
    <w:qFormat/>
    <w:uiPriority w:val="31"/>
    <w:rPr>
      <w:smallCaps/>
      <w:color w:val="C0504D"/>
      <w:u w:val="single"/>
    </w:rPr>
  </w:style>
  <w:style w:type="paragraph" w:customStyle="1" w:styleId="192">
    <w:name w:val="纯文本1"/>
    <w:basedOn w:val="1"/>
    <w:autoRedefine/>
    <w:qFormat/>
    <w:uiPriority w:val="0"/>
    <w:rPr>
      <w:rFonts w:ascii="宋体" w:hAnsi="Courier New" w:cs="Courier New"/>
      <w:szCs w:val="21"/>
    </w:rPr>
  </w:style>
  <w:style w:type="paragraph" w:customStyle="1" w:styleId="193">
    <w:name w:val="CM99"/>
    <w:basedOn w:val="14"/>
    <w:next w:val="14"/>
    <w:autoRedefine/>
    <w:qFormat/>
    <w:uiPriority w:val="0"/>
    <w:pPr>
      <w:spacing w:after="443"/>
    </w:pPr>
  </w:style>
  <w:style w:type="paragraph" w:customStyle="1" w:styleId="194">
    <w:name w:val="CM80"/>
    <w:basedOn w:val="14"/>
    <w:next w:val="14"/>
    <w:autoRedefine/>
    <w:qFormat/>
    <w:uiPriority w:val="0"/>
    <w:pPr>
      <w:spacing w:line="440" w:lineRule="atLeast"/>
    </w:pPr>
  </w:style>
  <w:style w:type="paragraph" w:customStyle="1" w:styleId="195">
    <w:name w:val="WPSOffice手动目录 1"/>
    <w:autoRedefine/>
    <w:qFormat/>
    <w:uiPriority w:val="0"/>
    <w:pPr>
      <w:ind w:leftChars="0"/>
    </w:pPr>
    <w:rPr>
      <w:rFonts w:ascii="Times New Roman" w:hAnsi="Times New Roman" w:eastAsia="宋体" w:cs="Times New Roman"/>
      <w:sz w:val="20"/>
      <w:szCs w:val="20"/>
    </w:rPr>
  </w:style>
  <w:style w:type="paragraph" w:customStyle="1" w:styleId="196">
    <w:name w:val="WPSOffice手动目录 2"/>
    <w:autoRedefine/>
    <w:qFormat/>
    <w:uiPriority w:val="0"/>
    <w:pPr>
      <w:ind w:leftChars="200"/>
    </w:pPr>
    <w:rPr>
      <w:rFonts w:ascii="Times New Roman" w:hAnsi="Times New Roman" w:eastAsia="宋体" w:cs="Times New Roman"/>
      <w:sz w:val="20"/>
      <w:szCs w:val="20"/>
    </w:rPr>
  </w:style>
  <w:style w:type="paragraph" w:customStyle="1" w:styleId="197">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67411-E6F7-43A8-BC04-AB996FDC74A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55</Pages>
  <Words>22763</Words>
  <Characters>24738</Characters>
  <Lines>277</Lines>
  <Paragraphs>78</Paragraphs>
  <TotalTime>2</TotalTime>
  <ScaleCrop>false</ScaleCrop>
  <LinksUpToDate>false</LinksUpToDate>
  <CharactersWithSpaces>25861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2021-11-05T01:53:00Z</dcterms:created>
  <dc:creator>lenovo</dc:creator>
  <cp:lastModifiedBy>存活率 ，</cp:lastModifiedBy>
  <cp:lastPrinted>2022-01-05T06:32:00Z</cp:lastPrinted>
  <dcterms:modified xsi:type="dcterms:W3CDTF">2024-05-21T08:05:53Z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2F159388754246289124EDFB1BC5B2F3</vt:lpwstr>
  </property>
</Properties>
</file>