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both"/>
        <w:rPr>
          <w:rFonts w:ascii="楷体" w:hAnsi="楷体" w:eastAsia="楷体" w:cs="微软雅黑"/>
          <w:b/>
          <w:sz w:val="56"/>
          <w:szCs w:val="72"/>
        </w:rPr>
      </w:pPr>
    </w:p>
    <w:p>
      <w:pPr>
        <w:snapToGrid w:val="0"/>
        <w:spacing w:line="900" w:lineRule="exact"/>
        <w:jc w:val="center"/>
        <w:rPr>
          <w:rFonts w:ascii="黑体" w:hAnsi="黑体" w:eastAsia="黑体"/>
          <w:b/>
          <w:bCs/>
          <w:sz w:val="52"/>
          <w:szCs w:val="52"/>
        </w:rPr>
      </w:pPr>
      <w:r>
        <w:rPr>
          <w:rFonts w:hint="eastAsia" w:ascii="黑体" w:hAnsi="黑体" w:eastAsia="黑体"/>
          <w:b/>
          <w:bCs/>
          <w:sz w:val="52"/>
          <w:szCs w:val="52"/>
        </w:rPr>
        <w:t>岳阳</w:t>
      </w:r>
      <w:r>
        <w:rPr>
          <w:rFonts w:ascii="黑体" w:hAnsi="黑体" w:eastAsia="黑体"/>
          <w:b/>
          <w:bCs/>
          <w:sz w:val="52"/>
          <w:szCs w:val="52"/>
        </w:rPr>
        <w:t>城陵矶新港有限</w:t>
      </w:r>
      <w:r>
        <w:rPr>
          <w:rFonts w:hint="eastAsia" w:ascii="黑体" w:hAnsi="黑体" w:eastAsia="黑体"/>
          <w:b/>
          <w:bCs/>
          <w:sz w:val="52"/>
          <w:szCs w:val="52"/>
        </w:rPr>
        <w:t>公司</w:t>
      </w:r>
    </w:p>
    <w:p>
      <w:pPr>
        <w:pStyle w:val="38"/>
        <w:rPr>
          <w:rFonts w:ascii="黑体" w:hAnsi="黑体" w:eastAsia="黑体"/>
          <w:b/>
          <w:bCs/>
          <w:sz w:val="52"/>
          <w:szCs w:val="52"/>
        </w:rPr>
      </w:pPr>
    </w:p>
    <w:p>
      <w:pPr>
        <w:pStyle w:val="38"/>
        <w:ind w:firstLine="0"/>
        <w:rPr>
          <w:rFonts w:ascii="黑体" w:hAnsi="黑体" w:eastAsia="黑体"/>
          <w:b/>
          <w:bCs/>
          <w:sz w:val="52"/>
          <w:szCs w:val="52"/>
        </w:rPr>
      </w:pPr>
    </w:p>
    <w:p>
      <w:pPr>
        <w:pStyle w:val="38"/>
        <w:ind w:firstLine="0"/>
        <w:rPr>
          <w:rFonts w:ascii="黑体" w:hAnsi="黑体" w:eastAsia="黑体"/>
          <w:b/>
          <w:bCs/>
          <w:sz w:val="52"/>
          <w:szCs w:val="52"/>
        </w:rPr>
      </w:pPr>
    </w:p>
    <w:p>
      <w:pPr>
        <w:pStyle w:val="38"/>
        <w:rPr>
          <w:rFonts w:ascii="黑体" w:hAnsi="黑体" w:eastAsia="黑体"/>
          <w:b/>
          <w:bCs/>
          <w:sz w:val="52"/>
          <w:szCs w:val="52"/>
        </w:rPr>
      </w:pPr>
    </w:p>
    <w:p>
      <w:pPr>
        <w:pStyle w:val="38"/>
        <w:rPr>
          <w:rFonts w:ascii="黑体" w:hAnsi="黑体" w:eastAsia="黑体"/>
          <w:b/>
          <w:bCs/>
          <w:sz w:val="52"/>
          <w:szCs w:val="52"/>
        </w:rPr>
      </w:pPr>
    </w:p>
    <w:p>
      <w:pPr>
        <w:pStyle w:val="38"/>
        <w:rPr>
          <w:rFonts w:ascii="黑体" w:hAnsi="黑体" w:eastAsia="黑体"/>
          <w:b/>
          <w:bCs/>
          <w:sz w:val="52"/>
          <w:szCs w:val="52"/>
        </w:rPr>
      </w:pPr>
    </w:p>
    <w:p>
      <w:pPr>
        <w:pStyle w:val="38"/>
        <w:rPr>
          <w:rFonts w:ascii="黑体" w:hAnsi="黑体" w:eastAsia="黑体"/>
          <w:b/>
          <w:bCs/>
          <w:sz w:val="52"/>
          <w:szCs w:val="52"/>
        </w:rPr>
      </w:pPr>
    </w:p>
    <w:p>
      <w:pPr>
        <w:spacing w:line="360" w:lineRule="auto"/>
        <w:jc w:val="center"/>
        <w:rPr>
          <w:rFonts w:ascii="黑体" w:hAnsi="黑体" w:eastAsia="黑体"/>
          <w:b/>
          <w:bCs/>
          <w:sz w:val="52"/>
          <w:szCs w:val="52"/>
        </w:rPr>
      </w:pPr>
      <w:r>
        <w:rPr>
          <w:rFonts w:hint="eastAsia" w:ascii="黑体" w:hAnsi="黑体" w:eastAsia="黑体"/>
          <w:b/>
          <w:bCs/>
          <w:sz w:val="52"/>
          <w:szCs w:val="52"/>
        </w:rPr>
        <w:t>监控出口防火墙及视频准入项目询价采购文件</w:t>
      </w:r>
    </w:p>
    <w:p>
      <w:pPr>
        <w:pStyle w:val="38"/>
        <w:spacing w:line="360" w:lineRule="auto"/>
        <w:ind w:firstLine="2400" w:firstLineChars="1000"/>
        <w:jc w:val="both"/>
        <w:rPr>
          <w:rFonts w:ascii="黑体" w:hAnsi="黑体" w:eastAsia="黑体"/>
          <w:snapToGrid/>
          <w:kern w:val="2"/>
          <w:szCs w:val="24"/>
        </w:rPr>
      </w:pPr>
      <w:r>
        <w:rPr>
          <w:rFonts w:hint="eastAsia" w:ascii="黑体" w:hAnsi="黑体" w:eastAsia="黑体"/>
          <w:snapToGrid/>
          <w:kern w:val="2"/>
          <w:szCs w:val="24"/>
        </w:rPr>
        <w:t>项目编号：</w:t>
      </w:r>
    </w:p>
    <w:p>
      <w:pPr>
        <w:spacing w:line="600" w:lineRule="exact"/>
      </w:pPr>
    </w:p>
    <w:p>
      <w:pPr>
        <w:spacing w:line="600" w:lineRule="exact"/>
      </w:pPr>
    </w:p>
    <w:p>
      <w:pPr>
        <w:pStyle w:val="16"/>
        <w:ind w:left="0" w:firstLine="0"/>
      </w:pPr>
    </w:p>
    <w:p>
      <w:pPr>
        <w:pStyle w:val="16"/>
      </w:pPr>
    </w:p>
    <w:p>
      <w:pPr>
        <w:pStyle w:val="16"/>
      </w:pPr>
    </w:p>
    <w:p>
      <w:pPr>
        <w:pStyle w:val="16"/>
      </w:pPr>
    </w:p>
    <w:p>
      <w:pPr>
        <w:pStyle w:val="16"/>
      </w:pPr>
    </w:p>
    <w:p>
      <w:pPr>
        <w:pStyle w:val="16"/>
      </w:pPr>
    </w:p>
    <w:p>
      <w:pPr>
        <w:pStyle w:val="16"/>
      </w:pPr>
    </w:p>
    <w:p>
      <w:pPr>
        <w:spacing w:line="600" w:lineRule="exact"/>
      </w:pPr>
    </w:p>
    <w:p>
      <w:pPr>
        <w:tabs>
          <w:tab w:val="left" w:pos="0"/>
          <w:tab w:val="left" w:pos="4185"/>
        </w:tabs>
        <w:spacing w:line="288" w:lineRule="auto"/>
        <w:ind w:right="-6"/>
        <w:jc w:val="center"/>
        <w:rPr>
          <w:rFonts w:ascii="黑体" w:hAnsi="黑体" w:eastAsia="黑体"/>
          <w:bCs/>
          <w:sz w:val="44"/>
          <w:szCs w:val="44"/>
        </w:rPr>
      </w:pPr>
      <w:r>
        <w:rPr>
          <w:rFonts w:hint="eastAsia" w:ascii="黑体" w:hAnsi="黑体" w:eastAsia="黑体"/>
          <w:bCs/>
          <w:sz w:val="44"/>
          <w:szCs w:val="44"/>
        </w:rPr>
        <w:t>岳阳</w:t>
      </w:r>
      <w:r>
        <w:rPr>
          <w:rFonts w:ascii="黑体" w:hAnsi="黑体" w:eastAsia="黑体"/>
          <w:bCs/>
          <w:sz w:val="44"/>
          <w:szCs w:val="44"/>
        </w:rPr>
        <w:t>城陵矶新港有限</w:t>
      </w:r>
      <w:r>
        <w:rPr>
          <w:rFonts w:hint="eastAsia" w:ascii="黑体" w:hAnsi="黑体" w:eastAsia="黑体"/>
          <w:bCs/>
          <w:sz w:val="44"/>
          <w:szCs w:val="44"/>
        </w:rPr>
        <w:t>公司</w:t>
      </w:r>
    </w:p>
    <w:p>
      <w:pPr>
        <w:tabs>
          <w:tab w:val="left" w:pos="0"/>
          <w:tab w:val="left" w:pos="4185"/>
        </w:tabs>
        <w:spacing w:line="288" w:lineRule="auto"/>
        <w:ind w:right="-6"/>
        <w:jc w:val="center"/>
        <w:rPr>
          <w:rFonts w:ascii="黑体" w:hAnsi="黑体" w:eastAsia="黑体"/>
          <w:bCs/>
          <w:sz w:val="44"/>
          <w:szCs w:val="44"/>
        </w:rPr>
      </w:pPr>
      <w:r>
        <w:rPr>
          <w:rFonts w:hint="eastAsia" w:ascii="黑体" w:hAnsi="黑体" w:eastAsia="黑体"/>
          <w:bCs/>
          <w:sz w:val="44"/>
          <w:szCs w:val="44"/>
        </w:rPr>
        <w:t>二О二四年</w:t>
      </w:r>
      <w:r>
        <w:rPr>
          <w:rFonts w:hint="eastAsia" w:ascii="黑体" w:hAnsi="黑体" w:eastAsia="黑体"/>
          <w:bCs/>
          <w:sz w:val="44"/>
          <w:szCs w:val="44"/>
          <w:lang w:val="en-US" w:eastAsia="zh-CN"/>
        </w:rPr>
        <w:t>四</w:t>
      </w:r>
      <w:r>
        <w:rPr>
          <w:rFonts w:hint="eastAsia" w:ascii="黑体" w:hAnsi="黑体" w:eastAsia="黑体"/>
          <w:bCs/>
          <w:sz w:val="44"/>
          <w:szCs w:val="44"/>
        </w:rPr>
        <w:t>月</w:t>
      </w:r>
    </w:p>
    <w:p>
      <w:pPr>
        <w:rPr>
          <w:rFonts w:ascii="黑体" w:hAnsi="黑体" w:eastAsia="黑体"/>
          <w:sz w:val="44"/>
          <w:szCs w:val="44"/>
          <w:lang w:val="zh-CN"/>
        </w:rPr>
      </w:pPr>
      <w:r>
        <w:rPr>
          <w:rFonts w:ascii="黑体" w:hAnsi="黑体" w:eastAsia="黑体"/>
          <w:sz w:val="44"/>
          <w:szCs w:val="44"/>
          <w:lang w:val="zh-CN"/>
        </w:rPr>
        <w:br w:type="page"/>
      </w:r>
    </w:p>
    <w:p>
      <w:pPr>
        <w:pStyle w:val="187"/>
        <w:keepNext w:val="0"/>
        <w:keepLines w:val="0"/>
        <w:widowControl w:val="0"/>
        <w:spacing w:before="0" w:line="600" w:lineRule="exact"/>
        <w:jc w:val="center"/>
        <w:rPr>
          <w:rFonts w:ascii="黑体" w:hAnsi="黑体" w:eastAsia="黑体"/>
          <w:b w:val="0"/>
          <w:color w:val="auto"/>
          <w:sz w:val="44"/>
          <w:szCs w:val="44"/>
          <w:lang w:val="zh-CN"/>
        </w:rPr>
      </w:pPr>
      <w:r>
        <w:rPr>
          <w:rFonts w:ascii="黑体" w:hAnsi="黑体" w:eastAsia="黑体"/>
          <w:b w:val="0"/>
          <w:color w:val="auto"/>
          <w:sz w:val="44"/>
          <w:szCs w:val="44"/>
          <w:lang w:val="zh-CN"/>
        </w:rPr>
        <w:t>目    录</w:t>
      </w:r>
    </w:p>
    <w:p>
      <w:pPr>
        <w:pStyle w:val="26"/>
        <w:widowControl w:val="0"/>
        <w:tabs>
          <w:tab w:val="right" w:leader="dot" w:pos="8948"/>
          <w:tab w:val="clear" w:pos="9242"/>
        </w:tabs>
        <w:adjustRightInd w:val="0"/>
        <w:snapToGrid w:val="0"/>
        <w:spacing w:beforeLines="0" w:afterLines="0" w:line="360" w:lineRule="auto"/>
        <w:ind w:firstLine="480" w:firstLineChars="200"/>
        <w:jc w:val="both"/>
        <w:rPr>
          <w:rFonts w:hAnsi="宋体" w:cs="宋体"/>
          <w:sz w:val="24"/>
          <w:szCs w:val="24"/>
        </w:rPr>
      </w:pPr>
    </w:p>
    <w:sdt>
      <w:sdtPr>
        <w:rPr>
          <w:rFonts w:hint="eastAsia" w:ascii="宋体" w:hAnsi="宋体" w:cs="宋体"/>
          <w:sz w:val="24"/>
          <w:highlight w:val="yellow"/>
        </w:rPr>
        <w:id w:val="147478620"/>
        <w15:color w:val="DBDBDB"/>
        <w:docPartObj>
          <w:docPartGallery w:val="Table of Contents"/>
          <w:docPartUnique/>
        </w:docPartObj>
      </w:sdtPr>
      <w:sdtEndPr>
        <w:rPr>
          <w:rFonts w:hint="eastAsia" w:ascii="Times New Roman" w:hAnsi="Times New Roman" w:cs="Times New Roman"/>
          <w:sz w:val="21"/>
          <w:highlight w:val="yellow"/>
        </w:rPr>
      </w:sdtEndPr>
      <w:sdtContent>
        <w:p>
          <w:pPr>
            <w:spacing w:line="360" w:lineRule="auto"/>
            <w:jc w:val="center"/>
            <w:rPr>
              <w:rFonts w:ascii="宋体" w:hAnsi="宋体" w:cs="宋体"/>
              <w:sz w:val="24"/>
              <w:highlight w:val="yellow"/>
            </w:rPr>
          </w:pPr>
        </w:p>
        <w:p>
          <w:pPr>
            <w:pStyle w:val="188"/>
            <w:tabs>
              <w:tab w:val="right" w:leader="dot" w:pos="8300"/>
            </w:tabs>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TOC \o "1-1" \h \u </w:instrText>
          </w:r>
          <w:r>
            <w:rPr>
              <w:rFonts w:hint="eastAsia" w:ascii="微软雅黑" w:hAnsi="微软雅黑" w:eastAsia="微软雅黑" w:cs="微软雅黑"/>
              <w:sz w:val="24"/>
              <w:szCs w:val="24"/>
            </w:rPr>
            <w:fldChar w:fldCharType="separate"/>
          </w:r>
          <w:r>
            <w:fldChar w:fldCharType="begin"/>
          </w:r>
          <w:r>
            <w:instrText xml:space="preserve"> HYPERLINK \l "_Toc25723" </w:instrText>
          </w:r>
          <w:r>
            <w:fldChar w:fldCharType="separate"/>
          </w:r>
          <w:r>
            <w:rPr>
              <w:rFonts w:hint="eastAsia" w:ascii="微软雅黑" w:hAnsi="微软雅黑" w:eastAsia="微软雅黑" w:cs="微软雅黑"/>
              <w:sz w:val="24"/>
              <w:szCs w:val="24"/>
            </w:rPr>
            <w:t>第一章 采购公告</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_Toc25723 \h </w:instrText>
          </w:r>
          <w:r>
            <w:rPr>
              <w:rFonts w:hint="eastAsia" w:ascii="微软雅黑" w:hAnsi="微软雅黑" w:eastAsia="微软雅黑" w:cs="微软雅黑"/>
              <w:sz w:val="24"/>
              <w:szCs w:val="24"/>
            </w:rPr>
            <w:fldChar w:fldCharType="separate"/>
          </w:r>
          <w:r>
            <w:rPr>
              <w:rFonts w:ascii="微软雅黑" w:hAnsi="微软雅黑" w:eastAsia="微软雅黑" w:cs="微软雅黑"/>
              <w:sz w:val="24"/>
              <w:szCs w:val="24"/>
            </w:rPr>
            <w:t>3</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88"/>
            <w:tabs>
              <w:tab w:val="right" w:leader="dot" w:pos="8300"/>
            </w:tabs>
            <w:spacing w:line="360" w:lineRule="auto"/>
            <w:rPr>
              <w:rFonts w:ascii="微软雅黑" w:hAnsi="微软雅黑" w:eastAsia="微软雅黑" w:cs="微软雅黑"/>
              <w:sz w:val="24"/>
              <w:szCs w:val="24"/>
            </w:rPr>
          </w:pPr>
          <w:r>
            <w:fldChar w:fldCharType="begin"/>
          </w:r>
          <w:r>
            <w:instrText xml:space="preserve"> HYPERLINK \l "_Toc4462" </w:instrText>
          </w:r>
          <w:r>
            <w:fldChar w:fldCharType="separate"/>
          </w:r>
          <w:r>
            <w:rPr>
              <w:rFonts w:hint="eastAsia" w:ascii="微软雅黑" w:hAnsi="微软雅黑" w:eastAsia="微软雅黑" w:cs="微软雅黑"/>
              <w:sz w:val="24"/>
              <w:szCs w:val="24"/>
            </w:rPr>
            <w:t>第二章 供应商须知</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_Toc4462 \h </w:instrText>
          </w:r>
          <w:r>
            <w:rPr>
              <w:rFonts w:hint="eastAsia" w:ascii="微软雅黑" w:hAnsi="微软雅黑" w:eastAsia="微软雅黑" w:cs="微软雅黑"/>
              <w:sz w:val="24"/>
              <w:szCs w:val="24"/>
            </w:rPr>
            <w:fldChar w:fldCharType="separate"/>
          </w:r>
          <w:r>
            <w:rPr>
              <w:rFonts w:ascii="微软雅黑" w:hAnsi="微软雅黑" w:eastAsia="微软雅黑" w:cs="微软雅黑"/>
              <w:sz w:val="24"/>
              <w:szCs w:val="24"/>
            </w:rPr>
            <w:t>7</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88"/>
            <w:tabs>
              <w:tab w:val="right" w:leader="dot" w:pos="8300"/>
            </w:tabs>
            <w:spacing w:line="360" w:lineRule="auto"/>
            <w:rPr>
              <w:rFonts w:ascii="微软雅黑" w:hAnsi="微软雅黑" w:eastAsia="微软雅黑" w:cs="微软雅黑"/>
              <w:sz w:val="24"/>
              <w:szCs w:val="24"/>
            </w:rPr>
          </w:pPr>
          <w:r>
            <w:fldChar w:fldCharType="begin"/>
          </w:r>
          <w:r>
            <w:instrText xml:space="preserve"> HYPERLINK \l "_Toc2458" </w:instrText>
          </w:r>
          <w:r>
            <w:fldChar w:fldCharType="separate"/>
          </w:r>
          <w:r>
            <w:rPr>
              <w:rFonts w:hint="eastAsia" w:ascii="微软雅黑" w:hAnsi="微软雅黑" w:eastAsia="微软雅黑" w:cs="微软雅黑"/>
              <w:sz w:val="24"/>
              <w:szCs w:val="24"/>
            </w:rPr>
            <w:t>第三章 评审办法</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_Toc2458 \h </w:instrText>
          </w:r>
          <w:r>
            <w:rPr>
              <w:rFonts w:hint="eastAsia" w:ascii="微软雅黑" w:hAnsi="微软雅黑" w:eastAsia="微软雅黑" w:cs="微软雅黑"/>
              <w:sz w:val="24"/>
              <w:szCs w:val="24"/>
            </w:rPr>
            <w:fldChar w:fldCharType="separate"/>
          </w:r>
          <w:r>
            <w:rPr>
              <w:rFonts w:ascii="微软雅黑" w:hAnsi="微软雅黑" w:eastAsia="微软雅黑" w:cs="微软雅黑"/>
              <w:sz w:val="24"/>
              <w:szCs w:val="24"/>
            </w:rPr>
            <w:t>24</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88"/>
            <w:tabs>
              <w:tab w:val="right" w:leader="dot" w:pos="8300"/>
            </w:tabs>
            <w:spacing w:line="360" w:lineRule="auto"/>
            <w:rPr>
              <w:rFonts w:ascii="微软雅黑" w:hAnsi="微软雅黑" w:eastAsia="微软雅黑" w:cs="微软雅黑"/>
              <w:sz w:val="24"/>
              <w:szCs w:val="24"/>
            </w:rPr>
          </w:pPr>
          <w:r>
            <w:fldChar w:fldCharType="begin"/>
          </w:r>
          <w:r>
            <w:instrText xml:space="preserve"> HYPERLINK \l "_Toc9329" </w:instrText>
          </w:r>
          <w:r>
            <w:fldChar w:fldCharType="separate"/>
          </w:r>
          <w:r>
            <w:rPr>
              <w:rFonts w:hint="eastAsia" w:ascii="微软雅黑" w:hAnsi="微软雅黑" w:eastAsia="微软雅黑" w:cs="微软雅黑"/>
              <w:sz w:val="24"/>
              <w:szCs w:val="24"/>
            </w:rPr>
            <w:t>第四章 合同条款及格式</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3</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2</w:t>
          </w:r>
        </w:p>
        <w:p>
          <w:pPr>
            <w:pStyle w:val="188"/>
            <w:tabs>
              <w:tab w:val="right" w:leader="dot" w:pos="8300"/>
            </w:tabs>
            <w:spacing w:line="360" w:lineRule="auto"/>
            <w:rPr>
              <w:rFonts w:ascii="微软雅黑" w:hAnsi="微软雅黑" w:eastAsia="微软雅黑" w:cs="微软雅黑"/>
              <w:sz w:val="24"/>
              <w:szCs w:val="24"/>
            </w:rPr>
          </w:pPr>
          <w:r>
            <w:fldChar w:fldCharType="begin"/>
          </w:r>
          <w:r>
            <w:instrText xml:space="preserve"> HYPERLINK \l "_Toc25367" </w:instrText>
          </w:r>
          <w:r>
            <w:fldChar w:fldCharType="separate"/>
          </w:r>
          <w:r>
            <w:rPr>
              <w:rFonts w:hint="eastAsia" w:ascii="微软雅黑" w:hAnsi="微软雅黑" w:eastAsia="微软雅黑" w:cs="微软雅黑"/>
              <w:sz w:val="24"/>
              <w:szCs w:val="24"/>
            </w:rPr>
            <w:t>第五章 采购需求</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47</w:t>
          </w:r>
        </w:p>
        <w:p>
          <w:pPr>
            <w:pStyle w:val="188"/>
            <w:tabs>
              <w:tab w:val="right" w:leader="dot" w:pos="8300"/>
            </w:tabs>
            <w:spacing w:line="360" w:lineRule="auto"/>
            <w:rPr>
              <w:rFonts w:ascii="微软雅黑" w:hAnsi="微软雅黑" w:eastAsia="微软雅黑" w:cs="微软雅黑"/>
              <w:sz w:val="24"/>
              <w:szCs w:val="24"/>
            </w:rPr>
          </w:pPr>
          <w:r>
            <w:fldChar w:fldCharType="begin"/>
          </w:r>
          <w:r>
            <w:instrText xml:space="preserve"> HYPERLINK \l "_Toc3928" </w:instrText>
          </w:r>
          <w:r>
            <w:fldChar w:fldCharType="separate"/>
          </w:r>
          <w:r>
            <w:rPr>
              <w:rFonts w:hint="eastAsia" w:ascii="微软雅黑" w:hAnsi="微软雅黑" w:eastAsia="微软雅黑" w:cs="微软雅黑"/>
              <w:sz w:val="24"/>
              <w:szCs w:val="24"/>
            </w:rPr>
            <w:t>第六章 响应文件格式</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51</w:t>
          </w:r>
        </w:p>
        <w:p>
          <w:pPr>
            <w:pStyle w:val="188"/>
            <w:tabs>
              <w:tab w:val="right" w:leader="dot" w:pos="8300"/>
            </w:tabs>
            <w:spacing w:line="360" w:lineRule="auto"/>
            <w:ind w:left="210" w:leftChars="100"/>
            <w:rPr>
              <w:rFonts w:ascii="微软雅黑" w:hAnsi="微软雅黑" w:eastAsia="微软雅黑" w:cs="微软雅黑"/>
              <w:sz w:val="24"/>
              <w:szCs w:val="24"/>
            </w:rPr>
          </w:pPr>
          <w:r>
            <w:fldChar w:fldCharType="begin"/>
          </w:r>
          <w:r>
            <w:instrText xml:space="preserve"> HYPERLINK \l "_Toc23934" </w:instrText>
          </w:r>
          <w:r>
            <w:fldChar w:fldCharType="separate"/>
          </w:r>
          <w:r>
            <w:rPr>
              <w:rFonts w:hint="eastAsia" w:ascii="微软雅黑" w:hAnsi="微软雅黑" w:eastAsia="微软雅黑" w:cs="微软雅黑"/>
              <w:sz w:val="24"/>
              <w:szCs w:val="24"/>
            </w:rPr>
            <w:t>一、响应函</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53</w:t>
          </w:r>
        </w:p>
        <w:p>
          <w:pPr>
            <w:pStyle w:val="188"/>
            <w:tabs>
              <w:tab w:val="right" w:leader="dot" w:pos="8300"/>
            </w:tabs>
            <w:spacing w:line="360" w:lineRule="auto"/>
            <w:ind w:left="210" w:leftChars="100"/>
            <w:rPr>
              <w:rFonts w:ascii="微软雅黑" w:hAnsi="微软雅黑" w:eastAsia="微软雅黑" w:cs="微软雅黑"/>
              <w:sz w:val="24"/>
              <w:szCs w:val="24"/>
            </w:rPr>
          </w:pPr>
          <w:r>
            <w:fldChar w:fldCharType="begin"/>
          </w:r>
          <w:r>
            <w:instrText xml:space="preserve"> HYPERLINK \l "_Toc23996" </w:instrText>
          </w:r>
          <w:r>
            <w:fldChar w:fldCharType="separate"/>
          </w:r>
          <w:r>
            <w:rPr>
              <w:rFonts w:hint="eastAsia" w:ascii="微软雅黑" w:hAnsi="微软雅黑" w:eastAsia="微软雅黑" w:cs="微软雅黑"/>
              <w:sz w:val="24"/>
              <w:szCs w:val="24"/>
            </w:rPr>
            <w:t>二、授权委托书(适用于有委托代理人的情况)</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56</w:t>
          </w:r>
        </w:p>
        <w:p>
          <w:pPr>
            <w:pStyle w:val="188"/>
            <w:tabs>
              <w:tab w:val="right" w:leader="dot" w:pos="8300"/>
            </w:tabs>
            <w:spacing w:line="360" w:lineRule="auto"/>
            <w:ind w:left="210" w:leftChars="100"/>
            <w:rPr>
              <w:rFonts w:ascii="微软雅黑" w:hAnsi="微软雅黑" w:eastAsia="微软雅黑" w:cs="微软雅黑"/>
              <w:sz w:val="24"/>
              <w:szCs w:val="24"/>
            </w:rPr>
          </w:pPr>
          <w:r>
            <w:fldChar w:fldCharType="begin"/>
          </w:r>
          <w:r>
            <w:instrText xml:space="preserve"> HYPERLINK \l "_Toc16749" </w:instrText>
          </w:r>
          <w:r>
            <w:fldChar w:fldCharType="separate"/>
          </w:r>
          <w:r>
            <w:rPr>
              <w:rFonts w:hint="eastAsia" w:ascii="微软雅黑" w:hAnsi="微软雅黑" w:eastAsia="微软雅黑" w:cs="微软雅黑"/>
              <w:sz w:val="24"/>
              <w:szCs w:val="24"/>
            </w:rPr>
            <w:t>三、商务和技术偏差表</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57</w:t>
          </w:r>
        </w:p>
        <w:p>
          <w:pPr>
            <w:pStyle w:val="188"/>
            <w:tabs>
              <w:tab w:val="right" w:leader="dot" w:pos="8300"/>
            </w:tabs>
            <w:spacing w:line="360" w:lineRule="auto"/>
            <w:ind w:left="210" w:leftChars="100"/>
            <w:rPr>
              <w:rFonts w:ascii="微软雅黑" w:hAnsi="微软雅黑" w:eastAsia="微软雅黑" w:cs="微软雅黑"/>
              <w:sz w:val="24"/>
              <w:szCs w:val="24"/>
            </w:rPr>
          </w:pPr>
          <w:r>
            <w:fldChar w:fldCharType="begin"/>
          </w:r>
          <w:r>
            <w:instrText xml:space="preserve"> HYPERLINK \l "_Toc23116" </w:instrText>
          </w:r>
          <w:r>
            <w:fldChar w:fldCharType="separate"/>
          </w:r>
          <w:r>
            <w:rPr>
              <w:rFonts w:hint="eastAsia" w:ascii="微软雅黑" w:hAnsi="微软雅黑" w:eastAsia="微软雅黑" w:cs="微软雅黑"/>
              <w:sz w:val="24"/>
              <w:szCs w:val="24"/>
            </w:rPr>
            <w:t>四、报价表</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58</w:t>
          </w:r>
        </w:p>
        <w:p>
          <w:pPr>
            <w:pStyle w:val="188"/>
            <w:tabs>
              <w:tab w:val="right" w:leader="dot" w:pos="8300"/>
            </w:tabs>
            <w:spacing w:line="360" w:lineRule="auto"/>
            <w:ind w:left="210" w:leftChars="100"/>
            <w:rPr>
              <w:rFonts w:ascii="微软雅黑" w:hAnsi="微软雅黑" w:eastAsia="微软雅黑" w:cs="微软雅黑"/>
              <w:sz w:val="24"/>
              <w:szCs w:val="24"/>
            </w:rPr>
          </w:pPr>
          <w:r>
            <w:fldChar w:fldCharType="begin"/>
          </w:r>
          <w:r>
            <w:instrText xml:space="preserve"> HYPERLINK \l "_Toc12364" </w:instrText>
          </w:r>
          <w:r>
            <w:fldChar w:fldCharType="separate"/>
          </w:r>
          <w:r>
            <w:rPr>
              <w:rFonts w:hint="eastAsia" w:ascii="微软雅黑" w:hAnsi="微软雅黑" w:eastAsia="微软雅黑" w:cs="微软雅黑"/>
              <w:sz w:val="24"/>
              <w:szCs w:val="24"/>
            </w:rPr>
            <w:t>五、资格审查资料</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59</w:t>
          </w:r>
        </w:p>
        <w:p>
          <w:pPr>
            <w:pStyle w:val="188"/>
            <w:tabs>
              <w:tab w:val="right" w:leader="dot" w:pos="8300"/>
            </w:tabs>
            <w:spacing w:line="360" w:lineRule="auto"/>
            <w:ind w:left="210" w:leftChars="100"/>
            <w:rPr>
              <w:rFonts w:ascii="微软雅黑" w:hAnsi="微软雅黑" w:eastAsia="微软雅黑" w:cs="微软雅黑"/>
              <w:sz w:val="24"/>
              <w:szCs w:val="24"/>
            </w:rPr>
          </w:pPr>
          <w:r>
            <w:fldChar w:fldCharType="begin"/>
          </w:r>
          <w:r>
            <w:instrText xml:space="preserve"> HYPERLINK \l "_Toc18209" </w:instrText>
          </w:r>
          <w:r>
            <w:fldChar w:fldCharType="separate"/>
          </w:r>
          <w:r>
            <w:rPr>
              <w:rFonts w:hint="eastAsia" w:ascii="微软雅黑" w:hAnsi="微软雅黑" w:eastAsia="微软雅黑" w:cs="微软雅黑"/>
              <w:sz w:val="24"/>
              <w:szCs w:val="24"/>
            </w:rPr>
            <w:t>六、响应方案</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61</w:t>
          </w:r>
        </w:p>
        <w:p>
          <w:pPr>
            <w:pStyle w:val="188"/>
            <w:tabs>
              <w:tab w:val="right" w:leader="dot" w:pos="8300"/>
            </w:tabs>
            <w:spacing w:line="360" w:lineRule="auto"/>
            <w:ind w:left="210" w:leftChars="100"/>
            <w:rPr>
              <w:rFonts w:ascii="微软雅黑" w:hAnsi="微软雅黑" w:eastAsia="微软雅黑" w:cs="微软雅黑"/>
              <w:sz w:val="24"/>
              <w:szCs w:val="24"/>
            </w:rPr>
          </w:pPr>
          <w:r>
            <w:fldChar w:fldCharType="begin"/>
          </w:r>
          <w:r>
            <w:instrText xml:space="preserve"> HYPERLINK \l "_Toc2071" </w:instrText>
          </w:r>
          <w:r>
            <w:fldChar w:fldCharType="separate"/>
          </w:r>
          <w:r>
            <w:rPr>
              <w:rFonts w:hint="eastAsia" w:ascii="微软雅黑" w:hAnsi="微软雅黑" w:eastAsia="微软雅黑" w:cs="微软雅黑"/>
              <w:sz w:val="24"/>
              <w:szCs w:val="24"/>
            </w:rPr>
            <w:t>七、其他资料</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62</w:t>
          </w:r>
        </w:p>
        <w:p>
          <w:pPr>
            <w:spacing w:line="360" w:lineRule="auto"/>
          </w:pPr>
          <w:r>
            <w:rPr>
              <w:rFonts w:hint="eastAsia" w:ascii="微软雅黑" w:hAnsi="微软雅黑" w:eastAsia="微软雅黑" w:cs="微软雅黑"/>
              <w:sz w:val="24"/>
            </w:rPr>
            <w:fldChar w:fldCharType="end"/>
          </w:r>
        </w:p>
      </w:sdtContent>
    </w:sdt>
    <w:p>
      <w:pPr>
        <w:numPr>
          <w:ilvl w:val="0"/>
          <w:numId w:val="1"/>
        </w:numPr>
        <w:spacing w:line="600" w:lineRule="exact"/>
        <w:jc w:val="center"/>
        <w:outlineLvl w:val="0"/>
        <w:rPr>
          <w:rFonts w:ascii="黑体" w:hAnsi="黑体" w:eastAsia="黑体" w:cs="仿宋"/>
          <w:b/>
          <w:color w:val="000000"/>
          <w:sz w:val="44"/>
          <w:szCs w:val="44"/>
        </w:rPr>
      </w:pPr>
      <w:bookmarkStart w:id="0" w:name="_Toc25723"/>
      <w:r>
        <w:rPr>
          <w:rFonts w:hint="eastAsia" w:ascii="黑体" w:hAnsi="黑体" w:eastAsia="黑体" w:cs="仿宋"/>
          <w:b/>
          <w:color w:val="000000"/>
          <w:sz w:val="44"/>
          <w:szCs w:val="44"/>
        </w:rPr>
        <w:br w:type="page"/>
      </w:r>
    </w:p>
    <w:p>
      <w:pPr>
        <w:pStyle w:val="77"/>
        <w:numPr>
          <w:ilvl w:val="255"/>
          <w:numId w:val="0"/>
        </w:numPr>
        <w:spacing w:line="600" w:lineRule="exact"/>
        <w:jc w:val="center"/>
        <w:outlineLvl w:val="0"/>
        <w:rPr>
          <w:rFonts w:ascii="黑体" w:hAnsi="黑体" w:eastAsia="黑体" w:cs="仿宋"/>
          <w:b/>
          <w:color w:val="000000"/>
          <w:sz w:val="44"/>
          <w:szCs w:val="44"/>
        </w:rPr>
      </w:pPr>
      <w:r>
        <w:rPr>
          <w:rFonts w:hint="eastAsia" w:ascii="黑体" w:hAnsi="黑体" w:eastAsia="黑体" w:cs="仿宋"/>
          <w:b/>
          <w:color w:val="000000"/>
          <w:sz w:val="44"/>
          <w:szCs w:val="44"/>
        </w:rPr>
        <w:t>第一章 采购公告</w:t>
      </w:r>
      <w:bookmarkEnd w:id="0"/>
    </w:p>
    <w:p>
      <w:pPr>
        <w:rPr>
          <w:sz w:val="32"/>
          <w:szCs w:val="32"/>
        </w:rPr>
      </w:pPr>
    </w:p>
    <w:p>
      <w:pPr>
        <w:widowControl w:val="0"/>
        <w:adjustRightInd w:val="0"/>
        <w:snapToGrid w:val="0"/>
        <w:spacing w:line="360" w:lineRule="auto"/>
        <w:jc w:val="center"/>
      </w:pPr>
      <w:r>
        <w:rPr>
          <w:rFonts w:hint="eastAsia" w:ascii="黑体" w:hAnsi="黑体" w:eastAsia="黑体" w:cs="黑体"/>
          <w:sz w:val="32"/>
          <w:szCs w:val="32"/>
        </w:rPr>
        <w:t>岳阳</w:t>
      </w:r>
      <w:r>
        <w:rPr>
          <w:rFonts w:ascii="黑体" w:hAnsi="黑体" w:eastAsia="黑体" w:cs="黑体"/>
          <w:sz w:val="32"/>
          <w:szCs w:val="32"/>
        </w:rPr>
        <w:t>城陵矶新港</w:t>
      </w:r>
      <w:r>
        <w:rPr>
          <w:rFonts w:hint="eastAsia" w:ascii="黑体" w:hAnsi="黑体" w:eastAsia="黑体" w:cs="黑体"/>
          <w:sz w:val="32"/>
          <w:szCs w:val="32"/>
        </w:rPr>
        <w:t>有限公司监控出口防火墙及视频准入设备项目采购公告</w:t>
      </w:r>
      <w:r>
        <w:rPr>
          <w:rFonts w:hint="eastAsia"/>
        </w:rPr>
        <w:t xml:space="preserve"> </w:t>
      </w:r>
    </w:p>
    <w:p>
      <w:pPr>
        <w:autoSpaceDE w:val="0"/>
        <w:spacing w:line="360" w:lineRule="auto"/>
        <w:jc w:val="both"/>
        <w:rPr>
          <w:rFonts w:ascii="宋体" w:hAnsi="宋体"/>
          <w:sz w:val="24"/>
        </w:rPr>
      </w:pPr>
      <w:r>
        <w:rPr>
          <w:rFonts w:hint="eastAsia" w:ascii="宋体" w:hAnsi="宋体"/>
          <w:sz w:val="24"/>
        </w:rPr>
        <w:t xml:space="preserve">   </w:t>
      </w:r>
      <w:r>
        <w:rPr>
          <w:rFonts w:hint="eastAsia" w:ascii="宋体" w:hAnsi="宋体" w:cs="宋体"/>
          <w:color w:val="000000"/>
          <w:sz w:val="24"/>
        </w:rPr>
        <w:t>岳阳</w:t>
      </w:r>
      <w:r>
        <w:rPr>
          <w:rFonts w:ascii="宋体" w:hAnsi="宋体" w:cs="宋体"/>
          <w:color w:val="000000"/>
          <w:sz w:val="24"/>
        </w:rPr>
        <w:t>城陵矶新港</w:t>
      </w:r>
      <w:r>
        <w:rPr>
          <w:rFonts w:hint="eastAsia" w:ascii="宋体" w:hAnsi="宋体" w:cs="宋体"/>
          <w:color w:val="000000"/>
          <w:sz w:val="24"/>
        </w:rPr>
        <w:t>有限公司监控出口防火墙及视频准入设备项目</w:t>
      </w:r>
      <w:r>
        <w:rPr>
          <w:rFonts w:hint="eastAsia" w:ascii="宋体" w:hAnsi="宋体"/>
          <w:sz w:val="24"/>
        </w:rPr>
        <w:t>已具备采购条件，现公开邀请具备实施能力的供应商参加采购活动。</w:t>
      </w:r>
    </w:p>
    <w:p>
      <w:pPr>
        <w:pStyle w:val="4"/>
        <w:spacing w:line="360" w:lineRule="auto"/>
        <w:jc w:val="both"/>
        <w:rPr>
          <w:rFonts w:ascii="Arial" w:hAnsi="Arial"/>
        </w:rPr>
      </w:pPr>
      <w:r>
        <w:rPr>
          <w:rFonts w:hint="eastAsia"/>
        </w:rPr>
        <w:t xml:space="preserve">1 </w:t>
      </w:r>
      <w:r>
        <w:rPr>
          <w:rFonts w:hint="eastAsia" w:ascii="黑体" w:hAnsi="黑体"/>
        </w:rPr>
        <w:t xml:space="preserve">采购项目简介 </w:t>
      </w:r>
    </w:p>
    <w:p>
      <w:pPr>
        <w:autoSpaceDE w:val="0"/>
        <w:spacing w:line="360" w:lineRule="auto"/>
        <w:jc w:val="both"/>
        <w:rPr>
          <w:rFonts w:ascii="宋体" w:hAnsi="宋体" w:cs="宋体"/>
          <w:sz w:val="24"/>
        </w:rPr>
      </w:pPr>
      <w:r>
        <w:rPr>
          <w:rFonts w:hint="eastAsia" w:ascii="宋体" w:hAnsi="宋体"/>
          <w:b/>
          <w:bCs/>
          <w:sz w:val="24"/>
        </w:rPr>
        <w:t>1.1</w:t>
      </w:r>
      <w:r>
        <w:rPr>
          <w:rFonts w:hint="eastAsia" w:ascii="宋体" w:hAnsi="宋体"/>
          <w:sz w:val="24"/>
        </w:rPr>
        <w:t xml:space="preserve"> 采购项目名</w:t>
      </w:r>
      <w:r>
        <w:rPr>
          <w:rFonts w:hint="eastAsia" w:ascii="宋体" w:hAnsi="宋体" w:cs="宋体"/>
          <w:sz w:val="24"/>
        </w:rPr>
        <w:t>称:</w:t>
      </w:r>
      <w:r>
        <w:rPr>
          <w:rFonts w:hint="eastAsia" w:ascii="宋体" w:hAnsi="宋体" w:cs="宋体"/>
          <w:color w:val="000000"/>
          <w:sz w:val="24"/>
        </w:rPr>
        <w:t>岳阳</w:t>
      </w:r>
      <w:r>
        <w:rPr>
          <w:rFonts w:ascii="宋体" w:hAnsi="宋体" w:cs="宋体"/>
          <w:color w:val="000000"/>
          <w:sz w:val="24"/>
        </w:rPr>
        <w:t>城陵矶新港</w:t>
      </w:r>
      <w:r>
        <w:rPr>
          <w:rFonts w:hint="eastAsia" w:ascii="宋体" w:hAnsi="宋体" w:cs="宋体"/>
          <w:color w:val="000000"/>
          <w:sz w:val="24"/>
        </w:rPr>
        <w:t>有限公司监控出口防火墙及视频准入设备项目</w:t>
      </w:r>
    </w:p>
    <w:p>
      <w:pPr>
        <w:autoSpaceDE w:val="0"/>
        <w:spacing w:line="360" w:lineRule="auto"/>
        <w:jc w:val="both"/>
        <w:rPr>
          <w:rFonts w:ascii="宋体" w:hAnsi="宋体"/>
          <w:sz w:val="24"/>
        </w:rPr>
      </w:pPr>
      <w:r>
        <w:rPr>
          <w:rFonts w:hint="eastAsia" w:ascii="宋体" w:hAnsi="宋体"/>
          <w:b/>
          <w:bCs/>
          <w:sz w:val="24"/>
        </w:rPr>
        <w:t>1.2</w:t>
      </w:r>
      <w:r>
        <w:rPr>
          <w:rFonts w:hint="eastAsia" w:ascii="宋体" w:hAnsi="宋体"/>
          <w:sz w:val="24"/>
        </w:rPr>
        <w:t xml:space="preserve"> 采购人:</w:t>
      </w:r>
      <w:r>
        <w:rPr>
          <w:rFonts w:hint="eastAsia" w:ascii="宋体" w:hAnsi="宋体" w:cs="宋体"/>
          <w:color w:val="000000"/>
          <w:sz w:val="24"/>
        </w:rPr>
        <w:t xml:space="preserve"> 岳阳</w:t>
      </w:r>
      <w:r>
        <w:rPr>
          <w:rFonts w:ascii="宋体" w:hAnsi="宋体" w:cs="宋体"/>
          <w:color w:val="000000"/>
          <w:sz w:val="24"/>
        </w:rPr>
        <w:t>城陵矶新港</w:t>
      </w:r>
      <w:r>
        <w:rPr>
          <w:rFonts w:hint="eastAsia" w:ascii="宋体" w:hAnsi="宋体" w:cs="宋体"/>
          <w:color w:val="000000"/>
          <w:sz w:val="24"/>
        </w:rPr>
        <w:t>有限</w:t>
      </w:r>
      <w:r>
        <w:rPr>
          <w:rFonts w:hint="eastAsia" w:ascii="宋体" w:hAnsi="宋体"/>
          <w:sz w:val="24"/>
        </w:rPr>
        <w:t>公司</w:t>
      </w:r>
    </w:p>
    <w:p>
      <w:pPr>
        <w:autoSpaceDE w:val="0"/>
        <w:spacing w:line="360" w:lineRule="auto"/>
        <w:jc w:val="both"/>
        <w:rPr>
          <w:rFonts w:ascii="宋体" w:hAnsi="宋体"/>
          <w:sz w:val="24"/>
        </w:rPr>
      </w:pPr>
      <w:r>
        <w:rPr>
          <w:rFonts w:hint="eastAsia" w:ascii="宋体" w:hAnsi="宋体"/>
          <w:b/>
          <w:bCs/>
          <w:sz w:val="24"/>
        </w:rPr>
        <w:t>1.3</w:t>
      </w:r>
      <w:r>
        <w:rPr>
          <w:rFonts w:hint="eastAsia" w:ascii="宋体" w:hAnsi="宋体"/>
          <w:sz w:val="24"/>
        </w:rPr>
        <w:t xml:space="preserve"> 采购代理机构:无</w:t>
      </w:r>
    </w:p>
    <w:p>
      <w:pPr>
        <w:autoSpaceDE w:val="0"/>
        <w:spacing w:line="360" w:lineRule="auto"/>
        <w:jc w:val="both"/>
        <w:rPr>
          <w:rFonts w:ascii="宋体" w:hAnsi="宋体"/>
          <w:sz w:val="24"/>
        </w:rPr>
      </w:pPr>
      <w:r>
        <w:rPr>
          <w:rFonts w:hint="eastAsia" w:ascii="宋体" w:hAnsi="宋体"/>
          <w:b/>
          <w:bCs/>
          <w:sz w:val="24"/>
        </w:rPr>
        <w:t xml:space="preserve">1.4 </w:t>
      </w:r>
      <w:r>
        <w:rPr>
          <w:rFonts w:hint="eastAsia" w:ascii="宋体" w:hAnsi="宋体"/>
          <w:sz w:val="24"/>
        </w:rPr>
        <w:t>采购项目资金落实情况:自筹资金，已落实</w:t>
      </w:r>
    </w:p>
    <w:p>
      <w:pPr>
        <w:autoSpaceDE w:val="0"/>
        <w:spacing w:line="360" w:lineRule="auto"/>
        <w:jc w:val="both"/>
        <w:rPr>
          <w:rFonts w:ascii="宋体" w:hAnsi="宋体"/>
          <w:sz w:val="24"/>
        </w:rPr>
      </w:pPr>
      <w:r>
        <w:rPr>
          <w:rFonts w:hint="eastAsia" w:ascii="宋体" w:hAnsi="宋体"/>
          <w:b/>
          <w:bCs/>
          <w:sz w:val="24"/>
        </w:rPr>
        <w:t xml:space="preserve">1.5 </w:t>
      </w:r>
      <w:r>
        <w:rPr>
          <w:rFonts w:hint="eastAsia" w:ascii="宋体" w:hAnsi="宋体"/>
          <w:sz w:val="24"/>
        </w:rPr>
        <w:t>采购项目概况:随着我司监控视频数据的完善，网络安全的问题突出，本次采购出口防火墙及视频准入，对视频边界的安全防护以及监控设备的入网合规性加强监管，提升公司监控视频网的安全。</w:t>
      </w:r>
    </w:p>
    <w:p>
      <w:pPr>
        <w:pStyle w:val="4"/>
        <w:spacing w:line="360" w:lineRule="auto"/>
        <w:jc w:val="both"/>
        <w:rPr>
          <w:rFonts w:ascii="Arial" w:hAnsi="Arial"/>
        </w:rPr>
      </w:pPr>
      <w:r>
        <w:rPr>
          <w:rFonts w:hint="eastAsia"/>
        </w:rPr>
        <w:t>2．</w:t>
      </w:r>
      <w:r>
        <w:rPr>
          <w:rFonts w:hint="eastAsia" w:ascii="黑体" w:hAnsi="黑体"/>
        </w:rPr>
        <w:t>采购范围及相关要求</w:t>
      </w:r>
    </w:p>
    <w:p>
      <w:pPr>
        <w:autoSpaceDE w:val="0"/>
        <w:spacing w:line="360" w:lineRule="auto"/>
        <w:jc w:val="both"/>
        <w:rPr>
          <w:rFonts w:ascii="宋体" w:hAnsi="宋体"/>
          <w:sz w:val="24"/>
        </w:rPr>
      </w:pPr>
      <w:r>
        <w:rPr>
          <w:rFonts w:hint="eastAsia" w:ascii="宋体" w:hAnsi="宋体"/>
          <w:b/>
          <w:bCs/>
          <w:sz w:val="24"/>
        </w:rPr>
        <w:t xml:space="preserve">2.1 </w:t>
      </w:r>
      <w:r>
        <w:rPr>
          <w:rFonts w:hint="eastAsia" w:ascii="宋体" w:hAnsi="宋体"/>
          <w:sz w:val="24"/>
        </w:rPr>
        <w:t xml:space="preserve">采购范围: </w:t>
      </w:r>
    </w:p>
    <w:p>
      <w:pPr>
        <w:autoSpaceDE w:val="0"/>
        <w:spacing w:line="360" w:lineRule="auto"/>
        <w:jc w:val="both"/>
        <w:rPr>
          <w:rFonts w:ascii="宋体" w:hAnsi="宋体"/>
          <w:sz w:val="24"/>
        </w:rPr>
      </w:pPr>
      <w:r>
        <w:rPr>
          <w:rFonts w:hint="eastAsia" w:ascii="宋体" w:hAnsi="宋体"/>
          <w:sz w:val="24"/>
        </w:rPr>
        <w:t>（1）</w:t>
      </w:r>
      <w:r>
        <w:rPr>
          <w:rFonts w:ascii="宋体" w:hAnsi="宋体"/>
          <w:sz w:val="24"/>
        </w:rPr>
        <w:t>1</w:t>
      </w:r>
      <w:r>
        <w:rPr>
          <w:rFonts w:hint="eastAsia" w:ascii="宋体" w:hAnsi="宋体"/>
          <w:sz w:val="24"/>
        </w:rPr>
        <w:t>台出口防火墙</w:t>
      </w:r>
      <w:r>
        <w:rPr>
          <w:rFonts w:ascii="宋体" w:hAnsi="宋体"/>
          <w:sz w:val="24"/>
        </w:rPr>
        <w:t>，</w:t>
      </w:r>
      <w:r>
        <w:rPr>
          <w:rFonts w:hint="eastAsia" w:ascii="宋体" w:hAnsi="宋体"/>
          <w:sz w:val="24"/>
        </w:rPr>
        <w:t>1台视频准入</w:t>
      </w:r>
      <w:r>
        <w:rPr>
          <w:rFonts w:hint="eastAsia" w:ascii="宋体" w:hAnsi="宋体" w:cs="宋体"/>
          <w:color w:val="000000"/>
          <w:sz w:val="24"/>
        </w:rPr>
        <w:t>。</w:t>
      </w:r>
    </w:p>
    <w:p>
      <w:pPr>
        <w:numPr>
          <w:ilvl w:val="255"/>
          <w:numId w:val="0"/>
        </w:numPr>
        <w:autoSpaceDE w:val="0"/>
        <w:spacing w:line="360" w:lineRule="auto"/>
        <w:jc w:val="both"/>
        <w:rPr>
          <w:rFonts w:ascii="宋体" w:hAnsi="宋体"/>
          <w:sz w:val="24"/>
        </w:rPr>
      </w:pPr>
      <w:r>
        <w:rPr>
          <w:rFonts w:hint="eastAsia" w:ascii="宋体" w:hAnsi="宋体"/>
          <w:sz w:val="24"/>
        </w:rPr>
        <w:t>（2）含新设备采购及安装和后期调试。</w:t>
      </w:r>
    </w:p>
    <w:p>
      <w:pPr>
        <w:autoSpaceDE w:val="0"/>
        <w:spacing w:line="360" w:lineRule="auto"/>
        <w:jc w:val="both"/>
        <w:rPr>
          <w:rFonts w:ascii="宋体" w:hAnsi="宋体"/>
          <w:sz w:val="24"/>
        </w:rPr>
      </w:pPr>
      <w:r>
        <w:rPr>
          <w:rFonts w:hint="eastAsia" w:ascii="宋体" w:hAnsi="宋体"/>
          <w:b/>
          <w:bCs/>
          <w:sz w:val="24"/>
        </w:rPr>
        <w:t xml:space="preserve">2.2 </w:t>
      </w:r>
      <w:r>
        <w:rPr>
          <w:rFonts w:hint="eastAsia" w:ascii="宋体" w:hAnsi="宋体"/>
          <w:sz w:val="24"/>
        </w:rPr>
        <w:t xml:space="preserve">交货期限: </w:t>
      </w:r>
      <w:r>
        <w:rPr>
          <w:rFonts w:hint="eastAsia" w:ascii="宋体" w:hAnsi="宋体" w:cs="宋体"/>
          <w:sz w:val="24"/>
        </w:rPr>
        <w:t>合同签订后设备交货</w:t>
      </w:r>
      <w:r>
        <w:rPr>
          <w:rFonts w:ascii="宋体" w:hAnsi="宋体" w:cs="宋体"/>
          <w:sz w:val="24"/>
        </w:rPr>
        <w:t>日期不超过</w:t>
      </w:r>
      <w:r>
        <w:rPr>
          <w:rFonts w:hint="eastAsia" w:ascii="宋体" w:hAnsi="宋体" w:cs="宋体"/>
          <w:sz w:val="24"/>
          <w:u w:val="single"/>
        </w:rPr>
        <w:t>15</w:t>
      </w:r>
      <w:r>
        <w:rPr>
          <w:rFonts w:hint="eastAsia" w:ascii="宋体" w:hAnsi="宋体" w:cs="宋体"/>
          <w:sz w:val="24"/>
        </w:rPr>
        <w:t>日历</w:t>
      </w:r>
      <w:r>
        <w:rPr>
          <w:rFonts w:ascii="宋体" w:hAnsi="宋体" w:cs="宋体"/>
          <w:sz w:val="24"/>
        </w:rPr>
        <w:t>日，</w:t>
      </w:r>
      <w:r>
        <w:rPr>
          <w:rFonts w:hint="eastAsia" w:ascii="宋体" w:hAnsi="宋体" w:cs="宋体"/>
          <w:sz w:val="24"/>
        </w:rPr>
        <w:t>按照采购人的要求进行实施，改造时间不大于</w:t>
      </w:r>
      <w:r>
        <w:rPr>
          <w:rFonts w:ascii="宋体" w:hAnsi="宋体" w:cs="宋体"/>
          <w:sz w:val="24"/>
          <w:u w:val="single"/>
        </w:rPr>
        <w:t>20</w:t>
      </w:r>
      <w:r>
        <w:rPr>
          <w:rFonts w:hint="eastAsia" w:ascii="宋体" w:hAnsi="宋体" w:cs="宋体"/>
          <w:sz w:val="24"/>
        </w:rPr>
        <w:t>个日历日。</w:t>
      </w:r>
    </w:p>
    <w:p>
      <w:pPr>
        <w:autoSpaceDE w:val="0"/>
        <w:spacing w:line="360" w:lineRule="auto"/>
        <w:jc w:val="both"/>
        <w:rPr>
          <w:rFonts w:ascii="宋体" w:hAnsi="宋体" w:cs="宋体"/>
          <w:sz w:val="24"/>
        </w:rPr>
      </w:pPr>
      <w:r>
        <w:rPr>
          <w:rFonts w:hint="eastAsia" w:ascii="宋体" w:hAnsi="宋体"/>
          <w:b/>
          <w:bCs/>
          <w:sz w:val="24"/>
        </w:rPr>
        <w:t xml:space="preserve">2.3 </w:t>
      </w:r>
      <w:r>
        <w:rPr>
          <w:rFonts w:hint="eastAsia" w:ascii="宋体" w:hAnsi="宋体"/>
          <w:sz w:val="24"/>
        </w:rPr>
        <w:t xml:space="preserve">交货地点: </w:t>
      </w:r>
      <w:r>
        <w:rPr>
          <w:rFonts w:hint="eastAsia" w:ascii="宋体" w:hAnsi="宋体" w:cs="宋体"/>
          <w:sz w:val="24"/>
        </w:rPr>
        <w:t>湖南省岳阳市云溪区永济乡松阳湖城陵矶新港有限公司</w:t>
      </w:r>
    </w:p>
    <w:p>
      <w:pPr>
        <w:pStyle w:val="38"/>
        <w:ind w:firstLine="0"/>
        <w:rPr>
          <w:rFonts w:hAnsi="宋体"/>
          <w:b/>
          <w:bCs/>
          <w:snapToGrid/>
          <w:kern w:val="2"/>
          <w:szCs w:val="24"/>
        </w:rPr>
      </w:pPr>
      <w:r>
        <w:rPr>
          <w:rFonts w:hint="eastAsia" w:hAnsi="宋体"/>
          <w:b/>
          <w:bCs/>
          <w:snapToGrid/>
          <w:kern w:val="2"/>
          <w:szCs w:val="24"/>
        </w:rPr>
        <w:t>2.4</w:t>
      </w:r>
      <w:r>
        <w:rPr>
          <w:rFonts w:hint="eastAsia" w:hAnsi="宋体"/>
          <w:snapToGrid/>
          <w:kern w:val="2"/>
          <w:szCs w:val="24"/>
        </w:rPr>
        <w:t>质保期：软件系统不少于一年免费升级，硬件设备不少于</w:t>
      </w:r>
      <w:r>
        <w:rPr>
          <w:rFonts w:hint="eastAsia" w:hAnsi="宋体"/>
          <w:snapToGrid/>
          <w:kern w:val="2"/>
          <w:szCs w:val="24"/>
          <w:lang w:val="en-US" w:eastAsia="zh-CN"/>
        </w:rPr>
        <w:t>一</w:t>
      </w:r>
      <w:r>
        <w:rPr>
          <w:rFonts w:hint="eastAsia" w:hAnsi="宋体"/>
          <w:snapToGrid/>
          <w:kern w:val="2"/>
          <w:szCs w:val="24"/>
        </w:rPr>
        <w:t>年免费维保</w:t>
      </w:r>
    </w:p>
    <w:p>
      <w:pPr>
        <w:pStyle w:val="4"/>
        <w:spacing w:line="360" w:lineRule="auto"/>
        <w:jc w:val="both"/>
        <w:rPr>
          <w:rFonts w:ascii="Arial" w:hAnsi="Arial"/>
        </w:rPr>
      </w:pPr>
      <w:r>
        <w:rPr>
          <w:rFonts w:hint="eastAsia"/>
        </w:rPr>
        <w:t xml:space="preserve">3 </w:t>
      </w:r>
      <w:r>
        <w:rPr>
          <w:rFonts w:hint="eastAsia" w:ascii="黑体" w:hAnsi="黑体"/>
        </w:rPr>
        <w:t>供应商资格要求</w:t>
      </w:r>
    </w:p>
    <w:p>
      <w:pPr>
        <w:autoSpaceDE w:val="0"/>
        <w:spacing w:line="360" w:lineRule="auto"/>
        <w:jc w:val="both"/>
        <w:rPr>
          <w:rFonts w:ascii="宋体" w:hAnsi="宋体"/>
          <w:sz w:val="24"/>
        </w:rPr>
      </w:pPr>
      <w:r>
        <w:rPr>
          <w:rFonts w:hint="eastAsia" w:ascii="宋体" w:hAnsi="宋体"/>
          <w:b/>
          <w:bCs/>
          <w:sz w:val="24"/>
        </w:rPr>
        <w:t>3.1</w:t>
      </w:r>
      <w:r>
        <w:rPr>
          <w:rFonts w:hint="eastAsia" w:ascii="宋体" w:hAnsi="宋体"/>
          <w:sz w:val="24"/>
        </w:rPr>
        <w:t>供应商不得存在下列情形之一:</w:t>
      </w:r>
    </w:p>
    <w:p>
      <w:pPr>
        <w:autoSpaceDE w:val="0"/>
        <w:spacing w:line="360" w:lineRule="auto"/>
        <w:ind w:firstLine="240" w:firstLineChars="100"/>
        <w:jc w:val="both"/>
        <w:rPr>
          <w:rFonts w:ascii="宋体" w:hAnsi="宋体"/>
          <w:sz w:val="24"/>
        </w:rPr>
      </w:pPr>
      <w:r>
        <w:rPr>
          <w:rFonts w:hint="eastAsia" w:ascii="宋体" w:hAnsi="宋体"/>
          <w:sz w:val="24"/>
        </w:rPr>
        <w:t>（1）处于被责令停产停业、暂扣或者吊销执照、暂扣或者吊销许可证、吊销资质证书状态;</w:t>
      </w:r>
    </w:p>
    <w:p>
      <w:pPr>
        <w:autoSpaceDE w:val="0"/>
        <w:spacing w:line="360" w:lineRule="auto"/>
        <w:ind w:firstLine="240" w:firstLineChars="100"/>
        <w:jc w:val="both"/>
        <w:rPr>
          <w:rFonts w:ascii="宋体" w:hAnsi="宋体"/>
          <w:sz w:val="24"/>
        </w:rPr>
      </w:pPr>
      <w:r>
        <w:rPr>
          <w:rFonts w:hint="eastAsia" w:ascii="宋体" w:hAnsi="宋体"/>
          <w:sz w:val="24"/>
        </w:rPr>
        <w:t>（2）进入清算程序，或被宣告破产，或其他丧失履约能力的情形;</w:t>
      </w:r>
    </w:p>
    <w:p>
      <w:pPr>
        <w:autoSpaceDE w:val="0"/>
        <w:spacing w:line="360" w:lineRule="auto"/>
        <w:ind w:firstLine="240" w:firstLineChars="100"/>
        <w:jc w:val="both"/>
        <w:rPr>
          <w:rFonts w:ascii="宋体" w:hAnsi="宋体"/>
          <w:sz w:val="24"/>
        </w:rPr>
      </w:pPr>
      <w:r>
        <w:rPr>
          <w:rFonts w:hint="eastAsia" w:ascii="宋体" w:hAnsi="宋体"/>
          <w:sz w:val="24"/>
        </w:rPr>
        <w:t>（3）被采购人或采购人上级单位纳入黑名单</w:t>
      </w:r>
    </w:p>
    <w:p>
      <w:pPr>
        <w:autoSpaceDE w:val="0"/>
        <w:spacing w:line="360" w:lineRule="auto"/>
        <w:ind w:firstLine="240" w:firstLineChars="100"/>
        <w:rPr>
          <w:sz w:val="24"/>
        </w:rPr>
      </w:pPr>
      <w:r>
        <w:rPr>
          <w:rFonts w:hint="eastAsia" w:ascii="宋体" w:hAnsi="宋体"/>
          <w:sz w:val="24"/>
        </w:rPr>
        <w:t>（4）</w:t>
      </w:r>
      <w:r>
        <w:rPr>
          <w:rFonts w:hint="eastAsia"/>
          <w:sz w:val="24"/>
        </w:rPr>
        <w:t>为投资参股本项目的法人单位；</w:t>
      </w:r>
    </w:p>
    <w:p>
      <w:pPr>
        <w:autoSpaceDE w:val="0"/>
        <w:spacing w:line="360" w:lineRule="auto"/>
        <w:jc w:val="both"/>
        <w:rPr>
          <w:rFonts w:ascii="宋体" w:hAnsi="宋体"/>
          <w:sz w:val="24"/>
        </w:rPr>
      </w:pPr>
      <w:r>
        <w:rPr>
          <w:rFonts w:hint="eastAsia" w:ascii="宋体" w:hAnsi="宋体"/>
          <w:b/>
          <w:bCs/>
          <w:sz w:val="24"/>
        </w:rPr>
        <w:t>3.2</w:t>
      </w:r>
      <w:r>
        <w:rPr>
          <w:rFonts w:hint="eastAsia" w:ascii="宋体" w:hAnsi="宋体"/>
          <w:sz w:val="24"/>
        </w:rPr>
        <w:t>供应商应满足如下要求:</w:t>
      </w:r>
    </w:p>
    <w:tbl>
      <w:tblPr>
        <w:tblStyle w:val="40"/>
        <w:tblW w:w="8810" w:type="dxa"/>
        <w:tblInd w:w="-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8"/>
        <w:gridCol w:w="1814"/>
        <w:gridCol w:w="4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2358" w:type="dxa"/>
            <w:vAlign w:val="center"/>
          </w:tcPr>
          <w:p>
            <w:pPr>
              <w:widowControl w:val="0"/>
              <w:spacing w:line="360" w:lineRule="auto"/>
              <w:jc w:val="center"/>
              <w:rPr>
                <w:rFonts w:ascii="宋体" w:hAnsi="宋体"/>
                <w:b/>
                <w:bCs/>
                <w:sz w:val="24"/>
              </w:rPr>
            </w:pPr>
            <w:r>
              <w:rPr>
                <w:rFonts w:hint="eastAsia" w:ascii="宋体" w:hAnsi="宋体"/>
                <w:b/>
                <w:bCs/>
                <w:sz w:val="24"/>
              </w:rPr>
              <w:t>资格条件</w:t>
            </w:r>
          </w:p>
        </w:tc>
        <w:tc>
          <w:tcPr>
            <w:tcW w:w="1814" w:type="dxa"/>
            <w:vAlign w:val="center"/>
          </w:tcPr>
          <w:p>
            <w:pPr>
              <w:widowControl w:val="0"/>
              <w:spacing w:line="360" w:lineRule="auto"/>
              <w:jc w:val="center"/>
              <w:rPr>
                <w:rFonts w:ascii="宋体" w:hAnsi="宋体"/>
                <w:b/>
                <w:bCs/>
                <w:sz w:val="24"/>
              </w:rPr>
            </w:pPr>
            <w:r>
              <w:rPr>
                <w:rFonts w:hint="eastAsia" w:ascii="宋体" w:hAnsi="宋体"/>
                <w:b/>
                <w:bCs/>
                <w:sz w:val="24"/>
              </w:rPr>
              <w:t>对供应商要求</w:t>
            </w:r>
          </w:p>
        </w:tc>
        <w:tc>
          <w:tcPr>
            <w:tcW w:w="4638" w:type="dxa"/>
            <w:vAlign w:val="center"/>
          </w:tcPr>
          <w:p>
            <w:pPr>
              <w:widowControl w:val="0"/>
              <w:spacing w:line="360" w:lineRule="auto"/>
              <w:jc w:val="center"/>
              <w:rPr>
                <w:rFonts w:ascii="宋体" w:hAnsi="宋体"/>
                <w:b/>
                <w:bCs/>
                <w:sz w:val="24"/>
              </w:rPr>
            </w:pPr>
            <w:r>
              <w:rPr>
                <w:rFonts w:hint="eastAsia" w:ascii="宋体" w:hAnsi="宋体"/>
                <w:b/>
                <w:bCs/>
                <w:sz w:val="24"/>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358" w:type="dxa"/>
            <w:vAlign w:val="center"/>
          </w:tcPr>
          <w:p>
            <w:pPr>
              <w:widowControl w:val="0"/>
              <w:spacing w:line="360" w:lineRule="auto"/>
              <w:jc w:val="left"/>
              <w:rPr>
                <w:rFonts w:ascii="宋体" w:hAnsi="宋体"/>
                <w:sz w:val="24"/>
              </w:rPr>
            </w:pPr>
            <w:r>
              <w:rPr>
                <w:rFonts w:hint="eastAsia" w:ascii="宋体" w:hAnsi="宋体"/>
                <w:sz w:val="24"/>
              </w:rPr>
              <w:t>（1）依法设立</w:t>
            </w:r>
          </w:p>
        </w:tc>
        <w:tc>
          <w:tcPr>
            <w:tcW w:w="1814" w:type="dxa"/>
            <w:vAlign w:val="center"/>
          </w:tcPr>
          <w:p>
            <w:pPr>
              <w:widowControl w:val="0"/>
              <w:spacing w:line="360" w:lineRule="auto"/>
              <w:jc w:val="center"/>
              <w:rPr>
                <w:rFonts w:ascii="宋体" w:hAnsi="宋体"/>
                <w:sz w:val="24"/>
              </w:rPr>
            </w:pPr>
            <w:r>
              <w:rPr>
                <w:rStyle w:val="42"/>
                <w:rFonts w:hint="eastAsia"/>
                <w:b w:val="0"/>
                <w:bCs w:val="0"/>
                <w:u w:val="single"/>
              </w:rPr>
              <w:sym w:font="Wingdings 2" w:char="0052"/>
            </w:r>
            <w:r>
              <w:rPr>
                <w:rStyle w:val="42"/>
                <w:rFonts w:hint="eastAsia"/>
                <w:b w:val="0"/>
                <w:bCs w:val="0"/>
                <w:u w:val="single"/>
              </w:rPr>
              <w:t>适用</w:t>
            </w:r>
          </w:p>
        </w:tc>
        <w:tc>
          <w:tcPr>
            <w:tcW w:w="4638" w:type="dxa"/>
            <w:vAlign w:val="center"/>
          </w:tcPr>
          <w:p>
            <w:pPr>
              <w:widowControl w:val="0"/>
              <w:spacing w:line="360" w:lineRule="auto"/>
              <w:jc w:val="center"/>
              <w:rPr>
                <w:rFonts w:ascii="宋体" w:hAnsi="宋体"/>
                <w:sz w:val="24"/>
              </w:rPr>
            </w:pPr>
            <w:r>
              <w:rPr>
                <w:rStyle w:val="42"/>
                <w:rFonts w:hint="eastAsia"/>
                <w:b w:val="0"/>
                <w:bCs w:val="0"/>
                <w:u w:val="single"/>
              </w:rPr>
              <w:sym w:font="Wingdings 2" w:char="0052"/>
            </w:r>
            <w:r>
              <w:rPr>
                <w:rStyle w:val="42"/>
                <w:rFonts w:hint="eastAsia"/>
                <w:b w:val="0"/>
                <w:bCs w:val="0"/>
                <w:u w:val="single"/>
              </w:rPr>
              <w:t>适用,见采购文件供应商须知前附表3.5（1）。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358" w:type="dxa"/>
            <w:vAlign w:val="center"/>
          </w:tcPr>
          <w:p>
            <w:pPr>
              <w:widowControl w:val="0"/>
              <w:spacing w:line="360" w:lineRule="auto"/>
              <w:jc w:val="left"/>
              <w:rPr>
                <w:rFonts w:ascii="宋体" w:hAnsi="宋体"/>
                <w:sz w:val="24"/>
              </w:rPr>
            </w:pPr>
            <w:r>
              <w:rPr>
                <w:rFonts w:hint="eastAsia" w:ascii="宋体" w:hAnsi="宋体"/>
                <w:sz w:val="24"/>
              </w:rPr>
              <w:t>（2）资质要求</w:t>
            </w:r>
          </w:p>
        </w:tc>
        <w:tc>
          <w:tcPr>
            <w:tcW w:w="1814" w:type="dxa"/>
            <w:vAlign w:val="center"/>
          </w:tcPr>
          <w:p>
            <w:pPr>
              <w:widowControl w:val="0"/>
              <w:spacing w:line="360" w:lineRule="auto"/>
              <w:jc w:val="center"/>
              <w:rPr>
                <w:rFonts w:ascii="宋体" w:hAnsi="宋体"/>
                <w:sz w:val="24"/>
              </w:rPr>
            </w:pPr>
            <w:r>
              <w:rPr>
                <w:rStyle w:val="42"/>
                <w:rFonts w:hint="eastAsia"/>
                <w:b w:val="0"/>
                <w:bCs w:val="0"/>
                <w:u w:val="single"/>
              </w:rPr>
              <w:sym w:font="Wingdings 2" w:char="0052"/>
            </w:r>
            <w:r>
              <w:rPr>
                <w:rStyle w:val="42"/>
                <w:rFonts w:hint="eastAsia"/>
                <w:b w:val="0"/>
                <w:bCs w:val="0"/>
                <w:u w:val="single"/>
              </w:rPr>
              <w:t>适用</w:t>
            </w:r>
          </w:p>
        </w:tc>
        <w:tc>
          <w:tcPr>
            <w:tcW w:w="4638" w:type="dxa"/>
            <w:vAlign w:val="center"/>
          </w:tcPr>
          <w:p>
            <w:pPr>
              <w:widowControl w:val="0"/>
              <w:spacing w:line="360" w:lineRule="auto"/>
              <w:jc w:val="center"/>
              <w:rPr>
                <w:rFonts w:ascii="宋体" w:hAnsi="宋体"/>
                <w:sz w:val="24"/>
              </w:rPr>
            </w:pPr>
            <w:r>
              <w:rPr>
                <w:rStyle w:val="42"/>
                <w:rFonts w:hint="eastAsia"/>
                <w:b w:val="0"/>
                <w:bCs w:val="0"/>
                <w:u w:val="single"/>
              </w:rPr>
              <w:sym w:font="Wingdings 2" w:char="0052"/>
            </w:r>
            <w:r>
              <w:rPr>
                <w:rStyle w:val="42"/>
                <w:rFonts w:hint="eastAsia"/>
                <w:b w:val="0"/>
                <w:bCs w:val="0"/>
                <w:u w:val="single"/>
              </w:rPr>
              <w:t>适用,见采购文件供应商须知前附表3.5（</w:t>
            </w:r>
            <w:r>
              <w:rPr>
                <w:rStyle w:val="42"/>
                <w:rFonts w:hint="eastAsia"/>
                <w:b w:val="0"/>
                <w:bCs w:val="0"/>
                <w:u w:val="single"/>
                <w:lang w:val="en-US" w:eastAsia="zh-CN"/>
              </w:rPr>
              <w:t>2</w:t>
            </w:r>
            <w:r>
              <w:rPr>
                <w:rStyle w:val="42"/>
                <w:rFonts w:hint="eastAsia"/>
                <w:b w:val="0"/>
                <w:bCs w:val="0"/>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358" w:type="dxa"/>
            <w:vAlign w:val="center"/>
          </w:tcPr>
          <w:p>
            <w:pPr>
              <w:widowControl w:val="0"/>
              <w:spacing w:line="360" w:lineRule="auto"/>
              <w:jc w:val="left"/>
              <w:rPr>
                <w:rFonts w:ascii="宋体" w:hAnsi="宋体"/>
                <w:sz w:val="24"/>
              </w:rPr>
            </w:pPr>
            <w:r>
              <w:rPr>
                <w:rFonts w:hint="eastAsia" w:ascii="宋体" w:hAnsi="宋体"/>
                <w:sz w:val="24"/>
              </w:rPr>
              <w:t>（3）财务要求</w:t>
            </w:r>
          </w:p>
        </w:tc>
        <w:tc>
          <w:tcPr>
            <w:tcW w:w="1814" w:type="dxa"/>
            <w:vAlign w:val="center"/>
          </w:tcPr>
          <w:p>
            <w:pPr>
              <w:widowControl w:val="0"/>
              <w:spacing w:line="360" w:lineRule="auto"/>
              <w:jc w:val="center"/>
              <w:rPr>
                <w:rFonts w:ascii="宋体" w:hAnsi="宋体"/>
                <w:sz w:val="24"/>
              </w:rPr>
            </w:pPr>
            <w:r>
              <w:rPr>
                <w:rStyle w:val="42"/>
                <w:rFonts w:hint="eastAsia"/>
                <w:b w:val="0"/>
                <w:bCs w:val="0"/>
                <w:u w:val="single"/>
              </w:rPr>
              <w:sym w:font="Wingdings 2" w:char="0052"/>
            </w:r>
            <w:r>
              <w:rPr>
                <w:rStyle w:val="42"/>
                <w:rFonts w:hint="eastAsia"/>
                <w:b w:val="0"/>
                <w:bCs w:val="0"/>
                <w:u w:val="single"/>
              </w:rPr>
              <w:t>适用</w:t>
            </w:r>
          </w:p>
        </w:tc>
        <w:tc>
          <w:tcPr>
            <w:tcW w:w="4638" w:type="dxa"/>
            <w:vAlign w:val="center"/>
          </w:tcPr>
          <w:p>
            <w:pPr>
              <w:widowControl w:val="0"/>
              <w:spacing w:line="360" w:lineRule="auto"/>
              <w:jc w:val="center"/>
              <w:rPr>
                <w:rFonts w:ascii="宋体" w:hAnsi="宋体"/>
                <w:sz w:val="24"/>
              </w:rPr>
            </w:pPr>
            <w:r>
              <w:rPr>
                <w:rStyle w:val="42"/>
                <w:rFonts w:hint="eastAsia"/>
                <w:b w:val="0"/>
                <w:bCs w:val="0"/>
                <w:u w:val="single"/>
              </w:rPr>
              <w:sym w:font="Wingdings 2" w:char="0052"/>
            </w:r>
            <w:r>
              <w:rPr>
                <w:rStyle w:val="42"/>
                <w:rFonts w:hint="eastAsia"/>
                <w:b w:val="0"/>
                <w:bCs w:val="0"/>
                <w:u w:val="single"/>
              </w:rPr>
              <w:t>适用,见采购文件供应商须知前附表3.5（3）。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358" w:type="dxa"/>
            <w:vAlign w:val="center"/>
          </w:tcPr>
          <w:p>
            <w:pPr>
              <w:widowControl w:val="0"/>
              <w:spacing w:line="360" w:lineRule="auto"/>
              <w:jc w:val="left"/>
              <w:rPr>
                <w:rFonts w:ascii="宋体" w:hAnsi="宋体"/>
                <w:sz w:val="24"/>
              </w:rPr>
            </w:pPr>
            <w:r>
              <w:rPr>
                <w:rFonts w:hint="eastAsia" w:ascii="宋体" w:hAnsi="宋体"/>
                <w:sz w:val="24"/>
              </w:rPr>
              <w:t>（4）业绩要求</w:t>
            </w:r>
          </w:p>
        </w:tc>
        <w:tc>
          <w:tcPr>
            <w:tcW w:w="1814" w:type="dxa"/>
            <w:vAlign w:val="center"/>
          </w:tcPr>
          <w:p>
            <w:pPr>
              <w:widowControl w:val="0"/>
              <w:spacing w:line="360" w:lineRule="auto"/>
              <w:jc w:val="center"/>
              <w:rPr>
                <w:rFonts w:ascii="宋体" w:hAnsi="宋体"/>
                <w:sz w:val="24"/>
              </w:rPr>
            </w:pPr>
            <w:r>
              <w:rPr>
                <w:rStyle w:val="42"/>
                <w:rFonts w:hint="eastAsia"/>
                <w:b w:val="0"/>
                <w:bCs w:val="0"/>
                <w:u w:val="single"/>
              </w:rPr>
              <w:sym w:font="Wingdings 2" w:char="0052"/>
            </w:r>
            <w:r>
              <w:rPr>
                <w:rStyle w:val="42"/>
                <w:rFonts w:hint="eastAsia"/>
                <w:b w:val="0"/>
                <w:bCs w:val="0"/>
                <w:u w:val="single"/>
              </w:rPr>
              <w:t>适用</w:t>
            </w:r>
          </w:p>
        </w:tc>
        <w:tc>
          <w:tcPr>
            <w:tcW w:w="4638" w:type="dxa"/>
            <w:vAlign w:val="center"/>
          </w:tcPr>
          <w:p>
            <w:pPr>
              <w:widowControl w:val="0"/>
              <w:spacing w:line="360" w:lineRule="auto"/>
              <w:jc w:val="center"/>
              <w:rPr>
                <w:rFonts w:ascii="宋体" w:hAnsi="宋体"/>
                <w:sz w:val="24"/>
              </w:rPr>
            </w:pPr>
            <w:r>
              <w:rPr>
                <w:rStyle w:val="42"/>
                <w:rFonts w:hint="eastAsia"/>
                <w:b w:val="0"/>
                <w:bCs w:val="0"/>
                <w:u w:val="single"/>
              </w:rPr>
              <w:sym w:font="Wingdings 2" w:char="0052"/>
            </w:r>
            <w:r>
              <w:rPr>
                <w:rStyle w:val="42"/>
                <w:rFonts w:hint="eastAsia"/>
                <w:b w:val="0"/>
                <w:bCs w:val="0"/>
                <w:u w:val="single"/>
              </w:rPr>
              <w:t>适用,见采购文件供应商须知前附表3.5（4）。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358" w:type="dxa"/>
            <w:vAlign w:val="center"/>
          </w:tcPr>
          <w:p>
            <w:pPr>
              <w:widowControl w:val="0"/>
              <w:spacing w:line="360" w:lineRule="auto"/>
              <w:jc w:val="left"/>
              <w:rPr>
                <w:rFonts w:ascii="宋体" w:hAnsi="宋体"/>
                <w:sz w:val="24"/>
                <w:highlight w:val="red"/>
              </w:rPr>
            </w:pPr>
            <w:r>
              <w:rPr>
                <w:rFonts w:hint="eastAsia" w:ascii="宋体" w:hAnsi="宋体"/>
                <w:color w:val="auto"/>
                <w:sz w:val="24"/>
                <w:highlight w:val="none"/>
              </w:rPr>
              <w:t>（5）信誉要求</w:t>
            </w:r>
          </w:p>
        </w:tc>
        <w:tc>
          <w:tcPr>
            <w:tcW w:w="1814" w:type="dxa"/>
            <w:vAlign w:val="center"/>
          </w:tcPr>
          <w:p>
            <w:pPr>
              <w:widowControl w:val="0"/>
              <w:spacing w:line="360" w:lineRule="auto"/>
              <w:jc w:val="center"/>
              <w:rPr>
                <w:rFonts w:ascii="宋体" w:hAnsi="宋体"/>
                <w:sz w:val="24"/>
                <w:highlight w:val="red"/>
              </w:rPr>
            </w:pPr>
            <w:r>
              <w:rPr>
                <w:rStyle w:val="42"/>
                <w:rFonts w:hint="eastAsia"/>
                <w:b w:val="0"/>
                <w:bCs w:val="0"/>
                <w:highlight w:val="none"/>
                <w:u w:val="single"/>
              </w:rPr>
              <w:sym w:font="Wingdings 2" w:char="0052"/>
            </w:r>
            <w:r>
              <w:rPr>
                <w:rStyle w:val="42"/>
                <w:rFonts w:hint="eastAsia"/>
                <w:b w:val="0"/>
                <w:bCs w:val="0"/>
                <w:highlight w:val="none"/>
                <w:u w:val="single"/>
              </w:rPr>
              <w:t>适用</w:t>
            </w:r>
          </w:p>
        </w:tc>
        <w:tc>
          <w:tcPr>
            <w:tcW w:w="4638" w:type="dxa"/>
            <w:vAlign w:val="center"/>
          </w:tcPr>
          <w:p>
            <w:pPr>
              <w:widowControl w:val="0"/>
              <w:spacing w:line="360" w:lineRule="auto"/>
              <w:jc w:val="center"/>
              <w:rPr>
                <w:rFonts w:ascii="宋体" w:hAnsi="宋体"/>
                <w:sz w:val="24"/>
                <w:highlight w:val="red"/>
              </w:rPr>
            </w:pPr>
            <w:r>
              <w:rPr>
                <w:rStyle w:val="42"/>
                <w:rFonts w:hint="eastAsia"/>
                <w:b w:val="0"/>
                <w:bCs w:val="0"/>
                <w:highlight w:val="none"/>
                <w:u w:val="single"/>
              </w:rPr>
              <w:sym w:font="Wingdings 2" w:char="0052"/>
            </w:r>
            <w:r>
              <w:rPr>
                <w:rStyle w:val="42"/>
                <w:rFonts w:hint="eastAsia"/>
                <w:b w:val="0"/>
                <w:bCs w:val="0"/>
                <w:highlight w:val="none"/>
                <w:u w:val="single"/>
              </w:rPr>
              <w:t>适用</w:t>
            </w:r>
            <w:r>
              <w:rPr>
                <w:rStyle w:val="42"/>
                <w:rFonts w:hint="eastAsia"/>
                <w:b w:val="0"/>
                <w:bCs w:val="0"/>
                <w:u w:val="single"/>
              </w:rPr>
              <w:t>,见采购文件供应商须知前附表3.5（</w:t>
            </w:r>
            <w:r>
              <w:rPr>
                <w:rStyle w:val="42"/>
                <w:rFonts w:hint="eastAsia"/>
                <w:b w:val="0"/>
                <w:bCs w:val="0"/>
                <w:u w:val="single"/>
                <w:lang w:val="en-US" w:eastAsia="zh-CN"/>
              </w:rPr>
              <w:t>5</w:t>
            </w:r>
            <w:r>
              <w:rPr>
                <w:rStyle w:val="42"/>
                <w:rFonts w:hint="eastAsia"/>
                <w:b w:val="0"/>
                <w:bCs w:val="0"/>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358" w:type="dxa"/>
            <w:vAlign w:val="center"/>
          </w:tcPr>
          <w:p>
            <w:pPr>
              <w:widowControl w:val="0"/>
              <w:spacing w:line="360" w:lineRule="auto"/>
              <w:jc w:val="left"/>
              <w:rPr>
                <w:rFonts w:ascii="宋体" w:hAnsi="宋体"/>
                <w:sz w:val="24"/>
              </w:rPr>
            </w:pPr>
            <w:r>
              <w:rPr>
                <w:rFonts w:hint="eastAsia" w:ascii="宋体" w:hAnsi="宋体"/>
                <w:sz w:val="24"/>
              </w:rPr>
              <w:t>（6）承担本项目的主要人员要求</w:t>
            </w:r>
          </w:p>
        </w:tc>
        <w:tc>
          <w:tcPr>
            <w:tcW w:w="1814" w:type="dxa"/>
            <w:vAlign w:val="center"/>
          </w:tcPr>
          <w:p>
            <w:pPr>
              <w:widowControl w:val="0"/>
              <w:spacing w:line="360" w:lineRule="auto"/>
              <w:jc w:val="center"/>
              <w:rPr>
                <w:rFonts w:ascii="宋体" w:hAnsi="宋体"/>
                <w:sz w:val="24"/>
              </w:rPr>
            </w:pPr>
            <w:r>
              <w:rPr>
                <w:rStyle w:val="42"/>
                <w:rFonts w:hint="eastAsia"/>
                <w:b w:val="0"/>
                <w:bCs w:val="0"/>
                <w:u w:val="single"/>
              </w:rPr>
              <w:sym w:font="Wingdings 2" w:char="0052"/>
            </w:r>
            <w:r>
              <w:rPr>
                <w:rStyle w:val="42"/>
                <w:rFonts w:hint="eastAsia"/>
                <w:b w:val="0"/>
                <w:bCs w:val="0"/>
                <w:u w:val="single"/>
              </w:rPr>
              <w:t>适用</w:t>
            </w:r>
          </w:p>
        </w:tc>
        <w:tc>
          <w:tcPr>
            <w:tcW w:w="4638" w:type="dxa"/>
            <w:vAlign w:val="center"/>
          </w:tcPr>
          <w:p>
            <w:pPr>
              <w:widowControl w:val="0"/>
              <w:spacing w:line="360" w:lineRule="auto"/>
              <w:jc w:val="center"/>
              <w:rPr>
                <w:rFonts w:ascii="宋体" w:hAnsi="宋体"/>
                <w:sz w:val="24"/>
              </w:rPr>
            </w:pPr>
            <w:r>
              <w:rPr>
                <w:rStyle w:val="42"/>
                <w:rFonts w:hint="eastAsia"/>
                <w:b w:val="0"/>
                <w:bCs w:val="0"/>
                <w:u w:val="single"/>
              </w:rPr>
              <w:sym w:font="Wingdings 2" w:char="0052"/>
            </w:r>
            <w:r>
              <w:rPr>
                <w:rStyle w:val="42"/>
                <w:rFonts w:hint="eastAsia"/>
                <w:b w:val="0"/>
                <w:bCs w:val="0"/>
                <w:u w:val="single"/>
              </w:rPr>
              <w:t>适用,见采购文件供应商须知前附表3.5（6）。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358" w:type="dxa"/>
            <w:vAlign w:val="center"/>
          </w:tcPr>
          <w:p>
            <w:pPr>
              <w:widowControl w:val="0"/>
              <w:spacing w:line="360" w:lineRule="auto"/>
              <w:jc w:val="left"/>
              <w:rPr>
                <w:rFonts w:ascii="宋体" w:hAnsi="宋体"/>
                <w:sz w:val="24"/>
                <w:highlight w:val="none"/>
              </w:rPr>
            </w:pPr>
            <w:r>
              <w:rPr>
                <w:rFonts w:hint="eastAsia" w:ascii="宋体" w:hAnsi="宋体"/>
                <w:sz w:val="24"/>
                <w:highlight w:val="none"/>
              </w:rPr>
              <w:t>（7）其他要求</w:t>
            </w:r>
          </w:p>
        </w:tc>
        <w:tc>
          <w:tcPr>
            <w:tcW w:w="1814" w:type="dxa"/>
            <w:vAlign w:val="center"/>
          </w:tcPr>
          <w:p>
            <w:pPr>
              <w:widowControl w:val="0"/>
              <w:spacing w:line="360" w:lineRule="auto"/>
              <w:jc w:val="center"/>
              <w:rPr>
                <w:rFonts w:ascii="宋体" w:hAnsi="宋体"/>
                <w:sz w:val="24"/>
                <w:highlight w:val="none"/>
              </w:rPr>
            </w:pPr>
            <w:r>
              <w:rPr>
                <w:rStyle w:val="42"/>
                <w:rFonts w:hint="eastAsia"/>
                <w:b w:val="0"/>
                <w:bCs w:val="0"/>
                <w:highlight w:val="none"/>
                <w:u w:val="single"/>
              </w:rPr>
              <w:sym w:font="Wingdings 2" w:char="0052"/>
            </w:r>
            <w:r>
              <w:rPr>
                <w:rStyle w:val="42"/>
                <w:rFonts w:hint="eastAsia"/>
                <w:b w:val="0"/>
                <w:bCs w:val="0"/>
                <w:highlight w:val="none"/>
                <w:u w:val="single"/>
                <w:lang w:val="en-US" w:eastAsia="zh-CN"/>
              </w:rPr>
              <w:t>不</w:t>
            </w:r>
            <w:r>
              <w:rPr>
                <w:rStyle w:val="42"/>
                <w:rFonts w:hint="eastAsia"/>
                <w:b w:val="0"/>
                <w:bCs w:val="0"/>
                <w:highlight w:val="none"/>
                <w:u w:val="single"/>
              </w:rPr>
              <w:t>适用</w:t>
            </w:r>
          </w:p>
        </w:tc>
        <w:tc>
          <w:tcPr>
            <w:tcW w:w="4638" w:type="dxa"/>
            <w:vAlign w:val="center"/>
          </w:tcPr>
          <w:p>
            <w:pPr>
              <w:widowControl w:val="0"/>
              <w:spacing w:line="360" w:lineRule="auto"/>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2358" w:type="dxa"/>
            <w:vAlign w:val="center"/>
          </w:tcPr>
          <w:p>
            <w:pPr>
              <w:widowControl w:val="0"/>
              <w:spacing w:line="360" w:lineRule="auto"/>
              <w:jc w:val="left"/>
              <w:rPr>
                <w:rFonts w:ascii="宋体" w:hAnsi="宋体"/>
                <w:sz w:val="24"/>
              </w:rPr>
            </w:pPr>
            <w:r>
              <w:rPr>
                <w:rFonts w:hint="eastAsia" w:ascii="宋体" w:hAnsi="宋体"/>
                <w:sz w:val="24"/>
              </w:rPr>
              <w:t>（8）供应商不存在第一章3.1款情形的证明材料</w:t>
            </w:r>
          </w:p>
        </w:tc>
        <w:tc>
          <w:tcPr>
            <w:tcW w:w="1814" w:type="dxa"/>
            <w:vAlign w:val="center"/>
          </w:tcPr>
          <w:p>
            <w:pPr>
              <w:widowControl w:val="0"/>
              <w:spacing w:line="360" w:lineRule="auto"/>
              <w:jc w:val="center"/>
              <w:rPr>
                <w:rStyle w:val="42"/>
                <w:b w:val="0"/>
                <w:bCs w:val="0"/>
                <w:u w:val="single"/>
              </w:rPr>
            </w:pPr>
          </w:p>
          <w:p>
            <w:pPr>
              <w:widowControl w:val="0"/>
              <w:spacing w:line="360" w:lineRule="auto"/>
              <w:jc w:val="center"/>
              <w:rPr>
                <w:rFonts w:ascii="宋体" w:hAnsi="宋体"/>
                <w:sz w:val="24"/>
              </w:rPr>
            </w:pPr>
            <w:r>
              <w:rPr>
                <w:rStyle w:val="42"/>
                <w:rFonts w:hint="eastAsia"/>
                <w:b w:val="0"/>
                <w:bCs w:val="0"/>
                <w:u w:val="single"/>
              </w:rPr>
              <w:sym w:font="Wingdings 2" w:char="0052"/>
            </w:r>
            <w:r>
              <w:rPr>
                <w:rStyle w:val="42"/>
                <w:rFonts w:hint="eastAsia"/>
                <w:b w:val="0"/>
                <w:bCs w:val="0"/>
                <w:u w:val="single"/>
              </w:rPr>
              <w:t>适用</w:t>
            </w:r>
          </w:p>
        </w:tc>
        <w:tc>
          <w:tcPr>
            <w:tcW w:w="4638" w:type="dxa"/>
            <w:vAlign w:val="center"/>
          </w:tcPr>
          <w:p>
            <w:pPr>
              <w:widowControl w:val="0"/>
              <w:spacing w:line="360" w:lineRule="auto"/>
              <w:jc w:val="center"/>
              <w:rPr>
                <w:rStyle w:val="42"/>
                <w:b w:val="0"/>
                <w:bCs w:val="0"/>
                <w:u w:val="single"/>
              </w:rPr>
            </w:pPr>
          </w:p>
          <w:p>
            <w:pPr>
              <w:widowControl w:val="0"/>
              <w:spacing w:line="360" w:lineRule="auto"/>
              <w:jc w:val="center"/>
              <w:rPr>
                <w:rFonts w:ascii="宋体" w:hAnsi="宋体"/>
                <w:sz w:val="24"/>
              </w:rPr>
            </w:pPr>
            <w:r>
              <w:rPr>
                <w:rStyle w:val="42"/>
                <w:rFonts w:hint="eastAsia"/>
                <w:b w:val="0"/>
                <w:bCs w:val="0"/>
                <w:u w:val="single"/>
              </w:rPr>
              <w:sym w:font="Wingdings 2" w:char="0052"/>
            </w:r>
            <w:r>
              <w:rPr>
                <w:rStyle w:val="42"/>
                <w:rFonts w:hint="eastAsia"/>
                <w:b w:val="0"/>
                <w:bCs w:val="0"/>
                <w:u w:val="single"/>
              </w:rPr>
              <w:t>适用,见采购文件供应商须知前附表3.5（8）。</w:t>
            </w:r>
          </w:p>
        </w:tc>
      </w:tr>
    </w:tbl>
    <w:p>
      <w:pPr>
        <w:pStyle w:val="4"/>
        <w:spacing w:line="360" w:lineRule="auto"/>
        <w:jc w:val="both"/>
        <w:rPr>
          <w:rFonts w:ascii="Arial" w:hAnsi="Arial"/>
        </w:rPr>
      </w:pPr>
      <w:r>
        <w:rPr>
          <w:rFonts w:hint="eastAsia"/>
        </w:rPr>
        <w:t xml:space="preserve">4 </w:t>
      </w:r>
      <w:r>
        <w:rPr>
          <w:rFonts w:hint="eastAsia" w:ascii="黑体" w:hAnsi="黑体"/>
        </w:rPr>
        <w:t>响应保证金</w:t>
      </w:r>
    </w:p>
    <w:p>
      <w:pPr>
        <w:pStyle w:val="4"/>
        <w:spacing w:line="360" w:lineRule="auto"/>
        <w:jc w:val="both"/>
      </w:pPr>
      <w:r>
        <w:rPr>
          <w:rFonts w:hint="eastAsia"/>
        </w:rPr>
        <w:t>无</w:t>
      </w:r>
    </w:p>
    <w:p>
      <w:pPr>
        <w:pStyle w:val="4"/>
        <w:spacing w:line="360" w:lineRule="auto"/>
        <w:jc w:val="both"/>
        <w:rPr>
          <w:rFonts w:ascii="Arial" w:hAnsi="Arial"/>
        </w:rPr>
      </w:pPr>
      <w:r>
        <w:rPr>
          <w:rFonts w:hint="eastAsia"/>
        </w:rPr>
        <w:t>5</w:t>
      </w:r>
      <w:r>
        <w:t xml:space="preserve"> </w:t>
      </w:r>
      <w:r>
        <w:rPr>
          <w:rFonts w:hint="eastAsia" w:ascii="黑体" w:hAnsi="黑体"/>
        </w:rPr>
        <w:t>确定成交供应商的方法</w:t>
      </w:r>
    </w:p>
    <w:p>
      <w:pPr>
        <w:autoSpaceDE w:val="0"/>
        <w:spacing w:line="360" w:lineRule="auto"/>
        <w:jc w:val="both"/>
        <w:rPr>
          <w:rStyle w:val="42"/>
        </w:rPr>
      </w:pPr>
      <w:r>
        <w:rPr>
          <w:rFonts w:hint="eastAsia" w:ascii="宋体" w:hAnsi="宋体"/>
          <w:b/>
          <w:bCs/>
          <w:sz w:val="24"/>
        </w:rPr>
        <w:t>5.1 综合评分法</w:t>
      </w:r>
    </w:p>
    <w:p>
      <w:pPr>
        <w:autoSpaceDE w:val="0"/>
        <w:spacing w:line="360" w:lineRule="auto"/>
        <w:jc w:val="both"/>
        <w:rPr>
          <w:rFonts w:ascii="宋体" w:hAnsi="宋体"/>
          <w:sz w:val="24"/>
        </w:rPr>
      </w:pPr>
      <w:r>
        <w:rPr>
          <w:rFonts w:hint="eastAsia" w:ascii="宋体" w:hAnsi="宋体"/>
          <w:b/>
          <w:bCs/>
          <w:sz w:val="24"/>
        </w:rPr>
        <w:t>5.2</w:t>
      </w:r>
      <w:r>
        <w:rPr>
          <w:rFonts w:hint="eastAsia" w:ascii="宋体" w:hAnsi="宋体"/>
          <w:sz w:val="24"/>
        </w:rPr>
        <w:t xml:space="preserve"> 采购人应当确定排名第一的成交候选供应商为成交供应商。若排名第一的成交候选供应商未通过履约能力和报价核查，采购人应按推荐的名单排序依次确定其他成交候选供应商为成交供应商。 </w:t>
      </w:r>
    </w:p>
    <w:p>
      <w:pPr>
        <w:pStyle w:val="4"/>
        <w:spacing w:line="360" w:lineRule="auto"/>
        <w:jc w:val="both"/>
        <w:rPr>
          <w:rFonts w:ascii="黑体" w:hAnsi="黑体"/>
        </w:rPr>
      </w:pPr>
      <w:r>
        <w:rPr>
          <w:rFonts w:hint="eastAsia"/>
        </w:rPr>
        <w:t>6</w:t>
      </w:r>
      <w:r>
        <w:rPr>
          <w:rFonts w:hint="eastAsia" w:ascii="黑体" w:hAnsi="黑体"/>
        </w:rPr>
        <w:t>采购文件获取</w:t>
      </w:r>
    </w:p>
    <w:p>
      <w:pPr>
        <w:autoSpaceDE w:val="0"/>
        <w:spacing w:line="360" w:lineRule="auto"/>
        <w:rPr>
          <w:rFonts w:ascii="宋体" w:hAnsi="宋体"/>
          <w:sz w:val="24"/>
        </w:rPr>
      </w:pPr>
      <w:r>
        <w:rPr>
          <w:rFonts w:hint="eastAsia" w:ascii="宋体" w:hAnsi="宋体"/>
          <w:b/>
          <w:bCs/>
          <w:sz w:val="24"/>
        </w:rPr>
        <w:t xml:space="preserve">6.1 </w:t>
      </w:r>
      <w:r>
        <w:rPr>
          <w:rFonts w:hint="eastAsia" w:ascii="宋体" w:hAnsi="宋体"/>
          <w:sz w:val="24"/>
        </w:rPr>
        <w:t>供应商应当于</w:t>
      </w:r>
      <w:r>
        <w:rPr>
          <w:rFonts w:hint="eastAsia" w:ascii="宋体" w:hAnsi="宋体"/>
          <w:sz w:val="24"/>
          <w:lang w:val="en-US" w:eastAsia="zh-CN"/>
        </w:rPr>
        <w:t>2024</w:t>
      </w:r>
      <w:r>
        <w:rPr>
          <w:rFonts w:hint="eastAsia" w:ascii="宋体" w:hAnsi="宋体"/>
          <w:sz w:val="24"/>
          <w:u w:val="single"/>
        </w:rPr>
        <w:t>年</w:t>
      </w:r>
      <w:r>
        <w:rPr>
          <w:rFonts w:hint="eastAsia" w:ascii="宋体" w:hAnsi="宋体"/>
          <w:sz w:val="24"/>
          <w:u w:val="single"/>
          <w:lang w:val="en-US" w:eastAsia="zh-CN"/>
        </w:rPr>
        <w:t>4</w:t>
      </w:r>
      <w:r>
        <w:rPr>
          <w:rFonts w:hint="eastAsia" w:ascii="宋体" w:hAnsi="宋体"/>
          <w:sz w:val="24"/>
          <w:u w:val="single"/>
        </w:rPr>
        <w:t>月</w:t>
      </w:r>
      <w:r>
        <w:rPr>
          <w:rFonts w:hint="eastAsia" w:ascii="宋体" w:hAnsi="宋体"/>
          <w:sz w:val="24"/>
          <w:u w:val="single"/>
          <w:lang w:val="en-US" w:eastAsia="zh-CN"/>
        </w:rPr>
        <w:t>25</w:t>
      </w:r>
      <w:r>
        <w:rPr>
          <w:rFonts w:hint="eastAsia" w:ascii="宋体" w:hAnsi="宋体"/>
          <w:sz w:val="24"/>
          <w:u w:val="single"/>
        </w:rPr>
        <w:t>日至</w:t>
      </w:r>
      <w:r>
        <w:rPr>
          <w:rFonts w:hint="eastAsia" w:ascii="宋体" w:hAnsi="宋体"/>
          <w:sz w:val="24"/>
          <w:u w:val="single"/>
          <w:lang w:val="en-US" w:eastAsia="zh-CN"/>
        </w:rPr>
        <w:t>2024</w:t>
      </w:r>
      <w:r>
        <w:rPr>
          <w:rFonts w:hint="eastAsia" w:ascii="宋体" w:hAnsi="宋体"/>
          <w:sz w:val="24"/>
          <w:u w:val="single"/>
        </w:rPr>
        <w:t>年</w:t>
      </w:r>
      <w:r>
        <w:rPr>
          <w:rFonts w:hint="eastAsia" w:ascii="宋体" w:hAnsi="宋体"/>
          <w:sz w:val="24"/>
          <w:u w:val="single"/>
          <w:lang w:val="en-US" w:eastAsia="zh-CN"/>
        </w:rPr>
        <w:t>4</w:t>
      </w:r>
      <w:r>
        <w:rPr>
          <w:rFonts w:hint="eastAsia" w:ascii="宋体" w:hAnsi="宋体"/>
          <w:sz w:val="24"/>
          <w:u w:val="single"/>
        </w:rPr>
        <w:t>月</w:t>
      </w:r>
      <w:r>
        <w:rPr>
          <w:rFonts w:hint="eastAsia" w:ascii="宋体" w:hAnsi="宋体"/>
          <w:sz w:val="24"/>
          <w:u w:val="single"/>
          <w:lang w:val="en-US" w:eastAsia="zh-CN"/>
        </w:rPr>
        <w:t>29</w:t>
      </w:r>
      <w:r>
        <w:rPr>
          <w:rFonts w:hint="eastAsia" w:ascii="宋体" w:hAnsi="宋体"/>
          <w:sz w:val="24"/>
          <w:u w:val="single"/>
        </w:rPr>
        <w:t>日</w:t>
      </w:r>
      <w:r>
        <w:rPr>
          <w:rFonts w:hint="eastAsia" w:ascii="宋体" w:hAnsi="宋体"/>
          <w:sz w:val="24"/>
        </w:rPr>
        <w:t>，在</w:t>
      </w:r>
      <w:r>
        <w:rPr>
          <w:rFonts w:hint="eastAsia" w:ascii="宋体" w:hAnsi="宋体"/>
          <w:sz w:val="24"/>
          <w:u w:val="single"/>
        </w:rPr>
        <w:t>湖南省港航水利集团</w:t>
      </w:r>
      <w:r>
        <w:rPr>
          <w:rFonts w:hint="eastAsia" w:ascii="宋体" w:hAnsi="宋体" w:cs="宋体"/>
          <w:sz w:val="24"/>
          <w:u w:val="single"/>
        </w:rPr>
        <w:t>网站（http：//</w:t>
      </w:r>
      <w:r>
        <w:rPr>
          <w:rFonts w:hint="eastAsia" w:ascii="宋体" w:hAnsi="宋体" w:cs="宋体"/>
          <w:sz w:val="24"/>
          <w:u w:val="single"/>
        </w:rPr>
        <w:fldChar w:fldCharType="begin"/>
      </w:r>
      <w:r>
        <w:rPr>
          <w:rFonts w:hint="eastAsia" w:ascii="宋体" w:hAnsi="宋体" w:cs="宋体"/>
          <w:sz w:val="24"/>
          <w:u w:val="single"/>
        </w:rPr>
        <w:instrText xml:space="preserve"> HYPERLINK "http://www.hnsghsljt.com/" </w:instrText>
      </w:r>
      <w:r>
        <w:rPr>
          <w:rFonts w:hint="eastAsia" w:ascii="宋体" w:hAnsi="宋体" w:cs="宋体"/>
          <w:sz w:val="24"/>
          <w:u w:val="single"/>
        </w:rPr>
        <w:fldChar w:fldCharType="separate"/>
      </w:r>
      <w:r>
        <w:rPr>
          <w:rFonts w:hint="eastAsia" w:ascii="宋体" w:hAnsi="宋体" w:cs="宋体"/>
          <w:sz w:val="24"/>
          <w:u w:val="single"/>
        </w:rPr>
        <w:t>hnsghsljt.com</w:t>
      </w:r>
      <w:r>
        <w:rPr>
          <w:rFonts w:hint="eastAsia" w:ascii="宋体" w:hAnsi="宋体" w:cs="宋体"/>
          <w:sz w:val="24"/>
          <w:u w:val="single"/>
        </w:rPr>
        <w:fldChar w:fldCharType="end"/>
      </w:r>
      <w:r>
        <w:rPr>
          <w:rFonts w:hint="eastAsia" w:ascii="宋体" w:hAnsi="宋体" w:cs="宋体"/>
          <w:sz w:val="24"/>
          <w:u w:val="single"/>
        </w:rPr>
        <w:t>）、湖南省港务集团有限公司网站（http://www.hnsgwjt.com）网站上</w:t>
      </w:r>
      <w:r>
        <w:rPr>
          <w:rFonts w:hint="eastAsia" w:ascii="宋体" w:hAnsi="宋体"/>
          <w:sz w:val="24"/>
        </w:rPr>
        <w:t>获取采购文件:</w:t>
      </w:r>
    </w:p>
    <w:p>
      <w:pPr>
        <w:pStyle w:val="38"/>
      </w:pPr>
    </w:p>
    <w:p>
      <w:pPr>
        <w:spacing w:line="360" w:lineRule="auto"/>
        <w:jc w:val="both"/>
        <w:rPr>
          <w:rFonts w:ascii="宋体" w:hAnsi="宋体" w:cs="宋体"/>
          <w:color w:val="000000"/>
          <w:sz w:val="24"/>
          <w:u w:val="single"/>
        </w:rPr>
      </w:pPr>
      <w:r>
        <w:rPr>
          <w:rFonts w:hint="eastAsia" w:ascii="宋体" w:hAnsi="宋体"/>
          <w:b/>
          <w:bCs/>
          <w:sz w:val="24"/>
        </w:rPr>
        <w:t xml:space="preserve">6.2 </w:t>
      </w:r>
      <w:r>
        <w:rPr>
          <w:rFonts w:hint="eastAsia" w:ascii="宋体" w:hAnsi="宋体" w:cs="宋体"/>
          <w:color w:val="000000"/>
          <w:sz w:val="24"/>
        </w:rPr>
        <w:t>递交响应文件的地点：</w:t>
      </w:r>
      <w:r>
        <w:rPr>
          <w:rFonts w:hint="eastAsia" w:ascii="宋体" w:hAnsi="宋体" w:cs="宋体"/>
          <w:color w:val="000000"/>
          <w:sz w:val="24"/>
          <w:u w:val="single"/>
        </w:rPr>
        <w:t>湖南省港务集团有限公司6楼602开标室</w:t>
      </w:r>
    </w:p>
    <w:p>
      <w:pPr>
        <w:spacing w:line="360" w:lineRule="auto"/>
        <w:jc w:val="both"/>
      </w:pPr>
      <w:r>
        <w:rPr>
          <w:rFonts w:hint="eastAsia" w:ascii="宋体" w:hAnsi="宋体" w:cs="宋体"/>
          <w:sz w:val="24"/>
        </w:rPr>
        <w:t>响应文件递交</w:t>
      </w:r>
      <w:r>
        <w:rPr>
          <w:rFonts w:hint="eastAsia" w:ascii="宋体" w:hAnsi="宋体" w:cs="宋体"/>
          <w:color w:val="000000"/>
          <w:sz w:val="24"/>
        </w:rPr>
        <w:t>截止时间：</w:t>
      </w:r>
      <w:r>
        <w:rPr>
          <w:rFonts w:hint="eastAsia" w:ascii="宋体" w:hAnsi="宋体" w:cs="宋体"/>
          <w:color w:val="000000"/>
          <w:sz w:val="24"/>
          <w:u w:val="single"/>
        </w:rPr>
        <w:t>202</w:t>
      </w:r>
      <w:r>
        <w:rPr>
          <w:rFonts w:ascii="宋体" w:hAnsi="宋体" w:cs="宋体"/>
          <w:color w:val="000000"/>
          <w:sz w:val="24"/>
          <w:u w:val="single"/>
        </w:rPr>
        <w:t>4</w:t>
      </w:r>
      <w:r>
        <w:rPr>
          <w:rFonts w:hint="eastAsia" w:ascii="宋体" w:hAnsi="宋体" w:cs="宋体"/>
          <w:color w:val="000000"/>
          <w:sz w:val="24"/>
          <w:u w:val="single"/>
        </w:rPr>
        <w:t>年</w:t>
      </w:r>
      <w:r>
        <w:rPr>
          <w:rFonts w:hint="eastAsia" w:ascii="宋体" w:hAnsi="宋体" w:cs="宋体"/>
          <w:color w:val="000000"/>
          <w:sz w:val="24"/>
          <w:u w:val="single"/>
          <w:lang w:val="en-US" w:eastAsia="zh-CN"/>
        </w:rPr>
        <w:t>4</w:t>
      </w:r>
      <w:r>
        <w:rPr>
          <w:rFonts w:hint="eastAsia" w:ascii="宋体" w:hAnsi="宋体" w:cs="宋体"/>
          <w:color w:val="000000"/>
          <w:sz w:val="24"/>
          <w:u w:val="single"/>
        </w:rPr>
        <w:t>月</w:t>
      </w:r>
      <w:r>
        <w:rPr>
          <w:rFonts w:hint="eastAsia" w:ascii="宋体" w:hAnsi="宋体" w:cs="宋体"/>
          <w:color w:val="000000"/>
          <w:sz w:val="24"/>
          <w:u w:val="single"/>
          <w:lang w:val="en-US" w:eastAsia="zh-CN"/>
        </w:rPr>
        <w:t>30</w:t>
      </w:r>
      <w:r>
        <w:rPr>
          <w:rFonts w:hint="eastAsia" w:ascii="宋体" w:hAnsi="宋体" w:cs="宋体"/>
          <w:color w:val="000000"/>
          <w:sz w:val="24"/>
          <w:u w:val="single"/>
        </w:rPr>
        <w:t>日</w:t>
      </w:r>
      <w:r>
        <w:rPr>
          <w:rFonts w:hint="eastAsia" w:ascii="宋体" w:hAnsi="宋体" w:cs="宋体"/>
          <w:color w:val="000000"/>
          <w:sz w:val="24"/>
          <w:u w:val="single"/>
          <w:lang w:val="en-US" w:eastAsia="zh-CN"/>
        </w:rPr>
        <w:t>12</w:t>
      </w:r>
      <w:r>
        <w:rPr>
          <w:rFonts w:hint="eastAsia" w:ascii="宋体" w:hAnsi="宋体" w:cs="宋体"/>
          <w:color w:val="000000"/>
          <w:sz w:val="24"/>
          <w:u w:val="single"/>
        </w:rPr>
        <w:t>时00分；</w:t>
      </w:r>
    </w:p>
    <w:p>
      <w:pPr>
        <w:pStyle w:val="38"/>
        <w:ind w:firstLine="0"/>
      </w:pPr>
    </w:p>
    <w:p>
      <w:pPr>
        <w:autoSpaceDE w:val="0"/>
        <w:spacing w:line="360" w:lineRule="auto"/>
        <w:jc w:val="both"/>
        <w:rPr>
          <w:rFonts w:ascii="宋体" w:hAnsi="宋体"/>
          <w:sz w:val="24"/>
        </w:rPr>
      </w:pPr>
      <w:r>
        <w:rPr>
          <w:rFonts w:hint="eastAsia" w:ascii="宋体" w:hAnsi="宋体"/>
          <w:b/>
          <w:bCs/>
          <w:sz w:val="24"/>
        </w:rPr>
        <w:t xml:space="preserve">6.3 </w:t>
      </w:r>
      <w:r>
        <w:rPr>
          <w:rFonts w:hint="eastAsia" w:ascii="宋体" w:hAnsi="宋体"/>
          <w:sz w:val="24"/>
        </w:rPr>
        <w:t>供应商若对本项目采购需求、资格要求等有疑问的，应当于</w:t>
      </w:r>
      <w:r>
        <w:rPr>
          <w:rFonts w:hint="eastAsia" w:ascii="宋体" w:hAnsi="宋体"/>
          <w:sz w:val="24"/>
          <w:lang w:val="en-US" w:eastAsia="zh-CN"/>
        </w:rPr>
        <w:t>2024</w:t>
      </w:r>
      <w:r>
        <w:rPr>
          <w:rFonts w:hint="eastAsia" w:ascii="宋体" w:hAnsi="宋体" w:cs="宋体"/>
          <w:color w:val="000000"/>
          <w:sz w:val="24"/>
          <w:u w:val="single"/>
        </w:rPr>
        <w:t>年</w:t>
      </w:r>
      <w:r>
        <w:rPr>
          <w:rFonts w:hint="eastAsia" w:ascii="宋体" w:hAnsi="宋体" w:cs="宋体"/>
          <w:color w:val="000000"/>
          <w:sz w:val="24"/>
          <w:u w:val="single"/>
          <w:lang w:val="en-US" w:eastAsia="zh-CN"/>
        </w:rPr>
        <w:t>4</w:t>
      </w:r>
      <w:r>
        <w:rPr>
          <w:rFonts w:hint="eastAsia" w:ascii="宋体" w:hAnsi="宋体" w:cs="宋体"/>
          <w:color w:val="000000"/>
          <w:sz w:val="24"/>
          <w:u w:val="single"/>
        </w:rPr>
        <w:t>月</w:t>
      </w:r>
      <w:r>
        <w:rPr>
          <w:rFonts w:hint="eastAsia" w:ascii="宋体" w:hAnsi="宋体" w:cs="宋体"/>
          <w:color w:val="000000"/>
          <w:sz w:val="24"/>
          <w:u w:val="single"/>
          <w:lang w:val="en-US" w:eastAsia="zh-CN"/>
        </w:rPr>
        <w:t>28</w:t>
      </w:r>
      <w:r>
        <w:rPr>
          <w:rFonts w:hint="eastAsia" w:ascii="宋体" w:hAnsi="宋体" w:cs="宋体"/>
          <w:color w:val="000000"/>
          <w:sz w:val="24"/>
          <w:u w:val="single"/>
        </w:rPr>
        <w:t>日</w:t>
      </w:r>
      <w:r>
        <w:rPr>
          <w:rFonts w:hint="eastAsia" w:ascii="宋体" w:hAnsi="宋体" w:cs="宋体"/>
          <w:color w:val="000000"/>
          <w:sz w:val="24"/>
          <w:u w:val="single"/>
          <w:lang w:val="en-US" w:eastAsia="zh-CN"/>
        </w:rPr>
        <w:t>17</w:t>
      </w:r>
      <w:r>
        <w:rPr>
          <w:rFonts w:hint="eastAsia" w:ascii="宋体" w:hAnsi="宋体" w:cs="宋体"/>
          <w:color w:val="000000"/>
          <w:sz w:val="24"/>
          <w:u w:val="single"/>
        </w:rPr>
        <w:t>时</w:t>
      </w:r>
      <w:r>
        <w:rPr>
          <w:rFonts w:hint="eastAsia" w:ascii="宋体" w:hAnsi="宋体" w:cs="宋体"/>
          <w:color w:val="000000"/>
          <w:sz w:val="24"/>
          <w:u w:val="single"/>
          <w:lang w:val="en-US" w:eastAsia="zh-CN"/>
        </w:rPr>
        <w:t>00</w:t>
      </w:r>
      <w:r>
        <w:rPr>
          <w:rFonts w:hint="eastAsia" w:ascii="宋体" w:hAnsi="宋体" w:cs="宋体"/>
          <w:color w:val="000000"/>
          <w:sz w:val="24"/>
          <w:u w:val="single"/>
        </w:rPr>
        <w:t>分</w:t>
      </w:r>
      <w:r>
        <w:rPr>
          <w:rFonts w:hint="eastAsia" w:ascii="宋体" w:hAnsi="宋体"/>
          <w:sz w:val="24"/>
        </w:rPr>
        <w:t>前向采购人提出澄清要求。</w:t>
      </w:r>
    </w:p>
    <w:p>
      <w:pPr>
        <w:spacing w:line="360" w:lineRule="auto"/>
      </w:pPr>
    </w:p>
    <w:p>
      <w:pPr>
        <w:pStyle w:val="4"/>
        <w:spacing w:line="360" w:lineRule="auto"/>
        <w:jc w:val="both"/>
      </w:pPr>
      <w:r>
        <w:rPr>
          <w:rFonts w:hint="eastAsia"/>
        </w:rPr>
        <w:t>7</w:t>
      </w:r>
      <w:r>
        <w:t xml:space="preserve"> </w:t>
      </w:r>
      <w:r>
        <w:rPr>
          <w:rFonts w:hint="eastAsia"/>
        </w:rPr>
        <w:t>发布</w:t>
      </w:r>
      <w:r>
        <w:rPr>
          <w:rFonts w:hint="eastAsia" w:ascii="黑体" w:hAnsi="黑体"/>
        </w:rPr>
        <w:t>公告的</w:t>
      </w:r>
      <w:r>
        <w:rPr>
          <w:rFonts w:hint="eastAsia"/>
        </w:rPr>
        <w:t>媒介</w:t>
      </w:r>
    </w:p>
    <w:p>
      <w:pPr>
        <w:autoSpaceDE w:val="0"/>
        <w:spacing w:line="360" w:lineRule="auto"/>
        <w:rPr>
          <w:rFonts w:hint="eastAsia" w:ascii="宋体" w:hAnsi="宋体"/>
          <w:bCs/>
          <w:sz w:val="24"/>
        </w:rPr>
      </w:pPr>
      <w:r>
        <w:rPr>
          <w:rFonts w:hint="eastAsia" w:ascii="宋体" w:hAnsi="宋体"/>
          <w:bCs/>
          <w:sz w:val="24"/>
        </w:rPr>
        <w:t>本次采购公告发布的媒介: 中国招标投标公共服务平台（http：//www.cebpubservice.com）、湖南省港航水利集团网站</w:t>
      </w:r>
    </w:p>
    <w:p>
      <w:pPr>
        <w:autoSpaceDE w:val="0"/>
        <w:spacing w:line="360" w:lineRule="auto"/>
        <w:rPr>
          <w:rFonts w:hint="eastAsia" w:ascii="宋体" w:hAnsi="宋体"/>
          <w:bCs/>
          <w:sz w:val="24"/>
        </w:rPr>
      </w:pPr>
      <w:r>
        <w:rPr>
          <w:rFonts w:hint="eastAsia" w:ascii="宋体" w:hAnsi="宋体"/>
          <w:bCs/>
          <w:sz w:val="24"/>
        </w:rPr>
        <w:t>（http：//</w:t>
      </w:r>
      <w:r>
        <w:rPr>
          <w:rFonts w:hint="eastAsia" w:ascii="宋体" w:hAnsi="宋体"/>
          <w:bCs/>
          <w:sz w:val="24"/>
        </w:rPr>
        <w:fldChar w:fldCharType="begin"/>
      </w:r>
      <w:r>
        <w:rPr>
          <w:rFonts w:hint="eastAsia" w:ascii="宋体" w:hAnsi="宋体"/>
          <w:bCs/>
          <w:sz w:val="24"/>
        </w:rPr>
        <w:instrText xml:space="preserve"> HYPERLINK "http://www.hnsghsljt.com/" </w:instrText>
      </w:r>
      <w:r>
        <w:rPr>
          <w:rFonts w:hint="eastAsia" w:ascii="宋体" w:hAnsi="宋体"/>
          <w:bCs/>
          <w:sz w:val="24"/>
        </w:rPr>
        <w:fldChar w:fldCharType="separate"/>
      </w:r>
      <w:r>
        <w:rPr>
          <w:rFonts w:hint="eastAsia" w:ascii="宋体" w:hAnsi="宋体"/>
          <w:bCs/>
          <w:sz w:val="24"/>
        </w:rPr>
        <w:t>hnsghsljt.com</w:t>
      </w:r>
      <w:r>
        <w:rPr>
          <w:rFonts w:hint="eastAsia" w:ascii="宋体" w:hAnsi="宋体"/>
          <w:bCs/>
          <w:sz w:val="24"/>
        </w:rPr>
        <w:fldChar w:fldCharType="end"/>
      </w:r>
      <w:r>
        <w:rPr>
          <w:rFonts w:hint="eastAsia" w:ascii="宋体" w:hAnsi="宋体"/>
          <w:bCs/>
          <w:sz w:val="24"/>
        </w:rPr>
        <w:t>）、湖南省港务集团有限公司门户网站（http://www.hnsgwjt.com/）上发布。</w:t>
      </w:r>
    </w:p>
    <w:p>
      <w:pPr>
        <w:pStyle w:val="4"/>
        <w:spacing w:line="360" w:lineRule="auto"/>
        <w:jc w:val="both"/>
      </w:pPr>
      <w:r>
        <w:rPr>
          <w:rFonts w:hint="eastAsia"/>
        </w:rPr>
        <w:t>8</w:t>
      </w:r>
      <w:bookmarkStart w:id="1" w:name="_Toc512257471"/>
      <w:bookmarkStart w:id="2" w:name="_Toc77254104"/>
      <w:bookmarkStart w:id="3" w:name="_Toc76635692"/>
      <w:bookmarkStart w:id="4" w:name="_Toc79596547"/>
      <w:r>
        <w:t xml:space="preserve"> 监督</w:t>
      </w:r>
      <w:bookmarkEnd w:id="1"/>
      <w:bookmarkEnd w:id="2"/>
      <w:bookmarkEnd w:id="3"/>
      <w:r>
        <w:rPr>
          <w:rFonts w:hint="eastAsia"/>
        </w:rPr>
        <w:t>部门</w:t>
      </w:r>
      <w:bookmarkEnd w:id="4"/>
    </w:p>
    <w:p>
      <w:pPr>
        <w:pStyle w:val="34"/>
        <w:widowControl w:val="0"/>
        <w:adjustRightInd w:val="0"/>
        <w:snapToGrid w:val="0"/>
        <w:spacing w:before="0" w:beforeAutospacing="0" w:after="0" w:afterAutospacing="0" w:line="360" w:lineRule="auto"/>
        <w:ind w:firstLine="240" w:firstLineChars="100"/>
        <w:jc w:val="both"/>
        <w:rPr>
          <w:rFonts w:cs="Times New Roman"/>
        </w:rPr>
      </w:pPr>
      <w:r>
        <w:rPr>
          <w:rFonts w:cs="Times New Roman"/>
        </w:rPr>
        <w:t>本次</w:t>
      </w:r>
      <w:r>
        <w:rPr>
          <w:rFonts w:hint="eastAsia" w:cs="Times New Roman"/>
        </w:rPr>
        <w:t>采购</w:t>
      </w:r>
      <w:r>
        <w:rPr>
          <w:rFonts w:cs="Times New Roman"/>
        </w:rPr>
        <w:t>监督部门为</w:t>
      </w:r>
      <w:r>
        <w:rPr>
          <w:rFonts w:hint="eastAsia" w:cs="Times New Roman"/>
          <w:u w:val="single"/>
        </w:rPr>
        <w:t>岳阳城陵矶新港有限公司</w:t>
      </w:r>
      <w:r>
        <w:rPr>
          <w:rFonts w:hint="eastAsia"/>
          <w:u w:val="single"/>
        </w:rPr>
        <w:t>党群综合部</w:t>
      </w:r>
      <w:r>
        <w:rPr>
          <w:rFonts w:cs="Times New Roman"/>
        </w:rPr>
        <w:t>，电话：</w:t>
      </w:r>
      <w:r>
        <w:rPr>
          <w:rFonts w:hint="eastAsia"/>
          <w:u w:val="single"/>
        </w:rPr>
        <w:t>13873049118</w:t>
      </w:r>
    </w:p>
    <w:p>
      <w:pPr>
        <w:pStyle w:val="4"/>
        <w:spacing w:line="360" w:lineRule="auto"/>
        <w:ind w:firstLine="281" w:firstLineChars="100"/>
        <w:jc w:val="both"/>
        <w:rPr>
          <w:rFonts w:ascii="Arial" w:hAnsi="Arial"/>
        </w:rPr>
      </w:pPr>
      <w:r>
        <w:t>9</w:t>
      </w:r>
      <w:r>
        <w:rPr>
          <w:rFonts w:hint="eastAsia"/>
        </w:rPr>
        <w:t xml:space="preserve"> </w:t>
      </w:r>
      <w:r>
        <w:rPr>
          <w:rFonts w:hint="eastAsia" w:ascii="黑体" w:hAnsi="黑体"/>
        </w:rPr>
        <w:t>其他</w:t>
      </w:r>
    </w:p>
    <w:p>
      <w:pPr>
        <w:autoSpaceDE w:val="0"/>
        <w:spacing w:line="360" w:lineRule="auto"/>
        <w:jc w:val="both"/>
        <w:rPr>
          <w:rFonts w:ascii="宋体" w:hAnsi="宋体"/>
          <w:sz w:val="24"/>
        </w:rPr>
      </w:pPr>
      <w:r>
        <w:rPr>
          <w:rFonts w:hint="eastAsia" w:ascii="宋体" w:hAnsi="宋体"/>
          <w:b/>
          <w:bCs/>
          <w:sz w:val="24"/>
        </w:rPr>
        <w:t xml:space="preserve">9.1 </w:t>
      </w:r>
      <w:r>
        <w:rPr>
          <w:rFonts w:hint="eastAsia" w:ascii="宋体" w:hAnsi="宋体"/>
          <w:sz w:val="24"/>
        </w:rPr>
        <w:t>采购人在签署采购合同时及合同履行过程中，有权对采购标的的数量进行增加或减少的幅度: 10%。</w:t>
      </w:r>
    </w:p>
    <w:p>
      <w:pPr>
        <w:autoSpaceDE w:val="0"/>
        <w:spacing w:line="360" w:lineRule="auto"/>
        <w:jc w:val="both"/>
        <w:rPr>
          <w:rFonts w:ascii="宋体" w:hAnsi="宋体"/>
          <w:sz w:val="24"/>
        </w:rPr>
      </w:pPr>
      <w:r>
        <w:rPr>
          <w:rFonts w:hint="eastAsia" w:ascii="宋体" w:hAnsi="宋体"/>
          <w:b/>
          <w:bCs/>
          <w:sz w:val="24"/>
        </w:rPr>
        <w:t>9.2</w:t>
      </w:r>
      <w:r>
        <w:rPr>
          <w:rFonts w:hint="eastAsia" w:ascii="宋体" w:hAnsi="宋体"/>
          <w:sz w:val="24"/>
        </w:rPr>
        <w:t xml:space="preserve"> 项</w:t>
      </w:r>
      <w:r>
        <w:rPr>
          <w:rFonts w:hint="eastAsia" w:ascii="宋体" w:hAnsi="宋体" w:cs="宋体"/>
          <w:sz w:val="24"/>
        </w:rPr>
        <w:t>目控制价：本项目最高限价为人民币</w:t>
      </w:r>
      <w:r>
        <w:rPr>
          <w:rFonts w:hint="eastAsia" w:ascii="宋体" w:hAnsi="宋体" w:cs="宋体"/>
          <w:sz w:val="24"/>
          <w:u w:val="single"/>
          <w:lang w:val="en-US" w:eastAsia="zh-CN"/>
        </w:rPr>
        <w:t>贰拾肆万圆</w:t>
      </w:r>
      <w:r>
        <w:rPr>
          <w:rFonts w:hint="eastAsia" w:ascii="宋体" w:hAnsi="宋体" w:cs="宋体"/>
          <w:sz w:val="24"/>
          <w:u w:val="single"/>
        </w:rPr>
        <w:t>整</w:t>
      </w:r>
      <w:r>
        <w:rPr>
          <w:rFonts w:hint="eastAsia" w:ascii="宋体" w:hAnsi="宋体" w:cs="宋体"/>
          <w:sz w:val="24"/>
        </w:rPr>
        <w:t>（小写：¥</w:t>
      </w:r>
      <w:r>
        <w:rPr>
          <w:rFonts w:hint="eastAsia" w:ascii="宋体" w:hAnsi="宋体" w:cs="宋体"/>
          <w:sz w:val="24"/>
          <w:lang w:val="en-US" w:eastAsia="zh-CN"/>
        </w:rPr>
        <w:t>280</w:t>
      </w:r>
      <w:r>
        <w:rPr>
          <w:rFonts w:hint="eastAsia" w:ascii="宋体" w:hAnsi="宋体" w:cs="宋体"/>
          <w:sz w:val="24"/>
        </w:rPr>
        <w:t>000元）。提供13%的增值税专用发票，</w:t>
      </w:r>
      <w:r>
        <w:rPr>
          <w:rFonts w:hint="eastAsia" w:ascii="宋体" w:hAnsi="宋体"/>
          <w:sz w:val="24"/>
        </w:rPr>
        <w:t>如果供应商提供其他税率的增值税专用发票，采购人将按13%的税率调整报价，</w:t>
      </w:r>
      <w:r>
        <w:rPr>
          <w:rFonts w:hint="eastAsia" w:ascii="宋体" w:hAnsi="宋体" w:cs="宋体"/>
          <w:sz w:val="24"/>
        </w:rPr>
        <w:t>超过最高限价的作废。</w:t>
      </w:r>
    </w:p>
    <w:p>
      <w:pPr>
        <w:pStyle w:val="4"/>
        <w:spacing w:line="360" w:lineRule="auto"/>
        <w:jc w:val="both"/>
        <w:rPr>
          <w:rFonts w:ascii="Arial" w:hAnsi="Arial"/>
        </w:rPr>
      </w:pPr>
      <w:r>
        <w:t>10</w:t>
      </w:r>
      <w:r>
        <w:rPr>
          <w:rFonts w:hint="eastAsia"/>
        </w:rPr>
        <w:t xml:space="preserve"> </w:t>
      </w:r>
      <w:r>
        <w:rPr>
          <w:rFonts w:hint="eastAsia" w:ascii="黑体" w:hAnsi="黑体"/>
        </w:rPr>
        <w:t>联系方式</w:t>
      </w:r>
    </w:p>
    <w:p>
      <w:pPr>
        <w:autoSpaceDE w:val="0"/>
        <w:spacing w:line="360" w:lineRule="auto"/>
        <w:ind w:firstLine="240" w:firstLineChars="100"/>
        <w:jc w:val="both"/>
        <w:rPr>
          <w:rFonts w:ascii="宋体" w:hAnsi="宋体"/>
          <w:sz w:val="24"/>
        </w:rPr>
      </w:pPr>
      <w:r>
        <w:rPr>
          <w:rFonts w:hint="eastAsia" w:ascii="宋体" w:hAnsi="宋体"/>
          <w:sz w:val="24"/>
        </w:rPr>
        <w:t>采 购 人: 岳阳城陵矶新港有限公司</w:t>
      </w:r>
      <w:r>
        <w:rPr>
          <w:rFonts w:hint="eastAsia" w:ascii="宋体" w:hAnsi="宋体"/>
          <w:sz w:val="24"/>
        </w:rPr>
        <w:tab/>
      </w:r>
      <w:r>
        <w:rPr>
          <w:rFonts w:hint="eastAsia" w:ascii="宋体" w:hAnsi="宋体"/>
          <w:sz w:val="24"/>
        </w:rPr>
        <w:t xml:space="preserve">         </w:t>
      </w:r>
    </w:p>
    <w:p>
      <w:pPr>
        <w:autoSpaceDE w:val="0"/>
        <w:spacing w:line="360" w:lineRule="auto"/>
        <w:ind w:firstLine="240" w:firstLineChars="100"/>
        <w:jc w:val="both"/>
        <w:rPr>
          <w:rFonts w:ascii="宋体" w:hAnsi="宋体"/>
          <w:sz w:val="24"/>
        </w:rPr>
      </w:pPr>
      <w:r>
        <w:rPr>
          <w:rFonts w:hint="eastAsia" w:ascii="宋体" w:hAnsi="宋体"/>
          <w:sz w:val="24"/>
        </w:rPr>
        <w:t>地    址: 湖南省岳阳市云溪区永济乡松阳湖城陵矶新港有限公司</w:t>
      </w:r>
    </w:p>
    <w:p>
      <w:pPr>
        <w:autoSpaceDE w:val="0"/>
        <w:spacing w:line="360" w:lineRule="auto"/>
        <w:ind w:firstLine="240" w:firstLineChars="100"/>
        <w:jc w:val="both"/>
        <w:rPr>
          <w:rFonts w:ascii="宋体" w:hAnsi="宋体"/>
          <w:sz w:val="24"/>
        </w:rPr>
      </w:pPr>
      <w:r>
        <w:rPr>
          <w:rFonts w:hint="eastAsia" w:ascii="宋体" w:hAnsi="宋体"/>
          <w:sz w:val="24"/>
        </w:rPr>
        <w:t xml:space="preserve">邮政编码: 414000                         </w:t>
      </w:r>
    </w:p>
    <w:p>
      <w:pPr>
        <w:autoSpaceDE w:val="0"/>
        <w:spacing w:line="360" w:lineRule="auto"/>
        <w:ind w:firstLine="240" w:firstLineChars="100"/>
        <w:jc w:val="both"/>
        <w:rPr>
          <w:rFonts w:ascii="宋体" w:hAnsi="宋体"/>
          <w:sz w:val="24"/>
        </w:rPr>
      </w:pPr>
      <w:r>
        <w:rPr>
          <w:rFonts w:hint="eastAsia" w:ascii="宋体" w:hAnsi="宋体"/>
          <w:sz w:val="24"/>
        </w:rPr>
        <w:t xml:space="preserve">联 系 人: 王先生                  </w:t>
      </w:r>
    </w:p>
    <w:p>
      <w:pPr>
        <w:autoSpaceDE w:val="0"/>
        <w:spacing w:line="360" w:lineRule="auto"/>
        <w:ind w:firstLine="240" w:firstLineChars="100"/>
        <w:jc w:val="both"/>
        <w:rPr>
          <w:rFonts w:ascii="宋体" w:hAnsi="宋体"/>
          <w:sz w:val="24"/>
        </w:rPr>
      </w:pPr>
      <w:r>
        <w:rPr>
          <w:rFonts w:hint="eastAsia" w:ascii="宋体" w:hAnsi="宋体"/>
          <w:sz w:val="24"/>
        </w:rPr>
        <w:t xml:space="preserve">电    话: 0730-8422009                                       </w:t>
      </w:r>
    </w:p>
    <w:p>
      <w:pPr>
        <w:autoSpaceDE w:val="0"/>
        <w:spacing w:line="360" w:lineRule="auto"/>
        <w:ind w:firstLine="240" w:firstLineChars="100"/>
        <w:jc w:val="both"/>
        <w:rPr>
          <w:rFonts w:ascii="宋体" w:hAnsi="宋体"/>
          <w:sz w:val="24"/>
        </w:rPr>
      </w:pPr>
      <w:r>
        <w:rPr>
          <w:rFonts w:hint="eastAsia" w:ascii="宋体" w:hAnsi="宋体"/>
          <w:sz w:val="24"/>
        </w:rPr>
        <w:t xml:space="preserve">电子邮箱: 962506409@qq.com             </w:t>
      </w:r>
    </w:p>
    <w:p>
      <w:pPr>
        <w:autoSpaceDE w:val="0"/>
        <w:spacing w:line="360" w:lineRule="auto"/>
        <w:ind w:firstLine="240" w:firstLineChars="100"/>
        <w:jc w:val="both"/>
        <w:rPr>
          <w:rFonts w:ascii="宋体" w:hAnsi="宋体"/>
          <w:sz w:val="24"/>
        </w:rPr>
      </w:pPr>
      <w:r>
        <w:rPr>
          <w:rFonts w:hint="eastAsia" w:ascii="宋体" w:hAnsi="宋体"/>
          <w:sz w:val="24"/>
        </w:rPr>
        <w:t xml:space="preserve">网    址: http://www.hnsgwjt.com/        </w:t>
      </w:r>
    </w:p>
    <w:p>
      <w:pPr>
        <w:autoSpaceDE w:val="0"/>
        <w:spacing w:line="360" w:lineRule="auto"/>
        <w:ind w:firstLine="240" w:firstLineChars="100"/>
        <w:jc w:val="both"/>
        <w:rPr>
          <w:rFonts w:ascii="宋体" w:hAnsi="宋体"/>
          <w:sz w:val="24"/>
        </w:rPr>
      </w:pPr>
      <w:r>
        <w:rPr>
          <w:rFonts w:hint="eastAsia" w:ascii="宋体" w:hAnsi="宋体"/>
          <w:sz w:val="24"/>
        </w:rPr>
        <w:t xml:space="preserve">开户银行: 交通银行云溪支行               </w:t>
      </w:r>
    </w:p>
    <w:p>
      <w:pPr>
        <w:autoSpaceDE w:val="0"/>
        <w:spacing w:line="360" w:lineRule="auto"/>
        <w:ind w:firstLine="240" w:firstLineChars="100"/>
        <w:jc w:val="both"/>
        <w:rPr>
          <w:rFonts w:ascii="宋体" w:hAnsi="宋体"/>
          <w:sz w:val="24"/>
        </w:rPr>
      </w:pPr>
      <w:r>
        <w:rPr>
          <w:rFonts w:hint="eastAsia" w:ascii="宋体" w:hAnsi="宋体"/>
          <w:sz w:val="24"/>
        </w:rPr>
        <w:t xml:space="preserve">账    号: 436600720018010006451     </w:t>
      </w:r>
    </w:p>
    <w:p>
      <w:pPr>
        <w:autoSpaceDE w:val="0"/>
        <w:spacing w:line="360" w:lineRule="auto"/>
        <w:jc w:val="both"/>
        <w:rPr>
          <w:rFonts w:ascii="宋体" w:hAnsi="宋体"/>
          <w:sz w:val="24"/>
        </w:rPr>
      </w:pPr>
      <w:r>
        <w:rPr>
          <w:rFonts w:hint="eastAsia" w:ascii="宋体" w:hAnsi="宋体"/>
          <w:sz w:val="24"/>
        </w:rPr>
        <w:t xml:space="preserve"> </w:t>
      </w:r>
    </w:p>
    <w:p>
      <w:pPr>
        <w:autoSpaceDE w:val="0"/>
        <w:spacing w:line="360" w:lineRule="auto"/>
        <w:jc w:val="both"/>
        <w:rPr>
          <w:rFonts w:ascii="黑体" w:hAnsi="黑体" w:eastAsia="黑体"/>
          <w:sz w:val="32"/>
          <w:szCs w:val="32"/>
        </w:rPr>
      </w:pPr>
      <w:r>
        <w:rPr>
          <w:rFonts w:hint="eastAsia" w:ascii="宋体" w:hAnsi="宋体"/>
          <w:sz w:val="24"/>
        </w:rPr>
        <w:t xml:space="preserve"> </w:t>
      </w:r>
      <w:bookmarkStart w:id="5" w:name="_Toc517787494"/>
      <w:bookmarkStart w:id="6" w:name="_Toc234832861"/>
    </w:p>
    <w:p>
      <w:pPr>
        <w:spacing w:line="360" w:lineRule="auto"/>
        <w:jc w:val="center"/>
        <w:rPr>
          <w:rFonts w:ascii="黑体" w:hAnsi="黑体" w:eastAsia="黑体"/>
          <w:sz w:val="32"/>
          <w:szCs w:val="32"/>
        </w:rPr>
      </w:pPr>
    </w:p>
    <w:p>
      <w:pPr>
        <w:pStyle w:val="38"/>
        <w:spacing w:line="360" w:lineRule="auto"/>
        <w:rPr>
          <w:rFonts w:ascii="黑体" w:hAnsi="黑体" w:eastAsia="黑体"/>
          <w:sz w:val="32"/>
          <w:szCs w:val="32"/>
        </w:rPr>
      </w:pPr>
    </w:p>
    <w:p>
      <w:pPr>
        <w:pStyle w:val="38"/>
        <w:spacing w:line="360" w:lineRule="auto"/>
        <w:rPr>
          <w:rFonts w:ascii="黑体" w:hAnsi="黑体" w:eastAsia="黑体"/>
          <w:sz w:val="32"/>
          <w:szCs w:val="32"/>
        </w:rPr>
      </w:pPr>
    </w:p>
    <w:p>
      <w:pPr>
        <w:pStyle w:val="38"/>
        <w:spacing w:line="360" w:lineRule="auto"/>
        <w:rPr>
          <w:rFonts w:ascii="黑体" w:hAnsi="黑体" w:eastAsia="黑体"/>
          <w:sz w:val="32"/>
          <w:szCs w:val="32"/>
        </w:rPr>
      </w:pPr>
    </w:p>
    <w:p>
      <w:pPr>
        <w:pStyle w:val="38"/>
        <w:rPr>
          <w:rFonts w:ascii="黑体" w:hAnsi="黑体" w:eastAsia="黑体"/>
          <w:sz w:val="32"/>
          <w:szCs w:val="32"/>
        </w:rPr>
      </w:pPr>
    </w:p>
    <w:p>
      <w:pPr>
        <w:pStyle w:val="49"/>
        <w:rPr>
          <w:sz w:val="32"/>
          <w:szCs w:val="32"/>
        </w:rPr>
      </w:pPr>
    </w:p>
    <w:p>
      <w:pPr>
        <w:pStyle w:val="49"/>
        <w:rPr>
          <w:sz w:val="32"/>
          <w:szCs w:val="32"/>
        </w:rPr>
      </w:pPr>
    </w:p>
    <w:p>
      <w:pPr>
        <w:spacing w:line="240" w:lineRule="auto"/>
        <w:rPr>
          <w:rFonts w:ascii="黑体" w:hAnsi="黑体" w:eastAsia="黑体"/>
          <w:sz w:val="32"/>
          <w:szCs w:val="32"/>
        </w:rPr>
      </w:pPr>
      <w:r>
        <w:rPr>
          <w:rFonts w:hint="eastAsia" w:ascii="黑体" w:hAnsi="黑体" w:eastAsia="黑体"/>
          <w:sz w:val="32"/>
          <w:szCs w:val="32"/>
        </w:rPr>
        <w:br w:type="page"/>
      </w:r>
    </w:p>
    <w:p>
      <w:pPr>
        <w:spacing w:line="600" w:lineRule="exact"/>
        <w:jc w:val="center"/>
        <w:outlineLvl w:val="0"/>
        <w:rPr>
          <w:rFonts w:ascii="微软雅黑" w:hAnsi="微软雅黑" w:eastAsia="微软雅黑" w:cs="微软雅黑"/>
          <w:sz w:val="32"/>
          <w:szCs w:val="32"/>
        </w:rPr>
      </w:pPr>
      <w:bookmarkStart w:id="7" w:name="_Toc4462"/>
      <w:r>
        <w:rPr>
          <w:rFonts w:hint="eastAsia" w:ascii="微软雅黑" w:hAnsi="微软雅黑" w:eastAsia="微软雅黑" w:cs="微软雅黑"/>
          <w:sz w:val="32"/>
          <w:szCs w:val="32"/>
        </w:rPr>
        <w:t>第二章  供应商须知</w:t>
      </w:r>
      <w:bookmarkEnd w:id="5"/>
      <w:bookmarkEnd w:id="6"/>
      <w:bookmarkEnd w:id="7"/>
    </w:p>
    <w:p>
      <w:pPr>
        <w:pStyle w:val="2"/>
        <w:spacing w:before="240" w:after="240" w:line="600" w:lineRule="exact"/>
        <w:jc w:val="center"/>
        <w:rPr>
          <w:rFonts w:ascii="仿宋" w:hAnsi="仿宋" w:eastAsia="仿宋" w:cs="仿宋"/>
          <w:sz w:val="30"/>
          <w:szCs w:val="30"/>
        </w:rPr>
      </w:pPr>
      <w:bookmarkStart w:id="8" w:name="_Toc2308"/>
      <w:bookmarkStart w:id="9" w:name="_Toc234832862"/>
      <w:bookmarkStart w:id="10" w:name="_Toc517787495"/>
      <w:r>
        <w:rPr>
          <w:rFonts w:hint="eastAsia" w:ascii="仿宋" w:hAnsi="仿宋" w:eastAsia="仿宋" w:cs="仿宋"/>
          <w:sz w:val="30"/>
          <w:szCs w:val="30"/>
        </w:rPr>
        <w:t>供应商须知前附表</w:t>
      </w:r>
      <w:bookmarkEnd w:id="8"/>
      <w:bookmarkEnd w:id="9"/>
      <w:bookmarkEnd w:id="10"/>
    </w:p>
    <w:tbl>
      <w:tblPr>
        <w:tblStyle w:val="39"/>
        <w:tblW w:w="9018" w:type="dxa"/>
        <w:tblInd w:w="-278" w:type="dxa"/>
        <w:tblLayout w:type="fixed"/>
        <w:tblCellMar>
          <w:top w:w="0" w:type="dxa"/>
          <w:left w:w="108" w:type="dxa"/>
          <w:bottom w:w="0" w:type="dxa"/>
          <w:right w:w="108" w:type="dxa"/>
        </w:tblCellMar>
      </w:tblPr>
      <w:tblGrid>
        <w:gridCol w:w="1297"/>
        <w:gridCol w:w="2972"/>
        <w:gridCol w:w="4749"/>
      </w:tblGrid>
      <w:tr>
        <w:tblPrEx>
          <w:tblCellMar>
            <w:top w:w="0" w:type="dxa"/>
            <w:left w:w="108" w:type="dxa"/>
            <w:bottom w:w="0" w:type="dxa"/>
            <w:right w:w="108" w:type="dxa"/>
          </w:tblCellMar>
        </w:tblPrEx>
        <w:trPr>
          <w:trHeight w:val="387" w:hRule="atLeast"/>
          <w:tblHeader/>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条款号</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条  款  名  称</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编  列  内  容</w:t>
            </w:r>
          </w:p>
        </w:tc>
      </w:tr>
      <w:tr>
        <w:tblPrEx>
          <w:tblCellMar>
            <w:top w:w="0" w:type="dxa"/>
            <w:left w:w="108" w:type="dxa"/>
            <w:bottom w:w="0" w:type="dxa"/>
            <w:right w:w="108" w:type="dxa"/>
          </w:tblCellMar>
        </w:tblPrEx>
        <w:trPr>
          <w:trHeight w:val="529"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1.1.1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采购方法</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sym w:font="Wingdings 2" w:char="0052"/>
            </w:r>
            <w:r>
              <w:rPr>
                <w:rFonts w:hint="eastAsia" w:ascii="宋体" w:hAnsi="宋体" w:cs="宋体"/>
                <w:szCs w:val="21"/>
              </w:rPr>
              <w:t>询价</w:t>
            </w:r>
          </w:p>
        </w:tc>
      </w:tr>
      <w:tr>
        <w:tblPrEx>
          <w:tblCellMar>
            <w:top w:w="0" w:type="dxa"/>
            <w:left w:w="108" w:type="dxa"/>
            <w:bottom w:w="0" w:type="dxa"/>
            <w:right w:w="108" w:type="dxa"/>
          </w:tblCellMar>
        </w:tblPrEx>
        <w:trPr>
          <w:trHeight w:val="529"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1.1.2</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评审办法</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sym w:font="Wingdings 2" w:char="0052"/>
            </w:r>
            <w:r>
              <w:rPr>
                <w:rFonts w:hint="eastAsia" w:ascii="宋体" w:hAnsi="宋体" w:cs="宋体"/>
                <w:szCs w:val="21"/>
              </w:rPr>
              <w:t>综合评分法</w:t>
            </w:r>
          </w:p>
        </w:tc>
      </w:tr>
      <w:tr>
        <w:tblPrEx>
          <w:tblCellMar>
            <w:top w:w="0" w:type="dxa"/>
            <w:left w:w="108" w:type="dxa"/>
            <w:bottom w:w="0" w:type="dxa"/>
            <w:right w:w="108" w:type="dxa"/>
          </w:tblCellMar>
        </w:tblPrEx>
        <w:trPr>
          <w:trHeight w:val="529"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1.7.1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踏勘现场</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sym w:font="Wingdings 2" w:char="0052"/>
            </w:r>
            <w:r>
              <w:rPr>
                <w:rFonts w:hint="eastAsia" w:ascii="宋体" w:hAnsi="宋体" w:cs="宋体"/>
                <w:szCs w:val="21"/>
              </w:rPr>
              <w:t>组织</w:t>
            </w:r>
          </w:p>
          <w:p>
            <w:pPr>
              <w:spacing w:line="288" w:lineRule="auto"/>
              <w:jc w:val="both"/>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月</w:t>
            </w:r>
            <w:r>
              <w:rPr>
                <w:rFonts w:hint="eastAsia" w:ascii="宋体" w:hAnsi="宋体" w:cs="宋体"/>
                <w:szCs w:val="21"/>
                <w:lang w:val="en-US" w:eastAsia="zh-CN"/>
              </w:rPr>
              <w:t>25</w:t>
            </w:r>
            <w:r>
              <w:rPr>
                <w:rFonts w:hint="eastAsia" w:ascii="宋体" w:hAnsi="宋体" w:cs="宋体"/>
                <w:szCs w:val="21"/>
              </w:rPr>
              <w:t>日-</w:t>
            </w:r>
            <w:r>
              <w:rPr>
                <w:rFonts w:hint="eastAsia" w:ascii="宋体" w:hAnsi="宋体" w:cs="宋体"/>
                <w:szCs w:val="21"/>
                <w:lang w:val="en-US" w:eastAsia="zh-CN"/>
              </w:rPr>
              <w:t>4</w:t>
            </w:r>
            <w:r>
              <w:rPr>
                <w:rFonts w:hint="eastAsia" w:ascii="宋体" w:hAnsi="宋体" w:cs="宋体"/>
                <w:szCs w:val="21"/>
              </w:rPr>
              <w:t>月</w:t>
            </w:r>
            <w:r>
              <w:rPr>
                <w:rFonts w:hint="eastAsia" w:ascii="宋体" w:hAnsi="宋体" w:cs="宋体"/>
                <w:szCs w:val="21"/>
                <w:lang w:val="en-US" w:eastAsia="zh-CN"/>
              </w:rPr>
              <w:t>27</w:t>
            </w:r>
            <w:r>
              <w:rPr>
                <w:rFonts w:hint="eastAsia" w:ascii="宋体" w:hAnsi="宋体" w:cs="宋体"/>
                <w:szCs w:val="21"/>
              </w:rPr>
              <w:t>日，每天8:00-17:30</w:t>
            </w:r>
          </w:p>
          <w:p>
            <w:pPr>
              <w:spacing w:line="288" w:lineRule="auto"/>
              <w:jc w:val="both"/>
              <w:rPr>
                <w:rFonts w:ascii="宋体" w:hAnsi="宋体" w:cs="宋体"/>
                <w:szCs w:val="21"/>
              </w:rPr>
            </w:pPr>
            <w:r>
              <w:rPr>
                <w:rFonts w:hint="eastAsia" w:ascii="宋体" w:hAnsi="宋体" w:cs="宋体"/>
                <w:szCs w:val="21"/>
              </w:rPr>
              <w:t xml:space="preserve">联 系 人: 王先生                         </w:t>
            </w:r>
          </w:p>
          <w:p>
            <w:pPr>
              <w:spacing w:line="288" w:lineRule="auto"/>
              <w:jc w:val="both"/>
              <w:rPr>
                <w:rFonts w:ascii="宋体" w:hAnsi="宋体" w:cs="宋体"/>
                <w:szCs w:val="21"/>
              </w:rPr>
            </w:pPr>
            <w:r>
              <w:rPr>
                <w:rFonts w:hint="eastAsia" w:ascii="宋体" w:hAnsi="宋体" w:cs="宋体"/>
                <w:szCs w:val="21"/>
              </w:rPr>
              <w:t xml:space="preserve">电    话:  0730-8422009                                         </w:t>
            </w:r>
          </w:p>
        </w:tc>
      </w:tr>
      <w:tr>
        <w:tblPrEx>
          <w:tblCellMar>
            <w:top w:w="0" w:type="dxa"/>
            <w:left w:w="108" w:type="dxa"/>
            <w:bottom w:w="0" w:type="dxa"/>
            <w:right w:w="108" w:type="dxa"/>
          </w:tblCellMar>
        </w:tblPrEx>
        <w:trPr>
          <w:trHeight w:val="529"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1.8</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采购预备会</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sym w:font="Wingdings 2" w:char="0052"/>
            </w:r>
            <w:r>
              <w:rPr>
                <w:rFonts w:hint="eastAsia" w:ascii="宋体" w:hAnsi="宋体" w:cs="宋体"/>
                <w:szCs w:val="21"/>
              </w:rPr>
              <w:t xml:space="preserve">不召开                                             </w:t>
            </w:r>
          </w:p>
        </w:tc>
      </w:tr>
      <w:tr>
        <w:tblPrEx>
          <w:tblCellMar>
            <w:top w:w="0" w:type="dxa"/>
            <w:left w:w="108" w:type="dxa"/>
            <w:bottom w:w="0" w:type="dxa"/>
            <w:right w:w="108" w:type="dxa"/>
          </w:tblCellMar>
        </w:tblPrEx>
        <w:trPr>
          <w:trHeight w:val="75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1.9</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分包</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不得分包的内容：不允许分包</w:t>
            </w:r>
          </w:p>
          <w:p>
            <w:pPr>
              <w:spacing w:line="288" w:lineRule="auto"/>
              <w:jc w:val="both"/>
              <w:rPr>
                <w:rFonts w:ascii="宋体" w:hAnsi="宋体" w:cs="宋体"/>
                <w:szCs w:val="21"/>
              </w:rPr>
            </w:pPr>
            <w:r>
              <w:rPr>
                <w:rFonts w:hint="eastAsia" w:ascii="宋体" w:hAnsi="宋体" w:cs="宋体"/>
                <w:szCs w:val="21"/>
              </w:rPr>
              <w:t xml:space="preserve">对分包供应商的要求：不允许分包                 </w:t>
            </w:r>
          </w:p>
        </w:tc>
      </w:tr>
      <w:tr>
        <w:tblPrEx>
          <w:tblCellMar>
            <w:top w:w="0" w:type="dxa"/>
            <w:left w:w="108" w:type="dxa"/>
            <w:bottom w:w="0" w:type="dxa"/>
            <w:right w:w="108" w:type="dxa"/>
          </w:tblCellMar>
        </w:tblPrEx>
        <w:trPr>
          <w:trHeight w:val="75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1.10.2</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对非关键条款的偏差</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允许偏差的范围：细微偏差。</w:t>
            </w:r>
          </w:p>
          <w:p>
            <w:pPr>
              <w:spacing w:line="288" w:lineRule="auto"/>
              <w:jc w:val="both"/>
              <w:rPr>
                <w:rFonts w:ascii="宋体" w:hAnsi="宋体" w:cs="宋体"/>
                <w:szCs w:val="21"/>
              </w:rPr>
            </w:pPr>
            <w:r>
              <w:rPr>
                <w:rFonts w:hint="eastAsia" w:ascii="宋体" w:hAnsi="宋体" w:cs="宋体"/>
                <w:szCs w:val="21"/>
              </w:rPr>
              <w:t>允许偏差的项数：</w:t>
            </w:r>
            <w:r>
              <w:rPr>
                <w:rFonts w:hint="eastAsia" w:ascii="宋体" w:hAnsi="宋体" w:cs="宋体"/>
                <w:szCs w:val="21"/>
                <w:u w:val="single"/>
              </w:rPr>
              <w:t>3项</w:t>
            </w:r>
            <w:r>
              <w:rPr>
                <w:rFonts w:hint="eastAsia" w:ascii="宋体" w:hAnsi="宋体" w:cs="宋体"/>
                <w:szCs w:val="21"/>
              </w:rPr>
              <w:t xml:space="preserve">                                            </w:t>
            </w:r>
          </w:p>
        </w:tc>
      </w:tr>
      <w:tr>
        <w:tblPrEx>
          <w:tblCellMar>
            <w:top w:w="0" w:type="dxa"/>
            <w:left w:w="108" w:type="dxa"/>
            <w:bottom w:w="0" w:type="dxa"/>
            <w:right w:w="108" w:type="dxa"/>
          </w:tblCellMar>
        </w:tblPrEx>
        <w:trPr>
          <w:trHeight w:val="75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2.1(7)</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构成采购文件的其他资料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ind w:firstLine="210" w:firstLineChars="100"/>
              <w:jc w:val="both"/>
              <w:rPr>
                <w:rFonts w:ascii="宋体" w:hAnsi="宋体" w:cs="宋体"/>
                <w:szCs w:val="21"/>
              </w:rPr>
            </w:pPr>
            <w:r>
              <w:rPr>
                <w:rFonts w:hint="eastAsia" w:ascii="宋体" w:hAnsi="宋体" w:cs="宋体"/>
                <w:szCs w:val="21"/>
              </w:rPr>
              <w:t xml:space="preserve">资料名称：采购人对采购文件的澄清、通知等文件（如有）                                                </w:t>
            </w:r>
          </w:p>
        </w:tc>
      </w:tr>
      <w:tr>
        <w:tblPrEx>
          <w:tblCellMar>
            <w:top w:w="0" w:type="dxa"/>
            <w:left w:w="108" w:type="dxa"/>
            <w:bottom w:w="0" w:type="dxa"/>
            <w:right w:w="108" w:type="dxa"/>
          </w:tblCellMar>
        </w:tblPrEx>
        <w:trPr>
          <w:trHeight w:val="75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3.1.1（9）</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构成响应文件的其他资料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 xml:space="preserve">资料名称：无                                                    </w:t>
            </w:r>
          </w:p>
        </w:tc>
      </w:tr>
      <w:tr>
        <w:tblPrEx>
          <w:tblCellMar>
            <w:top w:w="0" w:type="dxa"/>
            <w:left w:w="108" w:type="dxa"/>
            <w:bottom w:w="0" w:type="dxa"/>
            <w:right w:w="108" w:type="dxa"/>
          </w:tblCellMar>
        </w:tblPrEx>
        <w:trPr>
          <w:trHeight w:val="387"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3.2.2</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采购标的数量增减幅度</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 xml:space="preserve">采购标的数量增减幅度：10%                                         </w:t>
            </w:r>
          </w:p>
        </w:tc>
      </w:tr>
      <w:tr>
        <w:tblPrEx>
          <w:tblCellMar>
            <w:top w:w="0" w:type="dxa"/>
            <w:left w:w="108" w:type="dxa"/>
            <w:bottom w:w="0" w:type="dxa"/>
            <w:right w:w="108" w:type="dxa"/>
          </w:tblCellMar>
        </w:tblPrEx>
        <w:trPr>
          <w:trHeight w:val="75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3.2.3</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最高限价或其计算方法</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sym w:font="Wingdings 2" w:char="0052"/>
            </w:r>
            <w:r>
              <w:rPr>
                <w:rFonts w:hint="eastAsia" w:ascii="宋体" w:hAnsi="宋体" w:cs="宋体"/>
                <w:szCs w:val="21"/>
              </w:rPr>
              <w:t>有，最高限价：人民币</w:t>
            </w:r>
            <w:r>
              <w:rPr>
                <w:rFonts w:hint="eastAsia" w:ascii="宋体" w:hAnsi="宋体" w:cs="宋体"/>
                <w:sz w:val="24"/>
                <w:u w:val="single"/>
                <w:lang w:val="en-US" w:eastAsia="zh-CN"/>
              </w:rPr>
              <w:t>贰拾肆万圆</w:t>
            </w:r>
            <w:r>
              <w:rPr>
                <w:rFonts w:hint="eastAsia" w:ascii="宋体" w:hAnsi="宋体" w:cs="宋体"/>
                <w:sz w:val="24"/>
                <w:u w:val="single"/>
              </w:rPr>
              <w:t>整</w:t>
            </w:r>
            <w:r>
              <w:rPr>
                <w:rFonts w:hint="eastAsia" w:ascii="宋体" w:hAnsi="宋体" w:cs="宋体"/>
                <w:szCs w:val="21"/>
              </w:rPr>
              <w:t>（小写：</w:t>
            </w:r>
            <w:r>
              <w:rPr>
                <w:rFonts w:hint="eastAsia" w:ascii="宋体" w:hAnsi="宋体" w:cs="宋体"/>
                <w:szCs w:val="21"/>
                <w:u w:val="single"/>
              </w:rPr>
              <w:t>¥</w:t>
            </w:r>
            <w:r>
              <w:rPr>
                <w:rFonts w:hint="eastAsia" w:ascii="宋体" w:hAnsi="宋体" w:cs="宋体"/>
                <w:szCs w:val="21"/>
                <w:u w:val="single"/>
                <w:lang w:val="en-US" w:eastAsia="zh-CN"/>
              </w:rPr>
              <w:t>280</w:t>
            </w:r>
            <w:r>
              <w:rPr>
                <w:rFonts w:hint="eastAsia" w:ascii="宋体" w:hAnsi="宋体" w:cs="宋体"/>
                <w:szCs w:val="21"/>
                <w:u w:val="single"/>
              </w:rPr>
              <w:t>000.00</w:t>
            </w:r>
            <w:r>
              <w:rPr>
                <w:rFonts w:hint="eastAsia" w:ascii="宋体" w:hAnsi="宋体" w:cs="宋体"/>
                <w:szCs w:val="21"/>
              </w:rPr>
              <w:t xml:space="preserve">元）          </w:t>
            </w:r>
          </w:p>
        </w:tc>
      </w:tr>
      <w:tr>
        <w:tblPrEx>
          <w:tblCellMar>
            <w:top w:w="0" w:type="dxa"/>
            <w:left w:w="108" w:type="dxa"/>
            <w:bottom w:w="0" w:type="dxa"/>
            <w:right w:w="108" w:type="dxa"/>
          </w:tblCellMar>
        </w:tblPrEx>
        <w:trPr>
          <w:trHeight w:val="1125"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3.2.4</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报价的其他要求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ind w:firstLine="210" w:firstLineChars="100"/>
              <w:jc w:val="both"/>
              <w:rPr>
                <w:rFonts w:ascii="宋体" w:hAnsi="宋体" w:cs="宋体"/>
                <w:szCs w:val="21"/>
              </w:rPr>
            </w:pPr>
            <w:r>
              <w:rPr>
                <w:rFonts w:hint="eastAsia" w:ascii="宋体" w:hAnsi="宋体" w:cs="宋体"/>
                <w:szCs w:val="21"/>
              </w:rPr>
              <w:t xml:space="preserve">此报价应包含但不限于产品费、运费、税金附件及安装调试等应由供应商承担的一切费用。                                                           </w:t>
            </w:r>
          </w:p>
        </w:tc>
      </w:tr>
      <w:tr>
        <w:tblPrEx>
          <w:tblCellMar>
            <w:top w:w="0" w:type="dxa"/>
            <w:left w:w="108" w:type="dxa"/>
            <w:bottom w:w="0" w:type="dxa"/>
            <w:right w:w="108" w:type="dxa"/>
          </w:tblCellMar>
        </w:tblPrEx>
        <w:trPr>
          <w:trHeight w:val="468"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3.3.1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响应文件有效期</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 xml:space="preserve">递交响应文件截止之日起90日                                        </w:t>
            </w:r>
          </w:p>
        </w:tc>
      </w:tr>
      <w:tr>
        <w:tblPrEx>
          <w:tblCellMar>
            <w:top w:w="0" w:type="dxa"/>
            <w:left w:w="108" w:type="dxa"/>
            <w:bottom w:w="0" w:type="dxa"/>
            <w:right w:w="108" w:type="dxa"/>
          </w:tblCellMar>
        </w:tblPrEx>
        <w:trPr>
          <w:trHeight w:val="468"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3.4.1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响应保证金</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sym w:font="Wingdings 2" w:char="0052"/>
            </w:r>
            <w:r>
              <w:rPr>
                <w:rFonts w:hint="eastAsia" w:ascii="宋体" w:hAnsi="宋体" w:cs="宋体"/>
                <w:szCs w:val="21"/>
              </w:rPr>
              <w:t xml:space="preserve">不要求递交                           </w:t>
            </w:r>
          </w:p>
        </w:tc>
      </w:tr>
      <w:tr>
        <w:tblPrEx>
          <w:tblCellMar>
            <w:top w:w="0" w:type="dxa"/>
            <w:left w:w="108" w:type="dxa"/>
            <w:bottom w:w="0" w:type="dxa"/>
            <w:right w:w="108" w:type="dxa"/>
          </w:tblCellMar>
        </w:tblPrEx>
        <w:trPr>
          <w:trHeight w:val="468"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3.4.2</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退还响应保证金的时间</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 xml:space="preserve">  无                                                              </w:t>
            </w:r>
          </w:p>
        </w:tc>
      </w:tr>
      <w:tr>
        <w:tblPrEx>
          <w:tblCellMar>
            <w:top w:w="0" w:type="dxa"/>
            <w:left w:w="108" w:type="dxa"/>
            <w:bottom w:w="0" w:type="dxa"/>
            <w:right w:w="108" w:type="dxa"/>
          </w:tblCellMar>
        </w:tblPrEx>
        <w:trPr>
          <w:trHeight w:val="75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3.4.3</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不退还响应保证金的其他情形</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 xml:space="preserve">  无                                                             </w:t>
            </w:r>
          </w:p>
        </w:tc>
      </w:tr>
      <w:tr>
        <w:tblPrEx>
          <w:tblCellMar>
            <w:top w:w="0" w:type="dxa"/>
            <w:left w:w="108" w:type="dxa"/>
            <w:bottom w:w="0" w:type="dxa"/>
            <w:right w:w="108" w:type="dxa"/>
          </w:tblCellMar>
        </w:tblPrEx>
        <w:trPr>
          <w:trHeight w:val="1112"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3.5（1）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2"/>
                <w:rFonts w:ascii="宋体" w:hAnsi="宋体" w:cs="宋体"/>
                <w:b w:val="0"/>
                <w:color w:val="000000"/>
                <w:szCs w:val="21"/>
              </w:rPr>
            </w:pPr>
            <w:r>
              <w:rPr>
                <w:rStyle w:val="42"/>
                <w:rFonts w:hint="eastAsia" w:ascii="宋体" w:hAnsi="宋体" w:cs="宋体"/>
                <w:b w:val="0"/>
                <w:color w:val="000000"/>
                <w:szCs w:val="21"/>
              </w:rPr>
              <w:t>依法设立的证明材料</w:t>
            </w:r>
          </w:p>
        </w:tc>
        <w:tc>
          <w:tcPr>
            <w:tcW w:w="4749" w:type="dxa"/>
            <w:tcBorders>
              <w:top w:val="single" w:color="auto" w:sz="4" w:space="0"/>
              <w:left w:val="single" w:color="auto" w:sz="4" w:space="0"/>
              <w:bottom w:val="single" w:color="auto" w:sz="4" w:space="0"/>
              <w:right w:val="single" w:color="auto" w:sz="4" w:space="0"/>
            </w:tcBorders>
          </w:tcPr>
          <w:p>
            <w:pPr>
              <w:spacing w:line="288" w:lineRule="auto"/>
              <w:jc w:val="both"/>
              <w:rPr>
                <w:rFonts w:ascii="宋体" w:hAnsi="宋体" w:cs="宋体"/>
                <w:b/>
                <w:bCs/>
                <w:szCs w:val="21"/>
              </w:rPr>
            </w:pPr>
            <w:r>
              <w:rPr>
                <w:rFonts w:hint="eastAsia" w:ascii="宋体" w:hAnsi="宋体" w:cs="宋体"/>
                <w:b/>
                <w:bCs/>
                <w:szCs w:val="21"/>
              </w:rPr>
              <w:sym w:font="Wingdings 2" w:char="0052"/>
            </w:r>
            <w:r>
              <w:rPr>
                <w:rFonts w:hint="eastAsia" w:ascii="宋体" w:hAnsi="宋体" w:cs="宋体"/>
                <w:b/>
                <w:bCs/>
                <w:szCs w:val="21"/>
              </w:rPr>
              <w:t>适用。</w:t>
            </w:r>
          </w:p>
          <w:p>
            <w:pPr>
              <w:widowControl w:val="0"/>
              <w:adjustRightInd w:val="0"/>
              <w:spacing w:line="288" w:lineRule="auto"/>
              <w:ind w:firstLine="210" w:firstLineChars="100"/>
              <w:jc w:val="left"/>
              <w:rPr>
                <w:rFonts w:ascii="宋体" w:hAnsi="宋体" w:cs="宋体"/>
                <w:color w:val="000000"/>
                <w:szCs w:val="21"/>
              </w:rPr>
            </w:pPr>
            <w:r>
              <w:rPr>
                <w:rFonts w:hint="eastAsia" w:ascii="宋体" w:hAnsi="宋体" w:cs="宋体"/>
                <w:color w:val="000000"/>
                <w:szCs w:val="21"/>
              </w:rPr>
              <w:t>供应商应提供市场监管部门或其他行政机关颁发的可以合法开展业务的执照或证书</w:t>
            </w:r>
            <w:r>
              <w:rPr>
                <w:rFonts w:hint="eastAsia" w:ascii="宋体" w:hAnsi="宋体" w:cs="宋体"/>
                <w:color w:val="000000"/>
                <w:szCs w:val="21"/>
                <w:lang w:eastAsia="zh-CN"/>
              </w:rPr>
              <w:t>，</w:t>
            </w:r>
            <w:r>
              <w:rPr>
                <w:rFonts w:ascii="宋体" w:hAnsi="宋体"/>
                <w:color w:val="000000"/>
                <w:szCs w:val="21"/>
              </w:rPr>
              <w:t>营业执照、资质证书</w:t>
            </w:r>
            <w:r>
              <w:rPr>
                <w:rFonts w:hint="eastAsia" w:ascii="宋体" w:hAnsi="宋体"/>
                <w:color w:val="000000"/>
                <w:szCs w:val="21"/>
                <w:lang w:val="en-US" w:eastAsia="zh-CN"/>
              </w:rPr>
              <w:t>必须</w:t>
            </w:r>
            <w:r>
              <w:rPr>
                <w:rFonts w:ascii="宋体" w:hAnsi="宋体"/>
                <w:color w:val="000000"/>
                <w:szCs w:val="21"/>
              </w:rPr>
              <w:t>一致；若法人名称发生变更，应提供相关部门的合法批件及企业法人营业执照和资质证书的副本变更记录复印件。</w:t>
            </w:r>
          </w:p>
        </w:tc>
      </w:tr>
      <w:tr>
        <w:tblPrEx>
          <w:tblCellMar>
            <w:top w:w="0" w:type="dxa"/>
            <w:left w:w="108" w:type="dxa"/>
            <w:bottom w:w="0" w:type="dxa"/>
            <w:right w:w="108" w:type="dxa"/>
          </w:tblCellMar>
        </w:tblPrEx>
        <w:trPr>
          <w:trHeight w:val="1286"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3.5（2）</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Style w:val="42"/>
                <w:rFonts w:hint="eastAsia" w:ascii="宋体" w:hAnsi="宋体" w:cs="宋体"/>
                <w:b w:val="0"/>
                <w:color w:val="000000"/>
                <w:szCs w:val="21"/>
              </w:rPr>
              <w:t>资质要求证明材料</w:t>
            </w:r>
          </w:p>
        </w:tc>
        <w:tc>
          <w:tcPr>
            <w:tcW w:w="4749" w:type="dxa"/>
            <w:tcBorders>
              <w:top w:val="single" w:color="auto" w:sz="4" w:space="0"/>
              <w:left w:val="single" w:color="auto" w:sz="4" w:space="0"/>
              <w:bottom w:val="single" w:color="auto" w:sz="4" w:space="0"/>
              <w:right w:val="single" w:color="auto" w:sz="4" w:space="0"/>
            </w:tcBorders>
          </w:tcPr>
          <w:p>
            <w:pPr>
              <w:spacing w:line="288" w:lineRule="auto"/>
              <w:jc w:val="both"/>
              <w:rPr>
                <w:rFonts w:hint="eastAsia" w:ascii="宋体" w:hAnsi="宋体" w:cs="宋体"/>
                <w:b/>
                <w:bCs/>
                <w:szCs w:val="21"/>
                <w:highlight w:val="none"/>
              </w:rPr>
            </w:pPr>
            <w:r>
              <w:rPr>
                <w:rFonts w:hint="eastAsia" w:ascii="宋体" w:hAnsi="宋体" w:cs="宋体"/>
                <w:b/>
                <w:bCs/>
                <w:szCs w:val="21"/>
                <w:highlight w:val="none"/>
              </w:rPr>
              <w:sym w:font="Wingdings 2" w:char="0052"/>
            </w:r>
            <w:r>
              <w:rPr>
                <w:rFonts w:hint="eastAsia" w:ascii="宋体" w:hAnsi="宋体" w:cs="宋体"/>
                <w:b/>
                <w:bCs/>
                <w:szCs w:val="21"/>
                <w:highlight w:val="none"/>
              </w:rPr>
              <w:t>适用</w:t>
            </w:r>
          </w:p>
          <w:p>
            <w:pPr>
              <w:spacing w:line="288" w:lineRule="auto"/>
              <w:jc w:val="both"/>
              <w:rPr>
                <w:rFonts w:hint="default" w:ascii="宋体" w:hAnsi="宋体" w:eastAsia="宋体" w:cs="宋体"/>
                <w:b/>
                <w:bCs/>
                <w:szCs w:val="21"/>
                <w:highlight w:val="none"/>
                <w:lang w:val="en-US" w:eastAsia="zh-CN"/>
              </w:rPr>
            </w:pPr>
            <w:r>
              <w:rPr>
                <w:rFonts w:hint="eastAsia" w:ascii="宋体" w:hAnsi="宋体" w:cs="宋体"/>
                <w:szCs w:val="21"/>
              </w:rPr>
              <w:t>供应商为代理商时需提供：</w:t>
            </w:r>
            <w:r>
              <w:rPr>
                <w:rFonts w:hint="eastAsia" w:ascii="宋体" w:hAnsi="宋体" w:cs="宋体"/>
                <w:szCs w:val="21"/>
                <w:u w:val="single"/>
              </w:rPr>
              <w:t>原厂商授权和原厂商</w:t>
            </w:r>
            <w:r>
              <w:rPr>
                <w:rFonts w:hint="eastAsia" w:ascii="宋体" w:hAnsi="宋体" w:cs="宋体"/>
                <w:szCs w:val="21"/>
                <w:u w:val="single"/>
                <w:lang w:val="en-US" w:eastAsia="zh-CN"/>
              </w:rPr>
              <w:t>及投标方</w:t>
            </w:r>
            <w:r>
              <w:rPr>
                <w:rFonts w:ascii="宋体" w:hAnsi="宋体" w:cs="宋体"/>
                <w:szCs w:val="21"/>
                <w:u w:val="single"/>
              </w:rPr>
              <w:t>售后服务</w:t>
            </w:r>
            <w:r>
              <w:rPr>
                <w:rFonts w:hint="eastAsia" w:ascii="宋体" w:hAnsi="宋体" w:cs="宋体"/>
                <w:szCs w:val="21"/>
                <w:u w:val="single"/>
                <w:lang w:val="en-US" w:eastAsia="zh-CN"/>
              </w:rPr>
              <w:t>承诺函。</w:t>
            </w:r>
          </w:p>
        </w:tc>
      </w:tr>
      <w:tr>
        <w:tblPrEx>
          <w:tblCellMar>
            <w:top w:w="0" w:type="dxa"/>
            <w:left w:w="108" w:type="dxa"/>
            <w:bottom w:w="0" w:type="dxa"/>
            <w:right w:w="108" w:type="dxa"/>
          </w:tblCellMar>
        </w:tblPrEx>
        <w:trPr>
          <w:trHeight w:val="1720"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3.5（3）</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2"/>
                <w:rFonts w:ascii="宋体" w:hAnsi="宋体" w:cs="宋体"/>
                <w:b w:val="0"/>
                <w:color w:val="000000"/>
                <w:szCs w:val="21"/>
              </w:rPr>
            </w:pPr>
            <w:r>
              <w:rPr>
                <w:rStyle w:val="42"/>
                <w:rFonts w:hint="eastAsia" w:ascii="宋体" w:hAnsi="宋体" w:cs="宋体"/>
                <w:b w:val="0"/>
                <w:color w:val="000000"/>
                <w:szCs w:val="21"/>
              </w:rPr>
              <w:t>财务要求证明材料</w:t>
            </w:r>
          </w:p>
        </w:tc>
        <w:tc>
          <w:tcPr>
            <w:tcW w:w="4749" w:type="dxa"/>
            <w:tcBorders>
              <w:top w:val="single" w:color="auto" w:sz="4" w:space="0"/>
              <w:left w:val="single" w:color="auto" w:sz="4" w:space="0"/>
              <w:bottom w:val="single" w:color="auto" w:sz="4" w:space="0"/>
              <w:right w:val="single" w:color="auto" w:sz="4" w:space="0"/>
            </w:tcBorders>
          </w:tcPr>
          <w:p>
            <w:pPr>
              <w:spacing w:line="288" w:lineRule="auto"/>
              <w:jc w:val="both"/>
              <w:rPr>
                <w:rFonts w:ascii="宋体" w:hAnsi="宋体" w:cs="宋体"/>
                <w:b/>
                <w:bCs/>
                <w:szCs w:val="21"/>
              </w:rPr>
            </w:pPr>
            <w:r>
              <w:rPr>
                <w:rFonts w:hint="eastAsia" w:ascii="宋体" w:hAnsi="宋体" w:cs="宋体"/>
                <w:b/>
                <w:bCs/>
                <w:szCs w:val="21"/>
              </w:rPr>
              <w:sym w:font="Wingdings 2" w:char="0052"/>
            </w:r>
            <w:r>
              <w:rPr>
                <w:rFonts w:hint="eastAsia" w:ascii="宋体" w:hAnsi="宋体" w:cs="宋体"/>
                <w:b/>
                <w:bCs/>
                <w:szCs w:val="21"/>
              </w:rPr>
              <w:t>适用。</w:t>
            </w:r>
          </w:p>
          <w:p>
            <w:pPr>
              <w:spacing w:line="288" w:lineRule="auto"/>
              <w:ind w:firstLine="210" w:firstLineChars="100"/>
              <w:jc w:val="both"/>
              <w:rPr>
                <w:rFonts w:ascii="宋体" w:hAnsi="宋体" w:cs="宋体"/>
                <w:color w:val="000000"/>
                <w:szCs w:val="21"/>
              </w:rPr>
            </w:pPr>
            <w:r>
              <w:rPr>
                <w:rFonts w:hint="eastAsia" w:ascii="宋体" w:hAnsi="宋体" w:cs="宋体"/>
                <w:color w:val="000000"/>
                <w:szCs w:val="21"/>
              </w:rPr>
              <w:t>供应商应提供近年经审计的财务会计报表复印件，包括资产负债表，利润表。近年经审计的财务会计报表年份是指：</w:t>
            </w:r>
            <w:r>
              <w:rPr>
                <w:rFonts w:hint="eastAsia" w:ascii="宋体" w:hAnsi="宋体" w:cs="宋体"/>
                <w:color w:val="000000"/>
                <w:szCs w:val="21"/>
                <w:u w:val="single"/>
              </w:rPr>
              <w:t>202</w:t>
            </w:r>
            <w:r>
              <w:rPr>
                <w:rFonts w:ascii="宋体" w:hAnsi="宋体" w:cs="宋体"/>
                <w:color w:val="000000"/>
                <w:szCs w:val="21"/>
                <w:u w:val="single"/>
              </w:rPr>
              <w:t>3</w:t>
            </w:r>
            <w:r>
              <w:rPr>
                <w:rFonts w:hint="eastAsia" w:ascii="宋体" w:hAnsi="宋体" w:cs="宋体"/>
                <w:color w:val="000000"/>
                <w:szCs w:val="21"/>
                <w:u w:val="single"/>
              </w:rPr>
              <w:t>年</w:t>
            </w:r>
            <w:r>
              <w:rPr>
                <w:rFonts w:hint="eastAsia" w:ascii="宋体" w:hAnsi="宋体" w:cs="宋体"/>
                <w:color w:val="000000"/>
                <w:szCs w:val="21"/>
              </w:rPr>
              <w:t>的财务会计报表（供应商的成立时间少于该规定年份的，应提供成立以来的财务会计报表）</w:t>
            </w:r>
          </w:p>
        </w:tc>
      </w:tr>
      <w:tr>
        <w:tblPrEx>
          <w:tblCellMar>
            <w:top w:w="0" w:type="dxa"/>
            <w:left w:w="108" w:type="dxa"/>
            <w:bottom w:w="0" w:type="dxa"/>
            <w:right w:w="108" w:type="dxa"/>
          </w:tblCellMar>
        </w:tblPrEx>
        <w:trPr>
          <w:trHeight w:val="373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3.5（4）</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业绩要求证明材料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b/>
                <w:bCs/>
                <w:szCs w:val="21"/>
              </w:rPr>
            </w:pPr>
            <w:r>
              <w:rPr>
                <w:rFonts w:hint="eastAsia" w:ascii="宋体" w:hAnsi="宋体" w:cs="宋体"/>
                <w:b/>
                <w:bCs/>
                <w:szCs w:val="21"/>
              </w:rPr>
              <w:sym w:font="Wingdings 2" w:char="0052"/>
            </w:r>
            <w:r>
              <w:rPr>
                <w:rFonts w:hint="eastAsia" w:ascii="宋体" w:hAnsi="宋体" w:cs="宋体"/>
                <w:b/>
                <w:bCs/>
                <w:szCs w:val="21"/>
              </w:rPr>
              <w:t>适用。</w:t>
            </w:r>
          </w:p>
          <w:p>
            <w:pPr>
              <w:spacing w:line="288" w:lineRule="auto"/>
              <w:ind w:firstLine="210" w:firstLineChars="100"/>
              <w:jc w:val="both"/>
              <w:rPr>
                <w:rFonts w:ascii="宋体" w:hAnsi="宋体" w:cs="宋体"/>
                <w:szCs w:val="21"/>
                <w:u w:val="single"/>
              </w:rPr>
            </w:pPr>
            <w:r>
              <w:rPr>
                <w:rFonts w:hint="eastAsia" w:ascii="宋体" w:hAnsi="宋体" w:cs="宋体"/>
                <w:szCs w:val="21"/>
              </w:rPr>
              <w:t>供应商应提供近年的类似项目情况表（格式见第六章“响应文件格式”七、资格审查资料（三）近年的类似项目情况表），以证明供应商具有承担本项目要求的业绩。近年是指</w:t>
            </w:r>
            <w:r>
              <w:rPr>
                <w:rFonts w:hint="eastAsia" w:ascii="宋体" w:hAnsi="宋体" w:cs="宋体"/>
                <w:szCs w:val="21"/>
                <w:u w:val="single"/>
              </w:rPr>
              <w:t>202</w:t>
            </w:r>
            <w:r>
              <w:rPr>
                <w:rFonts w:ascii="宋体" w:hAnsi="宋体" w:cs="宋体"/>
                <w:szCs w:val="21"/>
                <w:u w:val="single"/>
              </w:rPr>
              <w:t>1</w:t>
            </w:r>
            <w:r>
              <w:rPr>
                <w:rFonts w:hint="eastAsia" w:ascii="宋体" w:hAnsi="宋体" w:cs="宋体"/>
                <w:szCs w:val="21"/>
                <w:u w:val="single"/>
              </w:rPr>
              <w:t>年</w:t>
            </w:r>
            <w:r>
              <w:rPr>
                <w:rFonts w:ascii="宋体" w:hAnsi="宋体" w:cs="宋体"/>
                <w:szCs w:val="21"/>
                <w:u w:val="single"/>
              </w:rPr>
              <w:t>2</w:t>
            </w:r>
            <w:r>
              <w:rPr>
                <w:rFonts w:hint="eastAsia" w:ascii="宋体" w:hAnsi="宋体" w:cs="宋体"/>
                <w:szCs w:val="21"/>
                <w:u w:val="single"/>
              </w:rPr>
              <w:t>月至202</w:t>
            </w:r>
            <w:r>
              <w:rPr>
                <w:rFonts w:hint="eastAsia" w:ascii="宋体" w:hAnsi="宋体" w:cs="宋体"/>
                <w:szCs w:val="21"/>
                <w:u w:val="single"/>
                <w:lang w:val="en-US" w:eastAsia="zh-CN"/>
              </w:rPr>
              <w:t>4</w:t>
            </w:r>
            <w:r>
              <w:rPr>
                <w:rFonts w:hint="eastAsia" w:ascii="宋体" w:hAnsi="宋体" w:cs="宋体"/>
                <w:szCs w:val="21"/>
                <w:u w:val="single"/>
              </w:rPr>
              <w:t>年2月</w:t>
            </w:r>
            <w:r>
              <w:rPr>
                <w:rFonts w:hint="eastAsia" w:ascii="宋体" w:hAnsi="宋体" w:cs="宋体"/>
                <w:szCs w:val="21"/>
              </w:rPr>
              <w:t>业绩证明材料：</w:t>
            </w:r>
          </w:p>
          <w:p>
            <w:pPr>
              <w:spacing w:line="288" w:lineRule="auto"/>
              <w:jc w:val="both"/>
              <w:rPr>
                <w:rFonts w:ascii="宋体" w:hAnsi="宋体" w:cs="宋体"/>
                <w:szCs w:val="21"/>
              </w:rPr>
            </w:pPr>
            <w:r>
              <w:rPr>
                <w:rFonts w:hint="eastAsia" w:ascii="宋体" w:hAnsi="宋体" w:cs="宋体"/>
                <w:szCs w:val="21"/>
              </w:rPr>
              <w:sym w:font="Wingdings 2" w:char="0052"/>
            </w:r>
            <w:r>
              <w:rPr>
                <w:rFonts w:hint="eastAsia" w:ascii="宋体" w:hAnsi="宋体" w:cs="宋体"/>
                <w:szCs w:val="21"/>
              </w:rPr>
              <w:t>合同/订单</w:t>
            </w:r>
          </w:p>
          <w:p>
            <w:pPr>
              <w:spacing w:line="288" w:lineRule="auto"/>
              <w:jc w:val="both"/>
              <w:rPr>
                <w:rFonts w:ascii="宋体" w:hAnsi="宋体" w:cs="宋体"/>
                <w:szCs w:val="21"/>
              </w:rPr>
            </w:pPr>
            <w:r>
              <w:rPr>
                <w:rFonts w:hint="eastAsia" w:ascii="宋体" w:hAnsi="宋体" w:cs="宋体"/>
                <w:szCs w:val="21"/>
              </w:rPr>
              <w:t>业绩证明材料种类要求：</w:t>
            </w:r>
          </w:p>
          <w:p>
            <w:pPr>
              <w:spacing w:line="288" w:lineRule="auto"/>
              <w:jc w:val="both"/>
              <w:rPr>
                <w:rFonts w:ascii="宋体" w:hAnsi="宋体" w:cs="宋体"/>
                <w:color w:val="000000"/>
                <w:szCs w:val="21"/>
              </w:rPr>
            </w:pPr>
            <w:r>
              <w:rPr>
                <w:rFonts w:hint="eastAsia" w:ascii="宋体" w:hAnsi="宋体" w:cs="宋体"/>
                <w:szCs w:val="21"/>
              </w:rPr>
              <w:t>☑其他要求：</w:t>
            </w:r>
            <w:r>
              <w:rPr>
                <w:rFonts w:hint="eastAsia" w:ascii="宋体" w:hAnsi="宋体" w:cs="宋体"/>
                <w:color w:val="000000"/>
                <w:szCs w:val="21"/>
              </w:rPr>
              <w:t>至少提供</w:t>
            </w:r>
            <w:r>
              <w:rPr>
                <w:rFonts w:hint="eastAsia" w:ascii="宋体" w:hAnsi="宋体" w:cs="宋体"/>
                <w:color w:val="000000"/>
                <w:szCs w:val="21"/>
                <w:u w:val="single"/>
              </w:rPr>
              <w:t xml:space="preserve"> 1个</w:t>
            </w:r>
            <w:r>
              <w:rPr>
                <w:rFonts w:hint="eastAsia" w:ascii="宋体" w:hAnsi="宋体" w:cs="宋体"/>
                <w:color w:val="000000"/>
                <w:szCs w:val="21"/>
              </w:rPr>
              <w:t xml:space="preserve">近年类似项目业绩，证明材料若为复印件需加盖单位公章。 </w:t>
            </w:r>
          </w:p>
          <w:p>
            <w:pPr>
              <w:spacing w:line="288" w:lineRule="auto"/>
              <w:jc w:val="both"/>
              <w:rPr>
                <w:rFonts w:ascii="宋体" w:hAnsi="宋体" w:cs="宋体"/>
                <w:szCs w:val="21"/>
              </w:rPr>
            </w:pPr>
            <w:r>
              <w:rPr>
                <w:rFonts w:hint="eastAsia" w:ascii="宋体" w:hAnsi="宋体" w:cs="宋体"/>
                <w:color w:val="000000"/>
                <w:szCs w:val="21"/>
              </w:rPr>
              <w:t>注：</w:t>
            </w:r>
            <w:r>
              <w:rPr>
                <w:rFonts w:hint="eastAsia" w:ascii="宋体" w:hAnsi="宋体" w:cs="宋体"/>
                <w:szCs w:val="21"/>
              </w:rPr>
              <w:t xml:space="preserve"> </w:t>
            </w:r>
            <w:r>
              <w:rPr>
                <w:rFonts w:hint="eastAsia" w:ascii="宋体" w:hAnsi="宋体" w:cs="宋体"/>
                <w:color w:val="000000"/>
                <w:szCs w:val="21"/>
              </w:rPr>
              <w:t xml:space="preserve">类似项目业绩是指与本项目的采购规模、设备使用功能、设备的规格、型号、参数相同或相近的项目。  </w:t>
            </w:r>
          </w:p>
        </w:tc>
      </w:tr>
      <w:tr>
        <w:tblPrEx>
          <w:tblCellMar>
            <w:top w:w="0" w:type="dxa"/>
            <w:left w:w="108" w:type="dxa"/>
            <w:bottom w:w="0" w:type="dxa"/>
            <w:right w:w="108" w:type="dxa"/>
          </w:tblCellMar>
        </w:tblPrEx>
        <w:trPr>
          <w:trHeight w:val="645"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3.5（5）</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highlight w:val="none"/>
              </w:rPr>
            </w:pPr>
            <w:r>
              <w:rPr>
                <w:rFonts w:hint="eastAsia" w:ascii="宋体" w:hAnsi="宋体" w:cs="宋体"/>
                <w:color w:val="000000"/>
                <w:szCs w:val="21"/>
                <w:highlight w:val="none"/>
              </w:rPr>
              <w:t>信誉要求证明材料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cs="宋体"/>
                <w:b/>
                <w:bCs/>
                <w:szCs w:val="21"/>
                <w:highlight w:val="none"/>
              </w:rPr>
            </w:pPr>
            <w:r>
              <w:rPr>
                <w:rFonts w:hint="eastAsia" w:ascii="宋体" w:hAnsi="宋体" w:cs="宋体"/>
                <w:b/>
                <w:bCs/>
                <w:szCs w:val="21"/>
                <w:highlight w:val="none"/>
              </w:rPr>
              <w:sym w:font="Wingdings 2" w:char="0052"/>
            </w:r>
            <w:r>
              <w:rPr>
                <w:rFonts w:hint="eastAsia" w:ascii="宋体" w:hAnsi="宋体" w:cs="宋体"/>
                <w:b/>
                <w:bCs/>
                <w:szCs w:val="21"/>
                <w:highlight w:val="none"/>
              </w:rPr>
              <w:t>适用</w:t>
            </w:r>
          </w:p>
          <w:p>
            <w:pPr>
              <w:spacing w:line="288" w:lineRule="auto"/>
              <w:jc w:val="both"/>
              <w:rPr>
                <w:rFonts w:hint="eastAsia" w:ascii="宋体" w:hAnsi="宋体" w:cs="宋体"/>
                <w:szCs w:val="21"/>
              </w:rPr>
            </w:pPr>
            <w:r>
              <w:rPr>
                <w:rFonts w:hint="eastAsia" w:ascii="宋体" w:hAnsi="宋体" w:cs="宋体"/>
                <w:szCs w:val="21"/>
              </w:rPr>
              <w:t>供应商应提供相关信誉情况的证明材料，包括：1．全国企业信用信息公示系统中未列入严重违法失信企业名单的网页截图</w:t>
            </w:r>
          </w:p>
          <w:p>
            <w:pPr>
              <w:spacing w:line="288" w:lineRule="auto"/>
              <w:jc w:val="both"/>
              <w:rPr>
                <w:rFonts w:hint="eastAsia" w:eastAsia="宋体"/>
                <w:lang w:val="en-US" w:eastAsia="zh-CN"/>
              </w:rPr>
            </w:pPr>
            <w:r>
              <w:rPr>
                <w:rFonts w:hint="eastAsia" w:ascii="宋体" w:hAnsi="宋体" w:cs="宋体"/>
                <w:szCs w:val="21"/>
              </w:rPr>
              <w:t>2．被最高人民法院在“信用中国”网站（www.creditchina.gov.cn）中未列入失信被执行人名单的网页截图</w:t>
            </w:r>
            <w:r>
              <w:rPr>
                <w:rFonts w:hint="eastAsia" w:ascii="宋体" w:hAnsi="宋体" w:cs="宋体"/>
                <w:szCs w:val="21"/>
                <w:lang w:eastAsia="zh-CN"/>
              </w:rPr>
              <w:t>。</w:t>
            </w:r>
          </w:p>
        </w:tc>
      </w:tr>
      <w:tr>
        <w:tblPrEx>
          <w:tblCellMar>
            <w:top w:w="0" w:type="dxa"/>
            <w:left w:w="108" w:type="dxa"/>
            <w:bottom w:w="0" w:type="dxa"/>
            <w:right w:w="108" w:type="dxa"/>
          </w:tblCellMar>
        </w:tblPrEx>
        <w:trPr>
          <w:trHeight w:val="889"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3.5（6）</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承担本项目的主要人员要求证明材料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szCs w:val="21"/>
              </w:rPr>
            </w:pPr>
            <w:r>
              <w:rPr>
                <w:rFonts w:hint="eastAsia" w:ascii="宋体" w:hAnsi="宋体" w:cs="宋体"/>
                <w:b/>
                <w:bCs/>
                <w:szCs w:val="21"/>
              </w:rPr>
              <w:sym w:font="Wingdings 2" w:char="0052"/>
            </w:r>
            <w:r>
              <w:rPr>
                <w:rFonts w:hint="eastAsia" w:ascii="宋体" w:hAnsi="宋体" w:cs="宋体"/>
                <w:b/>
                <w:bCs/>
                <w:szCs w:val="21"/>
              </w:rPr>
              <w:t>适用</w:t>
            </w:r>
            <w:r>
              <w:rPr>
                <w:rFonts w:hint="eastAsia" w:ascii="宋体" w:hAnsi="宋体" w:cs="宋体"/>
                <w:color w:val="000000"/>
                <w:szCs w:val="21"/>
              </w:rPr>
              <w:t xml:space="preserve">   </w:t>
            </w:r>
          </w:p>
          <w:p>
            <w:pPr>
              <w:adjustRightInd w:val="0"/>
              <w:snapToGrid w:val="0"/>
              <w:spacing w:line="360" w:lineRule="auto"/>
              <w:ind w:firstLine="210" w:firstLineChars="100"/>
              <w:rPr>
                <w:rFonts w:ascii="宋体" w:hAnsi="宋体" w:cs="宋体"/>
                <w:szCs w:val="21"/>
              </w:rPr>
            </w:pPr>
            <w:r>
              <w:rPr>
                <w:rFonts w:hint="eastAsia" w:ascii="宋体" w:hAnsi="宋体" w:cs="宋体"/>
                <w:szCs w:val="21"/>
              </w:rPr>
              <w:t>供应商应提供拟委任的主要人员汇总表和主要人员简历表（格式见第六章“响应文件格式”七、资格审查资料（四）拟委任的主要人员汇总表和（五）主要人员简历表）。</w:t>
            </w:r>
          </w:p>
          <w:p>
            <w:pPr>
              <w:adjustRightInd w:val="0"/>
              <w:snapToGrid w:val="0"/>
              <w:spacing w:line="360" w:lineRule="auto"/>
              <w:ind w:firstLine="210" w:firstLineChars="100"/>
              <w:rPr>
                <w:rFonts w:hint="default" w:ascii="宋体" w:hAnsi="宋体" w:eastAsia="宋体" w:cs="宋体"/>
                <w:color w:val="000000"/>
                <w:szCs w:val="21"/>
                <w:lang w:val="en-US" w:eastAsia="zh-CN"/>
              </w:rPr>
            </w:pPr>
            <w:r>
              <w:rPr>
                <w:rFonts w:hint="eastAsia" w:ascii="宋体" w:hAnsi="宋体" w:cs="宋体"/>
                <w:color w:val="000000" w:themeColor="text1"/>
                <w:szCs w:val="21"/>
                <w14:textFill>
                  <w14:solidFill>
                    <w14:schemeClr w14:val="tx1"/>
                  </w14:solidFill>
                </w14:textFill>
              </w:rPr>
              <w:t>注：提供1位项目负责人及1位技术人员的相关信息</w:t>
            </w:r>
            <w:r>
              <w:rPr>
                <w:rFonts w:hint="eastAsia" w:ascii="宋体" w:hAnsi="宋体" w:cs="宋体"/>
                <w:color w:val="000000" w:themeColor="text1"/>
                <w:szCs w:val="21"/>
                <w:lang w:val="en-US" w:eastAsia="zh-CN"/>
                <w14:textFill>
                  <w14:solidFill>
                    <w14:schemeClr w14:val="tx1"/>
                  </w14:solidFill>
                </w14:textFill>
              </w:rPr>
              <w:t>及相关执业资格证书</w:t>
            </w:r>
            <w:r>
              <w:rPr>
                <w:rFonts w:hint="eastAsia" w:ascii="宋体" w:hAnsi="宋体" w:cs="宋体"/>
                <w:szCs w:val="21"/>
              </w:rPr>
              <w:t>。</w:t>
            </w:r>
          </w:p>
        </w:tc>
      </w:tr>
      <w:tr>
        <w:tblPrEx>
          <w:tblCellMar>
            <w:top w:w="0" w:type="dxa"/>
            <w:left w:w="108" w:type="dxa"/>
            <w:bottom w:w="0" w:type="dxa"/>
            <w:right w:w="108" w:type="dxa"/>
          </w:tblCellMar>
        </w:tblPrEx>
        <w:trPr>
          <w:trHeight w:val="490"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3.5（7）</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其他要求的证明材料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p>
        </w:tc>
      </w:tr>
      <w:tr>
        <w:tblPrEx>
          <w:tblCellMar>
            <w:top w:w="0" w:type="dxa"/>
            <w:left w:w="108" w:type="dxa"/>
            <w:bottom w:w="0" w:type="dxa"/>
            <w:right w:w="108" w:type="dxa"/>
          </w:tblCellMar>
        </w:tblPrEx>
        <w:trPr>
          <w:trHeight w:val="2622"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3.5（8）</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供应商不存在第一章3.1款情形的证明材料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b/>
                <w:bCs/>
                <w:color w:val="000000"/>
                <w:szCs w:val="21"/>
              </w:rPr>
              <w:sym w:font="Wingdings 2" w:char="0052"/>
            </w:r>
            <w:r>
              <w:rPr>
                <w:rFonts w:hint="eastAsia" w:ascii="宋体" w:hAnsi="宋体" w:cs="宋体"/>
                <w:b/>
                <w:bCs/>
                <w:color w:val="000000"/>
                <w:szCs w:val="21"/>
              </w:rPr>
              <w:t>需要提供证明材料。</w:t>
            </w:r>
          </w:p>
          <w:p>
            <w:pPr>
              <w:spacing w:line="288" w:lineRule="auto"/>
              <w:ind w:firstLine="210" w:firstLineChars="100"/>
              <w:rPr>
                <w:rFonts w:ascii="宋体" w:hAnsi="宋体" w:cs="宋体"/>
                <w:color w:val="000000"/>
                <w:szCs w:val="21"/>
              </w:rPr>
            </w:pPr>
            <w:r>
              <w:rPr>
                <w:rFonts w:hint="eastAsia" w:ascii="宋体" w:hAnsi="宋体" w:cs="宋体"/>
                <w:szCs w:val="21"/>
              </w:rPr>
              <w:t>包括：采购文件发出之日起，至响应文件递交截止日期间，“信用中国”网站(www.creditchina.gov.cn)、中国政府采购网(www.ccgp.gov.cn)查询，投标人未被列入信用记录失信被执行人、重大税收违法案件当事人名单、政府采购严重违法失信行为记录名单的网页截图。</w:t>
            </w:r>
          </w:p>
        </w:tc>
      </w:tr>
      <w:tr>
        <w:tblPrEx>
          <w:tblCellMar>
            <w:top w:w="0" w:type="dxa"/>
            <w:left w:w="108" w:type="dxa"/>
            <w:bottom w:w="0" w:type="dxa"/>
            <w:right w:w="108" w:type="dxa"/>
          </w:tblCellMar>
        </w:tblPrEx>
        <w:trPr>
          <w:trHeight w:val="75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3.6.1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对关键条款进行响应的证据或证明材料要求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ind w:firstLine="210" w:firstLineChars="100"/>
              <w:jc w:val="both"/>
              <w:rPr>
                <w:rFonts w:ascii="宋体" w:hAnsi="宋体" w:cs="宋体"/>
                <w:color w:val="000000"/>
                <w:szCs w:val="21"/>
              </w:rPr>
            </w:pPr>
            <w:r>
              <w:rPr>
                <w:rFonts w:hint="eastAsia" w:ascii="宋体" w:hAnsi="宋体" w:cs="宋体"/>
                <w:color w:val="000000"/>
                <w:szCs w:val="21"/>
              </w:rPr>
              <w:t>提供证据或证明材料复印件，并加盖单位公章。</w:t>
            </w:r>
          </w:p>
        </w:tc>
      </w:tr>
      <w:tr>
        <w:tblPrEx>
          <w:tblCellMar>
            <w:top w:w="0" w:type="dxa"/>
            <w:left w:w="108" w:type="dxa"/>
            <w:bottom w:w="0" w:type="dxa"/>
            <w:right w:w="108" w:type="dxa"/>
          </w:tblCellMar>
        </w:tblPrEx>
        <w:trPr>
          <w:trHeight w:val="677"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3.6.2</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响应方案数量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000000"/>
                <w:szCs w:val="21"/>
              </w:rPr>
            </w:pPr>
            <w:r>
              <w:rPr>
                <w:rFonts w:hint="eastAsia" w:ascii="宋体" w:hAnsi="宋体" w:cs="宋体"/>
                <w:b/>
                <w:bCs/>
                <w:szCs w:val="21"/>
              </w:rPr>
              <w:sym w:font="Wingdings 2" w:char="0052"/>
            </w:r>
            <w:r>
              <w:rPr>
                <w:rFonts w:hint="eastAsia" w:ascii="宋体" w:hAnsi="宋体" w:cs="宋体"/>
                <w:b/>
                <w:bCs/>
                <w:szCs w:val="21"/>
              </w:rPr>
              <w:t>供应商只能提出唯一响应方案</w:t>
            </w:r>
          </w:p>
        </w:tc>
      </w:tr>
      <w:tr>
        <w:tblPrEx>
          <w:tblCellMar>
            <w:top w:w="0" w:type="dxa"/>
            <w:left w:w="108" w:type="dxa"/>
            <w:bottom w:w="0" w:type="dxa"/>
            <w:right w:w="108" w:type="dxa"/>
          </w:tblCellMar>
        </w:tblPrEx>
        <w:trPr>
          <w:trHeight w:val="90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3.7.5</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响应文件及电子版要求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是否要求提供电子版响应文件：</w:t>
            </w:r>
          </w:p>
          <w:p>
            <w:pPr>
              <w:spacing w:line="288" w:lineRule="auto"/>
              <w:jc w:val="both"/>
              <w:rPr>
                <w:rFonts w:ascii="宋体" w:hAnsi="宋体" w:cs="宋体"/>
                <w:color w:val="000000"/>
                <w:szCs w:val="21"/>
              </w:rPr>
            </w:pPr>
            <w:r>
              <w:rPr>
                <w:rFonts w:hint="eastAsia" w:ascii="宋体" w:hAnsi="宋体" w:cs="宋体"/>
                <w:b/>
                <w:bCs/>
                <w:color w:val="000000"/>
                <w:szCs w:val="21"/>
              </w:rPr>
              <w:sym w:font="Wingdings 2" w:char="0052"/>
            </w:r>
            <w:r>
              <w:rPr>
                <w:rFonts w:hint="eastAsia" w:ascii="宋体" w:hAnsi="宋体" w:cs="宋体"/>
                <w:b/>
                <w:bCs/>
                <w:color w:val="000000"/>
                <w:szCs w:val="21"/>
              </w:rPr>
              <w:t>不要求</w:t>
            </w:r>
          </w:p>
        </w:tc>
      </w:tr>
      <w:tr>
        <w:tblPrEx>
          <w:tblCellMar>
            <w:top w:w="0" w:type="dxa"/>
            <w:left w:w="108" w:type="dxa"/>
            <w:bottom w:w="0" w:type="dxa"/>
            <w:right w:w="108" w:type="dxa"/>
          </w:tblCellMar>
        </w:tblPrEx>
        <w:trPr>
          <w:trHeight w:val="75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4.1.1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响应文件的密封</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ind w:firstLine="210" w:firstLineChars="100"/>
              <w:jc w:val="both"/>
              <w:rPr>
                <w:rFonts w:ascii="宋体" w:hAnsi="宋体" w:cs="宋体"/>
                <w:color w:val="000000"/>
                <w:szCs w:val="21"/>
              </w:rPr>
            </w:pPr>
            <w:r>
              <w:rPr>
                <w:rFonts w:hint="eastAsia" w:ascii="宋体" w:hAnsi="宋体" w:cs="宋体"/>
                <w:color w:val="000000"/>
                <w:szCs w:val="21"/>
              </w:rPr>
              <w:t>响应文件须密封包装，并在封套的封口处加盖供应商单位章。</w:t>
            </w:r>
          </w:p>
        </w:tc>
      </w:tr>
      <w:tr>
        <w:tblPrEx>
          <w:tblCellMar>
            <w:top w:w="0" w:type="dxa"/>
            <w:left w:w="108" w:type="dxa"/>
            <w:bottom w:w="0" w:type="dxa"/>
            <w:right w:w="108" w:type="dxa"/>
          </w:tblCellMar>
        </w:tblPrEx>
        <w:trPr>
          <w:trHeight w:val="1216"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4.1.2</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封套上应载明的信息</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b/>
                <w:bCs/>
                <w:color w:val="000000"/>
                <w:szCs w:val="21"/>
              </w:rPr>
              <w:sym w:font="Wingdings 2" w:char="0052"/>
            </w:r>
            <w:r>
              <w:rPr>
                <w:rFonts w:hint="eastAsia" w:ascii="宋体" w:hAnsi="宋体" w:cs="宋体"/>
                <w:b/>
                <w:bCs/>
                <w:color w:val="000000"/>
                <w:szCs w:val="21"/>
              </w:rPr>
              <w:t>适用</w:t>
            </w:r>
            <w:r>
              <w:rPr>
                <w:rFonts w:hint="eastAsia" w:ascii="宋体" w:hAnsi="宋体" w:cs="宋体"/>
                <w:color w:val="000000"/>
                <w:szCs w:val="21"/>
              </w:rPr>
              <w:t>：</w:t>
            </w:r>
            <w:r>
              <w:rPr>
                <w:rFonts w:hint="eastAsia" w:ascii="宋体" w:hAnsi="宋体" w:cs="宋体"/>
                <w:color w:val="000000"/>
                <w:szCs w:val="21"/>
                <w:u w:val="single"/>
              </w:rPr>
              <w:t>岳阳</w:t>
            </w:r>
            <w:r>
              <w:rPr>
                <w:rFonts w:ascii="宋体" w:hAnsi="宋体" w:cs="宋体"/>
                <w:color w:val="000000"/>
                <w:szCs w:val="21"/>
                <w:u w:val="single"/>
              </w:rPr>
              <w:t>城陵矶新港</w:t>
            </w:r>
            <w:r>
              <w:rPr>
                <w:rFonts w:hint="eastAsia" w:ascii="宋体" w:hAnsi="宋体" w:cs="宋体"/>
                <w:color w:val="000000"/>
                <w:szCs w:val="21"/>
                <w:u w:val="single"/>
              </w:rPr>
              <w:t>有限公司监控出口防火墙及视频准入设备项目</w:t>
            </w:r>
          </w:p>
        </w:tc>
      </w:tr>
      <w:tr>
        <w:tblPrEx>
          <w:tblCellMar>
            <w:top w:w="0" w:type="dxa"/>
            <w:left w:w="108" w:type="dxa"/>
            <w:bottom w:w="0" w:type="dxa"/>
            <w:right w:w="108" w:type="dxa"/>
          </w:tblCellMar>
        </w:tblPrEx>
        <w:trPr>
          <w:trHeight w:val="1125"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4.2.1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递交响应文件截止时间和地点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u w:val="single"/>
              </w:rPr>
            </w:pPr>
            <w:r>
              <w:rPr>
                <w:rFonts w:hint="eastAsia" w:ascii="宋体" w:hAnsi="宋体" w:cs="宋体"/>
                <w:color w:val="000000"/>
                <w:szCs w:val="21"/>
              </w:rPr>
              <w:t>截止时间：</w:t>
            </w:r>
            <w:r>
              <w:rPr>
                <w:rFonts w:hint="eastAsia" w:ascii="宋体" w:hAnsi="宋体" w:cs="宋体"/>
                <w:color w:val="000000"/>
                <w:szCs w:val="21"/>
                <w:lang w:val="en-US" w:eastAsia="zh-CN"/>
              </w:rPr>
              <w:t>2024</w:t>
            </w:r>
            <w:r>
              <w:rPr>
                <w:rFonts w:hint="eastAsia" w:ascii="宋体" w:hAnsi="宋体" w:cs="宋体"/>
                <w:color w:val="000000"/>
                <w:szCs w:val="21"/>
                <w:u w:val="single"/>
              </w:rPr>
              <w:t>年</w:t>
            </w:r>
            <w:r>
              <w:rPr>
                <w:rFonts w:hint="eastAsia" w:ascii="宋体" w:hAnsi="宋体" w:cs="宋体"/>
                <w:color w:val="000000"/>
                <w:szCs w:val="21"/>
                <w:u w:val="single"/>
                <w:lang w:val="en-US" w:eastAsia="zh-CN"/>
              </w:rPr>
              <w:t>4</w:t>
            </w:r>
            <w:r>
              <w:rPr>
                <w:rFonts w:hint="eastAsia" w:ascii="宋体" w:hAnsi="宋体" w:cs="宋体"/>
                <w:color w:val="000000"/>
                <w:szCs w:val="21"/>
                <w:u w:val="single"/>
              </w:rPr>
              <w:t>月</w:t>
            </w:r>
            <w:r>
              <w:rPr>
                <w:rFonts w:hint="eastAsia" w:ascii="宋体" w:hAnsi="宋体" w:cs="宋体"/>
                <w:color w:val="000000"/>
                <w:szCs w:val="21"/>
                <w:u w:val="single"/>
                <w:lang w:val="en-US" w:eastAsia="zh-CN"/>
              </w:rPr>
              <w:t>30</w:t>
            </w:r>
            <w:r>
              <w:rPr>
                <w:rFonts w:hint="eastAsia" w:ascii="宋体" w:hAnsi="宋体" w:cs="宋体"/>
                <w:color w:val="000000"/>
                <w:szCs w:val="21"/>
                <w:u w:val="single"/>
              </w:rPr>
              <w:t>日</w:t>
            </w:r>
            <w:r>
              <w:rPr>
                <w:rFonts w:hint="eastAsia" w:ascii="宋体" w:hAnsi="宋体" w:cs="宋体"/>
                <w:color w:val="000000"/>
                <w:szCs w:val="21"/>
                <w:u w:val="single"/>
                <w:lang w:val="en-US" w:eastAsia="zh-CN"/>
              </w:rPr>
              <w:t>12</w:t>
            </w:r>
            <w:r>
              <w:rPr>
                <w:rFonts w:hint="eastAsia" w:ascii="宋体" w:hAnsi="宋体" w:cs="宋体"/>
                <w:color w:val="000000"/>
                <w:szCs w:val="21"/>
                <w:u w:val="single"/>
              </w:rPr>
              <w:t>时</w:t>
            </w:r>
            <w:r>
              <w:rPr>
                <w:rFonts w:hint="eastAsia" w:ascii="宋体" w:hAnsi="宋体" w:cs="宋体"/>
                <w:color w:val="000000"/>
                <w:szCs w:val="21"/>
                <w:u w:val="single"/>
                <w:lang w:val="en-US" w:eastAsia="zh-CN"/>
              </w:rPr>
              <w:t>00</w:t>
            </w:r>
            <w:bookmarkStart w:id="75" w:name="_GoBack"/>
            <w:bookmarkEnd w:id="75"/>
            <w:r>
              <w:rPr>
                <w:rFonts w:hint="eastAsia" w:ascii="宋体" w:hAnsi="宋体" w:cs="宋体"/>
                <w:color w:val="000000"/>
                <w:szCs w:val="21"/>
                <w:u w:val="single"/>
              </w:rPr>
              <w:t>分</w:t>
            </w:r>
          </w:p>
          <w:p>
            <w:pPr>
              <w:spacing w:line="360" w:lineRule="auto"/>
              <w:jc w:val="both"/>
              <w:rPr>
                <w:rFonts w:ascii="宋体" w:hAnsi="宋体" w:cs="宋体"/>
                <w:color w:val="000000"/>
                <w:szCs w:val="21"/>
              </w:rPr>
            </w:pPr>
            <w:r>
              <w:rPr>
                <w:rFonts w:hint="eastAsia" w:ascii="宋体" w:hAnsi="宋体" w:cs="宋体"/>
                <w:color w:val="000000"/>
                <w:szCs w:val="21"/>
              </w:rPr>
              <w:t xml:space="preserve">递交响应文件的地点：湖南省港务集团有限公司6楼602开标室）           </w:t>
            </w:r>
          </w:p>
        </w:tc>
      </w:tr>
      <w:tr>
        <w:tblPrEx>
          <w:tblCellMar>
            <w:top w:w="0" w:type="dxa"/>
            <w:left w:w="108" w:type="dxa"/>
            <w:bottom w:w="0" w:type="dxa"/>
            <w:right w:w="108" w:type="dxa"/>
          </w:tblCellMar>
        </w:tblPrEx>
        <w:trPr>
          <w:trHeight w:val="606"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4.2.2</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是否退还响应文件</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000000"/>
                <w:szCs w:val="21"/>
              </w:rPr>
            </w:pPr>
            <w:r>
              <w:rPr>
                <w:rFonts w:hint="eastAsia" w:ascii="宋体" w:hAnsi="宋体" w:cs="宋体"/>
                <w:b/>
                <w:bCs/>
                <w:color w:val="000000"/>
                <w:szCs w:val="21"/>
              </w:rPr>
              <w:sym w:font="Wingdings 2" w:char="0052"/>
            </w:r>
            <w:r>
              <w:rPr>
                <w:rFonts w:hint="eastAsia" w:ascii="宋体" w:hAnsi="宋体" w:cs="宋体"/>
                <w:b/>
                <w:bCs/>
                <w:color w:val="000000"/>
                <w:szCs w:val="21"/>
              </w:rPr>
              <w:t>否</w:t>
            </w:r>
          </w:p>
        </w:tc>
      </w:tr>
      <w:tr>
        <w:tblPrEx>
          <w:tblCellMar>
            <w:top w:w="0" w:type="dxa"/>
            <w:left w:w="108" w:type="dxa"/>
            <w:bottom w:w="0" w:type="dxa"/>
            <w:right w:w="108" w:type="dxa"/>
          </w:tblCellMar>
        </w:tblPrEx>
        <w:trPr>
          <w:trHeight w:val="893"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4.3.3</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供应商撤回响应文件情况下退还响应保证金的时间</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无</w:t>
            </w:r>
          </w:p>
        </w:tc>
      </w:tr>
      <w:tr>
        <w:tblPrEx>
          <w:tblCellMar>
            <w:top w:w="0" w:type="dxa"/>
            <w:left w:w="108" w:type="dxa"/>
            <w:bottom w:w="0" w:type="dxa"/>
            <w:right w:w="108" w:type="dxa"/>
          </w:tblCellMar>
        </w:tblPrEx>
        <w:trPr>
          <w:trHeight w:val="619"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5</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是否公开开启响应文件</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000000"/>
                <w:szCs w:val="21"/>
              </w:rPr>
            </w:pPr>
            <w:r>
              <w:rPr>
                <w:rFonts w:hint="eastAsia" w:ascii="宋体" w:hAnsi="宋体" w:cs="宋体"/>
                <w:b/>
                <w:bCs/>
                <w:szCs w:val="21"/>
              </w:rPr>
              <w:sym w:font="Wingdings 2" w:char="0052"/>
            </w:r>
            <w:r>
              <w:rPr>
                <w:rFonts w:hint="eastAsia" w:ascii="宋体" w:hAnsi="宋体" w:cs="宋体"/>
                <w:b/>
                <w:bCs/>
                <w:szCs w:val="21"/>
              </w:rPr>
              <w:t>否</w:t>
            </w:r>
          </w:p>
        </w:tc>
      </w:tr>
      <w:tr>
        <w:tblPrEx>
          <w:tblCellMar>
            <w:top w:w="0" w:type="dxa"/>
            <w:left w:w="108" w:type="dxa"/>
            <w:bottom w:w="0" w:type="dxa"/>
            <w:right w:w="108" w:type="dxa"/>
          </w:tblCellMar>
        </w:tblPrEx>
        <w:trPr>
          <w:trHeight w:val="55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5.1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开启地点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szCs w:val="21"/>
              </w:rPr>
              <w:t>湖南省港务集团有限公司六楼602开标室</w:t>
            </w:r>
          </w:p>
        </w:tc>
      </w:tr>
      <w:tr>
        <w:tblPrEx>
          <w:tblCellMar>
            <w:top w:w="0" w:type="dxa"/>
            <w:left w:w="108" w:type="dxa"/>
            <w:bottom w:w="0" w:type="dxa"/>
            <w:right w:w="108" w:type="dxa"/>
          </w:tblCellMar>
        </w:tblPrEx>
        <w:trPr>
          <w:trHeight w:val="603"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5.2（4）</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开启程序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开启顺序：</w:t>
            </w:r>
            <w:r>
              <w:rPr>
                <w:rFonts w:hint="eastAsia" w:ascii="宋体" w:hAnsi="宋体" w:cs="宋体"/>
                <w:color w:val="000000"/>
                <w:szCs w:val="21"/>
                <w:u w:val="single"/>
              </w:rPr>
              <w:t xml:space="preserve"> 随机 </w:t>
            </w:r>
          </w:p>
        </w:tc>
      </w:tr>
      <w:tr>
        <w:tblPrEx>
          <w:tblCellMar>
            <w:top w:w="0" w:type="dxa"/>
            <w:left w:w="108" w:type="dxa"/>
            <w:bottom w:w="0" w:type="dxa"/>
            <w:right w:w="108" w:type="dxa"/>
          </w:tblCellMar>
        </w:tblPrEx>
        <w:trPr>
          <w:trHeight w:val="1125"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6.1.1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评审小组的组建</w:t>
            </w:r>
            <w:r>
              <w:rPr>
                <w:rStyle w:val="48"/>
                <w:rFonts w:hint="eastAsia" w:ascii="宋体" w:hAnsi="宋体" w:cs="宋体"/>
                <w:color w:val="000000"/>
                <w:szCs w:val="21"/>
              </w:rPr>
              <w:footnoteReference w:id="0"/>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评标小组构成：</w:t>
            </w:r>
            <w:r>
              <w:rPr>
                <w:rFonts w:hint="eastAsia" w:ascii="宋体" w:hAnsi="宋体" w:cs="宋体"/>
                <w:color w:val="000000"/>
                <w:szCs w:val="21"/>
                <w:u w:val="single"/>
              </w:rPr>
              <w:t>3</w:t>
            </w:r>
            <w:r>
              <w:rPr>
                <w:rFonts w:hint="eastAsia" w:ascii="宋体" w:hAnsi="宋体" w:cs="宋体"/>
                <w:color w:val="000000"/>
                <w:szCs w:val="21"/>
              </w:rPr>
              <w:t>人。</w:t>
            </w:r>
          </w:p>
          <w:p>
            <w:pPr>
              <w:spacing w:line="288" w:lineRule="auto"/>
              <w:jc w:val="both"/>
              <w:rPr>
                <w:rFonts w:ascii="宋体" w:hAnsi="宋体" w:cs="宋体"/>
                <w:color w:val="000000"/>
                <w:szCs w:val="21"/>
              </w:rPr>
            </w:pPr>
            <w:r>
              <w:rPr>
                <w:rFonts w:hint="eastAsia" w:ascii="宋体" w:hAnsi="宋体" w:cs="宋体"/>
                <w:color w:val="000000"/>
                <w:szCs w:val="21"/>
              </w:rPr>
              <w:t>评审专家确定方式：在湖南省港航水利集团综合评标专家库中随机抽取。</w:t>
            </w:r>
          </w:p>
        </w:tc>
      </w:tr>
      <w:tr>
        <w:tblPrEx>
          <w:tblCellMar>
            <w:top w:w="0" w:type="dxa"/>
            <w:left w:w="108" w:type="dxa"/>
            <w:bottom w:w="0" w:type="dxa"/>
            <w:right w:w="108" w:type="dxa"/>
          </w:tblCellMar>
        </w:tblPrEx>
        <w:trPr>
          <w:trHeight w:val="75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6.2.2</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评审小组推荐成交候选供应商的数量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b/>
                <w:bCs/>
                <w:color w:val="000000"/>
                <w:szCs w:val="21"/>
              </w:rPr>
              <w:t xml:space="preserve"> 2-3 </w:t>
            </w:r>
            <w:r>
              <w:rPr>
                <w:rFonts w:hint="eastAsia" w:ascii="宋体" w:hAnsi="宋体" w:cs="宋体"/>
                <w:color w:val="000000"/>
                <w:szCs w:val="21"/>
              </w:rPr>
              <w:t>个，并标明推荐顺序。</w:t>
            </w:r>
          </w:p>
        </w:tc>
      </w:tr>
      <w:tr>
        <w:tblPrEx>
          <w:tblCellMar>
            <w:top w:w="0" w:type="dxa"/>
            <w:left w:w="108" w:type="dxa"/>
            <w:bottom w:w="0" w:type="dxa"/>
            <w:right w:w="108" w:type="dxa"/>
          </w:tblCellMar>
        </w:tblPrEx>
        <w:trPr>
          <w:trHeight w:val="2132"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7.2</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成交候选供应商公示</w:t>
            </w:r>
          </w:p>
        </w:tc>
        <w:tc>
          <w:tcPr>
            <w:tcW w:w="4749" w:type="dxa"/>
            <w:tcBorders>
              <w:top w:val="single" w:color="auto" w:sz="4" w:space="0"/>
              <w:left w:val="single" w:color="auto" w:sz="4" w:space="0"/>
              <w:bottom w:val="single" w:color="auto" w:sz="4" w:space="0"/>
              <w:right w:val="single" w:color="auto" w:sz="4" w:space="0"/>
            </w:tcBorders>
            <w:vAlign w:val="center"/>
          </w:tcPr>
          <w:p>
            <w:pPr>
              <w:autoSpaceDE w:val="0"/>
              <w:spacing w:line="360" w:lineRule="auto"/>
              <w:rPr>
                <w:rFonts w:ascii="宋体" w:hAnsi="宋体" w:cs="宋体"/>
                <w:szCs w:val="21"/>
              </w:rPr>
            </w:pPr>
            <w:r>
              <w:rPr>
                <w:rFonts w:hint="eastAsia" w:ascii="宋体" w:hAnsi="宋体" w:cs="宋体"/>
                <w:color w:val="000000"/>
                <w:szCs w:val="21"/>
              </w:rPr>
              <w:t>公示媒介：</w:t>
            </w:r>
            <w:r>
              <w:rPr>
                <w:rFonts w:hint="eastAsia" w:ascii="宋体" w:hAnsi="宋体" w:cs="宋体"/>
                <w:szCs w:val="21"/>
              </w:rPr>
              <w:t>中国招标投标公共服务平台（http：//www.cebpubservice.com）、湖南省港航水利集团网站（http：//</w:t>
            </w:r>
            <w:r>
              <w:rPr>
                <w:rFonts w:hint="eastAsia" w:ascii="宋体" w:hAnsi="宋体" w:cs="宋体"/>
                <w:szCs w:val="21"/>
              </w:rPr>
              <w:fldChar w:fldCharType="begin"/>
            </w:r>
            <w:r>
              <w:rPr>
                <w:rFonts w:hint="eastAsia" w:ascii="宋体" w:hAnsi="宋体" w:cs="宋体"/>
                <w:szCs w:val="21"/>
              </w:rPr>
              <w:instrText xml:space="preserve"> HYPERLINK "http://www.hnsghsljt.com/" </w:instrText>
            </w:r>
            <w:r>
              <w:rPr>
                <w:rFonts w:hint="eastAsia" w:ascii="宋体" w:hAnsi="宋体" w:cs="宋体"/>
                <w:szCs w:val="21"/>
              </w:rPr>
              <w:fldChar w:fldCharType="separate"/>
            </w:r>
            <w:r>
              <w:rPr>
                <w:rFonts w:hint="eastAsia" w:ascii="宋体" w:hAnsi="宋体" w:cs="宋体"/>
                <w:szCs w:val="21"/>
              </w:rPr>
              <w:t>hnsghsljt.com</w:t>
            </w:r>
            <w:r>
              <w:rPr>
                <w:rFonts w:hint="eastAsia" w:ascii="宋体" w:hAnsi="宋体" w:cs="宋体"/>
                <w:szCs w:val="21"/>
              </w:rPr>
              <w:fldChar w:fldCharType="end"/>
            </w:r>
            <w:r>
              <w:rPr>
                <w:rFonts w:hint="eastAsia" w:ascii="宋体" w:hAnsi="宋体" w:cs="宋体"/>
                <w:szCs w:val="21"/>
              </w:rPr>
              <w:t>）、湖南省港务集团有限公司网站（http://www.hnsgwjt.com/）上发布。</w:t>
            </w:r>
          </w:p>
          <w:p>
            <w:pPr>
              <w:spacing w:line="288" w:lineRule="auto"/>
              <w:jc w:val="both"/>
              <w:rPr>
                <w:rFonts w:ascii="宋体" w:hAnsi="宋体" w:cs="宋体"/>
                <w:color w:val="000000"/>
                <w:szCs w:val="21"/>
              </w:rPr>
            </w:pPr>
            <w:r>
              <w:rPr>
                <w:rFonts w:hint="eastAsia" w:ascii="宋体" w:hAnsi="宋体" w:cs="宋体"/>
                <w:color w:val="000000"/>
                <w:szCs w:val="21"/>
              </w:rPr>
              <w:t>公示期限：</w:t>
            </w:r>
            <w:r>
              <w:rPr>
                <w:rFonts w:hint="eastAsia" w:ascii="宋体" w:hAnsi="宋体" w:cs="宋体"/>
                <w:color w:val="000000"/>
                <w:szCs w:val="21"/>
                <w:u w:val="single"/>
              </w:rPr>
              <w:t>3个工作日</w:t>
            </w:r>
          </w:p>
        </w:tc>
      </w:tr>
      <w:tr>
        <w:tblPrEx>
          <w:tblCellMar>
            <w:top w:w="0" w:type="dxa"/>
            <w:left w:w="108" w:type="dxa"/>
            <w:bottom w:w="0" w:type="dxa"/>
            <w:right w:w="108" w:type="dxa"/>
          </w:tblCellMar>
        </w:tblPrEx>
        <w:trPr>
          <w:trHeight w:val="70"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7.7</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履约保证金</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000000"/>
                <w:szCs w:val="21"/>
              </w:rPr>
            </w:pPr>
            <w:r>
              <w:rPr>
                <w:rFonts w:hint="eastAsia" w:ascii="宋体" w:hAnsi="宋体" w:cs="宋体"/>
                <w:b/>
                <w:bCs/>
                <w:color w:val="000000"/>
                <w:szCs w:val="21"/>
              </w:rPr>
              <w:sym w:font="Wingdings 2" w:char="0052"/>
            </w:r>
            <w:r>
              <w:rPr>
                <w:rFonts w:hint="eastAsia" w:ascii="宋体" w:hAnsi="宋体" w:cs="宋体"/>
                <w:b/>
                <w:bCs/>
                <w:color w:val="000000"/>
                <w:szCs w:val="21"/>
              </w:rPr>
              <w:t>不要求提交</w:t>
            </w:r>
          </w:p>
        </w:tc>
      </w:tr>
      <w:tr>
        <w:tblPrEx>
          <w:tblCellMar>
            <w:top w:w="0" w:type="dxa"/>
            <w:left w:w="108" w:type="dxa"/>
            <w:bottom w:w="0" w:type="dxa"/>
            <w:right w:w="108" w:type="dxa"/>
          </w:tblCellMar>
        </w:tblPrEx>
        <w:trPr>
          <w:trHeight w:val="1776"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8.1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异议渠道</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highlight w:val="yellow"/>
                <w:u w:val="single"/>
              </w:rPr>
            </w:pPr>
            <w:r>
              <w:rPr>
                <w:rFonts w:hint="eastAsia" w:ascii="宋体" w:hAnsi="宋体" w:cs="宋体"/>
                <w:color w:val="000000"/>
                <w:szCs w:val="21"/>
              </w:rPr>
              <w:t>联系人：</w:t>
            </w:r>
            <w:r>
              <w:rPr>
                <w:rFonts w:hint="eastAsia" w:ascii="宋体" w:hAnsi="宋体" w:cs="宋体"/>
                <w:color w:val="000000"/>
                <w:szCs w:val="21"/>
                <w:u w:val="single"/>
              </w:rPr>
              <w:t>童先生</w:t>
            </w:r>
          </w:p>
          <w:p>
            <w:pPr>
              <w:spacing w:line="288" w:lineRule="auto"/>
              <w:jc w:val="both"/>
              <w:rPr>
                <w:rFonts w:ascii="宋体" w:hAnsi="宋体" w:cs="宋体"/>
                <w:color w:val="000000"/>
                <w:szCs w:val="21"/>
              </w:rPr>
            </w:pPr>
            <w:r>
              <w:rPr>
                <w:rFonts w:hint="eastAsia" w:ascii="宋体" w:hAnsi="宋体" w:cs="宋体"/>
                <w:color w:val="000000"/>
                <w:szCs w:val="21"/>
              </w:rPr>
              <w:t>联系电话：</w:t>
            </w:r>
            <w:r>
              <w:rPr>
                <w:rFonts w:hint="eastAsia" w:ascii="宋体" w:hAnsi="宋体" w:cs="宋体"/>
                <w:color w:val="000000"/>
                <w:szCs w:val="21"/>
                <w:u w:val="single"/>
              </w:rPr>
              <w:t>13975080729</w:t>
            </w:r>
            <w:r>
              <w:rPr>
                <w:rFonts w:hint="eastAsia" w:ascii="宋体" w:hAnsi="宋体" w:cs="宋体"/>
                <w:color w:val="000000"/>
                <w:szCs w:val="21"/>
              </w:rPr>
              <w:t xml:space="preserve">                  </w:t>
            </w:r>
          </w:p>
          <w:p>
            <w:pPr>
              <w:spacing w:line="288" w:lineRule="auto"/>
              <w:jc w:val="both"/>
              <w:rPr>
                <w:rFonts w:ascii="宋体" w:hAnsi="宋体" w:cs="宋体"/>
                <w:color w:val="000000"/>
                <w:szCs w:val="21"/>
              </w:rPr>
            </w:pPr>
            <w:r>
              <w:rPr>
                <w:rFonts w:hint="eastAsia" w:ascii="宋体" w:hAnsi="宋体" w:cs="宋体"/>
                <w:color w:val="000000"/>
                <w:szCs w:val="21"/>
              </w:rPr>
              <w:t>通信地址：</w:t>
            </w:r>
            <w:r>
              <w:rPr>
                <w:rFonts w:hint="eastAsia" w:ascii="宋体" w:hAnsi="宋体" w:cs="宋体"/>
                <w:szCs w:val="21"/>
                <w:u w:val="single"/>
              </w:rPr>
              <w:t>岳阳城陵矶新港有限公司办公楼四楼综合管理部</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tc>
      </w:tr>
      <w:tr>
        <w:tblPrEx>
          <w:tblCellMar>
            <w:top w:w="0" w:type="dxa"/>
            <w:left w:w="108" w:type="dxa"/>
            <w:bottom w:w="0" w:type="dxa"/>
            <w:right w:w="108" w:type="dxa"/>
          </w:tblCellMar>
        </w:tblPrEx>
        <w:trPr>
          <w:trHeight w:val="593"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10.1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采购代理服务费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000000"/>
                <w:szCs w:val="21"/>
              </w:rPr>
            </w:pPr>
            <w:r>
              <w:rPr>
                <w:rFonts w:hint="eastAsia" w:ascii="宋体" w:hAnsi="宋体" w:cs="宋体"/>
                <w:b/>
                <w:bCs/>
                <w:color w:val="000000"/>
                <w:szCs w:val="21"/>
              </w:rPr>
              <w:sym w:font="Wingdings 2" w:char="0052"/>
            </w:r>
            <w:r>
              <w:rPr>
                <w:rFonts w:hint="eastAsia" w:ascii="宋体" w:hAnsi="宋体" w:cs="宋体"/>
                <w:b/>
                <w:bCs/>
                <w:color w:val="000000"/>
                <w:szCs w:val="21"/>
              </w:rPr>
              <w:t>不要求承担</w:t>
            </w:r>
          </w:p>
        </w:tc>
      </w:tr>
      <w:tr>
        <w:tblPrEx>
          <w:tblCellMar>
            <w:top w:w="0" w:type="dxa"/>
            <w:left w:w="108" w:type="dxa"/>
            <w:bottom w:w="0" w:type="dxa"/>
            <w:right w:w="108" w:type="dxa"/>
          </w:tblCellMar>
        </w:tblPrEx>
        <w:trPr>
          <w:trHeight w:val="1819"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10.2</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需要补充的其他内容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2.本项目</w:t>
            </w:r>
            <w:r>
              <w:rPr>
                <w:rFonts w:hint="eastAsia" w:ascii="宋体" w:hAnsi="宋体" w:cs="宋体"/>
                <w:b/>
                <w:bCs/>
                <w:color w:val="000000"/>
                <w:szCs w:val="21"/>
              </w:rPr>
              <w:t>不接受</w:t>
            </w:r>
            <w:r>
              <w:rPr>
                <w:rFonts w:hint="eastAsia" w:ascii="宋体" w:hAnsi="宋体" w:cs="宋体"/>
                <w:color w:val="000000"/>
                <w:szCs w:val="21"/>
              </w:rPr>
              <w:t>联合体投标。</w:t>
            </w:r>
          </w:p>
          <w:p>
            <w:pPr>
              <w:spacing w:line="288" w:lineRule="auto"/>
              <w:jc w:val="both"/>
              <w:rPr>
                <w:rFonts w:ascii="宋体" w:hAnsi="宋体" w:cs="宋体"/>
                <w:color w:val="000000"/>
                <w:szCs w:val="21"/>
              </w:rPr>
            </w:pPr>
            <w:r>
              <w:rPr>
                <w:rFonts w:hint="eastAsia" w:ascii="宋体" w:hAnsi="宋体" w:cs="宋体"/>
                <w:color w:val="000000"/>
                <w:szCs w:val="21"/>
              </w:rPr>
              <w:t>3.响应文件份数：</w:t>
            </w:r>
            <w:r>
              <w:rPr>
                <w:rFonts w:hint="eastAsia" w:ascii="宋体" w:hAnsi="宋体" w:cs="宋体"/>
                <w:color w:val="000000"/>
                <w:szCs w:val="21"/>
                <w:u w:val="single"/>
              </w:rPr>
              <w:t>正本1份</w:t>
            </w:r>
            <w:r>
              <w:rPr>
                <w:rFonts w:hint="eastAsia" w:ascii="宋体" w:hAnsi="宋体" w:cs="宋体"/>
                <w:color w:val="000000"/>
                <w:szCs w:val="21"/>
              </w:rPr>
              <w:t>，</w:t>
            </w:r>
            <w:r>
              <w:rPr>
                <w:rFonts w:hint="eastAsia" w:ascii="宋体" w:hAnsi="宋体" w:cs="宋体"/>
                <w:color w:val="000000"/>
                <w:szCs w:val="21"/>
                <w:u w:val="single"/>
              </w:rPr>
              <w:t>副本 2 份</w:t>
            </w:r>
            <w:r>
              <w:rPr>
                <w:rFonts w:hint="eastAsia" w:ascii="宋体" w:hAnsi="宋体" w:cs="宋体"/>
                <w:color w:val="000000"/>
                <w:szCs w:val="21"/>
              </w:rPr>
              <w:t>。</w:t>
            </w:r>
          </w:p>
        </w:tc>
      </w:tr>
    </w:tbl>
    <w:p>
      <w:pPr>
        <w:spacing w:line="240" w:lineRule="auto"/>
        <w:jc w:val="center"/>
        <w:outlineLvl w:val="0"/>
        <w:rPr>
          <w:rFonts w:ascii="仿宋" w:hAnsi="仿宋" w:eastAsia="仿宋" w:cs="仿宋"/>
          <w:sz w:val="30"/>
          <w:szCs w:val="30"/>
        </w:rPr>
      </w:pPr>
      <w:r>
        <w:rPr>
          <w:rFonts w:ascii="仿宋" w:hAnsi="仿宋" w:eastAsia="仿宋" w:cs="仿宋"/>
          <w:b/>
          <w:bCs/>
          <w:sz w:val="30"/>
          <w:szCs w:val="30"/>
        </w:rPr>
        <w:br w:type="page"/>
      </w:r>
      <w:bookmarkStart w:id="11" w:name="_Toc9633"/>
      <w:r>
        <w:rPr>
          <w:rFonts w:hint="eastAsia" w:ascii="华文中宋" w:hAnsi="华文中宋" w:eastAsia="华文中宋" w:cs="仿宋"/>
          <w:b/>
          <w:bCs/>
          <w:sz w:val="30"/>
          <w:szCs w:val="30"/>
        </w:rPr>
        <w:t>第二章 供应商须知正文</w:t>
      </w:r>
      <w:bookmarkEnd w:id="11"/>
    </w:p>
    <w:p>
      <w:pPr>
        <w:adjustRightInd w:val="0"/>
        <w:snapToGrid w:val="0"/>
        <w:spacing w:before="120" w:beforeLines="50" w:after="120" w:afterLines="50" w:line="312" w:lineRule="auto"/>
        <w:jc w:val="both"/>
        <w:rPr>
          <w:rFonts w:ascii="宋体" w:hAnsi="宋体" w:cs="仿宋"/>
          <w:b/>
          <w:bCs/>
          <w:sz w:val="24"/>
        </w:rPr>
      </w:pPr>
      <w:r>
        <w:rPr>
          <w:rFonts w:hint="eastAsia" w:ascii="宋体" w:hAnsi="宋体" w:cs="仿宋"/>
          <w:b/>
          <w:bCs/>
          <w:sz w:val="24"/>
        </w:rPr>
        <w:t>1 总则</w:t>
      </w:r>
    </w:p>
    <w:p>
      <w:pPr>
        <w:adjustRightInd w:val="0"/>
        <w:snapToGrid w:val="0"/>
        <w:spacing w:line="312" w:lineRule="auto"/>
        <w:jc w:val="both"/>
        <w:rPr>
          <w:rFonts w:ascii="宋体" w:hAnsi="宋体" w:cs="仿宋"/>
          <w:b/>
          <w:bCs/>
          <w:sz w:val="24"/>
        </w:rPr>
      </w:pPr>
      <w:r>
        <w:rPr>
          <w:rFonts w:hint="eastAsia" w:ascii="宋体" w:hAnsi="宋体" w:cs="仿宋"/>
          <w:b/>
          <w:bCs/>
          <w:sz w:val="24"/>
        </w:rPr>
        <w:t>1.1采购方法和评审办法</w:t>
      </w:r>
    </w:p>
    <w:p>
      <w:pPr>
        <w:pStyle w:val="72"/>
        <w:spacing w:before="120" w:after="120" w:line="312" w:lineRule="auto"/>
        <w:ind w:left="426" w:firstLine="48" w:firstLineChars="20"/>
        <w:jc w:val="both"/>
        <w:rPr>
          <w:rFonts w:ascii="宋体" w:hAnsi="宋体" w:eastAsia="宋体" w:cs="仿宋"/>
          <w:sz w:val="24"/>
          <w:szCs w:val="24"/>
        </w:rPr>
      </w:pPr>
      <w:r>
        <w:rPr>
          <w:rFonts w:hint="eastAsia" w:ascii="宋体" w:hAnsi="宋体" w:eastAsia="宋体" w:cs="仿宋"/>
          <w:sz w:val="24"/>
          <w:szCs w:val="24"/>
        </w:rPr>
        <w:t>本项目采用供应商须知前附表规定的采购方式和评审办法。</w:t>
      </w:r>
    </w:p>
    <w:p>
      <w:pPr>
        <w:pStyle w:val="66"/>
        <w:spacing w:line="312" w:lineRule="auto"/>
        <w:ind w:firstLine="0" w:firstLineChars="0"/>
        <w:rPr>
          <w:rFonts w:hAnsi="宋体" w:eastAsia="宋体" w:cs="仿宋"/>
          <w:sz w:val="24"/>
          <w:szCs w:val="24"/>
        </w:rPr>
      </w:pPr>
      <w:r>
        <w:rPr>
          <w:rFonts w:hint="eastAsia" w:hAnsi="宋体" w:eastAsia="宋体" w:cs="仿宋"/>
          <w:sz w:val="24"/>
          <w:szCs w:val="24"/>
        </w:rPr>
        <w:t>1.1.1采购方法</w:t>
      </w:r>
    </w:p>
    <w:p>
      <w:pPr>
        <w:pStyle w:val="66"/>
        <w:spacing w:line="312" w:lineRule="auto"/>
        <w:ind w:firstLine="453" w:firstLineChars="189"/>
        <w:rPr>
          <w:rFonts w:hAnsi="宋体" w:eastAsia="宋体" w:cs="仿宋"/>
          <w:sz w:val="24"/>
          <w:szCs w:val="24"/>
        </w:rPr>
      </w:pPr>
      <w:r>
        <w:rPr>
          <w:rFonts w:hint="eastAsia" w:hAnsi="宋体" w:eastAsia="宋体" w:cs="仿宋"/>
          <w:sz w:val="24"/>
          <w:szCs w:val="24"/>
        </w:rPr>
        <w:t>询价采购，是指按照规定程序就采购项目向符合资格要求的供应商进行询价，通过评审、比较确定成交供应商的采购方式。</w:t>
      </w:r>
    </w:p>
    <w:p>
      <w:pPr>
        <w:pStyle w:val="66"/>
        <w:spacing w:line="312" w:lineRule="auto"/>
        <w:ind w:firstLine="0" w:firstLineChars="0"/>
        <w:rPr>
          <w:rFonts w:hAnsi="宋体" w:eastAsia="宋体" w:cs="仿宋"/>
          <w:sz w:val="24"/>
          <w:szCs w:val="24"/>
        </w:rPr>
      </w:pPr>
      <w:r>
        <w:rPr>
          <w:rFonts w:hint="eastAsia" w:hAnsi="宋体" w:eastAsia="宋体" w:cs="仿宋"/>
          <w:sz w:val="24"/>
          <w:szCs w:val="24"/>
        </w:rPr>
        <w:t>1.1.2评审办法</w:t>
      </w:r>
    </w:p>
    <w:p>
      <w:pPr>
        <w:pStyle w:val="66"/>
        <w:spacing w:line="312" w:lineRule="auto"/>
        <w:ind w:firstLine="453" w:firstLineChars="189"/>
        <w:rPr>
          <w:rFonts w:hAnsi="宋体" w:eastAsia="宋体" w:cs="仿宋"/>
          <w:sz w:val="24"/>
          <w:szCs w:val="24"/>
        </w:rPr>
      </w:pPr>
      <w:r>
        <w:rPr>
          <w:rFonts w:hint="eastAsia" w:hAnsi="宋体" w:eastAsia="宋体" w:cs="仿宋"/>
          <w:sz w:val="24"/>
          <w:szCs w:val="24"/>
        </w:rPr>
        <w:t>综合评分法，是指在满足资格审查内容后，评审综合得分最高原则确定成交供应商。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1.2采购项目概况和供应商资格要求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采购项目概况和供应商资格要求见第一章“采购公告”。</w:t>
      </w:r>
    </w:p>
    <w:p>
      <w:pPr>
        <w:adjustRightInd w:val="0"/>
        <w:snapToGrid w:val="0"/>
        <w:spacing w:line="312" w:lineRule="auto"/>
        <w:jc w:val="both"/>
        <w:rPr>
          <w:rFonts w:ascii="宋体" w:hAnsi="宋体" w:cs="仿宋"/>
          <w:b/>
          <w:bCs/>
          <w:sz w:val="24"/>
        </w:rPr>
      </w:pPr>
      <w:r>
        <w:rPr>
          <w:rFonts w:hint="eastAsia" w:ascii="宋体" w:hAnsi="宋体" w:cs="仿宋"/>
          <w:b/>
          <w:bCs/>
          <w:sz w:val="24"/>
        </w:rPr>
        <w:t>1.3 费用承担</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供应商准备和参加采购活动所发生的各种费用由供应商自行承担。</w:t>
      </w:r>
    </w:p>
    <w:p>
      <w:pPr>
        <w:adjustRightInd w:val="0"/>
        <w:snapToGrid w:val="0"/>
        <w:spacing w:line="312" w:lineRule="auto"/>
        <w:jc w:val="both"/>
        <w:rPr>
          <w:rFonts w:ascii="宋体" w:hAnsi="宋体" w:cs="仿宋"/>
          <w:b/>
          <w:bCs/>
          <w:sz w:val="24"/>
        </w:rPr>
      </w:pPr>
      <w:r>
        <w:rPr>
          <w:rFonts w:hint="eastAsia" w:ascii="宋体" w:hAnsi="宋体" w:cs="仿宋"/>
          <w:b/>
          <w:bCs/>
          <w:sz w:val="24"/>
        </w:rPr>
        <w:t>1.4保密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参加采购活动的各方应对采购文件和响应文件中的商业和技术等秘密保密，否则应承担相应的法律责任。</w:t>
      </w:r>
    </w:p>
    <w:p>
      <w:pPr>
        <w:adjustRightInd w:val="0"/>
        <w:snapToGrid w:val="0"/>
        <w:spacing w:line="312" w:lineRule="auto"/>
        <w:jc w:val="both"/>
        <w:rPr>
          <w:rFonts w:ascii="宋体" w:hAnsi="宋体" w:cs="仿宋"/>
          <w:b/>
          <w:bCs/>
          <w:sz w:val="24"/>
        </w:rPr>
      </w:pPr>
      <w:r>
        <w:rPr>
          <w:rFonts w:hint="eastAsia" w:ascii="宋体" w:hAnsi="宋体" w:cs="仿宋"/>
          <w:b/>
          <w:bCs/>
          <w:sz w:val="24"/>
        </w:rPr>
        <w:t>1.5语言文字</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采购文件和响应文件使用的语言文字为中文。专用术语使用外文的，应附有中文注释。</w:t>
      </w:r>
    </w:p>
    <w:p>
      <w:pPr>
        <w:adjustRightInd w:val="0"/>
        <w:snapToGrid w:val="0"/>
        <w:spacing w:line="312" w:lineRule="auto"/>
        <w:jc w:val="both"/>
        <w:rPr>
          <w:rFonts w:ascii="宋体" w:hAnsi="宋体" w:cs="仿宋"/>
          <w:b/>
          <w:bCs/>
          <w:sz w:val="24"/>
        </w:rPr>
      </w:pPr>
      <w:r>
        <w:rPr>
          <w:rFonts w:hint="eastAsia" w:ascii="宋体" w:hAnsi="宋体" w:cs="仿宋"/>
          <w:b/>
          <w:bCs/>
          <w:sz w:val="24"/>
        </w:rPr>
        <w:t>1.6计量单位</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所有计量均采用中华人民共和国法定计量单位。</w:t>
      </w:r>
    </w:p>
    <w:p>
      <w:pPr>
        <w:adjustRightInd w:val="0"/>
        <w:snapToGrid w:val="0"/>
        <w:spacing w:line="312" w:lineRule="auto"/>
        <w:jc w:val="both"/>
        <w:rPr>
          <w:rFonts w:ascii="宋体" w:hAnsi="宋体" w:cs="仿宋"/>
          <w:b/>
          <w:bCs/>
          <w:sz w:val="24"/>
        </w:rPr>
      </w:pPr>
      <w:r>
        <w:rPr>
          <w:rFonts w:hint="eastAsia" w:ascii="宋体" w:hAnsi="宋体" w:cs="仿宋"/>
          <w:b/>
          <w:bCs/>
          <w:sz w:val="24"/>
        </w:rPr>
        <w:t>1.7踏勘现场</w:t>
      </w:r>
    </w:p>
    <w:p>
      <w:pPr>
        <w:spacing w:line="288" w:lineRule="auto"/>
        <w:jc w:val="both"/>
        <w:rPr>
          <w:rFonts w:ascii="宋体" w:hAnsi="宋体" w:cs="宋体"/>
          <w:sz w:val="24"/>
        </w:rPr>
      </w:pPr>
      <w:r>
        <w:rPr>
          <w:rFonts w:hint="eastAsia" w:ascii="宋体" w:hAnsi="宋体" w:cs="宋体"/>
          <w:sz w:val="24"/>
        </w:rPr>
        <w:t>X月X日-X月X日，每天8:00-17:30</w:t>
      </w:r>
    </w:p>
    <w:p>
      <w:pPr>
        <w:spacing w:line="288" w:lineRule="auto"/>
        <w:jc w:val="both"/>
        <w:rPr>
          <w:rFonts w:ascii="宋体" w:hAnsi="宋体" w:cs="宋体"/>
          <w:sz w:val="24"/>
        </w:rPr>
      </w:pPr>
      <w:r>
        <w:rPr>
          <w:rFonts w:hint="eastAsia" w:ascii="宋体" w:hAnsi="宋体" w:cs="宋体"/>
          <w:sz w:val="24"/>
        </w:rPr>
        <w:t xml:space="preserve">联 系 人: 王先生                         </w:t>
      </w:r>
    </w:p>
    <w:p>
      <w:pPr>
        <w:pStyle w:val="38"/>
        <w:ind w:firstLine="0"/>
        <w:rPr>
          <w:rFonts w:hAnsi="宋体" w:cs="宋体"/>
          <w:szCs w:val="24"/>
        </w:rPr>
      </w:pPr>
      <w:r>
        <w:rPr>
          <w:rFonts w:hint="eastAsia" w:hAnsi="宋体" w:cs="宋体"/>
          <w:szCs w:val="24"/>
        </w:rPr>
        <w:t>电    话:  0730-8422009</w:t>
      </w:r>
    </w:p>
    <w:p>
      <w:pPr>
        <w:pStyle w:val="38"/>
      </w:pPr>
      <w:r>
        <w:rPr>
          <w:rFonts w:hint="eastAsia" w:hAnsi="宋体" w:cs="仿宋"/>
          <w:bCs/>
          <w:szCs w:val="21"/>
        </w:rPr>
        <w:t>要求所有供应商在截止开标前三天，安排技术人员到岳阳城陵矶新港有限公司现场踏勘</w:t>
      </w:r>
      <w:r>
        <w:rPr>
          <w:rFonts w:hint="eastAsia" w:hAnsi="宋体" w:cs="仿宋"/>
          <w:bCs/>
          <w:szCs w:val="21"/>
          <w:lang w:val="en-US" w:eastAsia="zh-CN"/>
        </w:rPr>
        <w:t>,</w:t>
      </w:r>
      <w:r>
        <w:rPr>
          <w:rFonts w:hint="eastAsia" w:hAnsi="宋体" w:cs="仿宋"/>
          <w:bCs/>
          <w:szCs w:val="21"/>
        </w:rPr>
        <w:t>出具</w:t>
      </w:r>
      <w:r>
        <w:rPr>
          <w:rFonts w:hint="eastAsia" w:hAnsi="宋体" w:cs="仿宋"/>
          <w:bCs/>
          <w:szCs w:val="21"/>
          <w:lang w:val="en-US" w:eastAsia="zh-CN"/>
        </w:rPr>
        <w:t>的</w:t>
      </w:r>
      <w:r>
        <w:rPr>
          <w:rFonts w:hint="eastAsia" w:hAnsi="宋体" w:cs="仿宋"/>
          <w:bCs/>
          <w:szCs w:val="21"/>
        </w:rPr>
        <w:t>踏勘报告</w:t>
      </w:r>
      <w:r>
        <w:rPr>
          <w:rFonts w:hint="eastAsia" w:hAnsi="宋体" w:cs="仿宋"/>
          <w:bCs/>
          <w:szCs w:val="21"/>
          <w:lang w:val="en-US" w:eastAsia="zh-CN"/>
        </w:rPr>
        <w:t>可附在</w:t>
      </w:r>
      <w:r>
        <w:rPr>
          <w:rFonts w:hint="eastAsia" w:hAnsi="宋体" w:cs="仿宋"/>
          <w:bCs/>
          <w:szCs w:val="21"/>
        </w:rPr>
        <w:t>响应文件中。</w:t>
      </w:r>
    </w:p>
    <w:p>
      <w:pPr>
        <w:adjustRightInd w:val="0"/>
        <w:snapToGrid w:val="0"/>
        <w:spacing w:line="312" w:lineRule="auto"/>
        <w:jc w:val="both"/>
        <w:rPr>
          <w:rFonts w:ascii="宋体" w:hAnsi="宋体" w:cs="仿宋"/>
          <w:b/>
          <w:bCs/>
          <w:sz w:val="24"/>
        </w:rPr>
      </w:pPr>
      <w:r>
        <w:rPr>
          <w:rFonts w:hint="eastAsia" w:ascii="宋体" w:hAnsi="宋体" w:cs="仿宋"/>
          <w:b/>
          <w:bCs/>
          <w:sz w:val="24"/>
        </w:rPr>
        <w:t>1.8采购预备会（本项目不组织采购预备会）</w:t>
      </w:r>
    </w:p>
    <w:p>
      <w:pPr>
        <w:adjustRightInd w:val="0"/>
        <w:snapToGrid w:val="0"/>
        <w:spacing w:line="312" w:lineRule="auto"/>
        <w:jc w:val="both"/>
        <w:rPr>
          <w:rFonts w:ascii="宋体" w:hAnsi="宋体" w:cs="仿宋"/>
          <w:b/>
          <w:bCs/>
          <w:sz w:val="24"/>
        </w:rPr>
      </w:pPr>
      <w:r>
        <w:rPr>
          <w:rFonts w:hint="eastAsia" w:ascii="宋体" w:hAnsi="宋体" w:cs="仿宋"/>
          <w:b/>
          <w:bCs/>
          <w:sz w:val="24"/>
        </w:rPr>
        <w:t>1.9分包(本项目不允许分包)</w:t>
      </w:r>
    </w:p>
    <w:p>
      <w:pPr>
        <w:adjustRightInd w:val="0"/>
        <w:snapToGrid w:val="0"/>
        <w:spacing w:line="312" w:lineRule="auto"/>
        <w:jc w:val="both"/>
        <w:rPr>
          <w:rFonts w:ascii="宋体" w:hAnsi="宋体" w:cs="仿宋"/>
          <w:b/>
          <w:bCs/>
          <w:sz w:val="24"/>
        </w:rPr>
      </w:pPr>
      <w:r>
        <w:rPr>
          <w:rFonts w:hint="eastAsia" w:ascii="宋体" w:hAnsi="宋体" w:cs="仿宋"/>
          <w:b/>
          <w:bCs/>
          <w:sz w:val="24"/>
        </w:rPr>
        <w:t>1.10响应和偏差</w:t>
      </w:r>
    </w:p>
    <w:p>
      <w:pPr>
        <w:adjustRightInd w:val="0"/>
        <w:snapToGrid w:val="0"/>
        <w:spacing w:line="312" w:lineRule="auto"/>
        <w:jc w:val="both"/>
        <w:rPr>
          <w:rFonts w:ascii="宋体" w:hAnsi="宋体" w:cs="仿宋"/>
          <w:sz w:val="24"/>
        </w:rPr>
      </w:pPr>
      <w:r>
        <w:rPr>
          <w:rFonts w:hint="eastAsia" w:ascii="宋体" w:hAnsi="宋体" w:cs="仿宋"/>
          <w:sz w:val="24"/>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312" w:lineRule="auto"/>
        <w:jc w:val="both"/>
        <w:rPr>
          <w:rFonts w:ascii="宋体" w:hAnsi="宋体" w:cs="仿宋"/>
          <w:sz w:val="24"/>
        </w:rPr>
      </w:pPr>
      <w:r>
        <w:rPr>
          <w:rFonts w:hint="eastAsia" w:ascii="宋体" w:hAnsi="宋体" w:cs="仿宋"/>
          <w:sz w:val="24"/>
        </w:rPr>
        <w:t>1.10.2供应商须知前附表规定了对非关键条款允许偏差的范围和可以偏差的项数的，如响应文件存在的偏差超出上述范围或项数，将被视为无效。</w:t>
      </w:r>
    </w:p>
    <w:p>
      <w:pPr>
        <w:adjustRightInd w:val="0"/>
        <w:snapToGrid w:val="0"/>
        <w:spacing w:line="312" w:lineRule="auto"/>
        <w:jc w:val="both"/>
        <w:rPr>
          <w:rFonts w:ascii="宋体" w:hAnsi="宋体" w:cs="仿宋"/>
          <w:b/>
          <w:bCs/>
          <w:sz w:val="24"/>
        </w:rPr>
      </w:pPr>
      <w:r>
        <w:rPr>
          <w:rFonts w:hint="eastAsia" w:ascii="宋体" w:hAnsi="宋体" w:cs="仿宋"/>
          <w:b/>
          <w:bCs/>
          <w:sz w:val="24"/>
        </w:rPr>
        <w:t>2采购文件</w:t>
      </w:r>
    </w:p>
    <w:p>
      <w:pPr>
        <w:adjustRightInd w:val="0"/>
        <w:snapToGrid w:val="0"/>
        <w:spacing w:line="312" w:lineRule="auto"/>
        <w:jc w:val="both"/>
        <w:rPr>
          <w:rFonts w:ascii="宋体" w:hAnsi="宋体" w:cs="仿宋"/>
          <w:b/>
          <w:bCs/>
          <w:sz w:val="24"/>
        </w:rPr>
      </w:pPr>
      <w:r>
        <w:rPr>
          <w:rFonts w:hint="eastAsia" w:ascii="宋体" w:hAnsi="宋体" w:cs="仿宋"/>
          <w:b/>
          <w:bCs/>
          <w:sz w:val="24"/>
        </w:rPr>
        <w:t>2.1采购文件的组成</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本采购文件包括:</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(1)采购公告:</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(2)供应商须知;</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(3)评审办法;</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(4)合同条款及格式;</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(5)采购需求;</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(6)响应文件格式;</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(7)供应商须知前附表规定的其他资料。</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采购人依照本章规定，对采购文件所作的澄清、修改，构成采购文件的组成部分。</w:t>
      </w:r>
    </w:p>
    <w:p>
      <w:pPr>
        <w:adjustRightInd w:val="0"/>
        <w:snapToGrid w:val="0"/>
        <w:spacing w:line="312" w:lineRule="auto"/>
        <w:jc w:val="both"/>
        <w:rPr>
          <w:rFonts w:ascii="宋体" w:hAnsi="宋体" w:cs="仿宋"/>
          <w:b/>
          <w:bCs/>
          <w:sz w:val="24"/>
        </w:rPr>
      </w:pPr>
      <w:r>
        <w:rPr>
          <w:rFonts w:hint="eastAsia" w:ascii="宋体" w:hAnsi="宋体" w:cs="仿宋"/>
          <w:b/>
          <w:bCs/>
          <w:sz w:val="24"/>
        </w:rPr>
        <w:t>2.2采购文件的澄清和修改</w:t>
      </w:r>
    </w:p>
    <w:p>
      <w:pPr>
        <w:adjustRightInd w:val="0"/>
        <w:snapToGrid w:val="0"/>
        <w:spacing w:line="312" w:lineRule="auto"/>
        <w:jc w:val="both"/>
        <w:rPr>
          <w:rFonts w:ascii="宋体" w:hAnsi="宋体" w:cs="仿宋"/>
          <w:sz w:val="24"/>
        </w:rPr>
      </w:pPr>
      <w:r>
        <w:rPr>
          <w:rFonts w:hint="eastAsia" w:ascii="宋体" w:hAnsi="宋体" w:cs="仿宋"/>
          <w:sz w:val="24"/>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12" w:lineRule="auto"/>
        <w:jc w:val="both"/>
        <w:rPr>
          <w:rFonts w:ascii="宋体" w:hAnsi="宋体" w:cs="仿宋"/>
          <w:sz w:val="24"/>
        </w:rPr>
      </w:pPr>
      <w:r>
        <w:rPr>
          <w:rFonts w:hint="eastAsia" w:ascii="宋体" w:hAnsi="宋体" w:cs="仿宋"/>
          <w:sz w:val="24"/>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12" w:lineRule="auto"/>
        <w:jc w:val="both"/>
        <w:rPr>
          <w:rFonts w:ascii="宋体" w:hAnsi="宋体" w:cs="仿宋"/>
          <w:sz w:val="24"/>
        </w:rPr>
      </w:pPr>
      <w:r>
        <w:rPr>
          <w:rFonts w:hint="eastAsia" w:ascii="宋体" w:hAnsi="宋体" w:cs="仿宋"/>
          <w:sz w:val="24"/>
        </w:rPr>
        <w:t>2.2.3供应商在收到补充文件后，应按供应商须知前附表规定的时间和方式通知采购人，确认已收到该补充文件。</w:t>
      </w:r>
    </w:p>
    <w:p>
      <w:pPr>
        <w:adjustRightInd w:val="0"/>
        <w:snapToGrid w:val="0"/>
        <w:spacing w:line="312" w:lineRule="auto"/>
        <w:jc w:val="both"/>
        <w:rPr>
          <w:rFonts w:ascii="宋体" w:hAnsi="宋体" w:cs="仿宋"/>
          <w:sz w:val="24"/>
        </w:rPr>
      </w:pPr>
      <w:r>
        <w:rPr>
          <w:rFonts w:hint="eastAsia" w:ascii="宋体" w:hAnsi="宋体" w:cs="仿宋"/>
          <w:sz w:val="24"/>
        </w:rPr>
        <w:t>2.2.4除非确有必要，采购人有权拒绝回复供应商在本章第2.2.1项规定的时间后提出的任何澄清要求。</w:t>
      </w:r>
    </w:p>
    <w:p>
      <w:pPr>
        <w:adjustRightInd w:val="0"/>
        <w:snapToGrid w:val="0"/>
        <w:spacing w:line="312" w:lineRule="auto"/>
        <w:jc w:val="both"/>
        <w:rPr>
          <w:rFonts w:ascii="宋体" w:hAnsi="宋体" w:cs="仿宋"/>
          <w:b/>
          <w:bCs/>
          <w:sz w:val="24"/>
        </w:rPr>
      </w:pPr>
      <w:r>
        <w:rPr>
          <w:rFonts w:hint="eastAsia" w:ascii="宋体" w:hAnsi="宋体" w:cs="仿宋"/>
          <w:b/>
          <w:bCs/>
          <w:sz w:val="24"/>
        </w:rPr>
        <w:t>3响应文件</w:t>
      </w:r>
    </w:p>
    <w:p>
      <w:pPr>
        <w:adjustRightInd w:val="0"/>
        <w:snapToGrid w:val="0"/>
        <w:spacing w:line="312" w:lineRule="auto"/>
        <w:jc w:val="both"/>
        <w:rPr>
          <w:rFonts w:ascii="宋体" w:hAnsi="宋体" w:cs="仿宋"/>
          <w:b/>
          <w:bCs/>
          <w:sz w:val="24"/>
        </w:rPr>
      </w:pPr>
      <w:r>
        <w:rPr>
          <w:rFonts w:hint="eastAsia" w:ascii="宋体" w:hAnsi="宋体" w:cs="仿宋"/>
          <w:b/>
          <w:bCs/>
          <w:sz w:val="24"/>
        </w:rPr>
        <w:t>3.1响应文件的组成</w:t>
      </w:r>
    </w:p>
    <w:p>
      <w:pPr>
        <w:adjustRightInd w:val="0"/>
        <w:snapToGrid w:val="0"/>
        <w:spacing w:line="312" w:lineRule="auto"/>
        <w:jc w:val="both"/>
        <w:rPr>
          <w:rFonts w:ascii="宋体" w:hAnsi="宋体" w:cs="仿宋"/>
          <w:sz w:val="24"/>
        </w:rPr>
      </w:pPr>
      <w:r>
        <w:rPr>
          <w:rFonts w:hint="eastAsia" w:ascii="宋体" w:hAnsi="宋体" w:cs="仿宋"/>
          <w:sz w:val="24"/>
        </w:rPr>
        <w:t>3.1.1响应文件应包括下列内容: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(1)响应函;</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(2)授权委托书(如有);</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(3)商务和技术偏差表;</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(4)报价表;</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(5)资格审查资料;</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(6)响应方案;</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(7)供应商须知前附表规定的其他资料。</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供应商在评审过程中作出的符合采购文件要求的澄清、说明和补正，构成响应文件的组成部分。</w:t>
      </w:r>
    </w:p>
    <w:p>
      <w:pPr>
        <w:adjustRightInd w:val="0"/>
        <w:snapToGrid w:val="0"/>
        <w:spacing w:line="312" w:lineRule="auto"/>
        <w:jc w:val="both"/>
        <w:rPr>
          <w:rFonts w:ascii="宋体" w:hAnsi="宋体" w:cs="仿宋"/>
          <w:sz w:val="24"/>
        </w:rPr>
      </w:pPr>
      <w:r>
        <w:rPr>
          <w:rFonts w:hint="eastAsia" w:ascii="宋体" w:hAnsi="宋体" w:cs="仿宋"/>
          <w:sz w:val="24"/>
        </w:rPr>
        <w:t>3.1.2供应商的法定代表人(单位负责人)亲自签署响应文件、亲自参加采购的，响应文件不包括第3.1.1(2)目所指的授权委托书。第一章“采购公告”规定不接受联合体的，或供应商没有组成联合体的，响应文件不包括第3.1.1(3)目所指的联合体协议书。供应商须知前附表未要求供应商递交响应保证金的，响应文件不包括第3.1.1(4)目所指的响应保证金。</w:t>
      </w:r>
    </w:p>
    <w:p>
      <w:pPr>
        <w:adjustRightInd w:val="0"/>
        <w:snapToGrid w:val="0"/>
        <w:spacing w:line="312" w:lineRule="auto"/>
        <w:jc w:val="both"/>
        <w:rPr>
          <w:rFonts w:ascii="宋体" w:hAnsi="宋体" w:cs="仿宋"/>
          <w:b/>
          <w:bCs/>
          <w:sz w:val="24"/>
        </w:rPr>
      </w:pPr>
      <w:r>
        <w:rPr>
          <w:rFonts w:hint="eastAsia" w:ascii="宋体" w:hAnsi="宋体" w:cs="仿宋"/>
          <w:b/>
          <w:bCs/>
          <w:sz w:val="24"/>
        </w:rPr>
        <w:t>3.2报价</w:t>
      </w:r>
    </w:p>
    <w:p>
      <w:pPr>
        <w:adjustRightInd w:val="0"/>
        <w:snapToGrid w:val="0"/>
        <w:spacing w:line="312" w:lineRule="auto"/>
        <w:jc w:val="both"/>
        <w:rPr>
          <w:rFonts w:ascii="宋体" w:hAnsi="宋体" w:cs="仿宋"/>
          <w:color w:val="FF0000"/>
          <w:sz w:val="24"/>
        </w:rPr>
      </w:pPr>
      <w:r>
        <w:rPr>
          <w:rFonts w:hint="eastAsia" w:ascii="宋体" w:hAnsi="宋体" w:cs="仿宋"/>
          <w:sz w:val="24"/>
        </w:rPr>
        <w:t>3.2.1供应商应按采购文件提供的格式(见第六章“响应文件格式”)在响应函和报价表中进行报价。响应函中报价应为包含国家规定的增值税在内的含税价格，同时应列明不含税价格和增值税税额，采购人将根据项目情况，在第三章“评审办法</w:t>
      </w:r>
      <w:r>
        <w:rPr>
          <w:rFonts w:ascii="宋体" w:hAnsi="宋体" w:cs="仿宋"/>
          <w:sz w:val="24"/>
        </w:rPr>
        <w:t>"</w:t>
      </w:r>
      <w:r>
        <w:rPr>
          <w:rFonts w:hint="eastAsia" w:ascii="宋体" w:hAnsi="宋体" w:cs="仿宋"/>
          <w:sz w:val="24"/>
        </w:rPr>
        <w:t>第</w:t>
      </w:r>
      <w:r>
        <w:rPr>
          <w:rFonts w:ascii="宋体" w:hAnsi="宋体" w:cs="仿宋"/>
          <w:sz w:val="24"/>
        </w:rPr>
        <w:t>2.2.2项中选择按照含税价格或不含税价格对供应商进行价格评审。</w:t>
      </w:r>
    </w:p>
    <w:p>
      <w:pPr>
        <w:adjustRightInd w:val="0"/>
        <w:snapToGrid w:val="0"/>
        <w:spacing w:line="312" w:lineRule="auto"/>
        <w:jc w:val="both"/>
        <w:rPr>
          <w:rFonts w:ascii="宋体" w:hAnsi="宋体" w:cs="仿宋"/>
          <w:sz w:val="24"/>
        </w:rPr>
      </w:pPr>
      <w:r>
        <w:rPr>
          <w:rFonts w:hint="eastAsia" w:ascii="宋体" w:hAnsi="宋体" w:cs="仿宋"/>
          <w:sz w:val="24"/>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12" w:lineRule="auto"/>
        <w:jc w:val="both"/>
        <w:rPr>
          <w:rFonts w:ascii="宋体" w:hAnsi="宋体" w:cs="仿宋"/>
          <w:sz w:val="24"/>
        </w:rPr>
      </w:pPr>
      <w:r>
        <w:rPr>
          <w:rFonts w:hint="eastAsia" w:ascii="宋体" w:hAnsi="宋体" w:cs="仿宋"/>
          <w:sz w:val="24"/>
        </w:rPr>
        <w:t>3.2.3采购人设有最高限价的，供应商的报价不得超过最高限价。最高限价或最高限价计算方法在供应商须知前附表中载明。</w:t>
      </w:r>
    </w:p>
    <w:p>
      <w:pPr>
        <w:adjustRightInd w:val="0"/>
        <w:snapToGrid w:val="0"/>
        <w:spacing w:line="312" w:lineRule="auto"/>
        <w:jc w:val="both"/>
        <w:rPr>
          <w:rFonts w:ascii="宋体" w:hAnsi="宋体" w:cs="仿宋"/>
          <w:sz w:val="24"/>
        </w:rPr>
      </w:pPr>
      <w:r>
        <w:rPr>
          <w:rFonts w:hint="eastAsia" w:ascii="宋体" w:hAnsi="宋体" w:cs="仿宋"/>
          <w:sz w:val="24"/>
        </w:rPr>
        <w:t>3.2.4报价的其他要求见供应商须知前附表。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3.3响应文件有效期</w:t>
      </w:r>
    </w:p>
    <w:p>
      <w:pPr>
        <w:adjustRightInd w:val="0"/>
        <w:snapToGrid w:val="0"/>
        <w:spacing w:line="312" w:lineRule="auto"/>
        <w:jc w:val="both"/>
        <w:rPr>
          <w:rFonts w:ascii="宋体" w:hAnsi="宋体" w:cs="仿宋"/>
          <w:sz w:val="24"/>
        </w:rPr>
      </w:pPr>
      <w:r>
        <w:rPr>
          <w:rFonts w:hint="eastAsia" w:ascii="宋体" w:hAnsi="宋体" w:cs="仿宋"/>
          <w:sz w:val="24"/>
        </w:rPr>
        <w:t>3.3.1除供应商须知前附表另有规定外，响应文件有效期应为90日，从采购文件规定的递交响应文件的截止时间开始计算。</w:t>
      </w:r>
    </w:p>
    <w:p>
      <w:pPr>
        <w:adjustRightInd w:val="0"/>
        <w:snapToGrid w:val="0"/>
        <w:spacing w:line="312" w:lineRule="auto"/>
        <w:jc w:val="both"/>
        <w:rPr>
          <w:rFonts w:ascii="宋体" w:hAnsi="宋体" w:cs="仿宋"/>
          <w:sz w:val="24"/>
        </w:rPr>
      </w:pPr>
      <w:r>
        <w:rPr>
          <w:rFonts w:hint="eastAsia" w:ascii="宋体" w:hAnsi="宋体" w:cs="仿宋"/>
          <w:sz w:val="24"/>
        </w:rPr>
        <w:t>3.3.2出现特殊情况需要延长响应文件有效期，采购人以书面形式通知所有供应商延长响应文件有效期的，供应商应予以书面答复。同意延长的，应相应延长其响应保证金的有效期，但不得修改其响应文件；供应商商拒绝延长的，其响应文件在原有效期届满后失效，但供应商有权收回其响应保证金。</w:t>
      </w:r>
    </w:p>
    <w:p>
      <w:pPr>
        <w:adjustRightInd w:val="0"/>
        <w:snapToGrid w:val="0"/>
        <w:spacing w:line="312" w:lineRule="auto"/>
        <w:jc w:val="both"/>
        <w:rPr>
          <w:rFonts w:ascii="宋体" w:hAnsi="宋体" w:cs="仿宋"/>
          <w:b/>
          <w:bCs/>
          <w:sz w:val="24"/>
        </w:rPr>
      </w:pPr>
      <w:r>
        <w:rPr>
          <w:rFonts w:hint="eastAsia" w:ascii="宋体" w:hAnsi="宋体" w:cs="仿宋"/>
          <w:b/>
          <w:bCs/>
          <w:sz w:val="24"/>
        </w:rPr>
        <w:t>3.4响应保证金（本项目不提交响应保证金）</w:t>
      </w:r>
    </w:p>
    <w:p>
      <w:pPr>
        <w:adjustRightInd w:val="0"/>
        <w:snapToGrid w:val="0"/>
        <w:spacing w:line="312" w:lineRule="auto"/>
        <w:ind w:left="120" w:hanging="120" w:hangingChars="50"/>
        <w:jc w:val="both"/>
        <w:rPr>
          <w:rFonts w:ascii="宋体" w:hAnsi="宋体" w:cs="仿宋"/>
          <w:b/>
          <w:bCs/>
          <w:sz w:val="24"/>
        </w:rPr>
      </w:pPr>
      <w:r>
        <w:rPr>
          <w:rFonts w:hint="eastAsia" w:ascii="宋体" w:hAnsi="宋体" w:cs="仿宋"/>
          <w:b/>
          <w:bCs/>
          <w:sz w:val="24"/>
        </w:rPr>
        <w:t>3.5资格审查资料</w:t>
      </w:r>
    </w:p>
    <w:p>
      <w:pPr>
        <w:adjustRightInd w:val="0"/>
        <w:snapToGrid w:val="0"/>
        <w:spacing w:line="312" w:lineRule="auto"/>
        <w:ind w:left="149" w:leftChars="71" w:firstLine="360" w:firstLineChars="150"/>
        <w:jc w:val="both"/>
        <w:rPr>
          <w:rFonts w:ascii="宋体" w:hAnsi="宋体" w:cs="仿宋"/>
          <w:sz w:val="24"/>
        </w:rPr>
      </w:pPr>
      <w:r>
        <w:rPr>
          <w:rFonts w:hint="eastAsia" w:ascii="宋体" w:hAnsi="宋体" w:cs="仿宋"/>
          <w:sz w:val="24"/>
        </w:rPr>
        <w:t>供应商应提供供应商须知前附表3.5(1)-3.5(9)中规定的资格审查资料，以证明其满足第一章“采购公告”对供应商的各项资格要求。</w:t>
      </w:r>
    </w:p>
    <w:p>
      <w:pPr>
        <w:adjustRightInd w:val="0"/>
        <w:snapToGrid w:val="0"/>
        <w:spacing w:line="312" w:lineRule="auto"/>
        <w:jc w:val="both"/>
        <w:rPr>
          <w:rFonts w:ascii="宋体" w:hAnsi="宋体" w:cs="仿宋"/>
          <w:b/>
          <w:bCs/>
          <w:sz w:val="24"/>
        </w:rPr>
      </w:pPr>
      <w:r>
        <w:rPr>
          <w:rFonts w:hint="eastAsia" w:ascii="宋体" w:hAnsi="宋体" w:cs="仿宋"/>
          <w:b/>
          <w:bCs/>
          <w:sz w:val="24"/>
        </w:rPr>
        <w:t>3.6响应方案</w:t>
      </w:r>
    </w:p>
    <w:p>
      <w:pPr>
        <w:adjustRightInd w:val="0"/>
        <w:snapToGrid w:val="0"/>
        <w:spacing w:line="312" w:lineRule="auto"/>
        <w:jc w:val="both"/>
        <w:rPr>
          <w:rFonts w:ascii="宋体" w:hAnsi="宋体" w:cs="仿宋"/>
          <w:sz w:val="24"/>
        </w:rPr>
      </w:pPr>
      <w:r>
        <w:rPr>
          <w:rFonts w:hint="eastAsia" w:ascii="宋体" w:hAnsi="宋体" w:cs="仿宋"/>
          <w:sz w:val="24"/>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312" w:lineRule="auto"/>
        <w:jc w:val="both"/>
        <w:rPr>
          <w:rFonts w:ascii="宋体" w:hAnsi="宋体" w:cs="仿宋"/>
          <w:sz w:val="24"/>
        </w:rPr>
      </w:pPr>
      <w:r>
        <w:rPr>
          <w:rFonts w:hint="eastAsia" w:ascii="宋体" w:hAnsi="宋体" w:cs="仿宋"/>
          <w:sz w:val="24"/>
        </w:rPr>
        <w:t>3.6.2供应商只能提出唯一的响应方案。供应商在响应文件中提出多个响应方案的，其响应文件将被视为无效。</w:t>
      </w:r>
    </w:p>
    <w:p>
      <w:pPr>
        <w:adjustRightInd w:val="0"/>
        <w:snapToGrid w:val="0"/>
        <w:spacing w:line="312" w:lineRule="auto"/>
        <w:jc w:val="both"/>
        <w:rPr>
          <w:rFonts w:ascii="宋体" w:hAnsi="宋体" w:cs="仿宋"/>
          <w:sz w:val="24"/>
        </w:rPr>
      </w:pPr>
      <w:r>
        <w:rPr>
          <w:rFonts w:hint="eastAsia" w:ascii="宋体" w:hAnsi="宋体" w:cs="仿宋"/>
          <w:sz w:val="24"/>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12" w:lineRule="auto"/>
        <w:jc w:val="both"/>
        <w:rPr>
          <w:rFonts w:ascii="宋体" w:hAnsi="宋体" w:cs="仿宋"/>
          <w:b/>
          <w:bCs/>
          <w:sz w:val="24"/>
        </w:rPr>
      </w:pPr>
      <w:r>
        <w:rPr>
          <w:rFonts w:hint="eastAsia" w:ascii="宋体" w:hAnsi="宋体" w:cs="仿宋"/>
          <w:b/>
          <w:bCs/>
          <w:sz w:val="24"/>
        </w:rPr>
        <w:t>3.7响应文件的编制</w:t>
      </w:r>
    </w:p>
    <w:p>
      <w:pPr>
        <w:adjustRightInd w:val="0"/>
        <w:snapToGrid w:val="0"/>
        <w:spacing w:line="312" w:lineRule="auto"/>
        <w:jc w:val="both"/>
        <w:rPr>
          <w:rFonts w:ascii="宋体" w:hAnsi="宋体" w:cs="仿宋"/>
          <w:sz w:val="24"/>
        </w:rPr>
      </w:pPr>
      <w:r>
        <w:rPr>
          <w:rFonts w:hint="eastAsia" w:ascii="宋体" w:hAnsi="宋体" w:cs="仿宋"/>
          <w:sz w:val="24"/>
        </w:rPr>
        <w:t>3.7.1响应文件应按第六章“响应文件格式”进行编写，如有必要，可以增加附件作为响应文件的组成部分。</w:t>
      </w:r>
    </w:p>
    <w:p>
      <w:pPr>
        <w:adjustRightInd w:val="0"/>
        <w:snapToGrid w:val="0"/>
        <w:spacing w:line="312" w:lineRule="auto"/>
        <w:jc w:val="both"/>
        <w:rPr>
          <w:rFonts w:ascii="宋体" w:hAnsi="宋体" w:cs="仿宋"/>
          <w:sz w:val="24"/>
        </w:rPr>
      </w:pPr>
      <w:r>
        <w:rPr>
          <w:rFonts w:hint="eastAsia" w:ascii="宋体" w:hAnsi="宋体" w:cs="仿宋"/>
          <w:sz w:val="24"/>
        </w:rPr>
        <w:t>3.7.2响应文件应用不褪色的的材料书写或打印。</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312" w:lineRule="auto"/>
        <w:jc w:val="both"/>
        <w:rPr>
          <w:rFonts w:ascii="宋体" w:hAnsi="宋体" w:cs="仿宋"/>
          <w:sz w:val="24"/>
        </w:rPr>
      </w:pPr>
      <w:r>
        <w:rPr>
          <w:rFonts w:hint="eastAsia" w:ascii="宋体" w:hAnsi="宋体" w:cs="仿宋"/>
          <w:sz w:val="24"/>
        </w:rPr>
        <w:t>3.7.3评审过程中供应商对响应文件的澄清、说明和补正应由供应商的法定代表人(单位负责人)或其授权的代理人签字或加盖单位章。</w:t>
      </w:r>
    </w:p>
    <w:p>
      <w:pPr>
        <w:adjustRightInd w:val="0"/>
        <w:snapToGrid w:val="0"/>
        <w:spacing w:line="312" w:lineRule="auto"/>
        <w:jc w:val="both"/>
        <w:rPr>
          <w:rFonts w:ascii="宋体" w:hAnsi="宋体" w:cs="仿宋"/>
          <w:sz w:val="24"/>
        </w:rPr>
      </w:pPr>
      <w:r>
        <w:rPr>
          <w:rFonts w:hint="eastAsia" w:ascii="宋体" w:hAnsi="宋体" w:cs="仿宋"/>
          <w:sz w:val="24"/>
        </w:rPr>
        <w:t>3.7.4响应文件应尽量避免涂改、行间插字或删除。如果出现上述情况，改动之处应由供应商的法定代表人(单位负责人)或其授权的代理人签字或加盖单位章。</w:t>
      </w:r>
    </w:p>
    <w:p>
      <w:pPr>
        <w:adjustRightInd w:val="0"/>
        <w:snapToGrid w:val="0"/>
        <w:spacing w:line="312" w:lineRule="auto"/>
        <w:jc w:val="both"/>
        <w:rPr>
          <w:rFonts w:ascii="宋体" w:hAnsi="宋体" w:cs="仿宋"/>
          <w:sz w:val="24"/>
        </w:rPr>
      </w:pPr>
      <w:r>
        <w:rPr>
          <w:rFonts w:ascii="宋体" w:hAnsi="宋体" w:cs="仿宋"/>
          <w:sz w:val="24"/>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312" w:lineRule="auto"/>
        <w:jc w:val="both"/>
        <w:rPr>
          <w:rFonts w:ascii="宋体" w:hAnsi="宋体" w:cs="仿宋"/>
          <w:sz w:val="24"/>
        </w:rPr>
      </w:pPr>
      <w:r>
        <w:rPr>
          <w:rFonts w:ascii="宋体" w:hAnsi="宋体" w:cs="仿宋"/>
          <w:sz w:val="24"/>
        </w:rPr>
        <w:t>3.7.6响应文件的正本与副本应分别装订，并编制目录。响应文件需分册装订的，具体分册装订要求见供应商须知前附表规定。</w:t>
      </w:r>
    </w:p>
    <w:p>
      <w:pPr>
        <w:adjustRightInd w:val="0"/>
        <w:snapToGrid w:val="0"/>
        <w:spacing w:line="312" w:lineRule="auto"/>
        <w:jc w:val="both"/>
        <w:rPr>
          <w:rFonts w:ascii="宋体" w:hAnsi="宋体" w:cs="仿宋"/>
          <w:b/>
          <w:bCs/>
          <w:sz w:val="24"/>
        </w:rPr>
      </w:pPr>
      <w:r>
        <w:rPr>
          <w:rFonts w:hint="eastAsia" w:ascii="宋体" w:hAnsi="宋体" w:cs="仿宋"/>
          <w:b/>
          <w:bCs/>
          <w:sz w:val="24"/>
        </w:rPr>
        <w:t>4响应文件的递交</w:t>
      </w:r>
    </w:p>
    <w:p>
      <w:pPr>
        <w:adjustRightInd w:val="0"/>
        <w:snapToGrid w:val="0"/>
        <w:spacing w:line="312" w:lineRule="auto"/>
        <w:jc w:val="both"/>
        <w:rPr>
          <w:rFonts w:ascii="宋体" w:hAnsi="宋体" w:cs="仿宋"/>
          <w:b/>
          <w:bCs/>
          <w:sz w:val="24"/>
        </w:rPr>
      </w:pPr>
      <w:r>
        <w:rPr>
          <w:rFonts w:ascii="宋体" w:hAnsi="宋体" w:cs="仿宋"/>
          <w:b/>
          <w:bCs/>
          <w:sz w:val="24"/>
        </w:rPr>
        <w:t>4.1响应文件的包装与标记</w:t>
      </w:r>
    </w:p>
    <w:p>
      <w:pPr>
        <w:adjustRightInd w:val="0"/>
        <w:snapToGrid w:val="0"/>
        <w:spacing w:line="312" w:lineRule="auto"/>
        <w:jc w:val="both"/>
        <w:rPr>
          <w:rFonts w:ascii="宋体" w:hAnsi="宋体" w:cs="仿宋"/>
          <w:sz w:val="24"/>
        </w:rPr>
      </w:pPr>
      <w:r>
        <w:rPr>
          <w:rFonts w:ascii="宋体" w:hAnsi="宋体" w:cs="仿宋"/>
          <w:sz w:val="24"/>
        </w:rPr>
        <w:t>4.1.1响应文件应安善包装。供应商须知前附表规定响应文件应密封的，响应文件应按要求密封。</w:t>
      </w:r>
    </w:p>
    <w:p>
      <w:pPr>
        <w:adjustRightInd w:val="0"/>
        <w:snapToGrid w:val="0"/>
        <w:spacing w:line="312" w:lineRule="auto"/>
        <w:jc w:val="both"/>
        <w:rPr>
          <w:rFonts w:ascii="宋体" w:hAnsi="宋体" w:cs="仿宋"/>
          <w:sz w:val="24"/>
        </w:rPr>
      </w:pPr>
      <w:r>
        <w:rPr>
          <w:rFonts w:ascii="宋体" w:hAnsi="宋体" w:cs="仿宋"/>
          <w:sz w:val="24"/>
        </w:rPr>
        <w:t>4.1.2响应文件封套上应载明的内容见供应商须知前附表。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4.2响应文件的递交</w:t>
      </w:r>
    </w:p>
    <w:p>
      <w:pPr>
        <w:adjustRightInd w:val="0"/>
        <w:snapToGrid w:val="0"/>
        <w:spacing w:line="312" w:lineRule="auto"/>
        <w:jc w:val="both"/>
        <w:rPr>
          <w:rFonts w:ascii="宋体" w:hAnsi="宋体" w:cs="仿宋"/>
          <w:sz w:val="24"/>
        </w:rPr>
      </w:pPr>
      <w:r>
        <w:rPr>
          <w:rFonts w:hint="eastAsia" w:ascii="宋体" w:hAnsi="宋体" w:cs="仿宋"/>
          <w:sz w:val="24"/>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12" w:lineRule="auto"/>
        <w:jc w:val="both"/>
        <w:rPr>
          <w:rFonts w:ascii="宋体" w:hAnsi="宋体" w:cs="仿宋"/>
          <w:sz w:val="24"/>
        </w:rPr>
      </w:pPr>
      <w:r>
        <w:rPr>
          <w:rFonts w:hint="eastAsia" w:ascii="宋体" w:hAnsi="宋体" w:cs="仿宋"/>
          <w:sz w:val="24"/>
        </w:rPr>
        <w:t>4.2.2除供应商须知前附表另有规定外，供应商所提交的响应文件不于退还。</w:t>
      </w:r>
    </w:p>
    <w:p>
      <w:pPr>
        <w:adjustRightInd w:val="0"/>
        <w:snapToGrid w:val="0"/>
        <w:spacing w:line="312" w:lineRule="auto"/>
        <w:jc w:val="both"/>
        <w:rPr>
          <w:rFonts w:ascii="宋体" w:hAnsi="宋体" w:cs="仿宋"/>
          <w:b/>
          <w:bCs/>
          <w:sz w:val="24"/>
        </w:rPr>
      </w:pPr>
      <w:r>
        <w:rPr>
          <w:rFonts w:hint="eastAsia" w:ascii="宋体" w:hAnsi="宋体" w:cs="仿宋"/>
          <w:b/>
          <w:bCs/>
          <w:sz w:val="24"/>
        </w:rPr>
        <w:t>4.3响应文件的修改与撤回</w:t>
      </w:r>
    </w:p>
    <w:p>
      <w:pPr>
        <w:adjustRightInd w:val="0"/>
        <w:snapToGrid w:val="0"/>
        <w:spacing w:line="312" w:lineRule="auto"/>
        <w:jc w:val="both"/>
        <w:rPr>
          <w:rFonts w:ascii="宋体" w:hAnsi="宋体" w:cs="仿宋"/>
          <w:sz w:val="24"/>
        </w:rPr>
      </w:pPr>
      <w:r>
        <w:rPr>
          <w:rFonts w:hint="eastAsia" w:ascii="宋体" w:hAnsi="宋体" w:cs="仿宋"/>
          <w:sz w:val="24"/>
        </w:rPr>
        <w:t>4.3.1在本章第4.2.1项规定的递交响应文件的截止时间前，供应商可以修改或撤回已递交的响应文件。</w:t>
      </w:r>
    </w:p>
    <w:p>
      <w:pPr>
        <w:adjustRightInd w:val="0"/>
        <w:snapToGrid w:val="0"/>
        <w:spacing w:line="312" w:lineRule="auto"/>
        <w:jc w:val="both"/>
        <w:rPr>
          <w:rFonts w:ascii="宋体" w:hAnsi="宋体" w:cs="仿宋"/>
          <w:sz w:val="24"/>
        </w:rPr>
      </w:pPr>
      <w:r>
        <w:rPr>
          <w:rFonts w:hint="eastAsia" w:ascii="宋体" w:hAnsi="宋体" w:cs="仿宋"/>
          <w:sz w:val="24"/>
        </w:rPr>
        <w:t>4.3.2</w:t>
      </w:r>
      <w:r>
        <w:rPr>
          <w:rFonts w:ascii="宋体" w:hAnsi="宋体" w:cs="仿宋"/>
          <w:sz w:val="24"/>
        </w:rPr>
        <w:t>响应文件的修改文件或供应商</w:t>
      </w:r>
      <w:r>
        <w:rPr>
          <w:rFonts w:hint="eastAsia" w:ascii="宋体" w:hAnsi="宋体" w:cs="仿宋"/>
          <w:sz w:val="24"/>
        </w:rPr>
        <w:t>撤</w:t>
      </w:r>
      <w:r>
        <w:rPr>
          <w:rFonts w:ascii="宋体" w:hAnsi="宋体" w:cs="仿宋"/>
          <w:sz w:val="24"/>
        </w:rPr>
        <w:t>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312" w:lineRule="auto"/>
        <w:jc w:val="both"/>
        <w:rPr>
          <w:rFonts w:ascii="宋体" w:hAnsi="宋体" w:cs="仿宋"/>
          <w:sz w:val="24"/>
        </w:rPr>
      </w:pPr>
      <w:r>
        <w:rPr>
          <w:rFonts w:hint="eastAsia" w:ascii="宋体" w:hAnsi="宋体" w:cs="仿宋"/>
          <w:sz w:val="24"/>
        </w:rPr>
        <w:t>4.3.3除供应商须知前附表另有规定外，供应商撤回响应文件的，采购人应在5日内退还已收取的响应保证金。</w:t>
      </w:r>
    </w:p>
    <w:p>
      <w:pPr>
        <w:adjustRightInd w:val="0"/>
        <w:snapToGrid w:val="0"/>
        <w:spacing w:line="312" w:lineRule="auto"/>
        <w:jc w:val="both"/>
        <w:rPr>
          <w:rFonts w:ascii="宋体" w:hAnsi="宋体" w:cs="仿宋"/>
          <w:sz w:val="24"/>
        </w:rPr>
      </w:pPr>
      <w:r>
        <w:rPr>
          <w:rFonts w:hint="eastAsia" w:ascii="宋体" w:hAnsi="宋体" w:cs="仿宋"/>
          <w:sz w:val="24"/>
        </w:rPr>
        <w:t>4.3.4修改的内容为响应文件的组成部分。响应文件的修改文件应按照本章第3条、第4条的规定进行编制、包装、标记和递交，并注明“修改”字样。</w:t>
      </w:r>
    </w:p>
    <w:p>
      <w:pPr>
        <w:adjustRightInd w:val="0"/>
        <w:snapToGrid w:val="0"/>
        <w:spacing w:line="312" w:lineRule="auto"/>
        <w:jc w:val="both"/>
        <w:rPr>
          <w:rFonts w:ascii="宋体" w:hAnsi="宋体" w:cs="仿宋"/>
          <w:b/>
          <w:bCs/>
          <w:sz w:val="24"/>
        </w:rPr>
      </w:pPr>
      <w:r>
        <w:rPr>
          <w:rFonts w:hint="eastAsia" w:ascii="宋体" w:hAnsi="宋体" w:cs="仿宋"/>
          <w:b/>
          <w:bCs/>
          <w:sz w:val="24"/>
        </w:rPr>
        <w:t>5开启响应文件</w:t>
      </w:r>
    </w:p>
    <w:p>
      <w:pPr>
        <w:adjustRightInd w:val="0"/>
        <w:snapToGrid w:val="0"/>
        <w:spacing w:line="312" w:lineRule="auto"/>
        <w:ind w:firstLine="455" w:firstLineChars="189"/>
        <w:jc w:val="both"/>
        <w:rPr>
          <w:rFonts w:ascii="宋体" w:hAnsi="宋体" w:cs="仿宋"/>
          <w:sz w:val="24"/>
        </w:rPr>
      </w:pPr>
      <w:r>
        <w:rPr>
          <w:rFonts w:hint="eastAsia" w:ascii="宋体" w:hAnsi="宋体" w:cs="仿宋"/>
          <w:b/>
          <w:sz w:val="24"/>
        </w:rPr>
        <w:t>采购人一般不公开开启响应文件。如</w:t>
      </w:r>
      <w:r>
        <w:rPr>
          <w:rFonts w:hint="eastAsia" w:ascii="宋体" w:hAnsi="宋体" w:cs="仿宋"/>
          <w:sz w:val="24"/>
        </w:rPr>
        <w:t>供应商须知前附表规定公开开启响应文件的，开启活动应按本条规定执行。</w:t>
      </w:r>
    </w:p>
    <w:p>
      <w:pPr>
        <w:adjustRightInd w:val="0"/>
        <w:snapToGrid w:val="0"/>
        <w:spacing w:line="312" w:lineRule="auto"/>
        <w:jc w:val="both"/>
        <w:rPr>
          <w:rFonts w:ascii="宋体" w:hAnsi="宋体" w:cs="仿宋"/>
          <w:b/>
          <w:bCs/>
          <w:sz w:val="24"/>
        </w:rPr>
      </w:pPr>
      <w:r>
        <w:rPr>
          <w:rFonts w:hint="eastAsia" w:ascii="宋体" w:hAnsi="宋体" w:cs="仿宋"/>
          <w:b/>
          <w:bCs/>
          <w:sz w:val="24"/>
        </w:rPr>
        <w:t>5.1开启响应文件的时间和地点</w:t>
      </w:r>
    </w:p>
    <w:p>
      <w:pPr>
        <w:adjustRightInd w:val="0"/>
        <w:snapToGrid w:val="0"/>
        <w:spacing w:line="312" w:lineRule="auto"/>
        <w:ind w:firstLine="453" w:firstLineChars="189"/>
        <w:jc w:val="both"/>
        <w:rPr>
          <w:rFonts w:ascii="宋体" w:hAnsi="宋体" w:cs="仿宋"/>
          <w:color w:val="FF0000"/>
          <w:sz w:val="24"/>
        </w:rPr>
      </w:pPr>
      <w:r>
        <w:rPr>
          <w:rFonts w:hint="eastAsia" w:ascii="宋体" w:hAnsi="宋体" w:cs="仿宋"/>
          <w:sz w:val="24"/>
        </w:rPr>
        <w:t>采购人在本章第</w:t>
      </w:r>
      <w:r>
        <w:rPr>
          <w:rFonts w:ascii="宋体" w:hAnsi="宋体" w:cs="仿宋"/>
          <w:sz w:val="24"/>
        </w:rPr>
        <w:t>4.2.1项规定的递交响应文件的截止时间和地点公开开启响应文件，并邀请所有供应商的法定代表人(单位负责人)或其授权的代理人参加开启会议，供应商未派代表参加的，视为默认开启结果</w:t>
      </w:r>
      <w:r>
        <w:rPr>
          <w:rFonts w:hint="eastAsia" w:ascii="宋体" w:hAnsi="宋体" w:cs="仿宋"/>
          <w:sz w:val="24"/>
        </w:rPr>
        <w:t>。</w:t>
      </w:r>
    </w:p>
    <w:p>
      <w:pPr>
        <w:adjustRightInd w:val="0"/>
        <w:snapToGrid w:val="0"/>
        <w:spacing w:line="312" w:lineRule="auto"/>
        <w:jc w:val="both"/>
        <w:rPr>
          <w:rFonts w:ascii="宋体" w:hAnsi="宋体" w:cs="仿宋"/>
          <w:b/>
          <w:bCs/>
          <w:sz w:val="24"/>
        </w:rPr>
      </w:pPr>
      <w:r>
        <w:rPr>
          <w:rFonts w:hint="eastAsia" w:ascii="宋体" w:hAnsi="宋体" w:cs="仿宋"/>
          <w:b/>
          <w:bCs/>
          <w:sz w:val="24"/>
        </w:rPr>
        <w:t>5.2开启程序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主持人按下列程序公开开启响应文件:</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(1)按照供应商须知前附表规定的开启顺序开启响应文件，公布递交响应文件的供应商名称、响应报价及供应商须知前附表规定的其他应公布的信息，并记录在案;</w:t>
      </w:r>
    </w:p>
    <w:p>
      <w:pPr>
        <w:spacing w:line="312" w:lineRule="auto"/>
        <w:ind w:firstLine="453" w:firstLineChars="189"/>
        <w:jc w:val="both"/>
      </w:pPr>
      <w:r>
        <w:rPr>
          <w:rFonts w:hint="eastAsia" w:ascii="宋体" w:hAnsi="宋体" w:cs="仿宋"/>
          <w:sz w:val="24"/>
        </w:rPr>
        <w:t>(2)开启会议结束。</w:t>
      </w:r>
    </w:p>
    <w:p>
      <w:pPr>
        <w:adjustRightInd w:val="0"/>
        <w:snapToGrid w:val="0"/>
        <w:spacing w:line="312" w:lineRule="auto"/>
        <w:jc w:val="both"/>
        <w:rPr>
          <w:rFonts w:ascii="宋体" w:hAnsi="宋体" w:cs="仿宋"/>
          <w:sz w:val="24"/>
        </w:rPr>
      </w:pPr>
      <w:r>
        <w:rPr>
          <w:rFonts w:hint="eastAsia" w:ascii="宋体" w:hAnsi="宋体" w:cs="仿宋"/>
          <w:b/>
          <w:bCs/>
          <w:sz w:val="24"/>
        </w:rPr>
        <w:t>5.3递交响应文件的供应商不足的情形</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12" w:lineRule="auto"/>
        <w:jc w:val="both"/>
        <w:rPr>
          <w:rFonts w:ascii="宋体" w:hAnsi="宋体" w:cs="仿宋"/>
          <w:b/>
          <w:bCs/>
          <w:sz w:val="24"/>
        </w:rPr>
      </w:pPr>
      <w:r>
        <w:rPr>
          <w:rFonts w:hint="eastAsia" w:ascii="宋体" w:hAnsi="宋体" w:cs="仿宋"/>
          <w:b/>
          <w:bCs/>
          <w:sz w:val="24"/>
        </w:rPr>
        <w:t>6评审</w:t>
      </w:r>
    </w:p>
    <w:p>
      <w:pPr>
        <w:adjustRightInd w:val="0"/>
        <w:snapToGrid w:val="0"/>
        <w:spacing w:line="312" w:lineRule="auto"/>
        <w:jc w:val="both"/>
        <w:rPr>
          <w:rFonts w:ascii="宋体" w:hAnsi="宋体" w:cs="仿宋"/>
          <w:b/>
          <w:bCs/>
          <w:sz w:val="24"/>
        </w:rPr>
      </w:pPr>
      <w:r>
        <w:rPr>
          <w:rFonts w:hint="eastAsia" w:ascii="宋体" w:hAnsi="宋体" w:cs="仿宋"/>
          <w:b/>
          <w:bCs/>
          <w:sz w:val="24"/>
        </w:rPr>
        <w:t>6.1评审小组</w:t>
      </w:r>
    </w:p>
    <w:p>
      <w:pPr>
        <w:adjustRightInd w:val="0"/>
        <w:snapToGrid w:val="0"/>
        <w:spacing w:line="312" w:lineRule="auto"/>
        <w:jc w:val="both"/>
        <w:rPr>
          <w:rFonts w:ascii="宋体" w:hAnsi="宋体" w:cs="仿宋"/>
          <w:sz w:val="24"/>
        </w:rPr>
      </w:pPr>
      <w:r>
        <w:rPr>
          <w:rFonts w:hint="eastAsia" w:ascii="宋体" w:hAnsi="宋体" w:cs="仿宋"/>
          <w:sz w:val="24"/>
        </w:rPr>
        <w:t>6.1.1评审由采购人组建的评审小组负责。</w:t>
      </w:r>
    </w:p>
    <w:p>
      <w:pPr>
        <w:adjustRightInd w:val="0"/>
        <w:snapToGrid w:val="0"/>
        <w:spacing w:line="312" w:lineRule="auto"/>
        <w:jc w:val="both"/>
        <w:rPr>
          <w:rFonts w:ascii="宋体" w:hAnsi="宋体" w:cs="仿宋"/>
          <w:sz w:val="24"/>
        </w:rPr>
      </w:pPr>
      <w:r>
        <w:rPr>
          <w:rFonts w:hint="eastAsia" w:ascii="宋体" w:hAnsi="宋体" w:cs="仿宋"/>
          <w:sz w:val="24"/>
        </w:rPr>
        <w:t>6.1.2评审小组成员有下列情形之的，应当回避:</w:t>
      </w:r>
    </w:p>
    <w:p>
      <w:pPr>
        <w:spacing w:line="312" w:lineRule="auto"/>
        <w:ind w:left="716" w:leftChars="284" w:hanging="120" w:hangingChars="50"/>
        <w:jc w:val="both"/>
      </w:pPr>
      <w:r>
        <w:rPr>
          <w:rFonts w:hint="eastAsia" w:ascii="宋体" w:hAnsi="宋体" w:cs="仿宋"/>
          <w:sz w:val="24"/>
        </w:rPr>
        <w:t>（1）供应商主要负责人或供应商主要负责人的近亲属;</w:t>
      </w:r>
    </w:p>
    <w:p>
      <w:pPr>
        <w:adjustRightInd w:val="0"/>
        <w:snapToGrid w:val="0"/>
        <w:spacing w:line="312" w:lineRule="auto"/>
        <w:ind w:left="716" w:leftChars="284" w:hanging="120" w:hangingChars="50"/>
        <w:jc w:val="both"/>
        <w:rPr>
          <w:rFonts w:ascii="宋体" w:hAnsi="宋体" w:cs="仿宋"/>
          <w:sz w:val="24"/>
        </w:rPr>
      </w:pPr>
      <w:r>
        <w:rPr>
          <w:rFonts w:hint="eastAsia" w:ascii="宋体" w:hAnsi="宋体" w:cs="仿宋"/>
          <w:sz w:val="24"/>
        </w:rPr>
        <w:t>(2)与供应商有经济利益关系或其他利害关系，可能影响公正评审的。</w:t>
      </w:r>
    </w:p>
    <w:p>
      <w:pPr>
        <w:adjustRightInd w:val="0"/>
        <w:snapToGrid w:val="0"/>
        <w:spacing w:line="312" w:lineRule="auto"/>
        <w:jc w:val="both"/>
        <w:rPr>
          <w:rFonts w:ascii="宋体" w:hAnsi="宋体" w:cs="仿宋"/>
          <w:sz w:val="24"/>
        </w:rPr>
      </w:pPr>
      <w:r>
        <w:rPr>
          <w:rFonts w:hint="eastAsia" w:ascii="宋体" w:hAnsi="宋体" w:cs="仿宋"/>
          <w:sz w:val="24"/>
        </w:rPr>
        <w:t>6.1.3评审小组组建后，评审小组成员共同推选或或由采购人指定评审小组组长，评审小组组长负责组织评审工作。</w:t>
      </w:r>
    </w:p>
    <w:p>
      <w:pPr>
        <w:adjustRightInd w:val="0"/>
        <w:snapToGrid w:val="0"/>
        <w:spacing w:line="312" w:lineRule="auto"/>
        <w:jc w:val="both"/>
        <w:rPr>
          <w:rFonts w:ascii="宋体" w:hAnsi="宋体" w:cs="仿宋"/>
          <w:sz w:val="24"/>
        </w:rPr>
      </w:pPr>
      <w:r>
        <w:rPr>
          <w:rFonts w:hint="eastAsia" w:ascii="宋体" w:hAnsi="宋体" w:cs="仿宋"/>
          <w:sz w:val="24"/>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12" w:lineRule="auto"/>
        <w:jc w:val="both"/>
        <w:rPr>
          <w:rFonts w:ascii="宋体" w:hAnsi="宋体" w:cs="仿宋"/>
          <w:b/>
          <w:bCs/>
          <w:sz w:val="24"/>
        </w:rPr>
      </w:pPr>
      <w:r>
        <w:rPr>
          <w:rFonts w:hint="eastAsia" w:ascii="宋体" w:hAnsi="宋体" w:cs="仿宋"/>
          <w:b/>
          <w:bCs/>
          <w:sz w:val="24"/>
        </w:rPr>
        <w:t>6.2评审</w:t>
      </w:r>
    </w:p>
    <w:p>
      <w:pPr>
        <w:adjustRightInd w:val="0"/>
        <w:snapToGrid w:val="0"/>
        <w:spacing w:line="312" w:lineRule="auto"/>
        <w:jc w:val="both"/>
        <w:rPr>
          <w:rFonts w:ascii="宋体" w:hAnsi="宋体" w:cs="仿宋"/>
          <w:sz w:val="24"/>
        </w:rPr>
      </w:pPr>
      <w:r>
        <w:rPr>
          <w:rFonts w:hint="eastAsia" w:ascii="宋体" w:hAnsi="宋体" w:cs="仿宋"/>
          <w:sz w:val="24"/>
        </w:rPr>
        <w:t>6.2.1评审小组按照第三章“评审办法”规定的评审标准和程序对响应文件进行评审和比较。</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sz w:val="24"/>
        </w:rPr>
        <w:t>6.2.2评审完成后，评审小组应当向采购人提交书面评审报告和成交候选供应商名单。评审小组推荐成交候选供应商的排序要求及数量见供应商须知前附表。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7合同授予</w:t>
      </w:r>
    </w:p>
    <w:p>
      <w:pPr>
        <w:adjustRightInd w:val="0"/>
        <w:snapToGrid w:val="0"/>
        <w:spacing w:line="312" w:lineRule="auto"/>
        <w:jc w:val="both"/>
        <w:rPr>
          <w:rFonts w:ascii="宋体" w:hAnsi="宋体" w:cs="仿宋"/>
          <w:b/>
          <w:bCs/>
          <w:sz w:val="24"/>
        </w:rPr>
      </w:pPr>
      <w:r>
        <w:rPr>
          <w:rFonts w:hint="eastAsia" w:ascii="宋体" w:hAnsi="宋体" w:cs="仿宋"/>
          <w:b/>
          <w:bCs/>
          <w:sz w:val="24"/>
        </w:rPr>
        <w:t>7.1成交候选供应商报价核查</w:t>
      </w:r>
    </w:p>
    <w:p>
      <w:pPr>
        <w:widowControl w:val="0"/>
        <w:adjustRightInd w:val="0"/>
        <w:snapToGrid w:val="0"/>
        <w:spacing w:line="312" w:lineRule="auto"/>
        <w:ind w:firstLine="475" w:firstLineChars="198"/>
        <w:jc w:val="both"/>
        <w:rPr>
          <w:rFonts w:ascii="宋体" w:hAnsi="宋体" w:cs="仿宋"/>
          <w:sz w:val="24"/>
        </w:rPr>
      </w:pPr>
      <w:r>
        <w:rPr>
          <w:rFonts w:hint="eastAsia" w:ascii="宋体" w:hAnsi="宋体" w:cs="仿宋"/>
          <w:sz w:val="24"/>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12" w:lineRule="auto"/>
        <w:jc w:val="both"/>
        <w:rPr>
          <w:rFonts w:ascii="宋体" w:hAnsi="宋体" w:cs="宋体"/>
          <w:b/>
          <w:bCs/>
          <w:sz w:val="24"/>
        </w:rPr>
      </w:pPr>
      <w:r>
        <w:rPr>
          <w:rFonts w:hint="eastAsia" w:ascii="宋体" w:hAnsi="宋体" w:cs="仿宋"/>
          <w:b/>
          <w:bCs/>
          <w:sz w:val="24"/>
        </w:rPr>
        <w:t>7.2</w:t>
      </w:r>
      <w:r>
        <w:rPr>
          <w:rFonts w:hint="eastAsia" w:ascii="宋体" w:hAnsi="宋体" w:cs="宋体"/>
          <w:b/>
          <w:bCs/>
          <w:sz w:val="24"/>
        </w:rPr>
        <w:t>成交候选</w:t>
      </w:r>
      <w:r>
        <w:rPr>
          <w:rFonts w:hint="eastAsia" w:ascii="宋体" w:hAnsi="宋体" w:cs="仿宋"/>
          <w:b/>
          <w:bCs/>
          <w:sz w:val="24"/>
        </w:rPr>
        <w:t>供应商</w:t>
      </w:r>
      <w:r>
        <w:rPr>
          <w:rFonts w:hint="eastAsia" w:ascii="宋体" w:hAnsi="宋体" w:cs="宋体"/>
          <w:b/>
          <w:bCs/>
          <w:sz w:val="24"/>
        </w:rPr>
        <w:t xml:space="preserve">公示 </w:t>
      </w:r>
    </w:p>
    <w:p>
      <w:pPr>
        <w:widowControl w:val="0"/>
        <w:adjustRightInd w:val="0"/>
        <w:snapToGrid w:val="0"/>
        <w:spacing w:line="312" w:lineRule="auto"/>
        <w:ind w:firstLine="480" w:firstLineChars="200"/>
        <w:jc w:val="both"/>
        <w:rPr>
          <w:rFonts w:ascii="宋体" w:hAnsi="宋体" w:cs="宋体"/>
          <w:sz w:val="24"/>
        </w:rPr>
      </w:pPr>
      <w:r>
        <w:rPr>
          <w:rFonts w:hint="eastAsia" w:ascii="宋体" w:hAnsi="宋体" w:cs="宋体"/>
          <w:sz w:val="24"/>
        </w:rPr>
        <w:t>采购人按照供应商须知前附表规定的公示媒介和期限公示成交候选供应商。</w:t>
      </w:r>
    </w:p>
    <w:p>
      <w:pPr>
        <w:widowControl w:val="0"/>
        <w:adjustRightInd w:val="0"/>
        <w:snapToGrid w:val="0"/>
        <w:spacing w:line="312" w:lineRule="auto"/>
        <w:jc w:val="both"/>
        <w:rPr>
          <w:rFonts w:ascii="宋体" w:hAnsi="宋体" w:cs="宋体"/>
          <w:b/>
          <w:bCs/>
          <w:sz w:val="24"/>
        </w:rPr>
      </w:pPr>
      <w:bookmarkStart w:id="12" w:name="_Toc24135"/>
      <w:r>
        <w:rPr>
          <w:rFonts w:hint="eastAsia" w:ascii="宋体" w:hAnsi="宋体" w:cs="宋体"/>
          <w:b/>
          <w:bCs/>
          <w:sz w:val="24"/>
        </w:rPr>
        <w:t>7.3成交结果异议</w:t>
      </w:r>
      <w:bookmarkEnd w:id="12"/>
      <w:r>
        <w:rPr>
          <w:rFonts w:hint="eastAsia" w:ascii="宋体" w:hAnsi="宋体" w:cs="宋体"/>
          <w:b/>
          <w:bCs/>
          <w:sz w:val="24"/>
        </w:rPr>
        <w:t xml:space="preserve"> </w:t>
      </w:r>
    </w:p>
    <w:p>
      <w:pPr>
        <w:adjustRightInd w:val="0"/>
        <w:snapToGrid w:val="0"/>
        <w:spacing w:line="312" w:lineRule="auto"/>
        <w:ind w:firstLine="424" w:firstLineChars="177"/>
        <w:jc w:val="both"/>
        <w:rPr>
          <w:rFonts w:ascii="宋体" w:hAnsi="宋体" w:cs="宋体"/>
          <w:sz w:val="24"/>
        </w:rPr>
      </w:pPr>
      <w:r>
        <w:rPr>
          <w:rFonts w:hint="eastAsia" w:ascii="宋体" w:hAnsi="宋体" w:cs="宋体"/>
          <w:sz w:val="24"/>
        </w:rPr>
        <w:t>供应商或者其他利害关系人对采购结果有异议的，应当在成交候选供应商公示期间提出。</w:t>
      </w:r>
    </w:p>
    <w:p>
      <w:pPr>
        <w:adjustRightInd w:val="0"/>
        <w:snapToGrid w:val="0"/>
        <w:spacing w:line="312" w:lineRule="auto"/>
        <w:jc w:val="both"/>
        <w:rPr>
          <w:rFonts w:ascii="宋体" w:hAnsi="宋体" w:cs="仿宋"/>
          <w:b/>
          <w:bCs/>
          <w:sz w:val="24"/>
        </w:rPr>
      </w:pPr>
      <w:r>
        <w:rPr>
          <w:rFonts w:hint="eastAsia" w:ascii="宋体" w:hAnsi="宋体" w:cs="仿宋"/>
          <w:b/>
          <w:bCs/>
          <w:sz w:val="24"/>
        </w:rPr>
        <w:t>7.4成交候选供应商履约能力核查</w:t>
      </w:r>
    </w:p>
    <w:p>
      <w:pPr>
        <w:spacing w:line="312" w:lineRule="auto"/>
        <w:ind w:firstLine="453" w:firstLineChars="189"/>
        <w:jc w:val="both"/>
        <w:rPr>
          <w:rFonts w:ascii="宋体" w:hAnsi="宋体" w:cs="仿宋"/>
          <w:sz w:val="24"/>
        </w:rPr>
      </w:pPr>
      <w:r>
        <w:rPr>
          <w:rFonts w:hint="eastAsia" w:ascii="宋体" w:hAnsi="宋体" w:cs="仿宋"/>
          <w:sz w:val="24"/>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12" w:lineRule="auto"/>
        <w:jc w:val="both"/>
        <w:rPr>
          <w:rFonts w:ascii="宋体" w:hAnsi="宋体" w:cs="仿宋"/>
          <w:b/>
          <w:bCs/>
          <w:sz w:val="24"/>
        </w:rPr>
      </w:pPr>
      <w:r>
        <w:rPr>
          <w:rFonts w:hint="eastAsia" w:ascii="宋体" w:hAnsi="宋体" w:cs="仿宋"/>
          <w:b/>
          <w:bCs/>
          <w:sz w:val="24"/>
        </w:rPr>
        <w:t>7.5发出成交通知书</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公示期结束后，在本章第3.3款规定的响应文件有效期内，采购人以书面形式向成交供应商发出成交通知书，并将成交结果书面通知所有提交响应文件的供应商。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7.6履约保证金（本项目不提交履约保证金）</w:t>
      </w:r>
    </w:p>
    <w:p>
      <w:pPr>
        <w:adjustRightInd w:val="0"/>
        <w:snapToGrid w:val="0"/>
        <w:spacing w:line="312" w:lineRule="auto"/>
        <w:jc w:val="both"/>
        <w:rPr>
          <w:rFonts w:ascii="宋体" w:hAnsi="宋体" w:cs="仿宋"/>
          <w:b/>
          <w:bCs/>
          <w:sz w:val="24"/>
        </w:rPr>
      </w:pPr>
      <w:r>
        <w:rPr>
          <w:rFonts w:hint="eastAsia" w:ascii="宋体" w:hAnsi="宋体" w:cs="仿宋"/>
          <w:b/>
          <w:bCs/>
          <w:sz w:val="24"/>
        </w:rPr>
        <w:t>7.7签订合同</w:t>
      </w:r>
    </w:p>
    <w:p>
      <w:pPr>
        <w:adjustRightInd w:val="0"/>
        <w:snapToGrid w:val="0"/>
        <w:spacing w:line="312" w:lineRule="auto"/>
        <w:jc w:val="both"/>
        <w:rPr>
          <w:rFonts w:ascii="宋体" w:hAnsi="宋体" w:cs="仿宋"/>
          <w:sz w:val="24"/>
        </w:rPr>
      </w:pPr>
      <w:r>
        <w:rPr>
          <w:rFonts w:hint="eastAsia" w:ascii="宋体" w:hAnsi="宋体" w:cs="仿宋"/>
          <w:sz w:val="24"/>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12" w:lineRule="auto"/>
        <w:jc w:val="both"/>
        <w:rPr>
          <w:rFonts w:ascii="宋体" w:hAnsi="宋体" w:cs="仿宋"/>
          <w:sz w:val="24"/>
        </w:rPr>
      </w:pPr>
      <w:r>
        <w:rPr>
          <w:rFonts w:hint="eastAsia" w:ascii="宋体" w:hAnsi="宋体" w:cs="仿宋"/>
          <w:sz w:val="24"/>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12" w:lineRule="auto"/>
        <w:jc w:val="both"/>
        <w:rPr>
          <w:rFonts w:ascii="宋体" w:hAnsi="宋体" w:cs="仿宋"/>
          <w:sz w:val="24"/>
        </w:rPr>
      </w:pPr>
      <w:r>
        <w:rPr>
          <w:rFonts w:hint="eastAsia" w:ascii="宋体" w:hAnsi="宋体" w:cs="仿宋"/>
          <w:sz w:val="24"/>
        </w:rPr>
        <w:t>7.7.3联合体成交的，联合体各方应当共同与采购人签订合同，就成交项目向采购人承担连带责任。</w:t>
      </w:r>
    </w:p>
    <w:p>
      <w:pPr>
        <w:adjustRightInd w:val="0"/>
        <w:snapToGrid w:val="0"/>
        <w:spacing w:line="312" w:lineRule="auto"/>
        <w:jc w:val="both"/>
        <w:rPr>
          <w:rFonts w:ascii="宋体" w:hAnsi="宋体" w:cs="仿宋"/>
          <w:sz w:val="24"/>
        </w:rPr>
      </w:pPr>
      <w:r>
        <w:rPr>
          <w:rFonts w:hint="eastAsia" w:ascii="宋体" w:hAnsi="宋体" w:cs="仿宋"/>
          <w:sz w:val="24"/>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12" w:lineRule="auto"/>
        <w:jc w:val="both"/>
        <w:rPr>
          <w:rFonts w:ascii="宋体" w:hAnsi="宋体" w:cs="仿宋"/>
          <w:b/>
          <w:bCs/>
          <w:sz w:val="24"/>
        </w:rPr>
      </w:pPr>
      <w:r>
        <w:rPr>
          <w:rFonts w:hint="eastAsia" w:ascii="宋体" w:hAnsi="宋体" w:cs="仿宋"/>
          <w:b/>
          <w:bCs/>
          <w:sz w:val="24"/>
        </w:rPr>
        <w:t>7.</w:t>
      </w:r>
      <w:r>
        <w:rPr>
          <w:rFonts w:ascii="宋体" w:hAnsi="宋体" w:cs="仿宋"/>
          <w:b/>
          <w:bCs/>
          <w:sz w:val="24"/>
        </w:rPr>
        <w:t>8</w:t>
      </w:r>
      <w:r>
        <w:rPr>
          <w:rFonts w:hint="eastAsia" w:ascii="宋体" w:hAnsi="宋体" w:cs="仿宋"/>
          <w:b/>
          <w:bCs/>
          <w:sz w:val="24"/>
        </w:rPr>
        <w:t>特殊情形处理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12" w:lineRule="auto"/>
        <w:jc w:val="both"/>
        <w:rPr>
          <w:rFonts w:ascii="宋体" w:hAnsi="宋体" w:cs="仿宋"/>
          <w:b/>
          <w:bCs/>
          <w:sz w:val="24"/>
        </w:rPr>
      </w:pPr>
      <w:r>
        <w:rPr>
          <w:rFonts w:hint="eastAsia" w:ascii="宋体" w:hAnsi="宋体" w:cs="仿宋"/>
          <w:b/>
          <w:bCs/>
          <w:sz w:val="24"/>
        </w:rPr>
        <w:t>8异议</w:t>
      </w:r>
    </w:p>
    <w:p>
      <w:pPr>
        <w:adjustRightInd w:val="0"/>
        <w:snapToGrid w:val="0"/>
        <w:spacing w:line="312" w:lineRule="auto"/>
        <w:jc w:val="both"/>
        <w:rPr>
          <w:rFonts w:ascii="宋体" w:hAnsi="宋体" w:cs="仿宋"/>
          <w:b/>
          <w:bCs/>
          <w:sz w:val="24"/>
        </w:rPr>
      </w:pPr>
      <w:r>
        <w:rPr>
          <w:rFonts w:hint="eastAsia" w:ascii="宋体" w:hAnsi="宋体" w:cs="仿宋"/>
          <w:b/>
          <w:bCs/>
          <w:sz w:val="24"/>
        </w:rPr>
        <w:t>8.1提出异议</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(1)异议人名称、地址、邮政编码、联系人及联系电话;</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(2)具体、明确的异议事项、事实依据及与异议事项相关的请求。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异议函应由异议人的法定代表人(单位负责人)或其授权的代理人签字并加盖单位章。</w:t>
      </w:r>
    </w:p>
    <w:p>
      <w:pPr>
        <w:adjustRightInd w:val="0"/>
        <w:snapToGrid w:val="0"/>
        <w:spacing w:line="312" w:lineRule="auto"/>
        <w:jc w:val="both"/>
        <w:rPr>
          <w:rFonts w:ascii="宋体" w:hAnsi="宋体" w:cs="仿宋"/>
          <w:b/>
          <w:bCs/>
          <w:sz w:val="24"/>
        </w:rPr>
      </w:pPr>
      <w:r>
        <w:rPr>
          <w:rFonts w:hint="eastAsia" w:ascii="宋体" w:hAnsi="宋体" w:cs="仿宋"/>
          <w:b/>
          <w:bCs/>
          <w:sz w:val="24"/>
        </w:rPr>
        <w:t>8.2异议处理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采购人认为异议不成立或不影响采购结果的，可以继续进行采购活动。</w:t>
      </w:r>
    </w:p>
    <w:p>
      <w:pPr>
        <w:adjustRightInd w:val="0"/>
        <w:snapToGrid w:val="0"/>
        <w:spacing w:line="312" w:lineRule="auto"/>
        <w:jc w:val="both"/>
        <w:rPr>
          <w:rFonts w:ascii="宋体" w:hAnsi="宋体" w:cs="仿宋"/>
          <w:b/>
          <w:bCs/>
          <w:sz w:val="24"/>
        </w:rPr>
      </w:pPr>
      <w:r>
        <w:rPr>
          <w:rFonts w:hint="eastAsia" w:ascii="宋体" w:hAnsi="宋体" w:cs="仿宋"/>
          <w:b/>
          <w:bCs/>
          <w:sz w:val="24"/>
        </w:rPr>
        <w:t>9纪律要求</w:t>
      </w:r>
    </w:p>
    <w:p>
      <w:pPr>
        <w:adjustRightInd w:val="0"/>
        <w:snapToGrid w:val="0"/>
        <w:spacing w:line="312" w:lineRule="auto"/>
        <w:jc w:val="both"/>
        <w:rPr>
          <w:rFonts w:ascii="宋体" w:hAnsi="宋体" w:cs="仿宋"/>
          <w:b/>
          <w:bCs/>
          <w:sz w:val="24"/>
        </w:rPr>
      </w:pPr>
      <w:r>
        <w:rPr>
          <w:rFonts w:hint="eastAsia" w:ascii="宋体" w:hAnsi="宋体" w:cs="仿宋"/>
          <w:b/>
          <w:bCs/>
          <w:sz w:val="24"/>
        </w:rPr>
        <w:t>9.1对采购人的纪律要求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采购人不得泄露采购活动中应当保密的情况和资料，不得与供应商串通损害国家利益、社会公共利益或者他人合法权益。</w:t>
      </w:r>
    </w:p>
    <w:p>
      <w:pPr>
        <w:adjustRightInd w:val="0"/>
        <w:snapToGrid w:val="0"/>
        <w:spacing w:line="312" w:lineRule="auto"/>
        <w:jc w:val="both"/>
        <w:rPr>
          <w:rFonts w:ascii="宋体" w:hAnsi="宋体" w:cs="仿宋"/>
          <w:b/>
          <w:bCs/>
          <w:sz w:val="24"/>
        </w:rPr>
      </w:pPr>
      <w:r>
        <w:rPr>
          <w:rFonts w:hint="eastAsia" w:ascii="宋体" w:hAnsi="宋体" w:cs="仿宋"/>
          <w:b/>
          <w:bCs/>
          <w:sz w:val="24"/>
        </w:rPr>
        <w:t>9.2对供应商的纪律要求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12" w:lineRule="auto"/>
        <w:jc w:val="both"/>
        <w:rPr>
          <w:rFonts w:ascii="宋体" w:hAnsi="宋体" w:cs="仿宋"/>
          <w:b/>
          <w:bCs/>
          <w:sz w:val="24"/>
        </w:rPr>
      </w:pPr>
      <w:r>
        <w:rPr>
          <w:rFonts w:hint="eastAsia" w:ascii="宋体" w:hAnsi="宋体" w:cs="仿宋"/>
          <w:b/>
          <w:bCs/>
          <w:sz w:val="24"/>
        </w:rPr>
        <w:t>9.3对评审小组成员的纪律要求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12" w:lineRule="auto"/>
        <w:jc w:val="both"/>
        <w:rPr>
          <w:rFonts w:ascii="宋体" w:hAnsi="宋体" w:cs="仿宋"/>
          <w:b/>
          <w:bCs/>
          <w:sz w:val="24"/>
        </w:rPr>
      </w:pPr>
      <w:r>
        <w:rPr>
          <w:rFonts w:hint="eastAsia" w:ascii="宋体" w:hAnsi="宋体" w:cs="仿宋"/>
          <w:b/>
          <w:bCs/>
          <w:sz w:val="24"/>
        </w:rPr>
        <w:t>9.4对与采购活动有关的工作人员的纪律要求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12" w:lineRule="auto"/>
        <w:jc w:val="both"/>
        <w:rPr>
          <w:rFonts w:ascii="宋体" w:hAnsi="宋体" w:cs="仿宋"/>
          <w:b/>
          <w:bCs/>
          <w:sz w:val="24"/>
        </w:rPr>
      </w:pPr>
      <w:r>
        <w:rPr>
          <w:rFonts w:hint="eastAsia" w:ascii="宋体" w:hAnsi="宋体" w:cs="仿宋"/>
          <w:b/>
          <w:bCs/>
          <w:sz w:val="24"/>
        </w:rPr>
        <w:t>10</w:t>
      </w:r>
      <w:r>
        <w:rPr>
          <w:rFonts w:ascii="宋体" w:hAnsi="宋体" w:cs="仿宋"/>
          <w:b/>
          <w:bCs/>
          <w:sz w:val="24"/>
        </w:rPr>
        <w:t xml:space="preserve"> </w:t>
      </w:r>
      <w:r>
        <w:rPr>
          <w:rFonts w:hint="eastAsia" w:ascii="宋体" w:hAnsi="宋体" w:cs="仿宋"/>
          <w:b/>
          <w:bCs/>
          <w:sz w:val="24"/>
        </w:rPr>
        <w:t>需要补充的其他内容</w:t>
      </w:r>
    </w:p>
    <w:p>
      <w:pPr>
        <w:adjustRightInd w:val="0"/>
        <w:snapToGrid w:val="0"/>
        <w:spacing w:line="312" w:lineRule="auto"/>
        <w:jc w:val="both"/>
        <w:rPr>
          <w:rFonts w:ascii="宋体" w:hAnsi="宋体" w:cs="仿宋"/>
          <w:b/>
          <w:bCs/>
          <w:sz w:val="24"/>
        </w:rPr>
      </w:pPr>
      <w:r>
        <w:rPr>
          <w:rFonts w:hint="eastAsia" w:ascii="宋体" w:hAnsi="宋体" w:cs="仿宋"/>
          <w:b/>
          <w:bCs/>
          <w:sz w:val="24"/>
        </w:rPr>
        <w:t>10.1其他</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需更补充的其他内容:见供应商须知前附表。</w:t>
      </w:r>
    </w:p>
    <w:p>
      <w:pPr>
        <w:adjustRightInd w:val="0"/>
        <w:snapToGrid w:val="0"/>
        <w:spacing w:line="312" w:lineRule="auto"/>
        <w:jc w:val="both"/>
        <w:rPr>
          <w:rFonts w:ascii="宋体" w:hAnsi="宋体" w:cs="仿宋"/>
          <w:sz w:val="24"/>
        </w:rPr>
      </w:pPr>
    </w:p>
    <w:p>
      <w:pPr>
        <w:adjustRightInd w:val="0"/>
        <w:snapToGrid w:val="0"/>
        <w:spacing w:line="312" w:lineRule="auto"/>
        <w:ind w:firstLine="453" w:firstLineChars="189"/>
        <w:jc w:val="both"/>
        <w:rPr>
          <w:rFonts w:ascii="宋体" w:hAnsi="宋体" w:cs="仿宋"/>
          <w:sz w:val="24"/>
        </w:rPr>
      </w:pPr>
    </w:p>
    <w:p>
      <w:pPr>
        <w:spacing w:line="312" w:lineRule="auto"/>
        <w:jc w:val="both"/>
        <w:rPr>
          <w:rFonts w:ascii="宋体" w:hAnsi="宋体" w:cs="仿宋"/>
          <w:sz w:val="24"/>
        </w:rPr>
      </w:pPr>
      <w:r>
        <w:rPr>
          <w:rFonts w:hint="eastAsia" w:ascii="宋体" w:hAnsi="宋体" w:cs="仿宋"/>
          <w:sz w:val="24"/>
        </w:rPr>
        <w:br w:type="page"/>
      </w:r>
    </w:p>
    <w:p>
      <w:pPr>
        <w:spacing w:line="312" w:lineRule="auto"/>
        <w:jc w:val="both"/>
        <w:rPr>
          <w:rFonts w:ascii="宋体" w:hAnsi="宋体" w:cs="仿宋"/>
          <w:sz w:val="30"/>
          <w:szCs w:val="30"/>
        </w:rPr>
      </w:pPr>
      <w:r>
        <w:rPr>
          <w:rFonts w:hint="eastAsia" w:ascii="宋体" w:hAnsi="宋体" w:cs="仿宋"/>
          <w:sz w:val="30"/>
          <w:szCs w:val="30"/>
        </w:rPr>
        <w:t>附件1  开启记录表</w:t>
      </w:r>
    </w:p>
    <w:p>
      <w:pPr>
        <w:adjustRightInd w:val="0"/>
        <w:snapToGrid w:val="0"/>
        <w:spacing w:line="600" w:lineRule="exact"/>
        <w:ind w:firstLine="723" w:firstLineChars="200"/>
        <w:jc w:val="center"/>
        <w:rPr>
          <w:rFonts w:ascii="华文中宋" w:hAnsi="华文中宋" w:eastAsia="华文中宋" w:cs="仿宋"/>
          <w:b/>
          <w:bCs/>
          <w:sz w:val="36"/>
          <w:szCs w:val="36"/>
        </w:rPr>
      </w:pPr>
    </w:p>
    <w:p>
      <w:pPr>
        <w:adjustRightInd w:val="0"/>
        <w:snapToGrid w:val="0"/>
        <w:spacing w:line="600" w:lineRule="exact"/>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开启记录表</w:t>
      </w:r>
    </w:p>
    <w:p>
      <w:pPr>
        <w:adjustRightInd w:val="0"/>
        <w:snapToGrid w:val="0"/>
        <w:spacing w:line="600" w:lineRule="exact"/>
        <w:ind w:firstLine="723" w:firstLineChars="200"/>
        <w:jc w:val="center"/>
        <w:rPr>
          <w:rFonts w:ascii="华文中宋" w:hAnsi="华文中宋" w:eastAsia="华文中宋" w:cs="仿宋"/>
          <w:b/>
          <w:bCs/>
          <w:sz w:val="36"/>
          <w:szCs w:val="36"/>
        </w:rPr>
      </w:pPr>
    </w:p>
    <w:p>
      <w:pPr>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开启时间：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月</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日</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时</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分</w:t>
      </w:r>
    </w:p>
    <w:tbl>
      <w:tblPr>
        <w:tblStyle w:val="40"/>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2048"/>
        <w:gridCol w:w="1702"/>
        <w:gridCol w:w="1702"/>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 号</w:t>
            </w:r>
          </w:p>
        </w:tc>
        <w:tc>
          <w:tcPr>
            <w:tcW w:w="1238"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（供应商须知前附表规定的其他应公布的信息）</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报价</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bl>
    <w:p>
      <w:pPr>
        <w:spacing w:line="240" w:lineRule="auto"/>
        <w:jc w:val="both"/>
        <w:rPr>
          <w:rFonts w:cs="仿宋" w:asciiTheme="minorEastAsia" w:hAnsiTheme="minorEastAsia" w:eastAsiaTheme="minorEastAsia"/>
          <w:sz w:val="24"/>
        </w:rPr>
      </w:pPr>
    </w:p>
    <w:p>
      <w:pPr>
        <w:spacing w:line="240" w:lineRule="auto"/>
        <w:jc w:val="both"/>
        <w:rPr>
          <w:rFonts w:cs="仿宋" w:asciiTheme="minorEastAsia" w:hAnsiTheme="minorEastAsia" w:eastAsiaTheme="minorEastAsia"/>
          <w:sz w:val="24"/>
          <w:u w:val="single"/>
        </w:rPr>
      </w:pPr>
      <w:r>
        <w:rPr>
          <w:rFonts w:hint="eastAsia" w:cs="仿宋" w:asciiTheme="minorEastAsia" w:hAnsiTheme="minorEastAsia" w:eastAsiaTheme="minorEastAsia"/>
          <w:sz w:val="24"/>
        </w:rPr>
        <w:t>采购人代表：</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 xml:space="preserve">      记录人：</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监督人：</w:t>
      </w:r>
      <w:r>
        <w:rPr>
          <w:rFonts w:hint="eastAsia" w:cs="仿宋" w:asciiTheme="minorEastAsia" w:hAnsiTheme="minorEastAsia" w:eastAsiaTheme="minorEastAsia"/>
          <w:sz w:val="24"/>
          <w:u w:val="single"/>
        </w:rPr>
        <w:t xml:space="preserve">          </w:t>
      </w:r>
    </w:p>
    <w:p>
      <w:pPr>
        <w:spacing w:line="240" w:lineRule="auto"/>
        <w:jc w:val="both"/>
        <w:rPr>
          <w:rFonts w:cs="仿宋" w:asciiTheme="minorEastAsia" w:hAnsiTheme="minorEastAsia" w:eastAsiaTheme="minorEastAsia"/>
          <w:sz w:val="24"/>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ind w:firstLine="600" w:firstLineChars="200"/>
        <w:rPr>
          <w:rFonts w:ascii="宋体" w:hAnsi="宋体" w:cs="仿宋"/>
          <w:sz w:val="30"/>
          <w:szCs w:val="30"/>
        </w:rPr>
      </w:pPr>
      <w:r>
        <w:rPr>
          <w:rFonts w:hint="eastAsia" w:ascii="宋体" w:hAnsi="宋体" w:cs="仿宋"/>
          <w:sz w:val="30"/>
          <w:szCs w:val="30"/>
        </w:rPr>
        <w:t>附件2  问题澄清通知</w:t>
      </w:r>
    </w:p>
    <w:p>
      <w:pPr>
        <w:adjustRightInd w:val="0"/>
        <w:snapToGrid w:val="0"/>
        <w:spacing w:line="600" w:lineRule="exact"/>
        <w:ind w:firstLine="723" w:firstLineChars="200"/>
        <w:jc w:val="center"/>
        <w:rPr>
          <w:rFonts w:ascii="华文中宋" w:hAnsi="华文中宋" w:eastAsia="华文中宋" w:cs="仿宋"/>
          <w:b/>
          <w:bCs/>
          <w:sz w:val="36"/>
          <w:szCs w:val="36"/>
        </w:rPr>
      </w:pPr>
    </w:p>
    <w:p>
      <w:pPr>
        <w:adjustRightInd w:val="0"/>
        <w:snapToGrid w:val="0"/>
        <w:spacing w:line="600" w:lineRule="exact"/>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问题澄清通知</w:t>
      </w:r>
    </w:p>
    <w:p>
      <w:pPr>
        <w:adjustRightInd w:val="0"/>
        <w:snapToGrid w:val="0"/>
        <w:spacing w:line="600" w:lineRule="exact"/>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600" w:lineRule="exact"/>
        <w:ind w:left="210" w:leftChars="100" w:firstLine="240" w:firstLineChars="100"/>
        <w:jc w:val="both"/>
        <w:rPr>
          <w:rFonts w:ascii="宋体" w:hAnsi="宋体" w:cs="仿宋"/>
          <w:sz w:val="24"/>
          <w:u w:val="single"/>
        </w:rPr>
      </w:pPr>
      <w:r>
        <w:rPr>
          <w:rFonts w:hint="eastAsia" w:ascii="宋体" w:hAnsi="宋体" w:cs="仿宋"/>
          <w:sz w:val="24"/>
          <w:u w:val="single"/>
        </w:rPr>
        <w:t>(供应商名称):</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评审小组对你方的响应文件进行了仔细的审查，现需你方对下列问题以书面形式予以澄清、说明和补正:</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1.</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2.</w:t>
      </w:r>
    </w:p>
    <w:p>
      <w:pPr>
        <w:adjustRightInd w:val="0"/>
        <w:snapToGrid w:val="0"/>
        <w:spacing w:line="600" w:lineRule="exact"/>
        <w:ind w:left="508" w:leftChars="242" w:firstLine="496" w:firstLineChars="207"/>
        <w:jc w:val="both"/>
        <w:rPr>
          <w:rFonts w:ascii="宋体" w:hAnsi="宋体" w:cs="仿宋"/>
          <w:sz w:val="24"/>
        </w:rPr>
      </w:pPr>
      <w:r>
        <w:rPr>
          <w:rFonts w:hint="eastAsia" w:ascii="宋体" w:hAnsi="宋体" w:cs="仿宋"/>
          <w:sz w:val="24"/>
        </w:rPr>
        <w:t>......</w:t>
      </w:r>
    </w:p>
    <w:p>
      <w:pPr>
        <w:adjustRightInd w:val="0"/>
        <w:snapToGrid w:val="0"/>
        <w:spacing w:line="600" w:lineRule="exact"/>
        <w:ind w:left="141" w:leftChars="67" w:firstLine="566" w:firstLineChars="236"/>
        <w:jc w:val="both"/>
        <w:rPr>
          <w:rFonts w:ascii="宋体" w:hAnsi="宋体" w:cs="仿宋"/>
          <w:sz w:val="24"/>
        </w:rPr>
      </w:pPr>
      <w:r>
        <w:rPr>
          <w:rFonts w:hint="eastAsia" w:ascii="宋体" w:hAnsi="宋体" w:cs="仿宋"/>
          <w:sz w:val="24"/>
        </w:rPr>
        <w:t>请将上述问题的澄清、说明和补正于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宋体" w:hAnsi="宋体" w:cs="仿宋"/>
          <w:sz w:val="24"/>
          <w:u w:val="single"/>
        </w:rPr>
        <w:t xml:space="preserve">  </w:t>
      </w:r>
      <w:r>
        <w:rPr>
          <w:rFonts w:hint="eastAsia" w:ascii="宋体" w:hAnsi="宋体" w:cs="仿宋"/>
          <w:sz w:val="24"/>
        </w:rPr>
        <w:t>时前递交至</w:t>
      </w:r>
      <w:r>
        <w:rPr>
          <w:rFonts w:hint="eastAsia" w:ascii="宋体" w:hAnsi="宋体" w:cs="仿宋"/>
          <w:sz w:val="24"/>
          <w:u w:val="single"/>
        </w:rPr>
        <w:t>(详细地址)</w:t>
      </w:r>
      <w:r>
        <w:rPr>
          <w:rFonts w:hint="eastAsia" w:ascii="宋体" w:hAnsi="宋体" w:cs="仿宋"/>
          <w:sz w:val="24"/>
        </w:rPr>
        <w:t>或发电子邮件至</w:t>
      </w:r>
      <w:r>
        <w:rPr>
          <w:rFonts w:hint="eastAsia" w:ascii="宋体" w:hAnsi="宋体" w:cs="仿宋"/>
          <w:sz w:val="24"/>
          <w:u w:val="single"/>
        </w:rPr>
        <w:t>(电子邮箱地址)</w:t>
      </w:r>
      <w:r>
        <w:rPr>
          <w:rFonts w:hint="eastAsia" w:ascii="宋体" w:hAnsi="宋体" w:cs="仿宋"/>
          <w:sz w:val="24"/>
        </w:rPr>
        <w:t>。采用电子邮件方式的，应在</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日_时前将原件递交至</w:t>
      </w:r>
      <w:r>
        <w:rPr>
          <w:rFonts w:hint="eastAsia" w:ascii="宋体" w:hAnsi="宋体" w:cs="仿宋"/>
          <w:sz w:val="24"/>
          <w:u w:val="single"/>
        </w:rPr>
        <w:t>(详细地址)</w:t>
      </w:r>
      <w:r>
        <w:rPr>
          <w:rFonts w:hint="eastAsia" w:ascii="宋体" w:hAnsi="宋体" w:cs="仿宋"/>
          <w:sz w:val="24"/>
        </w:rPr>
        <w:t>。</w:t>
      </w:r>
    </w:p>
    <w:p>
      <w:pPr>
        <w:adjustRightInd w:val="0"/>
        <w:snapToGrid w:val="0"/>
        <w:spacing w:line="600" w:lineRule="exact"/>
        <w:ind w:left="141" w:leftChars="67" w:firstLine="566" w:firstLineChars="236"/>
        <w:jc w:val="both"/>
        <w:rPr>
          <w:rFonts w:ascii="宋体" w:hAnsi="宋体" w:cs="仿宋"/>
          <w:sz w:val="24"/>
        </w:rPr>
      </w:pPr>
    </w:p>
    <w:p>
      <w:pPr>
        <w:adjustRightInd w:val="0"/>
        <w:snapToGrid w:val="0"/>
        <w:spacing w:line="600" w:lineRule="exact"/>
        <w:ind w:left="210" w:leftChars="100" w:firstLine="240" w:firstLineChars="100"/>
        <w:jc w:val="both"/>
        <w:rPr>
          <w:rFonts w:ascii="宋体" w:hAnsi="宋体" w:cs="仿宋"/>
          <w:sz w:val="24"/>
        </w:rPr>
      </w:pPr>
    </w:p>
    <w:p>
      <w:pPr>
        <w:adjustRightInd w:val="0"/>
        <w:snapToGrid w:val="0"/>
        <w:spacing w:line="600" w:lineRule="exact"/>
        <w:ind w:left="210" w:leftChars="100" w:firstLine="240" w:firstLineChars="100"/>
        <w:jc w:val="both"/>
        <w:rPr>
          <w:rFonts w:ascii="宋体" w:hAnsi="宋体" w:cs="仿宋"/>
          <w:sz w:val="24"/>
        </w:rPr>
      </w:pPr>
    </w:p>
    <w:p>
      <w:pPr>
        <w:adjustRightInd w:val="0"/>
        <w:snapToGrid w:val="0"/>
        <w:spacing w:line="600" w:lineRule="exact"/>
        <w:jc w:val="right"/>
        <w:rPr>
          <w:rFonts w:ascii="宋体" w:hAnsi="宋体" w:cs="仿宋"/>
          <w:sz w:val="24"/>
          <w:u w:val="single"/>
        </w:rPr>
      </w:pPr>
      <w:r>
        <w:rPr>
          <w:rFonts w:hint="eastAsia" w:ascii="宋体" w:hAnsi="宋体" w:cs="仿宋"/>
          <w:sz w:val="24"/>
        </w:rPr>
        <w:t>采购人(或采购代理机构):</w:t>
      </w:r>
      <w:r>
        <w:rPr>
          <w:rFonts w:hint="eastAsia" w:ascii="宋体" w:hAnsi="宋体" w:cs="仿宋"/>
          <w:sz w:val="24"/>
          <w:u w:val="single"/>
        </w:rPr>
        <w:t>(签字或盖单位章)</w:t>
      </w:r>
    </w:p>
    <w:p>
      <w:pPr>
        <w:spacing w:line="600" w:lineRule="exact"/>
        <w:jc w:val="right"/>
        <w:rPr>
          <w:rFonts w:ascii="宋体" w:hAnsi="宋体" w:cs="仿宋"/>
          <w:sz w:val="24"/>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adjustRightInd w:val="0"/>
        <w:snapToGrid w:val="0"/>
        <w:spacing w:line="600" w:lineRule="exact"/>
        <w:ind w:firstLine="567" w:firstLineChars="189"/>
        <w:rPr>
          <w:rFonts w:ascii="宋体" w:hAnsi="宋体" w:cs="仿宋"/>
          <w:sz w:val="30"/>
          <w:szCs w:val="30"/>
        </w:rPr>
      </w:pPr>
      <w:r>
        <w:rPr>
          <w:rFonts w:hint="eastAsia" w:ascii="宋体" w:hAnsi="宋体" w:cs="仿宋"/>
          <w:sz w:val="30"/>
          <w:szCs w:val="30"/>
        </w:rPr>
        <w:t>附件3  问题的澄清</w:t>
      </w:r>
    </w:p>
    <w:p>
      <w:pPr>
        <w:adjustRightInd w:val="0"/>
        <w:snapToGrid w:val="0"/>
        <w:spacing w:line="600" w:lineRule="exact"/>
        <w:jc w:val="center"/>
        <w:rPr>
          <w:rFonts w:ascii="华文中宋" w:hAnsi="华文中宋" w:eastAsia="华文中宋" w:cs="仿宋"/>
          <w:b/>
          <w:bCs/>
          <w:sz w:val="36"/>
          <w:szCs w:val="36"/>
        </w:rPr>
      </w:pPr>
    </w:p>
    <w:p>
      <w:pPr>
        <w:adjustRightInd w:val="0"/>
        <w:snapToGrid w:val="0"/>
        <w:spacing w:line="600" w:lineRule="exact"/>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问题的澄清</w:t>
      </w:r>
    </w:p>
    <w:p>
      <w:pPr>
        <w:adjustRightInd w:val="0"/>
        <w:snapToGrid w:val="0"/>
        <w:spacing w:line="600" w:lineRule="exact"/>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600" w:lineRule="exact"/>
        <w:jc w:val="both"/>
        <w:rPr>
          <w:rFonts w:ascii="宋体" w:hAnsi="宋体" w:cs="仿宋"/>
          <w:sz w:val="24"/>
        </w:rPr>
      </w:pPr>
      <w:r>
        <w:rPr>
          <w:rFonts w:hint="eastAsia" w:ascii="宋体" w:hAnsi="宋体" w:cs="仿宋"/>
          <w:sz w:val="24"/>
        </w:rPr>
        <w:t>评审小组:</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问题澄清通知(编号:</w:t>
      </w:r>
      <w:r>
        <w:rPr>
          <w:rFonts w:hint="eastAsia" w:ascii="宋体" w:hAnsi="宋体" w:cs="仿宋"/>
          <w:sz w:val="24"/>
          <w:u w:val="single"/>
        </w:rPr>
        <w:t xml:space="preserve">                </w:t>
      </w:r>
      <w:r>
        <w:rPr>
          <w:rFonts w:hint="eastAsia" w:ascii="宋体" w:hAnsi="宋体" w:cs="仿宋"/>
          <w:sz w:val="24"/>
        </w:rPr>
        <w:t>)已收悉，现澄清、说明和补正如下：</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1.</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2.</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上述问题澄清、说明和补正，构成我方响应文件的组成部分。</w:t>
      </w:r>
    </w:p>
    <w:p>
      <w:pPr>
        <w:adjustRightInd w:val="0"/>
        <w:snapToGrid w:val="0"/>
        <w:spacing w:line="600" w:lineRule="exact"/>
        <w:ind w:firstLine="530" w:firstLineChars="221"/>
        <w:jc w:val="both"/>
        <w:rPr>
          <w:rFonts w:ascii="宋体" w:hAnsi="宋体" w:cs="仿宋"/>
          <w:sz w:val="24"/>
        </w:rPr>
      </w:pPr>
    </w:p>
    <w:p>
      <w:pPr>
        <w:adjustRightInd w:val="0"/>
        <w:snapToGrid w:val="0"/>
        <w:spacing w:line="600" w:lineRule="exact"/>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600" w:lineRule="exact"/>
        <w:ind w:firstLine="3410" w:firstLineChars="1421"/>
        <w:jc w:val="both"/>
        <w:rPr>
          <w:rFonts w:ascii="宋体" w:hAnsi="宋体" w:cs="仿宋"/>
          <w:sz w:val="24"/>
          <w:u w:val="single"/>
        </w:rPr>
      </w:pPr>
      <w:r>
        <w:rPr>
          <w:rFonts w:hint="eastAsia" w:ascii="宋体" w:hAnsi="宋体" w:cs="仿宋"/>
          <w:sz w:val="24"/>
        </w:rPr>
        <w:t>法定代表人(单位负责人)或其授权的代理人:</w:t>
      </w:r>
      <w:r>
        <w:rPr>
          <w:rFonts w:ascii="宋体" w:hAnsi="宋体" w:cs="仿宋"/>
          <w:sz w:val="24"/>
          <w:u w:val="single"/>
        </w:rPr>
        <w:t xml:space="preserve">  </w:t>
      </w:r>
      <w:r>
        <w:rPr>
          <w:rFonts w:hint="eastAsia" w:ascii="宋体" w:hAnsi="宋体" w:cs="仿宋"/>
          <w:sz w:val="24"/>
          <w:u w:val="single"/>
        </w:rPr>
        <w:t>(签字)</w:t>
      </w:r>
      <w:r>
        <w:rPr>
          <w:rFonts w:ascii="宋体" w:hAnsi="宋体" w:cs="仿宋"/>
          <w:sz w:val="24"/>
          <w:u w:val="single"/>
        </w:rPr>
        <w:t xml:space="preserve">  </w:t>
      </w:r>
    </w:p>
    <w:p>
      <w:pPr>
        <w:spacing w:line="600" w:lineRule="exact"/>
        <w:ind w:firstLine="5570" w:firstLineChars="2321"/>
        <w:jc w:val="both"/>
        <w:rPr>
          <w:rFonts w:ascii="宋体" w:hAnsi="宋体" w:cs="仿宋"/>
          <w:sz w:val="24"/>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rPr>
        <w:t>日</w:t>
      </w:r>
      <w:r>
        <w:rPr>
          <w:rFonts w:hint="eastAsia" w:ascii="宋体" w:hAnsi="宋体" w:cs="仿宋"/>
          <w:sz w:val="24"/>
        </w:rPr>
        <w:br w:type="page"/>
      </w:r>
    </w:p>
    <w:p>
      <w:pPr>
        <w:adjustRightInd w:val="0"/>
        <w:snapToGrid w:val="0"/>
        <w:spacing w:line="600" w:lineRule="exact"/>
        <w:ind w:firstLine="567" w:firstLineChars="189"/>
        <w:rPr>
          <w:rFonts w:ascii="宋体" w:hAnsi="宋体" w:cs="仿宋"/>
          <w:sz w:val="30"/>
          <w:szCs w:val="30"/>
        </w:rPr>
      </w:pPr>
      <w:r>
        <w:rPr>
          <w:rFonts w:hint="eastAsia" w:ascii="宋体" w:hAnsi="宋体" w:cs="仿宋"/>
          <w:sz w:val="30"/>
          <w:szCs w:val="30"/>
        </w:rPr>
        <w:t>附件4  成交通知书</w:t>
      </w:r>
    </w:p>
    <w:p>
      <w:pPr>
        <w:adjustRightInd w:val="0"/>
        <w:snapToGrid w:val="0"/>
        <w:spacing w:line="600" w:lineRule="exact"/>
        <w:jc w:val="center"/>
        <w:rPr>
          <w:rFonts w:ascii="华文中宋" w:hAnsi="华文中宋" w:eastAsia="华文中宋" w:cs="仿宋"/>
          <w:b/>
          <w:bCs/>
          <w:sz w:val="36"/>
          <w:szCs w:val="36"/>
        </w:rPr>
      </w:pPr>
    </w:p>
    <w:p>
      <w:pPr>
        <w:adjustRightInd w:val="0"/>
        <w:snapToGrid w:val="0"/>
        <w:spacing w:line="600" w:lineRule="exact"/>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成交通知书</w:t>
      </w:r>
    </w:p>
    <w:p>
      <w:pPr>
        <w:adjustRightInd w:val="0"/>
        <w:snapToGrid w:val="0"/>
        <w:spacing w:line="600" w:lineRule="exact"/>
        <w:ind w:firstLine="723" w:firstLineChars="200"/>
        <w:jc w:val="both"/>
        <w:rPr>
          <w:rFonts w:ascii="华文中宋" w:hAnsi="华文中宋" w:eastAsia="华文中宋" w:cs="仿宋"/>
          <w:b/>
          <w:bCs/>
          <w:sz w:val="36"/>
          <w:szCs w:val="36"/>
        </w:rPr>
      </w:pPr>
    </w:p>
    <w:p>
      <w:pPr>
        <w:adjustRightInd w:val="0"/>
        <w:snapToGrid w:val="0"/>
        <w:spacing w:line="600" w:lineRule="exact"/>
        <w:rPr>
          <w:rFonts w:ascii="宋体" w:hAnsi="宋体" w:cs="仿宋"/>
          <w:sz w:val="24"/>
        </w:rPr>
      </w:pPr>
      <w:r>
        <w:rPr>
          <w:rFonts w:hint="eastAsia" w:ascii="宋体" w:hAnsi="宋体" w:cs="仿宋"/>
          <w:sz w:val="24"/>
          <w:u w:val="single"/>
        </w:rPr>
        <w:t>(成交供应商名称)</w:t>
      </w:r>
      <w:r>
        <w:rPr>
          <w:rFonts w:hint="eastAsia" w:ascii="宋体" w:hAnsi="宋体" w:cs="仿宋"/>
          <w:sz w:val="24"/>
        </w:rPr>
        <w:t>:</w:t>
      </w:r>
    </w:p>
    <w:p>
      <w:pPr>
        <w:adjustRightInd w:val="0"/>
        <w:snapToGrid w:val="0"/>
        <w:spacing w:line="600" w:lineRule="exact"/>
        <w:rPr>
          <w:rFonts w:ascii="宋体" w:hAnsi="宋体" w:cs="仿宋"/>
          <w:sz w:val="24"/>
        </w:rPr>
      </w:pPr>
      <w:r>
        <w:rPr>
          <w:rFonts w:hint="eastAsia" w:ascii="宋体" w:hAnsi="宋体" w:cs="仿宋"/>
          <w:sz w:val="24"/>
        </w:rPr>
        <w:t>你方所递交的</w:t>
      </w:r>
      <w:r>
        <w:rPr>
          <w:rFonts w:hint="eastAsia" w:ascii="宋体" w:hAnsi="宋体" w:cs="仿宋"/>
          <w:sz w:val="24"/>
          <w:u w:val="single"/>
        </w:rPr>
        <w:t>(项目名称)</w:t>
      </w:r>
      <w:r>
        <w:rPr>
          <w:rFonts w:hint="eastAsia" w:ascii="宋体" w:hAnsi="宋体" w:cs="仿宋"/>
          <w:sz w:val="24"/>
        </w:rPr>
        <w:t>的响应文件已被我方接受，被确定为成交供应商。</w:t>
      </w:r>
    </w:p>
    <w:p>
      <w:pPr>
        <w:adjustRightInd w:val="0"/>
        <w:snapToGrid w:val="0"/>
        <w:spacing w:line="600" w:lineRule="exact"/>
        <w:rPr>
          <w:rFonts w:ascii="宋体" w:hAnsi="宋体" w:cs="仿宋"/>
          <w:sz w:val="24"/>
          <w:u w:val="single"/>
        </w:rPr>
      </w:pPr>
      <w:r>
        <w:rPr>
          <w:rFonts w:hint="eastAsia" w:ascii="宋体" w:hAnsi="宋体" w:cs="仿宋"/>
          <w:sz w:val="24"/>
        </w:rPr>
        <w:t>成交价:</w:t>
      </w:r>
      <w:r>
        <w:rPr>
          <w:rFonts w:hint="eastAsia" w:ascii="宋体" w:hAnsi="宋体" w:cs="仿宋"/>
          <w:sz w:val="24"/>
          <w:u w:val="single"/>
        </w:rPr>
        <w:t xml:space="preserve">         </w:t>
      </w:r>
      <w:r>
        <w:rPr>
          <w:rFonts w:hint="eastAsia" w:ascii="宋体" w:hAnsi="宋体" w:cs="仿宋"/>
          <w:sz w:val="24"/>
        </w:rPr>
        <w:t xml:space="preserve"> 。</w:t>
      </w:r>
    </w:p>
    <w:p>
      <w:pPr>
        <w:adjustRightInd w:val="0"/>
        <w:snapToGrid w:val="0"/>
        <w:spacing w:line="600" w:lineRule="exact"/>
        <w:rPr>
          <w:rFonts w:ascii="宋体" w:hAnsi="宋体" w:cs="仿宋"/>
          <w:sz w:val="24"/>
        </w:rPr>
      </w:pPr>
      <w:r>
        <w:rPr>
          <w:rFonts w:hint="eastAsia" w:ascii="宋体" w:hAnsi="宋体" w:cs="仿宋"/>
          <w:sz w:val="24"/>
        </w:rPr>
        <w:t>请你方在接到本通知书后的</w:t>
      </w:r>
      <w:r>
        <w:rPr>
          <w:rFonts w:hint="eastAsia" w:ascii="宋体" w:hAnsi="宋体" w:cs="仿宋"/>
          <w:sz w:val="24"/>
          <w:u w:val="single"/>
        </w:rPr>
        <w:t xml:space="preserve">    </w:t>
      </w:r>
      <w:r>
        <w:rPr>
          <w:rFonts w:hint="eastAsia" w:ascii="宋体" w:hAnsi="宋体" w:cs="仿宋"/>
          <w:sz w:val="24"/>
        </w:rPr>
        <w:t>日内到</w:t>
      </w:r>
      <w:r>
        <w:rPr>
          <w:rFonts w:hint="eastAsia" w:ascii="宋体" w:hAnsi="宋体" w:cs="仿宋"/>
          <w:sz w:val="24"/>
          <w:u w:val="single"/>
        </w:rPr>
        <w:t>(指定地点)</w:t>
      </w:r>
      <w:r>
        <w:rPr>
          <w:rFonts w:hint="eastAsia" w:ascii="宋体" w:hAnsi="宋体" w:cs="仿宋"/>
          <w:sz w:val="24"/>
        </w:rPr>
        <w:t>与我方签订采购合同。</w:t>
      </w:r>
    </w:p>
    <w:p>
      <w:pPr>
        <w:adjustRightInd w:val="0"/>
        <w:snapToGrid w:val="0"/>
        <w:spacing w:line="600" w:lineRule="exact"/>
        <w:rPr>
          <w:rFonts w:ascii="宋体" w:hAnsi="宋体" w:cs="仿宋"/>
          <w:sz w:val="24"/>
        </w:rPr>
      </w:pPr>
      <w:r>
        <w:rPr>
          <w:rFonts w:hint="eastAsia" w:ascii="宋体" w:hAnsi="宋体" w:cs="仿宋"/>
          <w:sz w:val="24"/>
        </w:rPr>
        <w:t>特此通知。</w:t>
      </w: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jc w:val="right"/>
        <w:rPr>
          <w:rFonts w:ascii="宋体" w:hAnsi="宋体" w:cs="仿宋"/>
          <w:sz w:val="24"/>
          <w:u w:val="single"/>
        </w:rPr>
      </w:pPr>
      <w:r>
        <w:rPr>
          <w:rFonts w:hint="eastAsia" w:ascii="宋体" w:hAnsi="宋体" w:cs="仿宋"/>
          <w:sz w:val="24"/>
        </w:rPr>
        <w:t>采购人(或采购代理机构):</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600" w:lineRule="exact"/>
        <w:jc w:val="right"/>
        <w:rPr>
          <w:rFonts w:ascii="仿宋" w:hAnsi="仿宋" w:eastAsia="仿宋" w:cs="仿宋"/>
          <w:sz w:val="30"/>
          <w:szCs w:val="30"/>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pStyle w:val="38"/>
        <w:ind w:firstLine="0"/>
        <w:rPr>
          <w:rFonts w:hAnsi="宋体" w:cs="仿宋"/>
        </w:rPr>
      </w:pPr>
    </w:p>
    <w:p>
      <w:pPr>
        <w:adjustRightInd w:val="0"/>
        <w:snapToGrid w:val="0"/>
        <w:spacing w:line="600" w:lineRule="exact"/>
        <w:ind w:firstLine="567" w:firstLineChars="189"/>
        <w:rPr>
          <w:rFonts w:ascii="宋体" w:hAnsi="宋体" w:cs="仿宋"/>
          <w:sz w:val="30"/>
          <w:szCs w:val="30"/>
        </w:rPr>
      </w:pPr>
      <w:r>
        <w:rPr>
          <w:rFonts w:hint="eastAsia" w:ascii="宋体" w:hAnsi="宋体" w:cs="仿宋"/>
          <w:sz w:val="30"/>
          <w:szCs w:val="30"/>
        </w:rPr>
        <w:t>附件5  确认通知</w:t>
      </w:r>
    </w:p>
    <w:p>
      <w:pPr>
        <w:adjustRightInd w:val="0"/>
        <w:snapToGrid w:val="0"/>
        <w:spacing w:line="600" w:lineRule="exact"/>
        <w:ind w:firstLine="723" w:firstLineChars="200"/>
        <w:jc w:val="both"/>
        <w:rPr>
          <w:rFonts w:ascii="华文中宋" w:hAnsi="华文中宋" w:eastAsia="华文中宋" w:cs="仿宋"/>
          <w:b/>
          <w:bCs/>
          <w:sz w:val="36"/>
          <w:szCs w:val="36"/>
        </w:rPr>
      </w:pPr>
    </w:p>
    <w:p>
      <w:pPr>
        <w:adjustRightInd w:val="0"/>
        <w:snapToGrid w:val="0"/>
        <w:spacing w:line="600" w:lineRule="exact"/>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确认通知</w:t>
      </w:r>
    </w:p>
    <w:p>
      <w:pPr>
        <w:adjustRightInd w:val="0"/>
        <w:snapToGrid w:val="0"/>
        <w:spacing w:line="600" w:lineRule="exact"/>
        <w:ind w:firstLine="723" w:firstLineChars="200"/>
        <w:jc w:val="both"/>
        <w:rPr>
          <w:rFonts w:ascii="华文中宋" w:hAnsi="华文中宋" w:eastAsia="华文中宋" w:cs="仿宋"/>
          <w:b/>
          <w:bCs/>
          <w:sz w:val="36"/>
          <w:szCs w:val="36"/>
        </w:rPr>
      </w:pPr>
    </w:p>
    <w:p>
      <w:pPr>
        <w:adjustRightInd w:val="0"/>
        <w:snapToGrid w:val="0"/>
        <w:spacing w:line="600" w:lineRule="exact"/>
        <w:ind w:firstLine="480" w:firstLineChars="200"/>
        <w:jc w:val="both"/>
        <w:rPr>
          <w:rFonts w:ascii="宋体" w:hAnsi="宋体" w:cs="仿宋"/>
          <w:b/>
          <w:bCs/>
          <w:sz w:val="24"/>
        </w:rPr>
      </w:pPr>
      <w:r>
        <w:rPr>
          <w:rFonts w:hint="eastAsia" w:ascii="宋体" w:hAnsi="宋体" w:cs="仿宋"/>
          <w:sz w:val="24"/>
          <w:u w:val="single"/>
        </w:rPr>
        <w:t>（采购人或采购代理机构名称)</w:t>
      </w:r>
      <w:r>
        <w:rPr>
          <w:rFonts w:hint="eastAsia" w:ascii="宋体" w:hAnsi="宋体" w:cs="仿宋"/>
          <w:sz w:val="24"/>
        </w:rPr>
        <w:t>:</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你方于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日发出的的</w:t>
      </w:r>
      <w:r>
        <w:rPr>
          <w:rFonts w:hint="eastAsia" w:ascii="宋体" w:hAnsi="宋体" w:cs="仿宋"/>
          <w:sz w:val="24"/>
          <w:u w:val="single"/>
        </w:rPr>
        <w:t>(项目名称)</w:t>
      </w:r>
      <w:r>
        <w:rPr>
          <w:rFonts w:hint="eastAsia" w:ascii="宋体" w:hAnsi="宋体" w:cs="仿宋"/>
          <w:sz w:val="24"/>
        </w:rPr>
        <w:t>采购文件的澄清/修改的通知，我方已于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日收到。</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特此确认。</w:t>
      </w: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pStyle w:val="77"/>
        <w:adjustRightInd w:val="0"/>
        <w:snapToGrid w:val="0"/>
        <w:spacing w:line="600" w:lineRule="exact"/>
        <w:ind w:firstLine="6240" w:firstLineChars="2600"/>
        <w:jc w:val="center"/>
        <w:rPr>
          <w:rFonts w:cs="仿宋"/>
        </w:rPr>
      </w:pPr>
      <w:r>
        <w:rPr>
          <w:rFonts w:hint="eastAsia" w:cs="仿宋"/>
        </w:rPr>
        <w:t>年</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月</w:t>
      </w:r>
      <w:r>
        <w:rPr>
          <w:rFonts w:hint="eastAsia" w:cs="仿宋"/>
          <w:u w:val="single"/>
        </w:rPr>
        <w:t xml:space="preserve">  </w:t>
      </w:r>
      <w:r>
        <w:rPr>
          <w:rFonts w:cs="仿宋"/>
          <w:u w:val="single"/>
        </w:rPr>
        <w:t xml:space="preserve">   </w:t>
      </w:r>
      <w:r>
        <w:rPr>
          <w:rFonts w:hint="eastAsia" w:cs="仿宋"/>
        </w:rPr>
        <w:t>日</w:t>
      </w:r>
      <w:bookmarkStart w:id="13" w:name="_Toc77254124"/>
      <w:bookmarkStart w:id="14" w:name="_Toc512257484"/>
      <w:bookmarkStart w:id="15" w:name="_Toc9329"/>
    </w:p>
    <w:p>
      <w:pPr>
        <w:rPr>
          <w:rFonts w:cs="仿宋"/>
        </w:rPr>
      </w:pPr>
      <w:r>
        <w:rPr>
          <w:rFonts w:hint="eastAsia" w:cs="仿宋"/>
        </w:rPr>
        <w:br w:type="page"/>
      </w:r>
    </w:p>
    <w:p>
      <w:pPr>
        <w:pStyle w:val="77"/>
        <w:adjustRightInd w:val="0"/>
        <w:snapToGrid w:val="0"/>
        <w:spacing w:line="600" w:lineRule="exact"/>
        <w:ind w:firstLine="720"/>
        <w:jc w:val="center"/>
        <w:rPr>
          <w:rFonts w:eastAsia="黑体"/>
          <w:color w:val="000000"/>
          <w:sz w:val="32"/>
          <w:szCs w:val="32"/>
          <w:highlight w:val="yellow"/>
        </w:rPr>
      </w:pPr>
      <w:r>
        <w:rPr>
          <w:rFonts w:hint="eastAsia" w:ascii="黑体" w:hAnsi="黑体" w:eastAsia="黑体"/>
          <w:color w:val="000000"/>
          <w:kern w:val="44"/>
          <w:sz w:val="36"/>
          <w:szCs w:val="36"/>
        </w:rPr>
        <w:t>第三章 评标办法（</w:t>
      </w:r>
      <w:r>
        <w:rPr>
          <w:rFonts w:hint="eastAsia" w:ascii="黑体" w:hAnsi="黑体" w:eastAsia="黑体"/>
          <w:color w:val="000000"/>
          <w:kern w:val="44"/>
          <w:sz w:val="36"/>
          <w:szCs w:val="36"/>
          <w:highlight w:val="none"/>
        </w:rPr>
        <w:t>综合评分法</w:t>
      </w:r>
      <w:r>
        <w:rPr>
          <w:rFonts w:hint="eastAsia" w:ascii="黑体" w:hAnsi="黑体" w:eastAsia="黑体"/>
          <w:color w:val="000000"/>
          <w:kern w:val="44"/>
          <w:sz w:val="36"/>
          <w:szCs w:val="36"/>
        </w:rPr>
        <w:t>）</w:t>
      </w:r>
      <w:bookmarkEnd w:id="13"/>
      <w:bookmarkEnd w:id="14"/>
      <w:bookmarkStart w:id="16" w:name="_Toc77254125"/>
      <w:bookmarkStart w:id="17" w:name="_Toc24335"/>
    </w:p>
    <w:bookmarkEnd w:id="16"/>
    <w:bookmarkEnd w:id="17"/>
    <w:p>
      <w:pPr>
        <w:adjustRightInd w:val="0"/>
        <w:snapToGrid w:val="0"/>
        <w:spacing w:before="120" w:beforeLines="50" w:after="120" w:afterLines="50" w:line="312" w:lineRule="auto"/>
        <w:jc w:val="center"/>
        <w:rPr>
          <w:rFonts w:ascii="黑体" w:hAnsi="黑体" w:eastAsia="黑体" w:cs="仿宋"/>
          <w:bCs/>
          <w:sz w:val="32"/>
          <w:szCs w:val="32"/>
        </w:rPr>
      </w:pPr>
      <w:r>
        <w:rPr>
          <w:rFonts w:hint="eastAsia" w:ascii="黑体" w:hAnsi="黑体" w:eastAsia="黑体" w:cs="仿宋"/>
          <w:bCs/>
          <w:sz w:val="32"/>
          <w:szCs w:val="32"/>
        </w:rPr>
        <w:t>评审办法前附表</w:t>
      </w:r>
    </w:p>
    <w:tbl>
      <w:tblPr>
        <w:tblStyle w:val="40"/>
        <w:tblW w:w="9190" w:type="dxa"/>
        <w:tblInd w:w="-3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21"/>
        <w:gridCol w:w="704"/>
        <w:gridCol w:w="961"/>
        <w:gridCol w:w="419"/>
        <w:gridCol w:w="5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1899" w:type="dxa"/>
            <w:gridSpan w:val="3"/>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条款号及名称</w:t>
            </w:r>
          </w:p>
        </w:tc>
        <w:tc>
          <w:tcPr>
            <w:tcW w:w="1380"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评审因素</w:t>
            </w:r>
          </w:p>
        </w:tc>
        <w:tc>
          <w:tcPr>
            <w:tcW w:w="5911"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74"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125"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1380"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5911"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trPr>
        <w:tc>
          <w:tcPr>
            <w:tcW w:w="774" w:type="dxa"/>
            <w:vMerge w:val="restart"/>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2.1.1</w:t>
            </w:r>
          </w:p>
        </w:tc>
        <w:tc>
          <w:tcPr>
            <w:tcW w:w="1125" w:type="dxa"/>
            <w:gridSpan w:val="2"/>
            <w:vMerge w:val="restart"/>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形式评审标准</w:t>
            </w:r>
          </w:p>
        </w:tc>
        <w:tc>
          <w:tcPr>
            <w:tcW w:w="1380"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响应文件签字盖章</w:t>
            </w:r>
          </w:p>
        </w:tc>
        <w:tc>
          <w:tcPr>
            <w:tcW w:w="5911" w:type="dxa"/>
            <w:vAlign w:val="center"/>
          </w:tcPr>
          <w:p>
            <w:pPr>
              <w:widowControl/>
              <w:adjustRightInd w:val="0"/>
              <w:snapToGrid w:val="0"/>
              <w:spacing w:line="288"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由供应商的法定代表人或经授权的委托人签字并加盖单位公章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74"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125" w:type="dxa"/>
            <w:gridSpan w:val="2"/>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380"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响应函中实质性内容</w:t>
            </w:r>
          </w:p>
        </w:tc>
        <w:tc>
          <w:tcPr>
            <w:tcW w:w="5911"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是否根据采购文件中的内容进行响应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exact"/>
        </w:trPr>
        <w:tc>
          <w:tcPr>
            <w:tcW w:w="774" w:type="dxa"/>
            <w:vMerge w:val="restart"/>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2.1.2</w:t>
            </w:r>
          </w:p>
        </w:tc>
        <w:tc>
          <w:tcPr>
            <w:tcW w:w="1125" w:type="dxa"/>
            <w:gridSpan w:val="2"/>
            <w:vMerge w:val="restart"/>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资格评审标准</w:t>
            </w:r>
          </w:p>
        </w:tc>
        <w:tc>
          <w:tcPr>
            <w:tcW w:w="1380"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依法设立</w:t>
            </w:r>
          </w:p>
        </w:tc>
        <w:tc>
          <w:tcPr>
            <w:tcW w:w="5911"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trPr>
        <w:tc>
          <w:tcPr>
            <w:tcW w:w="774"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125" w:type="dxa"/>
            <w:gridSpan w:val="2"/>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380"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资质要求</w:t>
            </w:r>
          </w:p>
        </w:tc>
        <w:tc>
          <w:tcPr>
            <w:tcW w:w="5911"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trPr>
        <w:tc>
          <w:tcPr>
            <w:tcW w:w="774"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125" w:type="dxa"/>
            <w:gridSpan w:val="2"/>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380"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财务要求</w:t>
            </w:r>
          </w:p>
        </w:tc>
        <w:tc>
          <w:tcPr>
            <w:tcW w:w="5911"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774"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125" w:type="dxa"/>
            <w:gridSpan w:val="2"/>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380"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业绩要求</w:t>
            </w:r>
          </w:p>
        </w:tc>
        <w:tc>
          <w:tcPr>
            <w:tcW w:w="5911" w:type="dxa"/>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774"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125" w:type="dxa"/>
            <w:gridSpan w:val="2"/>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380"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人员要求</w:t>
            </w:r>
          </w:p>
        </w:tc>
        <w:tc>
          <w:tcPr>
            <w:tcW w:w="5911" w:type="dxa"/>
            <w:vAlign w:val="center"/>
          </w:tcPr>
          <w:p>
            <w:pPr>
              <w:pStyle w:val="38"/>
              <w:widowControl w:val="0"/>
              <w:ind w:firstLine="0"/>
              <w:jc w:val="both"/>
            </w:pPr>
            <w:r>
              <w:rPr>
                <w:rFonts w:hint="eastAsia" w:cs="仿宋" w:asciiTheme="minorEastAsia" w:hAnsiTheme="minorEastAsia" w:eastAsiaTheme="minorEastAsia"/>
                <w:sz w:val="21"/>
                <w:szCs w:val="21"/>
              </w:rPr>
              <w:t>符合第一章第3.1款及供应商须知前附表第3.5（6）款规定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774"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125" w:type="dxa"/>
            <w:gridSpan w:val="2"/>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380"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不存在第一章第3.2款情形</w:t>
            </w:r>
          </w:p>
        </w:tc>
        <w:tc>
          <w:tcPr>
            <w:tcW w:w="5911" w:type="dxa"/>
            <w:vAlign w:val="center"/>
          </w:tcPr>
          <w:p>
            <w:pPr>
              <w:widowControl/>
              <w:adjustRightInd w:val="0"/>
              <w:snapToGrid w:val="0"/>
              <w:spacing w:line="288" w:lineRule="auto"/>
              <w:ind w:firstLine="210" w:firstLineChars="100"/>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符合第一章第3.1款及供应商须知前附表第3.5（8）款规定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74" w:type="dxa"/>
            <w:vMerge w:val="restart"/>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2.1.3</w:t>
            </w:r>
          </w:p>
        </w:tc>
        <w:tc>
          <w:tcPr>
            <w:tcW w:w="1125" w:type="dxa"/>
            <w:gridSpan w:val="2"/>
            <w:vMerge w:val="restart"/>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响应性评审标准</w:t>
            </w:r>
          </w:p>
        </w:tc>
        <w:tc>
          <w:tcPr>
            <w:tcW w:w="1380"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报价</w:t>
            </w:r>
          </w:p>
        </w:tc>
        <w:tc>
          <w:tcPr>
            <w:tcW w:w="5911"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74"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125" w:type="dxa"/>
            <w:gridSpan w:val="2"/>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380"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响应文件有效期</w:t>
            </w:r>
          </w:p>
        </w:tc>
        <w:tc>
          <w:tcPr>
            <w:tcW w:w="5911"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90日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774"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125" w:type="dxa"/>
            <w:gridSpan w:val="2"/>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380"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响应方案</w:t>
            </w:r>
          </w:p>
        </w:tc>
        <w:tc>
          <w:tcPr>
            <w:tcW w:w="5911"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74"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125" w:type="dxa"/>
            <w:gridSpan w:val="2"/>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380"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质量标准</w:t>
            </w:r>
          </w:p>
        </w:tc>
        <w:tc>
          <w:tcPr>
            <w:tcW w:w="5911"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74"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125" w:type="dxa"/>
            <w:gridSpan w:val="2"/>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380"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完成期限</w:t>
            </w:r>
          </w:p>
        </w:tc>
        <w:tc>
          <w:tcPr>
            <w:tcW w:w="5911"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合同签订后45日内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774"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125" w:type="dxa"/>
            <w:gridSpan w:val="2"/>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380"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对非关键条款的偏差</w:t>
            </w:r>
          </w:p>
        </w:tc>
        <w:tc>
          <w:tcPr>
            <w:tcW w:w="5911" w:type="dxa"/>
            <w:vAlign w:val="center"/>
          </w:tcPr>
          <w:p>
            <w:pPr>
              <w:widowControl w:val="0"/>
              <w:spacing w:line="288" w:lineRule="auto"/>
              <w:ind w:firstLine="210" w:firstLineChars="100"/>
              <w:jc w:val="left"/>
              <w:rPr>
                <w:rFonts w:cs="仿宋" w:asciiTheme="minorEastAsia" w:hAnsiTheme="minorEastAsia" w:eastAsiaTheme="minorEastAsia"/>
                <w:szCs w:val="21"/>
              </w:rPr>
            </w:pPr>
            <w:r>
              <w:rPr>
                <w:rFonts w:hint="eastAsia" w:cs="仿宋" w:asciiTheme="minorEastAsia" w:hAnsiTheme="minorEastAsia" w:eastAsiaTheme="minorEastAsia"/>
                <w:szCs w:val="21"/>
              </w:rPr>
              <w:t>允许偏差的范围：</w:t>
            </w:r>
            <w:r>
              <w:rPr>
                <w:rFonts w:hint="eastAsia" w:cs="仿宋" w:asciiTheme="minorEastAsia" w:hAnsiTheme="minorEastAsia" w:eastAsiaTheme="minorEastAsia"/>
                <w:szCs w:val="21"/>
                <w:u w:val="single"/>
              </w:rPr>
              <w:t>细微偏差</w:t>
            </w:r>
          </w:p>
          <w:p>
            <w:pPr>
              <w:widowControl/>
              <w:adjustRightInd w:val="0"/>
              <w:snapToGrid w:val="0"/>
              <w:spacing w:line="288" w:lineRule="auto"/>
              <w:ind w:firstLine="210" w:firstLineChars="100"/>
              <w:jc w:val="left"/>
              <w:rPr>
                <w:rFonts w:cs="仿宋" w:asciiTheme="minorEastAsia" w:hAnsiTheme="minorEastAsia" w:eastAsiaTheme="minorEastAsia"/>
                <w:szCs w:val="21"/>
              </w:rPr>
            </w:pPr>
            <w:r>
              <w:rPr>
                <w:rFonts w:hint="eastAsia" w:cs="仿宋" w:asciiTheme="minorEastAsia" w:hAnsiTheme="minorEastAsia" w:eastAsiaTheme="minorEastAsia"/>
                <w:szCs w:val="21"/>
              </w:rPr>
              <w:t>允许偏差的项数：3</w:t>
            </w:r>
            <w:r>
              <w:rPr>
                <w:rFonts w:hint="eastAsia" w:cs="仿宋" w:asciiTheme="minorEastAsia" w:hAnsiTheme="minorEastAsia" w:eastAsiaTheme="minorEastAsia"/>
                <w:szCs w:val="21"/>
                <w:u w:val="singl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74"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2.2.2</w:t>
            </w:r>
          </w:p>
        </w:tc>
        <w:tc>
          <w:tcPr>
            <w:tcW w:w="1125"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380"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评审价格</w:t>
            </w:r>
          </w:p>
        </w:tc>
        <w:tc>
          <w:tcPr>
            <w:tcW w:w="5911"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大写含税价格。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190" w:type="dxa"/>
            <w:gridSpan w:val="6"/>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3 详细评审标准和程序（综合评分法）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95" w:type="dxa"/>
            <w:gridSpan w:val="2"/>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3.1</w:t>
            </w:r>
          </w:p>
        </w:tc>
        <w:tc>
          <w:tcPr>
            <w:tcW w:w="1665" w:type="dxa"/>
            <w:gridSpan w:val="2"/>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分值构成</w:t>
            </w:r>
          </w:p>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（总分100分）</w:t>
            </w:r>
          </w:p>
        </w:tc>
        <w:tc>
          <w:tcPr>
            <w:tcW w:w="6330" w:type="dxa"/>
            <w:gridSpan w:val="2"/>
          </w:tcPr>
          <w:p>
            <w:pPr>
              <w:widowControl/>
              <w:numPr>
                <w:ilvl w:val="0"/>
                <w:numId w:val="2"/>
              </w:numPr>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商务部分：</w:t>
            </w:r>
            <w:r>
              <w:rPr>
                <w:rFonts w:hint="eastAsia" w:cs="仿宋" w:asciiTheme="minorEastAsia" w:hAnsiTheme="minorEastAsia" w:eastAsiaTheme="minorEastAsia"/>
                <w:szCs w:val="21"/>
                <w:u w:val="single"/>
              </w:rPr>
              <w:t xml:space="preserve">    40    </w:t>
            </w:r>
            <w:r>
              <w:rPr>
                <w:rFonts w:hint="eastAsia" w:cs="仿宋" w:asciiTheme="minorEastAsia" w:hAnsiTheme="minorEastAsia" w:eastAsiaTheme="minorEastAsia"/>
                <w:szCs w:val="21"/>
              </w:rPr>
              <w:t>分</w:t>
            </w:r>
          </w:p>
          <w:p>
            <w:pPr>
              <w:widowControl/>
              <w:numPr>
                <w:ilvl w:val="0"/>
                <w:numId w:val="2"/>
              </w:numPr>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技术部分：</w:t>
            </w:r>
            <w:r>
              <w:rPr>
                <w:rFonts w:hint="eastAsia" w:cs="仿宋" w:asciiTheme="minorEastAsia" w:hAnsiTheme="minorEastAsia" w:eastAsiaTheme="minorEastAsia"/>
                <w:szCs w:val="21"/>
                <w:u w:val="single"/>
              </w:rPr>
              <w:t xml:space="preserve">   20     </w:t>
            </w:r>
            <w:r>
              <w:rPr>
                <w:rFonts w:hint="eastAsia" w:cs="仿宋" w:asciiTheme="minorEastAsia" w:hAnsiTheme="minorEastAsia" w:eastAsiaTheme="minorEastAsia"/>
                <w:szCs w:val="21"/>
              </w:rPr>
              <w:t>分</w:t>
            </w:r>
          </w:p>
          <w:p>
            <w:pPr>
              <w:widowControl/>
              <w:numPr>
                <w:ilvl w:val="0"/>
                <w:numId w:val="2"/>
              </w:numPr>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报价部分：</w:t>
            </w:r>
            <w:r>
              <w:rPr>
                <w:rFonts w:hint="eastAsia" w:cs="仿宋" w:asciiTheme="minorEastAsia" w:hAnsiTheme="minorEastAsia" w:eastAsiaTheme="minorEastAsia"/>
                <w:szCs w:val="21"/>
                <w:u w:val="single"/>
              </w:rPr>
              <w:t xml:space="preserve">    40    </w:t>
            </w:r>
            <w:r>
              <w:rPr>
                <w:rFonts w:hint="eastAsia" w:cs="仿宋" w:asciiTheme="minorEastAsia" w:hAnsiTheme="minorEastAsia" w:eastAsia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195" w:type="dxa"/>
            <w:gridSpan w:val="2"/>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3.2（2）</w:t>
            </w:r>
          </w:p>
        </w:tc>
        <w:tc>
          <w:tcPr>
            <w:tcW w:w="1665" w:type="dxa"/>
            <w:gridSpan w:val="2"/>
          </w:tcPr>
          <w:p>
            <w:pPr>
              <w:widowControl/>
              <w:adjustRightInd w:val="0"/>
              <w:snapToGrid w:val="0"/>
              <w:spacing w:line="288" w:lineRule="auto"/>
              <w:jc w:val="both"/>
              <w:rPr>
                <w:rFonts w:asciiTheme="minorEastAsia" w:hAnsiTheme="minorEastAsia" w:eastAsiaTheme="minorEastAsia"/>
                <w:szCs w:val="21"/>
              </w:rPr>
            </w:pPr>
            <w:r>
              <w:rPr>
                <w:rFonts w:hint="eastAsia" w:cs="仿宋" w:asciiTheme="minorEastAsia" w:hAnsiTheme="minorEastAsia" w:eastAsiaTheme="minorEastAsia"/>
                <w:szCs w:val="21"/>
              </w:rPr>
              <w:t>评审基准价计算方法</w:t>
            </w:r>
          </w:p>
        </w:tc>
        <w:tc>
          <w:tcPr>
            <w:tcW w:w="6330"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asciiTheme="minorEastAsia" w:hAnsiTheme="minorEastAsia" w:eastAsiaTheme="minorEastAsia"/>
                <w:szCs w:val="21"/>
              </w:rPr>
              <w:t>通过初步评审的最低评审价格为评审基准价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195"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条款号</w:t>
            </w:r>
          </w:p>
        </w:tc>
        <w:tc>
          <w:tcPr>
            <w:tcW w:w="1665"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评分因素</w:t>
            </w:r>
          </w:p>
        </w:tc>
        <w:tc>
          <w:tcPr>
            <w:tcW w:w="6330" w:type="dxa"/>
            <w:gridSpan w:val="2"/>
            <w:vAlign w:val="center"/>
          </w:tcPr>
          <w:p>
            <w:pPr>
              <w:widowControl/>
              <w:adjustRightInd w:val="0"/>
              <w:snapToGrid w:val="0"/>
              <w:spacing w:line="288" w:lineRule="auto"/>
              <w:jc w:val="center"/>
              <w:rPr>
                <w:rFonts w:asciiTheme="minorEastAsia" w:hAnsiTheme="minorEastAsia" w:eastAsiaTheme="minorEastAsia"/>
                <w:szCs w:val="21"/>
              </w:rPr>
            </w:pPr>
            <w:r>
              <w:rPr>
                <w:rFonts w:hint="eastAsia" w:cs="仿宋" w:asciiTheme="minorEastAsia" w:hAnsiTheme="minorEastAsia" w:eastAsiaTheme="minorEastAsia"/>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195" w:type="dxa"/>
            <w:gridSpan w:val="2"/>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3.3（1）</w:t>
            </w:r>
          </w:p>
        </w:tc>
        <w:tc>
          <w:tcPr>
            <w:tcW w:w="1665" w:type="dxa"/>
            <w:gridSpan w:val="2"/>
            <w:vAlign w:val="center"/>
          </w:tcPr>
          <w:p>
            <w:pPr>
              <w:widowControl w:val="0"/>
              <w:adjustRightInd w:val="0"/>
              <w:snapToGrid w:val="0"/>
              <w:spacing w:line="288" w:lineRule="auto"/>
              <w:jc w:val="both"/>
              <w:rPr>
                <w:rFonts w:cs="仿宋" w:asciiTheme="minorEastAsia" w:hAnsiTheme="minorEastAsia" w:eastAsiaTheme="minorEastAsia"/>
                <w:szCs w:val="21"/>
              </w:rPr>
            </w:pPr>
            <w:r>
              <w:rPr>
                <w:rFonts w:hint="eastAsia" w:ascii="宋体" w:hAnsi="宋体"/>
                <w:szCs w:val="21"/>
              </w:rPr>
              <w:t>商务部分评分标准</w:t>
            </w:r>
          </w:p>
        </w:tc>
        <w:tc>
          <w:tcPr>
            <w:tcW w:w="6330" w:type="dxa"/>
            <w:gridSpan w:val="2"/>
            <w:vAlign w:val="center"/>
          </w:tcPr>
          <w:p>
            <w:pPr>
              <w:widowControl w:val="0"/>
              <w:adjustRightInd w:val="0"/>
              <w:snapToGrid w:val="0"/>
              <w:spacing w:line="288" w:lineRule="auto"/>
              <w:jc w:val="center"/>
              <w:rPr>
                <w:rFonts w:asciiTheme="minorEastAsia" w:hAnsiTheme="minorEastAsia" w:eastAsiaTheme="minorEastAsia"/>
                <w:szCs w:val="21"/>
              </w:rPr>
            </w:pPr>
            <w:r>
              <w:rPr>
                <w:rFonts w:hint="eastAsia" w:ascii="宋体" w:hAnsi="宋体"/>
                <w:szCs w:val="21"/>
              </w:rPr>
              <w:t>详见本章</w:t>
            </w:r>
            <w:r>
              <w:rPr>
                <w:rFonts w:hint="eastAsia" w:ascii="宋体" w:hAnsi="宋体"/>
                <w:b/>
                <w:szCs w:val="21"/>
              </w:rPr>
              <w:t>附表1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195" w:type="dxa"/>
            <w:gridSpan w:val="2"/>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3.3（2）</w:t>
            </w:r>
          </w:p>
        </w:tc>
        <w:tc>
          <w:tcPr>
            <w:tcW w:w="1665" w:type="dxa"/>
            <w:gridSpan w:val="2"/>
            <w:vAlign w:val="center"/>
          </w:tcPr>
          <w:p>
            <w:pPr>
              <w:widowControl w:val="0"/>
              <w:adjustRightInd w:val="0"/>
              <w:snapToGrid w:val="0"/>
              <w:spacing w:line="288" w:lineRule="auto"/>
              <w:jc w:val="both"/>
              <w:rPr>
                <w:rFonts w:cs="仿宋" w:asciiTheme="minorEastAsia" w:hAnsiTheme="minorEastAsia" w:eastAsiaTheme="minorEastAsia"/>
                <w:szCs w:val="21"/>
              </w:rPr>
            </w:pPr>
            <w:r>
              <w:rPr>
                <w:rFonts w:hint="eastAsia" w:ascii="宋体" w:hAnsi="宋体"/>
                <w:szCs w:val="21"/>
              </w:rPr>
              <w:t>技术部分评分标准</w:t>
            </w:r>
          </w:p>
        </w:tc>
        <w:tc>
          <w:tcPr>
            <w:tcW w:w="6330" w:type="dxa"/>
            <w:gridSpan w:val="2"/>
            <w:vAlign w:val="center"/>
          </w:tcPr>
          <w:p>
            <w:pPr>
              <w:widowControl w:val="0"/>
              <w:adjustRightInd w:val="0"/>
              <w:snapToGrid w:val="0"/>
              <w:spacing w:line="288" w:lineRule="auto"/>
              <w:jc w:val="center"/>
              <w:rPr>
                <w:rFonts w:asciiTheme="minorEastAsia" w:hAnsiTheme="minorEastAsia" w:eastAsiaTheme="minorEastAsia"/>
                <w:szCs w:val="21"/>
              </w:rPr>
            </w:pPr>
            <w:r>
              <w:rPr>
                <w:rFonts w:hint="eastAsia" w:ascii="宋体" w:hAnsi="宋体"/>
                <w:szCs w:val="21"/>
              </w:rPr>
              <w:t>详见本章</w:t>
            </w:r>
            <w:r>
              <w:rPr>
                <w:rFonts w:hint="eastAsia" w:ascii="宋体" w:hAnsi="宋体"/>
                <w:b/>
                <w:szCs w:val="21"/>
              </w:rPr>
              <w:t>附表2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195" w:type="dxa"/>
            <w:gridSpan w:val="2"/>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3.3（3）</w:t>
            </w:r>
          </w:p>
        </w:tc>
        <w:tc>
          <w:tcPr>
            <w:tcW w:w="1665" w:type="dxa"/>
            <w:gridSpan w:val="2"/>
            <w:vAlign w:val="center"/>
          </w:tcPr>
          <w:p>
            <w:pPr>
              <w:widowControl/>
              <w:adjustRightInd w:val="0"/>
              <w:snapToGrid w:val="0"/>
              <w:spacing w:line="288" w:lineRule="auto"/>
              <w:jc w:val="both"/>
              <w:rPr>
                <w:rFonts w:cs="仿宋" w:asciiTheme="minorEastAsia" w:hAnsiTheme="minorEastAsia" w:eastAsiaTheme="minorEastAsia"/>
                <w:szCs w:val="21"/>
              </w:rPr>
            </w:pPr>
            <w:r>
              <w:rPr>
                <w:rFonts w:hint="eastAsia" w:ascii="宋体" w:hAnsi="宋体"/>
                <w:szCs w:val="21"/>
              </w:rPr>
              <w:t>报价评分标准</w:t>
            </w:r>
          </w:p>
        </w:tc>
        <w:tc>
          <w:tcPr>
            <w:tcW w:w="6330" w:type="dxa"/>
            <w:gridSpan w:val="2"/>
            <w:vAlign w:val="center"/>
          </w:tcPr>
          <w:p>
            <w:pPr>
              <w:widowControl/>
              <w:adjustRightInd w:val="0"/>
              <w:snapToGrid w:val="0"/>
              <w:spacing w:line="288" w:lineRule="auto"/>
              <w:jc w:val="both"/>
              <w:rPr>
                <w:rFonts w:asciiTheme="minorEastAsia" w:hAnsiTheme="minorEastAsia" w:eastAsiaTheme="minorEastAsia"/>
                <w:szCs w:val="21"/>
              </w:rPr>
            </w:pPr>
            <w:r>
              <w:rPr>
                <w:rFonts w:hint="eastAsia" w:asciiTheme="minorEastAsia" w:hAnsiTheme="minorEastAsia" w:eastAsiaTheme="minorEastAsia"/>
                <w:szCs w:val="21"/>
              </w:rPr>
              <w:t>通过初步评审的最低评审价格为评审基准价，其供应商报价分为满分。其他供应商的报价分统一按照下列公式计算：报价得分＝（评审基准价／评审价格）</w:t>
            </w:r>
            <w:r>
              <w:rPr>
                <w:rFonts w:asciiTheme="minorEastAsia" w:hAnsiTheme="minorEastAsia" w:eastAsiaTheme="minorEastAsia"/>
                <w:szCs w:val="21"/>
              </w:rPr>
              <w:t>×</w:t>
            </w:r>
            <w:r>
              <w:rPr>
                <w:rFonts w:hint="eastAsia" w:asciiTheme="minorEastAsia" w:hAnsiTheme="minorEastAsia" w:eastAsiaTheme="minorEastAsia"/>
                <w:szCs w:val="21"/>
                <w:u w:val="single"/>
              </w:rPr>
              <w:t xml:space="preserve"> 40 </w:t>
            </w:r>
            <w:r>
              <w:rPr>
                <w:rFonts w:hint="eastAsia" w:asciiTheme="minorEastAsia" w:hAnsiTheme="minorEastAsia" w:eastAsiaTheme="minorEastAsia"/>
                <w:szCs w:val="21"/>
              </w:rPr>
              <w:t>（响应报价分）。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195" w:type="dxa"/>
            <w:gridSpan w:val="2"/>
            <w:vAlign w:val="center"/>
          </w:tcPr>
          <w:p>
            <w:pPr>
              <w:widowControl w:val="0"/>
              <w:adjustRightInd w:val="0"/>
              <w:snapToGrid w:val="0"/>
              <w:spacing w:line="288" w:lineRule="auto"/>
              <w:jc w:val="both"/>
              <w:rPr>
                <w:rFonts w:cs="仿宋" w:asciiTheme="minorEastAsia" w:hAnsiTheme="minorEastAsia" w:eastAsiaTheme="minorEastAsia"/>
                <w:szCs w:val="21"/>
              </w:rPr>
            </w:pPr>
            <w:r>
              <w:rPr>
                <w:rFonts w:hint="eastAsia" w:asciiTheme="minorEastAsia" w:hAnsiTheme="minorEastAsia" w:eastAsiaTheme="minorEastAsia"/>
                <w:szCs w:val="21"/>
              </w:rPr>
              <w:t xml:space="preserve">3.4.1 </w:t>
            </w:r>
          </w:p>
        </w:tc>
        <w:tc>
          <w:tcPr>
            <w:tcW w:w="1665" w:type="dxa"/>
            <w:gridSpan w:val="2"/>
            <w:vAlign w:val="center"/>
          </w:tcPr>
          <w:p>
            <w:pPr>
              <w:widowControl w:val="0"/>
              <w:adjustRightInd w:val="0"/>
              <w:snapToGrid w:val="0"/>
              <w:spacing w:line="288" w:lineRule="auto"/>
              <w:jc w:val="both"/>
              <w:rPr>
                <w:rFonts w:ascii="宋体" w:hAnsi="宋体"/>
                <w:szCs w:val="21"/>
              </w:rPr>
            </w:pPr>
            <w:r>
              <w:rPr>
                <w:rFonts w:hint="eastAsia" w:asciiTheme="minorEastAsia" w:hAnsiTheme="minorEastAsia" w:eastAsiaTheme="minorEastAsia"/>
                <w:szCs w:val="21"/>
              </w:rPr>
              <w:t>供应商最终得分的计算方法</w:t>
            </w:r>
          </w:p>
        </w:tc>
        <w:tc>
          <w:tcPr>
            <w:tcW w:w="6330" w:type="dxa"/>
            <w:gridSpan w:val="2"/>
            <w:vAlign w:val="center"/>
          </w:tcPr>
          <w:p>
            <w:pPr>
              <w:widowControl w:val="0"/>
              <w:adjustRightInd w:val="0"/>
              <w:snapToGrid w:val="0"/>
              <w:spacing w:line="288" w:lineRule="auto"/>
              <w:jc w:val="both"/>
              <w:rPr>
                <w:rFonts w:asciiTheme="minorEastAsia" w:hAnsiTheme="minorEastAsia" w:eastAsiaTheme="minorEastAsia"/>
                <w:szCs w:val="21"/>
              </w:rPr>
            </w:pPr>
            <w:r>
              <w:rPr>
                <w:rFonts w:hint="eastAsia" w:asciiTheme="minorEastAsia" w:hAnsiTheme="minorEastAsia" w:eastAsiaTheme="minorEastAsia"/>
                <w:szCs w:val="21"/>
              </w:rPr>
              <w:t>供应商最终得分为商务部分、技术部分、响应报价3个方面评价得分之和，得分最高供应商为第一成交候选人。</w:t>
            </w:r>
          </w:p>
        </w:tc>
      </w:tr>
    </w:tbl>
    <w:p>
      <w:pPr>
        <w:adjustRightInd w:val="0"/>
        <w:snapToGrid w:val="0"/>
        <w:spacing w:line="360" w:lineRule="auto"/>
        <w:jc w:val="center"/>
        <w:rPr>
          <w:rFonts w:ascii="宋体" w:hAnsi="宋体" w:cs="仿宋"/>
          <w:b/>
          <w:bCs/>
          <w:sz w:val="36"/>
          <w:szCs w:val="36"/>
        </w:rPr>
      </w:pPr>
    </w:p>
    <w:p>
      <w:pPr>
        <w:rPr>
          <w:rFonts w:ascii="宋体" w:hAnsi="宋体" w:cs="仿宋"/>
          <w:b/>
          <w:bCs/>
          <w:sz w:val="36"/>
          <w:szCs w:val="36"/>
        </w:rPr>
      </w:pPr>
      <w:r>
        <w:rPr>
          <w:rFonts w:hint="eastAsia" w:ascii="宋体" w:hAnsi="宋体" w:cs="仿宋"/>
          <w:b/>
          <w:bCs/>
          <w:sz w:val="36"/>
          <w:szCs w:val="36"/>
        </w:rPr>
        <w:br w:type="page"/>
      </w:r>
    </w:p>
    <w:p>
      <w:pPr>
        <w:adjustRightInd w:val="0"/>
        <w:snapToGrid w:val="0"/>
        <w:spacing w:line="360" w:lineRule="auto"/>
        <w:jc w:val="center"/>
        <w:rPr>
          <w:rFonts w:ascii="宋体" w:hAnsi="宋体" w:cs="仿宋"/>
          <w:b/>
          <w:bCs/>
          <w:sz w:val="36"/>
          <w:szCs w:val="36"/>
        </w:rPr>
      </w:pPr>
      <w:r>
        <w:rPr>
          <w:rFonts w:hint="eastAsia" w:ascii="宋体" w:hAnsi="宋体" w:cs="仿宋"/>
          <w:b/>
          <w:bCs/>
          <w:sz w:val="36"/>
          <w:szCs w:val="36"/>
        </w:rPr>
        <w:t>评审办法正文</w:t>
      </w:r>
    </w:p>
    <w:p>
      <w:pPr>
        <w:widowControl w:val="0"/>
        <w:autoSpaceDN w:val="0"/>
        <w:adjustRightInd w:val="0"/>
        <w:snapToGrid w:val="0"/>
        <w:spacing w:line="312" w:lineRule="auto"/>
        <w:ind w:firstLine="482" w:firstLineChars="200"/>
        <w:jc w:val="both"/>
        <w:outlineLvl w:val="1"/>
        <w:rPr>
          <w:rFonts w:ascii="宋体" w:hAnsi="宋体"/>
          <w:b/>
          <w:color w:val="000000"/>
          <w:kern w:val="0"/>
          <w:sz w:val="24"/>
        </w:rPr>
      </w:pPr>
      <w:bookmarkStart w:id="18" w:name="_Toc76635705"/>
      <w:bookmarkStart w:id="19" w:name="_Toc77254126"/>
      <w:r>
        <w:rPr>
          <w:rFonts w:hint="eastAsia" w:ascii="宋体" w:hAnsi="宋体"/>
          <w:b/>
          <w:color w:val="000000"/>
          <w:kern w:val="0"/>
          <w:sz w:val="24"/>
        </w:rPr>
        <w:t>1．评标方法</w:t>
      </w:r>
      <w:bookmarkEnd w:id="18"/>
      <w:bookmarkEnd w:id="19"/>
    </w:p>
    <w:p>
      <w:pPr>
        <w:widowControl w:val="0"/>
        <w:adjustRightInd w:val="0"/>
        <w:snapToGrid w:val="0"/>
        <w:spacing w:line="312" w:lineRule="auto"/>
        <w:ind w:firstLine="480" w:firstLineChars="200"/>
        <w:jc w:val="both"/>
        <w:rPr>
          <w:rFonts w:ascii="宋体" w:hAnsi="宋体"/>
          <w:color w:val="000000"/>
          <w:sz w:val="24"/>
        </w:rPr>
      </w:pPr>
      <w:r>
        <w:rPr>
          <w:rFonts w:hint="eastAsia" w:ascii="宋体" w:hAnsi="宋体"/>
          <w:color w:val="000000"/>
          <w:sz w:val="24"/>
        </w:rPr>
        <w:t>本次评标采用综合评估法，评标委员会对满足询价文件实质性要求的投标文件，按照本章第 2.2 款规定的评分标准进行打分，并按得分由高到低顺序推荐中标候选人，但投标报价低于其成本的除外。综合评分相等时，以投标报价低的优先；投标报价也相等的，以技术部分得分高的优先；如果技术部分得分也相等，</w:t>
      </w:r>
      <w:r>
        <w:rPr>
          <w:rFonts w:ascii="宋体" w:hAnsi="宋体"/>
          <w:color w:val="000000"/>
          <w:sz w:val="24"/>
        </w:rPr>
        <w:t>由</w:t>
      </w:r>
      <w:r>
        <w:rPr>
          <w:rFonts w:hint="eastAsia" w:ascii="宋体" w:hAnsi="宋体"/>
          <w:color w:val="000000"/>
          <w:sz w:val="24"/>
        </w:rPr>
        <w:t>采购人</w:t>
      </w:r>
      <w:r>
        <w:rPr>
          <w:rFonts w:ascii="宋体" w:hAnsi="宋体"/>
          <w:color w:val="000000"/>
          <w:sz w:val="24"/>
        </w:rPr>
        <w:t>或者经</w:t>
      </w:r>
      <w:r>
        <w:rPr>
          <w:rFonts w:hint="eastAsia" w:ascii="宋体" w:hAnsi="宋体"/>
          <w:color w:val="000000"/>
          <w:sz w:val="24"/>
        </w:rPr>
        <w:t>采购人</w:t>
      </w:r>
      <w:r>
        <w:rPr>
          <w:rFonts w:ascii="宋体" w:hAnsi="宋体"/>
          <w:color w:val="000000"/>
          <w:sz w:val="24"/>
        </w:rPr>
        <w:t>授权评标委员会自行确定。</w:t>
      </w:r>
    </w:p>
    <w:p>
      <w:pPr>
        <w:widowControl w:val="0"/>
        <w:autoSpaceDN w:val="0"/>
        <w:adjustRightInd w:val="0"/>
        <w:snapToGrid w:val="0"/>
        <w:spacing w:line="312" w:lineRule="auto"/>
        <w:ind w:firstLine="482" w:firstLineChars="200"/>
        <w:jc w:val="both"/>
        <w:outlineLvl w:val="1"/>
        <w:rPr>
          <w:rFonts w:ascii="宋体" w:hAnsi="宋体"/>
          <w:b/>
          <w:color w:val="000000"/>
          <w:kern w:val="0"/>
          <w:sz w:val="24"/>
        </w:rPr>
      </w:pPr>
      <w:bookmarkStart w:id="20" w:name="_Toc77254127"/>
      <w:bookmarkStart w:id="21" w:name="_Toc13445"/>
      <w:bookmarkStart w:id="22" w:name="_Toc76635706"/>
      <w:bookmarkStart w:id="23" w:name="_Toc512257486"/>
      <w:r>
        <w:rPr>
          <w:rFonts w:hint="eastAsia" w:ascii="宋体" w:hAnsi="宋体"/>
          <w:b/>
          <w:color w:val="000000"/>
          <w:kern w:val="0"/>
          <w:sz w:val="24"/>
        </w:rPr>
        <w:t>2．评审标准</w:t>
      </w:r>
      <w:bookmarkEnd w:id="20"/>
      <w:bookmarkEnd w:id="21"/>
      <w:bookmarkEnd w:id="22"/>
      <w:bookmarkEnd w:id="23"/>
    </w:p>
    <w:p>
      <w:pPr>
        <w:widowControl w:val="0"/>
        <w:adjustRightInd w:val="0"/>
        <w:snapToGrid w:val="0"/>
        <w:spacing w:line="312" w:lineRule="auto"/>
        <w:ind w:firstLine="482" w:firstLineChars="200"/>
        <w:jc w:val="both"/>
        <w:rPr>
          <w:rFonts w:ascii="宋体" w:hAnsi="宋体"/>
          <w:b/>
          <w:color w:val="000000"/>
          <w:sz w:val="24"/>
        </w:rPr>
      </w:pPr>
      <w:bookmarkStart w:id="24" w:name="_Toc11852"/>
      <w:r>
        <w:rPr>
          <w:rFonts w:hint="eastAsia" w:ascii="宋体" w:hAnsi="宋体"/>
          <w:b/>
          <w:color w:val="000000"/>
          <w:sz w:val="24"/>
        </w:rPr>
        <w:t>2.1 初步评审标准</w:t>
      </w:r>
      <w:bookmarkEnd w:id="24"/>
    </w:p>
    <w:p>
      <w:pPr>
        <w:widowControl w:val="0"/>
        <w:adjustRightInd w:val="0"/>
        <w:snapToGrid w:val="0"/>
        <w:spacing w:line="312" w:lineRule="auto"/>
        <w:ind w:firstLine="480" w:firstLineChars="200"/>
        <w:jc w:val="both"/>
        <w:rPr>
          <w:rFonts w:ascii="宋体" w:hAnsi="宋体"/>
          <w:color w:val="000000"/>
          <w:sz w:val="24"/>
        </w:rPr>
      </w:pPr>
      <w:r>
        <w:rPr>
          <w:rFonts w:hint="eastAsia" w:ascii="宋体" w:hAnsi="宋体"/>
          <w:color w:val="000000"/>
          <w:sz w:val="24"/>
        </w:rPr>
        <w:t xml:space="preserve">2.1.1 形式评审标准：见评标办法前附表。 </w:t>
      </w:r>
    </w:p>
    <w:p>
      <w:pPr>
        <w:widowControl w:val="0"/>
        <w:adjustRightInd w:val="0"/>
        <w:snapToGrid w:val="0"/>
        <w:spacing w:line="312" w:lineRule="auto"/>
        <w:ind w:firstLine="480" w:firstLineChars="200"/>
        <w:jc w:val="both"/>
        <w:rPr>
          <w:rFonts w:ascii="宋体" w:hAnsi="宋体"/>
          <w:color w:val="000000"/>
          <w:sz w:val="24"/>
        </w:rPr>
      </w:pPr>
      <w:r>
        <w:rPr>
          <w:rFonts w:hint="eastAsia" w:ascii="宋体" w:hAnsi="宋体"/>
          <w:color w:val="000000"/>
          <w:sz w:val="24"/>
        </w:rPr>
        <w:t xml:space="preserve">2.1.2 资格评审标准：见评标办法前附表。 </w:t>
      </w:r>
    </w:p>
    <w:p>
      <w:pPr>
        <w:widowControl w:val="0"/>
        <w:adjustRightInd w:val="0"/>
        <w:snapToGrid w:val="0"/>
        <w:spacing w:line="312" w:lineRule="auto"/>
        <w:ind w:firstLine="480" w:firstLineChars="200"/>
        <w:jc w:val="both"/>
        <w:rPr>
          <w:rFonts w:ascii="宋体" w:hAnsi="宋体"/>
          <w:color w:val="000000"/>
          <w:sz w:val="24"/>
        </w:rPr>
      </w:pPr>
      <w:r>
        <w:rPr>
          <w:rFonts w:hint="eastAsia" w:ascii="宋体" w:hAnsi="宋体"/>
          <w:color w:val="000000"/>
          <w:sz w:val="24"/>
        </w:rPr>
        <w:t xml:space="preserve">2.1.3 响应性评审标准：见评标办法前附表。 </w:t>
      </w:r>
    </w:p>
    <w:p>
      <w:pPr>
        <w:widowControl w:val="0"/>
        <w:adjustRightInd w:val="0"/>
        <w:snapToGrid w:val="0"/>
        <w:spacing w:line="312" w:lineRule="auto"/>
        <w:ind w:firstLine="482" w:firstLineChars="200"/>
        <w:jc w:val="both"/>
        <w:rPr>
          <w:rFonts w:ascii="宋体" w:hAnsi="宋体"/>
          <w:b/>
          <w:color w:val="000000"/>
          <w:sz w:val="24"/>
        </w:rPr>
      </w:pPr>
      <w:bookmarkStart w:id="25" w:name="_Toc8911"/>
      <w:r>
        <w:rPr>
          <w:rFonts w:hint="eastAsia" w:ascii="宋体" w:hAnsi="宋体"/>
          <w:b/>
          <w:color w:val="000000"/>
          <w:sz w:val="24"/>
        </w:rPr>
        <w:t>2.2 分值构成与评分标准</w:t>
      </w:r>
      <w:bookmarkEnd w:id="25"/>
    </w:p>
    <w:p>
      <w:pPr>
        <w:widowControl w:val="0"/>
        <w:adjustRightInd w:val="0"/>
        <w:snapToGrid w:val="0"/>
        <w:spacing w:line="312" w:lineRule="auto"/>
        <w:ind w:firstLine="480" w:firstLineChars="200"/>
        <w:jc w:val="both"/>
        <w:rPr>
          <w:rFonts w:ascii="宋体" w:hAnsi="宋体"/>
          <w:color w:val="000000"/>
          <w:sz w:val="24"/>
        </w:rPr>
      </w:pPr>
      <w:r>
        <w:rPr>
          <w:rFonts w:hint="eastAsia" w:ascii="宋体" w:hAnsi="宋体"/>
          <w:color w:val="000000"/>
          <w:sz w:val="24"/>
        </w:rPr>
        <w:t xml:space="preserve">2.2.1 分值构成 </w:t>
      </w:r>
    </w:p>
    <w:p>
      <w:pPr>
        <w:widowControl w:val="0"/>
        <w:adjustRightInd w:val="0"/>
        <w:snapToGrid w:val="0"/>
        <w:spacing w:line="312" w:lineRule="auto"/>
        <w:ind w:firstLine="480" w:firstLineChars="200"/>
        <w:jc w:val="both"/>
        <w:rPr>
          <w:rFonts w:ascii="宋体" w:hAnsi="宋体"/>
          <w:color w:val="000000"/>
          <w:sz w:val="24"/>
        </w:rPr>
      </w:pPr>
      <w:r>
        <w:rPr>
          <w:rFonts w:hint="eastAsia" w:ascii="宋体" w:hAnsi="宋体"/>
          <w:color w:val="000000"/>
          <w:sz w:val="24"/>
        </w:rPr>
        <w:t>（1）商务部分：见评标办法附表；</w:t>
      </w:r>
    </w:p>
    <w:p>
      <w:pPr>
        <w:widowControl w:val="0"/>
        <w:adjustRightInd w:val="0"/>
        <w:snapToGrid w:val="0"/>
        <w:spacing w:line="312" w:lineRule="auto"/>
        <w:ind w:firstLine="480" w:firstLineChars="200"/>
        <w:jc w:val="both"/>
        <w:rPr>
          <w:rFonts w:ascii="宋体" w:hAnsi="宋体"/>
          <w:color w:val="000000"/>
          <w:sz w:val="24"/>
        </w:rPr>
      </w:pPr>
      <w:r>
        <w:rPr>
          <w:rFonts w:hint="eastAsia" w:ascii="宋体" w:hAnsi="宋体"/>
          <w:color w:val="000000"/>
          <w:sz w:val="24"/>
        </w:rPr>
        <w:t>（2）技术部分：见评标办法附表；</w:t>
      </w:r>
    </w:p>
    <w:p>
      <w:pPr>
        <w:widowControl w:val="0"/>
        <w:adjustRightInd w:val="0"/>
        <w:snapToGrid w:val="0"/>
        <w:spacing w:line="312" w:lineRule="auto"/>
        <w:ind w:firstLine="480" w:firstLineChars="200"/>
        <w:jc w:val="both"/>
        <w:rPr>
          <w:rFonts w:ascii="宋体" w:hAnsi="宋体"/>
          <w:color w:val="000000"/>
          <w:sz w:val="24"/>
        </w:rPr>
      </w:pPr>
      <w:r>
        <w:rPr>
          <w:rFonts w:hint="eastAsia" w:ascii="宋体" w:hAnsi="宋体"/>
          <w:color w:val="000000"/>
          <w:sz w:val="24"/>
        </w:rPr>
        <w:t>（3）投标报价部分：见评标办法附表。</w:t>
      </w:r>
    </w:p>
    <w:p>
      <w:pPr>
        <w:widowControl w:val="0"/>
        <w:adjustRightInd w:val="0"/>
        <w:snapToGrid w:val="0"/>
        <w:spacing w:line="312" w:lineRule="auto"/>
        <w:ind w:firstLine="480" w:firstLineChars="200"/>
        <w:jc w:val="both"/>
        <w:rPr>
          <w:rFonts w:ascii="宋体" w:hAnsi="宋体"/>
          <w:color w:val="000000"/>
          <w:sz w:val="24"/>
        </w:rPr>
      </w:pPr>
      <w:r>
        <w:rPr>
          <w:rFonts w:hint="eastAsia" w:ascii="宋体" w:hAnsi="宋体"/>
          <w:color w:val="000000"/>
          <w:sz w:val="24"/>
        </w:rPr>
        <w:t xml:space="preserve">2.2.2 评分标准 </w:t>
      </w:r>
    </w:p>
    <w:p>
      <w:pPr>
        <w:widowControl w:val="0"/>
        <w:adjustRightInd w:val="0"/>
        <w:snapToGrid w:val="0"/>
        <w:spacing w:line="312" w:lineRule="auto"/>
        <w:ind w:firstLine="480" w:firstLineChars="200"/>
        <w:jc w:val="both"/>
        <w:rPr>
          <w:rFonts w:ascii="宋体" w:hAnsi="宋体"/>
          <w:color w:val="000000"/>
          <w:sz w:val="24"/>
        </w:rPr>
      </w:pPr>
      <w:r>
        <w:rPr>
          <w:rFonts w:hint="eastAsia" w:ascii="宋体" w:hAnsi="宋体"/>
          <w:color w:val="000000"/>
          <w:sz w:val="24"/>
        </w:rPr>
        <w:t>（1）商务部分评分标准：见评标办法前附表；</w:t>
      </w:r>
    </w:p>
    <w:p>
      <w:pPr>
        <w:widowControl w:val="0"/>
        <w:adjustRightInd w:val="0"/>
        <w:snapToGrid w:val="0"/>
        <w:spacing w:line="312" w:lineRule="auto"/>
        <w:ind w:firstLine="480" w:firstLineChars="200"/>
        <w:jc w:val="both"/>
        <w:rPr>
          <w:rFonts w:ascii="宋体" w:hAnsi="宋体"/>
          <w:color w:val="000000"/>
          <w:sz w:val="24"/>
        </w:rPr>
      </w:pPr>
      <w:r>
        <w:rPr>
          <w:rFonts w:hint="eastAsia" w:ascii="宋体" w:hAnsi="宋体"/>
          <w:color w:val="000000"/>
          <w:sz w:val="24"/>
        </w:rPr>
        <w:t>（2）技术部分评分标准：见评标办法前附表；</w:t>
      </w:r>
    </w:p>
    <w:p>
      <w:pPr>
        <w:pStyle w:val="49"/>
        <w:ind w:firstLine="480" w:firstLineChars="200"/>
        <w:rPr>
          <w:rFonts w:ascii="宋体" w:hAnsi="宋体" w:eastAsia="宋体" w:cs="Times New Roman"/>
          <w:color w:val="000000"/>
        </w:rPr>
      </w:pPr>
      <w:r>
        <w:rPr>
          <w:rFonts w:hint="eastAsia" w:ascii="宋体" w:hAnsi="宋体" w:eastAsia="宋体" w:cs="Times New Roman"/>
          <w:color w:val="000000"/>
        </w:rPr>
        <w:t>（3）投标报价评分标准：见评标办法前附表。</w:t>
      </w:r>
    </w:p>
    <w:p>
      <w:pPr>
        <w:widowControl w:val="0"/>
        <w:autoSpaceDN w:val="0"/>
        <w:adjustRightInd w:val="0"/>
        <w:snapToGrid w:val="0"/>
        <w:spacing w:line="312" w:lineRule="auto"/>
        <w:ind w:firstLine="482" w:firstLineChars="200"/>
        <w:jc w:val="both"/>
        <w:outlineLvl w:val="1"/>
        <w:rPr>
          <w:rFonts w:ascii="宋体" w:hAnsi="宋体"/>
          <w:b/>
          <w:color w:val="000000"/>
          <w:kern w:val="0"/>
          <w:sz w:val="24"/>
        </w:rPr>
      </w:pPr>
      <w:bookmarkStart w:id="26" w:name="_Toc77254128"/>
      <w:bookmarkStart w:id="27" w:name="_Toc16627"/>
      <w:bookmarkStart w:id="28" w:name="_Toc512257487"/>
      <w:bookmarkStart w:id="29" w:name="_Toc76635707"/>
      <w:r>
        <w:rPr>
          <w:rFonts w:hint="eastAsia" w:ascii="宋体" w:hAnsi="宋体"/>
          <w:b/>
          <w:color w:val="000000"/>
          <w:kern w:val="0"/>
          <w:sz w:val="24"/>
        </w:rPr>
        <w:t>3．评标程序</w:t>
      </w:r>
      <w:bookmarkEnd w:id="26"/>
      <w:bookmarkEnd w:id="27"/>
      <w:bookmarkEnd w:id="28"/>
      <w:bookmarkEnd w:id="29"/>
    </w:p>
    <w:p>
      <w:pPr>
        <w:widowControl w:val="0"/>
        <w:adjustRightInd w:val="0"/>
        <w:snapToGrid w:val="0"/>
        <w:spacing w:line="312" w:lineRule="auto"/>
        <w:ind w:firstLine="482" w:firstLineChars="200"/>
        <w:jc w:val="both"/>
        <w:rPr>
          <w:rFonts w:ascii="宋体" w:hAnsi="宋体"/>
          <w:b/>
          <w:color w:val="000000"/>
          <w:sz w:val="24"/>
        </w:rPr>
      </w:pPr>
      <w:bookmarkStart w:id="30" w:name="_Toc20466"/>
      <w:r>
        <w:rPr>
          <w:rFonts w:hint="eastAsia" w:ascii="宋体" w:hAnsi="宋体"/>
          <w:b/>
          <w:color w:val="000000"/>
          <w:sz w:val="24"/>
        </w:rPr>
        <w:t>3.1 初步评审</w:t>
      </w:r>
      <w:bookmarkEnd w:id="30"/>
    </w:p>
    <w:p>
      <w:pPr>
        <w:widowControl w:val="0"/>
        <w:adjustRightInd w:val="0"/>
        <w:snapToGrid w:val="0"/>
        <w:spacing w:line="312" w:lineRule="auto"/>
        <w:ind w:firstLine="480" w:firstLineChars="200"/>
        <w:jc w:val="both"/>
        <w:rPr>
          <w:rFonts w:ascii="宋体" w:hAnsi="宋体"/>
          <w:color w:val="000000"/>
          <w:sz w:val="24"/>
        </w:rPr>
      </w:pPr>
      <w:r>
        <w:rPr>
          <w:rFonts w:ascii="宋体" w:hAnsi="宋体"/>
          <w:color w:val="000000"/>
          <w:sz w:val="24"/>
        </w:rPr>
        <w:t>3.1.1</w:t>
      </w:r>
      <w:r>
        <w:rPr>
          <w:rFonts w:hint="eastAsia" w:ascii="宋体" w:hAnsi="宋体"/>
          <w:color w:val="000000"/>
          <w:sz w:val="24"/>
        </w:rPr>
        <w:t>评标委员会可以要求供应商提交第二章“供应商须知”第</w:t>
      </w:r>
      <w:r>
        <w:rPr>
          <w:rFonts w:ascii="宋体" w:hAnsi="宋体"/>
          <w:color w:val="000000"/>
          <w:sz w:val="24"/>
        </w:rPr>
        <w:t>3.5</w:t>
      </w:r>
      <w:r>
        <w:rPr>
          <w:rFonts w:hint="eastAsia" w:ascii="宋体" w:hAnsi="宋体"/>
          <w:color w:val="000000"/>
          <w:sz w:val="24"/>
        </w:rPr>
        <w:t>项规定的有关证明和证件的原件，以便核验。评标委员会依据本章第</w:t>
      </w:r>
      <w:r>
        <w:rPr>
          <w:rFonts w:ascii="宋体" w:hAnsi="宋体"/>
          <w:color w:val="000000"/>
          <w:sz w:val="24"/>
        </w:rPr>
        <w:t>2.1</w:t>
      </w:r>
      <w:r>
        <w:rPr>
          <w:rFonts w:hint="eastAsia" w:ascii="宋体" w:hAnsi="宋体"/>
          <w:color w:val="000000"/>
          <w:sz w:val="24"/>
        </w:rPr>
        <w:t>款规定的标准对投标文件进行初步评审。有一项不符合评审标准的，作废标处理。</w:t>
      </w:r>
    </w:p>
    <w:p>
      <w:pPr>
        <w:widowControl w:val="0"/>
        <w:adjustRightInd w:val="0"/>
        <w:snapToGrid w:val="0"/>
        <w:spacing w:line="312" w:lineRule="auto"/>
        <w:ind w:firstLine="480" w:firstLineChars="200"/>
        <w:jc w:val="both"/>
        <w:rPr>
          <w:rFonts w:ascii="宋体" w:hAnsi="宋体"/>
          <w:color w:val="000000"/>
          <w:sz w:val="24"/>
        </w:rPr>
      </w:pPr>
      <w:r>
        <w:rPr>
          <w:rFonts w:ascii="宋体" w:hAnsi="宋体"/>
          <w:color w:val="000000"/>
          <w:sz w:val="24"/>
        </w:rPr>
        <w:t xml:space="preserve">3.1.2 </w:t>
      </w:r>
      <w:r>
        <w:rPr>
          <w:rFonts w:hint="eastAsia" w:ascii="宋体" w:hAnsi="宋体"/>
          <w:color w:val="000000"/>
          <w:sz w:val="24"/>
        </w:rPr>
        <w:t>供应商有以下情形之一的，其投标作废标处理：</w:t>
      </w:r>
    </w:p>
    <w:p>
      <w:pPr>
        <w:widowControl w:val="0"/>
        <w:adjustRightInd w:val="0"/>
        <w:snapToGrid w:val="0"/>
        <w:spacing w:line="312" w:lineRule="auto"/>
        <w:ind w:firstLine="480" w:firstLineChars="200"/>
        <w:jc w:val="both"/>
        <w:rPr>
          <w:rFonts w:ascii="宋体" w:hAnsi="宋体"/>
          <w:color w:val="000000"/>
          <w:sz w:val="24"/>
        </w:rPr>
      </w:pPr>
      <w:r>
        <w:rPr>
          <w:rFonts w:hint="eastAsia" w:ascii="宋体" w:hAnsi="宋体"/>
          <w:color w:val="000000"/>
          <w:sz w:val="24"/>
        </w:rPr>
        <w:t>（</w:t>
      </w:r>
      <w:r>
        <w:rPr>
          <w:rFonts w:ascii="宋体" w:hAnsi="宋体"/>
          <w:color w:val="000000"/>
          <w:sz w:val="24"/>
        </w:rPr>
        <w:t>l</w:t>
      </w:r>
      <w:r>
        <w:rPr>
          <w:rFonts w:hint="eastAsia" w:ascii="宋体" w:hAnsi="宋体"/>
          <w:color w:val="000000"/>
          <w:sz w:val="24"/>
        </w:rPr>
        <w:t>）第二章“供应商须知”第</w:t>
      </w:r>
      <w:r>
        <w:rPr>
          <w:rFonts w:ascii="宋体" w:hAnsi="宋体"/>
          <w:color w:val="000000"/>
          <w:sz w:val="24"/>
        </w:rPr>
        <w:t>1.4.3</w:t>
      </w:r>
      <w:r>
        <w:rPr>
          <w:rFonts w:hint="eastAsia" w:ascii="宋体" w:hAnsi="宋体"/>
          <w:color w:val="000000"/>
          <w:sz w:val="24"/>
        </w:rPr>
        <w:t>项和</w:t>
      </w:r>
      <w:r>
        <w:rPr>
          <w:rFonts w:ascii="宋体" w:hAnsi="宋体"/>
          <w:color w:val="000000"/>
          <w:sz w:val="24"/>
        </w:rPr>
        <w:t>9.2</w:t>
      </w:r>
      <w:r>
        <w:rPr>
          <w:rFonts w:hint="eastAsia" w:ascii="宋体" w:hAnsi="宋体"/>
          <w:color w:val="000000"/>
          <w:sz w:val="24"/>
        </w:rPr>
        <w:t>项规定的任何一种情形的：</w:t>
      </w:r>
    </w:p>
    <w:p>
      <w:pPr>
        <w:widowControl w:val="0"/>
        <w:adjustRightInd w:val="0"/>
        <w:snapToGrid w:val="0"/>
        <w:spacing w:line="312" w:lineRule="auto"/>
        <w:ind w:firstLine="480" w:firstLineChars="200"/>
        <w:jc w:val="both"/>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）串通投标或弄虚作假或有其他违法行为的；</w:t>
      </w:r>
    </w:p>
    <w:p>
      <w:pPr>
        <w:widowControl w:val="0"/>
        <w:adjustRightInd w:val="0"/>
        <w:snapToGrid w:val="0"/>
        <w:spacing w:line="312" w:lineRule="auto"/>
        <w:ind w:firstLine="480" w:firstLineChars="200"/>
        <w:jc w:val="both"/>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）不按评标委员会要求澄清、说明或补正的。3.1.3 投标报价有算术错误及其他错误的，评标委员会按以下原则要求供应商对投标报价进行修正，并要求供应商书面澄清确认。供应商拒不澄清确认的，评标委员会应当否决其投标：</w:t>
      </w:r>
    </w:p>
    <w:p>
      <w:pPr>
        <w:widowControl w:val="0"/>
        <w:adjustRightInd w:val="0"/>
        <w:snapToGrid w:val="0"/>
        <w:spacing w:line="312" w:lineRule="auto"/>
        <w:ind w:firstLine="480" w:firstLineChars="200"/>
        <w:jc w:val="both"/>
        <w:rPr>
          <w:rFonts w:ascii="宋体" w:hAnsi="宋体"/>
          <w:color w:val="000000"/>
          <w:sz w:val="24"/>
        </w:rPr>
      </w:pPr>
      <w:r>
        <w:rPr>
          <w:rFonts w:hint="eastAsia" w:ascii="宋体" w:hAnsi="宋体"/>
          <w:color w:val="000000"/>
          <w:sz w:val="24"/>
        </w:rPr>
        <w:t xml:space="preserve">（1）投标文件中的大写金额与小写金额不一致的，以大写金额为准； </w:t>
      </w:r>
    </w:p>
    <w:p>
      <w:pPr>
        <w:widowControl w:val="0"/>
        <w:adjustRightInd w:val="0"/>
        <w:snapToGrid w:val="0"/>
        <w:spacing w:line="312" w:lineRule="auto"/>
        <w:ind w:firstLine="480" w:firstLineChars="200"/>
        <w:jc w:val="both"/>
        <w:rPr>
          <w:rFonts w:ascii="宋体" w:hAnsi="宋体"/>
          <w:color w:val="000000"/>
          <w:sz w:val="24"/>
        </w:rPr>
      </w:pPr>
      <w:r>
        <w:rPr>
          <w:rFonts w:hint="eastAsia" w:ascii="宋体" w:hAnsi="宋体"/>
          <w:color w:val="000000"/>
          <w:sz w:val="24"/>
        </w:rPr>
        <w:t>（2）总价金额与单价金额不一致的，以单价金额为准，但单价金额小数点有明显错误的除外；</w:t>
      </w:r>
    </w:p>
    <w:p>
      <w:pPr>
        <w:widowControl w:val="0"/>
        <w:adjustRightInd w:val="0"/>
        <w:snapToGrid w:val="0"/>
        <w:spacing w:line="312" w:lineRule="auto"/>
        <w:ind w:firstLine="480" w:firstLineChars="200"/>
        <w:jc w:val="both"/>
        <w:rPr>
          <w:rFonts w:ascii="宋体" w:hAnsi="宋体"/>
          <w:color w:val="000000"/>
          <w:sz w:val="24"/>
        </w:rPr>
      </w:pPr>
      <w:r>
        <w:rPr>
          <w:rFonts w:ascii="宋体" w:hAnsi="宋体"/>
          <w:color w:val="000000"/>
          <w:sz w:val="24"/>
        </w:rPr>
        <w:t xml:space="preserve">（3）投标报价为各分项报价金额之和，投标报价与分项报价的合价不一致的，应以各分项合价累计数为准，修正投标报价； </w:t>
      </w:r>
    </w:p>
    <w:p>
      <w:pPr>
        <w:pStyle w:val="12"/>
        <w:adjustRightInd w:val="0"/>
        <w:snapToGrid w:val="0"/>
        <w:spacing w:after="0" w:line="312" w:lineRule="auto"/>
        <w:ind w:firstLine="475" w:firstLineChars="198"/>
        <w:rPr>
          <w:rFonts w:ascii="宋体" w:hAnsi="宋体"/>
          <w:color w:val="000000"/>
          <w:sz w:val="24"/>
        </w:rPr>
      </w:pPr>
      <w:r>
        <w:rPr>
          <w:rFonts w:hint="eastAsia" w:ascii="宋体" w:hAnsi="宋体"/>
          <w:color w:val="000000"/>
          <w:sz w:val="24"/>
        </w:rPr>
        <w:t>3.1.4 进入投标报价分计算的供应商投标报价均指经算术性错误修正后的最终投标报价。供应商的最终投标报价若超过最高投标限价(如有)，供应商的投标文件作废标处理。</w:t>
      </w:r>
    </w:p>
    <w:p>
      <w:pPr>
        <w:widowControl w:val="0"/>
        <w:adjustRightInd w:val="0"/>
        <w:snapToGrid w:val="0"/>
        <w:spacing w:line="312" w:lineRule="auto"/>
        <w:ind w:firstLine="482" w:firstLineChars="200"/>
        <w:jc w:val="both"/>
        <w:rPr>
          <w:rFonts w:ascii="宋体" w:hAnsi="宋体"/>
          <w:b/>
          <w:color w:val="000000"/>
          <w:sz w:val="24"/>
        </w:rPr>
      </w:pPr>
      <w:bookmarkStart w:id="31" w:name="_Toc4450"/>
      <w:r>
        <w:rPr>
          <w:rFonts w:hint="eastAsia" w:ascii="宋体" w:hAnsi="宋体"/>
          <w:b/>
          <w:color w:val="000000"/>
          <w:sz w:val="24"/>
        </w:rPr>
        <w:t>3.2 详细评审</w:t>
      </w:r>
      <w:bookmarkEnd w:id="31"/>
    </w:p>
    <w:p>
      <w:pPr>
        <w:widowControl w:val="0"/>
        <w:adjustRightInd w:val="0"/>
        <w:snapToGrid w:val="0"/>
        <w:spacing w:line="312" w:lineRule="auto"/>
        <w:ind w:firstLine="480" w:firstLineChars="200"/>
        <w:jc w:val="both"/>
        <w:rPr>
          <w:rFonts w:ascii="宋体" w:hAnsi="宋体"/>
          <w:color w:val="000000"/>
          <w:sz w:val="24"/>
        </w:rPr>
      </w:pPr>
      <w:r>
        <w:rPr>
          <w:rFonts w:hint="eastAsia" w:ascii="宋体" w:hAnsi="宋体"/>
          <w:color w:val="000000"/>
          <w:sz w:val="24"/>
        </w:rPr>
        <w:t xml:space="preserve">3.2.1 评标委员会按本章第2.2款规定的量化因素和分值进行打分，并计算出综合评估得分。 </w:t>
      </w:r>
    </w:p>
    <w:p>
      <w:pPr>
        <w:widowControl w:val="0"/>
        <w:adjustRightInd w:val="0"/>
        <w:snapToGrid w:val="0"/>
        <w:spacing w:line="312" w:lineRule="auto"/>
        <w:ind w:firstLine="480" w:firstLineChars="200"/>
        <w:jc w:val="both"/>
        <w:rPr>
          <w:rFonts w:ascii="宋体" w:hAnsi="宋体"/>
          <w:color w:val="000000"/>
          <w:sz w:val="24"/>
        </w:rPr>
      </w:pPr>
      <w:r>
        <w:rPr>
          <w:rFonts w:hint="eastAsia" w:ascii="宋体" w:hAnsi="宋体"/>
          <w:color w:val="000000"/>
          <w:sz w:val="24"/>
        </w:rPr>
        <w:t>（1）按本章第2.2.</w:t>
      </w:r>
      <w:r>
        <w:rPr>
          <w:rFonts w:ascii="宋体" w:hAnsi="宋体"/>
          <w:color w:val="000000"/>
          <w:sz w:val="24"/>
        </w:rPr>
        <w:t>2</w:t>
      </w:r>
      <w:r>
        <w:rPr>
          <w:rFonts w:hint="eastAsia" w:ascii="宋体" w:hAnsi="宋体"/>
          <w:color w:val="000000"/>
          <w:sz w:val="24"/>
        </w:rPr>
        <w:t xml:space="preserve">（1）目规定的评分因素和标准对商务部分计算出得分A； </w:t>
      </w:r>
    </w:p>
    <w:p>
      <w:pPr>
        <w:widowControl w:val="0"/>
        <w:adjustRightInd w:val="0"/>
        <w:snapToGrid w:val="0"/>
        <w:spacing w:line="312" w:lineRule="auto"/>
        <w:ind w:firstLine="480" w:firstLineChars="200"/>
        <w:jc w:val="both"/>
        <w:rPr>
          <w:rFonts w:ascii="宋体" w:hAnsi="宋体"/>
          <w:color w:val="000000"/>
          <w:sz w:val="24"/>
        </w:rPr>
      </w:pPr>
      <w:r>
        <w:rPr>
          <w:rFonts w:hint="eastAsia" w:ascii="宋体" w:hAnsi="宋体"/>
          <w:color w:val="000000"/>
          <w:sz w:val="24"/>
        </w:rPr>
        <w:t>（2）按本章第2.2.</w:t>
      </w:r>
      <w:r>
        <w:rPr>
          <w:rFonts w:ascii="宋体" w:hAnsi="宋体"/>
          <w:color w:val="000000"/>
          <w:sz w:val="24"/>
        </w:rPr>
        <w:t>2</w:t>
      </w:r>
      <w:r>
        <w:rPr>
          <w:rFonts w:hint="eastAsia" w:ascii="宋体" w:hAnsi="宋体"/>
          <w:color w:val="000000"/>
          <w:sz w:val="24"/>
        </w:rPr>
        <w:t>（2）目规定的评分因素和标准对技术部分计算出得分 B；</w:t>
      </w:r>
    </w:p>
    <w:p>
      <w:pPr>
        <w:widowControl w:val="0"/>
        <w:adjustRightInd w:val="0"/>
        <w:snapToGrid w:val="0"/>
        <w:spacing w:line="312" w:lineRule="auto"/>
        <w:ind w:firstLine="480" w:firstLineChars="200"/>
        <w:jc w:val="both"/>
        <w:rPr>
          <w:rFonts w:ascii="宋体" w:hAnsi="宋体"/>
          <w:color w:val="000000"/>
          <w:sz w:val="24"/>
        </w:rPr>
      </w:pPr>
      <w:r>
        <w:rPr>
          <w:rFonts w:hint="eastAsia" w:ascii="宋体" w:hAnsi="宋体"/>
          <w:color w:val="000000"/>
          <w:sz w:val="24"/>
        </w:rPr>
        <w:t>（3）按本章第2.2.</w:t>
      </w:r>
      <w:r>
        <w:rPr>
          <w:rFonts w:ascii="宋体" w:hAnsi="宋体"/>
          <w:color w:val="000000"/>
          <w:sz w:val="24"/>
        </w:rPr>
        <w:t>2</w:t>
      </w:r>
      <w:r>
        <w:rPr>
          <w:rFonts w:hint="eastAsia" w:ascii="宋体" w:hAnsi="宋体"/>
          <w:color w:val="000000"/>
          <w:sz w:val="24"/>
        </w:rPr>
        <w:t>（3）目规定的评分因素和标准对投标报价计算出得分C；</w:t>
      </w:r>
    </w:p>
    <w:p>
      <w:pPr>
        <w:widowControl w:val="0"/>
        <w:adjustRightInd w:val="0"/>
        <w:snapToGrid w:val="0"/>
        <w:spacing w:line="312" w:lineRule="auto"/>
        <w:ind w:firstLine="480" w:firstLineChars="200"/>
        <w:jc w:val="both"/>
        <w:rPr>
          <w:rFonts w:ascii="宋体" w:hAnsi="宋体"/>
          <w:color w:val="000000"/>
          <w:sz w:val="24"/>
        </w:rPr>
      </w:pPr>
      <w:r>
        <w:rPr>
          <w:rFonts w:hint="eastAsia" w:ascii="宋体" w:hAnsi="宋体"/>
          <w:color w:val="000000"/>
          <w:sz w:val="24"/>
        </w:rPr>
        <w:t xml:space="preserve">3.2.2 评分分值计算保留小数点后两位，小数点后第三位“四舍五入”。 </w:t>
      </w:r>
    </w:p>
    <w:p>
      <w:pPr>
        <w:widowControl w:val="0"/>
        <w:adjustRightInd w:val="0"/>
        <w:snapToGrid w:val="0"/>
        <w:spacing w:line="312" w:lineRule="auto"/>
        <w:ind w:firstLine="480" w:firstLineChars="200"/>
        <w:jc w:val="both"/>
        <w:rPr>
          <w:rFonts w:ascii="宋体" w:hAnsi="宋体"/>
          <w:color w:val="000000"/>
          <w:sz w:val="24"/>
        </w:rPr>
      </w:pPr>
      <w:r>
        <w:rPr>
          <w:rFonts w:hint="eastAsia" w:ascii="宋体" w:hAnsi="宋体"/>
          <w:color w:val="000000"/>
          <w:sz w:val="24"/>
        </w:rPr>
        <w:t>3.2.3供应商得分=</w:t>
      </w:r>
      <w:r>
        <w:rPr>
          <w:rFonts w:hint="eastAsia" w:ascii="宋体" w:hAnsi="宋体"/>
          <w:color w:val="000000"/>
          <w:kern w:val="0"/>
          <w:sz w:val="24"/>
        </w:rPr>
        <w:t xml:space="preserve"> A</w:t>
      </w:r>
      <w:r>
        <w:rPr>
          <w:rFonts w:hint="eastAsia" w:ascii="宋体" w:hAnsi="宋体"/>
          <w:color w:val="000000"/>
          <w:sz w:val="24"/>
        </w:rPr>
        <w:t>+</w:t>
      </w:r>
      <w:r>
        <w:rPr>
          <w:rFonts w:hint="eastAsia" w:ascii="宋体" w:hAnsi="宋体"/>
          <w:color w:val="000000"/>
          <w:kern w:val="0"/>
          <w:sz w:val="24"/>
        </w:rPr>
        <w:t xml:space="preserve"> B</w:t>
      </w:r>
      <w:r>
        <w:rPr>
          <w:rFonts w:hint="eastAsia" w:ascii="宋体" w:hAnsi="宋体"/>
          <w:color w:val="000000"/>
          <w:sz w:val="24"/>
        </w:rPr>
        <w:t>+</w:t>
      </w:r>
      <w:r>
        <w:rPr>
          <w:rFonts w:hint="eastAsia" w:ascii="宋体" w:hAnsi="宋体"/>
          <w:color w:val="000000"/>
          <w:kern w:val="0"/>
          <w:sz w:val="24"/>
        </w:rPr>
        <w:t>C</w:t>
      </w:r>
      <w:r>
        <w:rPr>
          <w:rFonts w:hint="eastAsia" w:ascii="宋体" w:hAnsi="宋体"/>
          <w:color w:val="000000"/>
          <w:sz w:val="24"/>
        </w:rPr>
        <w:t>。</w:t>
      </w:r>
    </w:p>
    <w:p>
      <w:pPr>
        <w:widowControl w:val="0"/>
        <w:adjustRightInd w:val="0"/>
        <w:snapToGrid w:val="0"/>
        <w:spacing w:line="312" w:lineRule="auto"/>
        <w:ind w:firstLine="482" w:firstLineChars="200"/>
        <w:jc w:val="both"/>
        <w:rPr>
          <w:rFonts w:ascii="宋体" w:hAnsi="宋体"/>
          <w:b/>
          <w:color w:val="000000"/>
          <w:sz w:val="24"/>
        </w:rPr>
      </w:pPr>
      <w:bookmarkStart w:id="32" w:name="_Toc16822"/>
      <w:r>
        <w:rPr>
          <w:rFonts w:hint="eastAsia" w:ascii="宋体" w:hAnsi="宋体"/>
          <w:b/>
          <w:color w:val="000000"/>
          <w:sz w:val="24"/>
        </w:rPr>
        <w:t>3.3 投标文件的澄清</w:t>
      </w:r>
      <w:bookmarkEnd w:id="32"/>
    </w:p>
    <w:p>
      <w:pPr>
        <w:widowControl w:val="0"/>
        <w:adjustRightInd w:val="0"/>
        <w:snapToGrid w:val="0"/>
        <w:spacing w:line="312" w:lineRule="auto"/>
        <w:ind w:firstLine="480" w:firstLineChars="200"/>
        <w:jc w:val="both"/>
        <w:rPr>
          <w:rFonts w:ascii="宋体" w:hAnsi="宋体"/>
          <w:color w:val="000000"/>
          <w:sz w:val="24"/>
        </w:rPr>
      </w:pPr>
      <w:r>
        <w:rPr>
          <w:rFonts w:hint="eastAsia" w:ascii="宋体" w:hAnsi="宋体"/>
          <w:color w:val="000000"/>
          <w:sz w:val="24"/>
        </w:rPr>
        <w:t xml:space="preserve">3.3.1 在评标过程中，评标委员会可以书面形式要求供应商对投标文件中含义不明确、对同类问题表述不一致或者有明显文字和计算错误的内容作必要的澄清、说明或补正。澄清、说明或补正应以书面方式进行。评标委员会不接受供应商主动提出的澄清、说明或补正。 </w:t>
      </w:r>
    </w:p>
    <w:p>
      <w:pPr>
        <w:widowControl w:val="0"/>
        <w:adjustRightInd w:val="0"/>
        <w:snapToGrid w:val="0"/>
        <w:spacing w:line="312" w:lineRule="auto"/>
        <w:ind w:firstLine="480" w:firstLineChars="200"/>
        <w:jc w:val="both"/>
        <w:rPr>
          <w:rFonts w:ascii="宋体" w:hAnsi="宋体"/>
          <w:color w:val="000000"/>
          <w:sz w:val="24"/>
        </w:rPr>
      </w:pPr>
      <w:r>
        <w:rPr>
          <w:rFonts w:hint="eastAsia" w:ascii="宋体" w:hAnsi="宋体"/>
          <w:color w:val="000000"/>
          <w:sz w:val="24"/>
        </w:rPr>
        <w:t xml:space="preserve">3.3.2 澄清、说明或补正不得超出投标文件的范围且不得改变投标文件的实质性内容，并构成投标文件的组成部分。 </w:t>
      </w:r>
    </w:p>
    <w:p>
      <w:pPr>
        <w:widowControl w:val="0"/>
        <w:adjustRightInd w:val="0"/>
        <w:snapToGrid w:val="0"/>
        <w:spacing w:line="312" w:lineRule="auto"/>
        <w:ind w:firstLine="480" w:firstLineChars="200"/>
        <w:jc w:val="both"/>
        <w:rPr>
          <w:rFonts w:ascii="宋体" w:hAnsi="宋体"/>
          <w:color w:val="000000"/>
          <w:sz w:val="24"/>
        </w:rPr>
      </w:pPr>
      <w:r>
        <w:rPr>
          <w:rFonts w:hint="eastAsia" w:ascii="宋体" w:hAnsi="宋体"/>
          <w:color w:val="000000"/>
          <w:sz w:val="24"/>
        </w:rPr>
        <w:t xml:space="preserve">3.3.3 评标委员会对供应商提交的澄清、说明或补正有疑问的，可以要求供应商进一步澄清、说明或补正，直至满足评标委员会的要求。 </w:t>
      </w:r>
    </w:p>
    <w:p>
      <w:pPr>
        <w:widowControl w:val="0"/>
        <w:adjustRightInd w:val="0"/>
        <w:snapToGrid w:val="0"/>
        <w:spacing w:line="312" w:lineRule="auto"/>
        <w:ind w:firstLine="482" w:firstLineChars="200"/>
        <w:jc w:val="both"/>
        <w:rPr>
          <w:rFonts w:ascii="宋体" w:hAnsi="宋体"/>
          <w:b/>
          <w:color w:val="000000"/>
          <w:sz w:val="24"/>
        </w:rPr>
      </w:pPr>
      <w:bookmarkStart w:id="33" w:name="_Toc21250"/>
      <w:r>
        <w:rPr>
          <w:rFonts w:hint="eastAsia" w:ascii="宋体" w:hAnsi="宋体"/>
          <w:b/>
          <w:color w:val="000000"/>
          <w:sz w:val="24"/>
        </w:rPr>
        <w:t>3.4 评标结果</w:t>
      </w:r>
      <w:bookmarkEnd w:id="33"/>
    </w:p>
    <w:p>
      <w:pPr>
        <w:widowControl w:val="0"/>
        <w:adjustRightInd w:val="0"/>
        <w:snapToGrid w:val="0"/>
        <w:spacing w:line="312" w:lineRule="auto"/>
        <w:ind w:firstLine="480" w:firstLineChars="200"/>
        <w:jc w:val="both"/>
        <w:rPr>
          <w:rFonts w:ascii="宋体" w:hAnsi="宋体"/>
          <w:color w:val="000000"/>
          <w:sz w:val="24"/>
        </w:rPr>
      </w:pPr>
      <w:r>
        <w:rPr>
          <w:rFonts w:hint="eastAsia" w:ascii="宋体" w:hAnsi="宋体"/>
          <w:color w:val="000000"/>
          <w:sz w:val="24"/>
        </w:rPr>
        <w:t xml:space="preserve">3.4.1 除第二章“供应商须知”前附表授权直接确定中标人外，评标委员会按照得分由高到低的顺序推荐中标候选人，并标明排序。 </w:t>
      </w:r>
    </w:p>
    <w:p>
      <w:pPr>
        <w:widowControl w:val="0"/>
        <w:adjustRightInd w:val="0"/>
        <w:snapToGrid w:val="0"/>
        <w:spacing w:line="312" w:lineRule="auto"/>
        <w:ind w:firstLine="480" w:firstLineChars="200"/>
        <w:jc w:val="both"/>
        <w:rPr>
          <w:rFonts w:ascii="宋体" w:hAnsi="宋体"/>
          <w:color w:val="000000"/>
          <w:sz w:val="24"/>
        </w:rPr>
      </w:pPr>
      <w:r>
        <w:rPr>
          <w:rFonts w:hint="eastAsia" w:ascii="宋体" w:hAnsi="宋体"/>
          <w:color w:val="000000"/>
          <w:sz w:val="24"/>
        </w:rPr>
        <w:t xml:space="preserve">3.4.2 评标委员会完成评标后，应当向采购人提交书面评标报告和中标候选人名单。 </w:t>
      </w:r>
    </w:p>
    <w:p>
      <w:pPr>
        <w:rPr>
          <w:rFonts w:ascii="黑体" w:hAnsi="黑体" w:eastAsia="黑体" w:cs="宋体"/>
          <w:color w:val="000000"/>
          <w:kern w:val="44"/>
          <w:sz w:val="32"/>
          <w:szCs w:val="32"/>
        </w:rPr>
      </w:pPr>
      <w:bookmarkStart w:id="34" w:name="_Toc77254130"/>
      <w:bookmarkStart w:id="35" w:name="_Toc76635709"/>
      <w:r>
        <w:rPr>
          <w:rFonts w:hint="eastAsia" w:ascii="黑体" w:hAnsi="黑体" w:eastAsia="黑体" w:cs="宋体"/>
          <w:color w:val="000000"/>
          <w:kern w:val="44"/>
          <w:sz w:val="32"/>
          <w:szCs w:val="32"/>
        </w:rPr>
        <w:br w:type="page"/>
      </w:r>
    </w:p>
    <w:bookmarkEnd w:id="34"/>
    <w:bookmarkEnd w:id="35"/>
    <w:p>
      <w:pPr>
        <w:widowControl w:val="0"/>
        <w:snapToGrid w:val="0"/>
        <w:spacing w:line="490" w:lineRule="exact"/>
        <w:outlineLvl w:val="0"/>
        <w:rPr>
          <w:rFonts w:ascii="黑体" w:hAnsi="黑体" w:eastAsia="黑体" w:cs="宋体"/>
          <w:color w:val="000000"/>
          <w:kern w:val="44"/>
          <w:sz w:val="32"/>
          <w:szCs w:val="32"/>
        </w:rPr>
      </w:pPr>
      <w:r>
        <w:rPr>
          <w:rFonts w:hint="eastAsia" w:ascii="黑体" w:hAnsi="黑体" w:eastAsia="黑体" w:cs="宋体"/>
          <w:color w:val="000000"/>
          <w:kern w:val="44"/>
          <w:sz w:val="32"/>
          <w:szCs w:val="32"/>
        </w:rPr>
        <w:t xml:space="preserve">附表1  </w:t>
      </w:r>
    </w:p>
    <w:p>
      <w:pPr>
        <w:widowControl w:val="0"/>
        <w:snapToGrid w:val="0"/>
        <w:spacing w:line="360" w:lineRule="auto"/>
        <w:jc w:val="center"/>
        <w:outlineLvl w:val="0"/>
        <w:rPr>
          <w:rFonts w:ascii="黑体" w:hAnsi="黑体" w:eastAsia="黑体" w:cs="宋体"/>
          <w:kern w:val="44"/>
          <w:sz w:val="32"/>
          <w:szCs w:val="32"/>
        </w:rPr>
      </w:pPr>
      <w:r>
        <w:rPr>
          <w:rFonts w:hint="eastAsia" w:ascii="黑体" w:hAnsi="黑体" w:eastAsia="黑体" w:cs="宋体"/>
          <w:color w:val="FF0000"/>
          <w:kern w:val="44"/>
          <w:sz w:val="32"/>
          <w:szCs w:val="32"/>
        </w:rPr>
        <w:t xml:space="preserve"> </w:t>
      </w:r>
      <w:r>
        <w:rPr>
          <w:rFonts w:hint="eastAsia" w:ascii="黑体" w:hAnsi="黑体" w:eastAsia="黑体" w:cs="宋体"/>
          <w:kern w:val="44"/>
          <w:sz w:val="32"/>
          <w:szCs w:val="32"/>
        </w:rPr>
        <w:t>商务评分表（40分 ）</w:t>
      </w:r>
    </w:p>
    <w:p>
      <w:pPr>
        <w:widowControl w:val="0"/>
        <w:spacing w:line="360" w:lineRule="auto"/>
        <w:jc w:val="both"/>
        <w:rPr>
          <w:color w:val="FF0000"/>
        </w:rPr>
      </w:pPr>
      <w:r>
        <w:rPr>
          <w:rFonts w:hint="eastAsia" w:ascii="宋体" w:hAnsi="宋体"/>
          <w:color w:val="000000"/>
          <w:sz w:val="24"/>
        </w:rPr>
        <w:t>项目名称：</w:t>
      </w:r>
      <w:r>
        <w:rPr>
          <w:rFonts w:hint="eastAsia" w:ascii="宋体" w:hAnsi="宋体" w:cs="宋体"/>
          <w:color w:val="000000"/>
          <w:sz w:val="24"/>
          <w:u w:val="single"/>
        </w:rPr>
        <w:t>岳阳</w:t>
      </w:r>
      <w:r>
        <w:rPr>
          <w:rFonts w:ascii="宋体" w:hAnsi="宋体" w:cs="宋体"/>
          <w:color w:val="000000"/>
          <w:sz w:val="24"/>
          <w:u w:val="single"/>
        </w:rPr>
        <w:t>城陵矶新港</w:t>
      </w:r>
      <w:r>
        <w:rPr>
          <w:rFonts w:hint="eastAsia" w:ascii="宋体" w:hAnsi="宋体" w:cs="宋体"/>
          <w:color w:val="000000"/>
          <w:sz w:val="24"/>
          <w:u w:val="single"/>
        </w:rPr>
        <w:t>有限公司监控出口防火墙及视频准入设备项目</w:t>
      </w:r>
    </w:p>
    <w:tbl>
      <w:tblPr>
        <w:tblStyle w:val="39"/>
        <w:tblW w:w="9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207"/>
        <w:gridCol w:w="5759"/>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vMerge w:val="restart"/>
            <w:tcBorders>
              <w:top w:val="single" w:color="auto" w:sz="4" w:space="0"/>
              <w:left w:val="single" w:color="auto" w:sz="4" w:space="0"/>
              <w:right w:val="single" w:color="auto" w:sz="4" w:space="0"/>
            </w:tcBorders>
            <w:noWrap/>
            <w:vAlign w:val="center"/>
          </w:tcPr>
          <w:p>
            <w:pPr>
              <w:widowControl w:val="0"/>
              <w:spacing w:line="360" w:lineRule="auto"/>
              <w:jc w:val="center"/>
              <w:rPr>
                <w:rFonts w:ascii="宋体" w:hAnsi="宋体"/>
                <w:b/>
                <w:bCs/>
                <w:color w:val="000000"/>
                <w:kern w:val="0"/>
                <w:szCs w:val="21"/>
              </w:rPr>
            </w:pPr>
            <w:r>
              <w:rPr>
                <w:rFonts w:hint="eastAsia" w:ascii="宋体" w:hAnsi="宋体"/>
                <w:b/>
                <w:bCs/>
                <w:color w:val="000000"/>
                <w:kern w:val="0"/>
                <w:szCs w:val="21"/>
              </w:rPr>
              <w:t>序号</w:t>
            </w:r>
          </w:p>
        </w:tc>
        <w:tc>
          <w:tcPr>
            <w:tcW w:w="2207" w:type="dxa"/>
            <w:vMerge w:val="restart"/>
            <w:tcBorders>
              <w:top w:val="single" w:color="auto" w:sz="4" w:space="0"/>
              <w:left w:val="single" w:color="auto" w:sz="4" w:space="0"/>
              <w:right w:val="single" w:color="auto" w:sz="4" w:space="0"/>
            </w:tcBorders>
            <w:noWrap/>
            <w:vAlign w:val="center"/>
          </w:tcPr>
          <w:p>
            <w:pPr>
              <w:widowControl w:val="0"/>
              <w:spacing w:line="360" w:lineRule="auto"/>
              <w:jc w:val="center"/>
              <w:rPr>
                <w:rFonts w:ascii="宋体" w:hAnsi="宋体"/>
                <w:b/>
                <w:bCs/>
                <w:color w:val="000000"/>
                <w:kern w:val="0"/>
                <w:szCs w:val="21"/>
              </w:rPr>
            </w:pPr>
            <w:r>
              <w:rPr>
                <w:rFonts w:hint="eastAsia" w:ascii="宋体" w:hAnsi="宋体"/>
                <w:b/>
                <w:bCs/>
                <w:color w:val="000000"/>
                <w:kern w:val="0"/>
                <w:szCs w:val="21"/>
              </w:rPr>
              <w:t>评分因素</w:t>
            </w:r>
          </w:p>
        </w:tc>
        <w:tc>
          <w:tcPr>
            <w:tcW w:w="5759" w:type="dxa"/>
            <w:vMerge w:val="restart"/>
            <w:tcBorders>
              <w:top w:val="single" w:color="auto" w:sz="4" w:space="0"/>
              <w:left w:val="single" w:color="auto" w:sz="4" w:space="0"/>
              <w:right w:val="single" w:color="auto" w:sz="4" w:space="0"/>
            </w:tcBorders>
            <w:noWrap/>
            <w:vAlign w:val="center"/>
          </w:tcPr>
          <w:p>
            <w:pPr>
              <w:widowControl w:val="0"/>
              <w:spacing w:line="360" w:lineRule="auto"/>
              <w:jc w:val="center"/>
              <w:rPr>
                <w:rFonts w:ascii="宋体" w:hAnsi="宋体"/>
                <w:b/>
                <w:bCs/>
                <w:color w:val="000000"/>
                <w:kern w:val="0"/>
                <w:szCs w:val="21"/>
              </w:rPr>
            </w:pPr>
            <w:r>
              <w:rPr>
                <w:rFonts w:hint="eastAsia" w:ascii="宋体" w:hAnsi="宋体"/>
                <w:b/>
                <w:bCs/>
                <w:color w:val="000000"/>
                <w:kern w:val="0"/>
                <w:szCs w:val="21"/>
              </w:rPr>
              <w:t>评价内容/分值</w:t>
            </w:r>
          </w:p>
        </w:tc>
        <w:tc>
          <w:tcPr>
            <w:tcW w:w="1104"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auto"/>
              <w:jc w:val="center"/>
              <w:rPr>
                <w:rFonts w:ascii="宋体" w:hAnsi="宋体"/>
                <w:b/>
                <w:bCs/>
                <w:color w:val="000000"/>
                <w:kern w:val="0"/>
                <w:szCs w:val="21"/>
              </w:rPr>
            </w:pPr>
            <w:r>
              <w:rPr>
                <w:rFonts w:hint="eastAsia" w:ascii="宋体" w:hAnsi="宋体"/>
                <w:b/>
                <w:bCs/>
                <w:color w:val="000000"/>
                <w:kern w:val="0"/>
                <w:szCs w:val="21"/>
              </w:rPr>
              <w:t>供应商名称/得分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48" w:type="dxa"/>
            <w:vMerge w:val="continue"/>
            <w:tcBorders>
              <w:left w:val="single" w:color="auto" w:sz="4" w:space="0"/>
              <w:bottom w:val="single" w:color="auto" w:sz="4" w:space="0"/>
              <w:right w:val="single" w:color="auto" w:sz="4" w:space="0"/>
            </w:tcBorders>
            <w:noWrap/>
            <w:vAlign w:val="center"/>
          </w:tcPr>
          <w:p>
            <w:pPr>
              <w:widowControl w:val="0"/>
              <w:spacing w:line="360" w:lineRule="auto"/>
              <w:jc w:val="center"/>
              <w:rPr>
                <w:b/>
                <w:bCs/>
              </w:rPr>
            </w:pPr>
          </w:p>
        </w:tc>
        <w:tc>
          <w:tcPr>
            <w:tcW w:w="2207" w:type="dxa"/>
            <w:vMerge w:val="continue"/>
            <w:tcBorders>
              <w:left w:val="single" w:color="auto" w:sz="4" w:space="0"/>
              <w:bottom w:val="single" w:color="auto" w:sz="4" w:space="0"/>
              <w:right w:val="single" w:color="auto" w:sz="4" w:space="0"/>
            </w:tcBorders>
            <w:noWrap/>
            <w:vAlign w:val="center"/>
          </w:tcPr>
          <w:p>
            <w:pPr>
              <w:widowControl w:val="0"/>
              <w:spacing w:line="360" w:lineRule="auto"/>
              <w:jc w:val="center"/>
              <w:rPr>
                <w:b/>
                <w:bCs/>
              </w:rPr>
            </w:pPr>
          </w:p>
        </w:tc>
        <w:tc>
          <w:tcPr>
            <w:tcW w:w="5759" w:type="dxa"/>
            <w:vMerge w:val="continue"/>
            <w:tcBorders>
              <w:left w:val="single" w:color="auto" w:sz="4" w:space="0"/>
              <w:bottom w:val="single" w:color="auto" w:sz="4" w:space="0"/>
              <w:right w:val="single" w:color="auto" w:sz="4" w:space="0"/>
            </w:tcBorders>
            <w:noWrap/>
            <w:vAlign w:val="center"/>
          </w:tcPr>
          <w:p>
            <w:pPr>
              <w:widowControl w:val="0"/>
              <w:spacing w:line="360" w:lineRule="auto"/>
              <w:jc w:val="center"/>
              <w:rPr>
                <w:b/>
                <w:bCs/>
              </w:rPr>
            </w:pPr>
          </w:p>
        </w:tc>
        <w:tc>
          <w:tcPr>
            <w:tcW w:w="1104"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auto"/>
              <w:jc w:val="center"/>
              <w:rPr>
                <w:rFonts w:ascii="宋体" w:hAnsi="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auto"/>
              <w:jc w:val="center"/>
              <w:rPr>
                <w:rFonts w:ascii="宋体" w:hAnsi="宋体"/>
                <w:color w:val="000000"/>
                <w:kern w:val="0"/>
                <w:szCs w:val="21"/>
              </w:rPr>
            </w:pPr>
            <w:r>
              <w:rPr>
                <w:rFonts w:hint="eastAsia" w:ascii="宋体" w:hAnsi="宋体"/>
                <w:color w:val="000000"/>
                <w:kern w:val="0"/>
                <w:szCs w:val="21"/>
              </w:rPr>
              <w:t>1</w:t>
            </w:r>
          </w:p>
        </w:tc>
        <w:tc>
          <w:tcPr>
            <w:tcW w:w="220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auto"/>
              <w:jc w:val="center"/>
              <w:rPr>
                <w:rFonts w:ascii="宋体" w:hAnsi="宋体" w:cs="宋体"/>
                <w:color w:val="000000"/>
                <w:kern w:val="0"/>
                <w:szCs w:val="21"/>
              </w:rPr>
            </w:pPr>
            <w:r>
              <w:rPr>
                <w:rFonts w:hint="eastAsia"/>
                <w:szCs w:val="21"/>
              </w:rPr>
              <w:t>响应文件制作（</w:t>
            </w:r>
            <w:r>
              <w:rPr>
                <w:szCs w:val="21"/>
              </w:rPr>
              <w:t>4</w:t>
            </w:r>
            <w:r>
              <w:rPr>
                <w:rFonts w:hint="eastAsia"/>
                <w:szCs w:val="21"/>
              </w:rPr>
              <w:t>分）</w:t>
            </w:r>
          </w:p>
        </w:tc>
        <w:tc>
          <w:tcPr>
            <w:tcW w:w="5759" w:type="dxa"/>
            <w:tcBorders>
              <w:top w:val="single" w:color="auto" w:sz="4" w:space="0"/>
              <w:left w:val="single" w:color="auto" w:sz="4" w:space="0"/>
              <w:bottom w:val="single" w:color="auto" w:sz="4" w:space="0"/>
              <w:right w:val="single" w:color="auto" w:sz="4" w:space="0"/>
            </w:tcBorders>
            <w:noWrap/>
            <w:vAlign w:val="center"/>
          </w:tcPr>
          <w:p>
            <w:pPr>
              <w:pStyle w:val="38"/>
              <w:spacing w:after="0" w:line="360" w:lineRule="auto"/>
              <w:ind w:firstLine="0"/>
              <w:rPr>
                <w:rFonts w:hAnsi="宋体" w:cs="宋体"/>
                <w:szCs w:val="21"/>
              </w:rPr>
            </w:pPr>
            <w:r>
              <w:rPr>
                <w:rFonts w:hint="eastAsia" w:hAnsi="宋体" w:cs="宋体"/>
                <w:szCs w:val="21"/>
              </w:rPr>
              <w:t>投标人按招标文件规定的格式、顺序编制，有目录、编页码，胶装成册，书面整洁无涂改，没有缺漏项，价格数量等计算准确，计</w:t>
            </w:r>
            <w:r>
              <w:rPr>
                <w:rFonts w:hAnsi="宋体" w:cs="宋体"/>
                <w:szCs w:val="21"/>
              </w:rPr>
              <w:t>4</w:t>
            </w:r>
            <w:r>
              <w:rPr>
                <w:rFonts w:hint="eastAsia" w:hAnsi="宋体" w:cs="宋体"/>
                <w:szCs w:val="21"/>
              </w:rPr>
              <w:t>分，有不符合前款要求的每处扣0.5分，扣完为止。</w:t>
            </w:r>
          </w:p>
        </w:tc>
        <w:tc>
          <w:tcPr>
            <w:tcW w:w="1104"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auto"/>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jc w:val="center"/>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auto"/>
              <w:jc w:val="center"/>
              <w:rPr>
                <w:rFonts w:ascii="宋体" w:hAnsi="宋体"/>
                <w:color w:val="000000"/>
                <w:kern w:val="0"/>
                <w:szCs w:val="21"/>
              </w:rPr>
            </w:pPr>
            <w:r>
              <w:rPr>
                <w:rFonts w:hint="eastAsia" w:ascii="宋体" w:hAnsi="宋体"/>
                <w:color w:val="000000"/>
                <w:kern w:val="0"/>
                <w:szCs w:val="21"/>
              </w:rPr>
              <w:t>2</w:t>
            </w:r>
          </w:p>
        </w:tc>
        <w:tc>
          <w:tcPr>
            <w:tcW w:w="220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auto"/>
              <w:jc w:val="center"/>
              <w:rPr>
                <w:rFonts w:ascii="宋体" w:hAnsi="宋体" w:cs="宋体"/>
                <w:color w:val="000000"/>
                <w:kern w:val="0"/>
                <w:szCs w:val="21"/>
              </w:rPr>
            </w:pPr>
            <w:r>
              <w:rPr>
                <w:rFonts w:hint="eastAsia"/>
                <w:szCs w:val="21"/>
              </w:rPr>
              <w:t>类似项目业绩（</w:t>
            </w:r>
            <w:r>
              <w:rPr>
                <w:szCs w:val="21"/>
              </w:rPr>
              <w:t>6</w:t>
            </w:r>
            <w:r>
              <w:rPr>
                <w:rFonts w:hint="eastAsia"/>
                <w:szCs w:val="21"/>
              </w:rPr>
              <w:t>分）</w:t>
            </w:r>
          </w:p>
        </w:tc>
        <w:tc>
          <w:tcPr>
            <w:tcW w:w="5759"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auto"/>
              <w:jc w:val="both"/>
              <w:rPr>
                <w:rFonts w:ascii="宋体" w:hAnsi="宋体" w:cs="宋体"/>
                <w:color w:val="000000"/>
                <w:szCs w:val="21"/>
              </w:rPr>
            </w:pPr>
            <w:r>
              <w:rPr>
                <w:rFonts w:hint="eastAsia"/>
              </w:rPr>
              <w:t>投标人近三年（投标截止日期往前推算）具有类似项目案例，需提供合同证明材料（提供关键页复印件并加盖原厂公章，否则不计分，同一法人案例不重复计分，合同名称或采购内容需包含本次项目所采购的产品内容），</w:t>
            </w:r>
            <w:r>
              <w:rPr>
                <w:rFonts w:hint="eastAsia"/>
                <w:lang w:val="en-US" w:eastAsia="zh-CN"/>
              </w:rPr>
              <w:t>满足相关要求的</w:t>
            </w:r>
            <w:r>
              <w:rPr>
                <w:rFonts w:hint="eastAsia"/>
              </w:rPr>
              <w:t>计4分，在此基础上每增加1个案例加2分，加满6分止。</w:t>
            </w:r>
          </w:p>
        </w:tc>
        <w:tc>
          <w:tcPr>
            <w:tcW w:w="1104"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auto"/>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1" w:hRule="atLeast"/>
          <w:jc w:val="center"/>
        </w:trPr>
        <w:tc>
          <w:tcPr>
            <w:tcW w:w="648" w:type="dxa"/>
            <w:tcBorders>
              <w:top w:val="single" w:color="auto" w:sz="4" w:space="0"/>
              <w:left w:val="single" w:color="auto" w:sz="4" w:space="0"/>
              <w:right w:val="single" w:color="auto" w:sz="4" w:space="0"/>
            </w:tcBorders>
            <w:noWrap/>
            <w:vAlign w:val="center"/>
          </w:tcPr>
          <w:p>
            <w:pPr>
              <w:widowControl w:val="0"/>
              <w:spacing w:line="360" w:lineRule="auto"/>
              <w:jc w:val="center"/>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3</w:t>
            </w:r>
          </w:p>
        </w:tc>
        <w:tc>
          <w:tcPr>
            <w:tcW w:w="2207" w:type="dxa"/>
            <w:tcBorders>
              <w:top w:val="single" w:color="auto" w:sz="4" w:space="0"/>
              <w:left w:val="single" w:color="auto" w:sz="4" w:space="0"/>
              <w:right w:val="single" w:color="auto" w:sz="4" w:space="0"/>
            </w:tcBorders>
            <w:noWrap/>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投标人/产品厂商实力（15分）</w:t>
            </w:r>
          </w:p>
        </w:tc>
        <w:tc>
          <w:tcPr>
            <w:tcW w:w="5759" w:type="dxa"/>
            <w:tcBorders>
              <w:top w:val="single" w:color="auto" w:sz="4" w:space="0"/>
              <w:left w:val="single" w:color="auto" w:sz="4" w:space="0"/>
              <w:right w:val="single" w:color="auto" w:sz="4" w:space="0"/>
            </w:tcBorders>
            <w:noWrap/>
            <w:vAlign w:val="center"/>
          </w:tcPr>
          <w:p>
            <w:pPr>
              <w:rPr>
                <w:rFonts w:cs="微软雅黑" w:asciiTheme="minorEastAsia" w:hAnsiTheme="minorEastAsia" w:eastAsiaTheme="minorEastAsia"/>
                <w:sz w:val="24"/>
              </w:rPr>
            </w:pPr>
            <w:r>
              <w:rPr>
                <w:rFonts w:hint="eastAsia" w:cs="微软雅黑" w:asciiTheme="minorEastAsia" w:hAnsiTheme="minorEastAsia" w:eastAsiaTheme="minorEastAsia"/>
                <w:sz w:val="24"/>
              </w:rPr>
              <w:t>1、为保障本项目的高质量交付和后期运行维护，投标人或出口防火墙、视频准入系统原制造商具备ITSS运行维护符合性证书（二级或以上）的计</w:t>
            </w:r>
            <w:r>
              <w:rPr>
                <w:rFonts w:hint="eastAsia" w:cs="微软雅黑" w:asciiTheme="minorEastAsia" w:hAnsiTheme="minorEastAsia" w:eastAsiaTheme="minorEastAsia"/>
                <w:sz w:val="24"/>
                <w:lang w:val="en-US" w:eastAsia="zh-CN"/>
              </w:rPr>
              <w:t>5</w:t>
            </w:r>
            <w:r>
              <w:rPr>
                <w:rFonts w:hint="eastAsia" w:cs="微软雅黑" w:asciiTheme="minorEastAsia" w:hAnsiTheme="minorEastAsia" w:eastAsiaTheme="minorEastAsia"/>
                <w:sz w:val="24"/>
              </w:rPr>
              <w:t>分，提供证书彩色扫描件。未提供或不满足的不计分。</w:t>
            </w:r>
          </w:p>
          <w:p>
            <w:pPr>
              <w:rPr>
                <w:rFonts w:cs="微软雅黑" w:asciiTheme="minorEastAsia" w:hAnsiTheme="minorEastAsia" w:eastAsiaTheme="minorEastAsia"/>
                <w:sz w:val="24"/>
              </w:rPr>
            </w:pPr>
            <w:r>
              <w:rPr>
                <w:rFonts w:hint="eastAsia" w:cs="微软雅黑" w:asciiTheme="minorEastAsia" w:hAnsiTheme="minorEastAsia" w:eastAsiaTheme="minorEastAsia"/>
                <w:sz w:val="24"/>
              </w:rPr>
              <w:t>2、所投出口防火墙原厂商具有较强的漏洞研究能力，产品原厂商参与制定《信息安全技术网络安全漏洞管理规范-GB/T 30276-2020》的计5分，提供标准相关页截图并加盖原厂公章的彩色扫描件为评审依据，未提供不计分；</w:t>
            </w:r>
          </w:p>
          <w:p>
            <w:pPr>
              <w:pStyle w:val="38"/>
              <w:ind w:firstLine="0"/>
              <w:rPr>
                <w:rFonts w:cs="微软雅黑" w:asciiTheme="minorEastAsia" w:hAnsiTheme="minorEastAsia" w:eastAsiaTheme="minorEastAsia"/>
                <w:snapToGrid/>
                <w:kern w:val="2"/>
                <w:szCs w:val="24"/>
              </w:rPr>
            </w:pPr>
            <w:r>
              <w:rPr>
                <w:rFonts w:cs="微软雅黑" w:asciiTheme="minorEastAsia" w:hAnsiTheme="minorEastAsia" w:eastAsiaTheme="minorEastAsia"/>
                <w:snapToGrid/>
                <w:kern w:val="2"/>
                <w:szCs w:val="24"/>
              </w:rPr>
              <w:t>2</w:t>
            </w:r>
            <w:r>
              <w:rPr>
                <w:rFonts w:hint="eastAsia" w:cs="微软雅黑" w:asciiTheme="minorEastAsia" w:hAnsiTheme="minorEastAsia" w:eastAsiaTheme="minorEastAsia"/>
                <w:snapToGrid/>
                <w:kern w:val="2"/>
                <w:szCs w:val="24"/>
              </w:rPr>
              <w:t>、为保证产品能获得可信可靠的后期安全运维，所投视频准入系统原厂商具备中国通信企业协会颁发的企业行业信用等级证书（运维服务领域），证书级别为AAA的计5分，证书级别为AA的计4分，证书级别为A的计3分，提供相关证明材料并加盖原厂公章，不满足或者未提供不计分。</w:t>
            </w:r>
          </w:p>
        </w:tc>
        <w:tc>
          <w:tcPr>
            <w:tcW w:w="1104"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auto"/>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1" w:hRule="atLeast"/>
          <w:jc w:val="center"/>
        </w:trPr>
        <w:tc>
          <w:tcPr>
            <w:tcW w:w="648" w:type="dxa"/>
            <w:tcBorders>
              <w:top w:val="single" w:color="auto" w:sz="4" w:space="0"/>
              <w:left w:val="single" w:color="auto" w:sz="4" w:space="0"/>
              <w:right w:val="single" w:color="auto" w:sz="4" w:space="0"/>
            </w:tcBorders>
            <w:noWrap/>
            <w:vAlign w:val="center"/>
          </w:tcPr>
          <w:p>
            <w:pPr>
              <w:widowControl w:val="0"/>
              <w:spacing w:line="360" w:lineRule="auto"/>
              <w:jc w:val="center"/>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4</w:t>
            </w:r>
          </w:p>
        </w:tc>
        <w:tc>
          <w:tcPr>
            <w:tcW w:w="2207" w:type="dxa"/>
            <w:tcBorders>
              <w:top w:val="single" w:color="auto" w:sz="4" w:space="0"/>
              <w:left w:val="single" w:color="auto" w:sz="4" w:space="0"/>
              <w:right w:val="single" w:color="auto" w:sz="4" w:space="0"/>
            </w:tcBorders>
            <w:noWrap/>
            <w:vAlign w:val="center"/>
          </w:tcPr>
          <w:p>
            <w:pPr>
              <w:spacing w:line="360" w:lineRule="auto"/>
              <w:jc w:val="center"/>
              <w:rPr>
                <w:rFonts w:cs="宋体" w:asciiTheme="minorEastAsia" w:hAnsiTheme="minorEastAsia" w:eastAsiaTheme="minorEastAsia"/>
                <w:color w:val="FF0000"/>
                <w:sz w:val="24"/>
              </w:rPr>
            </w:pPr>
            <w:r>
              <w:rPr>
                <w:rFonts w:hint="eastAsia" w:asciiTheme="minorEastAsia" w:hAnsiTheme="minorEastAsia" w:eastAsiaTheme="minorEastAsia"/>
                <w:sz w:val="24"/>
              </w:rPr>
              <w:t>产品先进性（15分）</w:t>
            </w:r>
          </w:p>
        </w:tc>
        <w:tc>
          <w:tcPr>
            <w:tcW w:w="5759" w:type="dxa"/>
            <w:tcBorders>
              <w:top w:val="single" w:color="auto" w:sz="4" w:space="0"/>
              <w:left w:val="single" w:color="auto" w:sz="4" w:space="0"/>
              <w:right w:val="single" w:color="auto" w:sz="4" w:space="0"/>
            </w:tcBorders>
            <w:noWrap/>
            <w:vAlign w:val="center"/>
          </w:tcPr>
          <w:p>
            <w:pPr>
              <w:rPr>
                <w:rFonts w:asciiTheme="minorEastAsia" w:hAnsiTheme="minorEastAsia" w:eastAsiaTheme="minorEastAsia"/>
                <w:sz w:val="24"/>
                <w:highlight w:val="yellow"/>
              </w:rPr>
            </w:pPr>
            <w:r>
              <w:rPr>
                <w:rFonts w:hint="eastAsia" w:cs="微软雅黑" w:asciiTheme="minorEastAsia" w:hAnsiTheme="minorEastAsia" w:eastAsiaTheme="minorEastAsia"/>
                <w:sz w:val="24"/>
              </w:rPr>
              <w:t>1、所投出口防火墙产品支持快速上线部署、威胁情报、网元服务链引流、共享接入管理、</w:t>
            </w:r>
            <w:r>
              <w:rPr>
                <w:rFonts w:cs="微软雅黑" w:asciiTheme="minorEastAsia" w:hAnsiTheme="minorEastAsia" w:eastAsiaTheme="minorEastAsia"/>
                <w:sz w:val="24"/>
              </w:rPr>
              <w:t>Restful API配置管理等功能，提供公安部信息安全产品检测中心或中国合格评定国家认可委员会（CNAS）认可的第三方测试机构出具的检测报告复印件并加盖原厂商公章</w:t>
            </w:r>
            <w:r>
              <w:rPr>
                <w:rFonts w:hint="eastAsia" w:cs="微软雅黑" w:asciiTheme="minorEastAsia" w:hAnsiTheme="minorEastAsia" w:eastAsiaTheme="minorEastAsia"/>
                <w:sz w:val="24"/>
              </w:rPr>
              <w:t>，全部满足的</w:t>
            </w:r>
            <w:r>
              <w:rPr>
                <w:rFonts w:cs="微软雅黑" w:asciiTheme="minorEastAsia" w:hAnsiTheme="minorEastAsia" w:eastAsiaTheme="minorEastAsia"/>
                <w:sz w:val="24"/>
              </w:rPr>
              <w:t>计4分，</w:t>
            </w:r>
            <w:r>
              <w:rPr>
                <w:rFonts w:hint="eastAsia" w:cs="微软雅黑" w:asciiTheme="minorEastAsia" w:hAnsiTheme="minorEastAsia" w:eastAsiaTheme="minorEastAsia"/>
                <w:sz w:val="24"/>
              </w:rPr>
              <w:t>部分满足的计</w:t>
            </w:r>
            <w:r>
              <w:rPr>
                <w:rFonts w:cs="微软雅黑" w:asciiTheme="minorEastAsia" w:hAnsiTheme="minorEastAsia" w:eastAsiaTheme="minorEastAsia"/>
                <w:sz w:val="24"/>
              </w:rPr>
              <w:t>1</w:t>
            </w:r>
            <w:r>
              <w:rPr>
                <w:rFonts w:hint="eastAsia" w:cs="微软雅黑" w:asciiTheme="minorEastAsia" w:hAnsiTheme="minorEastAsia" w:eastAsiaTheme="minorEastAsia"/>
                <w:sz w:val="24"/>
                <w:lang w:val="en-US" w:eastAsia="zh-CN"/>
              </w:rPr>
              <w:t>-3</w:t>
            </w:r>
            <w:r>
              <w:rPr>
                <w:rFonts w:hint="eastAsia" w:cs="微软雅黑" w:asciiTheme="minorEastAsia" w:hAnsiTheme="minorEastAsia" w:eastAsiaTheme="minorEastAsia"/>
                <w:sz w:val="24"/>
              </w:rPr>
              <w:t>分，</w:t>
            </w:r>
            <w:r>
              <w:rPr>
                <w:rFonts w:cs="微软雅黑" w:asciiTheme="minorEastAsia" w:hAnsiTheme="minorEastAsia" w:eastAsiaTheme="minorEastAsia"/>
                <w:sz w:val="24"/>
              </w:rPr>
              <w:t>未提供或不满足的不计分。</w:t>
            </w:r>
          </w:p>
          <w:p>
            <w:pPr>
              <w:rPr>
                <w:rFonts w:asciiTheme="minorEastAsia" w:hAnsiTheme="minorEastAsia" w:eastAsiaTheme="minorEastAsia"/>
                <w:sz w:val="24"/>
                <w:highlight w:val="yellow"/>
              </w:rPr>
            </w:pPr>
            <w:r>
              <w:rPr>
                <w:rFonts w:asciiTheme="minorEastAsia" w:hAnsiTheme="minorEastAsia" w:eastAsiaTheme="minorEastAsia"/>
                <w:bCs/>
                <w:sz w:val="24"/>
              </w:rPr>
              <w:t>2</w:t>
            </w:r>
            <w:r>
              <w:rPr>
                <w:rFonts w:hint="eastAsia" w:asciiTheme="minorEastAsia" w:hAnsiTheme="minorEastAsia" w:eastAsiaTheme="minorEastAsia"/>
                <w:bCs/>
                <w:sz w:val="24"/>
              </w:rPr>
              <w:t>、所投</w:t>
            </w:r>
            <w:r>
              <w:rPr>
                <w:rFonts w:hint="eastAsia" w:cs="微软雅黑" w:asciiTheme="minorEastAsia" w:hAnsiTheme="minorEastAsia" w:eastAsiaTheme="minorEastAsia"/>
                <w:sz w:val="24"/>
              </w:rPr>
              <w:t>出口防火墙</w:t>
            </w:r>
            <w:r>
              <w:rPr>
                <w:rFonts w:hint="eastAsia" w:asciiTheme="minorEastAsia" w:hAnsiTheme="minorEastAsia" w:eastAsiaTheme="minorEastAsia"/>
                <w:bCs/>
                <w:sz w:val="24"/>
              </w:rPr>
              <w:t>原厂商具备较强的漏洞挖掘能力，为</w:t>
            </w:r>
            <w:r>
              <w:rPr>
                <w:rFonts w:asciiTheme="minorEastAsia" w:hAnsiTheme="minorEastAsia" w:eastAsiaTheme="minorEastAsia"/>
                <w:bCs/>
                <w:sz w:val="24"/>
              </w:rPr>
              <w:t>CNVD国家信息安全漏洞共享平台技术组成员，2023年度向CNVD漏洞库共享了漏洞信息</w:t>
            </w:r>
            <w:r>
              <w:rPr>
                <w:rFonts w:hint="eastAsia" w:asciiTheme="minorEastAsia" w:hAnsiTheme="minorEastAsia" w:eastAsiaTheme="minorEastAsia"/>
                <w:bCs/>
                <w:sz w:val="24"/>
              </w:rPr>
              <w:t>排名1至3名的</w:t>
            </w:r>
            <w:r>
              <w:rPr>
                <w:rFonts w:asciiTheme="minorEastAsia" w:hAnsiTheme="minorEastAsia" w:eastAsiaTheme="minorEastAsia"/>
                <w:bCs/>
                <w:sz w:val="24"/>
              </w:rPr>
              <w:t>计5分，4</w:t>
            </w:r>
            <w:r>
              <w:rPr>
                <w:rFonts w:hint="eastAsia" w:asciiTheme="minorEastAsia" w:hAnsiTheme="minorEastAsia" w:eastAsiaTheme="minorEastAsia"/>
                <w:bCs/>
                <w:sz w:val="24"/>
              </w:rPr>
              <w:t>至6名的计</w:t>
            </w:r>
            <w:r>
              <w:rPr>
                <w:rFonts w:asciiTheme="minorEastAsia" w:hAnsiTheme="minorEastAsia" w:eastAsiaTheme="minorEastAsia"/>
                <w:bCs/>
                <w:sz w:val="24"/>
              </w:rPr>
              <w:t>2分，7</w:t>
            </w:r>
            <w:r>
              <w:rPr>
                <w:rFonts w:hint="eastAsia" w:asciiTheme="minorEastAsia" w:hAnsiTheme="minorEastAsia" w:eastAsiaTheme="minorEastAsia"/>
                <w:bCs/>
                <w:sz w:val="24"/>
              </w:rPr>
              <w:t>至1</w:t>
            </w:r>
            <w:r>
              <w:rPr>
                <w:rFonts w:asciiTheme="minorEastAsia" w:hAnsiTheme="minorEastAsia" w:eastAsiaTheme="minorEastAsia"/>
                <w:bCs/>
                <w:sz w:val="24"/>
              </w:rPr>
              <w:t>0</w:t>
            </w:r>
            <w:r>
              <w:rPr>
                <w:rFonts w:hint="eastAsia" w:asciiTheme="minorEastAsia" w:hAnsiTheme="minorEastAsia" w:eastAsiaTheme="minorEastAsia"/>
                <w:bCs/>
                <w:sz w:val="24"/>
              </w:rPr>
              <w:t>名的</w:t>
            </w:r>
            <w:r>
              <w:rPr>
                <w:rFonts w:asciiTheme="minorEastAsia" w:hAnsiTheme="minorEastAsia" w:eastAsiaTheme="minorEastAsia"/>
                <w:bCs/>
                <w:sz w:val="24"/>
              </w:rPr>
              <w:t>计1分，</w:t>
            </w:r>
            <w:r>
              <w:rPr>
                <w:rFonts w:hint="eastAsia" w:asciiTheme="minorEastAsia" w:hAnsiTheme="minorEastAsia" w:eastAsiaTheme="minorEastAsia"/>
                <w:bCs/>
                <w:sz w:val="24"/>
              </w:rPr>
              <w:t>后续排名及</w:t>
            </w:r>
            <w:r>
              <w:rPr>
                <w:rFonts w:asciiTheme="minorEastAsia" w:hAnsiTheme="minorEastAsia" w:eastAsiaTheme="minorEastAsia"/>
                <w:bCs/>
                <w:sz w:val="24"/>
              </w:rPr>
              <w:t>非成员不计分；提供可通过互联网访问查询的CNVD平台链接及截图并加盖原厂公章。</w:t>
            </w:r>
          </w:p>
          <w:p>
            <w:pPr>
              <w:rPr>
                <w:rFonts w:asciiTheme="minorEastAsia" w:hAnsiTheme="minorEastAsia" w:eastAsiaTheme="minorEastAsia"/>
                <w:sz w:val="24"/>
                <w:highlight w:val="yellow"/>
              </w:rPr>
            </w:pPr>
            <w:r>
              <w:rPr>
                <w:rFonts w:hint="eastAsia" w:asciiTheme="minorEastAsia" w:hAnsiTheme="minorEastAsia" w:eastAsiaTheme="minorEastAsia"/>
                <w:bCs/>
                <w:sz w:val="24"/>
              </w:rPr>
              <w:t>3、</w:t>
            </w:r>
            <w:r>
              <w:rPr>
                <w:rFonts w:hint="eastAsia" w:cs="微软雅黑" w:asciiTheme="minorEastAsia" w:hAnsiTheme="minorEastAsia" w:eastAsiaTheme="minorEastAsia"/>
                <w:sz w:val="24"/>
              </w:rPr>
              <w:t>所投视频准入系统支持终端安全状态检查、与主流防病毒/补丁产品联动、安全策略不可旁路性、客户端安全代理异常状态处理、组件通信安全保护等功能，提供第三方权威机构出具的</w:t>
            </w:r>
            <w:r>
              <w:rPr>
                <w:rFonts w:cs="微软雅黑" w:asciiTheme="minorEastAsia" w:hAnsiTheme="minorEastAsia" w:eastAsiaTheme="minorEastAsia"/>
                <w:sz w:val="24"/>
              </w:rPr>
              <w:t>检测报告复印件并加盖原厂商公章</w:t>
            </w:r>
            <w:r>
              <w:rPr>
                <w:rFonts w:hint="eastAsia" w:cs="微软雅黑" w:asciiTheme="minorEastAsia" w:hAnsiTheme="minorEastAsia" w:eastAsiaTheme="minorEastAsia"/>
                <w:sz w:val="24"/>
              </w:rPr>
              <w:t>，全部满足的</w:t>
            </w:r>
            <w:r>
              <w:rPr>
                <w:rFonts w:cs="微软雅黑" w:asciiTheme="minorEastAsia" w:hAnsiTheme="minorEastAsia" w:eastAsiaTheme="minorEastAsia"/>
                <w:sz w:val="24"/>
              </w:rPr>
              <w:t>计4分，</w:t>
            </w:r>
            <w:r>
              <w:rPr>
                <w:rFonts w:hint="eastAsia" w:cs="微软雅黑" w:asciiTheme="minorEastAsia" w:hAnsiTheme="minorEastAsia" w:eastAsiaTheme="minorEastAsia"/>
                <w:sz w:val="24"/>
              </w:rPr>
              <w:t>部分满足的计</w:t>
            </w:r>
            <w:r>
              <w:rPr>
                <w:rFonts w:cs="微软雅黑" w:asciiTheme="minorEastAsia" w:hAnsiTheme="minorEastAsia" w:eastAsiaTheme="minorEastAsia"/>
                <w:sz w:val="24"/>
              </w:rPr>
              <w:t>1</w:t>
            </w:r>
            <w:r>
              <w:rPr>
                <w:rFonts w:hint="eastAsia" w:cs="微软雅黑" w:asciiTheme="minorEastAsia" w:hAnsiTheme="minorEastAsia" w:eastAsiaTheme="minorEastAsia"/>
                <w:sz w:val="24"/>
                <w:lang w:val="en-US" w:eastAsia="zh-CN"/>
              </w:rPr>
              <w:t>-3</w:t>
            </w:r>
            <w:r>
              <w:rPr>
                <w:rFonts w:hint="eastAsia" w:cs="微软雅黑" w:asciiTheme="minorEastAsia" w:hAnsiTheme="minorEastAsia" w:eastAsiaTheme="minorEastAsia"/>
                <w:sz w:val="24"/>
              </w:rPr>
              <w:t>分，</w:t>
            </w:r>
            <w:r>
              <w:rPr>
                <w:rFonts w:cs="微软雅黑" w:asciiTheme="minorEastAsia" w:hAnsiTheme="minorEastAsia" w:eastAsiaTheme="minorEastAsia"/>
                <w:sz w:val="24"/>
              </w:rPr>
              <w:t>未提供或不满足的不计分。</w:t>
            </w:r>
          </w:p>
          <w:p>
            <w:pPr>
              <w:pStyle w:val="38"/>
              <w:ind w:firstLine="0"/>
              <w:rPr>
                <w:rFonts w:cs="宋体" w:asciiTheme="minorEastAsia" w:hAnsiTheme="minorEastAsia" w:eastAsiaTheme="minorEastAsia"/>
                <w:szCs w:val="24"/>
              </w:rPr>
            </w:pPr>
            <w:r>
              <w:rPr>
                <w:rFonts w:hint="eastAsia" w:cs="微软雅黑" w:asciiTheme="minorEastAsia" w:hAnsiTheme="minorEastAsia" w:eastAsiaTheme="minorEastAsia"/>
                <w:snapToGrid/>
                <w:kern w:val="2"/>
                <w:szCs w:val="24"/>
              </w:rPr>
              <w:t>4、</w:t>
            </w:r>
            <w:r>
              <w:rPr>
                <w:rFonts w:hint="eastAsia" w:cs="微软雅黑" w:asciiTheme="minorEastAsia" w:hAnsiTheme="minorEastAsia" w:eastAsiaTheme="minorEastAsia"/>
                <w:szCs w:val="24"/>
              </w:rPr>
              <w:t>所投视频准入系统</w:t>
            </w:r>
            <w:r>
              <w:rPr>
                <w:rFonts w:hint="eastAsia" w:cs="微软雅黑" w:asciiTheme="minorEastAsia" w:hAnsiTheme="minorEastAsia" w:eastAsiaTheme="minorEastAsia"/>
                <w:snapToGrid/>
                <w:kern w:val="2"/>
                <w:szCs w:val="24"/>
              </w:rPr>
              <w:t>具备中国信息安全测评中心颁发的《国家信息安全测评 信息技术产品安全测评证书》EAL3+及以上级别证书，提供相关证明材料复印件并加盖原厂公章，</w:t>
            </w:r>
            <w:r>
              <w:rPr>
                <w:rFonts w:hint="eastAsia" w:cs="微软雅黑" w:asciiTheme="minorEastAsia" w:hAnsiTheme="minorEastAsia" w:eastAsiaTheme="minorEastAsia"/>
                <w:szCs w:val="24"/>
              </w:rPr>
              <w:t>EAL</w:t>
            </w:r>
            <w:r>
              <w:rPr>
                <w:rFonts w:cs="微软雅黑" w:asciiTheme="minorEastAsia" w:hAnsiTheme="minorEastAsia" w:eastAsiaTheme="minorEastAsia"/>
                <w:szCs w:val="24"/>
              </w:rPr>
              <w:t>3</w:t>
            </w:r>
            <w:r>
              <w:rPr>
                <w:rFonts w:hint="eastAsia" w:cs="微软雅黑" w:asciiTheme="minorEastAsia" w:hAnsiTheme="minorEastAsia" w:eastAsiaTheme="minorEastAsia"/>
                <w:szCs w:val="24"/>
              </w:rPr>
              <w:t>+级别证书的</w:t>
            </w:r>
            <w:r>
              <w:rPr>
                <w:rFonts w:cs="微软雅黑" w:asciiTheme="minorEastAsia" w:hAnsiTheme="minorEastAsia" w:eastAsiaTheme="minorEastAsia"/>
                <w:szCs w:val="24"/>
              </w:rPr>
              <w:t>计2分，</w:t>
            </w:r>
            <w:r>
              <w:rPr>
                <w:rFonts w:hint="eastAsia" w:cs="微软雅黑" w:asciiTheme="minorEastAsia" w:hAnsiTheme="minorEastAsia" w:eastAsiaTheme="minorEastAsia"/>
                <w:szCs w:val="24"/>
              </w:rPr>
              <w:t>E</w:t>
            </w:r>
            <w:r>
              <w:rPr>
                <w:rFonts w:cs="微软雅黑" w:asciiTheme="minorEastAsia" w:hAnsiTheme="minorEastAsia" w:eastAsiaTheme="minorEastAsia"/>
                <w:szCs w:val="24"/>
              </w:rPr>
              <w:t>AL2+</w:t>
            </w:r>
            <w:r>
              <w:rPr>
                <w:rFonts w:hint="eastAsia" w:cs="微软雅黑" w:asciiTheme="minorEastAsia" w:hAnsiTheme="minorEastAsia" w:eastAsiaTheme="minorEastAsia"/>
                <w:szCs w:val="24"/>
              </w:rPr>
              <w:t>及以下级别的计</w:t>
            </w:r>
            <w:r>
              <w:rPr>
                <w:rFonts w:cs="微软雅黑" w:asciiTheme="minorEastAsia" w:hAnsiTheme="minorEastAsia" w:eastAsiaTheme="minorEastAsia"/>
                <w:szCs w:val="24"/>
              </w:rPr>
              <w:t>0.5</w:t>
            </w:r>
            <w:r>
              <w:rPr>
                <w:rFonts w:hint="eastAsia" w:cs="微软雅黑" w:asciiTheme="minorEastAsia" w:hAnsiTheme="minorEastAsia" w:eastAsiaTheme="minorEastAsia"/>
                <w:szCs w:val="24"/>
              </w:rPr>
              <w:t>分，</w:t>
            </w:r>
            <w:r>
              <w:rPr>
                <w:rFonts w:cs="微软雅黑" w:asciiTheme="minorEastAsia" w:hAnsiTheme="minorEastAsia" w:eastAsiaTheme="minorEastAsia"/>
                <w:szCs w:val="24"/>
              </w:rPr>
              <w:t>未提供或不</w:t>
            </w:r>
            <w:r>
              <w:rPr>
                <w:rFonts w:hint="eastAsia" w:cs="微软雅黑" w:asciiTheme="minorEastAsia" w:hAnsiTheme="minorEastAsia" w:eastAsiaTheme="minorEastAsia"/>
                <w:szCs w:val="24"/>
              </w:rPr>
              <w:t>满足</w:t>
            </w:r>
            <w:r>
              <w:rPr>
                <w:rFonts w:cs="微软雅黑" w:asciiTheme="minorEastAsia" w:hAnsiTheme="minorEastAsia" w:eastAsiaTheme="minorEastAsia"/>
                <w:szCs w:val="24"/>
              </w:rPr>
              <w:t>的不计分。</w:t>
            </w:r>
          </w:p>
        </w:tc>
        <w:tc>
          <w:tcPr>
            <w:tcW w:w="1104"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auto"/>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14" w:type="dxa"/>
            <w:gridSpan w:val="3"/>
            <w:tcBorders>
              <w:top w:val="single" w:color="auto" w:sz="4" w:space="0"/>
              <w:left w:val="single" w:color="auto" w:sz="4" w:space="0"/>
              <w:bottom w:val="single" w:color="auto" w:sz="4" w:space="0"/>
              <w:right w:val="single" w:color="auto" w:sz="4" w:space="0"/>
            </w:tcBorders>
            <w:noWrap/>
            <w:vAlign w:val="center"/>
          </w:tcPr>
          <w:p>
            <w:pPr>
              <w:widowControl w:val="0"/>
              <w:spacing w:line="360" w:lineRule="auto"/>
              <w:jc w:val="center"/>
              <w:rPr>
                <w:rFonts w:ascii="宋体" w:hAnsi="宋体"/>
                <w:color w:val="000000"/>
                <w:szCs w:val="21"/>
              </w:rPr>
            </w:pPr>
            <w:r>
              <w:rPr>
                <w:rFonts w:hint="eastAsia" w:ascii="宋体" w:hAnsi="宋体"/>
                <w:b/>
                <w:color w:val="000000"/>
                <w:kern w:val="0"/>
                <w:szCs w:val="21"/>
              </w:rPr>
              <w:t>合    计（40分）</w:t>
            </w:r>
          </w:p>
        </w:tc>
        <w:tc>
          <w:tcPr>
            <w:tcW w:w="1104"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auto"/>
              <w:jc w:val="center"/>
              <w:rPr>
                <w:rFonts w:ascii="宋体" w:hAnsi="宋体"/>
                <w:color w:val="000000"/>
                <w:kern w:val="0"/>
                <w:szCs w:val="21"/>
              </w:rPr>
            </w:pPr>
          </w:p>
        </w:tc>
      </w:tr>
    </w:tbl>
    <w:p>
      <w:pPr>
        <w:widowControl w:val="0"/>
        <w:adjustRightInd w:val="0"/>
        <w:snapToGrid w:val="0"/>
        <w:spacing w:line="312" w:lineRule="auto"/>
        <w:jc w:val="both"/>
        <w:rPr>
          <w:rFonts w:ascii="宋体" w:hAnsi="宋体"/>
          <w:szCs w:val="21"/>
        </w:rPr>
      </w:pPr>
      <w:r>
        <w:rPr>
          <w:rFonts w:hint="eastAsia" w:ascii="宋体" w:hAnsi="宋体"/>
          <w:b/>
          <w:color w:val="000000"/>
          <w:kern w:val="0"/>
          <w:szCs w:val="21"/>
        </w:rPr>
        <w:t>注：</w:t>
      </w:r>
      <w:r>
        <w:rPr>
          <w:rFonts w:hint="eastAsia" w:ascii="宋体" w:hAnsi="宋体"/>
          <w:color w:val="000000"/>
          <w:kern w:val="0"/>
          <w:szCs w:val="21"/>
        </w:rPr>
        <w:t xml:space="preserve"> </w:t>
      </w:r>
      <w:r>
        <w:rPr>
          <w:rFonts w:hint="eastAsia" w:ascii="宋体" w:hAnsi="宋体"/>
          <w:kern w:val="0"/>
          <w:szCs w:val="21"/>
        </w:rPr>
        <w:t>1、</w:t>
      </w:r>
      <w:r>
        <w:rPr>
          <w:rFonts w:hint="eastAsia" w:ascii="宋体" w:hAnsi="宋体"/>
          <w:szCs w:val="21"/>
        </w:rPr>
        <w:t>本表由评审小组集体评议，统一计分。评审小组成员中对结论有不同意见时，按少数服从多数的原则，确定得分。</w:t>
      </w:r>
    </w:p>
    <w:p>
      <w:pPr>
        <w:widowControl w:val="0"/>
        <w:adjustRightInd w:val="0"/>
        <w:snapToGrid w:val="0"/>
        <w:spacing w:line="312" w:lineRule="auto"/>
        <w:jc w:val="both"/>
        <w:rPr>
          <w:rFonts w:ascii="宋体" w:hAnsi="宋体"/>
          <w:kern w:val="0"/>
          <w:szCs w:val="21"/>
        </w:rPr>
      </w:pPr>
      <w:r>
        <w:rPr>
          <w:rFonts w:hint="eastAsia" w:ascii="宋体" w:hAnsi="宋体"/>
          <w:kern w:val="0"/>
          <w:szCs w:val="21"/>
        </w:rPr>
        <w:t>2、商务文件中缺失某项评分因素的，该项评分因素计0分。</w:t>
      </w:r>
    </w:p>
    <w:p>
      <w:pPr>
        <w:widowControl w:val="0"/>
        <w:adjustRightInd w:val="0"/>
        <w:snapToGrid w:val="0"/>
        <w:spacing w:line="312" w:lineRule="auto"/>
        <w:jc w:val="both"/>
        <w:rPr>
          <w:rFonts w:ascii="宋体" w:hAnsi="宋体"/>
          <w:color w:val="000000"/>
          <w:szCs w:val="21"/>
        </w:rPr>
      </w:pPr>
      <w:r>
        <w:rPr>
          <w:rFonts w:hint="eastAsia" w:ascii="宋体" w:hAnsi="宋体"/>
          <w:kern w:val="0"/>
          <w:szCs w:val="21"/>
        </w:rPr>
        <w:t>3、各评分因素中基本合理项的最低分值不得低于该评分因素和评分标准最高分值的60%。</w:t>
      </w:r>
      <w:r>
        <w:rPr>
          <w:rFonts w:hint="eastAsia" w:ascii="宋体" w:hAnsi="宋体"/>
          <w:szCs w:val="21"/>
        </w:rPr>
        <w:t>评审小组</w:t>
      </w:r>
      <w:r>
        <w:rPr>
          <w:rFonts w:hint="eastAsia" w:ascii="宋体" w:hAnsi="宋体"/>
          <w:kern w:val="0"/>
          <w:szCs w:val="21"/>
        </w:rPr>
        <w:t>对某评分因素评审计分低于该评分因素和评分标准最高分值的60%的，评委应说明原因。</w:t>
      </w:r>
    </w:p>
    <w:p>
      <w:pPr>
        <w:pStyle w:val="38"/>
        <w:ind w:firstLine="0"/>
        <w:rPr>
          <w:rFonts w:ascii="黑体" w:hAnsi="黑体" w:eastAsia="黑体"/>
          <w:color w:val="000000"/>
          <w:sz w:val="32"/>
          <w:szCs w:val="32"/>
        </w:rPr>
      </w:pPr>
      <w:r>
        <w:rPr>
          <w:rFonts w:hint="eastAsia" w:hAnsi="宋体"/>
          <w:color w:val="000000"/>
          <w:szCs w:val="24"/>
        </w:rPr>
        <w:t>评审小组全体成员</w:t>
      </w:r>
      <w:r>
        <w:rPr>
          <w:rFonts w:hAnsi="宋体"/>
          <w:color w:val="000000"/>
          <w:szCs w:val="24"/>
        </w:rPr>
        <w:t>签字：</w:t>
      </w:r>
      <w:r>
        <w:rPr>
          <w:rFonts w:hint="eastAsia" w:hAnsi="宋体"/>
          <w:color w:val="000000"/>
          <w:szCs w:val="24"/>
        </w:rPr>
        <w:t xml:space="preserve">                            监督人员签字：</w:t>
      </w:r>
    </w:p>
    <w:p>
      <w:pPr>
        <w:widowControl w:val="0"/>
        <w:snapToGrid w:val="0"/>
        <w:spacing w:line="360" w:lineRule="auto"/>
        <w:jc w:val="both"/>
        <w:outlineLvl w:val="2"/>
        <w:rPr>
          <w:rFonts w:ascii="黑体" w:hAnsi="黑体" w:eastAsia="黑体"/>
          <w:color w:val="FF0000"/>
          <w:sz w:val="32"/>
          <w:szCs w:val="32"/>
        </w:rPr>
      </w:pPr>
      <w:r>
        <w:rPr>
          <w:rFonts w:hint="eastAsia" w:ascii="黑体" w:hAnsi="黑体" w:eastAsia="黑体"/>
          <w:color w:val="000000"/>
          <w:sz w:val="32"/>
          <w:szCs w:val="32"/>
        </w:rPr>
        <w:br w:type="page"/>
      </w:r>
      <w:r>
        <w:rPr>
          <w:rFonts w:hint="eastAsia" w:ascii="黑体" w:hAnsi="黑体" w:eastAsia="黑体"/>
          <w:color w:val="000000"/>
          <w:sz w:val="32"/>
          <w:szCs w:val="32"/>
        </w:rPr>
        <w:t xml:space="preserve">附表2 </w:t>
      </w:r>
    </w:p>
    <w:p>
      <w:pPr>
        <w:widowControl w:val="0"/>
        <w:snapToGrid w:val="0"/>
        <w:spacing w:line="360" w:lineRule="auto"/>
        <w:jc w:val="center"/>
        <w:outlineLvl w:val="2"/>
        <w:rPr>
          <w:rFonts w:ascii="黑体" w:hAnsi="黑体" w:eastAsia="黑体"/>
          <w:color w:val="000000"/>
          <w:sz w:val="32"/>
          <w:szCs w:val="32"/>
        </w:rPr>
      </w:pPr>
      <w:r>
        <w:rPr>
          <w:rFonts w:hint="eastAsia" w:ascii="黑体" w:hAnsi="黑体" w:eastAsia="黑体"/>
          <w:color w:val="000000"/>
          <w:sz w:val="32"/>
          <w:szCs w:val="32"/>
        </w:rPr>
        <w:t>技术评分表（ 20 分）</w:t>
      </w:r>
    </w:p>
    <w:tbl>
      <w:tblPr>
        <w:tblStyle w:val="39"/>
        <w:tblpPr w:leftFromText="180" w:rightFromText="180" w:vertAnchor="text" w:horzAnchor="page" w:tblpXSpec="center" w:tblpY="412"/>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634"/>
        <w:gridCol w:w="450"/>
        <w:gridCol w:w="6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4" w:hRule="atLeast"/>
          <w:jc w:val="center"/>
        </w:trPr>
        <w:tc>
          <w:tcPr>
            <w:tcW w:w="258" w:type="pct"/>
            <w:vMerge w:val="restart"/>
            <w:tcBorders>
              <w:tl2br w:val="nil"/>
              <w:tr2bl w:val="nil"/>
            </w:tcBorders>
            <w:noWrap/>
            <w:vAlign w:val="center"/>
          </w:tcPr>
          <w:p>
            <w:pPr>
              <w:spacing w:line="360" w:lineRule="auto"/>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技术</w:t>
            </w:r>
          </w:p>
          <w:p>
            <w:pPr>
              <w:pStyle w:val="12"/>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部分</w:t>
            </w:r>
          </w:p>
          <w:p>
            <w:pPr>
              <w:spacing w:line="360" w:lineRule="auto"/>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（20分）</w:t>
            </w:r>
          </w:p>
        </w:tc>
        <w:tc>
          <w:tcPr>
            <w:tcW w:w="372" w:type="pct"/>
            <w:tcBorders>
              <w:tl2br w:val="nil"/>
              <w:tr2bl w:val="nil"/>
            </w:tcBorders>
            <w:noWrap/>
            <w:vAlign w:val="center"/>
          </w:tcPr>
          <w:p>
            <w:pPr>
              <w:autoSpaceDE w:val="0"/>
              <w:adjustRightInd w:val="0"/>
              <w:snapToGrid w:val="0"/>
              <w:spacing w:line="360" w:lineRule="auto"/>
              <w:jc w:val="center"/>
              <w:rPr>
                <w:rFonts w:asciiTheme="minorEastAsia" w:hAnsiTheme="minorEastAsia" w:eastAsiaTheme="minorEastAsia" w:cstheme="minorEastAsia"/>
                <w:color w:val="000000"/>
                <w:kern w:val="0"/>
                <w:szCs w:val="21"/>
              </w:rPr>
            </w:pPr>
            <w:r>
              <w:rPr>
                <w:rFonts w:hint="eastAsia"/>
                <w:szCs w:val="21"/>
              </w:rPr>
              <w:t>技术参数</w:t>
            </w:r>
          </w:p>
        </w:tc>
        <w:tc>
          <w:tcPr>
            <w:tcW w:w="264" w:type="pct"/>
            <w:tcBorders>
              <w:tl2br w:val="nil"/>
              <w:tr2bl w:val="nil"/>
            </w:tcBorders>
            <w:noWrap/>
            <w:vAlign w:val="center"/>
          </w:tcPr>
          <w:p>
            <w:pPr>
              <w:spacing w:line="360" w:lineRule="auto"/>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10</w:t>
            </w:r>
          </w:p>
        </w:tc>
        <w:tc>
          <w:tcPr>
            <w:tcW w:w="4104" w:type="pct"/>
            <w:tcBorders>
              <w:tl2br w:val="nil"/>
              <w:tr2bl w:val="nil"/>
            </w:tcBorders>
            <w:noWrap/>
            <w:vAlign w:val="center"/>
          </w:tcPr>
          <w:p>
            <w:pPr>
              <w:rPr>
                <w:szCs w:val="21"/>
              </w:rPr>
            </w:pPr>
            <w:r>
              <w:rPr>
                <w:rFonts w:hint="eastAsia"/>
                <w:szCs w:val="21"/>
              </w:rPr>
              <w:t>技术参数响应程度：完全满足招标文件技术指标要求的（技术参数配置要求详见附件表），计10分。</w:t>
            </w:r>
          </w:p>
          <w:p>
            <w:pPr>
              <w:rPr>
                <w:szCs w:val="21"/>
              </w:rPr>
            </w:pPr>
            <w:r>
              <w:rPr>
                <w:rFonts w:hint="eastAsia"/>
                <w:szCs w:val="21"/>
              </w:rPr>
              <w:t>1、技术指标中每出现负偏离一项扣1分，扣完为止，针对非负偏离的技术参数部分，中标后3个工作日内，需搭建环境进行现场测试；</w:t>
            </w:r>
          </w:p>
          <w:p>
            <w:pPr>
              <w:adjustRightInd w:val="0"/>
              <w:snapToGrid w:val="0"/>
              <w:spacing w:line="360" w:lineRule="auto"/>
              <w:rPr>
                <w:rFonts w:hint="eastAsia" w:ascii="Times New Roman" w:hAnsi="Times New Roman" w:eastAsia="宋体" w:cs="Times New Roman"/>
                <w:szCs w:val="21"/>
              </w:rPr>
            </w:pPr>
            <w:r>
              <w:rPr>
                <w:rFonts w:hint="eastAsia"/>
                <w:szCs w:val="21"/>
              </w:rPr>
              <w:t>2、</w:t>
            </w:r>
            <w:r>
              <w:rPr>
                <w:rFonts w:hint="eastAsia" w:ascii="Times New Roman" w:hAnsi="Times New Roman" w:eastAsia="宋体" w:cs="Times New Roman"/>
                <w:szCs w:val="21"/>
              </w:rPr>
              <w:t>技术规格、参数</w:t>
            </w:r>
            <w:r>
              <w:rPr>
                <w:rFonts w:hint="eastAsia" w:ascii="Times New Roman" w:hAnsi="Times New Roman" w:eastAsia="宋体" w:cs="Times New Roman"/>
                <w:szCs w:val="21"/>
                <w:lang w:val="en-US" w:eastAsia="zh-CN"/>
              </w:rPr>
              <w:t>中</w:t>
            </w:r>
            <w:r>
              <w:rPr>
                <w:rFonts w:hint="eastAsia" w:ascii="Times New Roman" w:hAnsi="Times New Roman" w:eastAsia="宋体" w:cs="Times New Roman"/>
                <w:szCs w:val="21"/>
              </w:rPr>
              <w:t>如应答时缺项，则视同负偏离处理。</w:t>
            </w:r>
          </w:p>
          <w:p>
            <w:pPr>
              <w:adjustRightInd w:val="0"/>
              <w:snapToGrid w:val="0"/>
              <w:spacing w:line="360" w:lineRule="auto"/>
              <w:rPr>
                <w:rFonts w:hint="eastAsia"/>
                <w:szCs w:val="21"/>
              </w:rPr>
            </w:pPr>
            <w:r>
              <w:rPr>
                <w:rFonts w:hint="eastAsia" w:ascii="Times New Roman" w:hAnsi="Times New Roman" w:eastAsia="宋体" w:cs="Times New Roman"/>
                <w:szCs w:val="21"/>
              </w:rPr>
              <w:t>3、技术规格、参数</w:t>
            </w:r>
            <w:r>
              <w:rPr>
                <w:rFonts w:hint="eastAsia" w:ascii="Times New Roman" w:hAnsi="Times New Roman" w:eastAsia="宋体" w:cs="Times New Roman"/>
                <w:szCs w:val="21"/>
                <w:lang w:val="en-US" w:eastAsia="zh-CN"/>
              </w:rPr>
              <w:t>中</w:t>
            </w:r>
            <w:r>
              <w:rPr>
                <w:rFonts w:hint="eastAsia"/>
                <w:szCs w:val="21"/>
              </w:rPr>
              <w:t>要求提供证书、测试报告或截图等要求的，投标人须如实提供，未能提供相应证明材料或证明材料不合格、不完整，视为不实质性响应招标文件要求，视同负偏离处理。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3" w:hRule="atLeast"/>
          <w:jc w:val="center"/>
        </w:trPr>
        <w:tc>
          <w:tcPr>
            <w:tcW w:w="258" w:type="pct"/>
            <w:vMerge w:val="continue"/>
            <w:tcBorders>
              <w:tl2br w:val="nil"/>
              <w:tr2bl w:val="nil"/>
            </w:tcBorders>
            <w:noWrap/>
            <w:vAlign w:val="center"/>
          </w:tcPr>
          <w:p>
            <w:pPr>
              <w:spacing w:line="360" w:lineRule="auto"/>
              <w:rPr>
                <w:rFonts w:asciiTheme="minorEastAsia" w:hAnsiTheme="minorEastAsia" w:eastAsiaTheme="minorEastAsia" w:cstheme="minorEastAsia"/>
                <w:color w:val="000000"/>
                <w:kern w:val="0"/>
                <w:szCs w:val="21"/>
              </w:rPr>
            </w:pPr>
          </w:p>
        </w:tc>
        <w:tc>
          <w:tcPr>
            <w:tcW w:w="372" w:type="pct"/>
            <w:tcBorders>
              <w:tl2br w:val="nil"/>
              <w:tr2bl w:val="nil"/>
            </w:tcBorders>
            <w:noWrap/>
            <w:vAlign w:val="center"/>
          </w:tcPr>
          <w:p>
            <w:pPr>
              <w:autoSpaceDE w:val="0"/>
              <w:adjustRightInd w:val="0"/>
              <w:snapToGrid w:val="0"/>
              <w:spacing w:line="360" w:lineRule="auto"/>
              <w:jc w:val="center"/>
              <w:rPr>
                <w:rFonts w:asciiTheme="minorEastAsia" w:hAnsiTheme="minorEastAsia" w:eastAsiaTheme="minorEastAsia" w:cstheme="minorEastAsia"/>
                <w:color w:val="000000"/>
                <w:szCs w:val="21"/>
              </w:rPr>
            </w:pPr>
            <w:r>
              <w:rPr>
                <w:rFonts w:hint="eastAsia"/>
                <w:szCs w:val="21"/>
              </w:rPr>
              <w:t>实施方案</w:t>
            </w:r>
          </w:p>
        </w:tc>
        <w:tc>
          <w:tcPr>
            <w:tcW w:w="264" w:type="pct"/>
            <w:tcBorders>
              <w:tl2br w:val="nil"/>
              <w:tr2bl w:val="nil"/>
            </w:tcBorders>
            <w:noWrap/>
            <w:vAlign w:val="center"/>
          </w:tcPr>
          <w:p>
            <w:pPr>
              <w:spacing w:line="360" w:lineRule="auto"/>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5</w:t>
            </w:r>
          </w:p>
        </w:tc>
        <w:tc>
          <w:tcPr>
            <w:tcW w:w="4104" w:type="pct"/>
            <w:tcBorders>
              <w:tl2br w:val="nil"/>
              <w:tr2bl w:val="nil"/>
            </w:tcBorders>
            <w:noWrap/>
            <w:vAlign w:val="center"/>
          </w:tcPr>
          <w:p>
            <w:pPr>
              <w:adjustRightInd w:val="0"/>
              <w:snapToGrid w:val="0"/>
              <w:spacing w:line="360" w:lineRule="auto"/>
            </w:pPr>
            <w:r>
              <w:rPr>
                <w:rFonts w:hint="eastAsia"/>
              </w:rPr>
              <w:t>实施方案，流程概要。计5分。</w:t>
            </w:r>
          </w:p>
          <w:p>
            <w:pPr>
              <w:adjustRightInd w:val="0"/>
              <w:snapToGrid w:val="0"/>
              <w:spacing w:line="360" w:lineRule="auto"/>
            </w:pPr>
            <w:r>
              <w:rPr>
                <w:rFonts w:hint="eastAsia"/>
              </w:rPr>
              <w:t>工作流程完善、实施步骤明细，合理规划安排计3-</w:t>
            </w:r>
            <w:r>
              <w:rPr>
                <w:rFonts w:hint="eastAsia"/>
                <w:lang w:val="en-US" w:eastAsia="zh-CN"/>
              </w:rPr>
              <w:t>4</w:t>
            </w:r>
            <w:r>
              <w:rPr>
                <w:rFonts w:hint="eastAsia"/>
              </w:rPr>
              <w:t>分；未提供项目实施方案，不得分。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258" w:type="pct"/>
            <w:vMerge w:val="continue"/>
            <w:tcBorders>
              <w:tl2br w:val="nil"/>
              <w:tr2bl w:val="nil"/>
            </w:tcBorders>
            <w:noWrap/>
            <w:vAlign w:val="center"/>
          </w:tcPr>
          <w:p>
            <w:pPr>
              <w:spacing w:line="360" w:lineRule="auto"/>
              <w:rPr>
                <w:rFonts w:asciiTheme="minorEastAsia" w:hAnsiTheme="minorEastAsia" w:eastAsiaTheme="minorEastAsia" w:cstheme="minorEastAsia"/>
                <w:color w:val="000000"/>
                <w:kern w:val="0"/>
                <w:szCs w:val="21"/>
              </w:rPr>
            </w:pPr>
          </w:p>
        </w:tc>
        <w:tc>
          <w:tcPr>
            <w:tcW w:w="372" w:type="pct"/>
            <w:tcBorders>
              <w:tl2br w:val="nil"/>
              <w:tr2bl w:val="nil"/>
            </w:tcBorders>
            <w:noWrap/>
            <w:vAlign w:val="center"/>
          </w:tcPr>
          <w:p>
            <w:pPr>
              <w:autoSpaceDE w:val="0"/>
              <w:adjustRightInd w:val="0"/>
              <w:snapToGrid w:val="0"/>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售后服务</w:t>
            </w:r>
          </w:p>
        </w:tc>
        <w:tc>
          <w:tcPr>
            <w:tcW w:w="264" w:type="pct"/>
            <w:tcBorders>
              <w:tl2br w:val="nil"/>
              <w:tr2bl w:val="nil"/>
            </w:tcBorders>
            <w:noWrap/>
            <w:vAlign w:val="center"/>
          </w:tcPr>
          <w:p>
            <w:pPr>
              <w:spacing w:line="360" w:lineRule="auto"/>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5</w:t>
            </w:r>
          </w:p>
        </w:tc>
        <w:tc>
          <w:tcPr>
            <w:tcW w:w="4104" w:type="pct"/>
            <w:tcBorders>
              <w:tl2br w:val="nil"/>
              <w:tr2bl w:val="nil"/>
            </w:tcBorders>
            <w:noWrap/>
            <w:vAlign w:val="center"/>
          </w:tcPr>
          <w:p>
            <w:pPr>
              <w:adjustRightInd w:val="0"/>
              <w:snapToGrid w:val="0"/>
              <w:spacing w:line="360" w:lineRule="auto"/>
              <w:rPr>
                <w:rFonts w:asciiTheme="minorEastAsia" w:hAnsiTheme="minorEastAsia" w:eastAsiaTheme="minorEastAsia" w:cstheme="minorEastAsia"/>
                <w:szCs w:val="21"/>
              </w:rPr>
            </w:pPr>
            <w:r>
              <w:rPr>
                <w:rFonts w:hint="eastAsia"/>
                <w:szCs w:val="21"/>
              </w:rPr>
              <w:t>提供供应商、制造厂商售后服务承诺函、且提供的服务承诺能满足招标文件要求，所承诺的售后维修方案及服务响应时间及时，具有本地化服务机构及人员，提供详细售后服务机构，人员电话以及明确服务信息，经比较评估后依优劣酌情记3-5分。未提供不得分。</w:t>
            </w:r>
          </w:p>
        </w:tc>
      </w:tr>
    </w:tbl>
    <w:p>
      <w:pPr>
        <w:rPr>
          <w:rFonts w:ascii="宋体" w:hAnsi="宋体"/>
          <w:color w:val="000000"/>
          <w:sz w:val="24"/>
        </w:rPr>
      </w:pPr>
      <w:r>
        <w:rPr>
          <w:rFonts w:hint="eastAsia" w:ascii="宋体" w:hAnsi="宋体"/>
          <w:color w:val="000000"/>
          <w:sz w:val="24"/>
        </w:rPr>
        <w:t>项目名称：</w:t>
      </w:r>
      <w:r>
        <w:rPr>
          <w:rFonts w:hint="eastAsia" w:ascii="宋体" w:hAnsi="宋体"/>
          <w:color w:val="000000"/>
          <w:sz w:val="24"/>
          <w:u w:val="single"/>
        </w:rPr>
        <w:t xml:space="preserve"> </w:t>
      </w:r>
      <w:r>
        <w:rPr>
          <w:rFonts w:hint="eastAsia" w:ascii="宋体" w:hAnsi="宋体" w:cs="宋体"/>
          <w:color w:val="000000"/>
          <w:sz w:val="24"/>
          <w:u w:val="single"/>
        </w:rPr>
        <w:t>岳阳</w:t>
      </w:r>
      <w:r>
        <w:rPr>
          <w:rFonts w:ascii="宋体" w:hAnsi="宋体" w:cs="宋体"/>
          <w:color w:val="000000"/>
          <w:sz w:val="24"/>
          <w:u w:val="single"/>
        </w:rPr>
        <w:t>城陵矶新港</w:t>
      </w:r>
      <w:r>
        <w:rPr>
          <w:rFonts w:hint="eastAsia" w:ascii="宋体" w:hAnsi="宋体" w:cs="宋体"/>
          <w:color w:val="000000"/>
          <w:sz w:val="24"/>
          <w:u w:val="single"/>
        </w:rPr>
        <w:t>有限公司监控出口防火墙及视频准入设备项目</w:t>
      </w:r>
    </w:p>
    <w:p>
      <w:pPr>
        <w:widowControl w:val="0"/>
        <w:adjustRightInd w:val="0"/>
        <w:snapToGrid w:val="0"/>
        <w:spacing w:line="312" w:lineRule="auto"/>
        <w:rPr>
          <w:rFonts w:ascii="宋体" w:hAnsi="宋体"/>
          <w:kern w:val="0"/>
          <w:szCs w:val="21"/>
        </w:rPr>
      </w:pPr>
      <w:bookmarkStart w:id="36" w:name="_Toc11850"/>
      <w:bookmarkStart w:id="37" w:name="_Toc76056662"/>
      <w:r>
        <w:rPr>
          <w:rFonts w:hint="eastAsia" w:ascii="宋体" w:hAnsi="宋体"/>
          <w:kern w:val="0"/>
          <w:szCs w:val="21"/>
        </w:rPr>
        <w:t>1、本表小计总分为</w:t>
      </w:r>
      <w:r>
        <w:rPr>
          <w:rFonts w:ascii="宋体" w:hAnsi="宋体"/>
          <w:szCs w:val="21"/>
          <w:u w:val="single"/>
        </w:rPr>
        <w:t xml:space="preserve">  </w:t>
      </w:r>
      <w:r>
        <w:rPr>
          <w:rFonts w:hint="eastAsia" w:ascii="宋体" w:hAnsi="宋体"/>
          <w:szCs w:val="21"/>
          <w:u w:val="single"/>
        </w:rPr>
        <w:t>20</w:t>
      </w:r>
      <w:r>
        <w:rPr>
          <w:rFonts w:ascii="宋体" w:hAnsi="宋体"/>
          <w:szCs w:val="21"/>
          <w:u w:val="single"/>
        </w:rPr>
        <w:t xml:space="preserve">  </w:t>
      </w:r>
      <w:r>
        <w:rPr>
          <w:rFonts w:hint="eastAsia" w:ascii="宋体" w:hAnsi="宋体"/>
          <w:kern w:val="0"/>
          <w:szCs w:val="21"/>
        </w:rPr>
        <w:t>分。</w:t>
      </w:r>
    </w:p>
    <w:p>
      <w:pPr>
        <w:widowControl w:val="0"/>
        <w:adjustRightInd w:val="0"/>
        <w:snapToGrid w:val="0"/>
        <w:spacing w:line="312" w:lineRule="auto"/>
        <w:ind w:firstLine="420" w:firstLineChars="200"/>
        <w:rPr>
          <w:rFonts w:ascii="宋体" w:hAnsi="宋体"/>
          <w:kern w:val="0"/>
          <w:szCs w:val="21"/>
        </w:rPr>
      </w:pPr>
      <w:r>
        <w:rPr>
          <w:rFonts w:hint="eastAsia" w:ascii="宋体" w:hAnsi="宋体"/>
          <w:kern w:val="0"/>
          <w:szCs w:val="21"/>
        </w:rPr>
        <w:t>2、技术文件中缺失某项评分因素的，该项评分因素计0分。</w:t>
      </w:r>
    </w:p>
    <w:p>
      <w:pPr>
        <w:widowControl w:val="0"/>
        <w:adjustRightInd w:val="0"/>
        <w:snapToGrid w:val="0"/>
        <w:spacing w:line="312" w:lineRule="auto"/>
        <w:ind w:firstLine="420" w:firstLineChars="200"/>
        <w:rPr>
          <w:rFonts w:ascii="宋体" w:hAnsi="宋体"/>
          <w:kern w:val="0"/>
          <w:szCs w:val="21"/>
        </w:rPr>
      </w:pPr>
      <w:r>
        <w:rPr>
          <w:rFonts w:hint="eastAsia" w:ascii="宋体" w:hAnsi="宋体"/>
          <w:kern w:val="0"/>
          <w:szCs w:val="21"/>
        </w:rPr>
        <w:t>3、该项评分内容计分，由</w:t>
      </w:r>
      <w:r>
        <w:rPr>
          <w:rFonts w:hint="eastAsia" w:ascii="宋体" w:hAnsi="宋体"/>
          <w:szCs w:val="21"/>
        </w:rPr>
        <w:t>评审小组</w:t>
      </w:r>
      <w:r>
        <w:rPr>
          <w:rFonts w:hint="eastAsia" w:ascii="宋体" w:hAnsi="宋体"/>
          <w:kern w:val="0"/>
          <w:szCs w:val="21"/>
        </w:rPr>
        <w:t>集体评议，评委根据集体评议意见，自主评分。</w:t>
      </w:r>
      <w:r>
        <w:rPr>
          <w:rFonts w:hint="eastAsia" w:ascii="宋体" w:hAnsi="宋体"/>
          <w:b/>
          <w:kern w:val="0"/>
          <w:szCs w:val="21"/>
        </w:rPr>
        <w:t>技术文件得分为评委个人评审计分的算术平均值。</w:t>
      </w:r>
    </w:p>
    <w:p>
      <w:pPr>
        <w:pStyle w:val="38"/>
      </w:pPr>
    </w:p>
    <w:p>
      <w:pPr>
        <w:pStyle w:val="38"/>
        <w:ind w:firstLine="0"/>
        <w:rPr>
          <w:rFonts w:ascii="黑体" w:hAnsi="黑体" w:eastAsia="黑体"/>
          <w:color w:val="000000"/>
          <w:sz w:val="32"/>
          <w:szCs w:val="32"/>
        </w:rPr>
      </w:pPr>
      <w:r>
        <w:rPr>
          <w:rFonts w:hint="eastAsia" w:hAnsi="宋体"/>
          <w:color w:val="000000"/>
          <w:szCs w:val="24"/>
        </w:rPr>
        <w:t>评审小组成员</w:t>
      </w:r>
      <w:r>
        <w:rPr>
          <w:rFonts w:hAnsi="宋体"/>
          <w:color w:val="000000"/>
          <w:szCs w:val="24"/>
        </w:rPr>
        <w:t>签字：</w:t>
      </w:r>
      <w:r>
        <w:rPr>
          <w:rFonts w:hint="eastAsia" w:hAnsi="宋体"/>
          <w:color w:val="000000"/>
          <w:szCs w:val="24"/>
        </w:rPr>
        <w:t xml:space="preserve">                            </w:t>
      </w:r>
    </w:p>
    <w:p>
      <w:pPr>
        <w:rPr>
          <w:rFonts w:ascii="黑体" w:hAnsi="黑体" w:eastAsia="黑体"/>
          <w:color w:val="000000"/>
          <w:sz w:val="32"/>
          <w:szCs w:val="32"/>
        </w:rPr>
      </w:pPr>
      <w:r>
        <w:rPr>
          <w:rFonts w:hint="eastAsia" w:ascii="黑体" w:hAnsi="黑体" w:eastAsia="黑体"/>
          <w:color w:val="000000"/>
          <w:sz w:val="32"/>
          <w:szCs w:val="32"/>
        </w:rPr>
        <w:br w:type="page"/>
      </w:r>
    </w:p>
    <w:p>
      <w:pPr>
        <w:widowControl w:val="0"/>
        <w:spacing w:line="360" w:lineRule="auto"/>
        <w:jc w:val="both"/>
        <w:rPr>
          <w:rFonts w:ascii="黑体" w:hAnsi="黑体" w:eastAsia="黑体"/>
          <w:color w:val="000000"/>
          <w:sz w:val="32"/>
          <w:szCs w:val="32"/>
        </w:rPr>
      </w:pPr>
      <w:r>
        <w:rPr>
          <w:rFonts w:hint="eastAsia" w:ascii="黑体" w:hAnsi="黑体" w:eastAsia="黑体"/>
          <w:color w:val="000000"/>
          <w:sz w:val="32"/>
          <w:szCs w:val="32"/>
        </w:rPr>
        <w:t>附表3</w:t>
      </w:r>
    </w:p>
    <w:bookmarkEnd w:id="36"/>
    <w:bookmarkEnd w:id="37"/>
    <w:p>
      <w:pPr>
        <w:widowControl w:val="0"/>
        <w:adjustRightInd w:val="0"/>
        <w:snapToGrid w:val="0"/>
        <w:spacing w:line="360" w:lineRule="auto"/>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价格评分表（40分）</w:t>
      </w:r>
    </w:p>
    <w:p>
      <w:pPr>
        <w:spacing w:line="360" w:lineRule="auto"/>
        <w:jc w:val="both"/>
        <w:rPr>
          <w:rFonts w:ascii="黑体" w:hAnsi="黑体"/>
          <w:color w:val="FF0000"/>
          <w:sz w:val="32"/>
          <w:szCs w:val="32"/>
        </w:rPr>
      </w:pPr>
      <w:r>
        <w:rPr>
          <w:rFonts w:hint="eastAsia" w:ascii="宋体" w:hAnsi="宋体"/>
          <w:color w:val="000000"/>
          <w:kern w:val="0"/>
          <w:sz w:val="24"/>
        </w:rPr>
        <w:t>项目名</w:t>
      </w:r>
      <w:r>
        <w:rPr>
          <w:rFonts w:hint="eastAsia" w:ascii="宋体" w:hAnsi="宋体"/>
          <w:color w:val="000000" w:themeColor="text1"/>
          <w:kern w:val="0"/>
          <w:sz w:val="24"/>
          <w14:textFill>
            <w14:solidFill>
              <w14:schemeClr w14:val="tx1"/>
            </w14:solidFill>
          </w14:textFill>
        </w:rPr>
        <w:t>称：</w:t>
      </w:r>
      <w:r>
        <w:rPr>
          <w:rFonts w:hint="eastAsia" w:ascii="宋体" w:hAnsi="宋体" w:cs="宋体"/>
          <w:color w:val="000000"/>
          <w:sz w:val="24"/>
          <w:u w:val="single"/>
        </w:rPr>
        <w:t>岳阳</w:t>
      </w:r>
      <w:r>
        <w:rPr>
          <w:rFonts w:ascii="宋体" w:hAnsi="宋体" w:cs="宋体"/>
          <w:color w:val="000000"/>
          <w:sz w:val="24"/>
          <w:u w:val="single"/>
        </w:rPr>
        <w:t>城陵矶新港</w:t>
      </w:r>
      <w:r>
        <w:rPr>
          <w:rFonts w:hint="eastAsia" w:ascii="宋体" w:hAnsi="宋体" w:cs="宋体"/>
          <w:color w:val="000000"/>
          <w:sz w:val="24"/>
          <w:u w:val="single"/>
        </w:rPr>
        <w:t>有限公司监控出口防火墙及视频准入设备项目</w:t>
      </w:r>
    </w:p>
    <w:tbl>
      <w:tblPr>
        <w:tblStyle w:val="40"/>
        <w:tblW w:w="8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
        <w:gridCol w:w="764"/>
        <w:gridCol w:w="524"/>
        <w:gridCol w:w="2847"/>
        <w:gridCol w:w="849"/>
        <w:gridCol w:w="778"/>
        <w:gridCol w:w="1657"/>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441" w:type="dxa"/>
            <w:noWrap/>
            <w:vAlign w:val="center"/>
          </w:tcPr>
          <w:p>
            <w:pPr>
              <w:pStyle w:val="2"/>
              <w:keepNext w:val="0"/>
              <w:keepLines w:val="0"/>
              <w:widowControl w:val="0"/>
              <w:overflowPunct w:val="0"/>
              <w:topLinePunct/>
              <w:adjustRightInd w:val="0"/>
              <w:snapToGrid w:val="0"/>
              <w:spacing w:after="0" w:line="312" w:lineRule="auto"/>
              <w:jc w:val="center"/>
              <w:rPr>
                <w:rFonts w:ascii="宋体" w:hAnsi="宋体" w:cs="宋体"/>
                <w:b w:val="0"/>
                <w:bCs w:val="0"/>
                <w:color w:val="000000"/>
                <w:sz w:val="21"/>
                <w:szCs w:val="21"/>
              </w:rPr>
            </w:pPr>
            <w:r>
              <w:rPr>
                <w:rFonts w:hint="eastAsia" w:ascii="宋体" w:hAnsi="宋体" w:cs="宋体"/>
                <w:b w:val="0"/>
                <w:bCs w:val="0"/>
                <w:color w:val="000000"/>
                <w:sz w:val="21"/>
                <w:szCs w:val="21"/>
              </w:rPr>
              <w:t>序号</w:t>
            </w:r>
          </w:p>
        </w:tc>
        <w:tc>
          <w:tcPr>
            <w:tcW w:w="764" w:type="dxa"/>
            <w:noWrap/>
            <w:vAlign w:val="center"/>
          </w:tcPr>
          <w:p>
            <w:pPr>
              <w:pStyle w:val="2"/>
              <w:keepNext w:val="0"/>
              <w:keepLines w:val="0"/>
              <w:widowControl w:val="0"/>
              <w:overflowPunct w:val="0"/>
              <w:topLinePunct/>
              <w:adjustRightInd w:val="0"/>
              <w:snapToGrid w:val="0"/>
              <w:spacing w:after="0" w:line="312" w:lineRule="auto"/>
              <w:jc w:val="center"/>
              <w:rPr>
                <w:rFonts w:ascii="宋体" w:hAnsi="宋体" w:cs="宋体"/>
                <w:b w:val="0"/>
                <w:bCs w:val="0"/>
                <w:color w:val="000000"/>
                <w:sz w:val="21"/>
                <w:szCs w:val="21"/>
              </w:rPr>
            </w:pPr>
            <w:r>
              <w:rPr>
                <w:rFonts w:hint="eastAsia" w:ascii="宋体" w:hAnsi="宋体" w:cs="宋体"/>
                <w:b w:val="0"/>
                <w:bCs w:val="0"/>
                <w:color w:val="000000"/>
                <w:sz w:val="21"/>
                <w:szCs w:val="21"/>
              </w:rPr>
              <w:t>评审因素</w:t>
            </w:r>
          </w:p>
        </w:tc>
        <w:tc>
          <w:tcPr>
            <w:tcW w:w="524" w:type="dxa"/>
            <w:noWrap/>
            <w:vAlign w:val="center"/>
          </w:tcPr>
          <w:p>
            <w:pPr>
              <w:pStyle w:val="2"/>
              <w:keepNext w:val="0"/>
              <w:keepLines w:val="0"/>
              <w:widowControl w:val="0"/>
              <w:overflowPunct w:val="0"/>
              <w:topLinePunct/>
              <w:adjustRightInd w:val="0"/>
              <w:snapToGrid w:val="0"/>
              <w:spacing w:after="0" w:line="312" w:lineRule="auto"/>
              <w:jc w:val="center"/>
              <w:rPr>
                <w:rFonts w:ascii="宋体" w:hAnsi="宋体" w:cs="宋体"/>
                <w:b w:val="0"/>
                <w:bCs w:val="0"/>
                <w:color w:val="000000"/>
                <w:sz w:val="21"/>
                <w:szCs w:val="21"/>
              </w:rPr>
            </w:pPr>
            <w:r>
              <w:rPr>
                <w:rFonts w:hint="eastAsia" w:ascii="宋体" w:hAnsi="宋体" w:cs="宋体"/>
                <w:b w:val="0"/>
                <w:bCs w:val="0"/>
                <w:color w:val="000000"/>
                <w:sz w:val="21"/>
                <w:szCs w:val="21"/>
              </w:rPr>
              <w:t>分值</w:t>
            </w:r>
          </w:p>
        </w:tc>
        <w:tc>
          <w:tcPr>
            <w:tcW w:w="2847" w:type="dxa"/>
            <w:noWrap/>
            <w:vAlign w:val="center"/>
          </w:tcPr>
          <w:p>
            <w:pPr>
              <w:pStyle w:val="2"/>
              <w:keepNext w:val="0"/>
              <w:keepLines w:val="0"/>
              <w:widowControl w:val="0"/>
              <w:overflowPunct w:val="0"/>
              <w:topLinePunct/>
              <w:adjustRightInd w:val="0"/>
              <w:snapToGrid w:val="0"/>
              <w:spacing w:after="0" w:line="312" w:lineRule="auto"/>
              <w:jc w:val="center"/>
              <w:rPr>
                <w:rFonts w:ascii="宋体" w:hAnsi="宋体" w:cs="宋体"/>
                <w:b w:val="0"/>
                <w:bCs w:val="0"/>
                <w:color w:val="000000"/>
                <w:sz w:val="21"/>
                <w:szCs w:val="21"/>
              </w:rPr>
            </w:pPr>
            <w:r>
              <w:rPr>
                <w:rFonts w:hint="eastAsia" w:ascii="宋体" w:hAnsi="宋体" w:cs="宋体"/>
                <w:b w:val="0"/>
                <w:bCs w:val="0"/>
                <w:color w:val="000000"/>
                <w:sz w:val="21"/>
                <w:szCs w:val="21"/>
              </w:rPr>
              <w:t>评分标准</w:t>
            </w:r>
          </w:p>
        </w:tc>
        <w:tc>
          <w:tcPr>
            <w:tcW w:w="849" w:type="dxa"/>
            <w:noWrap/>
            <w:vAlign w:val="center"/>
          </w:tcPr>
          <w:p>
            <w:pPr>
              <w:pStyle w:val="2"/>
              <w:keepNext w:val="0"/>
              <w:keepLines w:val="0"/>
              <w:widowControl w:val="0"/>
              <w:overflowPunct w:val="0"/>
              <w:topLinePunct/>
              <w:adjustRightInd w:val="0"/>
              <w:snapToGrid w:val="0"/>
              <w:spacing w:after="0" w:line="312" w:lineRule="auto"/>
              <w:jc w:val="center"/>
              <w:rPr>
                <w:rFonts w:ascii="宋体" w:hAnsi="宋体" w:cs="宋体"/>
                <w:b w:val="0"/>
                <w:bCs w:val="0"/>
                <w:color w:val="000000"/>
                <w:sz w:val="21"/>
                <w:szCs w:val="21"/>
              </w:rPr>
            </w:pPr>
            <w:r>
              <w:rPr>
                <w:rFonts w:hint="eastAsia" w:ascii="宋体" w:hAnsi="宋体" w:cs="宋体"/>
                <w:b w:val="0"/>
                <w:bCs w:val="0"/>
                <w:color w:val="000000"/>
                <w:sz w:val="21"/>
                <w:szCs w:val="21"/>
              </w:rPr>
              <w:t>投标人名称</w:t>
            </w:r>
          </w:p>
        </w:tc>
        <w:tc>
          <w:tcPr>
            <w:tcW w:w="778" w:type="dxa"/>
            <w:noWrap/>
            <w:vAlign w:val="center"/>
          </w:tcPr>
          <w:p>
            <w:pPr>
              <w:pStyle w:val="2"/>
              <w:keepNext w:val="0"/>
              <w:keepLines w:val="0"/>
              <w:widowControl w:val="0"/>
              <w:overflowPunct w:val="0"/>
              <w:topLinePunct/>
              <w:adjustRightInd w:val="0"/>
              <w:snapToGrid w:val="0"/>
              <w:spacing w:after="0" w:line="312" w:lineRule="auto"/>
              <w:jc w:val="center"/>
              <w:rPr>
                <w:rFonts w:ascii="宋体" w:hAnsi="宋体" w:cs="宋体"/>
                <w:b w:val="0"/>
                <w:bCs w:val="0"/>
                <w:color w:val="000000"/>
                <w:sz w:val="21"/>
                <w:szCs w:val="21"/>
              </w:rPr>
            </w:pPr>
            <w:r>
              <w:rPr>
                <w:rFonts w:hint="eastAsia" w:ascii="宋体" w:hAnsi="宋体" w:cs="宋体"/>
                <w:b w:val="0"/>
                <w:bCs w:val="0"/>
                <w:color w:val="000000"/>
                <w:sz w:val="21"/>
                <w:szCs w:val="21"/>
              </w:rPr>
              <w:t>投标报价</w:t>
            </w:r>
          </w:p>
        </w:tc>
        <w:tc>
          <w:tcPr>
            <w:tcW w:w="1657" w:type="dxa"/>
            <w:noWrap/>
            <w:vAlign w:val="center"/>
          </w:tcPr>
          <w:p>
            <w:pPr>
              <w:pStyle w:val="2"/>
              <w:keepNext w:val="0"/>
              <w:keepLines w:val="0"/>
              <w:widowControl w:val="0"/>
              <w:overflowPunct w:val="0"/>
              <w:topLinePunct/>
              <w:adjustRightInd w:val="0"/>
              <w:snapToGrid w:val="0"/>
              <w:spacing w:after="0" w:line="312" w:lineRule="auto"/>
              <w:jc w:val="center"/>
              <w:rPr>
                <w:rFonts w:ascii="宋体" w:hAnsi="宋体" w:cs="宋体"/>
                <w:b w:val="0"/>
                <w:bCs w:val="0"/>
                <w:color w:val="000000"/>
                <w:sz w:val="21"/>
                <w:szCs w:val="21"/>
              </w:rPr>
            </w:pPr>
            <w:r>
              <w:rPr>
                <w:rFonts w:hint="eastAsia" w:ascii="宋体" w:hAnsi="宋体" w:cs="宋体"/>
                <w:b w:val="0"/>
                <w:bCs w:val="0"/>
                <w:color w:val="000000"/>
                <w:sz w:val="21"/>
                <w:szCs w:val="21"/>
              </w:rPr>
              <w:t>评标基准价</w:t>
            </w:r>
          </w:p>
        </w:tc>
        <w:tc>
          <w:tcPr>
            <w:tcW w:w="857" w:type="dxa"/>
            <w:noWrap/>
            <w:vAlign w:val="center"/>
          </w:tcPr>
          <w:p>
            <w:pPr>
              <w:pStyle w:val="2"/>
              <w:keepNext w:val="0"/>
              <w:keepLines w:val="0"/>
              <w:widowControl w:val="0"/>
              <w:overflowPunct w:val="0"/>
              <w:topLinePunct/>
              <w:adjustRightInd w:val="0"/>
              <w:snapToGrid w:val="0"/>
              <w:spacing w:after="0" w:line="312" w:lineRule="auto"/>
              <w:jc w:val="center"/>
              <w:rPr>
                <w:rFonts w:ascii="宋体" w:hAnsi="宋体" w:cs="宋体"/>
                <w:b w:val="0"/>
                <w:bCs w:val="0"/>
                <w:color w:val="000000"/>
                <w:sz w:val="21"/>
                <w:szCs w:val="21"/>
              </w:rPr>
            </w:pPr>
            <w:r>
              <w:rPr>
                <w:rFonts w:hint="eastAsia" w:ascii="宋体" w:hAnsi="宋体" w:cs="宋体"/>
                <w:b w:val="0"/>
                <w:bCs w:val="0"/>
                <w:color w:val="000000"/>
                <w:sz w:val="21"/>
                <w:szCs w:val="21"/>
              </w:rPr>
              <w:t>投标报价得分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441" w:type="dxa"/>
            <w:noWrap/>
            <w:vAlign w:val="center"/>
          </w:tcPr>
          <w:p>
            <w:pPr>
              <w:pStyle w:val="2"/>
              <w:keepNext w:val="0"/>
              <w:keepLines w:val="0"/>
              <w:widowControl w:val="0"/>
              <w:overflowPunct w:val="0"/>
              <w:topLinePunct/>
              <w:adjustRightInd w:val="0"/>
              <w:snapToGrid w:val="0"/>
              <w:spacing w:after="0" w:line="312" w:lineRule="auto"/>
              <w:jc w:val="both"/>
              <w:rPr>
                <w:rFonts w:ascii="宋体" w:hAnsi="宋体" w:cs="宋体"/>
                <w:b w:val="0"/>
                <w:bCs w:val="0"/>
                <w:color w:val="000000"/>
                <w:sz w:val="21"/>
                <w:szCs w:val="21"/>
              </w:rPr>
            </w:pPr>
            <w:r>
              <w:rPr>
                <w:rFonts w:hint="eastAsia" w:ascii="宋体" w:hAnsi="宋体" w:cs="宋体"/>
                <w:b w:val="0"/>
                <w:bCs w:val="0"/>
                <w:color w:val="000000"/>
                <w:sz w:val="21"/>
                <w:szCs w:val="21"/>
              </w:rPr>
              <w:t>1</w:t>
            </w:r>
          </w:p>
        </w:tc>
        <w:tc>
          <w:tcPr>
            <w:tcW w:w="764" w:type="dxa"/>
            <w:noWrap/>
            <w:vAlign w:val="center"/>
          </w:tcPr>
          <w:p>
            <w:pPr>
              <w:widowControl w:val="0"/>
              <w:jc w:val="both"/>
              <w:rPr>
                <w:rFonts w:ascii="宋体" w:hAnsi="宋体" w:cs="宋体"/>
                <w:color w:val="000000"/>
                <w:szCs w:val="21"/>
              </w:rPr>
            </w:pPr>
            <w:r>
              <w:rPr>
                <w:rFonts w:hint="eastAsia" w:ascii="宋体" w:hAnsi="宋体"/>
                <w:szCs w:val="21"/>
              </w:rPr>
              <w:t>投标报价</w:t>
            </w:r>
            <w:r>
              <w:rPr>
                <w:rFonts w:hint="eastAsia"/>
                <w:szCs w:val="21"/>
              </w:rPr>
              <w:t>评分</w:t>
            </w:r>
          </w:p>
        </w:tc>
        <w:tc>
          <w:tcPr>
            <w:tcW w:w="524" w:type="dxa"/>
            <w:noWrap/>
            <w:vAlign w:val="center"/>
          </w:tcPr>
          <w:p>
            <w:pPr>
              <w:pStyle w:val="2"/>
              <w:keepNext w:val="0"/>
              <w:keepLines w:val="0"/>
              <w:widowControl w:val="0"/>
              <w:overflowPunct w:val="0"/>
              <w:topLinePunct/>
              <w:adjustRightInd w:val="0"/>
              <w:snapToGrid w:val="0"/>
              <w:spacing w:after="0" w:line="312" w:lineRule="auto"/>
              <w:jc w:val="both"/>
              <w:rPr>
                <w:rFonts w:ascii="宋体" w:hAnsi="宋体" w:cs="宋体"/>
                <w:b w:val="0"/>
                <w:bCs w:val="0"/>
                <w:color w:val="000000"/>
                <w:sz w:val="21"/>
                <w:szCs w:val="21"/>
              </w:rPr>
            </w:pPr>
            <w:r>
              <w:rPr>
                <w:rFonts w:hint="eastAsia" w:ascii="宋体" w:hAnsi="宋体" w:cs="宋体"/>
                <w:b w:val="0"/>
                <w:bCs w:val="0"/>
                <w:color w:val="000000"/>
                <w:sz w:val="21"/>
                <w:szCs w:val="21"/>
              </w:rPr>
              <w:t>40</w:t>
            </w:r>
          </w:p>
        </w:tc>
        <w:tc>
          <w:tcPr>
            <w:tcW w:w="2847" w:type="dxa"/>
            <w:noWrap/>
            <w:vAlign w:val="center"/>
          </w:tcPr>
          <w:p>
            <w:pPr>
              <w:widowControl w:val="0"/>
              <w:adjustRightInd w:val="0"/>
              <w:snapToGrid w:val="0"/>
              <w:spacing w:line="276" w:lineRule="auto"/>
              <w:jc w:val="both"/>
              <w:rPr>
                <w:rFonts w:hAnsi="宋体" w:cs="宋体"/>
                <w:color w:val="000000"/>
                <w:szCs w:val="21"/>
              </w:rPr>
            </w:pPr>
            <w:r>
              <w:rPr>
                <w:rFonts w:hint="eastAsia" w:asciiTheme="minorEastAsia" w:hAnsiTheme="minorEastAsia" w:eastAsiaTheme="minorEastAsia"/>
                <w:szCs w:val="21"/>
              </w:rPr>
              <w:t>通过初步评审的最低评审价格为评审基准价，其供应商报价分为满分。其他供应商的报价分统一按照下列公式计算：报价得分＝（评审基准价／评审价格）</w:t>
            </w:r>
            <w:r>
              <w:rPr>
                <w:rFonts w:asciiTheme="minorEastAsia" w:hAnsiTheme="minorEastAsia" w:eastAsiaTheme="minorEastAsia"/>
                <w:szCs w:val="21"/>
              </w:rPr>
              <w:t>×</w:t>
            </w:r>
            <w:r>
              <w:rPr>
                <w:rFonts w:hint="eastAsia" w:asciiTheme="minorEastAsia" w:hAnsiTheme="minorEastAsia" w:eastAsiaTheme="minorEastAsia"/>
                <w:szCs w:val="21"/>
                <w:u w:val="single"/>
              </w:rPr>
              <w:t xml:space="preserve"> 40 </w:t>
            </w:r>
            <w:r>
              <w:rPr>
                <w:rFonts w:hint="eastAsia" w:asciiTheme="minorEastAsia" w:hAnsiTheme="minorEastAsia" w:eastAsiaTheme="minorEastAsia"/>
                <w:szCs w:val="21"/>
              </w:rPr>
              <w:t>（响应报价分）。</w:t>
            </w:r>
          </w:p>
        </w:tc>
        <w:tc>
          <w:tcPr>
            <w:tcW w:w="849" w:type="dxa"/>
            <w:noWrap/>
            <w:vAlign w:val="center"/>
          </w:tcPr>
          <w:p>
            <w:pPr>
              <w:pStyle w:val="2"/>
              <w:keepNext w:val="0"/>
              <w:keepLines w:val="0"/>
              <w:widowControl w:val="0"/>
              <w:overflowPunct w:val="0"/>
              <w:topLinePunct/>
              <w:adjustRightInd w:val="0"/>
              <w:snapToGrid w:val="0"/>
              <w:spacing w:after="0" w:line="312" w:lineRule="auto"/>
              <w:jc w:val="both"/>
              <w:rPr>
                <w:rFonts w:ascii="宋体" w:hAnsi="宋体" w:cs="宋体"/>
                <w:b w:val="0"/>
                <w:bCs w:val="0"/>
                <w:color w:val="000000"/>
                <w:sz w:val="21"/>
                <w:szCs w:val="21"/>
              </w:rPr>
            </w:pPr>
          </w:p>
        </w:tc>
        <w:tc>
          <w:tcPr>
            <w:tcW w:w="778" w:type="dxa"/>
            <w:noWrap/>
            <w:vAlign w:val="center"/>
          </w:tcPr>
          <w:p>
            <w:pPr>
              <w:pStyle w:val="2"/>
              <w:keepNext w:val="0"/>
              <w:keepLines w:val="0"/>
              <w:widowControl w:val="0"/>
              <w:overflowPunct w:val="0"/>
              <w:topLinePunct/>
              <w:adjustRightInd w:val="0"/>
              <w:snapToGrid w:val="0"/>
              <w:spacing w:after="0" w:line="312" w:lineRule="auto"/>
              <w:jc w:val="both"/>
              <w:rPr>
                <w:rFonts w:ascii="宋体" w:hAnsi="宋体" w:cs="宋体"/>
                <w:b w:val="0"/>
                <w:bCs w:val="0"/>
                <w:color w:val="000000"/>
                <w:sz w:val="21"/>
                <w:szCs w:val="21"/>
              </w:rPr>
            </w:pPr>
          </w:p>
        </w:tc>
        <w:tc>
          <w:tcPr>
            <w:tcW w:w="1657" w:type="dxa"/>
            <w:noWrap/>
            <w:vAlign w:val="center"/>
          </w:tcPr>
          <w:p>
            <w:pPr>
              <w:pStyle w:val="2"/>
              <w:keepNext w:val="0"/>
              <w:keepLines w:val="0"/>
              <w:widowControl w:val="0"/>
              <w:overflowPunct w:val="0"/>
              <w:topLinePunct/>
              <w:adjustRightInd w:val="0"/>
              <w:snapToGrid w:val="0"/>
              <w:spacing w:after="0" w:line="312" w:lineRule="auto"/>
              <w:jc w:val="both"/>
              <w:rPr>
                <w:rFonts w:ascii="宋体" w:hAnsi="宋体" w:cs="宋体"/>
                <w:b w:val="0"/>
                <w:bCs w:val="0"/>
                <w:color w:val="000000"/>
                <w:sz w:val="21"/>
                <w:szCs w:val="21"/>
              </w:rPr>
            </w:pPr>
            <w:r>
              <w:rPr>
                <w:rFonts w:hint="eastAsia" w:asciiTheme="minorEastAsia" w:hAnsiTheme="minorEastAsia" w:eastAsiaTheme="minorEastAsia"/>
                <w:b w:val="0"/>
                <w:bCs w:val="0"/>
                <w:kern w:val="2"/>
                <w:sz w:val="21"/>
                <w:szCs w:val="21"/>
              </w:rPr>
              <w:t>通过初步评审的最低评审价格为评审基准价，其供应商报价分为满分。</w:t>
            </w:r>
          </w:p>
        </w:tc>
        <w:tc>
          <w:tcPr>
            <w:tcW w:w="857" w:type="dxa"/>
            <w:noWrap/>
            <w:vAlign w:val="center"/>
          </w:tcPr>
          <w:p>
            <w:pPr>
              <w:pStyle w:val="2"/>
              <w:keepNext w:val="0"/>
              <w:keepLines w:val="0"/>
              <w:widowControl w:val="0"/>
              <w:overflowPunct w:val="0"/>
              <w:topLinePunct/>
              <w:adjustRightInd w:val="0"/>
              <w:snapToGrid w:val="0"/>
              <w:spacing w:after="0" w:line="312" w:lineRule="auto"/>
              <w:jc w:val="both"/>
              <w:rPr>
                <w:rFonts w:ascii="宋体" w:hAnsi="宋体" w:cs="宋体"/>
                <w:b w:val="0"/>
                <w:bCs w:val="0"/>
                <w:color w:val="000000"/>
                <w:sz w:val="21"/>
                <w:szCs w:val="21"/>
              </w:rPr>
            </w:pPr>
          </w:p>
        </w:tc>
      </w:tr>
    </w:tbl>
    <w:p>
      <w:pPr>
        <w:rPr>
          <w:rFonts w:ascii="宋体" w:hAnsi="宋体"/>
          <w:color w:val="000000"/>
          <w:sz w:val="24"/>
        </w:rPr>
      </w:pPr>
    </w:p>
    <w:p>
      <w:pPr>
        <w:pStyle w:val="38"/>
        <w:rPr>
          <w:rFonts w:hAnsi="宋体"/>
          <w:color w:val="000000"/>
        </w:rPr>
      </w:pPr>
    </w:p>
    <w:p>
      <w:pPr>
        <w:rPr>
          <w:rFonts w:ascii="黑体" w:hAnsi="黑体" w:eastAsia="黑体" w:cs="仿宋"/>
          <w:b/>
          <w:color w:val="000000"/>
          <w:sz w:val="36"/>
          <w:szCs w:val="36"/>
        </w:rPr>
      </w:pPr>
      <w:r>
        <w:rPr>
          <w:rFonts w:hint="eastAsia" w:ascii="黑体" w:hAnsi="黑体" w:eastAsia="黑体" w:cs="仿宋"/>
          <w:b/>
          <w:color w:val="000000"/>
          <w:sz w:val="36"/>
          <w:szCs w:val="36"/>
        </w:rPr>
        <w:br w:type="page"/>
      </w:r>
    </w:p>
    <w:p>
      <w:pPr>
        <w:pStyle w:val="77"/>
        <w:spacing w:line="360" w:lineRule="auto"/>
        <w:ind w:firstLine="0" w:firstLineChars="0"/>
        <w:jc w:val="center"/>
        <w:outlineLvl w:val="0"/>
        <w:rPr>
          <w:rFonts w:ascii="黑体" w:hAnsi="黑体" w:eastAsia="黑体" w:cs="仿宋"/>
          <w:b/>
          <w:color w:val="000000"/>
          <w:sz w:val="36"/>
          <w:szCs w:val="36"/>
        </w:rPr>
      </w:pPr>
      <w:r>
        <w:rPr>
          <w:rFonts w:hint="eastAsia" w:ascii="黑体" w:hAnsi="黑体" w:eastAsia="黑体" w:cs="仿宋"/>
          <w:b/>
          <w:color w:val="000000"/>
          <w:sz w:val="36"/>
          <w:szCs w:val="36"/>
        </w:rPr>
        <w:t>第四章  合同条款及格式</w:t>
      </w:r>
      <w:bookmarkEnd w:id="15"/>
    </w:p>
    <w:p>
      <w:pPr>
        <w:spacing w:line="360" w:lineRule="auto"/>
      </w:pPr>
    </w:p>
    <w:p>
      <w:pPr>
        <w:spacing w:line="360" w:lineRule="auto"/>
        <w:jc w:val="center"/>
        <w:rPr>
          <w:u w:val="single"/>
        </w:rPr>
      </w:pPr>
      <w:r>
        <w:rPr>
          <w:rFonts w:hint="eastAsia"/>
        </w:rPr>
        <w:t xml:space="preserve">                                               合同编号：</w:t>
      </w:r>
    </w:p>
    <w:p>
      <w:pPr>
        <w:spacing w:line="360" w:lineRule="auto"/>
        <w:jc w:val="both"/>
        <w:rPr>
          <w:u w:val="single"/>
        </w:rPr>
      </w:pPr>
    </w:p>
    <w:p>
      <w:pPr>
        <w:spacing w:line="360" w:lineRule="auto"/>
        <w:jc w:val="both"/>
        <w:rPr>
          <w:u w:val="single"/>
        </w:rPr>
      </w:pPr>
    </w:p>
    <w:p>
      <w:pPr>
        <w:spacing w:line="360" w:lineRule="auto"/>
        <w:jc w:val="both"/>
        <w:rPr>
          <w:u w:val="single"/>
        </w:rPr>
      </w:pPr>
    </w:p>
    <w:p>
      <w:pPr>
        <w:spacing w:line="360" w:lineRule="auto"/>
        <w:jc w:val="right"/>
        <w:rPr>
          <w:u w:val="single"/>
        </w:rPr>
      </w:pPr>
    </w:p>
    <w:p>
      <w:pPr>
        <w:pStyle w:val="77"/>
        <w:spacing w:line="360" w:lineRule="auto"/>
        <w:ind w:right="979" w:rightChars="466" w:firstLine="0" w:firstLineChars="0"/>
        <w:jc w:val="center"/>
        <w:rPr>
          <w:rFonts w:ascii="黑体" w:hAnsi="黑体" w:eastAsia="黑体" w:cs="仿宋"/>
          <w:b/>
          <w:bCs/>
          <w:color w:val="000000"/>
          <w:sz w:val="36"/>
          <w:szCs w:val="36"/>
        </w:rPr>
      </w:pPr>
      <w:r>
        <w:rPr>
          <w:rFonts w:hint="eastAsia" w:ascii="黑体" w:hAnsi="黑体" w:eastAsia="黑体" w:cs="仿宋"/>
          <w:b/>
          <w:color w:val="000000"/>
          <w:sz w:val="36"/>
          <w:szCs w:val="36"/>
        </w:rPr>
        <w:t>岳阳</w:t>
      </w:r>
      <w:r>
        <w:rPr>
          <w:rFonts w:ascii="黑体" w:hAnsi="黑体" w:eastAsia="黑体" w:cs="仿宋"/>
          <w:b/>
          <w:color w:val="000000"/>
          <w:sz w:val="36"/>
          <w:szCs w:val="36"/>
        </w:rPr>
        <w:t>城陵矶新港</w:t>
      </w:r>
      <w:r>
        <w:rPr>
          <w:rFonts w:hint="eastAsia" w:ascii="黑体" w:hAnsi="黑体" w:eastAsia="黑体" w:cs="仿宋"/>
          <w:b/>
          <w:color w:val="000000"/>
          <w:sz w:val="36"/>
          <w:szCs w:val="36"/>
        </w:rPr>
        <w:t>有限公司监控出口防火墙及视频准入设备项目合同</w:t>
      </w:r>
    </w:p>
    <w:p>
      <w:pPr>
        <w:spacing w:line="360" w:lineRule="auto"/>
        <w:jc w:val="both"/>
        <w:rPr>
          <w:b/>
          <w:bCs/>
          <w:sz w:val="44"/>
          <w:szCs w:val="44"/>
        </w:rPr>
      </w:pPr>
    </w:p>
    <w:p>
      <w:pPr>
        <w:pStyle w:val="38"/>
        <w:spacing w:line="360" w:lineRule="auto"/>
        <w:ind w:firstLine="0"/>
        <w:rPr>
          <w:b/>
          <w:bCs/>
          <w:sz w:val="44"/>
          <w:szCs w:val="44"/>
        </w:rPr>
      </w:pPr>
    </w:p>
    <w:p>
      <w:pPr>
        <w:pStyle w:val="38"/>
        <w:spacing w:line="360" w:lineRule="auto"/>
        <w:rPr>
          <w:b/>
          <w:bCs/>
          <w:sz w:val="44"/>
          <w:szCs w:val="44"/>
        </w:rPr>
      </w:pPr>
    </w:p>
    <w:p>
      <w:pPr>
        <w:spacing w:line="360" w:lineRule="auto"/>
        <w:rPr>
          <w:b/>
          <w:bCs/>
          <w:sz w:val="44"/>
          <w:szCs w:val="44"/>
        </w:rPr>
      </w:pPr>
    </w:p>
    <w:p>
      <w:pPr>
        <w:pStyle w:val="38"/>
        <w:spacing w:line="360" w:lineRule="auto"/>
        <w:rPr>
          <w:b/>
          <w:bCs/>
          <w:sz w:val="44"/>
          <w:szCs w:val="44"/>
        </w:rPr>
      </w:pPr>
    </w:p>
    <w:p>
      <w:pPr>
        <w:pStyle w:val="38"/>
        <w:spacing w:line="360" w:lineRule="auto"/>
        <w:rPr>
          <w:b/>
          <w:bCs/>
          <w:sz w:val="44"/>
          <w:szCs w:val="44"/>
        </w:rPr>
      </w:pPr>
    </w:p>
    <w:p>
      <w:pPr>
        <w:pStyle w:val="38"/>
        <w:spacing w:line="360" w:lineRule="auto"/>
        <w:ind w:firstLine="0"/>
        <w:rPr>
          <w:b/>
          <w:bCs/>
          <w:sz w:val="44"/>
          <w:szCs w:val="44"/>
        </w:rPr>
      </w:pPr>
    </w:p>
    <w:p>
      <w:pPr>
        <w:widowControl w:val="0"/>
        <w:snapToGrid w:val="0"/>
        <w:spacing w:line="360" w:lineRule="auto"/>
        <w:outlineLvl w:val="2"/>
        <w:rPr>
          <w:rFonts w:ascii="黑体" w:hAnsi="黑体" w:eastAsia="黑体"/>
          <w:sz w:val="32"/>
          <w:szCs w:val="32"/>
        </w:rPr>
      </w:pPr>
      <w:r>
        <w:rPr>
          <w:rFonts w:hint="eastAsia" w:ascii="黑体" w:hAnsi="黑体" w:eastAsia="黑体"/>
          <w:sz w:val="32"/>
          <w:szCs w:val="32"/>
        </w:rPr>
        <w:t>项目名称：</w:t>
      </w:r>
      <w:r>
        <w:rPr>
          <w:rFonts w:hint="eastAsia" w:ascii="黑体" w:hAnsi="黑体" w:eastAsia="黑体" w:cs="仿宋"/>
          <w:color w:val="000000"/>
          <w:sz w:val="32"/>
          <w:szCs w:val="32"/>
        </w:rPr>
        <w:t>监控出口防火墙及视频准入设备项目合同</w:t>
      </w:r>
    </w:p>
    <w:p>
      <w:pPr>
        <w:widowControl w:val="0"/>
        <w:snapToGrid w:val="0"/>
        <w:spacing w:line="360" w:lineRule="auto"/>
        <w:outlineLvl w:val="2"/>
        <w:rPr>
          <w:rFonts w:ascii="黑体" w:hAnsi="黑体" w:eastAsia="黑体"/>
          <w:sz w:val="32"/>
          <w:szCs w:val="32"/>
        </w:rPr>
      </w:pPr>
      <w:r>
        <w:rPr>
          <w:rFonts w:hint="eastAsia" w:ascii="黑体" w:hAnsi="黑体" w:eastAsia="黑体"/>
          <w:sz w:val="32"/>
          <w:szCs w:val="32"/>
        </w:rPr>
        <w:t>发</w:t>
      </w:r>
      <w:r>
        <w:rPr>
          <w:rFonts w:ascii="黑体" w:hAnsi="黑体" w:eastAsia="黑体"/>
          <w:sz w:val="32"/>
          <w:szCs w:val="32"/>
        </w:rPr>
        <w:t xml:space="preserve"> </w:t>
      </w:r>
      <w:r>
        <w:rPr>
          <w:rFonts w:hint="eastAsia" w:ascii="黑体" w:hAnsi="黑体" w:eastAsia="黑体"/>
          <w:sz w:val="32"/>
          <w:szCs w:val="32"/>
        </w:rPr>
        <w:t>包</w:t>
      </w:r>
      <w:r>
        <w:rPr>
          <w:rFonts w:ascii="黑体" w:hAnsi="黑体" w:eastAsia="黑体"/>
          <w:sz w:val="32"/>
          <w:szCs w:val="32"/>
        </w:rPr>
        <w:t xml:space="preserve"> </w:t>
      </w:r>
      <w:r>
        <w:rPr>
          <w:rFonts w:hint="eastAsia" w:ascii="黑体" w:hAnsi="黑体" w:eastAsia="黑体"/>
          <w:sz w:val="32"/>
          <w:szCs w:val="32"/>
        </w:rPr>
        <w:t>人：岳阳</w:t>
      </w:r>
      <w:r>
        <w:rPr>
          <w:rFonts w:ascii="黑体" w:hAnsi="黑体" w:eastAsia="黑体"/>
          <w:sz w:val="32"/>
          <w:szCs w:val="32"/>
        </w:rPr>
        <w:t>城陵矶新港有限</w:t>
      </w:r>
      <w:r>
        <w:rPr>
          <w:rFonts w:hint="eastAsia" w:ascii="黑体" w:hAnsi="黑体" w:eastAsia="黑体"/>
          <w:sz w:val="32"/>
          <w:szCs w:val="32"/>
        </w:rPr>
        <w:t>公司</w:t>
      </w:r>
    </w:p>
    <w:p>
      <w:pPr>
        <w:widowControl w:val="0"/>
        <w:snapToGrid w:val="0"/>
        <w:spacing w:line="360" w:lineRule="auto"/>
        <w:rPr>
          <w:rFonts w:ascii="黑体" w:hAnsi="黑体" w:eastAsia="黑体"/>
          <w:sz w:val="32"/>
          <w:szCs w:val="32"/>
        </w:rPr>
      </w:pPr>
      <w:r>
        <w:rPr>
          <w:rFonts w:hint="eastAsia" w:ascii="黑体" w:hAnsi="黑体" w:eastAsia="黑体"/>
          <w:sz w:val="32"/>
          <w:szCs w:val="32"/>
        </w:rPr>
        <w:t>承</w:t>
      </w:r>
      <w:r>
        <w:rPr>
          <w:rFonts w:ascii="黑体" w:hAnsi="黑体" w:eastAsia="黑体"/>
          <w:sz w:val="32"/>
          <w:szCs w:val="32"/>
        </w:rPr>
        <w:t xml:space="preserve"> </w:t>
      </w:r>
      <w:r>
        <w:rPr>
          <w:rFonts w:hint="eastAsia" w:ascii="黑体" w:hAnsi="黑体" w:eastAsia="黑体"/>
          <w:sz w:val="32"/>
          <w:szCs w:val="32"/>
        </w:rPr>
        <w:t>包</w:t>
      </w:r>
      <w:r>
        <w:rPr>
          <w:rFonts w:ascii="黑体" w:hAnsi="黑体" w:eastAsia="黑体"/>
          <w:sz w:val="32"/>
          <w:szCs w:val="32"/>
        </w:rPr>
        <w:t xml:space="preserve"> </w:t>
      </w:r>
      <w:r>
        <w:rPr>
          <w:rFonts w:hint="eastAsia" w:ascii="黑体" w:hAnsi="黑体" w:eastAsia="黑体"/>
          <w:sz w:val="32"/>
          <w:szCs w:val="32"/>
        </w:rPr>
        <w:t>人：</w:t>
      </w:r>
    </w:p>
    <w:p>
      <w:pPr>
        <w:widowControl w:val="0"/>
        <w:snapToGrid w:val="0"/>
        <w:spacing w:line="360" w:lineRule="auto"/>
        <w:outlineLvl w:val="2"/>
        <w:rPr>
          <w:rFonts w:ascii="黑体" w:hAnsi="黑体" w:eastAsia="黑体"/>
          <w:sz w:val="32"/>
          <w:szCs w:val="32"/>
        </w:rPr>
      </w:pPr>
      <w:r>
        <w:rPr>
          <w:rFonts w:hint="eastAsia" w:ascii="黑体" w:hAnsi="黑体" w:eastAsia="黑体"/>
          <w:sz w:val="32"/>
          <w:szCs w:val="32"/>
        </w:rPr>
        <w:t>签订日期：</w:t>
      </w:r>
      <w:r>
        <w:rPr>
          <w:rFonts w:ascii="黑体" w:hAnsi="黑体" w:eastAsia="黑体"/>
          <w:sz w:val="32"/>
          <w:szCs w:val="32"/>
          <w:highlight w:val="yellow"/>
        </w:rPr>
        <w:t>202</w:t>
      </w:r>
      <w:r>
        <w:rPr>
          <w:rFonts w:ascii="黑体" w:hAnsi="黑体" w:eastAsia="黑体"/>
          <w:sz w:val="32"/>
          <w:szCs w:val="32"/>
        </w:rPr>
        <w:t>4</w:t>
      </w:r>
      <w:r>
        <w:rPr>
          <w:rFonts w:hint="eastAsia" w:ascii="黑体" w:hAnsi="黑体" w:eastAsia="黑体"/>
          <w:sz w:val="32"/>
          <w:szCs w:val="32"/>
        </w:rPr>
        <w:t>年</w:t>
      </w:r>
      <w:r>
        <w:rPr>
          <w:rFonts w:ascii="黑体" w:hAnsi="黑体" w:eastAsia="黑体"/>
          <w:sz w:val="32"/>
          <w:szCs w:val="32"/>
        </w:rPr>
        <w:t xml:space="preserve">   </w:t>
      </w:r>
      <w:r>
        <w:rPr>
          <w:rFonts w:hint="eastAsia" w:ascii="黑体" w:hAnsi="黑体" w:eastAsia="黑体"/>
          <w:sz w:val="32"/>
          <w:szCs w:val="32"/>
        </w:rPr>
        <w:t>月</w:t>
      </w:r>
      <w:r>
        <w:rPr>
          <w:rFonts w:ascii="黑体" w:hAnsi="黑体" w:eastAsia="黑体"/>
          <w:sz w:val="32"/>
          <w:szCs w:val="32"/>
        </w:rPr>
        <w:t xml:space="preserve">   </w:t>
      </w:r>
      <w:r>
        <w:rPr>
          <w:rFonts w:hint="eastAsia" w:ascii="黑体" w:hAnsi="黑体" w:eastAsia="黑体"/>
          <w:sz w:val="32"/>
          <w:szCs w:val="32"/>
        </w:rPr>
        <w:t>日</w:t>
      </w:r>
    </w:p>
    <w:p>
      <w:pPr>
        <w:widowControl w:val="0"/>
        <w:snapToGrid w:val="0"/>
        <w:spacing w:line="360" w:lineRule="auto"/>
        <w:rPr>
          <w:rFonts w:ascii="黑体" w:hAnsi="黑体" w:eastAsia="黑体"/>
          <w:sz w:val="32"/>
          <w:szCs w:val="32"/>
          <w:u w:val="single"/>
        </w:rPr>
        <w:sectPr>
          <w:headerReference r:id="rId5" w:type="default"/>
          <w:footerReference r:id="rId6" w:type="default"/>
          <w:pgSz w:w="11900" w:h="16840"/>
          <w:pgMar w:top="1440" w:right="1800" w:bottom="1440" w:left="1800" w:header="720" w:footer="720" w:gutter="0"/>
          <w:cols w:space="720" w:num="1"/>
          <w:docGrid w:linePitch="286" w:charSpace="0"/>
        </w:sectPr>
      </w:pPr>
    </w:p>
    <w:p>
      <w:pPr>
        <w:widowControl w:val="0"/>
        <w:snapToGrid w:val="0"/>
        <w:spacing w:line="360" w:lineRule="auto"/>
        <w:ind w:firstLine="2112" w:firstLineChars="600"/>
        <w:outlineLvl w:val="2"/>
        <w:rPr>
          <w:rFonts w:ascii="微软雅黑" w:hAnsi="微软雅黑" w:eastAsia="微软雅黑" w:cs="微软雅黑"/>
          <w:color w:val="110F0F"/>
          <w:w w:val="110"/>
          <w:sz w:val="32"/>
          <w:szCs w:val="32"/>
        </w:rPr>
      </w:pPr>
      <w:r>
        <w:rPr>
          <w:rFonts w:hint="eastAsia" w:ascii="微软雅黑" w:hAnsi="微软雅黑" w:eastAsia="微软雅黑" w:cs="微软雅黑"/>
          <w:color w:val="110F0F"/>
          <w:w w:val="110"/>
          <w:sz w:val="32"/>
          <w:szCs w:val="32"/>
        </w:rPr>
        <w:t>第一部分 合同部分</w:t>
      </w:r>
    </w:p>
    <w:p>
      <w:pPr>
        <w:widowControl w:val="0"/>
        <w:adjustRightInd w:val="0"/>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甲方：</w:t>
      </w:r>
      <w:r>
        <w:rPr>
          <w:rFonts w:hint="eastAsia" w:ascii="宋体" w:hAnsi="宋体" w:cs="宋体"/>
          <w:color w:val="000000" w:themeColor="text1"/>
          <w:kern w:val="0"/>
          <w:sz w:val="24"/>
          <w14:textFill>
            <w14:solidFill>
              <w14:schemeClr w14:val="tx1"/>
            </w14:solidFill>
          </w14:textFill>
        </w:rPr>
        <w:t>岳阳</w:t>
      </w:r>
      <w:r>
        <w:rPr>
          <w:rFonts w:ascii="宋体" w:hAnsi="宋体" w:cs="宋体"/>
          <w:color w:val="000000" w:themeColor="text1"/>
          <w:kern w:val="0"/>
          <w:sz w:val="24"/>
          <w14:textFill>
            <w14:solidFill>
              <w14:schemeClr w14:val="tx1"/>
            </w14:solidFill>
          </w14:textFill>
        </w:rPr>
        <w:t>城陵矶新港有限</w:t>
      </w:r>
      <w:r>
        <w:rPr>
          <w:rFonts w:hint="eastAsia" w:ascii="宋体" w:hAnsi="宋体" w:cs="宋体"/>
          <w:color w:val="000000" w:themeColor="text1"/>
          <w:kern w:val="0"/>
          <w:sz w:val="24"/>
          <w14:textFill>
            <w14:solidFill>
              <w14:schemeClr w14:val="tx1"/>
            </w14:solidFill>
          </w14:textFill>
        </w:rPr>
        <w:t>公司</w:t>
      </w:r>
      <w:r>
        <w:rPr>
          <w:rFonts w:hint="eastAsia" w:ascii="宋体" w:hAnsi="宋体" w:cs="宋体"/>
          <w:color w:val="000000" w:themeColor="text1"/>
          <w:sz w:val="24"/>
          <w14:textFill>
            <w14:solidFill>
              <w14:schemeClr w14:val="tx1"/>
            </w14:solidFill>
          </w14:textFill>
        </w:rPr>
        <w:t xml:space="preserve">                     </w:t>
      </w:r>
    </w:p>
    <w:p>
      <w:pPr>
        <w:widowControl w:val="0"/>
        <w:adjustRightInd w:val="0"/>
        <w:snapToGrid w:val="0"/>
        <w:spacing w:line="360" w:lineRule="auto"/>
        <w:rPr>
          <w:rFonts w:ascii="宋体" w:hAnsi="宋体" w:cs="宋体"/>
          <w:color w:val="FF0000"/>
          <w:sz w:val="24"/>
        </w:rPr>
      </w:pPr>
      <w:r>
        <w:rPr>
          <w:rFonts w:hint="eastAsia" w:ascii="宋体" w:hAnsi="宋体" w:cs="宋体"/>
          <w:color w:val="000000" w:themeColor="text1"/>
          <w:sz w:val="24"/>
          <w14:textFill>
            <w14:solidFill>
              <w14:schemeClr w14:val="tx1"/>
            </w14:solidFill>
          </w14:textFill>
        </w:rPr>
        <w:t xml:space="preserve">乙方：        </w:t>
      </w:r>
      <w:r>
        <w:rPr>
          <w:rFonts w:hint="eastAsia" w:ascii="宋体" w:hAnsi="宋体" w:cs="宋体"/>
          <w:color w:val="FF0000"/>
          <w:sz w:val="24"/>
        </w:rPr>
        <w:t xml:space="preserve">              </w:t>
      </w:r>
    </w:p>
    <w:p>
      <w:pPr>
        <w:widowControl w:val="0"/>
        <w:adjustRightInd w:val="0"/>
        <w:snapToGrid w:val="0"/>
        <w:spacing w:line="360" w:lineRule="auto"/>
        <w:ind w:firstLine="480" w:firstLineChars="200"/>
        <w:rPr>
          <w:rFonts w:ascii="宋体" w:hAnsi="宋体" w:cs="宋体"/>
          <w:color w:val="FF0000"/>
          <w:sz w:val="24"/>
        </w:rPr>
      </w:pPr>
      <w:r>
        <w:rPr>
          <w:rFonts w:hint="eastAsia" w:ascii="宋体" w:hAnsi="宋体" w:cs="宋体"/>
          <w:color w:val="000000" w:themeColor="text1"/>
          <w:sz w:val="24"/>
          <w14:textFill>
            <w14:solidFill>
              <w14:schemeClr w14:val="tx1"/>
            </w14:solidFill>
          </w14:textFill>
        </w:rPr>
        <w:t>依照《中华人民共和国民法典》以及其他有关法律、行政法规，遵循平等、自愿、公平和诚实信用的原则，经双方共同协商，达成网络安全势态感知平台采购项目合同，双方共同遵照执行。</w:t>
      </w:r>
      <w:r>
        <w:rPr>
          <w:rFonts w:hint="eastAsia" w:ascii="宋体" w:hAnsi="宋体" w:cs="宋体"/>
          <w:color w:val="FF0000"/>
          <w:sz w:val="24"/>
        </w:rPr>
        <w:t xml:space="preserve"> </w:t>
      </w:r>
    </w:p>
    <w:p>
      <w:pPr>
        <w:numPr>
          <w:ilvl w:val="255"/>
          <w:numId w:val="0"/>
        </w:numPr>
        <w:spacing w:line="360" w:lineRule="auto"/>
        <w:rPr>
          <w:b/>
          <w:bCs/>
          <w:color w:val="000000"/>
          <w:sz w:val="24"/>
        </w:rPr>
      </w:pPr>
      <w:r>
        <w:rPr>
          <w:rFonts w:hint="eastAsia"/>
          <w:b/>
          <w:bCs/>
          <w:color w:val="000000"/>
          <w:sz w:val="24"/>
        </w:rPr>
        <w:t>第一条：合同方</w:t>
      </w:r>
    </w:p>
    <w:tbl>
      <w:tblPr>
        <w:tblStyle w:val="39"/>
        <w:tblW w:w="8938" w:type="dxa"/>
        <w:tblInd w:w="-136" w:type="dxa"/>
        <w:tblLayout w:type="fixed"/>
        <w:tblCellMar>
          <w:top w:w="0" w:type="dxa"/>
          <w:left w:w="108" w:type="dxa"/>
          <w:bottom w:w="0" w:type="dxa"/>
          <w:right w:w="108" w:type="dxa"/>
        </w:tblCellMar>
      </w:tblPr>
      <w:tblGrid>
        <w:gridCol w:w="1494"/>
        <w:gridCol w:w="631"/>
        <w:gridCol w:w="1376"/>
        <w:gridCol w:w="469"/>
        <w:gridCol w:w="1093"/>
        <w:gridCol w:w="963"/>
        <w:gridCol w:w="300"/>
        <w:gridCol w:w="541"/>
        <w:gridCol w:w="121"/>
        <w:gridCol w:w="115"/>
        <w:gridCol w:w="1720"/>
        <w:gridCol w:w="115"/>
      </w:tblGrid>
      <w:tr>
        <w:tblPrEx>
          <w:tblCellMar>
            <w:top w:w="0" w:type="dxa"/>
            <w:left w:w="108" w:type="dxa"/>
            <w:bottom w:w="0" w:type="dxa"/>
            <w:right w:w="108" w:type="dxa"/>
          </w:tblCellMar>
        </w:tblPrEx>
        <w:trPr>
          <w:gridAfter w:val="1"/>
          <w:wAfter w:w="115" w:type="dxa"/>
          <w:trHeight w:val="376" w:hRule="atLeast"/>
        </w:trPr>
        <w:tc>
          <w:tcPr>
            <w:tcW w:w="1494" w:type="dxa"/>
          </w:tcPr>
          <w:p>
            <w:pPr>
              <w:spacing w:line="360" w:lineRule="auto"/>
              <w:rPr>
                <w:rFonts w:ascii="宋体" w:hAnsi="宋体" w:cs="宋体"/>
                <w:b/>
                <w:color w:val="000000"/>
                <w:sz w:val="24"/>
              </w:rPr>
            </w:pPr>
            <w:r>
              <w:rPr>
                <w:rFonts w:hint="eastAsia" w:ascii="宋体" w:hAnsi="宋体" w:cs="宋体"/>
                <w:b/>
                <w:color w:val="000000"/>
                <w:sz w:val="24"/>
              </w:rPr>
              <w:t xml:space="preserve">买 方：   </w:t>
            </w:r>
          </w:p>
        </w:tc>
        <w:tc>
          <w:tcPr>
            <w:tcW w:w="7329" w:type="dxa"/>
            <w:gridSpan w:val="10"/>
          </w:tcPr>
          <w:p>
            <w:pPr>
              <w:spacing w:line="360" w:lineRule="auto"/>
              <w:rPr>
                <w:rFonts w:ascii="宋体" w:hAnsi="宋体" w:cs="宋体"/>
                <w:color w:val="000000"/>
                <w:kern w:val="0"/>
                <w:sz w:val="24"/>
              </w:rPr>
            </w:pPr>
            <w:r>
              <w:rPr>
                <w:rFonts w:hint="eastAsia" w:ascii="宋体" w:hAnsi="宋体" w:cs="宋体"/>
                <w:color w:val="000000"/>
                <w:kern w:val="0"/>
                <w:sz w:val="24"/>
              </w:rPr>
              <w:t>岳阳城陵矶</w:t>
            </w:r>
            <w:r>
              <w:rPr>
                <w:rFonts w:ascii="宋体" w:hAnsi="宋体" w:cs="宋体"/>
                <w:color w:val="000000"/>
                <w:kern w:val="0"/>
                <w:sz w:val="24"/>
              </w:rPr>
              <w:t>新港有限</w:t>
            </w:r>
            <w:r>
              <w:rPr>
                <w:rFonts w:hint="eastAsia" w:ascii="宋体" w:hAnsi="宋体" w:cs="宋体"/>
                <w:color w:val="000000"/>
                <w:kern w:val="0"/>
                <w:sz w:val="24"/>
              </w:rPr>
              <w:t>公司</w:t>
            </w:r>
          </w:p>
        </w:tc>
      </w:tr>
      <w:tr>
        <w:tblPrEx>
          <w:tblCellMar>
            <w:top w:w="0" w:type="dxa"/>
            <w:left w:w="108" w:type="dxa"/>
            <w:bottom w:w="0" w:type="dxa"/>
            <w:right w:w="108" w:type="dxa"/>
          </w:tblCellMar>
        </w:tblPrEx>
        <w:trPr>
          <w:gridAfter w:val="1"/>
          <w:wAfter w:w="115" w:type="dxa"/>
          <w:trHeight w:val="360" w:hRule="atLeast"/>
        </w:trPr>
        <w:tc>
          <w:tcPr>
            <w:tcW w:w="6026" w:type="dxa"/>
            <w:gridSpan w:val="6"/>
          </w:tcPr>
          <w:p>
            <w:pPr>
              <w:spacing w:line="360" w:lineRule="auto"/>
              <w:ind w:right="-2194" w:rightChars="-1045"/>
              <w:rPr>
                <w:rFonts w:ascii="宋体" w:hAnsi="宋体" w:cs="宋体"/>
                <w:color w:val="000000"/>
                <w:sz w:val="24"/>
              </w:rPr>
            </w:pPr>
            <w:r>
              <w:rPr>
                <w:rFonts w:hint="eastAsia" w:ascii="宋体" w:hAnsi="宋体" w:cs="宋体"/>
                <w:color w:val="000000"/>
                <w:sz w:val="24"/>
              </w:rPr>
              <w:t>地 址：岳阳市城陵矶临港新区新港办公楼</w:t>
            </w:r>
          </w:p>
        </w:tc>
        <w:tc>
          <w:tcPr>
            <w:tcW w:w="962" w:type="dxa"/>
            <w:gridSpan w:val="3"/>
          </w:tcPr>
          <w:p>
            <w:pPr>
              <w:spacing w:line="360" w:lineRule="auto"/>
              <w:rPr>
                <w:rFonts w:ascii="宋体" w:hAnsi="宋体" w:cs="宋体"/>
                <w:color w:val="000000"/>
                <w:sz w:val="24"/>
              </w:rPr>
            </w:pPr>
            <w:r>
              <w:rPr>
                <w:rFonts w:hint="eastAsia" w:ascii="宋体" w:hAnsi="宋体" w:cs="宋体"/>
                <w:color w:val="000000"/>
                <w:sz w:val="24"/>
              </w:rPr>
              <w:t>邮 编：</w:t>
            </w:r>
          </w:p>
        </w:tc>
        <w:tc>
          <w:tcPr>
            <w:tcW w:w="1835" w:type="dxa"/>
            <w:gridSpan w:val="2"/>
          </w:tcPr>
          <w:p>
            <w:pPr>
              <w:spacing w:line="360" w:lineRule="auto"/>
              <w:rPr>
                <w:rFonts w:ascii="宋体" w:hAnsi="宋体" w:cs="宋体"/>
                <w:color w:val="000000"/>
                <w:sz w:val="24"/>
              </w:rPr>
            </w:pPr>
            <w:r>
              <w:rPr>
                <w:rFonts w:hint="eastAsia" w:ascii="宋体" w:hAnsi="宋体" w:cs="宋体"/>
                <w:color w:val="000000"/>
                <w:sz w:val="24"/>
              </w:rPr>
              <w:t>414000</w:t>
            </w:r>
          </w:p>
        </w:tc>
      </w:tr>
      <w:tr>
        <w:tblPrEx>
          <w:tblCellMar>
            <w:top w:w="0" w:type="dxa"/>
            <w:left w:w="108" w:type="dxa"/>
            <w:bottom w:w="0" w:type="dxa"/>
            <w:right w:w="108" w:type="dxa"/>
          </w:tblCellMar>
        </w:tblPrEx>
        <w:trPr>
          <w:gridAfter w:val="1"/>
          <w:wAfter w:w="115" w:type="dxa"/>
          <w:trHeight w:val="360" w:hRule="atLeast"/>
        </w:trPr>
        <w:tc>
          <w:tcPr>
            <w:tcW w:w="3501" w:type="dxa"/>
            <w:gridSpan w:val="3"/>
          </w:tcPr>
          <w:p>
            <w:pPr>
              <w:spacing w:line="360" w:lineRule="auto"/>
              <w:rPr>
                <w:rFonts w:ascii="宋体" w:hAnsi="宋体" w:cs="宋体"/>
                <w:color w:val="000000"/>
                <w:sz w:val="24"/>
              </w:rPr>
            </w:pPr>
            <w:r>
              <w:rPr>
                <w:rFonts w:hint="eastAsia" w:ascii="宋体" w:hAnsi="宋体" w:cs="宋体"/>
                <w:color w:val="000000"/>
                <w:sz w:val="24"/>
              </w:rPr>
              <w:t>法定代表人：任</w:t>
            </w:r>
            <w:r>
              <w:rPr>
                <w:rFonts w:ascii="宋体" w:hAnsi="宋体" w:cs="宋体"/>
                <w:color w:val="000000"/>
                <w:sz w:val="24"/>
              </w:rPr>
              <w:t>一兵</w:t>
            </w:r>
          </w:p>
        </w:tc>
        <w:tc>
          <w:tcPr>
            <w:tcW w:w="2525" w:type="dxa"/>
            <w:gridSpan w:val="3"/>
          </w:tcPr>
          <w:p>
            <w:pPr>
              <w:spacing w:line="360" w:lineRule="auto"/>
              <w:rPr>
                <w:rFonts w:ascii="宋体" w:hAnsi="宋体" w:cs="宋体"/>
                <w:color w:val="000000"/>
                <w:sz w:val="24"/>
              </w:rPr>
            </w:pPr>
            <w:r>
              <w:rPr>
                <w:rFonts w:hint="eastAsia" w:ascii="宋体" w:hAnsi="宋体" w:cs="宋体"/>
                <w:color w:val="000000"/>
                <w:sz w:val="24"/>
              </w:rPr>
              <w:t>职 务：总经理</w:t>
            </w:r>
          </w:p>
        </w:tc>
        <w:tc>
          <w:tcPr>
            <w:tcW w:w="962" w:type="dxa"/>
            <w:gridSpan w:val="3"/>
          </w:tcPr>
          <w:p>
            <w:pPr>
              <w:spacing w:line="360" w:lineRule="auto"/>
              <w:rPr>
                <w:rFonts w:ascii="宋体" w:hAnsi="宋体" w:cs="宋体"/>
                <w:color w:val="000000"/>
                <w:sz w:val="24"/>
              </w:rPr>
            </w:pPr>
            <w:r>
              <w:rPr>
                <w:rFonts w:hint="eastAsia" w:ascii="宋体" w:hAnsi="宋体" w:cs="宋体"/>
                <w:color w:val="000000"/>
                <w:sz w:val="24"/>
              </w:rPr>
              <w:t>电 话：</w:t>
            </w:r>
          </w:p>
        </w:tc>
        <w:tc>
          <w:tcPr>
            <w:tcW w:w="1835" w:type="dxa"/>
            <w:gridSpan w:val="2"/>
          </w:tcPr>
          <w:p>
            <w:pPr>
              <w:spacing w:line="360" w:lineRule="auto"/>
              <w:rPr>
                <w:rFonts w:ascii="宋体" w:hAnsi="宋体" w:cs="宋体"/>
                <w:color w:val="000000"/>
                <w:sz w:val="24"/>
              </w:rPr>
            </w:pPr>
          </w:p>
        </w:tc>
      </w:tr>
      <w:tr>
        <w:tblPrEx>
          <w:tblCellMar>
            <w:top w:w="0" w:type="dxa"/>
            <w:left w:w="108" w:type="dxa"/>
            <w:bottom w:w="0" w:type="dxa"/>
            <w:right w:w="108" w:type="dxa"/>
          </w:tblCellMar>
        </w:tblPrEx>
        <w:trPr>
          <w:gridAfter w:val="1"/>
          <w:wAfter w:w="115" w:type="dxa"/>
          <w:trHeight w:val="360" w:hRule="atLeast"/>
        </w:trPr>
        <w:tc>
          <w:tcPr>
            <w:tcW w:w="8823" w:type="dxa"/>
            <w:gridSpan w:val="11"/>
          </w:tcPr>
          <w:p>
            <w:pPr>
              <w:spacing w:line="360" w:lineRule="auto"/>
              <w:rPr>
                <w:rFonts w:ascii="宋体" w:hAnsi="宋体" w:cs="宋体"/>
                <w:color w:val="000000"/>
                <w:sz w:val="24"/>
              </w:rPr>
            </w:pPr>
            <w:r>
              <w:rPr>
                <w:rFonts w:hint="eastAsia" w:ascii="宋体" w:hAnsi="宋体" w:cs="宋体"/>
                <w:color w:val="000000"/>
                <w:sz w:val="24"/>
              </w:rPr>
              <w:t>开户银行：</w:t>
            </w:r>
            <w:r>
              <w:rPr>
                <w:rFonts w:hint="eastAsia" w:ascii="宋体" w:hAnsi="宋体"/>
                <w:sz w:val="24"/>
              </w:rPr>
              <w:t>交通银行云溪支行</w:t>
            </w:r>
          </w:p>
        </w:tc>
      </w:tr>
      <w:tr>
        <w:tblPrEx>
          <w:tblCellMar>
            <w:top w:w="0" w:type="dxa"/>
            <w:left w:w="108" w:type="dxa"/>
            <w:bottom w:w="0" w:type="dxa"/>
            <w:right w:w="108" w:type="dxa"/>
          </w:tblCellMar>
        </w:tblPrEx>
        <w:trPr>
          <w:gridAfter w:val="1"/>
          <w:wAfter w:w="115" w:type="dxa"/>
          <w:trHeight w:val="360" w:hRule="atLeast"/>
        </w:trPr>
        <w:tc>
          <w:tcPr>
            <w:tcW w:w="5063" w:type="dxa"/>
            <w:gridSpan w:val="5"/>
          </w:tcPr>
          <w:p>
            <w:pPr>
              <w:spacing w:line="360" w:lineRule="auto"/>
              <w:rPr>
                <w:rFonts w:ascii="宋体" w:hAnsi="宋体" w:cs="宋体"/>
                <w:color w:val="000000"/>
                <w:sz w:val="24"/>
              </w:rPr>
            </w:pPr>
            <w:r>
              <w:rPr>
                <w:rFonts w:hint="eastAsia" w:ascii="宋体" w:hAnsi="宋体" w:cs="宋体"/>
                <w:color w:val="000000"/>
                <w:sz w:val="24"/>
              </w:rPr>
              <w:t>帐    号：</w:t>
            </w:r>
            <w:r>
              <w:rPr>
                <w:rFonts w:hint="eastAsia" w:ascii="宋体" w:hAnsi="宋体"/>
                <w:sz w:val="24"/>
              </w:rPr>
              <w:t>436600720018010006451</w:t>
            </w:r>
          </w:p>
        </w:tc>
        <w:tc>
          <w:tcPr>
            <w:tcW w:w="3760" w:type="dxa"/>
            <w:gridSpan w:val="6"/>
          </w:tcPr>
          <w:p>
            <w:pPr>
              <w:spacing w:line="360" w:lineRule="auto"/>
              <w:rPr>
                <w:rFonts w:ascii="宋体" w:hAnsi="宋体" w:cs="宋体"/>
                <w:color w:val="000000"/>
                <w:sz w:val="24"/>
              </w:rPr>
            </w:pPr>
          </w:p>
        </w:tc>
      </w:tr>
      <w:tr>
        <w:tblPrEx>
          <w:tblCellMar>
            <w:top w:w="0" w:type="dxa"/>
            <w:left w:w="108" w:type="dxa"/>
            <w:bottom w:w="0" w:type="dxa"/>
            <w:right w:w="108" w:type="dxa"/>
          </w:tblCellMar>
        </w:tblPrEx>
        <w:trPr>
          <w:gridAfter w:val="1"/>
          <w:wAfter w:w="115" w:type="dxa"/>
          <w:trHeight w:val="360" w:hRule="atLeast"/>
        </w:trPr>
        <w:tc>
          <w:tcPr>
            <w:tcW w:w="3970" w:type="dxa"/>
            <w:gridSpan w:val="4"/>
          </w:tcPr>
          <w:p>
            <w:pPr>
              <w:spacing w:line="360" w:lineRule="auto"/>
              <w:ind w:right="-2524" w:rightChars="-1202"/>
              <w:rPr>
                <w:rFonts w:ascii="宋体" w:hAnsi="宋体" w:cs="宋体"/>
                <w:color w:val="000000"/>
                <w:sz w:val="24"/>
              </w:rPr>
            </w:pPr>
            <w:r>
              <w:rPr>
                <w:rFonts w:hint="eastAsia" w:ascii="宋体" w:hAnsi="宋体" w:cs="宋体"/>
                <w:color w:val="000000"/>
                <w:sz w:val="24"/>
              </w:rPr>
              <w:t>联 系 人：    王先生</w:t>
            </w:r>
          </w:p>
        </w:tc>
        <w:tc>
          <w:tcPr>
            <w:tcW w:w="4853" w:type="dxa"/>
            <w:gridSpan w:val="7"/>
          </w:tcPr>
          <w:p>
            <w:pPr>
              <w:spacing w:line="360" w:lineRule="auto"/>
              <w:rPr>
                <w:rFonts w:ascii="宋体" w:hAnsi="宋体" w:cs="宋体"/>
                <w:color w:val="000000"/>
                <w:sz w:val="24"/>
              </w:rPr>
            </w:pPr>
            <w:r>
              <w:rPr>
                <w:rFonts w:hint="eastAsia" w:ascii="宋体" w:hAnsi="宋体" w:cs="宋体"/>
                <w:color w:val="000000"/>
                <w:sz w:val="24"/>
              </w:rPr>
              <w:t xml:space="preserve">     </w:t>
            </w:r>
          </w:p>
        </w:tc>
      </w:tr>
      <w:tr>
        <w:tblPrEx>
          <w:tblCellMar>
            <w:top w:w="0" w:type="dxa"/>
            <w:left w:w="108" w:type="dxa"/>
            <w:bottom w:w="0" w:type="dxa"/>
            <w:right w:w="108" w:type="dxa"/>
          </w:tblCellMar>
        </w:tblPrEx>
        <w:trPr>
          <w:gridAfter w:val="1"/>
          <w:wAfter w:w="115" w:type="dxa"/>
          <w:trHeight w:val="360" w:hRule="atLeast"/>
        </w:trPr>
        <w:tc>
          <w:tcPr>
            <w:tcW w:w="2125" w:type="dxa"/>
            <w:gridSpan w:val="2"/>
            <w:tcBorders>
              <w:bottom w:val="single" w:color="auto" w:sz="6" w:space="0"/>
            </w:tcBorders>
          </w:tcPr>
          <w:p>
            <w:pPr>
              <w:spacing w:line="360" w:lineRule="auto"/>
              <w:rPr>
                <w:rFonts w:ascii="宋体" w:hAnsi="宋体" w:cs="宋体"/>
                <w:color w:val="000000"/>
                <w:sz w:val="24"/>
              </w:rPr>
            </w:pPr>
            <w:r>
              <w:rPr>
                <w:rFonts w:hint="eastAsia" w:ascii="宋体" w:hAnsi="宋体" w:cs="宋体"/>
                <w:color w:val="000000"/>
                <w:sz w:val="24"/>
              </w:rPr>
              <w:t xml:space="preserve">电话/传真：   </w:t>
            </w:r>
          </w:p>
        </w:tc>
        <w:tc>
          <w:tcPr>
            <w:tcW w:w="6698" w:type="dxa"/>
            <w:gridSpan w:val="9"/>
            <w:tcBorders>
              <w:bottom w:val="single" w:color="auto" w:sz="6" w:space="0"/>
            </w:tcBorders>
          </w:tcPr>
          <w:p>
            <w:pPr>
              <w:spacing w:line="360" w:lineRule="auto"/>
              <w:rPr>
                <w:rFonts w:ascii="宋体" w:hAnsi="宋体" w:cs="宋体"/>
                <w:color w:val="000000"/>
                <w:sz w:val="24"/>
              </w:rPr>
            </w:pPr>
            <w:r>
              <w:rPr>
                <w:rFonts w:hint="eastAsia" w:ascii="宋体" w:hAnsi="宋体"/>
                <w:sz w:val="24"/>
              </w:rPr>
              <w:t>0730-8422009</w:t>
            </w:r>
          </w:p>
        </w:tc>
      </w:tr>
      <w:tr>
        <w:tblPrEx>
          <w:tblCellMar>
            <w:top w:w="0" w:type="dxa"/>
            <w:left w:w="108" w:type="dxa"/>
            <w:bottom w:w="0" w:type="dxa"/>
            <w:right w:w="108" w:type="dxa"/>
          </w:tblCellMar>
        </w:tblPrEx>
        <w:trPr>
          <w:gridAfter w:val="1"/>
          <w:wAfter w:w="115" w:type="dxa"/>
          <w:trHeight w:val="376" w:hRule="atLeast"/>
        </w:trPr>
        <w:tc>
          <w:tcPr>
            <w:tcW w:w="2125" w:type="dxa"/>
            <w:gridSpan w:val="2"/>
          </w:tcPr>
          <w:p>
            <w:pPr>
              <w:spacing w:line="360" w:lineRule="auto"/>
              <w:rPr>
                <w:rFonts w:ascii="Arial" w:hAnsi="Arial"/>
                <w:color w:val="000000"/>
                <w:sz w:val="24"/>
              </w:rPr>
            </w:pPr>
            <w:r>
              <w:rPr>
                <w:rFonts w:hint="eastAsia" w:ascii="Arial" w:hAnsi="Arial"/>
                <w:b/>
                <w:color w:val="000000"/>
                <w:sz w:val="24"/>
              </w:rPr>
              <w:t>卖</w:t>
            </w:r>
            <w:r>
              <w:rPr>
                <w:rFonts w:ascii="Arial" w:hAnsi="Arial"/>
                <w:b/>
                <w:color w:val="000000"/>
                <w:sz w:val="24"/>
              </w:rPr>
              <w:t xml:space="preserve">    </w:t>
            </w:r>
            <w:r>
              <w:rPr>
                <w:rFonts w:hint="eastAsia" w:ascii="Arial" w:hAnsi="Arial"/>
                <w:b/>
                <w:color w:val="000000"/>
                <w:sz w:val="24"/>
              </w:rPr>
              <w:t>方</w:t>
            </w:r>
            <w:r>
              <w:rPr>
                <w:rFonts w:ascii="Arial" w:hAnsi="Arial"/>
                <w:b/>
                <w:color w:val="000000"/>
                <w:sz w:val="24"/>
              </w:rPr>
              <w:t>:</w:t>
            </w:r>
          </w:p>
        </w:tc>
        <w:tc>
          <w:tcPr>
            <w:tcW w:w="6698" w:type="dxa"/>
            <w:gridSpan w:val="9"/>
          </w:tcPr>
          <w:p>
            <w:pPr>
              <w:spacing w:line="360" w:lineRule="auto"/>
              <w:rPr>
                <w:rFonts w:ascii="Arial" w:hAnsi="Arial"/>
                <w:color w:val="000000"/>
                <w:sz w:val="24"/>
              </w:rPr>
            </w:pPr>
          </w:p>
        </w:tc>
      </w:tr>
      <w:tr>
        <w:tblPrEx>
          <w:tblCellMar>
            <w:top w:w="0" w:type="dxa"/>
            <w:left w:w="108" w:type="dxa"/>
            <w:bottom w:w="0" w:type="dxa"/>
            <w:right w:w="108" w:type="dxa"/>
          </w:tblCellMar>
        </w:tblPrEx>
        <w:trPr>
          <w:trHeight w:val="360" w:hRule="atLeast"/>
        </w:trPr>
        <w:tc>
          <w:tcPr>
            <w:tcW w:w="2125" w:type="dxa"/>
            <w:gridSpan w:val="2"/>
          </w:tcPr>
          <w:p>
            <w:pPr>
              <w:spacing w:line="360" w:lineRule="auto"/>
              <w:rPr>
                <w:rFonts w:ascii="Arial" w:hAnsi="Arial"/>
                <w:color w:val="000000"/>
                <w:sz w:val="24"/>
              </w:rPr>
            </w:pPr>
            <w:r>
              <w:rPr>
                <w:rFonts w:hint="eastAsia" w:ascii="Arial" w:hAnsi="Arial"/>
                <w:color w:val="000000"/>
                <w:sz w:val="24"/>
              </w:rPr>
              <w:t>地</w:t>
            </w:r>
            <w:r>
              <w:rPr>
                <w:rFonts w:ascii="Arial" w:hAnsi="Arial"/>
                <w:color w:val="000000"/>
                <w:sz w:val="24"/>
              </w:rPr>
              <w:t xml:space="preserve">    </w:t>
            </w:r>
            <w:r>
              <w:rPr>
                <w:rFonts w:hint="eastAsia" w:ascii="Arial" w:hAnsi="Arial"/>
                <w:color w:val="000000"/>
                <w:sz w:val="24"/>
              </w:rPr>
              <w:t>址：</w:t>
            </w:r>
          </w:p>
        </w:tc>
        <w:tc>
          <w:tcPr>
            <w:tcW w:w="4742" w:type="dxa"/>
            <w:gridSpan w:val="6"/>
          </w:tcPr>
          <w:p>
            <w:pPr>
              <w:spacing w:line="360" w:lineRule="auto"/>
              <w:rPr>
                <w:rFonts w:ascii="Arial" w:hAnsi="Arial"/>
                <w:color w:val="000000"/>
                <w:sz w:val="24"/>
              </w:rPr>
            </w:pPr>
          </w:p>
        </w:tc>
        <w:tc>
          <w:tcPr>
            <w:tcW w:w="236" w:type="dxa"/>
            <w:gridSpan w:val="2"/>
          </w:tcPr>
          <w:p>
            <w:pPr>
              <w:spacing w:line="360" w:lineRule="auto"/>
              <w:rPr>
                <w:rFonts w:ascii="Arial" w:hAnsi="Arial"/>
                <w:color w:val="000000"/>
                <w:sz w:val="24"/>
              </w:rPr>
            </w:pPr>
          </w:p>
        </w:tc>
        <w:tc>
          <w:tcPr>
            <w:tcW w:w="1835" w:type="dxa"/>
            <w:gridSpan w:val="2"/>
          </w:tcPr>
          <w:p>
            <w:pPr>
              <w:spacing w:line="360" w:lineRule="auto"/>
              <w:rPr>
                <w:rFonts w:ascii="Arial" w:hAnsi="Arial"/>
                <w:color w:val="000000"/>
                <w:sz w:val="24"/>
              </w:rPr>
            </w:pPr>
          </w:p>
        </w:tc>
      </w:tr>
      <w:tr>
        <w:tblPrEx>
          <w:tblCellMar>
            <w:top w:w="0" w:type="dxa"/>
            <w:left w:w="108" w:type="dxa"/>
            <w:bottom w:w="0" w:type="dxa"/>
            <w:right w:w="108" w:type="dxa"/>
          </w:tblCellMar>
        </w:tblPrEx>
        <w:trPr>
          <w:gridAfter w:val="1"/>
          <w:wAfter w:w="115" w:type="dxa"/>
          <w:trHeight w:val="360" w:hRule="atLeast"/>
        </w:trPr>
        <w:tc>
          <w:tcPr>
            <w:tcW w:w="2125" w:type="dxa"/>
            <w:gridSpan w:val="2"/>
          </w:tcPr>
          <w:p>
            <w:pPr>
              <w:spacing w:line="360" w:lineRule="auto"/>
              <w:rPr>
                <w:rFonts w:ascii="Arial" w:hAnsi="Arial"/>
                <w:color w:val="000000"/>
                <w:sz w:val="24"/>
              </w:rPr>
            </w:pPr>
            <w:r>
              <w:rPr>
                <w:rFonts w:hint="eastAsia" w:ascii="Arial" w:hAnsi="Arial"/>
                <w:color w:val="000000"/>
                <w:sz w:val="24"/>
              </w:rPr>
              <w:t>法定代表人：</w:t>
            </w:r>
          </w:p>
        </w:tc>
        <w:tc>
          <w:tcPr>
            <w:tcW w:w="4201" w:type="dxa"/>
            <w:gridSpan w:val="5"/>
          </w:tcPr>
          <w:p>
            <w:pPr>
              <w:spacing w:line="360" w:lineRule="auto"/>
              <w:rPr>
                <w:rFonts w:ascii="Arial" w:hAnsi="Arial"/>
                <w:color w:val="000000"/>
                <w:sz w:val="24"/>
              </w:rPr>
            </w:pPr>
          </w:p>
        </w:tc>
        <w:tc>
          <w:tcPr>
            <w:tcW w:w="662" w:type="dxa"/>
            <w:gridSpan w:val="2"/>
          </w:tcPr>
          <w:p>
            <w:pPr>
              <w:spacing w:line="360" w:lineRule="auto"/>
              <w:rPr>
                <w:rFonts w:ascii="Arial" w:hAnsi="Arial"/>
                <w:color w:val="000000"/>
                <w:sz w:val="24"/>
              </w:rPr>
            </w:pPr>
          </w:p>
        </w:tc>
        <w:tc>
          <w:tcPr>
            <w:tcW w:w="1835" w:type="dxa"/>
            <w:gridSpan w:val="2"/>
          </w:tcPr>
          <w:p>
            <w:pPr>
              <w:spacing w:line="360" w:lineRule="auto"/>
              <w:rPr>
                <w:rFonts w:ascii="Arial" w:hAnsi="Arial"/>
                <w:color w:val="000000"/>
                <w:sz w:val="24"/>
              </w:rPr>
            </w:pPr>
          </w:p>
        </w:tc>
      </w:tr>
      <w:tr>
        <w:tblPrEx>
          <w:tblCellMar>
            <w:top w:w="0" w:type="dxa"/>
            <w:left w:w="108" w:type="dxa"/>
            <w:bottom w:w="0" w:type="dxa"/>
            <w:right w:w="108" w:type="dxa"/>
          </w:tblCellMar>
        </w:tblPrEx>
        <w:trPr>
          <w:gridAfter w:val="1"/>
          <w:wAfter w:w="115" w:type="dxa"/>
          <w:trHeight w:val="360" w:hRule="atLeast"/>
        </w:trPr>
        <w:tc>
          <w:tcPr>
            <w:tcW w:w="2125" w:type="dxa"/>
            <w:gridSpan w:val="2"/>
          </w:tcPr>
          <w:p>
            <w:pPr>
              <w:spacing w:line="360" w:lineRule="auto"/>
              <w:rPr>
                <w:rFonts w:ascii="Arial" w:hAnsi="Arial"/>
                <w:color w:val="000000"/>
                <w:sz w:val="24"/>
              </w:rPr>
            </w:pPr>
            <w:r>
              <w:rPr>
                <w:rFonts w:hint="eastAsia" w:ascii="Arial" w:hAnsi="Arial"/>
                <w:color w:val="000000"/>
                <w:sz w:val="24"/>
              </w:rPr>
              <w:t>开户银行：</w:t>
            </w:r>
          </w:p>
        </w:tc>
        <w:tc>
          <w:tcPr>
            <w:tcW w:w="6698" w:type="dxa"/>
            <w:gridSpan w:val="9"/>
          </w:tcPr>
          <w:p>
            <w:pPr>
              <w:spacing w:line="360" w:lineRule="auto"/>
              <w:rPr>
                <w:rFonts w:ascii="Arial" w:hAnsi="Arial"/>
                <w:color w:val="000000"/>
                <w:sz w:val="24"/>
              </w:rPr>
            </w:pPr>
          </w:p>
        </w:tc>
      </w:tr>
      <w:tr>
        <w:tblPrEx>
          <w:tblCellMar>
            <w:top w:w="0" w:type="dxa"/>
            <w:left w:w="108" w:type="dxa"/>
            <w:bottom w:w="0" w:type="dxa"/>
            <w:right w:w="108" w:type="dxa"/>
          </w:tblCellMar>
        </w:tblPrEx>
        <w:trPr>
          <w:gridAfter w:val="1"/>
          <w:wAfter w:w="115" w:type="dxa"/>
          <w:trHeight w:val="360" w:hRule="atLeast"/>
        </w:trPr>
        <w:tc>
          <w:tcPr>
            <w:tcW w:w="2125" w:type="dxa"/>
            <w:gridSpan w:val="2"/>
          </w:tcPr>
          <w:p>
            <w:pPr>
              <w:spacing w:line="360" w:lineRule="auto"/>
              <w:rPr>
                <w:rFonts w:ascii="Arial" w:hAnsi="Arial"/>
                <w:color w:val="000000"/>
                <w:sz w:val="24"/>
              </w:rPr>
            </w:pPr>
            <w:r>
              <w:rPr>
                <w:rFonts w:hint="eastAsia" w:ascii="Arial" w:hAnsi="Arial"/>
                <w:color w:val="000000"/>
                <w:sz w:val="24"/>
              </w:rPr>
              <w:t>帐    号：</w:t>
            </w:r>
          </w:p>
        </w:tc>
        <w:tc>
          <w:tcPr>
            <w:tcW w:w="6698" w:type="dxa"/>
            <w:gridSpan w:val="9"/>
          </w:tcPr>
          <w:p>
            <w:pPr>
              <w:spacing w:line="360" w:lineRule="auto"/>
              <w:rPr>
                <w:rFonts w:ascii="Arial" w:hAnsi="Arial" w:cs="Arial"/>
                <w:color w:val="000000"/>
                <w:sz w:val="24"/>
              </w:rPr>
            </w:pPr>
          </w:p>
        </w:tc>
      </w:tr>
      <w:tr>
        <w:tblPrEx>
          <w:tblCellMar>
            <w:top w:w="0" w:type="dxa"/>
            <w:left w:w="108" w:type="dxa"/>
            <w:bottom w:w="0" w:type="dxa"/>
            <w:right w:w="108" w:type="dxa"/>
          </w:tblCellMar>
        </w:tblPrEx>
        <w:trPr>
          <w:gridAfter w:val="1"/>
          <w:wAfter w:w="115" w:type="dxa"/>
          <w:trHeight w:val="360" w:hRule="atLeast"/>
        </w:trPr>
        <w:tc>
          <w:tcPr>
            <w:tcW w:w="2125" w:type="dxa"/>
            <w:gridSpan w:val="2"/>
          </w:tcPr>
          <w:p>
            <w:pPr>
              <w:spacing w:line="360" w:lineRule="auto"/>
              <w:rPr>
                <w:rFonts w:ascii="Arial" w:hAnsi="Arial"/>
                <w:color w:val="000000"/>
                <w:sz w:val="24"/>
              </w:rPr>
            </w:pPr>
            <w:r>
              <w:rPr>
                <w:rFonts w:hint="eastAsia" w:ascii="Arial" w:hAnsi="Arial"/>
                <w:color w:val="000000"/>
                <w:sz w:val="24"/>
              </w:rPr>
              <w:t>电话/传真：</w:t>
            </w:r>
          </w:p>
        </w:tc>
        <w:tc>
          <w:tcPr>
            <w:tcW w:w="6698" w:type="dxa"/>
            <w:gridSpan w:val="9"/>
          </w:tcPr>
          <w:p>
            <w:pPr>
              <w:spacing w:line="360" w:lineRule="auto"/>
              <w:rPr>
                <w:rFonts w:ascii="Arial" w:hAnsi="Arial"/>
                <w:color w:val="000000"/>
                <w:sz w:val="24"/>
              </w:rPr>
            </w:pPr>
          </w:p>
        </w:tc>
      </w:tr>
      <w:tr>
        <w:tblPrEx>
          <w:tblCellMar>
            <w:top w:w="0" w:type="dxa"/>
            <w:left w:w="108" w:type="dxa"/>
            <w:bottom w:w="0" w:type="dxa"/>
            <w:right w:w="108" w:type="dxa"/>
          </w:tblCellMar>
        </w:tblPrEx>
        <w:trPr>
          <w:gridAfter w:val="1"/>
          <w:wAfter w:w="115" w:type="dxa"/>
          <w:trHeight w:val="371" w:hRule="atLeast"/>
        </w:trPr>
        <w:tc>
          <w:tcPr>
            <w:tcW w:w="2125" w:type="dxa"/>
            <w:gridSpan w:val="2"/>
            <w:tcBorders>
              <w:bottom w:val="single" w:color="auto" w:sz="4" w:space="0"/>
            </w:tcBorders>
          </w:tcPr>
          <w:p>
            <w:pPr>
              <w:spacing w:line="360" w:lineRule="auto"/>
              <w:rPr>
                <w:rFonts w:ascii="Arial" w:hAnsi="Arial"/>
                <w:color w:val="000000"/>
                <w:sz w:val="24"/>
              </w:rPr>
            </w:pPr>
            <w:r>
              <w:rPr>
                <w:rFonts w:hint="eastAsia" w:ascii="Arial" w:hAnsi="Arial"/>
                <w:color w:val="000000"/>
                <w:sz w:val="24"/>
              </w:rPr>
              <w:t>联系人：</w:t>
            </w:r>
          </w:p>
        </w:tc>
        <w:tc>
          <w:tcPr>
            <w:tcW w:w="6698" w:type="dxa"/>
            <w:gridSpan w:val="9"/>
            <w:tcBorders>
              <w:bottom w:val="single" w:color="auto" w:sz="4" w:space="0"/>
            </w:tcBorders>
          </w:tcPr>
          <w:p>
            <w:pPr>
              <w:spacing w:line="360" w:lineRule="auto"/>
              <w:rPr>
                <w:rFonts w:ascii="Arial" w:hAnsi="Arial"/>
                <w:color w:val="000000"/>
                <w:sz w:val="24"/>
              </w:rPr>
            </w:pPr>
          </w:p>
        </w:tc>
      </w:tr>
    </w:tbl>
    <w:p>
      <w:pPr>
        <w:spacing w:line="360" w:lineRule="auto"/>
        <w:rPr>
          <w:b/>
          <w:bCs/>
          <w:color w:val="000000"/>
          <w:sz w:val="24"/>
        </w:rPr>
      </w:pPr>
      <w:r>
        <w:rPr>
          <w:rFonts w:hint="eastAsia"/>
          <w:b/>
          <w:bCs/>
          <w:color w:val="000000"/>
          <w:sz w:val="24"/>
        </w:rPr>
        <w:t xml:space="preserve">第二条：产品    </w:t>
      </w:r>
    </w:p>
    <w:p>
      <w:pPr>
        <w:spacing w:line="360" w:lineRule="auto"/>
        <w:ind w:firstLine="480" w:firstLineChars="200"/>
        <w:rPr>
          <w:i/>
          <w:iCs/>
          <w:color w:val="000000"/>
          <w:sz w:val="20"/>
        </w:rPr>
      </w:pPr>
      <w:r>
        <w:rPr>
          <w:rFonts w:hint="eastAsia" w:ascii="宋体" w:hAnsi="宋体"/>
          <w:color w:val="000000" w:themeColor="text1"/>
          <w:sz w:val="24"/>
          <w14:textFill>
            <w14:solidFill>
              <w14:schemeClr w14:val="tx1"/>
            </w14:solidFill>
          </w14:textFill>
        </w:rPr>
        <w:t>详见附件一</w:t>
      </w:r>
      <w:r>
        <w:rPr>
          <w:rFonts w:hint="eastAsia"/>
          <w:b/>
          <w:bCs/>
          <w:color w:val="FF0000"/>
          <w:sz w:val="24"/>
        </w:rPr>
        <w:t xml:space="preserve">  </w:t>
      </w:r>
      <w:r>
        <w:rPr>
          <w:rFonts w:hint="eastAsia"/>
          <w:b/>
          <w:bCs/>
          <w:color w:val="000000"/>
          <w:sz w:val="24"/>
        </w:rPr>
        <w:t xml:space="preserve">                                         </w:t>
      </w:r>
      <w:r>
        <w:rPr>
          <w:rFonts w:hint="eastAsia"/>
          <w:b/>
          <w:bCs/>
          <w:color w:val="000000"/>
          <w:sz w:val="20"/>
        </w:rPr>
        <w:t xml:space="preserve"> </w:t>
      </w:r>
    </w:p>
    <w:p>
      <w:pPr>
        <w:numPr>
          <w:ilvl w:val="255"/>
          <w:numId w:val="0"/>
        </w:numPr>
        <w:spacing w:line="360" w:lineRule="auto"/>
        <w:rPr>
          <w:color w:val="000000"/>
          <w:sz w:val="24"/>
        </w:rPr>
      </w:pPr>
      <w:r>
        <w:rPr>
          <w:rFonts w:hint="eastAsia"/>
          <w:b/>
          <w:bCs/>
          <w:color w:val="000000"/>
          <w:sz w:val="24"/>
        </w:rPr>
        <w:t>第三条  款项的给付</w:t>
      </w:r>
    </w:p>
    <w:p>
      <w:pPr>
        <w:numPr>
          <w:ilvl w:val="255"/>
          <w:numId w:val="0"/>
        </w:numPr>
        <w:spacing w:line="360" w:lineRule="auto"/>
        <w:ind w:left="210"/>
        <w:rPr>
          <w:rFonts w:ascii="宋体" w:hAnsi="宋体" w:cs="宋体"/>
          <w:color w:val="000000"/>
          <w:sz w:val="24"/>
        </w:rPr>
      </w:pPr>
      <w:r>
        <w:rPr>
          <w:rFonts w:hint="eastAsia" w:ascii="宋体" w:hAnsi="宋体" w:cs="宋体"/>
          <w:color w:val="000000"/>
          <w:sz w:val="24"/>
        </w:rPr>
        <w:t>1.本合同的全部货款为人民币（大写</w:t>
      </w:r>
      <w:r>
        <w:rPr>
          <w:rFonts w:hint="eastAsia" w:ascii="宋体" w:hAnsi="宋体" w:cs="宋体"/>
          <w:b/>
          <w:color w:val="000000"/>
          <w:sz w:val="24"/>
        </w:rPr>
        <w:t>）</w:t>
      </w:r>
      <w:r>
        <w:rPr>
          <w:rFonts w:hint="eastAsia" w:ascii="宋体" w:hAnsi="宋体" w:cs="宋体"/>
          <w:b/>
          <w:color w:val="000000"/>
          <w:sz w:val="24"/>
          <w:u w:val="single"/>
        </w:rPr>
        <w:t xml:space="preserve">         </w:t>
      </w:r>
      <w:r>
        <w:rPr>
          <w:rFonts w:hint="eastAsia" w:ascii="宋体" w:hAnsi="宋体" w:cs="宋体"/>
          <w:color w:val="000000"/>
          <w:sz w:val="24"/>
        </w:rPr>
        <w:t>（小写</w:t>
      </w:r>
      <w:r>
        <w:rPr>
          <w:rFonts w:hint="eastAsia" w:ascii="宋体" w:hAnsi="宋体" w:cs="宋体"/>
          <w:b/>
          <w:bCs/>
          <w:color w:val="000000"/>
          <w:sz w:val="24"/>
        </w:rPr>
        <w:t xml:space="preserve">￥： </w:t>
      </w:r>
      <w:r>
        <w:rPr>
          <w:rFonts w:hint="eastAsia" w:ascii="宋体" w:hAnsi="宋体" w:cs="宋体"/>
          <w:b/>
          <w:bCs/>
          <w:color w:val="000000"/>
          <w:sz w:val="24"/>
          <w:u w:val="single"/>
        </w:rPr>
        <w:t xml:space="preserve">       </w:t>
      </w:r>
      <w:r>
        <w:rPr>
          <w:rFonts w:hint="eastAsia" w:ascii="宋体" w:hAnsi="宋体" w:cs="宋体"/>
          <w:b/>
          <w:bCs/>
          <w:color w:val="000000"/>
          <w:sz w:val="24"/>
        </w:rPr>
        <w:t xml:space="preserve"> </w:t>
      </w:r>
      <w:r>
        <w:rPr>
          <w:rFonts w:hint="eastAsia" w:ascii="宋体" w:hAnsi="宋体" w:cs="宋体"/>
          <w:color w:val="000000"/>
          <w:sz w:val="24"/>
        </w:rPr>
        <w:t>）。此金额为总价款，包括货款、关税、运费、13%增值税等履行本协议发生的一切费用。</w:t>
      </w:r>
    </w:p>
    <w:p>
      <w:pPr>
        <w:numPr>
          <w:ilvl w:val="255"/>
          <w:numId w:val="0"/>
        </w:numPr>
        <w:spacing w:line="360" w:lineRule="auto"/>
        <w:ind w:left="210"/>
        <w:rPr>
          <w:rFonts w:ascii="宋体" w:hAnsi="宋体" w:cs="宋体"/>
          <w:color w:val="FF0000"/>
          <w:sz w:val="24"/>
        </w:rPr>
      </w:pPr>
      <w:r>
        <w:rPr>
          <w:rFonts w:hint="eastAsia" w:ascii="宋体" w:hAnsi="宋体" w:cs="宋体"/>
          <w:color w:val="000000" w:themeColor="text1"/>
          <w:sz w:val="24"/>
          <w14:textFill>
            <w14:solidFill>
              <w14:schemeClr w14:val="tx1"/>
            </w14:solidFill>
          </w14:textFill>
        </w:rPr>
        <w:t>2.本合同经双方确认签字盖章后，发生法律效力。合同签订后买方向卖方支付</w:t>
      </w:r>
      <w:r>
        <w:rPr>
          <w:sz w:val="24"/>
        </w:rPr>
        <w:t>合同含税总价金额</w:t>
      </w:r>
      <w:r>
        <w:rPr>
          <w:rFonts w:hint="eastAsia" w:ascii="宋体" w:hAnsi="宋体" w:cs="宋体"/>
          <w:color w:val="000000" w:themeColor="text1"/>
          <w:sz w:val="24"/>
          <w:u w:val="single"/>
          <w14:textFill>
            <w14:solidFill>
              <w14:schemeClr w14:val="tx1"/>
            </w14:solidFill>
          </w14:textFill>
        </w:rPr>
        <w:t>30%</w:t>
      </w:r>
      <w:r>
        <w:rPr>
          <w:rFonts w:hint="eastAsia" w:ascii="宋体" w:hAnsi="宋体" w:cs="宋体"/>
          <w:color w:val="000000" w:themeColor="text1"/>
          <w:sz w:val="24"/>
          <w14:textFill>
            <w14:solidFill>
              <w14:schemeClr w14:val="tx1"/>
            </w14:solidFill>
          </w14:textFill>
        </w:rPr>
        <w:t>的订金（￥</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）,安装调试验收合格后支付</w:t>
      </w:r>
      <w:r>
        <w:rPr>
          <w:sz w:val="24"/>
        </w:rPr>
        <w:t>合同含税总价金额</w:t>
      </w:r>
      <w:r>
        <w:rPr>
          <w:rFonts w:hint="eastAsia" w:ascii="宋体" w:hAnsi="宋体" w:cs="宋体"/>
          <w:color w:val="000000" w:themeColor="text1"/>
          <w:sz w:val="24"/>
          <w:u w:val="single"/>
          <w14:textFill>
            <w14:solidFill>
              <w14:schemeClr w14:val="tx1"/>
            </w14:solidFill>
          </w14:textFill>
        </w:rPr>
        <w:t>67%</w:t>
      </w:r>
      <w:r>
        <w:rPr>
          <w:rFonts w:hint="eastAsia" w:ascii="宋体" w:hAnsi="宋体" w:cs="宋体"/>
          <w:color w:val="000000" w:themeColor="text1"/>
          <w:sz w:val="24"/>
          <w14:textFill>
            <w14:solidFill>
              <w14:schemeClr w14:val="tx1"/>
            </w14:solidFill>
          </w14:textFill>
        </w:rPr>
        <w:t>的尾款（￥</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sz w:val="24"/>
        </w:rPr>
        <w:t>设备验收起满</w:t>
      </w:r>
      <w:r>
        <w:rPr>
          <w:rFonts w:hint="eastAsia"/>
          <w:sz w:val="24"/>
          <w:u w:val="single"/>
          <w:lang w:val="en-US" w:eastAsia="zh-CN"/>
        </w:rPr>
        <w:t xml:space="preserve">   </w:t>
      </w:r>
      <w:r>
        <w:rPr>
          <w:rFonts w:hint="eastAsia"/>
          <w:sz w:val="24"/>
        </w:rPr>
        <w:t>年，无质量问题，</w:t>
      </w:r>
      <w:r>
        <w:rPr>
          <w:rFonts w:hint="eastAsia" w:ascii="宋体" w:hAnsi="宋体" w:cs="宋体"/>
          <w:color w:val="000000" w:themeColor="text1"/>
          <w:sz w:val="24"/>
          <w14:textFill>
            <w14:solidFill>
              <w14:schemeClr w14:val="tx1"/>
            </w14:solidFill>
          </w14:textFill>
        </w:rPr>
        <w:t>买方向卖方支付</w:t>
      </w:r>
      <w:r>
        <w:rPr>
          <w:sz w:val="24"/>
        </w:rPr>
        <w:t>合同含税总价金额</w:t>
      </w:r>
      <w:r>
        <w:rPr>
          <w:rFonts w:hint="eastAsia"/>
          <w:sz w:val="24"/>
          <w:u w:val="single"/>
        </w:rPr>
        <w:t>3%</w:t>
      </w:r>
      <w:r>
        <w:rPr>
          <w:rFonts w:hint="eastAsia"/>
          <w:sz w:val="24"/>
        </w:rPr>
        <w:t>的质保款项</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spacing w:line="360" w:lineRule="auto"/>
        <w:ind w:left="382"/>
        <w:rPr>
          <w:sz w:val="24"/>
        </w:rPr>
      </w:pPr>
    </w:p>
    <w:p>
      <w:pPr>
        <w:spacing w:line="360" w:lineRule="auto"/>
        <w:rPr>
          <w:b/>
          <w:bCs/>
          <w:color w:val="000000"/>
          <w:sz w:val="24"/>
        </w:rPr>
      </w:pPr>
      <w:r>
        <w:rPr>
          <w:rFonts w:hint="eastAsia"/>
          <w:b/>
          <w:bCs/>
          <w:color w:val="000000"/>
          <w:sz w:val="24"/>
        </w:rPr>
        <w:t>第四条   产品交付</w:t>
      </w:r>
    </w:p>
    <w:p>
      <w:pPr>
        <w:spacing w:line="360" w:lineRule="auto"/>
        <w:ind w:firstLine="240" w:firstLineChars="100"/>
        <w:rPr>
          <w:b/>
          <w:bCs/>
          <w:color w:val="000000"/>
          <w:sz w:val="24"/>
        </w:rPr>
      </w:pPr>
      <w:r>
        <w:rPr>
          <w:rFonts w:hint="eastAsia" w:ascii="宋体" w:hAnsi="宋体"/>
          <w:color w:val="000000"/>
          <w:sz w:val="24"/>
        </w:rPr>
        <w:t>1.合</w:t>
      </w:r>
      <w:r>
        <w:rPr>
          <w:rFonts w:hint="eastAsia"/>
          <w:color w:val="000000"/>
          <w:sz w:val="24"/>
        </w:rPr>
        <w:t>同交货期为合同签订后</w:t>
      </w:r>
      <w:r>
        <w:rPr>
          <w:rFonts w:hint="eastAsia" w:ascii="宋体" w:hAnsi="宋体" w:cs="宋体"/>
          <w:sz w:val="24"/>
          <w:u w:val="single"/>
        </w:rPr>
        <w:t>15</w:t>
      </w:r>
      <w:r>
        <w:rPr>
          <w:rFonts w:hint="eastAsia" w:ascii="宋体" w:hAnsi="宋体" w:cs="宋体"/>
          <w:sz w:val="24"/>
          <w:u w:val="single"/>
          <w:lang w:val="en-US" w:eastAsia="zh-CN"/>
        </w:rPr>
        <w:t>日</w:t>
      </w:r>
      <w:r>
        <w:rPr>
          <w:rFonts w:hint="eastAsia"/>
          <w:color w:val="000000"/>
          <w:sz w:val="24"/>
        </w:rPr>
        <w:t>内，由卖方将设备运至买方指定地点。</w:t>
      </w:r>
    </w:p>
    <w:p>
      <w:pPr>
        <w:tabs>
          <w:tab w:val="left" w:pos="0"/>
        </w:tabs>
        <w:autoSpaceDE w:val="0"/>
        <w:autoSpaceDN w:val="0"/>
        <w:adjustRightInd w:val="0"/>
        <w:spacing w:line="360" w:lineRule="auto"/>
        <w:ind w:firstLine="240" w:firstLineChars="100"/>
        <w:rPr>
          <w:rFonts w:ascii="宋体" w:hAnsi="宋体" w:cs="宋体"/>
          <w:color w:val="000000"/>
          <w:kern w:val="0"/>
          <w:sz w:val="24"/>
        </w:rPr>
      </w:pPr>
      <w:r>
        <w:rPr>
          <w:rFonts w:hint="eastAsia" w:ascii="宋体" w:hAnsi="宋体"/>
          <w:color w:val="000000"/>
          <w:sz w:val="24"/>
        </w:rPr>
        <w:t>2.</w:t>
      </w:r>
      <w:r>
        <w:rPr>
          <w:rFonts w:hint="eastAsia" w:ascii="宋体" w:hAnsi="宋体" w:cs="宋体"/>
          <w:color w:val="000000"/>
          <w:kern w:val="0"/>
          <w:sz w:val="24"/>
        </w:rPr>
        <w:t>交货地点：岳阳</w:t>
      </w:r>
      <w:r>
        <w:rPr>
          <w:rFonts w:ascii="宋体" w:hAnsi="宋体" w:cs="宋体"/>
          <w:color w:val="000000"/>
          <w:kern w:val="0"/>
          <w:sz w:val="24"/>
        </w:rPr>
        <w:t>城陵矶新港有限</w:t>
      </w:r>
      <w:r>
        <w:rPr>
          <w:rFonts w:hint="eastAsia" w:ascii="宋体" w:hAnsi="宋体" w:cs="宋体"/>
          <w:color w:val="000000"/>
          <w:kern w:val="0"/>
          <w:sz w:val="24"/>
        </w:rPr>
        <w:t>公司</w:t>
      </w:r>
      <w:r>
        <w:rPr>
          <w:rFonts w:hint="eastAsia" w:ascii="宋体" w:hAnsi="宋体" w:cs="宋体"/>
          <w:color w:val="000000"/>
          <w:sz w:val="24"/>
        </w:rPr>
        <w:t>办公楼</w:t>
      </w:r>
      <w:r>
        <w:rPr>
          <w:rFonts w:hint="eastAsia" w:ascii="宋体" w:hAnsi="宋体" w:cs="宋体"/>
          <w:color w:val="000000"/>
          <w:kern w:val="0"/>
          <w:sz w:val="24"/>
        </w:rPr>
        <w:t>。</w:t>
      </w:r>
    </w:p>
    <w:p>
      <w:pPr>
        <w:tabs>
          <w:tab w:val="left" w:pos="540"/>
        </w:tabs>
        <w:autoSpaceDE w:val="0"/>
        <w:autoSpaceDN w:val="0"/>
        <w:adjustRightInd w:val="0"/>
        <w:spacing w:line="360" w:lineRule="auto"/>
        <w:ind w:firstLine="240" w:firstLineChars="100"/>
        <w:rPr>
          <w:rFonts w:ascii="宋体" w:hAnsi="宋体" w:cs="宋体"/>
          <w:color w:val="000000"/>
          <w:kern w:val="0"/>
          <w:sz w:val="24"/>
          <w:u w:val="single"/>
        </w:rPr>
      </w:pPr>
      <w:r>
        <w:rPr>
          <w:rFonts w:hint="eastAsia" w:ascii="宋体" w:hAnsi="宋体" w:cs="宋体"/>
          <w:color w:val="000000"/>
          <w:kern w:val="0"/>
          <w:sz w:val="24"/>
        </w:rPr>
        <w:t>3. 包装方式：卖方应当严格执行现行包装标准,确保设备无任何损毁瑕疵，包装费用由卖方承担。</w:t>
      </w:r>
    </w:p>
    <w:p>
      <w:pPr>
        <w:tabs>
          <w:tab w:val="left" w:pos="0"/>
        </w:tabs>
        <w:autoSpaceDE w:val="0"/>
        <w:autoSpaceDN w:val="0"/>
        <w:adjustRightInd w:val="0"/>
        <w:spacing w:line="360" w:lineRule="auto"/>
        <w:ind w:firstLine="240" w:firstLineChars="100"/>
        <w:rPr>
          <w:rFonts w:ascii="宋体" w:hAnsi="宋体" w:cs="宋体"/>
          <w:color w:val="000000"/>
          <w:kern w:val="0"/>
          <w:sz w:val="24"/>
        </w:rPr>
      </w:pPr>
      <w:r>
        <w:rPr>
          <w:rFonts w:hint="eastAsia" w:ascii="宋体" w:hAnsi="宋体" w:cs="宋体"/>
          <w:color w:val="000000"/>
          <w:kern w:val="0"/>
          <w:sz w:val="24"/>
        </w:rPr>
        <w:t xml:space="preserve">4. 产品在运送至买方指定地点并经买方验收合格之前的毁损、灭失的风险由卖方承担。   </w:t>
      </w:r>
    </w:p>
    <w:p>
      <w:pPr>
        <w:spacing w:line="360" w:lineRule="auto"/>
        <w:ind w:firstLine="240" w:firstLineChars="100"/>
        <w:rPr>
          <w:rFonts w:ascii="宋体" w:hAnsi="宋体"/>
          <w:color w:val="000000"/>
          <w:sz w:val="24"/>
        </w:rPr>
      </w:pPr>
      <w:r>
        <w:rPr>
          <w:rFonts w:hint="eastAsia" w:ascii="宋体" w:hAnsi="宋体"/>
          <w:color w:val="000000"/>
          <w:sz w:val="24"/>
        </w:rPr>
        <w:t>5、交付:产品运送至买方指定地点，买方接收后并经买方查验合格，交由卖方安装调试验收合格，视为卖方已交付。</w:t>
      </w:r>
    </w:p>
    <w:p>
      <w:pPr>
        <w:spacing w:line="360" w:lineRule="auto"/>
        <w:ind w:firstLine="480" w:firstLineChars="200"/>
        <w:rPr>
          <w:rFonts w:ascii="宋体" w:hAnsi="宋体"/>
          <w:color w:val="000000"/>
          <w:sz w:val="24"/>
        </w:rPr>
      </w:pPr>
    </w:p>
    <w:p>
      <w:pPr>
        <w:spacing w:line="360" w:lineRule="auto"/>
        <w:rPr>
          <w:b/>
          <w:bCs/>
          <w:color w:val="000000"/>
          <w:sz w:val="24"/>
        </w:rPr>
      </w:pPr>
      <w:r>
        <w:rPr>
          <w:rFonts w:hint="eastAsia"/>
          <w:b/>
          <w:bCs/>
          <w:color w:val="000000"/>
          <w:sz w:val="24"/>
        </w:rPr>
        <w:t>第五条  产品质量异议及保修</w:t>
      </w:r>
    </w:p>
    <w:p>
      <w:pPr>
        <w:numPr>
          <w:ilvl w:val="255"/>
          <w:numId w:val="0"/>
        </w:numPr>
        <w:spacing w:line="360" w:lineRule="auto"/>
        <w:ind w:firstLine="240" w:firstLineChars="100"/>
        <w:rPr>
          <w:rFonts w:ascii="宋体" w:hAnsi="宋体" w:cs="宋体"/>
          <w:color w:val="000000"/>
          <w:sz w:val="24"/>
        </w:rPr>
      </w:pPr>
      <w:r>
        <w:rPr>
          <w:rFonts w:hint="eastAsia" w:ascii="宋体" w:hAnsi="宋体" w:cs="宋体"/>
          <w:color w:val="000000"/>
          <w:kern w:val="0"/>
          <w:sz w:val="24"/>
        </w:rPr>
        <w:t>1.卖方应保证合同项下所供货物是合同签订之后生产的、全新、未使用过的；</w:t>
      </w:r>
    </w:p>
    <w:p>
      <w:pPr>
        <w:numPr>
          <w:ilvl w:val="255"/>
          <w:numId w:val="0"/>
        </w:numPr>
        <w:spacing w:line="360" w:lineRule="auto"/>
        <w:ind w:firstLine="240" w:firstLineChars="100"/>
        <w:rPr>
          <w:rFonts w:ascii="宋体" w:hAnsi="宋体" w:cs="宋体"/>
          <w:color w:val="000000"/>
          <w:sz w:val="24"/>
        </w:rPr>
      </w:pPr>
      <w:r>
        <w:rPr>
          <w:rFonts w:hint="eastAsia" w:ascii="宋体" w:hAnsi="宋体" w:cs="宋体"/>
          <w:color w:val="000000"/>
          <w:sz w:val="24"/>
        </w:rPr>
        <w:t>2.对除上述货品表面情况及数量外的其他质量异议，买方应在产品验收合格之日起7日内以书面形式向卖方提出，经卖方查验属实的，应予无偿或其他经买方同意的处理方式。</w:t>
      </w:r>
    </w:p>
    <w:p>
      <w:pPr>
        <w:numPr>
          <w:ilvl w:val="255"/>
          <w:numId w:val="0"/>
        </w:numPr>
        <w:spacing w:line="360" w:lineRule="auto"/>
        <w:ind w:firstLine="240" w:firstLineChars="100"/>
        <w:rPr>
          <w:rFonts w:ascii="宋体" w:hAnsi="宋体" w:cs="宋体"/>
          <w:color w:val="000000"/>
          <w:sz w:val="24"/>
        </w:rPr>
      </w:pPr>
      <w:r>
        <w:rPr>
          <w:rFonts w:hint="eastAsia" w:ascii="宋体" w:hAnsi="宋体" w:cs="宋体"/>
          <w:color w:val="000000"/>
          <w:sz w:val="24"/>
        </w:rPr>
        <w:t>3.卖方承诺，自买方验收产品合格后的1年内，除使用不当所造成的损坏以外的影响产品正常使用的质量问题，卖方应在收到买方通知后_2_日内免费负责修复或更换。</w:t>
      </w:r>
    </w:p>
    <w:p>
      <w:pPr>
        <w:spacing w:line="360" w:lineRule="auto"/>
        <w:ind w:left="600"/>
        <w:rPr>
          <w:color w:val="000000"/>
          <w:sz w:val="24"/>
        </w:rPr>
      </w:pPr>
    </w:p>
    <w:p>
      <w:pPr>
        <w:spacing w:line="360" w:lineRule="auto"/>
        <w:rPr>
          <w:rFonts w:ascii="宋体" w:hAnsi="宋体" w:cs="宋体"/>
          <w:color w:val="000000"/>
          <w:kern w:val="0"/>
          <w:sz w:val="24"/>
        </w:rPr>
      </w:pPr>
      <w:r>
        <w:rPr>
          <w:rFonts w:hint="eastAsia"/>
          <w:b/>
          <w:bCs/>
          <w:color w:val="000000"/>
          <w:sz w:val="24"/>
        </w:rPr>
        <w:t>第六条  产品安装、调试</w:t>
      </w:r>
    </w:p>
    <w:p>
      <w:pPr>
        <w:autoSpaceDE w:val="0"/>
        <w:autoSpaceDN w:val="0"/>
        <w:adjustRightInd w:val="0"/>
        <w:spacing w:line="360" w:lineRule="auto"/>
        <w:ind w:firstLine="240" w:firstLineChars="100"/>
        <w:rPr>
          <w:rFonts w:ascii="宋体" w:hAnsi="宋体" w:cs="宋体"/>
          <w:color w:val="000000"/>
          <w:kern w:val="0"/>
          <w:sz w:val="24"/>
        </w:rPr>
      </w:pPr>
      <w:r>
        <w:rPr>
          <w:rFonts w:hint="eastAsia" w:ascii="宋体" w:hAnsi="宋体" w:cs="宋体"/>
          <w:color w:val="000000"/>
          <w:kern w:val="0"/>
          <w:sz w:val="24"/>
        </w:rPr>
        <w:t>1.卖方应当与买方保持沟通，在货到买方指定现场之日后，由买卖双方协商确定安装调试的日期的</w:t>
      </w:r>
      <w:r>
        <w:rPr>
          <w:rFonts w:hint="eastAsia" w:ascii="宋体" w:hAnsi="宋体" w:cs="宋体"/>
          <w:color w:val="000000"/>
          <w:kern w:val="0"/>
          <w:sz w:val="24"/>
          <w:u w:val="single"/>
        </w:rPr>
        <w:t>（）</w:t>
      </w:r>
      <w:r>
        <w:rPr>
          <w:rFonts w:hint="eastAsia" w:ascii="宋体" w:hAnsi="宋体" w:cs="宋体"/>
          <w:color w:val="000000"/>
          <w:kern w:val="0"/>
          <w:sz w:val="24"/>
        </w:rPr>
        <w:t>日内，派遣技术人员按合同规定完成设备的安装和调试工作，并对买方人员进行为期不少于</w:t>
      </w:r>
      <w:r>
        <w:rPr>
          <w:rFonts w:hint="eastAsia" w:ascii="宋体" w:hAnsi="宋体" w:cs="宋体"/>
          <w:color w:val="000000"/>
          <w:kern w:val="0"/>
          <w:sz w:val="24"/>
          <w:u w:val="single"/>
        </w:rPr>
        <w:t xml:space="preserve"> 2 </w:t>
      </w:r>
      <w:r>
        <w:rPr>
          <w:rFonts w:hint="eastAsia" w:ascii="宋体" w:hAnsi="宋体" w:cs="宋体"/>
          <w:color w:val="000000"/>
          <w:kern w:val="0"/>
          <w:sz w:val="24"/>
        </w:rPr>
        <w:t>日的技术指导和现场培训，保证使设备达到预定的性能指标。</w:t>
      </w:r>
    </w:p>
    <w:p>
      <w:pPr>
        <w:autoSpaceDE w:val="0"/>
        <w:autoSpaceDN w:val="0"/>
        <w:adjustRightInd w:val="0"/>
        <w:spacing w:line="360" w:lineRule="auto"/>
        <w:ind w:firstLine="240" w:firstLineChars="100"/>
        <w:rPr>
          <w:rFonts w:ascii="宋体" w:hAnsi="宋体" w:cs="宋体"/>
          <w:color w:val="000000"/>
          <w:kern w:val="0"/>
          <w:sz w:val="24"/>
        </w:rPr>
      </w:pPr>
      <w:r>
        <w:rPr>
          <w:rFonts w:hint="eastAsia" w:ascii="宋体" w:hAnsi="宋体" w:cs="宋体"/>
          <w:color w:val="000000"/>
          <w:kern w:val="0"/>
          <w:sz w:val="24"/>
        </w:rPr>
        <w:t>2.在安装调试过程中，买方应提供各种配合条件和所需辅助人员，协助卖方技术人员进行安装、调试和其他辅助工作。</w:t>
      </w:r>
    </w:p>
    <w:p>
      <w:pPr>
        <w:pStyle w:val="12"/>
        <w:spacing w:line="360" w:lineRule="auto"/>
        <w:rPr>
          <w:sz w:val="24"/>
        </w:rPr>
      </w:pPr>
      <w:r>
        <w:rPr>
          <w:rFonts w:hint="eastAsia"/>
        </w:rPr>
        <w:t xml:space="preserve">  </w:t>
      </w:r>
      <w:r>
        <w:rPr>
          <w:rFonts w:hint="eastAsia"/>
          <w:sz w:val="24"/>
        </w:rPr>
        <w:t>3.本项目为交钥匙工程，乙方将系统安装调试好后交由甲方验收，甲方只提供安装场地。</w:t>
      </w:r>
    </w:p>
    <w:p>
      <w:pPr>
        <w:spacing w:line="360" w:lineRule="auto"/>
        <w:rPr>
          <w:color w:val="000000"/>
          <w:sz w:val="24"/>
        </w:rPr>
      </w:pPr>
    </w:p>
    <w:p>
      <w:pPr>
        <w:spacing w:line="360" w:lineRule="auto"/>
        <w:rPr>
          <w:b/>
          <w:bCs/>
          <w:color w:val="000000"/>
          <w:sz w:val="24"/>
        </w:rPr>
      </w:pPr>
      <w:r>
        <w:rPr>
          <w:rFonts w:hint="eastAsia"/>
          <w:b/>
          <w:bCs/>
          <w:color w:val="000000"/>
          <w:sz w:val="24"/>
        </w:rPr>
        <w:t>第七条 违约责任</w:t>
      </w:r>
    </w:p>
    <w:p>
      <w:pPr>
        <w:spacing w:line="360" w:lineRule="auto"/>
        <w:ind w:firstLine="240" w:firstLineChars="100"/>
        <w:rPr>
          <w:rFonts w:ascii="宋体" w:hAnsi="宋体"/>
          <w:color w:val="000000"/>
          <w:sz w:val="24"/>
        </w:rPr>
      </w:pPr>
      <w:r>
        <w:rPr>
          <w:rFonts w:hint="eastAsia" w:ascii="宋体" w:hAnsi="宋体"/>
          <w:color w:val="000000"/>
          <w:sz w:val="24"/>
        </w:rPr>
        <w:t xml:space="preserve">1.卖方超过合同约定交货日期按逾期交货处理，违约金按逾期交货部分货款的  </w:t>
      </w:r>
      <w:r>
        <w:rPr>
          <w:rFonts w:hint="eastAsia" w:ascii="宋体" w:hAnsi="宋体"/>
          <w:color w:val="000000"/>
          <w:sz w:val="24"/>
          <w:u w:val="single"/>
        </w:rPr>
        <w:t xml:space="preserve">0.2 </w:t>
      </w:r>
      <w:r>
        <w:rPr>
          <w:rFonts w:hint="eastAsia" w:ascii="宋体" w:hAnsi="宋体"/>
          <w:color w:val="000000"/>
          <w:sz w:val="24"/>
        </w:rPr>
        <w:t>%/日向买方赔付。逾期交货超过15日的，买方有权解除合同，买方已付款项，卖方予以退还，并按合同总额的20%向买方承担违约金，违约金不足以弥补买方损失的，买方有权继续追偿。</w:t>
      </w:r>
    </w:p>
    <w:p>
      <w:pPr>
        <w:spacing w:line="360" w:lineRule="auto"/>
        <w:ind w:firstLine="240" w:firstLineChars="100"/>
        <w:rPr>
          <w:rFonts w:ascii="宋体" w:hAnsi="宋体"/>
          <w:color w:val="000000"/>
          <w:sz w:val="24"/>
        </w:rPr>
      </w:pPr>
      <w:r>
        <w:rPr>
          <w:rFonts w:hint="eastAsia" w:ascii="宋体" w:hAnsi="宋体"/>
          <w:color w:val="000000"/>
          <w:sz w:val="24"/>
        </w:rPr>
        <w:t>2.卖方明确表示或者以自己的行为表明不能交货的，违约金按合同总金额的20%向买方</w:t>
      </w:r>
      <w:r>
        <w:rPr>
          <w:rFonts w:hint="eastAsia" w:ascii="宋体" w:hAnsi="宋体"/>
          <w:color w:val="000000"/>
          <w:sz w:val="24"/>
          <w:u w:val="single"/>
        </w:rPr>
        <w:t>支付违约金</w:t>
      </w:r>
      <w:r>
        <w:rPr>
          <w:rFonts w:hint="eastAsia" w:ascii="宋体" w:hAnsi="宋体"/>
          <w:color w:val="000000"/>
          <w:sz w:val="24"/>
        </w:rPr>
        <w:t>，并承担买方因此所受的损失费用。</w:t>
      </w:r>
    </w:p>
    <w:p>
      <w:pPr>
        <w:spacing w:line="360" w:lineRule="auto"/>
        <w:ind w:firstLine="240" w:firstLineChars="100"/>
        <w:rPr>
          <w:rFonts w:ascii="宋体" w:hAnsi="宋体"/>
          <w:color w:val="000000"/>
          <w:sz w:val="24"/>
        </w:rPr>
      </w:pPr>
      <w:r>
        <w:rPr>
          <w:rFonts w:hint="eastAsia" w:ascii="宋体" w:hAnsi="宋体"/>
          <w:color w:val="000000"/>
          <w:sz w:val="24"/>
        </w:rPr>
        <w:t>3.卖方所交产品不符合合同规定的，由卖方按照买方要求负责包换或维修，并承担修理、调换或退货支付的实际费用，卖方不能修理或调换，按不能交货处理。买方另行向第三方购买产品所导致的损失由卖方承担。</w:t>
      </w:r>
    </w:p>
    <w:p>
      <w:pPr>
        <w:spacing w:line="360" w:lineRule="auto"/>
        <w:ind w:firstLine="240" w:firstLineChars="100"/>
        <w:rPr>
          <w:rFonts w:ascii="宋体" w:hAnsi="宋体"/>
          <w:color w:val="000000"/>
          <w:sz w:val="24"/>
        </w:rPr>
      </w:pPr>
      <w:r>
        <w:rPr>
          <w:rFonts w:hint="eastAsia" w:ascii="宋体" w:hAnsi="宋体"/>
          <w:color w:val="000000"/>
          <w:sz w:val="24"/>
        </w:rPr>
        <w:t>4.卖方如提供冒牌产品，一经确认，买方有权取消卖方供货资格，卖方按照合同总价的2倍向买方赔偿，并承担买方因此遭受的所有损失。同时追究卖方相关法律责任。</w:t>
      </w:r>
    </w:p>
    <w:p>
      <w:pPr>
        <w:pStyle w:val="38"/>
        <w:spacing w:line="360" w:lineRule="auto"/>
      </w:pPr>
    </w:p>
    <w:p>
      <w:pPr>
        <w:spacing w:line="360" w:lineRule="auto"/>
        <w:rPr>
          <w:b/>
          <w:bCs/>
          <w:color w:val="000000"/>
          <w:sz w:val="24"/>
        </w:rPr>
      </w:pPr>
      <w:r>
        <w:rPr>
          <w:rFonts w:hint="eastAsia"/>
          <w:b/>
          <w:bCs/>
          <w:color w:val="000000"/>
          <w:sz w:val="24"/>
        </w:rPr>
        <w:t>第八条   争议的解决</w:t>
      </w:r>
    </w:p>
    <w:p>
      <w:pPr>
        <w:pStyle w:val="15"/>
        <w:spacing w:line="360" w:lineRule="auto"/>
        <w:ind w:firstLine="240" w:firstLineChars="100"/>
        <w:rPr>
          <w:color w:val="000000"/>
          <w:sz w:val="24"/>
          <w:szCs w:val="32"/>
        </w:rPr>
      </w:pPr>
      <w:r>
        <w:rPr>
          <w:rFonts w:hint="eastAsia"/>
          <w:color w:val="000000"/>
          <w:sz w:val="24"/>
          <w:szCs w:val="32"/>
        </w:rPr>
        <w:t>凡因本合同产生或引发的任何争议，应由双方协商解决。若协商不成，任何一方均有权向买方所在地的有管辖权的人民法院提出诉讼。</w:t>
      </w:r>
    </w:p>
    <w:p>
      <w:pPr>
        <w:pStyle w:val="15"/>
        <w:spacing w:line="360" w:lineRule="auto"/>
        <w:ind w:left="479" w:leftChars="228" w:firstLine="0"/>
        <w:rPr>
          <w:color w:val="000000"/>
        </w:rPr>
      </w:pPr>
    </w:p>
    <w:p>
      <w:pPr>
        <w:spacing w:line="360" w:lineRule="auto"/>
        <w:rPr>
          <w:b/>
          <w:bCs/>
          <w:color w:val="000000"/>
          <w:sz w:val="24"/>
        </w:rPr>
      </w:pPr>
      <w:r>
        <w:rPr>
          <w:rFonts w:hint="eastAsia"/>
          <w:b/>
          <w:bCs/>
          <w:color w:val="000000"/>
          <w:sz w:val="24"/>
        </w:rPr>
        <w:t>第九条   附则</w:t>
      </w:r>
    </w:p>
    <w:p>
      <w:pPr>
        <w:numPr>
          <w:ilvl w:val="255"/>
          <w:numId w:val="0"/>
        </w:numPr>
        <w:spacing w:line="360" w:lineRule="auto"/>
        <w:ind w:firstLine="240" w:firstLineChars="100"/>
        <w:rPr>
          <w:rFonts w:ascii="宋体" w:hAnsi="宋体" w:cs="宋体"/>
          <w:color w:val="000000"/>
          <w:sz w:val="24"/>
        </w:rPr>
      </w:pPr>
      <w:r>
        <w:rPr>
          <w:rFonts w:hint="eastAsia" w:ascii="宋体" w:hAnsi="宋体" w:cs="宋体"/>
          <w:color w:val="000000"/>
          <w:sz w:val="24"/>
        </w:rPr>
        <w:t>1.本合同未尽事宜双方可另订补充协议，该补充协议与本合同具有同等法律效</w:t>
      </w:r>
    </w:p>
    <w:p>
      <w:pPr>
        <w:spacing w:line="360" w:lineRule="auto"/>
        <w:rPr>
          <w:rFonts w:ascii="宋体" w:hAnsi="宋体" w:cs="宋体"/>
          <w:color w:val="000000"/>
          <w:sz w:val="24"/>
        </w:rPr>
      </w:pPr>
      <w:r>
        <w:rPr>
          <w:rFonts w:hint="eastAsia" w:ascii="宋体" w:hAnsi="宋体" w:cs="宋体"/>
          <w:color w:val="000000"/>
          <w:sz w:val="24"/>
        </w:rPr>
        <w:t>力，是本合同不可分割的部分。</w:t>
      </w:r>
    </w:p>
    <w:p>
      <w:pPr>
        <w:spacing w:line="360" w:lineRule="auto"/>
        <w:ind w:firstLine="240" w:firstLineChars="100"/>
        <w:rPr>
          <w:color w:val="000000"/>
          <w:sz w:val="24"/>
        </w:rPr>
      </w:pPr>
      <w:r>
        <w:rPr>
          <w:rFonts w:hint="eastAsia" w:ascii="宋体" w:hAnsi="宋体" w:cs="宋体"/>
          <w:color w:val="000000"/>
          <w:sz w:val="24"/>
        </w:rPr>
        <w:t>2.本合同一式</w:t>
      </w:r>
      <w:r>
        <w:rPr>
          <w:rFonts w:hint="eastAsia" w:ascii="宋体" w:hAnsi="宋体" w:cs="宋体"/>
          <w:color w:val="000000"/>
          <w:sz w:val="24"/>
          <w:u w:val="single"/>
        </w:rPr>
        <w:t xml:space="preserve"> 3 </w:t>
      </w:r>
      <w:r>
        <w:rPr>
          <w:rFonts w:hint="eastAsia" w:ascii="宋体" w:hAnsi="宋体" w:cs="宋体"/>
          <w:color w:val="000000"/>
          <w:sz w:val="24"/>
        </w:rPr>
        <w:t>份,买方执</w:t>
      </w:r>
      <w:r>
        <w:rPr>
          <w:rFonts w:hint="eastAsia" w:ascii="宋体" w:hAnsi="宋体" w:cs="宋体"/>
          <w:color w:val="000000"/>
          <w:sz w:val="24"/>
          <w:u w:val="single"/>
        </w:rPr>
        <w:t xml:space="preserve"> 2</w:t>
      </w:r>
      <w:r>
        <w:rPr>
          <w:rFonts w:hint="eastAsia" w:ascii="宋体" w:hAnsi="宋体" w:cs="宋体"/>
          <w:color w:val="000000"/>
          <w:sz w:val="24"/>
        </w:rPr>
        <w:t xml:space="preserve">份，卖方执 </w:t>
      </w:r>
      <w:r>
        <w:rPr>
          <w:rFonts w:hint="eastAsia" w:ascii="宋体" w:hAnsi="宋体" w:cs="宋体"/>
          <w:color w:val="000000"/>
          <w:sz w:val="24"/>
          <w:u w:val="single"/>
        </w:rPr>
        <w:t xml:space="preserve"> 1 </w:t>
      </w:r>
      <w:r>
        <w:rPr>
          <w:rFonts w:hint="eastAsia" w:ascii="宋体" w:hAnsi="宋体" w:cs="宋体"/>
          <w:color w:val="000000"/>
          <w:sz w:val="24"/>
        </w:rPr>
        <w:t>份,经买卖双方授权代表签字盖章之时</w:t>
      </w:r>
      <w:r>
        <w:rPr>
          <w:rFonts w:hint="eastAsia"/>
          <w:color w:val="000000"/>
          <w:sz w:val="24"/>
        </w:rPr>
        <w:t>起生效。</w:t>
      </w:r>
    </w:p>
    <w:p>
      <w:pPr>
        <w:spacing w:line="360" w:lineRule="auto"/>
        <w:ind w:left="420"/>
        <w:rPr>
          <w:color w:val="000000"/>
          <w:sz w:val="24"/>
        </w:rPr>
      </w:pPr>
      <w:r>
        <w:rPr>
          <w:rFonts w:hint="eastAsia"/>
          <w:color w:val="000000"/>
          <w:sz w:val="24"/>
        </w:rPr>
        <w:t>（以下无正文，为《设备采购、安装合同》签署页）</w:t>
      </w:r>
    </w:p>
    <w:p>
      <w:pPr>
        <w:pStyle w:val="38"/>
        <w:spacing w:line="360" w:lineRule="auto"/>
      </w:pPr>
    </w:p>
    <w:p>
      <w:pPr>
        <w:spacing w:line="360" w:lineRule="auto"/>
        <w:ind w:left="840"/>
        <w:rPr>
          <w:color w:val="000000"/>
          <w:sz w:val="24"/>
        </w:rPr>
      </w:pPr>
      <w:r>
        <w:rPr>
          <w:rFonts w:hint="eastAsia"/>
          <w:color w:val="000000"/>
          <w:sz w:val="24"/>
        </w:rPr>
        <w:t>买方(盖章):                       卖方(盖章):</w:t>
      </w:r>
    </w:p>
    <w:p>
      <w:pPr>
        <w:spacing w:line="360" w:lineRule="auto"/>
        <w:ind w:left="840"/>
        <w:rPr>
          <w:color w:val="000000"/>
          <w:sz w:val="24"/>
        </w:rPr>
      </w:pPr>
    </w:p>
    <w:p>
      <w:pPr>
        <w:spacing w:line="360" w:lineRule="auto"/>
        <w:ind w:left="840"/>
        <w:rPr>
          <w:color w:val="000000"/>
          <w:sz w:val="24"/>
        </w:rPr>
      </w:pPr>
      <w:r>
        <w:rPr>
          <w:rFonts w:hint="eastAsia"/>
          <w:color w:val="000000"/>
          <w:sz w:val="24"/>
        </w:rPr>
        <w:t>授权代表(签名):                   授权代表(签名):</w:t>
      </w:r>
    </w:p>
    <w:p>
      <w:pPr>
        <w:pStyle w:val="38"/>
        <w:spacing w:line="360" w:lineRule="auto"/>
        <w:rPr>
          <w:color w:val="000000"/>
        </w:rPr>
      </w:pPr>
    </w:p>
    <w:p>
      <w:pPr>
        <w:pStyle w:val="38"/>
        <w:spacing w:line="360" w:lineRule="auto"/>
        <w:ind w:firstLine="1440" w:firstLineChars="600"/>
        <w:rPr>
          <w:color w:val="000000"/>
        </w:rPr>
      </w:pPr>
      <w:r>
        <w:rPr>
          <w:rFonts w:hint="eastAsia"/>
          <w:color w:val="000000"/>
        </w:rPr>
        <w:t>年   月   日                     年   月   日</w:t>
      </w:r>
    </w:p>
    <w:p>
      <w:pPr>
        <w:widowControl w:val="0"/>
        <w:adjustRightInd w:val="0"/>
        <w:snapToGrid w:val="0"/>
        <w:spacing w:line="360" w:lineRule="auto"/>
        <w:ind w:firstLine="480"/>
        <w:rPr>
          <w:rFonts w:ascii="宋体" w:hAnsi="宋体" w:cs="宋体"/>
          <w:sz w:val="24"/>
        </w:rPr>
      </w:pPr>
    </w:p>
    <w:p>
      <w:pPr>
        <w:widowControl w:val="0"/>
        <w:adjustRightInd w:val="0"/>
        <w:snapToGrid w:val="0"/>
        <w:spacing w:line="360" w:lineRule="auto"/>
        <w:ind w:firstLine="480"/>
        <w:rPr>
          <w:rFonts w:ascii="宋体" w:hAnsi="宋体"/>
          <w:sz w:val="24"/>
        </w:rPr>
      </w:pPr>
    </w:p>
    <w:p>
      <w:pPr>
        <w:widowControl w:val="0"/>
        <w:adjustRightInd w:val="0"/>
        <w:snapToGrid w:val="0"/>
        <w:spacing w:line="360" w:lineRule="auto"/>
        <w:ind w:firstLine="480"/>
        <w:jc w:val="both"/>
        <w:rPr>
          <w:rFonts w:ascii="宋体" w:hAnsi="宋体"/>
          <w:sz w:val="24"/>
        </w:rPr>
      </w:pPr>
    </w:p>
    <w:p>
      <w:pPr>
        <w:widowControl w:val="0"/>
        <w:adjustRightInd w:val="0"/>
        <w:snapToGrid w:val="0"/>
        <w:spacing w:line="360" w:lineRule="auto"/>
        <w:ind w:firstLine="480"/>
        <w:jc w:val="both"/>
        <w:rPr>
          <w:rFonts w:ascii="宋体" w:hAnsi="宋体"/>
          <w:sz w:val="24"/>
        </w:rPr>
      </w:pPr>
    </w:p>
    <w:p>
      <w:pPr>
        <w:widowControl w:val="0"/>
        <w:adjustRightInd w:val="0"/>
        <w:snapToGrid w:val="0"/>
        <w:spacing w:line="360" w:lineRule="auto"/>
        <w:ind w:firstLine="480"/>
        <w:jc w:val="both"/>
        <w:rPr>
          <w:rFonts w:ascii="宋体" w:hAnsi="宋体"/>
          <w:sz w:val="24"/>
        </w:rPr>
      </w:pPr>
    </w:p>
    <w:p>
      <w:pPr>
        <w:widowControl w:val="0"/>
        <w:snapToGrid w:val="0"/>
        <w:spacing w:line="360" w:lineRule="auto"/>
        <w:jc w:val="center"/>
        <w:rPr>
          <w:rFonts w:ascii="黑体" w:hAnsi="黑体" w:eastAsia="黑体"/>
          <w:color w:val="110F0F"/>
          <w:w w:val="110"/>
          <w:sz w:val="32"/>
          <w:szCs w:val="32"/>
        </w:rPr>
      </w:pPr>
    </w:p>
    <w:p>
      <w:pPr>
        <w:widowControl w:val="0"/>
        <w:snapToGrid w:val="0"/>
        <w:spacing w:line="360" w:lineRule="auto"/>
        <w:jc w:val="center"/>
        <w:rPr>
          <w:rFonts w:ascii="黑体" w:hAnsi="黑体" w:eastAsia="黑体"/>
          <w:color w:val="110F0F"/>
          <w:w w:val="110"/>
          <w:sz w:val="32"/>
          <w:szCs w:val="32"/>
        </w:rPr>
      </w:pPr>
    </w:p>
    <w:p>
      <w:pPr>
        <w:widowControl w:val="0"/>
        <w:snapToGrid w:val="0"/>
        <w:spacing w:line="360" w:lineRule="auto"/>
        <w:jc w:val="center"/>
        <w:rPr>
          <w:rFonts w:ascii="黑体" w:hAnsi="黑体" w:eastAsia="黑体"/>
          <w:color w:val="110F0F"/>
          <w:w w:val="110"/>
          <w:sz w:val="32"/>
          <w:szCs w:val="32"/>
        </w:rPr>
      </w:pPr>
    </w:p>
    <w:p>
      <w:pPr>
        <w:widowControl w:val="0"/>
        <w:snapToGrid w:val="0"/>
        <w:spacing w:line="360" w:lineRule="auto"/>
        <w:jc w:val="center"/>
        <w:rPr>
          <w:rFonts w:ascii="黑体" w:hAnsi="黑体" w:eastAsia="黑体"/>
          <w:color w:val="110F0F"/>
          <w:w w:val="110"/>
          <w:sz w:val="32"/>
          <w:szCs w:val="32"/>
        </w:rPr>
      </w:pPr>
    </w:p>
    <w:p>
      <w:pPr>
        <w:widowControl w:val="0"/>
        <w:snapToGrid w:val="0"/>
        <w:spacing w:line="360" w:lineRule="auto"/>
        <w:jc w:val="both"/>
        <w:rPr>
          <w:rFonts w:ascii="黑体" w:hAnsi="黑体" w:eastAsia="黑体"/>
          <w:color w:val="110F0F"/>
          <w:w w:val="110"/>
          <w:sz w:val="32"/>
          <w:szCs w:val="32"/>
        </w:rPr>
      </w:pPr>
    </w:p>
    <w:p>
      <w:pPr>
        <w:spacing w:after="120" w:afterLines="50" w:line="360" w:lineRule="auto"/>
        <w:rPr>
          <w:rFonts w:ascii="黑体" w:hAnsi="黑体" w:eastAsia="黑体"/>
          <w:color w:val="110F0F"/>
          <w:w w:val="110"/>
          <w:sz w:val="32"/>
          <w:szCs w:val="32"/>
        </w:rPr>
      </w:pPr>
      <w:r>
        <w:rPr>
          <w:rFonts w:hint="eastAsia" w:ascii="黑体" w:hAnsi="黑体" w:eastAsia="黑体"/>
          <w:color w:val="110F0F"/>
          <w:w w:val="110"/>
          <w:sz w:val="32"/>
          <w:szCs w:val="32"/>
        </w:rPr>
        <w:br w:type="page"/>
      </w:r>
    </w:p>
    <w:p>
      <w:pPr>
        <w:spacing w:after="120" w:afterLines="50" w:line="360" w:lineRule="auto"/>
        <w:jc w:val="center"/>
        <w:rPr>
          <w:rFonts w:ascii="黑体" w:hAnsi="黑体" w:eastAsia="黑体"/>
          <w:color w:val="110F0F"/>
          <w:w w:val="110"/>
          <w:sz w:val="32"/>
          <w:szCs w:val="32"/>
        </w:rPr>
      </w:pPr>
      <w:r>
        <w:rPr>
          <w:rFonts w:hint="eastAsia" w:ascii="黑体" w:hAnsi="黑体" w:eastAsia="黑体"/>
          <w:color w:val="110F0F"/>
          <w:w w:val="110"/>
          <w:sz w:val="32"/>
          <w:szCs w:val="32"/>
        </w:rPr>
        <w:t>附件一</w:t>
      </w:r>
    </w:p>
    <w:p>
      <w:pPr>
        <w:spacing w:after="120" w:afterLines="50" w:line="360" w:lineRule="auto"/>
        <w:rPr>
          <w:rFonts w:ascii="宋体" w:hAnsi="宋体" w:cs="宋体"/>
          <w:sz w:val="24"/>
        </w:rPr>
      </w:pPr>
      <w:r>
        <w:rPr>
          <w:rFonts w:hint="eastAsia" w:ascii="宋体" w:hAnsi="宋体" w:cs="宋体"/>
          <w:color w:val="000000" w:themeColor="text1"/>
          <w:sz w:val="24"/>
          <w14:textFill>
            <w14:solidFill>
              <w14:schemeClr w14:val="tx1"/>
            </w14:solidFill>
          </w14:textFill>
        </w:rPr>
        <w:t>技术规格、参数与要求：</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1202"/>
        <w:gridCol w:w="5163"/>
        <w:gridCol w:w="686"/>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val="0"/>
              <w:jc w:val="center"/>
              <w:rPr>
                <w:rFonts w:ascii="Calibri" w:hAnsi="Calibri"/>
                <w:b/>
                <w:kern w:val="0"/>
                <w:sz w:val="24"/>
              </w:rPr>
            </w:pPr>
            <w:r>
              <w:rPr>
                <w:rFonts w:hint="eastAsia" w:ascii="Calibri" w:hAnsi="Calibri"/>
                <w:b/>
                <w:kern w:val="0"/>
                <w:sz w:val="24"/>
              </w:rPr>
              <w:t>序号</w:t>
            </w:r>
          </w:p>
        </w:tc>
        <w:tc>
          <w:tcPr>
            <w:tcW w:w="1276" w:type="dxa"/>
            <w:vAlign w:val="center"/>
          </w:tcPr>
          <w:p>
            <w:pPr>
              <w:widowControl w:val="0"/>
              <w:jc w:val="center"/>
              <w:rPr>
                <w:rFonts w:ascii="Calibri" w:hAnsi="Calibri"/>
                <w:b/>
                <w:kern w:val="0"/>
                <w:sz w:val="24"/>
              </w:rPr>
            </w:pPr>
            <w:r>
              <w:rPr>
                <w:rFonts w:hint="eastAsia" w:ascii="Calibri" w:hAnsi="Calibri"/>
                <w:b/>
                <w:kern w:val="0"/>
                <w:sz w:val="24"/>
              </w:rPr>
              <w:t>产品类型</w:t>
            </w:r>
          </w:p>
        </w:tc>
        <w:tc>
          <w:tcPr>
            <w:tcW w:w="5386" w:type="dxa"/>
            <w:vAlign w:val="center"/>
          </w:tcPr>
          <w:p>
            <w:pPr>
              <w:widowControl w:val="0"/>
              <w:jc w:val="center"/>
              <w:rPr>
                <w:rFonts w:ascii="Calibri" w:hAnsi="Calibri"/>
                <w:b/>
                <w:kern w:val="0"/>
                <w:sz w:val="24"/>
              </w:rPr>
            </w:pPr>
            <w:r>
              <w:rPr>
                <w:rFonts w:hint="eastAsia" w:ascii="Calibri" w:hAnsi="Calibri"/>
                <w:b/>
                <w:kern w:val="0"/>
                <w:sz w:val="24"/>
              </w:rPr>
              <w:t>参数要求</w:t>
            </w:r>
          </w:p>
        </w:tc>
        <w:tc>
          <w:tcPr>
            <w:tcW w:w="709" w:type="dxa"/>
            <w:vAlign w:val="center"/>
          </w:tcPr>
          <w:p>
            <w:pPr>
              <w:widowControl w:val="0"/>
              <w:jc w:val="center"/>
              <w:rPr>
                <w:rFonts w:ascii="Calibri" w:hAnsi="Calibri"/>
                <w:b/>
                <w:kern w:val="0"/>
                <w:sz w:val="24"/>
              </w:rPr>
            </w:pPr>
            <w:r>
              <w:rPr>
                <w:rFonts w:hint="eastAsia" w:ascii="Calibri" w:hAnsi="Calibri"/>
                <w:b/>
                <w:kern w:val="0"/>
                <w:sz w:val="24"/>
              </w:rPr>
              <w:t>单位</w:t>
            </w:r>
          </w:p>
        </w:tc>
        <w:tc>
          <w:tcPr>
            <w:tcW w:w="709" w:type="dxa"/>
            <w:vAlign w:val="center"/>
          </w:tcPr>
          <w:p>
            <w:pPr>
              <w:widowControl w:val="0"/>
              <w:jc w:val="center"/>
              <w:rPr>
                <w:rFonts w:ascii="Calibri" w:hAnsi="Calibri"/>
                <w:b/>
                <w:kern w:val="0"/>
                <w:sz w:val="24"/>
              </w:rPr>
            </w:pPr>
            <w:r>
              <w:rPr>
                <w:rFonts w:hint="eastAsia" w:ascii="Calibri" w:hAnsi="Calibri"/>
                <w:b/>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val="0"/>
              <w:spacing w:line="240" w:lineRule="auto"/>
              <w:jc w:val="center"/>
              <w:rPr>
                <w:rFonts w:ascii="Calibri" w:hAnsi="Calibri"/>
                <w:kern w:val="0"/>
                <w:sz w:val="20"/>
                <w:szCs w:val="20"/>
              </w:rPr>
            </w:pPr>
            <w:r>
              <w:rPr>
                <w:rFonts w:ascii="Calibri" w:hAnsi="Calibri"/>
                <w:kern w:val="0"/>
                <w:sz w:val="20"/>
                <w:szCs w:val="20"/>
              </w:rPr>
              <w:t>1</w:t>
            </w:r>
          </w:p>
        </w:tc>
        <w:tc>
          <w:tcPr>
            <w:tcW w:w="1276" w:type="dxa"/>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监控</w:t>
            </w:r>
            <w:r>
              <w:rPr>
                <w:rFonts w:hint="eastAsia" w:ascii="宋体" w:hAnsi="宋体" w:cs="宋体"/>
                <w:color w:val="000000"/>
                <w:kern w:val="0"/>
                <w:sz w:val="20"/>
                <w:szCs w:val="20"/>
              </w:rPr>
              <w:t>出口防火墙</w:t>
            </w:r>
          </w:p>
        </w:tc>
        <w:tc>
          <w:tcPr>
            <w:tcW w:w="5386" w:type="dxa"/>
            <w:vAlign w:val="center"/>
          </w:tcPr>
          <w:p>
            <w:pPr>
              <w:widowControl w:val="0"/>
              <w:spacing w:line="240" w:lineRule="auto"/>
              <w:jc w:val="both"/>
              <w:rPr>
                <w:rFonts w:ascii="宋体" w:hAnsi="宋体" w:cs="宋体"/>
                <w:color w:val="000000"/>
                <w:kern w:val="0"/>
                <w:sz w:val="20"/>
                <w:szCs w:val="20"/>
              </w:rPr>
            </w:pPr>
            <w:r>
              <w:rPr>
                <w:rFonts w:hint="eastAsia" w:ascii="宋体" w:hAnsi="宋体" w:cs="宋体"/>
                <w:color w:val="000000"/>
                <w:kern w:val="0"/>
                <w:sz w:val="20"/>
                <w:szCs w:val="20"/>
              </w:rPr>
              <w:t>1、标准2U机箱，冗余电源；网络层吞吐量≥18G，并发连接≥500万，每秒新建连接数≥15万；</w:t>
            </w:r>
          </w:p>
          <w:p>
            <w:pPr>
              <w:widowControl w:val="0"/>
              <w:spacing w:line="240" w:lineRule="auto"/>
              <w:jc w:val="both"/>
              <w:rPr>
                <w:rFonts w:ascii="宋体" w:hAnsi="宋体" w:cs="宋体"/>
                <w:color w:val="000000"/>
                <w:kern w:val="0"/>
                <w:sz w:val="20"/>
                <w:szCs w:val="20"/>
              </w:rPr>
            </w:pPr>
            <w:r>
              <w:rPr>
                <w:rFonts w:hint="eastAsia" w:ascii="宋体" w:hAnsi="宋体" w:cs="宋体"/>
                <w:color w:val="000000"/>
                <w:kern w:val="0"/>
                <w:sz w:val="20"/>
                <w:szCs w:val="20"/>
              </w:rPr>
              <w:t>2、配置≥</w:t>
            </w:r>
            <w:r>
              <w:rPr>
                <w:rFonts w:hint="eastAsia" w:ascii="宋体" w:hAnsi="宋体" w:cs="宋体"/>
                <w:color w:val="000000"/>
                <w:kern w:val="0"/>
                <w:sz w:val="20"/>
                <w:szCs w:val="20"/>
                <w:lang w:val="en-US" w:eastAsia="zh-CN"/>
              </w:rPr>
              <w:t>8</w:t>
            </w:r>
            <w:r>
              <w:rPr>
                <w:rFonts w:hint="eastAsia" w:ascii="宋体" w:hAnsi="宋体" w:cs="宋体"/>
                <w:color w:val="000000"/>
                <w:kern w:val="0"/>
                <w:sz w:val="20"/>
                <w:szCs w:val="20"/>
              </w:rPr>
              <w:t>个10/100/1000M自适应电口，≥4个SFP千兆光口，≥4个SFP+万兆光口，支持2个扩展槽，1个Console口；</w:t>
            </w:r>
          </w:p>
          <w:p>
            <w:pPr>
              <w:widowControl w:val="0"/>
              <w:spacing w:line="240" w:lineRule="auto"/>
              <w:jc w:val="both"/>
              <w:rPr>
                <w:rFonts w:ascii="宋体" w:hAnsi="宋体"/>
                <w:sz w:val="20"/>
                <w:szCs w:val="20"/>
              </w:rPr>
            </w:pPr>
            <w:r>
              <w:rPr>
                <w:rFonts w:hint="eastAsia" w:ascii="宋体" w:hAnsi="宋体" w:cs="宋体"/>
                <w:color w:val="000000"/>
                <w:kern w:val="0"/>
                <w:sz w:val="20"/>
                <w:szCs w:val="20"/>
              </w:rPr>
              <w:t>3、</w:t>
            </w:r>
            <w:r>
              <w:rPr>
                <w:rFonts w:hint="eastAsia" w:ascii="宋体" w:hAnsi="宋体"/>
                <w:sz w:val="20"/>
                <w:szCs w:val="20"/>
              </w:rPr>
              <w:t>支持基于源安全域、目的安全域、源用户、源地址、源地区、目的地址、目的地区、服务、应用、隧道、时间、</w:t>
            </w:r>
            <w:r>
              <w:rPr>
                <w:rFonts w:ascii="宋体" w:hAnsi="宋体"/>
                <w:sz w:val="20"/>
                <w:szCs w:val="20"/>
              </w:rPr>
              <w:t>VLAN等多种方式</w:t>
            </w:r>
            <w:r>
              <w:rPr>
                <w:rFonts w:hint="eastAsia" w:ascii="宋体" w:hAnsi="宋体"/>
                <w:sz w:val="20"/>
                <w:szCs w:val="20"/>
              </w:rPr>
              <w:t>的</w:t>
            </w:r>
            <w:r>
              <w:rPr>
                <w:rFonts w:ascii="宋体" w:hAnsi="宋体"/>
                <w:sz w:val="20"/>
                <w:szCs w:val="20"/>
              </w:rPr>
              <w:t>访问控制，并支持地理区域对象的导入以及重复策略的检查</w:t>
            </w:r>
            <w:r>
              <w:rPr>
                <w:rFonts w:hint="eastAsia" w:ascii="宋体" w:hAnsi="宋体"/>
                <w:sz w:val="20"/>
                <w:szCs w:val="20"/>
              </w:rPr>
              <w:t>；</w:t>
            </w:r>
          </w:p>
          <w:p>
            <w:pPr>
              <w:widowControl w:val="0"/>
              <w:spacing w:line="240" w:lineRule="auto"/>
              <w:jc w:val="both"/>
              <w:rPr>
                <w:rFonts w:ascii="宋体" w:hAnsi="宋体"/>
                <w:sz w:val="20"/>
                <w:szCs w:val="20"/>
                <w:highlight w:val="none"/>
              </w:rPr>
            </w:pPr>
            <w:r>
              <w:rPr>
                <w:rFonts w:hint="eastAsia" w:ascii="宋体" w:hAnsi="宋体"/>
                <w:sz w:val="20"/>
                <w:szCs w:val="20"/>
              </w:rPr>
              <w:t>4、支持共享上网检测</w:t>
            </w:r>
            <w:r>
              <w:rPr>
                <w:rFonts w:hint="eastAsia" w:ascii="宋体" w:hAnsi="宋体"/>
                <w:sz w:val="20"/>
                <w:szCs w:val="20"/>
                <w:highlight w:val="none"/>
              </w:rPr>
              <w:t>功能，支持共享接入检测和共享接入管控功能，可以通过设置管控地址和例外地址优化管控功能，同时支持阻断或告警动作；</w:t>
            </w:r>
            <w:r>
              <w:rPr>
                <w:rFonts w:ascii="宋体" w:hAnsi="宋体"/>
                <w:sz w:val="20"/>
                <w:szCs w:val="20"/>
                <w:highlight w:val="none"/>
              </w:rPr>
              <w:t>（需提供相应截图证明并加盖原厂公章）</w:t>
            </w:r>
          </w:p>
          <w:p>
            <w:pPr>
              <w:widowControl w:val="0"/>
              <w:spacing w:line="240" w:lineRule="auto"/>
              <w:jc w:val="both"/>
              <w:rPr>
                <w:rFonts w:ascii="宋体" w:hAnsi="宋体"/>
                <w:sz w:val="20"/>
                <w:szCs w:val="20"/>
                <w:highlight w:val="none"/>
              </w:rPr>
            </w:pPr>
            <w:r>
              <w:rPr>
                <w:rFonts w:hint="eastAsia" w:ascii="宋体" w:hAnsi="宋体"/>
                <w:sz w:val="20"/>
                <w:szCs w:val="20"/>
                <w:highlight w:val="none"/>
              </w:rPr>
              <w:t>5</w:t>
            </w:r>
            <w:r>
              <w:rPr>
                <w:rFonts w:ascii="宋体" w:hAnsi="宋体"/>
                <w:sz w:val="20"/>
                <w:szCs w:val="20"/>
                <w:highlight w:val="none"/>
              </w:rPr>
              <w:t>、能够对HTTP/FTP/POP3/SMTP/IMAP/SMB六种协议进行病毒查杀、支持本地、云端病毒查杀，本地病毒特征库规模大于3000万；支持对最多6级的压缩文件进行解压查杀；</w:t>
            </w:r>
          </w:p>
          <w:p>
            <w:pPr>
              <w:widowControl w:val="0"/>
              <w:spacing w:line="240" w:lineRule="auto"/>
              <w:jc w:val="both"/>
              <w:rPr>
                <w:rFonts w:ascii="宋体" w:hAnsi="宋体"/>
                <w:color w:val="FF0000"/>
                <w:sz w:val="20"/>
                <w:szCs w:val="20"/>
                <w:highlight w:val="none"/>
              </w:rPr>
            </w:pPr>
            <w:r>
              <w:rPr>
                <w:rFonts w:hint="eastAsia" w:ascii="宋体" w:hAnsi="宋体"/>
                <w:sz w:val="20"/>
                <w:szCs w:val="20"/>
                <w:highlight w:val="none"/>
              </w:rPr>
              <w:t>6</w:t>
            </w:r>
            <w:r>
              <w:rPr>
                <w:rFonts w:ascii="宋体" w:hAnsi="宋体"/>
                <w:sz w:val="20"/>
                <w:szCs w:val="20"/>
                <w:highlight w:val="none"/>
              </w:rPr>
              <w:t>、支持漏洞防护功能，漏洞防护特征库分类至少包括缓冲区溢出、跨站脚本、拒绝服务、恶意扫描、SQL注入、WEB攻击等六种分类；漏洞防护支持日志、阻断、放行、重置等执行动作，可批量设置针对某一分类或全部攻击签名的执行动作；支持基于FTP、HTTP、IMAP、OTHER_APP、POP3、SMB、SMTP等应用协议的漏洞防护；</w:t>
            </w:r>
            <w:r>
              <w:rPr>
                <w:rFonts w:ascii="宋体" w:hAnsi="宋体"/>
                <w:color w:val="FF0000"/>
                <w:sz w:val="20"/>
                <w:szCs w:val="20"/>
                <w:highlight w:val="none"/>
              </w:rPr>
              <w:t xml:space="preserve"> </w:t>
            </w:r>
          </w:p>
          <w:p>
            <w:pPr>
              <w:widowControl w:val="0"/>
              <w:spacing w:line="240" w:lineRule="auto"/>
              <w:jc w:val="both"/>
              <w:rPr>
                <w:rFonts w:ascii="宋体" w:hAnsi="宋体"/>
                <w:sz w:val="20"/>
                <w:szCs w:val="20"/>
                <w:highlight w:val="none"/>
              </w:rPr>
            </w:pPr>
            <w:r>
              <w:rPr>
                <w:rFonts w:hint="eastAsia" w:ascii="宋体" w:hAnsi="宋体"/>
                <w:sz w:val="20"/>
                <w:szCs w:val="20"/>
                <w:highlight w:val="none"/>
              </w:rPr>
              <w:t>7</w:t>
            </w:r>
            <w:r>
              <w:rPr>
                <w:rFonts w:ascii="宋体" w:hAnsi="宋体"/>
                <w:sz w:val="20"/>
                <w:szCs w:val="20"/>
                <w:highlight w:val="none"/>
              </w:rPr>
              <w:t>、支持基于主机或威胁情报视图，统计网络中确认被入侵、攻破的主机数量，至少可查看被入侵、攻破的时间、威胁类别、情报来源、威胁简介、被入侵、攻破的主机IP、用户名、资产等信息；并对威胁情报发现的恶意主机执行自动阻断；（需提供相应截图证明并加盖原厂公章）</w:t>
            </w:r>
          </w:p>
          <w:p>
            <w:pPr>
              <w:widowControl w:val="0"/>
              <w:spacing w:line="240" w:lineRule="auto"/>
              <w:jc w:val="both"/>
              <w:rPr>
                <w:rFonts w:ascii="宋体" w:hAnsi="宋体"/>
                <w:sz w:val="20"/>
                <w:szCs w:val="20"/>
                <w:highlight w:val="none"/>
              </w:rPr>
            </w:pPr>
            <w:r>
              <w:rPr>
                <w:rFonts w:hint="eastAsia" w:ascii="宋体" w:hAnsi="宋体"/>
                <w:sz w:val="20"/>
                <w:szCs w:val="20"/>
                <w:highlight w:val="none"/>
              </w:rPr>
              <w:t>8、支持</w:t>
            </w:r>
            <w:r>
              <w:rPr>
                <w:rFonts w:ascii="宋体" w:hAnsi="宋体"/>
                <w:sz w:val="20"/>
                <w:szCs w:val="20"/>
                <w:highlight w:val="none"/>
              </w:rPr>
              <w:t>IPv4和IPv6流量的蜜罐引流策略，支持配置基于源安全域、目的安全域、源地址、目的地址、服务、VLAN的引流策略，并支持强制导流，能够通过设置服务器和端口进行引流</w:t>
            </w:r>
            <w:r>
              <w:rPr>
                <w:rFonts w:hint="eastAsia" w:ascii="宋体" w:hAnsi="宋体"/>
                <w:sz w:val="20"/>
                <w:szCs w:val="20"/>
                <w:highlight w:val="none"/>
              </w:rPr>
              <w:t>；</w:t>
            </w:r>
            <w:r>
              <w:rPr>
                <w:rFonts w:ascii="宋体" w:hAnsi="宋体"/>
                <w:sz w:val="20"/>
                <w:szCs w:val="20"/>
                <w:highlight w:val="none"/>
              </w:rPr>
              <w:t>（需提供相应截图证明并加盖原厂公章）</w:t>
            </w:r>
          </w:p>
          <w:p>
            <w:pPr>
              <w:widowControl w:val="0"/>
              <w:spacing w:line="240" w:lineRule="auto"/>
              <w:jc w:val="both"/>
              <w:rPr>
                <w:rFonts w:ascii="宋体" w:hAnsi="宋体"/>
                <w:sz w:val="20"/>
                <w:szCs w:val="20"/>
              </w:rPr>
            </w:pPr>
            <w:r>
              <w:rPr>
                <w:rFonts w:hint="eastAsia" w:ascii="宋体" w:hAnsi="宋体"/>
                <w:sz w:val="20"/>
                <w:szCs w:val="20"/>
                <w:highlight w:val="none"/>
              </w:rPr>
              <w:t>9</w:t>
            </w:r>
            <w:r>
              <w:rPr>
                <w:rFonts w:ascii="宋体" w:hAnsi="宋体"/>
                <w:sz w:val="20"/>
                <w:szCs w:val="20"/>
                <w:highlight w:val="none"/>
              </w:rPr>
              <w:t>、支持与云端联动，至少实现病毒云查杀、URL云识</w:t>
            </w:r>
            <w:r>
              <w:rPr>
                <w:rFonts w:ascii="宋体" w:hAnsi="宋体"/>
                <w:sz w:val="20"/>
                <w:szCs w:val="20"/>
              </w:rPr>
              <w:t>别、应用云识别、云沙箱、威胁情报云检测等功能；</w:t>
            </w:r>
          </w:p>
          <w:p>
            <w:pPr>
              <w:widowControl/>
              <w:spacing w:line="240" w:lineRule="auto"/>
              <w:jc w:val="left"/>
              <w:rPr>
                <w:rFonts w:ascii="宋体" w:hAnsi="宋体"/>
                <w:sz w:val="20"/>
                <w:szCs w:val="20"/>
              </w:rPr>
            </w:pPr>
            <w:r>
              <w:rPr>
                <w:rFonts w:hint="eastAsia" w:ascii="宋体" w:hAnsi="宋体"/>
                <w:sz w:val="20"/>
                <w:szCs w:val="20"/>
              </w:rPr>
              <w:t>1</w:t>
            </w:r>
            <w:r>
              <w:rPr>
                <w:rFonts w:ascii="宋体" w:hAnsi="宋体"/>
                <w:sz w:val="20"/>
                <w:szCs w:val="20"/>
              </w:rPr>
              <w:t>0</w:t>
            </w:r>
            <w:r>
              <w:rPr>
                <w:rFonts w:hint="eastAsia" w:ascii="宋体" w:hAnsi="宋体"/>
                <w:sz w:val="20"/>
                <w:szCs w:val="20"/>
              </w:rPr>
              <w:t>、</w:t>
            </w:r>
            <w:r>
              <w:rPr>
                <w:rFonts w:ascii="宋体" w:hAnsi="宋体"/>
                <w:sz w:val="20"/>
                <w:szCs w:val="20"/>
              </w:rPr>
              <w:t>含</w:t>
            </w:r>
            <w:r>
              <w:rPr>
                <w:rFonts w:hint="eastAsia" w:ascii="宋体" w:hAnsi="宋体"/>
                <w:sz w:val="20"/>
                <w:szCs w:val="20"/>
                <w:lang w:val="en-US" w:eastAsia="zh-CN"/>
              </w:rPr>
              <w:t>一</w:t>
            </w:r>
            <w:r>
              <w:rPr>
                <w:rFonts w:ascii="宋体" w:hAnsi="宋体"/>
                <w:sz w:val="20"/>
                <w:szCs w:val="20"/>
              </w:rPr>
              <w:t>年</w:t>
            </w:r>
            <w:r>
              <w:rPr>
                <w:rFonts w:hint="eastAsia" w:ascii="宋体" w:hAnsi="宋体"/>
                <w:sz w:val="20"/>
                <w:szCs w:val="20"/>
              </w:rPr>
              <w:t>硬件</w:t>
            </w:r>
            <w:r>
              <w:rPr>
                <w:rFonts w:ascii="宋体" w:hAnsi="宋体"/>
                <w:sz w:val="20"/>
                <w:szCs w:val="20"/>
              </w:rPr>
              <w:t>维保服务</w:t>
            </w:r>
            <w:r>
              <w:rPr>
                <w:rFonts w:hint="eastAsia" w:ascii="宋体" w:hAnsi="宋体"/>
                <w:sz w:val="20"/>
                <w:szCs w:val="20"/>
              </w:rPr>
              <w:t>，提供原厂售后服务承诺函。</w:t>
            </w:r>
          </w:p>
        </w:tc>
        <w:tc>
          <w:tcPr>
            <w:tcW w:w="709" w:type="dxa"/>
            <w:vAlign w:val="center"/>
          </w:tcPr>
          <w:p>
            <w:pPr>
              <w:widowControl w:val="0"/>
              <w:spacing w:line="240" w:lineRule="auto"/>
              <w:jc w:val="center"/>
              <w:rPr>
                <w:rFonts w:ascii="宋体" w:hAnsi="宋体"/>
                <w:bCs/>
                <w:kern w:val="0"/>
                <w:sz w:val="18"/>
                <w:szCs w:val="18"/>
              </w:rPr>
            </w:pPr>
            <w:r>
              <w:rPr>
                <w:rFonts w:hint="eastAsia" w:ascii="宋体" w:hAnsi="宋体"/>
                <w:bCs/>
                <w:kern w:val="0"/>
                <w:sz w:val="18"/>
                <w:szCs w:val="18"/>
              </w:rPr>
              <w:t>台</w:t>
            </w:r>
          </w:p>
        </w:tc>
        <w:tc>
          <w:tcPr>
            <w:tcW w:w="709" w:type="dxa"/>
            <w:vAlign w:val="center"/>
          </w:tcPr>
          <w:p>
            <w:pPr>
              <w:widowControl w:val="0"/>
              <w:spacing w:line="240" w:lineRule="auto"/>
              <w:jc w:val="center"/>
              <w:rPr>
                <w:rFonts w:ascii="宋体" w:hAnsi="宋体"/>
                <w:bCs/>
                <w:kern w:val="0"/>
                <w:sz w:val="18"/>
                <w:szCs w:val="18"/>
              </w:rPr>
            </w:pPr>
            <w:r>
              <w:rPr>
                <w:rFonts w:hint="eastAsia" w:ascii="宋体" w:hAnsi="宋体"/>
                <w:bCs/>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val="0"/>
              <w:spacing w:line="240" w:lineRule="auto"/>
              <w:jc w:val="center"/>
              <w:rPr>
                <w:rFonts w:ascii="Calibri" w:hAnsi="Calibri"/>
                <w:kern w:val="0"/>
                <w:sz w:val="20"/>
                <w:szCs w:val="20"/>
              </w:rPr>
            </w:pPr>
            <w:r>
              <w:rPr>
                <w:rFonts w:ascii="Calibri" w:hAnsi="Calibri"/>
                <w:kern w:val="0"/>
                <w:sz w:val="20"/>
                <w:szCs w:val="20"/>
              </w:rPr>
              <w:t>2</w:t>
            </w:r>
          </w:p>
        </w:tc>
        <w:tc>
          <w:tcPr>
            <w:tcW w:w="1276" w:type="dxa"/>
            <w:vAlign w:val="center"/>
          </w:tcPr>
          <w:p>
            <w:pPr>
              <w:widowControl w:val="0"/>
              <w:spacing w:line="240" w:lineRule="auto"/>
              <w:jc w:val="center"/>
              <w:rPr>
                <w:rFonts w:ascii="Calibri" w:hAnsi="Calibri"/>
                <w:kern w:val="0"/>
                <w:sz w:val="20"/>
                <w:szCs w:val="20"/>
              </w:rPr>
            </w:pPr>
            <w:r>
              <w:rPr>
                <w:rFonts w:hint="eastAsia" w:ascii="Calibri" w:hAnsi="Calibri"/>
                <w:kern w:val="0"/>
                <w:sz w:val="20"/>
                <w:szCs w:val="20"/>
              </w:rPr>
              <w:t>视频准入系统</w:t>
            </w:r>
          </w:p>
        </w:tc>
        <w:tc>
          <w:tcPr>
            <w:tcW w:w="5386" w:type="dxa"/>
            <w:vAlign w:val="center"/>
          </w:tcPr>
          <w:p>
            <w:pPr>
              <w:pStyle w:val="17"/>
              <w:ind w:firstLine="0"/>
              <w:rPr>
                <w:rFonts w:ascii="Calibri" w:hAnsi="Calibri"/>
                <w:kern w:val="0"/>
                <w:sz w:val="20"/>
              </w:rPr>
            </w:pPr>
            <w:r>
              <w:rPr>
                <w:rFonts w:hint="eastAsia" w:ascii="Calibri" w:hAnsi="Calibri"/>
                <w:kern w:val="0"/>
                <w:sz w:val="20"/>
              </w:rPr>
              <w:t>1、标准1U机箱，单电源；支持办公网、视频监控网、物联网等多种终端设备类型的混合网络场景，实现设备发现、网络边界管理、入网控制、合规评估等泛终端准入控制管理功能；</w:t>
            </w:r>
          </w:p>
          <w:p>
            <w:pPr>
              <w:pStyle w:val="17"/>
              <w:ind w:firstLine="0"/>
              <w:rPr>
                <w:rFonts w:ascii="Calibri" w:hAnsi="Calibri"/>
                <w:kern w:val="0"/>
                <w:sz w:val="20"/>
              </w:rPr>
            </w:pPr>
            <w:r>
              <w:rPr>
                <w:rFonts w:ascii="Calibri" w:hAnsi="Calibri"/>
                <w:kern w:val="0"/>
                <w:sz w:val="20"/>
              </w:rPr>
              <w:t>2</w:t>
            </w:r>
            <w:r>
              <w:rPr>
                <w:rFonts w:hint="eastAsia" w:ascii="Calibri" w:hAnsi="Calibri"/>
                <w:kern w:val="0"/>
                <w:sz w:val="20"/>
              </w:rPr>
              <w:t>、整机支持≥1500终端认证，≥1.5G网络流量处理能力；配置1个Console口，≥</w:t>
            </w:r>
            <w:r>
              <w:rPr>
                <w:rFonts w:hint="eastAsia" w:ascii="Calibri" w:hAnsi="Calibri"/>
                <w:kern w:val="0"/>
                <w:sz w:val="20"/>
                <w:lang w:val="en-US" w:eastAsia="zh-CN"/>
              </w:rPr>
              <w:t>4</w:t>
            </w:r>
            <w:r>
              <w:rPr>
                <w:rFonts w:hint="eastAsia" w:ascii="Calibri" w:hAnsi="Calibri"/>
                <w:kern w:val="0"/>
                <w:sz w:val="20"/>
              </w:rPr>
              <w:t>个千兆电口，≥4TB硬盘；</w:t>
            </w:r>
          </w:p>
          <w:p>
            <w:pPr>
              <w:pStyle w:val="17"/>
              <w:ind w:firstLine="0"/>
              <w:rPr>
                <w:rFonts w:ascii="Calibri" w:hAnsi="Calibri"/>
                <w:kern w:val="0"/>
                <w:sz w:val="20"/>
              </w:rPr>
            </w:pPr>
            <w:r>
              <w:rPr>
                <w:rFonts w:hint="eastAsia" w:ascii="Calibri" w:hAnsi="Calibri"/>
                <w:kern w:val="0"/>
                <w:sz w:val="20"/>
              </w:rPr>
              <w:t>3、通过快速扫描方法，实现对网络中视频设备及其他设备数量和类型的分类统计，能够识别包括摄像头、NVR、DVR、存储服务器及其他计算机、交换机、服务器、移动终端等设备类型；</w:t>
            </w:r>
          </w:p>
          <w:p>
            <w:pPr>
              <w:pStyle w:val="17"/>
              <w:ind w:firstLine="0"/>
              <w:rPr>
                <w:rFonts w:ascii="Calibri" w:hAnsi="Calibri"/>
                <w:kern w:val="0"/>
                <w:sz w:val="20"/>
              </w:rPr>
            </w:pPr>
            <w:r>
              <w:rPr>
                <w:rFonts w:hint="eastAsia" w:ascii="Calibri" w:hAnsi="Calibri"/>
                <w:kern w:val="0"/>
                <w:sz w:val="20"/>
              </w:rPr>
              <w:t>4、能够准确获取各类网络视频摄像机厂商及型号，覆盖海康威视、大华、宇视、科达、天地伟业、华为、安巡视、罗普特、索尼、菲力尔、英飞拓、云天励飞、英迪高、汉邦高科、乔安科技、易视云、华迈等市场主流视频设备厂商；</w:t>
            </w:r>
          </w:p>
          <w:p>
            <w:pPr>
              <w:pStyle w:val="17"/>
              <w:ind w:firstLine="0"/>
              <w:rPr>
                <w:rFonts w:ascii="Calibri" w:hAnsi="Calibri"/>
                <w:kern w:val="0"/>
                <w:sz w:val="20"/>
                <w:highlight w:val="none"/>
              </w:rPr>
            </w:pPr>
            <w:r>
              <w:rPr>
                <w:rFonts w:ascii="Calibri" w:hAnsi="Calibri"/>
                <w:kern w:val="0"/>
                <w:sz w:val="20"/>
              </w:rPr>
              <w:t>5</w:t>
            </w:r>
            <w:r>
              <w:rPr>
                <w:rFonts w:hint="eastAsia" w:ascii="Calibri" w:hAnsi="Calibri"/>
                <w:kern w:val="0"/>
                <w:sz w:val="20"/>
              </w:rPr>
              <w:t>、支持指纹库管理，对于未识别成功的终端，可通过人工录入指纹的方式</w:t>
            </w:r>
            <w:r>
              <w:rPr>
                <w:rFonts w:hint="eastAsia" w:ascii="Calibri" w:hAnsi="Calibri"/>
                <w:kern w:val="0"/>
                <w:sz w:val="20"/>
                <w:highlight w:val="none"/>
              </w:rPr>
              <w:t>修正终端信息扫描结果，支持指纹库的外部导入及备份，能够同时根据MAC规则、操作系统、厂商、开放端口、运行服务、主机名、型号来自定义识别规则；</w:t>
            </w:r>
          </w:p>
          <w:p>
            <w:pPr>
              <w:pStyle w:val="17"/>
              <w:ind w:firstLine="0"/>
              <w:rPr>
                <w:rFonts w:ascii="Calibri" w:hAnsi="Calibri"/>
                <w:kern w:val="0"/>
                <w:sz w:val="20"/>
                <w:highlight w:val="none"/>
              </w:rPr>
            </w:pPr>
            <w:r>
              <w:rPr>
                <w:rFonts w:hint="eastAsia" w:ascii="Calibri" w:hAnsi="Calibri"/>
                <w:kern w:val="0"/>
                <w:sz w:val="20"/>
                <w:highlight w:val="none"/>
              </w:rPr>
              <w:t>6、支持GB/T28181及GB35114标准的识别，可以筛选出支持GB/T28181及GB35114协议的视频设备并禁止不支持的终端入网；</w:t>
            </w:r>
          </w:p>
          <w:p>
            <w:pPr>
              <w:pStyle w:val="17"/>
              <w:ind w:firstLine="0"/>
              <w:rPr>
                <w:rFonts w:ascii="Calibri" w:hAnsi="Calibri"/>
                <w:kern w:val="0"/>
                <w:sz w:val="20"/>
                <w:highlight w:val="none"/>
              </w:rPr>
            </w:pPr>
            <w:r>
              <w:rPr>
                <w:rFonts w:hint="eastAsia" w:ascii="Calibri" w:hAnsi="Calibri"/>
                <w:kern w:val="0"/>
                <w:sz w:val="20"/>
                <w:highlight w:val="none"/>
              </w:rPr>
              <w:t>7、设备支持将收到的镜像流量做过滤并将镜像流量复制一份输出给其他流量监测类设备；</w:t>
            </w:r>
            <w:r>
              <w:rPr>
                <w:rFonts w:ascii="Calibri" w:hAnsi="Calibri"/>
                <w:kern w:val="0"/>
                <w:sz w:val="20"/>
                <w:highlight w:val="none"/>
              </w:rPr>
              <w:t>（需提供相应截图证明并加盖原厂公章）</w:t>
            </w:r>
          </w:p>
          <w:p>
            <w:pPr>
              <w:pStyle w:val="17"/>
              <w:ind w:firstLine="0"/>
              <w:rPr>
                <w:rFonts w:ascii="Calibri" w:hAnsi="Calibri"/>
                <w:kern w:val="0"/>
                <w:sz w:val="20"/>
                <w:highlight w:val="none"/>
              </w:rPr>
            </w:pPr>
            <w:r>
              <w:rPr>
                <w:rFonts w:hint="eastAsia" w:ascii="Calibri" w:hAnsi="Calibri"/>
                <w:kern w:val="0"/>
                <w:sz w:val="20"/>
                <w:highlight w:val="none"/>
              </w:rPr>
              <w:t>8、支持多种认证控制方式，支持802.1x、portal、DHCP、MAB MAC、策略路由、旁路镜像、WebAuth等方式，支持无线和有线环境下的接入控制，适应复杂网络环境下的接入控制；</w:t>
            </w:r>
          </w:p>
          <w:p>
            <w:pPr>
              <w:pStyle w:val="17"/>
              <w:ind w:firstLine="0"/>
              <w:rPr>
                <w:rFonts w:ascii="Calibri" w:hAnsi="Calibri"/>
                <w:kern w:val="0"/>
                <w:sz w:val="20"/>
                <w:highlight w:val="none"/>
              </w:rPr>
            </w:pPr>
            <w:r>
              <w:rPr>
                <w:rFonts w:hint="eastAsia" w:ascii="Calibri" w:hAnsi="Calibri"/>
                <w:kern w:val="0"/>
                <w:sz w:val="20"/>
                <w:highlight w:val="none"/>
              </w:rPr>
              <w:t>9、通过小路由、VPN等场景接入的经过NAT转换后的终端必须安装客户端并经过身份认证后方可接入网络；</w:t>
            </w:r>
            <w:r>
              <w:rPr>
                <w:rFonts w:ascii="Calibri" w:hAnsi="Calibri"/>
                <w:kern w:val="0"/>
                <w:sz w:val="20"/>
                <w:highlight w:val="none"/>
              </w:rPr>
              <w:t>（需提供相应截图证明并加盖原厂公章）</w:t>
            </w:r>
          </w:p>
          <w:p>
            <w:pPr>
              <w:pStyle w:val="17"/>
              <w:ind w:firstLine="0"/>
              <w:rPr>
                <w:rFonts w:ascii="Calibri" w:hAnsi="Calibri"/>
                <w:kern w:val="0"/>
                <w:sz w:val="20"/>
              </w:rPr>
            </w:pPr>
            <w:r>
              <w:rPr>
                <w:rFonts w:hint="eastAsia" w:ascii="Calibri" w:hAnsi="Calibri"/>
                <w:kern w:val="0"/>
                <w:sz w:val="20"/>
                <w:highlight w:val="none"/>
              </w:rPr>
              <w:t>1</w:t>
            </w:r>
            <w:r>
              <w:rPr>
                <w:rFonts w:ascii="Calibri" w:hAnsi="Calibri"/>
                <w:kern w:val="0"/>
                <w:sz w:val="20"/>
                <w:highlight w:val="none"/>
              </w:rPr>
              <w:t>0</w:t>
            </w:r>
            <w:r>
              <w:rPr>
                <w:rFonts w:hint="eastAsia" w:ascii="Calibri" w:hAnsi="Calibri"/>
                <w:kern w:val="0"/>
                <w:sz w:val="20"/>
                <w:highlight w:val="none"/>
              </w:rPr>
              <w:t>、能检查终端外在静态指纹特征，支持多种特征维度，支持DHCP动态IP下的设备仿冒检查，无论非法设备修改IP还是修改MAC进行仿冒替换，系统均能</w:t>
            </w:r>
            <w:r>
              <w:rPr>
                <w:rFonts w:hint="eastAsia" w:ascii="Calibri" w:hAnsi="Calibri"/>
                <w:kern w:val="0"/>
                <w:sz w:val="20"/>
              </w:rPr>
              <w:t>快速发现并及时阻断；</w:t>
            </w:r>
          </w:p>
          <w:p>
            <w:pPr>
              <w:pStyle w:val="17"/>
              <w:ind w:firstLine="0"/>
              <w:rPr>
                <w:rFonts w:ascii="Calibri" w:hAnsi="Calibri"/>
                <w:kern w:val="0"/>
                <w:sz w:val="20"/>
              </w:rPr>
            </w:pPr>
            <w:r>
              <w:rPr>
                <w:rFonts w:hint="eastAsia" w:ascii="Calibri" w:hAnsi="Calibri"/>
                <w:kern w:val="0"/>
                <w:sz w:val="20"/>
              </w:rPr>
              <w:t>1</w:t>
            </w:r>
            <w:r>
              <w:rPr>
                <w:rFonts w:ascii="Calibri" w:hAnsi="Calibri"/>
                <w:kern w:val="0"/>
                <w:sz w:val="20"/>
              </w:rPr>
              <w:t>1</w:t>
            </w:r>
            <w:r>
              <w:rPr>
                <w:rFonts w:hint="eastAsia" w:ascii="Calibri" w:hAnsi="Calibri"/>
                <w:kern w:val="0"/>
                <w:sz w:val="20"/>
              </w:rPr>
              <w:t>、具备多种逃生机制，一键认证放行、阈值检测逃生、第三方服务器异常自动放行，确保非正常情况下不影响用户网络的稳定运行；</w:t>
            </w:r>
          </w:p>
          <w:p>
            <w:pPr>
              <w:pStyle w:val="17"/>
              <w:ind w:firstLine="0"/>
              <w:rPr>
                <w:rFonts w:ascii="Calibri" w:hAnsi="Calibri"/>
                <w:kern w:val="0"/>
                <w:sz w:val="20"/>
              </w:rPr>
            </w:pPr>
            <w:r>
              <w:rPr>
                <w:rFonts w:hint="eastAsia" w:ascii="宋体" w:hAnsi="宋体"/>
                <w:sz w:val="20"/>
              </w:rPr>
              <w:t>1</w:t>
            </w:r>
            <w:r>
              <w:rPr>
                <w:rFonts w:ascii="宋体" w:hAnsi="宋体"/>
                <w:sz w:val="20"/>
              </w:rPr>
              <w:t>2</w:t>
            </w:r>
            <w:r>
              <w:rPr>
                <w:rFonts w:hint="eastAsia" w:ascii="宋体" w:hAnsi="宋体"/>
                <w:sz w:val="20"/>
              </w:rPr>
              <w:t>、本次配置</w:t>
            </w:r>
            <w:r>
              <w:rPr>
                <w:rFonts w:hint="eastAsia" w:ascii="Calibri" w:hAnsi="Calibri"/>
                <w:kern w:val="0"/>
                <w:sz w:val="20"/>
              </w:rPr>
              <w:t>≥</w:t>
            </w:r>
            <w:r>
              <w:rPr>
                <w:rFonts w:hint="eastAsia" w:ascii="Calibri" w:hAnsi="Calibri"/>
                <w:kern w:val="0"/>
                <w:sz w:val="20"/>
                <w:lang w:val="en-US" w:eastAsia="zh-CN"/>
              </w:rPr>
              <w:t>5</w:t>
            </w:r>
            <w:r>
              <w:rPr>
                <w:rFonts w:ascii="Calibri" w:hAnsi="Calibri"/>
                <w:kern w:val="0"/>
                <w:sz w:val="20"/>
              </w:rPr>
              <w:t>00</w:t>
            </w:r>
            <w:r>
              <w:rPr>
                <w:rFonts w:hint="eastAsia" w:ascii="Calibri" w:hAnsi="Calibri"/>
                <w:kern w:val="0"/>
                <w:sz w:val="20"/>
              </w:rPr>
              <w:t>终端授权许可；</w:t>
            </w:r>
            <w:r>
              <w:rPr>
                <w:rFonts w:ascii="宋体" w:hAnsi="宋体"/>
                <w:sz w:val="20"/>
              </w:rPr>
              <w:t>含</w:t>
            </w:r>
            <w:r>
              <w:rPr>
                <w:rFonts w:hint="eastAsia" w:ascii="宋体" w:hAnsi="宋体"/>
                <w:sz w:val="20"/>
                <w:lang w:val="en-US" w:eastAsia="zh-CN"/>
              </w:rPr>
              <w:t>一</w:t>
            </w:r>
            <w:r>
              <w:rPr>
                <w:rFonts w:hint="eastAsia" w:ascii="宋体" w:hAnsi="宋体"/>
                <w:sz w:val="20"/>
              </w:rPr>
              <w:t>年硬件</w:t>
            </w:r>
            <w:r>
              <w:rPr>
                <w:rFonts w:ascii="宋体" w:hAnsi="宋体"/>
                <w:sz w:val="20"/>
              </w:rPr>
              <w:t>维保服务</w:t>
            </w:r>
            <w:r>
              <w:rPr>
                <w:rFonts w:hint="eastAsia" w:ascii="宋体" w:hAnsi="宋体"/>
                <w:sz w:val="20"/>
              </w:rPr>
              <w:t>，提供原厂售后服务承诺函。</w:t>
            </w:r>
          </w:p>
        </w:tc>
        <w:tc>
          <w:tcPr>
            <w:tcW w:w="709" w:type="dxa"/>
            <w:vAlign w:val="center"/>
          </w:tcPr>
          <w:p>
            <w:pPr>
              <w:widowControl w:val="0"/>
              <w:spacing w:line="240" w:lineRule="auto"/>
              <w:jc w:val="center"/>
              <w:rPr>
                <w:rFonts w:ascii="Calibri" w:hAnsi="Calibri"/>
                <w:kern w:val="0"/>
                <w:sz w:val="20"/>
                <w:szCs w:val="20"/>
              </w:rPr>
            </w:pPr>
            <w:r>
              <w:rPr>
                <w:rFonts w:hint="eastAsia" w:ascii="Calibri" w:hAnsi="Calibri"/>
                <w:kern w:val="0"/>
                <w:sz w:val="20"/>
                <w:szCs w:val="20"/>
              </w:rPr>
              <w:t>台</w:t>
            </w:r>
          </w:p>
        </w:tc>
        <w:tc>
          <w:tcPr>
            <w:tcW w:w="709" w:type="dxa"/>
            <w:vAlign w:val="center"/>
          </w:tcPr>
          <w:p>
            <w:pPr>
              <w:widowControl w:val="0"/>
              <w:spacing w:line="240" w:lineRule="auto"/>
              <w:jc w:val="center"/>
              <w:rPr>
                <w:rFonts w:ascii="Calibri" w:hAnsi="Calibri"/>
                <w:kern w:val="0"/>
                <w:sz w:val="20"/>
                <w:szCs w:val="20"/>
              </w:rPr>
            </w:pPr>
            <w:r>
              <w:rPr>
                <w:rFonts w:hint="eastAsia" w:ascii="Calibri" w:hAnsi="Calibri"/>
                <w:kern w:val="0"/>
                <w:sz w:val="20"/>
                <w:szCs w:val="20"/>
              </w:rPr>
              <w:t>1</w:t>
            </w:r>
          </w:p>
        </w:tc>
      </w:tr>
    </w:tbl>
    <w:p>
      <w:pPr>
        <w:widowControl w:val="0"/>
        <w:snapToGrid w:val="0"/>
        <w:spacing w:line="360" w:lineRule="auto"/>
        <w:jc w:val="both"/>
        <w:rPr>
          <w:rFonts w:ascii="黑体" w:hAnsi="黑体" w:eastAsia="黑体"/>
          <w:color w:val="110F0F"/>
          <w:w w:val="110"/>
          <w:sz w:val="32"/>
          <w:szCs w:val="32"/>
        </w:rPr>
      </w:pPr>
    </w:p>
    <w:p>
      <w:pPr>
        <w:numPr>
          <w:ilvl w:val="255"/>
          <w:numId w:val="0"/>
        </w:numPr>
        <w:spacing w:line="240" w:lineRule="auto"/>
        <w:rPr>
          <w:rFonts w:ascii="黑体" w:hAnsi="黑体" w:eastAsia="黑体"/>
          <w:color w:val="110F0F"/>
          <w:w w:val="110"/>
          <w:sz w:val="32"/>
          <w:szCs w:val="32"/>
        </w:rPr>
      </w:pPr>
      <w:r>
        <w:rPr>
          <w:rFonts w:hint="eastAsia" w:ascii="黑体" w:hAnsi="黑体" w:eastAsia="黑体"/>
          <w:color w:val="110F0F"/>
          <w:w w:val="110"/>
          <w:sz w:val="32"/>
          <w:szCs w:val="32"/>
        </w:rPr>
        <w:br w:type="page"/>
      </w:r>
    </w:p>
    <w:p>
      <w:pPr>
        <w:numPr>
          <w:ilvl w:val="0"/>
          <w:numId w:val="3"/>
        </w:numPr>
        <w:spacing w:line="360" w:lineRule="auto"/>
        <w:jc w:val="center"/>
        <w:rPr>
          <w:rFonts w:ascii="微软雅黑" w:hAnsi="微软雅黑" w:eastAsia="微软雅黑" w:cs="微软雅黑"/>
          <w:color w:val="110F0F"/>
          <w:w w:val="110"/>
          <w:sz w:val="32"/>
          <w:szCs w:val="32"/>
        </w:rPr>
      </w:pPr>
      <w:r>
        <w:rPr>
          <w:rFonts w:hint="eastAsia" w:ascii="微软雅黑" w:hAnsi="微软雅黑" w:eastAsia="微软雅黑" w:cs="微软雅黑"/>
          <w:color w:val="110F0F"/>
          <w:w w:val="110"/>
          <w:sz w:val="32"/>
          <w:szCs w:val="32"/>
        </w:rPr>
        <w:t>安全协议</w:t>
      </w:r>
    </w:p>
    <w:p>
      <w:pPr>
        <w:numPr>
          <w:ilvl w:val="255"/>
          <w:numId w:val="0"/>
        </w:numPr>
        <w:spacing w:line="360" w:lineRule="auto"/>
        <w:jc w:val="both"/>
        <w:rPr>
          <w:rFonts w:ascii="黑体" w:hAnsi="黑体" w:eastAsia="黑体"/>
          <w:color w:val="110F0F"/>
          <w:w w:val="110"/>
          <w:sz w:val="10"/>
          <w:szCs w:val="10"/>
        </w:rPr>
      </w:pPr>
    </w:p>
    <w:p>
      <w:pPr>
        <w:widowControl w:val="0"/>
        <w:adjustRightInd w:val="0"/>
        <w:snapToGrid w:val="0"/>
        <w:spacing w:line="360" w:lineRule="auto"/>
        <w:ind w:firstLine="482"/>
        <w:jc w:val="both"/>
        <w:rPr>
          <w:rFonts w:ascii="宋体" w:hAnsi="宋体"/>
          <w:sz w:val="24"/>
        </w:rPr>
      </w:pPr>
      <w:r>
        <w:rPr>
          <w:rFonts w:hint="eastAsia" w:ascii="宋体" w:hAnsi="宋体"/>
          <w:sz w:val="24"/>
        </w:rPr>
        <w:t>为了切实做好安全生产工作，依据《中华人民共和国安全生产法》、《中华人民共和国合同法》以及国家有关安全生产管理的法律、法规、标准，按照“安全第一、预防为主、综合治理”的原则，明确甲乙双方责任，就甲乙双方在本项目中的安全生产事项，经协商一致，签订本协议。</w:t>
      </w:r>
    </w:p>
    <w:p>
      <w:pPr>
        <w:adjustRightInd w:val="0"/>
        <w:snapToGrid w:val="0"/>
        <w:spacing w:line="360" w:lineRule="auto"/>
        <w:rPr>
          <w:rFonts w:ascii="宋体" w:hAnsi="宋体"/>
          <w:color w:val="auto"/>
          <w:sz w:val="24"/>
          <w:highlight w:val="yellow"/>
        </w:rPr>
      </w:pPr>
      <w:r>
        <w:rPr>
          <w:rFonts w:hint="eastAsia" w:ascii="宋体" w:hAnsi="宋体"/>
          <w:sz w:val="24"/>
        </w:rPr>
        <w:t>第一条：项目名称：</w:t>
      </w:r>
      <w:r>
        <w:rPr>
          <w:rFonts w:hint="eastAsia" w:ascii="宋体" w:hAnsi="宋体" w:cs="宋体"/>
          <w:color w:val="000000"/>
          <w:sz w:val="24"/>
        </w:rPr>
        <w:t>岳阳</w:t>
      </w:r>
      <w:r>
        <w:rPr>
          <w:rFonts w:ascii="宋体" w:hAnsi="宋体" w:cs="宋体"/>
          <w:color w:val="000000"/>
          <w:sz w:val="24"/>
        </w:rPr>
        <w:t>城陵矶新港</w:t>
      </w:r>
      <w:r>
        <w:rPr>
          <w:rFonts w:hint="eastAsia" w:ascii="宋体" w:hAnsi="宋体" w:cs="宋体"/>
          <w:color w:val="000000"/>
          <w:sz w:val="24"/>
        </w:rPr>
        <w:t>有限公司监控出口防火墙及视频准入设备项目</w:t>
      </w:r>
    </w:p>
    <w:p>
      <w:pPr>
        <w:widowControl w:val="0"/>
        <w:adjustRightInd w:val="0"/>
        <w:snapToGrid w:val="0"/>
        <w:spacing w:line="360" w:lineRule="auto"/>
        <w:ind w:firstLine="482"/>
        <w:jc w:val="both"/>
        <w:rPr>
          <w:rFonts w:ascii="宋体" w:hAnsi="宋体"/>
          <w:sz w:val="24"/>
        </w:rPr>
      </w:pPr>
      <w:r>
        <w:rPr>
          <w:rFonts w:hint="eastAsia" w:ascii="宋体" w:hAnsi="宋体"/>
          <w:sz w:val="24"/>
        </w:rPr>
        <w:t>第二条：本协议内容只涉及甲乙双方在本项目中关于安全生产的权利和责任。</w:t>
      </w:r>
    </w:p>
    <w:p>
      <w:pPr>
        <w:widowControl w:val="0"/>
        <w:adjustRightInd w:val="0"/>
        <w:snapToGrid w:val="0"/>
        <w:spacing w:line="360" w:lineRule="auto"/>
        <w:ind w:firstLine="482"/>
        <w:jc w:val="both"/>
        <w:rPr>
          <w:rFonts w:ascii="宋体" w:hAnsi="宋体"/>
          <w:sz w:val="24"/>
        </w:rPr>
      </w:pPr>
      <w:r>
        <w:rPr>
          <w:rFonts w:hint="eastAsia" w:ascii="宋体" w:hAnsi="宋体"/>
          <w:sz w:val="24"/>
        </w:rPr>
        <w:t>第三条：甲方的权利：</w:t>
      </w:r>
    </w:p>
    <w:p>
      <w:pPr>
        <w:widowControl w:val="0"/>
        <w:adjustRightInd w:val="0"/>
        <w:snapToGrid w:val="0"/>
        <w:spacing w:line="360" w:lineRule="auto"/>
        <w:ind w:firstLine="482"/>
        <w:jc w:val="both"/>
        <w:rPr>
          <w:rFonts w:ascii="宋体" w:hAnsi="宋体"/>
          <w:sz w:val="24"/>
        </w:rPr>
      </w:pPr>
      <w:r>
        <w:rPr>
          <w:rFonts w:hint="eastAsia" w:ascii="宋体" w:hAnsi="宋体"/>
          <w:sz w:val="24"/>
        </w:rPr>
        <w:t>（一）有权要求乙方建立安全组织机构或指定专人负责作业现场安全监督检查。严格执行安全生产法律、法规、条例、标准，遵守甲方的安全生产规章制度等。</w:t>
      </w:r>
    </w:p>
    <w:p>
      <w:pPr>
        <w:widowControl w:val="0"/>
        <w:adjustRightInd w:val="0"/>
        <w:snapToGrid w:val="0"/>
        <w:spacing w:line="360" w:lineRule="auto"/>
        <w:ind w:firstLine="482"/>
        <w:jc w:val="both"/>
        <w:rPr>
          <w:rFonts w:ascii="宋体" w:hAnsi="宋体"/>
          <w:sz w:val="24"/>
        </w:rPr>
      </w:pPr>
      <w:r>
        <w:rPr>
          <w:rFonts w:hint="eastAsia" w:ascii="宋体" w:hAnsi="宋体"/>
          <w:sz w:val="24"/>
        </w:rPr>
        <w:t>（二）有权按规定对乙方安全业绩、资质进行审查，对乙方针对作业项目制定的职业健康安全、环境项目进行审查并备案。</w:t>
      </w:r>
    </w:p>
    <w:p>
      <w:pPr>
        <w:widowControl w:val="0"/>
        <w:adjustRightInd w:val="0"/>
        <w:snapToGrid w:val="0"/>
        <w:spacing w:line="360" w:lineRule="auto"/>
        <w:ind w:firstLine="482"/>
        <w:jc w:val="both"/>
        <w:rPr>
          <w:rFonts w:ascii="宋体" w:hAnsi="宋体"/>
          <w:sz w:val="24"/>
        </w:rPr>
      </w:pPr>
      <w:r>
        <w:rPr>
          <w:rFonts w:hint="eastAsia" w:ascii="宋体" w:hAnsi="宋体"/>
          <w:sz w:val="24"/>
        </w:rPr>
        <w:t>（三）有权要求乙方在项目施工过程中保护好施工区域内甲方的安全生产设施、设备和器材。</w:t>
      </w:r>
    </w:p>
    <w:p>
      <w:pPr>
        <w:widowControl w:val="0"/>
        <w:adjustRightInd w:val="0"/>
        <w:snapToGrid w:val="0"/>
        <w:spacing w:line="360" w:lineRule="auto"/>
        <w:ind w:firstLine="482"/>
        <w:jc w:val="both"/>
        <w:rPr>
          <w:rFonts w:ascii="宋体" w:hAnsi="宋体"/>
          <w:sz w:val="24"/>
        </w:rPr>
      </w:pPr>
      <w:r>
        <w:rPr>
          <w:rFonts w:hint="eastAsia" w:ascii="宋体" w:hAnsi="宋体"/>
          <w:sz w:val="24"/>
        </w:rPr>
        <w:t>（四）有权要求乙方在进入甲方现场作业前所有作业人员接受甲方的安全培训与教育。</w:t>
      </w:r>
    </w:p>
    <w:p>
      <w:pPr>
        <w:widowControl w:val="0"/>
        <w:adjustRightInd w:val="0"/>
        <w:snapToGrid w:val="0"/>
        <w:spacing w:line="360" w:lineRule="auto"/>
        <w:ind w:firstLine="482"/>
        <w:jc w:val="both"/>
        <w:rPr>
          <w:rFonts w:ascii="宋体" w:hAnsi="宋体"/>
          <w:sz w:val="24"/>
        </w:rPr>
      </w:pPr>
      <w:r>
        <w:rPr>
          <w:rFonts w:hint="eastAsia" w:ascii="宋体" w:hAnsi="宋体"/>
          <w:sz w:val="24"/>
        </w:rPr>
        <w:t>（五）有权对乙方的作业现场的安全作业情况进行监督检查，有权对乙方不符合安全生产要求的行为进行制止、纠正、处罚、停止作业、直至清退出场。</w:t>
      </w:r>
    </w:p>
    <w:p>
      <w:pPr>
        <w:widowControl w:val="0"/>
        <w:adjustRightInd w:val="0"/>
        <w:snapToGrid w:val="0"/>
        <w:spacing w:line="360" w:lineRule="auto"/>
        <w:ind w:firstLine="482"/>
        <w:jc w:val="both"/>
        <w:rPr>
          <w:rFonts w:ascii="宋体" w:hAnsi="宋体"/>
          <w:sz w:val="24"/>
        </w:rPr>
      </w:pPr>
      <w:r>
        <w:rPr>
          <w:rFonts w:hint="eastAsia" w:ascii="宋体" w:hAnsi="宋体"/>
          <w:sz w:val="24"/>
        </w:rPr>
        <w:t>（六）有权要求乙方所有作业人员必须交纳工伤保险和意外伤害保险。</w:t>
      </w:r>
    </w:p>
    <w:p>
      <w:pPr>
        <w:widowControl w:val="0"/>
        <w:adjustRightInd w:val="0"/>
        <w:snapToGrid w:val="0"/>
        <w:spacing w:line="360" w:lineRule="auto"/>
        <w:ind w:firstLine="482"/>
        <w:jc w:val="both"/>
        <w:rPr>
          <w:rFonts w:ascii="宋体" w:hAnsi="宋体"/>
          <w:sz w:val="24"/>
        </w:rPr>
      </w:pPr>
      <w:r>
        <w:rPr>
          <w:rFonts w:hint="eastAsia" w:ascii="宋体" w:hAnsi="宋体"/>
          <w:sz w:val="24"/>
        </w:rPr>
        <w:t>（七）乙方在作业中如发生国务院《生产安全事故报告和调查处理条例》所规定的伤亡事故，甲方有权督促乙方立即通知乙方上级主管部门和当地政府安全生产监督管理部门，要求派人保护现场，并有权要求乙方提供事故调查书面结论及处理意见。发生事故后、有权根据有关规定参与事故的调查。</w:t>
      </w:r>
    </w:p>
    <w:p>
      <w:pPr>
        <w:widowControl w:val="0"/>
        <w:adjustRightInd w:val="0"/>
        <w:snapToGrid w:val="0"/>
        <w:spacing w:line="360" w:lineRule="auto"/>
        <w:ind w:firstLine="482"/>
        <w:jc w:val="both"/>
        <w:rPr>
          <w:rFonts w:ascii="宋体" w:hAnsi="宋体"/>
          <w:sz w:val="24"/>
        </w:rPr>
      </w:pPr>
      <w:r>
        <w:rPr>
          <w:rFonts w:hint="eastAsia" w:ascii="宋体" w:hAnsi="宋体"/>
          <w:sz w:val="24"/>
        </w:rPr>
        <w:t>第四条　甲方的责任</w:t>
      </w:r>
    </w:p>
    <w:p>
      <w:pPr>
        <w:widowControl w:val="0"/>
        <w:adjustRightInd w:val="0"/>
        <w:snapToGrid w:val="0"/>
        <w:spacing w:line="360" w:lineRule="auto"/>
        <w:ind w:firstLine="482"/>
        <w:jc w:val="both"/>
        <w:rPr>
          <w:rFonts w:ascii="宋体" w:hAnsi="宋体"/>
          <w:sz w:val="24"/>
        </w:rPr>
      </w:pPr>
      <w:r>
        <w:rPr>
          <w:rFonts w:hint="eastAsia" w:ascii="宋体" w:hAnsi="宋体"/>
          <w:sz w:val="24"/>
        </w:rPr>
        <w:t>（一）认真贯彻落实国家有关法律、法规、标准及甲方公司安全生产规章制度。</w:t>
      </w:r>
    </w:p>
    <w:p>
      <w:pPr>
        <w:widowControl w:val="0"/>
        <w:adjustRightInd w:val="0"/>
        <w:snapToGrid w:val="0"/>
        <w:spacing w:line="360" w:lineRule="auto"/>
        <w:ind w:firstLine="482"/>
        <w:jc w:val="both"/>
        <w:rPr>
          <w:rFonts w:ascii="宋体" w:hAnsi="宋体"/>
          <w:sz w:val="24"/>
        </w:rPr>
      </w:pPr>
      <w:r>
        <w:rPr>
          <w:rFonts w:hint="eastAsia" w:ascii="宋体" w:hAnsi="宋体"/>
          <w:sz w:val="24"/>
        </w:rPr>
        <w:t>（二）向乙方明确作业区（甲方港内）的范围、危险源及安全技术交底，并要有书面记录。</w:t>
      </w:r>
    </w:p>
    <w:p>
      <w:pPr>
        <w:widowControl w:val="0"/>
        <w:adjustRightInd w:val="0"/>
        <w:snapToGrid w:val="0"/>
        <w:spacing w:line="360" w:lineRule="auto"/>
        <w:ind w:firstLine="482"/>
        <w:jc w:val="both"/>
        <w:rPr>
          <w:rFonts w:ascii="宋体" w:hAnsi="宋体"/>
          <w:sz w:val="24"/>
        </w:rPr>
      </w:pPr>
      <w:r>
        <w:rPr>
          <w:rFonts w:hint="eastAsia" w:ascii="宋体" w:hAnsi="宋体"/>
          <w:sz w:val="24"/>
        </w:rPr>
        <w:t>（三）在甲方港内为乙方提供项目合同中规定的安全作业条件。</w:t>
      </w:r>
    </w:p>
    <w:p>
      <w:pPr>
        <w:widowControl w:val="0"/>
        <w:adjustRightInd w:val="0"/>
        <w:snapToGrid w:val="0"/>
        <w:spacing w:line="360" w:lineRule="auto"/>
        <w:ind w:firstLine="482"/>
        <w:jc w:val="both"/>
        <w:rPr>
          <w:rFonts w:ascii="宋体" w:hAnsi="宋体"/>
          <w:sz w:val="24"/>
        </w:rPr>
      </w:pPr>
      <w:r>
        <w:rPr>
          <w:rFonts w:hint="eastAsia" w:ascii="宋体" w:hAnsi="宋体"/>
          <w:sz w:val="24"/>
        </w:rPr>
        <w:t>（四）在甲方港内发生事故时，积极协助抢险，防止事故扩大，并按照甲方公司有关规定进行报告。</w:t>
      </w:r>
    </w:p>
    <w:p>
      <w:pPr>
        <w:widowControl w:val="0"/>
        <w:adjustRightInd w:val="0"/>
        <w:snapToGrid w:val="0"/>
        <w:spacing w:line="360" w:lineRule="auto"/>
        <w:ind w:firstLine="482"/>
        <w:jc w:val="both"/>
        <w:rPr>
          <w:rFonts w:ascii="宋体" w:hAnsi="宋体"/>
          <w:sz w:val="24"/>
        </w:rPr>
      </w:pPr>
      <w:r>
        <w:rPr>
          <w:rFonts w:hint="eastAsia" w:ascii="宋体" w:hAnsi="宋体"/>
          <w:sz w:val="24"/>
        </w:rPr>
        <w:t>第五条　乙方的权利</w:t>
      </w:r>
    </w:p>
    <w:p>
      <w:pPr>
        <w:widowControl w:val="0"/>
        <w:adjustRightInd w:val="0"/>
        <w:snapToGrid w:val="0"/>
        <w:spacing w:line="360" w:lineRule="auto"/>
        <w:ind w:firstLine="482"/>
        <w:jc w:val="both"/>
        <w:rPr>
          <w:rFonts w:ascii="宋体" w:hAnsi="宋体"/>
          <w:sz w:val="24"/>
        </w:rPr>
      </w:pPr>
      <w:r>
        <w:rPr>
          <w:rFonts w:hint="eastAsia" w:ascii="宋体" w:hAnsi="宋体"/>
          <w:sz w:val="24"/>
        </w:rPr>
        <w:t>（一）有权对甲方的安全工作提出合理化建议和改进意见。</w:t>
      </w:r>
    </w:p>
    <w:p>
      <w:pPr>
        <w:widowControl w:val="0"/>
        <w:adjustRightInd w:val="0"/>
        <w:snapToGrid w:val="0"/>
        <w:spacing w:line="360" w:lineRule="auto"/>
        <w:ind w:firstLine="482"/>
        <w:jc w:val="both"/>
        <w:rPr>
          <w:rFonts w:ascii="宋体" w:hAnsi="宋体"/>
          <w:sz w:val="24"/>
        </w:rPr>
      </w:pPr>
      <w:r>
        <w:rPr>
          <w:rFonts w:hint="eastAsia" w:ascii="宋体" w:hAnsi="宋体"/>
          <w:sz w:val="24"/>
        </w:rPr>
        <w:t>（二）日常作业中，若甲方违章指挥、强令乙方冒险作业，有权拒绝执行。</w:t>
      </w:r>
    </w:p>
    <w:p>
      <w:pPr>
        <w:widowControl w:val="0"/>
        <w:adjustRightInd w:val="0"/>
        <w:snapToGrid w:val="0"/>
        <w:spacing w:line="360" w:lineRule="auto"/>
        <w:ind w:firstLine="482"/>
        <w:jc w:val="both"/>
        <w:rPr>
          <w:rFonts w:ascii="宋体" w:hAnsi="宋体"/>
          <w:sz w:val="24"/>
        </w:rPr>
      </w:pPr>
      <w:r>
        <w:rPr>
          <w:rFonts w:hint="eastAsia" w:ascii="宋体" w:hAnsi="宋体"/>
          <w:sz w:val="24"/>
        </w:rPr>
        <w:t>（三）有权要求在甲方港内提供符合安全作业的工艺条件和环境。</w:t>
      </w:r>
    </w:p>
    <w:p>
      <w:pPr>
        <w:widowControl w:val="0"/>
        <w:adjustRightInd w:val="0"/>
        <w:snapToGrid w:val="0"/>
        <w:spacing w:line="360" w:lineRule="auto"/>
        <w:ind w:firstLine="482"/>
        <w:jc w:val="both"/>
        <w:rPr>
          <w:rFonts w:ascii="宋体" w:hAnsi="宋体"/>
          <w:sz w:val="24"/>
        </w:rPr>
      </w:pPr>
      <w:r>
        <w:rPr>
          <w:rFonts w:hint="eastAsia" w:ascii="宋体" w:hAnsi="宋体"/>
          <w:sz w:val="24"/>
        </w:rPr>
        <w:t>（四）发生严重危及乙方生命安全的紧急情况时，乙方有权采取必要的避险措施。</w:t>
      </w:r>
    </w:p>
    <w:p>
      <w:pPr>
        <w:widowControl w:val="0"/>
        <w:adjustRightInd w:val="0"/>
        <w:snapToGrid w:val="0"/>
        <w:spacing w:line="360" w:lineRule="auto"/>
        <w:ind w:firstLine="482"/>
        <w:jc w:val="both"/>
        <w:rPr>
          <w:rFonts w:ascii="宋体" w:hAnsi="宋体"/>
          <w:sz w:val="24"/>
        </w:rPr>
      </w:pPr>
      <w:r>
        <w:rPr>
          <w:rFonts w:hint="eastAsia" w:ascii="宋体" w:hAnsi="宋体"/>
          <w:sz w:val="24"/>
        </w:rPr>
        <w:t>第六条　乙方的责任</w:t>
      </w:r>
    </w:p>
    <w:p>
      <w:pPr>
        <w:widowControl w:val="0"/>
        <w:adjustRightInd w:val="0"/>
        <w:snapToGrid w:val="0"/>
        <w:spacing w:line="360" w:lineRule="auto"/>
        <w:ind w:firstLine="482"/>
        <w:jc w:val="both"/>
        <w:rPr>
          <w:rFonts w:ascii="宋体" w:hAnsi="宋体"/>
          <w:sz w:val="24"/>
        </w:rPr>
      </w:pPr>
      <w:r>
        <w:rPr>
          <w:rFonts w:hint="eastAsia" w:ascii="宋体" w:hAnsi="宋体"/>
          <w:sz w:val="24"/>
        </w:rPr>
        <w:t>（一）乙方是本项目的安全生产责任主体，对本项目的安全生产工作全面负责。</w:t>
      </w:r>
    </w:p>
    <w:p>
      <w:pPr>
        <w:widowControl w:val="0"/>
        <w:adjustRightInd w:val="0"/>
        <w:snapToGrid w:val="0"/>
        <w:spacing w:line="360" w:lineRule="auto"/>
        <w:ind w:firstLine="482"/>
        <w:jc w:val="both"/>
        <w:rPr>
          <w:rFonts w:ascii="宋体" w:hAnsi="宋体"/>
          <w:sz w:val="24"/>
        </w:rPr>
      </w:pPr>
      <w:r>
        <w:rPr>
          <w:rFonts w:hint="eastAsia" w:ascii="宋体" w:hAnsi="宋体"/>
          <w:sz w:val="24"/>
        </w:rPr>
        <w:t>（二）健全安全组织机构，建立安全生产责任制，制定健全的安全生产规章制度，制定生产安全事故应急求援预案，配备必要的安全生产管理人员和劳动保护用品，严格执行甲方相关的规章制度。</w:t>
      </w:r>
    </w:p>
    <w:p>
      <w:pPr>
        <w:widowControl w:val="0"/>
        <w:adjustRightInd w:val="0"/>
        <w:snapToGrid w:val="0"/>
        <w:spacing w:line="360" w:lineRule="auto"/>
        <w:ind w:firstLine="482"/>
        <w:jc w:val="both"/>
        <w:rPr>
          <w:rFonts w:ascii="宋体" w:hAnsi="宋体"/>
          <w:sz w:val="24"/>
        </w:rPr>
      </w:pPr>
      <w:r>
        <w:rPr>
          <w:rFonts w:hint="eastAsia" w:ascii="宋体" w:hAnsi="宋体"/>
          <w:sz w:val="24"/>
        </w:rPr>
        <w:t>（三）应对作业人员进行作业前安全教育培训，使其具备相应的安全意识和安全技能；特种作业人员应具有相应的资格证书。</w:t>
      </w:r>
    </w:p>
    <w:p>
      <w:pPr>
        <w:widowControl w:val="0"/>
        <w:adjustRightInd w:val="0"/>
        <w:snapToGrid w:val="0"/>
        <w:spacing w:line="360" w:lineRule="auto"/>
        <w:ind w:firstLine="482"/>
        <w:jc w:val="both"/>
        <w:rPr>
          <w:rFonts w:ascii="宋体" w:hAnsi="宋体"/>
          <w:sz w:val="24"/>
        </w:rPr>
      </w:pPr>
      <w:r>
        <w:rPr>
          <w:rFonts w:hint="eastAsia" w:ascii="宋体" w:hAnsi="宋体"/>
          <w:sz w:val="24"/>
        </w:rPr>
        <w:t>（四）不得使用不符合国家、行业标准和甲方规定的原材料、设备、装置、防护用品、器材、安全检测仪器等。所使用的特种设备，必须经具有专业资质的检验检测机构检测。经检测不合格的，不得继续使用。</w:t>
      </w:r>
    </w:p>
    <w:p>
      <w:pPr>
        <w:widowControl w:val="0"/>
        <w:adjustRightInd w:val="0"/>
        <w:snapToGrid w:val="0"/>
        <w:spacing w:line="360" w:lineRule="auto"/>
        <w:ind w:firstLine="482"/>
        <w:jc w:val="both"/>
        <w:rPr>
          <w:rFonts w:ascii="宋体" w:hAnsi="宋体"/>
          <w:sz w:val="24"/>
        </w:rPr>
      </w:pPr>
      <w:r>
        <w:rPr>
          <w:rFonts w:hint="eastAsia" w:ascii="宋体" w:hAnsi="宋体"/>
          <w:sz w:val="24"/>
        </w:rPr>
        <w:t>（五）指定专人负责现场安全监督检查工作，认真开展安全检查，发现作业过程中人的不安全行为及事故安全隐患，应采取有效措施积极处理。</w:t>
      </w:r>
    </w:p>
    <w:p>
      <w:pPr>
        <w:widowControl w:val="0"/>
        <w:adjustRightInd w:val="0"/>
        <w:snapToGrid w:val="0"/>
        <w:spacing w:line="360" w:lineRule="auto"/>
        <w:ind w:firstLine="482"/>
        <w:jc w:val="both"/>
        <w:rPr>
          <w:rFonts w:ascii="宋体" w:hAnsi="宋体"/>
          <w:sz w:val="24"/>
        </w:rPr>
      </w:pPr>
      <w:r>
        <w:rPr>
          <w:rFonts w:hint="eastAsia" w:ascii="宋体" w:hAnsi="宋体"/>
          <w:sz w:val="24"/>
        </w:rPr>
        <w:t>（六）乙方有责任对作业区域的安全生产条件进行详细了解。</w:t>
      </w:r>
    </w:p>
    <w:p>
      <w:pPr>
        <w:widowControl w:val="0"/>
        <w:adjustRightInd w:val="0"/>
        <w:snapToGrid w:val="0"/>
        <w:spacing w:line="360" w:lineRule="auto"/>
        <w:ind w:firstLine="482"/>
        <w:jc w:val="both"/>
        <w:rPr>
          <w:rFonts w:ascii="宋体" w:hAnsi="宋体"/>
          <w:sz w:val="24"/>
        </w:rPr>
      </w:pPr>
      <w:r>
        <w:rPr>
          <w:rFonts w:hint="eastAsia" w:ascii="宋体" w:hAnsi="宋体"/>
          <w:sz w:val="24"/>
        </w:rPr>
        <w:t>（七）乙方在作业过程中有属于危及安全生产的关键作业时，应提出切实可行的方案，经甲方同意后，方可实施。</w:t>
      </w:r>
    </w:p>
    <w:p>
      <w:pPr>
        <w:widowControl w:val="0"/>
        <w:adjustRightInd w:val="0"/>
        <w:snapToGrid w:val="0"/>
        <w:spacing w:line="360" w:lineRule="auto"/>
        <w:ind w:firstLine="482"/>
        <w:jc w:val="both"/>
        <w:rPr>
          <w:rFonts w:ascii="宋体" w:hAnsi="宋体"/>
          <w:sz w:val="24"/>
        </w:rPr>
      </w:pPr>
      <w:r>
        <w:rPr>
          <w:rFonts w:hint="eastAsia" w:ascii="宋体" w:hAnsi="宋体"/>
          <w:sz w:val="24"/>
        </w:rPr>
        <w:t>（八）乙方不能将项目转包给第三方。</w:t>
      </w:r>
    </w:p>
    <w:p>
      <w:pPr>
        <w:widowControl w:val="0"/>
        <w:adjustRightInd w:val="0"/>
        <w:snapToGrid w:val="0"/>
        <w:spacing w:line="360" w:lineRule="auto"/>
        <w:ind w:firstLine="482"/>
        <w:jc w:val="both"/>
        <w:rPr>
          <w:rFonts w:ascii="宋体" w:hAnsi="宋体"/>
          <w:sz w:val="24"/>
        </w:rPr>
      </w:pPr>
      <w:r>
        <w:rPr>
          <w:rFonts w:hint="eastAsia" w:ascii="宋体" w:hAnsi="宋体"/>
          <w:sz w:val="24"/>
        </w:rPr>
        <w:t>（九）乙方在甲方港内作业期间只能在甲方规定的路线进出公司，只能在规定的区域内作业，禁止私自进入甲方其它生产区域。</w:t>
      </w:r>
    </w:p>
    <w:p>
      <w:pPr>
        <w:widowControl w:val="0"/>
        <w:adjustRightInd w:val="0"/>
        <w:snapToGrid w:val="0"/>
        <w:spacing w:line="360" w:lineRule="auto"/>
        <w:ind w:firstLine="482"/>
        <w:jc w:val="both"/>
        <w:rPr>
          <w:rFonts w:ascii="宋体" w:hAnsi="宋体"/>
          <w:sz w:val="24"/>
        </w:rPr>
      </w:pPr>
      <w:r>
        <w:rPr>
          <w:rFonts w:hint="eastAsia" w:ascii="宋体" w:hAnsi="宋体"/>
          <w:sz w:val="24"/>
        </w:rPr>
        <w:t>（十）乙方应服从甲方单位的安全管理。</w:t>
      </w:r>
    </w:p>
    <w:p>
      <w:pPr>
        <w:widowControl w:val="0"/>
        <w:adjustRightInd w:val="0"/>
        <w:snapToGrid w:val="0"/>
        <w:spacing w:line="360" w:lineRule="auto"/>
        <w:ind w:firstLine="482"/>
        <w:jc w:val="both"/>
        <w:rPr>
          <w:rFonts w:ascii="宋体" w:hAnsi="宋体"/>
          <w:sz w:val="24"/>
        </w:rPr>
      </w:pPr>
      <w:r>
        <w:rPr>
          <w:rFonts w:hint="eastAsia" w:ascii="宋体" w:hAnsi="宋体"/>
          <w:sz w:val="24"/>
        </w:rPr>
        <w:t>（十一）发生事故时，乙方应积极抢险，避免事故的进一步扩大，并按照国家相关要求报告事故。</w:t>
      </w:r>
    </w:p>
    <w:p>
      <w:pPr>
        <w:widowControl w:val="0"/>
        <w:adjustRightInd w:val="0"/>
        <w:snapToGrid w:val="0"/>
        <w:spacing w:line="360" w:lineRule="auto"/>
        <w:ind w:firstLine="482"/>
        <w:jc w:val="both"/>
        <w:rPr>
          <w:rFonts w:ascii="宋体" w:hAnsi="宋体"/>
          <w:sz w:val="24"/>
        </w:rPr>
      </w:pPr>
      <w:r>
        <w:rPr>
          <w:rFonts w:hint="eastAsia" w:ascii="宋体" w:hAnsi="宋体"/>
          <w:sz w:val="24"/>
        </w:rPr>
        <w:t>（十二）当乙方在甲方港内作业过程中发生安全责任事故时，乙方作为项目的承包单位，对发生的人身伤害、设备损坏等事故承担相应安全责任。由乙方向自己的主管上级部门及当地政府的安全生产监督管理部门、公安部门报告，并自行承担相应的责任。</w:t>
      </w:r>
    </w:p>
    <w:p>
      <w:pPr>
        <w:widowControl w:val="0"/>
        <w:adjustRightInd w:val="0"/>
        <w:snapToGrid w:val="0"/>
        <w:spacing w:line="360" w:lineRule="auto"/>
        <w:ind w:firstLine="482"/>
        <w:jc w:val="both"/>
        <w:rPr>
          <w:rFonts w:ascii="宋体" w:hAnsi="宋体"/>
          <w:sz w:val="24"/>
        </w:rPr>
      </w:pPr>
      <w:r>
        <w:rPr>
          <w:rFonts w:hint="eastAsia" w:ascii="宋体" w:hAnsi="宋体"/>
          <w:sz w:val="24"/>
        </w:rPr>
        <w:t>第七条</w:t>
      </w:r>
      <w:r>
        <w:rPr>
          <w:rFonts w:ascii="宋体" w:hAnsi="宋体"/>
          <w:sz w:val="24"/>
        </w:rPr>
        <w:t xml:space="preserve">  </w:t>
      </w:r>
      <w:r>
        <w:rPr>
          <w:rFonts w:hint="eastAsia" w:ascii="宋体" w:hAnsi="宋体"/>
          <w:sz w:val="24"/>
        </w:rPr>
        <w:t>违约责任及处理</w:t>
      </w:r>
    </w:p>
    <w:p>
      <w:pPr>
        <w:widowControl w:val="0"/>
        <w:adjustRightInd w:val="0"/>
        <w:snapToGrid w:val="0"/>
        <w:spacing w:line="360" w:lineRule="auto"/>
        <w:ind w:firstLine="482"/>
        <w:jc w:val="both"/>
        <w:rPr>
          <w:rFonts w:ascii="宋体" w:hAnsi="宋体"/>
          <w:sz w:val="24"/>
        </w:rPr>
      </w:pPr>
      <w:r>
        <w:rPr>
          <w:rFonts w:hint="eastAsia" w:ascii="宋体" w:hAnsi="宋体"/>
          <w:sz w:val="24"/>
        </w:rPr>
        <w:t>（一）甲乙双方违反本合同要求，未造成事故时，依据相关合同对违约者进行处理（包括但不限于支付违约金、赔偿损失等）。</w:t>
      </w:r>
    </w:p>
    <w:p>
      <w:pPr>
        <w:widowControl w:val="0"/>
        <w:adjustRightInd w:val="0"/>
        <w:snapToGrid w:val="0"/>
        <w:spacing w:line="360" w:lineRule="auto"/>
        <w:ind w:firstLine="482"/>
        <w:jc w:val="both"/>
        <w:rPr>
          <w:rFonts w:ascii="宋体" w:hAnsi="宋体"/>
          <w:sz w:val="24"/>
        </w:rPr>
      </w:pPr>
      <w:r>
        <w:rPr>
          <w:rFonts w:hint="eastAsia" w:ascii="宋体" w:hAnsi="宋体"/>
          <w:sz w:val="24"/>
        </w:rPr>
        <w:t>（二）在甲方港内发生事故时，甲、乙双方有抢险、救灾的责任，所发生的费用由责任方承担。</w:t>
      </w:r>
    </w:p>
    <w:p>
      <w:pPr>
        <w:widowControl w:val="0"/>
        <w:adjustRightInd w:val="0"/>
        <w:snapToGrid w:val="0"/>
        <w:spacing w:line="360" w:lineRule="auto"/>
        <w:ind w:firstLine="482"/>
        <w:jc w:val="both"/>
        <w:rPr>
          <w:rFonts w:ascii="宋体" w:hAnsi="宋体"/>
          <w:sz w:val="24"/>
        </w:rPr>
      </w:pPr>
      <w:r>
        <w:rPr>
          <w:rFonts w:hint="eastAsia" w:ascii="宋体" w:hAnsi="宋体"/>
          <w:sz w:val="24"/>
        </w:rPr>
        <w:t>（三）发生的事故，应经事故调查确认责任；事故报告和调查应按照国家和甲方有关规定进行。</w:t>
      </w:r>
      <w:r>
        <w:rPr>
          <w:rFonts w:ascii="宋体" w:hAnsi="宋体"/>
          <w:sz w:val="24"/>
        </w:rPr>
        <w:t xml:space="preserve">           </w:t>
      </w:r>
    </w:p>
    <w:p>
      <w:pPr>
        <w:widowControl w:val="0"/>
        <w:adjustRightInd w:val="0"/>
        <w:snapToGrid w:val="0"/>
        <w:spacing w:line="360" w:lineRule="auto"/>
        <w:ind w:firstLine="482"/>
        <w:jc w:val="both"/>
        <w:rPr>
          <w:rFonts w:ascii="宋体" w:hAnsi="宋体"/>
          <w:sz w:val="24"/>
        </w:rPr>
      </w:pPr>
      <w:r>
        <w:rPr>
          <w:rFonts w:hint="eastAsia" w:ascii="宋体" w:hAnsi="宋体"/>
          <w:sz w:val="24"/>
        </w:rPr>
        <w:t>（四）甲方违约造成的事故，甲方承担全部责任，并按规定追究有关人员责任及上报。</w:t>
      </w:r>
    </w:p>
    <w:p>
      <w:pPr>
        <w:widowControl w:val="0"/>
        <w:adjustRightInd w:val="0"/>
        <w:snapToGrid w:val="0"/>
        <w:spacing w:line="360" w:lineRule="auto"/>
        <w:ind w:firstLine="482"/>
        <w:jc w:val="both"/>
        <w:rPr>
          <w:rFonts w:ascii="宋体" w:hAnsi="宋体"/>
          <w:sz w:val="24"/>
        </w:rPr>
      </w:pPr>
      <w:r>
        <w:rPr>
          <w:rFonts w:hint="eastAsia" w:ascii="宋体" w:hAnsi="宋体"/>
          <w:sz w:val="24"/>
        </w:rPr>
        <w:t>（五）乙方违约造成的事故，乙方承担全部责任，并按规定追究有关人员责任并报告甲方。</w:t>
      </w:r>
    </w:p>
    <w:p>
      <w:pPr>
        <w:widowControl w:val="0"/>
        <w:adjustRightInd w:val="0"/>
        <w:snapToGrid w:val="0"/>
        <w:spacing w:line="360" w:lineRule="auto"/>
        <w:ind w:firstLine="482"/>
        <w:jc w:val="both"/>
        <w:rPr>
          <w:rFonts w:ascii="宋体" w:hAnsi="宋体"/>
          <w:sz w:val="24"/>
        </w:rPr>
      </w:pPr>
      <w:r>
        <w:rPr>
          <w:rFonts w:hint="eastAsia" w:ascii="宋体" w:hAnsi="宋体"/>
          <w:sz w:val="24"/>
        </w:rPr>
        <w:t>（六）甲、乙双方共同造成的事故，按双方责任大小承担相应责任，并按规定追究有关人员责任。</w:t>
      </w:r>
    </w:p>
    <w:p>
      <w:pPr>
        <w:widowControl w:val="0"/>
        <w:adjustRightInd w:val="0"/>
        <w:snapToGrid w:val="0"/>
        <w:spacing w:line="360" w:lineRule="auto"/>
        <w:ind w:firstLine="482"/>
        <w:jc w:val="both"/>
        <w:rPr>
          <w:rFonts w:ascii="宋体" w:hAnsi="宋体"/>
          <w:sz w:val="24"/>
        </w:rPr>
      </w:pPr>
      <w:r>
        <w:rPr>
          <w:rFonts w:hint="eastAsia" w:ascii="宋体" w:hAnsi="宋体"/>
          <w:sz w:val="24"/>
        </w:rPr>
        <w:t>（七）对乙方发生事故后弄虚作假、隐瞒不报、迟报或谎报，一经查出，按有关规定从重处罚，情节严重的，甲方有权向当地政府安全生产监督管理部门报告，并取消其进入甲方市场资格。</w:t>
      </w:r>
    </w:p>
    <w:p>
      <w:pPr>
        <w:widowControl w:val="0"/>
        <w:adjustRightInd w:val="0"/>
        <w:snapToGrid w:val="0"/>
        <w:spacing w:line="360" w:lineRule="auto"/>
        <w:ind w:firstLine="482"/>
        <w:jc w:val="both"/>
        <w:rPr>
          <w:rFonts w:ascii="宋体" w:hAnsi="宋体"/>
          <w:sz w:val="24"/>
        </w:rPr>
      </w:pPr>
      <w:r>
        <w:rPr>
          <w:rFonts w:hint="eastAsia" w:ascii="宋体" w:hAnsi="宋体"/>
          <w:sz w:val="24"/>
        </w:rPr>
        <w:t>（八）作业期间，需要办理的有关安全的批文或其它手续，乙方必须办理齐全，否则发生安全事故由乙方承担全部责任。</w:t>
      </w:r>
    </w:p>
    <w:p>
      <w:pPr>
        <w:widowControl w:val="0"/>
        <w:adjustRightInd w:val="0"/>
        <w:snapToGrid w:val="0"/>
        <w:spacing w:line="360" w:lineRule="auto"/>
        <w:ind w:firstLine="482"/>
        <w:jc w:val="both"/>
        <w:rPr>
          <w:rFonts w:ascii="宋体" w:hAnsi="宋体"/>
          <w:sz w:val="24"/>
        </w:rPr>
      </w:pPr>
      <w:r>
        <w:rPr>
          <w:rFonts w:hint="eastAsia" w:ascii="宋体" w:hAnsi="宋体"/>
          <w:sz w:val="24"/>
        </w:rPr>
        <w:t>第八条　由于不可抗力造成合同项目作业事故及生产的损失，当事人双方各自承担相应的损失。</w:t>
      </w:r>
    </w:p>
    <w:p>
      <w:pPr>
        <w:widowControl w:val="0"/>
        <w:adjustRightInd w:val="0"/>
        <w:snapToGrid w:val="0"/>
        <w:spacing w:line="360" w:lineRule="auto"/>
        <w:ind w:firstLine="482"/>
        <w:jc w:val="both"/>
        <w:rPr>
          <w:rFonts w:ascii="宋体" w:hAnsi="宋体"/>
          <w:sz w:val="24"/>
        </w:rPr>
      </w:pPr>
      <w:r>
        <w:rPr>
          <w:rFonts w:hint="eastAsia" w:ascii="宋体" w:hAnsi="宋体"/>
          <w:sz w:val="24"/>
        </w:rPr>
        <w:t>第九条　甲乙双方的作业人员和机具设备的保险，由甲乙双方依据国家相关规定或约定各自承担。</w:t>
      </w:r>
    </w:p>
    <w:p>
      <w:pPr>
        <w:widowControl w:val="0"/>
        <w:adjustRightInd w:val="0"/>
        <w:snapToGrid w:val="0"/>
        <w:spacing w:line="360" w:lineRule="auto"/>
        <w:ind w:firstLine="482"/>
        <w:jc w:val="both"/>
        <w:rPr>
          <w:rFonts w:ascii="宋体" w:hAnsi="宋体"/>
          <w:sz w:val="24"/>
        </w:rPr>
      </w:pPr>
      <w:r>
        <w:rPr>
          <w:rFonts w:hint="eastAsia" w:ascii="宋体" w:hAnsi="宋体"/>
          <w:sz w:val="24"/>
        </w:rPr>
        <w:t>第十条</w:t>
      </w:r>
      <w:r>
        <w:rPr>
          <w:rFonts w:ascii="宋体" w:hAnsi="宋体"/>
          <w:sz w:val="24"/>
        </w:rPr>
        <w:t xml:space="preserve">  本协议履行过程中发生争议纠纷，应通过友好协商方式解决，如协商不成，按双方在项目经济合同中约定的管辖地和纠纷解决的方式执行。</w:t>
      </w:r>
    </w:p>
    <w:p>
      <w:pPr>
        <w:widowControl w:val="0"/>
        <w:adjustRightInd w:val="0"/>
        <w:snapToGrid w:val="0"/>
        <w:spacing w:line="360" w:lineRule="auto"/>
        <w:ind w:firstLine="482"/>
        <w:jc w:val="both"/>
        <w:rPr>
          <w:rFonts w:ascii="宋体" w:hAnsi="宋体"/>
          <w:sz w:val="24"/>
        </w:rPr>
      </w:pPr>
      <w:r>
        <w:rPr>
          <w:rFonts w:hint="eastAsia" w:ascii="宋体" w:hAnsi="宋体"/>
          <w:sz w:val="24"/>
        </w:rPr>
        <w:t>第十一条　本协议是项目经济合同的附件，与项目经济合同具有同等法律效力。本协议与项目经济合同同时生效、终止。</w:t>
      </w:r>
    </w:p>
    <w:p>
      <w:pPr>
        <w:widowControl w:val="0"/>
        <w:adjustRightInd w:val="0"/>
        <w:snapToGrid w:val="0"/>
        <w:spacing w:line="360" w:lineRule="auto"/>
        <w:ind w:firstLine="482"/>
        <w:jc w:val="both"/>
        <w:rPr>
          <w:rFonts w:ascii="宋体" w:hAnsi="宋体"/>
          <w:sz w:val="24"/>
        </w:rPr>
      </w:pPr>
      <w:r>
        <w:rPr>
          <w:rFonts w:hint="eastAsia" w:ascii="宋体" w:hAnsi="宋体"/>
          <w:sz w:val="24"/>
        </w:rPr>
        <w:t>第十二条</w:t>
      </w:r>
      <w:r>
        <w:rPr>
          <w:rFonts w:ascii="宋体" w:hAnsi="宋体"/>
          <w:sz w:val="24"/>
        </w:rPr>
        <w:t xml:space="preserve">  乙方人员进场前安全教育培训人员</w:t>
      </w:r>
      <w:r>
        <w:rPr>
          <w:rFonts w:ascii="宋体" w:hAnsi="宋体"/>
          <w:sz w:val="24"/>
          <w:u w:val="single"/>
        </w:rPr>
        <w:t>　　　</w:t>
      </w:r>
      <w:r>
        <w:rPr>
          <w:rFonts w:ascii="宋体" w:hAnsi="宋体"/>
          <w:sz w:val="24"/>
        </w:rPr>
        <w:t>；乙方作业期间指定现场安全监护人员</w:t>
      </w:r>
      <w:r>
        <w:rPr>
          <w:rFonts w:ascii="宋体" w:hAnsi="宋体"/>
          <w:sz w:val="24"/>
          <w:u w:val="single"/>
        </w:rPr>
        <w:t>　　　　　</w:t>
      </w:r>
      <w:r>
        <w:rPr>
          <w:rFonts w:hint="eastAsia" w:ascii="宋体" w:hAnsi="宋体"/>
          <w:sz w:val="24"/>
        </w:rPr>
        <w:t>。</w:t>
      </w:r>
    </w:p>
    <w:p>
      <w:pPr>
        <w:widowControl w:val="0"/>
        <w:adjustRightInd w:val="0"/>
        <w:snapToGrid w:val="0"/>
        <w:spacing w:line="360" w:lineRule="auto"/>
        <w:ind w:firstLine="482"/>
        <w:jc w:val="both"/>
        <w:rPr>
          <w:rFonts w:ascii="宋体" w:hAnsi="宋体"/>
          <w:sz w:val="24"/>
        </w:rPr>
      </w:pPr>
    </w:p>
    <w:p>
      <w:pPr>
        <w:widowControl w:val="0"/>
        <w:adjustRightInd w:val="0"/>
        <w:snapToGrid w:val="0"/>
        <w:spacing w:line="360" w:lineRule="auto"/>
        <w:ind w:firstLine="482"/>
        <w:jc w:val="both"/>
        <w:rPr>
          <w:rFonts w:ascii="宋体" w:hAnsi="宋体"/>
          <w:sz w:val="24"/>
        </w:rPr>
      </w:pPr>
    </w:p>
    <w:p>
      <w:pPr>
        <w:spacing w:line="360" w:lineRule="auto"/>
        <w:rPr>
          <w:rFonts w:ascii="黑体" w:hAnsi="黑体" w:eastAsia="黑体"/>
          <w:color w:val="110F0F"/>
          <w:w w:val="110"/>
          <w:sz w:val="32"/>
          <w:szCs w:val="32"/>
        </w:rPr>
      </w:pPr>
    </w:p>
    <w:p>
      <w:pPr>
        <w:numPr>
          <w:ilvl w:val="255"/>
          <w:numId w:val="0"/>
        </w:numPr>
        <w:spacing w:line="240" w:lineRule="auto"/>
        <w:rPr>
          <w:rFonts w:ascii="黑体" w:hAnsi="黑体" w:eastAsia="黑体"/>
          <w:color w:val="110F0F"/>
          <w:w w:val="110"/>
          <w:sz w:val="32"/>
          <w:szCs w:val="32"/>
        </w:rPr>
      </w:pPr>
      <w:r>
        <w:rPr>
          <w:rFonts w:hint="eastAsia" w:ascii="黑体" w:hAnsi="黑体" w:eastAsia="黑体"/>
          <w:color w:val="110F0F"/>
          <w:w w:val="110"/>
          <w:sz w:val="32"/>
          <w:szCs w:val="32"/>
        </w:rPr>
        <w:br w:type="page"/>
      </w:r>
    </w:p>
    <w:p>
      <w:pPr>
        <w:widowControl w:val="0"/>
        <w:numPr>
          <w:ilvl w:val="255"/>
          <w:numId w:val="0"/>
        </w:numPr>
        <w:snapToGrid w:val="0"/>
        <w:spacing w:line="360" w:lineRule="auto"/>
        <w:jc w:val="center"/>
        <w:outlineLvl w:val="2"/>
        <w:rPr>
          <w:rFonts w:ascii="微软雅黑" w:hAnsi="微软雅黑" w:eastAsia="微软雅黑" w:cs="微软雅黑"/>
          <w:color w:val="110F0F"/>
          <w:w w:val="110"/>
          <w:sz w:val="32"/>
          <w:szCs w:val="32"/>
        </w:rPr>
      </w:pPr>
      <w:r>
        <w:rPr>
          <w:rFonts w:hint="eastAsia" w:ascii="微软雅黑" w:hAnsi="微软雅黑" w:eastAsia="微软雅黑" w:cs="微软雅黑"/>
          <w:color w:val="110F0F"/>
          <w:w w:val="110"/>
          <w:sz w:val="32"/>
          <w:szCs w:val="32"/>
        </w:rPr>
        <w:t>第三部分 廉政协议</w:t>
      </w:r>
    </w:p>
    <w:p>
      <w:pPr>
        <w:widowControl w:val="0"/>
        <w:numPr>
          <w:ilvl w:val="255"/>
          <w:numId w:val="0"/>
        </w:numPr>
        <w:snapToGrid w:val="0"/>
        <w:spacing w:line="360" w:lineRule="auto"/>
        <w:rPr>
          <w:rFonts w:ascii="黑体" w:hAnsi="黑体" w:eastAsia="黑体"/>
          <w:color w:val="110F0F"/>
          <w:w w:val="110"/>
          <w:sz w:val="4"/>
          <w:szCs w:val="4"/>
        </w:rPr>
      </w:pPr>
    </w:p>
    <w:p>
      <w:pPr>
        <w:widowControl w:val="0"/>
        <w:adjustRightInd w:val="0"/>
        <w:snapToGrid w:val="0"/>
        <w:spacing w:line="360" w:lineRule="auto"/>
        <w:ind w:firstLine="482"/>
        <w:jc w:val="both"/>
        <w:rPr>
          <w:rFonts w:ascii="宋体" w:hAnsi="宋体"/>
          <w:sz w:val="24"/>
        </w:rPr>
      </w:pPr>
      <w:r>
        <w:rPr>
          <w:rFonts w:hint="eastAsia" w:ascii="宋体" w:hAnsi="宋体"/>
          <w:sz w:val="24"/>
        </w:rPr>
        <w:t>根据交通运输部《关于在交通基础设施建设中加强廉政建设的若干意见》以及有关工程建设、廉政建设的规定，为做好工程建设中的党风廉政建设，保证工程建设高效优质、建设资金的安全和投资效益，以及双方合作的公平和公正，预防发包人利益受到双方经济合同之外各种不正当行为的损害，甲、乙双方经过共同协商，签订本廉政协议，以资共同遵守。</w:t>
      </w:r>
    </w:p>
    <w:p>
      <w:pPr>
        <w:widowControl w:val="0"/>
        <w:adjustRightInd w:val="0"/>
        <w:snapToGrid w:val="0"/>
        <w:spacing w:line="360" w:lineRule="auto"/>
        <w:ind w:firstLine="482"/>
        <w:jc w:val="both"/>
        <w:rPr>
          <w:rFonts w:ascii="宋体" w:hAnsi="宋体"/>
          <w:sz w:val="24"/>
        </w:rPr>
      </w:pPr>
      <w:bookmarkStart w:id="38" w:name="_Toc21390"/>
      <w:bookmarkStart w:id="39" w:name="_Toc30686"/>
      <w:bookmarkStart w:id="40" w:name="_Toc282076315"/>
      <w:r>
        <w:rPr>
          <w:rFonts w:hint="eastAsia" w:ascii="宋体" w:hAnsi="宋体"/>
          <w:sz w:val="24"/>
        </w:rPr>
        <w:t>第一条</w:t>
      </w:r>
      <w:r>
        <w:rPr>
          <w:rFonts w:ascii="宋体" w:hAnsi="宋体"/>
          <w:sz w:val="24"/>
        </w:rPr>
        <w:t xml:space="preserve">  </w:t>
      </w:r>
      <w:r>
        <w:rPr>
          <w:rFonts w:hint="eastAsia" w:ascii="宋体" w:hAnsi="宋体"/>
          <w:sz w:val="24"/>
        </w:rPr>
        <w:t>甲乙双方的责任</w:t>
      </w:r>
      <w:bookmarkEnd w:id="38"/>
      <w:bookmarkEnd w:id="39"/>
      <w:bookmarkEnd w:id="40"/>
    </w:p>
    <w:p>
      <w:pPr>
        <w:widowControl w:val="0"/>
        <w:adjustRightInd w:val="0"/>
        <w:snapToGrid w:val="0"/>
        <w:spacing w:line="360" w:lineRule="auto"/>
        <w:ind w:firstLine="482"/>
        <w:jc w:val="both"/>
        <w:rPr>
          <w:rFonts w:ascii="宋体" w:hAnsi="宋体"/>
          <w:sz w:val="24"/>
        </w:rPr>
      </w:pPr>
      <w:r>
        <w:rPr>
          <w:rFonts w:hint="eastAsia" w:ascii="宋体" w:hAnsi="宋体"/>
          <w:sz w:val="24"/>
        </w:rPr>
        <w:t>（一）应严格遵守国家关于市场准入、项目招标投标、工程建设和市场活动等有关法律、法规，相关政策，以及廉政建设的各项规定。</w:t>
      </w:r>
    </w:p>
    <w:p>
      <w:pPr>
        <w:widowControl w:val="0"/>
        <w:adjustRightInd w:val="0"/>
        <w:snapToGrid w:val="0"/>
        <w:spacing w:line="360" w:lineRule="auto"/>
        <w:ind w:firstLine="482"/>
        <w:jc w:val="both"/>
        <w:rPr>
          <w:rFonts w:ascii="宋体" w:hAnsi="宋体"/>
          <w:sz w:val="24"/>
        </w:rPr>
      </w:pPr>
      <w:r>
        <w:rPr>
          <w:rFonts w:hint="eastAsia" w:ascii="宋体" w:hAnsi="宋体"/>
          <w:sz w:val="24"/>
        </w:rPr>
        <w:t>（二）严格执行建设工程项目相关合同文件，自觉按合同办事。</w:t>
      </w:r>
    </w:p>
    <w:p>
      <w:pPr>
        <w:widowControl w:val="0"/>
        <w:adjustRightInd w:val="0"/>
        <w:snapToGrid w:val="0"/>
        <w:spacing w:line="360" w:lineRule="auto"/>
        <w:ind w:firstLine="482"/>
        <w:jc w:val="both"/>
        <w:rPr>
          <w:rFonts w:ascii="宋体" w:hAnsi="宋体"/>
          <w:sz w:val="24"/>
        </w:rPr>
      </w:pPr>
      <w:r>
        <w:rPr>
          <w:rFonts w:hint="eastAsia" w:ascii="宋体" w:hAnsi="宋体"/>
          <w:sz w:val="24"/>
        </w:rPr>
        <w:t>（三）业务活动必须坚持公开、公平、公正、诚信、透明的原则，不得为获取不正当的利益，损害国家、集体和对方利益。</w:t>
      </w:r>
    </w:p>
    <w:p>
      <w:pPr>
        <w:widowControl w:val="0"/>
        <w:adjustRightInd w:val="0"/>
        <w:snapToGrid w:val="0"/>
        <w:spacing w:line="360" w:lineRule="auto"/>
        <w:ind w:firstLine="482"/>
        <w:jc w:val="both"/>
        <w:rPr>
          <w:rFonts w:ascii="宋体" w:hAnsi="宋体"/>
          <w:sz w:val="24"/>
        </w:rPr>
      </w:pPr>
      <w:r>
        <w:rPr>
          <w:rFonts w:hint="eastAsia" w:ascii="宋体" w:hAnsi="宋体"/>
          <w:sz w:val="24"/>
        </w:rPr>
        <w:t>（四）发现对方在业务活动中有违规、违纪、违法行为的，应及时提醒对方，情节严重的，应向其上级主管部门或纪检监察部门进行举报。</w:t>
      </w:r>
    </w:p>
    <w:p>
      <w:pPr>
        <w:widowControl w:val="0"/>
        <w:adjustRightInd w:val="0"/>
        <w:snapToGrid w:val="0"/>
        <w:spacing w:line="360" w:lineRule="auto"/>
        <w:ind w:firstLine="482"/>
        <w:jc w:val="both"/>
        <w:rPr>
          <w:rFonts w:ascii="宋体" w:hAnsi="宋体"/>
          <w:sz w:val="24"/>
        </w:rPr>
      </w:pPr>
      <w:bookmarkStart w:id="41" w:name="_Toc25742"/>
      <w:bookmarkStart w:id="42" w:name="_Toc22406"/>
      <w:bookmarkStart w:id="43" w:name="_Toc282076316"/>
      <w:r>
        <w:rPr>
          <w:rFonts w:hint="eastAsia" w:ascii="宋体" w:hAnsi="宋体"/>
          <w:sz w:val="24"/>
        </w:rPr>
        <w:t>第二条</w:t>
      </w:r>
      <w:r>
        <w:rPr>
          <w:rFonts w:ascii="宋体" w:hAnsi="宋体"/>
          <w:sz w:val="24"/>
        </w:rPr>
        <w:t xml:space="preserve">  </w:t>
      </w:r>
      <w:r>
        <w:rPr>
          <w:rFonts w:hint="eastAsia" w:ascii="宋体" w:hAnsi="宋体"/>
          <w:sz w:val="24"/>
        </w:rPr>
        <w:t>发包人的责任</w:t>
      </w:r>
      <w:bookmarkEnd w:id="41"/>
      <w:bookmarkEnd w:id="42"/>
      <w:bookmarkEnd w:id="43"/>
    </w:p>
    <w:p>
      <w:pPr>
        <w:widowControl w:val="0"/>
        <w:adjustRightInd w:val="0"/>
        <w:snapToGrid w:val="0"/>
        <w:spacing w:line="360" w:lineRule="auto"/>
        <w:ind w:firstLine="482"/>
        <w:jc w:val="both"/>
        <w:rPr>
          <w:rFonts w:ascii="宋体" w:hAnsi="宋体"/>
          <w:sz w:val="24"/>
        </w:rPr>
      </w:pPr>
      <w:r>
        <w:rPr>
          <w:rFonts w:hint="eastAsia" w:ascii="宋体" w:hAnsi="宋体"/>
          <w:sz w:val="24"/>
        </w:rPr>
        <w:t>发包人工作人员，在工程建设的事前、事中、事后应遵守以下规定：</w:t>
      </w:r>
    </w:p>
    <w:p>
      <w:pPr>
        <w:widowControl w:val="0"/>
        <w:adjustRightInd w:val="0"/>
        <w:snapToGrid w:val="0"/>
        <w:spacing w:line="360" w:lineRule="auto"/>
        <w:ind w:firstLine="482"/>
        <w:jc w:val="both"/>
        <w:rPr>
          <w:rFonts w:ascii="宋体" w:hAnsi="宋体"/>
          <w:sz w:val="24"/>
        </w:rPr>
      </w:pPr>
      <w:r>
        <w:rPr>
          <w:rFonts w:hint="eastAsia" w:ascii="宋体" w:hAnsi="宋体"/>
          <w:sz w:val="24"/>
        </w:rPr>
        <w:t>（一）不得向承包人索要或接受回扣、礼金、有价证券、贵重物品和好处费、感谢费等。</w:t>
      </w:r>
    </w:p>
    <w:p>
      <w:pPr>
        <w:widowControl w:val="0"/>
        <w:adjustRightInd w:val="0"/>
        <w:snapToGrid w:val="0"/>
        <w:spacing w:line="360" w:lineRule="auto"/>
        <w:ind w:firstLine="482"/>
        <w:jc w:val="both"/>
        <w:rPr>
          <w:rFonts w:ascii="宋体" w:hAnsi="宋体"/>
          <w:sz w:val="24"/>
        </w:rPr>
      </w:pPr>
      <w:r>
        <w:rPr>
          <w:rFonts w:hint="eastAsia" w:ascii="宋体" w:hAnsi="宋体"/>
          <w:sz w:val="24"/>
        </w:rPr>
        <w:t>（二）不得在承包人报销任何应由个人支付的费用。</w:t>
      </w:r>
    </w:p>
    <w:p>
      <w:pPr>
        <w:widowControl w:val="0"/>
        <w:adjustRightInd w:val="0"/>
        <w:snapToGrid w:val="0"/>
        <w:spacing w:line="360" w:lineRule="auto"/>
        <w:ind w:firstLine="482"/>
        <w:jc w:val="both"/>
        <w:rPr>
          <w:rFonts w:ascii="宋体" w:hAnsi="宋体"/>
          <w:sz w:val="24"/>
        </w:rPr>
      </w:pPr>
      <w:r>
        <w:rPr>
          <w:rFonts w:hint="eastAsia" w:ascii="宋体" w:hAnsi="宋体"/>
          <w:sz w:val="24"/>
        </w:rPr>
        <w:t>（三）不得要求或接受承包人为其个人装修住房或为其配偶、子女的工作安排以及出国（境）、旅游等提供方便。</w:t>
      </w:r>
    </w:p>
    <w:p>
      <w:pPr>
        <w:widowControl w:val="0"/>
        <w:adjustRightInd w:val="0"/>
        <w:snapToGrid w:val="0"/>
        <w:spacing w:line="360" w:lineRule="auto"/>
        <w:ind w:firstLine="482"/>
        <w:jc w:val="both"/>
        <w:rPr>
          <w:rFonts w:ascii="宋体" w:hAnsi="宋体"/>
          <w:sz w:val="24"/>
        </w:rPr>
      </w:pPr>
      <w:r>
        <w:rPr>
          <w:rFonts w:hint="eastAsia" w:ascii="宋体" w:hAnsi="宋体"/>
          <w:sz w:val="24"/>
        </w:rPr>
        <w:t>（四）不得参加有可能影响公正执行公务的承包人的宴请、健身和娱乐等活动。</w:t>
      </w:r>
    </w:p>
    <w:p>
      <w:pPr>
        <w:widowControl w:val="0"/>
        <w:adjustRightInd w:val="0"/>
        <w:snapToGrid w:val="0"/>
        <w:spacing w:line="360" w:lineRule="auto"/>
        <w:ind w:firstLine="482"/>
        <w:jc w:val="both"/>
        <w:rPr>
          <w:rFonts w:ascii="宋体" w:hAnsi="宋体"/>
          <w:sz w:val="24"/>
        </w:rPr>
      </w:pPr>
      <w:r>
        <w:rPr>
          <w:rFonts w:hint="eastAsia" w:ascii="宋体" w:hAnsi="宋体"/>
          <w:sz w:val="24"/>
        </w:rPr>
        <w:t>（五）不得向承包人介绍或推荐其配偶、子女及其他亲属参与承包人同发包人建设项目有关的经济活动。</w:t>
      </w:r>
    </w:p>
    <w:p>
      <w:pPr>
        <w:widowControl w:val="0"/>
        <w:adjustRightInd w:val="0"/>
        <w:snapToGrid w:val="0"/>
        <w:spacing w:line="360" w:lineRule="auto"/>
        <w:ind w:firstLine="482"/>
        <w:jc w:val="both"/>
        <w:rPr>
          <w:rFonts w:ascii="宋体" w:hAnsi="宋体"/>
          <w:sz w:val="24"/>
        </w:rPr>
      </w:pPr>
      <w:r>
        <w:rPr>
          <w:rFonts w:hint="eastAsia" w:ascii="宋体" w:hAnsi="宋体"/>
          <w:sz w:val="24"/>
        </w:rPr>
        <w:t>（六）不得以任何理由向承包人推荐分包单位或要求承包人购买项目合同规定以外的材料、设备和服务等。</w:t>
      </w:r>
    </w:p>
    <w:p>
      <w:pPr>
        <w:widowControl w:val="0"/>
        <w:adjustRightInd w:val="0"/>
        <w:snapToGrid w:val="0"/>
        <w:spacing w:line="360" w:lineRule="auto"/>
        <w:ind w:firstLine="482"/>
        <w:jc w:val="both"/>
        <w:rPr>
          <w:rFonts w:ascii="宋体" w:hAnsi="宋体"/>
          <w:sz w:val="24"/>
        </w:rPr>
      </w:pPr>
      <w:r>
        <w:rPr>
          <w:rFonts w:hint="eastAsia" w:ascii="宋体" w:hAnsi="宋体"/>
          <w:sz w:val="24"/>
        </w:rPr>
        <w:t>（七）其它与项目有关的党风廉政建设和预防腐败的规定。</w:t>
      </w:r>
    </w:p>
    <w:p>
      <w:pPr>
        <w:widowControl w:val="0"/>
        <w:adjustRightInd w:val="0"/>
        <w:snapToGrid w:val="0"/>
        <w:spacing w:line="360" w:lineRule="auto"/>
        <w:ind w:firstLine="482"/>
        <w:jc w:val="both"/>
        <w:rPr>
          <w:rFonts w:ascii="宋体" w:hAnsi="宋体"/>
          <w:sz w:val="24"/>
        </w:rPr>
      </w:pPr>
      <w:bookmarkStart w:id="44" w:name="_Toc11848"/>
      <w:bookmarkStart w:id="45" w:name="_Toc14483"/>
      <w:bookmarkStart w:id="46" w:name="_Toc282076317"/>
      <w:r>
        <w:rPr>
          <w:rFonts w:hint="eastAsia" w:ascii="宋体" w:hAnsi="宋体"/>
          <w:sz w:val="24"/>
        </w:rPr>
        <w:t>第三条</w:t>
      </w:r>
      <w:r>
        <w:rPr>
          <w:rFonts w:ascii="宋体" w:hAnsi="宋体"/>
          <w:sz w:val="24"/>
        </w:rPr>
        <w:t xml:space="preserve">  </w:t>
      </w:r>
      <w:r>
        <w:rPr>
          <w:rFonts w:hint="eastAsia" w:ascii="宋体" w:hAnsi="宋体"/>
          <w:sz w:val="24"/>
        </w:rPr>
        <w:t>承包人的责任</w:t>
      </w:r>
      <w:bookmarkEnd w:id="44"/>
      <w:bookmarkEnd w:id="45"/>
      <w:bookmarkEnd w:id="46"/>
    </w:p>
    <w:p>
      <w:pPr>
        <w:widowControl w:val="0"/>
        <w:adjustRightInd w:val="0"/>
        <w:snapToGrid w:val="0"/>
        <w:spacing w:line="360" w:lineRule="auto"/>
        <w:ind w:firstLine="482"/>
        <w:jc w:val="both"/>
        <w:rPr>
          <w:rFonts w:ascii="宋体" w:hAnsi="宋体"/>
          <w:sz w:val="24"/>
        </w:rPr>
      </w:pPr>
      <w:r>
        <w:rPr>
          <w:rFonts w:hint="eastAsia" w:ascii="宋体" w:hAnsi="宋体"/>
          <w:sz w:val="24"/>
        </w:rPr>
        <w:t>应与发包人保持正常的业务交往，按照有关法律法规和程序开展业务工作，严格执行工程建设的有关方针、政策，并遵守以下规定：</w:t>
      </w:r>
    </w:p>
    <w:p>
      <w:pPr>
        <w:widowControl w:val="0"/>
        <w:adjustRightInd w:val="0"/>
        <w:snapToGrid w:val="0"/>
        <w:spacing w:line="360" w:lineRule="auto"/>
        <w:ind w:firstLine="482"/>
        <w:jc w:val="both"/>
        <w:rPr>
          <w:rFonts w:ascii="宋体" w:hAnsi="宋体"/>
          <w:sz w:val="24"/>
        </w:rPr>
      </w:pPr>
      <w:r>
        <w:rPr>
          <w:rFonts w:hint="eastAsia" w:ascii="宋体" w:hAnsi="宋体"/>
          <w:sz w:val="24"/>
        </w:rPr>
        <w:t>（一）不得以任何理由向发包人工作人员赠送礼金、有价证券、贵重物品和回扣、好处费、感谢费等。</w:t>
      </w:r>
    </w:p>
    <w:p>
      <w:pPr>
        <w:widowControl w:val="0"/>
        <w:adjustRightInd w:val="0"/>
        <w:snapToGrid w:val="0"/>
        <w:spacing w:line="360" w:lineRule="auto"/>
        <w:ind w:firstLine="482"/>
        <w:jc w:val="both"/>
        <w:rPr>
          <w:rFonts w:ascii="宋体" w:hAnsi="宋体"/>
          <w:sz w:val="24"/>
        </w:rPr>
      </w:pPr>
      <w:r>
        <w:rPr>
          <w:rFonts w:hint="eastAsia" w:ascii="宋体" w:hAnsi="宋体"/>
          <w:sz w:val="24"/>
        </w:rPr>
        <w:t>（二）不得以任何理由为发包人工作人员报销应由其个人支付的费用。</w:t>
      </w:r>
    </w:p>
    <w:p>
      <w:pPr>
        <w:widowControl w:val="0"/>
        <w:adjustRightInd w:val="0"/>
        <w:snapToGrid w:val="0"/>
        <w:spacing w:line="360" w:lineRule="auto"/>
        <w:ind w:firstLine="482"/>
        <w:jc w:val="both"/>
        <w:rPr>
          <w:rFonts w:ascii="宋体" w:hAnsi="宋体"/>
          <w:sz w:val="24"/>
        </w:rPr>
      </w:pPr>
      <w:r>
        <w:rPr>
          <w:rFonts w:hint="eastAsia" w:ascii="宋体" w:hAnsi="宋体"/>
          <w:sz w:val="24"/>
        </w:rPr>
        <w:t>（三）不得为发包人工作人员装修住房或为其配偶、子女的工作安排以及出国（境）、旅游等提供方便。</w:t>
      </w:r>
    </w:p>
    <w:p>
      <w:pPr>
        <w:widowControl w:val="0"/>
        <w:adjustRightInd w:val="0"/>
        <w:snapToGrid w:val="0"/>
        <w:spacing w:line="360" w:lineRule="auto"/>
        <w:ind w:firstLine="482"/>
        <w:jc w:val="both"/>
        <w:rPr>
          <w:rFonts w:ascii="宋体" w:hAnsi="宋体"/>
          <w:sz w:val="24"/>
        </w:rPr>
      </w:pPr>
      <w:r>
        <w:rPr>
          <w:rFonts w:hint="eastAsia" w:ascii="宋体" w:hAnsi="宋体"/>
          <w:sz w:val="24"/>
        </w:rPr>
        <w:t>（四）不得以任何理由邀请发包人工作人员参加有可能影响公正执行公务的宴请、健身、娱乐等活动。</w:t>
      </w:r>
    </w:p>
    <w:p>
      <w:pPr>
        <w:widowControl w:val="0"/>
        <w:adjustRightInd w:val="0"/>
        <w:snapToGrid w:val="0"/>
        <w:spacing w:line="360" w:lineRule="auto"/>
        <w:ind w:firstLine="482"/>
        <w:jc w:val="both"/>
        <w:rPr>
          <w:rFonts w:ascii="宋体" w:hAnsi="宋体"/>
          <w:sz w:val="24"/>
        </w:rPr>
      </w:pPr>
      <w:bookmarkStart w:id="47" w:name="OLE_LINK1"/>
      <w:r>
        <w:rPr>
          <w:rFonts w:hint="eastAsia" w:ascii="宋体" w:hAnsi="宋体"/>
          <w:sz w:val="24"/>
        </w:rPr>
        <w:t>（五）其它与项目有关的党风廉政建设和预防腐败的规定。</w:t>
      </w:r>
    </w:p>
    <w:bookmarkEnd w:id="47"/>
    <w:p>
      <w:pPr>
        <w:widowControl w:val="0"/>
        <w:adjustRightInd w:val="0"/>
        <w:snapToGrid w:val="0"/>
        <w:spacing w:line="360" w:lineRule="auto"/>
        <w:ind w:firstLine="482"/>
        <w:jc w:val="both"/>
        <w:rPr>
          <w:rFonts w:ascii="宋体" w:hAnsi="宋体"/>
          <w:sz w:val="24"/>
        </w:rPr>
      </w:pPr>
      <w:bookmarkStart w:id="48" w:name="_Toc9799"/>
      <w:bookmarkStart w:id="49" w:name="_Toc32291"/>
      <w:bookmarkStart w:id="50" w:name="OLE_LINK2"/>
      <w:r>
        <w:rPr>
          <w:rFonts w:hint="eastAsia" w:ascii="宋体" w:hAnsi="宋体"/>
          <w:sz w:val="24"/>
        </w:rPr>
        <w:t>第四条</w:t>
      </w:r>
      <w:r>
        <w:rPr>
          <w:rFonts w:ascii="宋体" w:hAnsi="宋体"/>
          <w:sz w:val="24"/>
        </w:rPr>
        <w:t xml:space="preserve">  </w:t>
      </w:r>
      <w:r>
        <w:rPr>
          <w:rFonts w:hint="eastAsia" w:ascii="宋体" w:hAnsi="宋体"/>
          <w:sz w:val="24"/>
        </w:rPr>
        <w:t>违约责任</w:t>
      </w:r>
      <w:bookmarkEnd w:id="48"/>
      <w:bookmarkEnd w:id="49"/>
    </w:p>
    <w:bookmarkEnd w:id="50"/>
    <w:p>
      <w:pPr>
        <w:widowControl w:val="0"/>
        <w:adjustRightInd w:val="0"/>
        <w:snapToGrid w:val="0"/>
        <w:spacing w:line="360" w:lineRule="auto"/>
        <w:ind w:firstLine="482"/>
        <w:jc w:val="both"/>
        <w:rPr>
          <w:rFonts w:ascii="宋体" w:hAnsi="宋体"/>
          <w:sz w:val="24"/>
        </w:rPr>
      </w:pPr>
      <w:r>
        <w:rPr>
          <w:rFonts w:hint="eastAsia" w:ascii="宋体" w:hAnsi="宋体"/>
          <w:sz w:val="24"/>
        </w:rPr>
        <w:t>（一）发包人工作人员有违反本合同第一、二条行为的，经调查属实，依据有关法律法规和规定给予党纪、政纪处分或组织处理；涉嫌犯罪的，移交司法机关追究刑事责任；给承包人造成经济损失的，发包人应予以赔偿。</w:t>
      </w:r>
    </w:p>
    <w:p>
      <w:pPr>
        <w:widowControl w:val="0"/>
        <w:adjustRightInd w:val="0"/>
        <w:snapToGrid w:val="0"/>
        <w:spacing w:line="360" w:lineRule="auto"/>
        <w:ind w:firstLine="482"/>
        <w:jc w:val="both"/>
        <w:rPr>
          <w:rFonts w:ascii="宋体" w:hAnsi="宋体"/>
          <w:sz w:val="24"/>
        </w:rPr>
      </w:pPr>
      <w:r>
        <w:rPr>
          <w:rFonts w:hint="eastAsia" w:ascii="宋体" w:hAnsi="宋体"/>
          <w:sz w:val="24"/>
        </w:rPr>
        <w:t>（二）承包人工作人员有违反本合同第一、三条行为的，经调查属实，依据有关法律法规和规定给予以下相应处理；给发包人造成经济损失的，承包人应予以赔偿；情节严重的，发包人建议交通工程建设主管部门给予一至三年不得进入交通建设市场的处罚；涉嫌犯罪的，移交司法机关追究刑事责任。</w:t>
      </w:r>
    </w:p>
    <w:p>
      <w:pPr>
        <w:widowControl w:val="0"/>
        <w:adjustRightInd w:val="0"/>
        <w:snapToGrid w:val="0"/>
        <w:spacing w:line="360" w:lineRule="auto"/>
        <w:ind w:firstLine="482"/>
        <w:jc w:val="both"/>
        <w:rPr>
          <w:rFonts w:ascii="宋体" w:hAnsi="宋体"/>
          <w:sz w:val="24"/>
        </w:rPr>
      </w:pPr>
      <w:r>
        <w:rPr>
          <w:rFonts w:hint="eastAsia" w:ascii="宋体" w:hAnsi="宋体"/>
          <w:sz w:val="24"/>
        </w:rPr>
        <w:t>（三）双方约定：本合同由发包人或发包人上级单位的纪检监察机关负责监督执行。由发包人或发包人上级单位的纪检监察机关约请承包人行业主管部门的纪检监察机关对本合同执行情况进行检查，提出在本合同规定范围内的裁定意见。</w:t>
      </w:r>
    </w:p>
    <w:p>
      <w:pPr>
        <w:widowControl w:val="0"/>
        <w:adjustRightInd w:val="0"/>
        <w:snapToGrid w:val="0"/>
        <w:spacing w:line="360" w:lineRule="auto"/>
        <w:ind w:firstLine="482"/>
        <w:jc w:val="both"/>
        <w:rPr>
          <w:rFonts w:ascii="宋体" w:hAnsi="宋体"/>
          <w:sz w:val="24"/>
        </w:rPr>
      </w:pPr>
      <w:bookmarkStart w:id="51" w:name="_Toc28966"/>
      <w:bookmarkStart w:id="52" w:name="_Toc9354"/>
      <w:r>
        <w:rPr>
          <w:rFonts w:hint="eastAsia" w:ascii="宋体" w:hAnsi="宋体"/>
          <w:sz w:val="24"/>
        </w:rPr>
        <w:t>第五条　本合同作为甲、乙双方主合同的附件，与主合同具有同等法律效力。经双方签署后立即生效，项目决算审计后合同效力终止</w:t>
      </w:r>
      <w:bookmarkEnd w:id="51"/>
      <w:bookmarkEnd w:id="52"/>
      <w:r>
        <w:rPr>
          <w:rFonts w:hint="eastAsia" w:ascii="宋体" w:hAnsi="宋体"/>
          <w:sz w:val="24"/>
        </w:rPr>
        <w:t>。</w:t>
      </w:r>
    </w:p>
    <w:p>
      <w:pPr>
        <w:pStyle w:val="38"/>
        <w:rPr>
          <w:rFonts w:hAnsi="宋体"/>
          <w:szCs w:val="24"/>
        </w:rPr>
      </w:pPr>
    </w:p>
    <w:p>
      <w:pPr>
        <w:pStyle w:val="38"/>
        <w:rPr>
          <w:rFonts w:hAnsi="宋体"/>
          <w:szCs w:val="24"/>
        </w:rPr>
      </w:pPr>
    </w:p>
    <w:p>
      <w:pPr>
        <w:pStyle w:val="38"/>
        <w:rPr>
          <w:rFonts w:hAnsi="宋体"/>
          <w:szCs w:val="24"/>
        </w:rPr>
      </w:pPr>
    </w:p>
    <w:tbl>
      <w:tblPr>
        <w:tblStyle w:val="39"/>
        <w:tblW w:w="9479"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50"/>
        <w:gridCol w:w="2977"/>
        <w:gridCol w:w="1880"/>
        <w:gridCol w:w="29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462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甲    方</w:t>
            </w:r>
          </w:p>
        </w:tc>
        <w:tc>
          <w:tcPr>
            <w:tcW w:w="485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乙     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650" w:type="dxa"/>
            <w:tcBorders>
              <w:top w:val="single" w:color="auto" w:sz="4" w:space="0"/>
              <w:left w:val="single" w:color="auto" w:sz="4" w:space="0"/>
              <w:bottom w:val="single" w:color="auto" w:sz="4" w:space="0"/>
              <w:right w:val="single" w:color="auto" w:sz="4" w:space="0"/>
            </w:tcBorders>
            <w:vAlign w:val="center"/>
          </w:tcPr>
          <w:p>
            <w:pPr>
              <w:spacing w:line="360" w:lineRule="auto"/>
              <w:ind w:left="21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单位名称：（章）</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岳阳城陵矶新港有限公司</w:t>
            </w:r>
          </w:p>
        </w:tc>
        <w:tc>
          <w:tcPr>
            <w:tcW w:w="1880" w:type="dxa"/>
            <w:tcBorders>
              <w:top w:val="single" w:color="auto" w:sz="4" w:space="0"/>
              <w:left w:val="single" w:color="auto" w:sz="4" w:space="0"/>
              <w:bottom w:val="single" w:color="auto" w:sz="4" w:space="0"/>
              <w:right w:val="single" w:color="auto" w:sz="4" w:space="0"/>
            </w:tcBorders>
            <w:vAlign w:val="center"/>
          </w:tcPr>
          <w:p>
            <w:pPr>
              <w:spacing w:line="360" w:lineRule="auto"/>
              <w:ind w:left="21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单位名称：（章）</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16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单位地址</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湖南岳阳城陵矶新港有限公司办公楼</w:t>
            </w:r>
          </w:p>
        </w:tc>
        <w:tc>
          <w:tcPr>
            <w:tcW w:w="1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单位地址</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16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法定代理人</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任一兵</w:t>
            </w:r>
          </w:p>
        </w:tc>
        <w:tc>
          <w:tcPr>
            <w:tcW w:w="1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法定代理人</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6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委托代理人</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c>
          <w:tcPr>
            <w:tcW w:w="1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委托代理人</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6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电话</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c>
          <w:tcPr>
            <w:tcW w:w="1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电话</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6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开户银行</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建设银行城陵矶支行</w:t>
            </w:r>
          </w:p>
        </w:tc>
        <w:tc>
          <w:tcPr>
            <w:tcW w:w="1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开户银行</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6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帐号</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r>
              <w:rPr>
                <w:rFonts w:hint="eastAsia" w:ascii="宋体" w:hAnsi="宋体"/>
                <w:szCs w:val="21"/>
              </w:rPr>
              <w:t>436600720018010006451</w:t>
            </w:r>
          </w:p>
        </w:tc>
        <w:tc>
          <w:tcPr>
            <w:tcW w:w="1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帐号</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6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税号</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91430600661668630D</w:t>
            </w:r>
          </w:p>
        </w:tc>
        <w:tc>
          <w:tcPr>
            <w:tcW w:w="1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税号</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6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邮编</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414000</w:t>
            </w:r>
          </w:p>
        </w:tc>
        <w:tc>
          <w:tcPr>
            <w:tcW w:w="1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邮编</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r>
    </w:tbl>
    <w:p>
      <w:pPr>
        <w:spacing w:line="240" w:lineRule="auto"/>
        <w:rPr>
          <w:rFonts w:ascii="黑体" w:hAnsi="黑体" w:eastAsia="黑体" w:cs="仿宋"/>
          <w:b/>
          <w:color w:val="000000"/>
          <w:sz w:val="36"/>
          <w:szCs w:val="36"/>
        </w:rPr>
      </w:pPr>
      <w:r>
        <w:rPr>
          <w:rFonts w:hint="eastAsia" w:ascii="黑体" w:hAnsi="黑体" w:eastAsia="黑体" w:cs="仿宋"/>
          <w:b/>
          <w:color w:val="000000"/>
          <w:sz w:val="36"/>
          <w:szCs w:val="36"/>
        </w:rPr>
        <w:br w:type="page"/>
      </w:r>
    </w:p>
    <w:p>
      <w:pPr>
        <w:spacing w:line="360" w:lineRule="auto"/>
        <w:jc w:val="center"/>
        <w:outlineLvl w:val="0"/>
        <w:rPr>
          <w:rFonts w:ascii="黑体" w:hAnsi="黑体" w:eastAsia="黑体" w:cs="仿宋"/>
          <w:b/>
          <w:color w:val="000000"/>
          <w:sz w:val="36"/>
          <w:szCs w:val="36"/>
        </w:rPr>
      </w:pPr>
      <w:bookmarkStart w:id="53" w:name="_Toc25367"/>
      <w:r>
        <w:rPr>
          <w:rFonts w:hint="eastAsia" w:ascii="黑体" w:hAnsi="黑体" w:eastAsia="黑体" w:cs="仿宋"/>
          <w:b/>
          <w:color w:val="000000"/>
          <w:sz w:val="36"/>
          <w:szCs w:val="36"/>
        </w:rPr>
        <w:t>第五章  采购需求</w:t>
      </w:r>
      <w:bookmarkEnd w:id="53"/>
    </w:p>
    <w:p>
      <w:pPr>
        <w:adjustRightInd w:val="0"/>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（一）采购项目名称：</w:t>
      </w:r>
      <w:r>
        <w:rPr>
          <w:rFonts w:hint="eastAsia" w:ascii="宋体" w:hAnsi="宋体" w:cs="宋体"/>
          <w:color w:val="000000"/>
          <w:sz w:val="24"/>
        </w:rPr>
        <w:t>岳阳</w:t>
      </w:r>
      <w:r>
        <w:rPr>
          <w:rFonts w:ascii="宋体" w:hAnsi="宋体" w:cs="宋体"/>
          <w:color w:val="000000"/>
          <w:sz w:val="24"/>
        </w:rPr>
        <w:t>城陵矶新港</w:t>
      </w:r>
      <w:r>
        <w:rPr>
          <w:rFonts w:hint="eastAsia" w:ascii="宋体" w:hAnsi="宋体" w:cs="宋体"/>
          <w:color w:val="000000"/>
          <w:sz w:val="24"/>
        </w:rPr>
        <w:t>有限公司监控出口防火墙及视频准入设备项目</w:t>
      </w:r>
    </w:p>
    <w:p>
      <w:pPr>
        <w:adjustRightInd w:val="0"/>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（二）采购数量：1台</w:t>
      </w:r>
      <w:r>
        <w:rPr>
          <w:rFonts w:hint="eastAsia" w:ascii="宋体" w:hAnsi="宋体" w:cs="宋体"/>
          <w:color w:val="000000" w:themeColor="text1"/>
          <w:sz w:val="24"/>
          <w:lang w:val="en-US" w:eastAsia="zh-CN"/>
          <w14:textFill>
            <w14:solidFill>
              <w14:schemeClr w14:val="tx1"/>
            </w14:solidFill>
          </w14:textFill>
        </w:rPr>
        <w:t>视频专网</w:t>
      </w:r>
      <w:r>
        <w:rPr>
          <w:rFonts w:hint="eastAsia" w:ascii="宋体" w:hAnsi="宋体" w:cs="宋体"/>
          <w:color w:val="000000" w:themeColor="text1"/>
          <w:sz w:val="24"/>
          <w14:textFill>
            <w14:solidFill>
              <w14:schemeClr w14:val="tx1"/>
            </w14:solidFill>
          </w14:textFill>
        </w:rPr>
        <w:t>出口防火墙，1台视频准入</w:t>
      </w:r>
      <w:r>
        <w:rPr>
          <w:rFonts w:hint="eastAsia" w:ascii="宋体" w:hAnsi="宋体"/>
          <w:sz w:val="24"/>
        </w:rPr>
        <w:t>。</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（三）用途的简要说明：对视频专网的出口边界进行进行访问控制以及威胁过滤，对前端摄像头进行准入控制及合规检查，实现视频专网的纵向边界以及前端末端边界的安全防护与控制。</w:t>
      </w:r>
    </w:p>
    <w:p>
      <w:pPr>
        <w:spacing w:after="120" w:afterLines="50" w:line="360" w:lineRule="auto"/>
        <w:rPr>
          <w:rFonts w:ascii="宋体" w:hAnsi="宋体" w:cs="宋体"/>
          <w:sz w:val="24"/>
        </w:rPr>
      </w:pPr>
      <w:r>
        <w:rPr>
          <w:rFonts w:hint="eastAsia" w:ascii="宋体" w:hAnsi="宋体" w:cs="宋体"/>
          <w:color w:val="000000" w:themeColor="text1"/>
          <w:sz w:val="24"/>
          <w14:textFill>
            <w14:solidFill>
              <w14:schemeClr w14:val="tx1"/>
            </w14:solidFill>
          </w14:textFill>
        </w:rPr>
        <w:t>（四）技术规格、参数与要求：</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1192"/>
        <w:gridCol w:w="4958"/>
        <w:gridCol w:w="683"/>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widowControl w:val="0"/>
              <w:jc w:val="center"/>
              <w:rPr>
                <w:rFonts w:ascii="Calibri" w:hAnsi="Calibri"/>
                <w:b/>
                <w:kern w:val="0"/>
                <w:sz w:val="24"/>
              </w:rPr>
            </w:pPr>
            <w:r>
              <w:rPr>
                <w:rFonts w:hint="eastAsia" w:ascii="Calibri" w:hAnsi="Calibri"/>
                <w:b/>
                <w:kern w:val="0"/>
                <w:sz w:val="24"/>
              </w:rPr>
              <w:t>序号</w:t>
            </w:r>
          </w:p>
        </w:tc>
        <w:tc>
          <w:tcPr>
            <w:tcW w:w="1192" w:type="dxa"/>
            <w:vAlign w:val="center"/>
          </w:tcPr>
          <w:p>
            <w:pPr>
              <w:widowControl w:val="0"/>
              <w:jc w:val="center"/>
              <w:rPr>
                <w:rFonts w:ascii="Calibri" w:hAnsi="Calibri"/>
                <w:b/>
                <w:kern w:val="0"/>
                <w:sz w:val="24"/>
              </w:rPr>
            </w:pPr>
            <w:r>
              <w:rPr>
                <w:rFonts w:hint="eastAsia" w:ascii="Calibri" w:hAnsi="Calibri"/>
                <w:b/>
                <w:kern w:val="0"/>
                <w:sz w:val="24"/>
              </w:rPr>
              <w:t>产品类型</w:t>
            </w:r>
          </w:p>
        </w:tc>
        <w:tc>
          <w:tcPr>
            <w:tcW w:w="4958" w:type="dxa"/>
            <w:vAlign w:val="center"/>
          </w:tcPr>
          <w:p>
            <w:pPr>
              <w:widowControl w:val="0"/>
              <w:jc w:val="center"/>
              <w:rPr>
                <w:rFonts w:ascii="Calibri" w:hAnsi="Calibri"/>
                <w:b/>
                <w:kern w:val="0"/>
                <w:sz w:val="24"/>
              </w:rPr>
            </w:pPr>
            <w:r>
              <w:rPr>
                <w:rFonts w:hint="eastAsia" w:ascii="Calibri" w:hAnsi="Calibri"/>
                <w:b/>
                <w:kern w:val="0"/>
                <w:sz w:val="24"/>
              </w:rPr>
              <w:t>参数要求</w:t>
            </w:r>
          </w:p>
        </w:tc>
        <w:tc>
          <w:tcPr>
            <w:tcW w:w="683" w:type="dxa"/>
            <w:vAlign w:val="center"/>
          </w:tcPr>
          <w:p>
            <w:pPr>
              <w:widowControl w:val="0"/>
              <w:jc w:val="center"/>
              <w:rPr>
                <w:rFonts w:ascii="Calibri" w:hAnsi="Calibri"/>
                <w:b/>
                <w:kern w:val="0"/>
                <w:sz w:val="24"/>
              </w:rPr>
            </w:pPr>
            <w:r>
              <w:rPr>
                <w:rFonts w:hint="eastAsia" w:ascii="Calibri" w:hAnsi="Calibri"/>
                <w:b/>
                <w:kern w:val="0"/>
                <w:sz w:val="24"/>
              </w:rPr>
              <w:t>单位</w:t>
            </w:r>
          </w:p>
        </w:tc>
        <w:tc>
          <w:tcPr>
            <w:tcW w:w="683" w:type="dxa"/>
            <w:vAlign w:val="center"/>
          </w:tcPr>
          <w:p>
            <w:pPr>
              <w:widowControl w:val="0"/>
              <w:jc w:val="center"/>
              <w:rPr>
                <w:rFonts w:ascii="Calibri" w:hAnsi="Calibri"/>
                <w:b/>
                <w:kern w:val="0"/>
                <w:sz w:val="24"/>
              </w:rPr>
            </w:pPr>
            <w:r>
              <w:rPr>
                <w:rFonts w:hint="eastAsia" w:ascii="Calibri" w:hAnsi="Calibri"/>
                <w:b/>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widowControl w:val="0"/>
              <w:jc w:val="left"/>
              <w:rPr>
                <w:rFonts w:ascii="Calibri" w:hAnsi="Calibri"/>
                <w:kern w:val="0"/>
                <w:sz w:val="20"/>
                <w:szCs w:val="20"/>
              </w:rPr>
            </w:pPr>
            <w:r>
              <w:rPr>
                <w:rFonts w:ascii="Calibri" w:hAnsi="Calibri"/>
                <w:kern w:val="0"/>
                <w:sz w:val="20"/>
                <w:szCs w:val="20"/>
              </w:rPr>
              <w:t>1</w:t>
            </w:r>
          </w:p>
        </w:tc>
        <w:tc>
          <w:tcPr>
            <w:tcW w:w="119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监控</w:t>
            </w:r>
            <w:r>
              <w:rPr>
                <w:rFonts w:hint="eastAsia" w:ascii="宋体" w:hAnsi="宋体" w:cs="宋体"/>
                <w:color w:val="000000"/>
                <w:kern w:val="0"/>
                <w:sz w:val="20"/>
                <w:szCs w:val="20"/>
              </w:rPr>
              <w:t>出口防火墙</w:t>
            </w:r>
          </w:p>
        </w:tc>
        <w:tc>
          <w:tcPr>
            <w:tcW w:w="4958" w:type="dxa"/>
            <w:vAlign w:val="center"/>
          </w:tcPr>
          <w:p>
            <w:pPr>
              <w:widowControl w:val="0"/>
              <w:spacing w:line="240" w:lineRule="auto"/>
              <w:jc w:val="both"/>
              <w:rPr>
                <w:rFonts w:ascii="宋体" w:hAnsi="宋体" w:cs="宋体"/>
                <w:color w:val="000000"/>
                <w:kern w:val="0"/>
                <w:sz w:val="20"/>
                <w:szCs w:val="20"/>
              </w:rPr>
            </w:pPr>
            <w:r>
              <w:rPr>
                <w:rFonts w:hint="eastAsia" w:ascii="宋体" w:hAnsi="宋体" w:cs="宋体"/>
                <w:color w:val="000000"/>
                <w:kern w:val="0"/>
                <w:sz w:val="20"/>
                <w:szCs w:val="20"/>
              </w:rPr>
              <w:t>1、标准2U机箱，冗余电源；网络层吞吐量≥18G，并发连接≥500万，每秒新建连接数≥15万；</w:t>
            </w:r>
          </w:p>
          <w:p>
            <w:pPr>
              <w:widowControl w:val="0"/>
              <w:spacing w:line="240" w:lineRule="auto"/>
              <w:jc w:val="both"/>
              <w:rPr>
                <w:rFonts w:ascii="宋体" w:hAnsi="宋体" w:cs="宋体"/>
                <w:color w:val="000000"/>
                <w:kern w:val="0"/>
                <w:sz w:val="20"/>
                <w:szCs w:val="20"/>
              </w:rPr>
            </w:pPr>
            <w:r>
              <w:rPr>
                <w:rFonts w:hint="eastAsia" w:ascii="宋体" w:hAnsi="宋体" w:cs="宋体"/>
                <w:color w:val="000000"/>
                <w:kern w:val="0"/>
                <w:sz w:val="20"/>
                <w:szCs w:val="20"/>
              </w:rPr>
              <w:t>2、配置≥</w:t>
            </w:r>
            <w:r>
              <w:rPr>
                <w:rFonts w:hint="eastAsia" w:ascii="宋体" w:hAnsi="宋体" w:cs="宋体"/>
                <w:color w:val="000000"/>
                <w:kern w:val="0"/>
                <w:sz w:val="20"/>
                <w:szCs w:val="20"/>
                <w:lang w:val="en-US" w:eastAsia="zh-CN"/>
              </w:rPr>
              <w:t>8</w:t>
            </w:r>
            <w:r>
              <w:rPr>
                <w:rFonts w:hint="eastAsia" w:ascii="宋体" w:hAnsi="宋体" w:cs="宋体"/>
                <w:color w:val="000000"/>
                <w:kern w:val="0"/>
                <w:sz w:val="20"/>
                <w:szCs w:val="20"/>
              </w:rPr>
              <w:t>个10/100/1000M自适应电口，≥4个SFP千兆光口，≥4个SFP+万兆光口，支持2个扩展槽，1个Console口；</w:t>
            </w:r>
          </w:p>
          <w:p>
            <w:pPr>
              <w:widowControl w:val="0"/>
              <w:spacing w:line="240" w:lineRule="auto"/>
              <w:jc w:val="both"/>
              <w:rPr>
                <w:rFonts w:ascii="宋体" w:hAnsi="宋体"/>
                <w:sz w:val="20"/>
                <w:szCs w:val="20"/>
              </w:rPr>
            </w:pPr>
            <w:r>
              <w:rPr>
                <w:rFonts w:hint="eastAsia" w:ascii="宋体" w:hAnsi="宋体" w:cs="宋体"/>
                <w:color w:val="000000"/>
                <w:kern w:val="0"/>
                <w:sz w:val="20"/>
                <w:szCs w:val="20"/>
              </w:rPr>
              <w:t>3、</w:t>
            </w:r>
            <w:r>
              <w:rPr>
                <w:rFonts w:hint="eastAsia" w:ascii="宋体" w:hAnsi="宋体"/>
                <w:sz w:val="20"/>
                <w:szCs w:val="20"/>
              </w:rPr>
              <w:t>支持基于源安全域、目的安全域、源用户、源地址、源地区、目的地址、目的地区、服务、应用、隧道、时间、</w:t>
            </w:r>
            <w:r>
              <w:rPr>
                <w:rFonts w:ascii="宋体" w:hAnsi="宋体"/>
                <w:sz w:val="20"/>
                <w:szCs w:val="20"/>
              </w:rPr>
              <w:t>VLAN等多种方式</w:t>
            </w:r>
            <w:r>
              <w:rPr>
                <w:rFonts w:hint="eastAsia" w:ascii="宋体" w:hAnsi="宋体"/>
                <w:sz w:val="20"/>
                <w:szCs w:val="20"/>
              </w:rPr>
              <w:t>的</w:t>
            </w:r>
            <w:r>
              <w:rPr>
                <w:rFonts w:ascii="宋体" w:hAnsi="宋体"/>
                <w:sz w:val="20"/>
                <w:szCs w:val="20"/>
              </w:rPr>
              <w:t>访问控制，并支持地理区域对象的导入以及重复策略的检查</w:t>
            </w:r>
            <w:r>
              <w:rPr>
                <w:rFonts w:hint="eastAsia" w:ascii="宋体" w:hAnsi="宋体"/>
                <w:sz w:val="20"/>
                <w:szCs w:val="20"/>
              </w:rPr>
              <w:t>；</w:t>
            </w:r>
          </w:p>
          <w:p>
            <w:pPr>
              <w:widowControl w:val="0"/>
              <w:spacing w:line="240" w:lineRule="auto"/>
              <w:jc w:val="both"/>
              <w:rPr>
                <w:rFonts w:ascii="宋体" w:hAnsi="宋体"/>
                <w:sz w:val="20"/>
                <w:szCs w:val="20"/>
                <w:highlight w:val="none"/>
              </w:rPr>
            </w:pPr>
            <w:r>
              <w:rPr>
                <w:rFonts w:hint="eastAsia" w:ascii="宋体" w:hAnsi="宋体"/>
                <w:sz w:val="20"/>
                <w:szCs w:val="20"/>
              </w:rPr>
              <w:t>4、支持共享上网检测功</w:t>
            </w:r>
            <w:r>
              <w:rPr>
                <w:rFonts w:hint="eastAsia" w:ascii="宋体" w:hAnsi="宋体"/>
                <w:sz w:val="20"/>
                <w:szCs w:val="20"/>
                <w:highlight w:val="none"/>
              </w:rPr>
              <w:t>能，支持共享接入检测和共享接入管控功能，可以通过设置管控地址和例外地址优化管控功能，同时支持阻断或告警动作；</w:t>
            </w:r>
            <w:r>
              <w:rPr>
                <w:rFonts w:ascii="宋体" w:hAnsi="宋体"/>
                <w:sz w:val="20"/>
                <w:szCs w:val="20"/>
                <w:highlight w:val="none"/>
              </w:rPr>
              <w:t>（需提供相应截图证明并加盖原厂公章）</w:t>
            </w:r>
          </w:p>
          <w:p>
            <w:pPr>
              <w:widowControl w:val="0"/>
              <w:spacing w:line="240" w:lineRule="auto"/>
              <w:jc w:val="both"/>
              <w:rPr>
                <w:rFonts w:ascii="宋体" w:hAnsi="宋体"/>
                <w:sz w:val="20"/>
                <w:szCs w:val="20"/>
                <w:highlight w:val="none"/>
              </w:rPr>
            </w:pPr>
            <w:r>
              <w:rPr>
                <w:rFonts w:hint="eastAsia" w:ascii="宋体" w:hAnsi="宋体"/>
                <w:sz w:val="20"/>
                <w:szCs w:val="20"/>
                <w:highlight w:val="none"/>
              </w:rPr>
              <w:t>5</w:t>
            </w:r>
            <w:r>
              <w:rPr>
                <w:rFonts w:ascii="宋体" w:hAnsi="宋体"/>
                <w:sz w:val="20"/>
                <w:szCs w:val="20"/>
                <w:highlight w:val="none"/>
              </w:rPr>
              <w:t>、能够对HTTP/FTP/POP3/SMTP/IMAP/SMB六种协议进行病毒查杀、支持本地、云端病毒查杀，本地病毒特征库规模大于3000万；支持对最多6级的压缩文件进行解压查杀；</w:t>
            </w:r>
          </w:p>
          <w:p>
            <w:pPr>
              <w:widowControl w:val="0"/>
              <w:spacing w:line="240" w:lineRule="auto"/>
              <w:jc w:val="both"/>
              <w:rPr>
                <w:rFonts w:ascii="宋体" w:hAnsi="宋体"/>
                <w:color w:val="FF0000"/>
                <w:sz w:val="20"/>
                <w:szCs w:val="20"/>
                <w:highlight w:val="none"/>
              </w:rPr>
            </w:pPr>
            <w:r>
              <w:rPr>
                <w:rFonts w:hint="eastAsia" w:ascii="宋体" w:hAnsi="宋体"/>
                <w:sz w:val="20"/>
                <w:szCs w:val="20"/>
                <w:highlight w:val="none"/>
              </w:rPr>
              <w:t>6</w:t>
            </w:r>
            <w:r>
              <w:rPr>
                <w:rFonts w:ascii="宋体" w:hAnsi="宋体"/>
                <w:sz w:val="20"/>
                <w:szCs w:val="20"/>
                <w:highlight w:val="none"/>
              </w:rPr>
              <w:t>、支持漏洞防护功能，漏洞防护特征库分类至少包括缓冲区溢出、跨站脚本、拒绝服务、恶意扫描、SQL注入、WEB攻击等六种分类；漏洞防护支持日志、阻断、放行、重置等执行动作，可批量设置针对某一分类或全部攻击签名的执行动作；支持基于FTP、HTTP、IMAP、OTHER_APP、POP3、SMB、SMTP等应用协议的漏洞防护；</w:t>
            </w:r>
            <w:r>
              <w:rPr>
                <w:rFonts w:ascii="宋体" w:hAnsi="宋体"/>
                <w:color w:val="FF0000"/>
                <w:sz w:val="20"/>
                <w:szCs w:val="20"/>
                <w:highlight w:val="none"/>
              </w:rPr>
              <w:t xml:space="preserve"> </w:t>
            </w:r>
          </w:p>
          <w:p>
            <w:pPr>
              <w:widowControl w:val="0"/>
              <w:spacing w:line="240" w:lineRule="auto"/>
              <w:jc w:val="both"/>
              <w:rPr>
                <w:rFonts w:ascii="宋体" w:hAnsi="宋体"/>
                <w:sz w:val="20"/>
                <w:szCs w:val="20"/>
                <w:highlight w:val="none"/>
              </w:rPr>
            </w:pPr>
            <w:r>
              <w:rPr>
                <w:rFonts w:hint="eastAsia" w:ascii="宋体" w:hAnsi="宋体"/>
                <w:sz w:val="20"/>
                <w:szCs w:val="20"/>
                <w:highlight w:val="none"/>
              </w:rPr>
              <w:t>7</w:t>
            </w:r>
            <w:r>
              <w:rPr>
                <w:rFonts w:ascii="宋体" w:hAnsi="宋体"/>
                <w:sz w:val="20"/>
                <w:szCs w:val="20"/>
                <w:highlight w:val="none"/>
              </w:rPr>
              <w:t>、支持基于主机或威胁情报视图，统计网络中确认被入侵、攻破的主机数量，至少可查看被入侵、攻破的时间、威胁类别、情报来源、威胁简介、被入侵、攻破的主机IP、用户名、资产等信息；并对威胁情报发现的恶意主机执行自动阻断；（需提供相应截图证明并加盖原厂公章）</w:t>
            </w:r>
          </w:p>
          <w:p>
            <w:pPr>
              <w:widowControl w:val="0"/>
              <w:spacing w:line="240" w:lineRule="auto"/>
              <w:jc w:val="both"/>
              <w:rPr>
                <w:rFonts w:ascii="宋体" w:hAnsi="宋体"/>
                <w:sz w:val="20"/>
                <w:szCs w:val="20"/>
                <w:highlight w:val="none"/>
              </w:rPr>
            </w:pPr>
            <w:r>
              <w:rPr>
                <w:rFonts w:hint="eastAsia" w:ascii="宋体" w:hAnsi="宋体"/>
                <w:sz w:val="20"/>
                <w:szCs w:val="20"/>
                <w:highlight w:val="none"/>
              </w:rPr>
              <w:t>8、支持</w:t>
            </w:r>
            <w:r>
              <w:rPr>
                <w:rFonts w:ascii="宋体" w:hAnsi="宋体"/>
                <w:sz w:val="20"/>
                <w:szCs w:val="20"/>
                <w:highlight w:val="none"/>
              </w:rPr>
              <w:t>IPv4和IPv6流量的蜜罐引流策略，支持</w:t>
            </w:r>
            <w:r>
              <w:rPr>
                <w:rFonts w:ascii="宋体" w:hAnsi="宋体"/>
                <w:sz w:val="20"/>
                <w:szCs w:val="20"/>
              </w:rPr>
              <w:t>配置基于源安全域、目的安全域、源地址、目的地址、服务、VLAN的引流策</w:t>
            </w:r>
            <w:r>
              <w:rPr>
                <w:rFonts w:ascii="宋体" w:hAnsi="宋体"/>
                <w:sz w:val="20"/>
                <w:szCs w:val="20"/>
                <w:highlight w:val="none"/>
              </w:rPr>
              <w:t>略，并支持强制导流，能够通过设置服务器和端口进行引流</w:t>
            </w:r>
            <w:r>
              <w:rPr>
                <w:rFonts w:hint="eastAsia" w:ascii="宋体" w:hAnsi="宋体"/>
                <w:sz w:val="20"/>
                <w:szCs w:val="20"/>
                <w:highlight w:val="none"/>
              </w:rPr>
              <w:t>；</w:t>
            </w:r>
            <w:r>
              <w:rPr>
                <w:rFonts w:ascii="宋体" w:hAnsi="宋体"/>
                <w:sz w:val="20"/>
                <w:szCs w:val="20"/>
                <w:highlight w:val="none"/>
              </w:rPr>
              <w:t>（需提供相应截图证明并加盖原厂公章）</w:t>
            </w:r>
          </w:p>
          <w:p>
            <w:pPr>
              <w:widowControl w:val="0"/>
              <w:spacing w:line="240" w:lineRule="auto"/>
              <w:jc w:val="both"/>
              <w:rPr>
                <w:rFonts w:ascii="宋体" w:hAnsi="宋体"/>
                <w:sz w:val="20"/>
                <w:szCs w:val="20"/>
              </w:rPr>
            </w:pPr>
            <w:r>
              <w:rPr>
                <w:rFonts w:hint="eastAsia" w:ascii="宋体" w:hAnsi="宋体"/>
                <w:sz w:val="20"/>
                <w:szCs w:val="20"/>
                <w:highlight w:val="none"/>
              </w:rPr>
              <w:t>9</w:t>
            </w:r>
            <w:r>
              <w:rPr>
                <w:rFonts w:ascii="宋体" w:hAnsi="宋体"/>
                <w:sz w:val="20"/>
                <w:szCs w:val="20"/>
                <w:highlight w:val="none"/>
              </w:rPr>
              <w:t>、支持与云端联动，至少实现病毒云查杀、URL云识别、应用云识别、云</w:t>
            </w:r>
            <w:r>
              <w:rPr>
                <w:rFonts w:ascii="宋体" w:hAnsi="宋体"/>
                <w:sz w:val="20"/>
                <w:szCs w:val="20"/>
              </w:rPr>
              <w:t>沙箱、威胁情报云检测等功能；</w:t>
            </w:r>
          </w:p>
          <w:p>
            <w:pPr>
              <w:widowControl/>
              <w:jc w:val="left"/>
              <w:rPr>
                <w:rFonts w:ascii="宋体" w:hAnsi="宋体" w:cs="宋体"/>
                <w:color w:val="000000"/>
                <w:kern w:val="0"/>
                <w:sz w:val="20"/>
                <w:szCs w:val="20"/>
                <w:highlight w:val="yellow"/>
              </w:rPr>
            </w:pPr>
            <w:r>
              <w:rPr>
                <w:rFonts w:hint="eastAsia" w:ascii="宋体" w:hAnsi="宋体"/>
                <w:sz w:val="20"/>
                <w:szCs w:val="20"/>
              </w:rPr>
              <w:t>1</w:t>
            </w:r>
            <w:r>
              <w:rPr>
                <w:rFonts w:ascii="宋体" w:hAnsi="宋体"/>
                <w:sz w:val="20"/>
                <w:szCs w:val="20"/>
              </w:rPr>
              <w:t>0</w:t>
            </w:r>
            <w:r>
              <w:rPr>
                <w:rFonts w:hint="eastAsia" w:ascii="宋体" w:hAnsi="宋体"/>
                <w:sz w:val="20"/>
                <w:szCs w:val="20"/>
              </w:rPr>
              <w:t>、含</w:t>
            </w:r>
            <w:r>
              <w:rPr>
                <w:rFonts w:hint="eastAsia" w:ascii="宋体" w:hAnsi="宋体"/>
                <w:sz w:val="20"/>
                <w:szCs w:val="20"/>
                <w:lang w:val="en-US" w:eastAsia="zh-CN"/>
              </w:rPr>
              <w:t>一</w:t>
            </w:r>
            <w:r>
              <w:rPr>
                <w:rFonts w:ascii="宋体" w:hAnsi="宋体"/>
                <w:sz w:val="20"/>
                <w:szCs w:val="20"/>
              </w:rPr>
              <w:t>年</w:t>
            </w:r>
            <w:r>
              <w:rPr>
                <w:rFonts w:hint="eastAsia" w:ascii="宋体" w:hAnsi="宋体"/>
                <w:sz w:val="20"/>
                <w:szCs w:val="20"/>
              </w:rPr>
              <w:t>硬件</w:t>
            </w:r>
            <w:r>
              <w:rPr>
                <w:rFonts w:ascii="宋体" w:hAnsi="宋体"/>
                <w:sz w:val="20"/>
                <w:szCs w:val="20"/>
              </w:rPr>
              <w:t>维保服务</w:t>
            </w:r>
            <w:r>
              <w:rPr>
                <w:rFonts w:hint="eastAsia" w:ascii="宋体" w:hAnsi="宋体"/>
                <w:sz w:val="20"/>
                <w:szCs w:val="20"/>
              </w:rPr>
              <w:t>，提供原厂售后服务承诺函。</w:t>
            </w:r>
          </w:p>
        </w:tc>
        <w:tc>
          <w:tcPr>
            <w:tcW w:w="683" w:type="dxa"/>
            <w:vAlign w:val="center"/>
          </w:tcPr>
          <w:p>
            <w:pPr>
              <w:widowControl w:val="0"/>
              <w:jc w:val="center"/>
              <w:rPr>
                <w:rFonts w:ascii="宋体" w:hAnsi="宋体"/>
                <w:bCs/>
                <w:kern w:val="0"/>
                <w:sz w:val="18"/>
                <w:szCs w:val="18"/>
              </w:rPr>
            </w:pPr>
            <w:r>
              <w:rPr>
                <w:rFonts w:hint="eastAsia" w:ascii="宋体" w:hAnsi="宋体"/>
                <w:bCs/>
                <w:kern w:val="0"/>
                <w:sz w:val="18"/>
                <w:szCs w:val="18"/>
              </w:rPr>
              <w:t>台</w:t>
            </w:r>
          </w:p>
        </w:tc>
        <w:tc>
          <w:tcPr>
            <w:tcW w:w="683" w:type="dxa"/>
            <w:vAlign w:val="center"/>
          </w:tcPr>
          <w:p>
            <w:pPr>
              <w:widowControl w:val="0"/>
              <w:jc w:val="center"/>
              <w:rPr>
                <w:rFonts w:ascii="宋体" w:hAnsi="宋体"/>
                <w:bCs/>
                <w:kern w:val="0"/>
                <w:sz w:val="18"/>
                <w:szCs w:val="18"/>
              </w:rPr>
            </w:pPr>
            <w:r>
              <w:rPr>
                <w:rFonts w:hint="eastAsia" w:ascii="宋体" w:hAnsi="宋体"/>
                <w:bCs/>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widowControl w:val="0"/>
              <w:jc w:val="center"/>
              <w:rPr>
                <w:rFonts w:ascii="Calibri" w:hAnsi="Calibri"/>
                <w:kern w:val="0"/>
                <w:sz w:val="20"/>
                <w:szCs w:val="20"/>
              </w:rPr>
            </w:pPr>
            <w:r>
              <w:rPr>
                <w:rFonts w:ascii="Calibri" w:hAnsi="Calibri"/>
                <w:kern w:val="0"/>
                <w:sz w:val="20"/>
                <w:szCs w:val="20"/>
              </w:rPr>
              <w:t>2</w:t>
            </w:r>
          </w:p>
        </w:tc>
        <w:tc>
          <w:tcPr>
            <w:tcW w:w="1192" w:type="dxa"/>
            <w:vAlign w:val="center"/>
          </w:tcPr>
          <w:p>
            <w:pPr>
              <w:widowControl w:val="0"/>
              <w:jc w:val="center"/>
              <w:rPr>
                <w:rFonts w:ascii="Calibri" w:hAnsi="Calibri"/>
                <w:kern w:val="0"/>
                <w:sz w:val="20"/>
                <w:szCs w:val="20"/>
              </w:rPr>
            </w:pPr>
            <w:r>
              <w:rPr>
                <w:rFonts w:hint="eastAsia" w:ascii="Calibri" w:hAnsi="Calibri"/>
                <w:kern w:val="0"/>
                <w:sz w:val="20"/>
                <w:szCs w:val="20"/>
              </w:rPr>
              <w:t>视频准入</w:t>
            </w:r>
          </w:p>
        </w:tc>
        <w:tc>
          <w:tcPr>
            <w:tcW w:w="4958" w:type="dxa"/>
          </w:tcPr>
          <w:p>
            <w:pPr>
              <w:pStyle w:val="17"/>
              <w:ind w:firstLine="0"/>
              <w:rPr>
                <w:rFonts w:ascii="Calibri" w:hAnsi="Calibri"/>
                <w:kern w:val="0"/>
                <w:sz w:val="20"/>
              </w:rPr>
            </w:pPr>
            <w:r>
              <w:rPr>
                <w:rFonts w:hint="eastAsia" w:ascii="Calibri" w:hAnsi="Calibri"/>
                <w:kern w:val="0"/>
                <w:sz w:val="20"/>
              </w:rPr>
              <w:t>1、标准1U机箱，单电源；支持办公网、视频监控网、物联网等多种终端设备类型的混合网络场景，实现设备发现、网络边界管理、入网控制、合规评估等泛终端准入控制管理功能；</w:t>
            </w:r>
          </w:p>
          <w:p>
            <w:pPr>
              <w:pStyle w:val="17"/>
              <w:ind w:firstLine="0"/>
              <w:rPr>
                <w:rFonts w:ascii="Calibri" w:hAnsi="Calibri"/>
                <w:kern w:val="0"/>
                <w:sz w:val="20"/>
              </w:rPr>
            </w:pPr>
            <w:r>
              <w:rPr>
                <w:rFonts w:ascii="Calibri" w:hAnsi="Calibri"/>
                <w:kern w:val="0"/>
                <w:sz w:val="20"/>
              </w:rPr>
              <w:t>2</w:t>
            </w:r>
            <w:r>
              <w:rPr>
                <w:rFonts w:hint="eastAsia" w:ascii="Calibri" w:hAnsi="Calibri"/>
                <w:kern w:val="0"/>
                <w:sz w:val="20"/>
              </w:rPr>
              <w:t>、整机支持≥1500终端认证，≥1.5G网络流量处理能力；配置1个Console口，≥</w:t>
            </w:r>
            <w:r>
              <w:rPr>
                <w:rFonts w:hint="eastAsia" w:ascii="Calibri" w:hAnsi="Calibri"/>
                <w:kern w:val="0"/>
                <w:sz w:val="20"/>
                <w:lang w:val="en-US" w:eastAsia="zh-CN"/>
              </w:rPr>
              <w:t>4</w:t>
            </w:r>
            <w:r>
              <w:rPr>
                <w:rFonts w:hint="eastAsia" w:ascii="Calibri" w:hAnsi="Calibri"/>
                <w:kern w:val="0"/>
                <w:sz w:val="20"/>
              </w:rPr>
              <w:t>个千兆电口，≥4TB硬盘；</w:t>
            </w:r>
          </w:p>
          <w:p>
            <w:pPr>
              <w:pStyle w:val="17"/>
              <w:ind w:firstLine="0"/>
              <w:rPr>
                <w:rFonts w:ascii="Calibri" w:hAnsi="Calibri"/>
                <w:kern w:val="0"/>
                <w:sz w:val="20"/>
              </w:rPr>
            </w:pPr>
            <w:r>
              <w:rPr>
                <w:rFonts w:hint="eastAsia" w:ascii="Calibri" w:hAnsi="Calibri"/>
                <w:kern w:val="0"/>
                <w:sz w:val="20"/>
              </w:rPr>
              <w:t>3、通过快速扫描方法，实现对网络中视频设备及其他设备数量和类型的分类统计，能够识别包括摄像头、NVR、DVR、存储服务器及其他计算机、交换机、服务器、移动终端等设备类型；</w:t>
            </w:r>
          </w:p>
          <w:p>
            <w:pPr>
              <w:pStyle w:val="17"/>
              <w:ind w:firstLine="0"/>
              <w:rPr>
                <w:rFonts w:ascii="Calibri" w:hAnsi="Calibri"/>
                <w:kern w:val="0"/>
                <w:sz w:val="20"/>
              </w:rPr>
            </w:pPr>
            <w:r>
              <w:rPr>
                <w:rFonts w:hint="eastAsia" w:ascii="Calibri" w:hAnsi="Calibri"/>
                <w:kern w:val="0"/>
                <w:sz w:val="20"/>
              </w:rPr>
              <w:t>4、能够准确获取各类网络视频摄像机厂商及型号，覆盖海康威视、大华、宇视、科达、天地伟业、华为、安巡视、罗普特、索尼、菲力尔、英飞拓、云天励飞、英迪高、汉邦高科、乔安科技、易视云、华迈等市场主流视频设备厂商；</w:t>
            </w:r>
          </w:p>
          <w:p>
            <w:pPr>
              <w:pStyle w:val="17"/>
              <w:ind w:firstLine="0"/>
              <w:rPr>
                <w:rFonts w:ascii="Calibri" w:hAnsi="Calibri"/>
                <w:kern w:val="0"/>
                <w:sz w:val="20"/>
              </w:rPr>
            </w:pPr>
            <w:r>
              <w:rPr>
                <w:rFonts w:ascii="Calibri" w:hAnsi="Calibri"/>
                <w:kern w:val="0"/>
                <w:sz w:val="20"/>
              </w:rPr>
              <w:t>5</w:t>
            </w:r>
            <w:r>
              <w:rPr>
                <w:rFonts w:hint="eastAsia" w:ascii="Calibri" w:hAnsi="Calibri"/>
                <w:kern w:val="0"/>
                <w:sz w:val="20"/>
              </w:rPr>
              <w:t>、支持指纹库管理，对于未识别成功的终端，可通过人工录入指纹的方式修正终端信息扫描结果，支持指纹库的外部导入及备份，能够同时根据MAC规则、操作系统、厂商、开放端口、运行服务、主机名、型号来自定义识别规则；</w:t>
            </w:r>
          </w:p>
          <w:p>
            <w:pPr>
              <w:pStyle w:val="17"/>
              <w:ind w:firstLine="0"/>
              <w:rPr>
                <w:rFonts w:ascii="Calibri" w:hAnsi="Calibri"/>
                <w:kern w:val="0"/>
                <w:sz w:val="20"/>
                <w:highlight w:val="none"/>
              </w:rPr>
            </w:pPr>
            <w:r>
              <w:rPr>
                <w:rFonts w:hint="eastAsia" w:ascii="Calibri" w:hAnsi="Calibri"/>
                <w:kern w:val="0"/>
                <w:sz w:val="20"/>
              </w:rPr>
              <w:t>6、支持GB/T28181及GB35114标准的识别，可以筛选出支持GB/T28181及GB</w:t>
            </w:r>
            <w:r>
              <w:rPr>
                <w:rFonts w:hint="eastAsia" w:ascii="Calibri" w:hAnsi="Calibri"/>
                <w:kern w:val="0"/>
                <w:sz w:val="20"/>
                <w:highlight w:val="none"/>
              </w:rPr>
              <w:t>35114协议的视频设备并禁止不支持的终端入网；</w:t>
            </w:r>
          </w:p>
          <w:p>
            <w:pPr>
              <w:pStyle w:val="17"/>
              <w:ind w:firstLine="0"/>
              <w:rPr>
                <w:rFonts w:ascii="Calibri" w:hAnsi="Calibri"/>
                <w:kern w:val="0"/>
                <w:sz w:val="20"/>
                <w:highlight w:val="none"/>
              </w:rPr>
            </w:pPr>
            <w:r>
              <w:rPr>
                <w:rFonts w:hint="eastAsia" w:ascii="Calibri" w:hAnsi="Calibri"/>
                <w:kern w:val="0"/>
                <w:sz w:val="20"/>
                <w:highlight w:val="none"/>
              </w:rPr>
              <w:t>7、设备支持将收到的镜像流量做过滤并将镜像流量复制一份输出给其他流量监测类设备；</w:t>
            </w:r>
            <w:r>
              <w:rPr>
                <w:rFonts w:ascii="Calibri" w:hAnsi="Calibri"/>
                <w:kern w:val="0"/>
                <w:sz w:val="20"/>
                <w:highlight w:val="none"/>
              </w:rPr>
              <w:t>（需提供相应截图证明并加盖原厂公章）</w:t>
            </w:r>
          </w:p>
          <w:p>
            <w:pPr>
              <w:pStyle w:val="17"/>
              <w:ind w:firstLine="0"/>
              <w:rPr>
                <w:rFonts w:ascii="Calibri" w:hAnsi="Calibri"/>
                <w:kern w:val="0"/>
                <w:sz w:val="20"/>
                <w:highlight w:val="none"/>
              </w:rPr>
            </w:pPr>
            <w:r>
              <w:rPr>
                <w:rFonts w:hint="eastAsia" w:ascii="Calibri" w:hAnsi="Calibri"/>
                <w:kern w:val="0"/>
                <w:sz w:val="20"/>
                <w:highlight w:val="none"/>
              </w:rPr>
              <w:t>8、支持多种认证控制方式，支持802.1x、portal、DHCP、MAB MAC、策略路由、旁路镜像、WebAuth等方式，支持无线和有线环境下的接入控制，适应复杂网络环境下的接入控制；</w:t>
            </w:r>
          </w:p>
          <w:p>
            <w:pPr>
              <w:pStyle w:val="17"/>
              <w:ind w:firstLine="0"/>
              <w:rPr>
                <w:rFonts w:ascii="Calibri" w:hAnsi="Calibri"/>
                <w:kern w:val="0"/>
                <w:sz w:val="20"/>
                <w:highlight w:val="none"/>
              </w:rPr>
            </w:pPr>
            <w:r>
              <w:rPr>
                <w:rFonts w:hint="eastAsia" w:ascii="Calibri" w:hAnsi="Calibri"/>
                <w:kern w:val="0"/>
                <w:sz w:val="20"/>
                <w:highlight w:val="none"/>
              </w:rPr>
              <w:t>9、通过小路由、VPN等场景接入的经过NAT转换后的终端必须安装客户端并经过身份认证后方可接入网络；</w:t>
            </w:r>
            <w:r>
              <w:rPr>
                <w:rFonts w:ascii="Calibri" w:hAnsi="Calibri"/>
                <w:kern w:val="0"/>
                <w:sz w:val="20"/>
                <w:highlight w:val="none"/>
              </w:rPr>
              <w:t>（需提供相应截图证明并加盖原厂公章）</w:t>
            </w:r>
          </w:p>
          <w:p>
            <w:pPr>
              <w:pStyle w:val="17"/>
              <w:ind w:firstLine="0"/>
              <w:rPr>
                <w:rFonts w:ascii="Calibri" w:hAnsi="Calibri"/>
                <w:kern w:val="0"/>
                <w:sz w:val="20"/>
              </w:rPr>
            </w:pPr>
            <w:r>
              <w:rPr>
                <w:rFonts w:hint="eastAsia" w:ascii="Calibri" w:hAnsi="Calibri"/>
                <w:kern w:val="0"/>
                <w:sz w:val="20"/>
                <w:highlight w:val="none"/>
              </w:rPr>
              <w:t>1</w:t>
            </w:r>
            <w:r>
              <w:rPr>
                <w:rFonts w:ascii="Calibri" w:hAnsi="Calibri"/>
                <w:kern w:val="0"/>
                <w:sz w:val="20"/>
                <w:highlight w:val="none"/>
              </w:rPr>
              <w:t>0</w:t>
            </w:r>
            <w:r>
              <w:rPr>
                <w:rFonts w:hint="eastAsia" w:ascii="Calibri" w:hAnsi="Calibri"/>
                <w:kern w:val="0"/>
                <w:sz w:val="20"/>
                <w:highlight w:val="none"/>
              </w:rPr>
              <w:t>、能检查终端外在静态指纹特征，支持多种特征维度，支持DHCP动态IP下的设备仿冒检查，无论非</w:t>
            </w:r>
            <w:r>
              <w:rPr>
                <w:rFonts w:hint="eastAsia" w:ascii="Calibri" w:hAnsi="Calibri"/>
                <w:kern w:val="0"/>
                <w:sz w:val="20"/>
              </w:rPr>
              <w:t>法设备修改IP还是修改MAC进行仿冒替换，系统均能快速发现并及时阻断；</w:t>
            </w:r>
          </w:p>
          <w:p>
            <w:pPr>
              <w:pStyle w:val="17"/>
              <w:ind w:firstLine="0"/>
              <w:rPr>
                <w:rFonts w:ascii="Calibri" w:hAnsi="Calibri"/>
                <w:kern w:val="0"/>
                <w:sz w:val="20"/>
              </w:rPr>
            </w:pPr>
            <w:r>
              <w:rPr>
                <w:rFonts w:hint="eastAsia" w:ascii="Calibri" w:hAnsi="Calibri"/>
                <w:kern w:val="0"/>
                <w:sz w:val="20"/>
              </w:rPr>
              <w:t>1</w:t>
            </w:r>
            <w:r>
              <w:rPr>
                <w:rFonts w:ascii="Calibri" w:hAnsi="Calibri"/>
                <w:kern w:val="0"/>
                <w:sz w:val="20"/>
              </w:rPr>
              <w:t>1</w:t>
            </w:r>
            <w:r>
              <w:rPr>
                <w:rFonts w:hint="eastAsia" w:ascii="Calibri" w:hAnsi="Calibri"/>
                <w:kern w:val="0"/>
                <w:sz w:val="20"/>
              </w:rPr>
              <w:t>、具备多种逃生机制，一键认证放行、阈值检测逃生、第三方服务器异常自动放行，确保非正常情况下不影响用户网络的稳定运行；</w:t>
            </w:r>
          </w:p>
          <w:p>
            <w:pPr>
              <w:widowControl/>
              <w:jc w:val="left"/>
              <w:rPr>
                <w:rFonts w:ascii="Calibri" w:hAnsi="Calibri"/>
                <w:kern w:val="0"/>
                <w:sz w:val="20"/>
                <w:szCs w:val="20"/>
              </w:rPr>
            </w:pPr>
            <w:r>
              <w:rPr>
                <w:rFonts w:hint="eastAsia" w:ascii="宋体" w:hAnsi="宋体"/>
                <w:sz w:val="20"/>
                <w:szCs w:val="20"/>
              </w:rPr>
              <w:t>1</w:t>
            </w:r>
            <w:r>
              <w:rPr>
                <w:rFonts w:ascii="宋体" w:hAnsi="宋体"/>
                <w:sz w:val="20"/>
              </w:rPr>
              <w:t>2</w:t>
            </w:r>
            <w:r>
              <w:rPr>
                <w:rFonts w:hint="eastAsia" w:ascii="宋体" w:hAnsi="宋体"/>
                <w:sz w:val="20"/>
                <w:szCs w:val="20"/>
              </w:rPr>
              <w:t>、</w:t>
            </w:r>
            <w:r>
              <w:rPr>
                <w:rFonts w:hint="eastAsia" w:ascii="宋体" w:hAnsi="宋体"/>
                <w:sz w:val="20"/>
              </w:rPr>
              <w:t>本次配置</w:t>
            </w:r>
            <w:r>
              <w:rPr>
                <w:rFonts w:hint="eastAsia" w:ascii="Calibri" w:hAnsi="Calibri"/>
                <w:kern w:val="0"/>
                <w:sz w:val="20"/>
              </w:rPr>
              <w:t>≥</w:t>
            </w:r>
            <w:r>
              <w:rPr>
                <w:rFonts w:hint="eastAsia" w:ascii="Calibri" w:hAnsi="Calibri"/>
                <w:kern w:val="0"/>
                <w:sz w:val="20"/>
                <w:lang w:val="en-US" w:eastAsia="zh-CN"/>
              </w:rPr>
              <w:t>5</w:t>
            </w:r>
            <w:r>
              <w:rPr>
                <w:rFonts w:ascii="Calibri" w:hAnsi="Calibri"/>
                <w:kern w:val="0"/>
                <w:sz w:val="20"/>
              </w:rPr>
              <w:t>00</w:t>
            </w:r>
            <w:r>
              <w:rPr>
                <w:rFonts w:hint="eastAsia" w:ascii="Calibri" w:hAnsi="Calibri"/>
                <w:kern w:val="0"/>
                <w:sz w:val="20"/>
              </w:rPr>
              <w:t>终端授权许可；</w:t>
            </w:r>
            <w:r>
              <w:rPr>
                <w:rFonts w:ascii="宋体" w:hAnsi="宋体"/>
                <w:sz w:val="20"/>
                <w:szCs w:val="20"/>
              </w:rPr>
              <w:t>含</w:t>
            </w:r>
            <w:r>
              <w:rPr>
                <w:rFonts w:hint="eastAsia" w:ascii="宋体" w:hAnsi="宋体"/>
                <w:sz w:val="20"/>
                <w:szCs w:val="20"/>
                <w:lang w:val="en-US" w:eastAsia="zh-CN"/>
              </w:rPr>
              <w:t>一</w:t>
            </w:r>
            <w:r>
              <w:rPr>
                <w:rFonts w:hint="eastAsia" w:ascii="宋体" w:hAnsi="宋体"/>
                <w:sz w:val="20"/>
                <w:szCs w:val="20"/>
              </w:rPr>
              <w:t>年</w:t>
            </w:r>
            <w:r>
              <w:rPr>
                <w:rFonts w:hint="eastAsia" w:ascii="宋体" w:hAnsi="宋体"/>
                <w:sz w:val="20"/>
              </w:rPr>
              <w:t>硬件</w:t>
            </w:r>
            <w:r>
              <w:rPr>
                <w:rFonts w:ascii="宋体" w:hAnsi="宋体"/>
                <w:sz w:val="20"/>
                <w:szCs w:val="20"/>
              </w:rPr>
              <w:t>维保服务</w:t>
            </w:r>
            <w:r>
              <w:rPr>
                <w:rFonts w:hint="eastAsia" w:ascii="宋体" w:hAnsi="宋体"/>
                <w:sz w:val="20"/>
                <w:szCs w:val="20"/>
              </w:rPr>
              <w:t>，提供原厂售后服务承诺函。</w:t>
            </w:r>
          </w:p>
        </w:tc>
        <w:tc>
          <w:tcPr>
            <w:tcW w:w="683" w:type="dxa"/>
            <w:vAlign w:val="center"/>
          </w:tcPr>
          <w:p>
            <w:pPr>
              <w:widowControl w:val="0"/>
              <w:jc w:val="center"/>
              <w:rPr>
                <w:rFonts w:ascii="Calibri" w:hAnsi="Calibri"/>
                <w:kern w:val="0"/>
                <w:sz w:val="20"/>
                <w:szCs w:val="20"/>
              </w:rPr>
            </w:pPr>
            <w:r>
              <w:rPr>
                <w:rFonts w:hint="eastAsia" w:ascii="Calibri" w:hAnsi="Calibri"/>
                <w:kern w:val="0"/>
                <w:sz w:val="20"/>
                <w:szCs w:val="20"/>
              </w:rPr>
              <w:t>台</w:t>
            </w:r>
          </w:p>
        </w:tc>
        <w:tc>
          <w:tcPr>
            <w:tcW w:w="683" w:type="dxa"/>
            <w:vAlign w:val="center"/>
          </w:tcPr>
          <w:p>
            <w:pPr>
              <w:widowControl w:val="0"/>
              <w:jc w:val="center"/>
              <w:rPr>
                <w:rFonts w:ascii="Calibri" w:hAnsi="Calibri"/>
                <w:kern w:val="0"/>
                <w:sz w:val="20"/>
                <w:szCs w:val="20"/>
              </w:rPr>
            </w:pPr>
            <w:r>
              <w:rPr>
                <w:rFonts w:hint="eastAsia" w:ascii="Calibri" w:hAnsi="Calibri"/>
                <w:kern w:val="0"/>
                <w:sz w:val="20"/>
                <w:szCs w:val="20"/>
              </w:rPr>
              <w:t>1</w:t>
            </w:r>
          </w:p>
        </w:tc>
      </w:tr>
    </w:tbl>
    <w:p>
      <w:pPr>
        <w:pStyle w:val="12"/>
      </w:pPr>
    </w:p>
    <w:p>
      <w:pPr>
        <w:spacing w:line="240" w:lineRule="auto"/>
        <w:rPr>
          <w:rFonts w:ascii="宋体" w:hAnsi="宋体" w:cs="宋体"/>
          <w:sz w:val="24"/>
        </w:rPr>
      </w:pPr>
      <w:r>
        <w:rPr>
          <w:rFonts w:hint="eastAsia" w:ascii="宋体" w:hAnsi="宋体" w:cs="宋体"/>
          <w:sz w:val="24"/>
        </w:rPr>
        <w:br w:type="page"/>
      </w:r>
    </w:p>
    <w:p>
      <w:pPr>
        <w:spacing w:line="360" w:lineRule="auto"/>
        <w:rPr>
          <w:rFonts w:ascii="宋体" w:hAnsi="宋体" w:cs="宋体"/>
          <w:sz w:val="24"/>
        </w:rPr>
      </w:pPr>
      <w:r>
        <w:rPr>
          <w:rFonts w:hint="eastAsia" w:ascii="宋体" w:hAnsi="宋体" w:cs="宋体"/>
          <w:sz w:val="24"/>
        </w:rPr>
        <w:t>（五）供货范围:本次采购含新设备采购及后期安装调试服务。</w:t>
      </w:r>
    </w:p>
    <w:p>
      <w:pPr>
        <w:spacing w:line="360" w:lineRule="auto"/>
        <w:rPr>
          <w:rFonts w:ascii="宋体" w:hAnsi="宋体" w:cs="宋体"/>
          <w:sz w:val="24"/>
          <w:u w:val="single"/>
        </w:rPr>
      </w:pPr>
      <w:r>
        <w:rPr>
          <w:rFonts w:hint="eastAsia" w:ascii="宋体" w:hAnsi="宋体" w:cs="宋体"/>
          <w:sz w:val="24"/>
        </w:rPr>
        <w:t>（六）附件及零配件、备品备件的要求：</w:t>
      </w:r>
      <w:r>
        <w:rPr>
          <w:rFonts w:hint="eastAsia" w:ascii="宋体" w:hAnsi="宋体" w:cs="宋体"/>
          <w:sz w:val="24"/>
          <w:u w:val="single"/>
        </w:rPr>
        <w:t>要求配备设备电源线等附件。</w:t>
      </w:r>
    </w:p>
    <w:p>
      <w:pPr>
        <w:spacing w:line="360" w:lineRule="auto"/>
        <w:rPr>
          <w:rFonts w:ascii="宋体" w:hAnsi="宋体" w:cs="宋体"/>
          <w:sz w:val="24"/>
        </w:rPr>
      </w:pPr>
      <w:r>
        <w:rPr>
          <w:rFonts w:hint="eastAsia" w:ascii="宋体" w:hAnsi="宋体" w:cs="宋体"/>
          <w:sz w:val="24"/>
        </w:rPr>
        <w:t>（七）验收标准和方法：</w:t>
      </w:r>
    </w:p>
    <w:p>
      <w:pPr>
        <w:adjustRightInd w:val="0"/>
        <w:snapToGrid w:val="0"/>
        <w:spacing w:line="360" w:lineRule="auto"/>
        <w:ind w:left="357" w:leftChars="170"/>
        <w:rPr>
          <w:rFonts w:ascii="宋体" w:hAnsi="宋体"/>
          <w:sz w:val="24"/>
        </w:rPr>
      </w:pPr>
      <w:r>
        <w:rPr>
          <w:rFonts w:hint="eastAsia" w:ascii="宋体" w:hAnsi="宋体"/>
          <w:sz w:val="24"/>
        </w:rPr>
        <w:t>1.供应商所提供的产品须满足国家相关规范要求；</w:t>
      </w:r>
    </w:p>
    <w:p>
      <w:pPr>
        <w:adjustRightInd w:val="0"/>
        <w:snapToGrid w:val="0"/>
        <w:spacing w:line="360" w:lineRule="auto"/>
        <w:ind w:left="357" w:leftChars="170"/>
        <w:rPr>
          <w:rFonts w:ascii="宋体" w:hAnsi="宋体"/>
          <w:sz w:val="24"/>
        </w:rPr>
      </w:pPr>
      <w:r>
        <w:rPr>
          <w:rFonts w:hint="eastAsia" w:ascii="宋体" w:hAnsi="宋体"/>
          <w:sz w:val="24"/>
        </w:rPr>
        <w:t>2.供应商所提供的产品的出厂日期不超过6个月；</w:t>
      </w:r>
    </w:p>
    <w:p>
      <w:pPr>
        <w:adjustRightInd w:val="0"/>
        <w:snapToGrid w:val="0"/>
        <w:spacing w:line="360" w:lineRule="auto"/>
        <w:ind w:left="357" w:leftChars="170"/>
        <w:rPr>
          <w:rFonts w:ascii="宋体" w:hAnsi="宋体" w:cs="宋体"/>
          <w:sz w:val="24"/>
        </w:rPr>
      </w:pPr>
      <w:r>
        <w:rPr>
          <w:rFonts w:hint="eastAsia" w:ascii="宋体" w:hAnsi="宋体"/>
          <w:sz w:val="24"/>
        </w:rPr>
        <w:t>3.供应商须提供完整的技术资料及质量保证书。</w:t>
      </w:r>
    </w:p>
    <w:p>
      <w:pPr>
        <w:spacing w:line="360" w:lineRule="auto"/>
        <w:rPr>
          <w:rFonts w:ascii="宋体" w:hAnsi="宋体" w:cs="宋体"/>
          <w:sz w:val="24"/>
        </w:rPr>
      </w:pPr>
      <w:r>
        <w:rPr>
          <w:rFonts w:hint="eastAsia" w:ascii="宋体" w:hAnsi="宋体" w:cs="宋体"/>
          <w:sz w:val="24"/>
        </w:rPr>
        <w:t>（八）安装调试及技术服务要求：</w:t>
      </w:r>
      <w:r>
        <w:rPr>
          <w:rFonts w:hint="eastAsia" w:ascii="宋体" w:hAnsi="宋体" w:cs="宋体"/>
          <w:sz w:val="24"/>
          <w:u w:val="single"/>
        </w:rPr>
        <w:t>卖家应提供产品设备的免费安装及调试服务。</w:t>
      </w:r>
    </w:p>
    <w:p>
      <w:pPr>
        <w:numPr>
          <w:ilvl w:val="255"/>
          <w:numId w:val="0"/>
        </w:numPr>
        <w:spacing w:line="360" w:lineRule="auto"/>
        <w:rPr>
          <w:rFonts w:ascii="宋体" w:hAnsi="宋体" w:cs="宋体"/>
          <w:sz w:val="24"/>
        </w:rPr>
      </w:pPr>
      <w:r>
        <w:rPr>
          <w:rFonts w:hint="eastAsia" w:ascii="宋体" w:hAnsi="宋体" w:cs="宋体"/>
          <w:sz w:val="24"/>
        </w:rPr>
        <w:t>（九）售后服务的要求：</w:t>
      </w:r>
    </w:p>
    <w:p>
      <w:pPr>
        <w:spacing w:line="360" w:lineRule="auto"/>
        <w:rPr>
          <w:rFonts w:ascii="宋体" w:hAnsi="宋体" w:cs="宋体"/>
          <w:sz w:val="24"/>
        </w:rPr>
      </w:pPr>
      <w:r>
        <w:rPr>
          <w:rFonts w:hint="eastAsia" w:ascii="宋体" w:hAnsi="宋体" w:cs="宋体"/>
          <w:sz w:val="24"/>
        </w:rPr>
        <w:t xml:space="preserve">    1.项目整体硬件质保期为</w:t>
      </w:r>
      <w:r>
        <w:rPr>
          <w:rFonts w:ascii="宋体" w:hAnsi="宋体" w:cs="宋体"/>
          <w:sz w:val="24"/>
          <w:u w:val="single"/>
        </w:rPr>
        <w:t>3</w:t>
      </w:r>
      <w:r>
        <w:rPr>
          <w:rFonts w:hint="eastAsia" w:ascii="宋体" w:hAnsi="宋体" w:cs="宋体"/>
          <w:sz w:val="24"/>
        </w:rPr>
        <w:t>年，</w:t>
      </w:r>
      <w:r>
        <w:rPr>
          <w:rFonts w:hint="eastAsia" w:ascii="宋体" w:hAnsi="宋体" w:cs="宋体"/>
          <w:sz w:val="24"/>
          <w:u w:val="single"/>
        </w:rPr>
        <w:t>1</w:t>
      </w:r>
      <w:r>
        <w:rPr>
          <w:rFonts w:ascii="宋体" w:hAnsi="宋体" w:cs="宋体"/>
          <w:sz w:val="24"/>
        </w:rPr>
        <w:t>年规则库、威胁情报更新授权</w:t>
      </w:r>
      <w:r>
        <w:rPr>
          <w:rFonts w:hint="eastAsia" w:ascii="宋体" w:hAnsi="宋体" w:cs="宋体"/>
          <w:sz w:val="24"/>
        </w:rPr>
        <w:t>。</w:t>
      </w:r>
    </w:p>
    <w:p>
      <w:pPr>
        <w:pStyle w:val="12"/>
        <w:spacing w:line="360" w:lineRule="auto"/>
        <w:rPr>
          <w:rFonts w:ascii="宋体" w:hAnsi="宋体" w:cs="宋体"/>
          <w:sz w:val="24"/>
        </w:rPr>
      </w:pPr>
      <w:r>
        <w:rPr>
          <w:rFonts w:hint="eastAsia" w:ascii="宋体" w:hAnsi="宋体" w:cs="宋体"/>
          <w:sz w:val="24"/>
        </w:rPr>
        <w:t xml:space="preserve">    2.自买方验收产品合格后的</w:t>
      </w:r>
      <w:r>
        <w:rPr>
          <w:rFonts w:hint="eastAsia" w:ascii="宋体" w:hAnsi="宋体" w:cs="宋体"/>
          <w:sz w:val="24"/>
          <w:u w:val="single"/>
        </w:rPr>
        <w:t>1</w:t>
      </w:r>
      <w:r>
        <w:rPr>
          <w:rFonts w:hint="eastAsia" w:ascii="宋体" w:hAnsi="宋体" w:cs="宋体"/>
          <w:sz w:val="24"/>
        </w:rPr>
        <w:t>年内，除使用不当所造成的损坏以外的影响产品正常使用的质量问题，卖方应在收到买方通知后</w:t>
      </w:r>
      <w:r>
        <w:rPr>
          <w:rFonts w:hint="eastAsia" w:ascii="宋体" w:hAnsi="宋体" w:cs="宋体"/>
          <w:sz w:val="24"/>
          <w:u w:val="single"/>
        </w:rPr>
        <w:t>8</w:t>
      </w:r>
      <w:r>
        <w:rPr>
          <w:rFonts w:hint="eastAsia" w:ascii="宋体" w:hAnsi="宋体" w:cs="宋体"/>
          <w:sz w:val="24"/>
        </w:rPr>
        <w:t>小时之内进行响应并提出解决方案，问题严重时，卖方应在</w:t>
      </w:r>
      <w:r>
        <w:rPr>
          <w:rFonts w:hint="eastAsia" w:ascii="宋体" w:hAnsi="宋体" w:cs="宋体"/>
          <w:sz w:val="24"/>
          <w:u w:val="single"/>
        </w:rPr>
        <w:t>24</w:t>
      </w:r>
      <w:r>
        <w:rPr>
          <w:rFonts w:hint="eastAsia" w:ascii="宋体" w:hAnsi="宋体" w:cs="宋体"/>
          <w:sz w:val="24"/>
        </w:rPr>
        <w:t>小时内委派专业技术人员到达现场查看，</w:t>
      </w:r>
      <w:r>
        <w:rPr>
          <w:rFonts w:hint="eastAsia" w:ascii="宋体" w:hAnsi="宋体" w:cs="宋体"/>
          <w:sz w:val="24"/>
          <w:u w:val="single"/>
        </w:rPr>
        <w:t>48</w:t>
      </w:r>
      <w:r>
        <w:rPr>
          <w:rFonts w:hint="eastAsia" w:ascii="宋体" w:hAnsi="宋体" w:cs="宋体"/>
          <w:sz w:val="24"/>
        </w:rPr>
        <w:t>小时内免费负责修复或更换。</w:t>
      </w:r>
    </w:p>
    <w:p>
      <w:pPr>
        <w:spacing w:line="240" w:lineRule="auto"/>
        <w:rPr>
          <w:rFonts w:ascii="仿宋" w:hAnsi="仿宋" w:eastAsia="仿宋" w:cs="仿宋"/>
          <w:sz w:val="30"/>
          <w:szCs w:val="30"/>
        </w:rPr>
      </w:pPr>
      <w:r>
        <w:rPr>
          <w:rFonts w:ascii="仿宋" w:hAnsi="仿宋" w:eastAsia="仿宋" w:cs="仿宋"/>
          <w:sz w:val="30"/>
          <w:szCs w:val="30"/>
        </w:rPr>
        <w:br w:type="page"/>
      </w:r>
    </w:p>
    <w:p>
      <w:pPr>
        <w:spacing w:line="312" w:lineRule="auto"/>
        <w:jc w:val="center"/>
        <w:outlineLvl w:val="0"/>
        <w:rPr>
          <w:rFonts w:ascii="黑体" w:hAnsi="黑体" w:eastAsia="黑体" w:cs="仿宋"/>
          <w:b/>
          <w:color w:val="000000"/>
          <w:sz w:val="36"/>
          <w:szCs w:val="36"/>
        </w:rPr>
      </w:pPr>
      <w:bookmarkStart w:id="54" w:name="_Toc3928"/>
      <w:r>
        <w:rPr>
          <w:rFonts w:hint="eastAsia" w:ascii="黑体" w:hAnsi="黑体" w:eastAsia="黑体" w:cs="仿宋"/>
          <w:b/>
          <w:color w:val="000000"/>
          <w:sz w:val="36"/>
          <w:szCs w:val="36"/>
        </w:rPr>
        <w:t>第六章  响应文件格式</w:t>
      </w:r>
      <w:bookmarkEnd w:id="54"/>
    </w:p>
    <w:p>
      <w:pPr>
        <w:jc w:val="center"/>
        <w:rPr>
          <w:rFonts w:ascii="仿宋" w:hAnsi="仿宋" w:eastAsia="仿宋" w:cs="仿宋"/>
          <w:sz w:val="30"/>
          <w:szCs w:val="30"/>
        </w:rPr>
      </w:pPr>
    </w:p>
    <w:p>
      <w:pPr>
        <w:jc w:val="center"/>
        <w:rPr>
          <w:rFonts w:ascii="仿宋" w:hAnsi="仿宋" w:eastAsia="仿宋" w:cs="仿宋"/>
          <w:sz w:val="30"/>
          <w:szCs w:val="30"/>
        </w:rPr>
      </w:pPr>
    </w:p>
    <w:p>
      <w:pPr>
        <w:jc w:val="center"/>
        <w:rPr>
          <w:rFonts w:ascii="仿宋" w:hAnsi="仿宋" w:eastAsia="仿宋" w:cs="仿宋"/>
          <w:sz w:val="30"/>
          <w:szCs w:val="30"/>
        </w:rPr>
      </w:pPr>
    </w:p>
    <w:p>
      <w:pPr>
        <w:jc w:val="center"/>
        <w:outlineLvl w:val="0"/>
        <w:rPr>
          <w:rFonts w:eastAsia="方正小标宋_GBK"/>
          <w:b/>
          <w:bCs/>
          <w:sz w:val="40"/>
          <w:szCs w:val="36"/>
        </w:rPr>
      </w:pPr>
      <w:r>
        <w:rPr>
          <w:rFonts w:hint="eastAsia" w:eastAsia="方正小标宋_GBK"/>
          <w:bCs/>
          <w:sz w:val="48"/>
          <w:szCs w:val="44"/>
          <w:u w:val="single"/>
        </w:rPr>
        <w:t xml:space="preserve">       </w:t>
      </w:r>
      <w:r>
        <w:rPr>
          <w:rFonts w:eastAsia="方正小标宋_GBK"/>
          <w:bCs/>
          <w:sz w:val="48"/>
          <w:szCs w:val="44"/>
          <w:u w:val="single"/>
        </w:rPr>
        <w:t xml:space="preserve">            </w:t>
      </w:r>
      <w:bookmarkStart w:id="55" w:name="_Toc20716"/>
      <w:r>
        <w:rPr>
          <w:rFonts w:hint="eastAsia" w:eastAsia="方正小标宋_GBK"/>
          <w:b/>
          <w:bCs/>
          <w:sz w:val="40"/>
          <w:szCs w:val="36"/>
        </w:rPr>
        <w:t>项目</w:t>
      </w:r>
      <w:bookmarkEnd w:id="55"/>
    </w:p>
    <w:p>
      <w:pPr>
        <w:widowControl w:val="0"/>
        <w:spacing w:before="240" w:beforeLines="100" w:after="240" w:afterLines="100" w:line="240" w:lineRule="auto"/>
        <w:jc w:val="center"/>
        <w:outlineLvl w:val="0"/>
        <w:rPr>
          <w:rFonts w:eastAsia="楷体_GB2312"/>
          <w:b/>
          <w:bCs/>
          <w:sz w:val="28"/>
          <w:szCs w:val="28"/>
        </w:rPr>
      </w:pPr>
      <w:bookmarkStart w:id="56" w:name="_Toc31832"/>
      <w:r>
        <w:rPr>
          <w:rFonts w:eastAsia="楷体_GB2312"/>
          <w:b/>
          <w:bCs/>
          <w:sz w:val="28"/>
          <w:szCs w:val="28"/>
        </w:rPr>
        <w:t>（项目</w:t>
      </w:r>
      <w:r>
        <w:rPr>
          <w:rFonts w:hint="eastAsia" w:eastAsia="楷体_GB2312"/>
          <w:b/>
          <w:bCs/>
          <w:sz w:val="28"/>
          <w:szCs w:val="28"/>
        </w:rPr>
        <w:t>采购</w:t>
      </w:r>
      <w:r>
        <w:rPr>
          <w:rFonts w:eastAsia="楷体_GB2312"/>
          <w:b/>
          <w:bCs/>
          <w:sz w:val="28"/>
          <w:szCs w:val="28"/>
        </w:rPr>
        <w:t>编号：</w:t>
      </w:r>
      <w:r>
        <w:rPr>
          <w:rFonts w:eastAsia="楷体_GB2312"/>
          <w:b/>
          <w:bCs/>
          <w:sz w:val="28"/>
          <w:szCs w:val="28"/>
          <w:u w:val="single"/>
        </w:rPr>
        <w:t xml:space="preserve">   </w:t>
      </w:r>
      <w:r>
        <w:rPr>
          <w:rFonts w:hint="eastAsia" w:eastAsia="楷体_GB2312"/>
          <w:b/>
          <w:bCs/>
          <w:sz w:val="28"/>
          <w:szCs w:val="28"/>
          <w:u w:val="single"/>
        </w:rPr>
        <w:t>填入项目采购编号</w:t>
      </w:r>
      <w:r>
        <w:rPr>
          <w:rFonts w:eastAsia="楷体_GB2312"/>
          <w:b/>
          <w:bCs/>
          <w:sz w:val="28"/>
          <w:szCs w:val="28"/>
          <w:u w:val="single"/>
        </w:rPr>
        <w:t xml:space="preserve">     </w:t>
      </w:r>
      <w:r>
        <w:rPr>
          <w:rFonts w:eastAsia="楷体_GB2312"/>
          <w:b/>
          <w:bCs/>
          <w:sz w:val="28"/>
          <w:szCs w:val="28"/>
        </w:rPr>
        <w:t>）</w:t>
      </w:r>
      <w:bookmarkEnd w:id="56"/>
    </w:p>
    <w:p>
      <w:pPr>
        <w:widowControl w:val="0"/>
        <w:adjustRightInd w:val="0"/>
        <w:snapToGrid w:val="0"/>
        <w:rPr>
          <w:b/>
        </w:rPr>
      </w:pPr>
    </w:p>
    <w:p>
      <w:pPr>
        <w:spacing w:line="288" w:lineRule="auto"/>
        <w:jc w:val="center"/>
        <w:rPr>
          <w:rFonts w:eastAsia="方正小标宋_GBK"/>
          <w:b/>
          <w:bCs/>
          <w:spacing w:val="160"/>
          <w:sz w:val="72"/>
          <w:szCs w:val="72"/>
        </w:rPr>
      </w:pPr>
    </w:p>
    <w:p>
      <w:pPr>
        <w:spacing w:line="288" w:lineRule="auto"/>
        <w:jc w:val="center"/>
        <w:rPr>
          <w:rFonts w:eastAsia="方正小标宋_GBK"/>
          <w:b/>
          <w:bCs/>
          <w:spacing w:val="160"/>
          <w:sz w:val="72"/>
          <w:szCs w:val="72"/>
        </w:rPr>
      </w:pPr>
    </w:p>
    <w:p>
      <w:pPr>
        <w:spacing w:line="288" w:lineRule="auto"/>
        <w:jc w:val="center"/>
        <w:outlineLvl w:val="0"/>
        <w:rPr>
          <w:rFonts w:eastAsia="方正小标宋_GBK"/>
          <w:b/>
          <w:bCs/>
          <w:spacing w:val="160"/>
          <w:sz w:val="72"/>
          <w:szCs w:val="72"/>
        </w:rPr>
      </w:pPr>
      <w:bookmarkStart w:id="57" w:name="_Toc8196"/>
      <w:r>
        <w:rPr>
          <w:rFonts w:hint="eastAsia" w:eastAsia="方正小标宋_GBK"/>
          <w:b/>
          <w:bCs/>
          <w:spacing w:val="160"/>
          <w:sz w:val="72"/>
          <w:szCs w:val="72"/>
        </w:rPr>
        <w:t>响应</w:t>
      </w:r>
      <w:r>
        <w:rPr>
          <w:rFonts w:eastAsia="方正小标宋_GBK"/>
          <w:b/>
          <w:bCs/>
          <w:spacing w:val="160"/>
          <w:sz w:val="72"/>
          <w:szCs w:val="72"/>
        </w:rPr>
        <w:t>文件</w:t>
      </w:r>
      <w:bookmarkEnd w:id="57"/>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900" w:lineRule="exact"/>
        <w:jc w:val="center"/>
        <w:outlineLvl w:val="0"/>
        <w:rPr>
          <w:rFonts w:eastAsia="黑体"/>
          <w:bCs/>
          <w:sz w:val="30"/>
          <w:szCs w:val="30"/>
        </w:rPr>
      </w:pPr>
      <w:bookmarkStart w:id="58" w:name="_Toc8163"/>
      <w:r>
        <w:rPr>
          <w:rFonts w:hint="eastAsia" w:eastAsia="黑体"/>
          <w:bCs/>
          <w:sz w:val="30"/>
          <w:szCs w:val="30"/>
        </w:rPr>
        <w:t>供 应 商</w:t>
      </w:r>
      <w:r>
        <w:rPr>
          <w:rFonts w:eastAsia="黑体"/>
          <w:bCs/>
          <w:sz w:val="30"/>
          <w:szCs w:val="30"/>
        </w:rPr>
        <w:t>：</w:t>
      </w:r>
      <w:r>
        <w:rPr>
          <w:rFonts w:eastAsia="黑体"/>
          <w:bCs/>
          <w:sz w:val="30"/>
          <w:szCs w:val="30"/>
          <w:u w:val="single"/>
        </w:rPr>
        <w:t xml:space="preserve">  </w:t>
      </w:r>
      <w:r>
        <w:rPr>
          <w:rFonts w:hint="eastAsia" w:eastAsia="黑体"/>
          <w:bCs/>
          <w:sz w:val="30"/>
          <w:szCs w:val="30"/>
          <w:u w:val="single"/>
        </w:rPr>
        <w:t>供应商</w:t>
      </w:r>
      <w:r>
        <w:rPr>
          <w:rFonts w:eastAsia="黑体"/>
          <w:bCs/>
          <w:sz w:val="30"/>
          <w:szCs w:val="30"/>
          <w:u w:val="single"/>
        </w:rPr>
        <w:t>全称并盖单位公章</w:t>
      </w:r>
      <w:bookmarkEnd w:id="58"/>
      <w:r>
        <w:rPr>
          <w:rFonts w:eastAsia="黑体"/>
          <w:bCs/>
          <w:sz w:val="30"/>
          <w:szCs w:val="30"/>
          <w:u w:val="single"/>
        </w:rPr>
        <w:t xml:space="preserve"> </w:t>
      </w:r>
    </w:p>
    <w:p>
      <w:pPr>
        <w:spacing w:line="900" w:lineRule="exact"/>
        <w:jc w:val="center"/>
        <w:outlineLvl w:val="0"/>
        <w:rPr>
          <w:rFonts w:eastAsia="黑体"/>
          <w:sz w:val="30"/>
          <w:szCs w:val="30"/>
        </w:rPr>
      </w:pPr>
      <w:bookmarkStart w:id="59" w:name="_Toc2448"/>
      <w:r>
        <w:rPr>
          <w:rFonts w:eastAsia="黑体"/>
          <w:sz w:val="30"/>
          <w:szCs w:val="30"/>
        </w:rPr>
        <w:t>日</w:t>
      </w:r>
      <w:r>
        <w:rPr>
          <w:rFonts w:hint="eastAsia" w:eastAsia="黑体"/>
          <w:sz w:val="30"/>
          <w:szCs w:val="30"/>
        </w:rPr>
        <w:t xml:space="preserve">   </w:t>
      </w:r>
      <w:r>
        <w:rPr>
          <w:rFonts w:eastAsia="黑体"/>
          <w:sz w:val="30"/>
          <w:szCs w:val="30"/>
        </w:rPr>
        <w:t>期：</w:t>
      </w:r>
      <w:r>
        <w:rPr>
          <w:rFonts w:eastAsia="黑体"/>
          <w:sz w:val="30"/>
          <w:szCs w:val="30"/>
          <w:u w:val="single"/>
        </w:rPr>
        <w:t xml:space="preserve">      </w:t>
      </w:r>
      <w:r>
        <w:rPr>
          <w:rFonts w:eastAsia="黑体"/>
          <w:sz w:val="30"/>
          <w:szCs w:val="30"/>
        </w:rPr>
        <w:t>年</w:t>
      </w:r>
      <w:r>
        <w:rPr>
          <w:rFonts w:eastAsia="黑体"/>
          <w:sz w:val="30"/>
          <w:szCs w:val="30"/>
          <w:u w:val="single"/>
        </w:rPr>
        <w:t xml:space="preserve">    </w:t>
      </w:r>
      <w:r>
        <w:rPr>
          <w:rFonts w:eastAsia="黑体"/>
          <w:sz w:val="30"/>
          <w:szCs w:val="30"/>
        </w:rPr>
        <w:t>月</w:t>
      </w:r>
      <w:r>
        <w:rPr>
          <w:rFonts w:eastAsia="黑体"/>
          <w:sz w:val="30"/>
          <w:szCs w:val="30"/>
          <w:u w:val="single"/>
        </w:rPr>
        <w:t xml:space="preserve">    </w:t>
      </w:r>
      <w:r>
        <w:rPr>
          <w:rFonts w:eastAsia="黑体"/>
          <w:sz w:val="30"/>
          <w:szCs w:val="30"/>
        </w:rPr>
        <w:t>日</w:t>
      </w:r>
      <w:bookmarkEnd w:id="59"/>
    </w:p>
    <w:p>
      <w:pPr>
        <w:adjustRightInd w:val="0"/>
        <w:snapToGrid w:val="0"/>
        <w:spacing w:line="600" w:lineRule="exact"/>
        <w:jc w:val="center"/>
        <w:rPr>
          <w:rFonts w:ascii="黑体" w:hAnsi="黑体" w:eastAsia="黑体" w:cs="仿宋"/>
          <w:sz w:val="36"/>
          <w:szCs w:val="36"/>
        </w:rPr>
      </w:pPr>
    </w:p>
    <w:p>
      <w:pPr>
        <w:adjustRightInd w:val="0"/>
        <w:snapToGrid w:val="0"/>
        <w:spacing w:line="600" w:lineRule="exact"/>
        <w:jc w:val="center"/>
        <w:outlineLvl w:val="0"/>
        <w:rPr>
          <w:rFonts w:ascii="黑体" w:hAnsi="黑体" w:eastAsia="黑体" w:cs="仿宋"/>
          <w:sz w:val="36"/>
          <w:szCs w:val="36"/>
        </w:rPr>
      </w:pPr>
      <w:bookmarkStart w:id="60" w:name="_Toc21209"/>
      <w:r>
        <w:rPr>
          <w:rFonts w:hint="eastAsia" w:ascii="黑体" w:hAnsi="黑体" w:eastAsia="黑体" w:cs="仿宋"/>
          <w:sz w:val="36"/>
          <w:szCs w:val="36"/>
        </w:rPr>
        <w:t xml:space="preserve">目 </w:t>
      </w:r>
      <w:r>
        <w:rPr>
          <w:rFonts w:ascii="黑体" w:hAnsi="黑体" w:eastAsia="黑体" w:cs="仿宋"/>
          <w:sz w:val="36"/>
          <w:szCs w:val="36"/>
        </w:rPr>
        <w:t xml:space="preserve"> </w:t>
      </w:r>
      <w:r>
        <w:rPr>
          <w:rFonts w:hint="eastAsia" w:ascii="黑体" w:hAnsi="黑体" w:eastAsia="黑体" w:cs="仿宋"/>
          <w:sz w:val="36"/>
          <w:szCs w:val="36"/>
        </w:rPr>
        <w:t>录</w:t>
      </w:r>
      <w:bookmarkEnd w:id="60"/>
    </w:p>
    <w:p>
      <w:pPr>
        <w:adjustRightInd w:val="0"/>
        <w:snapToGrid w:val="0"/>
        <w:spacing w:line="600" w:lineRule="exact"/>
        <w:jc w:val="both"/>
        <w:rPr>
          <w:rFonts w:ascii="宋体" w:hAnsi="宋体" w:cs="仿宋"/>
          <w:sz w:val="36"/>
          <w:szCs w:val="36"/>
        </w:rPr>
      </w:pPr>
    </w:p>
    <w:p>
      <w:pPr>
        <w:adjustRightInd w:val="0"/>
        <w:snapToGrid w:val="0"/>
        <w:spacing w:line="600" w:lineRule="exact"/>
        <w:jc w:val="both"/>
        <w:outlineLvl w:val="0"/>
        <w:rPr>
          <w:rFonts w:ascii="宋体" w:hAnsi="宋体" w:cs="仿宋"/>
          <w:sz w:val="24"/>
        </w:rPr>
      </w:pPr>
      <w:bookmarkStart w:id="61" w:name="_Toc23934"/>
      <w:r>
        <w:rPr>
          <w:rFonts w:hint="eastAsia" w:ascii="宋体" w:hAnsi="宋体" w:cs="仿宋"/>
          <w:sz w:val="24"/>
        </w:rPr>
        <w:t>一、响应函</w:t>
      </w:r>
      <w:bookmarkEnd w:id="61"/>
    </w:p>
    <w:p>
      <w:pPr>
        <w:adjustRightInd w:val="0"/>
        <w:snapToGrid w:val="0"/>
        <w:spacing w:line="600" w:lineRule="exact"/>
        <w:jc w:val="both"/>
        <w:outlineLvl w:val="0"/>
      </w:pPr>
      <w:bookmarkStart w:id="62" w:name="_Toc23996"/>
      <w:r>
        <w:rPr>
          <w:rFonts w:hint="eastAsia" w:ascii="宋体" w:hAnsi="宋体" w:cs="仿宋"/>
          <w:sz w:val="24"/>
        </w:rPr>
        <w:t>二、授权委托书(适用于有委托代理人的情况)</w:t>
      </w:r>
      <w:bookmarkEnd w:id="62"/>
    </w:p>
    <w:p>
      <w:pPr>
        <w:adjustRightInd w:val="0"/>
        <w:snapToGrid w:val="0"/>
        <w:spacing w:line="600" w:lineRule="exact"/>
        <w:jc w:val="both"/>
        <w:outlineLvl w:val="0"/>
        <w:rPr>
          <w:rFonts w:ascii="宋体" w:hAnsi="宋体" w:cs="仿宋"/>
          <w:sz w:val="24"/>
        </w:rPr>
      </w:pPr>
      <w:bookmarkStart w:id="63" w:name="_Toc16749"/>
      <w:r>
        <w:rPr>
          <w:rFonts w:hint="eastAsia" w:ascii="宋体" w:hAnsi="宋体" w:cs="仿宋"/>
          <w:sz w:val="24"/>
        </w:rPr>
        <w:t>三、商务和技术偏差表</w:t>
      </w:r>
      <w:bookmarkEnd w:id="63"/>
    </w:p>
    <w:p>
      <w:pPr>
        <w:adjustRightInd w:val="0"/>
        <w:snapToGrid w:val="0"/>
        <w:spacing w:line="600" w:lineRule="exact"/>
        <w:jc w:val="both"/>
        <w:outlineLvl w:val="0"/>
        <w:rPr>
          <w:rFonts w:ascii="宋体" w:hAnsi="宋体" w:cs="仿宋"/>
          <w:sz w:val="24"/>
        </w:rPr>
      </w:pPr>
      <w:bookmarkStart w:id="64" w:name="_Toc23116"/>
      <w:r>
        <w:rPr>
          <w:rFonts w:hint="eastAsia" w:ascii="宋体" w:hAnsi="宋体" w:cs="仿宋"/>
          <w:sz w:val="24"/>
        </w:rPr>
        <w:t>四、报价表</w:t>
      </w:r>
      <w:bookmarkEnd w:id="64"/>
    </w:p>
    <w:p>
      <w:pPr>
        <w:adjustRightInd w:val="0"/>
        <w:snapToGrid w:val="0"/>
        <w:spacing w:line="600" w:lineRule="exact"/>
        <w:jc w:val="both"/>
        <w:outlineLvl w:val="0"/>
        <w:rPr>
          <w:rFonts w:ascii="宋体" w:hAnsi="宋体" w:cs="仿宋"/>
          <w:sz w:val="24"/>
        </w:rPr>
      </w:pPr>
      <w:bookmarkStart w:id="65" w:name="_Toc12364"/>
      <w:r>
        <w:rPr>
          <w:rFonts w:hint="eastAsia" w:ascii="宋体" w:hAnsi="宋体" w:cs="仿宋"/>
          <w:sz w:val="24"/>
        </w:rPr>
        <w:t>五、资格审查资料</w:t>
      </w:r>
      <w:bookmarkEnd w:id="65"/>
    </w:p>
    <w:p>
      <w:pPr>
        <w:adjustRightInd w:val="0"/>
        <w:snapToGrid w:val="0"/>
        <w:spacing w:line="600" w:lineRule="exact"/>
        <w:jc w:val="both"/>
        <w:outlineLvl w:val="0"/>
        <w:rPr>
          <w:rFonts w:ascii="宋体" w:hAnsi="宋体" w:cs="仿宋"/>
          <w:sz w:val="24"/>
        </w:rPr>
      </w:pPr>
      <w:bookmarkStart w:id="66" w:name="_Toc18209"/>
      <w:r>
        <w:rPr>
          <w:rFonts w:hint="eastAsia" w:ascii="宋体" w:hAnsi="宋体" w:cs="仿宋"/>
          <w:sz w:val="24"/>
        </w:rPr>
        <w:t>六、响应方案</w:t>
      </w:r>
      <w:bookmarkEnd w:id="66"/>
    </w:p>
    <w:p>
      <w:pPr>
        <w:adjustRightInd w:val="0"/>
        <w:snapToGrid w:val="0"/>
        <w:spacing w:line="600" w:lineRule="exact"/>
        <w:jc w:val="both"/>
        <w:outlineLvl w:val="0"/>
        <w:rPr>
          <w:rFonts w:ascii="宋体" w:hAnsi="宋体" w:cs="仿宋"/>
          <w:sz w:val="24"/>
        </w:rPr>
      </w:pPr>
      <w:bookmarkStart w:id="67" w:name="_Toc2071"/>
      <w:r>
        <w:rPr>
          <w:rFonts w:hint="eastAsia" w:ascii="宋体" w:hAnsi="宋体" w:cs="仿宋"/>
          <w:sz w:val="24"/>
        </w:rPr>
        <w:t>七、其他资料</w:t>
      </w:r>
      <w:bookmarkEnd w:id="67"/>
    </w:p>
    <w:p>
      <w:pPr>
        <w:spacing w:line="600" w:lineRule="exact"/>
        <w:jc w:val="both"/>
        <w:rPr>
          <w:rFonts w:ascii="仿宋" w:hAnsi="仿宋" w:eastAsia="仿宋" w:cs="仿宋"/>
          <w:sz w:val="30"/>
          <w:szCs w:val="30"/>
        </w:rPr>
      </w:pPr>
      <w:r>
        <w:rPr>
          <w:rFonts w:hint="eastAsia" w:ascii="仿宋" w:hAnsi="仿宋" w:eastAsia="仿宋" w:cs="仿宋"/>
          <w:sz w:val="30"/>
          <w:szCs w:val="30"/>
        </w:rPr>
        <w:br w:type="page"/>
      </w:r>
    </w:p>
    <w:p>
      <w:pPr>
        <w:numPr>
          <w:ilvl w:val="0"/>
          <w:numId w:val="4"/>
        </w:numPr>
        <w:adjustRightInd w:val="0"/>
        <w:snapToGrid w:val="0"/>
        <w:spacing w:line="600" w:lineRule="exact"/>
        <w:jc w:val="center"/>
        <w:outlineLvl w:val="0"/>
        <w:rPr>
          <w:rFonts w:ascii="黑体" w:hAnsi="黑体" w:eastAsia="黑体" w:cs="仿宋"/>
          <w:sz w:val="36"/>
          <w:szCs w:val="36"/>
        </w:rPr>
      </w:pPr>
      <w:bookmarkStart w:id="68" w:name="_Toc1282"/>
      <w:r>
        <w:rPr>
          <w:rFonts w:hint="eastAsia" w:ascii="黑体" w:hAnsi="黑体" w:eastAsia="黑体" w:cs="仿宋"/>
          <w:sz w:val="36"/>
          <w:szCs w:val="36"/>
        </w:rPr>
        <w:t>响应函</w:t>
      </w:r>
      <w:bookmarkEnd w:id="68"/>
    </w:p>
    <w:p>
      <w:pPr>
        <w:adjustRightInd w:val="0"/>
        <w:snapToGrid w:val="0"/>
        <w:spacing w:line="600" w:lineRule="exact"/>
        <w:jc w:val="both"/>
        <w:rPr>
          <w:rFonts w:cs="仿宋" w:asciiTheme="minorEastAsia" w:hAnsiTheme="minorEastAsia" w:eastAsiaTheme="minorEastAsia"/>
          <w:sz w:val="24"/>
        </w:rPr>
      </w:pPr>
    </w:p>
    <w:p>
      <w:pPr>
        <w:adjustRightInd w:val="0"/>
        <w:snapToGrid w:val="0"/>
        <w:spacing w:line="600" w:lineRule="exact"/>
        <w:jc w:val="both"/>
        <w:rPr>
          <w:rFonts w:cs="仿宋" w:asciiTheme="minorEastAsia" w:hAnsiTheme="minorEastAsia" w:eastAsiaTheme="minorEastAsia"/>
          <w:sz w:val="24"/>
        </w:rPr>
      </w:pP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(采购人名称):</w:t>
      </w:r>
    </w:p>
    <w:p>
      <w:pPr>
        <w:adjustRightInd w:val="0"/>
        <w:snapToGrid w:val="0"/>
        <w:spacing w:line="600" w:lineRule="exact"/>
        <w:rPr>
          <w:rFonts w:cs="仿宋" w:asciiTheme="minorEastAsia" w:hAnsiTheme="minorEastAsia" w:eastAsiaTheme="minorEastAsia"/>
          <w:sz w:val="24"/>
        </w:rPr>
      </w:pPr>
      <w:r>
        <w:rPr>
          <w:rFonts w:hint="eastAsia" w:cs="仿宋" w:asciiTheme="minorEastAsia" w:hAnsiTheme="minorEastAsia" w:eastAsiaTheme="minorEastAsia"/>
          <w:sz w:val="24"/>
        </w:rPr>
        <w:t>1.我方已仔细研究了__(项目名称)采购文件的全部内容，愿意以含税价人民币(大写)(￥</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)的报价（其中：不含税价为: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；增值税税额为: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)完成提供本项目货物，并按合同约定履行义务。</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2.我方的响应文件包括下列内容:</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(1)响应函；</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(2)授权委托书(如有)；</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(3)商务和技术偏差表；</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(4)报价表；</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(5)资格审查资料；</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(6)响应方案；</w:t>
      </w:r>
    </w:p>
    <w:p>
      <w:pPr>
        <w:adjustRightInd w:val="0"/>
        <w:snapToGrid w:val="0"/>
        <w:spacing w:line="600" w:lineRule="exact"/>
        <w:jc w:val="both"/>
      </w:pPr>
      <w:r>
        <w:rPr>
          <w:rFonts w:hint="eastAsia" w:cs="仿宋" w:asciiTheme="minorEastAsia" w:hAnsiTheme="minorEastAsia" w:eastAsiaTheme="minorEastAsia"/>
          <w:sz w:val="24"/>
        </w:rPr>
        <w:t>(7)其他资料（如有）；</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响应文件的上述组成部分如存在内容不一致的，以响应函为准。</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3.我方承诺除商务和技术偏差表列出的偏差外，我方响应采购文件的全部要求。</w:t>
      </w:r>
    </w:p>
    <w:p>
      <w:pPr>
        <w:numPr>
          <w:ilvl w:val="0"/>
          <w:numId w:val="5"/>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我方承诺在采购文件规定的响应文件有效期内不撤销响应文件。</w:t>
      </w:r>
    </w:p>
    <w:p>
      <w:pPr>
        <w:numPr>
          <w:ilvl w:val="0"/>
          <w:numId w:val="5"/>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如我方成交，我方承诺:</w:t>
      </w:r>
    </w:p>
    <w:p>
      <w:pPr>
        <w:tabs>
          <w:tab w:val="left" w:pos="312"/>
        </w:tabs>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(1)在收到成交通知书后，在成交通知书规定的期限内与你方签订合同；</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(2)在签订合同时不向你方提出附加条件；</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(3)在合同约定的期限内完成合同规定的全部义务。</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6.我方在此声明，所递交的响应文件及有关资料内容完整、真实和准确，且</w:t>
      </w:r>
      <w:r>
        <w:rPr>
          <w:rFonts w:hint="eastAsia" w:cs="仿宋" w:asciiTheme="minorEastAsia" w:hAnsiTheme="minorEastAsia" w:eastAsiaTheme="minorEastAsia"/>
          <w:b/>
          <w:bCs/>
          <w:sz w:val="24"/>
        </w:rPr>
        <w:t>不存在第一章“采购公告”中规定的供应商不得存在的情形</w:t>
      </w:r>
      <w:r>
        <w:rPr>
          <w:rFonts w:hint="eastAsia" w:cs="仿宋" w:asciiTheme="minorEastAsia" w:hAnsiTheme="minorEastAsia" w:eastAsiaTheme="minorEastAsia"/>
          <w:sz w:val="24"/>
        </w:rPr>
        <w:t>。</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7.(其他补充说明)。</w:t>
      </w:r>
    </w:p>
    <w:p>
      <w:pPr>
        <w:adjustRightInd w:val="0"/>
        <w:snapToGrid w:val="0"/>
        <w:spacing w:line="600" w:lineRule="exact"/>
        <w:jc w:val="both"/>
        <w:rPr>
          <w:rFonts w:cs="仿宋" w:asciiTheme="minorEastAsia" w:hAnsiTheme="minorEastAsia" w:eastAsiaTheme="minorEastAsia"/>
          <w:sz w:val="24"/>
        </w:rPr>
      </w:pP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供应商:________________________(盖单位章)</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法定代表人(单位负责人)或其授权的代理人:(签字) </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地址:____________________________________________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电子邮箱：_______________________________________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电话：____________________________________________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传真：____________________________________________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邮政编码：_______________________________________</w:t>
      </w:r>
    </w:p>
    <w:p>
      <w:pPr>
        <w:spacing w:line="600" w:lineRule="exact"/>
        <w:jc w:val="both"/>
        <w:rPr>
          <w:rFonts w:cs="仿宋" w:asciiTheme="minorEastAsia" w:hAnsiTheme="minorEastAsia" w:eastAsiaTheme="minorEastAsia"/>
          <w:sz w:val="24"/>
        </w:rPr>
      </w:pPr>
    </w:p>
    <w:p>
      <w:pPr>
        <w:spacing w:line="600" w:lineRule="exact"/>
        <w:jc w:val="right"/>
        <w:rPr>
          <w:rFonts w:cs="仿宋" w:asciiTheme="minorEastAsia" w:hAnsiTheme="minorEastAsia" w:eastAsiaTheme="minorEastAsia"/>
          <w:sz w:val="24"/>
        </w:rPr>
      </w:pPr>
      <w:r>
        <w:rPr>
          <w:rFonts w:hint="eastAsia" w:cs="仿宋" w:asciiTheme="minorEastAsia" w:hAnsiTheme="minorEastAsia" w:eastAsiaTheme="minorEastAsia"/>
          <w:sz w:val="24"/>
        </w:rPr>
        <w:t xml:space="preserve">年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 xml:space="preserve">月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240" w:lineRule="auto"/>
        <w:rPr>
          <w:rFonts w:cs="宋体" w:asciiTheme="minorEastAsia" w:hAnsiTheme="minorEastAsia" w:eastAsiaTheme="minorEastAsia"/>
          <w:b/>
          <w:color w:val="000000"/>
          <w:kern w:val="0"/>
          <w:sz w:val="36"/>
          <w:szCs w:val="36"/>
        </w:rPr>
      </w:pPr>
      <w:r>
        <w:rPr>
          <w:rFonts w:hint="eastAsia" w:cs="宋体" w:asciiTheme="minorEastAsia" w:hAnsiTheme="minorEastAsia" w:eastAsiaTheme="minorEastAsia"/>
          <w:b/>
          <w:color w:val="000000"/>
          <w:kern w:val="0"/>
          <w:sz w:val="36"/>
          <w:szCs w:val="36"/>
        </w:rPr>
        <w:br w:type="page"/>
      </w:r>
    </w:p>
    <w:p>
      <w:pPr>
        <w:spacing w:line="400" w:lineRule="exact"/>
        <w:jc w:val="center"/>
        <w:rPr>
          <w:rFonts w:asciiTheme="minorEastAsia" w:hAnsiTheme="minorEastAsia" w:eastAsiaTheme="minorEastAsia"/>
          <w:color w:val="000000"/>
          <w:sz w:val="24"/>
        </w:rPr>
      </w:pPr>
      <w:r>
        <w:rPr>
          <w:rFonts w:hint="eastAsia" w:cs="宋体" w:asciiTheme="minorEastAsia" w:hAnsiTheme="minorEastAsia" w:eastAsiaTheme="minorEastAsia"/>
          <w:b/>
          <w:color w:val="000000"/>
          <w:kern w:val="0"/>
          <w:sz w:val="36"/>
          <w:szCs w:val="36"/>
        </w:rPr>
        <w:t>附：守法诚信承诺书</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××公司：</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1、我司已仔细阅读《××单位××文件》</w:t>
      </w:r>
      <w:r>
        <w:rPr>
          <w:rFonts w:cs="仿宋" w:asciiTheme="minorEastAsia" w:hAnsiTheme="minorEastAsia" w:eastAsiaTheme="minorEastAsia"/>
          <w:sz w:val="24"/>
        </w:rPr>
        <w:t>（编号</w:t>
      </w:r>
      <w:r>
        <w:rPr>
          <w:rFonts w:hint="eastAsia" w:cs="仿宋" w:asciiTheme="minorEastAsia" w:hAnsiTheme="minorEastAsia" w:eastAsiaTheme="minorEastAsia"/>
          <w:sz w:val="24"/>
        </w:rPr>
        <w:t>×</w:t>
      </w:r>
      <w:r>
        <w:rPr>
          <w:rFonts w:cs="仿宋" w:asciiTheme="minorEastAsia" w:hAnsiTheme="minorEastAsia" w:eastAsiaTheme="minorEastAsia"/>
          <w:sz w:val="24"/>
        </w:rPr>
        <w:t>×）</w:t>
      </w:r>
      <w:r>
        <w:rPr>
          <w:rFonts w:hint="eastAsia" w:cs="仿宋" w:asciiTheme="minorEastAsia" w:hAnsiTheme="minorEastAsia" w:eastAsiaTheme="minorEastAsia"/>
          <w:sz w:val="24"/>
        </w:rPr>
        <w:t>（以下</w:t>
      </w:r>
      <w:r>
        <w:rPr>
          <w:rFonts w:cs="仿宋" w:asciiTheme="minorEastAsia" w:hAnsiTheme="minorEastAsia" w:eastAsiaTheme="minorEastAsia"/>
          <w:sz w:val="24"/>
        </w:rPr>
        <w:t>简称</w:t>
      </w:r>
      <w:r>
        <w:rPr>
          <w:rFonts w:hint="eastAsia" w:cs="仿宋" w:asciiTheme="minorEastAsia" w:hAnsiTheme="minorEastAsia" w:eastAsiaTheme="minorEastAsia"/>
          <w:sz w:val="24"/>
        </w:rPr>
        <w:t>采购</w:t>
      </w:r>
      <w:r>
        <w:rPr>
          <w:rFonts w:cs="仿宋" w:asciiTheme="minorEastAsia" w:hAnsiTheme="minorEastAsia" w:eastAsiaTheme="minorEastAsia"/>
          <w:sz w:val="24"/>
        </w:rPr>
        <w:t>文件）</w:t>
      </w:r>
      <w:r>
        <w:rPr>
          <w:rFonts w:hint="eastAsia" w:cs="仿宋" w:asciiTheme="minorEastAsia" w:hAnsiTheme="minorEastAsia" w:eastAsiaTheme="minorEastAsia"/>
          <w:sz w:val="24"/>
        </w:rPr>
        <w:t>，包括采</w:t>
      </w:r>
      <w:r>
        <w:rPr>
          <w:rFonts w:cs="仿宋" w:asciiTheme="minorEastAsia" w:hAnsiTheme="minorEastAsia" w:eastAsiaTheme="minorEastAsia"/>
          <w:sz w:val="24"/>
        </w:rPr>
        <w:t>购</w:t>
      </w:r>
      <w:r>
        <w:rPr>
          <w:rFonts w:hint="eastAsia" w:cs="仿宋" w:asciiTheme="minorEastAsia" w:hAnsiTheme="minorEastAsia" w:eastAsiaTheme="minorEastAsia"/>
          <w:sz w:val="24"/>
        </w:rPr>
        <w:t>文件的澄清或修改说明</w:t>
      </w:r>
      <w:r>
        <w:rPr>
          <w:rFonts w:cs="仿宋" w:asciiTheme="minorEastAsia" w:hAnsiTheme="minorEastAsia" w:eastAsiaTheme="minorEastAsia"/>
          <w:sz w:val="24"/>
        </w:rPr>
        <w:t>，</w:t>
      </w:r>
      <w:r>
        <w:rPr>
          <w:rFonts w:hint="eastAsia" w:cs="仿宋" w:asciiTheme="minorEastAsia" w:hAnsiTheme="minorEastAsia" w:eastAsiaTheme="minorEastAsia"/>
          <w:sz w:val="24"/>
        </w:rPr>
        <w:t>完全支持并响应，不存在误解或不明。</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2、遵纪守法，不触底线，公平公正参与竞争。我司提供的《响应文件》及其资料真实合法有效。</w:t>
      </w:r>
      <w:r>
        <w:rPr>
          <w:rFonts w:cs="仿宋" w:asciiTheme="minorEastAsia" w:hAnsiTheme="minorEastAsia" w:eastAsiaTheme="minorEastAsia"/>
          <w:sz w:val="24"/>
        </w:rPr>
        <w:t xml:space="preserve"> </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3、响应期间没有因质量或</w:t>
      </w:r>
      <w:r>
        <w:rPr>
          <w:rFonts w:cs="仿宋" w:asciiTheme="minorEastAsia" w:hAnsiTheme="minorEastAsia" w:eastAsiaTheme="minorEastAsia"/>
          <w:sz w:val="24"/>
        </w:rPr>
        <w:t>服务</w:t>
      </w:r>
      <w:r>
        <w:rPr>
          <w:rFonts w:hint="eastAsia" w:cs="仿宋" w:asciiTheme="minorEastAsia" w:hAnsiTheme="minorEastAsia" w:eastAsiaTheme="minorEastAsia"/>
          <w:sz w:val="24"/>
        </w:rPr>
        <w:t>问题被采购人或采购人上级</w:t>
      </w:r>
      <w:r>
        <w:rPr>
          <w:rFonts w:cs="仿宋" w:asciiTheme="minorEastAsia" w:hAnsiTheme="minorEastAsia" w:eastAsiaTheme="minorEastAsia"/>
          <w:sz w:val="24"/>
        </w:rPr>
        <w:t>机构</w:t>
      </w:r>
      <w:r>
        <w:rPr>
          <w:rFonts w:hint="eastAsia" w:cs="仿宋" w:asciiTheme="minorEastAsia" w:hAnsiTheme="minorEastAsia" w:eastAsiaTheme="minorEastAsia"/>
          <w:sz w:val="24"/>
        </w:rPr>
        <w:t>通报且在整改期内。</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4、响应单位法定代表人为同一个人或者存在控股关系，管理关系的不同单位，没有在本项目中同时报价。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5、无联合体另外报价。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7</w:t>
      </w:r>
      <w:r>
        <w:rPr>
          <w:rFonts w:hint="eastAsia" w:cs="仿宋" w:asciiTheme="minorEastAsia" w:hAnsiTheme="minorEastAsia" w:eastAsiaTheme="minorEastAsia"/>
          <w:sz w:val="24"/>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8</w:t>
      </w:r>
      <w:r>
        <w:rPr>
          <w:rFonts w:hint="eastAsia" w:cs="仿宋" w:asciiTheme="minorEastAsia" w:hAnsiTheme="minorEastAsia" w:eastAsiaTheme="minorEastAsia"/>
          <w:sz w:val="24"/>
        </w:rPr>
        <w:t>、自我管理，知行合一，主动承担社会责任。坚持“五大发展理念”，始终为用户着想，维护同业形象，自觉接受监管，维护和谐稳定。</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9</w:t>
      </w:r>
      <w:r>
        <w:rPr>
          <w:rFonts w:hint="eastAsia" w:cs="仿宋" w:asciiTheme="minorEastAsia" w:hAnsiTheme="minorEastAsia" w:eastAsiaTheme="minorEastAsia"/>
          <w:sz w:val="24"/>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专此承诺。</w:t>
      </w:r>
    </w:p>
    <w:p>
      <w:pPr>
        <w:spacing w:line="360" w:lineRule="auto"/>
        <w:ind w:firstLine="2880" w:firstLineChars="12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w:t>
      </w:r>
      <w:r>
        <w:rPr>
          <w:rFonts w:cs="仿宋" w:asciiTheme="minorEastAsia" w:hAnsiTheme="minorEastAsia" w:eastAsiaTheme="minorEastAsia"/>
          <w:sz w:val="24"/>
        </w:rPr>
        <w:t>（</w:t>
      </w:r>
      <w:r>
        <w:rPr>
          <w:rFonts w:hint="eastAsia" w:cs="仿宋" w:asciiTheme="minorEastAsia" w:hAnsiTheme="minorEastAsia" w:eastAsiaTheme="minorEastAsia"/>
          <w:sz w:val="24"/>
        </w:rPr>
        <w:t>印刷体全称</w:t>
      </w:r>
      <w:r>
        <w:rPr>
          <w:rFonts w:cs="仿宋" w:asciiTheme="minorEastAsia" w:hAnsiTheme="minorEastAsia" w:eastAsiaTheme="minorEastAsia"/>
          <w:sz w:val="24"/>
        </w:rPr>
        <w:t>+</w:t>
      </w:r>
      <w:r>
        <w:rPr>
          <w:rFonts w:hint="eastAsia" w:cs="仿宋" w:asciiTheme="minorEastAsia" w:hAnsiTheme="minorEastAsia" w:eastAsiaTheme="minorEastAsia"/>
          <w:sz w:val="24"/>
        </w:rPr>
        <w:t>单位公章</w:t>
      </w:r>
      <w:r>
        <w:rPr>
          <w:rFonts w:cs="仿宋" w:asciiTheme="minorEastAsia" w:hAnsiTheme="minorEastAsia" w:eastAsiaTheme="minorEastAsia"/>
          <w:sz w:val="24"/>
        </w:rPr>
        <w:t>）：</w:t>
      </w: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承诺单位法定代表人或其委托代理人（印刷体+</w:t>
      </w:r>
      <w:r>
        <w:rPr>
          <w:rFonts w:cs="仿宋" w:asciiTheme="minorEastAsia" w:hAnsiTheme="minorEastAsia" w:eastAsiaTheme="minorEastAsia"/>
          <w:sz w:val="24"/>
        </w:rPr>
        <w:t>签字）：</w:t>
      </w:r>
    </w:p>
    <w:p>
      <w:pPr>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年</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月</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600" w:lineRule="exact"/>
        <w:jc w:val="center"/>
        <w:outlineLvl w:val="0"/>
        <w:rPr>
          <w:rFonts w:ascii="黑体" w:hAnsi="黑体" w:eastAsia="黑体" w:cs="仿宋"/>
          <w:sz w:val="36"/>
          <w:szCs w:val="36"/>
        </w:rPr>
      </w:pPr>
      <w:r>
        <w:rPr>
          <w:rFonts w:hint="eastAsia" w:cs="仿宋" w:asciiTheme="minorEastAsia" w:hAnsiTheme="minorEastAsia" w:eastAsiaTheme="minorEastAsia"/>
          <w:sz w:val="24"/>
        </w:rPr>
        <w:br w:type="page"/>
      </w:r>
      <w:bookmarkStart w:id="69" w:name="_Toc7753"/>
      <w:r>
        <w:rPr>
          <w:rFonts w:hint="eastAsia" w:ascii="黑体" w:hAnsi="黑体" w:eastAsia="黑体" w:cs="仿宋"/>
          <w:sz w:val="36"/>
          <w:szCs w:val="36"/>
        </w:rPr>
        <w:t>二、授权委托书</w:t>
      </w:r>
      <w:bookmarkEnd w:id="69"/>
    </w:p>
    <w:p>
      <w:pPr>
        <w:adjustRightInd w:val="0"/>
        <w:snapToGrid w:val="0"/>
        <w:spacing w:line="600" w:lineRule="exact"/>
        <w:ind w:left="420" w:leftChars="200"/>
        <w:jc w:val="both"/>
        <w:rPr>
          <w:rFonts w:cs="仿宋" w:asciiTheme="minorEastAsia" w:hAnsiTheme="minorEastAsia" w:eastAsiaTheme="minorEastAsia"/>
          <w:sz w:val="24"/>
        </w:rPr>
      </w:pPr>
    </w:p>
    <w:p>
      <w:pPr>
        <w:adjustRightInd w:val="0"/>
        <w:snapToGrid w:val="0"/>
        <w:spacing w:line="600" w:lineRule="exact"/>
        <w:ind w:left="420" w:leftChars="200"/>
        <w:jc w:val="center"/>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(适用于有委托代理人的情况)</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委托期限:自本委托书签署之日起至</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采购项目签订采购合同之日止。</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代理人无转委托权。</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附:法定代表人(单位负责人)身份证复印件及委托代理人身份证复印件。</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供应商:(盖单位章)</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法定代表人(单位负责人):(签字)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委托代理人:(签字)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600" w:lineRule="exact"/>
        <w:ind w:left="420" w:leftChars="200" w:firstLine="480" w:firstLineChars="200"/>
        <w:jc w:val="right"/>
        <w:rPr>
          <w:rFonts w:cs="仿宋" w:asciiTheme="minorEastAsia" w:hAnsiTheme="minorEastAsia" w:eastAsiaTheme="minorEastAsia"/>
          <w:sz w:val="24"/>
        </w:rPr>
      </w:pPr>
      <w:r>
        <w:rPr>
          <w:rFonts w:hint="eastAsia" w:cs="仿宋" w:asciiTheme="minorEastAsia" w:hAnsiTheme="minorEastAsia" w:eastAsiaTheme="minorEastAsia"/>
          <w:sz w:val="24"/>
        </w:rPr>
        <w:t>年   月   日</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600" w:lineRule="exact"/>
        <w:jc w:val="center"/>
        <w:outlineLvl w:val="0"/>
        <w:rPr>
          <w:rFonts w:ascii="黑体" w:hAnsi="黑体" w:eastAsia="黑体" w:cs="仿宋"/>
          <w:sz w:val="36"/>
          <w:szCs w:val="36"/>
        </w:rPr>
      </w:pPr>
      <w:bookmarkStart w:id="70" w:name="_Toc29706"/>
      <w:r>
        <w:rPr>
          <w:rFonts w:hint="eastAsia" w:ascii="黑体" w:hAnsi="黑体" w:eastAsia="黑体" w:cs="仿宋"/>
          <w:sz w:val="36"/>
          <w:szCs w:val="36"/>
        </w:rPr>
        <w:t>三、商务和技术偏差表</w:t>
      </w:r>
      <w:bookmarkEnd w:id="70"/>
    </w:p>
    <w:p>
      <w:pPr>
        <w:spacing w:line="600" w:lineRule="exact"/>
        <w:jc w:val="center"/>
        <w:rPr>
          <w:rFonts w:cs="仿宋" w:asciiTheme="minorEastAsia" w:hAnsiTheme="minorEastAsia" w:eastAsiaTheme="minorEastAsia"/>
          <w:sz w:val="24"/>
        </w:rPr>
      </w:pPr>
    </w:p>
    <w:tbl>
      <w:tblPr>
        <w:tblStyle w:val="40"/>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2809"/>
        <w:gridCol w:w="2656"/>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058"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2809"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采购文件章节及条款号</w:t>
            </w:r>
          </w:p>
        </w:tc>
        <w:tc>
          <w:tcPr>
            <w:tcW w:w="2656"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响应文件章节及条款号</w:t>
            </w:r>
          </w:p>
        </w:tc>
        <w:tc>
          <w:tcPr>
            <w:tcW w:w="2175"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rPr>
            </w:pPr>
          </w:p>
        </w:tc>
        <w:tc>
          <w:tcPr>
            <w:tcW w:w="2809" w:type="dxa"/>
          </w:tcPr>
          <w:p>
            <w:pPr>
              <w:widowControl/>
              <w:spacing w:line="600" w:lineRule="exact"/>
              <w:jc w:val="both"/>
              <w:rPr>
                <w:rFonts w:cs="仿宋" w:asciiTheme="minorEastAsia" w:hAnsiTheme="minorEastAsia" w:eastAsiaTheme="minorEastAsia"/>
                <w:sz w:val="24"/>
              </w:rPr>
            </w:pPr>
          </w:p>
        </w:tc>
        <w:tc>
          <w:tcPr>
            <w:tcW w:w="2656" w:type="dxa"/>
          </w:tcPr>
          <w:p>
            <w:pPr>
              <w:widowControl/>
              <w:spacing w:line="600" w:lineRule="exact"/>
              <w:jc w:val="both"/>
              <w:rPr>
                <w:rFonts w:cs="仿宋" w:asciiTheme="minorEastAsia" w:hAnsiTheme="minorEastAsia" w:eastAsiaTheme="minorEastAsia"/>
                <w:sz w:val="24"/>
              </w:rPr>
            </w:pPr>
          </w:p>
        </w:tc>
        <w:tc>
          <w:tcPr>
            <w:tcW w:w="217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rPr>
            </w:pPr>
          </w:p>
        </w:tc>
        <w:tc>
          <w:tcPr>
            <w:tcW w:w="2809" w:type="dxa"/>
          </w:tcPr>
          <w:p>
            <w:pPr>
              <w:widowControl/>
              <w:spacing w:line="600" w:lineRule="exact"/>
              <w:jc w:val="both"/>
              <w:rPr>
                <w:rFonts w:cs="仿宋" w:asciiTheme="minorEastAsia" w:hAnsiTheme="minorEastAsia" w:eastAsiaTheme="minorEastAsia"/>
                <w:sz w:val="24"/>
              </w:rPr>
            </w:pPr>
          </w:p>
        </w:tc>
        <w:tc>
          <w:tcPr>
            <w:tcW w:w="2656" w:type="dxa"/>
          </w:tcPr>
          <w:p>
            <w:pPr>
              <w:widowControl/>
              <w:spacing w:line="600" w:lineRule="exact"/>
              <w:jc w:val="both"/>
              <w:rPr>
                <w:rFonts w:cs="仿宋" w:asciiTheme="minorEastAsia" w:hAnsiTheme="minorEastAsia" w:eastAsiaTheme="minorEastAsia"/>
                <w:sz w:val="24"/>
              </w:rPr>
            </w:pPr>
          </w:p>
        </w:tc>
        <w:tc>
          <w:tcPr>
            <w:tcW w:w="217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vAlign w:val="center"/>
          </w:tcPr>
          <w:p>
            <w:pPr>
              <w:widowControl/>
              <w:spacing w:line="600" w:lineRule="exact"/>
              <w:jc w:val="center"/>
              <w:rPr>
                <w:rFonts w:cs="仿宋" w:asciiTheme="minorEastAsia" w:hAnsiTheme="minorEastAsia" w:eastAsiaTheme="minorEastAsia"/>
                <w:sz w:val="24"/>
              </w:rPr>
            </w:pPr>
          </w:p>
        </w:tc>
        <w:tc>
          <w:tcPr>
            <w:tcW w:w="2809" w:type="dxa"/>
            <w:vAlign w:val="center"/>
          </w:tcPr>
          <w:p>
            <w:pPr>
              <w:widowControl/>
              <w:spacing w:line="600" w:lineRule="exact"/>
              <w:jc w:val="center"/>
              <w:rPr>
                <w:rFonts w:cs="仿宋" w:asciiTheme="minorEastAsia" w:hAnsiTheme="minorEastAsia" w:eastAsiaTheme="minorEastAsia"/>
                <w:sz w:val="24"/>
              </w:rPr>
            </w:pPr>
          </w:p>
        </w:tc>
        <w:tc>
          <w:tcPr>
            <w:tcW w:w="2656" w:type="dxa"/>
            <w:vAlign w:val="center"/>
          </w:tcPr>
          <w:p>
            <w:pPr>
              <w:widowControl/>
              <w:spacing w:line="600" w:lineRule="exact"/>
              <w:jc w:val="center"/>
              <w:rPr>
                <w:rFonts w:cs="仿宋" w:asciiTheme="minorEastAsia" w:hAnsiTheme="minorEastAsia" w:eastAsiaTheme="minorEastAsia"/>
                <w:sz w:val="24"/>
              </w:rPr>
            </w:pPr>
          </w:p>
        </w:tc>
        <w:tc>
          <w:tcPr>
            <w:tcW w:w="2175" w:type="dxa"/>
            <w:vAlign w:val="center"/>
          </w:tcPr>
          <w:p>
            <w:pPr>
              <w:widowControl/>
              <w:spacing w:line="600" w:lineRule="exact"/>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058" w:type="dxa"/>
            <w:vAlign w:val="center"/>
          </w:tcPr>
          <w:p>
            <w:pPr>
              <w:widowControl/>
              <w:spacing w:line="600" w:lineRule="exact"/>
              <w:jc w:val="center"/>
              <w:rPr>
                <w:rFonts w:cs="仿宋" w:asciiTheme="minorEastAsia" w:hAnsiTheme="minorEastAsia" w:eastAsiaTheme="minorEastAsia"/>
                <w:sz w:val="24"/>
              </w:rPr>
            </w:pPr>
          </w:p>
        </w:tc>
        <w:tc>
          <w:tcPr>
            <w:tcW w:w="2809" w:type="dxa"/>
            <w:vAlign w:val="center"/>
          </w:tcPr>
          <w:p>
            <w:pPr>
              <w:widowControl/>
              <w:spacing w:line="600" w:lineRule="exact"/>
              <w:jc w:val="center"/>
              <w:rPr>
                <w:rFonts w:cs="仿宋" w:asciiTheme="minorEastAsia" w:hAnsiTheme="minorEastAsia" w:eastAsiaTheme="minorEastAsia"/>
                <w:sz w:val="24"/>
              </w:rPr>
            </w:pPr>
          </w:p>
        </w:tc>
        <w:tc>
          <w:tcPr>
            <w:tcW w:w="2656" w:type="dxa"/>
            <w:vAlign w:val="center"/>
          </w:tcPr>
          <w:p>
            <w:pPr>
              <w:widowControl/>
              <w:spacing w:line="600" w:lineRule="exact"/>
              <w:jc w:val="center"/>
              <w:rPr>
                <w:rFonts w:cs="仿宋" w:asciiTheme="minorEastAsia" w:hAnsiTheme="minorEastAsia" w:eastAsiaTheme="minorEastAsia"/>
                <w:sz w:val="24"/>
              </w:rPr>
            </w:pPr>
          </w:p>
        </w:tc>
        <w:tc>
          <w:tcPr>
            <w:tcW w:w="2175" w:type="dxa"/>
            <w:vAlign w:val="center"/>
          </w:tcPr>
          <w:p>
            <w:pPr>
              <w:widowControl/>
              <w:spacing w:line="600" w:lineRule="exact"/>
              <w:jc w:val="center"/>
              <w:rPr>
                <w:rFonts w:cs="仿宋" w:asciiTheme="minorEastAsia" w:hAnsiTheme="minorEastAsia" w:eastAsiaTheme="minorEastAsia"/>
                <w:sz w:val="24"/>
              </w:rPr>
            </w:pPr>
          </w:p>
        </w:tc>
      </w:tr>
    </w:tbl>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供应商保证：除商务和技术偏差表列出的偏差外，供应商响应采购文件的全部要求。</w:t>
      </w:r>
    </w:p>
    <w:p>
      <w:pPr>
        <w:spacing w:line="240" w:lineRule="auto"/>
        <w:rPr>
          <w:rFonts w:ascii="黑体" w:hAnsi="黑体" w:eastAsia="黑体" w:cs="仿宋"/>
          <w:color w:val="FF0000"/>
          <w:sz w:val="36"/>
          <w:szCs w:val="36"/>
        </w:rPr>
      </w:pPr>
      <w:r>
        <w:rPr>
          <w:rFonts w:hint="eastAsia" w:ascii="黑体" w:hAnsi="黑体" w:eastAsia="黑体" w:cs="仿宋"/>
          <w:sz w:val="36"/>
          <w:szCs w:val="36"/>
        </w:rPr>
        <w:br w:type="page"/>
      </w:r>
    </w:p>
    <w:p>
      <w:pPr>
        <w:spacing w:line="600" w:lineRule="exact"/>
        <w:ind w:left="420"/>
        <w:jc w:val="center"/>
        <w:outlineLvl w:val="0"/>
        <w:rPr>
          <w:rFonts w:ascii="黑体" w:hAnsi="黑体" w:eastAsia="黑体" w:cs="仿宋"/>
          <w:sz w:val="36"/>
          <w:szCs w:val="36"/>
        </w:rPr>
      </w:pPr>
      <w:bookmarkStart w:id="71" w:name="_Toc22774"/>
      <w:r>
        <w:rPr>
          <w:rFonts w:hint="eastAsia" w:ascii="黑体" w:hAnsi="黑体" w:eastAsia="黑体" w:cs="仿宋"/>
          <w:sz w:val="36"/>
          <w:szCs w:val="36"/>
        </w:rPr>
        <w:t>四、报价表</w:t>
      </w:r>
      <w:bookmarkEnd w:id="71"/>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1.报价表说明</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2.报价表</w:t>
      </w:r>
    </w:p>
    <w:p>
      <w:pPr>
        <w:pStyle w:val="16"/>
        <w:jc w:val="right"/>
        <w:rPr>
          <w:rFonts w:eastAsiaTheme="minorEastAsia"/>
        </w:rPr>
      </w:pPr>
      <w:r>
        <w:rPr>
          <w:rFonts w:hint="eastAsia" w:cs="仿宋" w:asciiTheme="minorEastAsia" w:hAnsiTheme="minorEastAsia" w:eastAsiaTheme="minorEastAsia"/>
          <w:sz w:val="24"/>
        </w:rPr>
        <w:t>单位：元</w:t>
      </w:r>
    </w:p>
    <w:tbl>
      <w:tblPr>
        <w:tblStyle w:val="40"/>
        <w:tblW w:w="9073" w:type="dxa"/>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380"/>
        <w:gridCol w:w="2325"/>
        <w:gridCol w:w="660"/>
        <w:gridCol w:w="695"/>
        <w:gridCol w:w="1170"/>
        <w:gridCol w:w="1170"/>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722" w:type="dxa"/>
            <w:vAlign w:val="center"/>
          </w:tcPr>
          <w:p>
            <w:pPr>
              <w:widowControl/>
              <w:spacing w:line="288" w:lineRule="auto"/>
              <w:jc w:val="center"/>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序号</w:t>
            </w:r>
          </w:p>
        </w:tc>
        <w:tc>
          <w:tcPr>
            <w:tcW w:w="1380" w:type="dxa"/>
            <w:vAlign w:val="center"/>
          </w:tcPr>
          <w:p>
            <w:pPr>
              <w:widowControl/>
              <w:spacing w:line="288" w:lineRule="auto"/>
              <w:jc w:val="center"/>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产品</w:t>
            </w:r>
          </w:p>
          <w:p>
            <w:pPr>
              <w:widowControl/>
              <w:spacing w:line="288" w:lineRule="auto"/>
              <w:jc w:val="center"/>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名称</w:t>
            </w:r>
          </w:p>
        </w:tc>
        <w:tc>
          <w:tcPr>
            <w:tcW w:w="2325" w:type="dxa"/>
            <w:vAlign w:val="center"/>
          </w:tcPr>
          <w:p>
            <w:pPr>
              <w:widowControl/>
              <w:spacing w:line="288" w:lineRule="auto"/>
              <w:jc w:val="center"/>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规格</w:t>
            </w:r>
          </w:p>
          <w:p>
            <w:pPr>
              <w:widowControl/>
              <w:spacing w:line="288" w:lineRule="auto"/>
              <w:jc w:val="center"/>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型号</w:t>
            </w:r>
          </w:p>
        </w:tc>
        <w:tc>
          <w:tcPr>
            <w:tcW w:w="660" w:type="dxa"/>
            <w:vAlign w:val="center"/>
          </w:tcPr>
          <w:p>
            <w:pPr>
              <w:widowControl/>
              <w:spacing w:line="288" w:lineRule="auto"/>
              <w:jc w:val="center"/>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单位</w:t>
            </w:r>
          </w:p>
        </w:tc>
        <w:tc>
          <w:tcPr>
            <w:tcW w:w="695" w:type="dxa"/>
            <w:vAlign w:val="center"/>
          </w:tcPr>
          <w:p>
            <w:pPr>
              <w:widowControl/>
              <w:spacing w:line="288" w:lineRule="auto"/>
              <w:jc w:val="center"/>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数量</w:t>
            </w:r>
          </w:p>
        </w:tc>
        <w:tc>
          <w:tcPr>
            <w:tcW w:w="1170" w:type="dxa"/>
            <w:vAlign w:val="center"/>
          </w:tcPr>
          <w:p>
            <w:pPr>
              <w:widowControl/>
              <w:spacing w:line="288" w:lineRule="auto"/>
              <w:jc w:val="center"/>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含税</w:t>
            </w:r>
          </w:p>
          <w:p>
            <w:pPr>
              <w:widowControl/>
              <w:spacing w:line="288" w:lineRule="auto"/>
              <w:jc w:val="center"/>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单价</w:t>
            </w:r>
          </w:p>
        </w:tc>
        <w:tc>
          <w:tcPr>
            <w:tcW w:w="1170" w:type="dxa"/>
            <w:vAlign w:val="center"/>
          </w:tcPr>
          <w:p>
            <w:pPr>
              <w:widowControl/>
              <w:spacing w:line="288" w:lineRule="auto"/>
              <w:jc w:val="center"/>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含税</w:t>
            </w:r>
          </w:p>
          <w:p>
            <w:pPr>
              <w:widowControl/>
              <w:spacing w:line="288" w:lineRule="auto"/>
              <w:jc w:val="center"/>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合价</w:t>
            </w:r>
          </w:p>
        </w:tc>
        <w:tc>
          <w:tcPr>
            <w:tcW w:w="951" w:type="dxa"/>
            <w:vAlign w:val="center"/>
          </w:tcPr>
          <w:p>
            <w:pPr>
              <w:widowControl/>
              <w:spacing w:line="288" w:lineRule="auto"/>
              <w:jc w:val="center"/>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722" w:type="dxa"/>
            <w:vAlign w:val="center"/>
          </w:tcPr>
          <w:p>
            <w:pPr>
              <w:widowControl/>
              <w:spacing w:line="600" w:lineRule="exact"/>
              <w:jc w:val="center"/>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1</w:t>
            </w:r>
          </w:p>
        </w:tc>
        <w:tc>
          <w:tcPr>
            <w:tcW w:w="1380" w:type="dxa"/>
            <w:vAlign w:val="center"/>
          </w:tcPr>
          <w:p>
            <w:pPr>
              <w:widowControl/>
              <w:spacing w:line="600" w:lineRule="exact"/>
              <w:jc w:val="center"/>
              <w:rPr>
                <w:rFonts w:cs="仿宋" w:asciiTheme="minorEastAsia" w:hAnsiTheme="minorEastAsia" w:eastAsiaTheme="minorEastAsia"/>
                <w:sz w:val="22"/>
                <w:szCs w:val="22"/>
              </w:rPr>
            </w:pPr>
          </w:p>
        </w:tc>
        <w:tc>
          <w:tcPr>
            <w:tcW w:w="2325" w:type="dxa"/>
            <w:vAlign w:val="center"/>
          </w:tcPr>
          <w:p>
            <w:pPr>
              <w:widowControl/>
              <w:spacing w:line="600" w:lineRule="exact"/>
              <w:jc w:val="center"/>
              <w:rPr>
                <w:rFonts w:cs="仿宋" w:asciiTheme="minorEastAsia" w:hAnsiTheme="minorEastAsia" w:eastAsiaTheme="minorEastAsia"/>
                <w:sz w:val="22"/>
                <w:szCs w:val="22"/>
              </w:rPr>
            </w:pPr>
          </w:p>
        </w:tc>
        <w:tc>
          <w:tcPr>
            <w:tcW w:w="660" w:type="dxa"/>
            <w:vAlign w:val="center"/>
          </w:tcPr>
          <w:p>
            <w:pPr>
              <w:widowControl/>
              <w:spacing w:line="600" w:lineRule="exact"/>
              <w:jc w:val="center"/>
              <w:rPr>
                <w:rFonts w:cs="仿宋" w:asciiTheme="minorEastAsia" w:hAnsiTheme="minorEastAsia" w:eastAsiaTheme="minorEastAsia"/>
                <w:sz w:val="22"/>
                <w:szCs w:val="22"/>
              </w:rPr>
            </w:pPr>
          </w:p>
        </w:tc>
        <w:tc>
          <w:tcPr>
            <w:tcW w:w="695" w:type="dxa"/>
            <w:vAlign w:val="center"/>
          </w:tcPr>
          <w:p>
            <w:pPr>
              <w:widowControl/>
              <w:spacing w:line="288" w:lineRule="auto"/>
              <w:jc w:val="center"/>
              <w:rPr>
                <w:rFonts w:cs="仿宋" w:asciiTheme="minorEastAsia" w:hAnsiTheme="minorEastAsia" w:eastAsiaTheme="minorEastAsia"/>
                <w:sz w:val="22"/>
                <w:szCs w:val="22"/>
              </w:rPr>
            </w:pPr>
          </w:p>
        </w:tc>
        <w:tc>
          <w:tcPr>
            <w:tcW w:w="1170" w:type="dxa"/>
            <w:vAlign w:val="center"/>
          </w:tcPr>
          <w:p>
            <w:pPr>
              <w:widowControl/>
              <w:spacing w:line="288" w:lineRule="auto"/>
              <w:jc w:val="center"/>
              <w:rPr>
                <w:rFonts w:cs="仿宋" w:asciiTheme="minorEastAsia" w:hAnsiTheme="minorEastAsia" w:eastAsiaTheme="minorEastAsia"/>
                <w:sz w:val="22"/>
                <w:szCs w:val="22"/>
              </w:rPr>
            </w:pPr>
          </w:p>
        </w:tc>
        <w:tc>
          <w:tcPr>
            <w:tcW w:w="1170" w:type="dxa"/>
            <w:vAlign w:val="center"/>
          </w:tcPr>
          <w:p>
            <w:pPr>
              <w:widowControl/>
              <w:spacing w:line="288" w:lineRule="auto"/>
              <w:jc w:val="center"/>
              <w:rPr>
                <w:rFonts w:cs="仿宋" w:asciiTheme="minorEastAsia" w:hAnsiTheme="minorEastAsia" w:eastAsiaTheme="minorEastAsia"/>
                <w:sz w:val="22"/>
                <w:szCs w:val="22"/>
              </w:rPr>
            </w:pPr>
          </w:p>
        </w:tc>
        <w:tc>
          <w:tcPr>
            <w:tcW w:w="951" w:type="dxa"/>
            <w:vAlign w:val="center"/>
          </w:tcPr>
          <w:p>
            <w:pPr>
              <w:widowControl/>
              <w:spacing w:line="288" w:lineRule="auto"/>
              <w:jc w:val="center"/>
              <w:rPr>
                <w:rFonts w:cs="仿宋"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722" w:type="dxa"/>
            <w:vAlign w:val="center"/>
          </w:tcPr>
          <w:p>
            <w:pPr>
              <w:widowControl/>
              <w:spacing w:line="600" w:lineRule="exact"/>
              <w:jc w:val="center"/>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2</w:t>
            </w:r>
          </w:p>
        </w:tc>
        <w:tc>
          <w:tcPr>
            <w:tcW w:w="1380" w:type="dxa"/>
            <w:vAlign w:val="center"/>
          </w:tcPr>
          <w:p>
            <w:pPr>
              <w:widowControl/>
              <w:spacing w:line="600" w:lineRule="exact"/>
              <w:jc w:val="center"/>
              <w:rPr>
                <w:rFonts w:cs="仿宋" w:asciiTheme="minorEastAsia" w:hAnsiTheme="minorEastAsia" w:eastAsiaTheme="minorEastAsia"/>
                <w:sz w:val="22"/>
                <w:szCs w:val="22"/>
              </w:rPr>
            </w:pPr>
          </w:p>
        </w:tc>
        <w:tc>
          <w:tcPr>
            <w:tcW w:w="2325" w:type="dxa"/>
            <w:vAlign w:val="center"/>
          </w:tcPr>
          <w:p>
            <w:pPr>
              <w:widowControl/>
              <w:spacing w:line="600" w:lineRule="exact"/>
              <w:jc w:val="center"/>
              <w:rPr>
                <w:rFonts w:cs="仿宋" w:asciiTheme="minorEastAsia" w:hAnsiTheme="minorEastAsia" w:eastAsiaTheme="minorEastAsia"/>
                <w:sz w:val="22"/>
                <w:szCs w:val="22"/>
              </w:rPr>
            </w:pPr>
          </w:p>
        </w:tc>
        <w:tc>
          <w:tcPr>
            <w:tcW w:w="660" w:type="dxa"/>
            <w:vAlign w:val="center"/>
          </w:tcPr>
          <w:p>
            <w:pPr>
              <w:widowControl/>
              <w:spacing w:line="600" w:lineRule="exact"/>
              <w:jc w:val="center"/>
              <w:rPr>
                <w:rFonts w:cs="仿宋" w:asciiTheme="minorEastAsia" w:hAnsiTheme="minorEastAsia" w:eastAsiaTheme="minorEastAsia"/>
                <w:sz w:val="22"/>
                <w:szCs w:val="22"/>
              </w:rPr>
            </w:pPr>
          </w:p>
        </w:tc>
        <w:tc>
          <w:tcPr>
            <w:tcW w:w="695" w:type="dxa"/>
            <w:vAlign w:val="center"/>
          </w:tcPr>
          <w:p>
            <w:pPr>
              <w:widowControl/>
              <w:spacing w:line="600" w:lineRule="exact"/>
              <w:jc w:val="center"/>
              <w:rPr>
                <w:rFonts w:cs="仿宋" w:asciiTheme="minorEastAsia" w:hAnsiTheme="minorEastAsia" w:eastAsiaTheme="minorEastAsia"/>
                <w:sz w:val="22"/>
                <w:szCs w:val="22"/>
              </w:rPr>
            </w:pPr>
          </w:p>
        </w:tc>
        <w:tc>
          <w:tcPr>
            <w:tcW w:w="1170" w:type="dxa"/>
            <w:vAlign w:val="center"/>
          </w:tcPr>
          <w:p>
            <w:pPr>
              <w:widowControl/>
              <w:spacing w:line="600" w:lineRule="exact"/>
              <w:jc w:val="center"/>
              <w:rPr>
                <w:rFonts w:cs="仿宋" w:asciiTheme="minorEastAsia" w:hAnsiTheme="minorEastAsia" w:eastAsiaTheme="minorEastAsia"/>
                <w:sz w:val="22"/>
                <w:szCs w:val="22"/>
              </w:rPr>
            </w:pPr>
          </w:p>
        </w:tc>
        <w:tc>
          <w:tcPr>
            <w:tcW w:w="1170" w:type="dxa"/>
            <w:vAlign w:val="center"/>
          </w:tcPr>
          <w:p>
            <w:pPr>
              <w:widowControl/>
              <w:spacing w:line="600" w:lineRule="exact"/>
              <w:jc w:val="center"/>
              <w:rPr>
                <w:rFonts w:cs="仿宋" w:asciiTheme="minorEastAsia" w:hAnsiTheme="minorEastAsia" w:eastAsiaTheme="minorEastAsia"/>
                <w:sz w:val="22"/>
                <w:szCs w:val="22"/>
              </w:rPr>
            </w:pPr>
          </w:p>
        </w:tc>
        <w:tc>
          <w:tcPr>
            <w:tcW w:w="951" w:type="dxa"/>
            <w:vAlign w:val="center"/>
          </w:tcPr>
          <w:p>
            <w:pPr>
              <w:widowControl/>
              <w:spacing w:line="600" w:lineRule="exact"/>
              <w:jc w:val="center"/>
              <w:rPr>
                <w:rFonts w:cs="仿宋"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722" w:type="dxa"/>
            <w:vAlign w:val="center"/>
          </w:tcPr>
          <w:p>
            <w:pPr>
              <w:widowControl/>
              <w:spacing w:line="600" w:lineRule="exact"/>
              <w:jc w:val="center"/>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w:t>
            </w:r>
          </w:p>
        </w:tc>
        <w:tc>
          <w:tcPr>
            <w:tcW w:w="1380" w:type="dxa"/>
            <w:vAlign w:val="center"/>
          </w:tcPr>
          <w:p>
            <w:pPr>
              <w:widowControl/>
              <w:spacing w:line="600" w:lineRule="exact"/>
              <w:jc w:val="center"/>
              <w:rPr>
                <w:rFonts w:cs="仿宋" w:asciiTheme="minorEastAsia" w:hAnsiTheme="minorEastAsia" w:eastAsiaTheme="minorEastAsia"/>
                <w:sz w:val="22"/>
                <w:szCs w:val="22"/>
              </w:rPr>
            </w:pPr>
          </w:p>
        </w:tc>
        <w:tc>
          <w:tcPr>
            <w:tcW w:w="2325" w:type="dxa"/>
            <w:vAlign w:val="center"/>
          </w:tcPr>
          <w:p>
            <w:pPr>
              <w:widowControl/>
              <w:spacing w:line="600" w:lineRule="exact"/>
              <w:jc w:val="center"/>
              <w:rPr>
                <w:rFonts w:cs="仿宋" w:asciiTheme="minorEastAsia" w:hAnsiTheme="minorEastAsia" w:eastAsiaTheme="minorEastAsia"/>
                <w:sz w:val="22"/>
                <w:szCs w:val="22"/>
              </w:rPr>
            </w:pPr>
          </w:p>
        </w:tc>
        <w:tc>
          <w:tcPr>
            <w:tcW w:w="660" w:type="dxa"/>
            <w:vAlign w:val="center"/>
          </w:tcPr>
          <w:p>
            <w:pPr>
              <w:widowControl/>
              <w:spacing w:line="600" w:lineRule="exact"/>
              <w:jc w:val="center"/>
              <w:rPr>
                <w:rFonts w:cs="仿宋" w:asciiTheme="minorEastAsia" w:hAnsiTheme="minorEastAsia" w:eastAsiaTheme="minorEastAsia"/>
                <w:sz w:val="22"/>
                <w:szCs w:val="22"/>
              </w:rPr>
            </w:pPr>
          </w:p>
        </w:tc>
        <w:tc>
          <w:tcPr>
            <w:tcW w:w="695" w:type="dxa"/>
            <w:vAlign w:val="center"/>
          </w:tcPr>
          <w:p>
            <w:pPr>
              <w:widowControl/>
              <w:spacing w:line="600" w:lineRule="exact"/>
              <w:jc w:val="center"/>
              <w:rPr>
                <w:rFonts w:cs="仿宋" w:asciiTheme="minorEastAsia" w:hAnsiTheme="minorEastAsia" w:eastAsiaTheme="minorEastAsia"/>
                <w:sz w:val="22"/>
                <w:szCs w:val="22"/>
              </w:rPr>
            </w:pPr>
          </w:p>
        </w:tc>
        <w:tc>
          <w:tcPr>
            <w:tcW w:w="1170" w:type="dxa"/>
            <w:vAlign w:val="center"/>
          </w:tcPr>
          <w:p>
            <w:pPr>
              <w:widowControl/>
              <w:spacing w:line="600" w:lineRule="exact"/>
              <w:jc w:val="center"/>
              <w:rPr>
                <w:rFonts w:cs="仿宋" w:asciiTheme="minorEastAsia" w:hAnsiTheme="minorEastAsia" w:eastAsiaTheme="minorEastAsia"/>
                <w:sz w:val="22"/>
                <w:szCs w:val="22"/>
              </w:rPr>
            </w:pPr>
          </w:p>
        </w:tc>
        <w:tc>
          <w:tcPr>
            <w:tcW w:w="1170" w:type="dxa"/>
            <w:vAlign w:val="center"/>
          </w:tcPr>
          <w:p>
            <w:pPr>
              <w:widowControl/>
              <w:spacing w:line="600" w:lineRule="exact"/>
              <w:jc w:val="center"/>
              <w:rPr>
                <w:rFonts w:cs="仿宋" w:asciiTheme="minorEastAsia" w:hAnsiTheme="minorEastAsia" w:eastAsiaTheme="minorEastAsia"/>
                <w:sz w:val="22"/>
                <w:szCs w:val="22"/>
              </w:rPr>
            </w:pPr>
          </w:p>
        </w:tc>
        <w:tc>
          <w:tcPr>
            <w:tcW w:w="951" w:type="dxa"/>
            <w:vAlign w:val="center"/>
          </w:tcPr>
          <w:p>
            <w:pPr>
              <w:widowControl/>
              <w:spacing w:line="600" w:lineRule="exact"/>
              <w:jc w:val="center"/>
              <w:rPr>
                <w:rFonts w:cs="仿宋"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5782" w:type="dxa"/>
            <w:gridSpan w:val="5"/>
            <w:vAlign w:val="center"/>
          </w:tcPr>
          <w:p>
            <w:pPr>
              <w:widowControl/>
              <w:spacing w:line="600" w:lineRule="exact"/>
              <w:jc w:val="center"/>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总报价（含</w:t>
            </w:r>
            <w:r>
              <w:rPr>
                <w:rFonts w:hint="eastAsia" w:cs="仿宋" w:asciiTheme="minorEastAsia" w:hAnsiTheme="minorEastAsia" w:eastAsiaTheme="minorEastAsia"/>
                <w:sz w:val="22"/>
                <w:szCs w:val="22"/>
                <w:u w:val="single"/>
              </w:rPr>
              <w:t xml:space="preserve">    %</w:t>
            </w:r>
            <w:r>
              <w:rPr>
                <w:rFonts w:hint="eastAsia" w:cs="仿宋" w:asciiTheme="minorEastAsia" w:hAnsiTheme="minorEastAsia" w:eastAsiaTheme="minorEastAsia"/>
                <w:sz w:val="22"/>
                <w:szCs w:val="22"/>
              </w:rPr>
              <w:t>增值税）</w:t>
            </w:r>
          </w:p>
        </w:tc>
        <w:tc>
          <w:tcPr>
            <w:tcW w:w="3291" w:type="dxa"/>
            <w:gridSpan w:val="3"/>
            <w:vAlign w:val="center"/>
          </w:tcPr>
          <w:p>
            <w:pPr>
              <w:widowControl/>
              <w:spacing w:line="600" w:lineRule="exact"/>
              <w:jc w:val="center"/>
              <w:rPr>
                <w:rFonts w:cs="仿宋" w:asciiTheme="minorEastAsia" w:hAnsiTheme="minorEastAsia" w:eastAsiaTheme="minorEastAsia"/>
                <w:sz w:val="22"/>
                <w:szCs w:val="22"/>
              </w:rPr>
            </w:pPr>
          </w:p>
        </w:tc>
      </w:tr>
    </w:tbl>
    <w:p>
      <w:pPr>
        <w:spacing w:line="360" w:lineRule="auto"/>
        <w:jc w:val="both"/>
        <w:rPr>
          <w:rFonts w:cs="仿宋" w:asciiTheme="minorEastAsia" w:hAnsiTheme="minorEastAsia" w:eastAsiaTheme="minorEastAsia"/>
          <w:sz w:val="24"/>
        </w:rPr>
      </w:pPr>
    </w:p>
    <w:p>
      <w:pPr>
        <w:spacing w:line="360" w:lineRule="auto"/>
        <w:jc w:val="both"/>
        <w:rPr>
          <w:rFonts w:cs="仿宋" w:asciiTheme="minorEastAsia" w:hAnsiTheme="minorEastAsia" w:eastAsiaTheme="minorEastAsia"/>
          <w:sz w:val="24"/>
        </w:rPr>
      </w:pPr>
    </w:p>
    <w:p>
      <w:pPr>
        <w:spacing w:line="360" w:lineRule="auto"/>
        <w:ind w:firstLine="3600" w:firstLineChars="15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供应商名称（盖章）：</w:t>
      </w:r>
      <w:r>
        <w:rPr>
          <w:rFonts w:hint="eastAsia" w:cs="仿宋" w:asciiTheme="minorEastAsia" w:hAnsiTheme="minorEastAsia" w:eastAsiaTheme="minorEastAsia"/>
          <w:sz w:val="24"/>
          <w:u w:val="single"/>
        </w:rPr>
        <w:t xml:space="preserve">                    </w:t>
      </w:r>
    </w:p>
    <w:p>
      <w:pPr>
        <w:pStyle w:val="16"/>
        <w:spacing w:line="360" w:lineRule="auto"/>
        <w:ind w:firstLine="5280" w:firstLineChars="2200"/>
      </w:pPr>
      <w:r>
        <w:rPr>
          <w:rFonts w:hint="eastAsia" w:cs="仿宋" w:asciiTheme="minorEastAsia" w:hAnsiTheme="minorEastAsia" w:eastAsiaTheme="minorEastAsia"/>
          <w:sz w:val="24"/>
        </w:rPr>
        <w:t>年    月    日</w:t>
      </w:r>
    </w:p>
    <w:p>
      <w:pPr>
        <w:spacing w:line="600" w:lineRule="exact"/>
        <w:jc w:val="both"/>
        <w:rPr>
          <w:rFonts w:cs="仿宋" w:asciiTheme="minorEastAsia" w:hAnsiTheme="minorEastAsia" w:eastAsiaTheme="minorEastAsia"/>
          <w:sz w:val="24"/>
        </w:rPr>
      </w:pP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注：1、本页需加盖公章。</w:t>
      </w:r>
    </w:p>
    <w:p>
      <w:pPr>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2、有抵税需求的采购项目，按照附录原则比价，采购人应在采购文件中注明。</w:t>
      </w:r>
    </w:p>
    <w:p>
      <w:pPr>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600" w:lineRule="exact"/>
        <w:jc w:val="center"/>
        <w:outlineLvl w:val="0"/>
        <w:rPr>
          <w:rFonts w:ascii="黑体" w:hAnsi="黑体" w:eastAsia="黑体" w:cs="仿宋"/>
          <w:sz w:val="36"/>
          <w:szCs w:val="36"/>
        </w:rPr>
      </w:pPr>
      <w:bookmarkStart w:id="72" w:name="_Toc22232"/>
      <w:r>
        <w:rPr>
          <w:rFonts w:hint="eastAsia" w:ascii="黑体" w:hAnsi="黑体" w:eastAsia="黑体" w:cs="仿宋"/>
          <w:sz w:val="36"/>
          <w:szCs w:val="36"/>
        </w:rPr>
        <w:t>五、资格审查资料</w:t>
      </w:r>
      <w:bookmarkEnd w:id="72"/>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（一）基本情况</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供应商应根据供应商须知前附表第3.5（1）项和第3.5（2）项的要求提供主体资格证明及相关资质证明资料。</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供应商还应根据供应商须知前地表第3.5（5）项、第3.5（7）项和第3.5（8）项的要求提供其他相关证明材料。</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（二）近年财务状况</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供应商应根据供应商须知前附表第3.5（3）项的要求提供近年财务会计报表复印件。</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（三）近年的类似项目情况表</w:t>
      </w:r>
    </w:p>
    <w:tbl>
      <w:tblPr>
        <w:tblStyle w:val="40"/>
        <w:tblW w:w="8866"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5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3261" w:type="dxa"/>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货物名称</w:t>
            </w:r>
          </w:p>
        </w:tc>
        <w:tc>
          <w:tcPr>
            <w:tcW w:w="5605" w:type="dxa"/>
            <w:vAlign w:val="center"/>
          </w:tcPr>
          <w:p>
            <w:pPr>
              <w:widowControl/>
              <w:spacing w:line="288"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3261" w:type="dxa"/>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规格和型号</w:t>
            </w:r>
          </w:p>
        </w:tc>
        <w:tc>
          <w:tcPr>
            <w:tcW w:w="5605" w:type="dxa"/>
            <w:vAlign w:val="center"/>
          </w:tcPr>
          <w:p>
            <w:pPr>
              <w:widowControl/>
              <w:spacing w:line="288"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3261" w:type="dxa"/>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项目名称</w:t>
            </w:r>
          </w:p>
        </w:tc>
        <w:tc>
          <w:tcPr>
            <w:tcW w:w="5605" w:type="dxa"/>
            <w:vAlign w:val="center"/>
          </w:tcPr>
          <w:p>
            <w:pPr>
              <w:widowControl/>
              <w:spacing w:line="288"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3261" w:type="dxa"/>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买方名称</w:t>
            </w:r>
          </w:p>
        </w:tc>
        <w:tc>
          <w:tcPr>
            <w:tcW w:w="5605" w:type="dxa"/>
            <w:vAlign w:val="center"/>
          </w:tcPr>
          <w:p>
            <w:pPr>
              <w:widowControl/>
              <w:spacing w:line="288"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3261" w:type="dxa"/>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买方联系人及电话</w:t>
            </w:r>
          </w:p>
        </w:tc>
        <w:tc>
          <w:tcPr>
            <w:tcW w:w="5605" w:type="dxa"/>
            <w:vAlign w:val="center"/>
          </w:tcPr>
          <w:p>
            <w:pPr>
              <w:widowControl/>
              <w:spacing w:line="288"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3261" w:type="dxa"/>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合同价格</w:t>
            </w:r>
          </w:p>
        </w:tc>
        <w:tc>
          <w:tcPr>
            <w:tcW w:w="5605" w:type="dxa"/>
            <w:vAlign w:val="center"/>
          </w:tcPr>
          <w:p>
            <w:pPr>
              <w:widowControl/>
              <w:spacing w:line="288"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3261" w:type="dxa"/>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项目概况及供应商履约情况</w:t>
            </w:r>
          </w:p>
        </w:tc>
        <w:tc>
          <w:tcPr>
            <w:tcW w:w="5605" w:type="dxa"/>
            <w:vAlign w:val="center"/>
          </w:tcPr>
          <w:p>
            <w:pPr>
              <w:widowControl/>
              <w:spacing w:line="288"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3261" w:type="dxa"/>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c>
          <w:tcPr>
            <w:tcW w:w="5605" w:type="dxa"/>
            <w:vAlign w:val="center"/>
          </w:tcPr>
          <w:p>
            <w:pPr>
              <w:widowControl/>
              <w:spacing w:line="288" w:lineRule="auto"/>
              <w:jc w:val="center"/>
              <w:rPr>
                <w:rFonts w:cs="仿宋" w:asciiTheme="minorEastAsia" w:hAnsiTheme="minorEastAsia" w:eastAsiaTheme="minorEastAsia"/>
                <w:sz w:val="24"/>
              </w:rPr>
            </w:pPr>
          </w:p>
        </w:tc>
      </w:tr>
    </w:tbl>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注：供应商应根据供应商须知前附表第3.5（4）项的要求在本表后附相关证明材料。</w:t>
      </w:r>
    </w:p>
    <w:p>
      <w:pPr>
        <w:numPr>
          <w:ilvl w:val="255"/>
          <w:numId w:val="0"/>
        </w:numPr>
        <w:spacing w:line="600" w:lineRule="exact"/>
        <w:jc w:val="both"/>
        <w:rPr>
          <w:rFonts w:ascii="宋体" w:hAnsi="宋体" w:cs="宋体"/>
          <w:sz w:val="24"/>
        </w:rPr>
      </w:pPr>
      <w:r>
        <w:rPr>
          <w:rFonts w:hint="eastAsia" w:cs="仿宋" w:asciiTheme="minorEastAsia" w:hAnsiTheme="minorEastAsia" w:eastAsiaTheme="minorEastAsia"/>
          <w:sz w:val="24"/>
        </w:rPr>
        <w:br w:type="page"/>
      </w:r>
      <w:r>
        <w:rPr>
          <w:rFonts w:hint="eastAsia" w:cs="仿宋" w:asciiTheme="minorEastAsia" w:hAnsiTheme="minorEastAsia" w:eastAsiaTheme="minorEastAsia"/>
          <w:sz w:val="24"/>
        </w:rPr>
        <w:t>(四)</w:t>
      </w:r>
      <w:r>
        <w:rPr>
          <w:rFonts w:hint="eastAsia" w:ascii="宋体" w:hAnsi="宋体" w:cs="宋体"/>
          <w:sz w:val="24"/>
        </w:rPr>
        <w:t>拟委任的主要人员汇总表</w:t>
      </w:r>
    </w:p>
    <w:tbl>
      <w:tblPr>
        <w:tblStyle w:val="40"/>
        <w:tblW w:w="8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995"/>
        <w:gridCol w:w="995"/>
        <w:gridCol w:w="995"/>
        <w:gridCol w:w="995"/>
        <w:gridCol w:w="995"/>
        <w:gridCol w:w="995"/>
        <w:gridCol w:w="997"/>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restart"/>
          </w:tcPr>
          <w:p>
            <w:pPr>
              <w:widowControl/>
              <w:spacing w:line="288" w:lineRule="auto"/>
              <w:jc w:val="center"/>
              <w:rPr>
                <w:rFonts w:ascii="宋体" w:hAnsi="宋体" w:cs="宋体"/>
                <w:sz w:val="24"/>
              </w:rPr>
            </w:pPr>
            <w:r>
              <w:rPr>
                <w:rFonts w:hint="eastAsia" w:ascii="宋体" w:hAnsi="宋体" w:cs="宋体"/>
                <w:sz w:val="24"/>
              </w:rPr>
              <w:t>序号</w:t>
            </w:r>
          </w:p>
        </w:tc>
        <w:tc>
          <w:tcPr>
            <w:tcW w:w="995" w:type="dxa"/>
            <w:vMerge w:val="restart"/>
          </w:tcPr>
          <w:p>
            <w:pPr>
              <w:widowControl/>
              <w:spacing w:line="288" w:lineRule="auto"/>
              <w:jc w:val="center"/>
              <w:rPr>
                <w:rFonts w:ascii="宋体" w:hAnsi="宋体" w:cs="宋体"/>
                <w:sz w:val="24"/>
              </w:rPr>
            </w:pPr>
            <w:r>
              <w:rPr>
                <w:rFonts w:hint="eastAsia" w:ascii="宋体" w:hAnsi="宋体" w:cs="宋体"/>
                <w:sz w:val="24"/>
              </w:rPr>
              <w:t>本项目任职</w:t>
            </w:r>
          </w:p>
        </w:tc>
        <w:tc>
          <w:tcPr>
            <w:tcW w:w="995" w:type="dxa"/>
            <w:vMerge w:val="restart"/>
          </w:tcPr>
          <w:p>
            <w:pPr>
              <w:widowControl/>
              <w:spacing w:line="288" w:lineRule="auto"/>
              <w:jc w:val="center"/>
              <w:rPr>
                <w:rFonts w:ascii="宋体" w:hAnsi="宋体" w:cs="宋体"/>
                <w:sz w:val="24"/>
              </w:rPr>
            </w:pPr>
            <w:r>
              <w:rPr>
                <w:rFonts w:hint="eastAsia" w:ascii="宋体" w:hAnsi="宋体" w:cs="宋体"/>
                <w:sz w:val="24"/>
              </w:rPr>
              <w:t>姓名</w:t>
            </w:r>
          </w:p>
        </w:tc>
        <w:tc>
          <w:tcPr>
            <w:tcW w:w="995" w:type="dxa"/>
            <w:vMerge w:val="restart"/>
          </w:tcPr>
          <w:p>
            <w:pPr>
              <w:widowControl/>
              <w:spacing w:line="288" w:lineRule="auto"/>
              <w:jc w:val="center"/>
              <w:rPr>
                <w:rFonts w:ascii="宋体" w:hAnsi="宋体" w:cs="宋体"/>
                <w:sz w:val="24"/>
              </w:rPr>
            </w:pPr>
            <w:r>
              <w:rPr>
                <w:rFonts w:hint="eastAsia" w:ascii="宋体" w:hAnsi="宋体" w:cs="宋体"/>
                <w:sz w:val="24"/>
              </w:rPr>
              <w:t>职称</w:t>
            </w:r>
          </w:p>
        </w:tc>
        <w:tc>
          <w:tcPr>
            <w:tcW w:w="995" w:type="dxa"/>
            <w:vMerge w:val="restart"/>
          </w:tcPr>
          <w:p>
            <w:pPr>
              <w:widowControl/>
              <w:spacing w:line="288" w:lineRule="auto"/>
              <w:jc w:val="center"/>
              <w:rPr>
                <w:rFonts w:ascii="宋体" w:hAnsi="宋体" w:cs="宋体"/>
                <w:sz w:val="24"/>
              </w:rPr>
            </w:pPr>
            <w:r>
              <w:rPr>
                <w:rFonts w:hint="eastAsia" w:ascii="宋体" w:hAnsi="宋体" w:cs="宋体"/>
                <w:sz w:val="24"/>
              </w:rPr>
              <w:t>专业</w:t>
            </w:r>
          </w:p>
        </w:tc>
        <w:tc>
          <w:tcPr>
            <w:tcW w:w="2987" w:type="dxa"/>
            <w:gridSpan w:val="3"/>
          </w:tcPr>
          <w:p>
            <w:pPr>
              <w:widowControl/>
              <w:spacing w:line="288" w:lineRule="auto"/>
              <w:jc w:val="center"/>
              <w:rPr>
                <w:rFonts w:ascii="宋体" w:hAnsi="宋体" w:cs="宋体"/>
                <w:sz w:val="24"/>
              </w:rPr>
            </w:pPr>
            <w:r>
              <w:rPr>
                <w:rFonts w:hint="eastAsia" w:ascii="宋体" w:hAnsi="宋体" w:cs="宋体"/>
                <w:sz w:val="24"/>
              </w:rPr>
              <w:t>执业或职业资格证明</w:t>
            </w:r>
          </w:p>
        </w:tc>
        <w:tc>
          <w:tcPr>
            <w:tcW w:w="995" w:type="dxa"/>
          </w:tcPr>
          <w:p>
            <w:pPr>
              <w:widowControl/>
              <w:spacing w:line="288"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tcPr>
          <w:p>
            <w:pPr>
              <w:widowControl/>
              <w:spacing w:line="288" w:lineRule="auto"/>
              <w:jc w:val="both"/>
              <w:rPr>
                <w:rFonts w:ascii="宋体" w:hAnsi="宋体" w:cs="宋体"/>
                <w:sz w:val="24"/>
              </w:rPr>
            </w:pPr>
          </w:p>
        </w:tc>
        <w:tc>
          <w:tcPr>
            <w:tcW w:w="995" w:type="dxa"/>
            <w:vMerge w:val="continue"/>
          </w:tcPr>
          <w:p>
            <w:pPr>
              <w:widowControl/>
              <w:spacing w:line="288" w:lineRule="auto"/>
              <w:jc w:val="both"/>
              <w:rPr>
                <w:rFonts w:ascii="宋体" w:hAnsi="宋体" w:cs="宋体"/>
                <w:sz w:val="24"/>
              </w:rPr>
            </w:pPr>
          </w:p>
        </w:tc>
        <w:tc>
          <w:tcPr>
            <w:tcW w:w="995" w:type="dxa"/>
            <w:vMerge w:val="continue"/>
          </w:tcPr>
          <w:p>
            <w:pPr>
              <w:widowControl/>
              <w:spacing w:line="288" w:lineRule="auto"/>
              <w:jc w:val="both"/>
              <w:rPr>
                <w:rFonts w:ascii="宋体" w:hAnsi="宋体" w:cs="宋体"/>
                <w:sz w:val="24"/>
              </w:rPr>
            </w:pPr>
          </w:p>
        </w:tc>
        <w:tc>
          <w:tcPr>
            <w:tcW w:w="995" w:type="dxa"/>
            <w:vMerge w:val="continue"/>
          </w:tcPr>
          <w:p>
            <w:pPr>
              <w:widowControl/>
              <w:spacing w:line="288" w:lineRule="auto"/>
              <w:jc w:val="both"/>
              <w:rPr>
                <w:rFonts w:ascii="宋体" w:hAnsi="宋体" w:cs="宋体"/>
                <w:sz w:val="24"/>
              </w:rPr>
            </w:pPr>
          </w:p>
        </w:tc>
        <w:tc>
          <w:tcPr>
            <w:tcW w:w="995" w:type="dxa"/>
            <w:vMerge w:val="continue"/>
          </w:tcPr>
          <w:p>
            <w:pPr>
              <w:widowControl/>
              <w:spacing w:line="288" w:lineRule="auto"/>
              <w:jc w:val="both"/>
              <w:rPr>
                <w:rFonts w:ascii="宋体" w:hAnsi="宋体" w:cs="宋体"/>
                <w:sz w:val="24"/>
              </w:rPr>
            </w:pPr>
          </w:p>
        </w:tc>
        <w:tc>
          <w:tcPr>
            <w:tcW w:w="995" w:type="dxa"/>
          </w:tcPr>
          <w:p>
            <w:pPr>
              <w:widowControl/>
              <w:spacing w:line="288" w:lineRule="auto"/>
              <w:jc w:val="center"/>
              <w:rPr>
                <w:rFonts w:ascii="宋体" w:hAnsi="宋体" w:cs="宋体"/>
                <w:sz w:val="24"/>
              </w:rPr>
            </w:pPr>
            <w:r>
              <w:rPr>
                <w:rFonts w:hint="eastAsia" w:ascii="宋体" w:hAnsi="宋体" w:cs="宋体"/>
                <w:sz w:val="24"/>
              </w:rPr>
              <w:t>证书名称</w:t>
            </w:r>
          </w:p>
        </w:tc>
        <w:tc>
          <w:tcPr>
            <w:tcW w:w="995" w:type="dxa"/>
          </w:tcPr>
          <w:p>
            <w:pPr>
              <w:widowControl/>
              <w:spacing w:line="288" w:lineRule="auto"/>
              <w:jc w:val="center"/>
              <w:rPr>
                <w:rFonts w:ascii="宋体" w:hAnsi="宋体" w:cs="宋体"/>
                <w:sz w:val="24"/>
              </w:rPr>
            </w:pPr>
            <w:r>
              <w:rPr>
                <w:rFonts w:hint="eastAsia" w:ascii="宋体" w:hAnsi="宋体" w:cs="宋体"/>
                <w:sz w:val="24"/>
              </w:rPr>
              <w:t>级别</w:t>
            </w:r>
          </w:p>
        </w:tc>
        <w:tc>
          <w:tcPr>
            <w:tcW w:w="997" w:type="dxa"/>
          </w:tcPr>
          <w:p>
            <w:pPr>
              <w:widowControl/>
              <w:spacing w:line="288" w:lineRule="auto"/>
              <w:jc w:val="center"/>
              <w:rPr>
                <w:rFonts w:ascii="宋体" w:hAnsi="宋体" w:cs="宋体"/>
                <w:sz w:val="24"/>
              </w:rPr>
            </w:pPr>
            <w:r>
              <w:rPr>
                <w:rFonts w:hint="eastAsia" w:ascii="宋体" w:hAnsi="宋体" w:cs="宋体"/>
                <w:sz w:val="24"/>
              </w:rPr>
              <w:t>证号</w:t>
            </w:r>
          </w:p>
        </w:tc>
        <w:tc>
          <w:tcPr>
            <w:tcW w:w="995" w:type="dxa"/>
          </w:tcPr>
          <w:p>
            <w:pPr>
              <w:widowControl/>
              <w:spacing w:line="288"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tcPr>
          <w:p>
            <w:pPr>
              <w:widowControl/>
              <w:spacing w:line="600" w:lineRule="exact"/>
              <w:jc w:val="both"/>
              <w:rPr>
                <w:rFonts w:ascii="宋体" w:hAnsi="宋体" w:cs="宋体"/>
                <w:sz w:val="24"/>
              </w:rPr>
            </w:pPr>
            <w:r>
              <w:rPr>
                <w:rFonts w:hint="eastAsia" w:ascii="宋体" w:hAnsi="宋体" w:cs="宋体"/>
                <w:sz w:val="24"/>
              </w:rPr>
              <w:t>1</w:t>
            </w:r>
          </w:p>
        </w:tc>
        <w:tc>
          <w:tcPr>
            <w:tcW w:w="995" w:type="dxa"/>
          </w:tcPr>
          <w:p>
            <w:pPr>
              <w:widowControl/>
              <w:spacing w:line="600" w:lineRule="exact"/>
              <w:jc w:val="both"/>
              <w:rPr>
                <w:rFonts w:ascii="宋体" w:hAnsi="宋体" w:cs="宋体"/>
                <w:sz w:val="24"/>
              </w:rPr>
            </w:pPr>
          </w:p>
        </w:tc>
        <w:tc>
          <w:tcPr>
            <w:tcW w:w="995" w:type="dxa"/>
          </w:tcPr>
          <w:p>
            <w:pPr>
              <w:widowControl/>
              <w:spacing w:line="600" w:lineRule="exact"/>
              <w:jc w:val="both"/>
              <w:rPr>
                <w:rFonts w:ascii="宋体" w:hAnsi="宋体" w:cs="宋体"/>
                <w:sz w:val="24"/>
              </w:rPr>
            </w:pPr>
          </w:p>
        </w:tc>
        <w:tc>
          <w:tcPr>
            <w:tcW w:w="995" w:type="dxa"/>
          </w:tcPr>
          <w:p>
            <w:pPr>
              <w:widowControl/>
              <w:spacing w:line="600" w:lineRule="exact"/>
              <w:jc w:val="both"/>
              <w:rPr>
                <w:rFonts w:ascii="宋体" w:hAnsi="宋体" w:cs="宋体"/>
                <w:sz w:val="24"/>
              </w:rPr>
            </w:pPr>
          </w:p>
        </w:tc>
        <w:tc>
          <w:tcPr>
            <w:tcW w:w="995" w:type="dxa"/>
          </w:tcPr>
          <w:p>
            <w:pPr>
              <w:widowControl/>
              <w:spacing w:line="600" w:lineRule="exact"/>
              <w:jc w:val="both"/>
              <w:rPr>
                <w:rFonts w:ascii="宋体" w:hAnsi="宋体" w:cs="宋体"/>
                <w:sz w:val="24"/>
              </w:rPr>
            </w:pPr>
          </w:p>
        </w:tc>
        <w:tc>
          <w:tcPr>
            <w:tcW w:w="995" w:type="dxa"/>
          </w:tcPr>
          <w:p>
            <w:pPr>
              <w:widowControl/>
              <w:spacing w:line="600" w:lineRule="exact"/>
              <w:jc w:val="both"/>
              <w:rPr>
                <w:rFonts w:ascii="宋体" w:hAnsi="宋体" w:cs="宋体"/>
                <w:sz w:val="24"/>
              </w:rPr>
            </w:pPr>
          </w:p>
        </w:tc>
        <w:tc>
          <w:tcPr>
            <w:tcW w:w="995" w:type="dxa"/>
          </w:tcPr>
          <w:p>
            <w:pPr>
              <w:widowControl/>
              <w:spacing w:line="600" w:lineRule="exact"/>
              <w:jc w:val="both"/>
              <w:rPr>
                <w:rFonts w:ascii="宋体" w:hAnsi="宋体" w:cs="宋体"/>
                <w:sz w:val="24"/>
              </w:rPr>
            </w:pPr>
          </w:p>
        </w:tc>
        <w:tc>
          <w:tcPr>
            <w:tcW w:w="997" w:type="dxa"/>
          </w:tcPr>
          <w:p>
            <w:pPr>
              <w:widowControl/>
              <w:spacing w:line="600" w:lineRule="exact"/>
              <w:jc w:val="both"/>
              <w:rPr>
                <w:rFonts w:ascii="宋体" w:hAnsi="宋体" w:cs="宋体"/>
                <w:sz w:val="24"/>
              </w:rPr>
            </w:pPr>
          </w:p>
        </w:tc>
        <w:tc>
          <w:tcPr>
            <w:tcW w:w="995" w:type="dxa"/>
          </w:tcPr>
          <w:p>
            <w:pPr>
              <w:widowControl/>
              <w:spacing w:line="600" w:lineRule="exact"/>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tcPr>
          <w:p>
            <w:pPr>
              <w:widowControl/>
              <w:spacing w:line="600" w:lineRule="exact"/>
              <w:jc w:val="both"/>
              <w:rPr>
                <w:rFonts w:ascii="宋体" w:hAnsi="宋体" w:cs="宋体"/>
                <w:sz w:val="24"/>
              </w:rPr>
            </w:pPr>
            <w:r>
              <w:rPr>
                <w:rFonts w:hint="eastAsia" w:ascii="宋体" w:hAnsi="宋体" w:cs="宋体"/>
                <w:sz w:val="24"/>
              </w:rPr>
              <w:t>2</w:t>
            </w:r>
          </w:p>
        </w:tc>
        <w:tc>
          <w:tcPr>
            <w:tcW w:w="995" w:type="dxa"/>
          </w:tcPr>
          <w:p>
            <w:pPr>
              <w:widowControl/>
              <w:spacing w:line="600" w:lineRule="exact"/>
              <w:jc w:val="both"/>
              <w:rPr>
                <w:rFonts w:ascii="宋体" w:hAnsi="宋体" w:cs="宋体"/>
                <w:sz w:val="24"/>
              </w:rPr>
            </w:pPr>
          </w:p>
        </w:tc>
        <w:tc>
          <w:tcPr>
            <w:tcW w:w="995" w:type="dxa"/>
          </w:tcPr>
          <w:p>
            <w:pPr>
              <w:widowControl/>
              <w:spacing w:line="600" w:lineRule="exact"/>
              <w:jc w:val="both"/>
              <w:rPr>
                <w:rFonts w:ascii="宋体" w:hAnsi="宋体" w:cs="宋体"/>
                <w:sz w:val="24"/>
              </w:rPr>
            </w:pPr>
          </w:p>
        </w:tc>
        <w:tc>
          <w:tcPr>
            <w:tcW w:w="995" w:type="dxa"/>
          </w:tcPr>
          <w:p>
            <w:pPr>
              <w:widowControl/>
              <w:spacing w:line="600" w:lineRule="exact"/>
              <w:jc w:val="both"/>
              <w:rPr>
                <w:rFonts w:ascii="宋体" w:hAnsi="宋体" w:cs="宋体"/>
                <w:sz w:val="24"/>
              </w:rPr>
            </w:pPr>
          </w:p>
        </w:tc>
        <w:tc>
          <w:tcPr>
            <w:tcW w:w="995" w:type="dxa"/>
          </w:tcPr>
          <w:p>
            <w:pPr>
              <w:widowControl/>
              <w:spacing w:line="600" w:lineRule="exact"/>
              <w:jc w:val="both"/>
              <w:rPr>
                <w:rFonts w:ascii="宋体" w:hAnsi="宋体" w:cs="宋体"/>
                <w:sz w:val="24"/>
              </w:rPr>
            </w:pPr>
          </w:p>
        </w:tc>
        <w:tc>
          <w:tcPr>
            <w:tcW w:w="995" w:type="dxa"/>
          </w:tcPr>
          <w:p>
            <w:pPr>
              <w:widowControl/>
              <w:spacing w:line="600" w:lineRule="exact"/>
              <w:jc w:val="both"/>
              <w:rPr>
                <w:rFonts w:ascii="宋体" w:hAnsi="宋体" w:cs="宋体"/>
                <w:sz w:val="24"/>
              </w:rPr>
            </w:pPr>
          </w:p>
        </w:tc>
        <w:tc>
          <w:tcPr>
            <w:tcW w:w="995" w:type="dxa"/>
          </w:tcPr>
          <w:p>
            <w:pPr>
              <w:widowControl/>
              <w:spacing w:line="600" w:lineRule="exact"/>
              <w:jc w:val="both"/>
              <w:rPr>
                <w:rFonts w:ascii="宋体" w:hAnsi="宋体" w:cs="宋体"/>
                <w:sz w:val="24"/>
              </w:rPr>
            </w:pPr>
          </w:p>
        </w:tc>
        <w:tc>
          <w:tcPr>
            <w:tcW w:w="997" w:type="dxa"/>
          </w:tcPr>
          <w:p>
            <w:pPr>
              <w:widowControl/>
              <w:spacing w:line="600" w:lineRule="exact"/>
              <w:jc w:val="both"/>
              <w:rPr>
                <w:rFonts w:ascii="宋体" w:hAnsi="宋体" w:cs="宋体"/>
                <w:sz w:val="24"/>
              </w:rPr>
            </w:pPr>
          </w:p>
        </w:tc>
        <w:tc>
          <w:tcPr>
            <w:tcW w:w="995" w:type="dxa"/>
          </w:tcPr>
          <w:p>
            <w:pPr>
              <w:widowControl/>
              <w:spacing w:line="600" w:lineRule="exact"/>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tcPr>
          <w:p>
            <w:pPr>
              <w:widowControl/>
              <w:spacing w:line="600" w:lineRule="exact"/>
              <w:jc w:val="both"/>
              <w:rPr>
                <w:rFonts w:ascii="宋体" w:hAnsi="宋体" w:cs="宋体"/>
                <w:sz w:val="24"/>
              </w:rPr>
            </w:pPr>
            <w:r>
              <w:rPr>
                <w:rFonts w:hint="eastAsia" w:ascii="宋体" w:hAnsi="宋体" w:cs="宋体"/>
                <w:sz w:val="24"/>
              </w:rPr>
              <w:t>..</w:t>
            </w:r>
          </w:p>
        </w:tc>
        <w:tc>
          <w:tcPr>
            <w:tcW w:w="995" w:type="dxa"/>
          </w:tcPr>
          <w:p>
            <w:pPr>
              <w:widowControl/>
              <w:spacing w:line="600" w:lineRule="exact"/>
              <w:jc w:val="both"/>
              <w:rPr>
                <w:rFonts w:ascii="宋体" w:hAnsi="宋体" w:cs="宋体"/>
                <w:sz w:val="24"/>
              </w:rPr>
            </w:pPr>
          </w:p>
        </w:tc>
        <w:tc>
          <w:tcPr>
            <w:tcW w:w="995" w:type="dxa"/>
          </w:tcPr>
          <w:p>
            <w:pPr>
              <w:widowControl/>
              <w:spacing w:line="600" w:lineRule="exact"/>
              <w:jc w:val="both"/>
              <w:rPr>
                <w:rFonts w:ascii="宋体" w:hAnsi="宋体" w:cs="宋体"/>
                <w:sz w:val="24"/>
              </w:rPr>
            </w:pPr>
          </w:p>
        </w:tc>
        <w:tc>
          <w:tcPr>
            <w:tcW w:w="995" w:type="dxa"/>
          </w:tcPr>
          <w:p>
            <w:pPr>
              <w:widowControl/>
              <w:spacing w:line="600" w:lineRule="exact"/>
              <w:jc w:val="both"/>
              <w:rPr>
                <w:rFonts w:ascii="宋体" w:hAnsi="宋体" w:cs="宋体"/>
                <w:sz w:val="24"/>
              </w:rPr>
            </w:pPr>
          </w:p>
        </w:tc>
        <w:tc>
          <w:tcPr>
            <w:tcW w:w="995" w:type="dxa"/>
          </w:tcPr>
          <w:p>
            <w:pPr>
              <w:widowControl/>
              <w:spacing w:line="600" w:lineRule="exact"/>
              <w:jc w:val="both"/>
              <w:rPr>
                <w:rFonts w:ascii="宋体" w:hAnsi="宋体" w:cs="宋体"/>
                <w:sz w:val="24"/>
              </w:rPr>
            </w:pPr>
          </w:p>
        </w:tc>
        <w:tc>
          <w:tcPr>
            <w:tcW w:w="995" w:type="dxa"/>
          </w:tcPr>
          <w:p>
            <w:pPr>
              <w:widowControl/>
              <w:spacing w:line="600" w:lineRule="exact"/>
              <w:jc w:val="both"/>
              <w:rPr>
                <w:rFonts w:ascii="宋体" w:hAnsi="宋体" w:cs="宋体"/>
                <w:sz w:val="24"/>
              </w:rPr>
            </w:pPr>
          </w:p>
        </w:tc>
        <w:tc>
          <w:tcPr>
            <w:tcW w:w="995" w:type="dxa"/>
          </w:tcPr>
          <w:p>
            <w:pPr>
              <w:widowControl/>
              <w:spacing w:line="600" w:lineRule="exact"/>
              <w:jc w:val="both"/>
              <w:rPr>
                <w:rFonts w:ascii="宋体" w:hAnsi="宋体" w:cs="宋体"/>
                <w:sz w:val="24"/>
              </w:rPr>
            </w:pPr>
          </w:p>
        </w:tc>
        <w:tc>
          <w:tcPr>
            <w:tcW w:w="997" w:type="dxa"/>
          </w:tcPr>
          <w:p>
            <w:pPr>
              <w:widowControl/>
              <w:spacing w:line="600" w:lineRule="exact"/>
              <w:jc w:val="both"/>
              <w:rPr>
                <w:rFonts w:ascii="宋体" w:hAnsi="宋体" w:cs="宋体"/>
                <w:sz w:val="24"/>
              </w:rPr>
            </w:pPr>
          </w:p>
        </w:tc>
        <w:tc>
          <w:tcPr>
            <w:tcW w:w="995" w:type="dxa"/>
          </w:tcPr>
          <w:p>
            <w:pPr>
              <w:widowControl/>
              <w:spacing w:line="600" w:lineRule="exact"/>
              <w:jc w:val="both"/>
              <w:rPr>
                <w:rFonts w:ascii="宋体" w:hAnsi="宋体" w:cs="宋体"/>
                <w:sz w:val="24"/>
              </w:rPr>
            </w:pPr>
          </w:p>
        </w:tc>
      </w:tr>
    </w:tbl>
    <w:p>
      <w:pPr>
        <w:numPr>
          <w:ilvl w:val="255"/>
          <w:numId w:val="0"/>
        </w:numPr>
        <w:spacing w:line="600" w:lineRule="exact"/>
        <w:jc w:val="both"/>
        <w:rPr>
          <w:rFonts w:ascii="宋体" w:hAnsi="宋体" w:cs="宋体"/>
          <w:sz w:val="24"/>
        </w:rPr>
      </w:pPr>
      <w:r>
        <w:rPr>
          <w:rFonts w:hint="eastAsia" w:ascii="宋体" w:hAnsi="宋体" w:cs="宋体"/>
          <w:sz w:val="24"/>
        </w:rPr>
        <w:t>（五）主要人员简历表）</w:t>
      </w:r>
    </w:p>
    <w:tbl>
      <w:tblPr>
        <w:tblStyle w:val="39"/>
        <w:tblW w:w="8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41"/>
        <w:gridCol w:w="51"/>
        <w:gridCol w:w="1462"/>
        <w:gridCol w:w="1066"/>
        <w:gridCol w:w="1389"/>
        <w:gridCol w:w="339"/>
        <w:gridCol w:w="1552"/>
        <w:gridCol w:w="388"/>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18" w:hRule="atLeast"/>
        </w:trPr>
        <w:tc>
          <w:tcPr>
            <w:tcW w:w="1241" w:type="dxa"/>
            <w:vAlign w:val="center"/>
          </w:tcPr>
          <w:p>
            <w:pPr>
              <w:autoSpaceDE w:val="0"/>
              <w:autoSpaceDN w:val="0"/>
              <w:spacing w:before="60" w:beforeLines="25" w:after="60" w:afterLines="25" w:line="400" w:lineRule="atLeast"/>
              <w:jc w:val="center"/>
              <w:textAlignment w:val="bottom"/>
              <w:rPr>
                <w:rFonts w:ascii="宋体" w:hAnsi="宋体" w:cs="宋体"/>
                <w:sz w:val="24"/>
              </w:rPr>
            </w:pPr>
            <w:r>
              <w:rPr>
                <w:rFonts w:hint="eastAsia" w:ascii="宋体" w:hAnsi="宋体" w:cs="宋体"/>
                <w:sz w:val="24"/>
              </w:rPr>
              <w:t>姓    名</w:t>
            </w:r>
          </w:p>
        </w:tc>
        <w:tc>
          <w:tcPr>
            <w:tcW w:w="1513" w:type="dxa"/>
            <w:gridSpan w:val="2"/>
            <w:vAlign w:val="center"/>
          </w:tcPr>
          <w:p>
            <w:pPr>
              <w:autoSpaceDE w:val="0"/>
              <w:autoSpaceDN w:val="0"/>
              <w:spacing w:before="60" w:beforeLines="25" w:after="60" w:afterLines="25" w:line="400" w:lineRule="atLeast"/>
              <w:jc w:val="center"/>
              <w:textAlignment w:val="bottom"/>
              <w:rPr>
                <w:rFonts w:ascii="宋体" w:hAnsi="宋体" w:cs="宋体"/>
                <w:sz w:val="24"/>
              </w:rPr>
            </w:pPr>
          </w:p>
        </w:tc>
        <w:tc>
          <w:tcPr>
            <w:tcW w:w="1066" w:type="dxa"/>
            <w:vAlign w:val="center"/>
          </w:tcPr>
          <w:p>
            <w:pPr>
              <w:autoSpaceDE w:val="0"/>
              <w:autoSpaceDN w:val="0"/>
              <w:spacing w:before="60" w:beforeLines="25" w:after="60" w:afterLines="25" w:line="400" w:lineRule="atLeast"/>
              <w:jc w:val="center"/>
              <w:textAlignment w:val="bottom"/>
              <w:rPr>
                <w:rFonts w:ascii="宋体" w:hAnsi="宋体" w:cs="宋体"/>
                <w:sz w:val="24"/>
              </w:rPr>
            </w:pPr>
            <w:r>
              <w:rPr>
                <w:rFonts w:hint="eastAsia" w:ascii="宋体" w:hAnsi="宋体" w:cs="宋体"/>
                <w:sz w:val="24"/>
              </w:rPr>
              <w:t>年    龄</w:t>
            </w:r>
          </w:p>
        </w:tc>
        <w:tc>
          <w:tcPr>
            <w:tcW w:w="1389" w:type="dxa"/>
          </w:tcPr>
          <w:p>
            <w:pPr>
              <w:autoSpaceDE w:val="0"/>
              <w:autoSpaceDN w:val="0"/>
              <w:spacing w:before="60" w:beforeLines="25" w:after="60" w:afterLines="25" w:line="400" w:lineRule="atLeast"/>
              <w:jc w:val="center"/>
              <w:textAlignment w:val="bottom"/>
              <w:rPr>
                <w:rFonts w:ascii="宋体" w:hAnsi="宋体" w:cs="宋体"/>
                <w:sz w:val="24"/>
              </w:rPr>
            </w:pPr>
          </w:p>
        </w:tc>
        <w:tc>
          <w:tcPr>
            <w:tcW w:w="1891" w:type="dxa"/>
            <w:gridSpan w:val="2"/>
          </w:tcPr>
          <w:p>
            <w:pPr>
              <w:autoSpaceDE w:val="0"/>
              <w:autoSpaceDN w:val="0"/>
              <w:spacing w:before="60" w:beforeLines="25" w:after="60" w:afterLines="25" w:line="400" w:lineRule="atLeast"/>
              <w:jc w:val="center"/>
              <w:textAlignment w:val="bottom"/>
              <w:rPr>
                <w:rFonts w:ascii="宋体" w:hAnsi="宋体" w:cs="宋体"/>
                <w:sz w:val="24"/>
              </w:rPr>
            </w:pPr>
            <w:r>
              <w:rPr>
                <w:rFonts w:hint="eastAsia" w:ascii="宋体" w:hAnsi="宋体" w:cs="宋体"/>
                <w:sz w:val="24"/>
              </w:rPr>
              <w:t>执业或职业资格证书名称</w:t>
            </w:r>
          </w:p>
        </w:tc>
        <w:tc>
          <w:tcPr>
            <w:tcW w:w="1678" w:type="dxa"/>
            <w:gridSpan w:val="2"/>
          </w:tcPr>
          <w:p>
            <w:pPr>
              <w:autoSpaceDE w:val="0"/>
              <w:autoSpaceDN w:val="0"/>
              <w:spacing w:before="60" w:beforeLines="25" w:after="60" w:afterLines="25" w:line="400" w:lineRule="atLeast"/>
              <w:jc w:val="center"/>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4" w:hRule="atLeast"/>
        </w:trPr>
        <w:tc>
          <w:tcPr>
            <w:tcW w:w="1241" w:type="dxa"/>
            <w:vAlign w:val="center"/>
          </w:tcPr>
          <w:p>
            <w:pPr>
              <w:autoSpaceDE w:val="0"/>
              <w:autoSpaceDN w:val="0"/>
              <w:spacing w:before="60" w:beforeLines="25" w:after="60" w:afterLines="25" w:line="400" w:lineRule="atLeast"/>
              <w:jc w:val="center"/>
              <w:textAlignment w:val="bottom"/>
              <w:rPr>
                <w:rFonts w:ascii="宋体" w:hAnsi="宋体" w:cs="宋体"/>
                <w:sz w:val="24"/>
              </w:rPr>
            </w:pPr>
            <w:r>
              <w:rPr>
                <w:rFonts w:hint="eastAsia" w:ascii="宋体" w:hAnsi="宋体" w:cs="宋体"/>
                <w:sz w:val="24"/>
              </w:rPr>
              <w:t>职称</w:t>
            </w:r>
          </w:p>
        </w:tc>
        <w:tc>
          <w:tcPr>
            <w:tcW w:w="1513" w:type="dxa"/>
            <w:gridSpan w:val="2"/>
            <w:vAlign w:val="center"/>
          </w:tcPr>
          <w:p>
            <w:pPr>
              <w:autoSpaceDE w:val="0"/>
              <w:autoSpaceDN w:val="0"/>
              <w:spacing w:before="60" w:beforeLines="25" w:after="60" w:afterLines="25" w:line="400" w:lineRule="atLeast"/>
              <w:jc w:val="center"/>
              <w:textAlignment w:val="bottom"/>
              <w:rPr>
                <w:rFonts w:ascii="宋体" w:hAnsi="宋体" w:cs="宋体"/>
                <w:sz w:val="24"/>
              </w:rPr>
            </w:pPr>
          </w:p>
        </w:tc>
        <w:tc>
          <w:tcPr>
            <w:tcW w:w="1066" w:type="dxa"/>
            <w:vAlign w:val="center"/>
          </w:tcPr>
          <w:p>
            <w:pPr>
              <w:autoSpaceDE w:val="0"/>
              <w:autoSpaceDN w:val="0"/>
              <w:spacing w:before="60" w:beforeLines="25" w:after="60" w:afterLines="25" w:line="400" w:lineRule="atLeast"/>
              <w:jc w:val="center"/>
              <w:textAlignment w:val="bottom"/>
              <w:rPr>
                <w:rFonts w:ascii="宋体" w:hAnsi="宋体" w:cs="宋体"/>
                <w:sz w:val="24"/>
              </w:rPr>
            </w:pPr>
            <w:r>
              <w:rPr>
                <w:rFonts w:hint="eastAsia" w:ascii="宋体" w:hAnsi="宋体" w:cs="宋体"/>
                <w:sz w:val="24"/>
              </w:rPr>
              <w:t>学    历</w:t>
            </w:r>
          </w:p>
        </w:tc>
        <w:tc>
          <w:tcPr>
            <w:tcW w:w="1389" w:type="dxa"/>
          </w:tcPr>
          <w:p>
            <w:pPr>
              <w:autoSpaceDE w:val="0"/>
              <w:autoSpaceDN w:val="0"/>
              <w:spacing w:before="60" w:beforeLines="25" w:after="60" w:afterLines="25" w:line="400" w:lineRule="atLeast"/>
              <w:jc w:val="center"/>
              <w:textAlignment w:val="bottom"/>
              <w:rPr>
                <w:rFonts w:ascii="宋体" w:hAnsi="宋体" w:cs="宋体"/>
                <w:sz w:val="24"/>
              </w:rPr>
            </w:pPr>
          </w:p>
        </w:tc>
        <w:tc>
          <w:tcPr>
            <w:tcW w:w="1891" w:type="dxa"/>
            <w:gridSpan w:val="2"/>
          </w:tcPr>
          <w:p>
            <w:pPr>
              <w:autoSpaceDE w:val="0"/>
              <w:autoSpaceDN w:val="0"/>
              <w:spacing w:before="60" w:beforeLines="25" w:after="60" w:afterLines="25" w:line="400" w:lineRule="atLeast"/>
              <w:jc w:val="center"/>
              <w:textAlignment w:val="bottom"/>
              <w:rPr>
                <w:rFonts w:ascii="宋体" w:hAnsi="宋体" w:cs="宋体"/>
                <w:sz w:val="24"/>
              </w:rPr>
            </w:pPr>
            <w:r>
              <w:rPr>
                <w:rFonts w:hint="eastAsia" w:ascii="宋体" w:hAnsi="宋体" w:cs="宋体"/>
                <w:sz w:val="24"/>
              </w:rPr>
              <w:t>拟在本项目任职</w:t>
            </w:r>
          </w:p>
        </w:tc>
        <w:tc>
          <w:tcPr>
            <w:tcW w:w="1678" w:type="dxa"/>
            <w:gridSpan w:val="2"/>
          </w:tcPr>
          <w:p>
            <w:pPr>
              <w:autoSpaceDE w:val="0"/>
              <w:autoSpaceDN w:val="0"/>
              <w:spacing w:before="60" w:beforeLines="25" w:after="60" w:afterLines="25" w:line="400" w:lineRule="atLeast"/>
              <w:jc w:val="center"/>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4" w:hRule="atLeast"/>
        </w:trPr>
        <w:tc>
          <w:tcPr>
            <w:tcW w:w="1241" w:type="dxa"/>
            <w:vAlign w:val="center"/>
          </w:tcPr>
          <w:p>
            <w:pPr>
              <w:autoSpaceDE w:val="0"/>
              <w:autoSpaceDN w:val="0"/>
              <w:spacing w:before="60" w:beforeLines="25" w:after="60" w:afterLines="25" w:line="400" w:lineRule="atLeast"/>
              <w:jc w:val="center"/>
              <w:textAlignment w:val="bottom"/>
              <w:rPr>
                <w:rFonts w:ascii="宋体" w:hAnsi="宋体" w:cs="宋体"/>
                <w:sz w:val="24"/>
              </w:rPr>
            </w:pPr>
            <w:r>
              <w:rPr>
                <w:rFonts w:hint="eastAsia" w:ascii="宋体" w:hAnsi="宋体" w:cs="宋体"/>
                <w:sz w:val="24"/>
              </w:rPr>
              <w:t>工作年限</w:t>
            </w:r>
          </w:p>
        </w:tc>
        <w:tc>
          <w:tcPr>
            <w:tcW w:w="3968" w:type="dxa"/>
            <w:gridSpan w:val="4"/>
            <w:vAlign w:val="center"/>
          </w:tcPr>
          <w:p>
            <w:pPr>
              <w:autoSpaceDE w:val="0"/>
              <w:autoSpaceDN w:val="0"/>
              <w:spacing w:before="60" w:beforeLines="25" w:after="60" w:afterLines="25" w:line="400" w:lineRule="atLeast"/>
              <w:jc w:val="center"/>
              <w:textAlignment w:val="bottom"/>
              <w:rPr>
                <w:rFonts w:ascii="宋体" w:hAnsi="宋体" w:cs="宋体"/>
                <w:sz w:val="24"/>
              </w:rPr>
            </w:pPr>
          </w:p>
        </w:tc>
        <w:tc>
          <w:tcPr>
            <w:tcW w:w="1891" w:type="dxa"/>
            <w:gridSpan w:val="2"/>
            <w:vAlign w:val="center"/>
          </w:tcPr>
          <w:p>
            <w:pPr>
              <w:autoSpaceDE w:val="0"/>
              <w:autoSpaceDN w:val="0"/>
              <w:spacing w:before="60" w:beforeLines="25" w:after="60" w:afterLines="25" w:line="400" w:lineRule="atLeast"/>
              <w:jc w:val="center"/>
              <w:textAlignment w:val="bottom"/>
              <w:rPr>
                <w:rFonts w:ascii="宋体" w:hAnsi="宋体" w:cs="宋体"/>
                <w:sz w:val="24"/>
              </w:rPr>
            </w:pPr>
            <w:r>
              <w:rPr>
                <w:rFonts w:hint="eastAsia" w:ascii="宋体" w:hAnsi="宋体" w:cs="宋体"/>
                <w:sz w:val="24"/>
              </w:rPr>
              <w:t>从事类似工作年限</w:t>
            </w:r>
          </w:p>
        </w:tc>
        <w:tc>
          <w:tcPr>
            <w:tcW w:w="1678" w:type="dxa"/>
            <w:gridSpan w:val="2"/>
          </w:tcPr>
          <w:p>
            <w:pPr>
              <w:autoSpaceDE w:val="0"/>
              <w:autoSpaceDN w:val="0"/>
              <w:spacing w:before="60" w:beforeLines="25" w:after="60" w:afterLines="25" w:line="400" w:lineRule="atLeast"/>
              <w:jc w:val="center"/>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18" w:hRule="atLeast"/>
        </w:trPr>
        <w:tc>
          <w:tcPr>
            <w:tcW w:w="1241" w:type="dxa"/>
            <w:vAlign w:val="center"/>
          </w:tcPr>
          <w:p>
            <w:pPr>
              <w:autoSpaceDE w:val="0"/>
              <w:autoSpaceDN w:val="0"/>
              <w:spacing w:before="60" w:beforeLines="25" w:after="60" w:afterLines="25" w:line="400" w:lineRule="atLeast"/>
              <w:jc w:val="both"/>
              <w:textAlignment w:val="bottom"/>
              <w:rPr>
                <w:rFonts w:ascii="宋体" w:hAnsi="宋体" w:cs="宋体"/>
                <w:sz w:val="24"/>
              </w:rPr>
            </w:pPr>
            <w:r>
              <w:rPr>
                <w:rFonts w:hint="eastAsia" w:ascii="宋体" w:hAnsi="宋体" w:cs="宋体"/>
                <w:sz w:val="24"/>
              </w:rPr>
              <w:t>毕业学校</w:t>
            </w:r>
          </w:p>
        </w:tc>
        <w:tc>
          <w:tcPr>
            <w:tcW w:w="7537" w:type="dxa"/>
            <w:gridSpan w:val="8"/>
            <w:vAlign w:val="center"/>
          </w:tcPr>
          <w:p>
            <w:pPr>
              <w:autoSpaceDE w:val="0"/>
              <w:autoSpaceDN w:val="0"/>
              <w:spacing w:before="60" w:beforeLines="25" w:after="60" w:afterLines="25" w:line="400" w:lineRule="atLeast"/>
              <w:ind w:left="-187" w:leftChars="-89"/>
              <w:jc w:val="both"/>
              <w:textAlignment w:val="bottom"/>
              <w:rPr>
                <w:rFonts w:ascii="宋体" w:hAnsi="宋体" w:cs="宋体"/>
                <w:sz w:val="24"/>
              </w:rPr>
            </w:pPr>
            <w:r>
              <w:rPr>
                <w:rFonts w:hint="eastAsia" w:ascii="宋体" w:hAnsi="宋体" w:cs="宋体"/>
                <w:sz w:val="24"/>
              </w:rPr>
              <w:t>______年___月毕业于___________________学校___________专业，学制______年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4" w:hRule="atLeast"/>
        </w:trPr>
        <w:tc>
          <w:tcPr>
            <w:tcW w:w="8778" w:type="dxa"/>
            <w:gridSpan w:val="9"/>
            <w:vAlign w:val="center"/>
          </w:tcPr>
          <w:p>
            <w:pPr>
              <w:autoSpaceDE w:val="0"/>
              <w:autoSpaceDN w:val="0"/>
              <w:spacing w:before="60" w:beforeLines="25" w:after="60" w:afterLines="25" w:line="400" w:lineRule="atLeast"/>
              <w:jc w:val="both"/>
              <w:textAlignment w:val="bottom"/>
              <w:rPr>
                <w:rFonts w:ascii="宋体" w:hAnsi="宋体" w:cs="宋体"/>
                <w:sz w:val="24"/>
              </w:rPr>
            </w:pPr>
            <w:r>
              <w:rPr>
                <w:rFonts w:hint="eastAsia" w:ascii="宋体"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18" w:hRule="atLeast"/>
        </w:trPr>
        <w:tc>
          <w:tcPr>
            <w:tcW w:w="1292" w:type="dxa"/>
            <w:gridSpan w:val="2"/>
            <w:vAlign w:val="center"/>
          </w:tcPr>
          <w:p>
            <w:pPr>
              <w:autoSpaceDE w:val="0"/>
              <w:autoSpaceDN w:val="0"/>
              <w:spacing w:before="60" w:beforeLines="25" w:after="60" w:afterLines="25" w:line="400" w:lineRule="atLeast"/>
              <w:jc w:val="both"/>
              <w:textAlignment w:val="bottom"/>
              <w:rPr>
                <w:rFonts w:ascii="宋体" w:hAnsi="宋体" w:cs="宋体"/>
                <w:sz w:val="24"/>
              </w:rPr>
            </w:pPr>
            <w:r>
              <w:rPr>
                <w:rFonts w:hint="eastAsia" w:ascii="宋体" w:hAnsi="宋体" w:cs="宋体"/>
                <w:sz w:val="24"/>
              </w:rPr>
              <w:t>时  间</w:t>
            </w:r>
          </w:p>
        </w:tc>
        <w:tc>
          <w:tcPr>
            <w:tcW w:w="4256" w:type="dxa"/>
            <w:gridSpan w:val="4"/>
            <w:vAlign w:val="center"/>
          </w:tcPr>
          <w:p>
            <w:pPr>
              <w:pStyle w:val="183"/>
              <w:adjustRightInd/>
              <w:snapToGrid/>
              <w:spacing w:before="60" w:beforeLines="25" w:after="60" w:afterLines="25" w:line="400" w:lineRule="atLeast"/>
              <w:jc w:val="both"/>
              <w:textAlignment w:val="bottom"/>
              <w:rPr>
                <w:rFonts w:ascii="宋体" w:hAnsi="宋体" w:cs="宋体"/>
                <w:spacing w:val="0"/>
                <w:kern w:val="2"/>
                <w:sz w:val="24"/>
                <w:szCs w:val="24"/>
              </w:rPr>
            </w:pPr>
            <w:r>
              <w:rPr>
                <w:rFonts w:hint="eastAsia" w:ascii="宋体" w:hAnsi="宋体" w:cs="宋体"/>
                <w:spacing w:val="0"/>
                <w:kern w:val="2"/>
                <w:sz w:val="24"/>
                <w:szCs w:val="24"/>
              </w:rPr>
              <w:t>参加过的类似项目</w:t>
            </w:r>
          </w:p>
        </w:tc>
        <w:tc>
          <w:tcPr>
            <w:tcW w:w="1940" w:type="dxa"/>
            <w:gridSpan w:val="2"/>
            <w:vAlign w:val="center"/>
          </w:tcPr>
          <w:p>
            <w:pPr>
              <w:pStyle w:val="183"/>
              <w:adjustRightInd/>
              <w:snapToGrid/>
              <w:spacing w:before="60" w:beforeLines="25" w:after="60" w:afterLines="25" w:line="400" w:lineRule="atLeast"/>
              <w:jc w:val="both"/>
              <w:textAlignment w:val="bottom"/>
              <w:rPr>
                <w:rFonts w:ascii="宋体" w:hAnsi="宋体" w:cs="宋体"/>
                <w:spacing w:val="0"/>
                <w:kern w:val="2"/>
                <w:sz w:val="24"/>
                <w:szCs w:val="24"/>
              </w:rPr>
            </w:pPr>
            <w:r>
              <w:rPr>
                <w:rFonts w:hint="eastAsia" w:ascii="宋体" w:hAnsi="宋体" w:cs="宋体"/>
                <w:spacing w:val="0"/>
                <w:kern w:val="2"/>
                <w:sz w:val="24"/>
                <w:szCs w:val="24"/>
              </w:rPr>
              <w:t>担任职务</w:t>
            </w:r>
          </w:p>
        </w:tc>
        <w:tc>
          <w:tcPr>
            <w:tcW w:w="1290" w:type="dxa"/>
            <w:vAlign w:val="center"/>
          </w:tcPr>
          <w:p>
            <w:pPr>
              <w:autoSpaceDE w:val="0"/>
              <w:autoSpaceDN w:val="0"/>
              <w:spacing w:before="60" w:beforeLines="25" w:after="60" w:afterLines="25" w:line="400" w:lineRule="atLeast"/>
              <w:jc w:val="both"/>
              <w:textAlignment w:val="bottom"/>
              <w:rPr>
                <w:rFonts w:ascii="宋体" w:hAnsi="宋体" w:cs="宋体"/>
                <w:sz w:val="24"/>
              </w:rPr>
            </w:pPr>
            <w:r>
              <w:rPr>
                <w:rFonts w:hint="eastAsia" w:ascii="宋体"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4" w:hRule="atLeast"/>
        </w:trPr>
        <w:tc>
          <w:tcPr>
            <w:tcW w:w="1292" w:type="dxa"/>
            <w:gridSpan w:val="2"/>
            <w:vAlign w:val="center"/>
          </w:tcPr>
          <w:p>
            <w:pPr>
              <w:autoSpaceDE w:val="0"/>
              <w:autoSpaceDN w:val="0"/>
              <w:spacing w:before="60" w:beforeLines="25" w:after="60" w:afterLines="25" w:line="400" w:lineRule="atLeast"/>
              <w:jc w:val="both"/>
              <w:textAlignment w:val="bottom"/>
              <w:rPr>
                <w:rFonts w:ascii="宋体" w:hAnsi="宋体" w:cs="宋体"/>
                <w:sz w:val="24"/>
              </w:rPr>
            </w:pPr>
          </w:p>
        </w:tc>
        <w:tc>
          <w:tcPr>
            <w:tcW w:w="4256" w:type="dxa"/>
            <w:gridSpan w:val="4"/>
            <w:vAlign w:val="center"/>
          </w:tcPr>
          <w:p>
            <w:pPr>
              <w:autoSpaceDE w:val="0"/>
              <w:autoSpaceDN w:val="0"/>
              <w:spacing w:before="60" w:beforeLines="25" w:after="60" w:afterLines="25" w:line="400" w:lineRule="atLeast"/>
              <w:jc w:val="both"/>
              <w:textAlignment w:val="bottom"/>
              <w:rPr>
                <w:rFonts w:ascii="宋体" w:hAnsi="宋体" w:cs="宋体"/>
                <w:sz w:val="24"/>
              </w:rPr>
            </w:pPr>
          </w:p>
        </w:tc>
        <w:tc>
          <w:tcPr>
            <w:tcW w:w="1940" w:type="dxa"/>
            <w:gridSpan w:val="2"/>
          </w:tcPr>
          <w:p>
            <w:pPr>
              <w:autoSpaceDE w:val="0"/>
              <w:autoSpaceDN w:val="0"/>
              <w:spacing w:before="60" w:beforeLines="25" w:after="60" w:afterLines="25" w:line="400" w:lineRule="atLeast"/>
              <w:jc w:val="both"/>
              <w:textAlignment w:val="bottom"/>
              <w:rPr>
                <w:rFonts w:ascii="宋体" w:hAnsi="宋体" w:cs="宋体"/>
                <w:sz w:val="24"/>
              </w:rPr>
            </w:pPr>
          </w:p>
        </w:tc>
        <w:tc>
          <w:tcPr>
            <w:tcW w:w="1290" w:type="dxa"/>
          </w:tcPr>
          <w:p>
            <w:pPr>
              <w:autoSpaceDE w:val="0"/>
              <w:autoSpaceDN w:val="0"/>
              <w:spacing w:before="60" w:beforeLines="25" w:after="60" w:afterLines="25" w:line="400" w:lineRule="atLeast"/>
              <w:jc w:val="both"/>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4" w:hRule="atLeast"/>
        </w:trPr>
        <w:tc>
          <w:tcPr>
            <w:tcW w:w="1292" w:type="dxa"/>
            <w:gridSpan w:val="2"/>
            <w:vAlign w:val="center"/>
          </w:tcPr>
          <w:p>
            <w:pPr>
              <w:autoSpaceDE w:val="0"/>
              <w:autoSpaceDN w:val="0"/>
              <w:spacing w:before="60" w:beforeLines="25" w:after="60" w:afterLines="25" w:line="400" w:lineRule="atLeast"/>
              <w:jc w:val="both"/>
              <w:textAlignment w:val="bottom"/>
              <w:rPr>
                <w:rFonts w:ascii="宋体" w:hAnsi="宋体" w:cs="宋体"/>
                <w:sz w:val="24"/>
              </w:rPr>
            </w:pPr>
          </w:p>
        </w:tc>
        <w:tc>
          <w:tcPr>
            <w:tcW w:w="4256" w:type="dxa"/>
            <w:gridSpan w:val="4"/>
            <w:vAlign w:val="center"/>
          </w:tcPr>
          <w:p>
            <w:pPr>
              <w:autoSpaceDE w:val="0"/>
              <w:autoSpaceDN w:val="0"/>
              <w:spacing w:before="60" w:beforeLines="25" w:after="60" w:afterLines="25" w:line="400" w:lineRule="atLeast"/>
              <w:jc w:val="both"/>
              <w:textAlignment w:val="bottom"/>
              <w:rPr>
                <w:rFonts w:ascii="宋体" w:hAnsi="宋体" w:cs="宋体"/>
                <w:sz w:val="24"/>
              </w:rPr>
            </w:pPr>
          </w:p>
        </w:tc>
        <w:tc>
          <w:tcPr>
            <w:tcW w:w="1940" w:type="dxa"/>
            <w:gridSpan w:val="2"/>
          </w:tcPr>
          <w:p>
            <w:pPr>
              <w:autoSpaceDE w:val="0"/>
              <w:autoSpaceDN w:val="0"/>
              <w:spacing w:before="60" w:beforeLines="25" w:after="60" w:afterLines="25" w:line="400" w:lineRule="atLeast"/>
              <w:jc w:val="both"/>
              <w:textAlignment w:val="bottom"/>
              <w:rPr>
                <w:rFonts w:ascii="宋体" w:hAnsi="宋体" w:cs="宋体"/>
                <w:sz w:val="24"/>
              </w:rPr>
            </w:pPr>
          </w:p>
        </w:tc>
        <w:tc>
          <w:tcPr>
            <w:tcW w:w="1290" w:type="dxa"/>
          </w:tcPr>
          <w:p>
            <w:pPr>
              <w:autoSpaceDE w:val="0"/>
              <w:autoSpaceDN w:val="0"/>
              <w:spacing w:before="60" w:beforeLines="25" w:after="60" w:afterLines="25" w:line="400" w:lineRule="atLeast"/>
              <w:jc w:val="both"/>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4" w:hRule="atLeast"/>
        </w:trPr>
        <w:tc>
          <w:tcPr>
            <w:tcW w:w="1292" w:type="dxa"/>
            <w:gridSpan w:val="2"/>
            <w:vAlign w:val="center"/>
          </w:tcPr>
          <w:p>
            <w:pPr>
              <w:autoSpaceDE w:val="0"/>
              <w:autoSpaceDN w:val="0"/>
              <w:spacing w:before="60" w:beforeLines="25" w:after="60" w:afterLines="25" w:line="400" w:lineRule="atLeast"/>
              <w:jc w:val="both"/>
              <w:textAlignment w:val="bottom"/>
              <w:rPr>
                <w:rFonts w:ascii="宋体" w:hAnsi="宋体" w:cs="宋体"/>
                <w:sz w:val="24"/>
              </w:rPr>
            </w:pPr>
          </w:p>
        </w:tc>
        <w:tc>
          <w:tcPr>
            <w:tcW w:w="4256" w:type="dxa"/>
            <w:gridSpan w:val="4"/>
            <w:vAlign w:val="center"/>
          </w:tcPr>
          <w:p>
            <w:pPr>
              <w:autoSpaceDE w:val="0"/>
              <w:autoSpaceDN w:val="0"/>
              <w:spacing w:before="60" w:beforeLines="25" w:after="60" w:afterLines="25" w:line="400" w:lineRule="atLeast"/>
              <w:jc w:val="both"/>
              <w:textAlignment w:val="bottom"/>
              <w:rPr>
                <w:rFonts w:ascii="宋体" w:hAnsi="宋体" w:cs="宋体"/>
                <w:sz w:val="24"/>
              </w:rPr>
            </w:pPr>
          </w:p>
        </w:tc>
        <w:tc>
          <w:tcPr>
            <w:tcW w:w="1940" w:type="dxa"/>
            <w:gridSpan w:val="2"/>
          </w:tcPr>
          <w:p>
            <w:pPr>
              <w:autoSpaceDE w:val="0"/>
              <w:autoSpaceDN w:val="0"/>
              <w:spacing w:before="60" w:beforeLines="25" w:after="60" w:afterLines="25" w:line="400" w:lineRule="atLeast"/>
              <w:jc w:val="both"/>
              <w:textAlignment w:val="bottom"/>
              <w:rPr>
                <w:rFonts w:ascii="宋体" w:hAnsi="宋体" w:cs="宋体"/>
                <w:sz w:val="24"/>
              </w:rPr>
            </w:pPr>
          </w:p>
        </w:tc>
        <w:tc>
          <w:tcPr>
            <w:tcW w:w="1290" w:type="dxa"/>
          </w:tcPr>
          <w:p>
            <w:pPr>
              <w:autoSpaceDE w:val="0"/>
              <w:autoSpaceDN w:val="0"/>
              <w:spacing w:before="60" w:beforeLines="25" w:after="60" w:afterLines="25" w:line="400" w:lineRule="atLeast"/>
              <w:jc w:val="both"/>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4" w:hRule="atLeast"/>
        </w:trPr>
        <w:tc>
          <w:tcPr>
            <w:tcW w:w="1292" w:type="dxa"/>
            <w:gridSpan w:val="2"/>
            <w:vAlign w:val="center"/>
          </w:tcPr>
          <w:p>
            <w:pPr>
              <w:autoSpaceDE w:val="0"/>
              <w:autoSpaceDN w:val="0"/>
              <w:spacing w:before="60" w:beforeLines="25" w:after="60" w:afterLines="25" w:line="400" w:lineRule="atLeast"/>
              <w:jc w:val="both"/>
              <w:textAlignment w:val="bottom"/>
              <w:rPr>
                <w:rFonts w:ascii="宋体" w:hAnsi="宋体" w:cs="宋体"/>
                <w:sz w:val="24"/>
              </w:rPr>
            </w:pPr>
          </w:p>
        </w:tc>
        <w:tc>
          <w:tcPr>
            <w:tcW w:w="4256" w:type="dxa"/>
            <w:gridSpan w:val="4"/>
            <w:vAlign w:val="center"/>
          </w:tcPr>
          <w:p>
            <w:pPr>
              <w:autoSpaceDE w:val="0"/>
              <w:autoSpaceDN w:val="0"/>
              <w:spacing w:before="60" w:beforeLines="25" w:after="60" w:afterLines="25" w:line="400" w:lineRule="atLeast"/>
              <w:jc w:val="both"/>
              <w:textAlignment w:val="bottom"/>
              <w:rPr>
                <w:rFonts w:ascii="宋体" w:hAnsi="宋体" w:cs="宋体"/>
                <w:sz w:val="24"/>
              </w:rPr>
            </w:pPr>
          </w:p>
        </w:tc>
        <w:tc>
          <w:tcPr>
            <w:tcW w:w="1940" w:type="dxa"/>
            <w:gridSpan w:val="2"/>
          </w:tcPr>
          <w:p>
            <w:pPr>
              <w:autoSpaceDE w:val="0"/>
              <w:autoSpaceDN w:val="0"/>
              <w:spacing w:before="60" w:beforeLines="25" w:after="60" w:afterLines="25" w:line="400" w:lineRule="atLeast"/>
              <w:jc w:val="both"/>
              <w:textAlignment w:val="bottom"/>
              <w:rPr>
                <w:rFonts w:ascii="宋体" w:hAnsi="宋体" w:cs="宋体"/>
                <w:sz w:val="24"/>
              </w:rPr>
            </w:pPr>
          </w:p>
        </w:tc>
        <w:tc>
          <w:tcPr>
            <w:tcW w:w="1290" w:type="dxa"/>
          </w:tcPr>
          <w:p>
            <w:pPr>
              <w:autoSpaceDE w:val="0"/>
              <w:autoSpaceDN w:val="0"/>
              <w:spacing w:before="60" w:beforeLines="25" w:after="60" w:afterLines="25" w:line="400" w:lineRule="atLeast"/>
              <w:jc w:val="both"/>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4" w:hRule="atLeast"/>
        </w:trPr>
        <w:tc>
          <w:tcPr>
            <w:tcW w:w="1292" w:type="dxa"/>
            <w:gridSpan w:val="2"/>
            <w:vAlign w:val="center"/>
          </w:tcPr>
          <w:p>
            <w:pPr>
              <w:autoSpaceDE w:val="0"/>
              <w:autoSpaceDN w:val="0"/>
              <w:spacing w:before="60" w:beforeLines="25" w:after="60" w:afterLines="25" w:line="400" w:lineRule="atLeast"/>
              <w:jc w:val="both"/>
              <w:textAlignment w:val="bottom"/>
              <w:rPr>
                <w:rFonts w:ascii="宋体" w:hAnsi="宋体" w:cs="宋体"/>
                <w:sz w:val="24"/>
              </w:rPr>
            </w:pPr>
          </w:p>
        </w:tc>
        <w:tc>
          <w:tcPr>
            <w:tcW w:w="4256" w:type="dxa"/>
            <w:gridSpan w:val="4"/>
            <w:vAlign w:val="center"/>
          </w:tcPr>
          <w:p>
            <w:pPr>
              <w:autoSpaceDE w:val="0"/>
              <w:autoSpaceDN w:val="0"/>
              <w:spacing w:before="60" w:beforeLines="25" w:after="60" w:afterLines="25" w:line="400" w:lineRule="atLeast"/>
              <w:jc w:val="both"/>
              <w:textAlignment w:val="bottom"/>
              <w:rPr>
                <w:rFonts w:ascii="宋体" w:hAnsi="宋体" w:cs="宋体"/>
                <w:sz w:val="24"/>
              </w:rPr>
            </w:pPr>
          </w:p>
        </w:tc>
        <w:tc>
          <w:tcPr>
            <w:tcW w:w="1940" w:type="dxa"/>
            <w:gridSpan w:val="2"/>
          </w:tcPr>
          <w:p>
            <w:pPr>
              <w:autoSpaceDE w:val="0"/>
              <w:autoSpaceDN w:val="0"/>
              <w:spacing w:before="60" w:beforeLines="25" w:after="60" w:afterLines="25" w:line="400" w:lineRule="atLeast"/>
              <w:jc w:val="both"/>
              <w:textAlignment w:val="bottom"/>
              <w:rPr>
                <w:rFonts w:ascii="宋体" w:hAnsi="宋体" w:cs="宋体"/>
                <w:sz w:val="24"/>
              </w:rPr>
            </w:pPr>
          </w:p>
        </w:tc>
        <w:tc>
          <w:tcPr>
            <w:tcW w:w="1290" w:type="dxa"/>
          </w:tcPr>
          <w:p>
            <w:pPr>
              <w:autoSpaceDE w:val="0"/>
              <w:autoSpaceDN w:val="0"/>
              <w:spacing w:before="60" w:beforeLines="25" w:after="60" w:afterLines="25" w:line="400" w:lineRule="atLeast"/>
              <w:jc w:val="both"/>
              <w:textAlignment w:val="bottom"/>
              <w:rPr>
                <w:rFonts w:ascii="宋体" w:hAnsi="宋体" w:cs="宋体"/>
                <w:sz w:val="24"/>
              </w:rPr>
            </w:pPr>
          </w:p>
        </w:tc>
      </w:tr>
    </w:tbl>
    <w:p>
      <w:pPr>
        <w:numPr>
          <w:ilvl w:val="0"/>
          <w:numId w:val="6"/>
        </w:numPr>
        <w:spacing w:line="600" w:lineRule="exact"/>
        <w:jc w:val="both"/>
      </w:pPr>
      <w:r>
        <w:rPr>
          <w:rFonts w:hint="eastAsia" w:cs="仿宋" w:asciiTheme="minorEastAsia" w:hAnsiTheme="minorEastAsia" w:eastAsiaTheme="minorEastAsia"/>
          <w:sz w:val="24"/>
        </w:rPr>
        <w:t>注：供应商应根据供应商须知前附表第3.5（6）项的要求在本表后附相关证明材料。</w:t>
      </w:r>
    </w:p>
    <w:p>
      <w:pPr>
        <w:adjustRightInd w:val="0"/>
        <w:snapToGrid w:val="0"/>
        <w:spacing w:line="600" w:lineRule="exact"/>
        <w:jc w:val="center"/>
        <w:outlineLvl w:val="0"/>
        <w:rPr>
          <w:rFonts w:ascii="黑体" w:hAnsi="黑体" w:eastAsia="黑体" w:cs="仿宋"/>
          <w:sz w:val="36"/>
          <w:szCs w:val="36"/>
        </w:rPr>
      </w:pPr>
      <w:bookmarkStart w:id="73" w:name="_Toc31152"/>
      <w:r>
        <w:rPr>
          <w:rFonts w:hint="eastAsia" w:ascii="黑体" w:hAnsi="黑体" w:eastAsia="黑体" w:cs="仿宋"/>
          <w:sz w:val="36"/>
          <w:szCs w:val="36"/>
        </w:rPr>
        <w:t>六、响应方案</w:t>
      </w:r>
      <w:bookmarkEnd w:id="73"/>
    </w:p>
    <w:p>
      <w:pPr>
        <w:pStyle w:val="38"/>
      </w:pP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(一)货物质量标准或技术性能指标的详细描述</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注：主要材料和关键部件有外购的，应在此部分详细说明外购的主要材料和关键部件名称、型号规格或主要技术性能参数、制造商名称、制造商地址等信息。可结合第三章“评审办法”和第五章“供货需求”中的要求进行响应）</w:t>
      </w:r>
    </w:p>
    <w:p>
      <w:pPr>
        <w:numPr>
          <w:ilvl w:val="0"/>
          <w:numId w:val="7"/>
        </w:num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技术支持资料（可结合第三章“评审办法”和第五章“供货需求”中的要求进行响应）</w:t>
      </w:r>
    </w:p>
    <w:p>
      <w:pPr>
        <w:numPr>
          <w:ilvl w:val="0"/>
          <w:numId w:val="7"/>
        </w:num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相关服务计划（可结合第三章“评审办法”和第五章“供货需求”中的要求进行响应）</w:t>
      </w:r>
    </w:p>
    <w:p>
      <w:pPr>
        <w:spacing w:line="240" w:lineRule="auto"/>
        <w:rPr>
          <w:rFonts w:ascii="黑体" w:hAnsi="黑体" w:eastAsia="黑体" w:cs="仿宋"/>
          <w:sz w:val="36"/>
          <w:szCs w:val="36"/>
        </w:rPr>
      </w:pPr>
      <w:bookmarkStart w:id="74" w:name="_Toc5214"/>
      <w:r>
        <w:rPr>
          <w:rFonts w:hint="eastAsia" w:ascii="黑体" w:hAnsi="黑体" w:eastAsia="黑体" w:cs="仿宋"/>
          <w:sz w:val="36"/>
          <w:szCs w:val="36"/>
        </w:rPr>
        <w:br w:type="page"/>
      </w:r>
    </w:p>
    <w:p>
      <w:pPr>
        <w:adjustRightInd w:val="0"/>
        <w:snapToGrid w:val="0"/>
        <w:spacing w:line="600" w:lineRule="exact"/>
        <w:jc w:val="center"/>
        <w:outlineLvl w:val="0"/>
        <w:rPr>
          <w:rFonts w:ascii="黑体" w:hAnsi="黑体" w:eastAsia="黑体" w:cs="仿宋"/>
          <w:sz w:val="36"/>
          <w:szCs w:val="36"/>
        </w:rPr>
      </w:pPr>
      <w:r>
        <w:rPr>
          <w:rFonts w:hint="eastAsia" w:ascii="黑体" w:hAnsi="黑体" w:eastAsia="黑体" w:cs="仿宋"/>
          <w:sz w:val="36"/>
          <w:szCs w:val="36"/>
        </w:rPr>
        <w:t>七、其他资料</w:t>
      </w:r>
      <w:bookmarkEnd w:id="74"/>
    </w:p>
    <w:p>
      <w:pPr>
        <w:adjustRightInd w:val="0"/>
        <w:snapToGrid w:val="0"/>
        <w:spacing w:line="600" w:lineRule="exact"/>
        <w:ind w:left="420" w:leftChars="200"/>
        <w:jc w:val="both"/>
        <w:rPr>
          <w:rFonts w:cs="仿宋" w:asciiTheme="minorEastAsia" w:hAnsiTheme="minorEastAsia" w:eastAsiaTheme="minorEastAsia"/>
          <w:sz w:val="24"/>
        </w:rPr>
      </w:pPr>
    </w:p>
    <w:p>
      <w:pPr>
        <w:adjustRightInd w:val="0"/>
        <w:snapToGrid w:val="0"/>
        <w:spacing w:line="600" w:lineRule="exact"/>
        <w:ind w:left="420" w:leftChars="200"/>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供应商需提交的其他资料。</w:t>
      </w:r>
    </w:p>
    <w:p>
      <w:pPr>
        <w:spacing w:line="240" w:lineRule="auto"/>
        <w:jc w:val="both"/>
      </w:pPr>
    </w:p>
    <w:sectPr>
      <w:footerReference r:id="rId7" w:type="default"/>
      <w:pgSz w:w="11906" w:h="16838"/>
      <w:pgMar w:top="1440" w:right="1800" w:bottom="1440" w:left="1800" w:header="851" w:footer="1344"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center" w:pos="4153"/>
        <w:tab w:val="right"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tabs>
                              <w:tab w:val="center" w:pos="4153"/>
                              <w:tab w:val="right" w:pos="8306"/>
                            </w:tabs>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5"/>
                      <w:tabs>
                        <w:tab w:val="center" w:pos="4153"/>
                        <w:tab w:val="right" w:pos="8306"/>
                      </w:tabs>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61331"/>
    </w:sdtPr>
    <w:sdtEndPr>
      <w:rPr>
        <w:sz w:val="20"/>
      </w:rPr>
    </w:sdtEndPr>
    <w:sdtContent>
      <w:p>
        <w:pPr>
          <w:pStyle w:val="25"/>
          <w:spacing w:before="120" w:after="120"/>
          <w:jc w:val="center"/>
        </w:pPr>
        <w:r>
          <w:rPr>
            <w:sz w:val="20"/>
          </w:rPr>
          <w:fldChar w:fldCharType="begin"/>
        </w:r>
        <w:r>
          <w:rPr>
            <w:sz w:val="20"/>
          </w:rPr>
          <w:instrText xml:space="preserve"> PAGE   \* MERGEFORMAT </w:instrText>
        </w:r>
        <w:r>
          <w:rPr>
            <w:sz w:val="20"/>
          </w:rPr>
          <w:fldChar w:fldCharType="separate"/>
        </w:r>
        <w:r>
          <w:rPr>
            <w:sz w:val="20"/>
            <w:lang w:val="zh-CN"/>
          </w:rPr>
          <w:t>48</w:t>
        </w:r>
        <w:r>
          <w:rPr>
            <w:sz w:val="20"/>
          </w:rPr>
          <w:fldChar w:fldCharType="end"/>
        </w:r>
      </w:p>
    </w:sdtContent>
  </w:sdt>
  <w:p>
    <w:pPr>
      <w:pStyle w:val="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240" w:lineRule="auto"/>
      </w:pPr>
      <w:r>
        <w:separator/>
      </w:r>
    </w:p>
  </w:footnote>
  <w:footnote w:type="continuationSeparator" w:id="3">
    <w:p>
      <w:pPr>
        <w:spacing w:line="240" w:lineRule="auto"/>
      </w:pPr>
      <w:r>
        <w:continuationSeparator/>
      </w:r>
    </w:p>
  </w:footnote>
  <w:footnote w:id="0">
    <w:p>
      <w:pPr>
        <w:pStyle w:val="29"/>
        <w:suppressLineNumbers/>
        <w:ind w:left="0" w:firstLine="0"/>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4F155"/>
    <w:multiLevelType w:val="singleLevel"/>
    <w:tmpl w:val="9234F155"/>
    <w:lvl w:ilvl="0" w:tentative="0">
      <w:start w:val="2"/>
      <w:numFmt w:val="chineseCounting"/>
      <w:suff w:val="space"/>
      <w:lvlText w:val="第%1部分"/>
      <w:lvlJc w:val="left"/>
      <w:rPr>
        <w:rFonts w:hint="eastAsia"/>
      </w:rPr>
    </w:lvl>
  </w:abstractNum>
  <w:abstractNum w:abstractNumId="1">
    <w:nsid w:val="A2894C12"/>
    <w:multiLevelType w:val="singleLevel"/>
    <w:tmpl w:val="A2894C12"/>
    <w:lvl w:ilvl="0" w:tentative="0">
      <w:start w:val="4"/>
      <w:numFmt w:val="chineseCounting"/>
      <w:suff w:val="nothing"/>
      <w:lvlText w:val="（%1）"/>
      <w:lvlJc w:val="left"/>
      <w:rPr>
        <w:rFonts w:hint="eastAsia"/>
      </w:rPr>
    </w:lvl>
  </w:abstractNum>
  <w:abstractNum w:abstractNumId="2">
    <w:nsid w:val="BE15A2A9"/>
    <w:multiLevelType w:val="singleLevel"/>
    <w:tmpl w:val="BE15A2A9"/>
    <w:lvl w:ilvl="0" w:tentative="0">
      <w:start w:val="2"/>
      <w:numFmt w:val="chineseCounting"/>
      <w:suff w:val="nothing"/>
      <w:lvlText w:val="（%1）"/>
      <w:lvlJc w:val="left"/>
      <w:rPr>
        <w:rFonts w:hint="eastAsia"/>
      </w:rPr>
    </w:lvl>
  </w:abstractNum>
  <w:abstractNum w:abstractNumId="3">
    <w:nsid w:val="DBA4F26E"/>
    <w:multiLevelType w:val="singleLevel"/>
    <w:tmpl w:val="DBA4F26E"/>
    <w:lvl w:ilvl="0" w:tentative="0">
      <w:start w:val="1"/>
      <w:numFmt w:val="decimal"/>
      <w:suff w:val="nothing"/>
      <w:lvlText w:val="（%1）"/>
      <w:lvlJc w:val="left"/>
    </w:lvl>
  </w:abstractNum>
  <w:abstractNum w:abstractNumId="4">
    <w:nsid w:val="03ECED67"/>
    <w:multiLevelType w:val="singleLevel"/>
    <w:tmpl w:val="03ECED67"/>
    <w:lvl w:ilvl="0" w:tentative="0">
      <w:start w:val="4"/>
      <w:numFmt w:val="decimal"/>
      <w:lvlText w:val="%1."/>
      <w:lvlJc w:val="left"/>
      <w:pPr>
        <w:tabs>
          <w:tab w:val="left" w:pos="312"/>
        </w:tabs>
      </w:pPr>
    </w:lvl>
  </w:abstractNum>
  <w:abstractNum w:abstractNumId="5">
    <w:nsid w:val="3601A173"/>
    <w:multiLevelType w:val="singleLevel"/>
    <w:tmpl w:val="3601A173"/>
    <w:lvl w:ilvl="0" w:tentative="0">
      <w:start w:val="1"/>
      <w:numFmt w:val="chineseCounting"/>
      <w:suff w:val="nothing"/>
      <w:lvlText w:val="%1、"/>
      <w:lvlJc w:val="left"/>
      <w:rPr>
        <w:rFonts w:hint="eastAsia"/>
      </w:rPr>
    </w:lvl>
  </w:abstractNum>
  <w:abstractNum w:abstractNumId="6">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3"/>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dit="trackedChanges" w:formatting="1"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c3OTgzYWJlZTQ4OWUwNmU2NDgyNDg3ZTU4ZmE2OGEifQ=="/>
  </w:docVars>
  <w:rsids>
    <w:rsidRoot w:val="00124EA9"/>
    <w:rsid w:val="000021E0"/>
    <w:rsid w:val="00002637"/>
    <w:rsid w:val="00004047"/>
    <w:rsid w:val="00010F56"/>
    <w:rsid w:val="00024612"/>
    <w:rsid w:val="00030DDC"/>
    <w:rsid w:val="0004054E"/>
    <w:rsid w:val="00044051"/>
    <w:rsid w:val="00045372"/>
    <w:rsid w:val="00045996"/>
    <w:rsid w:val="00047744"/>
    <w:rsid w:val="00053E1B"/>
    <w:rsid w:val="00072ECA"/>
    <w:rsid w:val="00077817"/>
    <w:rsid w:val="00080B47"/>
    <w:rsid w:val="000A0047"/>
    <w:rsid w:val="000A7926"/>
    <w:rsid w:val="000B3944"/>
    <w:rsid w:val="000B4936"/>
    <w:rsid w:val="000C4E44"/>
    <w:rsid w:val="000C5689"/>
    <w:rsid w:val="000D0417"/>
    <w:rsid w:val="000D1EAB"/>
    <w:rsid w:val="000D2B43"/>
    <w:rsid w:val="000D3831"/>
    <w:rsid w:val="000D3A07"/>
    <w:rsid w:val="000E5829"/>
    <w:rsid w:val="000F2F60"/>
    <w:rsid w:val="000F3D59"/>
    <w:rsid w:val="000F59F0"/>
    <w:rsid w:val="000F65C5"/>
    <w:rsid w:val="00101210"/>
    <w:rsid w:val="00116B58"/>
    <w:rsid w:val="00124EA9"/>
    <w:rsid w:val="001259B3"/>
    <w:rsid w:val="00125CE8"/>
    <w:rsid w:val="00132724"/>
    <w:rsid w:val="00133753"/>
    <w:rsid w:val="00141109"/>
    <w:rsid w:val="00141200"/>
    <w:rsid w:val="001417E6"/>
    <w:rsid w:val="001421A1"/>
    <w:rsid w:val="0014231F"/>
    <w:rsid w:val="001429F5"/>
    <w:rsid w:val="00144A0B"/>
    <w:rsid w:val="00155F5F"/>
    <w:rsid w:val="0016577A"/>
    <w:rsid w:val="00172E5F"/>
    <w:rsid w:val="00175066"/>
    <w:rsid w:val="00175891"/>
    <w:rsid w:val="00186D78"/>
    <w:rsid w:val="00191835"/>
    <w:rsid w:val="001A1831"/>
    <w:rsid w:val="001A77A4"/>
    <w:rsid w:val="001B2C90"/>
    <w:rsid w:val="001B336A"/>
    <w:rsid w:val="001D03F9"/>
    <w:rsid w:val="001E19E5"/>
    <w:rsid w:val="001F28D4"/>
    <w:rsid w:val="001F55EE"/>
    <w:rsid w:val="00200C8B"/>
    <w:rsid w:val="0020642B"/>
    <w:rsid w:val="00210B19"/>
    <w:rsid w:val="0021628B"/>
    <w:rsid w:val="002208F6"/>
    <w:rsid w:val="00221799"/>
    <w:rsid w:val="00230CBC"/>
    <w:rsid w:val="00235A03"/>
    <w:rsid w:val="00240105"/>
    <w:rsid w:val="00243CE0"/>
    <w:rsid w:val="00244E9B"/>
    <w:rsid w:val="002457BF"/>
    <w:rsid w:val="0026094B"/>
    <w:rsid w:val="002648DF"/>
    <w:rsid w:val="002652B1"/>
    <w:rsid w:val="00277813"/>
    <w:rsid w:val="002805C4"/>
    <w:rsid w:val="00281C9C"/>
    <w:rsid w:val="002832EF"/>
    <w:rsid w:val="0028390B"/>
    <w:rsid w:val="00292A27"/>
    <w:rsid w:val="00295840"/>
    <w:rsid w:val="002A13A6"/>
    <w:rsid w:val="002A3283"/>
    <w:rsid w:val="002A3646"/>
    <w:rsid w:val="002A69B8"/>
    <w:rsid w:val="002A71D3"/>
    <w:rsid w:val="002B10BE"/>
    <w:rsid w:val="002B225E"/>
    <w:rsid w:val="002B69B6"/>
    <w:rsid w:val="002B7B11"/>
    <w:rsid w:val="002D3DCC"/>
    <w:rsid w:val="002D460A"/>
    <w:rsid w:val="002E1D5F"/>
    <w:rsid w:val="002F211F"/>
    <w:rsid w:val="002F4C12"/>
    <w:rsid w:val="003010D2"/>
    <w:rsid w:val="0031048F"/>
    <w:rsid w:val="00311F7E"/>
    <w:rsid w:val="0031228A"/>
    <w:rsid w:val="00313DD0"/>
    <w:rsid w:val="00314E9E"/>
    <w:rsid w:val="00320A6F"/>
    <w:rsid w:val="00320CB0"/>
    <w:rsid w:val="003220EE"/>
    <w:rsid w:val="00323D71"/>
    <w:rsid w:val="003276E9"/>
    <w:rsid w:val="0033090F"/>
    <w:rsid w:val="00331CB4"/>
    <w:rsid w:val="00333AC7"/>
    <w:rsid w:val="003346E3"/>
    <w:rsid w:val="00335C6C"/>
    <w:rsid w:val="00340982"/>
    <w:rsid w:val="00341BE1"/>
    <w:rsid w:val="00343219"/>
    <w:rsid w:val="00352D6E"/>
    <w:rsid w:val="003536C1"/>
    <w:rsid w:val="00361529"/>
    <w:rsid w:val="00363E54"/>
    <w:rsid w:val="003650E1"/>
    <w:rsid w:val="00371495"/>
    <w:rsid w:val="00374EAB"/>
    <w:rsid w:val="00386390"/>
    <w:rsid w:val="00392340"/>
    <w:rsid w:val="003A008A"/>
    <w:rsid w:val="003A21A4"/>
    <w:rsid w:val="003A35E6"/>
    <w:rsid w:val="003A44F1"/>
    <w:rsid w:val="003A47A2"/>
    <w:rsid w:val="003A7BE3"/>
    <w:rsid w:val="003B1B7D"/>
    <w:rsid w:val="003C0E8A"/>
    <w:rsid w:val="003C71AC"/>
    <w:rsid w:val="003E51BA"/>
    <w:rsid w:val="003E7A6F"/>
    <w:rsid w:val="003F3ADB"/>
    <w:rsid w:val="003F5510"/>
    <w:rsid w:val="00400E02"/>
    <w:rsid w:val="00412123"/>
    <w:rsid w:val="00417182"/>
    <w:rsid w:val="004179C4"/>
    <w:rsid w:val="004212E9"/>
    <w:rsid w:val="0043355D"/>
    <w:rsid w:val="00445025"/>
    <w:rsid w:val="004477E9"/>
    <w:rsid w:val="004528FC"/>
    <w:rsid w:val="004529AE"/>
    <w:rsid w:val="00464986"/>
    <w:rsid w:val="00470510"/>
    <w:rsid w:val="00474349"/>
    <w:rsid w:val="00477005"/>
    <w:rsid w:val="00477356"/>
    <w:rsid w:val="00480E54"/>
    <w:rsid w:val="00482A85"/>
    <w:rsid w:val="0048561B"/>
    <w:rsid w:val="00494772"/>
    <w:rsid w:val="004950D7"/>
    <w:rsid w:val="0049685C"/>
    <w:rsid w:val="004A6BC6"/>
    <w:rsid w:val="004B2465"/>
    <w:rsid w:val="004B24C9"/>
    <w:rsid w:val="004B3E4A"/>
    <w:rsid w:val="004B4FBC"/>
    <w:rsid w:val="004C757A"/>
    <w:rsid w:val="004D1DCD"/>
    <w:rsid w:val="004D2DC8"/>
    <w:rsid w:val="004D702E"/>
    <w:rsid w:val="004E4895"/>
    <w:rsid w:val="004F03C7"/>
    <w:rsid w:val="004F1CF3"/>
    <w:rsid w:val="004F29F6"/>
    <w:rsid w:val="004F7BD5"/>
    <w:rsid w:val="004F7F0C"/>
    <w:rsid w:val="0050258D"/>
    <w:rsid w:val="0051116B"/>
    <w:rsid w:val="00514DA0"/>
    <w:rsid w:val="00521568"/>
    <w:rsid w:val="005225C2"/>
    <w:rsid w:val="00527EEC"/>
    <w:rsid w:val="005307B3"/>
    <w:rsid w:val="005458F8"/>
    <w:rsid w:val="0054718F"/>
    <w:rsid w:val="0055203E"/>
    <w:rsid w:val="00557CC1"/>
    <w:rsid w:val="00562EC2"/>
    <w:rsid w:val="00570995"/>
    <w:rsid w:val="0057297F"/>
    <w:rsid w:val="0057563C"/>
    <w:rsid w:val="00577C78"/>
    <w:rsid w:val="00580488"/>
    <w:rsid w:val="0058176A"/>
    <w:rsid w:val="005864F4"/>
    <w:rsid w:val="005932FF"/>
    <w:rsid w:val="005A146D"/>
    <w:rsid w:val="005A24DF"/>
    <w:rsid w:val="005A41D3"/>
    <w:rsid w:val="005A70E0"/>
    <w:rsid w:val="005B251E"/>
    <w:rsid w:val="005C4BCE"/>
    <w:rsid w:val="005C6B71"/>
    <w:rsid w:val="005E5529"/>
    <w:rsid w:val="005F29AC"/>
    <w:rsid w:val="005F3C29"/>
    <w:rsid w:val="005F499C"/>
    <w:rsid w:val="005F70D1"/>
    <w:rsid w:val="00602185"/>
    <w:rsid w:val="00612206"/>
    <w:rsid w:val="00617F38"/>
    <w:rsid w:val="00622C7F"/>
    <w:rsid w:val="00625301"/>
    <w:rsid w:val="006339A2"/>
    <w:rsid w:val="0063785D"/>
    <w:rsid w:val="006417A4"/>
    <w:rsid w:val="006435FD"/>
    <w:rsid w:val="00645395"/>
    <w:rsid w:val="00647837"/>
    <w:rsid w:val="0065638A"/>
    <w:rsid w:val="00656CED"/>
    <w:rsid w:val="00660D70"/>
    <w:rsid w:val="00665B3C"/>
    <w:rsid w:val="00673382"/>
    <w:rsid w:val="00676BDB"/>
    <w:rsid w:val="00677175"/>
    <w:rsid w:val="00686532"/>
    <w:rsid w:val="00690B7C"/>
    <w:rsid w:val="006A12CE"/>
    <w:rsid w:val="006A499F"/>
    <w:rsid w:val="006B1EC2"/>
    <w:rsid w:val="006B3F31"/>
    <w:rsid w:val="006C3C02"/>
    <w:rsid w:val="006C735F"/>
    <w:rsid w:val="006D3E72"/>
    <w:rsid w:val="006E037A"/>
    <w:rsid w:val="006E0909"/>
    <w:rsid w:val="006E37CB"/>
    <w:rsid w:val="006E4993"/>
    <w:rsid w:val="006E5C39"/>
    <w:rsid w:val="006E7A0F"/>
    <w:rsid w:val="00702A69"/>
    <w:rsid w:val="00703107"/>
    <w:rsid w:val="00707624"/>
    <w:rsid w:val="007126CB"/>
    <w:rsid w:val="00724E8E"/>
    <w:rsid w:val="007265BE"/>
    <w:rsid w:val="00734D60"/>
    <w:rsid w:val="00737224"/>
    <w:rsid w:val="00747724"/>
    <w:rsid w:val="007555FC"/>
    <w:rsid w:val="007623DE"/>
    <w:rsid w:val="00762B33"/>
    <w:rsid w:val="00767FCD"/>
    <w:rsid w:val="00770FF3"/>
    <w:rsid w:val="00771629"/>
    <w:rsid w:val="00772C0C"/>
    <w:rsid w:val="00773441"/>
    <w:rsid w:val="00773E3D"/>
    <w:rsid w:val="007766C6"/>
    <w:rsid w:val="00784672"/>
    <w:rsid w:val="00784F8A"/>
    <w:rsid w:val="00785C21"/>
    <w:rsid w:val="007875F9"/>
    <w:rsid w:val="007942F7"/>
    <w:rsid w:val="007964EF"/>
    <w:rsid w:val="007A356C"/>
    <w:rsid w:val="007A6955"/>
    <w:rsid w:val="007C2355"/>
    <w:rsid w:val="007C74E8"/>
    <w:rsid w:val="007D0497"/>
    <w:rsid w:val="007D29D4"/>
    <w:rsid w:val="007D3081"/>
    <w:rsid w:val="007E1F23"/>
    <w:rsid w:val="007E75D6"/>
    <w:rsid w:val="007F3D4A"/>
    <w:rsid w:val="007F4037"/>
    <w:rsid w:val="0080745B"/>
    <w:rsid w:val="008103BB"/>
    <w:rsid w:val="00822A51"/>
    <w:rsid w:val="00824B55"/>
    <w:rsid w:val="008322CC"/>
    <w:rsid w:val="00846E00"/>
    <w:rsid w:val="00855A14"/>
    <w:rsid w:val="00867D79"/>
    <w:rsid w:val="008705DF"/>
    <w:rsid w:val="008762E6"/>
    <w:rsid w:val="00883782"/>
    <w:rsid w:val="00886560"/>
    <w:rsid w:val="00892349"/>
    <w:rsid w:val="00892DCC"/>
    <w:rsid w:val="008933B7"/>
    <w:rsid w:val="00896688"/>
    <w:rsid w:val="008A4531"/>
    <w:rsid w:val="008A6664"/>
    <w:rsid w:val="008B2D72"/>
    <w:rsid w:val="008B78B9"/>
    <w:rsid w:val="008C623B"/>
    <w:rsid w:val="008D6FD9"/>
    <w:rsid w:val="008E20BE"/>
    <w:rsid w:val="008F6B51"/>
    <w:rsid w:val="0090589A"/>
    <w:rsid w:val="00920EB0"/>
    <w:rsid w:val="00930131"/>
    <w:rsid w:val="009315C2"/>
    <w:rsid w:val="00935E41"/>
    <w:rsid w:val="00935ED2"/>
    <w:rsid w:val="00944D38"/>
    <w:rsid w:val="00954F74"/>
    <w:rsid w:val="00955643"/>
    <w:rsid w:val="009573B9"/>
    <w:rsid w:val="00965E94"/>
    <w:rsid w:val="00983877"/>
    <w:rsid w:val="00994A7A"/>
    <w:rsid w:val="00995655"/>
    <w:rsid w:val="009969DC"/>
    <w:rsid w:val="009A1BD2"/>
    <w:rsid w:val="009A24B1"/>
    <w:rsid w:val="009A7CD3"/>
    <w:rsid w:val="009B084E"/>
    <w:rsid w:val="009B5405"/>
    <w:rsid w:val="009B626F"/>
    <w:rsid w:val="009B66AE"/>
    <w:rsid w:val="009C0449"/>
    <w:rsid w:val="009C1CEF"/>
    <w:rsid w:val="00A02DDD"/>
    <w:rsid w:val="00A12741"/>
    <w:rsid w:val="00A15750"/>
    <w:rsid w:val="00A2148B"/>
    <w:rsid w:val="00A2462C"/>
    <w:rsid w:val="00A27204"/>
    <w:rsid w:val="00A32084"/>
    <w:rsid w:val="00A33D67"/>
    <w:rsid w:val="00A3767B"/>
    <w:rsid w:val="00A41388"/>
    <w:rsid w:val="00A477C0"/>
    <w:rsid w:val="00A507DC"/>
    <w:rsid w:val="00A54E02"/>
    <w:rsid w:val="00A60B69"/>
    <w:rsid w:val="00A67EC8"/>
    <w:rsid w:val="00A74225"/>
    <w:rsid w:val="00A81F80"/>
    <w:rsid w:val="00A828F1"/>
    <w:rsid w:val="00A85998"/>
    <w:rsid w:val="00A868EF"/>
    <w:rsid w:val="00A906E2"/>
    <w:rsid w:val="00A92BFD"/>
    <w:rsid w:val="00AA0F15"/>
    <w:rsid w:val="00AB006C"/>
    <w:rsid w:val="00AB4D1C"/>
    <w:rsid w:val="00AC4328"/>
    <w:rsid w:val="00AD2A48"/>
    <w:rsid w:val="00AD2C8A"/>
    <w:rsid w:val="00AD6819"/>
    <w:rsid w:val="00AE15F3"/>
    <w:rsid w:val="00AF4CC2"/>
    <w:rsid w:val="00B01BCC"/>
    <w:rsid w:val="00B13390"/>
    <w:rsid w:val="00B20810"/>
    <w:rsid w:val="00B25D89"/>
    <w:rsid w:val="00B3664B"/>
    <w:rsid w:val="00B439A9"/>
    <w:rsid w:val="00B4446C"/>
    <w:rsid w:val="00B60605"/>
    <w:rsid w:val="00B64A25"/>
    <w:rsid w:val="00B6591E"/>
    <w:rsid w:val="00B66C84"/>
    <w:rsid w:val="00B72D4F"/>
    <w:rsid w:val="00B80BE7"/>
    <w:rsid w:val="00B82043"/>
    <w:rsid w:val="00B91731"/>
    <w:rsid w:val="00B9193D"/>
    <w:rsid w:val="00B92BED"/>
    <w:rsid w:val="00B938D9"/>
    <w:rsid w:val="00B95169"/>
    <w:rsid w:val="00BA4291"/>
    <w:rsid w:val="00BA5C22"/>
    <w:rsid w:val="00BA6815"/>
    <w:rsid w:val="00BA6DC7"/>
    <w:rsid w:val="00BA783A"/>
    <w:rsid w:val="00BB00AF"/>
    <w:rsid w:val="00BB1B83"/>
    <w:rsid w:val="00BB53FF"/>
    <w:rsid w:val="00BC08B5"/>
    <w:rsid w:val="00BC5446"/>
    <w:rsid w:val="00BC71A5"/>
    <w:rsid w:val="00BD05F9"/>
    <w:rsid w:val="00BD7A21"/>
    <w:rsid w:val="00BF2669"/>
    <w:rsid w:val="00BF6D09"/>
    <w:rsid w:val="00C015E0"/>
    <w:rsid w:val="00C03C07"/>
    <w:rsid w:val="00C11336"/>
    <w:rsid w:val="00C12666"/>
    <w:rsid w:val="00C14B63"/>
    <w:rsid w:val="00C16814"/>
    <w:rsid w:val="00C202FC"/>
    <w:rsid w:val="00C22565"/>
    <w:rsid w:val="00C43EAA"/>
    <w:rsid w:val="00C52E06"/>
    <w:rsid w:val="00C53A90"/>
    <w:rsid w:val="00C54AC5"/>
    <w:rsid w:val="00C63AEE"/>
    <w:rsid w:val="00C679AB"/>
    <w:rsid w:val="00C7182C"/>
    <w:rsid w:val="00C80A31"/>
    <w:rsid w:val="00C81F06"/>
    <w:rsid w:val="00C938B5"/>
    <w:rsid w:val="00C94DBF"/>
    <w:rsid w:val="00CB2271"/>
    <w:rsid w:val="00CB35D3"/>
    <w:rsid w:val="00CB4A8E"/>
    <w:rsid w:val="00CC5CBC"/>
    <w:rsid w:val="00CD37B7"/>
    <w:rsid w:val="00CE020B"/>
    <w:rsid w:val="00CE71D2"/>
    <w:rsid w:val="00CE7226"/>
    <w:rsid w:val="00CE7D8E"/>
    <w:rsid w:val="00CF0A7E"/>
    <w:rsid w:val="00CF36EE"/>
    <w:rsid w:val="00D04D77"/>
    <w:rsid w:val="00D05E32"/>
    <w:rsid w:val="00D06471"/>
    <w:rsid w:val="00D11238"/>
    <w:rsid w:val="00D1160E"/>
    <w:rsid w:val="00D1328D"/>
    <w:rsid w:val="00D14A1E"/>
    <w:rsid w:val="00D22617"/>
    <w:rsid w:val="00D26E74"/>
    <w:rsid w:val="00D27461"/>
    <w:rsid w:val="00D30D7D"/>
    <w:rsid w:val="00D32AD3"/>
    <w:rsid w:val="00D35B47"/>
    <w:rsid w:val="00D44DE9"/>
    <w:rsid w:val="00D4514A"/>
    <w:rsid w:val="00D50CFA"/>
    <w:rsid w:val="00D52D42"/>
    <w:rsid w:val="00D5313A"/>
    <w:rsid w:val="00D53EEB"/>
    <w:rsid w:val="00D56D4E"/>
    <w:rsid w:val="00D812B2"/>
    <w:rsid w:val="00D841AD"/>
    <w:rsid w:val="00D86B1B"/>
    <w:rsid w:val="00D87D62"/>
    <w:rsid w:val="00D90F37"/>
    <w:rsid w:val="00D92580"/>
    <w:rsid w:val="00D92EB2"/>
    <w:rsid w:val="00D962D6"/>
    <w:rsid w:val="00DA2E85"/>
    <w:rsid w:val="00DA3A70"/>
    <w:rsid w:val="00DA6572"/>
    <w:rsid w:val="00DB2007"/>
    <w:rsid w:val="00DC2A18"/>
    <w:rsid w:val="00DC3790"/>
    <w:rsid w:val="00DC74C8"/>
    <w:rsid w:val="00DC758D"/>
    <w:rsid w:val="00DD02EC"/>
    <w:rsid w:val="00DD03AC"/>
    <w:rsid w:val="00DD081E"/>
    <w:rsid w:val="00DD63AD"/>
    <w:rsid w:val="00DD7197"/>
    <w:rsid w:val="00DE7913"/>
    <w:rsid w:val="00DF2B35"/>
    <w:rsid w:val="00E006FA"/>
    <w:rsid w:val="00E07092"/>
    <w:rsid w:val="00E10A95"/>
    <w:rsid w:val="00E25112"/>
    <w:rsid w:val="00E259E0"/>
    <w:rsid w:val="00E263FD"/>
    <w:rsid w:val="00E30201"/>
    <w:rsid w:val="00E44E6A"/>
    <w:rsid w:val="00E5145F"/>
    <w:rsid w:val="00E5459C"/>
    <w:rsid w:val="00E61B4A"/>
    <w:rsid w:val="00E61C6F"/>
    <w:rsid w:val="00E63104"/>
    <w:rsid w:val="00E65DCA"/>
    <w:rsid w:val="00E828A3"/>
    <w:rsid w:val="00E839E1"/>
    <w:rsid w:val="00E8703F"/>
    <w:rsid w:val="00E92550"/>
    <w:rsid w:val="00EA3253"/>
    <w:rsid w:val="00EA6961"/>
    <w:rsid w:val="00EB0861"/>
    <w:rsid w:val="00EB3032"/>
    <w:rsid w:val="00EB36F8"/>
    <w:rsid w:val="00EB3D32"/>
    <w:rsid w:val="00EC1A38"/>
    <w:rsid w:val="00EC2968"/>
    <w:rsid w:val="00EC394D"/>
    <w:rsid w:val="00EC5AF3"/>
    <w:rsid w:val="00EE3DCE"/>
    <w:rsid w:val="00EE6210"/>
    <w:rsid w:val="00EE6D49"/>
    <w:rsid w:val="00EE75AA"/>
    <w:rsid w:val="00EE7B4B"/>
    <w:rsid w:val="00EF00AD"/>
    <w:rsid w:val="00F014DF"/>
    <w:rsid w:val="00F056D4"/>
    <w:rsid w:val="00F067FF"/>
    <w:rsid w:val="00F138CF"/>
    <w:rsid w:val="00F17C9D"/>
    <w:rsid w:val="00F31726"/>
    <w:rsid w:val="00F343CC"/>
    <w:rsid w:val="00F40991"/>
    <w:rsid w:val="00F434C7"/>
    <w:rsid w:val="00F449A4"/>
    <w:rsid w:val="00F51761"/>
    <w:rsid w:val="00F51B37"/>
    <w:rsid w:val="00F552F8"/>
    <w:rsid w:val="00F608A0"/>
    <w:rsid w:val="00F61594"/>
    <w:rsid w:val="00F642B8"/>
    <w:rsid w:val="00F725CC"/>
    <w:rsid w:val="00F76C2C"/>
    <w:rsid w:val="00F86C0E"/>
    <w:rsid w:val="00FA14A9"/>
    <w:rsid w:val="00FA688E"/>
    <w:rsid w:val="00FA7C31"/>
    <w:rsid w:val="00FB7FEC"/>
    <w:rsid w:val="00FC04D2"/>
    <w:rsid w:val="00FC09A8"/>
    <w:rsid w:val="00FC0CDA"/>
    <w:rsid w:val="00FC2557"/>
    <w:rsid w:val="00FC3155"/>
    <w:rsid w:val="00FC6DC7"/>
    <w:rsid w:val="00FD0360"/>
    <w:rsid w:val="00FD4D0F"/>
    <w:rsid w:val="00FD78D6"/>
    <w:rsid w:val="00FE3439"/>
    <w:rsid w:val="00FE5003"/>
    <w:rsid w:val="00FF43B1"/>
    <w:rsid w:val="00FF71EA"/>
    <w:rsid w:val="015107B6"/>
    <w:rsid w:val="01553922"/>
    <w:rsid w:val="01AC7279"/>
    <w:rsid w:val="01BA37EB"/>
    <w:rsid w:val="020B5B51"/>
    <w:rsid w:val="022003B8"/>
    <w:rsid w:val="02322291"/>
    <w:rsid w:val="024E1E15"/>
    <w:rsid w:val="02640B4A"/>
    <w:rsid w:val="02A81EED"/>
    <w:rsid w:val="02E5725D"/>
    <w:rsid w:val="03797287"/>
    <w:rsid w:val="03946AC4"/>
    <w:rsid w:val="03980E10"/>
    <w:rsid w:val="039A4242"/>
    <w:rsid w:val="03E11420"/>
    <w:rsid w:val="03EC7ADB"/>
    <w:rsid w:val="04063B90"/>
    <w:rsid w:val="040F4F9C"/>
    <w:rsid w:val="04292817"/>
    <w:rsid w:val="046E6139"/>
    <w:rsid w:val="04727874"/>
    <w:rsid w:val="04850B44"/>
    <w:rsid w:val="0506170D"/>
    <w:rsid w:val="051C04D1"/>
    <w:rsid w:val="0558793A"/>
    <w:rsid w:val="05725EBF"/>
    <w:rsid w:val="05A6798C"/>
    <w:rsid w:val="05D05281"/>
    <w:rsid w:val="05DA407F"/>
    <w:rsid w:val="05EF1FFE"/>
    <w:rsid w:val="067C2282"/>
    <w:rsid w:val="06B22DB6"/>
    <w:rsid w:val="06C76C7A"/>
    <w:rsid w:val="071012E4"/>
    <w:rsid w:val="071C2DD7"/>
    <w:rsid w:val="073562D9"/>
    <w:rsid w:val="078D28E4"/>
    <w:rsid w:val="07E259C2"/>
    <w:rsid w:val="07E41516"/>
    <w:rsid w:val="07E8766D"/>
    <w:rsid w:val="0850039D"/>
    <w:rsid w:val="086C51A8"/>
    <w:rsid w:val="09AA5530"/>
    <w:rsid w:val="09C6304D"/>
    <w:rsid w:val="09F425C7"/>
    <w:rsid w:val="0A770FAA"/>
    <w:rsid w:val="0AED2D32"/>
    <w:rsid w:val="0B0D6829"/>
    <w:rsid w:val="0B617B3C"/>
    <w:rsid w:val="0BDD0694"/>
    <w:rsid w:val="0BE149C2"/>
    <w:rsid w:val="0BEB03C0"/>
    <w:rsid w:val="0BFF0C6A"/>
    <w:rsid w:val="0C0E7438"/>
    <w:rsid w:val="0C905B62"/>
    <w:rsid w:val="0CD30A08"/>
    <w:rsid w:val="0CEC4A6F"/>
    <w:rsid w:val="0D363F33"/>
    <w:rsid w:val="0D496892"/>
    <w:rsid w:val="0D5E6A6E"/>
    <w:rsid w:val="0D6D12C3"/>
    <w:rsid w:val="0D7002CE"/>
    <w:rsid w:val="0D9D0734"/>
    <w:rsid w:val="0DB551AF"/>
    <w:rsid w:val="0DB62EC1"/>
    <w:rsid w:val="0DB759FC"/>
    <w:rsid w:val="0DBA62E5"/>
    <w:rsid w:val="0DDD17E7"/>
    <w:rsid w:val="0E891CDE"/>
    <w:rsid w:val="0E954898"/>
    <w:rsid w:val="0FB01D0E"/>
    <w:rsid w:val="0FB642EF"/>
    <w:rsid w:val="107460DE"/>
    <w:rsid w:val="10864527"/>
    <w:rsid w:val="109436E3"/>
    <w:rsid w:val="11153001"/>
    <w:rsid w:val="111D59EE"/>
    <w:rsid w:val="119E5E08"/>
    <w:rsid w:val="127D63F6"/>
    <w:rsid w:val="128B14A3"/>
    <w:rsid w:val="132B6CCC"/>
    <w:rsid w:val="13873911"/>
    <w:rsid w:val="13E91557"/>
    <w:rsid w:val="140D42EE"/>
    <w:rsid w:val="141D25CF"/>
    <w:rsid w:val="14674E98"/>
    <w:rsid w:val="1467696B"/>
    <w:rsid w:val="14792502"/>
    <w:rsid w:val="14887A48"/>
    <w:rsid w:val="1493089A"/>
    <w:rsid w:val="14931A8C"/>
    <w:rsid w:val="14BB1F70"/>
    <w:rsid w:val="14E876C0"/>
    <w:rsid w:val="15037690"/>
    <w:rsid w:val="15BE1D32"/>
    <w:rsid w:val="16226AB7"/>
    <w:rsid w:val="16314BAD"/>
    <w:rsid w:val="16887ED2"/>
    <w:rsid w:val="168B0D18"/>
    <w:rsid w:val="16914FDA"/>
    <w:rsid w:val="16BB6B96"/>
    <w:rsid w:val="16FE2D4C"/>
    <w:rsid w:val="17225136"/>
    <w:rsid w:val="172976C5"/>
    <w:rsid w:val="17594306"/>
    <w:rsid w:val="17B514CE"/>
    <w:rsid w:val="17D539F2"/>
    <w:rsid w:val="18337877"/>
    <w:rsid w:val="18357105"/>
    <w:rsid w:val="183D7650"/>
    <w:rsid w:val="185356B4"/>
    <w:rsid w:val="18862EA8"/>
    <w:rsid w:val="18AB0DDC"/>
    <w:rsid w:val="18C25071"/>
    <w:rsid w:val="18C82ECF"/>
    <w:rsid w:val="19097045"/>
    <w:rsid w:val="191915B7"/>
    <w:rsid w:val="19501C9A"/>
    <w:rsid w:val="19D62055"/>
    <w:rsid w:val="1A416FBC"/>
    <w:rsid w:val="1A4762B7"/>
    <w:rsid w:val="1A5F0C30"/>
    <w:rsid w:val="1A603A3D"/>
    <w:rsid w:val="1A740B6A"/>
    <w:rsid w:val="1B171B26"/>
    <w:rsid w:val="1B622A1F"/>
    <w:rsid w:val="1B650AE3"/>
    <w:rsid w:val="1B7E560D"/>
    <w:rsid w:val="1C2115AE"/>
    <w:rsid w:val="1C44694B"/>
    <w:rsid w:val="1C5642F5"/>
    <w:rsid w:val="1C836B36"/>
    <w:rsid w:val="1CFD2F9D"/>
    <w:rsid w:val="1DC54E4A"/>
    <w:rsid w:val="1DE278AD"/>
    <w:rsid w:val="1E1329CF"/>
    <w:rsid w:val="1E1A64B4"/>
    <w:rsid w:val="1E1F3B60"/>
    <w:rsid w:val="1E403142"/>
    <w:rsid w:val="1E87379D"/>
    <w:rsid w:val="1E966DDD"/>
    <w:rsid w:val="1E97356A"/>
    <w:rsid w:val="1EDF3AB3"/>
    <w:rsid w:val="1F2E0BFF"/>
    <w:rsid w:val="1F34385C"/>
    <w:rsid w:val="1F655106"/>
    <w:rsid w:val="1F6C3BF2"/>
    <w:rsid w:val="1F9E4A33"/>
    <w:rsid w:val="1FA529D6"/>
    <w:rsid w:val="1FBA0AEA"/>
    <w:rsid w:val="1FBF76D7"/>
    <w:rsid w:val="1FC82DFF"/>
    <w:rsid w:val="1FC90591"/>
    <w:rsid w:val="20990A8B"/>
    <w:rsid w:val="212E078A"/>
    <w:rsid w:val="21A12149"/>
    <w:rsid w:val="21F90DD2"/>
    <w:rsid w:val="21FB0157"/>
    <w:rsid w:val="22161081"/>
    <w:rsid w:val="223F031E"/>
    <w:rsid w:val="226E5DE0"/>
    <w:rsid w:val="22E43B90"/>
    <w:rsid w:val="23DD074B"/>
    <w:rsid w:val="24080534"/>
    <w:rsid w:val="24553D40"/>
    <w:rsid w:val="24645616"/>
    <w:rsid w:val="247A4058"/>
    <w:rsid w:val="24ED23CE"/>
    <w:rsid w:val="25156328"/>
    <w:rsid w:val="255502E5"/>
    <w:rsid w:val="25574DCE"/>
    <w:rsid w:val="25A80E90"/>
    <w:rsid w:val="25EE7927"/>
    <w:rsid w:val="260862A8"/>
    <w:rsid w:val="264E6DB9"/>
    <w:rsid w:val="264F3855"/>
    <w:rsid w:val="26A05072"/>
    <w:rsid w:val="26D905D7"/>
    <w:rsid w:val="271C144D"/>
    <w:rsid w:val="27BE3DC5"/>
    <w:rsid w:val="285F68BA"/>
    <w:rsid w:val="2872440F"/>
    <w:rsid w:val="28807844"/>
    <w:rsid w:val="28A6273B"/>
    <w:rsid w:val="295760F8"/>
    <w:rsid w:val="29AF2158"/>
    <w:rsid w:val="29BA46F0"/>
    <w:rsid w:val="29E52C48"/>
    <w:rsid w:val="2A2E4796"/>
    <w:rsid w:val="2A4F3E17"/>
    <w:rsid w:val="2A7A2535"/>
    <w:rsid w:val="2AE20DED"/>
    <w:rsid w:val="2B053834"/>
    <w:rsid w:val="2B204A27"/>
    <w:rsid w:val="2B297614"/>
    <w:rsid w:val="2BD20F64"/>
    <w:rsid w:val="2BF10955"/>
    <w:rsid w:val="2C2302BB"/>
    <w:rsid w:val="2C553324"/>
    <w:rsid w:val="2C6615DF"/>
    <w:rsid w:val="2CA02C35"/>
    <w:rsid w:val="2CB16E87"/>
    <w:rsid w:val="2CE751CC"/>
    <w:rsid w:val="2CF60F41"/>
    <w:rsid w:val="2D155768"/>
    <w:rsid w:val="2D346567"/>
    <w:rsid w:val="2D4E4FC1"/>
    <w:rsid w:val="2D507AFC"/>
    <w:rsid w:val="2D7456CD"/>
    <w:rsid w:val="2DA660A6"/>
    <w:rsid w:val="2DF611C9"/>
    <w:rsid w:val="2E2170F9"/>
    <w:rsid w:val="2E41641E"/>
    <w:rsid w:val="2E440F8F"/>
    <w:rsid w:val="2E937CE4"/>
    <w:rsid w:val="2E944985"/>
    <w:rsid w:val="2F2A4967"/>
    <w:rsid w:val="2F384447"/>
    <w:rsid w:val="2F485BEA"/>
    <w:rsid w:val="2FD26F55"/>
    <w:rsid w:val="30096558"/>
    <w:rsid w:val="30412803"/>
    <w:rsid w:val="305201A9"/>
    <w:rsid w:val="30DE2DAE"/>
    <w:rsid w:val="311157F3"/>
    <w:rsid w:val="31211C85"/>
    <w:rsid w:val="312A2458"/>
    <w:rsid w:val="317A6542"/>
    <w:rsid w:val="31B73FC1"/>
    <w:rsid w:val="321A7484"/>
    <w:rsid w:val="324C532D"/>
    <w:rsid w:val="32517E19"/>
    <w:rsid w:val="32756EB2"/>
    <w:rsid w:val="328378A7"/>
    <w:rsid w:val="32985818"/>
    <w:rsid w:val="329F4483"/>
    <w:rsid w:val="32CD13D8"/>
    <w:rsid w:val="32D12295"/>
    <w:rsid w:val="32D46F77"/>
    <w:rsid w:val="32ED7341"/>
    <w:rsid w:val="330C2A93"/>
    <w:rsid w:val="330D5DEB"/>
    <w:rsid w:val="333F27D7"/>
    <w:rsid w:val="339248A7"/>
    <w:rsid w:val="33A07744"/>
    <w:rsid w:val="33B65E11"/>
    <w:rsid w:val="33B865E8"/>
    <w:rsid w:val="33E7797B"/>
    <w:rsid w:val="347E4E06"/>
    <w:rsid w:val="34874156"/>
    <w:rsid w:val="34961D84"/>
    <w:rsid w:val="35032B89"/>
    <w:rsid w:val="351E4EE1"/>
    <w:rsid w:val="35505F08"/>
    <w:rsid w:val="355F4C75"/>
    <w:rsid w:val="35905F2B"/>
    <w:rsid w:val="35D22503"/>
    <w:rsid w:val="35E822C2"/>
    <w:rsid w:val="35F34BFA"/>
    <w:rsid w:val="362E5440"/>
    <w:rsid w:val="3637096F"/>
    <w:rsid w:val="36511F38"/>
    <w:rsid w:val="36631388"/>
    <w:rsid w:val="37785ECF"/>
    <w:rsid w:val="379B30ED"/>
    <w:rsid w:val="37E36BED"/>
    <w:rsid w:val="3808478E"/>
    <w:rsid w:val="38A30A45"/>
    <w:rsid w:val="38D540B9"/>
    <w:rsid w:val="3A1D6E40"/>
    <w:rsid w:val="3A210788"/>
    <w:rsid w:val="3A6F6091"/>
    <w:rsid w:val="3B2B40CB"/>
    <w:rsid w:val="3B450C3B"/>
    <w:rsid w:val="3B495E65"/>
    <w:rsid w:val="3B4C7172"/>
    <w:rsid w:val="3B636BC1"/>
    <w:rsid w:val="3B7A3CDF"/>
    <w:rsid w:val="3B7E4ED8"/>
    <w:rsid w:val="3B7F300C"/>
    <w:rsid w:val="3BE03C40"/>
    <w:rsid w:val="3BFE0D0E"/>
    <w:rsid w:val="3C1E6B96"/>
    <w:rsid w:val="3C633E13"/>
    <w:rsid w:val="3C7A4561"/>
    <w:rsid w:val="3C806ECF"/>
    <w:rsid w:val="3CC60FDA"/>
    <w:rsid w:val="3CD2096C"/>
    <w:rsid w:val="3CED04E1"/>
    <w:rsid w:val="3D670293"/>
    <w:rsid w:val="3DBA091D"/>
    <w:rsid w:val="3DF2751A"/>
    <w:rsid w:val="3E9443E8"/>
    <w:rsid w:val="3EE07C66"/>
    <w:rsid w:val="3EFC61A0"/>
    <w:rsid w:val="3F176741"/>
    <w:rsid w:val="3F351C30"/>
    <w:rsid w:val="3F3923EB"/>
    <w:rsid w:val="3F3E3276"/>
    <w:rsid w:val="3F5C6702"/>
    <w:rsid w:val="3F6358A7"/>
    <w:rsid w:val="3F981C15"/>
    <w:rsid w:val="3FB93C81"/>
    <w:rsid w:val="3FE5227A"/>
    <w:rsid w:val="400C0AB8"/>
    <w:rsid w:val="405C042F"/>
    <w:rsid w:val="407D4E5F"/>
    <w:rsid w:val="40E3793E"/>
    <w:rsid w:val="41100B42"/>
    <w:rsid w:val="41401FAA"/>
    <w:rsid w:val="4185015E"/>
    <w:rsid w:val="41970CA5"/>
    <w:rsid w:val="41B94E35"/>
    <w:rsid w:val="425F07A9"/>
    <w:rsid w:val="42902722"/>
    <w:rsid w:val="42982E45"/>
    <w:rsid w:val="42DD62AF"/>
    <w:rsid w:val="43093AB2"/>
    <w:rsid w:val="432E4877"/>
    <w:rsid w:val="43611BE9"/>
    <w:rsid w:val="43C529F5"/>
    <w:rsid w:val="43CB1AB8"/>
    <w:rsid w:val="443309C4"/>
    <w:rsid w:val="444D609D"/>
    <w:rsid w:val="446A4013"/>
    <w:rsid w:val="447259D2"/>
    <w:rsid w:val="44991ED1"/>
    <w:rsid w:val="44D14A1F"/>
    <w:rsid w:val="4503099B"/>
    <w:rsid w:val="451A1B5E"/>
    <w:rsid w:val="452B429C"/>
    <w:rsid w:val="453D7EFA"/>
    <w:rsid w:val="45FA5FD9"/>
    <w:rsid w:val="46480423"/>
    <w:rsid w:val="46C44BD5"/>
    <w:rsid w:val="46FD0ED7"/>
    <w:rsid w:val="47173E6F"/>
    <w:rsid w:val="47A22F2A"/>
    <w:rsid w:val="47C259CB"/>
    <w:rsid w:val="47D44A52"/>
    <w:rsid w:val="47E7681C"/>
    <w:rsid w:val="480C3F11"/>
    <w:rsid w:val="48117779"/>
    <w:rsid w:val="48377A9F"/>
    <w:rsid w:val="49194756"/>
    <w:rsid w:val="492F4059"/>
    <w:rsid w:val="49F8134B"/>
    <w:rsid w:val="49FD45C2"/>
    <w:rsid w:val="4A1522F5"/>
    <w:rsid w:val="4A236C6F"/>
    <w:rsid w:val="4A4F4589"/>
    <w:rsid w:val="4A713F14"/>
    <w:rsid w:val="4B5D1DE1"/>
    <w:rsid w:val="4BB73BE9"/>
    <w:rsid w:val="4BEB2031"/>
    <w:rsid w:val="4CCB5EE4"/>
    <w:rsid w:val="4CCF1A74"/>
    <w:rsid w:val="4CE85D4A"/>
    <w:rsid w:val="4CF63478"/>
    <w:rsid w:val="4D066995"/>
    <w:rsid w:val="4D3E16CF"/>
    <w:rsid w:val="4D6B74E0"/>
    <w:rsid w:val="4DE61D04"/>
    <w:rsid w:val="4DEE7323"/>
    <w:rsid w:val="4E5F0909"/>
    <w:rsid w:val="4E6200BB"/>
    <w:rsid w:val="4E766125"/>
    <w:rsid w:val="4EEB5288"/>
    <w:rsid w:val="4F0973FC"/>
    <w:rsid w:val="4F1B4159"/>
    <w:rsid w:val="4F2E3AE0"/>
    <w:rsid w:val="4F700335"/>
    <w:rsid w:val="4FA63C9A"/>
    <w:rsid w:val="50203001"/>
    <w:rsid w:val="504E6143"/>
    <w:rsid w:val="5095081C"/>
    <w:rsid w:val="50B51B02"/>
    <w:rsid w:val="51121E6C"/>
    <w:rsid w:val="51255F55"/>
    <w:rsid w:val="516B122E"/>
    <w:rsid w:val="51BD78DC"/>
    <w:rsid w:val="52445835"/>
    <w:rsid w:val="52D63993"/>
    <w:rsid w:val="5364371A"/>
    <w:rsid w:val="53E53AC9"/>
    <w:rsid w:val="546A00CA"/>
    <w:rsid w:val="54C530D9"/>
    <w:rsid w:val="54C8080C"/>
    <w:rsid w:val="5504047D"/>
    <w:rsid w:val="55253301"/>
    <w:rsid w:val="55674E7D"/>
    <w:rsid w:val="55C74889"/>
    <w:rsid w:val="5607739B"/>
    <w:rsid w:val="563C54D9"/>
    <w:rsid w:val="565A7935"/>
    <w:rsid w:val="565E6694"/>
    <w:rsid w:val="567F1790"/>
    <w:rsid w:val="56820D5B"/>
    <w:rsid w:val="569440D4"/>
    <w:rsid w:val="57096D7C"/>
    <w:rsid w:val="572C6388"/>
    <w:rsid w:val="57372C5D"/>
    <w:rsid w:val="57AD3C15"/>
    <w:rsid w:val="57B549A2"/>
    <w:rsid w:val="58311149"/>
    <w:rsid w:val="5843545B"/>
    <w:rsid w:val="58607715"/>
    <w:rsid w:val="58A46E54"/>
    <w:rsid w:val="58BA71B3"/>
    <w:rsid w:val="58BF1D1B"/>
    <w:rsid w:val="591C4280"/>
    <w:rsid w:val="594B6471"/>
    <w:rsid w:val="59520AA5"/>
    <w:rsid w:val="5A184106"/>
    <w:rsid w:val="5A3D0E18"/>
    <w:rsid w:val="5A540FE6"/>
    <w:rsid w:val="5B024CA5"/>
    <w:rsid w:val="5BA947F9"/>
    <w:rsid w:val="5BBF65E0"/>
    <w:rsid w:val="5C3E06F5"/>
    <w:rsid w:val="5C656174"/>
    <w:rsid w:val="5D2673CB"/>
    <w:rsid w:val="5D740D4B"/>
    <w:rsid w:val="5D881E34"/>
    <w:rsid w:val="5D901B99"/>
    <w:rsid w:val="5D9424C4"/>
    <w:rsid w:val="5DBF187A"/>
    <w:rsid w:val="5DE85A58"/>
    <w:rsid w:val="5DF634F6"/>
    <w:rsid w:val="5E007081"/>
    <w:rsid w:val="5F5A15AE"/>
    <w:rsid w:val="5FA0715F"/>
    <w:rsid w:val="5FAB6FD5"/>
    <w:rsid w:val="5FBA27F4"/>
    <w:rsid w:val="5FC5301A"/>
    <w:rsid w:val="5FC93496"/>
    <w:rsid w:val="604F09E7"/>
    <w:rsid w:val="606A78B9"/>
    <w:rsid w:val="60D84E80"/>
    <w:rsid w:val="61842912"/>
    <w:rsid w:val="618F0A37"/>
    <w:rsid w:val="61CF20DD"/>
    <w:rsid w:val="624136EF"/>
    <w:rsid w:val="62441860"/>
    <w:rsid w:val="62525166"/>
    <w:rsid w:val="6265316E"/>
    <w:rsid w:val="626D2FEC"/>
    <w:rsid w:val="62937A29"/>
    <w:rsid w:val="62A70077"/>
    <w:rsid w:val="63310F09"/>
    <w:rsid w:val="63694DB5"/>
    <w:rsid w:val="63A45BF9"/>
    <w:rsid w:val="63B84F56"/>
    <w:rsid w:val="64074006"/>
    <w:rsid w:val="64307272"/>
    <w:rsid w:val="64847D37"/>
    <w:rsid w:val="64D140C0"/>
    <w:rsid w:val="653603C7"/>
    <w:rsid w:val="655C146A"/>
    <w:rsid w:val="65863D1B"/>
    <w:rsid w:val="6587477F"/>
    <w:rsid w:val="65B55F9D"/>
    <w:rsid w:val="65B95957"/>
    <w:rsid w:val="65BD6865"/>
    <w:rsid w:val="65F81266"/>
    <w:rsid w:val="65FA13F5"/>
    <w:rsid w:val="66073F4A"/>
    <w:rsid w:val="66167BA9"/>
    <w:rsid w:val="663E10C6"/>
    <w:rsid w:val="6684682F"/>
    <w:rsid w:val="66FF5D80"/>
    <w:rsid w:val="67852C74"/>
    <w:rsid w:val="67BA7B20"/>
    <w:rsid w:val="67DB2C51"/>
    <w:rsid w:val="67F765E0"/>
    <w:rsid w:val="681F7264"/>
    <w:rsid w:val="68562B5B"/>
    <w:rsid w:val="68671BC6"/>
    <w:rsid w:val="686B311E"/>
    <w:rsid w:val="68AB69D7"/>
    <w:rsid w:val="68CB3B83"/>
    <w:rsid w:val="68FA376A"/>
    <w:rsid w:val="69053B30"/>
    <w:rsid w:val="692A1FF1"/>
    <w:rsid w:val="69D27EA0"/>
    <w:rsid w:val="6AF54181"/>
    <w:rsid w:val="6B0276EE"/>
    <w:rsid w:val="6B5017A0"/>
    <w:rsid w:val="6B52525A"/>
    <w:rsid w:val="6B533C17"/>
    <w:rsid w:val="6B7569B5"/>
    <w:rsid w:val="6C096D1B"/>
    <w:rsid w:val="6C3B62C3"/>
    <w:rsid w:val="6C5B7CEC"/>
    <w:rsid w:val="6CF240C6"/>
    <w:rsid w:val="6D013BED"/>
    <w:rsid w:val="6D0C5F15"/>
    <w:rsid w:val="6D3D1B7B"/>
    <w:rsid w:val="6D842581"/>
    <w:rsid w:val="6DB34F5A"/>
    <w:rsid w:val="6DEE7787"/>
    <w:rsid w:val="6E03652B"/>
    <w:rsid w:val="6E1E0599"/>
    <w:rsid w:val="6FD45398"/>
    <w:rsid w:val="70A33D21"/>
    <w:rsid w:val="70C525FF"/>
    <w:rsid w:val="70CE029F"/>
    <w:rsid w:val="70ED09B0"/>
    <w:rsid w:val="70F047E8"/>
    <w:rsid w:val="71136EAD"/>
    <w:rsid w:val="71137C65"/>
    <w:rsid w:val="7129306F"/>
    <w:rsid w:val="712F6687"/>
    <w:rsid w:val="7158645C"/>
    <w:rsid w:val="716E2908"/>
    <w:rsid w:val="717600B2"/>
    <w:rsid w:val="71B82140"/>
    <w:rsid w:val="71C54FAD"/>
    <w:rsid w:val="72207151"/>
    <w:rsid w:val="72FD4A11"/>
    <w:rsid w:val="72FF1303"/>
    <w:rsid w:val="73396DB5"/>
    <w:rsid w:val="739E62D4"/>
    <w:rsid w:val="73BA3402"/>
    <w:rsid w:val="73BC5AD9"/>
    <w:rsid w:val="741950ED"/>
    <w:rsid w:val="742C51F2"/>
    <w:rsid w:val="74BF4304"/>
    <w:rsid w:val="75610DB3"/>
    <w:rsid w:val="75820148"/>
    <w:rsid w:val="75FE3C40"/>
    <w:rsid w:val="76193D17"/>
    <w:rsid w:val="764D1C01"/>
    <w:rsid w:val="769D4A3B"/>
    <w:rsid w:val="76A72ED3"/>
    <w:rsid w:val="77DA33DD"/>
    <w:rsid w:val="782E0677"/>
    <w:rsid w:val="78AB2B78"/>
    <w:rsid w:val="78EB6E8C"/>
    <w:rsid w:val="78F83BED"/>
    <w:rsid w:val="79257587"/>
    <w:rsid w:val="79AB7CAA"/>
    <w:rsid w:val="79FF25A5"/>
    <w:rsid w:val="7A4C2094"/>
    <w:rsid w:val="7AD640D2"/>
    <w:rsid w:val="7AED25BB"/>
    <w:rsid w:val="7AFD57B8"/>
    <w:rsid w:val="7B46553C"/>
    <w:rsid w:val="7B477A1B"/>
    <w:rsid w:val="7B5467C4"/>
    <w:rsid w:val="7B615D46"/>
    <w:rsid w:val="7BA84B1C"/>
    <w:rsid w:val="7BC10F02"/>
    <w:rsid w:val="7C1A7721"/>
    <w:rsid w:val="7C743857"/>
    <w:rsid w:val="7C834433"/>
    <w:rsid w:val="7C9D4BA7"/>
    <w:rsid w:val="7CA32E53"/>
    <w:rsid w:val="7CFD241F"/>
    <w:rsid w:val="7D3F1FE1"/>
    <w:rsid w:val="7D40463C"/>
    <w:rsid w:val="7D5139EA"/>
    <w:rsid w:val="7DB1356C"/>
    <w:rsid w:val="7DEA309E"/>
    <w:rsid w:val="7E077651"/>
    <w:rsid w:val="7ED807A8"/>
    <w:rsid w:val="7F0D64C2"/>
    <w:rsid w:val="7F5247C5"/>
    <w:rsid w:val="7F8B1D1D"/>
    <w:rsid w:val="7FAE3EBF"/>
    <w:rsid w:val="7FFF5A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name="annotation reference"/>
    <w:lsdException w:uiPriority="99" w:name="line number"/>
    <w:lsdException w:qFormat="1" w:unhideWhenUsed="0" w:uiPriority="99" w:semiHidden="0" w:name="page number"/>
    <w:lsdException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2">
    <w:name w:val="heading 1"/>
    <w:basedOn w:val="1"/>
    <w:next w:val="1"/>
    <w:link w:val="5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1"/>
    <w:qFormat/>
    <w:uiPriority w:val="0"/>
    <w:pPr>
      <w:spacing w:before="100" w:beforeAutospacing="1" w:after="100" w:afterAutospacing="1"/>
      <w:outlineLvl w:val="1"/>
    </w:pPr>
    <w:rPr>
      <w:rFonts w:ascii="宋体" w:hAnsi="宋体"/>
      <w:b/>
      <w:bCs/>
      <w:kern w:val="0"/>
      <w:sz w:val="36"/>
      <w:szCs w:val="36"/>
    </w:rPr>
  </w:style>
  <w:style w:type="paragraph" w:styleId="4">
    <w:name w:val="heading 4"/>
    <w:basedOn w:val="1"/>
    <w:next w:val="1"/>
    <w:link w:val="186"/>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5">
    <w:name w:val="index 8"/>
    <w:basedOn w:val="1"/>
    <w:next w:val="1"/>
    <w:qFormat/>
    <w:uiPriority w:val="0"/>
    <w:pPr>
      <w:ind w:left="1680" w:hanging="210"/>
    </w:pPr>
    <w:rPr>
      <w:rFonts w:ascii="Calibri" w:hAnsi="Calibri"/>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pPr>
    <w:rPr>
      <w:rFonts w:ascii="Calibri" w:hAnsi="Calibri"/>
      <w:sz w:val="20"/>
      <w:szCs w:val="20"/>
    </w:rPr>
  </w:style>
  <w:style w:type="paragraph" w:styleId="8">
    <w:name w:val="Document Map"/>
    <w:basedOn w:val="1"/>
    <w:link w:val="171"/>
    <w:semiHidden/>
    <w:qFormat/>
    <w:uiPriority w:val="0"/>
    <w:pPr>
      <w:shd w:val="clear" w:color="auto" w:fill="000080"/>
    </w:pPr>
    <w:rPr>
      <w:rFonts w:asciiTheme="minorHAnsi" w:hAnsiTheme="minorHAnsi" w:eastAsiaTheme="minorEastAsia" w:cstheme="minorBidi"/>
    </w:rPr>
  </w:style>
  <w:style w:type="paragraph" w:styleId="9">
    <w:name w:val="annotation text"/>
    <w:basedOn w:val="1"/>
    <w:link w:val="168"/>
    <w:semiHidden/>
    <w:qFormat/>
    <w:uiPriority w:val="0"/>
    <w:rPr>
      <w:rFonts w:asciiTheme="minorHAnsi" w:hAnsiTheme="minorHAnsi" w:eastAsiaTheme="minorEastAsia" w:cstheme="minorBidi"/>
    </w:rPr>
  </w:style>
  <w:style w:type="paragraph" w:styleId="10">
    <w:name w:val="index 6"/>
    <w:basedOn w:val="1"/>
    <w:next w:val="1"/>
    <w:qFormat/>
    <w:uiPriority w:val="0"/>
    <w:pPr>
      <w:ind w:left="1260" w:hanging="210"/>
    </w:pPr>
    <w:rPr>
      <w:rFonts w:ascii="Calibri" w:hAnsi="Calibri"/>
      <w:sz w:val="20"/>
      <w:szCs w:val="20"/>
    </w:rPr>
  </w:style>
  <w:style w:type="paragraph" w:styleId="11">
    <w:name w:val="Body Text 3"/>
    <w:basedOn w:val="1"/>
    <w:link w:val="179"/>
    <w:semiHidden/>
    <w:unhideWhenUsed/>
    <w:qFormat/>
    <w:uiPriority w:val="99"/>
    <w:pPr>
      <w:spacing w:after="120"/>
    </w:pPr>
    <w:rPr>
      <w:sz w:val="16"/>
      <w:szCs w:val="16"/>
    </w:rPr>
  </w:style>
  <w:style w:type="paragraph" w:styleId="12">
    <w:name w:val="Body Text"/>
    <w:basedOn w:val="1"/>
    <w:next w:val="13"/>
    <w:link w:val="184"/>
    <w:semiHidden/>
    <w:unhideWhenUsed/>
    <w:qFormat/>
    <w:uiPriority w:val="99"/>
    <w:pPr>
      <w:spacing w:after="120"/>
    </w:pPr>
  </w:style>
  <w:style w:type="paragraph" w:customStyle="1" w:styleId="13">
    <w:name w:val="Body Text Indent 21"/>
    <w:basedOn w:val="1"/>
    <w:next w:val="14"/>
    <w:qFormat/>
    <w:uiPriority w:val="0"/>
    <w:pPr>
      <w:overflowPunct w:val="0"/>
      <w:autoSpaceDE w:val="0"/>
      <w:autoSpaceDN w:val="0"/>
      <w:adjustRightInd w:val="0"/>
      <w:spacing w:line="360" w:lineRule="auto"/>
      <w:ind w:firstLine="555"/>
      <w:textAlignment w:val="baseline"/>
    </w:pPr>
    <w:rPr>
      <w:rFonts w:ascii="宋体"/>
      <w:spacing w:val="12"/>
      <w:kern w:val="0"/>
      <w:sz w:val="24"/>
    </w:rPr>
  </w:style>
  <w:style w:type="paragraph" w:styleId="14">
    <w:name w:val="header"/>
    <w:basedOn w:val="1"/>
    <w:link w:val="149"/>
    <w:qFormat/>
    <w:uiPriority w:val="99"/>
    <w:pPr>
      <w:snapToGrid w:val="0"/>
    </w:pPr>
    <w:rPr>
      <w:rFonts w:asciiTheme="minorHAnsi" w:hAnsiTheme="minorHAnsi" w:eastAsiaTheme="minorEastAsia" w:cstheme="minorBidi"/>
      <w:sz w:val="18"/>
      <w:szCs w:val="18"/>
    </w:rPr>
  </w:style>
  <w:style w:type="paragraph" w:styleId="15">
    <w:name w:val="Body Text Indent"/>
    <w:basedOn w:val="1"/>
    <w:next w:val="16"/>
    <w:qFormat/>
    <w:uiPriority w:val="0"/>
    <w:pPr>
      <w:spacing w:line="400" w:lineRule="exact"/>
      <w:ind w:firstLine="435"/>
    </w:pPr>
  </w:style>
  <w:style w:type="paragraph" w:styleId="16">
    <w:name w:val="Body Text First Indent 2"/>
    <w:basedOn w:val="15"/>
    <w:next w:val="17"/>
    <w:qFormat/>
    <w:uiPriority w:val="0"/>
    <w:pPr>
      <w:spacing w:after="120" w:line="240" w:lineRule="auto"/>
      <w:ind w:left="420" w:firstLine="210"/>
    </w:pPr>
    <w:rPr>
      <w:szCs w:val="20"/>
    </w:rPr>
  </w:style>
  <w:style w:type="paragraph" w:customStyle="1" w:styleId="17">
    <w:name w:val="正文1"/>
    <w:qFormat/>
    <w:uiPriority w:val="0"/>
    <w:pPr>
      <w:widowControl w:val="0"/>
      <w:ind w:firstLine="540"/>
      <w:jc w:val="both"/>
    </w:pPr>
    <w:rPr>
      <w:rFonts w:ascii="Times New Roman" w:hAnsi="Times New Roman" w:eastAsia="宋体" w:cs="Times New Roman"/>
      <w:kern w:val="2"/>
      <w:sz w:val="24"/>
      <w:lang w:val="en-US" w:eastAsia="zh-CN" w:bidi="ar-SA"/>
    </w:rPr>
  </w:style>
  <w:style w:type="paragraph" w:styleId="18">
    <w:name w:val="index 4"/>
    <w:basedOn w:val="1"/>
    <w:next w:val="1"/>
    <w:qFormat/>
    <w:uiPriority w:val="0"/>
    <w:pPr>
      <w:ind w:left="840" w:hanging="210"/>
    </w:pPr>
    <w:rPr>
      <w:rFonts w:ascii="Calibri" w:hAnsi="Calibri"/>
      <w:sz w:val="20"/>
      <w:szCs w:val="20"/>
    </w:rPr>
  </w:style>
  <w:style w:type="paragraph" w:styleId="19">
    <w:name w:val="Plain Text"/>
    <w:basedOn w:val="1"/>
    <w:link w:val="182"/>
    <w:unhideWhenUsed/>
    <w:qFormat/>
    <w:uiPriority w:val="99"/>
    <w:pPr>
      <w:widowControl w:val="0"/>
      <w:spacing w:line="240" w:lineRule="auto"/>
      <w:jc w:val="both"/>
    </w:pPr>
    <w:rPr>
      <w:rFonts w:ascii="宋体" w:hAnsi="Courier New" w:cs="Courier New"/>
      <w:szCs w:val="21"/>
    </w:rPr>
  </w:style>
  <w:style w:type="paragraph" w:styleId="20">
    <w:name w:val="index 3"/>
    <w:basedOn w:val="1"/>
    <w:next w:val="1"/>
    <w:qFormat/>
    <w:uiPriority w:val="0"/>
    <w:pPr>
      <w:ind w:left="630" w:hanging="210"/>
    </w:pPr>
    <w:rPr>
      <w:rFonts w:ascii="Calibri" w:hAnsi="Calibri"/>
      <w:sz w:val="20"/>
      <w:szCs w:val="20"/>
    </w:rPr>
  </w:style>
  <w:style w:type="paragraph" w:styleId="21">
    <w:name w:val="Date"/>
    <w:basedOn w:val="1"/>
    <w:next w:val="1"/>
    <w:link w:val="170"/>
    <w:qFormat/>
    <w:uiPriority w:val="99"/>
    <w:pPr>
      <w:ind w:left="100" w:leftChars="2500"/>
    </w:pPr>
    <w:rPr>
      <w:rFonts w:asciiTheme="minorHAnsi" w:hAnsiTheme="minorHAnsi" w:eastAsiaTheme="minorEastAsia" w:cstheme="minorBidi"/>
    </w:rPr>
  </w:style>
  <w:style w:type="paragraph" w:styleId="22">
    <w:name w:val="Body Text Indent 2"/>
    <w:basedOn w:val="1"/>
    <w:link w:val="160"/>
    <w:qFormat/>
    <w:uiPriority w:val="99"/>
    <w:pPr>
      <w:spacing w:after="120" w:line="480" w:lineRule="auto"/>
      <w:ind w:left="420" w:leftChars="200"/>
    </w:pPr>
    <w:rPr>
      <w:rFonts w:asciiTheme="minorHAnsi" w:hAnsiTheme="minorHAnsi" w:eastAsiaTheme="minorEastAsia" w:cstheme="minorBidi"/>
    </w:rPr>
  </w:style>
  <w:style w:type="paragraph" w:styleId="23">
    <w:name w:val="endnote text"/>
    <w:basedOn w:val="1"/>
    <w:link w:val="177"/>
    <w:semiHidden/>
    <w:qFormat/>
    <w:uiPriority w:val="0"/>
    <w:pPr>
      <w:snapToGrid w:val="0"/>
    </w:pPr>
    <w:rPr>
      <w:rFonts w:asciiTheme="minorHAnsi" w:hAnsiTheme="minorHAnsi" w:eastAsiaTheme="minorEastAsia" w:cstheme="minorBidi"/>
    </w:rPr>
  </w:style>
  <w:style w:type="paragraph" w:styleId="24">
    <w:name w:val="Balloon Text"/>
    <w:basedOn w:val="1"/>
    <w:link w:val="146"/>
    <w:qFormat/>
    <w:uiPriority w:val="99"/>
    <w:rPr>
      <w:rFonts w:asciiTheme="minorHAnsi" w:hAnsiTheme="minorHAnsi" w:eastAsiaTheme="minorEastAsia" w:cstheme="minorBidi"/>
      <w:sz w:val="18"/>
      <w:szCs w:val="18"/>
    </w:rPr>
  </w:style>
  <w:style w:type="paragraph" w:styleId="25">
    <w:name w:val="footer"/>
    <w:basedOn w:val="1"/>
    <w:link w:val="167"/>
    <w:qFormat/>
    <w:uiPriority w:val="99"/>
    <w:pPr>
      <w:snapToGrid w:val="0"/>
      <w:ind w:right="210" w:rightChars="100"/>
      <w:jc w:val="right"/>
    </w:pPr>
    <w:rPr>
      <w:rFonts w:asciiTheme="minorHAnsi" w:hAnsiTheme="minorHAnsi" w:eastAsiaTheme="minorEastAsia" w:cstheme="minorBidi"/>
      <w:sz w:val="18"/>
      <w:szCs w:val="18"/>
    </w:rPr>
  </w:style>
  <w:style w:type="paragraph" w:styleId="26">
    <w:name w:val="toc 1"/>
    <w:basedOn w:val="1"/>
    <w:next w:val="1"/>
    <w:semiHidden/>
    <w:qFormat/>
    <w:uiPriority w:val="0"/>
    <w:pPr>
      <w:tabs>
        <w:tab w:val="right" w:leader="dot" w:pos="9242"/>
      </w:tabs>
      <w:spacing w:beforeLines="25" w:afterLines="25"/>
    </w:pPr>
    <w:rPr>
      <w:rFonts w:ascii="宋体"/>
      <w:szCs w:val="21"/>
    </w:rPr>
  </w:style>
  <w:style w:type="paragraph" w:styleId="27">
    <w:name w:val="index heading"/>
    <w:basedOn w:val="1"/>
    <w:next w:val="28"/>
    <w:qFormat/>
    <w:uiPriority w:val="0"/>
    <w:pPr>
      <w:spacing w:before="120" w:after="120"/>
      <w:jc w:val="center"/>
    </w:pPr>
    <w:rPr>
      <w:rFonts w:ascii="Calibri" w:hAnsi="Calibri"/>
      <w:b/>
      <w:bCs/>
      <w:iCs/>
      <w:szCs w:val="20"/>
    </w:rPr>
  </w:style>
  <w:style w:type="paragraph" w:styleId="28">
    <w:name w:val="index 1"/>
    <w:basedOn w:val="1"/>
    <w:next w:val="1"/>
    <w:unhideWhenUsed/>
    <w:qFormat/>
    <w:uiPriority w:val="0"/>
  </w:style>
  <w:style w:type="paragraph" w:styleId="29">
    <w:name w:val="footnote text"/>
    <w:basedOn w:val="1"/>
    <w:link w:val="156"/>
    <w:qFormat/>
    <w:uiPriority w:val="0"/>
    <w:pPr>
      <w:tabs>
        <w:tab w:val="left" w:pos="0"/>
      </w:tabs>
      <w:snapToGrid w:val="0"/>
      <w:ind w:left="720" w:hanging="357"/>
    </w:pPr>
    <w:rPr>
      <w:rFonts w:ascii="宋体" w:hAnsiTheme="minorHAnsi" w:eastAsiaTheme="minorEastAsia" w:cstheme="minorBidi"/>
      <w:sz w:val="18"/>
      <w:szCs w:val="18"/>
    </w:rPr>
  </w:style>
  <w:style w:type="paragraph" w:styleId="30">
    <w:name w:val="index 7"/>
    <w:basedOn w:val="1"/>
    <w:next w:val="1"/>
    <w:qFormat/>
    <w:uiPriority w:val="0"/>
    <w:pPr>
      <w:ind w:left="1470" w:hanging="210"/>
    </w:pPr>
    <w:rPr>
      <w:rFonts w:ascii="Calibri" w:hAnsi="Calibri"/>
      <w:sz w:val="20"/>
      <w:szCs w:val="20"/>
    </w:rPr>
  </w:style>
  <w:style w:type="paragraph" w:styleId="31">
    <w:name w:val="index 9"/>
    <w:basedOn w:val="1"/>
    <w:next w:val="1"/>
    <w:qFormat/>
    <w:uiPriority w:val="0"/>
    <w:pPr>
      <w:ind w:left="1890" w:hanging="210"/>
    </w:pPr>
    <w:rPr>
      <w:rFonts w:ascii="Calibri" w:hAnsi="Calibri"/>
      <w:sz w:val="20"/>
      <w:szCs w:val="20"/>
    </w:rPr>
  </w:style>
  <w:style w:type="paragraph" w:styleId="32">
    <w:name w:val="toc 2"/>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33">
    <w:name w:val="HTML Preformatted"/>
    <w:basedOn w:val="1"/>
    <w:link w:val="154"/>
    <w:qFormat/>
    <w:uiPriority w:val="0"/>
    <w:rPr>
      <w:rFonts w:ascii="Courier New" w:hAnsi="Courier New" w:cs="Courier New" w:eastAsiaTheme="minorEastAsia"/>
      <w:szCs w:val="22"/>
    </w:rPr>
  </w:style>
  <w:style w:type="paragraph" w:styleId="34">
    <w:name w:val="Normal (Web)"/>
    <w:basedOn w:val="1"/>
    <w:unhideWhenUsed/>
    <w:qFormat/>
    <w:uiPriority w:val="99"/>
    <w:pPr>
      <w:spacing w:before="100" w:beforeAutospacing="1" w:after="100" w:afterAutospacing="1"/>
    </w:pPr>
    <w:rPr>
      <w:rFonts w:ascii="宋体" w:hAnsi="宋体" w:cs="宋体"/>
      <w:kern w:val="0"/>
      <w:sz w:val="24"/>
    </w:rPr>
  </w:style>
  <w:style w:type="paragraph" w:styleId="35">
    <w:name w:val="index 2"/>
    <w:basedOn w:val="1"/>
    <w:next w:val="1"/>
    <w:qFormat/>
    <w:uiPriority w:val="0"/>
    <w:pPr>
      <w:ind w:left="420" w:hanging="210"/>
    </w:pPr>
    <w:rPr>
      <w:rFonts w:ascii="Calibri" w:hAnsi="Calibri"/>
      <w:sz w:val="20"/>
      <w:szCs w:val="20"/>
    </w:rPr>
  </w:style>
  <w:style w:type="paragraph" w:styleId="36">
    <w:name w:val="Title"/>
    <w:basedOn w:val="1"/>
    <w:link w:val="180"/>
    <w:qFormat/>
    <w:uiPriority w:val="0"/>
    <w:pPr>
      <w:widowControl w:val="0"/>
      <w:adjustRightInd w:val="0"/>
      <w:spacing w:before="240" w:after="60" w:line="420" w:lineRule="atLeast"/>
      <w:jc w:val="center"/>
      <w:textAlignment w:val="baseline"/>
      <w:outlineLvl w:val="0"/>
    </w:pPr>
    <w:rPr>
      <w:rFonts w:ascii="Arial" w:hAnsi="Arial"/>
      <w:b/>
      <w:kern w:val="0"/>
      <w:sz w:val="32"/>
      <w:szCs w:val="20"/>
    </w:rPr>
  </w:style>
  <w:style w:type="paragraph" w:styleId="37">
    <w:name w:val="annotation subject"/>
    <w:basedOn w:val="9"/>
    <w:next w:val="9"/>
    <w:link w:val="176"/>
    <w:semiHidden/>
    <w:qFormat/>
    <w:uiPriority w:val="0"/>
    <w:rPr>
      <w:b/>
      <w:bCs/>
    </w:rPr>
  </w:style>
  <w:style w:type="paragraph" w:styleId="38">
    <w:name w:val="Body Text First Indent"/>
    <w:basedOn w:val="12"/>
    <w:qFormat/>
    <w:uiPriority w:val="0"/>
    <w:pPr>
      <w:adjustRightInd w:val="0"/>
      <w:snapToGrid w:val="0"/>
      <w:ind w:firstLine="420"/>
      <w:textAlignment w:val="baseline"/>
    </w:pPr>
    <w:rPr>
      <w:rFonts w:ascii="宋体"/>
      <w:snapToGrid w:val="0"/>
      <w:kern w:val="24"/>
      <w:sz w:val="24"/>
      <w:szCs w:val="20"/>
    </w:r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22"/>
    <w:rPr>
      <w:b/>
      <w:bCs/>
    </w:rPr>
  </w:style>
  <w:style w:type="character" w:styleId="43">
    <w:name w:val="page number"/>
    <w:qFormat/>
    <w:uiPriority w:val="99"/>
    <w:rPr>
      <w:rFonts w:ascii="Times New Roman" w:hAnsi="Times New Roman" w:eastAsia="宋体"/>
      <w:sz w:val="18"/>
    </w:rPr>
  </w:style>
  <w:style w:type="character" w:styleId="44">
    <w:name w:val="FollowedHyperlink"/>
    <w:qFormat/>
    <w:uiPriority w:val="0"/>
    <w:rPr>
      <w:color w:val="800080"/>
      <w:u w:val="single"/>
    </w:rPr>
  </w:style>
  <w:style w:type="character" w:styleId="45">
    <w:name w:val="Emphasis"/>
    <w:qFormat/>
    <w:uiPriority w:val="20"/>
    <w:rPr>
      <w:color w:val="CC0000"/>
    </w:rPr>
  </w:style>
  <w:style w:type="character" w:styleId="46">
    <w:name w:val="Hyperlink"/>
    <w:qFormat/>
    <w:uiPriority w:val="99"/>
    <w:rPr>
      <w:color w:val="0000FF"/>
      <w:spacing w:val="0"/>
      <w:w w:val="100"/>
      <w:szCs w:val="21"/>
      <w:u w:val="single"/>
      <w:lang w:val="en-US" w:eastAsia="zh-CN"/>
    </w:rPr>
  </w:style>
  <w:style w:type="character" w:styleId="47">
    <w:name w:val="annotation reference"/>
    <w:basedOn w:val="41"/>
    <w:semiHidden/>
    <w:unhideWhenUsed/>
    <w:qFormat/>
    <w:uiPriority w:val="0"/>
    <w:rPr>
      <w:sz w:val="21"/>
      <w:szCs w:val="21"/>
    </w:rPr>
  </w:style>
  <w:style w:type="character" w:styleId="48">
    <w:name w:val="footnote reference"/>
    <w:qFormat/>
    <w:uiPriority w:val="0"/>
    <w:rPr>
      <w:vertAlign w:val="superscript"/>
    </w:rPr>
  </w:style>
  <w:style w:type="paragraph" w:customStyle="1" w:styleId="49">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character" w:customStyle="1" w:styleId="50">
    <w:name w:val="标题 1 字符"/>
    <w:basedOn w:val="41"/>
    <w:link w:val="2"/>
    <w:qFormat/>
    <w:uiPriority w:val="0"/>
    <w:rPr>
      <w:rFonts w:ascii="Times New Roman" w:hAnsi="Times New Roman" w:eastAsia="宋体" w:cs="Times New Roman"/>
      <w:b/>
      <w:bCs/>
      <w:kern w:val="44"/>
      <w:sz w:val="44"/>
      <w:szCs w:val="44"/>
    </w:rPr>
  </w:style>
  <w:style w:type="character" w:customStyle="1" w:styleId="51">
    <w:name w:val="标题 2 字符"/>
    <w:basedOn w:val="41"/>
    <w:link w:val="3"/>
    <w:qFormat/>
    <w:uiPriority w:val="0"/>
    <w:rPr>
      <w:rFonts w:ascii="宋体" w:hAnsi="宋体" w:eastAsia="宋体" w:cs="Times New Roman"/>
      <w:b/>
      <w:bCs/>
      <w:kern w:val="0"/>
      <w:sz w:val="36"/>
      <w:szCs w:val="36"/>
    </w:rPr>
  </w:style>
  <w:style w:type="character" w:customStyle="1" w:styleId="52">
    <w:name w:val="批注文字 Char"/>
    <w:semiHidden/>
    <w:qFormat/>
    <w:uiPriority w:val="0"/>
    <w:rPr>
      <w:szCs w:val="24"/>
    </w:rPr>
  </w:style>
  <w:style w:type="character" w:customStyle="1" w:styleId="53">
    <w:name w:val="批注主题 Char"/>
    <w:semiHidden/>
    <w:qFormat/>
    <w:uiPriority w:val="0"/>
    <w:rPr>
      <w:b/>
      <w:bCs/>
      <w:szCs w:val="24"/>
    </w:rPr>
  </w:style>
  <w:style w:type="character" w:customStyle="1" w:styleId="54">
    <w:name w:val="文档结构图 Char"/>
    <w:semiHidden/>
    <w:qFormat/>
    <w:uiPriority w:val="0"/>
    <w:rPr>
      <w:szCs w:val="24"/>
      <w:shd w:val="clear" w:color="auto" w:fill="000080"/>
    </w:rPr>
  </w:style>
  <w:style w:type="character" w:customStyle="1" w:styleId="55">
    <w:name w:val="脚注文本 Char"/>
    <w:qFormat/>
    <w:uiPriority w:val="0"/>
    <w:rPr>
      <w:rFonts w:ascii="宋体"/>
      <w:sz w:val="18"/>
      <w:szCs w:val="18"/>
    </w:rPr>
  </w:style>
  <w:style w:type="character" w:customStyle="1" w:styleId="56">
    <w:name w:val="con"/>
    <w:qFormat/>
    <w:uiPriority w:val="0"/>
  </w:style>
  <w:style w:type="character" w:customStyle="1" w:styleId="57">
    <w:name w:val="bar-label2"/>
    <w:qFormat/>
    <w:uiPriority w:val="99"/>
  </w:style>
  <w:style w:type="character" w:customStyle="1" w:styleId="58">
    <w:name w:val="正文文本缩进 2 Char"/>
    <w:qFormat/>
    <w:uiPriority w:val="99"/>
    <w:rPr>
      <w:szCs w:val="24"/>
    </w:rPr>
  </w:style>
  <w:style w:type="character" w:customStyle="1" w:styleId="59">
    <w:name w:val="日期 Char"/>
    <w:qFormat/>
    <w:uiPriority w:val="99"/>
    <w:rPr>
      <w:szCs w:val="24"/>
    </w:rPr>
  </w:style>
  <w:style w:type="character" w:customStyle="1" w:styleId="60">
    <w:name w:val="页脚 Char"/>
    <w:qFormat/>
    <w:locked/>
    <w:uiPriority w:val="99"/>
    <w:rPr>
      <w:sz w:val="18"/>
      <w:szCs w:val="18"/>
    </w:rPr>
  </w:style>
  <w:style w:type="character" w:customStyle="1" w:styleId="61">
    <w:name w:val="apple-converted-space"/>
    <w:basedOn w:val="41"/>
    <w:qFormat/>
    <w:uiPriority w:val="0"/>
  </w:style>
  <w:style w:type="character" w:customStyle="1" w:styleId="62">
    <w:name w:val="批注框文本 Char"/>
    <w:qFormat/>
    <w:uiPriority w:val="99"/>
    <w:rPr>
      <w:sz w:val="18"/>
      <w:szCs w:val="18"/>
    </w:rPr>
  </w:style>
  <w:style w:type="character" w:customStyle="1" w:styleId="63">
    <w:name w:val="页眉 Char"/>
    <w:qFormat/>
    <w:locked/>
    <w:uiPriority w:val="99"/>
    <w:rPr>
      <w:sz w:val="18"/>
      <w:szCs w:val="18"/>
    </w:rPr>
  </w:style>
  <w:style w:type="character" w:customStyle="1" w:styleId="64">
    <w:name w:val="首示例 Char"/>
    <w:link w:val="65"/>
    <w:qFormat/>
    <w:uiPriority w:val="0"/>
    <w:rPr>
      <w:rFonts w:ascii="宋体" w:hAnsi="宋体"/>
      <w:sz w:val="18"/>
      <w:szCs w:val="18"/>
    </w:rPr>
  </w:style>
  <w:style w:type="paragraph" w:customStyle="1" w:styleId="65">
    <w:name w:val="首示例"/>
    <w:next w:val="66"/>
    <w:link w:val="64"/>
    <w:qFormat/>
    <w:uiPriority w:val="0"/>
    <w:pPr>
      <w:tabs>
        <w:tab w:val="left" w:pos="360"/>
      </w:tabs>
      <w:spacing w:line="360" w:lineRule="exact"/>
    </w:pPr>
    <w:rPr>
      <w:rFonts w:ascii="宋体" w:hAnsi="宋体" w:eastAsiaTheme="minorEastAsia" w:cstheme="minorBidi"/>
      <w:kern w:val="2"/>
      <w:sz w:val="18"/>
      <w:szCs w:val="18"/>
      <w:lang w:val="en-US" w:eastAsia="zh-CN" w:bidi="ar-SA"/>
    </w:rPr>
  </w:style>
  <w:style w:type="paragraph" w:customStyle="1" w:styleId="66">
    <w:name w:val="段"/>
    <w:link w:val="67"/>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67">
    <w:name w:val="段 Char"/>
    <w:link w:val="66"/>
    <w:qFormat/>
    <w:uiPriority w:val="0"/>
    <w:rPr>
      <w:rFonts w:ascii="宋体"/>
    </w:rPr>
  </w:style>
  <w:style w:type="character" w:customStyle="1" w:styleId="68">
    <w:name w:val="附录公式 Char"/>
    <w:basedOn w:val="67"/>
    <w:link w:val="69"/>
    <w:qFormat/>
    <w:uiPriority w:val="0"/>
    <w:rPr>
      <w:rFonts w:ascii="宋体"/>
    </w:rPr>
  </w:style>
  <w:style w:type="paragraph" w:customStyle="1" w:styleId="69">
    <w:name w:val="附录公式"/>
    <w:basedOn w:val="66"/>
    <w:next w:val="66"/>
    <w:link w:val="68"/>
    <w:qFormat/>
    <w:uiPriority w:val="0"/>
  </w:style>
  <w:style w:type="character" w:customStyle="1" w:styleId="70">
    <w:name w:val="发布"/>
    <w:qFormat/>
    <w:uiPriority w:val="0"/>
    <w:rPr>
      <w:rFonts w:ascii="黑体" w:eastAsia="黑体"/>
      <w:spacing w:val="85"/>
      <w:w w:val="100"/>
      <w:position w:val="3"/>
      <w:sz w:val="28"/>
      <w:szCs w:val="28"/>
    </w:rPr>
  </w:style>
  <w:style w:type="character" w:customStyle="1" w:styleId="71">
    <w:name w:val="一级条标题 Char"/>
    <w:link w:val="72"/>
    <w:qFormat/>
    <w:uiPriority w:val="0"/>
    <w:rPr>
      <w:rFonts w:ascii="黑体" w:eastAsia="黑体"/>
      <w:szCs w:val="21"/>
    </w:rPr>
  </w:style>
  <w:style w:type="paragraph" w:customStyle="1" w:styleId="72">
    <w:name w:val="一级条标题"/>
    <w:next w:val="66"/>
    <w:link w:val="71"/>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character" w:customStyle="1" w:styleId="73">
    <w:name w:val="HTML 预设格式 Char"/>
    <w:qFormat/>
    <w:uiPriority w:val="0"/>
    <w:rPr>
      <w:rFonts w:ascii="Courier New" w:hAnsi="Courier New" w:cs="Courier New"/>
    </w:rPr>
  </w:style>
  <w:style w:type="character" w:customStyle="1" w:styleId="74">
    <w:name w:val="尾注文本 Char"/>
    <w:semiHidden/>
    <w:qFormat/>
    <w:uiPriority w:val="0"/>
    <w:rPr>
      <w:szCs w:val="24"/>
    </w:rPr>
  </w:style>
  <w:style w:type="paragraph" w:customStyle="1" w:styleId="75">
    <w:name w:val="trs_editor"/>
    <w:basedOn w:val="1"/>
    <w:qFormat/>
    <w:uiPriority w:val="0"/>
    <w:pPr>
      <w:spacing w:before="100" w:beforeAutospacing="1" w:after="100" w:afterAutospacing="1" w:line="240" w:lineRule="auto"/>
    </w:pPr>
    <w:rPr>
      <w:rFonts w:ascii="宋体" w:hAnsi="宋体" w:cs="宋体"/>
      <w:kern w:val="0"/>
      <w:sz w:val="24"/>
    </w:rPr>
  </w:style>
  <w:style w:type="paragraph" w:customStyle="1" w:styleId="76">
    <w:name w:val="reader-word-layer"/>
    <w:basedOn w:val="1"/>
    <w:qFormat/>
    <w:uiPriority w:val="0"/>
    <w:pPr>
      <w:spacing w:before="100" w:beforeAutospacing="1" w:after="100" w:afterAutospacing="1" w:line="240" w:lineRule="auto"/>
    </w:pPr>
    <w:rPr>
      <w:rFonts w:ascii="宋体" w:hAnsi="宋体" w:cs="宋体"/>
      <w:kern w:val="0"/>
      <w:sz w:val="24"/>
    </w:rPr>
  </w:style>
  <w:style w:type="paragraph" w:styleId="77">
    <w:name w:val="List Paragraph"/>
    <w:basedOn w:val="1"/>
    <w:qFormat/>
    <w:uiPriority w:val="34"/>
    <w:pPr>
      <w:ind w:firstLine="420" w:firstLineChars="200"/>
    </w:pPr>
    <w:rPr>
      <w:rFonts w:ascii="宋体" w:hAnsi="宋体" w:cs="宋体"/>
      <w:kern w:val="0"/>
      <w:sz w:val="24"/>
    </w:rPr>
  </w:style>
  <w:style w:type="paragraph" w:customStyle="1" w:styleId="78">
    <w:name w:val="封面一致性程度标识2"/>
    <w:basedOn w:val="79"/>
    <w:qFormat/>
    <w:uiPriority w:val="0"/>
    <w:pPr>
      <w:framePr w:wrap="around" w:y="4469"/>
    </w:pPr>
  </w:style>
  <w:style w:type="paragraph" w:customStyle="1" w:styleId="79">
    <w:name w:val="封面一致性程度标识"/>
    <w:basedOn w:val="80"/>
    <w:qFormat/>
    <w:uiPriority w:val="0"/>
    <w:pPr>
      <w:framePr w:wrap="around"/>
      <w:spacing w:before="440"/>
    </w:pPr>
    <w:rPr>
      <w:rFonts w:ascii="宋体" w:eastAsia="宋体"/>
    </w:rPr>
  </w:style>
  <w:style w:type="paragraph" w:customStyle="1" w:styleId="80">
    <w:name w:val="封面标准英文名称"/>
    <w:basedOn w:val="81"/>
    <w:qFormat/>
    <w:uiPriority w:val="0"/>
    <w:pPr>
      <w:framePr w:wrap="around"/>
      <w:spacing w:before="370" w:line="400" w:lineRule="exact"/>
    </w:pPr>
    <w:rPr>
      <w:rFonts w:ascii="Times New Roman"/>
      <w:sz w:val="28"/>
      <w:szCs w:val="28"/>
    </w:rPr>
  </w:style>
  <w:style w:type="paragraph" w:customStyle="1" w:styleId="8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2">
    <w:name w:val="封面标准英文名称2"/>
    <w:basedOn w:val="80"/>
    <w:qFormat/>
    <w:uiPriority w:val="0"/>
    <w:pPr>
      <w:framePr w:wrap="around" w:y="4469"/>
    </w:pPr>
  </w:style>
  <w:style w:type="paragraph" w:customStyle="1" w:styleId="83">
    <w:name w:val="其他发布日期"/>
    <w:basedOn w:val="84"/>
    <w:qFormat/>
    <w:uiPriority w:val="0"/>
    <w:pPr>
      <w:framePr w:wrap="around" w:vAnchor="page" w:hAnchor="text" w:x="1419"/>
    </w:pPr>
  </w:style>
  <w:style w:type="paragraph" w:customStyle="1" w:styleId="84">
    <w:name w:val="发布日期"/>
    <w:qFormat/>
    <w:uiPriority w:val="0"/>
    <w:pPr>
      <w:framePr w:w="3997" w:h="471" w:hRule="exact" w:vSpace="181" w:wrap="around" w:vAnchor="margin" w:hAnchor="page" w:x="7089" w:y="14097" w:anchorLock="1"/>
      <w:spacing w:line="360" w:lineRule="exact"/>
    </w:pPr>
    <w:rPr>
      <w:rFonts w:ascii="Times New Roman" w:hAnsi="Times New Roman" w:eastAsia="黑体" w:cs="Times New Roman"/>
      <w:sz w:val="28"/>
      <w:lang w:val="en-US" w:eastAsia="zh-CN" w:bidi="ar-SA"/>
    </w:rPr>
  </w:style>
  <w:style w:type="paragraph" w:customStyle="1" w:styleId="85">
    <w:name w:val="正文公式编号制表符"/>
    <w:basedOn w:val="66"/>
    <w:next w:val="66"/>
    <w:qFormat/>
    <w:uiPriority w:val="0"/>
    <w:pPr>
      <w:ind w:firstLine="0" w:firstLineChars="0"/>
    </w:pPr>
  </w:style>
  <w:style w:type="paragraph" w:customStyle="1" w:styleId="86">
    <w:name w:val="正文表标题"/>
    <w:next w:val="66"/>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paragraph" w:customStyle="1" w:styleId="87">
    <w:name w:val="文献分类号"/>
    <w:qFormat/>
    <w:uiPriority w:val="0"/>
    <w:pPr>
      <w:framePr w:hSpace="180" w:vSpace="180" w:wrap="around" w:vAnchor="margin" w:hAnchor="margin" w:y="1" w:anchorLock="1"/>
      <w:widowControl w:val="0"/>
      <w:spacing w:line="360" w:lineRule="exact"/>
      <w:textAlignment w:val="center"/>
    </w:pPr>
    <w:rPr>
      <w:rFonts w:ascii="黑体" w:hAnsi="Times New Roman" w:eastAsia="黑体" w:cs="Times New Roman"/>
      <w:sz w:val="21"/>
      <w:szCs w:val="21"/>
      <w:lang w:val="en-US" w:eastAsia="zh-CN" w:bidi="ar-SA"/>
    </w:rPr>
  </w:style>
  <w:style w:type="paragraph" w:customStyle="1" w:styleId="88">
    <w:name w:val="一级无"/>
    <w:basedOn w:val="72"/>
    <w:qFormat/>
    <w:uiPriority w:val="0"/>
  </w:style>
  <w:style w:type="paragraph" w:customStyle="1" w:styleId="89">
    <w:name w:val="图的脚注"/>
    <w:next w:val="66"/>
    <w:qFormat/>
    <w:uiPriority w:val="0"/>
    <w:pPr>
      <w:widowControl w:val="0"/>
      <w:spacing w:line="360" w:lineRule="exact"/>
      <w:ind w:left="840" w:leftChars="200" w:hanging="420" w:hangingChars="200"/>
      <w:jc w:val="both"/>
    </w:pPr>
    <w:rPr>
      <w:rFonts w:ascii="宋体" w:hAnsi="Times New Roman" w:eastAsia="宋体" w:cs="Times New Roman"/>
      <w:sz w:val="18"/>
      <w:lang w:val="en-US" w:eastAsia="zh-CN" w:bidi="ar-SA"/>
    </w:rPr>
  </w:style>
  <w:style w:type="paragraph" w:customStyle="1" w:styleId="90">
    <w:name w:val="图标脚注说明"/>
    <w:basedOn w:val="66"/>
    <w:qFormat/>
    <w:uiPriority w:val="0"/>
    <w:pPr>
      <w:ind w:left="840" w:hanging="420" w:firstLineChars="0"/>
    </w:pPr>
    <w:rPr>
      <w:sz w:val="18"/>
      <w:szCs w:val="18"/>
    </w:rPr>
  </w:style>
  <w:style w:type="paragraph" w:customStyle="1" w:styleId="91">
    <w:name w:val="示例后文字"/>
    <w:basedOn w:val="66"/>
    <w:next w:val="66"/>
    <w:qFormat/>
    <w:uiPriority w:val="0"/>
    <w:pPr>
      <w:ind w:firstLine="360"/>
    </w:pPr>
    <w:rPr>
      <w:sz w:val="18"/>
    </w:rPr>
  </w:style>
  <w:style w:type="paragraph" w:customStyle="1" w:styleId="92">
    <w:name w:val="实施日期"/>
    <w:basedOn w:val="84"/>
    <w:qFormat/>
    <w:uiPriority w:val="0"/>
    <w:pPr>
      <w:framePr w:wrap="around" w:vAnchor="page" w:hAnchor="text"/>
      <w:jc w:val="right"/>
    </w:pPr>
  </w:style>
  <w:style w:type="paragraph" w:customStyle="1" w:styleId="93">
    <w:name w:val="前言、引言标题"/>
    <w:next w:val="66"/>
    <w:qFormat/>
    <w:uiPriority w:val="0"/>
    <w:pPr>
      <w:keepNext/>
      <w:pageBreakBefore/>
      <w:shd w:val="clear" w:color="FFFFFF" w:fill="FFFFFF"/>
      <w:spacing w:before="640" w:after="560" w:line="360" w:lineRule="exact"/>
      <w:jc w:val="center"/>
      <w:outlineLvl w:val="0"/>
    </w:pPr>
    <w:rPr>
      <w:rFonts w:ascii="黑体" w:hAnsi="Times New Roman" w:eastAsia="黑体" w:cs="Times New Roman"/>
      <w:sz w:val="32"/>
      <w:lang w:val="en-US" w:eastAsia="zh-CN" w:bidi="ar-SA"/>
    </w:rPr>
  </w:style>
  <w:style w:type="paragraph" w:customStyle="1" w:styleId="9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6">
    <w:name w:val="列出段落1"/>
    <w:basedOn w:val="1"/>
    <w:qFormat/>
    <w:uiPriority w:val="0"/>
    <w:pPr>
      <w:widowControl w:val="0"/>
      <w:spacing w:line="240" w:lineRule="auto"/>
      <w:ind w:firstLine="420" w:firstLineChars="200"/>
      <w:jc w:val="both"/>
    </w:pPr>
    <w:rPr>
      <w:rFonts w:ascii="Calibri" w:hAnsi="Calibri"/>
      <w:szCs w:val="22"/>
    </w:rPr>
  </w:style>
  <w:style w:type="paragraph" w:customStyle="1" w:styleId="97">
    <w:name w:val="列项说明"/>
    <w:basedOn w:val="1"/>
    <w:qFormat/>
    <w:uiPriority w:val="0"/>
    <w:pPr>
      <w:adjustRightInd w:val="0"/>
      <w:spacing w:line="320" w:lineRule="exact"/>
      <w:ind w:left="400" w:leftChars="200" w:hanging="200" w:hangingChars="200"/>
      <w:textAlignment w:val="baseline"/>
    </w:pPr>
    <w:rPr>
      <w:rFonts w:ascii="宋体"/>
      <w:kern w:val="0"/>
      <w:szCs w:val="20"/>
    </w:rPr>
  </w:style>
  <w:style w:type="paragraph" w:customStyle="1" w:styleId="98">
    <w:name w:val="附录字母编号列项（一级）"/>
    <w:qFormat/>
    <w:uiPriority w:val="0"/>
    <w:pPr>
      <w:tabs>
        <w:tab w:val="left" w:pos="839"/>
      </w:tabs>
      <w:spacing w:line="360" w:lineRule="exact"/>
      <w:ind w:left="839" w:hanging="419"/>
    </w:pPr>
    <w:rPr>
      <w:rFonts w:ascii="宋体" w:hAnsi="Times New Roman" w:eastAsia="宋体" w:cs="Times New Roman"/>
      <w:sz w:val="21"/>
      <w:lang w:val="en-US" w:eastAsia="zh-CN" w:bidi="ar-SA"/>
    </w:rPr>
  </w:style>
  <w:style w:type="paragraph" w:customStyle="1" w:styleId="99">
    <w:name w:val="条文脚注"/>
    <w:basedOn w:val="29"/>
    <w:qFormat/>
    <w:uiPriority w:val="0"/>
    <w:pPr>
      <w:ind w:left="0" w:firstLine="0"/>
      <w:jc w:val="both"/>
    </w:pPr>
  </w:style>
  <w:style w:type="paragraph" w:customStyle="1" w:styleId="100">
    <w:name w:val="附录一级无"/>
    <w:basedOn w:val="101"/>
    <w:qFormat/>
    <w:uiPriority w:val="0"/>
    <w:pPr>
      <w:tabs>
        <w:tab w:val="left" w:pos="360"/>
      </w:tabs>
      <w:spacing w:beforeLines="0" w:afterLines="0"/>
    </w:pPr>
    <w:rPr>
      <w:rFonts w:ascii="宋体" w:eastAsia="宋体"/>
      <w:szCs w:val="21"/>
    </w:rPr>
  </w:style>
  <w:style w:type="paragraph" w:customStyle="1" w:styleId="101">
    <w:name w:val="附录一级条标题"/>
    <w:basedOn w:val="102"/>
    <w:next w:val="66"/>
    <w:qFormat/>
    <w:uiPriority w:val="0"/>
    <w:pPr>
      <w:tabs>
        <w:tab w:val="left" w:pos="360"/>
      </w:tabs>
      <w:autoSpaceDN w:val="0"/>
      <w:spacing w:beforeLines="50" w:afterLines="50"/>
      <w:outlineLvl w:val="2"/>
    </w:pPr>
  </w:style>
  <w:style w:type="paragraph" w:customStyle="1" w:styleId="102">
    <w:name w:val="附录章标题"/>
    <w:next w:val="66"/>
    <w:qFormat/>
    <w:uiPriority w:val="0"/>
    <w:pPr>
      <w:tabs>
        <w:tab w:val="left" w:pos="360"/>
      </w:tabs>
      <w:wordWrap w:val="0"/>
      <w:overflowPunct w:val="0"/>
      <w:autoSpaceDE w:val="0"/>
      <w:spacing w:beforeLines="100" w:afterLines="100" w:line="360" w:lineRule="exact"/>
      <w:jc w:val="both"/>
      <w:textAlignment w:val="baseline"/>
      <w:outlineLvl w:val="1"/>
    </w:pPr>
    <w:rPr>
      <w:rFonts w:ascii="黑体" w:hAnsi="Times New Roman" w:eastAsia="黑体" w:cs="Times New Roman"/>
      <w:kern w:val="21"/>
      <w:sz w:val="21"/>
      <w:lang w:val="en-US" w:eastAsia="zh-CN" w:bidi="ar-SA"/>
    </w:rPr>
  </w:style>
  <w:style w:type="paragraph" w:customStyle="1" w:styleId="103">
    <w:name w:val="附录五级无"/>
    <w:basedOn w:val="104"/>
    <w:qFormat/>
    <w:uiPriority w:val="0"/>
    <w:pPr>
      <w:tabs>
        <w:tab w:val="left" w:pos="360"/>
      </w:tabs>
      <w:spacing w:beforeLines="0" w:afterLines="0"/>
    </w:pPr>
    <w:rPr>
      <w:rFonts w:ascii="宋体" w:eastAsia="宋体"/>
      <w:szCs w:val="21"/>
    </w:rPr>
  </w:style>
  <w:style w:type="paragraph" w:customStyle="1" w:styleId="104">
    <w:name w:val="附录五级条标题"/>
    <w:basedOn w:val="105"/>
    <w:next w:val="66"/>
    <w:qFormat/>
    <w:uiPriority w:val="0"/>
    <w:pPr>
      <w:tabs>
        <w:tab w:val="left" w:pos="360"/>
      </w:tabs>
      <w:outlineLvl w:val="6"/>
    </w:pPr>
  </w:style>
  <w:style w:type="paragraph" w:customStyle="1" w:styleId="105">
    <w:name w:val="附录四级条标题"/>
    <w:basedOn w:val="106"/>
    <w:next w:val="66"/>
    <w:qFormat/>
    <w:uiPriority w:val="0"/>
    <w:pPr>
      <w:tabs>
        <w:tab w:val="left" w:pos="360"/>
      </w:tabs>
    </w:pPr>
  </w:style>
  <w:style w:type="paragraph" w:customStyle="1" w:styleId="106">
    <w:name w:val="附录三级条标题"/>
    <w:basedOn w:val="107"/>
    <w:next w:val="66"/>
    <w:qFormat/>
    <w:uiPriority w:val="0"/>
    <w:pPr>
      <w:tabs>
        <w:tab w:val="left" w:pos="360"/>
      </w:tabs>
    </w:pPr>
  </w:style>
  <w:style w:type="paragraph" w:customStyle="1" w:styleId="107">
    <w:name w:val="附录二级条标题"/>
    <w:basedOn w:val="1"/>
    <w:next w:val="66"/>
    <w:qFormat/>
    <w:uiPriority w:val="0"/>
    <w:p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8">
    <w:name w:val="附录图标题"/>
    <w:basedOn w:val="1"/>
    <w:next w:val="66"/>
    <w:qFormat/>
    <w:uiPriority w:val="0"/>
    <w:pPr>
      <w:tabs>
        <w:tab w:val="left" w:pos="363"/>
      </w:tabs>
      <w:spacing w:beforeLines="50" w:afterLines="50"/>
      <w:jc w:val="center"/>
    </w:pPr>
    <w:rPr>
      <w:rFonts w:ascii="黑体" w:eastAsia="黑体"/>
      <w:szCs w:val="21"/>
    </w:rPr>
  </w:style>
  <w:style w:type="paragraph" w:customStyle="1" w:styleId="109">
    <w:name w:val="附录图标号"/>
    <w:basedOn w:val="1"/>
    <w:qFormat/>
    <w:uiPriority w:val="0"/>
    <w:pPr>
      <w:keepNext/>
      <w:pageBreakBefore/>
      <w:spacing w:line="14" w:lineRule="exact"/>
      <w:ind w:firstLine="363"/>
      <w:jc w:val="center"/>
      <w:outlineLvl w:val="0"/>
    </w:pPr>
    <w:rPr>
      <w:color w:val="FFFFFF"/>
    </w:rPr>
  </w:style>
  <w:style w:type="paragraph" w:customStyle="1" w:styleId="110">
    <w:name w:val="附录四级无"/>
    <w:basedOn w:val="105"/>
    <w:qFormat/>
    <w:uiPriority w:val="0"/>
    <w:pPr>
      <w:tabs>
        <w:tab w:val="clear" w:pos="360"/>
      </w:tabs>
      <w:spacing w:beforeLines="0" w:afterLines="0"/>
      <w:outlineLvl w:val="5"/>
    </w:pPr>
    <w:rPr>
      <w:rFonts w:ascii="宋体" w:eastAsia="宋体"/>
      <w:szCs w:val="21"/>
    </w:rPr>
  </w:style>
  <w:style w:type="paragraph" w:customStyle="1" w:styleId="111">
    <w:name w:val="附录三级无"/>
    <w:basedOn w:val="106"/>
    <w:qFormat/>
    <w:uiPriority w:val="0"/>
  </w:style>
  <w:style w:type="paragraph" w:customStyle="1" w:styleId="112">
    <w:name w:val="注："/>
    <w:next w:val="66"/>
    <w:qFormat/>
    <w:uiPriority w:val="0"/>
    <w:pPr>
      <w:widowControl w:val="0"/>
      <w:autoSpaceDE w:val="0"/>
      <w:autoSpaceDN w:val="0"/>
      <w:spacing w:line="360" w:lineRule="exact"/>
      <w:ind w:left="726" w:hanging="363"/>
      <w:jc w:val="both"/>
    </w:pPr>
    <w:rPr>
      <w:rFonts w:ascii="宋体" w:hAnsi="Times New Roman" w:eastAsia="宋体" w:cs="Times New Roman"/>
      <w:sz w:val="18"/>
      <w:szCs w:val="18"/>
      <w:lang w:val="en-US" w:eastAsia="zh-CN" w:bidi="ar-SA"/>
    </w:rPr>
  </w:style>
  <w:style w:type="paragraph" w:customStyle="1" w:styleId="113">
    <w:name w:val="附录公式编号制表符"/>
    <w:basedOn w:val="1"/>
    <w:next w:val="66"/>
    <w:qFormat/>
    <w:uiPriority w:val="0"/>
    <w:pPr>
      <w:tabs>
        <w:tab w:val="center" w:pos="4201"/>
        <w:tab w:val="right" w:leader="dot" w:pos="9298"/>
      </w:tabs>
      <w:autoSpaceDE w:val="0"/>
      <w:autoSpaceDN w:val="0"/>
    </w:pPr>
    <w:rPr>
      <w:rFonts w:ascii="宋体"/>
      <w:kern w:val="0"/>
      <w:szCs w:val="20"/>
    </w:rPr>
  </w:style>
  <w:style w:type="paragraph" w:customStyle="1" w:styleId="114">
    <w:name w:val="附录二级无"/>
    <w:basedOn w:val="107"/>
    <w:autoRedefine/>
    <w:qFormat/>
    <w:uiPriority w:val="0"/>
  </w:style>
  <w:style w:type="paragraph" w:customStyle="1" w:styleId="115">
    <w:name w:val="附录标题"/>
    <w:basedOn w:val="66"/>
    <w:next w:val="66"/>
    <w:qFormat/>
    <w:uiPriority w:val="0"/>
    <w:pPr>
      <w:ind w:firstLine="0" w:firstLineChars="0"/>
      <w:jc w:val="center"/>
    </w:pPr>
    <w:rPr>
      <w:rFonts w:ascii="黑体" w:eastAsia="黑体"/>
    </w:rPr>
  </w:style>
  <w:style w:type="paragraph" w:customStyle="1" w:styleId="116">
    <w:name w:val="参考文献"/>
    <w:basedOn w:val="1"/>
    <w:next w:val="66"/>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17">
    <w:name w:val="封面正文"/>
    <w:qFormat/>
    <w:uiPriority w:val="0"/>
    <w:pPr>
      <w:spacing w:line="360" w:lineRule="exact"/>
      <w:jc w:val="both"/>
    </w:pPr>
    <w:rPr>
      <w:rFonts w:ascii="Times New Roman" w:hAnsi="Times New Roman" w:eastAsia="宋体" w:cs="Times New Roman"/>
      <w:lang w:val="en-US" w:eastAsia="zh-CN" w:bidi="ar-SA"/>
    </w:rPr>
  </w:style>
  <w:style w:type="paragraph" w:customStyle="1" w:styleId="118">
    <w:name w:val="封面标准文稿类别"/>
    <w:basedOn w:val="79"/>
    <w:qFormat/>
    <w:uiPriority w:val="0"/>
    <w:pPr>
      <w:framePr w:wrap="around"/>
      <w:spacing w:after="160" w:line="240" w:lineRule="auto"/>
    </w:pPr>
    <w:rPr>
      <w:sz w:val="24"/>
    </w:rPr>
  </w:style>
  <w:style w:type="paragraph" w:customStyle="1" w:styleId="119">
    <w:name w:val="封面标准号1"/>
    <w:qFormat/>
    <w:uiPriority w:val="0"/>
    <w:pPr>
      <w:widowControl w:val="0"/>
      <w:kinsoku w:val="0"/>
      <w:overflowPunct w:val="0"/>
      <w:autoSpaceDE w:val="0"/>
      <w:autoSpaceDN w:val="0"/>
      <w:spacing w:before="308" w:line="360" w:lineRule="exact"/>
      <w:jc w:val="right"/>
      <w:textAlignment w:val="center"/>
    </w:pPr>
    <w:rPr>
      <w:rFonts w:ascii="Times New Roman" w:hAnsi="Times New Roman" w:eastAsia="宋体" w:cs="Times New Roman"/>
      <w:sz w:val="28"/>
      <w:lang w:val="en-US" w:eastAsia="zh-CN" w:bidi="ar-SA"/>
    </w:rPr>
  </w:style>
  <w:style w:type="paragraph" w:customStyle="1" w:styleId="120">
    <w:name w:val="其他实施日期"/>
    <w:basedOn w:val="92"/>
    <w:qFormat/>
    <w:uiPriority w:val="0"/>
    <w:pPr>
      <w:framePr w:wrap="around" w:vAnchor="margin" w:hAnchor="page"/>
    </w:pPr>
  </w:style>
  <w:style w:type="paragraph" w:customStyle="1" w:styleId="121">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22">
    <w:name w:val="发布部门"/>
    <w:next w:val="66"/>
    <w:qFormat/>
    <w:uiPriority w:val="0"/>
    <w:pPr>
      <w:framePr w:w="7938" w:h="1134" w:hRule="exact" w:hSpace="125" w:vSpace="181" w:wrap="around" w:vAnchor="page" w:hAnchor="page" w:x="2150" w:y="14630" w:anchorLock="1"/>
      <w:spacing w:line="360" w:lineRule="exact"/>
      <w:jc w:val="center"/>
    </w:pPr>
    <w:rPr>
      <w:rFonts w:ascii="宋体" w:hAnsi="Times New Roman" w:eastAsia="宋体" w:cs="Times New Roman"/>
      <w:b/>
      <w:spacing w:val="20"/>
      <w:w w:val="135"/>
      <w:sz w:val="28"/>
      <w:lang w:val="en-US" w:eastAsia="zh-CN" w:bidi="ar-SA"/>
    </w:rPr>
  </w:style>
  <w:style w:type="paragraph" w:customStyle="1" w:styleId="123">
    <w:name w:val="注：（正文）"/>
    <w:basedOn w:val="112"/>
    <w:next w:val="66"/>
    <w:qFormat/>
    <w:uiPriority w:val="0"/>
  </w:style>
  <w:style w:type="paragraph" w:customStyle="1" w:styleId="124">
    <w:name w:val="参考文献、索引标题"/>
    <w:basedOn w:val="1"/>
    <w:next w:val="66"/>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25">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7">
    <w:name w:val="附录数字编号列项（二级）"/>
    <w:qFormat/>
    <w:uiPriority w:val="0"/>
    <w:pPr>
      <w:tabs>
        <w:tab w:val="left" w:pos="840"/>
      </w:tabs>
      <w:spacing w:line="360" w:lineRule="exact"/>
      <w:ind w:left="839" w:hanging="419"/>
    </w:pPr>
    <w:rPr>
      <w:rFonts w:ascii="宋体" w:hAnsi="Times New Roman" w:eastAsia="宋体" w:cs="Times New Roman"/>
      <w:sz w:val="21"/>
      <w:lang w:val="en-US" w:eastAsia="zh-CN" w:bidi="ar-SA"/>
    </w:rPr>
  </w:style>
  <w:style w:type="paragraph" w:customStyle="1" w:styleId="128">
    <w:name w:val="注×：（正文）"/>
    <w:qFormat/>
    <w:uiPriority w:val="0"/>
    <w:pPr>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29">
    <w:name w:val="示例内容"/>
    <w:qFormat/>
    <w:uiPriority w:val="0"/>
    <w:pPr>
      <w:spacing w:line="360" w:lineRule="exact"/>
      <w:ind w:firstLine="200" w:firstLineChars="200"/>
    </w:pPr>
    <w:rPr>
      <w:rFonts w:ascii="宋体" w:hAnsi="Times New Roman" w:eastAsia="宋体" w:cs="Times New Roman"/>
      <w:sz w:val="18"/>
      <w:szCs w:val="18"/>
      <w:lang w:val="en-US" w:eastAsia="zh-CN" w:bidi="ar-SA"/>
    </w:rPr>
  </w:style>
  <w:style w:type="paragraph" w:customStyle="1" w:styleId="130">
    <w:name w:val="示例×："/>
    <w:basedOn w:val="131"/>
    <w:qFormat/>
    <w:uiPriority w:val="0"/>
    <w:pPr>
      <w:spacing w:beforeLines="0" w:afterLines="0"/>
      <w:ind w:firstLine="363"/>
      <w:outlineLvl w:val="9"/>
    </w:pPr>
    <w:rPr>
      <w:rFonts w:ascii="宋体" w:eastAsia="宋体"/>
      <w:sz w:val="18"/>
      <w:szCs w:val="18"/>
    </w:rPr>
  </w:style>
  <w:style w:type="paragraph" w:customStyle="1" w:styleId="131">
    <w:name w:val="章标题"/>
    <w:next w:val="66"/>
    <w:qFormat/>
    <w:uiPriority w:val="0"/>
    <w:pPr>
      <w:spacing w:beforeLines="100" w:afterLines="100" w:line="360" w:lineRule="exact"/>
      <w:jc w:val="both"/>
      <w:outlineLvl w:val="1"/>
    </w:pPr>
    <w:rPr>
      <w:rFonts w:ascii="黑体" w:hAnsi="Times New Roman" w:eastAsia="黑体" w:cs="Times New Roman"/>
      <w:sz w:val="21"/>
      <w:lang w:val="en-US" w:eastAsia="zh-CN" w:bidi="ar-SA"/>
    </w:rPr>
  </w:style>
  <w:style w:type="paragraph" w:customStyle="1" w:styleId="132">
    <w:name w:val="编号列项（三级）"/>
    <w:qFormat/>
    <w:uiPriority w:val="99"/>
    <w:pPr>
      <w:tabs>
        <w:tab w:val="left" w:pos="0"/>
      </w:tabs>
      <w:spacing w:line="360" w:lineRule="exact"/>
      <w:ind w:left="1679" w:hanging="420"/>
    </w:pPr>
    <w:rPr>
      <w:rFonts w:ascii="宋体" w:hAnsi="Times New Roman" w:eastAsia="宋体" w:cs="Times New Roman"/>
      <w:sz w:val="21"/>
      <w:lang w:val="en-US" w:eastAsia="zh-CN" w:bidi="ar-SA"/>
    </w:rPr>
  </w:style>
  <w:style w:type="paragraph" w:customStyle="1" w:styleId="133">
    <w:name w:val="注×："/>
    <w:qFormat/>
    <w:uiPriority w:val="0"/>
    <w:pPr>
      <w:widowControl w:val="0"/>
      <w:autoSpaceDE w:val="0"/>
      <w:autoSpaceDN w:val="0"/>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34">
    <w:name w:val="数字编号列项（二级）"/>
    <w:qFormat/>
    <w:uiPriority w:val="99"/>
    <w:pPr>
      <w:tabs>
        <w:tab w:val="left" w:pos="1260"/>
      </w:tabs>
      <w:spacing w:line="360" w:lineRule="exact"/>
      <w:ind w:left="1259" w:hanging="419"/>
      <w:jc w:val="both"/>
    </w:pPr>
    <w:rPr>
      <w:rFonts w:ascii="宋体" w:hAnsi="Times New Roman" w:eastAsia="宋体" w:cs="Times New Roman"/>
      <w:sz w:val="21"/>
      <w:lang w:val="en-US" w:eastAsia="zh-CN" w:bidi="ar-SA"/>
    </w:rPr>
  </w:style>
  <w:style w:type="paragraph" w:customStyle="1" w:styleId="135">
    <w:name w:val="五级无"/>
    <w:basedOn w:val="136"/>
    <w:qFormat/>
    <w:uiPriority w:val="0"/>
    <w:pPr>
      <w:spacing w:beforeLines="0" w:afterLines="0"/>
      <w:outlineLvl w:val="6"/>
    </w:pPr>
    <w:rPr>
      <w:rFonts w:ascii="宋体" w:eastAsia="宋体"/>
    </w:rPr>
  </w:style>
  <w:style w:type="paragraph" w:customStyle="1" w:styleId="136">
    <w:name w:val="五级条标题"/>
    <w:basedOn w:val="137"/>
    <w:next w:val="66"/>
    <w:qFormat/>
    <w:uiPriority w:val="0"/>
  </w:style>
  <w:style w:type="paragraph" w:customStyle="1" w:styleId="137">
    <w:name w:val="四级条标题"/>
    <w:basedOn w:val="138"/>
    <w:next w:val="66"/>
    <w:qFormat/>
    <w:uiPriority w:val="0"/>
  </w:style>
  <w:style w:type="paragraph" w:customStyle="1" w:styleId="138">
    <w:name w:val="三级条标题"/>
    <w:basedOn w:val="139"/>
    <w:next w:val="66"/>
    <w:qFormat/>
    <w:uiPriority w:val="0"/>
  </w:style>
  <w:style w:type="paragraph" w:customStyle="1" w:styleId="139">
    <w:name w:val="二级条标题"/>
    <w:basedOn w:val="72"/>
    <w:next w:val="66"/>
    <w:qFormat/>
    <w:uiPriority w:val="0"/>
  </w:style>
  <w:style w:type="paragraph" w:customStyle="1" w:styleId="140">
    <w:name w:val="四级无"/>
    <w:basedOn w:val="137"/>
    <w:qFormat/>
    <w:uiPriority w:val="0"/>
  </w:style>
  <w:style w:type="paragraph" w:customStyle="1" w:styleId="141">
    <w:name w:val="三级无"/>
    <w:basedOn w:val="138"/>
    <w:qFormat/>
    <w:uiPriority w:val="0"/>
  </w:style>
  <w:style w:type="paragraph" w:customStyle="1" w:styleId="142">
    <w:name w:val="其他标准标志"/>
    <w:basedOn w:val="126"/>
    <w:qFormat/>
    <w:uiPriority w:val="0"/>
    <w:pPr>
      <w:framePr w:w="6101" w:wrap="around" w:vAnchor="page" w:hAnchor="page" w:x="4673" w:y="942"/>
    </w:pPr>
    <w:rPr>
      <w:w w:val="130"/>
    </w:rPr>
  </w:style>
  <w:style w:type="paragraph" w:customStyle="1" w:styleId="143">
    <w:name w:val="目次、标准名称标题"/>
    <w:basedOn w:val="1"/>
    <w:next w:val="66"/>
    <w:qFormat/>
    <w:uiPriority w:val="0"/>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144">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5">
    <w:name w:val="列项——（一级）"/>
    <w:qFormat/>
    <w:uiPriority w:val="99"/>
    <w:pPr>
      <w:widowControl w:val="0"/>
      <w:spacing w:line="360" w:lineRule="exact"/>
      <w:ind w:left="1260" w:hanging="408"/>
      <w:jc w:val="both"/>
    </w:pPr>
    <w:rPr>
      <w:rFonts w:ascii="宋体" w:hAnsi="Times New Roman" w:eastAsia="宋体" w:cs="Times New Roman"/>
      <w:sz w:val="21"/>
      <w:lang w:val="en-US" w:eastAsia="zh-CN" w:bidi="ar-SA"/>
    </w:rPr>
  </w:style>
  <w:style w:type="character" w:customStyle="1" w:styleId="146">
    <w:name w:val="批注框文本 字符"/>
    <w:basedOn w:val="41"/>
    <w:link w:val="24"/>
    <w:semiHidden/>
    <w:qFormat/>
    <w:uiPriority w:val="99"/>
    <w:rPr>
      <w:rFonts w:ascii="Times New Roman" w:hAnsi="Times New Roman" w:eastAsia="宋体" w:cs="Times New Roman"/>
      <w:sz w:val="18"/>
      <w:szCs w:val="18"/>
    </w:rPr>
  </w:style>
  <w:style w:type="paragraph" w:customStyle="1" w:styleId="147">
    <w:name w:val="列项◆（三级）"/>
    <w:basedOn w:val="1"/>
    <w:qFormat/>
    <w:uiPriority w:val="99"/>
    <w:pPr>
      <w:tabs>
        <w:tab w:val="left" w:pos="969"/>
      </w:tabs>
      <w:ind w:left="969" w:hanging="414"/>
    </w:pPr>
    <w:rPr>
      <w:rFonts w:ascii="宋体"/>
      <w:szCs w:val="21"/>
    </w:rPr>
  </w:style>
  <w:style w:type="paragraph" w:customStyle="1" w:styleId="148">
    <w:name w:val="标准书眉_奇数页"/>
    <w:next w:val="1"/>
    <w:qFormat/>
    <w:uiPriority w:val="0"/>
    <w:pPr>
      <w:tabs>
        <w:tab w:val="center" w:pos="4154"/>
        <w:tab w:val="right" w:pos="8306"/>
      </w:tabs>
      <w:spacing w:after="220" w:line="360" w:lineRule="exact"/>
      <w:jc w:val="right"/>
    </w:pPr>
    <w:rPr>
      <w:rFonts w:ascii="黑体" w:hAnsi="Times New Roman" w:eastAsia="黑体" w:cs="Times New Roman"/>
      <w:sz w:val="21"/>
      <w:szCs w:val="21"/>
      <w:lang w:val="en-US" w:eastAsia="zh-CN" w:bidi="ar-SA"/>
    </w:rPr>
  </w:style>
  <w:style w:type="character" w:customStyle="1" w:styleId="149">
    <w:name w:val="页眉 字符"/>
    <w:basedOn w:val="41"/>
    <w:link w:val="14"/>
    <w:semiHidden/>
    <w:qFormat/>
    <w:uiPriority w:val="99"/>
    <w:rPr>
      <w:rFonts w:ascii="Times New Roman" w:hAnsi="Times New Roman" w:eastAsia="宋体" w:cs="Times New Roman"/>
      <w:sz w:val="18"/>
      <w:szCs w:val="18"/>
    </w:rPr>
  </w:style>
  <w:style w:type="paragraph" w:customStyle="1" w:styleId="150">
    <w:name w:val="标准书脚_奇数页"/>
    <w:qFormat/>
    <w:uiPriority w:val="0"/>
    <w:pPr>
      <w:spacing w:before="120" w:line="360" w:lineRule="exact"/>
      <w:ind w:right="198"/>
      <w:jc w:val="right"/>
    </w:pPr>
    <w:rPr>
      <w:rFonts w:ascii="宋体" w:hAnsi="Times New Roman" w:eastAsia="宋体" w:cs="Times New Roman"/>
      <w:sz w:val="18"/>
      <w:szCs w:val="18"/>
      <w:lang w:val="en-US" w:eastAsia="zh-CN" w:bidi="ar-SA"/>
    </w:rPr>
  </w:style>
  <w:style w:type="paragraph" w:customStyle="1" w:styleId="151">
    <w:name w:val="其他发布部门"/>
    <w:basedOn w:val="122"/>
    <w:qFormat/>
    <w:uiPriority w:val="0"/>
    <w:pPr>
      <w:framePr w:wrap="around" w:y="15310"/>
      <w:spacing w:line="0" w:lineRule="atLeast"/>
    </w:pPr>
    <w:rPr>
      <w:rFonts w:ascii="黑体" w:eastAsia="黑体"/>
      <w:b w:val="0"/>
    </w:rPr>
  </w:style>
  <w:style w:type="paragraph" w:customStyle="1" w:styleId="152">
    <w:name w:val="列项说明数字编号"/>
    <w:qFormat/>
    <w:uiPriority w:val="0"/>
    <w:pPr>
      <w:spacing w:line="360" w:lineRule="exact"/>
      <w:ind w:left="600" w:leftChars="400" w:hanging="200" w:hangingChars="200"/>
    </w:pPr>
    <w:rPr>
      <w:rFonts w:ascii="宋体" w:hAnsi="Times New Roman" w:eastAsia="宋体" w:cs="Times New Roman"/>
      <w:sz w:val="21"/>
      <w:lang w:val="en-US" w:eastAsia="zh-CN" w:bidi="ar-SA"/>
    </w:rPr>
  </w:style>
  <w:style w:type="paragraph" w:customStyle="1" w:styleId="153">
    <w:name w:val="正文图标题"/>
    <w:next w:val="66"/>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character" w:customStyle="1" w:styleId="154">
    <w:name w:val="HTML 预设格式 字符"/>
    <w:basedOn w:val="41"/>
    <w:link w:val="33"/>
    <w:semiHidden/>
    <w:qFormat/>
    <w:uiPriority w:val="99"/>
    <w:rPr>
      <w:rFonts w:ascii="Courier New" w:hAnsi="Courier New" w:eastAsia="宋体" w:cs="Courier New"/>
      <w:sz w:val="20"/>
      <w:szCs w:val="20"/>
    </w:rPr>
  </w:style>
  <w:style w:type="paragraph" w:customStyle="1" w:styleId="155">
    <w:name w:val="附录标识"/>
    <w:basedOn w:val="1"/>
    <w:next w:val="66"/>
    <w:qFormat/>
    <w:uiPriority w:val="0"/>
    <w:pPr>
      <w:keepNext/>
      <w:shd w:val="clear" w:color="FFFFFF" w:fill="FFFFFF"/>
      <w:tabs>
        <w:tab w:val="left" w:pos="6405"/>
      </w:tabs>
      <w:spacing w:before="640" w:after="280"/>
      <w:jc w:val="center"/>
      <w:outlineLvl w:val="0"/>
    </w:pPr>
    <w:rPr>
      <w:rFonts w:ascii="黑体" w:eastAsia="黑体"/>
      <w:kern w:val="0"/>
      <w:szCs w:val="20"/>
    </w:rPr>
  </w:style>
  <w:style w:type="character" w:customStyle="1" w:styleId="156">
    <w:name w:val="脚注文本 字符"/>
    <w:basedOn w:val="41"/>
    <w:link w:val="29"/>
    <w:semiHidden/>
    <w:qFormat/>
    <w:uiPriority w:val="99"/>
    <w:rPr>
      <w:rFonts w:ascii="Times New Roman" w:hAnsi="Times New Roman" w:eastAsia="宋体" w:cs="Times New Roman"/>
      <w:sz w:val="18"/>
      <w:szCs w:val="18"/>
    </w:rPr>
  </w:style>
  <w:style w:type="paragraph" w:customStyle="1" w:styleId="157">
    <w:name w:val="字母编号列项（一级）"/>
    <w:qFormat/>
    <w:uiPriority w:val="99"/>
    <w:pPr>
      <w:tabs>
        <w:tab w:val="left" w:pos="840"/>
      </w:tabs>
      <w:spacing w:line="360" w:lineRule="exact"/>
      <w:ind w:left="839" w:hanging="419"/>
      <w:jc w:val="both"/>
    </w:pPr>
    <w:rPr>
      <w:rFonts w:ascii="宋体" w:hAnsi="Times New Roman" w:eastAsia="宋体" w:cs="Times New Roman"/>
      <w:sz w:val="21"/>
      <w:lang w:val="en-US" w:eastAsia="zh-CN" w:bidi="ar-SA"/>
    </w:rPr>
  </w:style>
  <w:style w:type="paragraph" w:customStyle="1" w:styleId="158">
    <w:name w:val="二级无"/>
    <w:basedOn w:val="139"/>
    <w:qFormat/>
    <w:uiPriority w:val="0"/>
  </w:style>
  <w:style w:type="paragraph" w:customStyle="1" w:styleId="159">
    <w:name w:val="列项●（二级）"/>
    <w:qFormat/>
    <w:uiPriority w:val="99"/>
    <w:pPr>
      <w:tabs>
        <w:tab w:val="left" w:pos="51"/>
        <w:tab w:val="left" w:pos="840"/>
      </w:tabs>
      <w:spacing w:line="360" w:lineRule="exact"/>
      <w:ind w:left="555" w:hanging="413"/>
      <w:jc w:val="both"/>
    </w:pPr>
    <w:rPr>
      <w:rFonts w:ascii="宋体" w:hAnsi="Times New Roman" w:eastAsia="宋体" w:cs="Times New Roman"/>
      <w:sz w:val="21"/>
      <w:lang w:val="en-US" w:eastAsia="zh-CN" w:bidi="ar-SA"/>
    </w:rPr>
  </w:style>
  <w:style w:type="character" w:customStyle="1" w:styleId="160">
    <w:name w:val="正文文本缩进 2 字符"/>
    <w:basedOn w:val="41"/>
    <w:link w:val="22"/>
    <w:semiHidden/>
    <w:qFormat/>
    <w:uiPriority w:val="99"/>
    <w:rPr>
      <w:rFonts w:ascii="Times New Roman" w:hAnsi="Times New Roman" w:eastAsia="宋体" w:cs="Times New Roman"/>
      <w:szCs w:val="24"/>
    </w:rPr>
  </w:style>
  <w:style w:type="paragraph" w:customStyle="1" w:styleId="161">
    <w:name w:val="封面标准文稿编辑信息2"/>
    <w:basedOn w:val="162"/>
    <w:qFormat/>
    <w:uiPriority w:val="0"/>
    <w:pPr>
      <w:framePr w:wrap="around" w:y="4469"/>
    </w:pPr>
  </w:style>
  <w:style w:type="paragraph" w:customStyle="1" w:styleId="162">
    <w:name w:val="封面标准文稿编辑信息"/>
    <w:basedOn w:val="118"/>
    <w:qFormat/>
    <w:uiPriority w:val="0"/>
    <w:pPr>
      <w:framePr w:wrap="around"/>
      <w:spacing w:before="180" w:line="180" w:lineRule="exact"/>
    </w:pPr>
    <w:rPr>
      <w:sz w:val="21"/>
    </w:rPr>
  </w:style>
  <w:style w:type="paragraph" w:customStyle="1" w:styleId="163">
    <w:name w:val="附录表标题"/>
    <w:basedOn w:val="1"/>
    <w:next w:val="66"/>
    <w:qFormat/>
    <w:uiPriority w:val="0"/>
    <w:pPr>
      <w:tabs>
        <w:tab w:val="left" w:pos="180"/>
      </w:tabs>
      <w:spacing w:beforeLines="50" w:afterLines="50"/>
      <w:jc w:val="center"/>
    </w:pPr>
    <w:rPr>
      <w:rFonts w:ascii="黑体" w:eastAsia="黑体"/>
      <w:szCs w:val="21"/>
    </w:rPr>
  </w:style>
  <w:style w:type="paragraph" w:customStyle="1" w:styleId="164">
    <w:name w:val="标准书眉_偶数页"/>
    <w:basedOn w:val="148"/>
    <w:next w:val="1"/>
    <w:qFormat/>
    <w:uiPriority w:val="0"/>
    <w:pPr>
      <w:jc w:val="left"/>
    </w:pPr>
  </w:style>
  <w:style w:type="paragraph" w:customStyle="1" w:styleId="165">
    <w:name w:val="附录表标号"/>
    <w:basedOn w:val="1"/>
    <w:next w:val="66"/>
    <w:qFormat/>
    <w:uiPriority w:val="0"/>
    <w:pPr>
      <w:spacing w:line="14" w:lineRule="exact"/>
      <w:ind w:left="811" w:hanging="448"/>
      <w:jc w:val="center"/>
      <w:outlineLvl w:val="0"/>
    </w:pPr>
    <w:rPr>
      <w:color w:val="FFFFFF"/>
    </w:rPr>
  </w:style>
  <w:style w:type="paragraph" w:customStyle="1" w:styleId="166">
    <w:name w:val="图表脚注说明"/>
    <w:basedOn w:val="1"/>
    <w:qFormat/>
    <w:uiPriority w:val="0"/>
    <w:pPr>
      <w:ind w:left="544" w:hanging="181"/>
    </w:pPr>
    <w:rPr>
      <w:rFonts w:ascii="宋体"/>
      <w:sz w:val="18"/>
      <w:szCs w:val="18"/>
    </w:rPr>
  </w:style>
  <w:style w:type="character" w:customStyle="1" w:styleId="167">
    <w:name w:val="页脚 字符"/>
    <w:basedOn w:val="41"/>
    <w:link w:val="25"/>
    <w:semiHidden/>
    <w:qFormat/>
    <w:uiPriority w:val="99"/>
    <w:rPr>
      <w:rFonts w:ascii="Times New Roman" w:hAnsi="Times New Roman" w:eastAsia="宋体" w:cs="Times New Roman"/>
      <w:sz w:val="18"/>
      <w:szCs w:val="18"/>
    </w:rPr>
  </w:style>
  <w:style w:type="character" w:customStyle="1" w:styleId="168">
    <w:name w:val="批注文字 字符"/>
    <w:basedOn w:val="41"/>
    <w:link w:val="9"/>
    <w:semiHidden/>
    <w:qFormat/>
    <w:uiPriority w:val="99"/>
    <w:rPr>
      <w:rFonts w:ascii="Times New Roman" w:hAnsi="Times New Roman" w:eastAsia="宋体" w:cs="Times New Roman"/>
      <w:szCs w:val="24"/>
    </w:rPr>
  </w:style>
  <w:style w:type="paragraph" w:customStyle="1" w:styleId="169">
    <w:name w:val="封面标准名称2"/>
    <w:basedOn w:val="81"/>
    <w:qFormat/>
    <w:uiPriority w:val="0"/>
    <w:pPr>
      <w:framePr w:wrap="around" w:y="4469"/>
      <w:spacing w:beforeLines="630"/>
    </w:pPr>
  </w:style>
  <w:style w:type="character" w:customStyle="1" w:styleId="170">
    <w:name w:val="日期 字符"/>
    <w:basedOn w:val="41"/>
    <w:link w:val="21"/>
    <w:semiHidden/>
    <w:qFormat/>
    <w:uiPriority w:val="99"/>
    <w:rPr>
      <w:rFonts w:ascii="Times New Roman" w:hAnsi="Times New Roman" w:eastAsia="宋体" w:cs="Times New Roman"/>
      <w:szCs w:val="24"/>
    </w:rPr>
  </w:style>
  <w:style w:type="character" w:customStyle="1" w:styleId="171">
    <w:name w:val="文档结构图 字符"/>
    <w:basedOn w:val="41"/>
    <w:link w:val="8"/>
    <w:semiHidden/>
    <w:qFormat/>
    <w:uiPriority w:val="99"/>
    <w:rPr>
      <w:rFonts w:ascii="宋体" w:hAnsi="Times New Roman" w:eastAsia="宋体" w:cs="Times New Roman"/>
      <w:sz w:val="18"/>
      <w:szCs w:val="18"/>
    </w:rPr>
  </w:style>
  <w:style w:type="paragraph" w:customStyle="1" w:styleId="172">
    <w:name w:val="标准书眉一"/>
    <w:qFormat/>
    <w:uiPriority w:val="0"/>
    <w:pPr>
      <w:spacing w:line="360" w:lineRule="exact"/>
      <w:jc w:val="both"/>
    </w:pPr>
    <w:rPr>
      <w:rFonts w:ascii="Times New Roman" w:hAnsi="Times New Roman" w:eastAsia="宋体" w:cs="Times New Roman"/>
      <w:lang w:val="en-US" w:eastAsia="zh-CN" w:bidi="ar-SA"/>
    </w:rPr>
  </w:style>
  <w:style w:type="paragraph" w:customStyle="1" w:styleId="173">
    <w:name w:val="封面标准文稿类别2"/>
    <w:basedOn w:val="118"/>
    <w:qFormat/>
    <w:uiPriority w:val="0"/>
    <w:pPr>
      <w:framePr w:wrap="around" w:y="4469"/>
    </w:pPr>
  </w:style>
  <w:style w:type="paragraph" w:customStyle="1" w:styleId="174">
    <w:name w:val="标准书脚_偶数页"/>
    <w:qFormat/>
    <w:uiPriority w:val="0"/>
    <w:pPr>
      <w:spacing w:before="120" w:line="360" w:lineRule="exact"/>
      <w:ind w:left="221"/>
    </w:pPr>
    <w:rPr>
      <w:rFonts w:ascii="宋体" w:hAnsi="Times New Roman" w:eastAsia="宋体" w:cs="Times New Roman"/>
      <w:sz w:val="18"/>
      <w:szCs w:val="18"/>
      <w:lang w:val="en-US" w:eastAsia="zh-CN" w:bidi="ar-SA"/>
    </w:rPr>
  </w:style>
  <w:style w:type="paragraph" w:customStyle="1" w:styleId="175">
    <w:name w:val="终结线"/>
    <w:basedOn w:val="1"/>
    <w:qFormat/>
    <w:uiPriority w:val="0"/>
    <w:pPr>
      <w:framePr w:hSpace="181" w:vSpace="181" w:wrap="around" w:vAnchor="text" w:hAnchor="margin" w:xAlign="center" w:y="285"/>
    </w:pPr>
  </w:style>
  <w:style w:type="character" w:customStyle="1" w:styleId="176">
    <w:name w:val="批注主题 字符"/>
    <w:basedOn w:val="168"/>
    <w:link w:val="37"/>
    <w:semiHidden/>
    <w:qFormat/>
    <w:uiPriority w:val="99"/>
    <w:rPr>
      <w:rFonts w:ascii="Times New Roman" w:hAnsi="Times New Roman" w:eastAsia="宋体" w:cs="Times New Roman"/>
      <w:b/>
      <w:bCs/>
      <w:szCs w:val="24"/>
    </w:rPr>
  </w:style>
  <w:style w:type="character" w:customStyle="1" w:styleId="177">
    <w:name w:val="尾注文本 字符"/>
    <w:basedOn w:val="41"/>
    <w:link w:val="23"/>
    <w:semiHidden/>
    <w:qFormat/>
    <w:uiPriority w:val="99"/>
    <w:rPr>
      <w:rFonts w:ascii="Times New Roman" w:hAnsi="Times New Roman" w:eastAsia="宋体" w:cs="Times New Roman"/>
      <w:szCs w:val="24"/>
    </w:rPr>
  </w:style>
  <w:style w:type="paragraph" w:customStyle="1" w:styleId="178">
    <w:name w:val="示例"/>
    <w:next w:val="129"/>
    <w:qFormat/>
    <w:uiPriority w:val="0"/>
    <w:pPr>
      <w:widowControl w:val="0"/>
      <w:spacing w:line="360" w:lineRule="exact"/>
      <w:ind w:firstLine="363"/>
      <w:jc w:val="both"/>
    </w:pPr>
    <w:rPr>
      <w:rFonts w:ascii="宋体" w:hAnsi="Times New Roman" w:eastAsia="宋体" w:cs="Times New Roman"/>
      <w:sz w:val="18"/>
      <w:szCs w:val="18"/>
      <w:lang w:val="en-US" w:eastAsia="zh-CN" w:bidi="ar-SA"/>
    </w:rPr>
  </w:style>
  <w:style w:type="character" w:customStyle="1" w:styleId="179">
    <w:name w:val="正文文本 3 字符"/>
    <w:basedOn w:val="41"/>
    <w:link w:val="11"/>
    <w:semiHidden/>
    <w:qFormat/>
    <w:uiPriority w:val="99"/>
    <w:rPr>
      <w:rFonts w:ascii="Times New Roman" w:hAnsi="Times New Roman" w:eastAsia="宋体" w:cs="Times New Roman"/>
      <w:sz w:val="16"/>
      <w:szCs w:val="16"/>
    </w:rPr>
  </w:style>
  <w:style w:type="character" w:customStyle="1" w:styleId="180">
    <w:name w:val="标题 字符"/>
    <w:basedOn w:val="41"/>
    <w:link w:val="36"/>
    <w:qFormat/>
    <w:uiPriority w:val="0"/>
    <w:rPr>
      <w:rFonts w:ascii="Arial" w:hAnsi="Arial" w:eastAsia="宋体" w:cs="Times New Roman"/>
      <w:b/>
      <w:kern w:val="0"/>
      <w:sz w:val="32"/>
      <w:szCs w:val="20"/>
    </w:rPr>
  </w:style>
  <w:style w:type="paragraph" w:customStyle="1" w:styleId="181">
    <w:name w:val="p0"/>
    <w:basedOn w:val="1"/>
    <w:qFormat/>
    <w:uiPriority w:val="0"/>
    <w:pPr>
      <w:spacing w:line="240" w:lineRule="auto"/>
      <w:jc w:val="both"/>
    </w:pPr>
    <w:rPr>
      <w:kern w:val="0"/>
      <w:szCs w:val="21"/>
    </w:rPr>
  </w:style>
  <w:style w:type="character" w:customStyle="1" w:styleId="182">
    <w:name w:val="纯文本 字符"/>
    <w:basedOn w:val="41"/>
    <w:link w:val="19"/>
    <w:qFormat/>
    <w:uiPriority w:val="99"/>
    <w:rPr>
      <w:rFonts w:ascii="宋体" w:hAnsi="Courier New" w:eastAsia="宋体" w:cs="Courier New"/>
      <w:szCs w:val="21"/>
    </w:rPr>
  </w:style>
  <w:style w:type="paragraph" w:customStyle="1" w:styleId="18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184">
    <w:name w:val="正文文本 字符"/>
    <w:basedOn w:val="41"/>
    <w:link w:val="12"/>
    <w:semiHidden/>
    <w:qFormat/>
    <w:uiPriority w:val="99"/>
    <w:rPr>
      <w:kern w:val="2"/>
      <w:sz w:val="21"/>
      <w:szCs w:val="24"/>
    </w:rPr>
  </w:style>
  <w:style w:type="paragraph" w:customStyle="1" w:styleId="185">
    <w:name w:val="Table Paragraph"/>
    <w:basedOn w:val="1"/>
    <w:qFormat/>
    <w:uiPriority w:val="1"/>
    <w:pPr>
      <w:widowControl w:val="0"/>
      <w:autoSpaceDE w:val="0"/>
      <w:autoSpaceDN w:val="0"/>
      <w:spacing w:line="240" w:lineRule="auto"/>
    </w:pPr>
    <w:rPr>
      <w:rFonts w:ascii="仿宋" w:hAnsi="仿宋" w:eastAsia="仿宋" w:cs="仿宋"/>
      <w:kern w:val="0"/>
      <w:sz w:val="22"/>
      <w:szCs w:val="22"/>
      <w:lang w:val="zh-CN" w:bidi="zh-CN"/>
    </w:rPr>
  </w:style>
  <w:style w:type="character" w:customStyle="1" w:styleId="186">
    <w:name w:val="标题 4 字符"/>
    <w:basedOn w:val="41"/>
    <w:link w:val="4"/>
    <w:semiHidden/>
    <w:qFormat/>
    <w:uiPriority w:val="9"/>
    <w:rPr>
      <w:rFonts w:asciiTheme="majorHAnsi" w:hAnsiTheme="majorHAnsi" w:eastAsiaTheme="majorEastAsia" w:cstheme="majorBidi"/>
      <w:b/>
      <w:bCs/>
      <w:kern w:val="2"/>
      <w:sz w:val="28"/>
      <w:szCs w:val="28"/>
    </w:rPr>
  </w:style>
  <w:style w:type="paragraph" w:customStyle="1" w:styleId="187">
    <w:name w:val="_Style 2"/>
    <w:basedOn w:val="2"/>
    <w:next w:val="1"/>
    <w:qFormat/>
    <w:uiPriority w:val="0"/>
    <w:pPr>
      <w:spacing w:before="480" w:after="0" w:line="276" w:lineRule="auto"/>
      <w:outlineLvl w:val="9"/>
    </w:pPr>
    <w:rPr>
      <w:rFonts w:ascii="Cambria" w:hAnsi="Cambria"/>
      <w:color w:val="365F91"/>
      <w:kern w:val="0"/>
      <w:sz w:val="28"/>
      <w:szCs w:val="28"/>
    </w:rPr>
  </w:style>
  <w:style w:type="paragraph" w:customStyle="1" w:styleId="188">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CE3EAB-74A9-43E8-9FA3-9580732DFDF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61</Pages>
  <Words>4651</Words>
  <Characters>26517</Characters>
  <Lines>220</Lines>
  <Paragraphs>62</Paragraphs>
  <TotalTime>11</TotalTime>
  <ScaleCrop>false</ScaleCrop>
  <LinksUpToDate>false</LinksUpToDate>
  <CharactersWithSpaces>31106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2024-02-20T12:50:00Z</dcterms:created>
  <dc:creator>杨玲</dc:creator>
  <cp:lastModifiedBy>咸鱼</cp:lastModifiedBy>
  <cp:lastPrinted>2021-10-08T08:35:00Z</cp:lastPrinted>
  <dcterms:modified xsi:type="dcterms:W3CDTF">2024-04-24T00:13:05Z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AB8833042B604786A468E75DBCC02870_13</vt:lpwstr>
  </property>
</Properties>
</file>