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outlineLvl w:val="0"/>
        <w:rPr>
          <w:rFonts w:ascii="黑体" w:hAnsi="黑体" w:eastAsia="黑体"/>
          <w:b/>
          <w:bCs/>
          <w:sz w:val="52"/>
          <w:szCs w:val="52"/>
        </w:rPr>
      </w:pPr>
      <w:bookmarkStart w:id="0" w:name="_Toc20939"/>
      <w:bookmarkStart w:id="1" w:name="_Toc30642"/>
      <w:r>
        <w:rPr>
          <w:rFonts w:hint="eastAsia" w:ascii="黑体" w:hAnsi="黑体" w:eastAsia="黑体"/>
          <w:b/>
          <w:bCs/>
          <w:sz w:val="44"/>
          <w:szCs w:val="44"/>
        </w:rPr>
        <w:t>岳阳城陵矶新港有限公司</w:t>
      </w:r>
      <w:bookmarkEnd w:id="0"/>
      <w:bookmarkEnd w:id="1"/>
    </w:p>
    <w:p>
      <w:pPr>
        <w:spacing w:line="360" w:lineRule="auto"/>
        <w:jc w:val="center"/>
        <w:rPr>
          <w:rFonts w:ascii="黑体" w:hAnsi="黑体" w:eastAsia="黑体"/>
          <w:b/>
          <w:bCs/>
          <w:sz w:val="44"/>
          <w:szCs w:val="44"/>
        </w:rPr>
      </w:pPr>
    </w:p>
    <w:p>
      <w:pPr>
        <w:spacing w:line="360" w:lineRule="auto"/>
        <w:jc w:val="center"/>
        <w:rPr>
          <w:rFonts w:ascii="黑体" w:hAnsi="黑体" w:eastAsia="黑体"/>
          <w:b/>
          <w:bCs/>
          <w:sz w:val="44"/>
          <w:szCs w:val="44"/>
        </w:rPr>
      </w:pPr>
    </w:p>
    <w:p>
      <w:pPr>
        <w:spacing w:line="360" w:lineRule="auto"/>
        <w:jc w:val="center"/>
        <w:rPr>
          <w:rFonts w:ascii="黑体" w:hAnsi="黑体" w:eastAsia="黑体"/>
          <w:b/>
          <w:bCs/>
          <w:sz w:val="44"/>
          <w:szCs w:val="44"/>
        </w:rPr>
      </w:pPr>
    </w:p>
    <w:p>
      <w:pPr>
        <w:spacing w:line="360" w:lineRule="auto"/>
        <w:jc w:val="center"/>
        <w:rPr>
          <w:rFonts w:ascii="黑体" w:hAnsi="黑体" w:eastAsia="黑体"/>
          <w:b/>
          <w:bCs/>
          <w:sz w:val="44"/>
          <w:szCs w:val="44"/>
        </w:rPr>
      </w:pPr>
    </w:p>
    <w:p>
      <w:pPr>
        <w:spacing w:line="360" w:lineRule="auto"/>
        <w:jc w:val="center"/>
        <w:rPr>
          <w:rFonts w:ascii="宋体" w:hAnsi="宋体" w:cs="宋体"/>
          <w:b/>
          <w:color w:val="000000"/>
          <w:kern w:val="0"/>
          <w:sz w:val="22"/>
          <w:szCs w:val="22"/>
        </w:rPr>
      </w:pPr>
      <w:r>
        <w:rPr>
          <w:rFonts w:hint="eastAsia" w:ascii="黑体" w:hAnsi="黑体" w:eastAsia="黑体"/>
          <w:b/>
          <w:bCs/>
          <w:sz w:val="44"/>
          <w:szCs w:val="44"/>
        </w:rPr>
        <w:t>2024年度新港码头绿植提质改造项目</w:t>
      </w:r>
    </w:p>
    <w:p>
      <w:pPr>
        <w:spacing w:line="360" w:lineRule="auto"/>
        <w:jc w:val="center"/>
        <w:rPr>
          <w:rFonts w:ascii="黑体" w:hAnsi="黑体" w:eastAsia="黑体"/>
          <w:b/>
          <w:bCs/>
          <w:sz w:val="44"/>
          <w:szCs w:val="44"/>
        </w:rPr>
      </w:pPr>
      <w:r>
        <w:rPr>
          <w:rFonts w:hint="eastAsia" w:ascii="黑体" w:hAnsi="黑体" w:eastAsia="黑体"/>
          <w:b/>
          <w:bCs/>
          <w:sz w:val="44"/>
          <w:szCs w:val="44"/>
        </w:rPr>
        <w:t>询价文件</w:t>
      </w:r>
    </w:p>
    <w:p>
      <w:pPr>
        <w:spacing w:line="360" w:lineRule="auto"/>
        <w:jc w:val="center"/>
        <w:rPr>
          <w:rFonts w:ascii="宋体" w:hAnsi="宋体" w:cs="宋体"/>
          <w:b/>
          <w:color w:val="000000"/>
          <w:kern w:val="0"/>
          <w:sz w:val="28"/>
          <w:szCs w:val="28"/>
        </w:rPr>
      </w:pPr>
    </w:p>
    <w:p>
      <w:pPr>
        <w:snapToGrid w:val="0"/>
        <w:spacing w:line="360" w:lineRule="auto"/>
        <w:jc w:val="center"/>
        <w:rPr>
          <w:b/>
          <w:bCs/>
          <w:sz w:val="48"/>
          <w:szCs w:val="48"/>
        </w:rPr>
      </w:pPr>
      <w:r>
        <w:rPr>
          <w:rFonts w:hint="eastAsia" w:ascii="黑体" w:hAnsi="黑体" w:eastAsia="黑体" w:cs="黑体"/>
          <w:sz w:val="28"/>
          <w:szCs w:val="28"/>
        </w:rPr>
        <w:t>采购编号：省港服（2024）年询第**号【****】</w:t>
      </w:r>
    </w:p>
    <w:p>
      <w:pPr>
        <w:spacing w:line="360" w:lineRule="auto"/>
      </w:pPr>
    </w:p>
    <w:p>
      <w:pPr>
        <w:spacing w:line="360" w:lineRule="auto"/>
      </w:pPr>
    </w:p>
    <w:p>
      <w:pPr>
        <w:pStyle w:val="16"/>
        <w:numPr>
          <w:ilvl w:val="0"/>
          <w:numId w:val="0"/>
        </w:numPr>
        <w:spacing w:line="360" w:lineRule="auto"/>
      </w:pPr>
    </w:p>
    <w:p>
      <w:pPr>
        <w:pStyle w:val="16"/>
        <w:numPr>
          <w:ilvl w:val="0"/>
          <w:numId w:val="0"/>
        </w:numPr>
        <w:spacing w:line="360" w:lineRule="auto"/>
      </w:pPr>
    </w:p>
    <w:p>
      <w:pPr>
        <w:pStyle w:val="16"/>
        <w:numPr>
          <w:ilvl w:val="0"/>
          <w:numId w:val="0"/>
        </w:numPr>
        <w:spacing w:line="360" w:lineRule="auto"/>
      </w:pPr>
    </w:p>
    <w:p>
      <w:pPr>
        <w:pStyle w:val="16"/>
        <w:numPr>
          <w:ilvl w:val="0"/>
          <w:numId w:val="0"/>
        </w:numPr>
        <w:spacing w:line="360" w:lineRule="auto"/>
      </w:pPr>
    </w:p>
    <w:p>
      <w:pPr>
        <w:spacing w:line="360" w:lineRule="auto"/>
      </w:pPr>
    </w:p>
    <w:p>
      <w:pPr>
        <w:spacing w:line="360" w:lineRule="auto"/>
      </w:pPr>
    </w:p>
    <w:p>
      <w:pPr>
        <w:pStyle w:val="2"/>
      </w:pPr>
    </w:p>
    <w:p>
      <w:pPr>
        <w:tabs>
          <w:tab w:val="left" w:pos="0"/>
          <w:tab w:val="left" w:pos="4185"/>
        </w:tabs>
        <w:spacing w:line="360" w:lineRule="auto"/>
        <w:ind w:right="-6"/>
        <w:jc w:val="center"/>
        <w:rPr>
          <w:rFonts w:ascii="黑体" w:hAnsi="黑体" w:eastAsia="黑体"/>
          <w:bCs/>
          <w:sz w:val="44"/>
          <w:szCs w:val="44"/>
        </w:rPr>
      </w:pPr>
      <w:r>
        <w:rPr>
          <w:rFonts w:hint="eastAsia" w:ascii="黑体" w:hAnsi="黑体" w:eastAsia="黑体"/>
          <w:bCs/>
          <w:sz w:val="44"/>
          <w:szCs w:val="44"/>
        </w:rPr>
        <w:t>二О二四年四月</w:t>
      </w:r>
    </w:p>
    <w:p>
      <w:pPr>
        <w:spacing w:line="360" w:lineRule="auto"/>
        <w:sectPr>
          <w:pgSz w:w="11906" w:h="16838"/>
          <w:pgMar w:top="1440" w:right="1800" w:bottom="1440" w:left="1800" w:header="851" w:footer="992" w:gutter="0"/>
          <w:cols w:space="425" w:num="1"/>
          <w:docGrid w:type="lines" w:linePitch="312" w:charSpace="0"/>
        </w:sectPr>
      </w:pPr>
    </w:p>
    <w:p>
      <w:pPr>
        <w:pStyle w:val="2"/>
        <w:numPr>
          <w:ilvl w:val="0"/>
          <w:numId w:val="0"/>
        </w:numPr>
        <w:spacing w:line="360" w:lineRule="auto"/>
      </w:pPr>
    </w:p>
    <w:p>
      <w:pPr>
        <w:pStyle w:val="23"/>
        <w:keepNext w:val="0"/>
        <w:keepLines w:val="0"/>
        <w:widowControl w:val="0"/>
        <w:spacing w:before="0" w:line="360" w:lineRule="auto"/>
        <w:ind w:left="440"/>
        <w:jc w:val="center"/>
        <w:outlineLvl w:val="0"/>
        <w:rPr>
          <w:rFonts w:ascii="黑体" w:hAnsi="黑体" w:eastAsia="黑体"/>
          <w:b w:val="0"/>
          <w:color w:val="auto"/>
          <w:sz w:val="44"/>
          <w:szCs w:val="44"/>
          <w:lang w:val="zh-CN"/>
        </w:rPr>
      </w:pPr>
      <w:bookmarkStart w:id="2" w:name="_Toc3510"/>
      <w:bookmarkStart w:id="3" w:name="_Toc8773"/>
      <w:r>
        <w:rPr>
          <w:rFonts w:ascii="黑体" w:hAnsi="黑体" w:eastAsia="黑体"/>
          <w:b w:val="0"/>
          <w:color w:val="auto"/>
          <w:sz w:val="44"/>
          <w:szCs w:val="44"/>
          <w:lang w:val="zh-CN"/>
        </w:rPr>
        <w:t>目    录</w:t>
      </w:r>
      <w:bookmarkEnd w:id="2"/>
      <w:bookmarkEnd w:id="3"/>
    </w:p>
    <w:sdt>
      <w:sdtPr>
        <w:rPr>
          <w:rFonts w:ascii="宋体" w:hAnsi="宋体"/>
        </w:rPr>
        <w:id w:val="147475292"/>
        <w:docPartObj>
          <w:docPartGallery w:val="Table of Contents"/>
          <w:docPartUnique/>
        </w:docPartObj>
      </w:sdtPr>
      <w:sdtEndPr>
        <w:rPr>
          <w:rFonts w:hint="eastAsia" w:ascii="宋体" w:hAnsi="宋体" w:cs="宋体"/>
          <w:sz w:val="28"/>
          <w:szCs w:val="28"/>
          <w:lang w:val="zh-CN"/>
        </w:rPr>
      </w:sdtEndPr>
      <w:sdtContent>
        <w:p>
          <w:pPr>
            <w:spacing w:line="360" w:lineRule="auto"/>
          </w:pPr>
        </w:p>
        <w:p>
          <w:pPr>
            <w:pStyle w:val="28"/>
            <w:tabs>
              <w:tab w:val="right" w:leader="dot" w:pos="8306"/>
            </w:tabs>
            <w:spacing w:line="360" w:lineRule="auto"/>
            <w:rPr>
              <w:rFonts w:ascii="宋体" w:hAnsi="宋体" w:cs="宋体"/>
              <w:sz w:val="28"/>
              <w:szCs w:val="28"/>
            </w:rPr>
          </w:pPr>
          <w:r>
            <w:rPr>
              <w:rFonts w:hint="eastAsia" w:ascii="宋体" w:hAnsi="宋体" w:cs="宋体"/>
              <w:sz w:val="28"/>
              <w:szCs w:val="28"/>
              <w:lang w:val="zh-CN"/>
            </w:rPr>
            <w:fldChar w:fldCharType="begin"/>
          </w:r>
          <w:r>
            <w:rPr>
              <w:rFonts w:hint="eastAsia" w:ascii="宋体" w:hAnsi="宋体" w:cs="宋体"/>
              <w:sz w:val="28"/>
              <w:szCs w:val="28"/>
              <w:lang w:val="zh-CN"/>
            </w:rPr>
            <w:instrText xml:space="preserve">TOC \o "1-1" \h \u </w:instrText>
          </w:r>
          <w:r>
            <w:rPr>
              <w:rFonts w:hint="eastAsia" w:ascii="宋体" w:hAnsi="宋体" w:cs="宋体"/>
              <w:sz w:val="28"/>
              <w:szCs w:val="28"/>
              <w:lang w:val="zh-CN"/>
            </w:rPr>
            <w:fldChar w:fldCharType="separate"/>
          </w:r>
          <w:r>
            <w:fldChar w:fldCharType="begin"/>
          </w:r>
          <w:r>
            <w:instrText xml:space="preserve"> HYPERLINK \l "_Toc14956" </w:instrText>
          </w:r>
          <w:r>
            <w:fldChar w:fldCharType="separate"/>
          </w:r>
          <w:r>
            <w:rPr>
              <w:rFonts w:hint="eastAsia" w:ascii="宋体" w:hAnsi="宋体" w:cs="宋体"/>
              <w:sz w:val="28"/>
              <w:szCs w:val="28"/>
            </w:rPr>
            <w:t>第一章 询价公告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_Toc14956 \h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pPr>
            <w:pStyle w:val="28"/>
            <w:tabs>
              <w:tab w:val="right" w:leader="dot" w:pos="8306"/>
            </w:tabs>
            <w:spacing w:line="360" w:lineRule="auto"/>
            <w:rPr>
              <w:rFonts w:ascii="宋体" w:hAnsi="宋体" w:cs="宋体"/>
              <w:sz w:val="28"/>
              <w:szCs w:val="28"/>
            </w:rPr>
          </w:pPr>
          <w:r>
            <w:fldChar w:fldCharType="begin"/>
          </w:r>
          <w:r>
            <w:instrText xml:space="preserve"> HYPERLINK \l "_Toc6886" </w:instrText>
          </w:r>
          <w:r>
            <w:fldChar w:fldCharType="separate"/>
          </w:r>
          <w:r>
            <w:rPr>
              <w:rFonts w:hint="eastAsia" w:ascii="宋体" w:hAnsi="宋体" w:cs="宋体"/>
              <w:sz w:val="28"/>
              <w:szCs w:val="28"/>
            </w:rPr>
            <w:t>第二章 供应商须知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_Toc6886 \h </w:instrText>
          </w:r>
          <w:r>
            <w:rPr>
              <w:rFonts w:hint="eastAsia" w:ascii="宋体" w:hAnsi="宋体" w:cs="宋体"/>
              <w:sz w:val="28"/>
              <w:szCs w:val="28"/>
            </w:rPr>
            <w:fldChar w:fldCharType="separate"/>
          </w:r>
          <w:r>
            <w:rPr>
              <w:rFonts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fldChar w:fldCharType="end"/>
          </w:r>
        </w:p>
        <w:p>
          <w:pPr>
            <w:pStyle w:val="28"/>
            <w:tabs>
              <w:tab w:val="right" w:leader="dot" w:pos="8306"/>
            </w:tabs>
            <w:spacing w:line="360" w:lineRule="auto"/>
            <w:rPr>
              <w:rFonts w:ascii="宋体" w:hAnsi="宋体" w:cs="宋体"/>
              <w:sz w:val="28"/>
              <w:szCs w:val="28"/>
            </w:rPr>
          </w:pPr>
          <w:r>
            <w:fldChar w:fldCharType="begin"/>
          </w:r>
          <w:r>
            <w:instrText xml:space="preserve"> HYPERLINK \l "_Toc3137" </w:instrText>
          </w:r>
          <w:r>
            <w:fldChar w:fldCharType="separate"/>
          </w:r>
          <w:r>
            <w:rPr>
              <w:rFonts w:hint="eastAsia" w:ascii="宋体" w:hAnsi="宋体" w:cs="宋体"/>
              <w:bCs/>
              <w:sz w:val="28"/>
              <w:szCs w:val="28"/>
            </w:rPr>
            <w:t>第二章 供应商须知正文</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_Toc3137 \h </w:instrText>
          </w:r>
          <w:r>
            <w:rPr>
              <w:rFonts w:hint="eastAsia" w:ascii="宋体" w:hAnsi="宋体" w:cs="宋体"/>
              <w:sz w:val="28"/>
              <w:szCs w:val="28"/>
            </w:rPr>
            <w:fldChar w:fldCharType="separate"/>
          </w:r>
          <w:r>
            <w:rPr>
              <w:rFonts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fldChar w:fldCharType="end"/>
          </w:r>
        </w:p>
        <w:p>
          <w:pPr>
            <w:pStyle w:val="28"/>
            <w:tabs>
              <w:tab w:val="right" w:leader="dot" w:pos="8306"/>
            </w:tabs>
            <w:spacing w:line="360" w:lineRule="auto"/>
            <w:rPr>
              <w:rFonts w:ascii="宋体" w:hAnsi="宋体" w:cs="宋体"/>
              <w:sz w:val="28"/>
              <w:szCs w:val="28"/>
            </w:rPr>
          </w:pPr>
          <w:r>
            <w:fldChar w:fldCharType="begin"/>
          </w:r>
          <w:r>
            <w:instrText xml:space="preserve"> HYPERLINK \l "_Toc9798" </w:instrText>
          </w:r>
          <w:r>
            <w:fldChar w:fldCharType="separate"/>
          </w:r>
          <w:r>
            <w:rPr>
              <w:rFonts w:hint="eastAsia" w:ascii="宋体" w:hAnsi="宋体" w:cs="宋体"/>
              <w:bCs/>
              <w:sz w:val="28"/>
              <w:szCs w:val="28"/>
            </w:rPr>
            <w:t>第三章 评审办法</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_Toc9798 \h </w:instrText>
          </w:r>
          <w:r>
            <w:rPr>
              <w:rFonts w:hint="eastAsia" w:ascii="宋体" w:hAnsi="宋体" w:cs="宋体"/>
              <w:sz w:val="28"/>
              <w:szCs w:val="28"/>
            </w:rPr>
            <w:fldChar w:fldCharType="separate"/>
          </w:r>
          <w:r>
            <w:rPr>
              <w:rFonts w:ascii="宋体" w:hAnsi="宋体" w:cs="宋体"/>
              <w:sz w:val="28"/>
              <w:szCs w:val="28"/>
            </w:rPr>
            <w:t>23</w:t>
          </w:r>
          <w:r>
            <w:rPr>
              <w:rFonts w:hint="eastAsia" w:ascii="宋体" w:hAnsi="宋体" w:cs="宋体"/>
              <w:sz w:val="28"/>
              <w:szCs w:val="28"/>
            </w:rPr>
            <w:fldChar w:fldCharType="end"/>
          </w:r>
          <w:r>
            <w:rPr>
              <w:rFonts w:hint="eastAsia" w:ascii="宋体" w:hAnsi="宋体" w:cs="宋体"/>
              <w:sz w:val="28"/>
              <w:szCs w:val="28"/>
            </w:rPr>
            <w:fldChar w:fldCharType="end"/>
          </w:r>
        </w:p>
        <w:p>
          <w:pPr>
            <w:pStyle w:val="28"/>
            <w:tabs>
              <w:tab w:val="right" w:leader="dot" w:pos="8306"/>
            </w:tabs>
            <w:spacing w:line="360" w:lineRule="auto"/>
            <w:rPr>
              <w:rFonts w:ascii="宋体" w:hAnsi="宋体" w:cs="宋体"/>
              <w:sz w:val="28"/>
              <w:szCs w:val="28"/>
            </w:rPr>
          </w:pPr>
          <w:r>
            <w:fldChar w:fldCharType="begin"/>
          </w:r>
          <w:r>
            <w:instrText xml:space="preserve"> HYPERLINK \l "_Toc20881" </w:instrText>
          </w:r>
          <w:r>
            <w:fldChar w:fldCharType="separate"/>
          </w:r>
          <w:r>
            <w:rPr>
              <w:rFonts w:hint="eastAsia" w:ascii="宋体" w:hAnsi="宋体" w:cs="宋体"/>
              <w:sz w:val="28"/>
              <w:szCs w:val="28"/>
            </w:rPr>
            <w:t>第四章 港区绿化规划提质改造合同</w:t>
          </w:r>
          <w:r>
            <w:rPr>
              <w:rFonts w:hint="eastAsia" w:ascii="宋体" w:hAnsi="宋体" w:cs="宋体"/>
              <w:sz w:val="28"/>
              <w:szCs w:val="28"/>
            </w:rPr>
            <w:tab/>
          </w:r>
          <w:r>
            <w:rPr>
              <w:rFonts w:hint="eastAsia" w:ascii="宋体" w:hAnsi="宋体" w:cs="宋体"/>
              <w:sz w:val="28"/>
              <w:szCs w:val="28"/>
            </w:rPr>
            <w:t>27</w:t>
          </w:r>
          <w:r>
            <w:rPr>
              <w:rFonts w:hint="eastAsia" w:ascii="宋体" w:hAnsi="宋体" w:cs="宋体"/>
              <w:sz w:val="28"/>
              <w:szCs w:val="28"/>
            </w:rPr>
            <w:fldChar w:fldCharType="end"/>
          </w:r>
        </w:p>
        <w:p>
          <w:pPr>
            <w:pStyle w:val="28"/>
            <w:tabs>
              <w:tab w:val="right" w:leader="dot" w:pos="8306"/>
            </w:tabs>
            <w:spacing w:line="360" w:lineRule="auto"/>
            <w:rPr>
              <w:rFonts w:ascii="宋体" w:hAnsi="宋体" w:cs="宋体"/>
              <w:sz w:val="28"/>
              <w:szCs w:val="28"/>
            </w:rPr>
          </w:pPr>
          <w:r>
            <w:fldChar w:fldCharType="begin"/>
          </w:r>
          <w:r>
            <w:instrText xml:space="preserve"> HYPERLINK \l "_Toc19804" </w:instrText>
          </w:r>
          <w:r>
            <w:fldChar w:fldCharType="separate"/>
          </w:r>
          <w:r>
            <w:rPr>
              <w:rFonts w:hint="eastAsia" w:ascii="宋体" w:hAnsi="宋体" w:cs="宋体"/>
              <w:sz w:val="28"/>
              <w:szCs w:val="28"/>
            </w:rPr>
            <w:t>第五章 采购需求</w:t>
          </w:r>
          <w:r>
            <w:rPr>
              <w:rFonts w:hint="eastAsia" w:ascii="宋体" w:hAnsi="宋体" w:cs="宋体"/>
              <w:sz w:val="28"/>
              <w:szCs w:val="28"/>
            </w:rPr>
            <w:tab/>
          </w:r>
          <w:r>
            <w:rPr>
              <w:rFonts w:hint="eastAsia" w:ascii="宋体" w:hAnsi="宋体" w:cs="宋体"/>
              <w:sz w:val="28"/>
              <w:szCs w:val="28"/>
            </w:rPr>
            <w:t>40</w:t>
          </w:r>
          <w:r>
            <w:rPr>
              <w:rFonts w:hint="eastAsia" w:ascii="宋体" w:hAnsi="宋体" w:cs="宋体"/>
              <w:sz w:val="28"/>
              <w:szCs w:val="28"/>
            </w:rPr>
            <w:fldChar w:fldCharType="end"/>
          </w:r>
        </w:p>
        <w:p>
          <w:pPr>
            <w:pStyle w:val="28"/>
            <w:tabs>
              <w:tab w:val="right" w:leader="dot" w:pos="8306"/>
            </w:tabs>
            <w:spacing w:line="360" w:lineRule="auto"/>
            <w:rPr>
              <w:rFonts w:ascii="宋体" w:hAnsi="宋体" w:cs="宋体"/>
              <w:sz w:val="28"/>
              <w:szCs w:val="28"/>
            </w:rPr>
          </w:pPr>
          <w:r>
            <w:fldChar w:fldCharType="begin"/>
          </w:r>
          <w:r>
            <w:instrText xml:space="preserve"> HYPERLINK \l "_Toc19048" </w:instrText>
          </w:r>
          <w:r>
            <w:fldChar w:fldCharType="separate"/>
          </w:r>
          <w:r>
            <w:rPr>
              <w:rFonts w:hint="eastAsia" w:ascii="宋体" w:hAnsi="宋体" w:cs="宋体"/>
              <w:sz w:val="28"/>
              <w:szCs w:val="28"/>
            </w:rPr>
            <w:t>第六章 响应文件格式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_Toc19048 \h </w:instrText>
          </w:r>
          <w:r>
            <w:rPr>
              <w:rFonts w:hint="eastAsia" w:ascii="宋体" w:hAnsi="宋体" w:cs="宋体"/>
              <w:sz w:val="28"/>
              <w:szCs w:val="28"/>
            </w:rPr>
            <w:fldChar w:fldCharType="separate"/>
          </w:r>
          <w:r>
            <w:rPr>
              <w:rFonts w:ascii="宋体" w:hAnsi="宋体" w:cs="宋体"/>
              <w:sz w:val="28"/>
              <w:szCs w:val="28"/>
            </w:rPr>
            <w:t>44</w:t>
          </w:r>
          <w:r>
            <w:rPr>
              <w:rFonts w:hint="eastAsia" w:ascii="宋体" w:hAnsi="宋体" w:cs="宋体"/>
              <w:sz w:val="28"/>
              <w:szCs w:val="28"/>
            </w:rPr>
            <w:fldChar w:fldCharType="end"/>
          </w:r>
          <w:r>
            <w:rPr>
              <w:rFonts w:hint="eastAsia" w:ascii="宋体" w:hAnsi="宋体" w:cs="宋体"/>
              <w:sz w:val="28"/>
              <w:szCs w:val="28"/>
            </w:rPr>
            <w:fldChar w:fldCharType="end"/>
          </w:r>
        </w:p>
        <w:p>
          <w:pPr>
            <w:pStyle w:val="2"/>
            <w:numPr>
              <w:ilvl w:val="0"/>
              <w:numId w:val="0"/>
            </w:numPr>
            <w:spacing w:line="360" w:lineRule="auto"/>
            <w:rPr>
              <w:rFonts w:ascii="宋体" w:hAnsi="宋体" w:cs="宋体"/>
              <w:sz w:val="28"/>
              <w:szCs w:val="28"/>
              <w:lang w:val="zh-CN"/>
            </w:rPr>
          </w:pPr>
          <w:r>
            <w:rPr>
              <w:rFonts w:hint="eastAsia" w:ascii="宋体" w:hAnsi="宋体" w:cs="宋体"/>
              <w:sz w:val="28"/>
              <w:szCs w:val="28"/>
              <w:lang w:val="zh-CN"/>
            </w:rPr>
            <w:fldChar w:fldCharType="end"/>
          </w:r>
        </w:p>
      </w:sdtContent>
    </w:sdt>
    <w:p>
      <w:pPr>
        <w:pStyle w:val="24"/>
        <w:numPr>
          <w:ilvl w:val="0"/>
          <w:numId w:val="2"/>
        </w:numPr>
        <w:spacing w:line="360" w:lineRule="auto"/>
        <w:ind w:firstLineChars="0"/>
        <w:jc w:val="center"/>
        <w:rPr>
          <w:b/>
          <w:color w:val="000000"/>
          <w:sz w:val="28"/>
          <w:szCs w:val="28"/>
        </w:rPr>
        <w:sectPr>
          <w:footerReference r:id="rId5" w:type="default"/>
          <w:pgSz w:w="11906" w:h="16838"/>
          <w:pgMar w:top="1440" w:right="1800" w:bottom="1440" w:left="1800" w:header="851" w:footer="992" w:gutter="0"/>
          <w:pgNumType w:start="1"/>
          <w:cols w:space="425" w:num="1"/>
          <w:docGrid w:type="lines" w:linePitch="312" w:charSpace="0"/>
        </w:sectPr>
      </w:pPr>
    </w:p>
    <w:p>
      <w:pPr>
        <w:pStyle w:val="24"/>
        <w:numPr>
          <w:ilvl w:val="0"/>
          <w:numId w:val="2"/>
        </w:numPr>
        <w:spacing w:line="360" w:lineRule="auto"/>
        <w:ind w:firstLineChars="0"/>
        <w:jc w:val="center"/>
        <w:outlineLvl w:val="0"/>
        <w:rPr>
          <w:rFonts w:ascii="黑体" w:hAnsi="黑体" w:eastAsia="黑体" w:cs="仿宋"/>
          <w:b/>
          <w:color w:val="000000"/>
          <w:sz w:val="44"/>
          <w:szCs w:val="44"/>
        </w:rPr>
      </w:pPr>
      <w:bookmarkStart w:id="4" w:name="_Toc16893"/>
      <w:bookmarkStart w:id="5" w:name="_Toc14956"/>
      <w:r>
        <w:rPr>
          <w:rFonts w:hint="eastAsia" w:ascii="黑体" w:hAnsi="黑体" w:eastAsia="黑体" w:cs="仿宋"/>
          <w:b/>
          <w:color w:val="000000"/>
          <w:sz w:val="44"/>
          <w:szCs w:val="44"/>
        </w:rPr>
        <w:t>询价公告</w:t>
      </w:r>
      <w:bookmarkEnd w:id="4"/>
      <w:bookmarkEnd w:id="5"/>
    </w:p>
    <w:p>
      <w:pPr>
        <w:autoSpaceDE w:val="0"/>
        <w:spacing w:line="360" w:lineRule="auto"/>
        <w:ind w:firstLine="321" w:firstLineChars="100"/>
        <w:jc w:val="center"/>
        <w:rPr>
          <w:rFonts w:ascii="仿宋_GB2312" w:hAnsi="黑体" w:eastAsia="仿宋_GB2312" w:cs="仿宋"/>
          <w:b/>
          <w:color w:val="FF0000"/>
          <w:sz w:val="32"/>
          <w:szCs w:val="32"/>
        </w:rPr>
      </w:pPr>
    </w:p>
    <w:p>
      <w:pPr>
        <w:spacing w:line="360" w:lineRule="auto"/>
        <w:jc w:val="center"/>
        <w:rPr>
          <w:rFonts w:ascii="黑体" w:hAnsi="黑体" w:eastAsia="黑体"/>
          <w:sz w:val="32"/>
          <w:szCs w:val="32"/>
        </w:rPr>
      </w:pPr>
      <w:r>
        <w:rPr>
          <w:rFonts w:hint="eastAsia" w:ascii="黑体" w:hAnsi="黑体" w:eastAsia="黑体"/>
          <w:sz w:val="32"/>
          <w:szCs w:val="32"/>
        </w:rPr>
        <w:t>岳阳城陵矶新港有限公司</w:t>
      </w:r>
    </w:p>
    <w:p>
      <w:pPr>
        <w:spacing w:line="360" w:lineRule="auto"/>
        <w:jc w:val="center"/>
        <w:rPr>
          <w:rFonts w:ascii="黑体" w:hAnsi="黑体" w:eastAsia="黑体"/>
          <w:sz w:val="32"/>
          <w:szCs w:val="32"/>
        </w:rPr>
      </w:pPr>
      <w:r>
        <w:rPr>
          <w:rFonts w:hint="eastAsia" w:ascii="黑体" w:hAnsi="黑体" w:eastAsia="黑体"/>
          <w:sz w:val="32"/>
          <w:szCs w:val="32"/>
        </w:rPr>
        <w:t>2024年度新港码头绿植规划提质改造项目询价公告</w:t>
      </w:r>
    </w:p>
    <w:p>
      <w:pPr>
        <w:pStyle w:val="15"/>
        <w:spacing w:before="0" w:beforeAutospacing="0" w:after="0" w:afterAutospacing="0" w:line="360" w:lineRule="auto"/>
        <w:ind w:firstLine="2880" w:firstLineChars="1200"/>
        <w:jc w:val="both"/>
      </w:pPr>
    </w:p>
    <w:p>
      <w:pPr>
        <w:autoSpaceDE w:val="0"/>
        <w:spacing w:line="360" w:lineRule="auto"/>
        <w:ind w:firstLine="480" w:firstLineChars="200"/>
        <w:jc w:val="both"/>
        <w:rPr>
          <w:rFonts w:ascii="宋体" w:hAnsi="宋体"/>
          <w:sz w:val="24"/>
        </w:rPr>
      </w:pPr>
      <w:r>
        <w:rPr>
          <w:rFonts w:hint="eastAsia" w:ascii="宋体" w:hAnsi="宋体"/>
          <w:sz w:val="24"/>
        </w:rPr>
        <w:t xml:space="preserve">岳阳城陵矶新港有限公司2024年度新港码头绿植规划提质改造项目已具备采购条件，现公开邀请供应商参加采购活动。 </w:t>
      </w:r>
    </w:p>
    <w:p>
      <w:pPr>
        <w:autoSpaceDE w:val="0"/>
        <w:spacing w:line="360" w:lineRule="auto"/>
        <w:ind w:firstLine="241" w:firstLineChars="100"/>
        <w:jc w:val="both"/>
        <w:rPr>
          <w:rFonts w:ascii="宋体" w:hAnsi="宋体"/>
          <w:b/>
          <w:bCs/>
          <w:sz w:val="24"/>
        </w:rPr>
      </w:pPr>
      <w:r>
        <w:rPr>
          <w:rFonts w:hint="eastAsia" w:ascii="宋体" w:hAnsi="宋体"/>
          <w:b/>
          <w:bCs/>
          <w:sz w:val="24"/>
        </w:rPr>
        <w:t xml:space="preserve">1. 采购项目简介 </w:t>
      </w:r>
    </w:p>
    <w:p>
      <w:pPr>
        <w:autoSpaceDE w:val="0"/>
        <w:spacing w:line="360" w:lineRule="auto"/>
        <w:ind w:firstLine="240" w:firstLineChars="100"/>
        <w:jc w:val="both"/>
        <w:rPr>
          <w:rFonts w:ascii="宋体" w:hAnsi="宋体"/>
          <w:sz w:val="24"/>
        </w:rPr>
      </w:pPr>
      <w:r>
        <w:rPr>
          <w:rFonts w:hint="eastAsia" w:ascii="宋体" w:hAnsi="宋体"/>
          <w:sz w:val="24"/>
        </w:rPr>
        <w:t>1.1采购项目名称:新港码头绿植提质改造</w:t>
      </w:r>
      <w:r>
        <w:rPr>
          <w:rFonts w:hint="eastAsia" w:ascii="宋体" w:hAnsi="宋体"/>
          <w:sz w:val="24"/>
          <w:lang w:val="zh-CN"/>
        </w:rPr>
        <w:t>项目。</w:t>
      </w:r>
    </w:p>
    <w:p>
      <w:pPr>
        <w:autoSpaceDE w:val="0"/>
        <w:spacing w:line="360" w:lineRule="auto"/>
        <w:ind w:firstLine="240" w:firstLineChars="100"/>
        <w:jc w:val="both"/>
        <w:rPr>
          <w:rFonts w:ascii="宋体" w:hAnsi="宋体"/>
          <w:sz w:val="24"/>
        </w:rPr>
      </w:pPr>
      <w:r>
        <w:rPr>
          <w:rFonts w:hint="eastAsia" w:ascii="宋体" w:hAnsi="宋体"/>
          <w:sz w:val="24"/>
        </w:rPr>
        <w:t>1.2 采购人: 岳阳城陵矶新港有限公司。</w:t>
      </w:r>
    </w:p>
    <w:p>
      <w:pPr>
        <w:autoSpaceDE w:val="0"/>
        <w:spacing w:line="360" w:lineRule="auto"/>
        <w:ind w:firstLine="240" w:firstLineChars="100"/>
        <w:jc w:val="both"/>
        <w:rPr>
          <w:rFonts w:ascii="宋体" w:hAnsi="宋体"/>
          <w:sz w:val="24"/>
        </w:rPr>
      </w:pPr>
      <w:r>
        <w:rPr>
          <w:rFonts w:hint="eastAsia" w:ascii="宋体" w:hAnsi="宋体"/>
          <w:sz w:val="24"/>
        </w:rPr>
        <w:t>1.3 采购代理机构:无</w:t>
      </w:r>
    </w:p>
    <w:p>
      <w:pPr>
        <w:autoSpaceDE w:val="0"/>
        <w:spacing w:line="360" w:lineRule="auto"/>
        <w:ind w:firstLine="240" w:firstLineChars="100"/>
        <w:jc w:val="both"/>
        <w:rPr>
          <w:rFonts w:ascii="宋体" w:hAnsi="宋体"/>
          <w:sz w:val="24"/>
        </w:rPr>
      </w:pPr>
      <w:r>
        <w:rPr>
          <w:rFonts w:hint="eastAsia" w:ascii="宋体" w:hAnsi="宋体"/>
          <w:sz w:val="24"/>
        </w:rPr>
        <w:t>1.4 采购项目资金落实情况:企业自筹，已落实。</w:t>
      </w:r>
    </w:p>
    <w:p>
      <w:pPr>
        <w:autoSpaceDE w:val="0"/>
        <w:spacing w:line="360" w:lineRule="auto"/>
        <w:ind w:firstLine="240" w:firstLineChars="100"/>
        <w:jc w:val="both"/>
        <w:rPr>
          <w:rFonts w:ascii="宋体" w:hAnsi="宋体"/>
          <w:sz w:val="24"/>
        </w:rPr>
      </w:pPr>
      <w:r>
        <w:rPr>
          <w:rFonts w:hint="eastAsia" w:ascii="宋体" w:hAnsi="宋体"/>
          <w:sz w:val="24"/>
        </w:rPr>
        <w:t>1.5 采购项目概况: 岳阳城陵矶新港有限公司新港码头绿植规划提质改造项目拟对外进行总承包，现采用询价的方式进行采购。</w:t>
      </w:r>
    </w:p>
    <w:p>
      <w:pPr>
        <w:autoSpaceDE w:val="0"/>
        <w:spacing w:line="360" w:lineRule="auto"/>
        <w:ind w:firstLine="241" w:firstLineChars="100"/>
        <w:jc w:val="both"/>
        <w:rPr>
          <w:rFonts w:ascii="宋体" w:hAnsi="宋体"/>
          <w:b/>
          <w:bCs/>
          <w:sz w:val="24"/>
        </w:rPr>
      </w:pPr>
      <w:r>
        <w:rPr>
          <w:rFonts w:hint="eastAsia" w:ascii="宋体" w:hAnsi="宋体"/>
          <w:b/>
          <w:bCs/>
          <w:sz w:val="24"/>
        </w:rPr>
        <w:t xml:space="preserve">2．采购范围及相关要求 </w:t>
      </w:r>
    </w:p>
    <w:p>
      <w:pPr>
        <w:autoSpaceDE w:val="0"/>
        <w:spacing w:line="360" w:lineRule="auto"/>
        <w:ind w:firstLine="240" w:firstLineChars="100"/>
        <w:jc w:val="both"/>
        <w:rPr>
          <w:rFonts w:ascii="仿宋_GB2312" w:hAnsi="宋体" w:eastAsia="仿宋_GB2312"/>
          <w:sz w:val="32"/>
          <w:szCs w:val="32"/>
        </w:rPr>
      </w:pPr>
      <w:r>
        <w:rPr>
          <w:rFonts w:hint="eastAsia" w:ascii="宋体" w:hAnsi="宋体"/>
          <w:sz w:val="24"/>
        </w:rPr>
        <w:t xml:space="preserve">2.1 采购范围: </w:t>
      </w:r>
      <w:r>
        <w:rPr>
          <w:rFonts w:hint="eastAsia" w:ascii="宋体" w:hAnsi="宋体"/>
          <w:sz w:val="24"/>
          <w:u w:val="single"/>
        </w:rPr>
        <w:t>岳阳城陵矶新港有限公司新港码头绿植提质改造</w:t>
      </w:r>
      <w:r>
        <w:rPr>
          <w:rFonts w:hint="eastAsia" w:asciiTheme="minorEastAsia" w:hAnsiTheme="minorEastAsia" w:eastAsiaTheme="minorEastAsia"/>
          <w:color w:val="000000"/>
          <w:sz w:val="24"/>
          <w:u w:val="single"/>
        </w:rPr>
        <w:t>为一期作业楼周边、二期作业楼周边、消防水池泵房周边</w:t>
      </w:r>
      <w:r>
        <w:rPr>
          <w:rFonts w:hint="eastAsia" w:ascii="宋体" w:hAnsi="宋体"/>
          <w:sz w:val="24"/>
          <w:u w:val="single"/>
        </w:rPr>
        <w:t>及5号堆场绿化带树木移栽区域</w:t>
      </w:r>
      <w:r>
        <w:rPr>
          <w:rFonts w:hint="eastAsia" w:asciiTheme="minorEastAsia" w:hAnsiTheme="minorEastAsia" w:eastAsiaTheme="minorEastAsia"/>
          <w:color w:val="000000"/>
          <w:sz w:val="24"/>
          <w:u w:val="single"/>
        </w:rPr>
        <w:t>，详见询价文件第五章“采购需求”</w:t>
      </w:r>
      <w:r>
        <w:rPr>
          <w:rFonts w:hint="eastAsia" w:asciiTheme="minorEastAsia" w:hAnsiTheme="minorEastAsia" w:eastAsiaTheme="minorEastAsia"/>
          <w:sz w:val="24"/>
          <w:u w:val="single"/>
        </w:rPr>
        <w:t xml:space="preserve">。 </w:t>
      </w:r>
    </w:p>
    <w:p>
      <w:pPr>
        <w:autoSpaceDE w:val="0"/>
        <w:spacing w:line="360" w:lineRule="auto"/>
        <w:ind w:firstLine="240" w:firstLineChars="100"/>
        <w:jc w:val="both"/>
        <w:rPr>
          <w:rFonts w:ascii="微软雅黑" w:hAnsi="微软雅黑" w:eastAsia="微软雅黑"/>
          <w:color w:val="666666"/>
          <w:shd w:val="clear" w:color="auto" w:fill="FFFFFF"/>
        </w:rPr>
      </w:pPr>
      <w:r>
        <w:rPr>
          <w:rFonts w:hint="eastAsia" w:ascii="宋体" w:hAnsi="宋体"/>
          <w:sz w:val="24"/>
        </w:rPr>
        <w:t>2.2 服务期限:计划工期为45日历天</w:t>
      </w:r>
      <w:r>
        <w:rPr>
          <w:rFonts w:hint="eastAsia" w:ascii="宋体" w:hAnsi="宋体"/>
          <w:sz w:val="24"/>
          <w:lang w:val="en-US" w:eastAsia="zh-CN"/>
        </w:rPr>
        <w:t>(雨天顺延)</w:t>
      </w:r>
      <w:r>
        <w:rPr>
          <w:rFonts w:hint="eastAsia" w:ascii="宋体" w:hAnsi="宋体"/>
          <w:sz w:val="24"/>
        </w:rPr>
        <w:t>。</w:t>
      </w:r>
    </w:p>
    <w:p>
      <w:pPr>
        <w:autoSpaceDE w:val="0"/>
        <w:spacing w:line="360" w:lineRule="auto"/>
        <w:ind w:firstLine="240" w:firstLineChars="100"/>
        <w:jc w:val="both"/>
        <w:rPr>
          <w:rFonts w:ascii="宋体" w:hAnsi="宋体"/>
          <w:sz w:val="24"/>
        </w:rPr>
      </w:pPr>
      <w:r>
        <w:rPr>
          <w:rFonts w:hint="eastAsia" w:ascii="宋体" w:hAnsi="宋体"/>
          <w:sz w:val="24"/>
        </w:rPr>
        <w:t>2.3 服务地点: 岳阳城陵矶新港有限公司</w:t>
      </w:r>
    </w:p>
    <w:p>
      <w:pPr>
        <w:autoSpaceDE w:val="0"/>
        <w:spacing w:line="360" w:lineRule="auto"/>
        <w:ind w:firstLine="240" w:firstLineChars="100"/>
        <w:jc w:val="both"/>
        <w:rPr>
          <w:rFonts w:ascii="宋体" w:hAnsi="宋体"/>
          <w:color w:val="000000" w:themeColor="text1"/>
          <w:sz w:val="24"/>
        </w:rPr>
      </w:pPr>
      <w:r>
        <w:rPr>
          <w:rFonts w:hint="eastAsia" w:ascii="宋体" w:hAnsi="宋体"/>
          <w:sz w:val="24"/>
        </w:rPr>
        <w:t>2.</w:t>
      </w:r>
      <w:r>
        <w:rPr>
          <w:rFonts w:hint="eastAsia" w:ascii="宋体" w:hAnsi="宋体"/>
          <w:color w:val="000000" w:themeColor="text1"/>
          <w:sz w:val="24"/>
        </w:rPr>
        <w:t xml:space="preserve">4 其他要求: </w:t>
      </w:r>
    </w:p>
    <w:p>
      <w:pPr>
        <w:spacing w:line="360" w:lineRule="auto"/>
        <w:ind w:firstLine="600"/>
        <w:rPr>
          <w:rFonts w:ascii="宋体" w:hAnsi="宋体" w:cs="宋体"/>
          <w:color w:val="000000" w:themeColor="text1"/>
          <w:sz w:val="24"/>
        </w:rPr>
      </w:pPr>
      <w:r>
        <w:rPr>
          <w:rFonts w:hint="eastAsia" w:ascii="宋体" w:hAnsi="宋体" w:cs="宋体"/>
          <w:color w:val="000000" w:themeColor="text1"/>
          <w:sz w:val="24"/>
        </w:rPr>
        <w:t>1、本工程严格按照采购方质量管理体系的要求，进行工程质量控制，并按采购方有关要求填报相关表格，交采购方整理存档。</w:t>
      </w:r>
    </w:p>
    <w:p>
      <w:pPr>
        <w:spacing w:line="360" w:lineRule="auto"/>
        <w:ind w:firstLine="600"/>
        <w:rPr>
          <w:rFonts w:ascii="宋体" w:hAnsi="宋体" w:cs="宋体"/>
          <w:color w:val="000000" w:themeColor="text1"/>
          <w:sz w:val="24"/>
        </w:rPr>
      </w:pPr>
      <w:r>
        <w:rPr>
          <w:rFonts w:hint="eastAsia" w:ascii="宋体" w:hAnsi="宋体" w:cs="宋体"/>
          <w:color w:val="000000" w:themeColor="text1"/>
          <w:sz w:val="24"/>
        </w:rPr>
        <w:t xml:space="preserve">2、所承包的工程结束，满足安全性、可靠性、使用性能的要求（开工前签订安全施工责任合同），符合国家最新相关施工验收规范、检验标准的要求。            </w:t>
      </w:r>
    </w:p>
    <w:p>
      <w:pPr>
        <w:numPr>
          <w:ilvl w:val="255"/>
          <w:numId w:val="0"/>
        </w:numPr>
        <w:spacing w:line="360" w:lineRule="auto"/>
        <w:ind w:firstLine="600"/>
        <w:rPr>
          <w:rFonts w:ascii="宋体" w:hAnsi="宋体" w:cs="宋体"/>
          <w:color w:val="000000" w:themeColor="text1"/>
          <w:sz w:val="24"/>
        </w:rPr>
      </w:pPr>
      <w:r>
        <w:rPr>
          <w:rFonts w:hint="eastAsia" w:ascii="宋体" w:hAnsi="宋体" w:cs="宋体"/>
          <w:color w:val="000000" w:themeColor="text1"/>
          <w:sz w:val="24"/>
        </w:rPr>
        <w:t>3</w:t>
      </w:r>
      <w:r>
        <w:rPr>
          <w:rFonts w:ascii="宋体" w:hAnsi="宋体" w:cs="宋体"/>
          <w:color w:val="000000" w:themeColor="text1"/>
          <w:sz w:val="24"/>
        </w:rPr>
        <w:t>、工程质量保修期</w:t>
      </w:r>
      <w:r>
        <w:rPr>
          <w:rFonts w:hint="eastAsia" w:ascii="宋体" w:hAnsi="宋体" w:cs="宋体"/>
          <w:color w:val="000000" w:themeColor="text1"/>
          <w:sz w:val="24"/>
        </w:rPr>
        <w:t>为</w:t>
      </w:r>
      <w:r>
        <w:rPr>
          <w:rFonts w:ascii="宋体" w:hAnsi="宋体" w:cs="宋体"/>
          <w:color w:val="000000" w:themeColor="text1"/>
          <w:sz w:val="24"/>
        </w:rPr>
        <w:t>1年</w:t>
      </w:r>
      <w:r>
        <w:rPr>
          <w:rFonts w:hint="eastAsia" w:ascii="宋体" w:hAnsi="宋体" w:cs="宋体"/>
          <w:color w:val="000000" w:themeColor="text1"/>
          <w:sz w:val="24"/>
        </w:rPr>
        <w:t>，</w:t>
      </w:r>
      <w:r>
        <w:rPr>
          <w:rFonts w:ascii="宋体" w:hAnsi="宋体" w:cs="宋体"/>
          <w:color w:val="000000" w:themeColor="text1"/>
          <w:sz w:val="24"/>
        </w:rPr>
        <w:t>工程质量保修期起始日期自竣工验收报告签署之日起。</w:t>
      </w:r>
    </w:p>
    <w:p>
      <w:pPr>
        <w:spacing w:line="360" w:lineRule="auto"/>
        <w:ind w:firstLine="600"/>
        <w:rPr>
          <w:rFonts w:ascii="宋体" w:hAnsi="宋体" w:cs="宋体"/>
          <w:color w:val="000000" w:themeColor="text1"/>
          <w:sz w:val="24"/>
        </w:rPr>
      </w:pPr>
      <w:r>
        <w:rPr>
          <w:rFonts w:hint="eastAsia" w:ascii="宋体" w:hAnsi="宋体" w:cs="宋体"/>
          <w:color w:val="000000" w:themeColor="text1"/>
          <w:sz w:val="24"/>
        </w:rPr>
        <w:t>4、必须保证栽种的绿植树木成活，一年内未成活的绿植树木由乙方补栽直至绿植树木的成活。</w:t>
      </w:r>
    </w:p>
    <w:p>
      <w:pPr>
        <w:autoSpaceDE w:val="0"/>
        <w:spacing w:line="360" w:lineRule="auto"/>
        <w:ind w:firstLine="241" w:firstLineChars="100"/>
        <w:jc w:val="both"/>
        <w:rPr>
          <w:rFonts w:ascii="宋体" w:hAnsi="宋体"/>
          <w:b/>
          <w:bCs/>
          <w:sz w:val="24"/>
        </w:rPr>
      </w:pPr>
      <w:r>
        <w:rPr>
          <w:rFonts w:hint="eastAsia" w:ascii="宋体" w:hAnsi="宋体"/>
          <w:b/>
          <w:bCs/>
          <w:sz w:val="24"/>
        </w:rPr>
        <w:t>3. 供应商资格要求</w:t>
      </w:r>
    </w:p>
    <w:p>
      <w:pPr>
        <w:autoSpaceDE w:val="0"/>
        <w:spacing w:line="360" w:lineRule="auto"/>
        <w:ind w:firstLine="240" w:firstLineChars="100"/>
        <w:jc w:val="both"/>
        <w:rPr>
          <w:rFonts w:ascii="宋体" w:hAnsi="宋体"/>
          <w:sz w:val="24"/>
        </w:rPr>
      </w:pPr>
      <w:r>
        <w:rPr>
          <w:rFonts w:hint="eastAsia" w:ascii="宋体" w:hAnsi="宋体"/>
          <w:sz w:val="24"/>
        </w:rPr>
        <w:t>3.1供应商不得存在下列情形之一:</w:t>
      </w:r>
    </w:p>
    <w:p>
      <w:pPr>
        <w:autoSpaceDE w:val="0"/>
        <w:spacing w:line="360" w:lineRule="auto"/>
        <w:ind w:firstLine="240" w:firstLineChars="100"/>
        <w:jc w:val="both"/>
        <w:rPr>
          <w:rFonts w:ascii="宋体" w:hAnsi="宋体"/>
          <w:sz w:val="24"/>
        </w:rPr>
      </w:pPr>
      <w:r>
        <w:rPr>
          <w:rFonts w:hint="eastAsia" w:ascii="宋体" w:hAnsi="宋体"/>
          <w:sz w:val="24"/>
        </w:rPr>
        <w:t>（1）处于被责令停产停业、暂扣或者吊销执照、暂扣或者吊销许可证、吊销资质证书状态;</w:t>
      </w:r>
      <w:bookmarkStart w:id="32" w:name="_GoBack"/>
      <w:bookmarkEnd w:id="32"/>
    </w:p>
    <w:p>
      <w:pPr>
        <w:autoSpaceDE w:val="0"/>
        <w:spacing w:line="360" w:lineRule="auto"/>
        <w:ind w:firstLine="240" w:firstLineChars="100"/>
        <w:jc w:val="both"/>
        <w:rPr>
          <w:rFonts w:ascii="宋体" w:hAnsi="宋体"/>
          <w:sz w:val="24"/>
        </w:rPr>
      </w:pPr>
      <w:r>
        <w:rPr>
          <w:rFonts w:hint="eastAsia" w:ascii="宋体" w:hAnsi="宋体"/>
          <w:sz w:val="24"/>
        </w:rPr>
        <w:t>（2）进入清算程序，或被宣告破产，或其他丧失履约能力的情形;</w:t>
      </w:r>
    </w:p>
    <w:p>
      <w:pPr>
        <w:autoSpaceDE w:val="0"/>
        <w:spacing w:line="360" w:lineRule="auto"/>
        <w:ind w:firstLine="240" w:firstLineChars="100"/>
        <w:jc w:val="both"/>
        <w:rPr>
          <w:rFonts w:ascii="宋体" w:hAnsi="宋体"/>
          <w:sz w:val="24"/>
        </w:rPr>
      </w:pPr>
      <w:r>
        <w:rPr>
          <w:rFonts w:hint="eastAsia" w:ascii="宋体" w:hAnsi="宋体"/>
          <w:sz w:val="24"/>
        </w:rPr>
        <w:t>（3）被采购人或采购人上级单位纳入黑名单；</w:t>
      </w:r>
    </w:p>
    <w:p>
      <w:pPr>
        <w:autoSpaceDE w:val="0"/>
        <w:spacing w:line="360" w:lineRule="auto"/>
        <w:ind w:firstLine="240" w:firstLineChars="100"/>
        <w:jc w:val="both"/>
        <w:rPr>
          <w:rFonts w:ascii="宋体" w:hAnsi="宋体"/>
          <w:sz w:val="24"/>
        </w:rPr>
      </w:pPr>
      <w:r>
        <w:rPr>
          <w:rFonts w:hint="eastAsia" w:ascii="宋体" w:hAnsi="宋体"/>
          <w:sz w:val="24"/>
        </w:rPr>
        <w:t>（4）为投资参股本项目的法人单位；</w:t>
      </w:r>
    </w:p>
    <w:p>
      <w:pPr>
        <w:autoSpaceDE w:val="0"/>
        <w:spacing w:line="360" w:lineRule="auto"/>
        <w:ind w:firstLine="240" w:firstLineChars="100"/>
        <w:jc w:val="both"/>
        <w:rPr>
          <w:rFonts w:ascii="宋体" w:hAnsi="宋体"/>
          <w:sz w:val="24"/>
        </w:rPr>
      </w:pPr>
      <w:r>
        <w:rPr>
          <w:rFonts w:hint="eastAsia" w:ascii="宋体" w:hAnsi="宋体"/>
          <w:sz w:val="24"/>
        </w:rPr>
        <w:t>（5）被省级及以上交通主管部门取消项目所在地的投标资格或禁止进入该区域水运建设市场且处于有效期内；</w:t>
      </w:r>
    </w:p>
    <w:p>
      <w:pPr>
        <w:autoSpaceDE w:val="0"/>
        <w:spacing w:line="360" w:lineRule="auto"/>
        <w:ind w:firstLine="240" w:firstLineChars="100"/>
        <w:jc w:val="both"/>
        <w:rPr>
          <w:rFonts w:ascii="宋体" w:hAnsi="宋体"/>
          <w:sz w:val="24"/>
        </w:rPr>
      </w:pPr>
      <w:r>
        <w:rPr>
          <w:rFonts w:hint="eastAsia" w:ascii="宋体" w:hAnsi="宋体"/>
          <w:sz w:val="24"/>
        </w:rPr>
        <w:t>3.2供应商应满足如下要求:</w:t>
      </w:r>
    </w:p>
    <w:tbl>
      <w:tblPr>
        <w:tblStyle w:val="18"/>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5"/>
        <w:gridCol w:w="1756"/>
        <w:gridCol w:w="4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325" w:type="dxa"/>
          </w:tcPr>
          <w:p>
            <w:pPr>
              <w:widowControl w:val="0"/>
              <w:spacing w:line="360" w:lineRule="auto"/>
              <w:jc w:val="center"/>
              <w:rPr>
                <w:rFonts w:ascii="宋体" w:hAnsi="宋体"/>
                <w:sz w:val="24"/>
              </w:rPr>
            </w:pPr>
            <w:r>
              <w:rPr>
                <w:rFonts w:hint="eastAsia" w:ascii="宋体" w:hAnsi="宋体"/>
                <w:sz w:val="24"/>
              </w:rPr>
              <w:t>资格条件</w:t>
            </w:r>
          </w:p>
        </w:tc>
        <w:tc>
          <w:tcPr>
            <w:tcW w:w="1756" w:type="dxa"/>
          </w:tcPr>
          <w:p>
            <w:pPr>
              <w:widowControl w:val="0"/>
              <w:spacing w:line="360" w:lineRule="auto"/>
              <w:jc w:val="center"/>
              <w:rPr>
                <w:rFonts w:ascii="宋体" w:hAnsi="宋体"/>
                <w:sz w:val="24"/>
              </w:rPr>
            </w:pPr>
            <w:r>
              <w:rPr>
                <w:rFonts w:hint="eastAsia" w:ascii="宋体" w:hAnsi="宋体"/>
                <w:sz w:val="24"/>
              </w:rPr>
              <w:t>对供应商要求</w:t>
            </w:r>
          </w:p>
        </w:tc>
        <w:tc>
          <w:tcPr>
            <w:tcW w:w="4997" w:type="dxa"/>
          </w:tcPr>
          <w:p>
            <w:pPr>
              <w:widowControl w:val="0"/>
              <w:spacing w:line="360" w:lineRule="auto"/>
              <w:jc w:val="center"/>
              <w:rPr>
                <w:rFonts w:ascii="宋体" w:hAnsi="宋体"/>
                <w:sz w:val="24"/>
              </w:rPr>
            </w:pPr>
            <w:r>
              <w:rPr>
                <w:rFonts w:hint="eastAsia" w:ascii="宋体" w:hAnsi="宋体"/>
                <w:sz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325" w:type="dxa"/>
          </w:tcPr>
          <w:p>
            <w:pPr>
              <w:widowControl w:val="0"/>
              <w:spacing w:line="360" w:lineRule="auto"/>
              <w:jc w:val="both"/>
              <w:rPr>
                <w:rFonts w:ascii="宋体" w:hAnsi="宋体"/>
                <w:sz w:val="24"/>
              </w:rPr>
            </w:pPr>
            <w:r>
              <w:rPr>
                <w:rFonts w:hint="eastAsia" w:ascii="宋体" w:hAnsi="宋体"/>
                <w:sz w:val="24"/>
              </w:rPr>
              <w:t>（1）依法设立</w:t>
            </w:r>
          </w:p>
        </w:tc>
        <w:tc>
          <w:tcPr>
            <w:tcW w:w="1756" w:type="dxa"/>
          </w:tcPr>
          <w:p>
            <w:pPr>
              <w:widowControl w:val="0"/>
              <w:spacing w:line="360" w:lineRule="auto"/>
              <w:jc w:val="both"/>
              <w:rPr>
                <w:rFonts w:ascii="宋体" w:hAnsi="宋体"/>
                <w:sz w:val="24"/>
              </w:rPr>
            </w:pPr>
            <w:r>
              <w:rPr>
                <w:rStyle w:val="20"/>
                <w:rFonts w:hint="eastAsia"/>
                <w:b w:val="0"/>
                <w:bCs w:val="0"/>
                <w:sz w:val="24"/>
              </w:rPr>
              <w:t>☑适用</w:t>
            </w:r>
          </w:p>
        </w:tc>
        <w:tc>
          <w:tcPr>
            <w:tcW w:w="4997" w:type="dxa"/>
          </w:tcPr>
          <w:p>
            <w:pPr>
              <w:widowControl w:val="0"/>
              <w:spacing w:line="360" w:lineRule="auto"/>
              <w:ind w:firstLine="240" w:firstLineChars="100"/>
              <w:jc w:val="both"/>
              <w:rPr>
                <w:rStyle w:val="20"/>
                <w:b w:val="0"/>
                <w:bCs w:val="0"/>
                <w:sz w:val="24"/>
              </w:rPr>
            </w:pPr>
            <w:r>
              <w:rPr>
                <w:rStyle w:val="20"/>
                <w:rFonts w:hint="eastAsia"/>
                <w:b w:val="0"/>
                <w:bCs w:val="0"/>
                <w:sz w:val="24"/>
              </w:rPr>
              <w:t>供应商应提供市场监管部门或其他行政机关颁发的可以合法开展业务的执照或证书。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325" w:type="dxa"/>
          </w:tcPr>
          <w:p>
            <w:pPr>
              <w:widowControl w:val="0"/>
              <w:spacing w:line="360" w:lineRule="auto"/>
              <w:jc w:val="both"/>
              <w:rPr>
                <w:rFonts w:ascii="宋体" w:hAnsi="宋体"/>
                <w:sz w:val="24"/>
              </w:rPr>
            </w:pPr>
            <w:r>
              <w:rPr>
                <w:rFonts w:hint="eastAsia" w:ascii="宋体" w:hAnsi="宋体"/>
                <w:sz w:val="24"/>
              </w:rPr>
              <w:t>（2）资质要求</w:t>
            </w:r>
          </w:p>
        </w:tc>
        <w:tc>
          <w:tcPr>
            <w:tcW w:w="1756" w:type="dxa"/>
          </w:tcPr>
          <w:p>
            <w:pPr>
              <w:widowControl w:val="0"/>
              <w:spacing w:line="360" w:lineRule="auto"/>
              <w:jc w:val="both"/>
              <w:rPr>
                <w:rFonts w:ascii="宋体" w:hAnsi="宋体"/>
                <w:sz w:val="24"/>
              </w:rPr>
            </w:pPr>
            <w:r>
              <w:rPr>
                <w:rStyle w:val="20"/>
                <w:rFonts w:hint="eastAsia"/>
                <w:b w:val="0"/>
                <w:bCs w:val="0"/>
                <w:sz w:val="24"/>
              </w:rPr>
              <w:t>☑适用</w:t>
            </w:r>
          </w:p>
        </w:tc>
        <w:tc>
          <w:tcPr>
            <w:tcW w:w="4997" w:type="dxa"/>
          </w:tcPr>
          <w:p>
            <w:pPr>
              <w:widowControl w:val="0"/>
              <w:spacing w:line="360" w:lineRule="auto"/>
              <w:jc w:val="both"/>
              <w:rPr>
                <w:rFonts w:ascii="宋体" w:hAnsi="宋体"/>
                <w:sz w:val="24"/>
              </w:rPr>
            </w:pPr>
            <w:r>
              <w:rPr>
                <w:rStyle w:val="20"/>
                <w:rFonts w:hint="eastAsia"/>
                <w:b w:val="0"/>
                <w:bCs w:val="0"/>
                <w:sz w:val="24"/>
              </w:rPr>
              <w:t>☑适用,</w:t>
            </w:r>
            <w:r>
              <w:rPr>
                <w:rFonts w:hint="eastAsia" w:cs="宋体" w:asciiTheme="minorEastAsia" w:hAnsiTheme="minorEastAsia" w:eastAsiaTheme="minorEastAsia"/>
                <w:sz w:val="24"/>
              </w:rPr>
              <w:t>本次招标要求供应商必须具备独立的法人资格，持有效的营业执照。经营范围包括园林绿化工程、环保工程及土石方工程的经营许可，具有承担本项目施工的能力。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325" w:type="dxa"/>
          </w:tcPr>
          <w:p>
            <w:pPr>
              <w:widowControl w:val="0"/>
              <w:spacing w:line="360" w:lineRule="auto"/>
              <w:jc w:val="both"/>
              <w:rPr>
                <w:rFonts w:ascii="宋体" w:hAnsi="宋体"/>
                <w:sz w:val="24"/>
              </w:rPr>
            </w:pPr>
            <w:r>
              <w:rPr>
                <w:rFonts w:hint="eastAsia" w:ascii="宋体" w:hAnsi="宋体"/>
                <w:sz w:val="24"/>
              </w:rPr>
              <w:t>（3）财务要求</w:t>
            </w:r>
          </w:p>
        </w:tc>
        <w:tc>
          <w:tcPr>
            <w:tcW w:w="1756" w:type="dxa"/>
          </w:tcPr>
          <w:p>
            <w:pPr>
              <w:widowControl w:val="0"/>
              <w:spacing w:line="360" w:lineRule="auto"/>
              <w:jc w:val="both"/>
              <w:rPr>
                <w:rFonts w:ascii="宋体" w:hAnsi="宋体"/>
                <w:sz w:val="24"/>
              </w:rPr>
            </w:pPr>
            <w:r>
              <w:rPr>
                <w:rStyle w:val="20"/>
                <w:rFonts w:hint="eastAsia"/>
                <w:b w:val="0"/>
                <w:bCs w:val="0"/>
                <w:sz w:val="24"/>
              </w:rPr>
              <w:t xml:space="preserve">☑不适用  </w:t>
            </w:r>
          </w:p>
        </w:tc>
        <w:tc>
          <w:tcPr>
            <w:tcW w:w="4997" w:type="dxa"/>
          </w:tcPr>
          <w:p>
            <w:pPr>
              <w:widowControl w:val="0"/>
              <w:spacing w:line="360" w:lineRule="auto"/>
              <w:jc w:val="both"/>
              <w:rPr>
                <w:rFonts w:ascii="宋体" w:hAnsi="宋体"/>
                <w:sz w:val="24"/>
              </w:rPr>
            </w:pPr>
            <w:r>
              <w:rPr>
                <w:rStyle w:val="20"/>
                <w:rFonts w:hint="eastAsia"/>
                <w:b w:val="0"/>
                <w:bCs w:val="0"/>
                <w:sz w:val="24"/>
              </w:rPr>
              <w:t xml:space="preserve">☑不适用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325" w:type="dxa"/>
          </w:tcPr>
          <w:p>
            <w:pPr>
              <w:widowControl w:val="0"/>
              <w:spacing w:line="360" w:lineRule="auto"/>
              <w:jc w:val="both"/>
              <w:rPr>
                <w:rFonts w:ascii="宋体" w:hAnsi="宋体"/>
                <w:sz w:val="24"/>
              </w:rPr>
            </w:pPr>
            <w:r>
              <w:rPr>
                <w:rFonts w:hint="eastAsia" w:ascii="宋体" w:hAnsi="宋体"/>
                <w:sz w:val="24"/>
              </w:rPr>
              <w:t>（4）业绩要求</w:t>
            </w:r>
          </w:p>
        </w:tc>
        <w:tc>
          <w:tcPr>
            <w:tcW w:w="1756" w:type="dxa"/>
          </w:tcPr>
          <w:p>
            <w:pPr>
              <w:widowControl w:val="0"/>
              <w:spacing w:line="360" w:lineRule="auto"/>
              <w:jc w:val="both"/>
              <w:rPr>
                <w:rFonts w:ascii="宋体" w:hAnsi="宋体"/>
                <w:sz w:val="24"/>
              </w:rPr>
            </w:pPr>
            <w:r>
              <w:rPr>
                <w:rStyle w:val="20"/>
                <w:rFonts w:hint="eastAsia"/>
                <w:b w:val="0"/>
                <w:bCs w:val="0"/>
                <w:sz w:val="24"/>
              </w:rPr>
              <w:t>☑适用</w:t>
            </w:r>
          </w:p>
        </w:tc>
        <w:tc>
          <w:tcPr>
            <w:tcW w:w="4997" w:type="dxa"/>
          </w:tcPr>
          <w:p>
            <w:pPr>
              <w:pStyle w:val="15"/>
              <w:widowControl w:val="0"/>
              <w:adjustRightInd w:val="0"/>
              <w:snapToGrid w:val="0"/>
              <w:spacing w:line="360" w:lineRule="auto"/>
              <w:ind w:firstLine="480" w:firstLineChars="200"/>
              <w:jc w:val="both"/>
              <w:rPr>
                <w:rFonts w:ascii="Times New Roman" w:cs="Times New Roman"/>
                <w:color w:val="FF0000"/>
              </w:rPr>
            </w:pPr>
            <w:r>
              <w:rPr>
                <w:rFonts w:hint="eastAsia" w:asciiTheme="minorEastAsia" w:hAnsiTheme="minorEastAsia" w:eastAsiaTheme="minorEastAsia"/>
                <w:color w:val="FF0000"/>
                <w:kern w:val="2"/>
              </w:rPr>
              <w:t>提供近2年的</w:t>
            </w:r>
            <w:r>
              <w:rPr>
                <w:rFonts w:hint="eastAsia"/>
                <w:color w:val="FF0000"/>
                <w:kern w:val="2"/>
              </w:rPr>
              <w:t>至少承担过1个合同金额不低于</w:t>
            </w:r>
            <w:r>
              <w:rPr>
                <w:rFonts w:hint="eastAsia"/>
                <w:color w:val="FF0000"/>
                <w:kern w:val="2"/>
                <w:lang w:val="en-US" w:eastAsia="zh-CN"/>
              </w:rPr>
              <w:t>45</w:t>
            </w:r>
            <w:r>
              <w:rPr>
                <w:rFonts w:hint="eastAsia"/>
                <w:color w:val="FF0000"/>
                <w:kern w:val="2"/>
              </w:rPr>
              <w:t>万元的</w:t>
            </w:r>
            <w:r>
              <w:rPr>
                <w:rFonts w:hint="eastAsia" w:asciiTheme="minorEastAsia" w:hAnsiTheme="minorEastAsia" w:eastAsiaTheme="minorEastAsia"/>
                <w:color w:val="FF0000"/>
                <w:kern w:val="2"/>
              </w:rPr>
              <w:t>种植养护施工项目，需提供合同及竣工</w:t>
            </w:r>
            <w:r>
              <w:rPr>
                <w:rFonts w:hint="eastAsia"/>
                <w:color w:val="FF0000"/>
                <w:kern w:val="2"/>
              </w:rPr>
              <w:t>验收证明文件的清晰复印件。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325" w:type="dxa"/>
          </w:tcPr>
          <w:p>
            <w:pPr>
              <w:widowControl w:val="0"/>
              <w:spacing w:line="360" w:lineRule="auto"/>
              <w:jc w:val="both"/>
              <w:rPr>
                <w:rFonts w:ascii="宋体" w:hAnsi="宋体"/>
                <w:sz w:val="24"/>
              </w:rPr>
            </w:pPr>
            <w:r>
              <w:rPr>
                <w:rFonts w:hint="eastAsia" w:ascii="宋体" w:hAnsi="宋体"/>
                <w:sz w:val="24"/>
              </w:rPr>
              <w:t>（5）信誉要求</w:t>
            </w:r>
          </w:p>
        </w:tc>
        <w:tc>
          <w:tcPr>
            <w:tcW w:w="1756" w:type="dxa"/>
          </w:tcPr>
          <w:p>
            <w:pPr>
              <w:widowControl w:val="0"/>
              <w:spacing w:line="360" w:lineRule="auto"/>
              <w:jc w:val="both"/>
              <w:rPr>
                <w:rFonts w:ascii="宋体" w:hAnsi="宋体"/>
                <w:sz w:val="24"/>
              </w:rPr>
            </w:pPr>
            <w:r>
              <w:rPr>
                <w:rStyle w:val="20"/>
                <w:rFonts w:hint="eastAsia"/>
                <w:b w:val="0"/>
                <w:bCs w:val="0"/>
                <w:sz w:val="24"/>
              </w:rPr>
              <w:t xml:space="preserve">☑不适用  </w:t>
            </w:r>
          </w:p>
        </w:tc>
        <w:tc>
          <w:tcPr>
            <w:tcW w:w="4997" w:type="dxa"/>
          </w:tcPr>
          <w:p>
            <w:pPr>
              <w:widowControl w:val="0"/>
              <w:spacing w:line="360" w:lineRule="auto"/>
              <w:jc w:val="both"/>
              <w:rPr>
                <w:rFonts w:ascii="宋体" w:hAnsi="宋体"/>
                <w:sz w:val="24"/>
              </w:rPr>
            </w:pPr>
            <w:r>
              <w:rPr>
                <w:rStyle w:val="20"/>
                <w:rFonts w:hint="eastAsia"/>
                <w:b w:val="0"/>
                <w:bCs w:val="0"/>
                <w:sz w:val="24"/>
              </w:rPr>
              <w:t xml:space="preserve">☑不适用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325" w:type="dxa"/>
          </w:tcPr>
          <w:p>
            <w:pPr>
              <w:widowControl w:val="0"/>
              <w:spacing w:line="360" w:lineRule="auto"/>
              <w:jc w:val="both"/>
              <w:rPr>
                <w:rFonts w:ascii="宋体" w:hAnsi="宋体"/>
                <w:sz w:val="24"/>
              </w:rPr>
            </w:pPr>
            <w:r>
              <w:rPr>
                <w:rFonts w:hint="eastAsia" w:ascii="宋体" w:hAnsi="宋体"/>
                <w:sz w:val="24"/>
              </w:rPr>
              <w:t>（6）承担本项目的主要人员要求</w:t>
            </w:r>
          </w:p>
        </w:tc>
        <w:tc>
          <w:tcPr>
            <w:tcW w:w="1756" w:type="dxa"/>
          </w:tcPr>
          <w:p>
            <w:pPr>
              <w:widowControl w:val="0"/>
              <w:spacing w:line="360" w:lineRule="auto"/>
              <w:jc w:val="both"/>
              <w:rPr>
                <w:rFonts w:ascii="宋体" w:hAnsi="宋体"/>
                <w:sz w:val="24"/>
              </w:rPr>
            </w:pPr>
            <w:r>
              <w:rPr>
                <w:rStyle w:val="20"/>
                <w:rFonts w:hint="eastAsia"/>
                <w:b w:val="0"/>
                <w:bCs w:val="0"/>
                <w:sz w:val="24"/>
              </w:rPr>
              <w:t>☑适用</w:t>
            </w:r>
          </w:p>
        </w:tc>
        <w:tc>
          <w:tcPr>
            <w:tcW w:w="4997" w:type="dxa"/>
          </w:tcPr>
          <w:p>
            <w:pPr>
              <w:widowControl w:val="0"/>
              <w:spacing w:line="360" w:lineRule="auto"/>
              <w:jc w:val="both"/>
              <w:rPr>
                <w:rFonts w:ascii="宋体" w:hAnsi="宋体"/>
                <w:sz w:val="24"/>
              </w:rPr>
            </w:pPr>
            <w:r>
              <w:rPr>
                <w:rStyle w:val="20"/>
                <w:rFonts w:hint="eastAsia"/>
                <w:b w:val="0"/>
                <w:bCs w:val="0"/>
                <w:sz w:val="24"/>
              </w:rPr>
              <w:t>☑适用,</w:t>
            </w:r>
            <w:r>
              <w:rPr>
                <w:rFonts w:hint="eastAsia" w:cs="宋体" w:asciiTheme="minorEastAsia" w:hAnsiTheme="minorEastAsia" w:eastAsiaTheme="minorEastAsia"/>
                <w:color w:val="000000"/>
                <w:sz w:val="24"/>
              </w:rPr>
              <w:t>供应商应提供拟委任的主要人员汇总表和主要人员简历表（格式见第六章“响应文件格式”五、资格审查资料（四）拟委任的主要人员汇总表和（五）主要人员简历表）。拟任项目经理须具备园林绿化专业工程师任职资格，需提供证书，且拟任项目经理至本项目投标截止日止，未在其他在建合同工程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25" w:type="dxa"/>
          </w:tcPr>
          <w:p>
            <w:pPr>
              <w:widowControl w:val="0"/>
              <w:spacing w:line="360" w:lineRule="auto"/>
              <w:jc w:val="both"/>
              <w:rPr>
                <w:rFonts w:ascii="宋体" w:hAnsi="宋体"/>
                <w:sz w:val="24"/>
              </w:rPr>
            </w:pPr>
            <w:r>
              <w:rPr>
                <w:rFonts w:hint="eastAsia" w:ascii="宋体" w:hAnsi="宋体"/>
                <w:sz w:val="24"/>
              </w:rPr>
              <w:t>（7）其他要求</w:t>
            </w:r>
          </w:p>
        </w:tc>
        <w:tc>
          <w:tcPr>
            <w:tcW w:w="1756" w:type="dxa"/>
          </w:tcPr>
          <w:p>
            <w:pPr>
              <w:widowControl w:val="0"/>
              <w:spacing w:line="360" w:lineRule="auto"/>
              <w:jc w:val="both"/>
              <w:rPr>
                <w:rFonts w:ascii="宋体" w:hAnsi="宋体"/>
                <w:sz w:val="24"/>
              </w:rPr>
            </w:pPr>
            <w:r>
              <w:rPr>
                <w:rStyle w:val="20"/>
                <w:rFonts w:hint="eastAsia"/>
                <w:b w:val="0"/>
                <w:bCs w:val="0"/>
                <w:sz w:val="24"/>
              </w:rPr>
              <w:t xml:space="preserve">☑不适用  </w:t>
            </w:r>
          </w:p>
        </w:tc>
        <w:tc>
          <w:tcPr>
            <w:tcW w:w="4997" w:type="dxa"/>
          </w:tcPr>
          <w:p>
            <w:pPr>
              <w:widowControl w:val="0"/>
              <w:spacing w:line="360" w:lineRule="auto"/>
              <w:jc w:val="both"/>
              <w:rPr>
                <w:rFonts w:ascii="宋体" w:hAnsi="宋体"/>
                <w:sz w:val="24"/>
              </w:rPr>
            </w:pPr>
            <w:r>
              <w:rPr>
                <w:rStyle w:val="20"/>
                <w:rFonts w:hint="eastAsia"/>
                <w:b w:val="0"/>
                <w:bCs w:val="0"/>
                <w:sz w:val="24"/>
              </w:rPr>
              <w:t xml:space="preserve">☑不适用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325" w:type="dxa"/>
            <w:vAlign w:val="center"/>
          </w:tcPr>
          <w:p>
            <w:pPr>
              <w:widowControl w:val="0"/>
              <w:spacing w:line="360" w:lineRule="auto"/>
              <w:jc w:val="both"/>
              <w:rPr>
                <w:rFonts w:ascii="宋体" w:hAnsi="宋体"/>
                <w:sz w:val="24"/>
              </w:rPr>
            </w:pPr>
            <w:r>
              <w:rPr>
                <w:rFonts w:hint="eastAsia" w:ascii="宋体" w:hAnsi="宋体"/>
                <w:sz w:val="24"/>
              </w:rPr>
              <w:t>（8）供应商不存在第一章3.1款情形的证明材料</w:t>
            </w:r>
          </w:p>
        </w:tc>
        <w:tc>
          <w:tcPr>
            <w:tcW w:w="1756" w:type="dxa"/>
          </w:tcPr>
          <w:p>
            <w:pPr>
              <w:widowControl w:val="0"/>
              <w:spacing w:line="360" w:lineRule="auto"/>
              <w:jc w:val="both"/>
              <w:rPr>
                <w:rFonts w:ascii="宋体" w:hAnsi="宋体"/>
                <w:sz w:val="24"/>
              </w:rPr>
            </w:pPr>
            <w:r>
              <w:rPr>
                <w:rStyle w:val="20"/>
                <w:rFonts w:hint="eastAsia"/>
                <w:b w:val="0"/>
                <w:bCs w:val="0"/>
                <w:sz w:val="24"/>
              </w:rPr>
              <w:t>☑适用</w:t>
            </w:r>
          </w:p>
        </w:tc>
        <w:tc>
          <w:tcPr>
            <w:tcW w:w="4997" w:type="dxa"/>
          </w:tcPr>
          <w:p>
            <w:pPr>
              <w:pStyle w:val="7"/>
              <w:spacing w:after="0" w:line="360" w:lineRule="auto"/>
              <w:ind w:left="0" w:leftChars="0"/>
              <w:rPr>
                <w:rStyle w:val="20"/>
                <w:b w:val="0"/>
                <w:bCs w:val="0"/>
                <w:sz w:val="24"/>
              </w:rPr>
            </w:pPr>
            <w:r>
              <w:rPr>
                <w:rStyle w:val="20"/>
                <w:rFonts w:hint="eastAsia"/>
                <w:b w:val="0"/>
                <w:bCs w:val="0"/>
                <w:sz w:val="24"/>
              </w:rPr>
              <w:t>☑适用,</w:t>
            </w:r>
          </w:p>
          <w:p>
            <w:pPr>
              <w:pStyle w:val="7"/>
              <w:spacing w:after="0" w:line="360" w:lineRule="auto"/>
              <w:ind w:left="0" w:leftChars="0"/>
              <w:rPr>
                <w:rFonts w:ascii="宋体" w:hAnsi="宋体" w:cs="宋体"/>
                <w:sz w:val="24"/>
              </w:rPr>
            </w:pPr>
            <w:r>
              <w:rPr>
                <w:rFonts w:hint="eastAsia" w:ascii="宋体" w:hAnsi="宋体" w:cs="宋体"/>
                <w:sz w:val="24"/>
              </w:rPr>
              <w:t>1.全国企业信用信息公示系统中未列入严重违法失信企业名单的网页截图</w:t>
            </w:r>
          </w:p>
          <w:p>
            <w:pPr>
              <w:widowControl w:val="0"/>
              <w:spacing w:line="360" w:lineRule="auto"/>
              <w:jc w:val="both"/>
              <w:rPr>
                <w:rFonts w:ascii="宋体" w:hAnsi="宋体"/>
                <w:sz w:val="24"/>
              </w:rPr>
            </w:pPr>
            <w:r>
              <w:rPr>
                <w:rFonts w:hint="eastAsia" w:ascii="宋体" w:hAnsi="宋体" w:cs="宋体"/>
                <w:sz w:val="24"/>
              </w:rPr>
              <w:t>2．被最高人民法院在“信用中国”网站（www.creditchina.gov.cn）中未列入失信被执行人名单的网页截图</w:t>
            </w:r>
            <w:r>
              <w:rPr>
                <w:rStyle w:val="20"/>
                <w:rFonts w:hint="eastAsia" w:ascii="宋体" w:hAnsi="宋体" w:cs="宋体"/>
                <w:b w:val="0"/>
                <w:bCs w:val="0"/>
                <w:sz w:val="24"/>
              </w:rPr>
              <w:t>。</w:t>
            </w:r>
          </w:p>
        </w:tc>
      </w:tr>
    </w:tbl>
    <w:p>
      <w:pPr>
        <w:autoSpaceDE w:val="0"/>
        <w:spacing w:line="360" w:lineRule="auto"/>
        <w:ind w:firstLine="241" w:firstLineChars="100"/>
        <w:jc w:val="both"/>
        <w:rPr>
          <w:rFonts w:ascii="宋体" w:hAnsi="宋体"/>
          <w:b/>
          <w:bCs/>
          <w:sz w:val="24"/>
        </w:rPr>
      </w:pPr>
      <w:r>
        <w:rPr>
          <w:rFonts w:hint="eastAsia" w:ascii="宋体" w:hAnsi="宋体"/>
          <w:b/>
          <w:bCs/>
          <w:sz w:val="24"/>
        </w:rPr>
        <w:t>4. 响应保证金</w:t>
      </w:r>
    </w:p>
    <w:p>
      <w:pPr>
        <w:autoSpaceDE w:val="0"/>
        <w:spacing w:line="360" w:lineRule="auto"/>
        <w:ind w:firstLine="240" w:firstLineChars="100"/>
        <w:jc w:val="both"/>
        <w:rPr>
          <w:rFonts w:ascii="宋体" w:hAnsi="宋体"/>
          <w:b/>
          <w:bCs/>
          <w:sz w:val="24"/>
        </w:rPr>
      </w:pPr>
      <w:r>
        <w:rPr>
          <w:rFonts w:hint="eastAsia" w:ascii="宋体" w:hAnsi="宋体"/>
          <w:sz w:val="24"/>
        </w:rPr>
        <w:t>无</w:t>
      </w:r>
    </w:p>
    <w:p>
      <w:pPr>
        <w:autoSpaceDE w:val="0"/>
        <w:spacing w:line="360" w:lineRule="auto"/>
        <w:ind w:firstLine="241" w:firstLineChars="100"/>
        <w:jc w:val="both"/>
        <w:rPr>
          <w:rFonts w:ascii="宋体" w:hAnsi="宋体"/>
          <w:b/>
          <w:bCs/>
          <w:sz w:val="24"/>
        </w:rPr>
      </w:pPr>
      <w:r>
        <w:rPr>
          <w:rFonts w:hint="eastAsia" w:ascii="宋体" w:hAnsi="宋体"/>
          <w:b/>
          <w:bCs/>
          <w:sz w:val="24"/>
        </w:rPr>
        <w:t>5. 确定成交供应商的方法</w:t>
      </w:r>
    </w:p>
    <w:p>
      <w:pPr>
        <w:autoSpaceDE w:val="0"/>
        <w:spacing w:line="360" w:lineRule="auto"/>
        <w:ind w:firstLine="240" w:firstLineChars="100"/>
        <w:jc w:val="both"/>
        <w:rPr>
          <w:rFonts w:ascii="宋体" w:hAnsi="宋体"/>
          <w:sz w:val="24"/>
        </w:rPr>
      </w:pPr>
      <w:r>
        <w:rPr>
          <w:rFonts w:hint="eastAsia" w:ascii="宋体" w:hAnsi="宋体"/>
          <w:sz w:val="24"/>
        </w:rPr>
        <w:t>5.1最低价法</w:t>
      </w:r>
    </w:p>
    <w:p>
      <w:pPr>
        <w:autoSpaceDE w:val="0"/>
        <w:spacing w:line="360" w:lineRule="auto"/>
        <w:ind w:firstLine="240" w:firstLineChars="100"/>
        <w:jc w:val="both"/>
        <w:rPr>
          <w:rFonts w:ascii="宋体" w:hAnsi="宋体"/>
          <w:sz w:val="24"/>
        </w:rPr>
      </w:pPr>
      <w:r>
        <w:rPr>
          <w:rFonts w:hint="eastAsia" w:ascii="宋体" w:hAnsi="宋体"/>
          <w:sz w:val="24"/>
        </w:rPr>
        <w:t>5.2采购人应当确定排名第一的成交候选供应商为成交供应商。若排名第一的成交候选供应商未通过履约能力和报价核查，采购人应按推荐的名单排序依次确定其他成交候选供应商为成交供应商。</w:t>
      </w:r>
    </w:p>
    <w:p>
      <w:pPr>
        <w:autoSpaceDE w:val="0"/>
        <w:spacing w:line="360" w:lineRule="auto"/>
        <w:ind w:firstLine="240" w:firstLineChars="100"/>
        <w:jc w:val="both"/>
        <w:rPr>
          <w:rFonts w:cs="宋体"/>
          <w:color w:val="000000" w:themeColor="text1"/>
          <w:sz w:val="24"/>
        </w:rPr>
      </w:pPr>
      <w:r>
        <w:rPr>
          <w:rFonts w:hint="eastAsia" w:ascii="宋体" w:hAnsi="宋体"/>
          <w:sz w:val="24"/>
        </w:rPr>
        <w:t>5.3</w:t>
      </w:r>
      <w:r>
        <w:rPr>
          <w:rFonts w:hint="eastAsia" w:cs="宋体"/>
          <w:color w:val="000000" w:themeColor="text1"/>
          <w:sz w:val="24"/>
        </w:rPr>
        <w:t>采购人对本次询价项目设置了最高限价为：伍拾万元整（¥：500.000）（含3%增值税）超过最高限价的作废。如果报价人提供其他税率的增值税专用发票，招标人按3%的税率调整后计算报价参与排序。</w:t>
      </w:r>
    </w:p>
    <w:p>
      <w:pPr>
        <w:pStyle w:val="2"/>
        <w:numPr>
          <w:ilvl w:val="0"/>
          <w:numId w:val="0"/>
        </w:numPr>
        <w:spacing w:line="360" w:lineRule="auto"/>
        <w:ind w:firstLine="480" w:firstLineChars="200"/>
        <w:rPr>
          <w:color w:val="000000" w:themeColor="text1"/>
        </w:rPr>
      </w:pPr>
      <w:r>
        <w:rPr>
          <w:rFonts w:hint="eastAsia" w:cs="宋体"/>
          <w:color w:val="000000" w:themeColor="text1"/>
          <w:sz w:val="24"/>
        </w:rPr>
        <w:t>本项目的报价采用包工、包质量、包安全生产和安全保卫、包文明施工，综合单价包干的方式进行承包。</w:t>
      </w:r>
    </w:p>
    <w:p>
      <w:pPr>
        <w:autoSpaceDE w:val="0"/>
        <w:spacing w:line="360" w:lineRule="auto"/>
        <w:ind w:firstLine="241" w:firstLineChars="100"/>
        <w:jc w:val="both"/>
        <w:rPr>
          <w:rFonts w:ascii="宋体" w:hAnsi="宋体"/>
          <w:b/>
          <w:bCs/>
          <w:sz w:val="24"/>
        </w:rPr>
      </w:pPr>
      <w:r>
        <w:rPr>
          <w:rFonts w:hint="eastAsia" w:ascii="宋体" w:hAnsi="宋体"/>
          <w:b/>
          <w:bCs/>
          <w:sz w:val="24"/>
        </w:rPr>
        <w:t>6.询价文件获取</w:t>
      </w:r>
    </w:p>
    <w:p>
      <w:pPr>
        <w:autoSpaceDE w:val="0"/>
        <w:spacing w:line="360" w:lineRule="auto"/>
        <w:ind w:firstLine="240" w:firstLineChars="100"/>
        <w:jc w:val="both"/>
        <w:rPr>
          <w:rFonts w:ascii="宋体" w:hAnsi="宋体" w:cs="宋体"/>
          <w:sz w:val="24"/>
        </w:rPr>
      </w:pPr>
      <w:r>
        <w:rPr>
          <w:rFonts w:hint="eastAsia" w:ascii="宋体" w:hAnsi="宋体"/>
          <w:sz w:val="24"/>
        </w:rPr>
        <w:t>6.1 供应商应当于2024年</w:t>
      </w:r>
      <w:r>
        <w:rPr>
          <w:rFonts w:hint="eastAsia" w:ascii="宋体" w:hAnsi="宋体"/>
          <w:color w:val="FF0000"/>
          <w:sz w:val="24"/>
        </w:rPr>
        <w:t>4月</w:t>
      </w:r>
      <w:r>
        <w:rPr>
          <w:rFonts w:hint="eastAsia" w:ascii="宋体" w:hAnsi="宋体"/>
          <w:color w:val="FF0000"/>
          <w:sz w:val="24"/>
          <w:lang w:val="en-US" w:eastAsia="zh-CN"/>
        </w:rPr>
        <w:t>19</w:t>
      </w:r>
      <w:r>
        <w:rPr>
          <w:rFonts w:hint="eastAsia" w:ascii="宋体" w:hAnsi="宋体"/>
          <w:color w:val="FF0000"/>
          <w:sz w:val="24"/>
        </w:rPr>
        <w:t>日至2024年4月</w:t>
      </w:r>
      <w:r>
        <w:rPr>
          <w:rFonts w:hint="eastAsia" w:ascii="宋体" w:hAnsi="宋体"/>
          <w:color w:val="FF0000"/>
          <w:sz w:val="24"/>
          <w:lang w:val="en-US" w:eastAsia="zh-CN"/>
        </w:rPr>
        <w:t>23</w:t>
      </w:r>
      <w:r>
        <w:rPr>
          <w:rFonts w:hint="eastAsia" w:ascii="宋体" w:hAnsi="宋体"/>
          <w:color w:val="FF0000"/>
          <w:sz w:val="24"/>
        </w:rPr>
        <w:t>日</w:t>
      </w:r>
      <w:r>
        <w:rPr>
          <w:rFonts w:hint="eastAsia" w:ascii="宋体" w:hAnsi="宋体"/>
          <w:sz w:val="24"/>
        </w:rPr>
        <w:t>，在</w:t>
      </w:r>
      <w:r>
        <w:rPr>
          <w:rFonts w:hint="eastAsia" w:ascii="宋体" w:hAnsi="宋体" w:cs="宋体"/>
          <w:sz w:val="24"/>
        </w:rPr>
        <w:t>网站上获取询价文件；</w:t>
      </w:r>
    </w:p>
    <w:p>
      <w:pPr>
        <w:autoSpaceDE w:val="0"/>
        <w:spacing w:line="360" w:lineRule="auto"/>
        <w:ind w:firstLine="240" w:firstLineChars="100"/>
        <w:jc w:val="both"/>
        <w:rPr>
          <w:rFonts w:ascii="宋体" w:hAnsi="宋体" w:cs="宋体"/>
          <w:sz w:val="24"/>
        </w:rPr>
      </w:pPr>
      <w:r>
        <w:rPr>
          <w:rFonts w:hint="eastAsia" w:ascii="宋体" w:hAnsi="宋体" w:cs="宋体"/>
          <w:sz w:val="24"/>
        </w:rPr>
        <w:t>6.2 供应商若对本项目采购需求、资格要求等有疑问的，应当于2024年4月</w:t>
      </w:r>
      <w:r>
        <w:rPr>
          <w:rFonts w:hint="eastAsia" w:ascii="宋体" w:hAnsi="宋体" w:cs="宋体"/>
          <w:sz w:val="24"/>
          <w:lang w:val="en-US" w:eastAsia="zh-CN"/>
        </w:rPr>
        <w:t>22</w:t>
      </w:r>
      <w:r>
        <w:rPr>
          <w:rFonts w:hint="eastAsia" w:ascii="宋体" w:hAnsi="宋体" w:cs="宋体"/>
          <w:sz w:val="24"/>
        </w:rPr>
        <w:t>日1</w:t>
      </w:r>
      <w:r>
        <w:rPr>
          <w:rFonts w:hint="eastAsia" w:ascii="宋体" w:hAnsi="宋体" w:cs="宋体"/>
          <w:sz w:val="24"/>
          <w:lang w:val="en-US" w:eastAsia="zh-CN"/>
        </w:rPr>
        <w:t>7</w:t>
      </w:r>
      <w:r>
        <w:rPr>
          <w:rFonts w:hint="eastAsia" w:ascii="宋体" w:hAnsi="宋体" w:cs="宋体"/>
          <w:sz w:val="24"/>
        </w:rPr>
        <w:t>时00分前向采购人提出澄清要求，并于4月</w:t>
      </w:r>
      <w:r>
        <w:rPr>
          <w:rFonts w:hint="eastAsia" w:ascii="宋体" w:hAnsi="宋体" w:cs="宋体"/>
          <w:sz w:val="24"/>
          <w:lang w:val="en-US" w:eastAsia="zh-CN"/>
        </w:rPr>
        <w:t>23</w:t>
      </w:r>
      <w:r>
        <w:rPr>
          <w:rFonts w:hint="eastAsia" w:ascii="宋体" w:hAnsi="宋体" w:cs="宋体"/>
          <w:sz w:val="24"/>
        </w:rPr>
        <w:t>日17时</w:t>
      </w:r>
      <w:r>
        <w:rPr>
          <w:rFonts w:hint="eastAsia" w:ascii="宋体" w:hAnsi="宋体" w:cs="宋体"/>
          <w:sz w:val="24"/>
          <w:lang w:val="en-US" w:eastAsia="zh-CN"/>
        </w:rPr>
        <w:t>30分前</w:t>
      </w:r>
      <w:r>
        <w:rPr>
          <w:rFonts w:hint="eastAsia" w:ascii="宋体" w:hAnsi="宋体" w:cs="宋体"/>
          <w:sz w:val="24"/>
        </w:rPr>
        <w:t>在</w:t>
      </w:r>
      <w:r>
        <w:rPr>
          <w:rFonts w:hint="eastAsia" w:eastAsiaTheme="minorEastAsia"/>
          <w:color w:val="000000" w:themeColor="text1"/>
          <w:sz w:val="24"/>
        </w:rPr>
        <w:t>岳阳城陵矶新港有限公司405室递交响应文件。</w:t>
      </w:r>
    </w:p>
    <w:p>
      <w:pPr>
        <w:autoSpaceDE w:val="0"/>
        <w:spacing w:line="360" w:lineRule="auto"/>
        <w:ind w:firstLine="241" w:firstLineChars="100"/>
        <w:jc w:val="both"/>
        <w:rPr>
          <w:rFonts w:ascii="宋体" w:hAnsi="宋体" w:cs="宋体"/>
          <w:b/>
          <w:bCs/>
          <w:sz w:val="24"/>
        </w:rPr>
      </w:pPr>
      <w:r>
        <w:rPr>
          <w:rFonts w:hint="eastAsia" w:ascii="宋体" w:hAnsi="宋体" w:cs="宋体"/>
          <w:b/>
          <w:bCs/>
          <w:sz w:val="24"/>
        </w:rPr>
        <w:t>7. 发布公告的媒介</w:t>
      </w:r>
    </w:p>
    <w:p>
      <w:pPr>
        <w:autoSpaceDE w:val="0"/>
        <w:spacing w:line="360" w:lineRule="auto"/>
        <w:ind w:firstLine="240" w:firstLineChars="100"/>
        <w:jc w:val="both"/>
        <w:rPr>
          <w:rFonts w:ascii="宋体" w:hAnsi="宋体" w:cs="宋体"/>
          <w:sz w:val="24"/>
        </w:rPr>
      </w:pPr>
      <w:r>
        <w:rPr>
          <w:rFonts w:hint="eastAsia" w:ascii="宋体" w:hAnsi="宋体" w:cs="宋体"/>
          <w:sz w:val="24"/>
        </w:rPr>
        <w:t>本次采购公告发布的媒介: 中国招标投标公共服务平台（http：//www.cebpubservice.com；湖南省港航水利集团有限公司网站（http：//www.hnsxsjt.com）；</w:t>
      </w:r>
      <w:r>
        <w:rPr>
          <w:rFonts w:hint="eastAsia" w:ascii="宋体" w:hAnsi="宋体"/>
          <w:sz w:val="24"/>
        </w:rPr>
        <w:t>湖南省港务集团公司网站（http://www.hnsgwjt.com/）上发布</w:t>
      </w:r>
      <w:r>
        <w:rPr>
          <w:rFonts w:hint="eastAsia" w:ascii="宋体" w:hAnsi="宋体" w:cs="宋体"/>
          <w:sz w:val="24"/>
        </w:rPr>
        <w:t>。</w:t>
      </w:r>
    </w:p>
    <w:p>
      <w:pPr>
        <w:autoSpaceDE w:val="0"/>
        <w:spacing w:line="360" w:lineRule="auto"/>
        <w:ind w:firstLine="241" w:firstLineChars="100"/>
        <w:jc w:val="both"/>
        <w:rPr>
          <w:rFonts w:ascii="宋体" w:hAnsi="宋体" w:cs="宋体"/>
          <w:b/>
          <w:bCs/>
          <w:sz w:val="24"/>
        </w:rPr>
      </w:pPr>
      <w:r>
        <w:rPr>
          <w:rFonts w:hint="eastAsia" w:ascii="宋体" w:hAnsi="宋体" w:cs="宋体"/>
          <w:b/>
          <w:bCs/>
          <w:sz w:val="24"/>
        </w:rPr>
        <w:t>8</w:t>
      </w:r>
      <w:bookmarkStart w:id="6" w:name="_Toc76635692"/>
      <w:bookmarkStart w:id="7" w:name="_Toc512257471"/>
      <w:bookmarkStart w:id="8" w:name="_Toc77254104"/>
      <w:bookmarkStart w:id="9" w:name="_Toc79596547"/>
      <w:r>
        <w:rPr>
          <w:rFonts w:hint="eastAsia" w:ascii="宋体" w:hAnsi="宋体" w:cs="宋体"/>
          <w:b/>
          <w:bCs/>
          <w:sz w:val="24"/>
        </w:rPr>
        <w:t>. 监督</w:t>
      </w:r>
      <w:bookmarkEnd w:id="6"/>
      <w:bookmarkEnd w:id="7"/>
      <w:bookmarkEnd w:id="8"/>
      <w:r>
        <w:rPr>
          <w:rFonts w:hint="eastAsia" w:ascii="宋体" w:hAnsi="宋体" w:cs="宋体"/>
          <w:b/>
          <w:bCs/>
          <w:sz w:val="24"/>
        </w:rPr>
        <w:t>部门</w:t>
      </w:r>
      <w:bookmarkEnd w:id="9"/>
    </w:p>
    <w:p>
      <w:pPr>
        <w:autoSpaceDE w:val="0"/>
        <w:spacing w:line="360" w:lineRule="auto"/>
        <w:ind w:firstLine="240" w:firstLineChars="100"/>
        <w:jc w:val="both"/>
        <w:rPr>
          <w:rFonts w:ascii="宋体" w:hAnsi="宋体" w:cs="宋体"/>
          <w:sz w:val="24"/>
        </w:rPr>
      </w:pPr>
      <w:r>
        <w:rPr>
          <w:rFonts w:hint="eastAsia" w:ascii="宋体" w:hAnsi="宋体" w:cs="宋体"/>
          <w:sz w:val="24"/>
        </w:rPr>
        <w:t>本次采购监督部门为岳阳城陵矶新港有限公司综合管理部</w:t>
      </w:r>
    </w:p>
    <w:p>
      <w:pPr>
        <w:autoSpaceDE w:val="0"/>
        <w:spacing w:line="360" w:lineRule="auto"/>
        <w:ind w:firstLine="240" w:firstLineChars="100"/>
        <w:jc w:val="both"/>
        <w:rPr>
          <w:rFonts w:ascii="宋体" w:hAnsi="宋体" w:cs="宋体"/>
          <w:sz w:val="24"/>
        </w:rPr>
      </w:pPr>
      <w:r>
        <w:rPr>
          <w:rFonts w:hint="eastAsia" w:ascii="宋体" w:hAnsi="宋体" w:cs="宋体"/>
          <w:sz w:val="24"/>
        </w:rPr>
        <w:t>电话：13975049385。</w:t>
      </w:r>
    </w:p>
    <w:p>
      <w:pPr>
        <w:autoSpaceDE w:val="0"/>
        <w:spacing w:line="360" w:lineRule="auto"/>
        <w:ind w:firstLine="241" w:firstLineChars="100"/>
        <w:jc w:val="both"/>
        <w:rPr>
          <w:rFonts w:ascii="宋体" w:hAnsi="宋体" w:cs="宋体"/>
          <w:b/>
          <w:bCs/>
          <w:sz w:val="24"/>
        </w:rPr>
      </w:pPr>
      <w:r>
        <w:rPr>
          <w:rFonts w:hint="eastAsia" w:ascii="宋体" w:hAnsi="宋体" w:cs="宋体"/>
          <w:b/>
          <w:bCs/>
          <w:sz w:val="24"/>
        </w:rPr>
        <w:t>9.其他</w:t>
      </w:r>
    </w:p>
    <w:p>
      <w:pPr>
        <w:autoSpaceDE w:val="0"/>
        <w:spacing w:line="360" w:lineRule="auto"/>
        <w:ind w:firstLine="240" w:firstLineChars="100"/>
        <w:jc w:val="both"/>
        <w:rPr>
          <w:rFonts w:ascii="宋体" w:hAnsi="宋体"/>
          <w:color w:val="000000" w:themeColor="text1"/>
          <w:sz w:val="24"/>
        </w:rPr>
      </w:pPr>
      <w:r>
        <w:rPr>
          <w:rFonts w:hint="eastAsia" w:ascii="宋体" w:hAnsi="宋体"/>
          <w:color w:val="000000" w:themeColor="text1"/>
          <w:sz w:val="24"/>
        </w:rPr>
        <w:t xml:space="preserve">采购人在签署采购合同时及合同履行过程中，有权对采购标的的数量进行增加或减少的幅度: </w:t>
      </w:r>
      <w:r>
        <w:rPr>
          <w:rFonts w:hint="eastAsia" w:ascii="宋体" w:hAnsi="宋体"/>
          <w:color w:val="000000" w:themeColor="text1"/>
          <w:sz w:val="24"/>
          <w:u w:val="single"/>
        </w:rPr>
        <w:t>10</w:t>
      </w:r>
      <w:r>
        <w:rPr>
          <w:rFonts w:hint="eastAsia" w:ascii="宋体" w:hAnsi="宋体"/>
          <w:color w:val="000000" w:themeColor="text1"/>
          <w:sz w:val="24"/>
        </w:rPr>
        <w:t>%。</w:t>
      </w:r>
    </w:p>
    <w:p>
      <w:pPr>
        <w:autoSpaceDE w:val="0"/>
        <w:spacing w:line="360" w:lineRule="auto"/>
        <w:ind w:firstLine="241" w:firstLineChars="100"/>
        <w:jc w:val="both"/>
        <w:rPr>
          <w:rFonts w:ascii="宋体" w:hAnsi="宋体" w:cs="宋体"/>
          <w:b/>
          <w:bCs/>
          <w:sz w:val="24"/>
        </w:rPr>
      </w:pPr>
      <w:r>
        <w:rPr>
          <w:rFonts w:hint="eastAsia" w:ascii="宋体" w:hAnsi="宋体" w:cs="宋体"/>
          <w:b/>
          <w:bCs/>
          <w:sz w:val="24"/>
        </w:rPr>
        <w:t>10. 联系方式</w:t>
      </w:r>
    </w:p>
    <w:p>
      <w:pPr>
        <w:autoSpaceDE w:val="0"/>
        <w:spacing w:line="360" w:lineRule="auto"/>
        <w:ind w:firstLine="240" w:firstLineChars="100"/>
        <w:jc w:val="both"/>
        <w:rPr>
          <w:rFonts w:ascii="宋体" w:hAnsi="宋体" w:cs="宋体"/>
          <w:sz w:val="24"/>
        </w:rPr>
      </w:pPr>
      <w:r>
        <w:rPr>
          <w:rFonts w:hint="eastAsia" w:ascii="宋体" w:hAnsi="宋体" w:cs="宋体"/>
          <w:sz w:val="24"/>
        </w:rPr>
        <w:t>9.1询价人：岳阳城陵矶新港有限公司</w:t>
      </w:r>
    </w:p>
    <w:p>
      <w:pPr>
        <w:autoSpaceDE w:val="0"/>
        <w:spacing w:line="360" w:lineRule="auto"/>
        <w:ind w:firstLine="240" w:firstLineChars="100"/>
        <w:jc w:val="both"/>
        <w:rPr>
          <w:rFonts w:ascii="微软雅黑" w:hAnsi="微软雅黑" w:eastAsia="微软雅黑"/>
          <w:color w:val="666666"/>
          <w:shd w:val="clear" w:color="auto" w:fill="FFFFFF"/>
        </w:rPr>
      </w:pPr>
      <w:r>
        <w:rPr>
          <w:rFonts w:hint="eastAsia" w:ascii="宋体" w:hAnsi="宋体" w:cs="宋体"/>
          <w:sz w:val="24"/>
        </w:rPr>
        <w:t>9.2地址：湖南省岳阳市云溪区沿江路新港办公楼</w:t>
      </w:r>
    </w:p>
    <w:p>
      <w:pPr>
        <w:autoSpaceDE w:val="0"/>
        <w:spacing w:line="360" w:lineRule="auto"/>
        <w:ind w:firstLine="240" w:firstLineChars="100"/>
        <w:jc w:val="both"/>
        <w:rPr>
          <w:rFonts w:ascii="宋体" w:hAnsi="宋体" w:cs="宋体"/>
          <w:sz w:val="24"/>
        </w:rPr>
      </w:pPr>
      <w:r>
        <w:rPr>
          <w:rFonts w:hint="eastAsia" w:ascii="宋体" w:hAnsi="宋体" w:cs="宋体"/>
          <w:sz w:val="24"/>
        </w:rPr>
        <w:t>9.3收件人：童先生</w:t>
      </w:r>
    </w:p>
    <w:p>
      <w:pPr>
        <w:autoSpaceDE w:val="0"/>
        <w:spacing w:line="360" w:lineRule="auto"/>
        <w:ind w:firstLine="240" w:firstLineChars="100"/>
        <w:jc w:val="both"/>
        <w:rPr>
          <w:rFonts w:ascii="宋体" w:hAnsi="宋体" w:cs="宋体"/>
          <w:sz w:val="24"/>
        </w:rPr>
      </w:pPr>
      <w:r>
        <w:rPr>
          <w:rFonts w:hint="eastAsia" w:ascii="宋体" w:hAnsi="宋体" w:cs="宋体"/>
          <w:sz w:val="24"/>
        </w:rPr>
        <w:t>9.4联系电话：13975080729</w:t>
      </w:r>
    </w:p>
    <w:p>
      <w:pPr>
        <w:pStyle w:val="5"/>
        <w:widowControl w:val="0"/>
        <w:adjustRightInd w:val="0"/>
        <w:snapToGrid w:val="0"/>
        <w:spacing w:line="360" w:lineRule="auto"/>
        <w:jc w:val="both"/>
        <w:rPr>
          <w:rFonts w:cs="宋体"/>
          <w:b w:val="0"/>
          <w:bCs w:val="0"/>
          <w:color w:val="000000" w:themeColor="text1"/>
          <w:sz w:val="24"/>
          <w:szCs w:val="24"/>
        </w:rPr>
      </w:pPr>
      <w:r>
        <w:rPr>
          <w:rFonts w:hint="eastAsia" w:ascii="宋体" w:hAnsi="宋体" w:cs="宋体"/>
          <w:sz w:val="24"/>
          <w:lang w:val="zh-CN"/>
        </w:rPr>
        <w:br w:type="page"/>
      </w:r>
    </w:p>
    <w:p>
      <w:pPr>
        <w:spacing w:line="360" w:lineRule="auto"/>
        <w:jc w:val="center"/>
        <w:outlineLvl w:val="0"/>
        <w:rPr>
          <w:rFonts w:ascii="黑体" w:hAnsi="黑体" w:eastAsia="黑体"/>
          <w:sz w:val="32"/>
          <w:szCs w:val="32"/>
        </w:rPr>
      </w:pPr>
      <w:bookmarkStart w:id="10" w:name="_Toc611"/>
      <w:bookmarkStart w:id="11" w:name="_Toc6886"/>
      <w:r>
        <w:rPr>
          <w:rFonts w:hint="eastAsia" w:ascii="黑体" w:hAnsi="黑体" w:eastAsia="黑体"/>
          <w:sz w:val="32"/>
          <w:szCs w:val="32"/>
        </w:rPr>
        <w:t>第二章  供应商须知</w:t>
      </w:r>
      <w:bookmarkEnd w:id="10"/>
      <w:bookmarkEnd w:id="11"/>
    </w:p>
    <w:p>
      <w:pPr>
        <w:pStyle w:val="4"/>
        <w:spacing w:before="240" w:after="240" w:line="360" w:lineRule="auto"/>
        <w:jc w:val="both"/>
        <w:rPr>
          <w:rFonts w:ascii="仿宋" w:hAnsi="仿宋" w:eastAsia="仿宋" w:cs="仿宋"/>
          <w:sz w:val="30"/>
          <w:szCs w:val="30"/>
        </w:rPr>
      </w:pPr>
      <w:bookmarkStart w:id="12" w:name="_Toc517787495"/>
      <w:bookmarkStart w:id="13" w:name="_Toc10485"/>
      <w:bookmarkStart w:id="14" w:name="_Toc28059"/>
      <w:bookmarkStart w:id="15" w:name="_Toc234832862"/>
      <w:r>
        <w:rPr>
          <w:rFonts w:hint="eastAsia" w:ascii="宋体" w:hAnsi="宋体" w:cs="宋体"/>
          <w:b w:val="0"/>
          <w:bCs w:val="0"/>
          <w:kern w:val="2"/>
          <w:sz w:val="24"/>
          <w:szCs w:val="24"/>
        </w:rPr>
        <w:t>供应商须知前附表</w:t>
      </w:r>
      <w:r>
        <w:rPr>
          <w:rStyle w:val="22"/>
          <w:rFonts w:hint="eastAsia" w:ascii="仿宋" w:hAnsi="仿宋" w:eastAsia="仿宋" w:cs="仿宋"/>
          <w:sz w:val="30"/>
          <w:szCs w:val="30"/>
        </w:rPr>
        <w:footnoteReference w:id="0"/>
      </w:r>
      <w:bookmarkEnd w:id="12"/>
      <w:bookmarkEnd w:id="13"/>
      <w:bookmarkEnd w:id="14"/>
      <w:bookmarkEnd w:id="15"/>
    </w:p>
    <w:tbl>
      <w:tblPr>
        <w:tblStyle w:val="17"/>
        <w:tblW w:w="8779" w:type="dxa"/>
        <w:tblInd w:w="0" w:type="dxa"/>
        <w:tblLayout w:type="fixed"/>
        <w:tblCellMar>
          <w:top w:w="0" w:type="dxa"/>
          <w:left w:w="108" w:type="dxa"/>
          <w:bottom w:w="0" w:type="dxa"/>
          <w:right w:w="108" w:type="dxa"/>
        </w:tblCellMar>
      </w:tblPr>
      <w:tblGrid>
        <w:gridCol w:w="1260"/>
        <w:gridCol w:w="2753"/>
        <w:gridCol w:w="4766"/>
      </w:tblGrid>
      <w:tr>
        <w:tblPrEx>
          <w:tblCellMar>
            <w:top w:w="0" w:type="dxa"/>
            <w:left w:w="108" w:type="dxa"/>
            <w:bottom w:w="0" w:type="dxa"/>
            <w:right w:w="108" w:type="dxa"/>
          </w:tblCellMar>
        </w:tblPrEx>
        <w:trPr>
          <w:trHeight w:val="469" w:hRule="atLeast"/>
          <w:tblHeader/>
        </w:trPr>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条款号</w:t>
            </w:r>
          </w:p>
        </w:tc>
        <w:tc>
          <w:tcPr>
            <w:tcW w:w="275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  款  名  称</w:t>
            </w:r>
          </w:p>
        </w:tc>
        <w:tc>
          <w:tcPr>
            <w:tcW w:w="476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编  列  内  容</w:t>
            </w:r>
          </w:p>
        </w:tc>
      </w:tr>
      <w:tr>
        <w:tblPrEx>
          <w:tblCellMar>
            <w:top w:w="0" w:type="dxa"/>
            <w:left w:w="108" w:type="dxa"/>
            <w:bottom w:w="0" w:type="dxa"/>
            <w:right w:w="108" w:type="dxa"/>
          </w:tblCellMar>
        </w:tblPrEx>
        <w:trPr>
          <w:trHeight w:val="696"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1.1.1</w:t>
            </w:r>
          </w:p>
        </w:tc>
        <w:tc>
          <w:tcPr>
            <w:tcW w:w="275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采购方法</w:t>
            </w:r>
          </w:p>
        </w:tc>
        <w:tc>
          <w:tcPr>
            <w:tcW w:w="476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☑询价</w:t>
            </w:r>
          </w:p>
        </w:tc>
      </w:tr>
      <w:tr>
        <w:tblPrEx>
          <w:tblCellMar>
            <w:top w:w="0" w:type="dxa"/>
            <w:left w:w="108" w:type="dxa"/>
            <w:bottom w:w="0" w:type="dxa"/>
            <w:right w:w="108" w:type="dxa"/>
          </w:tblCellMar>
        </w:tblPrEx>
        <w:trPr>
          <w:trHeight w:val="725"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1.1.2</w:t>
            </w:r>
          </w:p>
        </w:tc>
        <w:tc>
          <w:tcPr>
            <w:tcW w:w="275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评审办法</w:t>
            </w:r>
          </w:p>
        </w:tc>
        <w:tc>
          <w:tcPr>
            <w:tcW w:w="476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☑最低价法</w:t>
            </w:r>
          </w:p>
        </w:tc>
      </w:tr>
      <w:tr>
        <w:tblPrEx>
          <w:tblCellMar>
            <w:top w:w="0" w:type="dxa"/>
            <w:left w:w="108" w:type="dxa"/>
            <w:bottom w:w="0" w:type="dxa"/>
            <w:right w:w="108" w:type="dxa"/>
          </w:tblCellMar>
        </w:tblPrEx>
        <w:trPr>
          <w:trHeight w:val="1125"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1.7.1</w:t>
            </w:r>
          </w:p>
        </w:tc>
        <w:tc>
          <w:tcPr>
            <w:tcW w:w="275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踏勘现场</w:t>
            </w:r>
          </w:p>
        </w:tc>
        <w:tc>
          <w:tcPr>
            <w:tcW w:w="476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ascii="MS Mincho" w:hAnsi="MS Mincho" w:eastAsia="MS Mincho" w:cs="MS Mincho"/>
                <w:sz w:val="24"/>
              </w:rPr>
              <w:t>☑</w:t>
            </w:r>
            <w:r>
              <w:rPr>
                <w:rFonts w:hint="eastAsia" w:cs="仿宋" w:asciiTheme="minorEastAsia" w:hAnsiTheme="minorEastAsia" w:eastAsiaTheme="minorEastAsia"/>
                <w:sz w:val="24"/>
              </w:rPr>
              <w:t>组织，踏勘时间：2024年4月</w:t>
            </w:r>
            <w:r>
              <w:rPr>
                <w:rFonts w:hint="eastAsia" w:cs="仿宋" w:asciiTheme="minorEastAsia" w:hAnsiTheme="minorEastAsia" w:eastAsiaTheme="minorEastAsia"/>
                <w:sz w:val="24"/>
                <w:lang w:val="en-US" w:eastAsia="zh-CN"/>
              </w:rPr>
              <w:t>22</w:t>
            </w:r>
            <w:r>
              <w:rPr>
                <w:rFonts w:hint="eastAsia" w:cs="仿宋" w:asciiTheme="minorEastAsia" w:hAnsiTheme="minorEastAsia" w:eastAsiaTheme="minorEastAsia"/>
                <w:sz w:val="24"/>
              </w:rPr>
              <w:t xml:space="preserve">日              </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踏勘集中地点：新港公司办公楼前坪                                          </w:t>
            </w:r>
          </w:p>
        </w:tc>
      </w:tr>
      <w:tr>
        <w:tblPrEx>
          <w:tblCellMar>
            <w:top w:w="0" w:type="dxa"/>
            <w:left w:w="108" w:type="dxa"/>
            <w:bottom w:w="0" w:type="dxa"/>
            <w:right w:w="108" w:type="dxa"/>
          </w:tblCellMar>
        </w:tblPrEx>
        <w:trPr>
          <w:trHeight w:val="775"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1.8</w:t>
            </w:r>
          </w:p>
        </w:tc>
        <w:tc>
          <w:tcPr>
            <w:tcW w:w="275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采购预备会</w:t>
            </w:r>
          </w:p>
        </w:tc>
        <w:tc>
          <w:tcPr>
            <w:tcW w:w="476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☑不召开                                             </w:t>
            </w:r>
          </w:p>
        </w:tc>
      </w:tr>
      <w:tr>
        <w:tblPrEx>
          <w:tblCellMar>
            <w:top w:w="0" w:type="dxa"/>
            <w:left w:w="108" w:type="dxa"/>
            <w:bottom w:w="0" w:type="dxa"/>
            <w:right w:w="108" w:type="dxa"/>
          </w:tblCellMar>
        </w:tblPrEx>
        <w:trPr>
          <w:trHeight w:val="91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1.9</w:t>
            </w:r>
          </w:p>
          <w:p>
            <w:pPr>
              <w:spacing w:line="360" w:lineRule="auto"/>
              <w:jc w:val="both"/>
              <w:rPr>
                <w:rFonts w:cs="仿宋" w:asciiTheme="minorEastAsia" w:hAnsiTheme="minorEastAsia" w:eastAsiaTheme="minorEastAsia"/>
                <w:sz w:val="24"/>
              </w:rPr>
            </w:pPr>
          </w:p>
        </w:tc>
        <w:tc>
          <w:tcPr>
            <w:tcW w:w="275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分包</w:t>
            </w:r>
          </w:p>
        </w:tc>
        <w:tc>
          <w:tcPr>
            <w:tcW w:w="476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不得分包的内容：不允许分包</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对分包供应商的要求：不允许分包</w:t>
            </w:r>
          </w:p>
        </w:tc>
      </w:tr>
      <w:tr>
        <w:tblPrEx>
          <w:tblCellMar>
            <w:top w:w="0" w:type="dxa"/>
            <w:left w:w="108" w:type="dxa"/>
            <w:bottom w:w="0" w:type="dxa"/>
            <w:right w:w="108" w:type="dxa"/>
          </w:tblCellMar>
        </w:tblPrEx>
        <w:trPr>
          <w:trHeight w:val="2266"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1.10.2</w:t>
            </w:r>
          </w:p>
        </w:tc>
        <w:tc>
          <w:tcPr>
            <w:tcW w:w="275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对非关键条款的偏差</w:t>
            </w:r>
          </w:p>
        </w:tc>
        <w:tc>
          <w:tcPr>
            <w:tcW w:w="476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允许偏差的范围：</w:t>
            </w:r>
            <w:r>
              <w:rPr>
                <w:rFonts w:hint="eastAsia" w:ascii="宋体" w:hAnsi="宋体" w:cs="宋体"/>
                <w:sz w:val="24"/>
              </w:rPr>
              <w:t>投标文件在实质上响应招标文件要求，但存在含义不明确的内容、明显文字或计算错误等情况，此条件下允许供应商进行澄清解释。</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允许偏差的项数：2项</w:t>
            </w:r>
          </w:p>
        </w:tc>
      </w:tr>
      <w:tr>
        <w:tblPrEx>
          <w:tblCellMar>
            <w:top w:w="0" w:type="dxa"/>
            <w:left w:w="108" w:type="dxa"/>
            <w:bottom w:w="0" w:type="dxa"/>
            <w:right w:w="108" w:type="dxa"/>
          </w:tblCellMar>
        </w:tblPrEx>
        <w:trPr>
          <w:trHeight w:val="813"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2.1(7)</w:t>
            </w:r>
          </w:p>
        </w:tc>
        <w:tc>
          <w:tcPr>
            <w:tcW w:w="275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构成采购文件的其他资料</w:t>
            </w:r>
          </w:p>
        </w:tc>
        <w:tc>
          <w:tcPr>
            <w:tcW w:w="476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无</w:t>
            </w:r>
          </w:p>
        </w:tc>
      </w:tr>
      <w:tr>
        <w:tblPrEx>
          <w:tblCellMar>
            <w:top w:w="0" w:type="dxa"/>
            <w:left w:w="108" w:type="dxa"/>
            <w:bottom w:w="0" w:type="dxa"/>
            <w:right w:w="108" w:type="dxa"/>
          </w:tblCellMar>
        </w:tblPrEx>
        <w:trPr>
          <w:trHeight w:val="91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2.2.1</w:t>
            </w:r>
          </w:p>
        </w:tc>
        <w:tc>
          <w:tcPr>
            <w:tcW w:w="275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供应商要求澄清采购文件的时间</w:t>
            </w:r>
          </w:p>
        </w:tc>
        <w:tc>
          <w:tcPr>
            <w:tcW w:w="476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截止时间：2024年</w:t>
            </w:r>
            <w:r>
              <w:rPr>
                <w:rFonts w:hint="eastAsia" w:cs="仿宋" w:asciiTheme="minorEastAsia" w:hAnsiTheme="minorEastAsia" w:eastAsiaTheme="minorEastAsia"/>
                <w:sz w:val="24"/>
                <w:lang w:val="en-US" w:eastAsia="zh-CN"/>
              </w:rPr>
              <w:t>4</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lang w:val="en-US" w:eastAsia="zh-CN"/>
              </w:rPr>
              <w:t>23</w:t>
            </w:r>
            <w:r>
              <w:rPr>
                <w:rFonts w:hint="eastAsia" w:cs="仿宋" w:asciiTheme="minorEastAsia" w:hAnsiTheme="minorEastAsia" w:eastAsiaTheme="minorEastAsia"/>
                <w:sz w:val="24"/>
              </w:rPr>
              <w:t>日17时00分</w:t>
            </w:r>
          </w:p>
        </w:tc>
      </w:tr>
      <w:tr>
        <w:tblPrEx>
          <w:tblCellMar>
            <w:top w:w="0" w:type="dxa"/>
            <w:left w:w="108" w:type="dxa"/>
            <w:bottom w:w="0" w:type="dxa"/>
            <w:right w:w="108" w:type="dxa"/>
          </w:tblCellMar>
        </w:tblPrEx>
        <w:trPr>
          <w:trHeight w:val="91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2.2.3</w:t>
            </w:r>
          </w:p>
        </w:tc>
        <w:tc>
          <w:tcPr>
            <w:tcW w:w="275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供应商确认收到采购文件补充文件</w:t>
            </w:r>
          </w:p>
        </w:tc>
        <w:tc>
          <w:tcPr>
            <w:tcW w:w="476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确认的最晚时间：无</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确定的方式：无</w:t>
            </w:r>
          </w:p>
        </w:tc>
      </w:tr>
      <w:tr>
        <w:tblPrEx>
          <w:tblCellMar>
            <w:top w:w="0" w:type="dxa"/>
            <w:left w:w="108" w:type="dxa"/>
            <w:bottom w:w="0" w:type="dxa"/>
            <w:right w:w="108" w:type="dxa"/>
          </w:tblCellMar>
        </w:tblPrEx>
        <w:trPr>
          <w:trHeight w:val="813"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3.1.1（9）</w:t>
            </w:r>
          </w:p>
        </w:tc>
        <w:tc>
          <w:tcPr>
            <w:tcW w:w="275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构成响应文件的其他资料</w:t>
            </w:r>
          </w:p>
        </w:tc>
        <w:tc>
          <w:tcPr>
            <w:tcW w:w="476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color w:val="0000FF"/>
                <w:sz w:val="24"/>
              </w:rPr>
            </w:pPr>
          </w:p>
        </w:tc>
      </w:tr>
      <w:tr>
        <w:tblPrEx>
          <w:tblCellMar>
            <w:top w:w="0" w:type="dxa"/>
            <w:left w:w="108" w:type="dxa"/>
            <w:bottom w:w="0" w:type="dxa"/>
            <w:right w:w="108" w:type="dxa"/>
          </w:tblCellMar>
        </w:tblPrEx>
        <w:trPr>
          <w:trHeight w:val="813"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color w:val="000000" w:themeColor="text1"/>
                <w:sz w:val="24"/>
              </w:rPr>
            </w:pPr>
            <w:r>
              <w:rPr>
                <w:rFonts w:hint="eastAsia" w:cs="仿宋" w:asciiTheme="minorEastAsia" w:hAnsiTheme="minorEastAsia" w:eastAsiaTheme="minorEastAsia"/>
                <w:color w:val="000000" w:themeColor="text1"/>
                <w:sz w:val="24"/>
              </w:rPr>
              <w:t>3.2.2</w:t>
            </w:r>
          </w:p>
        </w:tc>
        <w:tc>
          <w:tcPr>
            <w:tcW w:w="275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color w:val="000000" w:themeColor="text1"/>
                <w:sz w:val="24"/>
              </w:rPr>
            </w:pPr>
            <w:r>
              <w:rPr>
                <w:rFonts w:hint="eastAsia" w:cs="仿宋" w:asciiTheme="minorEastAsia" w:hAnsiTheme="minorEastAsia" w:eastAsiaTheme="minorEastAsia"/>
                <w:color w:val="000000" w:themeColor="text1"/>
                <w:sz w:val="24"/>
              </w:rPr>
              <w:t>采购标的数量增减幅度</w:t>
            </w:r>
          </w:p>
        </w:tc>
        <w:tc>
          <w:tcPr>
            <w:tcW w:w="476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color w:val="000000" w:themeColor="text1"/>
                <w:sz w:val="24"/>
              </w:rPr>
            </w:pPr>
            <w:r>
              <w:rPr>
                <w:rFonts w:hint="eastAsia" w:cs="仿宋" w:asciiTheme="minorEastAsia" w:hAnsiTheme="minorEastAsia" w:eastAsiaTheme="minorEastAsia"/>
                <w:color w:val="000000" w:themeColor="text1"/>
                <w:sz w:val="24"/>
              </w:rPr>
              <w:t xml:space="preserve">采购标的数量增减幅度：10%                                          </w:t>
            </w:r>
          </w:p>
        </w:tc>
      </w:tr>
      <w:tr>
        <w:tblPrEx>
          <w:tblCellMar>
            <w:top w:w="0" w:type="dxa"/>
            <w:left w:w="108" w:type="dxa"/>
            <w:bottom w:w="0" w:type="dxa"/>
            <w:right w:w="108" w:type="dxa"/>
          </w:tblCellMar>
        </w:tblPrEx>
        <w:trPr>
          <w:trHeight w:val="136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3.2.3</w:t>
            </w:r>
          </w:p>
        </w:tc>
        <w:tc>
          <w:tcPr>
            <w:tcW w:w="275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最高限价或其计算方法</w:t>
            </w:r>
          </w:p>
        </w:tc>
        <w:tc>
          <w:tcPr>
            <w:tcW w:w="476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☑有，最高限价或其计算方法：</w:t>
            </w:r>
          </w:p>
          <w:p>
            <w:pPr>
              <w:spacing w:line="360" w:lineRule="auto"/>
              <w:jc w:val="both"/>
              <w:rPr>
                <w:rFonts w:cs="仿宋" w:asciiTheme="minorEastAsia" w:hAnsiTheme="minorEastAsia" w:eastAsiaTheme="minorEastAsia"/>
                <w:sz w:val="24"/>
              </w:rPr>
            </w:pPr>
            <w:r>
              <w:rPr>
                <w:sz w:val="24"/>
              </w:rPr>
              <w:t>本项目最高限价为：</w:t>
            </w:r>
            <w:r>
              <w:rPr>
                <w:color w:val="FF0000"/>
                <w:sz w:val="24"/>
              </w:rPr>
              <w:t>人民币</w:t>
            </w:r>
            <w:r>
              <w:rPr>
                <w:sz w:val="24"/>
              </w:rPr>
              <w:t>¥</w:t>
            </w:r>
            <w:r>
              <w:rPr>
                <w:rFonts w:hint="eastAsia"/>
                <w:sz w:val="24"/>
                <w:u w:val="single"/>
              </w:rPr>
              <w:t>500，000</w:t>
            </w:r>
            <w:r>
              <w:rPr>
                <w:rFonts w:hint="eastAsia"/>
                <w:sz w:val="24"/>
              </w:rPr>
              <w:t>元（含3%增值税率），</w:t>
            </w:r>
            <w:r>
              <w:rPr>
                <w:rFonts w:hint="eastAsia" w:ascii="宋体" w:hAnsi="宋体" w:cs="宋体"/>
                <w:color w:val="000000" w:themeColor="text1"/>
                <w:sz w:val="24"/>
              </w:rPr>
              <w:t>超过最高限价的作废。</w:t>
            </w:r>
          </w:p>
        </w:tc>
      </w:tr>
      <w:tr>
        <w:tblPrEx>
          <w:tblCellMar>
            <w:top w:w="0" w:type="dxa"/>
            <w:left w:w="108" w:type="dxa"/>
            <w:bottom w:w="0" w:type="dxa"/>
            <w:right w:w="108" w:type="dxa"/>
          </w:tblCellMar>
        </w:tblPrEx>
        <w:trPr>
          <w:trHeight w:val="469"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3.2.4</w:t>
            </w:r>
          </w:p>
        </w:tc>
        <w:tc>
          <w:tcPr>
            <w:tcW w:w="275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报价的其他要求</w:t>
            </w:r>
          </w:p>
        </w:tc>
        <w:tc>
          <w:tcPr>
            <w:tcW w:w="476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ascii="宋体" w:hAnsi="宋体" w:cs="仿宋"/>
                <w:sz w:val="24"/>
              </w:rPr>
              <w:t>报价应为3%含税价，可提供其他税率的增值税专用发票，但评审时按不含税价由低到高排序。</w:t>
            </w:r>
          </w:p>
        </w:tc>
      </w:tr>
      <w:tr>
        <w:tblPrEx>
          <w:tblCellMar>
            <w:top w:w="0" w:type="dxa"/>
            <w:left w:w="108" w:type="dxa"/>
            <w:bottom w:w="0" w:type="dxa"/>
            <w:right w:w="108" w:type="dxa"/>
          </w:tblCellMar>
        </w:tblPrEx>
        <w:trPr>
          <w:trHeight w:val="469"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p>
        </w:tc>
        <w:tc>
          <w:tcPr>
            <w:tcW w:w="275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响应文件有效期</w:t>
            </w:r>
          </w:p>
        </w:tc>
        <w:tc>
          <w:tcPr>
            <w:tcW w:w="476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递交响应文件截止之日起90日                                        </w:t>
            </w:r>
          </w:p>
        </w:tc>
      </w:tr>
      <w:tr>
        <w:tblPrEx>
          <w:tblCellMar>
            <w:top w:w="0" w:type="dxa"/>
            <w:left w:w="108" w:type="dxa"/>
            <w:bottom w:w="0" w:type="dxa"/>
            <w:right w:w="108" w:type="dxa"/>
          </w:tblCellMar>
        </w:tblPrEx>
        <w:trPr>
          <w:trHeight w:val="922"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3.4.1</w:t>
            </w:r>
          </w:p>
        </w:tc>
        <w:tc>
          <w:tcPr>
            <w:tcW w:w="275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响应保证金</w:t>
            </w:r>
          </w:p>
        </w:tc>
        <w:tc>
          <w:tcPr>
            <w:tcW w:w="476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☑不要求递交                                       </w:t>
            </w:r>
          </w:p>
        </w:tc>
      </w:tr>
      <w:tr>
        <w:tblPrEx>
          <w:tblCellMar>
            <w:top w:w="0" w:type="dxa"/>
            <w:left w:w="108" w:type="dxa"/>
            <w:bottom w:w="0" w:type="dxa"/>
            <w:right w:w="108" w:type="dxa"/>
          </w:tblCellMar>
        </w:tblPrEx>
        <w:trPr>
          <w:trHeight w:val="469"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3.4.2</w:t>
            </w:r>
          </w:p>
        </w:tc>
        <w:tc>
          <w:tcPr>
            <w:tcW w:w="275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退还响应保证金的时间</w:t>
            </w:r>
          </w:p>
        </w:tc>
        <w:tc>
          <w:tcPr>
            <w:tcW w:w="47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无</w:t>
            </w:r>
          </w:p>
        </w:tc>
      </w:tr>
      <w:tr>
        <w:tblPrEx>
          <w:tblCellMar>
            <w:top w:w="0" w:type="dxa"/>
            <w:left w:w="108" w:type="dxa"/>
            <w:bottom w:w="0" w:type="dxa"/>
            <w:right w:w="108" w:type="dxa"/>
          </w:tblCellMar>
        </w:tblPrEx>
        <w:trPr>
          <w:trHeight w:val="91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3.4.3</w:t>
            </w:r>
          </w:p>
        </w:tc>
        <w:tc>
          <w:tcPr>
            <w:tcW w:w="275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不退还响应保证金的其他情形</w:t>
            </w:r>
          </w:p>
        </w:tc>
        <w:tc>
          <w:tcPr>
            <w:tcW w:w="47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无</w:t>
            </w:r>
          </w:p>
        </w:tc>
      </w:tr>
      <w:tr>
        <w:tblPrEx>
          <w:tblCellMar>
            <w:top w:w="0" w:type="dxa"/>
            <w:left w:w="108" w:type="dxa"/>
            <w:bottom w:w="0" w:type="dxa"/>
            <w:right w:w="108" w:type="dxa"/>
          </w:tblCellMar>
        </w:tblPrEx>
        <w:trPr>
          <w:trHeight w:val="1616"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3.5（1）</w:t>
            </w:r>
          </w:p>
        </w:tc>
        <w:tc>
          <w:tcPr>
            <w:tcW w:w="275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Style w:val="20"/>
                <w:rFonts w:asciiTheme="minorEastAsia" w:hAnsiTheme="minorEastAsia" w:eastAsiaTheme="minorEastAsia"/>
                <w:b w:val="0"/>
                <w:color w:val="000000"/>
                <w:sz w:val="24"/>
              </w:rPr>
            </w:pPr>
            <w:r>
              <w:rPr>
                <w:rStyle w:val="20"/>
                <w:rFonts w:hint="eastAsia" w:asciiTheme="minorEastAsia" w:hAnsiTheme="minorEastAsia" w:eastAsiaTheme="minorEastAsia"/>
                <w:b w:val="0"/>
                <w:color w:val="000000"/>
                <w:sz w:val="24"/>
              </w:rPr>
              <w:t>依法设立的证明材料</w:t>
            </w:r>
          </w:p>
        </w:tc>
        <w:tc>
          <w:tcPr>
            <w:tcW w:w="4766" w:type="dxa"/>
            <w:tcBorders>
              <w:top w:val="single" w:color="auto" w:sz="4" w:space="0"/>
              <w:left w:val="single" w:color="auto" w:sz="4" w:space="0"/>
              <w:bottom w:val="single" w:color="auto" w:sz="4" w:space="0"/>
              <w:right w:val="single" w:color="auto" w:sz="4" w:space="0"/>
            </w:tcBorders>
          </w:tcPr>
          <w:p>
            <w:pPr>
              <w:spacing w:line="360" w:lineRule="auto"/>
              <w:jc w:val="both"/>
              <w:rPr>
                <w:rFonts w:asciiTheme="minorEastAsia" w:hAnsiTheme="minorEastAsia" w:eastAsiaTheme="minorEastAsia"/>
                <w:color w:val="000000"/>
                <w:sz w:val="24"/>
              </w:rPr>
            </w:pPr>
            <w:r>
              <w:rPr>
                <w:rFonts w:hint="eastAsia" w:cs="仿宋" w:asciiTheme="minorEastAsia" w:hAnsiTheme="minorEastAsia" w:eastAsiaTheme="minorEastAsia"/>
                <w:sz w:val="24"/>
              </w:rPr>
              <w:t>☑适用。</w:t>
            </w:r>
            <w:r>
              <w:rPr>
                <w:rFonts w:hint="eastAsia" w:asciiTheme="minorEastAsia" w:hAnsiTheme="minorEastAsia" w:eastAsiaTheme="minorEastAsia"/>
                <w:color w:val="000000"/>
                <w:sz w:val="24"/>
              </w:rPr>
              <w:t>供应商应提供市场监管部门或其他行政机关颁发的可以合法开展业务的执照或证书。</w:t>
            </w:r>
          </w:p>
        </w:tc>
      </w:tr>
      <w:tr>
        <w:tblPrEx>
          <w:tblCellMar>
            <w:top w:w="0" w:type="dxa"/>
            <w:left w:w="108" w:type="dxa"/>
            <w:bottom w:w="0" w:type="dxa"/>
            <w:right w:w="108" w:type="dxa"/>
          </w:tblCellMar>
        </w:tblPrEx>
        <w:trPr>
          <w:trHeight w:val="1520"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3.5（2）</w:t>
            </w:r>
          </w:p>
        </w:tc>
        <w:tc>
          <w:tcPr>
            <w:tcW w:w="275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sz w:val="24"/>
              </w:rPr>
            </w:pPr>
            <w:r>
              <w:rPr>
                <w:rStyle w:val="20"/>
                <w:rFonts w:hint="eastAsia" w:asciiTheme="minorEastAsia" w:hAnsiTheme="minorEastAsia" w:eastAsiaTheme="minorEastAsia"/>
                <w:b w:val="0"/>
                <w:sz w:val="24"/>
              </w:rPr>
              <w:t>资质要求证明材料</w:t>
            </w:r>
          </w:p>
        </w:tc>
        <w:tc>
          <w:tcPr>
            <w:tcW w:w="4766" w:type="dxa"/>
            <w:tcBorders>
              <w:top w:val="single" w:color="auto" w:sz="4" w:space="0"/>
              <w:left w:val="single" w:color="auto" w:sz="4" w:space="0"/>
              <w:bottom w:val="single" w:color="auto" w:sz="4" w:space="0"/>
              <w:right w:val="single" w:color="auto" w:sz="4" w:space="0"/>
            </w:tcBorders>
          </w:tcPr>
          <w:p>
            <w:pPr>
              <w:spacing w:line="360"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☑适用。本次招标要求供应商必须具备独立的法人资格，持有效的营业执照。经营范围包括园林绿化工程、环保工程及土石方工程的经营许可，具有承担本项目施工的能力。</w:t>
            </w:r>
          </w:p>
        </w:tc>
      </w:tr>
      <w:tr>
        <w:tblPrEx>
          <w:tblCellMar>
            <w:top w:w="0" w:type="dxa"/>
            <w:left w:w="108" w:type="dxa"/>
            <w:bottom w:w="0" w:type="dxa"/>
            <w:right w:w="108" w:type="dxa"/>
          </w:tblCellMar>
        </w:tblPrEx>
        <w:trPr>
          <w:trHeight w:val="990"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3.5（3）</w:t>
            </w:r>
          </w:p>
        </w:tc>
        <w:tc>
          <w:tcPr>
            <w:tcW w:w="275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Style w:val="20"/>
                <w:rFonts w:asciiTheme="minorEastAsia" w:hAnsiTheme="minorEastAsia" w:eastAsiaTheme="minorEastAsia"/>
                <w:b w:val="0"/>
                <w:color w:val="000000"/>
                <w:sz w:val="24"/>
              </w:rPr>
            </w:pPr>
            <w:r>
              <w:rPr>
                <w:rStyle w:val="20"/>
                <w:rFonts w:hint="eastAsia" w:asciiTheme="minorEastAsia" w:hAnsiTheme="minorEastAsia" w:eastAsiaTheme="minorEastAsia"/>
                <w:b w:val="0"/>
                <w:color w:val="000000"/>
                <w:sz w:val="24"/>
              </w:rPr>
              <w:t>财务要求证明材料</w:t>
            </w:r>
          </w:p>
        </w:tc>
        <w:tc>
          <w:tcPr>
            <w:tcW w:w="476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tc>
      </w:tr>
      <w:tr>
        <w:tblPrEx>
          <w:tblCellMar>
            <w:top w:w="0" w:type="dxa"/>
            <w:left w:w="108" w:type="dxa"/>
            <w:bottom w:w="0" w:type="dxa"/>
            <w:right w:w="108" w:type="dxa"/>
          </w:tblCellMar>
        </w:tblPrEx>
        <w:trPr>
          <w:trHeight w:val="538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3.5（4）</w:t>
            </w:r>
          </w:p>
        </w:tc>
        <w:tc>
          <w:tcPr>
            <w:tcW w:w="275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业绩要求证明材料</w:t>
            </w:r>
          </w:p>
        </w:tc>
        <w:tc>
          <w:tcPr>
            <w:tcW w:w="476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FF0000"/>
                <w:sz w:val="24"/>
                <w:u w:val="single"/>
              </w:rPr>
            </w:pPr>
            <w:r>
              <w:rPr>
                <w:rFonts w:hint="eastAsia" w:cs="宋体" w:asciiTheme="minorEastAsia" w:hAnsiTheme="minorEastAsia" w:eastAsiaTheme="minorEastAsia"/>
                <w:color w:val="000000"/>
                <w:sz w:val="24"/>
              </w:rPr>
              <w:t>☑</w:t>
            </w:r>
            <w:r>
              <w:rPr>
                <w:rFonts w:hint="eastAsia" w:cs="宋体" w:asciiTheme="minorEastAsia" w:hAnsiTheme="minorEastAsia" w:eastAsiaTheme="minorEastAsia"/>
                <w:sz w:val="24"/>
              </w:rPr>
              <w:t>适用。供应商应提供近2年的类似项目情况表（格式见第六章“响应文件格式”五、资格审查资料（二）</w:t>
            </w:r>
            <w:r>
              <w:rPr>
                <w:rFonts w:hint="eastAsia" w:cs="宋体" w:asciiTheme="minorEastAsia" w:hAnsiTheme="minorEastAsia" w:eastAsiaTheme="minorEastAsia"/>
                <w:color w:val="FF0000"/>
                <w:sz w:val="24"/>
              </w:rPr>
              <w:t>提供近2年的至少承担过1个合同金额不低于45万元的种植养护施工项目，需提供合同及竣工验收证明文件的清晰复印件。以证明供应商具有承担本项目要求的业绩。近年是指</w:t>
            </w:r>
            <w:r>
              <w:rPr>
                <w:rFonts w:hint="eastAsia" w:cs="宋体" w:asciiTheme="minorEastAsia" w:hAnsiTheme="minorEastAsia" w:eastAsiaTheme="minorEastAsia"/>
                <w:color w:val="FF0000"/>
                <w:sz w:val="24"/>
                <w:u w:val="single"/>
              </w:rPr>
              <w:t>2021年12月</w:t>
            </w:r>
            <w:r>
              <w:rPr>
                <w:rFonts w:hint="eastAsia" w:cs="宋体" w:asciiTheme="minorEastAsia" w:hAnsiTheme="minorEastAsia" w:eastAsiaTheme="minorEastAsia"/>
                <w:color w:val="FF0000"/>
                <w:sz w:val="24"/>
              </w:rPr>
              <w:t>至</w:t>
            </w:r>
            <w:r>
              <w:rPr>
                <w:rFonts w:hint="eastAsia" w:cs="宋体" w:asciiTheme="minorEastAsia" w:hAnsiTheme="minorEastAsia" w:eastAsiaTheme="minorEastAsia"/>
                <w:color w:val="FF0000"/>
                <w:sz w:val="24"/>
                <w:u w:val="single"/>
              </w:rPr>
              <w:t>2023年12月。</w:t>
            </w:r>
          </w:p>
          <w:p>
            <w:pPr>
              <w:spacing w:line="360"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业绩证明材料：</w:t>
            </w:r>
          </w:p>
          <w:p>
            <w:pPr>
              <w:spacing w:line="360"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☑合同/订单</w:t>
            </w:r>
          </w:p>
          <w:p>
            <w:pPr>
              <w:spacing w:line="360"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业绩证明材料种类要求：</w:t>
            </w:r>
          </w:p>
          <w:p>
            <w:pPr>
              <w:spacing w:line="360" w:lineRule="auto"/>
              <w:jc w:val="both"/>
              <w:rPr>
                <w:rFonts w:cs="仿宋" w:asciiTheme="minorEastAsia" w:hAnsiTheme="minorEastAsia" w:eastAsiaTheme="minorEastAsia"/>
                <w:sz w:val="24"/>
              </w:rPr>
            </w:pPr>
            <w:r>
              <w:rPr>
                <w:rFonts w:hint="eastAsia" w:cs="宋体" w:asciiTheme="minorEastAsia" w:hAnsiTheme="minorEastAsia" w:eastAsiaTheme="minorEastAsia"/>
                <w:sz w:val="24"/>
              </w:rPr>
              <w:t>☑其他要求：</w:t>
            </w:r>
            <w:r>
              <w:rPr>
                <w:rFonts w:hint="eastAsia" w:cs="宋体" w:asciiTheme="minorEastAsia" w:hAnsiTheme="minorEastAsia" w:eastAsiaTheme="minorEastAsia"/>
                <w:sz w:val="24"/>
                <w:u w:val="single"/>
              </w:rPr>
              <w:t>提供1个项目的复印件加盖单位公章</w:t>
            </w:r>
          </w:p>
        </w:tc>
      </w:tr>
      <w:tr>
        <w:tblPrEx>
          <w:tblCellMar>
            <w:top w:w="0" w:type="dxa"/>
            <w:left w:w="108" w:type="dxa"/>
            <w:bottom w:w="0" w:type="dxa"/>
            <w:right w:w="108" w:type="dxa"/>
          </w:tblCellMar>
        </w:tblPrEx>
        <w:trPr>
          <w:trHeight w:val="842"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3.5（5）</w:t>
            </w:r>
          </w:p>
        </w:tc>
        <w:tc>
          <w:tcPr>
            <w:tcW w:w="275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信誉要求证明材料</w:t>
            </w:r>
          </w:p>
        </w:tc>
        <w:tc>
          <w:tcPr>
            <w:tcW w:w="476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rPr>
              <w:t>☑不适用。</w:t>
            </w:r>
          </w:p>
        </w:tc>
      </w:tr>
      <w:tr>
        <w:tblPrEx>
          <w:tblCellMar>
            <w:top w:w="0" w:type="dxa"/>
            <w:left w:w="108" w:type="dxa"/>
            <w:bottom w:w="0" w:type="dxa"/>
            <w:right w:w="108" w:type="dxa"/>
          </w:tblCellMar>
        </w:tblPrEx>
        <w:trPr>
          <w:trHeight w:val="3611"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3.5（6）</w:t>
            </w:r>
          </w:p>
        </w:tc>
        <w:tc>
          <w:tcPr>
            <w:tcW w:w="275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承担本项目的主要人员要求证明材料</w:t>
            </w:r>
          </w:p>
        </w:tc>
        <w:tc>
          <w:tcPr>
            <w:tcW w:w="476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适用。供应商应提供拟委任的主要人员汇总表和主要人员简历表（格式见第六章“响应文件格式”五、资格审查资料（四）拟委任的主要人员汇总表和（五）主要人员简历表）。拟任项目经理须具备园林绿化专业工程师任职资格，需提供证书，且拟任项目经理至本项目投标截止日止，未在其他在建合同工程项目中任职。</w:t>
            </w:r>
          </w:p>
        </w:tc>
      </w:tr>
      <w:tr>
        <w:tblPrEx>
          <w:tblCellMar>
            <w:top w:w="0" w:type="dxa"/>
            <w:left w:w="108" w:type="dxa"/>
            <w:bottom w:w="0" w:type="dxa"/>
            <w:right w:w="108" w:type="dxa"/>
          </w:tblCellMar>
        </w:tblPrEx>
        <w:trPr>
          <w:trHeight w:val="91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3.5（8）</w:t>
            </w:r>
          </w:p>
        </w:tc>
        <w:tc>
          <w:tcPr>
            <w:tcW w:w="275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供应商不存在第一章3.1款情形的证明材料</w:t>
            </w:r>
          </w:p>
        </w:tc>
        <w:tc>
          <w:tcPr>
            <w:tcW w:w="4766" w:type="dxa"/>
            <w:tcBorders>
              <w:top w:val="single" w:color="auto" w:sz="4" w:space="0"/>
              <w:left w:val="single" w:color="auto" w:sz="4" w:space="0"/>
              <w:bottom w:val="single" w:color="auto" w:sz="4" w:space="0"/>
              <w:right w:val="single" w:color="auto" w:sz="4" w:space="0"/>
            </w:tcBorders>
            <w:vAlign w:val="center"/>
          </w:tcPr>
          <w:p>
            <w:pPr>
              <w:pStyle w:val="7"/>
              <w:spacing w:after="0" w:line="360" w:lineRule="auto"/>
              <w:ind w:left="0" w:leftChars="0"/>
              <w:rPr>
                <w:rFonts w:cs="宋体" w:asciiTheme="minorEastAsia" w:hAnsiTheme="minorEastAsia" w:eastAsiaTheme="minorEastAsia"/>
                <w:sz w:val="24"/>
              </w:rPr>
            </w:pPr>
            <w:r>
              <w:rPr>
                <w:rFonts w:hint="eastAsia" w:cs="宋体" w:asciiTheme="minorEastAsia" w:hAnsiTheme="minorEastAsia" w:eastAsiaTheme="minorEastAsia"/>
                <w:sz w:val="24"/>
              </w:rPr>
              <w:t>☑需要提供证明材料，包括：</w:t>
            </w:r>
          </w:p>
          <w:p>
            <w:pPr>
              <w:pStyle w:val="7"/>
              <w:spacing w:after="0" w:line="360" w:lineRule="auto"/>
              <w:ind w:left="0" w:leftChars="0"/>
              <w:rPr>
                <w:rFonts w:ascii="宋体" w:hAnsi="宋体" w:cs="宋体"/>
                <w:sz w:val="24"/>
              </w:rPr>
            </w:pPr>
            <w:r>
              <w:rPr>
                <w:rFonts w:hint="eastAsia" w:cs="宋体" w:asciiTheme="minorEastAsia" w:hAnsiTheme="minorEastAsia" w:eastAsiaTheme="minorEastAsia"/>
                <w:sz w:val="24"/>
              </w:rPr>
              <w:t>1.</w:t>
            </w:r>
            <w:r>
              <w:rPr>
                <w:rFonts w:hint="eastAsia" w:ascii="宋体" w:hAnsi="宋体" w:cs="宋体"/>
                <w:sz w:val="24"/>
              </w:rPr>
              <w:t>全国企业信用信息公示系统中未列入严重违法失信企业名单的网页截图</w:t>
            </w:r>
          </w:p>
          <w:p>
            <w:pPr>
              <w:pStyle w:val="7"/>
              <w:spacing w:after="0" w:line="360" w:lineRule="auto"/>
              <w:ind w:left="0" w:leftChars="0"/>
              <w:rPr>
                <w:rFonts w:cs="宋体" w:asciiTheme="minorEastAsia" w:hAnsiTheme="minorEastAsia" w:eastAsiaTheme="minorEastAsia"/>
                <w:sz w:val="24"/>
              </w:rPr>
            </w:pPr>
            <w:r>
              <w:rPr>
                <w:rFonts w:hint="eastAsia" w:ascii="宋体" w:hAnsi="宋体" w:cs="宋体"/>
                <w:sz w:val="24"/>
              </w:rPr>
              <w:t>2．被最高人民法院在“信用中国”网站（www.creditchina.gov.cn）中未列入失信被执行人名单的网页截图</w:t>
            </w:r>
          </w:p>
        </w:tc>
      </w:tr>
      <w:tr>
        <w:tblPrEx>
          <w:tblCellMar>
            <w:top w:w="0" w:type="dxa"/>
            <w:left w:w="108" w:type="dxa"/>
            <w:bottom w:w="0" w:type="dxa"/>
            <w:right w:w="108" w:type="dxa"/>
          </w:tblCellMar>
        </w:tblPrEx>
        <w:trPr>
          <w:trHeight w:val="91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3.6.1</w:t>
            </w:r>
          </w:p>
        </w:tc>
        <w:tc>
          <w:tcPr>
            <w:tcW w:w="275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对关键条款进行响应的证据或证明材料要求</w:t>
            </w:r>
          </w:p>
        </w:tc>
        <w:tc>
          <w:tcPr>
            <w:tcW w:w="476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无</w:t>
            </w:r>
          </w:p>
        </w:tc>
      </w:tr>
      <w:tr>
        <w:tblPrEx>
          <w:tblCellMar>
            <w:top w:w="0" w:type="dxa"/>
            <w:left w:w="108" w:type="dxa"/>
            <w:bottom w:w="0" w:type="dxa"/>
            <w:right w:w="108" w:type="dxa"/>
          </w:tblCellMar>
        </w:tblPrEx>
        <w:trPr>
          <w:trHeight w:val="91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3.6.2</w:t>
            </w:r>
          </w:p>
        </w:tc>
        <w:tc>
          <w:tcPr>
            <w:tcW w:w="275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响应方案数量</w:t>
            </w:r>
          </w:p>
        </w:tc>
        <w:tc>
          <w:tcPr>
            <w:tcW w:w="476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☑供应商只能提出唯一响应方案</w:t>
            </w:r>
          </w:p>
        </w:tc>
      </w:tr>
      <w:tr>
        <w:tblPrEx>
          <w:tblCellMar>
            <w:top w:w="0" w:type="dxa"/>
            <w:left w:w="108" w:type="dxa"/>
            <w:bottom w:w="0" w:type="dxa"/>
            <w:right w:w="108" w:type="dxa"/>
          </w:tblCellMar>
        </w:tblPrEx>
        <w:trPr>
          <w:trHeight w:val="136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3.7.5</w:t>
            </w:r>
          </w:p>
        </w:tc>
        <w:tc>
          <w:tcPr>
            <w:tcW w:w="275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响应文件及电子版要求</w:t>
            </w:r>
          </w:p>
        </w:tc>
        <w:tc>
          <w:tcPr>
            <w:tcW w:w="476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是否要求提供电子版响应文件：</w:t>
            </w:r>
          </w:p>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☑不要求</w:t>
            </w:r>
          </w:p>
        </w:tc>
      </w:tr>
      <w:tr>
        <w:tblPrEx>
          <w:tblCellMar>
            <w:top w:w="0" w:type="dxa"/>
            <w:left w:w="108" w:type="dxa"/>
            <w:bottom w:w="0" w:type="dxa"/>
            <w:right w:w="108" w:type="dxa"/>
          </w:tblCellMar>
        </w:tblPrEx>
        <w:trPr>
          <w:trHeight w:val="91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4.1.1</w:t>
            </w:r>
          </w:p>
        </w:tc>
        <w:tc>
          <w:tcPr>
            <w:tcW w:w="275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响应文件的密封</w:t>
            </w:r>
          </w:p>
        </w:tc>
        <w:tc>
          <w:tcPr>
            <w:tcW w:w="476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响应文件须密封包装，并在封套的封口处加盖供应商单位章。</w:t>
            </w:r>
          </w:p>
        </w:tc>
      </w:tr>
      <w:tr>
        <w:tblPrEx>
          <w:tblCellMar>
            <w:top w:w="0" w:type="dxa"/>
            <w:left w:w="108" w:type="dxa"/>
            <w:bottom w:w="0" w:type="dxa"/>
            <w:right w:w="108" w:type="dxa"/>
          </w:tblCellMar>
        </w:tblPrEx>
        <w:trPr>
          <w:trHeight w:val="1816"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4.1.2</w:t>
            </w:r>
          </w:p>
        </w:tc>
        <w:tc>
          <w:tcPr>
            <w:tcW w:w="275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封套上应载明的信息</w:t>
            </w:r>
          </w:p>
        </w:tc>
        <w:tc>
          <w:tcPr>
            <w:tcW w:w="4766"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color w:val="000000"/>
                <w:sz w:val="24"/>
              </w:rPr>
            </w:pPr>
            <w:r>
              <w:rPr>
                <w:rFonts w:hint="eastAsia" w:ascii="MS Mincho" w:hAnsi="MS Mincho" w:eastAsia="MS Mincho" w:cs="MS Mincho"/>
                <w:color w:val="000000"/>
                <w:sz w:val="24"/>
              </w:rPr>
              <w:t>☑</w:t>
            </w:r>
            <w:r>
              <w:rPr>
                <w:rFonts w:hint="eastAsia" w:ascii="宋体" w:hAnsi="宋体" w:cs="宋体"/>
                <w:color w:val="000000"/>
                <w:sz w:val="24"/>
              </w:rPr>
              <w:t>适用，供应商名称：</w:t>
            </w:r>
            <w:r>
              <w:rPr>
                <w:rFonts w:hint="eastAsia" w:ascii="宋体" w:hAnsi="宋体" w:cs="宋体"/>
                <w:sz w:val="24"/>
                <w:u w:val="single"/>
              </w:rPr>
              <w:t>岳阳城陵矶新港有限公司新港码头绿植规划提质改造项目</w:t>
            </w:r>
            <w:r>
              <w:rPr>
                <w:rFonts w:hint="eastAsia" w:cs="宋体" w:asciiTheme="minorEastAsia" w:hAnsiTheme="minorEastAsia" w:eastAsiaTheme="minorEastAsia"/>
                <w:color w:val="000000"/>
                <w:sz w:val="24"/>
                <w:u w:val="single"/>
              </w:rPr>
              <w:t>响应文件</w:t>
            </w:r>
          </w:p>
        </w:tc>
      </w:tr>
      <w:tr>
        <w:tblPrEx>
          <w:tblCellMar>
            <w:top w:w="0" w:type="dxa"/>
            <w:left w:w="108" w:type="dxa"/>
            <w:bottom w:w="0" w:type="dxa"/>
            <w:right w:w="108" w:type="dxa"/>
          </w:tblCellMar>
        </w:tblPrEx>
        <w:trPr>
          <w:trHeight w:val="1735"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4.2.1</w:t>
            </w:r>
          </w:p>
        </w:tc>
        <w:tc>
          <w:tcPr>
            <w:tcW w:w="275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递交响应文件截止时间和地点</w:t>
            </w:r>
          </w:p>
        </w:tc>
        <w:tc>
          <w:tcPr>
            <w:tcW w:w="476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cs="宋体" w:asciiTheme="minorEastAsia" w:hAnsiTheme="minorEastAsia" w:eastAsiaTheme="minorEastAsia"/>
                <w:color w:val="000000"/>
                <w:sz w:val="24"/>
                <w:u w:val="single"/>
                <w:lang w:val="en-US" w:eastAsia="zh-CN"/>
              </w:rPr>
            </w:pPr>
            <w:r>
              <w:rPr>
                <w:rFonts w:hint="eastAsia" w:cs="宋体" w:asciiTheme="minorEastAsia" w:hAnsiTheme="minorEastAsia" w:eastAsiaTheme="minorEastAsia"/>
                <w:color w:val="000000"/>
                <w:sz w:val="24"/>
              </w:rPr>
              <w:t>截止时间：</w:t>
            </w:r>
            <w:r>
              <w:rPr>
                <w:rFonts w:hint="eastAsia" w:cs="宋体" w:asciiTheme="minorEastAsia" w:hAnsiTheme="minorEastAsia" w:eastAsiaTheme="minorEastAsia"/>
                <w:color w:val="000000"/>
                <w:sz w:val="24"/>
                <w:u w:val="single"/>
              </w:rPr>
              <w:t>2024年4月</w:t>
            </w:r>
            <w:r>
              <w:rPr>
                <w:rFonts w:hint="eastAsia" w:cs="宋体" w:asciiTheme="minorEastAsia" w:hAnsiTheme="minorEastAsia" w:eastAsiaTheme="minorEastAsia"/>
                <w:color w:val="000000"/>
                <w:sz w:val="24"/>
                <w:u w:val="single"/>
                <w:lang w:val="en-US" w:eastAsia="zh-CN"/>
              </w:rPr>
              <w:t>23</w:t>
            </w:r>
            <w:r>
              <w:rPr>
                <w:rFonts w:hint="eastAsia" w:cs="宋体" w:asciiTheme="minorEastAsia" w:hAnsiTheme="minorEastAsia" w:eastAsiaTheme="minorEastAsia"/>
                <w:color w:val="000000"/>
                <w:sz w:val="24"/>
                <w:u w:val="single"/>
              </w:rPr>
              <w:t>日17时</w:t>
            </w:r>
            <w:r>
              <w:rPr>
                <w:rFonts w:hint="eastAsia" w:cs="宋体" w:asciiTheme="minorEastAsia" w:hAnsiTheme="minorEastAsia" w:eastAsiaTheme="minorEastAsia"/>
                <w:color w:val="000000"/>
                <w:sz w:val="24"/>
                <w:u w:val="single"/>
                <w:lang w:val="en-US" w:eastAsia="zh-CN"/>
              </w:rPr>
              <w:t>30分</w:t>
            </w:r>
          </w:p>
          <w:p>
            <w:pPr>
              <w:spacing w:line="360"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递交响应文件的地点：</w:t>
            </w:r>
            <w:r>
              <w:rPr>
                <w:rFonts w:hint="eastAsia" w:eastAsiaTheme="minorEastAsia"/>
                <w:color w:val="000000" w:themeColor="text1"/>
                <w:sz w:val="24"/>
                <w:u w:val="single"/>
              </w:rPr>
              <w:t>岳阳城陵矶新港有限公司405室</w:t>
            </w:r>
          </w:p>
        </w:tc>
      </w:tr>
      <w:tr>
        <w:tblPrEx>
          <w:tblCellMar>
            <w:top w:w="0" w:type="dxa"/>
            <w:left w:w="108" w:type="dxa"/>
            <w:bottom w:w="0" w:type="dxa"/>
            <w:right w:w="108" w:type="dxa"/>
          </w:tblCellMar>
        </w:tblPrEx>
        <w:trPr>
          <w:trHeight w:val="91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4.2.2</w:t>
            </w:r>
          </w:p>
        </w:tc>
        <w:tc>
          <w:tcPr>
            <w:tcW w:w="275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是否退还响应文件</w:t>
            </w:r>
          </w:p>
        </w:tc>
        <w:tc>
          <w:tcPr>
            <w:tcW w:w="476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☑否</w:t>
            </w:r>
          </w:p>
        </w:tc>
      </w:tr>
      <w:tr>
        <w:tblPrEx>
          <w:tblCellMar>
            <w:top w:w="0" w:type="dxa"/>
            <w:left w:w="108" w:type="dxa"/>
            <w:bottom w:w="0" w:type="dxa"/>
            <w:right w:w="108" w:type="dxa"/>
          </w:tblCellMar>
        </w:tblPrEx>
        <w:trPr>
          <w:trHeight w:val="1215"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4.3.3</w:t>
            </w:r>
          </w:p>
        </w:tc>
        <w:tc>
          <w:tcPr>
            <w:tcW w:w="275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供应商撤回响应文件情况下退还响应保证金的时间</w:t>
            </w:r>
          </w:p>
        </w:tc>
        <w:tc>
          <w:tcPr>
            <w:tcW w:w="476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无</w:t>
            </w:r>
          </w:p>
        </w:tc>
      </w:tr>
      <w:tr>
        <w:tblPrEx>
          <w:tblCellMar>
            <w:top w:w="0" w:type="dxa"/>
            <w:left w:w="108" w:type="dxa"/>
            <w:bottom w:w="0" w:type="dxa"/>
            <w:right w:w="108" w:type="dxa"/>
          </w:tblCellMar>
        </w:tblPrEx>
        <w:trPr>
          <w:trHeight w:val="91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w:t>
            </w:r>
          </w:p>
        </w:tc>
        <w:tc>
          <w:tcPr>
            <w:tcW w:w="275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是否公开开启响应文件</w:t>
            </w:r>
          </w:p>
        </w:tc>
        <w:tc>
          <w:tcPr>
            <w:tcW w:w="476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☑否</w:t>
            </w:r>
          </w:p>
        </w:tc>
      </w:tr>
      <w:tr>
        <w:tblPrEx>
          <w:tblCellMar>
            <w:top w:w="0" w:type="dxa"/>
            <w:left w:w="108" w:type="dxa"/>
            <w:bottom w:w="0" w:type="dxa"/>
            <w:right w:w="108" w:type="dxa"/>
          </w:tblCellMar>
        </w:tblPrEx>
        <w:trPr>
          <w:trHeight w:val="469"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5.1</w:t>
            </w:r>
          </w:p>
        </w:tc>
        <w:tc>
          <w:tcPr>
            <w:tcW w:w="275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开启地点</w:t>
            </w:r>
          </w:p>
        </w:tc>
        <w:tc>
          <w:tcPr>
            <w:tcW w:w="476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asciiTheme="minorHAnsi" w:hAnsiTheme="minorHAnsi" w:eastAsiaTheme="minorEastAsia" w:cstheme="minorBidi"/>
                <w:sz w:val="24"/>
              </w:rPr>
              <w:t>湖南省港务集团有限公司六楼602开标室</w:t>
            </w:r>
          </w:p>
        </w:tc>
      </w:tr>
      <w:tr>
        <w:tblPrEx>
          <w:tblCellMar>
            <w:top w:w="0" w:type="dxa"/>
            <w:left w:w="108" w:type="dxa"/>
            <w:bottom w:w="0" w:type="dxa"/>
            <w:right w:w="108" w:type="dxa"/>
          </w:tblCellMar>
        </w:tblPrEx>
        <w:trPr>
          <w:trHeight w:val="91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5.2（4）</w:t>
            </w:r>
          </w:p>
        </w:tc>
        <w:tc>
          <w:tcPr>
            <w:tcW w:w="275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开启程序</w:t>
            </w:r>
          </w:p>
        </w:tc>
        <w:tc>
          <w:tcPr>
            <w:tcW w:w="476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开启顺序：</w:t>
            </w:r>
            <w:r>
              <w:rPr>
                <w:rFonts w:hint="eastAsia" w:cs="宋体" w:asciiTheme="minorEastAsia" w:hAnsiTheme="minorEastAsia" w:eastAsiaTheme="minorEastAsia"/>
                <w:color w:val="000000"/>
                <w:sz w:val="24"/>
                <w:u w:val="single"/>
              </w:rPr>
              <w:t xml:space="preserve">   随机 </w:t>
            </w:r>
          </w:p>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其他应公布的信息：</w:t>
            </w:r>
            <w:r>
              <w:rPr>
                <w:rFonts w:hint="eastAsia" w:cs="宋体" w:asciiTheme="minorEastAsia" w:hAnsiTheme="minorEastAsia" w:eastAsiaTheme="minorEastAsia"/>
                <w:color w:val="000000"/>
                <w:sz w:val="24"/>
                <w:u w:val="single"/>
              </w:rPr>
              <w:t>无</w:t>
            </w:r>
          </w:p>
        </w:tc>
      </w:tr>
      <w:tr>
        <w:tblPrEx>
          <w:tblCellMar>
            <w:top w:w="0" w:type="dxa"/>
            <w:left w:w="108" w:type="dxa"/>
            <w:bottom w:w="0" w:type="dxa"/>
            <w:right w:w="108" w:type="dxa"/>
          </w:tblCellMar>
        </w:tblPrEx>
        <w:trPr>
          <w:trHeight w:val="136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6.1.1</w:t>
            </w:r>
          </w:p>
        </w:tc>
        <w:tc>
          <w:tcPr>
            <w:tcW w:w="275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评审小组的组建</w:t>
            </w:r>
            <w:r>
              <w:rPr>
                <w:rStyle w:val="22"/>
                <w:rFonts w:cs="宋体" w:asciiTheme="minorEastAsia" w:hAnsiTheme="minorEastAsia" w:eastAsiaTheme="minorEastAsia"/>
                <w:color w:val="000000"/>
                <w:sz w:val="24"/>
              </w:rPr>
              <w:footnoteReference w:id="1"/>
            </w:r>
          </w:p>
        </w:tc>
        <w:tc>
          <w:tcPr>
            <w:tcW w:w="476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评审小组构成：</w:t>
            </w:r>
            <w:r>
              <w:rPr>
                <w:rFonts w:hint="eastAsia" w:cs="宋体" w:asciiTheme="minorEastAsia" w:hAnsiTheme="minorEastAsia" w:eastAsiaTheme="minorEastAsia"/>
                <w:color w:val="000000"/>
                <w:sz w:val="24"/>
                <w:u w:val="single"/>
              </w:rPr>
              <w:t>3</w:t>
            </w:r>
            <w:r>
              <w:rPr>
                <w:rFonts w:hint="eastAsia" w:cs="宋体" w:asciiTheme="minorEastAsia" w:hAnsiTheme="minorEastAsia" w:eastAsiaTheme="minorEastAsia"/>
                <w:color w:val="000000"/>
                <w:sz w:val="24"/>
              </w:rPr>
              <w:t>人。</w:t>
            </w:r>
          </w:p>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评审专家确定方式：在湖南省港航水利集团有限公司综合评标专家库中随机抽取2人，业主代表1人。</w:t>
            </w:r>
          </w:p>
        </w:tc>
      </w:tr>
      <w:tr>
        <w:tblPrEx>
          <w:tblCellMar>
            <w:top w:w="0" w:type="dxa"/>
            <w:left w:w="108" w:type="dxa"/>
            <w:bottom w:w="0" w:type="dxa"/>
            <w:right w:w="108" w:type="dxa"/>
          </w:tblCellMar>
        </w:tblPrEx>
        <w:trPr>
          <w:trHeight w:val="813"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6.6</w:t>
            </w:r>
          </w:p>
        </w:tc>
        <w:tc>
          <w:tcPr>
            <w:tcW w:w="275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是否公开开启最终报价</w:t>
            </w:r>
          </w:p>
        </w:tc>
        <w:tc>
          <w:tcPr>
            <w:tcW w:w="476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☑否</w:t>
            </w:r>
          </w:p>
        </w:tc>
      </w:tr>
      <w:tr>
        <w:tblPrEx>
          <w:tblCellMar>
            <w:top w:w="0" w:type="dxa"/>
            <w:left w:w="108" w:type="dxa"/>
            <w:bottom w:w="0" w:type="dxa"/>
            <w:right w:w="108" w:type="dxa"/>
          </w:tblCellMar>
        </w:tblPrEx>
        <w:trPr>
          <w:trHeight w:val="1816"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6.7.2</w:t>
            </w:r>
          </w:p>
        </w:tc>
        <w:tc>
          <w:tcPr>
            <w:tcW w:w="275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推荐成交候选供应商的排序及数量</w:t>
            </w:r>
          </w:p>
        </w:tc>
        <w:tc>
          <w:tcPr>
            <w:tcW w:w="476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是否排序：</w:t>
            </w:r>
          </w:p>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☑排序</w:t>
            </w:r>
          </w:p>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数量：</w:t>
            </w:r>
            <w:r>
              <w:rPr>
                <w:rFonts w:hint="eastAsia" w:cs="宋体" w:asciiTheme="minorEastAsia" w:hAnsiTheme="minorEastAsia" w:eastAsiaTheme="minorEastAsia"/>
                <w:color w:val="000000"/>
                <w:sz w:val="24"/>
                <w:u w:val="single"/>
              </w:rPr>
              <w:t>2-3名</w:t>
            </w:r>
          </w:p>
        </w:tc>
      </w:tr>
      <w:tr>
        <w:tblPrEx>
          <w:tblCellMar>
            <w:top w:w="0" w:type="dxa"/>
            <w:left w:w="108" w:type="dxa"/>
            <w:bottom w:w="0" w:type="dxa"/>
            <w:right w:w="108" w:type="dxa"/>
          </w:tblCellMar>
        </w:tblPrEx>
        <w:trPr>
          <w:trHeight w:val="90"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7.2</w:t>
            </w:r>
          </w:p>
        </w:tc>
        <w:tc>
          <w:tcPr>
            <w:tcW w:w="275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成交候选供应商公示</w:t>
            </w:r>
          </w:p>
        </w:tc>
        <w:tc>
          <w:tcPr>
            <w:tcW w:w="4766"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公示媒介：</w:t>
            </w:r>
            <w:bookmarkStart w:id="16" w:name="_Toc9276"/>
            <w:bookmarkStart w:id="17" w:name="_Toc20487"/>
            <w:r>
              <w:rPr>
                <w:rFonts w:hint="eastAsia" w:cs="宋体" w:asciiTheme="minorEastAsia" w:hAnsiTheme="minorEastAsia" w:eastAsiaTheme="minorEastAsia"/>
                <w:color w:val="000000"/>
                <w:sz w:val="24"/>
              </w:rPr>
              <w:t>本次招标公告同时在中国招标投标公共服务平台（</w:t>
            </w:r>
            <w:r>
              <w:fldChar w:fldCharType="begin"/>
            </w:r>
            <w:r>
              <w:instrText xml:space="preserve"> HYPERLINK "http://www.chinabidding.com.cn" </w:instrText>
            </w:r>
            <w:r>
              <w:fldChar w:fldCharType="separate"/>
            </w:r>
            <w:r>
              <w:rPr>
                <w:rFonts w:hint="eastAsia" w:cs="宋体" w:asciiTheme="minorEastAsia" w:hAnsiTheme="minorEastAsia" w:eastAsiaTheme="minorEastAsia"/>
                <w:color w:val="000000"/>
                <w:sz w:val="24"/>
              </w:rPr>
              <w:t>www.cebpubservice.com</w:t>
            </w:r>
            <w:r>
              <w:rPr>
                <w:rFonts w:hint="eastAsia" w:cs="宋体" w:asciiTheme="minorEastAsia" w:hAnsiTheme="minorEastAsia" w:eastAsiaTheme="minorEastAsia"/>
                <w:color w:val="000000"/>
                <w:sz w:val="24"/>
              </w:rPr>
              <w:fldChar w:fldCharType="end"/>
            </w:r>
            <w:r>
              <w:rPr>
                <w:rFonts w:hint="eastAsia" w:cs="宋体" w:asciiTheme="minorEastAsia" w:hAnsiTheme="minorEastAsia" w:eastAsiaTheme="minorEastAsia"/>
                <w:color w:val="000000"/>
                <w:sz w:val="24"/>
              </w:rPr>
              <w:t>）、湖南省港航水利集团有限公司（http://www.hnsxsjt.com）、湖南省港务集团公司网站（http://www.hnsgwjt.com/）上发布。</w:t>
            </w:r>
            <w:bookmarkEnd w:id="16"/>
            <w:bookmarkEnd w:id="17"/>
          </w:p>
          <w:p>
            <w:pPr>
              <w:spacing w:line="360"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公示期限：3个工作日</w:t>
            </w:r>
          </w:p>
          <w:p>
            <w:pPr>
              <w:spacing w:line="360"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其他应公示的内容：  无</w:t>
            </w:r>
          </w:p>
        </w:tc>
      </w:tr>
      <w:tr>
        <w:tblPrEx>
          <w:tblCellMar>
            <w:top w:w="0" w:type="dxa"/>
            <w:left w:w="108" w:type="dxa"/>
            <w:bottom w:w="0" w:type="dxa"/>
            <w:right w:w="108" w:type="dxa"/>
          </w:tblCellMar>
        </w:tblPrEx>
        <w:trPr>
          <w:trHeight w:val="71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7.7</w:t>
            </w:r>
          </w:p>
        </w:tc>
        <w:tc>
          <w:tcPr>
            <w:tcW w:w="275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履约保证金</w:t>
            </w:r>
          </w:p>
        </w:tc>
        <w:tc>
          <w:tcPr>
            <w:tcW w:w="476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☑不要求提交</w:t>
            </w:r>
          </w:p>
        </w:tc>
      </w:tr>
      <w:tr>
        <w:tblPrEx>
          <w:tblCellMar>
            <w:top w:w="0" w:type="dxa"/>
            <w:left w:w="108" w:type="dxa"/>
            <w:bottom w:w="0" w:type="dxa"/>
            <w:right w:w="108" w:type="dxa"/>
          </w:tblCellMar>
        </w:tblPrEx>
        <w:trPr>
          <w:trHeight w:val="1839"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8.1</w:t>
            </w:r>
          </w:p>
        </w:tc>
        <w:tc>
          <w:tcPr>
            <w:tcW w:w="275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 w:val="24"/>
              </w:rPr>
            </w:pPr>
            <w:r>
              <w:rPr>
                <w:rFonts w:hint="eastAsia" w:ascii="宋体" w:hAnsi="宋体" w:cs="宋体"/>
                <w:color w:val="000000"/>
                <w:sz w:val="24"/>
              </w:rPr>
              <w:t>异议渠道</w:t>
            </w:r>
          </w:p>
        </w:tc>
        <w:tc>
          <w:tcPr>
            <w:tcW w:w="476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 w:val="24"/>
                <w:u w:val="single"/>
              </w:rPr>
            </w:pPr>
            <w:r>
              <w:rPr>
                <w:rFonts w:hint="eastAsia" w:ascii="宋体" w:hAnsi="宋体" w:cs="宋体"/>
                <w:color w:val="000000"/>
                <w:sz w:val="24"/>
              </w:rPr>
              <w:t>联系人：</w:t>
            </w:r>
            <w:r>
              <w:rPr>
                <w:rFonts w:hint="eastAsia" w:ascii="宋体" w:hAnsi="宋体" w:cs="宋体"/>
                <w:color w:val="000000"/>
                <w:sz w:val="24"/>
                <w:u w:val="single"/>
              </w:rPr>
              <w:t>郝 婷</w:t>
            </w:r>
          </w:p>
          <w:p>
            <w:pPr>
              <w:pStyle w:val="16"/>
              <w:numPr>
                <w:ilvl w:val="0"/>
                <w:numId w:val="0"/>
              </w:numPr>
              <w:spacing w:line="360" w:lineRule="auto"/>
              <w:rPr>
                <w:rFonts w:hAnsi="宋体" w:cs="宋体"/>
                <w:color w:val="000000"/>
                <w:sz w:val="24"/>
              </w:rPr>
            </w:pPr>
            <w:r>
              <w:rPr>
                <w:rFonts w:hint="eastAsia" w:hAnsi="宋体" w:cs="宋体"/>
                <w:color w:val="000000"/>
                <w:sz w:val="24"/>
              </w:rPr>
              <w:t>联系电话：</w:t>
            </w:r>
            <w:r>
              <w:rPr>
                <w:rFonts w:hint="eastAsia"/>
                <w:sz w:val="24"/>
                <w:u w:val="single"/>
              </w:rPr>
              <w:t>13975049385</w:t>
            </w:r>
          </w:p>
          <w:p>
            <w:pPr>
              <w:spacing w:line="360" w:lineRule="auto"/>
              <w:jc w:val="both"/>
              <w:rPr>
                <w:rFonts w:ascii="宋体" w:hAnsi="宋体" w:cs="宋体"/>
                <w:color w:val="000000"/>
                <w:sz w:val="24"/>
              </w:rPr>
            </w:pPr>
            <w:r>
              <w:rPr>
                <w:rFonts w:hint="eastAsia" w:ascii="宋体" w:hAnsi="宋体" w:cs="宋体"/>
                <w:color w:val="000000"/>
                <w:sz w:val="24"/>
              </w:rPr>
              <w:t>通信地址：</w:t>
            </w:r>
            <w:r>
              <w:rPr>
                <w:rFonts w:hint="eastAsia" w:ascii="宋体" w:hAnsi="宋体" w:cs="宋体"/>
                <w:bCs/>
                <w:kern w:val="0"/>
                <w:sz w:val="24"/>
                <w:u w:val="single"/>
              </w:rPr>
              <w:t>岳阳城陵矶新港有限公司405室</w:t>
            </w:r>
          </w:p>
        </w:tc>
      </w:tr>
    </w:tbl>
    <w:p>
      <w:pPr>
        <w:spacing w:line="360" w:lineRule="auto"/>
        <w:rPr>
          <w:rFonts w:ascii="华文中宋" w:hAnsi="华文中宋" w:eastAsia="华文中宋" w:cs="仿宋"/>
          <w:b/>
          <w:bCs/>
          <w:sz w:val="30"/>
          <w:szCs w:val="30"/>
        </w:rPr>
      </w:pPr>
      <w:r>
        <w:rPr>
          <w:rFonts w:hint="eastAsia" w:ascii="华文中宋" w:hAnsi="华文中宋" w:eastAsia="华文中宋" w:cs="仿宋"/>
          <w:b/>
          <w:bCs/>
          <w:sz w:val="30"/>
          <w:szCs w:val="30"/>
        </w:rPr>
        <w:br w:type="page"/>
      </w:r>
    </w:p>
    <w:p>
      <w:pPr>
        <w:spacing w:line="360" w:lineRule="auto"/>
        <w:jc w:val="center"/>
        <w:outlineLvl w:val="0"/>
        <w:rPr>
          <w:rFonts w:ascii="仿宋" w:hAnsi="仿宋" w:eastAsia="仿宋" w:cs="仿宋"/>
          <w:sz w:val="30"/>
          <w:szCs w:val="30"/>
        </w:rPr>
      </w:pPr>
      <w:bookmarkStart w:id="18" w:name="_Toc3137"/>
      <w:bookmarkStart w:id="19" w:name="_Toc16287"/>
      <w:r>
        <w:rPr>
          <w:rFonts w:hint="eastAsia" w:ascii="华文中宋" w:hAnsi="华文中宋" w:eastAsia="华文中宋" w:cs="仿宋"/>
          <w:b/>
          <w:bCs/>
          <w:sz w:val="30"/>
          <w:szCs w:val="30"/>
        </w:rPr>
        <w:t>第二章 供应商须知正文</w:t>
      </w:r>
      <w:bookmarkEnd w:id="18"/>
      <w:bookmarkEnd w:id="19"/>
    </w:p>
    <w:p>
      <w:pPr>
        <w:adjustRightInd w:val="0"/>
        <w:snapToGrid w:val="0"/>
        <w:spacing w:beforeLines="50" w:afterLines="50" w:line="360" w:lineRule="auto"/>
        <w:jc w:val="both"/>
        <w:rPr>
          <w:rFonts w:ascii="宋体" w:hAnsi="宋体" w:cs="仿宋"/>
          <w:b/>
          <w:bCs/>
          <w:sz w:val="24"/>
        </w:rPr>
      </w:pPr>
      <w:r>
        <w:rPr>
          <w:rFonts w:hint="eastAsia" w:ascii="宋体" w:hAnsi="宋体" w:cs="仿宋"/>
          <w:b/>
          <w:bCs/>
          <w:sz w:val="24"/>
        </w:rPr>
        <w:t>1 总则</w:t>
      </w:r>
    </w:p>
    <w:p>
      <w:pPr>
        <w:adjustRightInd w:val="0"/>
        <w:snapToGrid w:val="0"/>
        <w:spacing w:line="360" w:lineRule="auto"/>
        <w:jc w:val="both"/>
        <w:rPr>
          <w:rFonts w:ascii="宋体" w:hAnsi="宋体" w:cs="仿宋"/>
          <w:b/>
          <w:bCs/>
          <w:sz w:val="24"/>
        </w:rPr>
      </w:pPr>
      <w:r>
        <w:rPr>
          <w:rFonts w:hint="eastAsia" w:ascii="宋体" w:hAnsi="宋体" w:cs="仿宋"/>
          <w:b/>
          <w:bCs/>
          <w:sz w:val="24"/>
        </w:rPr>
        <w:t>1.1采购方法和评审办法</w:t>
      </w:r>
    </w:p>
    <w:p>
      <w:pPr>
        <w:pStyle w:val="25"/>
        <w:spacing w:before="156" w:after="156" w:line="360" w:lineRule="auto"/>
        <w:ind w:left="426" w:firstLine="48" w:firstLineChars="20"/>
        <w:jc w:val="both"/>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26"/>
        <w:spacing w:line="360" w:lineRule="auto"/>
        <w:ind w:firstLine="0" w:firstLineChars="0"/>
        <w:rPr>
          <w:rFonts w:hAnsi="宋体" w:eastAsia="宋体" w:cs="仿宋"/>
          <w:sz w:val="24"/>
          <w:szCs w:val="24"/>
        </w:rPr>
      </w:pPr>
      <w:r>
        <w:rPr>
          <w:rFonts w:hint="eastAsia" w:hAnsi="宋体" w:eastAsia="宋体" w:cs="仿宋"/>
          <w:sz w:val="24"/>
          <w:szCs w:val="24"/>
        </w:rPr>
        <w:t>1.1.1采购方法</w:t>
      </w:r>
    </w:p>
    <w:p>
      <w:pPr>
        <w:pStyle w:val="26"/>
        <w:spacing w:line="360" w:lineRule="auto"/>
        <w:ind w:firstLine="453" w:firstLineChars="189"/>
        <w:rPr>
          <w:rFonts w:hAnsi="宋体" w:eastAsia="宋体" w:cs="仿宋"/>
          <w:sz w:val="24"/>
          <w:szCs w:val="24"/>
        </w:rPr>
      </w:pPr>
      <w:r>
        <w:rPr>
          <w:rFonts w:hint="eastAsia" w:hAnsi="宋体" w:eastAsia="宋体" w:cs="仿宋"/>
          <w:sz w:val="24"/>
          <w:szCs w:val="24"/>
        </w:rPr>
        <w:t>询价采购，是指按照规定程序就采购项目向符合资格要求的供应商进行询价，通过评审、比较确定成交供应商的采购方式。</w:t>
      </w:r>
    </w:p>
    <w:p>
      <w:pPr>
        <w:pStyle w:val="26"/>
        <w:spacing w:line="360" w:lineRule="auto"/>
        <w:ind w:firstLine="0" w:firstLineChars="0"/>
        <w:rPr>
          <w:rFonts w:hAnsi="宋体" w:eastAsia="宋体" w:cs="仿宋"/>
          <w:sz w:val="24"/>
          <w:szCs w:val="24"/>
        </w:rPr>
      </w:pPr>
      <w:r>
        <w:rPr>
          <w:rFonts w:hint="eastAsia" w:hAnsi="宋体" w:eastAsia="宋体" w:cs="仿宋"/>
          <w:sz w:val="24"/>
          <w:szCs w:val="24"/>
        </w:rPr>
        <w:t>1.1.2评审办法</w:t>
      </w:r>
    </w:p>
    <w:p>
      <w:pPr>
        <w:pStyle w:val="26"/>
        <w:spacing w:line="360" w:lineRule="auto"/>
        <w:ind w:firstLine="453" w:firstLineChars="189"/>
        <w:rPr>
          <w:rFonts w:hAnsi="宋体" w:eastAsia="宋体" w:cs="仿宋"/>
          <w:sz w:val="24"/>
          <w:szCs w:val="24"/>
        </w:rPr>
      </w:pPr>
      <w:r>
        <w:rPr>
          <w:rFonts w:hint="eastAsia" w:hAnsi="宋体" w:eastAsia="宋体" w:cs="仿宋"/>
          <w:sz w:val="24"/>
          <w:szCs w:val="24"/>
        </w:rPr>
        <w:t>最低价法，是指在资质、业绩、信誉等条件均满足询价文件要求的前提下，按单项或总价价格最低原则确定成交供应商。包括同质比价法和同价比质法。</w:t>
      </w:r>
    </w:p>
    <w:p>
      <w:pPr>
        <w:adjustRightInd w:val="0"/>
        <w:snapToGrid w:val="0"/>
        <w:spacing w:line="360"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采购项目概况和供应商资格要求见第一章“询价公告”。</w:t>
      </w:r>
    </w:p>
    <w:p>
      <w:pPr>
        <w:adjustRightInd w:val="0"/>
        <w:snapToGrid w:val="0"/>
        <w:spacing w:line="360"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60" w:lineRule="auto"/>
        <w:jc w:val="both"/>
        <w:rPr>
          <w:rFonts w:ascii="宋体" w:hAnsi="宋体" w:cs="仿宋"/>
          <w:b/>
          <w:bCs/>
          <w:sz w:val="24"/>
        </w:rPr>
      </w:pPr>
      <w:r>
        <w:rPr>
          <w:rFonts w:hint="eastAsia" w:ascii="宋体" w:hAnsi="宋体" w:cs="仿宋"/>
          <w:b/>
          <w:bCs/>
          <w:sz w:val="24"/>
        </w:rPr>
        <w:t>1.4保密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60"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60" w:lineRule="auto"/>
        <w:jc w:val="both"/>
        <w:rPr>
          <w:rFonts w:ascii="宋体" w:hAnsi="宋体" w:cs="仿宋"/>
          <w:b/>
          <w:bCs/>
          <w:sz w:val="24"/>
        </w:rPr>
      </w:pPr>
      <w:r>
        <w:rPr>
          <w:rFonts w:hint="eastAsia" w:ascii="宋体" w:hAnsi="宋体" w:cs="仿宋"/>
          <w:b/>
          <w:bCs/>
          <w:sz w:val="24"/>
        </w:rPr>
        <w:t>1.6计量单位</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所有计量均采用中华人民共和国法定计量单位。</w:t>
      </w:r>
    </w:p>
    <w:p>
      <w:pPr>
        <w:adjustRightInd w:val="0"/>
        <w:snapToGrid w:val="0"/>
        <w:spacing w:line="360" w:lineRule="auto"/>
        <w:jc w:val="both"/>
        <w:rPr>
          <w:rFonts w:ascii="宋体" w:hAnsi="宋体" w:cs="仿宋"/>
          <w:b/>
          <w:bCs/>
          <w:sz w:val="24"/>
        </w:rPr>
      </w:pPr>
      <w:r>
        <w:rPr>
          <w:rFonts w:hint="eastAsia" w:ascii="宋体" w:hAnsi="宋体" w:cs="仿宋"/>
          <w:b/>
          <w:bCs/>
          <w:sz w:val="24"/>
        </w:rPr>
        <w:t>1.7踏勘现场(不组织)</w:t>
      </w:r>
    </w:p>
    <w:p>
      <w:pPr>
        <w:adjustRightInd w:val="0"/>
        <w:snapToGrid w:val="0"/>
        <w:spacing w:line="360" w:lineRule="auto"/>
        <w:jc w:val="both"/>
        <w:rPr>
          <w:rFonts w:ascii="宋体" w:hAnsi="宋体" w:cs="仿宋"/>
          <w:sz w:val="24"/>
        </w:rPr>
      </w:pPr>
      <w:r>
        <w:rPr>
          <w:rFonts w:hint="eastAsia" w:ascii="宋体" w:hAnsi="宋体" w:cs="仿宋"/>
          <w:sz w:val="24"/>
        </w:rPr>
        <w:t>1.7.1供应商须知前附表规定组织踏勘现场的，采购人应按供应商须知前附表规定的时间、地点组织供应商踏勘项目现场。部分供应商未按时参加踏勘现场的，不影响踏勘现场的正常进行。</w:t>
      </w:r>
    </w:p>
    <w:p>
      <w:pPr>
        <w:adjustRightInd w:val="0"/>
        <w:snapToGrid w:val="0"/>
        <w:spacing w:line="360" w:lineRule="auto"/>
        <w:jc w:val="both"/>
        <w:rPr>
          <w:rFonts w:ascii="宋体" w:hAnsi="宋体" w:cs="仿宋"/>
          <w:sz w:val="24"/>
        </w:rPr>
      </w:pPr>
      <w:r>
        <w:rPr>
          <w:rFonts w:hint="eastAsia" w:ascii="宋体" w:hAnsi="宋体" w:cs="仿宋"/>
          <w:sz w:val="24"/>
        </w:rPr>
        <w:t>1.7.2供应商可自愿参加踏勘现场活动。除采购人的原因外，采购人对供应商参加踏勘现场中所发生的人员伤亡和财产损失不承担责任。</w:t>
      </w:r>
    </w:p>
    <w:p>
      <w:pPr>
        <w:adjustRightInd w:val="0"/>
        <w:snapToGrid w:val="0"/>
        <w:spacing w:line="360" w:lineRule="auto"/>
        <w:jc w:val="both"/>
        <w:rPr>
          <w:rFonts w:ascii="宋体" w:hAnsi="宋体" w:cs="仿宋"/>
          <w:sz w:val="24"/>
        </w:rPr>
      </w:pPr>
      <w:r>
        <w:rPr>
          <w:rFonts w:hint="eastAsia" w:ascii="宋体" w:hAnsi="宋体" w:cs="仿宋"/>
          <w:sz w:val="24"/>
        </w:rPr>
        <w:t>1.7.3采购人在踏勘现场中介绍的工程场地和相关的周边环境情况，仅作为供应商编制响应文件的参考，采购人不对供应商据此作出的判断和决策负责。</w:t>
      </w:r>
    </w:p>
    <w:p>
      <w:pPr>
        <w:adjustRightInd w:val="0"/>
        <w:snapToGrid w:val="0"/>
        <w:spacing w:line="360" w:lineRule="auto"/>
        <w:jc w:val="both"/>
        <w:rPr>
          <w:rFonts w:ascii="宋体" w:hAnsi="宋体" w:cs="仿宋"/>
          <w:b/>
          <w:bCs/>
          <w:sz w:val="24"/>
        </w:rPr>
      </w:pPr>
      <w:r>
        <w:rPr>
          <w:rFonts w:hint="eastAsia" w:ascii="宋体" w:hAnsi="宋体" w:cs="仿宋"/>
          <w:b/>
          <w:bCs/>
          <w:sz w:val="24"/>
        </w:rPr>
        <w:t>1.8采购预备会(不组织)</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供应商须知前附表规定召开采购预备会的，采购人按供应商须知前附表规定的时间和地点召开采购预备会。</w:t>
      </w:r>
    </w:p>
    <w:p>
      <w:pPr>
        <w:adjustRightInd w:val="0"/>
        <w:snapToGrid w:val="0"/>
        <w:spacing w:line="360" w:lineRule="auto"/>
        <w:jc w:val="both"/>
        <w:rPr>
          <w:rFonts w:ascii="宋体" w:hAnsi="宋体" w:cs="仿宋"/>
          <w:b/>
          <w:bCs/>
          <w:sz w:val="24"/>
        </w:rPr>
      </w:pPr>
      <w:r>
        <w:rPr>
          <w:rFonts w:hint="eastAsia" w:ascii="宋体" w:hAnsi="宋体" w:cs="仿宋"/>
          <w:b/>
          <w:bCs/>
          <w:sz w:val="24"/>
        </w:rPr>
        <w:t>1.9分包(不允许)</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供应商拟在成交后将成交项目的部分工作进行分包的，应符合供应商须知前附表的规定，并在响应文件中作出说明。</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分包供应商不得将分包项目再次分包。成交供应商就应当就分包项目向采购人负责，分包供应商就分包项目承担连带责任。</w:t>
      </w:r>
    </w:p>
    <w:p>
      <w:pPr>
        <w:adjustRightInd w:val="0"/>
        <w:snapToGrid w:val="0"/>
        <w:spacing w:line="360"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60"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60" w:lineRule="auto"/>
        <w:ind w:left="105" w:leftChars="5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60" w:lineRule="auto"/>
        <w:jc w:val="both"/>
        <w:rPr>
          <w:rFonts w:ascii="宋体" w:hAnsi="宋体" w:cs="仿宋"/>
          <w:b/>
          <w:bCs/>
          <w:sz w:val="24"/>
        </w:rPr>
      </w:pPr>
      <w:r>
        <w:rPr>
          <w:rFonts w:hint="eastAsia" w:ascii="宋体" w:hAnsi="宋体" w:cs="仿宋"/>
          <w:b/>
          <w:bCs/>
          <w:sz w:val="24"/>
        </w:rPr>
        <w:t>2采购文件</w:t>
      </w:r>
    </w:p>
    <w:p>
      <w:pPr>
        <w:adjustRightInd w:val="0"/>
        <w:snapToGrid w:val="0"/>
        <w:spacing w:line="360" w:lineRule="auto"/>
        <w:jc w:val="both"/>
        <w:rPr>
          <w:rFonts w:ascii="宋体" w:hAnsi="宋体" w:cs="仿宋"/>
          <w:b/>
          <w:bCs/>
          <w:sz w:val="24"/>
        </w:rPr>
      </w:pPr>
      <w:r>
        <w:rPr>
          <w:rFonts w:hint="eastAsia" w:ascii="宋体" w:hAnsi="宋体" w:cs="仿宋"/>
          <w:b/>
          <w:bCs/>
          <w:sz w:val="24"/>
        </w:rPr>
        <w:t>2.1采购文件的组成</w:t>
      </w:r>
    </w:p>
    <w:p>
      <w:pPr>
        <w:adjustRightInd w:val="0"/>
        <w:snapToGrid w:val="0"/>
        <w:spacing w:line="360" w:lineRule="auto"/>
        <w:ind w:left="105" w:leftChars="50" w:firstLine="453" w:firstLineChars="189"/>
        <w:jc w:val="both"/>
        <w:rPr>
          <w:rFonts w:ascii="宋体" w:hAnsi="宋体" w:cs="仿宋"/>
          <w:sz w:val="24"/>
        </w:rPr>
      </w:pPr>
      <w:r>
        <w:rPr>
          <w:rFonts w:hint="eastAsia" w:ascii="宋体" w:hAnsi="宋体" w:cs="仿宋"/>
          <w:sz w:val="24"/>
        </w:rPr>
        <w:t>本采购文件包括:</w:t>
      </w:r>
    </w:p>
    <w:p>
      <w:pPr>
        <w:adjustRightInd w:val="0"/>
        <w:snapToGrid w:val="0"/>
        <w:spacing w:line="360" w:lineRule="auto"/>
        <w:ind w:left="105" w:leftChars="50" w:firstLine="453" w:firstLineChars="189"/>
        <w:jc w:val="both"/>
        <w:rPr>
          <w:rFonts w:ascii="宋体" w:hAnsi="宋体" w:cs="仿宋"/>
          <w:sz w:val="24"/>
        </w:rPr>
      </w:pPr>
      <w:r>
        <w:rPr>
          <w:rFonts w:hint="eastAsia" w:ascii="宋体" w:hAnsi="宋体" w:cs="仿宋"/>
          <w:sz w:val="24"/>
        </w:rPr>
        <w:t>(1)采购公告:</w:t>
      </w:r>
    </w:p>
    <w:p>
      <w:pPr>
        <w:adjustRightInd w:val="0"/>
        <w:snapToGrid w:val="0"/>
        <w:spacing w:line="360" w:lineRule="auto"/>
        <w:ind w:left="105" w:leftChars="50" w:firstLine="453" w:firstLineChars="189"/>
        <w:jc w:val="both"/>
        <w:rPr>
          <w:rFonts w:ascii="宋体" w:hAnsi="宋体" w:cs="仿宋"/>
          <w:sz w:val="24"/>
        </w:rPr>
      </w:pPr>
      <w:r>
        <w:rPr>
          <w:rFonts w:hint="eastAsia" w:ascii="宋体" w:hAnsi="宋体" w:cs="仿宋"/>
          <w:sz w:val="24"/>
        </w:rPr>
        <w:t>(2)供应商须知;</w:t>
      </w:r>
    </w:p>
    <w:p>
      <w:pPr>
        <w:adjustRightInd w:val="0"/>
        <w:snapToGrid w:val="0"/>
        <w:spacing w:line="360" w:lineRule="auto"/>
        <w:ind w:left="105" w:leftChars="50" w:firstLine="453" w:firstLineChars="189"/>
        <w:jc w:val="both"/>
        <w:rPr>
          <w:rFonts w:ascii="宋体" w:hAnsi="宋体" w:cs="仿宋"/>
          <w:sz w:val="24"/>
        </w:rPr>
      </w:pPr>
      <w:r>
        <w:rPr>
          <w:rFonts w:hint="eastAsia" w:ascii="宋体" w:hAnsi="宋体" w:cs="仿宋"/>
          <w:sz w:val="24"/>
        </w:rPr>
        <w:t>(3)评审办法;</w:t>
      </w:r>
    </w:p>
    <w:p>
      <w:pPr>
        <w:adjustRightInd w:val="0"/>
        <w:snapToGrid w:val="0"/>
        <w:spacing w:line="360" w:lineRule="auto"/>
        <w:ind w:left="105" w:leftChars="50" w:firstLine="453" w:firstLineChars="189"/>
        <w:jc w:val="both"/>
        <w:rPr>
          <w:rFonts w:ascii="宋体" w:hAnsi="宋体" w:cs="仿宋"/>
          <w:sz w:val="24"/>
        </w:rPr>
      </w:pPr>
      <w:r>
        <w:rPr>
          <w:rFonts w:hint="eastAsia" w:ascii="宋体" w:hAnsi="宋体" w:cs="仿宋"/>
          <w:sz w:val="24"/>
        </w:rPr>
        <w:t>(4)合同条款及格式;</w:t>
      </w:r>
    </w:p>
    <w:p>
      <w:pPr>
        <w:adjustRightInd w:val="0"/>
        <w:snapToGrid w:val="0"/>
        <w:spacing w:line="360" w:lineRule="auto"/>
        <w:ind w:left="105" w:leftChars="50" w:firstLine="453" w:firstLineChars="189"/>
        <w:jc w:val="both"/>
        <w:rPr>
          <w:rFonts w:ascii="宋体" w:hAnsi="宋体" w:cs="仿宋"/>
          <w:sz w:val="24"/>
        </w:rPr>
      </w:pPr>
      <w:r>
        <w:rPr>
          <w:rFonts w:hint="eastAsia" w:ascii="宋体" w:hAnsi="宋体" w:cs="仿宋"/>
          <w:sz w:val="24"/>
        </w:rPr>
        <w:t>(5)采购需求;</w:t>
      </w:r>
    </w:p>
    <w:p>
      <w:pPr>
        <w:adjustRightInd w:val="0"/>
        <w:snapToGrid w:val="0"/>
        <w:spacing w:line="360" w:lineRule="auto"/>
        <w:ind w:left="105" w:leftChars="50" w:firstLine="453" w:firstLineChars="189"/>
        <w:jc w:val="both"/>
        <w:rPr>
          <w:rFonts w:ascii="宋体" w:hAnsi="宋体" w:cs="仿宋"/>
          <w:sz w:val="24"/>
        </w:rPr>
      </w:pPr>
      <w:r>
        <w:rPr>
          <w:rFonts w:hint="eastAsia" w:ascii="宋体" w:hAnsi="宋体" w:cs="仿宋"/>
          <w:sz w:val="24"/>
        </w:rPr>
        <w:t>(6)响应文件格式;</w:t>
      </w:r>
    </w:p>
    <w:p>
      <w:pPr>
        <w:adjustRightInd w:val="0"/>
        <w:snapToGrid w:val="0"/>
        <w:spacing w:line="360" w:lineRule="auto"/>
        <w:ind w:left="105" w:leftChars="50" w:firstLine="453" w:firstLineChars="189"/>
        <w:jc w:val="both"/>
        <w:rPr>
          <w:rFonts w:ascii="宋体" w:hAnsi="宋体" w:cs="仿宋"/>
          <w:sz w:val="24"/>
        </w:rPr>
      </w:pPr>
      <w:r>
        <w:rPr>
          <w:rFonts w:hint="eastAsia" w:ascii="宋体" w:hAnsi="宋体" w:cs="仿宋"/>
          <w:sz w:val="24"/>
        </w:rPr>
        <w:t>采购人依照本章规定，对采购文件所作的澄清、修改，构成采购文件的组成部分。</w:t>
      </w:r>
    </w:p>
    <w:p>
      <w:pPr>
        <w:adjustRightInd w:val="0"/>
        <w:snapToGrid w:val="0"/>
        <w:spacing w:line="360" w:lineRule="auto"/>
        <w:jc w:val="both"/>
        <w:rPr>
          <w:rFonts w:ascii="宋体" w:hAnsi="宋体" w:cs="仿宋"/>
          <w:b/>
          <w:bCs/>
          <w:sz w:val="24"/>
        </w:rPr>
      </w:pPr>
      <w:r>
        <w:rPr>
          <w:rFonts w:hint="eastAsia" w:ascii="宋体" w:hAnsi="宋体" w:cs="仿宋"/>
          <w:b/>
          <w:bCs/>
          <w:sz w:val="24"/>
        </w:rPr>
        <w:t>2.2采购文件的澄清和修改</w:t>
      </w:r>
    </w:p>
    <w:p>
      <w:pPr>
        <w:adjustRightInd w:val="0"/>
        <w:snapToGrid w:val="0"/>
        <w:spacing w:line="360" w:lineRule="auto"/>
        <w:ind w:left="105" w:leftChars="50"/>
        <w:jc w:val="both"/>
        <w:rPr>
          <w:rFonts w:ascii="宋体" w:hAnsi="宋体" w:cs="仿宋"/>
          <w:sz w:val="24"/>
        </w:rPr>
      </w:pPr>
      <w:r>
        <w:rPr>
          <w:rFonts w:hint="eastAsia" w:ascii="宋体" w:hAnsi="宋体" w:cs="仿宋"/>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left="105" w:leftChars="50"/>
        <w:jc w:val="both"/>
        <w:rPr>
          <w:rFonts w:ascii="宋体" w:hAnsi="宋体" w:cs="仿宋"/>
          <w:sz w:val="24"/>
        </w:rPr>
      </w:pPr>
      <w:r>
        <w:rPr>
          <w:rFonts w:hint="eastAsia" w:ascii="宋体" w:hAnsi="宋体" w:cs="仿宋"/>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left="105" w:leftChars="50"/>
        <w:jc w:val="both"/>
        <w:rPr>
          <w:rFonts w:ascii="宋体" w:hAnsi="宋体" w:cs="仿宋"/>
          <w:sz w:val="24"/>
        </w:rPr>
      </w:pPr>
      <w:r>
        <w:rPr>
          <w:rFonts w:hint="eastAsia" w:ascii="宋体" w:hAnsi="宋体" w:cs="仿宋"/>
          <w:sz w:val="24"/>
        </w:rPr>
        <w:t>2.2.3供应商在收到补充文件后，应按供应商须知前附表规定的时间和方式通知采购人，确认已收到该补充文件。</w:t>
      </w:r>
    </w:p>
    <w:p>
      <w:pPr>
        <w:adjustRightInd w:val="0"/>
        <w:snapToGrid w:val="0"/>
        <w:spacing w:line="360" w:lineRule="auto"/>
        <w:ind w:left="105" w:leftChars="50"/>
        <w:jc w:val="both"/>
        <w:rPr>
          <w:rFonts w:ascii="宋体" w:hAnsi="宋体" w:cs="仿宋"/>
          <w:sz w:val="24"/>
        </w:rPr>
      </w:pPr>
      <w:r>
        <w:rPr>
          <w:rFonts w:hint="eastAsia" w:ascii="宋体" w:hAnsi="宋体" w:cs="仿宋"/>
          <w:sz w:val="24"/>
        </w:rPr>
        <w:t>2.2.4除非确有必要，采购人有权拒绝回复供应商在本章第2.2.1项规定的时间后提出的任何澄清要求。</w:t>
      </w:r>
    </w:p>
    <w:p>
      <w:pPr>
        <w:adjustRightInd w:val="0"/>
        <w:snapToGrid w:val="0"/>
        <w:spacing w:line="360" w:lineRule="auto"/>
        <w:jc w:val="both"/>
        <w:rPr>
          <w:rFonts w:ascii="宋体" w:hAnsi="宋体" w:cs="仿宋"/>
          <w:b/>
          <w:bCs/>
          <w:sz w:val="24"/>
        </w:rPr>
      </w:pPr>
      <w:r>
        <w:rPr>
          <w:rFonts w:hint="eastAsia" w:ascii="宋体" w:hAnsi="宋体" w:cs="仿宋"/>
          <w:b/>
          <w:bCs/>
          <w:sz w:val="24"/>
        </w:rPr>
        <w:t>3响应文件</w:t>
      </w:r>
    </w:p>
    <w:p>
      <w:pPr>
        <w:adjustRightInd w:val="0"/>
        <w:snapToGrid w:val="0"/>
        <w:spacing w:line="360" w:lineRule="auto"/>
        <w:jc w:val="both"/>
        <w:rPr>
          <w:rFonts w:ascii="宋体" w:hAnsi="宋体" w:cs="仿宋"/>
          <w:b/>
          <w:bCs/>
          <w:sz w:val="24"/>
        </w:rPr>
      </w:pPr>
      <w:r>
        <w:rPr>
          <w:rFonts w:hint="eastAsia" w:ascii="宋体" w:hAnsi="宋体" w:cs="仿宋"/>
          <w:b/>
          <w:bCs/>
          <w:sz w:val="24"/>
        </w:rPr>
        <w:t>3.1响应文件的组成</w:t>
      </w:r>
    </w:p>
    <w:p>
      <w:pPr>
        <w:adjustRightInd w:val="0"/>
        <w:snapToGrid w:val="0"/>
        <w:spacing w:line="360" w:lineRule="auto"/>
        <w:jc w:val="both"/>
        <w:rPr>
          <w:rFonts w:ascii="宋体" w:hAnsi="宋体" w:cs="仿宋"/>
          <w:sz w:val="24"/>
        </w:rPr>
      </w:pPr>
      <w:r>
        <w:rPr>
          <w:rFonts w:hint="eastAsia" w:ascii="宋体" w:hAnsi="宋体" w:cs="仿宋"/>
          <w:sz w:val="24"/>
        </w:rPr>
        <w:t>3.1.1响应文件应包括下列内容:</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 xml:space="preserve"> (1)响应函;</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 xml:space="preserve"> (2)授权委托书;</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 xml:space="preserve"> (3)商务和技术偏差表;</w:t>
      </w:r>
    </w:p>
    <w:p>
      <w:pPr>
        <w:adjustRightInd w:val="0"/>
        <w:snapToGrid w:val="0"/>
        <w:spacing w:line="360" w:lineRule="auto"/>
        <w:ind w:left="210" w:leftChars="100" w:firstLine="360" w:firstLineChars="150"/>
        <w:jc w:val="both"/>
        <w:rPr>
          <w:rFonts w:ascii="宋体" w:hAnsi="宋体" w:cs="仿宋"/>
          <w:sz w:val="24"/>
        </w:rPr>
      </w:pPr>
      <w:r>
        <w:rPr>
          <w:rFonts w:hint="eastAsia" w:ascii="宋体" w:hAnsi="宋体" w:cs="仿宋"/>
          <w:sz w:val="24"/>
        </w:rPr>
        <w:t>(4)报价表;</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 xml:space="preserve"> (5)资格审查资料;</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 xml:space="preserve"> (6)响应方案;</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 xml:space="preserve"> (7)供应商须知前附表规定的其他资料。</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60" w:lineRule="auto"/>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第一章“邀请公告”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jc w:val="both"/>
        <w:rPr>
          <w:rFonts w:ascii="宋体" w:hAnsi="宋体" w:cs="仿宋"/>
          <w:b/>
          <w:bCs/>
          <w:sz w:val="24"/>
        </w:rPr>
      </w:pPr>
      <w:r>
        <w:rPr>
          <w:rFonts w:hint="eastAsia" w:ascii="宋体" w:hAnsi="宋体" w:cs="仿宋"/>
          <w:b/>
          <w:bCs/>
          <w:sz w:val="24"/>
        </w:rPr>
        <w:t>3.2报价</w:t>
      </w:r>
    </w:p>
    <w:p>
      <w:pPr>
        <w:adjustRightInd w:val="0"/>
        <w:snapToGrid w:val="0"/>
        <w:spacing w:line="360" w:lineRule="auto"/>
        <w:jc w:val="both"/>
        <w:rPr>
          <w:rFonts w:ascii="宋体" w:hAnsi="宋体" w:cs="仿宋"/>
          <w:color w:val="FF0000"/>
          <w:sz w:val="24"/>
        </w:rPr>
      </w:pPr>
      <w:r>
        <w:rPr>
          <w:rFonts w:hint="eastAsia" w:ascii="宋体" w:hAnsi="宋体" w:cs="仿宋"/>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360"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60"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60"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60"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60"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60" w:lineRule="auto"/>
        <w:jc w:val="both"/>
        <w:rPr>
          <w:rFonts w:ascii="宋体" w:hAnsi="宋体" w:cs="仿宋"/>
          <w:b/>
          <w:bCs/>
          <w:sz w:val="24"/>
        </w:rPr>
      </w:pPr>
      <w:r>
        <w:rPr>
          <w:rFonts w:hint="eastAsia" w:ascii="宋体" w:hAnsi="宋体" w:cs="仿宋"/>
          <w:b/>
          <w:bCs/>
          <w:sz w:val="24"/>
        </w:rPr>
        <w:t>3.4响应保证金（不递交）</w:t>
      </w:r>
    </w:p>
    <w:p>
      <w:pPr>
        <w:adjustRightInd w:val="0"/>
        <w:snapToGrid w:val="0"/>
        <w:spacing w:line="360" w:lineRule="auto"/>
        <w:jc w:val="both"/>
        <w:rPr>
          <w:rFonts w:ascii="宋体" w:hAnsi="宋体" w:cs="仿宋"/>
          <w:sz w:val="24"/>
        </w:rPr>
      </w:pPr>
      <w:r>
        <w:rPr>
          <w:rFonts w:hint="eastAsia" w:ascii="宋体" w:hAnsi="宋体" w:cs="仿宋"/>
          <w:sz w:val="24"/>
        </w:rPr>
        <w:t>3.4.1供应商须知前附表规定要求提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被视为无效。</w:t>
      </w:r>
    </w:p>
    <w:p>
      <w:pPr>
        <w:adjustRightInd w:val="0"/>
        <w:snapToGrid w:val="0"/>
        <w:spacing w:line="360" w:lineRule="auto"/>
        <w:jc w:val="both"/>
        <w:rPr>
          <w:rFonts w:ascii="宋体" w:hAnsi="宋体" w:cs="仿宋"/>
          <w:sz w:val="24"/>
        </w:rPr>
      </w:pPr>
      <w:r>
        <w:rPr>
          <w:rFonts w:hint="eastAsia" w:ascii="宋体" w:hAnsi="宋体" w:cs="仿宋"/>
          <w:sz w:val="24"/>
        </w:rPr>
        <w:t>3.4.2除供应商须知前附表另有规定外，采购人将在发出成交通知书后5日内向除成交供应商外的其他供应商原额退还响应保证金，并在采购合同签订后5日内向成交供应商和未成交的其他候选供应商原额退还响应保证金。采用银行保函、担保机构担保函、保险机构保险单形式递交的响应保证金，经供应商同意后采购人可以不再退还。</w:t>
      </w:r>
    </w:p>
    <w:p>
      <w:pPr>
        <w:adjustRightInd w:val="0"/>
        <w:snapToGrid w:val="0"/>
        <w:spacing w:line="360" w:lineRule="auto"/>
        <w:jc w:val="both"/>
        <w:rPr>
          <w:rFonts w:ascii="宋体" w:hAnsi="宋体" w:cs="仿宋"/>
          <w:sz w:val="24"/>
        </w:rPr>
      </w:pPr>
      <w:r>
        <w:rPr>
          <w:rFonts w:hint="eastAsia" w:ascii="宋体" w:hAnsi="宋体" w:cs="仿宋"/>
          <w:sz w:val="24"/>
        </w:rPr>
        <w:t>3.4.3有下列情形之一的，响应保证金将不予退还:</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 xml:space="preserve"> (1)供应商在响应文件有效期内撤销响应文件；</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 xml:space="preserve"> (2)成交供应商在收到成交通知书后，无正当理由不与采购人订立合同，在签订合同时向采购人提出附加条件，或者不按照采购文件要求递交履约保证金；</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 xml:space="preserve"> (3)发生供应商须知前附表规定的其他不予退还响应保证金的情形。</w:t>
      </w:r>
    </w:p>
    <w:p>
      <w:pPr>
        <w:adjustRightInd w:val="0"/>
        <w:snapToGrid w:val="0"/>
        <w:spacing w:line="360"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60"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供应商应提供供应商须知前附表3.5(1)-3.5(9)中规定的资格审查资料，以证明其满足第一章“采购公告”对供应商的各项资格要求。</w:t>
      </w:r>
    </w:p>
    <w:p>
      <w:pPr>
        <w:adjustRightInd w:val="0"/>
        <w:snapToGrid w:val="0"/>
        <w:spacing w:line="360"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60"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60"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60"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60"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60"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60"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60"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60"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60"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60"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adjustRightInd w:val="0"/>
        <w:snapToGrid w:val="0"/>
        <w:spacing w:line="360" w:lineRule="auto"/>
        <w:jc w:val="both"/>
        <w:rPr>
          <w:rFonts w:ascii="宋体" w:hAnsi="宋体" w:cs="仿宋"/>
          <w:b/>
          <w:bCs/>
          <w:sz w:val="24"/>
        </w:rPr>
      </w:pPr>
      <w:r>
        <w:rPr>
          <w:rFonts w:hint="eastAsia" w:ascii="宋体" w:hAnsi="宋体" w:cs="仿宋"/>
          <w:b/>
          <w:bCs/>
          <w:sz w:val="24"/>
        </w:rPr>
        <w:t>4响应文件的递交</w:t>
      </w:r>
    </w:p>
    <w:p>
      <w:pPr>
        <w:adjustRightInd w:val="0"/>
        <w:snapToGrid w:val="0"/>
        <w:spacing w:line="360"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60"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60"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60"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60"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60" w:lineRule="auto"/>
        <w:jc w:val="both"/>
        <w:rPr>
          <w:rFonts w:ascii="宋体" w:hAnsi="宋体" w:cs="仿宋"/>
          <w:sz w:val="24"/>
        </w:rPr>
      </w:pPr>
      <w:r>
        <w:rPr>
          <w:rFonts w:hint="eastAsia" w:ascii="宋体" w:hAnsi="宋体" w:cs="仿宋"/>
          <w:sz w:val="24"/>
        </w:rPr>
        <w:t>4.2.2除供应商须知前附表另有规定外，供应商所提交的响应文件不于退还。</w:t>
      </w:r>
    </w:p>
    <w:p>
      <w:pPr>
        <w:adjustRightInd w:val="0"/>
        <w:snapToGrid w:val="0"/>
        <w:spacing w:line="360"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60"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60"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60" w:lineRule="auto"/>
        <w:jc w:val="both"/>
        <w:rPr>
          <w:rFonts w:ascii="宋体" w:hAnsi="宋体" w:cs="仿宋"/>
          <w:sz w:val="24"/>
        </w:rPr>
      </w:pPr>
      <w:r>
        <w:rPr>
          <w:rFonts w:hint="eastAsia" w:ascii="宋体" w:hAnsi="宋体" w:cs="仿宋"/>
          <w:sz w:val="24"/>
        </w:rPr>
        <w:t>4.3.3除供应商须知前附表另有规定外，供应商撤回响应文件的，采购人应在5日内退还已收取的响应保证金。</w:t>
      </w:r>
    </w:p>
    <w:p>
      <w:pPr>
        <w:adjustRightInd w:val="0"/>
        <w:snapToGrid w:val="0"/>
        <w:spacing w:line="360"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60" w:lineRule="auto"/>
        <w:jc w:val="both"/>
        <w:rPr>
          <w:rFonts w:ascii="宋体" w:hAnsi="宋体" w:cs="仿宋"/>
          <w:b/>
          <w:bCs/>
          <w:sz w:val="24"/>
        </w:rPr>
      </w:pPr>
      <w:r>
        <w:rPr>
          <w:rFonts w:hint="eastAsia" w:ascii="宋体" w:hAnsi="宋体" w:cs="仿宋"/>
          <w:b/>
          <w:bCs/>
          <w:sz w:val="24"/>
        </w:rPr>
        <w:t>5开启响应文件</w:t>
      </w:r>
    </w:p>
    <w:p>
      <w:pPr>
        <w:adjustRightInd w:val="0"/>
        <w:snapToGrid w:val="0"/>
        <w:spacing w:line="360" w:lineRule="auto"/>
        <w:ind w:firstLine="455" w:firstLineChars="189"/>
        <w:jc w:val="both"/>
        <w:rPr>
          <w:rFonts w:ascii="宋体" w:hAnsi="宋体" w:cs="仿宋"/>
          <w:sz w:val="24"/>
        </w:rPr>
      </w:pPr>
      <w:r>
        <w:rPr>
          <w:rFonts w:hint="eastAsia" w:ascii="宋体" w:hAnsi="宋体" w:cs="仿宋"/>
          <w:b/>
          <w:sz w:val="24"/>
        </w:rPr>
        <w:t>采购人一般不公开开启响应文件。如</w:t>
      </w:r>
      <w:r>
        <w:rPr>
          <w:rFonts w:hint="eastAsia" w:ascii="宋体" w:hAnsi="宋体" w:cs="仿宋"/>
          <w:sz w:val="24"/>
        </w:rPr>
        <w:t>供应商须知前附表规定公开开启响应文件的，开启活动应按本条规定执行。</w:t>
      </w:r>
    </w:p>
    <w:p>
      <w:pPr>
        <w:adjustRightInd w:val="0"/>
        <w:snapToGrid w:val="0"/>
        <w:spacing w:line="360"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adjustRightInd w:val="0"/>
        <w:snapToGrid w:val="0"/>
        <w:spacing w:line="360"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adjustRightInd w:val="0"/>
        <w:snapToGrid w:val="0"/>
        <w:spacing w:line="360" w:lineRule="auto"/>
        <w:ind w:firstLine="453" w:firstLineChars="189"/>
        <w:jc w:val="both"/>
        <w:rPr>
          <w:rFonts w:hint="eastAsia" w:ascii="宋体" w:hAnsi="宋体" w:eastAsia="宋体" w:cs="仿宋"/>
          <w:sz w:val="24"/>
          <w:lang w:eastAsia="zh-CN"/>
        </w:rPr>
      </w:pPr>
      <w:r>
        <w:rPr>
          <w:rFonts w:hint="eastAsia" w:ascii="宋体" w:hAnsi="宋体" w:cs="仿宋"/>
          <w:sz w:val="24"/>
        </w:rPr>
        <w:t>(2)开启会议结束。</w:t>
      </w:r>
    </w:p>
    <w:p>
      <w:pPr>
        <w:adjustRightInd w:val="0"/>
        <w:snapToGrid w:val="0"/>
        <w:spacing w:line="360" w:lineRule="auto"/>
        <w:ind w:firstLine="455" w:firstLineChars="189"/>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递交响应文件的供应商数量不足两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60" w:lineRule="auto"/>
        <w:jc w:val="both"/>
        <w:rPr>
          <w:rFonts w:ascii="宋体" w:hAnsi="宋体" w:cs="仿宋"/>
          <w:b/>
          <w:bCs/>
          <w:sz w:val="24"/>
        </w:rPr>
      </w:pPr>
      <w:r>
        <w:rPr>
          <w:rFonts w:hint="eastAsia" w:ascii="宋体" w:hAnsi="宋体" w:cs="仿宋"/>
          <w:b/>
          <w:bCs/>
          <w:sz w:val="24"/>
        </w:rPr>
        <w:t>6评审</w:t>
      </w:r>
    </w:p>
    <w:p>
      <w:pPr>
        <w:adjustRightInd w:val="0"/>
        <w:snapToGrid w:val="0"/>
        <w:spacing w:line="360"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60"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60" w:lineRule="auto"/>
        <w:jc w:val="both"/>
        <w:rPr>
          <w:rFonts w:ascii="宋体" w:hAnsi="宋体" w:cs="仿宋"/>
          <w:sz w:val="24"/>
        </w:rPr>
      </w:pPr>
      <w:r>
        <w:rPr>
          <w:rFonts w:hint="eastAsia" w:ascii="宋体" w:hAnsi="宋体" w:cs="仿宋"/>
          <w:sz w:val="24"/>
        </w:rPr>
        <w:t>6.1.2评审小组成员有下列情形之的，应当回避:</w:t>
      </w:r>
    </w:p>
    <w:p>
      <w:pPr>
        <w:adjustRightInd w:val="0"/>
        <w:snapToGrid w:val="0"/>
        <w:spacing w:line="360" w:lineRule="auto"/>
        <w:ind w:left="716" w:leftChars="284" w:hanging="120" w:hangingChars="50"/>
        <w:jc w:val="both"/>
        <w:rPr>
          <w:rFonts w:hint="eastAsia" w:ascii="宋体" w:hAnsi="宋体" w:eastAsia="宋体" w:cs="仿宋"/>
          <w:sz w:val="24"/>
          <w:lang w:eastAsia="zh-CN"/>
        </w:rPr>
      </w:pPr>
      <w:r>
        <w:rPr>
          <w:rFonts w:hint="eastAsia" w:ascii="宋体" w:hAnsi="宋体" w:cs="仿宋"/>
          <w:sz w:val="24"/>
        </w:rPr>
        <w:t>（1）供应商主要负责人或供应商主要负责人的近亲属;</w:t>
      </w:r>
    </w:p>
    <w:p>
      <w:pPr>
        <w:adjustRightInd w:val="0"/>
        <w:snapToGrid w:val="0"/>
        <w:spacing w:line="360" w:lineRule="auto"/>
        <w:ind w:left="716" w:leftChars="284" w:hanging="120" w:hangingChars="50"/>
        <w:jc w:val="both"/>
        <w:rPr>
          <w:rFonts w:ascii="宋体" w:hAnsi="宋体" w:cs="仿宋"/>
          <w:sz w:val="24"/>
        </w:rPr>
      </w:pPr>
      <w:r>
        <w:rPr>
          <w:rFonts w:hint="eastAsia" w:ascii="宋体" w:hAnsi="宋体" w:cs="仿宋"/>
          <w:sz w:val="24"/>
        </w:rPr>
        <w:t>(2)与供应商有经济利益关系或其他利害关系，可能影响公正评审的。</w:t>
      </w:r>
    </w:p>
    <w:p>
      <w:pPr>
        <w:adjustRightInd w:val="0"/>
        <w:snapToGrid w:val="0"/>
        <w:spacing w:line="360" w:lineRule="auto"/>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60"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60" w:lineRule="auto"/>
        <w:jc w:val="both"/>
        <w:rPr>
          <w:rFonts w:ascii="宋体" w:hAnsi="宋体" w:cs="仿宋"/>
          <w:b/>
          <w:bCs/>
          <w:sz w:val="24"/>
        </w:rPr>
      </w:pPr>
      <w:r>
        <w:rPr>
          <w:rFonts w:hint="eastAsia" w:ascii="宋体" w:hAnsi="宋体" w:cs="仿宋"/>
          <w:b/>
          <w:bCs/>
          <w:sz w:val="24"/>
        </w:rPr>
        <w:t>6.2评审</w:t>
      </w:r>
    </w:p>
    <w:p>
      <w:pPr>
        <w:adjustRightInd w:val="0"/>
        <w:snapToGrid w:val="0"/>
        <w:spacing w:line="360"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60" w:lineRule="auto"/>
        <w:jc w:val="both"/>
        <w:rPr>
          <w:rFonts w:ascii="宋体" w:hAnsi="宋体" w:cs="仿宋"/>
          <w:sz w:val="24"/>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60" w:lineRule="auto"/>
        <w:jc w:val="both"/>
        <w:rPr>
          <w:rFonts w:ascii="宋体" w:hAnsi="宋体" w:cs="仿宋"/>
          <w:b/>
          <w:bCs/>
          <w:sz w:val="24"/>
        </w:rPr>
      </w:pPr>
      <w:r>
        <w:rPr>
          <w:rFonts w:hint="eastAsia" w:ascii="宋体" w:hAnsi="宋体" w:cs="仿宋"/>
          <w:b/>
          <w:bCs/>
          <w:sz w:val="24"/>
        </w:rPr>
        <w:t>7合同授予</w:t>
      </w:r>
    </w:p>
    <w:p>
      <w:pPr>
        <w:adjustRightInd w:val="0"/>
        <w:snapToGrid w:val="0"/>
        <w:spacing w:line="360" w:lineRule="auto"/>
        <w:jc w:val="both"/>
        <w:rPr>
          <w:rFonts w:ascii="宋体" w:hAnsi="宋体" w:cs="仿宋"/>
          <w:b/>
          <w:bCs/>
          <w:sz w:val="24"/>
        </w:rPr>
      </w:pPr>
      <w:r>
        <w:rPr>
          <w:rFonts w:hint="eastAsia" w:ascii="宋体" w:hAnsi="宋体" w:cs="仿宋"/>
          <w:b/>
          <w:bCs/>
          <w:sz w:val="24"/>
        </w:rPr>
        <w:t>7.1成交候选供应商报价核查</w:t>
      </w:r>
    </w:p>
    <w:p>
      <w:pPr>
        <w:widowControl w:val="0"/>
        <w:adjustRightInd w:val="0"/>
        <w:snapToGrid w:val="0"/>
        <w:spacing w:line="360"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60" w:lineRule="auto"/>
        <w:jc w:val="both"/>
        <w:rPr>
          <w:rFonts w:ascii="宋体" w:hAnsi="宋体" w:cs="宋体"/>
          <w:b/>
          <w:bCs/>
          <w:sz w:val="24"/>
        </w:rPr>
      </w:pPr>
      <w:r>
        <w:rPr>
          <w:rFonts w:hint="eastAsia" w:ascii="宋体" w:hAnsi="宋体" w:cs="仿宋"/>
          <w:b/>
          <w:bCs/>
          <w:sz w:val="24"/>
        </w:rPr>
        <w:t>7.2</w:t>
      </w:r>
      <w:r>
        <w:rPr>
          <w:rFonts w:hint="eastAsia" w:ascii="宋体" w:hAnsi="宋体" w:cs="宋体"/>
          <w:b/>
          <w:bCs/>
          <w:sz w:val="24"/>
        </w:rPr>
        <w:t>成交候选</w:t>
      </w:r>
      <w:r>
        <w:rPr>
          <w:rFonts w:hint="eastAsia" w:ascii="宋体" w:hAnsi="宋体" w:cs="仿宋"/>
          <w:b/>
          <w:bCs/>
          <w:sz w:val="24"/>
        </w:rPr>
        <w:t>供应商</w:t>
      </w:r>
      <w:r>
        <w:rPr>
          <w:rFonts w:hint="eastAsia" w:ascii="宋体" w:hAnsi="宋体" w:cs="宋体"/>
          <w:b/>
          <w:bCs/>
          <w:sz w:val="24"/>
        </w:rPr>
        <w:t>公示（本项目不进行公示）</w:t>
      </w:r>
    </w:p>
    <w:p>
      <w:pPr>
        <w:widowControl w:val="0"/>
        <w:adjustRightInd w:val="0"/>
        <w:snapToGrid w:val="0"/>
        <w:spacing w:line="360" w:lineRule="auto"/>
        <w:ind w:firstLine="480" w:firstLineChars="200"/>
        <w:jc w:val="both"/>
        <w:rPr>
          <w:rFonts w:ascii="宋体" w:hAnsi="宋体" w:cs="宋体"/>
          <w:sz w:val="24"/>
        </w:rPr>
      </w:pPr>
      <w:r>
        <w:rPr>
          <w:rFonts w:hint="eastAsia" w:ascii="宋体" w:hAnsi="宋体" w:cs="宋体"/>
          <w:sz w:val="24"/>
        </w:rPr>
        <w:t>采购人按照供应商须知前附表规定的公示媒介和期限公示成交候选供应商。</w:t>
      </w:r>
    </w:p>
    <w:p>
      <w:pPr>
        <w:widowControl w:val="0"/>
        <w:adjustRightInd w:val="0"/>
        <w:snapToGrid w:val="0"/>
        <w:spacing w:line="360" w:lineRule="auto"/>
        <w:jc w:val="both"/>
        <w:rPr>
          <w:rFonts w:ascii="宋体" w:hAnsi="宋体" w:cs="宋体"/>
          <w:b/>
          <w:bCs/>
          <w:sz w:val="24"/>
        </w:rPr>
      </w:pPr>
      <w:bookmarkStart w:id="20" w:name="_Toc24135"/>
      <w:r>
        <w:rPr>
          <w:rFonts w:hint="eastAsia" w:ascii="宋体" w:hAnsi="宋体" w:cs="宋体"/>
          <w:b/>
          <w:bCs/>
          <w:sz w:val="24"/>
        </w:rPr>
        <w:t>7.3成交结果异议</w:t>
      </w:r>
      <w:bookmarkEnd w:id="20"/>
    </w:p>
    <w:p>
      <w:pPr>
        <w:adjustRightInd w:val="0"/>
        <w:snapToGrid w:val="0"/>
        <w:spacing w:line="360"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60" w:lineRule="auto"/>
        <w:jc w:val="both"/>
        <w:rPr>
          <w:rFonts w:ascii="宋体" w:hAnsi="宋体" w:cs="仿宋"/>
          <w:b/>
          <w:bCs/>
          <w:sz w:val="24"/>
        </w:rPr>
      </w:pPr>
      <w:r>
        <w:rPr>
          <w:rFonts w:hint="eastAsia" w:ascii="宋体" w:hAnsi="宋体" w:cs="仿宋"/>
          <w:b/>
          <w:bCs/>
          <w:sz w:val="24"/>
        </w:rPr>
        <w:t>7.4成交候选供应商履约能力核查</w:t>
      </w:r>
    </w:p>
    <w:p>
      <w:pPr>
        <w:spacing w:line="360"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60"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60" w:lineRule="auto"/>
        <w:jc w:val="both"/>
        <w:rPr>
          <w:rFonts w:ascii="宋体" w:hAnsi="宋体" w:cs="仿宋"/>
          <w:b/>
          <w:bCs/>
          <w:sz w:val="24"/>
        </w:rPr>
      </w:pPr>
      <w:r>
        <w:rPr>
          <w:rFonts w:hint="eastAsia" w:ascii="宋体" w:hAnsi="宋体" w:cs="仿宋"/>
          <w:b/>
          <w:bCs/>
          <w:sz w:val="24"/>
        </w:rPr>
        <w:t>7.6履约保证金</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ascii="宋体" w:hAnsi="宋体" w:cs="仿宋"/>
          <w:sz w:val="24"/>
        </w:rPr>
        <w:t>10</w:t>
      </w:r>
      <w:r>
        <w:rPr>
          <w:rFonts w:hint="eastAsia" w:ascii="宋体" w:hAnsi="宋体" w:cs="仿宋"/>
          <w:sz w:val="24"/>
        </w:rPr>
        <w:t>%。</w:t>
      </w:r>
    </w:p>
    <w:p>
      <w:pPr>
        <w:adjustRightInd w:val="0"/>
        <w:snapToGrid w:val="0"/>
        <w:spacing w:line="360"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60"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60" w:lineRule="auto"/>
        <w:jc w:val="both"/>
        <w:rPr>
          <w:rFonts w:ascii="宋体" w:hAnsi="宋体" w:cs="仿宋"/>
          <w:sz w:val="24"/>
        </w:rPr>
      </w:pPr>
      <w:r>
        <w:rPr>
          <w:rFonts w:hint="eastAsia" w:ascii="宋体" w:hAnsi="宋体" w:cs="仿宋"/>
          <w:sz w:val="24"/>
        </w:rPr>
        <w:t>7.7.3联合体成交的，联合体各方应当共同与采购人签订合同，就成交项目向采购人承担连带责任。</w:t>
      </w:r>
    </w:p>
    <w:p>
      <w:pPr>
        <w:adjustRightInd w:val="0"/>
        <w:snapToGrid w:val="0"/>
        <w:spacing w:line="360" w:lineRule="auto"/>
        <w:jc w:val="both"/>
        <w:rPr>
          <w:rFonts w:ascii="宋体" w:hAnsi="宋体" w:cs="仿宋"/>
          <w:sz w:val="24"/>
        </w:rPr>
      </w:pPr>
      <w:r>
        <w:rPr>
          <w:rFonts w:hint="eastAsia" w:ascii="宋体" w:hAnsi="宋体" w:cs="仿宋"/>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60"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60" w:lineRule="auto"/>
        <w:jc w:val="both"/>
        <w:rPr>
          <w:rFonts w:ascii="宋体" w:hAnsi="宋体" w:cs="仿宋"/>
          <w:b/>
          <w:bCs/>
          <w:sz w:val="24"/>
        </w:rPr>
      </w:pPr>
      <w:r>
        <w:rPr>
          <w:rFonts w:hint="eastAsia" w:ascii="宋体" w:hAnsi="宋体" w:cs="仿宋"/>
          <w:b/>
          <w:bCs/>
          <w:sz w:val="24"/>
        </w:rPr>
        <w:t>8异议</w:t>
      </w:r>
    </w:p>
    <w:p>
      <w:pPr>
        <w:adjustRightInd w:val="0"/>
        <w:snapToGrid w:val="0"/>
        <w:spacing w:line="360"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60"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60" w:lineRule="auto"/>
        <w:jc w:val="both"/>
        <w:rPr>
          <w:rFonts w:ascii="宋体" w:hAnsi="宋体" w:cs="仿宋"/>
          <w:b/>
          <w:bCs/>
          <w:sz w:val="24"/>
        </w:rPr>
      </w:pPr>
      <w:r>
        <w:rPr>
          <w:rFonts w:hint="eastAsia" w:ascii="宋体" w:hAnsi="宋体" w:cs="仿宋"/>
          <w:b/>
          <w:bCs/>
          <w:sz w:val="24"/>
        </w:rPr>
        <w:t>9纪律要求</w:t>
      </w:r>
    </w:p>
    <w:p>
      <w:pPr>
        <w:adjustRightInd w:val="0"/>
        <w:snapToGrid w:val="0"/>
        <w:spacing w:line="360"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60"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60"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60"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60" w:lineRule="auto"/>
        <w:jc w:val="both"/>
        <w:rPr>
          <w:rFonts w:ascii="宋体" w:hAnsi="宋体" w:cs="仿宋"/>
          <w:b/>
          <w:bCs/>
          <w:sz w:val="24"/>
        </w:rPr>
      </w:pPr>
      <w:r>
        <w:rPr>
          <w:rFonts w:hint="eastAsia" w:ascii="宋体" w:hAnsi="宋体" w:cs="仿宋"/>
          <w:b/>
          <w:bCs/>
          <w:sz w:val="24"/>
        </w:rPr>
        <w:t>10需要补充的其他内容</w:t>
      </w:r>
    </w:p>
    <w:p>
      <w:pPr>
        <w:adjustRightInd w:val="0"/>
        <w:snapToGrid w:val="0"/>
        <w:spacing w:line="360" w:lineRule="auto"/>
        <w:jc w:val="both"/>
        <w:rPr>
          <w:rFonts w:ascii="宋体" w:hAnsi="宋体" w:cs="仿宋"/>
          <w:sz w:val="24"/>
        </w:rPr>
      </w:pPr>
      <w:r>
        <w:rPr>
          <w:rFonts w:hint="eastAsia" w:ascii="宋体" w:hAnsi="宋体" w:cs="仿宋"/>
          <w:b/>
          <w:bCs/>
          <w:sz w:val="24"/>
        </w:rPr>
        <w:t>10.1</w:t>
      </w:r>
      <w:r>
        <w:rPr>
          <w:rFonts w:hint="eastAsia" w:ascii="宋体" w:hAnsi="宋体" w:cs="仿宋"/>
          <w:sz w:val="24"/>
        </w:rPr>
        <w:t>需更补充的其他内容:见供应商须知前附表。</w:t>
      </w:r>
    </w:p>
    <w:p>
      <w:pPr>
        <w:spacing w:line="360" w:lineRule="auto"/>
        <w:rPr>
          <w:lang w:val="zh-CN"/>
        </w:rPr>
      </w:pPr>
      <w:r>
        <w:rPr>
          <w:lang w:val="zh-CN"/>
        </w:rPr>
        <w:br w:type="page"/>
      </w:r>
    </w:p>
    <w:p>
      <w:pPr>
        <w:adjustRightInd w:val="0"/>
        <w:snapToGrid w:val="0"/>
        <w:spacing w:line="360" w:lineRule="auto"/>
        <w:outlineLvl w:val="0"/>
        <w:rPr>
          <w:rFonts w:ascii="宋体" w:hAnsi="宋体" w:cs="仿宋"/>
          <w:sz w:val="30"/>
          <w:szCs w:val="30"/>
        </w:rPr>
      </w:pPr>
      <w:bookmarkStart w:id="21" w:name="_Toc21101"/>
      <w:bookmarkStart w:id="22" w:name="_Toc22381"/>
      <w:r>
        <w:rPr>
          <w:rFonts w:hint="eastAsia" w:ascii="宋体" w:hAnsi="宋体" w:cs="仿宋"/>
          <w:sz w:val="30"/>
          <w:szCs w:val="30"/>
        </w:rPr>
        <w:t>附件1  开启记录表</w:t>
      </w:r>
      <w:bookmarkEnd w:id="21"/>
      <w:bookmarkEnd w:id="22"/>
    </w:p>
    <w:p>
      <w:pPr>
        <w:adjustRightInd w:val="0"/>
        <w:snapToGrid w:val="0"/>
        <w:spacing w:line="360" w:lineRule="auto"/>
        <w:ind w:firstLine="723" w:firstLineChars="200"/>
        <w:jc w:val="center"/>
        <w:rPr>
          <w:rFonts w:ascii="华文中宋" w:hAnsi="华文中宋" w:eastAsia="华文中宋" w:cs="仿宋"/>
          <w:b/>
          <w:bCs/>
          <w:sz w:val="36"/>
          <w:szCs w:val="36"/>
        </w:rPr>
      </w:pPr>
    </w:p>
    <w:p>
      <w:pPr>
        <w:adjustRightInd w:val="0"/>
        <w:snapToGrid w:val="0"/>
        <w:spacing w:line="360" w:lineRule="auto"/>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360" w:lineRule="auto"/>
        <w:ind w:firstLine="723" w:firstLineChars="200"/>
        <w:jc w:val="center"/>
        <w:rPr>
          <w:rFonts w:ascii="华文中宋" w:hAnsi="华文中宋" w:eastAsia="华文中宋" w:cs="仿宋"/>
          <w:b/>
          <w:bCs/>
          <w:sz w:val="36"/>
          <w:szCs w:val="36"/>
        </w:rPr>
      </w:pPr>
    </w:p>
    <w:p>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开启时间：年月日时分</w:t>
      </w:r>
    </w:p>
    <w:tbl>
      <w:tblPr>
        <w:tblStyle w:val="18"/>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2049"/>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1238"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029"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（供应商须知前附表规定的其他应公布的信息）</w:t>
            </w:r>
          </w:p>
        </w:tc>
        <w:tc>
          <w:tcPr>
            <w:tcW w:w="1029"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029"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bl>
    <w:p>
      <w:pPr>
        <w:spacing w:line="360" w:lineRule="auto"/>
        <w:jc w:val="both"/>
        <w:rPr>
          <w:rFonts w:cs="仿宋" w:asciiTheme="minorEastAsia" w:hAnsiTheme="minorEastAsia" w:eastAsiaTheme="minorEastAsia"/>
          <w:sz w:val="24"/>
        </w:rPr>
      </w:pPr>
    </w:p>
    <w:p>
      <w:pPr>
        <w:spacing w:line="36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      记录人：监督人：</w:t>
      </w:r>
    </w:p>
    <w:p>
      <w:pPr>
        <w:spacing w:line="360" w:lineRule="auto"/>
        <w:jc w:val="both"/>
        <w:rPr>
          <w:rFonts w:cs="仿宋" w:asciiTheme="minorEastAsia" w:hAnsiTheme="minorEastAsia" w:eastAsiaTheme="minorEastAsia"/>
          <w:sz w:val="24"/>
        </w:rPr>
      </w:pPr>
    </w:p>
    <w:p>
      <w:pPr>
        <w:spacing w:line="360" w:lineRule="auto"/>
        <w:jc w:val="both"/>
        <w:rPr>
          <w:rFonts w:ascii="仿宋" w:hAnsi="仿宋" w:eastAsia="仿宋" w:cs="仿宋"/>
          <w:sz w:val="30"/>
          <w:szCs w:val="30"/>
        </w:rPr>
      </w:pPr>
    </w:p>
    <w:p>
      <w:pPr>
        <w:spacing w:line="360" w:lineRule="auto"/>
        <w:jc w:val="both"/>
        <w:rPr>
          <w:rFonts w:ascii="仿宋" w:hAnsi="仿宋" w:eastAsia="仿宋" w:cs="仿宋"/>
          <w:sz w:val="30"/>
          <w:szCs w:val="30"/>
        </w:rPr>
      </w:pPr>
      <w:r>
        <w:rPr>
          <w:rFonts w:ascii="仿宋" w:hAnsi="仿宋" w:eastAsia="仿宋" w:cs="仿宋"/>
          <w:sz w:val="30"/>
          <w:szCs w:val="30"/>
        </w:rPr>
        <w:br w:type="page"/>
      </w:r>
    </w:p>
    <w:p>
      <w:pPr>
        <w:adjustRightInd w:val="0"/>
        <w:snapToGrid w:val="0"/>
        <w:spacing w:line="360" w:lineRule="auto"/>
        <w:rPr>
          <w:rFonts w:ascii="宋体" w:hAnsi="宋体" w:cs="仿宋"/>
          <w:sz w:val="30"/>
          <w:szCs w:val="30"/>
        </w:rPr>
      </w:pPr>
      <w:r>
        <w:rPr>
          <w:rFonts w:hint="eastAsia" w:ascii="宋体" w:hAnsi="宋体" w:cs="仿宋"/>
          <w:sz w:val="30"/>
          <w:szCs w:val="30"/>
        </w:rPr>
        <w:t>附件2  问题的澄清</w:t>
      </w:r>
    </w:p>
    <w:p>
      <w:pPr>
        <w:adjustRightInd w:val="0"/>
        <w:snapToGrid w:val="0"/>
        <w:spacing w:line="360" w:lineRule="auto"/>
        <w:jc w:val="center"/>
        <w:rPr>
          <w:rFonts w:ascii="华文中宋" w:hAnsi="华文中宋" w:eastAsia="华文中宋" w:cs="仿宋"/>
          <w:b/>
          <w:bCs/>
          <w:sz w:val="36"/>
          <w:szCs w:val="36"/>
        </w:rPr>
      </w:pPr>
    </w:p>
    <w:p>
      <w:pPr>
        <w:adjustRightInd w:val="0"/>
        <w:snapToGrid w:val="0"/>
        <w:spacing w:line="360" w:lineRule="auto"/>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360" w:lineRule="auto"/>
        <w:ind w:firstLine="480" w:firstLineChars="200"/>
        <w:jc w:val="center"/>
        <w:rPr>
          <w:rFonts w:ascii="宋体" w:hAnsi="宋体" w:cs="仿宋"/>
          <w:sz w:val="24"/>
        </w:rPr>
      </w:pPr>
      <w:r>
        <w:rPr>
          <w:rFonts w:hint="eastAsia" w:ascii="宋体" w:hAnsi="宋体" w:cs="仿宋"/>
          <w:sz w:val="24"/>
        </w:rPr>
        <w:t>(编号:)</w:t>
      </w:r>
    </w:p>
    <w:p>
      <w:pPr>
        <w:adjustRightInd w:val="0"/>
        <w:snapToGrid w:val="0"/>
        <w:spacing w:line="360" w:lineRule="auto"/>
        <w:jc w:val="both"/>
        <w:rPr>
          <w:rFonts w:ascii="宋体" w:hAnsi="宋体" w:cs="仿宋"/>
          <w:sz w:val="24"/>
        </w:rPr>
      </w:pPr>
      <w:r>
        <w:rPr>
          <w:rFonts w:hint="eastAsia" w:ascii="宋体" w:hAnsi="宋体" w:cs="仿宋"/>
          <w:sz w:val="24"/>
        </w:rPr>
        <w:t>评审小组:</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问题澄清通知(编号:)已收悉，现澄清、说明和补正如下：</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1.</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2.</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360" w:lineRule="auto"/>
        <w:ind w:firstLine="530" w:firstLineChars="221"/>
        <w:jc w:val="both"/>
        <w:rPr>
          <w:rFonts w:ascii="宋体" w:hAnsi="宋体" w:cs="仿宋"/>
          <w:sz w:val="24"/>
        </w:rPr>
      </w:pPr>
    </w:p>
    <w:p>
      <w:pPr>
        <w:adjustRightInd w:val="0"/>
        <w:snapToGrid w:val="0"/>
        <w:spacing w:line="360" w:lineRule="auto"/>
        <w:ind w:firstLine="5090" w:firstLineChars="2121"/>
        <w:jc w:val="both"/>
        <w:rPr>
          <w:rFonts w:ascii="宋体" w:hAnsi="宋体" w:cs="仿宋"/>
          <w:sz w:val="24"/>
          <w:u w:val="single"/>
        </w:rPr>
      </w:pPr>
      <w:r>
        <w:rPr>
          <w:rFonts w:hint="eastAsia" w:ascii="宋体" w:hAnsi="宋体" w:cs="仿宋"/>
          <w:sz w:val="24"/>
        </w:rPr>
        <w:t>供应商:</w:t>
      </w:r>
      <w:r>
        <w:rPr>
          <w:rFonts w:hint="eastAsia" w:ascii="宋体" w:hAnsi="宋体" w:cs="仿宋"/>
          <w:sz w:val="24"/>
          <w:u w:val="single"/>
        </w:rPr>
        <w:t>(盖单位章)</w:t>
      </w:r>
    </w:p>
    <w:p>
      <w:pPr>
        <w:adjustRightInd w:val="0"/>
        <w:snapToGrid w:val="0"/>
        <w:spacing w:line="360" w:lineRule="auto"/>
        <w:jc w:val="right"/>
        <w:rPr>
          <w:rFonts w:ascii="宋体" w:hAnsi="宋体" w:cs="仿宋"/>
          <w:sz w:val="24"/>
          <w:u w:val="single"/>
        </w:rPr>
      </w:pPr>
      <w:r>
        <w:rPr>
          <w:rFonts w:hint="eastAsia" w:ascii="宋体" w:hAnsi="宋体" w:cs="仿宋"/>
          <w:sz w:val="24"/>
        </w:rPr>
        <w:t>法定代表人(单位负责人)或其授权的代理人:</w:t>
      </w:r>
      <w:r>
        <w:rPr>
          <w:rFonts w:hint="eastAsia" w:ascii="宋体" w:hAnsi="宋体" w:cs="仿宋"/>
          <w:sz w:val="24"/>
          <w:u w:val="single"/>
        </w:rPr>
        <w:t>(签字)</w:t>
      </w:r>
    </w:p>
    <w:p>
      <w:pPr>
        <w:spacing w:line="360" w:lineRule="auto"/>
        <w:jc w:val="right"/>
        <w:rPr>
          <w:rFonts w:ascii="宋体" w:hAnsi="宋体" w:cs="仿宋"/>
          <w:sz w:val="24"/>
        </w:rPr>
      </w:pPr>
      <w:r>
        <w:rPr>
          <w:rFonts w:hint="eastAsia" w:ascii="宋体" w:hAnsi="宋体" w:cs="仿宋"/>
          <w:sz w:val="24"/>
        </w:rPr>
        <w:t>年月日</w:t>
      </w:r>
      <w:r>
        <w:rPr>
          <w:rFonts w:hint="eastAsia" w:ascii="宋体" w:hAnsi="宋体" w:cs="仿宋"/>
          <w:sz w:val="24"/>
        </w:rPr>
        <w:br w:type="page"/>
      </w:r>
    </w:p>
    <w:p>
      <w:pPr>
        <w:adjustRightInd w:val="0"/>
        <w:snapToGrid w:val="0"/>
        <w:spacing w:line="360" w:lineRule="auto"/>
        <w:jc w:val="right"/>
        <w:rPr>
          <w:rFonts w:ascii="仿宋" w:hAnsi="仿宋" w:eastAsia="仿宋" w:cs="仿宋"/>
          <w:sz w:val="30"/>
          <w:szCs w:val="30"/>
        </w:rPr>
      </w:pPr>
    </w:p>
    <w:p>
      <w:pPr>
        <w:adjustRightInd w:val="0"/>
        <w:snapToGrid w:val="0"/>
        <w:spacing w:line="360" w:lineRule="auto"/>
        <w:rPr>
          <w:rFonts w:ascii="宋体" w:hAnsi="宋体" w:cs="仿宋"/>
          <w:sz w:val="30"/>
          <w:szCs w:val="30"/>
        </w:rPr>
      </w:pPr>
      <w:r>
        <w:rPr>
          <w:rFonts w:hint="eastAsia" w:ascii="宋体" w:hAnsi="宋体" w:cs="仿宋"/>
          <w:sz w:val="30"/>
          <w:szCs w:val="30"/>
        </w:rPr>
        <w:t>附件3  确认通知</w:t>
      </w:r>
    </w:p>
    <w:p>
      <w:pPr>
        <w:adjustRightInd w:val="0"/>
        <w:snapToGrid w:val="0"/>
        <w:spacing w:line="360" w:lineRule="auto"/>
        <w:ind w:firstLine="723" w:firstLineChars="200"/>
        <w:jc w:val="both"/>
        <w:rPr>
          <w:rFonts w:ascii="华文中宋" w:hAnsi="华文中宋" w:eastAsia="华文中宋" w:cs="仿宋"/>
          <w:b/>
          <w:bCs/>
          <w:sz w:val="36"/>
          <w:szCs w:val="36"/>
        </w:rPr>
      </w:pPr>
    </w:p>
    <w:p>
      <w:pPr>
        <w:adjustRightInd w:val="0"/>
        <w:snapToGrid w:val="0"/>
        <w:spacing w:line="360" w:lineRule="auto"/>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360" w:lineRule="auto"/>
        <w:ind w:firstLine="723" w:firstLineChars="200"/>
        <w:jc w:val="both"/>
        <w:rPr>
          <w:rFonts w:ascii="华文中宋" w:hAnsi="华文中宋" w:eastAsia="华文中宋" w:cs="仿宋"/>
          <w:b/>
          <w:bCs/>
          <w:sz w:val="36"/>
          <w:szCs w:val="36"/>
        </w:rPr>
      </w:pPr>
    </w:p>
    <w:p>
      <w:pPr>
        <w:adjustRightInd w:val="0"/>
        <w:snapToGrid w:val="0"/>
        <w:spacing w:line="360" w:lineRule="auto"/>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你方于年月日发出的的</w:t>
      </w:r>
      <w:r>
        <w:rPr>
          <w:rFonts w:hint="eastAsia" w:ascii="宋体" w:hAnsi="宋体" w:cs="仿宋"/>
          <w:sz w:val="24"/>
          <w:u w:val="single"/>
        </w:rPr>
        <w:t>(项目名称)</w:t>
      </w:r>
      <w:r>
        <w:rPr>
          <w:rFonts w:hint="eastAsia" w:ascii="宋体" w:hAnsi="宋体" w:cs="仿宋"/>
          <w:sz w:val="24"/>
        </w:rPr>
        <w:t>采购文件的澄清/修改的通知，我方已于年月日收到。</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360" w:lineRule="auto"/>
        <w:ind w:firstLine="480" w:firstLineChars="200"/>
        <w:jc w:val="both"/>
        <w:rPr>
          <w:rFonts w:ascii="宋体" w:hAnsi="宋体" w:cs="仿宋"/>
          <w:sz w:val="24"/>
        </w:rPr>
      </w:pPr>
    </w:p>
    <w:p>
      <w:pPr>
        <w:adjustRightInd w:val="0"/>
        <w:snapToGrid w:val="0"/>
        <w:spacing w:line="360" w:lineRule="auto"/>
        <w:ind w:firstLine="480" w:firstLineChars="200"/>
        <w:jc w:val="both"/>
        <w:rPr>
          <w:rFonts w:ascii="宋体" w:hAnsi="宋体" w:cs="仿宋"/>
          <w:sz w:val="24"/>
        </w:rPr>
      </w:pPr>
    </w:p>
    <w:p>
      <w:pPr>
        <w:adjustRightInd w:val="0"/>
        <w:snapToGrid w:val="0"/>
        <w:spacing w:line="360" w:lineRule="auto"/>
        <w:ind w:firstLine="5090" w:firstLineChars="2121"/>
        <w:jc w:val="both"/>
        <w:rPr>
          <w:rFonts w:ascii="宋体" w:hAnsi="宋体" w:cs="仿宋"/>
          <w:sz w:val="24"/>
          <w:u w:val="single"/>
        </w:rPr>
      </w:pPr>
      <w:r>
        <w:rPr>
          <w:rFonts w:hint="eastAsia" w:ascii="宋体" w:hAnsi="宋体" w:cs="仿宋"/>
          <w:sz w:val="24"/>
        </w:rPr>
        <w:t>供应商:</w:t>
      </w:r>
      <w:r>
        <w:rPr>
          <w:rFonts w:hint="eastAsia" w:ascii="宋体" w:hAnsi="宋体" w:cs="仿宋"/>
          <w:sz w:val="24"/>
          <w:u w:val="single"/>
        </w:rPr>
        <w:t>(盖单位章)</w:t>
      </w:r>
    </w:p>
    <w:p>
      <w:pPr>
        <w:pStyle w:val="24"/>
        <w:spacing w:line="360" w:lineRule="auto"/>
        <w:ind w:firstLine="480"/>
        <w:jc w:val="right"/>
        <w:rPr>
          <w:rFonts w:cs="仿宋"/>
          <w:b/>
          <w:color w:val="000000"/>
        </w:rPr>
      </w:pPr>
      <w:r>
        <w:rPr>
          <w:rFonts w:hint="eastAsia" w:cs="仿宋"/>
        </w:rPr>
        <w:t>年月日</w:t>
      </w:r>
    </w:p>
    <w:p>
      <w:pPr>
        <w:spacing w:line="360" w:lineRule="auto"/>
        <w:rPr>
          <w:lang w:val="zh-CN"/>
        </w:rPr>
      </w:pPr>
      <w:r>
        <w:rPr>
          <w:lang w:val="zh-CN"/>
        </w:rPr>
        <w:br w:type="page"/>
      </w:r>
    </w:p>
    <w:p>
      <w:pPr>
        <w:adjustRightInd w:val="0"/>
        <w:snapToGrid w:val="0"/>
        <w:spacing w:line="360" w:lineRule="auto"/>
        <w:jc w:val="center"/>
        <w:outlineLvl w:val="0"/>
        <w:rPr>
          <w:rFonts w:ascii="黑体" w:hAnsi="黑体" w:eastAsia="黑体" w:cs="仿宋"/>
          <w:bCs/>
          <w:sz w:val="36"/>
          <w:szCs w:val="36"/>
        </w:rPr>
      </w:pPr>
      <w:bookmarkStart w:id="23" w:name="_Toc19413"/>
      <w:bookmarkStart w:id="24" w:name="_Toc9798"/>
      <w:r>
        <w:rPr>
          <w:rFonts w:hint="eastAsia" w:ascii="黑体" w:hAnsi="黑体" w:eastAsia="黑体" w:cs="仿宋"/>
          <w:bCs/>
          <w:sz w:val="36"/>
          <w:szCs w:val="36"/>
        </w:rPr>
        <w:t>第三章 评审办法</w:t>
      </w:r>
      <w:bookmarkEnd w:id="23"/>
      <w:bookmarkEnd w:id="24"/>
    </w:p>
    <w:p>
      <w:pPr>
        <w:adjustRightInd w:val="0"/>
        <w:snapToGrid w:val="0"/>
        <w:spacing w:beforeLines="50" w:afterLines="50" w:line="360" w:lineRule="auto"/>
        <w:jc w:val="center"/>
        <w:rPr>
          <w:rFonts w:ascii="黑体" w:hAnsi="黑体" w:eastAsia="黑体" w:cs="仿宋"/>
          <w:bCs/>
          <w:sz w:val="32"/>
          <w:szCs w:val="32"/>
        </w:rPr>
      </w:pPr>
      <w:r>
        <w:rPr>
          <w:rFonts w:hint="eastAsia" w:ascii="黑体" w:hAnsi="黑体" w:eastAsia="黑体" w:cs="仿宋"/>
          <w:bCs/>
          <w:sz w:val="32"/>
          <w:szCs w:val="32"/>
        </w:rPr>
        <w:t>评审办法前附表</w:t>
      </w:r>
    </w:p>
    <w:tbl>
      <w:tblPr>
        <w:tblStyle w:val="18"/>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118"/>
        <w:gridCol w:w="1754"/>
        <w:gridCol w:w="4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2250" w:type="dxa"/>
            <w:gridSpan w:val="2"/>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条款号及名称</w:t>
            </w:r>
          </w:p>
        </w:tc>
        <w:tc>
          <w:tcPr>
            <w:tcW w:w="1754"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评审因素</w:t>
            </w:r>
          </w:p>
        </w:tc>
        <w:tc>
          <w:tcPr>
            <w:tcW w:w="471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32"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118"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1754"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4715"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1132" w:type="dxa"/>
            <w:vMerge w:val="restart"/>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2.1.1</w:t>
            </w:r>
          </w:p>
        </w:tc>
        <w:tc>
          <w:tcPr>
            <w:tcW w:w="1118" w:type="dxa"/>
            <w:vMerge w:val="restart"/>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形式评审标准</w:t>
            </w:r>
          </w:p>
        </w:tc>
        <w:tc>
          <w:tcPr>
            <w:tcW w:w="1754"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供应商名称</w:t>
            </w:r>
          </w:p>
        </w:tc>
        <w:tc>
          <w:tcPr>
            <w:tcW w:w="4715" w:type="dxa"/>
            <w:vAlign w:val="center"/>
          </w:tcPr>
          <w:p>
            <w:pPr>
              <w:widowControl w:val="0"/>
              <w:adjustRightInd w:val="0"/>
              <w:spacing w:line="360" w:lineRule="auto"/>
              <w:ind w:firstLine="210" w:firstLineChars="100"/>
              <w:jc w:val="left"/>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与营业执照、资质证书一致；</w:t>
            </w:r>
          </w:p>
          <w:p>
            <w:pPr>
              <w:widowControl/>
              <w:adjustRightInd w:val="0"/>
              <w:snapToGrid w:val="0"/>
              <w:spacing w:line="360" w:lineRule="auto"/>
              <w:ind w:firstLine="210" w:firstLineChars="100"/>
              <w:jc w:val="left"/>
              <w:rPr>
                <w:rFonts w:cs="仿宋" w:asciiTheme="minorEastAsia" w:hAnsiTheme="minorEastAsia" w:eastAsiaTheme="minorEastAsia"/>
                <w:szCs w:val="21"/>
              </w:rPr>
            </w:pPr>
            <w:r>
              <w:rPr>
                <w:rFonts w:ascii="宋体" w:hAnsi="宋体"/>
                <w:color w:val="000000"/>
                <w:szCs w:val="21"/>
              </w:rPr>
              <w:t>2</w:t>
            </w:r>
            <w:r>
              <w:rPr>
                <w:rFonts w:hint="eastAsia" w:ascii="宋体" w:hAnsi="宋体"/>
                <w:color w:val="000000"/>
                <w:szCs w:val="21"/>
              </w:rPr>
              <w:t>.</w:t>
            </w:r>
            <w:r>
              <w:rPr>
                <w:rFonts w:ascii="宋体" w:hAnsi="宋体"/>
                <w:color w:val="000000"/>
                <w:szCs w:val="21"/>
              </w:rPr>
              <w:t>若法人名称发生变更，应提供相关部门的合法批件及企业法人营业执照和资质证书的副本变更记录复印件。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32"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118"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响应文件签字盖章</w:t>
            </w:r>
          </w:p>
        </w:tc>
        <w:tc>
          <w:tcPr>
            <w:tcW w:w="4715" w:type="dxa"/>
            <w:vAlign w:val="center"/>
          </w:tcPr>
          <w:p>
            <w:pPr>
              <w:widowControl/>
              <w:adjustRightInd w:val="0"/>
              <w:snapToGrid w:val="0"/>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由供应商的法定代表人或经授权的委托人签字并加盖单位公章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1132"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118"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响应函中实质性内容</w:t>
            </w:r>
          </w:p>
        </w:tc>
        <w:tc>
          <w:tcPr>
            <w:tcW w:w="471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是否根据采购文件中的内容进行响应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132" w:type="dxa"/>
            <w:vMerge w:val="restart"/>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2.1.2</w:t>
            </w:r>
          </w:p>
        </w:tc>
        <w:tc>
          <w:tcPr>
            <w:tcW w:w="1118" w:type="dxa"/>
            <w:vMerge w:val="restart"/>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资格评审标准</w:t>
            </w:r>
          </w:p>
        </w:tc>
        <w:tc>
          <w:tcPr>
            <w:tcW w:w="1754"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依法设立</w:t>
            </w:r>
          </w:p>
        </w:tc>
        <w:tc>
          <w:tcPr>
            <w:tcW w:w="4715"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132"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118"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资质要求</w:t>
            </w:r>
          </w:p>
        </w:tc>
        <w:tc>
          <w:tcPr>
            <w:tcW w:w="4715"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132"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118"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财务要求</w:t>
            </w:r>
          </w:p>
        </w:tc>
        <w:tc>
          <w:tcPr>
            <w:tcW w:w="4715"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132"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118"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业绩要求</w:t>
            </w:r>
          </w:p>
        </w:tc>
        <w:tc>
          <w:tcPr>
            <w:tcW w:w="4715"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132"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118"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信誉要求</w:t>
            </w:r>
          </w:p>
        </w:tc>
        <w:tc>
          <w:tcPr>
            <w:tcW w:w="4715"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132"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118"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人员要求</w:t>
            </w:r>
          </w:p>
        </w:tc>
        <w:tc>
          <w:tcPr>
            <w:tcW w:w="4715"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132"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118"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其他要求</w:t>
            </w:r>
          </w:p>
        </w:tc>
        <w:tc>
          <w:tcPr>
            <w:tcW w:w="4715"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132"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118"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不存在第一章第3.2款情形</w:t>
            </w:r>
          </w:p>
        </w:tc>
        <w:tc>
          <w:tcPr>
            <w:tcW w:w="4715"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32"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118"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联合体供应商</w:t>
            </w:r>
          </w:p>
        </w:tc>
        <w:tc>
          <w:tcPr>
            <w:tcW w:w="4715"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符合第一章第3.1款及供应商须知前附表第3.5（9）款规定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32" w:type="dxa"/>
            <w:vMerge w:val="restart"/>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2.1.3</w:t>
            </w:r>
          </w:p>
        </w:tc>
        <w:tc>
          <w:tcPr>
            <w:tcW w:w="1118" w:type="dxa"/>
            <w:vMerge w:val="restart"/>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响应性评审标准</w:t>
            </w:r>
          </w:p>
        </w:tc>
        <w:tc>
          <w:tcPr>
            <w:tcW w:w="1754"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w:t>
            </w:r>
          </w:p>
        </w:tc>
        <w:tc>
          <w:tcPr>
            <w:tcW w:w="4715"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32"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118"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响应文件有效期</w:t>
            </w:r>
          </w:p>
        </w:tc>
        <w:tc>
          <w:tcPr>
            <w:tcW w:w="4715"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32"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118"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响应保证金</w:t>
            </w:r>
          </w:p>
        </w:tc>
        <w:tc>
          <w:tcPr>
            <w:tcW w:w="4715"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32"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118"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响应方案</w:t>
            </w:r>
          </w:p>
        </w:tc>
        <w:tc>
          <w:tcPr>
            <w:tcW w:w="4715"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32"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118"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质量标准</w:t>
            </w:r>
          </w:p>
        </w:tc>
        <w:tc>
          <w:tcPr>
            <w:tcW w:w="4715"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32"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118"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完成期限</w:t>
            </w:r>
          </w:p>
        </w:tc>
        <w:tc>
          <w:tcPr>
            <w:tcW w:w="4715"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32"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118"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合同条款</w:t>
            </w:r>
          </w:p>
        </w:tc>
        <w:tc>
          <w:tcPr>
            <w:tcW w:w="4715"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32"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118"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对非关键条款的偏差</w:t>
            </w:r>
          </w:p>
        </w:tc>
        <w:tc>
          <w:tcPr>
            <w:tcW w:w="4715"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32"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2.2.2</w:t>
            </w:r>
          </w:p>
        </w:tc>
        <w:tc>
          <w:tcPr>
            <w:tcW w:w="1118" w:type="dxa"/>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评审价格</w:t>
            </w:r>
          </w:p>
        </w:tc>
        <w:tc>
          <w:tcPr>
            <w:tcW w:w="4715"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大写含税价格。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19" w:type="dxa"/>
            <w:gridSpan w:val="4"/>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 详细评审标准和程序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250" w:type="dxa"/>
            <w:gridSpan w:val="2"/>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条款号</w:t>
            </w:r>
          </w:p>
        </w:tc>
        <w:tc>
          <w:tcPr>
            <w:tcW w:w="1754"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条款内容</w:t>
            </w:r>
          </w:p>
        </w:tc>
        <w:tc>
          <w:tcPr>
            <w:tcW w:w="4715"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250" w:type="dxa"/>
            <w:gridSpan w:val="2"/>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754" w:type="dxa"/>
            <w:vAlign w:val="center"/>
          </w:tcPr>
          <w:p>
            <w:pPr>
              <w:widowControl w:val="0"/>
              <w:spacing w:line="360" w:lineRule="auto"/>
              <w:jc w:val="both"/>
              <w:rPr>
                <w:rFonts w:asciiTheme="minorEastAsia" w:hAnsiTheme="minorEastAsia" w:eastAsiaTheme="minorEastAsia"/>
                <w:szCs w:val="21"/>
              </w:rPr>
            </w:pPr>
            <w:r>
              <w:rPr>
                <w:rFonts w:hint="eastAsia" w:asciiTheme="minorEastAsia" w:hAnsiTheme="minorEastAsia" w:eastAsiaTheme="minorEastAsia"/>
                <w:szCs w:val="21"/>
              </w:rPr>
              <w:t>报价</w:t>
            </w:r>
          </w:p>
        </w:tc>
        <w:tc>
          <w:tcPr>
            <w:tcW w:w="4715" w:type="dxa"/>
            <w:vAlign w:val="center"/>
          </w:tcPr>
          <w:p>
            <w:pPr>
              <w:widowControl w:val="0"/>
              <w:adjustRightInd w:val="0"/>
              <w:snapToGrid w:val="0"/>
              <w:spacing w:line="360" w:lineRule="auto"/>
              <w:jc w:val="both"/>
              <w:rPr>
                <w:rFonts w:cs="仿宋" w:asciiTheme="minorEastAsia" w:hAnsiTheme="minorEastAsia" w:eastAsiaTheme="minorEastAsia"/>
                <w:szCs w:val="21"/>
              </w:rPr>
            </w:pPr>
            <w:r>
              <w:rPr>
                <w:rFonts w:hint="eastAsia" w:asciiTheme="minorEastAsia" w:hAnsiTheme="minorEastAsia" w:eastAsiaTheme="minorEastAsia"/>
                <w:szCs w:val="21"/>
              </w:rPr>
              <w:t>根据</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条规定，</w:t>
            </w:r>
            <w:r>
              <w:rPr>
                <w:rFonts w:hint="eastAsia" w:cs="仿宋" w:asciiTheme="minorEastAsia" w:hAnsiTheme="minorEastAsia" w:eastAsiaTheme="minorEastAsia"/>
                <w:szCs w:val="21"/>
              </w:rPr>
              <w:t>按照评审价格由低到高的顺序推荐成交候选供应商。</w:t>
            </w:r>
          </w:p>
        </w:tc>
      </w:tr>
    </w:tbl>
    <w:p>
      <w:pPr>
        <w:spacing w:line="360" w:lineRule="auto"/>
        <w:rPr>
          <w:lang w:val="zh-CN"/>
        </w:rPr>
      </w:pPr>
      <w:r>
        <w:rPr>
          <w:lang w:val="zh-CN"/>
        </w:rPr>
        <w:br w:type="page"/>
      </w:r>
    </w:p>
    <w:p>
      <w:pPr>
        <w:adjustRightInd w:val="0"/>
        <w:snapToGrid w:val="0"/>
        <w:spacing w:line="360" w:lineRule="auto"/>
        <w:jc w:val="center"/>
        <w:rPr>
          <w:rFonts w:ascii="宋体" w:hAnsi="宋体" w:cs="仿宋"/>
          <w:b/>
          <w:bCs/>
          <w:sz w:val="36"/>
          <w:szCs w:val="36"/>
        </w:rPr>
      </w:pPr>
      <w:r>
        <w:rPr>
          <w:rFonts w:hint="eastAsia" w:ascii="宋体" w:hAnsi="宋体" w:cs="仿宋"/>
          <w:b/>
          <w:bCs/>
          <w:sz w:val="36"/>
          <w:szCs w:val="36"/>
        </w:rPr>
        <w:t>评审办法正文</w:t>
      </w:r>
    </w:p>
    <w:p>
      <w:pPr>
        <w:adjustRightInd w:val="0"/>
        <w:snapToGrid w:val="0"/>
        <w:spacing w:line="360" w:lineRule="auto"/>
        <w:jc w:val="both"/>
        <w:rPr>
          <w:rFonts w:ascii="宋体" w:hAnsi="宋体" w:cs="仿宋"/>
          <w:b/>
          <w:bCs/>
          <w:sz w:val="36"/>
          <w:szCs w:val="36"/>
        </w:rPr>
      </w:pPr>
    </w:p>
    <w:p>
      <w:pPr>
        <w:adjustRightInd w:val="0"/>
        <w:snapToGrid w:val="0"/>
        <w:spacing w:line="360" w:lineRule="auto"/>
        <w:jc w:val="both"/>
        <w:rPr>
          <w:rFonts w:ascii="宋体" w:hAnsi="宋体" w:cs="仿宋"/>
          <w:b/>
          <w:bCs/>
          <w:sz w:val="24"/>
        </w:rPr>
      </w:pPr>
      <w:r>
        <w:rPr>
          <w:rFonts w:hint="eastAsia" w:ascii="宋体" w:hAnsi="宋体" w:cs="仿宋"/>
          <w:b/>
          <w:bCs/>
          <w:sz w:val="24"/>
        </w:rPr>
        <w:t>1评审方法(最低价法)</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本次评审采用最低价法。评审小组对满足采购文件实质性要求的响应文件按照本章第2.2.2项规定的方法确定供应商响应报价的评审价格，并按照评审价格由低到高的顺序推荐成交候选供应商。</w:t>
      </w:r>
    </w:p>
    <w:p>
      <w:pPr>
        <w:adjustRightInd w:val="0"/>
        <w:snapToGrid w:val="0"/>
        <w:spacing w:line="360" w:lineRule="auto"/>
        <w:jc w:val="both"/>
        <w:rPr>
          <w:rFonts w:ascii="宋体" w:hAnsi="宋体" w:cs="仿宋"/>
          <w:b/>
          <w:bCs/>
          <w:sz w:val="24"/>
        </w:rPr>
      </w:pPr>
      <w:r>
        <w:rPr>
          <w:rFonts w:hint="eastAsia" w:ascii="宋体" w:hAnsi="宋体" w:cs="仿宋"/>
          <w:b/>
          <w:bCs/>
          <w:sz w:val="24"/>
        </w:rPr>
        <w:t>2初步评审标准和程序</w:t>
      </w:r>
    </w:p>
    <w:p>
      <w:pPr>
        <w:adjustRightInd w:val="0"/>
        <w:snapToGrid w:val="0"/>
        <w:spacing w:line="360" w:lineRule="auto"/>
        <w:jc w:val="both"/>
        <w:rPr>
          <w:rFonts w:ascii="宋体" w:hAnsi="宋体" w:cs="仿宋"/>
          <w:b/>
          <w:bCs/>
          <w:sz w:val="24"/>
        </w:rPr>
      </w:pPr>
      <w:r>
        <w:rPr>
          <w:rFonts w:hint="eastAsia" w:ascii="宋体" w:hAnsi="宋体" w:cs="仿宋"/>
          <w:b/>
          <w:bCs/>
          <w:sz w:val="24"/>
        </w:rPr>
        <w:t>2.1初步评审标准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60" w:lineRule="auto"/>
        <w:jc w:val="both"/>
        <w:rPr>
          <w:rFonts w:ascii="宋体" w:hAnsi="宋体" w:cs="仿宋"/>
          <w:b/>
          <w:bCs/>
          <w:sz w:val="24"/>
        </w:rPr>
      </w:pPr>
      <w:r>
        <w:rPr>
          <w:rFonts w:hint="eastAsia" w:ascii="宋体" w:hAnsi="宋体" w:cs="仿宋"/>
          <w:b/>
          <w:bCs/>
          <w:sz w:val="24"/>
        </w:rPr>
        <w:t>2.2初步评审程序</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2.2.2除评审办法前附表另有规定外，评审价格为供应商在响应函中填报的大写含税价格。</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评审价格若超过最高限价(如有)，其响应文件将被视为无效。</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60"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60"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60"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(3)报价表合计报价与分项报价的合计不一致的，以各分项报价的合价累计数为准;</w:t>
      </w:r>
    </w:p>
    <w:p>
      <w:pPr>
        <w:tabs>
          <w:tab w:val="left" w:pos="312"/>
        </w:tabs>
        <w:adjustRightInd w:val="0"/>
        <w:snapToGrid w:val="0"/>
        <w:spacing w:line="360" w:lineRule="auto"/>
        <w:ind w:firstLine="453" w:firstLineChars="189"/>
        <w:jc w:val="both"/>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tabs>
          <w:tab w:val="left" w:pos="312"/>
        </w:tabs>
        <w:adjustRightInd w:val="0"/>
        <w:snapToGrid w:val="0"/>
        <w:spacing w:line="360"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adjustRightInd w:val="0"/>
        <w:snapToGrid w:val="0"/>
        <w:spacing w:line="360" w:lineRule="auto"/>
        <w:jc w:val="both"/>
        <w:rPr>
          <w:rFonts w:ascii="宋体" w:hAnsi="宋体" w:cs="仿宋"/>
          <w:b/>
          <w:bCs/>
          <w:sz w:val="24"/>
        </w:rPr>
      </w:pPr>
      <w:r>
        <w:rPr>
          <w:rFonts w:hint="eastAsia" w:ascii="宋体" w:hAnsi="宋体" w:cs="仿宋"/>
          <w:b/>
          <w:bCs/>
          <w:sz w:val="24"/>
        </w:rPr>
        <w:t>3详细评审标准和程序</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评审小组对评审价格进行比较后，按照评审价格由低到高的顺序对供应商排序。供应商评审价格相等时，按照评审办法前附表的规定确定供应商优先顺序。</w:t>
      </w:r>
    </w:p>
    <w:p>
      <w:pPr>
        <w:adjustRightInd w:val="0"/>
        <w:snapToGrid w:val="0"/>
        <w:spacing w:line="360" w:lineRule="auto"/>
        <w:jc w:val="both"/>
        <w:rPr>
          <w:rFonts w:ascii="宋体" w:hAnsi="宋体" w:cs="仿宋"/>
          <w:b/>
          <w:bCs/>
          <w:sz w:val="24"/>
        </w:rPr>
      </w:pPr>
      <w:r>
        <w:rPr>
          <w:rFonts w:hint="eastAsia" w:ascii="宋体" w:hAnsi="宋体" w:cs="仿宋"/>
          <w:b/>
          <w:bCs/>
          <w:sz w:val="24"/>
        </w:rPr>
        <w:t>4评审结果</w:t>
      </w:r>
    </w:p>
    <w:p>
      <w:pPr>
        <w:adjustRightInd w:val="0"/>
        <w:snapToGrid w:val="0"/>
        <w:spacing w:line="360" w:lineRule="auto"/>
        <w:jc w:val="both"/>
        <w:rPr>
          <w:rFonts w:ascii="宋体" w:hAnsi="宋体" w:cs="仿宋"/>
          <w:b/>
          <w:bCs/>
          <w:sz w:val="24"/>
        </w:rPr>
      </w:pPr>
      <w:r>
        <w:rPr>
          <w:rFonts w:hint="eastAsia" w:ascii="宋体" w:hAnsi="宋体" w:cs="仿宋"/>
          <w:b/>
          <w:bCs/>
          <w:sz w:val="24"/>
        </w:rPr>
        <w:t>4.1提交书面评审报告</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60" w:lineRule="auto"/>
        <w:jc w:val="both"/>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p>
      <w:pPr>
        <w:pStyle w:val="24"/>
        <w:spacing w:line="360" w:lineRule="auto"/>
        <w:ind w:left="420" w:firstLine="0" w:firstLineChars="0"/>
        <w:jc w:val="center"/>
        <w:rPr>
          <w:rFonts w:ascii="黑体" w:hAnsi="黑体" w:eastAsia="黑体" w:cs="仿宋"/>
          <w:b/>
          <w:color w:val="FF0000"/>
          <w:sz w:val="36"/>
          <w:szCs w:val="36"/>
        </w:rPr>
      </w:pPr>
      <w:r>
        <w:rPr>
          <w:lang w:val="zh-CN"/>
        </w:rPr>
        <w:br w:type="page"/>
      </w:r>
    </w:p>
    <w:p>
      <w:pPr>
        <w:spacing w:line="640" w:lineRule="exact"/>
        <w:jc w:val="center"/>
        <w:rPr>
          <w:rFonts w:ascii="方正小标宋简体" w:eastAsia="方正小标宋简体"/>
          <w:b/>
          <w:sz w:val="44"/>
          <w:szCs w:val="44"/>
        </w:rPr>
      </w:pPr>
      <w:bookmarkStart w:id="25" w:name="_Toc19804"/>
      <w:bookmarkStart w:id="26" w:name="_Toc3478"/>
      <w:r>
        <w:rPr>
          <w:rFonts w:hint="eastAsia" w:ascii="方正小标宋简体" w:eastAsia="方正小标宋简体"/>
          <w:b/>
          <w:sz w:val="44"/>
          <w:szCs w:val="44"/>
        </w:rPr>
        <w:t>岳阳城陵矶新港有限公司</w:t>
      </w:r>
    </w:p>
    <w:p>
      <w:pPr>
        <w:spacing w:line="640" w:lineRule="exact"/>
        <w:jc w:val="center"/>
        <w:rPr>
          <w:rFonts w:ascii="方正小标宋简体" w:eastAsia="方正小标宋简体"/>
          <w:b/>
          <w:sz w:val="44"/>
          <w:szCs w:val="44"/>
        </w:rPr>
      </w:pPr>
      <w:r>
        <w:rPr>
          <w:rFonts w:hint="eastAsia" w:ascii="方正小标宋简体" w:eastAsia="方正小标宋简体"/>
          <w:b/>
          <w:sz w:val="44"/>
          <w:szCs w:val="44"/>
        </w:rPr>
        <w:t>港区绿植规划提质改造合同</w:t>
      </w:r>
    </w:p>
    <w:p>
      <w:pPr>
        <w:spacing w:line="360" w:lineRule="auto"/>
        <w:jc w:val="center"/>
        <w:rPr>
          <w:rFonts w:ascii="仿宋_GB2312" w:eastAsia="仿宋_GB2312"/>
          <w:b/>
          <w:sz w:val="32"/>
          <w:szCs w:val="32"/>
        </w:rPr>
      </w:pPr>
      <w:r>
        <w:rPr>
          <w:rFonts w:hint="eastAsia" w:ascii="仿宋_GB2312" w:eastAsia="仿宋_GB2312"/>
          <w:sz w:val="32"/>
          <w:szCs w:val="32"/>
        </w:rPr>
        <w:t xml:space="preserve">                                    合同编号：</w:t>
      </w:r>
    </w:p>
    <w:p>
      <w:pPr>
        <w:spacing w:line="600" w:lineRule="exact"/>
        <w:rPr>
          <w:rFonts w:ascii="仿宋_GB2312" w:eastAsia="仿宋_GB2312"/>
          <w:b/>
          <w:sz w:val="32"/>
          <w:szCs w:val="32"/>
        </w:rPr>
      </w:pPr>
    </w:p>
    <w:p>
      <w:pPr>
        <w:spacing w:line="600" w:lineRule="exact"/>
        <w:rPr>
          <w:rFonts w:ascii="仿宋_GB2312" w:eastAsia="仿宋_GB2312"/>
          <w:b/>
          <w:sz w:val="32"/>
          <w:szCs w:val="32"/>
        </w:rPr>
      </w:pPr>
      <w:r>
        <w:rPr>
          <w:rFonts w:hint="eastAsia" w:ascii="仿宋_GB2312" w:eastAsia="仿宋_GB2312"/>
          <w:b/>
          <w:sz w:val="32"/>
          <w:szCs w:val="32"/>
        </w:rPr>
        <w:t>甲方：</w:t>
      </w:r>
      <w:r>
        <w:rPr>
          <w:rFonts w:hint="eastAsia" w:ascii="仿宋_GB2312" w:eastAsia="仿宋_GB2312"/>
          <w:b/>
          <w:sz w:val="32"/>
          <w:szCs w:val="32"/>
          <w:u w:val="single"/>
        </w:rPr>
        <w:t xml:space="preserve">岳阳城陵矶新港有限公司         </w:t>
      </w:r>
    </w:p>
    <w:p>
      <w:pPr>
        <w:spacing w:line="600" w:lineRule="exact"/>
        <w:rPr>
          <w:rFonts w:ascii="仿宋_GB2312" w:eastAsia="仿宋_GB2312"/>
          <w:b/>
          <w:sz w:val="32"/>
          <w:szCs w:val="32"/>
          <w:u w:val="single"/>
        </w:rPr>
      </w:pPr>
      <w:r>
        <w:rPr>
          <w:rFonts w:hint="eastAsia" w:ascii="仿宋_GB2312" w:eastAsia="仿宋_GB2312"/>
          <w:b/>
          <w:sz w:val="32"/>
          <w:szCs w:val="32"/>
        </w:rPr>
        <w:t>乙方：</w:t>
      </w:r>
      <w:r>
        <w:rPr>
          <w:rFonts w:hint="eastAsia" w:ascii="仿宋_GB2312" w:eastAsia="仿宋_GB2312"/>
          <w:b/>
          <w:sz w:val="32"/>
          <w:szCs w:val="32"/>
          <w:u w:val="single"/>
        </w:rPr>
        <w:t xml:space="preserve">                               </w:t>
      </w:r>
    </w:p>
    <w:p>
      <w:pPr>
        <w:spacing w:line="480" w:lineRule="exact"/>
        <w:ind w:firstLine="600"/>
        <w:rPr>
          <w:rFonts w:ascii="仿宋" w:hAnsi="仿宋" w:eastAsia="仿宋" w:cs="仿宋"/>
          <w:sz w:val="30"/>
          <w:szCs w:val="30"/>
        </w:rPr>
      </w:pPr>
      <w:r>
        <w:rPr>
          <w:rFonts w:hint="eastAsia" w:ascii="仿宋_GB2312" w:hAnsi="宋体" w:eastAsia="仿宋_GB2312" w:cs="宋体"/>
          <w:sz w:val="32"/>
          <w:szCs w:val="32"/>
        </w:rPr>
        <w:t>依照《中华人民共和国民法典》的有关法律、行政法规、遵循平等、自愿、公平和诚实信用的原则，经双方共同协商一致，</w:t>
      </w:r>
      <w:r>
        <w:rPr>
          <w:rFonts w:hint="eastAsia" w:ascii="仿宋" w:hAnsi="仿宋" w:eastAsia="仿宋" w:cs="仿宋"/>
          <w:sz w:val="30"/>
          <w:szCs w:val="30"/>
        </w:rPr>
        <w:t>达成如下协议条款：</w:t>
      </w:r>
    </w:p>
    <w:p>
      <w:pPr>
        <w:spacing w:line="600" w:lineRule="exact"/>
        <w:ind w:left="681"/>
        <w:rPr>
          <w:rFonts w:ascii="仿宋_GB2312" w:hAnsi="宋体" w:eastAsia="仿宋_GB2312"/>
          <w:sz w:val="32"/>
          <w:szCs w:val="32"/>
          <w:lang w:val="zh-CN"/>
        </w:rPr>
      </w:pPr>
      <w:r>
        <w:rPr>
          <w:rFonts w:hint="eastAsia" w:ascii="仿宋_GB2312" w:eastAsia="仿宋_GB2312"/>
          <w:b/>
          <w:sz w:val="32"/>
          <w:szCs w:val="32"/>
        </w:rPr>
        <w:t xml:space="preserve">第一条 </w:t>
      </w:r>
      <w:r>
        <w:rPr>
          <w:rFonts w:hint="eastAsia" w:ascii="仿宋_GB2312" w:hAnsi="仿宋" w:eastAsia="仿宋_GB2312" w:cs="仿宋"/>
          <w:sz w:val="32"/>
          <w:szCs w:val="32"/>
        </w:rPr>
        <w:t>工程名称：</w:t>
      </w:r>
      <w:r>
        <w:rPr>
          <w:rFonts w:hint="eastAsia" w:ascii="仿宋_GB2312" w:hAnsi="宋体" w:eastAsia="仿宋_GB2312"/>
          <w:sz w:val="32"/>
          <w:szCs w:val="32"/>
        </w:rPr>
        <w:t>港区绿植规划提质改造</w:t>
      </w:r>
      <w:r>
        <w:rPr>
          <w:rFonts w:hint="eastAsia" w:ascii="仿宋_GB2312" w:hAnsi="宋体" w:eastAsia="仿宋_GB2312"/>
          <w:sz w:val="32"/>
          <w:szCs w:val="32"/>
          <w:lang w:val="zh-CN"/>
        </w:rPr>
        <w:t>项目。</w:t>
      </w:r>
    </w:p>
    <w:p>
      <w:pPr>
        <w:spacing w:line="600" w:lineRule="exact"/>
        <w:ind w:left="681"/>
        <w:rPr>
          <w:rFonts w:ascii="仿宋_GB2312" w:hAnsi="仿宋" w:eastAsia="仿宋_GB2312"/>
          <w:b/>
          <w:bCs/>
          <w:sz w:val="32"/>
          <w:szCs w:val="32"/>
        </w:rPr>
      </w:pPr>
      <w:r>
        <w:rPr>
          <w:rFonts w:hint="eastAsia" w:ascii="仿宋_GB2312" w:eastAsia="仿宋_GB2312"/>
          <w:b/>
          <w:sz w:val="32"/>
          <w:szCs w:val="32"/>
        </w:rPr>
        <w:t xml:space="preserve">第二条  </w:t>
      </w:r>
      <w:r>
        <w:rPr>
          <w:rFonts w:hint="eastAsia" w:ascii="仿宋_GB2312" w:hAnsi="仿宋" w:eastAsia="仿宋_GB2312" w:cs="仿宋"/>
          <w:sz w:val="32"/>
          <w:szCs w:val="32"/>
        </w:rPr>
        <w:t>工程地点：</w:t>
      </w:r>
      <w:r>
        <w:rPr>
          <w:rFonts w:hint="eastAsia" w:ascii="仿宋_GB2312" w:hAnsi="宋体" w:eastAsia="仿宋_GB2312"/>
          <w:sz w:val="32"/>
          <w:szCs w:val="32"/>
        </w:rPr>
        <w:t>岳阳城陵矶新港有限公司</w:t>
      </w:r>
      <w:r>
        <w:rPr>
          <w:rFonts w:hint="eastAsia" w:ascii="仿宋_GB2312" w:hAnsi="仿宋" w:eastAsia="仿宋_GB2312" w:cs="仿宋"/>
          <w:sz w:val="32"/>
          <w:szCs w:val="32"/>
        </w:rPr>
        <w:t>。</w:t>
      </w:r>
    </w:p>
    <w:p>
      <w:pPr>
        <w:autoSpaceDE w:val="0"/>
        <w:spacing w:line="600" w:lineRule="exact"/>
        <w:ind w:left="321" w:leftChars="153" w:firstLine="315" w:firstLineChars="98"/>
        <w:rPr>
          <w:rFonts w:ascii="仿宋_GB2312" w:hAnsi="宋体" w:eastAsia="仿宋_GB2312"/>
          <w:sz w:val="32"/>
          <w:szCs w:val="32"/>
        </w:rPr>
      </w:pPr>
      <w:r>
        <w:rPr>
          <w:rFonts w:hint="eastAsia" w:ascii="仿宋_GB2312" w:eastAsia="仿宋_GB2312"/>
          <w:b/>
          <w:sz w:val="32"/>
          <w:szCs w:val="32"/>
        </w:rPr>
        <w:t xml:space="preserve">第三条  </w:t>
      </w:r>
      <w:r>
        <w:rPr>
          <w:rFonts w:hint="eastAsia" w:ascii="仿宋_GB2312" w:hAnsi="仿宋" w:eastAsia="仿宋_GB2312" w:cs="仿宋"/>
          <w:sz w:val="32"/>
          <w:szCs w:val="32"/>
        </w:rPr>
        <w:t>工程范围及内容：</w:t>
      </w:r>
      <w:r>
        <w:rPr>
          <w:rFonts w:hint="eastAsia" w:ascii="仿宋_GB2312" w:hAnsi="宋体" w:eastAsia="仿宋_GB2312"/>
          <w:sz w:val="32"/>
          <w:szCs w:val="32"/>
        </w:rPr>
        <w:t>港区绿植规划提质改造区域含四个主要节点（二期作业楼周边、消防水池泵房、一期作业楼周边、内贸仓库西南边绿化带）及</w:t>
      </w:r>
      <w:r>
        <w:rPr>
          <w:rFonts w:hint="eastAsia" w:ascii="仿宋_GB2312" w:eastAsia="仿宋_GB2312"/>
          <w:sz w:val="32"/>
          <w:szCs w:val="32"/>
        </w:rPr>
        <w:t>5号堆场绿化带区域树木移栽项目</w:t>
      </w:r>
      <w:r>
        <w:rPr>
          <w:rFonts w:hint="eastAsia" w:ascii="仿宋_GB2312" w:hAnsi="宋体" w:eastAsia="仿宋_GB2312"/>
          <w:sz w:val="32"/>
          <w:szCs w:val="32"/>
        </w:rPr>
        <w:t>。</w:t>
      </w:r>
    </w:p>
    <w:p>
      <w:pPr>
        <w:spacing w:line="540" w:lineRule="exact"/>
        <w:ind w:firstLine="630" w:firstLineChars="196"/>
        <w:outlineLvl w:val="0"/>
        <w:rPr>
          <w:rFonts w:ascii="仿宋_GB2312" w:eastAsia="仿宋_GB2312"/>
          <w:sz w:val="32"/>
          <w:szCs w:val="32"/>
        </w:rPr>
      </w:pPr>
      <w:r>
        <w:rPr>
          <w:rFonts w:hint="eastAsia" w:ascii="仿宋_GB2312" w:eastAsia="仿宋_GB2312"/>
          <w:b/>
          <w:sz w:val="32"/>
          <w:szCs w:val="32"/>
        </w:rPr>
        <w:t xml:space="preserve">第四条  </w:t>
      </w:r>
      <w:r>
        <w:rPr>
          <w:rFonts w:hint="eastAsia" w:ascii="仿宋_GB2312" w:eastAsia="仿宋_GB2312"/>
          <w:sz w:val="32"/>
          <w:szCs w:val="32"/>
        </w:rPr>
        <w:t>合同工期：</w:t>
      </w:r>
    </w:p>
    <w:p>
      <w:pPr>
        <w:spacing w:line="600" w:lineRule="exact"/>
        <w:ind w:firstLine="960" w:firstLineChars="300"/>
        <w:rPr>
          <w:rFonts w:ascii="仿宋_GB2312" w:hAnsi="宋体" w:eastAsia="仿宋_GB2312" w:cs="宋体"/>
          <w:sz w:val="32"/>
          <w:szCs w:val="32"/>
        </w:rPr>
      </w:pPr>
      <w:r>
        <w:rPr>
          <w:rFonts w:hint="eastAsia" w:ascii="仿宋_GB2312" w:hAnsi="宋体" w:eastAsia="仿宋_GB2312" w:cs="宋体"/>
          <w:sz w:val="32"/>
          <w:szCs w:val="32"/>
        </w:rPr>
        <w:t>1、总工期45日历天</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雨天顺延</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，计划开工日期：     年   月   日，计划完工日期    年    月   日 。</w:t>
      </w:r>
    </w:p>
    <w:p>
      <w:pPr>
        <w:spacing w:line="600" w:lineRule="exact"/>
        <w:ind w:firstLine="600"/>
        <w:rPr>
          <w:rFonts w:ascii="仿宋_GB2312" w:hAnsi="宋体" w:eastAsia="仿宋_GB2312" w:cs="宋体"/>
          <w:sz w:val="32"/>
          <w:szCs w:val="32"/>
        </w:rPr>
      </w:pPr>
      <w:r>
        <w:rPr>
          <w:rFonts w:hint="eastAsia" w:ascii="仿宋_GB2312" w:hAnsi="宋体" w:eastAsia="仿宋_GB2312" w:cs="宋体"/>
          <w:sz w:val="32"/>
          <w:szCs w:val="32"/>
        </w:rPr>
        <w:t>2、因甲方原因致使工期延误，经甲方认可工期可顺延，乙方进度应满足变更后的总工期目标。因乙方原因影响工期，每延误一天，罚款    元。</w:t>
      </w:r>
    </w:p>
    <w:p>
      <w:pPr>
        <w:spacing w:line="540" w:lineRule="exact"/>
        <w:ind w:firstLine="600"/>
        <w:outlineLvl w:val="0"/>
        <w:rPr>
          <w:rFonts w:ascii="仿宋_GB2312" w:eastAsia="仿宋_GB2312"/>
          <w:b/>
          <w:sz w:val="32"/>
          <w:szCs w:val="32"/>
        </w:rPr>
      </w:pPr>
      <w:r>
        <w:rPr>
          <w:rFonts w:hint="eastAsia" w:ascii="仿宋_GB2312" w:eastAsia="仿宋_GB2312"/>
          <w:b/>
          <w:sz w:val="32"/>
          <w:szCs w:val="32"/>
        </w:rPr>
        <w:t xml:space="preserve">第五条 </w:t>
      </w:r>
      <w:r>
        <w:rPr>
          <w:rFonts w:hint="eastAsia" w:ascii="仿宋_GB2312" w:eastAsia="仿宋_GB2312"/>
          <w:sz w:val="32"/>
          <w:szCs w:val="32"/>
        </w:rPr>
        <w:t>工程质量与验收</w:t>
      </w:r>
      <w:r>
        <w:rPr>
          <w:rFonts w:hint="eastAsia" w:ascii="仿宋_GB2312" w:eastAsia="仿宋_GB2312"/>
          <w:b/>
          <w:sz w:val="32"/>
          <w:szCs w:val="32"/>
        </w:rPr>
        <w:t>：</w:t>
      </w:r>
    </w:p>
    <w:p>
      <w:pPr>
        <w:spacing w:line="600" w:lineRule="exact"/>
        <w:ind w:firstLine="640" w:firstLineChars="200"/>
        <w:rPr>
          <w:rFonts w:ascii="仿宋_GB2312" w:eastAsia="仿宋_GB2312"/>
          <w:sz w:val="32"/>
          <w:szCs w:val="32"/>
        </w:rPr>
      </w:pPr>
      <w:r>
        <w:rPr>
          <w:rFonts w:hint="eastAsia" w:ascii="仿宋_GB2312" w:hAnsi="宋体" w:eastAsia="仿宋_GB2312" w:cs="宋体"/>
          <w:sz w:val="32"/>
          <w:szCs w:val="32"/>
        </w:rPr>
        <w:t>1、乙方必须严格按照工程的国家标准、行业标准、工程所在地的地方性标准，以及相应的法律、法规、规程及甲方质量管理体系的要求，进行工程质量控制</w:t>
      </w:r>
      <w:r>
        <w:rPr>
          <w:rFonts w:hint="eastAsia" w:ascii="仿宋_GB2312" w:eastAsia="仿宋_GB2312"/>
          <w:sz w:val="32"/>
          <w:szCs w:val="32"/>
        </w:rPr>
        <w:t>。</w:t>
      </w:r>
    </w:p>
    <w:p>
      <w:pPr>
        <w:spacing w:line="600" w:lineRule="exact"/>
        <w:ind w:firstLine="600"/>
        <w:rPr>
          <w:rFonts w:ascii="仿宋_GB2312" w:hAnsi="宋体" w:eastAsia="仿宋_GB2312" w:cs="宋体"/>
          <w:sz w:val="32"/>
          <w:szCs w:val="32"/>
        </w:rPr>
      </w:pPr>
      <w:r>
        <w:rPr>
          <w:rFonts w:hint="eastAsia" w:ascii="仿宋_GB2312" w:hAnsi="宋体" w:eastAsia="仿宋_GB2312" w:cs="宋体"/>
          <w:sz w:val="32"/>
          <w:szCs w:val="32"/>
        </w:rPr>
        <w:t>2、本工程具备竣工验收条件时，乙方应提前向甲方提出竣工验收书面通知。甲方在收到乙方书面通知后，及时联系设计及有关部门在7个日历日内进行验收。</w:t>
      </w:r>
    </w:p>
    <w:p>
      <w:pPr>
        <w:spacing w:line="600" w:lineRule="exact"/>
        <w:ind w:firstLine="600"/>
        <w:rPr>
          <w:rFonts w:ascii="仿宋_GB2312" w:hAnsi="宋体" w:eastAsia="仿宋_GB2312" w:cs="宋体"/>
          <w:sz w:val="32"/>
          <w:szCs w:val="32"/>
        </w:rPr>
      </w:pPr>
      <w:r>
        <w:rPr>
          <w:rFonts w:hint="eastAsia" w:ascii="仿宋_GB2312" w:hAnsi="宋体" w:eastAsia="仿宋_GB2312" w:cs="宋体"/>
          <w:sz w:val="32"/>
          <w:szCs w:val="32"/>
        </w:rPr>
        <w:t>3、验收期间，甲方可随时就工程不合格部位提出整改意见，乙方必须限期整改，直至合格为止。</w:t>
      </w:r>
    </w:p>
    <w:p>
      <w:pPr>
        <w:spacing w:line="540" w:lineRule="exact"/>
        <w:ind w:firstLine="600"/>
        <w:outlineLvl w:val="0"/>
        <w:rPr>
          <w:rFonts w:ascii="宋体" w:hAnsi="宋体" w:cs="宋体"/>
          <w:sz w:val="24"/>
        </w:rPr>
      </w:pPr>
      <w:r>
        <w:rPr>
          <w:rFonts w:hint="eastAsia" w:ascii="仿宋_GB2312" w:eastAsia="仿宋_GB2312"/>
          <w:b/>
          <w:sz w:val="32"/>
          <w:szCs w:val="32"/>
        </w:rPr>
        <w:t>第六条</w:t>
      </w:r>
      <w:r>
        <w:rPr>
          <w:rFonts w:hint="eastAsia" w:ascii="仿宋_GB2312" w:eastAsia="仿宋_GB2312"/>
          <w:sz w:val="32"/>
          <w:szCs w:val="32"/>
        </w:rPr>
        <w:t xml:space="preserve">  承包方式、合同价款与支付：</w:t>
      </w:r>
    </w:p>
    <w:p>
      <w:pPr>
        <w:spacing w:line="600" w:lineRule="exact"/>
        <w:ind w:firstLine="592" w:firstLineChars="185"/>
        <w:rPr>
          <w:rFonts w:ascii="仿宋_GB2312" w:hAnsi="宋体" w:eastAsia="仿宋_GB2312" w:cs="宋体"/>
          <w:sz w:val="32"/>
          <w:szCs w:val="32"/>
        </w:rPr>
      </w:pPr>
      <w:r>
        <w:rPr>
          <w:rFonts w:hint="eastAsia" w:ascii="仿宋_GB2312" w:hAnsi="宋体" w:eastAsia="仿宋_GB2312" w:cs="宋体"/>
          <w:sz w:val="32"/>
          <w:szCs w:val="32"/>
        </w:rPr>
        <w:t>1、本合同为施工总价合同（含本工程施工设计和造价服务费壹万贰仟元整，乙方在合同签订10个工作日内一次性支付给岳阳东腾建筑装饰设计有限公司，账户及开户行附后），合同价款包干价为</w:t>
      </w:r>
      <w:r>
        <w:rPr>
          <w:rFonts w:hint="eastAsia" w:ascii="仿宋_GB2312" w:hAnsi="宋体" w:eastAsia="仿宋_GB2312" w:cs="宋体"/>
          <w:sz w:val="32"/>
          <w:szCs w:val="32"/>
          <w:u w:val="single"/>
        </w:rPr>
        <w:t>**</w:t>
      </w:r>
      <w:r>
        <w:rPr>
          <w:rFonts w:hint="eastAsia" w:ascii="仿宋_GB2312" w:hAnsi="宋体" w:eastAsia="仿宋_GB2312" w:cs="宋体"/>
          <w:kern w:val="0"/>
          <w:sz w:val="32"/>
          <w:szCs w:val="32"/>
        </w:rPr>
        <w:t>元，大写：</w:t>
      </w:r>
      <w:r>
        <w:rPr>
          <w:rFonts w:hint="eastAsia" w:ascii="仿宋_GB2312" w:eastAsia="仿宋_GB2312" w:cs="宋体"/>
          <w:sz w:val="32"/>
          <w:szCs w:val="32"/>
        </w:rPr>
        <w:t>**万元</w:t>
      </w:r>
      <w:r>
        <w:rPr>
          <w:rFonts w:hint="eastAsia" w:ascii="仿宋_GB2312" w:hAnsi="宋体" w:eastAsia="仿宋_GB2312" w:cs="宋体"/>
          <w:kern w:val="0"/>
          <w:sz w:val="32"/>
          <w:szCs w:val="32"/>
        </w:rPr>
        <w:t>整</w:t>
      </w:r>
      <w:r>
        <w:rPr>
          <w:rFonts w:hint="eastAsia" w:ascii="仿宋_GB2312" w:hAnsi="宋体" w:eastAsia="仿宋_GB2312" w:cs="宋体"/>
          <w:sz w:val="32"/>
          <w:szCs w:val="32"/>
        </w:rPr>
        <w:t>（含</w:t>
      </w:r>
      <w:r>
        <w:rPr>
          <w:rFonts w:hint="eastAsia" w:ascii="仿宋_GB2312" w:eastAsia="仿宋_GB2312" w:cs="宋体"/>
          <w:sz w:val="32"/>
          <w:szCs w:val="32"/>
        </w:rPr>
        <w:t>3%</w:t>
      </w:r>
      <w:r>
        <w:rPr>
          <w:rFonts w:hint="eastAsia" w:ascii="仿宋_GB2312" w:hAnsi="宋体" w:eastAsia="仿宋_GB2312" w:cs="宋体"/>
          <w:sz w:val="32"/>
          <w:szCs w:val="32"/>
        </w:rPr>
        <w:t>增值税）。</w:t>
      </w:r>
    </w:p>
    <w:p>
      <w:pPr>
        <w:spacing w:line="600" w:lineRule="exact"/>
        <w:ind w:firstLine="600"/>
        <w:rPr>
          <w:rFonts w:ascii="仿宋_GB2312" w:hAnsi="宋体" w:eastAsia="仿宋_GB2312" w:cs="宋体"/>
          <w:sz w:val="32"/>
          <w:szCs w:val="32"/>
        </w:rPr>
      </w:pPr>
      <w:r>
        <w:rPr>
          <w:rFonts w:hint="eastAsia" w:ascii="仿宋_GB2312" w:hAnsi="宋体" w:eastAsia="仿宋_GB2312" w:cs="宋体"/>
          <w:sz w:val="32"/>
          <w:szCs w:val="32"/>
        </w:rPr>
        <w:t>本工程采用包工包料、包质量、包安全生产和安全保卫、包文明施工，综合单价包干的方式进行承包。</w:t>
      </w:r>
    </w:p>
    <w:p>
      <w:pPr>
        <w:pStyle w:val="13"/>
        <w:spacing w:after="0" w:line="600" w:lineRule="exact"/>
        <w:ind w:left="0" w:leftChars="0" w:firstLine="600"/>
        <w:rPr>
          <w:rFonts w:ascii="仿宋_GB2312" w:hAnsi="宋体" w:eastAsia="仿宋_GB2312" w:cs="宋体"/>
          <w:sz w:val="32"/>
          <w:szCs w:val="32"/>
        </w:rPr>
      </w:pPr>
      <w:r>
        <w:rPr>
          <w:rFonts w:hint="eastAsia" w:ascii="仿宋_GB2312" w:hAnsi="宋体" w:eastAsia="仿宋_GB2312" w:cs="宋体"/>
          <w:sz w:val="32"/>
          <w:szCs w:val="32"/>
        </w:rPr>
        <w:t>2、工程款支付：</w:t>
      </w:r>
    </w:p>
    <w:p>
      <w:pPr>
        <w:pStyle w:val="13"/>
        <w:spacing w:after="0" w:line="600" w:lineRule="exact"/>
        <w:ind w:left="0" w:leftChars="0" w:firstLine="600"/>
        <w:rPr>
          <w:rFonts w:ascii="仿宋_GB2312" w:hAnsi="宋体" w:eastAsia="仿宋_GB2312" w:cs="宋体"/>
          <w:sz w:val="32"/>
          <w:szCs w:val="32"/>
        </w:rPr>
      </w:pPr>
      <w:r>
        <w:rPr>
          <w:rFonts w:hint="eastAsia" w:ascii="仿宋_GB2312" w:hAnsi="宋体" w:eastAsia="仿宋_GB2312" w:cs="宋体"/>
          <w:sz w:val="32"/>
          <w:szCs w:val="32"/>
        </w:rPr>
        <w:t>（1）本工程预付30%工程款，乙方向甲方提供与工程款等额税率为3%专用发票</w:t>
      </w:r>
    </w:p>
    <w:p>
      <w:pPr>
        <w:spacing w:line="600" w:lineRule="exact"/>
        <w:ind w:firstLine="600"/>
        <w:rPr>
          <w:rFonts w:ascii="仿宋_GB2312" w:hAnsi="宋体" w:eastAsia="仿宋_GB2312" w:cs="宋体"/>
          <w:sz w:val="32"/>
          <w:szCs w:val="32"/>
        </w:rPr>
      </w:pPr>
      <w:r>
        <w:rPr>
          <w:rFonts w:hint="eastAsia" w:ascii="仿宋_GB2312" w:hAnsi="宋体" w:eastAsia="仿宋_GB2312" w:cs="宋体"/>
          <w:sz w:val="32"/>
          <w:szCs w:val="32"/>
        </w:rPr>
        <w:t>（2）工程全部完工验收合格并完成第三方审计后一个月内，银行转账支付至合同价款的97% 剩余3%质量保证金，质保期满后一次性支付给乙方，质保期为一年。</w:t>
      </w:r>
    </w:p>
    <w:p>
      <w:pPr>
        <w:spacing w:line="600" w:lineRule="exact"/>
        <w:ind w:firstLine="630" w:firstLineChars="196"/>
        <w:rPr>
          <w:rFonts w:ascii="仿宋_GB2312" w:eastAsia="仿宋_GB2312"/>
          <w:sz w:val="32"/>
          <w:szCs w:val="32"/>
        </w:rPr>
      </w:pPr>
      <w:r>
        <w:rPr>
          <w:rFonts w:hint="eastAsia" w:ascii="仿宋_GB2312" w:eastAsia="仿宋_GB2312"/>
          <w:b/>
          <w:bCs/>
          <w:sz w:val="32"/>
          <w:szCs w:val="32"/>
        </w:rPr>
        <w:t xml:space="preserve">第七条  </w:t>
      </w:r>
      <w:bookmarkStart w:id="27" w:name="_Toc4041"/>
      <w:r>
        <w:rPr>
          <w:rFonts w:hint="eastAsia" w:ascii="仿宋_GB2312" w:eastAsia="仿宋_GB2312"/>
          <w:sz w:val="32"/>
          <w:szCs w:val="32"/>
        </w:rPr>
        <w:t>双方责任和权利：</w:t>
      </w:r>
      <w:bookmarkEnd w:id="27"/>
    </w:p>
    <w:p>
      <w:pPr>
        <w:spacing w:line="600" w:lineRule="exact"/>
        <w:ind w:firstLine="601"/>
        <w:rPr>
          <w:rFonts w:ascii="仿宋_GB2312" w:hAnsi="宋体" w:eastAsia="仿宋_GB2312" w:cs="宋体"/>
          <w:sz w:val="32"/>
          <w:szCs w:val="32"/>
        </w:rPr>
      </w:pPr>
      <w:r>
        <w:rPr>
          <w:rFonts w:hint="eastAsia" w:ascii="仿宋_GB2312" w:hAnsi="宋体" w:eastAsia="仿宋_GB2312" w:cs="宋体"/>
          <w:sz w:val="32"/>
          <w:szCs w:val="32"/>
        </w:rPr>
        <w:t>甲方责任和权利：</w:t>
      </w:r>
    </w:p>
    <w:p>
      <w:pPr>
        <w:spacing w:line="600" w:lineRule="exact"/>
        <w:ind w:firstLine="601"/>
        <w:rPr>
          <w:rFonts w:ascii="仿宋_GB2312" w:hAnsi="宋体" w:eastAsia="仿宋_GB2312" w:cs="宋体"/>
          <w:sz w:val="32"/>
          <w:szCs w:val="32"/>
        </w:rPr>
      </w:pPr>
      <w:r>
        <w:rPr>
          <w:rFonts w:hint="eastAsia" w:ascii="仿宋_GB2312" w:hAnsi="宋体" w:eastAsia="仿宋_GB2312" w:cs="宋体"/>
          <w:sz w:val="32"/>
          <w:szCs w:val="32"/>
        </w:rPr>
        <w:t>1、甲方委派1名联络人驻施工现场代表，履行甲方职责与权力。</w:t>
      </w:r>
    </w:p>
    <w:p>
      <w:pPr>
        <w:spacing w:line="600" w:lineRule="exact"/>
        <w:ind w:firstLine="601"/>
        <w:rPr>
          <w:rFonts w:ascii="仿宋_GB2312" w:hAnsi="宋体" w:eastAsia="仿宋_GB2312" w:cs="宋体"/>
          <w:sz w:val="32"/>
          <w:szCs w:val="32"/>
        </w:rPr>
      </w:pPr>
      <w:r>
        <w:rPr>
          <w:rFonts w:hint="eastAsia" w:ascii="仿宋_GB2312" w:hAnsi="宋体" w:eastAsia="仿宋_GB2312" w:cs="宋体"/>
          <w:sz w:val="32"/>
          <w:szCs w:val="32"/>
        </w:rPr>
        <w:t>2、配合乙方做好与本工程有关的协调工作。提供施工技术资料（包括设计图纸、水准点、坐标控制点），并现场交底，明确施工场地范围。</w:t>
      </w:r>
    </w:p>
    <w:p>
      <w:pPr>
        <w:spacing w:line="600" w:lineRule="exact"/>
        <w:ind w:firstLine="601"/>
        <w:rPr>
          <w:rFonts w:ascii="仿宋_GB2312" w:hAnsi="宋体" w:eastAsia="仿宋_GB2312" w:cs="宋体"/>
          <w:sz w:val="32"/>
          <w:szCs w:val="32"/>
        </w:rPr>
      </w:pPr>
      <w:r>
        <w:rPr>
          <w:rFonts w:hint="eastAsia" w:ascii="仿宋_GB2312" w:hAnsi="宋体" w:eastAsia="仿宋_GB2312" w:cs="宋体"/>
          <w:sz w:val="32"/>
          <w:szCs w:val="32"/>
        </w:rPr>
        <w:t>3、对乙方承包的工程从技术、质量、环保、安全、进度和文明施工方面进行监督、检查和指导。</w:t>
      </w:r>
    </w:p>
    <w:p>
      <w:pPr>
        <w:spacing w:line="600" w:lineRule="exact"/>
        <w:ind w:firstLine="601"/>
        <w:rPr>
          <w:rFonts w:ascii="仿宋_GB2312" w:hAnsi="宋体" w:eastAsia="仿宋_GB2312" w:cs="宋体"/>
          <w:sz w:val="32"/>
          <w:szCs w:val="32"/>
        </w:rPr>
      </w:pPr>
      <w:r>
        <w:rPr>
          <w:rFonts w:hint="eastAsia" w:ascii="仿宋_GB2312" w:hAnsi="宋体" w:eastAsia="仿宋_GB2312" w:cs="宋体"/>
          <w:sz w:val="32"/>
          <w:szCs w:val="32"/>
        </w:rPr>
        <w:t>4、乙方承诺已对合同中约定的建设工程施工规程规范及甲方项目管理有关规定均已了解并愿意遵照执行。甲方相关部门有权对乙方项目管理和施工进行监督检查，并对违反本合同和国家有关建设工程施工规程规范以及甲方项目管理有关规定的行为进行经济处罚。</w:t>
      </w:r>
    </w:p>
    <w:p>
      <w:pPr>
        <w:spacing w:line="600" w:lineRule="exact"/>
        <w:ind w:firstLine="601"/>
        <w:rPr>
          <w:rFonts w:ascii="仿宋_GB2312" w:hAnsi="宋体" w:eastAsia="仿宋_GB2312" w:cs="宋体"/>
          <w:sz w:val="32"/>
          <w:szCs w:val="32"/>
        </w:rPr>
      </w:pPr>
      <w:r>
        <w:rPr>
          <w:rFonts w:hint="eastAsia" w:ascii="仿宋_GB2312" w:hAnsi="宋体" w:eastAsia="仿宋_GB2312" w:cs="宋体"/>
          <w:sz w:val="32"/>
          <w:szCs w:val="32"/>
        </w:rPr>
        <w:t>5、组织工程竣工验收，并办理好工程交接管理手续。</w:t>
      </w:r>
    </w:p>
    <w:p>
      <w:pPr>
        <w:spacing w:line="600" w:lineRule="exact"/>
        <w:ind w:firstLine="601"/>
        <w:rPr>
          <w:rFonts w:ascii="仿宋_GB2312" w:hAnsi="宋体" w:eastAsia="仿宋_GB2312" w:cs="宋体"/>
          <w:sz w:val="32"/>
          <w:szCs w:val="32"/>
        </w:rPr>
      </w:pPr>
      <w:r>
        <w:rPr>
          <w:rFonts w:hint="eastAsia" w:ascii="仿宋_GB2312" w:hAnsi="宋体" w:eastAsia="仿宋_GB2312" w:cs="宋体"/>
          <w:sz w:val="32"/>
          <w:szCs w:val="32"/>
        </w:rPr>
        <w:t>乙方责任和权利：</w:t>
      </w:r>
    </w:p>
    <w:p>
      <w:pPr>
        <w:spacing w:line="600" w:lineRule="exact"/>
        <w:ind w:firstLine="601"/>
        <w:rPr>
          <w:rFonts w:ascii="仿宋_GB2312" w:hAnsi="宋体" w:eastAsia="仿宋_GB2312" w:cs="宋体"/>
          <w:sz w:val="32"/>
          <w:szCs w:val="32"/>
        </w:rPr>
      </w:pPr>
      <w:r>
        <w:rPr>
          <w:rFonts w:hint="eastAsia" w:ascii="仿宋_GB2312" w:hAnsi="宋体" w:eastAsia="仿宋_GB2312" w:cs="宋体"/>
          <w:sz w:val="32"/>
          <w:szCs w:val="32"/>
        </w:rPr>
        <w:t>1、委派1名工地负责人，负责合同的实施。</w:t>
      </w:r>
    </w:p>
    <w:p>
      <w:pPr>
        <w:spacing w:line="600" w:lineRule="exact"/>
        <w:ind w:firstLine="601"/>
        <w:rPr>
          <w:rFonts w:ascii="仿宋_GB2312" w:hAnsi="宋体" w:eastAsia="仿宋_GB2312" w:cs="宋体"/>
          <w:sz w:val="32"/>
          <w:szCs w:val="32"/>
        </w:rPr>
      </w:pPr>
      <w:r>
        <w:rPr>
          <w:rFonts w:hint="eastAsia" w:ascii="仿宋_GB2312" w:hAnsi="宋体" w:eastAsia="仿宋_GB2312" w:cs="宋体"/>
          <w:sz w:val="32"/>
          <w:szCs w:val="32"/>
        </w:rPr>
        <w:t>2、接受甲方、监理及甲方相关部门的管理、监督，做好责任范围内的治安工作。</w:t>
      </w:r>
    </w:p>
    <w:p>
      <w:pPr>
        <w:spacing w:line="600" w:lineRule="exact"/>
        <w:ind w:firstLine="601"/>
        <w:rPr>
          <w:rFonts w:ascii="仿宋_GB2312" w:hAnsi="宋体" w:eastAsia="仿宋_GB2312" w:cs="宋体"/>
          <w:sz w:val="32"/>
          <w:szCs w:val="32"/>
        </w:rPr>
      </w:pPr>
      <w:r>
        <w:rPr>
          <w:rFonts w:hint="eastAsia" w:ascii="仿宋_GB2312" w:hAnsi="宋体" w:eastAsia="仿宋_GB2312" w:cs="宋体"/>
          <w:sz w:val="32"/>
          <w:szCs w:val="32"/>
        </w:rPr>
        <w:t>3、合同履行期间，乙方应遵守国家和工程所在地有关安全施工的法律、法规、规范性文件、政策要求等的规定，保证工程的质量、安全、生产、环保、健康必须对甲方负责。</w:t>
      </w:r>
    </w:p>
    <w:p>
      <w:pPr>
        <w:spacing w:line="600" w:lineRule="exact"/>
        <w:ind w:firstLine="601"/>
        <w:rPr>
          <w:rFonts w:ascii="仿宋_GB2312" w:hAnsi="宋体" w:eastAsia="仿宋_GB2312" w:cs="宋体"/>
          <w:sz w:val="32"/>
          <w:szCs w:val="32"/>
        </w:rPr>
      </w:pPr>
      <w:r>
        <w:rPr>
          <w:rFonts w:hint="eastAsia" w:ascii="仿宋_GB2312" w:hAnsi="宋体" w:eastAsia="仿宋_GB2312" w:cs="宋体"/>
          <w:sz w:val="32"/>
          <w:szCs w:val="32"/>
        </w:rPr>
        <w:t>4、乙方不得以甲方名义在外赊借任何款项。乙方在外所发生的任何债务和法律纠纷与甲方无关。</w:t>
      </w:r>
    </w:p>
    <w:p>
      <w:pPr>
        <w:spacing w:line="600" w:lineRule="exact"/>
        <w:ind w:firstLine="601"/>
        <w:rPr>
          <w:rFonts w:ascii="仿宋_GB2312" w:hAnsi="宋体" w:eastAsia="仿宋_GB2312" w:cs="宋体"/>
          <w:sz w:val="32"/>
          <w:szCs w:val="32"/>
        </w:rPr>
      </w:pPr>
      <w:r>
        <w:rPr>
          <w:rFonts w:hint="eastAsia" w:ascii="仿宋_GB2312" w:hAnsi="宋体" w:eastAsia="仿宋_GB2312" w:cs="宋体"/>
          <w:sz w:val="32"/>
          <w:szCs w:val="32"/>
        </w:rPr>
        <w:t>5、保证工程质量和安全生产费用的投入，抓好安全生产。因工程质量不合格造成返工所发生的费用，以及因安全事故造成的各种经济损失，全部由乙方承担，甲方不承担任何经济责任。</w:t>
      </w:r>
    </w:p>
    <w:p>
      <w:pPr>
        <w:spacing w:line="600" w:lineRule="exact"/>
        <w:ind w:firstLine="601"/>
        <w:rPr>
          <w:rFonts w:ascii="仿宋_GB2312" w:hAnsi="宋体" w:eastAsia="仿宋_GB2312" w:cs="宋体"/>
          <w:sz w:val="32"/>
          <w:szCs w:val="32"/>
        </w:rPr>
      </w:pPr>
      <w:r>
        <w:rPr>
          <w:rFonts w:hint="eastAsia" w:ascii="仿宋_GB2312" w:hAnsi="宋体" w:eastAsia="仿宋_GB2312" w:cs="宋体"/>
          <w:sz w:val="32"/>
          <w:szCs w:val="32"/>
        </w:rPr>
        <w:t>6、因乙方责任，造成施工合同无法实施时，甲方有权单方面解除合同，乙方并承担由此而发生的一切后果。</w:t>
      </w:r>
    </w:p>
    <w:p>
      <w:pPr>
        <w:spacing w:line="600" w:lineRule="exact"/>
        <w:ind w:firstLine="601"/>
        <w:rPr>
          <w:rFonts w:ascii="仿宋_GB2312" w:hAnsi="宋体" w:eastAsia="仿宋_GB2312" w:cs="宋体"/>
          <w:sz w:val="32"/>
          <w:szCs w:val="32"/>
        </w:rPr>
      </w:pPr>
      <w:r>
        <w:rPr>
          <w:rFonts w:hint="eastAsia" w:ascii="仿宋_GB2312" w:hAnsi="宋体" w:eastAsia="仿宋_GB2312" w:cs="宋体"/>
          <w:sz w:val="32"/>
          <w:szCs w:val="32"/>
        </w:rPr>
        <w:t xml:space="preserve">7、乙方必须保证栽种的绿植树木成活，一年内未成活的绿植树木由乙方补栽直至绿植树木的成活。 </w:t>
      </w:r>
    </w:p>
    <w:p>
      <w:pPr>
        <w:spacing w:line="600" w:lineRule="exact"/>
        <w:ind w:firstLine="601"/>
        <w:rPr>
          <w:rFonts w:ascii="仿宋_GB2312" w:hAnsi="宋体" w:eastAsia="仿宋_GB2312" w:cs="宋体"/>
          <w:sz w:val="32"/>
          <w:szCs w:val="32"/>
        </w:rPr>
      </w:pPr>
      <w:r>
        <w:rPr>
          <w:rFonts w:hint="eastAsia" w:ascii="仿宋_GB2312" w:hAnsi="宋体" w:eastAsia="仿宋_GB2312" w:cs="宋体"/>
          <w:sz w:val="32"/>
          <w:szCs w:val="32"/>
        </w:rPr>
        <w:t>8、本工程由乙方自行组织施工力量进行施工，施工力量必须能满足工程质量及进度的需要，否则，甲方可要求乙方重新调配施工力量。</w:t>
      </w:r>
    </w:p>
    <w:p>
      <w:pPr>
        <w:spacing w:line="600" w:lineRule="exact"/>
        <w:ind w:firstLine="601"/>
        <w:rPr>
          <w:rFonts w:ascii="仿宋_GB2312" w:hAnsi="宋体" w:eastAsia="仿宋_GB2312" w:cs="宋体"/>
          <w:sz w:val="32"/>
          <w:szCs w:val="32"/>
        </w:rPr>
      </w:pPr>
      <w:r>
        <w:rPr>
          <w:rFonts w:hint="eastAsia" w:ascii="仿宋_GB2312" w:hAnsi="宋体" w:eastAsia="仿宋_GB2312" w:cs="宋体"/>
          <w:sz w:val="32"/>
          <w:szCs w:val="32"/>
        </w:rPr>
        <w:t>9、劳动用工须按《中华人民共和国劳动民法典》执行。</w:t>
      </w:r>
    </w:p>
    <w:p>
      <w:pPr>
        <w:spacing w:line="600" w:lineRule="exact"/>
        <w:ind w:firstLine="601"/>
        <w:rPr>
          <w:rFonts w:ascii="仿宋_GB2312" w:hAnsi="宋体" w:eastAsia="仿宋_GB2312" w:cs="宋体"/>
          <w:sz w:val="32"/>
          <w:szCs w:val="32"/>
        </w:rPr>
      </w:pPr>
      <w:r>
        <w:rPr>
          <w:rFonts w:hint="eastAsia" w:ascii="仿宋_GB2312" w:hAnsi="宋体" w:eastAsia="仿宋_GB2312" w:cs="宋体"/>
          <w:sz w:val="32"/>
          <w:szCs w:val="32"/>
        </w:rPr>
        <w:t>10、乙方的人员须上报名册交甲方审查、备案，乙方必须为其员工办理体检、购买建筑安装工程意外伤害保险，并承担该部分费用。特种作业人员必须要持有效证件方能上岗。否则，带来的损失由乙方自行承担。</w:t>
      </w:r>
    </w:p>
    <w:p>
      <w:pPr>
        <w:spacing w:line="600" w:lineRule="exact"/>
        <w:ind w:firstLine="472" w:firstLineChars="147"/>
        <w:rPr>
          <w:rFonts w:ascii="仿宋_GB2312" w:eastAsia="仿宋_GB2312"/>
          <w:b/>
          <w:bCs/>
          <w:sz w:val="32"/>
          <w:szCs w:val="32"/>
        </w:rPr>
      </w:pPr>
      <w:bookmarkStart w:id="28" w:name="_Toc23547"/>
      <w:r>
        <w:rPr>
          <w:rFonts w:hint="eastAsia" w:ascii="仿宋_GB2312" w:eastAsia="仿宋_GB2312"/>
          <w:b/>
          <w:bCs/>
          <w:sz w:val="32"/>
          <w:szCs w:val="32"/>
        </w:rPr>
        <w:t xml:space="preserve">第八条 </w:t>
      </w:r>
      <w:bookmarkEnd w:id="28"/>
      <w:bookmarkStart w:id="29" w:name="_Toc24929"/>
      <w:r>
        <w:rPr>
          <w:rFonts w:hint="eastAsia" w:ascii="仿宋_GB2312" w:eastAsia="仿宋_GB2312"/>
          <w:b/>
          <w:bCs/>
          <w:sz w:val="32"/>
          <w:szCs w:val="32"/>
        </w:rPr>
        <w:t xml:space="preserve"> 违约责任：</w:t>
      </w:r>
      <w:bookmarkEnd w:id="29"/>
    </w:p>
    <w:p>
      <w:pPr>
        <w:spacing w:line="600" w:lineRule="exact"/>
        <w:ind w:firstLine="601"/>
        <w:rPr>
          <w:rFonts w:ascii="仿宋_GB2312" w:hAnsi="宋体" w:eastAsia="仿宋_GB2312" w:cs="宋体"/>
          <w:sz w:val="32"/>
          <w:szCs w:val="32"/>
        </w:rPr>
      </w:pPr>
      <w:r>
        <w:rPr>
          <w:rFonts w:hint="eastAsia" w:ascii="仿宋_GB2312" w:hAnsi="宋体" w:eastAsia="仿宋_GB2312" w:cs="宋体"/>
          <w:sz w:val="32"/>
          <w:szCs w:val="32"/>
        </w:rPr>
        <w:t>1、本工程出现质量问题，经整改仍达不到要求，甲方有权从质量保证金中扣除相应的费用，不足部分，乙方另行补偿甲方的经济损失。承包人出现违约情况时，发包人发出整改通知后，承包人在指定的合理期限内仍不纠正违约行为并致使合同目的不能实现的，发包人有权单方面解除合同</w:t>
      </w:r>
    </w:p>
    <w:p>
      <w:pPr>
        <w:spacing w:line="600" w:lineRule="exact"/>
        <w:ind w:firstLine="601"/>
        <w:rPr>
          <w:rFonts w:ascii="仿宋_GB2312" w:hAnsi="宋体" w:eastAsia="仿宋_GB2312" w:cs="宋体"/>
          <w:sz w:val="32"/>
          <w:szCs w:val="32"/>
        </w:rPr>
      </w:pPr>
      <w:r>
        <w:rPr>
          <w:rFonts w:hint="eastAsia" w:ascii="仿宋_GB2312" w:hAnsi="宋体" w:eastAsia="仿宋_GB2312" w:cs="宋体"/>
          <w:sz w:val="32"/>
          <w:szCs w:val="32"/>
        </w:rPr>
        <w:t>2、其它违约（包括因不可抗力造成的违约），依照《中华人民共和国民法典》有关条款处理。</w:t>
      </w:r>
    </w:p>
    <w:p>
      <w:pPr>
        <w:spacing w:line="600" w:lineRule="exact"/>
        <w:ind w:firstLine="630" w:firstLineChars="196"/>
        <w:rPr>
          <w:rFonts w:ascii="仿宋_GB2312" w:eastAsia="仿宋_GB2312"/>
          <w:b/>
          <w:sz w:val="32"/>
          <w:szCs w:val="32"/>
        </w:rPr>
      </w:pPr>
      <w:r>
        <w:rPr>
          <w:rFonts w:hint="eastAsia" w:ascii="仿宋_GB2312" w:eastAsia="仿宋_GB2312"/>
          <w:b/>
          <w:sz w:val="32"/>
          <w:szCs w:val="32"/>
        </w:rPr>
        <w:t>第九条  安全协议</w:t>
      </w:r>
    </w:p>
    <w:p>
      <w:pPr>
        <w:adjustRightInd w:val="0"/>
        <w:snapToGrid w:val="0"/>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为了切实做好安全生产工作，依据《中华人民共和国安全生产法》、《中华人民共和国民法典》以及国家有关安全生产管理的法律、法规、标准，按照“安全第一、预防为主、综合治理”的原则，明确甲乙双方责任，就甲乙双方在本项目中的安全生产事项，经协商一致，签订本协议。</w:t>
      </w:r>
    </w:p>
    <w:p>
      <w:pPr>
        <w:adjustRightInd w:val="0"/>
        <w:snapToGrid w:val="0"/>
        <w:spacing w:line="600" w:lineRule="exact"/>
        <w:ind w:firstLine="797" w:firstLineChars="248"/>
        <w:rPr>
          <w:rFonts w:ascii="仿宋_GB2312" w:hAnsi="宋体" w:eastAsia="仿宋_GB2312" w:cs="宋体"/>
          <w:sz w:val="32"/>
          <w:szCs w:val="32"/>
        </w:rPr>
      </w:pPr>
      <w:r>
        <w:rPr>
          <w:rFonts w:hint="eastAsia" w:ascii="仿宋_GB2312" w:hAnsi="宋体" w:eastAsia="仿宋_GB2312" w:cs="宋体"/>
          <w:b/>
          <w:bCs/>
          <w:sz w:val="32"/>
          <w:szCs w:val="32"/>
        </w:rPr>
        <w:t>1、</w:t>
      </w:r>
      <w:r>
        <w:rPr>
          <w:rFonts w:hint="eastAsia" w:ascii="仿宋_GB2312" w:hAnsi="宋体" w:eastAsia="仿宋_GB2312" w:cs="宋体"/>
          <w:sz w:val="32"/>
          <w:szCs w:val="32"/>
        </w:rPr>
        <w:t>本协议内容只涉及甲乙双方在本项目中关于安全生产的权利和责任。</w:t>
      </w:r>
    </w:p>
    <w:p>
      <w:pPr>
        <w:adjustRightInd w:val="0"/>
        <w:snapToGrid w:val="0"/>
        <w:spacing w:line="600" w:lineRule="exact"/>
        <w:ind w:firstLine="630" w:firstLineChars="196"/>
        <w:rPr>
          <w:rFonts w:ascii="仿宋_GB2312" w:hAnsi="宋体" w:eastAsia="仿宋_GB2312" w:cs="宋体"/>
          <w:bCs/>
          <w:sz w:val="32"/>
          <w:szCs w:val="32"/>
        </w:rPr>
      </w:pPr>
      <w:r>
        <w:rPr>
          <w:rFonts w:hint="eastAsia" w:ascii="仿宋_GB2312" w:hAnsi="宋体" w:eastAsia="仿宋_GB2312" w:cs="宋体"/>
          <w:b/>
          <w:bCs/>
          <w:sz w:val="32"/>
          <w:szCs w:val="32"/>
        </w:rPr>
        <w:t>2、</w:t>
      </w:r>
      <w:r>
        <w:rPr>
          <w:rFonts w:hint="eastAsia" w:ascii="仿宋_GB2312" w:hAnsi="宋体" w:eastAsia="仿宋_GB2312" w:cs="宋体"/>
          <w:bCs/>
          <w:sz w:val="32"/>
          <w:szCs w:val="32"/>
        </w:rPr>
        <w:t>甲方的权利</w:t>
      </w:r>
    </w:p>
    <w:p>
      <w:pPr>
        <w:adjustRightInd w:val="0"/>
        <w:snapToGrid w:val="0"/>
        <w:spacing w:line="600" w:lineRule="exact"/>
        <w:ind w:firstLine="320" w:firstLineChars="100"/>
        <w:rPr>
          <w:rFonts w:ascii="仿宋_GB2312" w:hAnsi="宋体" w:eastAsia="仿宋_GB2312" w:cs="宋体"/>
          <w:sz w:val="32"/>
          <w:szCs w:val="32"/>
        </w:rPr>
      </w:pPr>
      <w:r>
        <w:rPr>
          <w:rFonts w:hint="eastAsia" w:ascii="仿宋_GB2312" w:hAnsi="宋体" w:eastAsia="仿宋_GB2312" w:cs="宋体"/>
          <w:sz w:val="32"/>
          <w:szCs w:val="32"/>
        </w:rPr>
        <w:t>（1）有权要求乙方建立安全组织机构或指定专人负责作业现场安全监督检查。严格执行安全生产法律、法规、条例、标准，遵守甲方的安全生产规章制度等。</w:t>
      </w:r>
    </w:p>
    <w:p>
      <w:pPr>
        <w:adjustRightInd w:val="0"/>
        <w:snapToGrid w:val="0"/>
        <w:spacing w:line="600" w:lineRule="exact"/>
        <w:ind w:firstLine="480" w:firstLineChars="150"/>
        <w:rPr>
          <w:rFonts w:ascii="仿宋_GB2312" w:hAnsi="宋体" w:eastAsia="仿宋_GB2312" w:cs="宋体"/>
          <w:sz w:val="32"/>
          <w:szCs w:val="32"/>
        </w:rPr>
      </w:pPr>
      <w:r>
        <w:rPr>
          <w:rFonts w:hint="eastAsia" w:ascii="仿宋_GB2312" w:hAnsi="宋体" w:eastAsia="仿宋_GB2312" w:cs="宋体"/>
          <w:sz w:val="32"/>
          <w:szCs w:val="32"/>
        </w:rPr>
        <w:t>（2）有权按规定对乙方安全业绩、资质进行审查，对乙方针对作业项目制定的职业健康安全、环境项目进行审查并备案。</w:t>
      </w:r>
    </w:p>
    <w:p>
      <w:pPr>
        <w:adjustRightInd w:val="0"/>
        <w:snapToGrid w:val="0"/>
        <w:spacing w:line="600" w:lineRule="exact"/>
        <w:ind w:firstLine="480" w:firstLineChars="150"/>
        <w:rPr>
          <w:rFonts w:ascii="仿宋_GB2312" w:hAnsi="宋体" w:eastAsia="仿宋_GB2312" w:cs="宋体"/>
          <w:sz w:val="32"/>
          <w:szCs w:val="32"/>
        </w:rPr>
      </w:pPr>
      <w:r>
        <w:rPr>
          <w:rFonts w:hint="eastAsia" w:ascii="仿宋_GB2312" w:hAnsi="宋体" w:eastAsia="仿宋_GB2312" w:cs="宋体"/>
          <w:sz w:val="32"/>
          <w:szCs w:val="32"/>
        </w:rPr>
        <w:t>（3）有权要求乙方在项目施工过程中保护好施工区域内甲方和业主方的安全生产设施、设备和器材。</w:t>
      </w:r>
    </w:p>
    <w:p>
      <w:pPr>
        <w:adjustRightInd w:val="0"/>
        <w:snapToGrid w:val="0"/>
        <w:spacing w:line="600" w:lineRule="exact"/>
        <w:ind w:firstLine="480" w:firstLineChars="150"/>
        <w:rPr>
          <w:rFonts w:ascii="仿宋_GB2312" w:hAnsi="宋体" w:eastAsia="仿宋_GB2312" w:cs="宋体"/>
          <w:sz w:val="32"/>
          <w:szCs w:val="32"/>
        </w:rPr>
      </w:pPr>
      <w:r>
        <w:rPr>
          <w:rFonts w:hint="eastAsia" w:ascii="仿宋_GB2312" w:hAnsi="宋体" w:eastAsia="仿宋_GB2312" w:cs="宋体"/>
          <w:sz w:val="32"/>
          <w:szCs w:val="32"/>
        </w:rPr>
        <w:t>（4）有权要求乙方在进入现场作业前所有作业人员接受甲方和业主方的安全培训与教育。</w:t>
      </w:r>
    </w:p>
    <w:p>
      <w:pPr>
        <w:adjustRightInd w:val="0"/>
        <w:snapToGrid w:val="0"/>
        <w:spacing w:line="600" w:lineRule="exact"/>
        <w:ind w:firstLine="480" w:firstLineChars="150"/>
        <w:rPr>
          <w:rFonts w:ascii="仿宋_GB2312" w:hAnsi="宋体" w:eastAsia="仿宋_GB2312" w:cs="宋体"/>
          <w:sz w:val="32"/>
          <w:szCs w:val="32"/>
        </w:rPr>
      </w:pPr>
      <w:r>
        <w:rPr>
          <w:rFonts w:hint="eastAsia" w:ascii="仿宋_GB2312" w:hAnsi="宋体" w:eastAsia="仿宋_GB2312" w:cs="宋体"/>
          <w:sz w:val="32"/>
          <w:szCs w:val="32"/>
        </w:rPr>
        <w:t>（5）有权对乙方的作业现场的安全作业情况进行监督检查，有权对乙方不符合安全生产要求的行为进行制止、纠正、处罚、停止作业、直至清退出场。</w:t>
      </w:r>
    </w:p>
    <w:p>
      <w:pPr>
        <w:adjustRightInd w:val="0"/>
        <w:snapToGrid w:val="0"/>
        <w:spacing w:line="600" w:lineRule="exact"/>
        <w:ind w:firstLine="480" w:firstLineChars="150"/>
        <w:rPr>
          <w:rFonts w:ascii="仿宋_GB2312" w:hAnsi="宋体" w:eastAsia="仿宋_GB2312" w:cs="宋体"/>
          <w:sz w:val="32"/>
          <w:szCs w:val="32"/>
        </w:rPr>
      </w:pPr>
      <w:r>
        <w:rPr>
          <w:rFonts w:hint="eastAsia" w:ascii="仿宋_GB2312" w:hAnsi="宋体" w:eastAsia="仿宋_GB2312" w:cs="宋体"/>
          <w:sz w:val="32"/>
          <w:szCs w:val="32"/>
        </w:rPr>
        <w:t>（6）有权要求乙方所有作业人员必须交纳工伤保险和意外伤害保险。</w:t>
      </w:r>
    </w:p>
    <w:p>
      <w:pPr>
        <w:adjustRightInd w:val="0"/>
        <w:snapToGrid w:val="0"/>
        <w:spacing w:line="600" w:lineRule="exact"/>
        <w:ind w:firstLine="480" w:firstLineChars="150"/>
        <w:rPr>
          <w:rFonts w:ascii="仿宋_GB2312" w:hAnsi="宋体" w:eastAsia="仿宋_GB2312" w:cs="宋体"/>
          <w:sz w:val="32"/>
          <w:szCs w:val="32"/>
        </w:rPr>
      </w:pPr>
      <w:r>
        <w:rPr>
          <w:rFonts w:hint="eastAsia" w:ascii="仿宋_GB2312" w:hAnsi="宋体" w:eastAsia="仿宋_GB2312" w:cs="宋体"/>
          <w:sz w:val="32"/>
          <w:szCs w:val="32"/>
        </w:rPr>
        <w:t>（7）乙方在作业中如发生国务院《生产安全事故报告和调查处理条例》所规定的伤亡事故，甲方有权督促乙方立即通知乙方上级主管部门和当地政府安全生产监督管理部门，要求派人保护现场，并有权要求乙方提供事故调查书面结论及处理意见。发生事故后、有权根据有关规定参与事故的调查。</w:t>
      </w:r>
    </w:p>
    <w:p>
      <w:pPr>
        <w:adjustRightInd w:val="0"/>
        <w:snapToGrid w:val="0"/>
        <w:spacing w:line="600" w:lineRule="exact"/>
        <w:ind w:firstLine="607" w:firstLineChars="189"/>
        <w:rPr>
          <w:rFonts w:ascii="仿宋_GB2312" w:hAnsi="宋体" w:eastAsia="仿宋_GB2312" w:cs="宋体"/>
          <w:b/>
          <w:bCs/>
          <w:sz w:val="32"/>
          <w:szCs w:val="32"/>
        </w:rPr>
      </w:pPr>
      <w:r>
        <w:rPr>
          <w:rFonts w:hint="eastAsia" w:ascii="仿宋_GB2312" w:hAnsi="宋体" w:eastAsia="仿宋_GB2312" w:cs="宋体"/>
          <w:b/>
          <w:bCs/>
          <w:sz w:val="32"/>
          <w:szCs w:val="32"/>
        </w:rPr>
        <w:t>3</w:t>
      </w:r>
      <w:r>
        <w:rPr>
          <w:rFonts w:hint="eastAsia" w:ascii="仿宋_GB2312" w:hAnsi="宋体" w:eastAsia="仿宋_GB2312" w:cs="宋体"/>
          <w:bCs/>
          <w:sz w:val="32"/>
          <w:szCs w:val="32"/>
        </w:rPr>
        <w:t>、甲方的责任</w:t>
      </w:r>
    </w:p>
    <w:p>
      <w:pPr>
        <w:adjustRightInd w:val="0"/>
        <w:snapToGrid w:val="0"/>
        <w:spacing w:line="600" w:lineRule="exact"/>
        <w:ind w:firstLine="480" w:firstLineChars="150"/>
        <w:rPr>
          <w:rFonts w:ascii="仿宋_GB2312" w:hAnsi="宋体" w:eastAsia="仿宋_GB2312" w:cs="宋体"/>
          <w:sz w:val="32"/>
          <w:szCs w:val="32"/>
        </w:rPr>
      </w:pPr>
      <w:r>
        <w:rPr>
          <w:rFonts w:hint="eastAsia" w:ascii="仿宋_GB2312" w:hAnsi="宋体" w:eastAsia="仿宋_GB2312" w:cs="宋体"/>
          <w:sz w:val="32"/>
          <w:szCs w:val="32"/>
        </w:rPr>
        <w:t>（1）认真贯彻落实国家有关法律、法规、标准及甲方公司安全生产规章制度。</w:t>
      </w:r>
    </w:p>
    <w:p>
      <w:pPr>
        <w:adjustRightInd w:val="0"/>
        <w:snapToGrid w:val="0"/>
        <w:spacing w:line="600" w:lineRule="exact"/>
        <w:ind w:firstLine="480" w:firstLineChars="150"/>
        <w:rPr>
          <w:rFonts w:ascii="仿宋_GB2312" w:hAnsi="宋体" w:eastAsia="仿宋_GB2312" w:cs="宋体"/>
          <w:sz w:val="32"/>
          <w:szCs w:val="32"/>
        </w:rPr>
      </w:pPr>
      <w:r>
        <w:rPr>
          <w:rFonts w:hint="eastAsia" w:ascii="仿宋_GB2312" w:hAnsi="宋体" w:eastAsia="仿宋_GB2312" w:cs="宋体"/>
          <w:sz w:val="32"/>
          <w:szCs w:val="32"/>
        </w:rPr>
        <w:t>（2）向乙方明确作业区的范围、危险源及安全技术交底，并要有书面记录。</w:t>
      </w:r>
    </w:p>
    <w:p>
      <w:pPr>
        <w:adjustRightInd w:val="0"/>
        <w:snapToGrid w:val="0"/>
        <w:spacing w:line="600" w:lineRule="exact"/>
        <w:ind w:firstLine="480" w:firstLineChars="150"/>
        <w:rPr>
          <w:rFonts w:ascii="仿宋_GB2312" w:hAnsi="宋体" w:eastAsia="仿宋_GB2312" w:cs="宋体"/>
          <w:sz w:val="32"/>
          <w:szCs w:val="32"/>
        </w:rPr>
      </w:pPr>
      <w:r>
        <w:rPr>
          <w:rFonts w:hint="eastAsia" w:ascii="仿宋_GB2312" w:hAnsi="宋体" w:eastAsia="仿宋_GB2312" w:cs="宋体"/>
          <w:sz w:val="32"/>
          <w:szCs w:val="32"/>
        </w:rPr>
        <w:t>（3）在作业区域内为乙方提供项目合同中规定的安全作业条件。</w:t>
      </w:r>
    </w:p>
    <w:p>
      <w:pPr>
        <w:adjustRightInd w:val="0"/>
        <w:snapToGrid w:val="0"/>
        <w:spacing w:line="600" w:lineRule="exact"/>
        <w:ind w:firstLine="480" w:firstLineChars="150"/>
        <w:rPr>
          <w:rFonts w:ascii="仿宋_GB2312" w:hAnsi="宋体" w:eastAsia="仿宋_GB2312" w:cs="宋体"/>
          <w:sz w:val="32"/>
          <w:szCs w:val="32"/>
        </w:rPr>
      </w:pPr>
      <w:r>
        <w:rPr>
          <w:rFonts w:hint="eastAsia" w:ascii="仿宋_GB2312" w:hAnsi="宋体" w:eastAsia="仿宋_GB2312" w:cs="宋体"/>
          <w:sz w:val="32"/>
          <w:szCs w:val="32"/>
        </w:rPr>
        <w:t>（4）在作业区域内发生事故时，积极协助抢险，防止事故扩大，并按照甲方公司有关规定进行报告。</w:t>
      </w:r>
    </w:p>
    <w:p>
      <w:pPr>
        <w:adjustRightInd w:val="0"/>
        <w:snapToGrid w:val="0"/>
        <w:spacing w:line="600" w:lineRule="exact"/>
        <w:ind w:firstLine="765" w:firstLineChars="238"/>
        <w:rPr>
          <w:rFonts w:ascii="仿宋_GB2312" w:hAnsi="宋体" w:eastAsia="仿宋_GB2312" w:cs="宋体"/>
          <w:b/>
          <w:bCs/>
          <w:sz w:val="32"/>
          <w:szCs w:val="32"/>
        </w:rPr>
      </w:pPr>
      <w:r>
        <w:rPr>
          <w:rFonts w:hint="eastAsia" w:ascii="仿宋_GB2312" w:hAnsi="宋体" w:eastAsia="仿宋_GB2312" w:cs="宋体"/>
          <w:b/>
          <w:bCs/>
          <w:sz w:val="32"/>
          <w:szCs w:val="32"/>
        </w:rPr>
        <w:t>4、乙方的权利</w:t>
      </w:r>
    </w:p>
    <w:p>
      <w:pPr>
        <w:adjustRightInd w:val="0"/>
        <w:snapToGrid w:val="0"/>
        <w:spacing w:line="600" w:lineRule="exact"/>
        <w:ind w:firstLine="604" w:firstLineChars="189"/>
        <w:rPr>
          <w:rFonts w:ascii="仿宋_GB2312" w:hAnsi="宋体" w:eastAsia="仿宋_GB2312" w:cs="宋体"/>
          <w:sz w:val="32"/>
          <w:szCs w:val="32"/>
        </w:rPr>
      </w:pPr>
      <w:r>
        <w:rPr>
          <w:rFonts w:hint="eastAsia" w:ascii="仿宋_GB2312" w:hAnsi="宋体" w:eastAsia="仿宋_GB2312" w:cs="宋体"/>
          <w:sz w:val="32"/>
          <w:szCs w:val="32"/>
        </w:rPr>
        <w:t>（1）有权对甲方的安全工作提出合理化建议和改进意见。</w:t>
      </w:r>
    </w:p>
    <w:p>
      <w:pPr>
        <w:adjustRightInd w:val="0"/>
        <w:snapToGrid w:val="0"/>
        <w:spacing w:line="600" w:lineRule="exact"/>
        <w:ind w:firstLine="604" w:firstLineChars="189"/>
        <w:rPr>
          <w:rFonts w:ascii="仿宋_GB2312" w:hAnsi="宋体" w:eastAsia="仿宋_GB2312" w:cs="宋体"/>
          <w:sz w:val="32"/>
          <w:szCs w:val="32"/>
        </w:rPr>
      </w:pPr>
      <w:r>
        <w:rPr>
          <w:rFonts w:hint="eastAsia" w:ascii="仿宋_GB2312" w:hAnsi="宋体" w:eastAsia="仿宋_GB2312" w:cs="宋体"/>
          <w:sz w:val="32"/>
          <w:szCs w:val="32"/>
        </w:rPr>
        <w:t>（2）日常作业中，若甲方违章指挥、强令乙方冒险作业，有权拒绝执行。</w:t>
      </w:r>
    </w:p>
    <w:p>
      <w:pPr>
        <w:adjustRightInd w:val="0"/>
        <w:snapToGrid w:val="0"/>
        <w:spacing w:line="600" w:lineRule="exact"/>
        <w:ind w:firstLine="604" w:firstLineChars="189"/>
        <w:rPr>
          <w:rFonts w:ascii="仿宋_GB2312" w:hAnsi="宋体" w:eastAsia="仿宋_GB2312" w:cs="宋体"/>
          <w:sz w:val="32"/>
          <w:szCs w:val="32"/>
        </w:rPr>
      </w:pPr>
      <w:r>
        <w:rPr>
          <w:rFonts w:hint="eastAsia" w:ascii="仿宋_GB2312" w:hAnsi="宋体" w:eastAsia="仿宋_GB2312" w:cs="宋体"/>
          <w:sz w:val="32"/>
          <w:szCs w:val="32"/>
        </w:rPr>
        <w:t>（3）有权要求在作业区域内提供符合安全作业的工艺条件和环境。</w:t>
      </w:r>
    </w:p>
    <w:p>
      <w:pPr>
        <w:adjustRightInd w:val="0"/>
        <w:snapToGrid w:val="0"/>
        <w:spacing w:line="600" w:lineRule="exact"/>
        <w:ind w:firstLine="604" w:firstLineChars="189"/>
        <w:rPr>
          <w:rFonts w:ascii="仿宋_GB2312" w:hAnsi="宋体" w:eastAsia="仿宋_GB2312" w:cs="宋体"/>
          <w:sz w:val="32"/>
          <w:szCs w:val="32"/>
        </w:rPr>
      </w:pPr>
      <w:r>
        <w:rPr>
          <w:rFonts w:hint="eastAsia" w:ascii="仿宋_GB2312" w:hAnsi="宋体" w:eastAsia="仿宋_GB2312" w:cs="宋体"/>
          <w:sz w:val="32"/>
          <w:szCs w:val="32"/>
        </w:rPr>
        <w:t>（4）发生严重危及乙方生命安全的紧急情况时，乙方有权采取必要的避险措施。</w:t>
      </w:r>
    </w:p>
    <w:p>
      <w:pPr>
        <w:adjustRightInd w:val="0"/>
        <w:snapToGrid w:val="0"/>
        <w:spacing w:line="600" w:lineRule="exact"/>
        <w:ind w:firstLine="765" w:firstLineChars="238"/>
        <w:rPr>
          <w:rFonts w:ascii="仿宋_GB2312" w:hAnsi="宋体" w:eastAsia="仿宋_GB2312" w:cs="宋体"/>
          <w:b/>
          <w:bCs/>
          <w:sz w:val="32"/>
          <w:szCs w:val="32"/>
        </w:rPr>
      </w:pPr>
      <w:r>
        <w:rPr>
          <w:rFonts w:hint="eastAsia" w:ascii="仿宋_GB2312" w:hAnsi="宋体" w:eastAsia="仿宋_GB2312" w:cs="宋体"/>
          <w:b/>
          <w:bCs/>
          <w:sz w:val="32"/>
          <w:szCs w:val="32"/>
        </w:rPr>
        <w:t>5、乙方的责任</w:t>
      </w:r>
    </w:p>
    <w:p>
      <w:pPr>
        <w:adjustRightInd w:val="0"/>
        <w:snapToGrid w:val="0"/>
        <w:spacing w:line="600" w:lineRule="exact"/>
        <w:ind w:firstLine="604" w:firstLineChars="189"/>
        <w:rPr>
          <w:rFonts w:ascii="仿宋_GB2312" w:hAnsi="宋体" w:eastAsia="仿宋_GB2312" w:cs="宋体"/>
          <w:sz w:val="32"/>
          <w:szCs w:val="32"/>
        </w:rPr>
      </w:pPr>
      <w:r>
        <w:rPr>
          <w:rFonts w:hint="eastAsia" w:ascii="仿宋_GB2312" w:hAnsi="宋体" w:eastAsia="仿宋_GB2312" w:cs="宋体"/>
          <w:sz w:val="32"/>
          <w:szCs w:val="32"/>
        </w:rPr>
        <w:t>（1）乙方是本项目的安全生产责任主体，对本项目的安全生产工作全面负责。</w:t>
      </w:r>
    </w:p>
    <w:p>
      <w:pPr>
        <w:adjustRightInd w:val="0"/>
        <w:snapToGrid w:val="0"/>
        <w:spacing w:line="600" w:lineRule="exact"/>
        <w:ind w:firstLine="604" w:firstLineChars="189"/>
        <w:rPr>
          <w:rFonts w:ascii="仿宋_GB2312" w:hAnsi="宋体" w:eastAsia="仿宋_GB2312" w:cs="宋体"/>
          <w:sz w:val="32"/>
          <w:szCs w:val="32"/>
        </w:rPr>
      </w:pPr>
      <w:r>
        <w:rPr>
          <w:rFonts w:hint="eastAsia" w:ascii="仿宋_GB2312" w:hAnsi="宋体" w:eastAsia="仿宋_GB2312" w:cs="宋体"/>
          <w:sz w:val="32"/>
          <w:szCs w:val="32"/>
        </w:rPr>
        <w:t>（2）健全安全组织机构，建立安全生产责任制，制定健全的安全生产规章制度，制定生产安全事故应急救援预案，配备必要的安全生产管理人员和劳动保护用品，严格执行甲方相关的规章制度。</w:t>
      </w:r>
    </w:p>
    <w:p>
      <w:pPr>
        <w:adjustRightInd w:val="0"/>
        <w:snapToGrid w:val="0"/>
        <w:spacing w:line="600" w:lineRule="exact"/>
        <w:ind w:firstLine="604" w:firstLineChars="189"/>
        <w:rPr>
          <w:rFonts w:ascii="仿宋_GB2312" w:hAnsi="宋体" w:eastAsia="仿宋_GB2312" w:cs="宋体"/>
          <w:sz w:val="32"/>
          <w:szCs w:val="32"/>
        </w:rPr>
      </w:pPr>
      <w:r>
        <w:rPr>
          <w:rFonts w:hint="eastAsia" w:ascii="仿宋_GB2312" w:hAnsi="宋体" w:eastAsia="仿宋_GB2312" w:cs="宋体"/>
          <w:sz w:val="32"/>
          <w:szCs w:val="32"/>
        </w:rPr>
        <w:t>（3）应对作业人员进行作业前安全教育培训，使其具备相应的安全意识和安全技能；特种作业人员应具有相应的资格证书。</w:t>
      </w:r>
    </w:p>
    <w:p>
      <w:pPr>
        <w:adjustRightInd w:val="0"/>
        <w:snapToGrid w:val="0"/>
        <w:spacing w:line="600" w:lineRule="exact"/>
        <w:ind w:firstLine="604" w:firstLineChars="189"/>
        <w:rPr>
          <w:rFonts w:ascii="仿宋_GB2312" w:hAnsi="宋体" w:eastAsia="仿宋_GB2312" w:cs="宋体"/>
          <w:sz w:val="32"/>
          <w:szCs w:val="32"/>
        </w:rPr>
      </w:pPr>
      <w:r>
        <w:rPr>
          <w:rFonts w:hint="eastAsia" w:ascii="仿宋_GB2312" w:hAnsi="宋体" w:eastAsia="仿宋_GB2312" w:cs="宋体"/>
          <w:sz w:val="32"/>
          <w:szCs w:val="32"/>
        </w:rPr>
        <w:t>（4）不得使用不符合国家、行业标准和甲方规定的原材料、设备、装置、防护用品、器材、安全检测仪器等。所使用的特种设备，必须经具有专业资质的检验检测机构检测。经检测不合格的，不得继续使用。</w:t>
      </w:r>
    </w:p>
    <w:p>
      <w:pPr>
        <w:adjustRightInd w:val="0"/>
        <w:snapToGrid w:val="0"/>
        <w:spacing w:line="600" w:lineRule="exact"/>
        <w:ind w:firstLine="604" w:firstLineChars="189"/>
        <w:rPr>
          <w:rFonts w:ascii="仿宋_GB2312" w:hAnsi="宋体" w:eastAsia="仿宋_GB2312" w:cs="宋体"/>
          <w:sz w:val="32"/>
          <w:szCs w:val="32"/>
        </w:rPr>
      </w:pPr>
      <w:r>
        <w:rPr>
          <w:rFonts w:hint="eastAsia" w:ascii="仿宋_GB2312" w:hAnsi="宋体" w:eastAsia="仿宋_GB2312" w:cs="宋体"/>
          <w:sz w:val="32"/>
          <w:szCs w:val="32"/>
        </w:rPr>
        <w:t>（5）指定专人负责现场安全监督检查工作，认真开展安全检查，发现作业过程中人的不安全行为及事故安全隐患，应采取有效措施积极处理。</w:t>
      </w:r>
    </w:p>
    <w:p>
      <w:pPr>
        <w:adjustRightInd w:val="0"/>
        <w:snapToGrid w:val="0"/>
        <w:spacing w:line="600" w:lineRule="exact"/>
        <w:ind w:firstLine="604" w:firstLineChars="189"/>
        <w:rPr>
          <w:rFonts w:ascii="仿宋_GB2312" w:hAnsi="宋体" w:eastAsia="仿宋_GB2312" w:cs="宋体"/>
          <w:sz w:val="32"/>
          <w:szCs w:val="32"/>
        </w:rPr>
      </w:pPr>
      <w:r>
        <w:rPr>
          <w:rFonts w:hint="eastAsia" w:ascii="仿宋_GB2312" w:hAnsi="宋体" w:eastAsia="仿宋_GB2312" w:cs="宋体"/>
          <w:sz w:val="32"/>
          <w:szCs w:val="32"/>
        </w:rPr>
        <w:t>（6）乙方有责任对作业区域的安全生产条件进行详细了解。</w:t>
      </w:r>
    </w:p>
    <w:p>
      <w:pPr>
        <w:adjustRightInd w:val="0"/>
        <w:snapToGrid w:val="0"/>
        <w:spacing w:line="600" w:lineRule="exact"/>
        <w:ind w:firstLine="604" w:firstLineChars="189"/>
        <w:rPr>
          <w:rFonts w:ascii="仿宋_GB2312" w:hAnsi="宋体" w:eastAsia="仿宋_GB2312" w:cs="宋体"/>
          <w:sz w:val="32"/>
          <w:szCs w:val="32"/>
        </w:rPr>
      </w:pPr>
      <w:r>
        <w:rPr>
          <w:rFonts w:hint="eastAsia" w:ascii="仿宋_GB2312" w:hAnsi="宋体" w:eastAsia="仿宋_GB2312" w:cs="宋体"/>
          <w:sz w:val="32"/>
          <w:szCs w:val="32"/>
        </w:rPr>
        <w:t>（7）乙方在作业过程中有属于危及安全生产的关键作业时，应提出切实可行的方案，经甲方同意后，方可实施。</w:t>
      </w:r>
    </w:p>
    <w:p>
      <w:pPr>
        <w:adjustRightInd w:val="0"/>
        <w:snapToGrid w:val="0"/>
        <w:spacing w:line="600" w:lineRule="exact"/>
        <w:ind w:firstLine="604" w:firstLineChars="189"/>
        <w:rPr>
          <w:rFonts w:ascii="仿宋_GB2312" w:hAnsi="宋体" w:eastAsia="仿宋_GB2312" w:cs="宋体"/>
          <w:sz w:val="32"/>
          <w:szCs w:val="32"/>
        </w:rPr>
      </w:pPr>
      <w:r>
        <w:rPr>
          <w:rFonts w:hint="eastAsia" w:ascii="仿宋_GB2312" w:hAnsi="宋体" w:eastAsia="仿宋_GB2312" w:cs="宋体"/>
          <w:sz w:val="32"/>
          <w:szCs w:val="32"/>
        </w:rPr>
        <w:t>（8）乙方在作业期间只能在甲方和业主方规定的路线进出公司，只能在规定的区域内作业，禁止私自进入甲方和业主方其它生产区域。</w:t>
      </w:r>
    </w:p>
    <w:p>
      <w:pPr>
        <w:adjustRightInd w:val="0"/>
        <w:snapToGrid w:val="0"/>
        <w:spacing w:line="600" w:lineRule="exact"/>
        <w:ind w:firstLine="604" w:firstLineChars="189"/>
        <w:rPr>
          <w:rFonts w:ascii="仿宋_GB2312" w:hAnsi="宋体" w:eastAsia="仿宋_GB2312" w:cs="宋体"/>
          <w:sz w:val="32"/>
          <w:szCs w:val="32"/>
        </w:rPr>
      </w:pPr>
      <w:r>
        <w:rPr>
          <w:rFonts w:hint="eastAsia" w:ascii="仿宋_GB2312" w:hAnsi="宋体" w:eastAsia="仿宋_GB2312" w:cs="宋体"/>
          <w:sz w:val="32"/>
          <w:szCs w:val="32"/>
        </w:rPr>
        <w:t>（9）乙方应服从甲方单位的安全管理。</w:t>
      </w:r>
    </w:p>
    <w:p>
      <w:pPr>
        <w:adjustRightInd w:val="0"/>
        <w:snapToGrid w:val="0"/>
        <w:spacing w:line="600" w:lineRule="exact"/>
        <w:ind w:firstLine="604" w:firstLineChars="189"/>
        <w:rPr>
          <w:rFonts w:ascii="仿宋_GB2312" w:hAnsi="宋体" w:eastAsia="仿宋_GB2312" w:cs="宋体"/>
          <w:sz w:val="32"/>
          <w:szCs w:val="32"/>
        </w:rPr>
      </w:pPr>
      <w:r>
        <w:rPr>
          <w:rFonts w:hint="eastAsia" w:ascii="仿宋_GB2312" w:hAnsi="宋体" w:eastAsia="仿宋_GB2312" w:cs="宋体"/>
          <w:sz w:val="32"/>
          <w:szCs w:val="32"/>
        </w:rPr>
        <w:t>（10）发生事故时，乙方应积极抢险，避免事故的进一步扩大，并按照国家相关要求报告事故。</w:t>
      </w:r>
    </w:p>
    <w:p>
      <w:pPr>
        <w:adjustRightInd w:val="0"/>
        <w:snapToGrid w:val="0"/>
        <w:spacing w:line="600" w:lineRule="exact"/>
        <w:ind w:firstLine="604" w:firstLineChars="189"/>
        <w:rPr>
          <w:rFonts w:ascii="仿宋_GB2312" w:hAnsi="宋体" w:eastAsia="仿宋_GB2312" w:cs="宋体"/>
          <w:sz w:val="32"/>
          <w:szCs w:val="32"/>
        </w:rPr>
      </w:pPr>
      <w:r>
        <w:rPr>
          <w:rFonts w:hint="eastAsia" w:ascii="仿宋_GB2312" w:hAnsi="宋体" w:eastAsia="仿宋_GB2312" w:cs="宋体"/>
          <w:sz w:val="32"/>
          <w:szCs w:val="32"/>
        </w:rPr>
        <w:t>（11）当乙方在作业过程中发生安全责任事故时，乙方作为项目的承包单位，对发生的人身伤害、设备损坏等事故承担相应安全责任。由乙方向自己的主管上级部门及当地政府的安全生产监督管理部门、公安部门报告，并自行承担相应的责任。</w:t>
      </w:r>
    </w:p>
    <w:p>
      <w:pPr>
        <w:adjustRightInd w:val="0"/>
        <w:snapToGrid w:val="0"/>
        <w:spacing w:line="600" w:lineRule="exact"/>
        <w:ind w:firstLine="765" w:firstLineChars="238"/>
        <w:rPr>
          <w:rFonts w:ascii="仿宋_GB2312" w:hAnsi="宋体" w:eastAsia="仿宋_GB2312" w:cs="宋体"/>
          <w:b/>
          <w:bCs/>
          <w:sz w:val="32"/>
          <w:szCs w:val="32"/>
        </w:rPr>
      </w:pPr>
      <w:r>
        <w:rPr>
          <w:rFonts w:hint="eastAsia" w:ascii="仿宋_GB2312" w:hAnsi="宋体" w:eastAsia="仿宋_GB2312" w:cs="宋体"/>
          <w:b/>
          <w:bCs/>
          <w:sz w:val="32"/>
          <w:szCs w:val="32"/>
        </w:rPr>
        <w:t>6、违约责任及处理</w:t>
      </w:r>
    </w:p>
    <w:p>
      <w:pPr>
        <w:adjustRightInd w:val="0"/>
        <w:snapToGrid w:val="0"/>
        <w:spacing w:line="600" w:lineRule="exact"/>
        <w:ind w:firstLine="604" w:firstLineChars="189"/>
        <w:rPr>
          <w:rFonts w:ascii="仿宋_GB2312" w:hAnsi="宋体" w:eastAsia="仿宋_GB2312" w:cs="宋体"/>
          <w:sz w:val="32"/>
          <w:szCs w:val="32"/>
        </w:rPr>
      </w:pPr>
      <w:r>
        <w:rPr>
          <w:rFonts w:hint="eastAsia" w:ascii="仿宋_GB2312" w:hAnsi="宋体" w:eastAsia="仿宋_GB2312" w:cs="宋体"/>
          <w:sz w:val="32"/>
          <w:szCs w:val="32"/>
        </w:rPr>
        <w:t>（1）甲乙双方违反本合同要求，未造成事故时，依据合同约定对违约者进行处理（包括但不限于支付违约金、赔偿损失等）。</w:t>
      </w:r>
    </w:p>
    <w:p>
      <w:pPr>
        <w:adjustRightInd w:val="0"/>
        <w:snapToGrid w:val="0"/>
        <w:spacing w:line="600" w:lineRule="exact"/>
        <w:ind w:firstLine="604" w:firstLineChars="189"/>
        <w:rPr>
          <w:rFonts w:ascii="仿宋_GB2312" w:hAnsi="宋体" w:eastAsia="仿宋_GB2312" w:cs="宋体"/>
          <w:sz w:val="32"/>
          <w:szCs w:val="32"/>
        </w:rPr>
      </w:pPr>
      <w:r>
        <w:rPr>
          <w:rFonts w:hint="eastAsia" w:ascii="仿宋_GB2312" w:hAnsi="宋体" w:eastAsia="仿宋_GB2312" w:cs="宋体"/>
          <w:sz w:val="32"/>
          <w:szCs w:val="32"/>
        </w:rPr>
        <w:t>（2）发生事故时，甲、乙双方有抢险、救灾的责任，所发生的费用由责任方承担。</w:t>
      </w:r>
    </w:p>
    <w:p>
      <w:pPr>
        <w:adjustRightInd w:val="0"/>
        <w:snapToGrid w:val="0"/>
        <w:spacing w:line="600" w:lineRule="exact"/>
        <w:ind w:firstLine="604" w:firstLineChars="189"/>
        <w:rPr>
          <w:rFonts w:ascii="仿宋_GB2312" w:hAnsi="宋体" w:eastAsia="仿宋_GB2312" w:cs="宋体"/>
          <w:sz w:val="32"/>
          <w:szCs w:val="32"/>
        </w:rPr>
      </w:pPr>
      <w:r>
        <w:rPr>
          <w:rFonts w:hint="eastAsia" w:ascii="仿宋_GB2312" w:hAnsi="宋体" w:eastAsia="仿宋_GB2312" w:cs="宋体"/>
          <w:sz w:val="32"/>
          <w:szCs w:val="32"/>
        </w:rPr>
        <w:t xml:space="preserve">（3）发生的事故，应经事故调查确认责任；事故报告和调查应按照国家和甲方有关规定进行，违约责任按事故分析会的责任定性来确认。           </w:t>
      </w:r>
    </w:p>
    <w:p>
      <w:pPr>
        <w:adjustRightInd w:val="0"/>
        <w:snapToGrid w:val="0"/>
        <w:spacing w:line="600" w:lineRule="exact"/>
        <w:ind w:firstLine="604" w:firstLineChars="189"/>
        <w:rPr>
          <w:rFonts w:ascii="仿宋_GB2312" w:hAnsi="宋体" w:eastAsia="仿宋_GB2312" w:cs="宋体"/>
          <w:sz w:val="32"/>
          <w:szCs w:val="32"/>
        </w:rPr>
      </w:pPr>
      <w:r>
        <w:rPr>
          <w:rFonts w:hint="eastAsia" w:ascii="仿宋_GB2312" w:hAnsi="宋体" w:eastAsia="仿宋_GB2312" w:cs="宋体"/>
          <w:sz w:val="32"/>
          <w:szCs w:val="32"/>
        </w:rPr>
        <w:t>（4）作业期间，需要办理的有关安全的批文或其它手续，乙方必须办理齐全，否则发生安全事故由乙方承担全部责任。</w:t>
      </w:r>
    </w:p>
    <w:p>
      <w:pPr>
        <w:adjustRightInd w:val="0"/>
        <w:snapToGrid w:val="0"/>
        <w:spacing w:line="600" w:lineRule="exact"/>
        <w:ind w:firstLine="765" w:firstLineChars="238"/>
        <w:rPr>
          <w:rFonts w:ascii="仿宋_GB2312" w:hAnsi="宋体" w:eastAsia="仿宋_GB2312" w:cs="宋体"/>
          <w:sz w:val="32"/>
          <w:szCs w:val="32"/>
        </w:rPr>
      </w:pPr>
      <w:r>
        <w:rPr>
          <w:rFonts w:hint="eastAsia" w:ascii="仿宋_GB2312" w:hAnsi="宋体" w:eastAsia="仿宋_GB2312" w:cs="宋体"/>
          <w:b/>
          <w:bCs/>
          <w:sz w:val="32"/>
          <w:szCs w:val="32"/>
        </w:rPr>
        <w:t>7、</w:t>
      </w:r>
      <w:r>
        <w:rPr>
          <w:rFonts w:hint="eastAsia" w:ascii="仿宋_GB2312" w:hAnsi="宋体" w:eastAsia="仿宋_GB2312" w:cs="宋体"/>
          <w:sz w:val="32"/>
          <w:szCs w:val="32"/>
        </w:rPr>
        <w:t>由于不可抗力造成合同项目作业事故及生产的损失，当事人双方各自承担相应的损失。</w:t>
      </w:r>
    </w:p>
    <w:p>
      <w:pPr>
        <w:adjustRightInd w:val="0"/>
        <w:snapToGrid w:val="0"/>
        <w:spacing w:line="600" w:lineRule="exact"/>
        <w:ind w:firstLine="765" w:firstLineChars="238"/>
        <w:rPr>
          <w:rFonts w:ascii="仿宋_GB2312" w:hAnsi="宋体" w:eastAsia="仿宋_GB2312" w:cs="宋体"/>
          <w:sz w:val="32"/>
          <w:szCs w:val="32"/>
        </w:rPr>
      </w:pPr>
      <w:r>
        <w:rPr>
          <w:rFonts w:hint="eastAsia" w:ascii="仿宋_GB2312" w:hAnsi="宋体" w:eastAsia="仿宋_GB2312" w:cs="宋体"/>
          <w:b/>
          <w:bCs/>
          <w:sz w:val="32"/>
          <w:szCs w:val="32"/>
        </w:rPr>
        <w:t>8、</w:t>
      </w:r>
      <w:r>
        <w:rPr>
          <w:rFonts w:hint="eastAsia" w:ascii="仿宋_GB2312" w:hAnsi="宋体" w:eastAsia="仿宋_GB2312" w:cs="宋体"/>
          <w:sz w:val="32"/>
          <w:szCs w:val="32"/>
        </w:rPr>
        <w:t>甲乙双方的作业人员和机具设备的保险，由甲乙双方依据国家相关规定或约定各自承担。</w:t>
      </w:r>
    </w:p>
    <w:p>
      <w:pPr>
        <w:adjustRightInd w:val="0"/>
        <w:snapToGrid w:val="0"/>
        <w:spacing w:line="600" w:lineRule="exact"/>
        <w:ind w:firstLine="765" w:firstLineChars="238"/>
        <w:rPr>
          <w:rFonts w:ascii="仿宋_GB2312" w:hAnsi="宋体" w:eastAsia="仿宋_GB2312" w:cs="宋体"/>
          <w:sz w:val="32"/>
          <w:szCs w:val="32"/>
        </w:rPr>
      </w:pPr>
      <w:r>
        <w:rPr>
          <w:rFonts w:hint="eastAsia" w:ascii="仿宋_GB2312" w:hAnsi="宋体" w:eastAsia="仿宋_GB2312" w:cs="宋体"/>
          <w:b/>
          <w:bCs/>
          <w:sz w:val="32"/>
          <w:szCs w:val="32"/>
        </w:rPr>
        <w:t>9、</w:t>
      </w:r>
      <w:r>
        <w:rPr>
          <w:rFonts w:hint="eastAsia" w:ascii="仿宋_GB2312" w:hAnsi="宋体" w:eastAsia="仿宋_GB2312" w:cs="宋体"/>
          <w:sz w:val="32"/>
          <w:szCs w:val="32"/>
        </w:rPr>
        <w:t>本协议履行过程中发生争议纠纷，应通过友好协商方式解决，如协商不成，按双方在项目经济合同中约定的管辖地和纠纷解决的方式执行。</w:t>
      </w:r>
    </w:p>
    <w:p>
      <w:pPr>
        <w:adjustRightInd w:val="0"/>
        <w:snapToGrid w:val="0"/>
        <w:spacing w:line="600" w:lineRule="exact"/>
        <w:ind w:firstLine="765" w:firstLineChars="238"/>
        <w:rPr>
          <w:rFonts w:ascii="仿宋_GB2312" w:hAnsi="宋体" w:eastAsia="仿宋_GB2312" w:cs="宋体"/>
          <w:sz w:val="32"/>
          <w:szCs w:val="32"/>
        </w:rPr>
      </w:pPr>
      <w:r>
        <w:rPr>
          <w:rFonts w:hint="eastAsia" w:ascii="仿宋_GB2312" w:hAnsi="宋体" w:eastAsia="仿宋_GB2312" w:cs="宋体"/>
          <w:b/>
          <w:bCs/>
          <w:sz w:val="32"/>
          <w:szCs w:val="32"/>
        </w:rPr>
        <w:t>10、</w:t>
      </w:r>
      <w:r>
        <w:rPr>
          <w:rFonts w:hint="eastAsia" w:ascii="仿宋_GB2312" w:hAnsi="宋体" w:eastAsia="仿宋_GB2312" w:cs="宋体"/>
          <w:sz w:val="32"/>
          <w:szCs w:val="32"/>
        </w:rPr>
        <w:t>本协议是项目经济合同的附件，与项目经济合同具有同等法律效力。本协议与项目经济合同同时生效、终止。</w:t>
      </w:r>
    </w:p>
    <w:p>
      <w:pPr>
        <w:adjustRightInd w:val="0"/>
        <w:snapToGrid w:val="0"/>
        <w:spacing w:line="600" w:lineRule="exact"/>
        <w:ind w:firstLine="604" w:firstLineChars="189"/>
        <w:rPr>
          <w:rFonts w:ascii="仿宋_GB2312" w:hAnsi="宋体" w:eastAsia="仿宋_GB2312" w:cs="宋体"/>
          <w:sz w:val="32"/>
          <w:szCs w:val="32"/>
        </w:rPr>
      </w:pPr>
      <w:r>
        <w:rPr>
          <w:rFonts w:hint="eastAsia" w:ascii="仿宋_GB2312" w:hAnsi="宋体" w:eastAsia="仿宋_GB2312" w:cs="宋体"/>
          <w:sz w:val="32"/>
          <w:szCs w:val="32"/>
        </w:rPr>
        <w:t xml:space="preserve"> 乙方人员进场前安全教育培训人员；乙方作业期间指定现场安全监护人员。</w:t>
      </w:r>
    </w:p>
    <w:p>
      <w:pPr>
        <w:spacing w:line="600" w:lineRule="exact"/>
        <w:ind w:firstLine="630" w:firstLineChars="196"/>
        <w:rPr>
          <w:rFonts w:ascii="仿宋_GB2312" w:eastAsia="仿宋_GB2312"/>
          <w:b/>
          <w:sz w:val="32"/>
          <w:szCs w:val="32"/>
        </w:rPr>
      </w:pPr>
      <w:r>
        <w:rPr>
          <w:rFonts w:hint="eastAsia" w:ascii="仿宋_GB2312" w:eastAsia="仿宋_GB2312"/>
          <w:b/>
          <w:sz w:val="32"/>
          <w:szCs w:val="32"/>
        </w:rPr>
        <w:t>第十条  廉洁协议</w:t>
      </w:r>
    </w:p>
    <w:p>
      <w:pPr>
        <w:adjustRightInd w:val="0"/>
        <w:snapToGrid w:val="0"/>
        <w:spacing w:line="600" w:lineRule="exact"/>
        <w:ind w:firstLine="604" w:firstLineChars="189"/>
        <w:rPr>
          <w:rFonts w:ascii="仿宋_GB2312" w:hAnsi="宋体" w:eastAsia="仿宋_GB2312" w:cs="宋体"/>
          <w:sz w:val="32"/>
          <w:szCs w:val="32"/>
        </w:rPr>
      </w:pPr>
      <w:r>
        <w:rPr>
          <w:rFonts w:hint="eastAsia" w:ascii="仿宋_GB2312" w:hAnsi="宋体" w:eastAsia="仿宋_GB2312" w:cs="宋体"/>
          <w:sz w:val="32"/>
          <w:szCs w:val="32"/>
        </w:rPr>
        <w:t>为做好工程建设中的党风廉政建设，保证工程建设高效优质、建设资金的安全和投资效益，以及双方合作的公平和公正，预防发包人利益受到双方经济合同之外各种不正当行为的损害，根据国家有关项目建设的法律法规和廉政建设规定，签订本廉政协议，以资共同遵守。</w:t>
      </w:r>
    </w:p>
    <w:p>
      <w:pPr>
        <w:adjustRightInd w:val="0"/>
        <w:snapToGrid w:val="0"/>
        <w:spacing w:line="600" w:lineRule="exact"/>
        <w:ind w:firstLine="765" w:firstLineChars="238"/>
        <w:rPr>
          <w:rFonts w:ascii="仿宋_GB2312" w:hAnsi="宋体" w:eastAsia="仿宋_GB2312" w:cs="宋体"/>
          <w:sz w:val="32"/>
          <w:szCs w:val="32"/>
        </w:rPr>
      </w:pPr>
      <w:r>
        <w:rPr>
          <w:rFonts w:hint="eastAsia" w:ascii="仿宋_GB2312" w:hAnsi="宋体" w:eastAsia="仿宋_GB2312" w:cs="宋体"/>
          <w:b/>
          <w:bCs/>
          <w:sz w:val="32"/>
          <w:szCs w:val="32"/>
        </w:rPr>
        <w:t>1、甲乙双方的责任</w:t>
      </w:r>
    </w:p>
    <w:p>
      <w:pPr>
        <w:adjustRightInd w:val="0"/>
        <w:snapToGrid w:val="0"/>
        <w:spacing w:line="600" w:lineRule="exact"/>
        <w:ind w:firstLine="604" w:firstLineChars="189"/>
        <w:rPr>
          <w:rFonts w:ascii="仿宋_GB2312" w:hAnsi="宋体" w:eastAsia="仿宋_GB2312" w:cs="宋体"/>
          <w:sz w:val="32"/>
          <w:szCs w:val="32"/>
        </w:rPr>
      </w:pPr>
      <w:r>
        <w:rPr>
          <w:rFonts w:hint="eastAsia" w:ascii="仿宋_GB2312" w:hAnsi="宋体" w:eastAsia="仿宋_GB2312" w:cs="宋体"/>
          <w:sz w:val="32"/>
          <w:szCs w:val="32"/>
        </w:rPr>
        <w:t>（1）应严格遵守国家关于市场准入、项目招标投标、工程建设和市场活动等有关法律、法规，相关政策，以及廉政建设的各项规定。</w:t>
      </w:r>
    </w:p>
    <w:p>
      <w:pPr>
        <w:adjustRightInd w:val="0"/>
        <w:snapToGrid w:val="0"/>
        <w:spacing w:line="600" w:lineRule="exact"/>
        <w:ind w:firstLine="604" w:firstLineChars="189"/>
        <w:rPr>
          <w:rFonts w:ascii="仿宋_GB2312" w:hAnsi="宋体" w:eastAsia="仿宋_GB2312" w:cs="宋体"/>
          <w:sz w:val="32"/>
          <w:szCs w:val="32"/>
        </w:rPr>
      </w:pPr>
      <w:r>
        <w:rPr>
          <w:rFonts w:hint="eastAsia" w:ascii="仿宋_GB2312" w:hAnsi="宋体" w:eastAsia="仿宋_GB2312" w:cs="宋体"/>
          <w:sz w:val="32"/>
          <w:szCs w:val="32"/>
        </w:rPr>
        <w:t>（2）严格执行建设工程项目相关合同文件，自觉按合同办事。</w:t>
      </w:r>
    </w:p>
    <w:p>
      <w:pPr>
        <w:adjustRightInd w:val="0"/>
        <w:snapToGrid w:val="0"/>
        <w:spacing w:line="600" w:lineRule="exact"/>
        <w:ind w:firstLine="604" w:firstLineChars="189"/>
        <w:rPr>
          <w:rFonts w:ascii="仿宋_GB2312" w:hAnsi="宋体" w:eastAsia="仿宋_GB2312" w:cs="宋体"/>
          <w:sz w:val="32"/>
          <w:szCs w:val="32"/>
        </w:rPr>
      </w:pPr>
      <w:r>
        <w:rPr>
          <w:rFonts w:hint="eastAsia" w:ascii="仿宋_GB2312" w:hAnsi="宋体" w:eastAsia="仿宋_GB2312" w:cs="宋体"/>
          <w:sz w:val="32"/>
          <w:szCs w:val="32"/>
        </w:rPr>
        <w:t>（3）业务活动必须坚持公开、公平、公正、诚信、透明的原则，不得为获取不正当的利益，损害国家、集体和对方利益。</w:t>
      </w:r>
    </w:p>
    <w:p>
      <w:pPr>
        <w:adjustRightInd w:val="0"/>
        <w:snapToGrid w:val="0"/>
        <w:spacing w:line="600" w:lineRule="exact"/>
        <w:ind w:firstLine="604" w:firstLineChars="189"/>
        <w:rPr>
          <w:rFonts w:ascii="仿宋_GB2312" w:hAnsi="宋体" w:eastAsia="仿宋_GB2312" w:cs="宋体"/>
          <w:sz w:val="32"/>
          <w:szCs w:val="32"/>
        </w:rPr>
      </w:pPr>
      <w:r>
        <w:rPr>
          <w:rFonts w:hint="eastAsia" w:ascii="仿宋_GB2312" w:hAnsi="宋体" w:eastAsia="仿宋_GB2312" w:cs="宋体"/>
          <w:sz w:val="32"/>
          <w:szCs w:val="32"/>
        </w:rPr>
        <w:t>（4）发现对方在业务活动中有违规、违纪、违法行为的，应及时提醒对方，情节严重的，应向其上级主管部门或纪检监察部门进行举报。</w:t>
      </w:r>
    </w:p>
    <w:p>
      <w:pPr>
        <w:adjustRightInd w:val="0"/>
        <w:snapToGrid w:val="0"/>
        <w:spacing w:line="600" w:lineRule="exact"/>
        <w:ind w:firstLine="765" w:firstLineChars="238"/>
        <w:rPr>
          <w:rFonts w:ascii="仿宋_GB2312" w:hAnsi="宋体" w:eastAsia="仿宋_GB2312" w:cs="宋体"/>
          <w:sz w:val="32"/>
          <w:szCs w:val="32"/>
        </w:rPr>
      </w:pPr>
      <w:r>
        <w:rPr>
          <w:rFonts w:hint="eastAsia" w:ascii="仿宋_GB2312" w:hAnsi="宋体" w:eastAsia="仿宋_GB2312" w:cs="宋体"/>
          <w:b/>
          <w:bCs/>
          <w:sz w:val="32"/>
          <w:szCs w:val="32"/>
        </w:rPr>
        <w:t>2、发包人的责任</w:t>
      </w:r>
    </w:p>
    <w:p>
      <w:pPr>
        <w:adjustRightInd w:val="0"/>
        <w:snapToGrid w:val="0"/>
        <w:spacing w:line="600" w:lineRule="exact"/>
        <w:ind w:firstLine="604" w:firstLineChars="189"/>
        <w:rPr>
          <w:rFonts w:ascii="仿宋_GB2312" w:hAnsi="宋体" w:eastAsia="仿宋_GB2312" w:cs="宋体"/>
          <w:sz w:val="32"/>
          <w:szCs w:val="32"/>
        </w:rPr>
      </w:pPr>
      <w:r>
        <w:rPr>
          <w:rFonts w:hint="eastAsia" w:ascii="仿宋_GB2312" w:hAnsi="宋体" w:eastAsia="仿宋_GB2312" w:cs="宋体"/>
          <w:sz w:val="32"/>
          <w:szCs w:val="32"/>
        </w:rPr>
        <w:t>发包人工作人员，在工程建设的事前、事中、事后应遵守以下规定：</w:t>
      </w:r>
    </w:p>
    <w:p>
      <w:pPr>
        <w:adjustRightInd w:val="0"/>
        <w:snapToGrid w:val="0"/>
        <w:spacing w:line="600" w:lineRule="exact"/>
        <w:ind w:firstLine="604" w:firstLineChars="189"/>
        <w:rPr>
          <w:rFonts w:ascii="仿宋_GB2312" w:hAnsi="宋体" w:eastAsia="仿宋_GB2312" w:cs="宋体"/>
          <w:sz w:val="32"/>
          <w:szCs w:val="32"/>
        </w:rPr>
      </w:pPr>
      <w:r>
        <w:rPr>
          <w:rFonts w:hint="eastAsia" w:ascii="仿宋_GB2312" w:hAnsi="宋体" w:eastAsia="仿宋_GB2312" w:cs="宋体"/>
          <w:sz w:val="32"/>
          <w:szCs w:val="32"/>
        </w:rPr>
        <w:t>（1）不得向承包人索要或接受回扣、礼金、有价证券、贵重物品和好处费、感谢费等。</w:t>
      </w:r>
    </w:p>
    <w:p>
      <w:pPr>
        <w:adjustRightInd w:val="0"/>
        <w:snapToGrid w:val="0"/>
        <w:spacing w:line="600" w:lineRule="exact"/>
        <w:ind w:firstLine="604" w:firstLineChars="189"/>
        <w:rPr>
          <w:rFonts w:ascii="仿宋_GB2312" w:hAnsi="宋体" w:eastAsia="仿宋_GB2312" w:cs="宋体"/>
          <w:sz w:val="32"/>
          <w:szCs w:val="32"/>
        </w:rPr>
      </w:pPr>
      <w:r>
        <w:rPr>
          <w:rFonts w:hint="eastAsia" w:ascii="仿宋_GB2312" w:hAnsi="宋体" w:eastAsia="仿宋_GB2312" w:cs="宋体"/>
          <w:sz w:val="32"/>
          <w:szCs w:val="32"/>
        </w:rPr>
        <w:t>（2）不得在承包人报销任何应由个人支付的费用。</w:t>
      </w:r>
    </w:p>
    <w:p>
      <w:pPr>
        <w:adjustRightInd w:val="0"/>
        <w:snapToGrid w:val="0"/>
        <w:spacing w:line="600" w:lineRule="exact"/>
        <w:ind w:firstLine="604" w:firstLineChars="189"/>
        <w:rPr>
          <w:rFonts w:ascii="仿宋_GB2312" w:hAnsi="宋体" w:eastAsia="仿宋_GB2312" w:cs="宋体"/>
          <w:sz w:val="32"/>
          <w:szCs w:val="32"/>
        </w:rPr>
      </w:pPr>
      <w:r>
        <w:rPr>
          <w:rFonts w:hint="eastAsia" w:ascii="仿宋_GB2312" w:hAnsi="宋体" w:eastAsia="仿宋_GB2312" w:cs="宋体"/>
          <w:sz w:val="32"/>
          <w:szCs w:val="32"/>
        </w:rPr>
        <w:t>（3）不得要求或接受承包人为其个人装修住房或为其配偶、子女的工作安排以及出国（境）、旅游等提供方便。</w:t>
      </w:r>
    </w:p>
    <w:p>
      <w:pPr>
        <w:adjustRightInd w:val="0"/>
        <w:snapToGrid w:val="0"/>
        <w:spacing w:line="600" w:lineRule="exact"/>
        <w:ind w:firstLine="604" w:firstLineChars="189"/>
        <w:rPr>
          <w:rFonts w:ascii="仿宋_GB2312" w:hAnsi="宋体" w:eastAsia="仿宋_GB2312" w:cs="宋体"/>
          <w:sz w:val="32"/>
          <w:szCs w:val="32"/>
        </w:rPr>
      </w:pPr>
      <w:r>
        <w:rPr>
          <w:rFonts w:hint="eastAsia" w:ascii="仿宋_GB2312" w:hAnsi="宋体" w:eastAsia="仿宋_GB2312" w:cs="宋体"/>
          <w:sz w:val="32"/>
          <w:szCs w:val="32"/>
        </w:rPr>
        <w:t>（4）不得参加有可能影响公正执行公务的承包人的宴请、健身和娱乐等活动。</w:t>
      </w:r>
    </w:p>
    <w:p>
      <w:pPr>
        <w:adjustRightInd w:val="0"/>
        <w:snapToGrid w:val="0"/>
        <w:spacing w:line="600" w:lineRule="exact"/>
        <w:ind w:firstLine="604" w:firstLineChars="189"/>
        <w:rPr>
          <w:rFonts w:ascii="仿宋_GB2312" w:hAnsi="宋体" w:eastAsia="仿宋_GB2312" w:cs="宋体"/>
          <w:sz w:val="32"/>
          <w:szCs w:val="32"/>
        </w:rPr>
      </w:pPr>
      <w:r>
        <w:rPr>
          <w:rFonts w:hint="eastAsia" w:ascii="仿宋_GB2312" w:hAnsi="宋体" w:eastAsia="仿宋_GB2312" w:cs="宋体"/>
          <w:sz w:val="32"/>
          <w:szCs w:val="32"/>
        </w:rPr>
        <w:t>（5）不得向承包人介绍或推荐其配偶、子女及其他亲属参与承包人同发包人建设项目有关的经济活动。</w:t>
      </w:r>
    </w:p>
    <w:p>
      <w:pPr>
        <w:adjustRightInd w:val="0"/>
        <w:snapToGrid w:val="0"/>
        <w:spacing w:line="600" w:lineRule="exact"/>
        <w:ind w:firstLine="604" w:firstLineChars="189"/>
        <w:rPr>
          <w:rFonts w:ascii="仿宋_GB2312" w:hAnsi="宋体" w:eastAsia="仿宋_GB2312" w:cs="宋体"/>
          <w:sz w:val="32"/>
          <w:szCs w:val="32"/>
        </w:rPr>
      </w:pPr>
      <w:r>
        <w:rPr>
          <w:rFonts w:hint="eastAsia" w:ascii="仿宋_GB2312" w:hAnsi="宋体" w:eastAsia="仿宋_GB2312" w:cs="宋体"/>
          <w:sz w:val="32"/>
          <w:szCs w:val="32"/>
        </w:rPr>
        <w:t>（6）不得以任何理由向承包人推荐分包单位或要求承包人购买项目合同规定以外的材料、设备和服务等。</w:t>
      </w:r>
    </w:p>
    <w:p>
      <w:pPr>
        <w:adjustRightInd w:val="0"/>
        <w:snapToGrid w:val="0"/>
        <w:spacing w:line="600" w:lineRule="exact"/>
        <w:ind w:firstLine="604" w:firstLineChars="189"/>
        <w:rPr>
          <w:rFonts w:ascii="仿宋_GB2312" w:hAnsi="宋体" w:eastAsia="仿宋_GB2312" w:cs="宋体"/>
          <w:sz w:val="32"/>
          <w:szCs w:val="32"/>
        </w:rPr>
      </w:pPr>
      <w:r>
        <w:rPr>
          <w:rFonts w:hint="eastAsia" w:ascii="仿宋_GB2312" w:hAnsi="宋体" w:eastAsia="仿宋_GB2312" w:cs="宋体"/>
          <w:sz w:val="32"/>
          <w:szCs w:val="32"/>
        </w:rPr>
        <w:t>（7）其它与项目有关的党风廉政建设和预防腐败的规定。</w:t>
      </w:r>
    </w:p>
    <w:p>
      <w:pPr>
        <w:adjustRightInd w:val="0"/>
        <w:snapToGrid w:val="0"/>
        <w:spacing w:line="600" w:lineRule="exact"/>
        <w:ind w:firstLine="765" w:firstLineChars="238"/>
        <w:rPr>
          <w:rFonts w:ascii="仿宋_GB2312" w:hAnsi="宋体" w:eastAsia="仿宋_GB2312" w:cs="宋体"/>
          <w:b/>
          <w:bCs/>
          <w:sz w:val="32"/>
          <w:szCs w:val="32"/>
        </w:rPr>
      </w:pPr>
      <w:r>
        <w:rPr>
          <w:rFonts w:hint="eastAsia" w:ascii="仿宋_GB2312" w:hAnsi="宋体" w:eastAsia="仿宋_GB2312" w:cs="宋体"/>
          <w:b/>
          <w:bCs/>
          <w:sz w:val="32"/>
          <w:szCs w:val="32"/>
        </w:rPr>
        <w:t>3、承包人的责任</w:t>
      </w:r>
    </w:p>
    <w:p>
      <w:pPr>
        <w:adjustRightInd w:val="0"/>
        <w:snapToGrid w:val="0"/>
        <w:spacing w:line="600" w:lineRule="exact"/>
        <w:ind w:firstLine="604" w:firstLineChars="189"/>
        <w:rPr>
          <w:rFonts w:ascii="仿宋_GB2312" w:hAnsi="宋体" w:eastAsia="仿宋_GB2312" w:cs="宋体"/>
          <w:sz w:val="32"/>
          <w:szCs w:val="32"/>
        </w:rPr>
      </w:pPr>
      <w:r>
        <w:rPr>
          <w:rFonts w:hint="eastAsia" w:ascii="仿宋_GB2312" w:hAnsi="宋体" w:eastAsia="仿宋_GB2312" w:cs="宋体"/>
          <w:sz w:val="32"/>
          <w:szCs w:val="32"/>
        </w:rPr>
        <w:t>应与发包人保持正常的业务交往，按照有关法律法规和程序开展业务工作，严格执行工程建设的有关方针、政策，并遵守以下规定：</w:t>
      </w:r>
    </w:p>
    <w:p>
      <w:pPr>
        <w:adjustRightInd w:val="0"/>
        <w:snapToGrid w:val="0"/>
        <w:spacing w:line="600" w:lineRule="exact"/>
        <w:ind w:firstLine="604" w:firstLineChars="189"/>
        <w:rPr>
          <w:rFonts w:ascii="仿宋_GB2312" w:hAnsi="宋体" w:eastAsia="仿宋_GB2312" w:cs="宋体"/>
          <w:sz w:val="32"/>
          <w:szCs w:val="32"/>
        </w:rPr>
      </w:pPr>
      <w:r>
        <w:rPr>
          <w:rFonts w:hint="eastAsia" w:ascii="仿宋_GB2312" w:hAnsi="宋体" w:eastAsia="仿宋_GB2312" w:cs="宋体"/>
          <w:sz w:val="32"/>
          <w:szCs w:val="32"/>
        </w:rPr>
        <w:t>（1）不得以任何理由向发包人工作人员赠送礼金、有价证券、贵重物品和回扣、好处费、感谢费等。</w:t>
      </w:r>
    </w:p>
    <w:p>
      <w:pPr>
        <w:adjustRightInd w:val="0"/>
        <w:snapToGrid w:val="0"/>
        <w:spacing w:line="600" w:lineRule="exact"/>
        <w:ind w:firstLine="604" w:firstLineChars="189"/>
        <w:rPr>
          <w:rFonts w:ascii="仿宋_GB2312" w:hAnsi="宋体" w:eastAsia="仿宋_GB2312" w:cs="宋体"/>
          <w:sz w:val="32"/>
          <w:szCs w:val="32"/>
        </w:rPr>
      </w:pPr>
      <w:r>
        <w:rPr>
          <w:rFonts w:hint="eastAsia" w:ascii="仿宋_GB2312" w:hAnsi="宋体" w:eastAsia="仿宋_GB2312" w:cs="宋体"/>
          <w:sz w:val="32"/>
          <w:szCs w:val="32"/>
        </w:rPr>
        <w:t>（2）不得以任何理由为发包人工作人员报销应由其个人支付的费用。</w:t>
      </w:r>
    </w:p>
    <w:p>
      <w:pPr>
        <w:adjustRightInd w:val="0"/>
        <w:snapToGrid w:val="0"/>
        <w:spacing w:line="600" w:lineRule="exact"/>
        <w:ind w:firstLine="604" w:firstLineChars="189"/>
        <w:rPr>
          <w:rFonts w:ascii="仿宋_GB2312" w:hAnsi="宋体" w:eastAsia="仿宋_GB2312" w:cs="宋体"/>
          <w:sz w:val="32"/>
          <w:szCs w:val="32"/>
        </w:rPr>
      </w:pPr>
      <w:r>
        <w:rPr>
          <w:rFonts w:hint="eastAsia" w:ascii="仿宋_GB2312" w:hAnsi="宋体" w:eastAsia="仿宋_GB2312" w:cs="宋体"/>
          <w:sz w:val="32"/>
          <w:szCs w:val="32"/>
        </w:rPr>
        <w:t>（3）不得为发包人工作人员装修住房或为其配偶、子女的工作安排以及出国（境）、旅游等提供方便。</w:t>
      </w:r>
    </w:p>
    <w:p>
      <w:pPr>
        <w:adjustRightInd w:val="0"/>
        <w:snapToGrid w:val="0"/>
        <w:spacing w:line="600" w:lineRule="exact"/>
        <w:ind w:firstLine="604" w:firstLineChars="189"/>
        <w:rPr>
          <w:rFonts w:ascii="仿宋_GB2312" w:hAnsi="宋体" w:eastAsia="仿宋_GB2312" w:cs="宋体"/>
          <w:sz w:val="32"/>
          <w:szCs w:val="32"/>
        </w:rPr>
      </w:pPr>
      <w:r>
        <w:rPr>
          <w:rFonts w:hint="eastAsia" w:ascii="仿宋_GB2312" w:hAnsi="宋体" w:eastAsia="仿宋_GB2312" w:cs="宋体"/>
          <w:sz w:val="32"/>
          <w:szCs w:val="32"/>
        </w:rPr>
        <w:t>（4）不得以任何理由邀请发包人工作人员参加有可能影响公正执行公务的宴请、健身、娱乐等活动。</w:t>
      </w:r>
    </w:p>
    <w:p>
      <w:pPr>
        <w:adjustRightInd w:val="0"/>
        <w:snapToGrid w:val="0"/>
        <w:spacing w:line="600" w:lineRule="exact"/>
        <w:ind w:firstLine="604" w:firstLineChars="189"/>
        <w:rPr>
          <w:rFonts w:ascii="仿宋_GB2312" w:hAnsi="宋体" w:eastAsia="仿宋_GB2312" w:cs="宋体"/>
          <w:sz w:val="32"/>
          <w:szCs w:val="32"/>
        </w:rPr>
      </w:pPr>
      <w:r>
        <w:rPr>
          <w:rFonts w:hint="eastAsia" w:ascii="仿宋_GB2312" w:hAnsi="宋体" w:eastAsia="仿宋_GB2312" w:cs="宋体"/>
          <w:sz w:val="32"/>
          <w:szCs w:val="32"/>
        </w:rPr>
        <w:t>（5）其它与项目有关的党风廉政建设和预防腐败的规定。</w:t>
      </w:r>
    </w:p>
    <w:p>
      <w:pPr>
        <w:adjustRightInd w:val="0"/>
        <w:snapToGrid w:val="0"/>
        <w:spacing w:line="600" w:lineRule="exact"/>
        <w:ind w:firstLine="765" w:firstLineChars="238"/>
        <w:rPr>
          <w:rFonts w:ascii="仿宋_GB2312" w:hAnsi="宋体" w:eastAsia="仿宋_GB2312" w:cs="宋体"/>
          <w:b/>
          <w:bCs/>
          <w:sz w:val="32"/>
          <w:szCs w:val="32"/>
        </w:rPr>
      </w:pPr>
      <w:r>
        <w:rPr>
          <w:rFonts w:hint="eastAsia" w:ascii="仿宋_GB2312" w:hAnsi="宋体" w:eastAsia="仿宋_GB2312" w:cs="宋体"/>
          <w:b/>
          <w:bCs/>
          <w:sz w:val="32"/>
          <w:szCs w:val="32"/>
        </w:rPr>
        <w:t>4、违约责任</w:t>
      </w:r>
    </w:p>
    <w:p>
      <w:pPr>
        <w:adjustRightInd w:val="0"/>
        <w:snapToGrid w:val="0"/>
        <w:spacing w:line="600" w:lineRule="exact"/>
        <w:ind w:firstLine="604" w:firstLineChars="189"/>
        <w:rPr>
          <w:rFonts w:ascii="仿宋_GB2312" w:hAnsi="宋体" w:eastAsia="仿宋_GB2312" w:cs="宋体"/>
          <w:sz w:val="32"/>
          <w:szCs w:val="32"/>
        </w:rPr>
      </w:pPr>
      <w:r>
        <w:rPr>
          <w:rFonts w:hint="eastAsia" w:ascii="仿宋_GB2312" w:hAnsi="宋体" w:eastAsia="仿宋_GB2312" w:cs="宋体"/>
          <w:sz w:val="32"/>
          <w:szCs w:val="32"/>
        </w:rPr>
        <w:t>（1）发包人工作人员有违反本合同第一、二条行为的，经调查属实，依据有关法律法规和规定给予党纪、政纪处分或组织处理；涉嫌犯罪的，移交司法机关追究刑事责任；给承包人造成经济损失的，发包人应予以赔偿。</w:t>
      </w:r>
    </w:p>
    <w:p>
      <w:pPr>
        <w:adjustRightInd w:val="0"/>
        <w:snapToGrid w:val="0"/>
        <w:spacing w:line="600" w:lineRule="exact"/>
        <w:ind w:firstLine="604" w:firstLineChars="189"/>
        <w:rPr>
          <w:rFonts w:ascii="仿宋_GB2312" w:hAnsi="宋体" w:eastAsia="仿宋_GB2312" w:cs="宋体"/>
          <w:sz w:val="32"/>
          <w:szCs w:val="32"/>
        </w:rPr>
      </w:pPr>
      <w:r>
        <w:rPr>
          <w:rFonts w:hint="eastAsia" w:ascii="仿宋_GB2312" w:hAnsi="宋体" w:eastAsia="仿宋_GB2312" w:cs="宋体"/>
          <w:sz w:val="32"/>
          <w:szCs w:val="32"/>
        </w:rPr>
        <w:t>（2）承包人工作人员有违反本合同第一、三条行为的，经调查属实，依据有关法律法规和规定给予以下相应处理；给发包人造成经济损失的，承包人应予以赔偿；情节严重的，发包人建议交通工程建设主管部门给予一至三年不得进入交通建设市场的处罚；涉嫌犯罪的，移交司法机关追究刑事责任。</w:t>
      </w:r>
    </w:p>
    <w:p>
      <w:pPr>
        <w:adjustRightInd w:val="0"/>
        <w:snapToGrid w:val="0"/>
        <w:spacing w:line="600" w:lineRule="exact"/>
        <w:ind w:firstLine="604" w:firstLineChars="189"/>
        <w:rPr>
          <w:rFonts w:ascii="仿宋_GB2312" w:hAnsi="宋体" w:eastAsia="仿宋_GB2312" w:cs="宋体"/>
          <w:sz w:val="32"/>
          <w:szCs w:val="32"/>
        </w:rPr>
      </w:pPr>
      <w:r>
        <w:rPr>
          <w:rFonts w:hint="eastAsia" w:ascii="仿宋_GB2312" w:hAnsi="宋体" w:eastAsia="仿宋_GB2312" w:cs="宋体"/>
          <w:sz w:val="32"/>
          <w:szCs w:val="32"/>
        </w:rPr>
        <w:t>（3）双方约定：本合同由发包人或发包人上级单位的纪检监察机关负责监督执行。由发包人或发包人上级单位的纪检监察机关约请承包人行业主管部门的纪检监察机关对本合同执行情况进行检查，提出在本合同规定范围内的裁定意见。</w:t>
      </w:r>
    </w:p>
    <w:p>
      <w:pPr>
        <w:adjustRightInd w:val="0"/>
        <w:snapToGrid w:val="0"/>
        <w:spacing w:line="600" w:lineRule="exact"/>
        <w:ind w:firstLine="765" w:firstLineChars="238"/>
        <w:rPr>
          <w:rFonts w:ascii="仿宋_GB2312" w:hAnsi="宋体" w:eastAsia="仿宋_GB2312" w:cs="宋体"/>
          <w:sz w:val="32"/>
          <w:szCs w:val="32"/>
        </w:rPr>
      </w:pPr>
      <w:r>
        <w:rPr>
          <w:rFonts w:hint="eastAsia" w:ascii="仿宋_GB2312" w:hAnsi="宋体" w:eastAsia="仿宋_GB2312" w:cs="宋体"/>
          <w:b/>
          <w:bCs/>
          <w:sz w:val="32"/>
          <w:szCs w:val="32"/>
        </w:rPr>
        <w:t>5、</w:t>
      </w:r>
      <w:r>
        <w:rPr>
          <w:rFonts w:hint="eastAsia" w:ascii="仿宋_GB2312" w:hAnsi="宋体" w:eastAsia="仿宋_GB2312" w:cs="宋体"/>
          <w:sz w:val="32"/>
          <w:szCs w:val="32"/>
        </w:rPr>
        <w:t>本合同作为甲、乙双方主合同的附件，与主合同具有同等法律效力。经双方签署后立即生效，项目决算审计后合同效力终止。</w:t>
      </w:r>
    </w:p>
    <w:p>
      <w:pPr>
        <w:spacing w:line="600" w:lineRule="exact"/>
        <w:ind w:firstLine="790" w:firstLineChars="246"/>
        <w:rPr>
          <w:rFonts w:ascii="仿宋_GB2312" w:eastAsia="仿宋_GB2312"/>
          <w:b/>
          <w:sz w:val="32"/>
          <w:szCs w:val="32"/>
        </w:rPr>
      </w:pPr>
      <w:r>
        <w:rPr>
          <w:rFonts w:hint="eastAsia" w:ascii="仿宋_GB2312" w:eastAsia="仿宋_GB2312"/>
          <w:b/>
          <w:sz w:val="32"/>
          <w:szCs w:val="32"/>
        </w:rPr>
        <w:t>第十一条 其他约定</w:t>
      </w:r>
    </w:p>
    <w:p>
      <w:pPr>
        <w:spacing w:line="600" w:lineRule="exact"/>
        <w:ind w:firstLine="800" w:firstLineChars="250"/>
        <w:rPr>
          <w:rFonts w:ascii="仿宋_GB2312" w:hAnsi="宋体" w:eastAsia="仿宋_GB2312" w:cs="宋体"/>
          <w:sz w:val="32"/>
          <w:szCs w:val="32"/>
        </w:rPr>
      </w:pPr>
      <w:r>
        <w:rPr>
          <w:rFonts w:hint="eastAsia" w:ascii="仿宋_GB2312" w:hAnsi="宋体" w:eastAsia="仿宋_GB2312" w:cs="宋体"/>
          <w:sz w:val="32"/>
          <w:szCs w:val="32"/>
        </w:rPr>
        <w:t>1、本合同自签订之日起生效，工程竣工后绿植维护期满财务决算、工程款全部清算后失效 。</w:t>
      </w:r>
    </w:p>
    <w:p>
      <w:pPr>
        <w:spacing w:line="600" w:lineRule="exact"/>
        <w:ind w:firstLine="600"/>
        <w:rPr>
          <w:rFonts w:ascii="仿宋_GB2312" w:hAnsi="宋体" w:eastAsia="仿宋_GB2312" w:cs="宋体"/>
          <w:sz w:val="32"/>
          <w:szCs w:val="32"/>
        </w:rPr>
      </w:pPr>
      <w:r>
        <w:rPr>
          <w:rFonts w:hint="eastAsia" w:ascii="仿宋_GB2312" w:hAnsi="宋体" w:eastAsia="仿宋_GB2312" w:cs="宋体"/>
          <w:sz w:val="32"/>
          <w:szCs w:val="32"/>
        </w:rPr>
        <w:t>2、本工程质保期为：自竣工验收合格之日起，质保期为1年，质保期满后28天内，甲方向乙方全额免息支付质量保证金。</w:t>
      </w:r>
    </w:p>
    <w:p>
      <w:pPr>
        <w:tabs>
          <w:tab w:val="left" w:pos="630"/>
        </w:tabs>
        <w:spacing w:line="600" w:lineRule="exact"/>
        <w:ind w:firstLine="640" w:firstLineChars="200"/>
        <w:rPr>
          <w:rFonts w:ascii="仿宋_GB2312" w:hAnsi="宋体" w:eastAsia="仿宋_GB2312" w:cs="仿宋"/>
          <w:sz w:val="32"/>
          <w:szCs w:val="32"/>
        </w:rPr>
      </w:pPr>
      <w:r>
        <w:rPr>
          <w:rFonts w:hint="eastAsia" w:ascii="仿宋_GB2312" w:eastAsia="仿宋_GB2312"/>
          <w:sz w:val="32"/>
          <w:szCs w:val="32"/>
        </w:rPr>
        <w:t>3、本合同未尽事宜由甲乙双方协商解决，协商不成，</w:t>
      </w:r>
      <w:r>
        <w:rPr>
          <w:rFonts w:hint="eastAsia" w:ascii="仿宋_GB2312" w:hAnsi="宋体" w:eastAsia="仿宋_GB2312"/>
          <w:sz w:val="32"/>
          <w:szCs w:val="32"/>
        </w:rPr>
        <w:t>约定向甲方所在地有管辖权的人民法院起诉。</w:t>
      </w:r>
    </w:p>
    <w:p>
      <w:pPr>
        <w:spacing w:line="600" w:lineRule="exact"/>
        <w:ind w:firstLine="800" w:firstLineChars="250"/>
        <w:rPr>
          <w:rFonts w:ascii="仿宋_GB2312" w:eastAsia="仿宋_GB2312"/>
          <w:sz w:val="32"/>
          <w:szCs w:val="32"/>
        </w:rPr>
      </w:pPr>
      <w:r>
        <w:rPr>
          <w:rFonts w:hint="eastAsia" w:ascii="仿宋_GB2312" w:eastAsia="仿宋_GB2312"/>
          <w:sz w:val="32"/>
          <w:szCs w:val="32"/>
        </w:rPr>
        <w:t>4、本合同一式四份，</w:t>
      </w:r>
      <w:r>
        <w:rPr>
          <w:rFonts w:hint="eastAsia" w:ascii="仿宋_GB2312" w:hAnsi="宋体" w:eastAsia="仿宋_GB2312" w:cs="宋体"/>
          <w:sz w:val="32"/>
          <w:szCs w:val="32"/>
        </w:rPr>
        <w:t xml:space="preserve">双方各执 </w:t>
      </w:r>
      <w:r>
        <w:rPr>
          <w:rFonts w:hint="eastAsia" w:ascii="仿宋_GB2312" w:hAnsi="宋体" w:eastAsia="仿宋_GB2312" w:cs="宋体"/>
          <w:b/>
          <w:bCs/>
          <w:sz w:val="32"/>
          <w:szCs w:val="32"/>
        </w:rPr>
        <w:t>二</w:t>
      </w:r>
      <w:r>
        <w:rPr>
          <w:rFonts w:hint="eastAsia" w:ascii="仿宋_GB2312" w:hAnsi="宋体" w:eastAsia="仿宋_GB2312" w:cs="宋体"/>
          <w:sz w:val="32"/>
          <w:szCs w:val="32"/>
        </w:rPr>
        <w:t xml:space="preserve"> 份</w:t>
      </w:r>
      <w:r>
        <w:rPr>
          <w:rFonts w:hint="eastAsia" w:ascii="仿宋_GB2312" w:eastAsia="仿宋_GB2312"/>
          <w:sz w:val="32"/>
          <w:szCs w:val="32"/>
        </w:rPr>
        <w:t>，具有同等的法律效力，本合同自双方签字盖章之日有效。</w:t>
      </w:r>
    </w:p>
    <w:tbl>
      <w:tblPr>
        <w:tblStyle w:val="17"/>
        <w:tblpPr w:leftFromText="180" w:rightFromText="180" w:vertAnchor="text" w:horzAnchor="page" w:tblpX="1568" w:tblpY="947"/>
        <w:tblOverlap w:val="never"/>
        <w:tblW w:w="98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30"/>
        <w:gridCol w:w="3455"/>
        <w:gridCol w:w="1494"/>
        <w:gridCol w:w="34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885" w:type="dxa"/>
            <w:gridSpan w:val="2"/>
            <w:tcBorders>
              <w:top w:val="single" w:color="auto" w:sz="4" w:space="0"/>
              <w:bottom w:val="single" w:color="auto" w:sz="4" w:space="0"/>
              <w:right w:val="single" w:color="auto" w:sz="4" w:space="0"/>
            </w:tcBorders>
            <w:noWrap/>
          </w:tcPr>
          <w:p>
            <w:pPr>
              <w:spacing w:after="160" w:line="480" w:lineRule="exact"/>
              <w:jc w:val="center"/>
              <w:rPr>
                <w:rFonts w:ascii="??" w:hAnsi="??" w:cs="??"/>
                <w:kern w:val="0"/>
                <w:sz w:val="28"/>
                <w:szCs w:val="28"/>
              </w:rPr>
            </w:pPr>
            <w:r>
              <w:rPr>
                <w:rFonts w:hint="eastAsia" w:ascii="宋体" w:hAnsi="宋体" w:cs="宋体"/>
                <w:b/>
                <w:bCs/>
                <w:kern w:val="0"/>
                <w:sz w:val="28"/>
                <w:szCs w:val="28"/>
              </w:rPr>
              <w:t>甲    方</w:t>
            </w:r>
          </w:p>
        </w:tc>
        <w:tc>
          <w:tcPr>
            <w:tcW w:w="4945" w:type="dxa"/>
            <w:gridSpan w:val="2"/>
            <w:tcBorders>
              <w:top w:val="single" w:color="auto" w:sz="4" w:space="0"/>
              <w:left w:val="single" w:color="auto" w:sz="4" w:space="0"/>
              <w:bottom w:val="single" w:color="auto" w:sz="4" w:space="0"/>
            </w:tcBorders>
            <w:noWrap/>
          </w:tcPr>
          <w:p>
            <w:pPr>
              <w:spacing w:after="160" w:line="480" w:lineRule="exact"/>
              <w:jc w:val="center"/>
              <w:rPr>
                <w:rFonts w:ascii="??" w:hAnsi="??" w:cs="??"/>
                <w:kern w:val="0"/>
                <w:sz w:val="28"/>
                <w:szCs w:val="28"/>
              </w:rPr>
            </w:pPr>
            <w:r>
              <w:rPr>
                <w:rFonts w:hint="eastAsia" w:ascii="宋体" w:hAnsi="宋体" w:cs="宋体"/>
                <w:b/>
                <w:bCs/>
                <w:kern w:val="0"/>
                <w:sz w:val="28"/>
                <w:szCs w:val="28"/>
              </w:rPr>
              <w:t>乙     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1430" w:type="dxa"/>
            <w:tcBorders>
              <w:top w:val="single" w:color="auto" w:sz="4" w:space="0"/>
              <w:bottom w:val="single" w:color="auto" w:sz="4" w:space="0"/>
              <w:right w:val="single" w:color="auto" w:sz="4" w:space="0"/>
            </w:tcBorders>
            <w:noWrap/>
            <w:vAlign w:val="center"/>
          </w:tcPr>
          <w:p>
            <w:pPr>
              <w:spacing w:after="160" w:line="480" w:lineRule="exact"/>
              <w:jc w:val="center"/>
              <w:rPr>
                <w:rFonts w:ascii="??" w:hAnsi="??" w:cs="??"/>
                <w:kern w:val="0"/>
                <w:sz w:val="24"/>
              </w:rPr>
            </w:pPr>
            <w:r>
              <w:rPr>
                <w:rFonts w:hint="eastAsia" w:ascii="宋体" w:hAnsi="宋体" w:cs="宋体"/>
                <w:kern w:val="0"/>
                <w:sz w:val="24"/>
              </w:rPr>
              <w:t>单位名称：（章）</w:t>
            </w:r>
          </w:p>
        </w:tc>
        <w:tc>
          <w:tcPr>
            <w:tcW w:w="3455" w:type="dxa"/>
            <w:tcBorders>
              <w:top w:val="single" w:color="auto" w:sz="4" w:space="0"/>
              <w:left w:val="single" w:color="auto" w:sz="4" w:space="0"/>
              <w:bottom w:val="single" w:color="auto" w:sz="4" w:space="0"/>
              <w:right w:val="single" w:color="auto" w:sz="4" w:space="0"/>
            </w:tcBorders>
            <w:noWrap/>
            <w:vAlign w:val="center"/>
          </w:tcPr>
          <w:p>
            <w:pPr>
              <w:spacing w:after="160" w:line="480" w:lineRule="exact"/>
              <w:rPr>
                <w:rFonts w:ascii="??" w:hAnsi="??" w:cs="??"/>
                <w:kern w:val="0"/>
                <w:sz w:val="24"/>
              </w:rPr>
            </w:pPr>
            <w:r>
              <w:rPr>
                <w:rFonts w:hint="eastAsia" w:ascii="宋体" w:hAnsi="宋体" w:cs="宋体"/>
                <w:kern w:val="0"/>
                <w:sz w:val="24"/>
              </w:rPr>
              <w:t>岳阳城陵矶新港有限公司</w:t>
            </w:r>
          </w:p>
        </w:tc>
        <w:tc>
          <w:tcPr>
            <w:tcW w:w="1494" w:type="dxa"/>
            <w:tcBorders>
              <w:top w:val="single" w:color="auto" w:sz="4" w:space="0"/>
              <w:left w:val="single" w:color="auto" w:sz="4" w:space="0"/>
              <w:bottom w:val="single" w:color="auto" w:sz="4" w:space="0"/>
              <w:right w:val="single" w:color="auto" w:sz="4" w:space="0"/>
            </w:tcBorders>
            <w:noWrap/>
            <w:vAlign w:val="center"/>
          </w:tcPr>
          <w:p>
            <w:pPr>
              <w:spacing w:after="160" w:line="480" w:lineRule="exact"/>
              <w:jc w:val="center"/>
              <w:rPr>
                <w:rFonts w:ascii="??" w:hAnsi="??" w:cs="??"/>
                <w:kern w:val="0"/>
                <w:sz w:val="24"/>
              </w:rPr>
            </w:pPr>
            <w:r>
              <w:rPr>
                <w:rFonts w:hint="eastAsia" w:ascii="宋体" w:hAnsi="宋体" w:cs="宋体"/>
                <w:kern w:val="0"/>
                <w:sz w:val="24"/>
              </w:rPr>
              <w:t>单位名称： （章）</w:t>
            </w:r>
          </w:p>
        </w:tc>
        <w:tc>
          <w:tcPr>
            <w:tcW w:w="3451" w:type="dxa"/>
            <w:tcBorders>
              <w:top w:val="single" w:color="auto" w:sz="4" w:space="0"/>
              <w:left w:val="single" w:color="auto" w:sz="4" w:space="0"/>
              <w:bottom w:val="single" w:color="auto" w:sz="4" w:space="0"/>
            </w:tcBorders>
            <w:noWrap/>
            <w:vAlign w:val="center"/>
          </w:tcPr>
          <w:p>
            <w:pPr>
              <w:spacing w:beforeLines="50" w:line="480" w:lineRule="exact"/>
              <w:rPr>
                <w:rFonts w:ascii="??" w:hAnsi="??" w:cs="??"/>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430" w:type="dxa"/>
            <w:tcBorders>
              <w:top w:val="single" w:color="auto" w:sz="4" w:space="0"/>
              <w:bottom w:val="single" w:color="auto" w:sz="4" w:space="0"/>
              <w:right w:val="single" w:color="auto" w:sz="4" w:space="0"/>
            </w:tcBorders>
            <w:noWrap/>
            <w:vAlign w:val="center"/>
          </w:tcPr>
          <w:p>
            <w:pPr>
              <w:spacing w:after="160" w:line="480" w:lineRule="exact"/>
              <w:jc w:val="center"/>
              <w:rPr>
                <w:rFonts w:ascii="??" w:hAnsi="??" w:cs="??"/>
                <w:kern w:val="0"/>
                <w:sz w:val="24"/>
              </w:rPr>
            </w:pPr>
            <w:r>
              <w:rPr>
                <w:rFonts w:hint="eastAsia" w:ascii="宋体" w:hAnsi="宋体" w:cs="宋体"/>
                <w:kern w:val="0"/>
                <w:sz w:val="24"/>
              </w:rPr>
              <w:t>单位地址</w:t>
            </w:r>
          </w:p>
        </w:tc>
        <w:tc>
          <w:tcPr>
            <w:tcW w:w="3455" w:type="dxa"/>
            <w:tcBorders>
              <w:top w:val="single" w:color="auto" w:sz="4" w:space="0"/>
              <w:left w:val="single" w:color="auto" w:sz="4" w:space="0"/>
              <w:bottom w:val="single" w:color="auto" w:sz="4" w:space="0"/>
              <w:right w:val="single" w:color="auto" w:sz="4" w:space="0"/>
            </w:tcBorders>
            <w:noWrap/>
            <w:vAlign w:val="center"/>
          </w:tcPr>
          <w:p>
            <w:pPr>
              <w:adjustRightInd w:val="0"/>
              <w:spacing w:line="480" w:lineRule="exact"/>
              <w:textAlignment w:val="baseline"/>
              <w:rPr>
                <w:rFonts w:ascii="??" w:hAnsi="??" w:cs="??"/>
                <w:kern w:val="0"/>
                <w:sz w:val="24"/>
              </w:rPr>
            </w:pPr>
            <w:r>
              <w:rPr>
                <w:rFonts w:hint="eastAsia" w:ascii="宋体" w:hAnsi="宋体" w:cs="宋体"/>
                <w:kern w:val="0"/>
                <w:sz w:val="24"/>
              </w:rPr>
              <w:t>岳阳市城陵矶临港新区新港办公楼</w:t>
            </w:r>
          </w:p>
        </w:tc>
        <w:tc>
          <w:tcPr>
            <w:tcW w:w="1494" w:type="dxa"/>
            <w:tcBorders>
              <w:top w:val="single" w:color="auto" w:sz="4" w:space="0"/>
              <w:left w:val="single" w:color="auto" w:sz="4" w:space="0"/>
              <w:bottom w:val="single" w:color="auto" w:sz="4" w:space="0"/>
              <w:right w:val="single" w:color="auto" w:sz="4" w:space="0"/>
            </w:tcBorders>
            <w:noWrap/>
            <w:vAlign w:val="center"/>
          </w:tcPr>
          <w:p>
            <w:pPr>
              <w:spacing w:after="160" w:line="480" w:lineRule="exact"/>
              <w:jc w:val="center"/>
              <w:rPr>
                <w:rFonts w:ascii="??" w:hAnsi="??" w:cs="??"/>
                <w:kern w:val="0"/>
                <w:sz w:val="24"/>
              </w:rPr>
            </w:pPr>
            <w:r>
              <w:rPr>
                <w:rFonts w:hint="eastAsia" w:ascii="宋体" w:hAnsi="宋体" w:cs="宋体"/>
                <w:kern w:val="0"/>
                <w:sz w:val="24"/>
              </w:rPr>
              <w:t>单位地址</w:t>
            </w:r>
          </w:p>
        </w:tc>
        <w:tc>
          <w:tcPr>
            <w:tcW w:w="3451" w:type="dxa"/>
            <w:tcBorders>
              <w:top w:val="single" w:color="auto" w:sz="4" w:space="0"/>
              <w:left w:val="single" w:color="auto" w:sz="4" w:space="0"/>
              <w:bottom w:val="single" w:color="auto" w:sz="4" w:space="0"/>
            </w:tcBorders>
            <w:noWrap/>
            <w:vAlign w:val="center"/>
          </w:tcPr>
          <w:p>
            <w:pPr>
              <w:spacing w:after="160" w:line="480" w:lineRule="exact"/>
              <w:rPr>
                <w:rFonts w:ascii="??" w:hAnsi="??" w:cs="??"/>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430" w:type="dxa"/>
            <w:tcBorders>
              <w:top w:val="single" w:color="auto" w:sz="4" w:space="0"/>
              <w:bottom w:val="single" w:color="auto" w:sz="4" w:space="0"/>
              <w:right w:val="single" w:color="auto" w:sz="4" w:space="0"/>
            </w:tcBorders>
            <w:noWrap/>
            <w:vAlign w:val="center"/>
          </w:tcPr>
          <w:p>
            <w:pPr>
              <w:spacing w:after="160" w:line="480" w:lineRule="exact"/>
              <w:jc w:val="center"/>
              <w:rPr>
                <w:rFonts w:ascii="??" w:hAnsi="??" w:cs="??"/>
                <w:kern w:val="0"/>
                <w:sz w:val="24"/>
              </w:rPr>
            </w:pPr>
            <w:r>
              <w:rPr>
                <w:rFonts w:hint="eastAsia" w:ascii="宋体" w:hAnsi="宋体" w:cs="宋体"/>
                <w:kern w:val="0"/>
                <w:sz w:val="24"/>
              </w:rPr>
              <w:t>法定代表</w:t>
            </w:r>
          </w:p>
        </w:tc>
        <w:tc>
          <w:tcPr>
            <w:tcW w:w="3455" w:type="dxa"/>
            <w:tcBorders>
              <w:top w:val="single" w:color="auto" w:sz="4" w:space="0"/>
              <w:left w:val="single" w:color="auto" w:sz="4" w:space="0"/>
              <w:bottom w:val="single" w:color="auto" w:sz="4" w:space="0"/>
              <w:right w:val="single" w:color="auto" w:sz="4" w:space="0"/>
            </w:tcBorders>
            <w:noWrap/>
            <w:vAlign w:val="center"/>
          </w:tcPr>
          <w:p>
            <w:pPr>
              <w:spacing w:after="160" w:line="480" w:lineRule="exact"/>
              <w:rPr>
                <w:rFonts w:ascii="??" w:hAnsi="??" w:cs="??"/>
                <w:kern w:val="0"/>
                <w:sz w:val="24"/>
              </w:rPr>
            </w:pPr>
          </w:p>
        </w:tc>
        <w:tc>
          <w:tcPr>
            <w:tcW w:w="1494" w:type="dxa"/>
            <w:tcBorders>
              <w:top w:val="single" w:color="auto" w:sz="4" w:space="0"/>
              <w:left w:val="single" w:color="auto" w:sz="4" w:space="0"/>
              <w:bottom w:val="single" w:color="auto" w:sz="4" w:space="0"/>
              <w:right w:val="single" w:color="auto" w:sz="4" w:space="0"/>
            </w:tcBorders>
            <w:noWrap/>
            <w:vAlign w:val="center"/>
          </w:tcPr>
          <w:p>
            <w:pPr>
              <w:spacing w:after="160" w:line="480" w:lineRule="exact"/>
              <w:jc w:val="center"/>
              <w:rPr>
                <w:rFonts w:ascii="??" w:hAnsi="??" w:cs="??"/>
                <w:kern w:val="0"/>
                <w:sz w:val="24"/>
              </w:rPr>
            </w:pPr>
            <w:r>
              <w:rPr>
                <w:rFonts w:hint="eastAsia" w:ascii="宋体" w:hAnsi="宋体" w:cs="宋体"/>
                <w:kern w:val="0"/>
                <w:sz w:val="24"/>
              </w:rPr>
              <w:t>法定代表</w:t>
            </w:r>
          </w:p>
        </w:tc>
        <w:tc>
          <w:tcPr>
            <w:tcW w:w="3451" w:type="dxa"/>
            <w:tcBorders>
              <w:top w:val="single" w:color="auto" w:sz="4" w:space="0"/>
              <w:left w:val="single" w:color="auto" w:sz="4" w:space="0"/>
              <w:bottom w:val="single" w:color="auto" w:sz="4" w:space="0"/>
            </w:tcBorders>
            <w:noWrap/>
            <w:vAlign w:val="center"/>
          </w:tcPr>
          <w:p>
            <w:pPr>
              <w:spacing w:after="160" w:line="480" w:lineRule="exact"/>
              <w:ind w:firstLine="720" w:firstLineChars="300"/>
              <w:rPr>
                <w:rFonts w:ascii="??" w:hAnsi="??" w:cs="??"/>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430" w:type="dxa"/>
            <w:tcBorders>
              <w:top w:val="single" w:color="auto" w:sz="4" w:space="0"/>
              <w:bottom w:val="single" w:color="auto" w:sz="4" w:space="0"/>
              <w:right w:val="single" w:color="auto" w:sz="4" w:space="0"/>
            </w:tcBorders>
            <w:noWrap/>
            <w:vAlign w:val="center"/>
          </w:tcPr>
          <w:p>
            <w:pPr>
              <w:spacing w:after="160" w:line="480" w:lineRule="exact"/>
              <w:jc w:val="center"/>
              <w:rPr>
                <w:rFonts w:ascii="??" w:hAnsi="??" w:cs="??"/>
                <w:kern w:val="0"/>
                <w:sz w:val="24"/>
              </w:rPr>
            </w:pPr>
            <w:r>
              <w:rPr>
                <w:rFonts w:hint="eastAsia" w:ascii="宋体" w:hAnsi="宋体" w:cs="宋体"/>
                <w:spacing w:val="-6"/>
                <w:kern w:val="0"/>
                <w:sz w:val="24"/>
              </w:rPr>
              <w:t>委托代理人</w:t>
            </w:r>
          </w:p>
        </w:tc>
        <w:tc>
          <w:tcPr>
            <w:tcW w:w="3455" w:type="dxa"/>
            <w:tcBorders>
              <w:top w:val="single" w:color="auto" w:sz="4" w:space="0"/>
              <w:left w:val="single" w:color="auto" w:sz="4" w:space="0"/>
              <w:bottom w:val="single" w:color="auto" w:sz="4" w:space="0"/>
              <w:right w:val="single" w:color="auto" w:sz="4" w:space="0"/>
            </w:tcBorders>
            <w:noWrap/>
            <w:vAlign w:val="center"/>
          </w:tcPr>
          <w:p>
            <w:pPr>
              <w:spacing w:after="160" w:line="480" w:lineRule="exact"/>
              <w:rPr>
                <w:rFonts w:ascii="??" w:hAnsi="??" w:cs="??"/>
                <w:kern w:val="0"/>
                <w:sz w:val="24"/>
              </w:rPr>
            </w:pPr>
          </w:p>
        </w:tc>
        <w:tc>
          <w:tcPr>
            <w:tcW w:w="1494" w:type="dxa"/>
            <w:tcBorders>
              <w:top w:val="single" w:color="auto" w:sz="4" w:space="0"/>
              <w:left w:val="single" w:color="auto" w:sz="4" w:space="0"/>
              <w:bottom w:val="single" w:color="auto" w:sz="4" w:space="0"/>
              <w:right w:val="single" w:color="auto" w:sz="4" w:space="0"/>
            </w:tcBorders>
            <w:noWrap/>
            <w:vAlign w:val="center"/>
          </w:tcPr>
          <w:p>
            <w:pPr>
              <w:spacing w:after="160" w:line="480" w:lineRule="exact"/>
              <w:jc w:val="center"/>
              <w:rPr>
                <w:rFonts w:ascii="??" w:hAnsi="??" w:cs="??"/>
                <w:kern w:val="0"/>
                <w:sz w:val="24"/>
              </w:rPr>
            </w:pPr>
            <w:r>
              <w:rPr>
                <w:rFonts w:hint="eastAsia" w:ascii="宋体" w:hAnsi="宋体" w:cs="宋体"/>
                <w:kern w:val="0"/>
                <w:sz w:val="24"/>
              </w:rPr>
              <w:t>委托代理人</w:t>
            </w:r>
          </w:p>
        </w:tc>
        <w:tc>
          <w:tcPr>
            <w:tcW w:w="3451" w:type="dxa"/>
            <w:tcBorders>
              <w:top w:val="single" w:color="auto" w:sz="4" w:space="0"/>
              <w:left w:val="single" w:color="auto" w:sz="4" w:space="0"/>
              <w:bottom w:val="single" w:color="auto" w:sz="4" w:space="0"/>
            </w:tcBorders>
            <w:noWrap/>
            <w:vAlign w:val="center"/>
          </w:tcPr>
          <w:p>
            <w:pPr>
              <w:spacing w:after="160" w:line="480" w:lineRule="exact"/>
              <w:rPr>
                <w:rFonts w:ascii="??" w:hAnsi="??" w:cs="??"/>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430" w:type="dxa"/>
            <w:tcBorders>
              <w:top w:val="single" w:color="auto" w:sz="4" w:space="0"/>
              <w:bottom w:val="single" w:color="auto" w:sz="4" w:space="0"/>
              <w:right w:val="single" w:color="auto" w:sz="4" w:space="0"/>
            </w:tcBorders>
            <w:noWrap/>
            <w:vAlign w:val="center"/>
          </w:tcPr>
          <w:p>
            <w:pPr>
              <w:spacing w:after="160" w:line="480" w:lineRule="exact"/>
              <w:jc w:val="center"/>
              <w:rPr>
                <w:rFonts w:ascii="??" w:hAnsi="??" w:cs="??"/>
                <w:kern w:val="0"/>
                <w:sz w:val="24"/>
              </w:rPr>
            </w:pPr>
            <w:r>
              <w:rPr>
                <w:rFonts w:hint="eastAsia" w:ascii="宋体" w:hAnsi="宋体" w:cs="宋体"/>
                <w:kern w:val="0"/>
                <w:sz w:val="24"/>
              </w:rPr>
              <w:t>电话</w:t>
            </w:r>
          </w:p>
        </w:tc>
        <w:tc>
          <w:tcPr>
            <w:tcW w:w="3455" w:type="dxa"/>
            <w:tcBorders>
              <w:top w:val="single" w:color="auto" w:sz="4" w:space="0"/>
              <w:left w:val="single" w:color="auto" w:sz="4" w:space="0"/>
              <w:bottom w:val="single" w:color="auto" w:sz="4" w:space="0"/>
              <w:right w:val="single" w:color="auto" w:sz="4" w:space="0"/>
            </w:tcBorders>
            <w:noWrap/>
            <w:vAlign w:val="center"/>
          </w:tcPr>
          <w:p>
            <w:pPr>
              <w:spacing w:after="160" w:line="480" w:lineRule="exact"/>
              <w:rPr>
                <w:rFonts w:ascii="??" w:hAnsi="??" w:cs="??"/>
                <w:kern w:val="0"/>
                <w:sz w:val="24"/>
              </w:rPr>
            </w:pPr>
            <w:r>
              <w:rPr>
                <w:rFonts w:hint="eastAsia" w:ascii="宋体" w:hAnsi="宋体" w:cs="宋体"/>
                <w:sz w:val="24"/>
              </w:rPr>
              <w:t>0730-8422017</w:t>
            </w:r>
          </w:p>
        </w:tc>
        <w:tc>
          <w:tcPr>
            <w:tcW w:w="1494" w:type="dxa"/>
            <w:tcBorders>
              <w:top w:val="single" w:color="auto" w:sz="4" w:space="0"/>
              <w:left w:val="single" w:color="auto" w:sz="4" w:space="0"/>
              <w:bottom w:val="single" w:color="auto" w:sz="4" w:space="0"/>
              <w:right w:val="single" w:color="auto" w:sz="4" w:space="0"/>
            </w:tcBorders>
            <w:noWrap/>
            <w:vAlign w:val="center"/>
          </w:tcPr>
          <w:p>
            <w:pPr>
              <w:spacing w:after="160" w:line="480" w:lineRule="exact"/>
              <w:jc w:val="center"/>
              <w:rPr>
                <w:rFonts w:ascii="??" w:hAnsi="??" w:cs="??"/>
                <w:kern w:val="0"/>
                <w:sz w:val="24"/>
              </w:rPr>
            </w:pPr>
            <w:r>
              <w:rPr>
                <w:rFonts w:hint="eastAsia" w:ascii="宋体" w:hAnsi="宋体" w:cs="宋体"/>
                <w:kern w:val="0"/>
                <w:sz w:val="24"/>
              </w:rPr>
              <w:t>电话</w:t>
            </w:r>
          </w:p>
        </w:tc>
        <w:tc>
          <w:tcPr>
            <w:tcW w:w="3451" w:type="dxa"/>
            <w:tcBorders>
              <w:top w:val="single" w:color="auto" w:sz="4" w:space="0"/>
              <w:left w:val="single" w:color="auto" w:sz="4" w:space="0"/>
              <w:bottom w:val="single" w:color="auto" w:sz="4" w:space="0"/>
            </w:tcBorders>
            <w:noWrap/>
            <w:vAlign w:val="center"/>
          </w:tcPr>
          <w:p>
            <w:pPr>
              <w:spacing w:after="160" w:line="480" w:lineRule="exact"/>
              <w:rPr>
                <w:rFonts w:ascii="??" w:hAnsi="??" w:cs="??"/>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430" w:type="dxa"/>
            <w:tcBorders>
              <w:top w:val="single" w:color="auto" w:sz="4" w:space="0"/>
              <w:bottom w:val="single" w:color="auto" w:sz="4" w:space="0"/>
              <w:right w:val="single" w:color="auto" w:sz="4" w:space="0"/>
            </w:tcBorders>
            <w:noWrap/>
            <w:vAlign w:val="center"/>
          </w:tcPr>
          <w:p>
            <w:pPr>
              <w:spacing w:after="160" w:line="480" w:lineRule="exact"/>
              <w:jc w:val="center"/>
              <w:rPr>
                <w:rFonts w:ascii="??" w:hAnsi="??" w:cs="??"/>
                <w:kern w:val="0"/>
                <w:sz w:val="24"/>
              </w:rPr>
            </w:pPr>
            <w:r>
              <w:rPr>
                <w:rFonts w:hint="eastAsia" w:ascii="宋体" w:hAnsi="宋体" w:cs="宋体"/>
                <w:kern w:val="0"/>
                <w:sz w:val="24"/>
              </w:rPr>
              <w:t>开户银行</w:t>
            </w:r>
          </w:p>
        </w:tc>
        <w:tc>
          <w:tcPr>
            <w:tcW w:w="3455" w:type="dxa"/>
            <w:tcBorders>
              <w:top w:val="single" w:color="auto" w:sz="4" w:space="0"/>
              <w:left w:val="single" w:color="auto" w:sz="4" w:space="0"/>
              <w:bottom w:val="single" w:color="auto" w:sz="4" w:space="0"/>
              <w:right w:val="single" w:color="auto" w:sz="4" w:space="0"/>
            </w:tcBorders>
            <w:noWrap/>
            <w:vAlign w:val="center"/>
          </w:tcPr>
          <w:p>
            <w:pPr>
              <w:spacing w:after="160" w:line="480" w:lineRule="exact"/>
              <w:rPr>
                <w:rFonts w:ascii="??" w:hAnsi="??" w:cs="??"/>
                <w:kern w:val="0"/>
                <w:sz w:val="24"/>
              </w:rPr>
            </w:pPr>
            <w:r>
              <w:rPr>
                <w:rFonts w:hint="eastAsia" w:ascii="宋体" w:hAnsi="宋体" w:cs="宋体"/>
                <w:kern w:val="0"/>
                <w:sz w:val="24"/>
              </w:rPr>
              <w:t>交通银行云溪支行</w:t>
            </w:r>
          </w:p>
        </w:tc>
        <w:tc>
          <w:tcPr>
            <w:tcW w:w="1494" w:type="dxa"/>
            <w:tcBorders>
              <w:top w:val="single" w:color="auto" w:sz="4" w:space="0"/>
              <w:left w:val="single" w:color="auto" w:sz="4" w:space="0"/>
              <w:bottom w:val="single" w:color="auto" w:sz="4" w:space="0"/>
              <w:right w:val="single" w:color="auto" w:sz="4" w:space="0"/>
            </w:tcBorders>
            <w:noWrap/>
            <w:vAlign w:val="center"/>
          </w:tcPr>
          <w:p>
            <w:pPr>
              <w:spacing w:after="160" w:line="480" w:lineRule="exact"/>
              <w:jc w:val="center"/>
              <w:rPr>
                <w:rFonts w:ascii="??" w:hAnsi="??" w:cs="??"/>
                <w:kern w:val="0"/>
                <w:sz w:val="24"/>
              </w:rPr>
            </w:pPr>
            <w:r>
              <w:rPr>
                <w:rFonts w:hint="eastAsia" w:ascii="宋体" w:hAnsi="宋体" w:cs="宋体"/>
                <w:kern w:val="0"/>
                <w:sz w:val="24"/>
              </w:rPr>
              <w:t>开户银行</w:t>
            </w:r>
          </w:p>
        </w:tc>
        <w:tc>
          <w:tcPr>
            <w:tcW w:w="3451" w:type="dxa"/>
            <w:tcBorders>
              <w:top w:val="single" w:color="auto" w:sz="4" w:space="0"/>
              <w:left w:val="single" w:color="auto" w:sz="4" w:space="0"/>
              <w:bottom w:val="single" w:color="auto" w:sz="4" w:space="0"/>
            </w:tcBorders>
            <w:noWrap/>
            <w:vAlign w:val="center"/>
          </w:tcPr>
          <w:p>
            <w:pPr>
              <w:spacing w:after="160" w:line="480" w:lineRule="exact"/>
              <w:rPr>
                <w:rFonts w:ascii="??" w:hAnsi="??" w:cs="??"/>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30" w:type="dxa"/>
            <w:tcBorders>
              <w:top w:val="single" w:color="auto" w:sz="4" w:space="0"/>
              <w:bottom w:val="single" w:color="auto" w:sz="4" w:space="0"/>
              <w:right w:val="single" w:color="auto" w:sz="4" w:space="0"/>
            </w:tcBorders>
            <w:noWrap/>
            <w:vAlign w:val="center"/>
          </w:tcPr>
          <w:p>
            <w:pPr>
              <w:spacing w:after="160" w:line="480" w:lineRule="exact"/>
              <w:jc w:val="center"/>
              <w:rPr>
                <w:rFonts w:ascii="??" w:hAnsi="??" w:cs="??"/>
                <w:kern w:val="0"/>
                <w:sz w:val="24"/>
              </w:rPr>
            </w:pPr>
            <w:r>
              <w:rPr>
                <w:rFonts w:hint="eastAsia" w:ascii="宋体" w:hAnsi="宋体" w:cs="宋体"/>
                <w:kern w:val="0"/>
                <w:sz w:val="24"/>
              </w:rPr>
              <w:t>账号</w:t>
            </w:r>
          </w:p>
        </w:tc>
        <w:tc>
          <w:tcPr>
            <w:tcW w:w="3455" w:type="dxa"/>
            <w:tcBorders>
              <w:top w:val="single" w:color="auto" w:sz="4" w:space="0"/>
              <w:left w:val="single" w:color="auto" w:sz="4" w:space="0"/>
              <w:bottom w:val="single" w:color="auto" w:sz="4" w:space="0"/>
              <w:right w:val="single" w:color="auto" w:sz="4" w:space="0"/>
            </w:tcBorders>
            <w:noWrap/>
            <w:vAlign w:val="center"/>
          </w:tcPr>
          <w:p>
            <w:pPr>
              <w:spacing w:after="160" w:line="480" w:lineRule="exact"/>
              <w:rPr>
                <w:rFonts w:ascii="??" w:hAnsi="??" w:cs="??"/>
                <w:kern w:val="0"/>
                <w:sz w:val="24"/>
              </w:rPr>
            </w:pPr>
            <w:r>
              <w:rPr>
                <w:rFonts w:hint="eastAsia" w:ascii="宋体" w:hAnsi="宋体" w:cs="宋体"/>
                <w:sz w:val="24"/>
              </w:rPr>
              <w:t>436600720018010006451</w:t>
            </w:r>
          </w:p>
        </w:tc>
        <w:tc>
          <w:tcPr>
            <w:tcW w:w="1494" w:type="dxa"/>
            <w:tcBorders>
              <w:top w:val="single" w:color="auto" w:sz="4" w:space="0"/>
              <w:left w:val="single" w:color="auto" w:sz="4" w:space="0"/>
              <w:bottom w:val="single" w:color="auto" w:sz="4" w:space="0"/>
              <w:right w:val="single" w:color="auto" w:sz="4" w:space="0"/>
            </w:tcBorders>
            <w:noWrap/>
            <w:vAlign w:val="center"/>
          </w:tcPr>
          <w:p>
            <w:pPr>
              <w:spacing w:after="160" w:line="480" w:lineRule="exact"/>
              <w:jc w:val="center"/>
              <w:rPr>
                <w:rFonts w:ascii="??" w:hAnsi="??" w:cs="??"/>
                <w:kern w:val="0"/>
                <w:sz w:val="24"/>
              </w:rPr>
            </w:pPr>
            <w:r>
              <w:rPr>
                <w:rFonts w:hint="eastAsia" w:ascii="宋体" w:hAnsi="宋体" w:cs="宋体"/>
                <w:kern w:val="0"/>
                <w:sz w:val="24"/>
              </w:rPr>
              <w:t>账号</w:t>
            </w:r>
          </w:p>
        </w:tc>
        <w:tc>
          <w:tcPr>
            <w:tcW w:w="3451" w:type="dxa"/>
            <w:tcBorders>
              <w:top w:val="single" w:color="auto" w:sz="4" w:space="0"/>
              <w:left w:val="single" w:color="auto" w:sz="4" w:space="0"/>
              <w:bottom w:val="single" w:color="auto" w:sz="4" w:space="0"/>
            </w:tcBorders>
            <w:noWrap/>
            <w:vAlign w:val="center"/>
          </w:tcPr>
          <w:p>
            <w:pPr>
              <w:spacing w:after="160" w:line="480" w:lineRule="exact"/>
              <w:rPr>
                <w:rFonts w:ascii="??" w:hAnsi="??" w:cs="??"/>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430" w:type="dxa"/>
            <w:tcBorders>
              <w:top w:val="single" w:color="auto" w:sz="4" w:space="0"/>
              <w:bottom w:val="single" w:color="auto" w:sz="4" w:space="0"/>
              <w:right w:val="single" w:color="auto" w:sz="4" w:space="0"/>
            </w:tcBorders>
            <w:noWrap/>
            <w:vAlign w:val="center"/>
          </w:tcPr>
          <w:p>
            <w:pPr>
              <w:spacing w:after="160" w:line="480" w:lineRule="exact"/>
              <w:jc w:val="center"/>
              <w:rPr>
                <w:rFonts w:ascii="??" w:hAnsi="??" w:cs="??"/>
                <w:kern w:val="0"/>
                <w:sz w:val="24"/>
              </w:rPr>
            </w:pPr>
            <w:r>
              <w:rPr>
                <w:rFonts w:hint="eastAsia" w:ascii="宋体" w:hAnsi="宋体" w:cs="宋体"/>
                <w:kern w:val="0"/>
                <w:sz w:val="24"/>
              </w:rPr>
              <w:t>税号</w:t>
            </w:r>
          </w:p>
        </w:tc>
        <w:tc>
          <w:tcPr>
            <w:tcW w:w="3455" w:type="dxa"/>
            <w:tcBorders>
              <w:top w:val="single" w:color="auto" w:sz="4" w:space="0"/>
              <w:left w:val="single" w:color="auto" w:sz="4" w:space="0"/>
              <w:bottom w:val="single" w:color="auto" w:sz="4" w:space="0"/>
              <w:right w:val="single" w:color="auto" w:sz="4" w:space="0"/>
            </w:tcBorders>
            <w:noWrap/>
            <w:vAlign w:val="center"/>
          </w:tcPr>
          <w:p>
            <w:pPr>
              <w:spacing w:after="160" w:line="480" w:lineRule="exact"/>
              <w:rPr>
                <w:rFonts w:ascii="??" w:hAnsi="??" w:cs="??"/>
                <w:kern w:val="0"/>
                <w:sz w:val="24"/>
              </w:rPr>
            </w:pPr>
            <w:r>
              <w:rPr>
                <w:rFonts w:hint="eastAsia" w:ascii="宋体" w:hAnsi="宋体" w:cs="宋体"/>
                <w:sz w:val="24"/>
              </w:rPr>
              <w:t>91430600661668630D</w:t>
            </w:r>
          </w:p>
        </w:tc>
        <w:tc>
          <w:tcPr>
            <w:tcW w:w="1494" w:type="dxa"/>
            <w:tcBorders>
              <w:top w:val="single" w:color="auto" w:sz="4" w:space="0"/>
              <w:left w:val="single" w:color="auto" w:sz="4" w:space="0"/>
              <w:bottom w:val="single" w:color="auto" w:sz="4" w:space="0"/>
              <w:right w:val="single" w:color="auto" w:sz="4" w:space="0"/>
            </w:tcBorders>
            <w:noWrap/>
            <w:vAlign w:val="center"/>
          </w:tcPr>
          <w:p>
            <w:pPr>
              <w:spacing w:after="160" w:line="480" w:lineRule="exact"/>
              <w:jc w:val="center"/>
              <w:rPr>
                <w:rFonts w:ascii="??" w:hAnsi="??" w:cs="??"/>
                <w:kern w:val="0"/>
                <w:sz w:val="24"/>
              </w:rPr>
            </w:pPr>
            <w:r>
              <w:rPr>
                <w:rFonts w:hint="eastAsia" w:ascii="宋体" w:hAnsi="宋体" w:cs="宋体"/>
                <w:kern w:val="0"/>
                <w:sz w:val="24"/>
              </w:rPr>
              <w:t>税号</w:t>
            </w:r>
          </w:p>
        </w:tc>
        <w:tc>
          <w:tcPr>
            <w:tcW w:w="3451" w:type="dxa"/>
            <w:tcBorders>
              <w:top w:val="single" w:color="auto" w:sz="4" w:space="0"/>
              <w:left w:val="single" w:color="auto" w:sz="4" w:space="0"/>
              <w:bottom w:val="single" w:color="auto" w:sz="4" w:space="0"/>
            </w:tcBorders>
            <w:noWrap/>
            <w:vAlign w:val="center"/>
          </w:tcPr>
          <w:p>
            <w:pPr>
              <w:spacing w:after="160" w:line="480" w:lineRule="exact"/>
              <w:rPr>
                <w:rFonts w:ascii="??" w:hAnsi="??" w:cs="??"/>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430" w:type="dxa"/>
            <w:tcBorders>
              <w:top w:val="single" w:color="auto" w:sz="4" w:space="0"/>
              <w:bottom w:val="single" w:color="auto" w:sz="4" w:space="0"/>
              <w:right w:val="single" w:color="auto" w:sz="4" w:space="0"/>
            </w:tcBorders>
            <w:noWrap/>
            <w:vAlign w:val="center"/>
          </w:tcPr>
          <w:p>
            <w:pPr>
              <w:spacing w:after="160" w:line="480" w:lineRule="exact"/>
              <w:jc w:val="center"/>
              <w:rPr>
                <w:rFonts w:ascii="??" w:hAnsi="??" w:cs="??"/>
                <w:kern w:val="0"/>
                <w:sz w:val="24"/>
              </w:rPr>
            </w:pPr>
            <w:r>
              <w:rPr>
                <w:rFonts w:hint="eastAsia" w:ascii="宋体" w:hAnsi="宋体" w:cs="宋体"/>
                <w:kern w:val="0"/>
                <w:sz w:val="24"/>
              </w:rPr>
              <w:t>邮编</w:t>
            </w:r>
          </w:p>
        </w:tc>
        <w:tc>
          <w:tcPr>
            <w:tcW w:w="3455" w:type="dxa"/>
            <w:tcBorders>
              <w:top w:val="single" w:color="auto" w:sz="4" w:space="0"/>
              <w:left w:val="single" w:color="auto" w:sz="4" w:space="0"/>
              <w:bottom w:val="single" w:color="auto" w:sz="4" w:space="0"/>
              <w:right w:val="single" w:color="auto" w:sz="4" w:space="0"/>
            </w:tcBorders>
            <w:noWrap/>
            <w:vAlign w:val="center"/>
          </w:tcPr>
          <w:p>
            <w:pPr>
              <w:spacing w:after="160" w:line="480" w:lineRule="exact"/>
              <w:rPr>
                <w:rFonts w:ascii="??" w:hAnsi="??" w:cs="??"/>
                <w:kern w:val="0"/>
                <w:sz w:val="24"/>
              </w:rPr>
            </w:pPr>
            <w:r>
              <w:rPr>
                <w:rFonts w:hint="eastAsia" w:ascii="宋体" w:hAnsi="宋体" w:cs="宋体"/>
                <w:kern w:val="0"/>
                <w:sz w:val="24"/>
              </w:rPr>
              <w:t>414000</w:t>
            </w:r>
          </w:p>
        </w:tc>
        <w:tc>
          <w:tcPr>
            <w:tcW w:w="1494" w:type="dxa"/>
            <w:tcBorders>
              <w:top w:val="single" w:color="auto" w:sz="4" w:space="0"/>
              <w:left w:val="single" w:color="auto" w:sz="4" w:space="0"/>
              <w:bottom w:val="single" w:color="auto" w:sz="4" w:space="0"/>
              <w:right w:val="single" w:color="auto" w:sz="4" w:space="0"/>
            </w:tcBorders>
            <w:noWrap/>
            <w:vAlign w:val="center"/>
          </w:tcPr>
          <w:p>
            <w:pPr>
              <w:spacing w:after="160" w:line="480" w:lineRule="exact"/>
              <w:jc w:val="center"/>
              <w:rPr>
                <w:rFonts w:ascii="??" w:hAnsi="??" w:cs="??"/>
                <w:kern w:val="0"/>
                <w:sz w:val="24"/>
              </w:rPr>
            </w:pPr>
            <w:r>
              <w:rPr>
                <w:rFonts w:hint="eastAsia" w:ascii="宋体" w:hAnsi="宋体" w:cs="宋体"/>
                <w:kern w:val="0"/>
                <w:sz w:val="24"/>
              </w:rPr>
              <w:t>邮编</w:t>
            </w:r>
          </w:p>
        </w:tc>
        <w:tc>
          <w:tcPr>
            <w:tcW w:w="3451" w:type="dxa"/>
            <w:tcBorders>
              <w:top w:val="single" w:color="auto" w:sz="4" w:space="0"/>
              <w:left w:val="single" w:color="auto" w:sz="4" w:space="0"/>
              <w:bottom w:val="single" w:color="auto" w:sz="4" w:space="0"/>
            </w:tcBorders>
            <w:noWrap/>
            <w:vAlign w:val="center"/>
          </w:tcPr>
          <w:p>
            <w:pPr>
              <w:spacing w:after="160" w:line="480" w:lineRule="exact"/>
              <w:rPr>
                <w:rFonts w:ascii="??" w:hAnsi="??" w:cs="??"/>
                <w:kern w:val="0"/>
                <w:sz w:val="24"/>
              </w:rPr>
            </w:pPr>
          </w:p>
        </w:tc>
      </w:tr>
    </w:tbl>
    <w:p>
      <w:pPr>
        <w:pStyle w:val="15"/>
        <w:wordWrap w:val="0"/>
        <w:spacing w:line="600" w:lineRule="exact"/>
        <w:rPr>
          <w:rFonts w:ascii="黑体" w:hAnsi="黑体" w:eastAsia="黑体" w:cs="仿宋"/>
          <w:b/>
          <w:color w:val="000000"/>
          <w:sz w:val="36"/>
          <w:szCs w:val="36"/>
        </w:rPr>
      </w:pPr>
    </w:p>
    <w:p>
      <w:pPr>
        <w:pStyle w:val="15"/>
        <w:wordWrap w:val="0"/>
        <w:spacing w:line="600" w:lineRule="exact"/>
        <w:rPr>
          <w:rFonts w:cs="Times New Roman"/>
          <w:b/>
          <w:kern w:val="2"/>
        </w:rPr>
      </w:pPr>
      <w:r>
        <w:rPr>
          <w:rFonts w:hint="eastAsia" w:cs="Times New Roman"/>
          <w:b/>
          <w:kern w:val="2"/>
        </w:rPr>
        <w:t>附件：</w:t>
      </w:r>
    </w:p>
    <w:p>
      <w:pPr>
        <w:pStyle w:val="15"/>
        <w:wordWrap w:val="0"/>
        <w:spacing w:line="600" w:lineRule="exact"/>
        <w:rPr>
          <w:rFonts w:cs="Times New Roman"/>
          <w:kern w:val="2"/>
        </w:rPr>
      </w:pPr>
      <w:r>
        <w:rPr>
          <w:rFonts w:hint="eastAsia" w:cs="Times New Roman"/>
          <w:kern w:val="2"/>
        </w:rPr>
        <w:t>设计人：岳阳东腾建筑装饰设计有限公司</w:t>
      </w:r>
    </w:p>
    <w:p>
      <w:pPr>
        <w:pStyle w:val="15"/>
        <w:wordWrap w:val="0"/>
        <w:spacing w:line="600" w:lineRule="exact"/>
        <w:rPr>
          <w:rFonts w:cs="Times New Roman"/>
          <w:kern w:val="2"/>
        </w:rPr>
      </w:pPr>
      <w:r>
        <w:rPr>
          <w:rFonts w:hint="eastAsia" w:cs="Times New Roman"/>
          <w:kern w:val="2"/>
        </w:rPr>
        <w:t>账  户：6106 6570 9024</w:t>
      </w:r>
    </w:p>
    <w:p>
      <w:pPr>
        <w:pStyle w:val="15"/>
        <w:wordWrap w:val="0"/>
        <w:spacing w:line="600" w:lineRule="exact"/>
        <w:rPr>
          <w:rFonts w:cs="Times New Roman"/>
          <w:kern w:val="2"/>
        </w:rPr>
      </w:pPr>
      <w:r>
        <w:rPr>
          <w:rFonts w:hint="eastAsia" w:cs="Times New Roman"/>
          <w:kern w:val="2"/>
        </w:rPr>
        <w:t xml:space="preserve">开户行：中国银行花板桥支行  </w:t>
      </w:r>
    </w:p>
    <w:p>
      <w:pPr>
        <w:spacing w:line="360" w:lineRule="auto"/>
        <w:rPr>
          <w:rFonts w:ascii="黑体" w:hAnsi="黑体" w:eastAsia="黑体" w:cs="仿宋"/>
          <w:b/>
          <w:color w:val="000000"/>
          <w:sz w:val="36"/>
          <w:szCs w:val="36"/>
        </w:rPr>
      </w:pPr>
    </w:p>
    <w:p>
      <w:pPr>
        <w:pStyle w:val="2"/>
      </w:pPr>
    </w:p>
    <w:p>
      <w:pPr>
        <w:pStyle w:val="3"/>
      </w:pPr>
    </w:p>
    <w:p>
      <w:pPr>
        <w:pStyle w:val="3"/>
      </w:pPr>
    </w:p>
    <w:p>
      <w:pPr>
        <w:pStyle w:val="3"/>
      </w:pPr>
    </w:p>
    <w:p>
      <w:pPr>
        <w:numPr>
          <w:ilvl w:val="0"/>
          <w:numId w:val="3"/>
        </w:numPr>
        <w:spacing w:line="360" w:lineRule="auto"/>
        <w:jc w:val="center"/>
        <w:outlineLvl w:val="0"/>
        <w:rPr>
          <w:rFonts w:ascii="黑体" w:hAnsi="黑体" w:eastAsia="黑体" w:cs="仿宋"/>
          <w:b/>
          <w:color w:val="000000"/>
          <w:sz w:val="36"/>
          <w:szCs w:val="36"/>
        </w:rPr>
      </w:pPr>
      <w:r>
        <w:rPr>
          <w:rFonts w:hint="eastAsia" w:ascii="黑体" w:hAnsi="黑体" w:eastAsia="黑体" w:cs="仿宋"/>
          <w:b/>
          <w:color w:val="000000"/>
          <w:sz w:val="36"/>
          <w:szCs w:val="36"/>
        </w:rPr>
        <w:t>采购需求</w:t>
      </w:r>
      <w:bookmarkEnd w:id="25"/>
      <w:bookmarkEnd w:id="26"/>
    </w:p>
    <w:p>
      <w:pPr>
        <w:pStyle w:val="2"/>
        <w:numPr>
          <w:ilvl w:val="0"/>
          <w:numId w:val="0"/>
        </w:numPr>
        <w:spacing w:line="360" w:lineRule="auto"/>
      </w:pPr>
    </w:p>
    <w:p>
      <w:pPr>
        <w:autoSpaceDE w:val="0"/>
        <w:spacing w:line="360" w:lineRule="auto"/>
        <w:ind w:firstLine="240" w:firstLineChars="100"/>
        <w:jc w:val="both"/>
        <w:rPr>
          <w:rFonts w:asciiTheme="minorEastAsia" w:hAnsiTheme="minorEastAsia" w:eastAsiaTheme="minorEastAsia"/>
          <w:sz w:val="24"/>
          <w:u w:val="single"/>
        </w:rPr>
      </w:pPr>
      <w:r>
        <w:rPr>
          <w:rFonts w:hint="eastAsia" w:ascii="宋体" w:hAnsi="宋体"/>
          <w:sz w:val="24"/>
        </w:rPr>
        <w:t xml:space="preserve">（一）采购范围: </w:t>
      </w:r>
      <w:r>
        <w:rPr>
          <w:rFonts w:hint="eastAsia" w:ascii="宋体" w:hAnsi="宋体"/>
          <w:sz w:val="24"/>
          <w:u w:val="single"/>
        </w:rPr>
        <w:t>岳阳城陵矶新港有限公司新港码头绿植提质改造</w:t>
      </w:r>
      <w:r>
        <w:rPr>
          <w:rFonts w:hint="eastAsia" w:asciiTheme="minorEastAsia" w:hAnsiTheme="minorEastAsia" w:eastAsiaTheme="minorEastAsia"/>
          <w:color w:val="000000"/>
          <w:sz w:val="24"/>
          <w:u w:val="single"/>
        </w:rPr>
        <w:t>为一期作业楼周边、二期作业楼周边、消防水池泵房周边</w:t>
      </w:r>
      <w:r>
        <w:rPr>
          <w:rFonts w:hint="eastAsia" w:ascii="宋体" w:hAnsi="宋体"/>
          <w:sz w:val="24"/>
          <w:u w:val="single"/>
        </w:rPr>
        <w:t xml:space="preserve">及5号堆场绿化带树木移栽区域 </w:t>
      </w:r>
    </w:p>
    <w:p>
      <w:pPr>
        <w:autoSpaceDE w:val="0"/>
        <w:spacing w:line="360" w:lineRule="auto"/>
        <w:rPr>
          <w:rFonts w:ascii="宋体" w:hAnsi="宋体"/>
          <w:sz w:val="24"/>
        </w:rPr>
      </w:pPr>
      <w:r>
        <w:rPr>
          <w:rFonts w:hint="eastAsia" w:ascii="宋体" w:hAnsi="宋体"/>
          <w:sz w:val="24"/>
        </w:rPr>
        <w:t xml:space="preserve">（二）服务期限: </w:t>
      </w:r>
      <w:r>
        <w:rPr>
          <w:rFonts w:hint="eastAsia" w:ascii="宋体" w:hAnsi="宋体"/>
          <w:sz w:val="24"/>
          <w:u w:val="single"/>
        </w:rPr>
        <w:t>计划工期为45日历天</w:t>
      </w:r>
      <w:r>
        <w:rPr>
          <w:rFonts w:hint="eastAsia" w:ascii="宋体" w:hAnsi="宋体"/>
          <w:sz w:val="24"/>
          <w:u w:val="single"/>
          <w:lang w:eastAsia="zh-CN"/>
        </w:rPr>
        <w:t>（</w:t>
      </w:r>
      <w:r>
        <w:rPr>
          <w:rFonts w:hint="eastAsia" w:ascii="宋体" w:hAnsi="宋体"/>
          <w:sz w:val="24"/>
          <w:u w:val="single"/>
          <w:lang w:val="en-US" w:eastAsia="zh-CN"/>
        </w:rPr>
        <w:t>雨天顺延</w:t>
      </w:r>
      <w:r>
        <w:rPr>
          <w:rFonts w:hint="eastAsia" w:ascii="宋体" w:hAnsi="宋体"/>
          <w:sz w:val="24"/>
          <w:u w:val="single"/>
          <w:lang w:eastAsia="zh-CN"/>
        </w:rPr>
        <w:t>）</w:t>
      </w:r>
      <w:r>
        <w:rPr>
          <w:rFonts w:hint="eastAsia" w:ascii="宋体" w:hAnsi="宋体"/>
          <w:sz w:val="24"/>
          <w:u w:val="single"/>
        </w:rPr>
        <w:t>。</w:t>
      </w:r>
    </w:p>
    <w:p>
      <w:pPr>
        <w:autoSpaceDE w:val="0"/>
        <w:spacing w:line="360" w:lineRule="auto"/>
        <w:rPr>
          <w:rFonts w:ascii="宋体" w:hAnsi="宋体"/>
          <w:sz w:val="24"/>
          <w:u w:val="single"/>
        </w:rPr>
      </w:pPr>
      <w:r>
        <w:rPr>
          <w:rFonts w:hint="eastAsia" w:ascii="宋体" w:hAnsi="宋体"/>
          <w:sz w:val="24"/>
        </w:rPr>
        <w:t xml:space="preserve">（三）服务地点: </w:t>
      </w:r>
      <w:r>
        <w:rPr>
          <w:rFonts w:hint="eastAsia" w:ascii="宋体" w:hAnsi="宋体"/>
          <w:sz w:val="24"/>
          <w:u w:val="single"/>
        </w:rPr>
        <w:t>岳阳城陵矶新港有限公司</w:t>
      </w:r>
    </w:p>
    <w:tbl>
      <w:tblPr>
        <w:tblStyle w:val="17"/>
        <w:tblW w:w="8660" w:type="dxa"/>
        <w:tblInd w:w="-86" w:type="dxa"/>
        <w:tblLayout w:type="fixed"/>
        <w:tblCellMar>
          <w:top w:w="0" w:type="dxa"/>
          <w:left w:w="108" w:type="dxa"/>
          <w:bottom w:w="0" w:type="dxa"/>
          <w:right w:w="108" w:type="dxa"/>
        </w:tblCellMar>
      </w:tblPr>
      <w:tblGrid>
        <w:gridCol w:w="8660"/>
      </w:tblGrid>
      <w:tr>
        <w:tblPrEx>
          <w:tblCellMar>
            <w:top w:w="0" w:type="dxa"/>
            <w:left w:w="108" w:type="dxa"/>
            <w:bottom w:w="0" w:type="dxa"/>
            <w:right w:w="108" w:type="dxa"/>
          </w:tblCellMar>
        </w:tblPrEx>
        <w:trPr>
          <w:trHeight w:val="624" w:hRule="atLeast"/>
        </w:trPr>
        <w:tc>
          <w:tcPr>
            <w:tcW w:w="8660" w:type="dxa"/>
            <w:vMerge w:val="restart"/>
            <w:tcBorders>
              <w:top w:val="nil"/>
              <w:left w:val="nil"/>
              <w:bottom w:val="nil"/>
              <w:right w:val="nil"/>
            </w:tcBorders>
            <w:shd w:val="clear" w:color="auto" w:fill="auto"/>
            <w:vAlign w:val="center"/>
          </w:tcPr>
          <w:p>
            <w:pPr>
              <w:spacing w:line="360" w:lineRule="auto"/>
              <w:textAlignment w:val="center"/>
              <w:rPr>
                <w:rFonts w:ascii="宋体" w:hAnsi="宋体" w:cs="宋体"/>
                <w:b/>
                <w:bCs/>
                <w:color w:val="000000"/>
                <w:sz w:val="28"/>
                <w:szCs w:val="28"/>
              </w:rPr>
            </w:pPr>
            <w:r>
              <w:rPr>
                <w:rFonts w:hint="eastAsia" w:ascii="宋体" w:hAnsi="宋体" w:cs="宋体"/>
                <w:b/>
                <w:bCs/>
                <w:color w:val="000000"/>
                <w:kern w:val="0"/>
                <w:sz w:val="28"/>
                <w:szCs w:val="28"/>
              </w:rPr>
              <w:t>港口绿植规划方案苗木及其它工程量清单见附件</w:t>
            </w:r>
          </w:p>
        </w:tc>
      </w:tr>
      <w:tr>
        <w:tblPrEx>
          <w:tblCellMar>
            <w:top w:w="0" w:type="dxa"/>
            <w:left w:w="108" w:type="dxa"/>
            <w:bottom w:w="0" w:type="dxa"/>
            <w:right w:w="108" w:type="dxa"/>
          </w:tblCellMar>
        </w:tblPrEx>
        <w:trPr>
          <w:trHeight w:val="624" w:hRule="atLeast"/>
        </w:trPr>
        <w:tc>
          <w:tcPr>
            <w:tcW w:w="8660" w:type="dxa"/>
            <w:vMerge w:val="continue"/>
            <w:tcBorders>
              <w:top w:val="nil"/>
              <w:left w:val="nil"/>
              <w:bottom w:val="nil"/>
              <w:right w:val="nil"/>
            </w:tcBorders>
            <w:shd w:val="clear" w:color="auto" w:fill="auto"/>
            <w:vAlign w:val="center"/>
          </w:tcPr>
          <w:p>
            <w:pPr>
              <w:spacing w:line="360" w:lineRule="auto"/>
              <w:jc w:val="center"/>
              <w:rPr>
                <w:rFonts w:ascii="宋体" w:hAnsi="宋体" w:cs="宋体"/>
                <w:b/>
                <w:bCs/>
                <w:color w:val="000000"/>
                <w:sz w:val="28"/>
                <w:szCs w:val="28"/>
              </w:rPr>
            </w:pPr>
          </w:p>
        </w:tc>
      </w:tr>
    </w:tbl>
    <w:p>
      <w:pPr>
        <w:autoSpaceDE w:val="0"/>
        <w:spacing w:line="360" w:lineRule="auto"/>
        <w:rPr>
          <w:rFonts w:ascii="宋体" w:hAnsi="宋体"/>
          <w:sz w:val="24"/>
        </w:rPr>
      </w:pPr>
      <w:r>
        <w:rPr>
          <w:rFonts w:hint="eastAsia" w:ascii="宋体" w:hAnsi="宋体"/>
          <w:sz w:val="24"/>
        </w:rPr>
        <w:t xml:space="preserve">（四）质量要求或服务标准: </w:t>
      </w:r>
    </w:p>
    <w:p>
      <w:pPr>
        <w:spacing w:line="360" w:lineRule="auto"/>
        <w:ind w:firstLine="600"/>
        <w:rPr>
          <w:rFonts w:ascii="宋体" w:hAnsi="宋体" w:cs="宋体"/>
          <w:sz w:val="24"/>
        </w:rPr>
      </w:pPr>
      <w:r>
        <w:rPr>
          <w:rFonts w:hint="eastAsia" w:ascii="宋体" w:hAnsi="宋体" w:cs="宋体"/>
          <w:sz w:val="24"/>
        </w:rPr>
        <w:t>1、本工程严格按照采购方质量管理体系的要求，进行工程质量控制，并按采购方有关要求填报相关表格，交采购方整理存档。</w:t>
      </w:r>
    </w:p>
    <w:p>
      <w:pPr>
        <w:spacing w:line="360" w:lineRule="auto"/>
        <w:ind w:firstLine="600"/>
        <w:rPr>
          <w:rFonts w:ascii="宋体" w:hAnsi="宋体" w:cs="宋体"/>
          <w:sz w:val="24"/>
        </w:rPr>
      </w:pPr>
      <w:r>
        <w:rPr>
          <w:rFonts w:hint="eastAsia" w:ascii="宋体" w:hAnsi="宋体" w:cs="宋体"/>
          <w:sz w:val="24"/>
        </w:rPr>
        <w:t xml:space="preserve">2、所承包的工程结束，满足安全性、可靠性、使用性能的要求（开工前签订安全施工责任合同），符合国家最新相关施工验收规范、检验标准的要求。            </w:t>
      </w:r>
    </w:p>
    <w:p>
      <w:pPr>
        <w:spacing w:line="360" w:lineRule="auto"/>
        <w:ind w:firstLine="600"/>
        <w:rPr>
          <w:rFonts w:ascii="宋体" w:hAnsi="宋体" w:cs="宋体"/>
          <w:sz w:val="24"/>
        </w:rPr>
      </w:pPr>
      <w:r>
        <w:rPr>
          <w:rFonts w:hint="eastAsia" w:ascii="宋体" w:hAnsi="宋体" w:cs="宋体"/>
          <w:sz w:val="24"/>
        </w:rPr>
        <w:t>3</w:t>
      </w:r>
      <w:r>
        <w:rPr>
          <w:rFonts w:ascii="宋体" w:hAnsi="宋体" w:cs="宋体"/>
          <w:sz w:val="24"/>
        </w:rPr>
        <w:t>、工程质量保修期按从竣工验收合格后1年执行。工程质量保修期起始日期自竣工验收报告签署之日起。</w:t>
      </w:r>
    </w:p>
    <w:p>
      <w:pPr>
        <w:spacing w:line="360" w:lineRule="auto"/>
        <w:ind w:firstLine="600"/>
        <w:rPr>
          <w:rFonts w:ascii="宋体" w:hAnsi="宋体" w:cs="宋体"/>
          <w:color w:val="000000" w:themeColor="text1"/>
          <w:sz w:val="24"/>
        </w:rPr>
      </w:pPr>
      <w:r>
        <w:rPr>
          <w:rFonts w:hint="eastAsia" w:ascii="宋体" w:hAnsi="宋体" w:cs="宋体"/>
          <w:color w:val="000000" w:themeColor="text1"/>
          <w:sz w:val="24"/>
        </w:rPr>
        <w:t>4、必须保证栽种的绿植树木成活，一年内未成活的绿植树木由乙方补栽直至绿植树木的成活。</w:t>
      </w:r>
    </w:p>
    <w:p>
      <w:pPr>
        <w:numPr>
          <w:ilvl w:val="255"/>
          <w:numId w:val="0"/>
        </w:numPr>
        <w:spacing w:line="360" w:lineRule="auto"/>
        <w:ind w:firstLine="600"/>
        <w:rPr>
          <w:rFonts w:ascii="宋体" w:hAnsi="宋体" w:cs="宋体"/>
          <w:sz w:val="24"/>
        </w:rPr>
      </w:pPr>
    </w:p>
    <w:p>
      <w:pPr>
        <w:spacing w:line="360" w:lineRule="auto"/>
        <w:rPr>
          <w:rFonts w:ascii="黑体" w:hAnsi="黑体" w:eastAsia="黑体" w:cs="仿宋"/>
          <w:b/>
          <w:color w:val="000000"/>
          <w:sz w:val="36"/>
          <w:szCs w:val="36"/>
        </w:rPr>
      </w:pPr>
      <w:bookmarkStart w:id="30" w:name="_Toc19048"/>
      <w:bookmarkStart w:id="31" w:name="_Toc13334"/>
      <w:r>
        <w:rPr>
          <w:rFonts w:hint="eastAsia" w:ascii="黑体" w:hAnsi="黑体" w:eastAsia="黑体" w:cs="仿宋"/>
          <w:b/>
          <w:color w:val="000000"/>
          <w:sz w:val="36"/>
          <w:szCs w:val="36"/>
        </w:rPr>
        <w:br w:type="page"/>
      </w:r>
    </w:p>
    <w:p>
      <w:pPr>
        <w:spacing w:line="360" w:lineRule="auto"/>
        <w:ind w:firstLine="1970" w:firstLineChars="545"/>
        <w:outlineLvl w:val="0"/>
        <w:rPr>
          <w:rFonts w:ascii="黑体" w:hAnsi="黑体" w:eastAsia="黑体" w:cs="仿宋"/>
          <w:b/>
          <w:color w:val="000000"/>
          <w:sz w:val="36"/>
          <w:szCs w:val="36"/>
        </w:rPr>
      </w:pPr>
      <w:r>
        <w:rPr>
          <w:rFonts w:hint="eastAsia" w:ascii="黑体" w:hAnsi="黑体" w:eastAsia="黑体" w:cs="仿宋"/>
          <w:b/>
          <w:color w:val="000000"/>
          <w:sz w:val="36"/>
          <w:szCs w:val="36"/>
        </w:rPr>
        <w:t>第六章  响应文件格式</w:t>
      </w:r>
      <w:bookmarkEnd w:id="30"/>
      <w:bookmarkEnd w:id="31"/>
    </w:p>
    <w:p>
      <w:pPr>
        <w:spacing w:line="360" w:lineRule="auto"/>
        <w:jc w:val="both"/>
        <w:rPr>
          <w:rFonts w:ascii="仿宋" w:hAnsi="仿宋" w:eastAsia="仿宋" w:cs="仿宋"/>
          <w:sz w:val="30"/>
          <w:szCs w:val="30"/>
        </w:rPr>
      </w:pPr>
    </w:p>
    <w:p>
      <w:pPr>
        <w:spacing w:line="360" w:lineRule="auto"/>
        <w:jc w:val="center"/>
        <w:rPr>
          <w:rFonts w:ascii="仿宋" w:hAnsi="仿宋" w:eastAsia="仿宋" w:cs="仿宋"/>
          <w:sz w:val="30"/>
          <w:szCs w:val="30"/>
        </w:rPr>
      </w:pPr>
    </w:p>
    <w:p>
      <w:pPr>
        <w:spacing w:line="360" w:lineRule="auto"/>
        <w:jc w:val="center"/>
        <w:rPr>
          <w:rFonts w:eastAsia="方正小标宋_GBK"/>
          <w:b/>
          <w:bCs/>
          <w:sz w:val="40"/>
          <w:szCs w:val="36"/>
        </w:rPr>
      </w:pPr>
      <w:r>
        <w:rPr>
          <w:rFonts w:hint="eastAsia" w:eastAsia="方正小标宋_GBK"/>
          <w:b/>
          <w:bCs/>
          <w:sz w:val="40"/>
          <w:szCs w:val="36"/>
        </w:rPr>
        <w:t>项目</w:t>
      </w:r>
    </w:p>
    <w:p>
      <w:pPr>
        <w:widowControl w:val="0"/>
        <w:spacing w:beforeLines="100" w:afterLines="100" w:line="360" w:lineRule="auto"/>
        <w:jc w:val="center"/>
        <w:rPr>
          <w:rFonts w:eastAsia="楷体_GB2312"/>
          <w:b/>
          <w:bCs/>
          <w:sz w:val="28"/>
          <w:szCs w:val="28"/>
        </w:rPr>
      </w:pPr>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hint="eastAsia" w:eastAsia="楷体_GB2312"/>
          <w:b/>
          <w:bCs/>
          <w:sz w:val="28"/>
          <w:szCs w:val="28"/>
          <w:u w:val="single"/>
        </w:rPr>
        <w:t>填入项目采购编号</w:t>
      </w:r>
      <w:r>
        <w:rPr>
          <w:rFonts w:eastAsia="楷体_GB2312"/>
          <w:b/>
          <w:bCs/>
          <w:sz w:val="28"/>
          <w:szCs w:val="28"/>
        </w:rPr>
        <w:t>）</w:t>
      </w:r>
    </w:p>
    <w:p>
      <w:pPr>
        <w:widowControl w:val="0"/>
        <w:adjustRightInd w:val="0"/>
        <w:snapToGrid w:val="0"/>
        <w:spacing w:line="360" w:lineRule="auto"/>
        <w:rPr>
          <w:b/>
        </w:rPr>
      </w:pPr>
    </w:p>
    <w:p>
      <w:pPr>
        <w:spacing w:line="360" w:lineRule="auto"/>
        <w:jc w:val="center"/>
        <w:rPr>
          <w:rFonts w:eastAsia="方正小标宋_GBK"/>
          <w:b/>
          <w:bCs/>
          <w:spacing w:val="160"/>
          <w:sz w:val="72"/>
          <w:szCs w:val="72"/>
        </w:rPr>
      </w:pPr>
    </w:p>
    <w:p>
      <w:pPr>
        <w:spacing w:line="360" w:lineRule="auto"/>
        <w:rPr>
          <w:rFonts w:eastAsia="方正小标宋_GBK"/>
          <w:b/>
          <w:bCs/>
          <w:spacing w:val="160"/>
          <w:sz w:val="72"/>
          <w:szCs w:val="72"/>
        </w:rPr>
      </w:pPr>
    </w:p>
    <w:p>
      <w:pPr>
        <w:spacing w:line="360" w:lineRule="auto"/>
        <w:jc w:val="center"/>
        <w:rPr>
          <w:rFonts w:eastAsia="方正小标宋_GBK"/>
          <w:b/>
          <w:bCs/>
          <w:spacing w:val="160"/>
          <w:sz w:val="72"/>
          <w:szCs w:val="72"/>
        </w:rPr>
      </w:pPr>
      <w:r>
        <w:rPr>
          <w:rFonts w:hint="eastAsia" w:eastAsia="方正小标宋_GBK"/>
          <w:b/>
          <w:bCs/>
          <w:spacing w:val="160"/>
          <w:sz w:val="72"/>
          <w:szCs w:val="72"/>
        </w:rPr>
        <w:t>响应</w:t>
      </w:r>
      <w:r>
        <w:rPr>
          <w:rFonts w:eastAsia="方正小标宋_GBK"/>
          <w:b/>
          <w:bCs/>
          <w:spacing w:val="160"/>
          <w:sz w:val="72"/>
          <w:szCs w:val="72"/>
        </w:rPr>
        <w:t>文件</w:t>
      </w: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jc w:val="center"/>
        <w:rPr>
          <w:rFonts w:eastAsia="黑体"/>
          <w:bCs/>
          <w:sz w:val="30"/>
          <w:szCs w:val="30"/>
        </w:rPr>
      </w:pPr>
      <w:r>
        <w:rPr>
          <w:rFonts w:hint="eastAsia" w:eastAsia="黑体"/>
          <w:bCs/>
          <w:sz w:val="30"/>
          <w:szCs w:val="30"/>
        </w:rPr>
        <w:t>供 应 商</w:t>
      </w:r>
      <w:r>
        <w:rPr>
          <w:rFonts w:eastAsia="黑体"/>
          <w:bCs/>
          <w:sz w:val="30"/>
          <w:szCs w:val="30"/>
        </w:rPr>
        <w:t>：</w:t>
      </w:r>
      <w:r>
        <w:rPr>
          <w:rFonts w:hint="eastAsia" w:eastAsia="黑体"/>
          <w:bCs/>
          <w:sz w:val="30"/>
          <w:szCs w:val="30"/>
          <w:u w:val="single"/>
        </w:rPr>
        <w:t>供应商</w:t>
      </w:r>
      <w:r>
        <w:rPr>
          <w:rFonts w:eastAsia="黑体"/>
          <w:bCs/>
          <w:sz w:val="30"/>
          <w:szCs w:val="30"/>
          <w:u w:val="single"/>
        </w:rPr>
        <w:t xml:space="preserve">全称并盖单位公章 </w:t>
      </w:r>
    </w:p>
    <w:p>
      <w:pPr>
        <w:spacing w:line="360" w:lineRule="auto"/>
        <w:jc w:val="center"/>
        <w:rPr>
          <w:rFonts w:eastAsia="黑体"/>
          <w:sz w:val="30"/>
          <w:szCs w:val="30"/>
        </w:rPr>
      </w:pPr>
      <w:r>
        <w:rPr>
          <w:rFonts w:eastAsia="黑体"/>
          <w:sz w:val="30"/>
          <w:szCs w:val="30"/>
        </w:rPr>
        <w:t>日期：年月日</w:t>
      </w:r>
    </w:p>
    <w:p>
      <w:pPr>
        <w:spacing w:line="360" w:lineRule="auto"/>
        <w:rPr>
          <w:color w:val="FF0000"/>
          <w:lang w:val="zh-CN"/>
        </w:rPr>
      </w:pPr>
      <w:r>
        <w:rPr>
          <w:color w:val="FF0000"/>
          <w:lang w:val="zh-CN"/>
        </w:rPr>
        <w:br w:type="page"/>
      </w:r>
    </w:p>
    <w:p>
      <w:pPr>
        <w:adjustRightInd w:val="0"/>
        <w:snapToGrid w:val="0"/>
        <w:spacing w:line="360" w:lineRule="auto"/>
        <w:jc w:val="center"/>
        <w:rPr>
          <w:rFonts w:ascii="黑体" w:hAnsi="黑体" w:eastAsia="黑体" w:cs="仿宋"/>
          <w:sz w:val="36"/>
          <w:szCs w:val="36"/>
        </w:rPr>
      </w:pPr>
      <w:r>
        <w:rPr>
          <w:rFonts w:hint="eastAsia" w:ascii="黑体" w:hAnsi="黑体" w:eastAsia="黑体" w:cs="仿宋"/>
          <w:sz w:val="36"/>
          <w:szCs w:val="36"/>
        </w:rPr>
        <w:t>目 录</w:t>
      </w:r>
    </w:p>
    <w:p>
      <w:pPr>
        <w:adjustRightInd w:val="0"/>
        <w:snapToGrid w:val="0"/>
        <w:spacing w:line="360" w:lineRule="auto"/>
        <w:jc w:val="both"/>
        <w:rPr>
          <w:rFonts w:ascii="宋体" w:hAnsi="宋体" w:cs="仿宋"/>
          <w:sz w:val="36"/>
          <w:szCs w:val="36"/>
        </w:rPr>
      </w:pPr>
    </w:p>
    <w:p>
      <w:pPr>
        <w:adjustRightInd w:val="0"/>
        <w:snapToGrid w:val="0"/>
        <w:spacing w:line="360" w:lineRule="auto"/>
        <w:jc w:val="both"/>
        <w:rPr>
          <w:rFonts w:hint="eastAsia" w:ascii="宋体" w:hAnsi="宋体" w:eastAsia="宋体" w:cs="仿宋"/>
          <w:sz w:val="24"/>
          <w:lang w:eastAsia="zh-CN"/>
        </w:rPr>
      </w:pPr>
      <w:r>
        <w:rPr>
          <w:rFonts w:hint="eastAsia" w:ascii="宋体" w:hAnsi="宋体" w:cs="仿宋"/>
          <w:sz w:val="24"/>
        </w:rPr>
        <w:t>一、响应函</w:t>
      </w:r>
    </w:p>
    <w:p>
      <w:pPr>
        <w:adjustRightInd w:val="0"/>
        <w:snapToGrid w:val="0"/>
        <w:spacing w:line="360" w:lineRule="auto"/>
        <w:jc w:val="both"/>
        <w:rPr>
          <w:rFonts w:hint="eastAsia" w:ascii="宋体" w:hAnsi="宋体" w:eastAsia="宋体" w:cs="仿宋"/>
          <w:sz w:val="24"/>
          <w:lang w:eastAsia="zh-CN"/>
        </w:rPr>
      </w:pPr>
      <w:r>
        <w:rPr>
          <w:rFonts w:hint="eastAsia" w:ascii="宋体" w:hAnsi="宋体" w:cs="仿宋"/>
          <w:sz w:val="24"/>
        </w:rPr>
        <w:t>二、授权委托书(适用于有委托代理人的情况)</w:t>
      </w:r>
    </w:p>
    <w:p>
      <w:pPr>
        <w:adjustRightInd w:val="0"/>
        <w:snapToGrid w:val="0"/>
        <w:spacing w:line="360" w:lineRule="auto"/>
        <w:jc w:val="both"/>
        <w:rPr>
          <w:rFonts w:hint="eastAsia" w:ascii="宋体" w:hAnsi="宋体" w:eastAsia="宋体" w:cs="仿宋"/>
          <w:sz w:val="24"/>
          <w:lang w:eastAsia="zh-CN"/>
        </w:rPr>
      </w:pPr>
      <w:r>
        <w:rPr>
          <w:rFonts w:hint="eastAsia" w:ascii="宋体" w:hAnsi="宋体" w:cs="仿宋"/>
          <w:sz w:val="24"/>
        </w:rPr>
        <w:t>三、商务和技术偏差表</w:t>
      </w:r>
    </w:p>
    <w:p>
      <w:pPr>
        <w:adjustRightInd w:val="0"/>
        <w:snapToGrid w:val="0"/>
        <w:spacing w:line="360" w:lineRule="auto"/>
        <w:jc w:val="both"/>
        <w:rPr>
          <w:rFonts w:hint="eastAsia" w:ascii="宋体" w:hAnsi="宋体" w:eastAsia="宋体" w:cs="仿宋"/>
          <w:sz w:val="24"/>
          <w:lang w:eastAsia="zh-CN"/>
        </w:rPr>
      </w:pPr>
      <w:r>
        <w:rPr>
          <w:rFonts w:hint="eastAsia" w:ascii="宋体" w:hAnsi="宋体" w:cs="仿宋"/>
          <w:sz w:val="24"/>
        </w:rPr>
        <w:t>四、报价表</w:t>
      </w:r>
    </w:p>
    <w:p>
      <w:pPr>
        <w:adjustRightInd w:val="0"/>
        <w:snapToGrid w:val="0"/>
        <w:spacing w:line="360" w:lineRule="auto"/>
        <w:jc w:val="both"/>
        <w:rPr>
          <w:rFonts w:hint="eastAsia" w:ascii="宋体" w:hAnsi="宋体" w:eastAsia="宋体" w:cs="仿宋"/>
          <w:sz w:val="24"/>
          <w:lang w:eastAsia="zh-CN"/>
        </w:rPr>
      </w:pPr>
      <w:r>
        <w:rPr>
          <w:rFonts w:hint="eastAsia" w:ascii="宋体" w:hAnsi="宋体" w:cs="仿宋"/>
          <w:sz w:val="24"/>
        </w:rPr>
        <w:t>五、资格审查资料</w:t>
      </w:r>
    </w:p>
    <w:p>
      <w:pPr>
        <w:adjustRightInd w:val="0"/>
        <w:snapToGrid w:val="0"/>
        <w:spacing w:line="360" w:lineRule="auto"/>
        <w:jc w:val="both"/>
        <w:rPr>
          <w:rFonts w:hint="eastAsia" w:ascii="宋体" w:hAnsi="宋体" w:eastAsia="宋体" w:cs="仿宋"/>
          <w:sz w:val="24"/>
          <w:lang w:eastAsia="zh-CN"/>
        </w:rPr>
      </w:pPr>
      <w:r>
        <w:rPr>
          <w:rFonts w:hint="eastAsia" w:ascii="宋体" w:hAnsi="宋体" w:cs="仿宋"/>
          <w:sz w:val="24"/>
        </w:rPr>
        <w:t>六、响应方案</w:t>
      </w:r>
    </w:p>
    <w:p>
      <w:pPr>
        <w:adjustRightInd w:val="0"/>
        <w:snapToGrid w:val="0"/>
        <w:spacing w:line="360" w:lineRule="auto"/>
        <w:jc w:val="both"/>
        <w:rPr>
          <w:rFonts w:ascii="宋体" w:hAnsi="宋体" w:cs="仿宋"/>
          <w:sz w:val="24"/>
        </w:rPr>
      </w:pPr>
      <w:r>
        <w:rPr>
          <w:rFonts w:hint="eastAsia" w:ascii="宋体" w:hAnsi="宋体" w:cs="仿宋"/>
          <w:sz w:val="24"/>
        </w:rPr>
        <w:t>七、其他资料</w:t>
      </w:r>
    </w:p>
    <w:p>
      <w:pPr>
        <w:spacing w:line="360" w:lineRule="auto"/>
        <w:rPr>
          <w:color w:val="FF0000"/>
          <w:lang w:val="zh-CN"/>
        </w:rPr>
      </w:pPr>
      <w:r>
        <w:rPr>
          <w:color w:val="FF0000"/>
          <w:lang w:val="zh-CN"/>
        </w:rPr>
        <w:br w:type="page"/>
      </w:r>
    </w:p>
    <w:p>
      <w:pPr>
        <w:numPr>
          <w:ilvl w:val="0"/>
          <w:numId w:val="4"/>
        </w:numPr>
        <w:adjustRightInd w:val="0"/>
        <w:snapToGrid w:val="0"/>
        <w:spacing w:line="360" w:lineRule="auto"/>
        <w:jc w:val="center"/>
        <w:rPr>
          <w:rFonts w:ascii="黑体" w:hAnsi="黑体" w:eastAsia="黑体" w:cs="仿宋"/>
          <w:sz w:val="36"/>
          <w:szCs w:val="36"/>
        </w:rPr>
      </w:pPr>
      <w:r>
        <w:rPr>
          <w:rFonts w:hint="eastAsia" w:ascii="黑体" w:hAnsi="黑体" w:eastAsia="黑体" w:cs="仿宋"/>
          <w:sz w:val="36"/>
          <w:szCs w:val="36"/>
        </w:rPr>
        <w:t>响应函</w:t>
      </w:r>
    </w:p>
    <w:p>
      <w:pPr>
        <w:adjustRightInd w:val="0"/>
        <w:snapToGrid w:val="0"/>
        <w:spacing w:line="360" w:lineRule="auto"/>
        <w:jc w:val="both"/>
        <w:rPr>
          <w:rFonts w:cs="仿宋" w:asciiTheme="minorEastAsia" w:hAnsiTheme="minorEastAsia" w:eastAsiaTheme="minorEastAsia"/>
          <w:sz w:val="24"/>
        </w:rPr>
      </w:pP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1.我方已仔细研究了__(项目名称)采购文件的全部内容，愿意以含税价人民币(大写)(￥)的报价（增值税税率为:)完成提供本项目服务，并按合同约定履行义务。</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(1)响应函;</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(2)授权委托书(</w:t>
      </w:r>
      <w:r>
        <w:rPr>
          <w:rFonts w:hint="eastAsia" w:ascii="宋体" w:hAnsi="宋体" w:cs="仿宋"/>
          <w:sz w:val="24"/>
        </w:rPr>
        <w:t>适用于有委托代理人的情况</w:t>
      </w:r>
      <w:r>
        <w:rPr>
          <w:rFonts w:hint="eastAsia" w:cs="仿宋" w:asciiTheme="minorEastAsia" w:hAnsiTheme="minorEastAsia" w:eastAsiaTheme="minorEastAsia"/>
          <w:sz w:val="24"/>
        </w:rPr>
        <w:t>);</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(3)商务和技术偏差表;</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(4)报价表;</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(5)资格审查资料;</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(6)响应方案;</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（7）其他资料</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5"/>
        </w:num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我方承诺在采购文件规定的响应文件有效期内不撤销响应文件。</w:t>
      </w:r>
    </w:p>
    <w:p>
      <w:pPr>
        <w:numPr>
          <w:ilvl w:val="0"/>
          <w:numId w:val="5"/>
        </w:num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(3)在合同约定的期限内完成合同规定的全部义务。</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6.我方在此声明，所递交的响应文件及有关资料内容完整、真实和准确，且不存在第一章“采购公告”中规定的供应商不得存在的情形。</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360" w:lineRule="auto"/>
        <w:jc w:val="both"/>
        <w:rPr>
          <w:rFonts w:cs="仿宋" w:asciiTheme="minorEastAsia" w:hAnsiTheme="minorEastAsia" w:eastAsiaTheme="minorEastAsia"/>
          <w:sz w:val="24"/>
        </w:rPr>
      </w:pP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360" w:lineRule="auto"/>
        <w:jc w:val="both"/>
        <w:rPr>
          <w:rFonts w:cs="仿宋" w:asciiTheme="minorEastAsia" w:hAnsiTheme="minorEastAsia" w:eastAsiaTheme="minorEastAsia"/>
          <w:sz w:val="24"/>
        </w:rPr>
      </w:pPr>
    </w:p>
    <w:p>
      <w:pPr>
        <w:spacing w:line="360" w:lineRule="auto"/>
        <w:jc w:val="right"/>
        <w:rPr>
          <w:rFonts w:cs="仿宋" w:asciiTheme="minorEastAsia" w:hAnsiTheme="minorEastAsia" w:eastAsiaTheme="minorEastAsia"/>
          <w:sz w:val="24"/>
        </w:rPr>
      </w:pPr>
      <w:r>
        <w:rPr>
          <w:rFonts w:hint="eastAsia" w:cs="仿宋" w:asciiTheme="minorEastAsia" w:hAnsiTheme="minorEastAsia" w:eastAsiaTheme="minorEastAsia"/>
          <w:sz w:val="24"/>
        </w:rPr>
        <w:t>年 月 日</w:t>
      </w:r>
    </w:p>
    <w:p>
      <w:pPr>
        <w:spacing w:line="360" w:lineRule="auto"/>
        <w:rPr>
          <w:color w:val="FF0000"/>
          <w:lang w:val="zh-CN"/>
        </w:rPr>
      </w:pPr>
      <w:r>
        <w:rPr>
          <w:color w:val="FF0000"/>
          <w:lang w:val="zh-CN"/>
        </w:rPr>
        <w:br w:type="page"/>
      </w:r>
    </w:p>
    <w:p>
      <w:pPr>
        <w:spacing w:line="360" w:lineRule="auto"/>
        <w:jc w:val="center"/>
        <w:rPr>
          <w:rFonts w:asciiTheme="minorEastAsia" w:hAnsiTheme="minorEastAsia" w:eastAsiaTheme="minorEastAsia"/>
          <w:color w:val="000000"/>
          <w:sz w:val="24"/>
        </w:rPr>
      </w:pPr>
      <w:r>
        <w:rPr>
          <w:rFonts w:hint="eastAsia" w:cs="宋体" w:asciiTheme="minorEastAsia" w:hAnsiTheme="minorEastAsia" w:eastAsiaTheme="minorEastAsia"/>
          <w:b/>
          <w:color w:val="000000"/>
          <w:kern w:val="0"/>
          <w:sz w:val="36"/>
          <w:szCs w:val="36"/>
        </w:rPr>
        <w:t>附：守法诚信承诺书</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w:t>
      </w:r>
      <w:r>
        <w:rPr>
          <w:rFonts w:cs="仿宋" w:asciiTheme="minorEastAsia" w:hAnsiTheme="minorEastAsia" w:eastAsiaTheme="minorEastAsia"/>
          <w:sz w:val="24"/>
        </w:rPr>
        <w:t>（编号</w:t>
      </w:r>
      <w:r>
        <w:rPr>
          <w:rFonts w:hint="eastAsia" w:cs="仿宋" w:asciiTheme="minorEastAsia" w:hAnsiTheme="minorEastAsia" w:eastAsiaTheme="minorEastAsia"/>
          <w:sz w:val="24"/>
        </w:rPr>
        <w:t>×</w:t>
      </w:r>
      <w:r>
        <w:rPr>
          <w:rFonts w:cs="仿宋" w:asciiTheme="minorEastAsia" w:hAnsiTheme="minorEastAsia" w:eastAsiaTheme="minorEastAsia"/>
          <w:sz w:val="24"/>
        </w:rPr>
        <w:t>×）</w:t>
      </w:r>
      <w:r>
        <w:rPr>
          <w:rFonts w:hint="eastAsia" w:cs="仿宋" w:asciiTheme="minorEastAsia" w:hAnsiTheme="minorEastAsia" w:eastAsiaTheme="minorEastAsia"/>
          <w:sz w:val="24"/>
        </w:rPr>
        <w:t>（以下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4320" w:firstLineChars="18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p>
    <w:p>
      <w:pPr>
        <w:spacing w:line="360" w:lineRule="auto"/>
        <w:ind w:firstLine="3600" w:firstLineChars="15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年月日</w:t>
      </w:r>
    </w:p>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360" w:lineRule="auto"/>
        <w:jc w:val="center"/>
        <w:rPr>
          <w:rFonts w:cs="仿宋" w:asciiTheme="minorEastAsia" w:hAnsiTheme="minorEastAsia" w:eastAsiaTheme="minorEastAsia"/>
          <w:sz w:val="24"/>
        </w:rPr>
      </w:pPr>
      <w:r>
        <w:rPr>
          <w:rFonts w:hint="eastAsia" w:ascii="黑体" w:hAnsi="黑体" w:eastAsia="黑体" w:cs="仿宋"/>
          <w:sz w:val="36"/>
          <w:szCs w:val="36"/>
        </w:rPr>
        <w:t>二、授权委托书</w:t>
      </w:r>
    </w:p>
    <w:p>
      <w:pPr>
        <w:adjustRightInd w:val="0"/>
        <w:snapToGrid w:val="0"/>
        <w:spacing w:line="360" w:lineRule="auto"/>
        <w:ind w:left="420" w:leftChars="200"/>
        <w:jc w:val="center"/>
        <w:rPr>
          <w:rFonts w:cs="仿宋" w:asciiTheme="minorEastAsia" w:hAnsiTheme="minorEastAsia" w:eastAsiaTheme="minorEastAsia"/>
          <w:color w:val="FF0000"/>
          <w:sz w:val="24"/>
        </w:rPr>
      </w:pPr>
      <w:r>
        <w:rPr>
          <w:rFonts w:hint="eastAsia" w:cs="仿宋" w:asciiTheme="minorEastAsia" w:hAnsiTheme="minorEastAsia" w:eastAsiaTheme="minorEastAsia"/>
          <w:color w:val="FF0000"/>
          <w:sz w:val="24"/>
        </w:rPr>
        <w:t>(适用于有委托代理人的情况)</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委托期限:自本委托书签署之日起至采购项目签订采购合同之日止。</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年_月日</w:t>
      </w:r>
    </w:p>
    <w:p>
      <w:pPr>
        <w:spacing w:line="360" w:lineRule="auto"/>
        <w:rPr>
          <w:lang w:val="zh-CN"/>
        </w:rPr>
      </w:pPr>
      <w:r>
        <w:rPr>
          <w:lang w:val="zh-CN"/>
        </w:rPr>
        <w:br w:type="page"/>
      </w:r>
    </w:p>
    <w:p>
      <w:pPr>
        <w:spacing w:line="360" w:lineRule="auto"/>
        <w:jc w:val="center"/>
        <w:rPr>
          <w:rFonts w:ascii="黑体" w:hAnsi="黑体" w:eastAsia="黑体" w:cs="仿宋"/>
          <w:sz w:val="36"/>
          <w:szCs w:val="36"/>
        </w:rPr>
      </w:pPr>
      <w:r>
        <w:rPr>
          <w:rFonts w:hint="eastAsia" w:ascii="黑体" w:hAnsi="黑体" w:eastAsia="黑体" w:cs="仿宋"/>
          <w:sz w:val="36"/>
          <w:szCs w:val="36"/>
        </w:rPr>
        <w:t>三、商务和技术偏差表</w:t>
      </w:r>
    </w:p>
    <w:p>
      <w:pPr>
        <w:spacing w:line="360" w:lineRule="auto"/>
        <w:jc w:val="center"/>
        <w:rPr>
          <w:rFonts w:cs="仿宋" w:asciiTheme="minorEastAsia" w:hAnsiTheme="minorEastAsia" w:eastAsiaTheme="minorEastAsia"/>
          <w:sz w:val="24"/>
        </w:rPr>
      </w:pPr>
    </w:p>
    <w:tbl>
      <w:tblPr>
        <w:tblStyle w:val="18"/>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2880"/>
        <w:gridCol w:w="2723"/>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085"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880"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723"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230"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085" w:type="dxa"/>
          </w:tcPr>
          <w:p>
            <w:pPr>
              <w:widowControl/>
              <w:spacing w:line="360" w:lineRule="auto"/>
              <w:jc w:val="both"/>
              <w:rPr>
                <w:rFonts w:cs="仿宋" w:asciiTheme="minorEastAsia" w:hAnsiTheme="minorEastAsia" w:eastAsiaTheme="minorEastAsia"/>
                <w:sz w:val="24"/>
              </w:rPr>
            </w:pPr>
          </w:p>
        </w:tc>
        <w:tc>
          <w:tcPr>
            <w:tcW w:w="2880" w:type="dxa"/>
          </w:tcPr>
          <w:p>
            <w:pPr>
              <w:widowControl/>
              <w:spacing w:line="360" w:lineRule="auto"/>
              <w:jc w:val="both"/>
              <w:rPr>
                <w:rFonts w:cs="仿宋" w:asciiTheme="minorEastAsia" w:hAnsiTheme="minorEastAsia" w:eastAsiaTheme="minorEastAsia"/>
                <w:sz w:val="24"/>
              </w:rPr>
            </w:pPr>
          </w:p>
        </w:tc>
        <w:tc>
          <w:tcPr>
            <w:tcW w:w="2723" w:type="dxa"/>
          </w:tcPr>
          <w:p>
            <w:pPr>
              <w:widowControl/>
              <w:spacing w:line="360" w:lineRule="auto"/>
              <w:jc w:val="both"/>
              <w:rPr>
                <w:rFonts w:cs="仿宋" w:asciiTheme="minorEastAsia" w:hAnsiTheme="minorEastAsia" w:eastAsiaTheme="minorEastAsia"/>
                <w:sz w:val="24"/>
              </w:rPr>
            </w:pPr>
          </w:p>
        </w:tc>
        <w:tc>
          <w:tcPr>
            <w:tcW w:w="2230"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085" w:type="dxa"/>
          </w:tcPr>
          <w:p>
            <w:pPr>
              <w:widowControl/>
              <w:spacing w:line="360" w:lineRule="auto"/>
              <w:jc w:val="both"/>
              <w:rPr>
                <w:rFonts w:cs="仿宋" w:asciiTheme="minorEastAsia" w:hAnsiTheme="minorEastAsia" w:eastAsiaTheme="minorEastAsia"/>
                <w:sz w:val="24"/>
              </w:rPr>
            </w:pPr>
          </w:p>
        </w:tc>
        <w:tc>
          <w:tcPr>
            <w:tcW w:w="2880" w:type="dxa"/>
          </w:tcPr>
          <w:p>
            <w:pPr>
              <w:widowControl/>
              <w:spacing w:line="360" w:lineRule="auto"/>
              <w:jc w:val="both"/>
              <w:rPr>
                <w:rFonts w:cs="仿宋" w:asciiTheme="minorEastAsia" w:hAnsiTheme="minorEastAsia" w:eastAsiaTheme="minorEastAsia"/>
                <w:sz w:val="24"/>
              </w:rPr>
            </w:pPr>
          </w:p>
        </w:tc>
        <w:tc>
          <w:tcPr>
            <w:tcW w:w="2723" w:type="dxa"/>
          </w:tcPr>
          <w:p>
            <w:pPr>
              <w:widowControl/>
              <w:spacing w:line="360" w:lineRule="auto"/>
              <w:jc w:val="both"/>
              <w:rPr>
                <w:rFonts w:cs="仿宋" w:asciiTheme="minorEastAsia" w:hAnsiTheme="minorEastAsia" w:eastAsiaTheme="minorEastAsia"/>
                <w:sz w:val="24"/>
              </w:rPr>
            </w:pPr>
          </w:p>
        </w:tc>
        <w:tc>
          <w:tcPr>
            <w:tcW w:w="2230"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085" w:type="dxa"/>
          </w:tcPr>
          <w:p>
            <w:pPr>
              <w:widowControl/>
              <w:spacing w:line="360" w:lineRule="auto"/>
              <w:jc w:val="both"/>
              <w:rPr>
                <w:rFonts w:cs="仿宋" w:asciiTheme="minorEastAsia" w:hAnsiTheme="minorEastAsia" w:eastAsiaTheme="minorEastAsia"/>
                <w:sz w:val="24"/>
              </w:rPr>
            </w:pPr>
          </w:p>
        </w:tc>
        <w:tc>
          <w:tcPr>
            <w:tcW w:w="2880" w:type="dxa"/>
          </w:tcPr>
          <w:p>
            <w:pPr>
              <w:widowControl/>
              <w:spacing w:line="360" w:lineRule="auto"/>
              <w:jc w:val="both"/>
              <w:rPr>
                <w:rFonts w:cs="仿宋" w:asciiTheme="minorEastAsia" w:hAnsiTheme="minorEastAsia" w:eastAsiaTheme="minorEastAsia"/>
                <w:sz w:val="24"/>
              </w:rPr>
            </w:pPr>
          </w:p>
        </w:tc>
        <w:tc>
          <w:tcPr>
            <w:tcW w:w="2723" w:type="dxa"/>
          </w:tcPr>
          <w:p>
            <w:pPr>
              <w:widowControl/>
              <w:spacing w:line="360" w:lineRule="auto"/>
              <w:jc w:val="both"/>
              <w:rPr>
                <w:rFonts w:cs="仿宋" w:asciiTheme="minorEastAsia" w:hAnsiTheme="minorEastAsia" w:eastAsiaTheme="minorEastAsia"/>
                <w:sz w:val="24"/>
              </w:rPr>
            </w:pPr>
          </w:p>
        </w:tc>
        <w:tc>
          <w:tcPr>
            <w:tcW w:w="2230"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085" w:type="dxa"/>
          </w:tcPr>
          <w:p>
            <w:pPr>
              <w:widowControl/>
              <w:spacing w:line="360" w:lineRule="auto"/>
              <w:jc w:val="both"/>
              <w:rPr>
                <w:rFonts w:cs="仿宋" w:asciiTheme="minorEastAsia" w:hAnsiTheme="minorEastAsia" w:eastAsiaTheme="minorEastAsia"/>
                <w:sz w:val="24"/>
              </w:rPr>
            </w:pPr>
          </w:p>
        </w:tc>
        <w:tc>
          <w:tcPr>
            <w:tcW w:w="2880" w:type="dxa"/>
          </w:tcPr>
          <w:p>
            <w:pPr>
              <w:widowControl/>
              <w:spacing w:line="360" w:lineRule="auto"/>
              <w:jc w:val="both"/>
              <w:rPr>
                <w:rFonts w:cs="仿宋" w:asciiTheme="minorEastAsia" w:hAnsiTheme="minorEastAsia" w:eastAsiaTheme="minorEastAsia"/>
                <w:sz w:val="24"/>
              </w:rPr>
            </w:pPr>
          </w:p>
        </w:tc>
        <w:tc>
          <w:tcPr>
            <w:tcW w:w="2723" w:type="dxa"/>
          </w:tcPr>
          <w:p>
            <w:pPr>
              <w:widowControl/>
              <w:spacing w:line="360" w:lineRule="auto"/>
              <w:jc w:val="both"/>
              <w:rPr>
                <w:rFonts w:cs="仿宋" w:asciiTheme="minorEastAsia" w:hAnsiTheme="minorEastAsia" w:eastAsiaTheme="minorEastAsia"/>
                <w:sz w:val="24"/>
              </w:rPr>
            </w:pPr>
          </w:p>
        </w:tc>
        <w:tc>
          <w:tcPr>
            <w:tcW w:w="2230" w:type="dxa"/>
          </w:tcPr>
          <w:p>
            <w:pPr>
              <w:widowControl/>
              <w:spacing w:line="360" w:lineRule="auto"/>
              <w:jc w:val="both"/>
              <w:rPr>
                <w:rFonts w:cs="仿宋" w:asciiTheme="minorEastAsia" w:hAnsiTheme="minorEastAsia" w:eastAsiaTheme="minorEastAsia"/>
                <w:sz w:val="24"/>
              </w:rPr>
            </w:pPr>
          </w:p>
        </w:tc>
      </w:tr>
    </w:tbl>
    <w:p>
      <w:pPr>
        <w:spacing w:line="360" w:lineRule="auto"/>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spacing w:line="360" w:lineRule="auto"/>
        <w:rPr>
          <w:lang w:val="zh-CN"/>
        </w:rPr>
      </w:pPr>
      <w:r>
        <w:rPr>
          <w:lang w:val="zh-CN"/>
        </w:rPr>
        <w:br w:type="page"/>
      </w:r>
    </w:p>
    <w:p>
      <w:pPr>
        <w:spacing w:line="360" w:lineRule="auto"/>
        <w:jc w:val="center"/>
        <w:rPr>
          <w:rFonts w:ascii="黑体" w:hAnsi="黑体" w:eastAsia="黑体" w:cs="仿宋"/>
          <w:sz w:val="36"/>
          <w:szCs w:val="36"/>
        </w:rPr>
      </w:pPr>
      <w:r>
        <w:rPr>
          <w:rFonts w:hint="eastAsia" w:ascii="黑体" w:hAnsi="黑体" w:eastAsia="黑体" w:cs="仿宋"/>
          <w:sz w:val="36"/>
          <w:szCs w:val="36"/>
        </w:rPr>
        <w:t>四、报价表</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1.报价表说明</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2.报价表：注：若分项费用的计算依据、过程和公式不便在表中表述，可单独另附表格或描述进行说明。</w:t>
      </w:r>
    </w:p>
    <w:p>
      <w:pPr>
        <w:spacing w:line="360" w:lineRule="auto"/>
        <w:ind w:firstLine="413" w:firstLineChars="147"/>
        <w:rPr>
          <w:rFonts w:hint="eastAsia" w:ascii="宋体" w:hAnsi="宋体" w:cs="宋体"/>
          <w:b/>
          <w:bCs/>
          <w:color w:val="000000"/>
          <w:kern w:val="0"/>
          <w:sz w:val="28"/>
          <w:szCs w:val="28"/>
        </w:rPr>
      </w:pPr>
      <w:r>
        <w:rPr>
          <w:rFonts w:hint="eastAsia" w:ascii="宋体" w:hAnsi="宋体" w:cs="宋体"/>
          <w:b/>
          <w:bCs/>
          <w:color w:val="000000"/>
          <w:kern w:val="0"/>
          <w:sz w:val="28"/>
          <w:szCs w:val="28"/>
        </w:rPr>
        <w:t>港口绿植规划方案苗木及其它工程量清单见附件</w:t>
      </w:r>
    </w:p>
    <w:p>
      <w:pPr>
        <w:pStyle w:val="2"/>
        <w:numPr>
          <w:ilvl w:val="0"/>
          <w:numId w:val="0"/>
        </w:numPr>
      </w:pPr>
    </w:p>
    <w:p>
      <w:pPr>
        <w:spacing w:line="360" w:lineRule="auto"/>
        <w:jc w:val="center"/>
        <w:rPr>
          <w:rFonts w:ascii="黑体" w:hAnsi="黑体" w:eastAsia="黑体" w:cs="仿宋"/>
          <w:sz w:val="36"/>
          <w:szCs w:val="36"/>
        </w:rPr>
      </w:pPr>
      <w:r>
        <w:rPr>
          <w:rFonts w:hint="eastAsia" w:ascii="黑体" w:hAnsi="黑体" w:eastAsia="黑体" w:cs="仿宋"/>
          <w:sz w:val="36"/>
          <w:szCs w:val="36"/>
        </w:rPr>
        <w:t>五、资格审查资料</w:t>
      </w:r>
    </w:p>
    <w:p>
      <w:pPr>
        <w:spacing w:line="360" w:lineRule="auto"/>
        <w:jc w:val="both"/>
        <w:rPr>
          <w:rFonts w:ascii="黑体" w:hAnsi="黑体" w:eastAsia="黑体" w:cs="仿宋"/>
          <w:sz w:val="36"/>
          <w:szCs w:val="36"/>
        </w:rPr>
      </w:pP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供应商应根据供应商须知前附表第3.5（1）项和第3.5（2）项的要求提供主体资格证明及相关资质证明资料。</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供应商还应根据供应商须知前地表第3.5（5）项、第3.5（7）项和第3.5（8）项的要求提供其他相关证明材料。</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（二）近年的类似项目情况表</w:t>
      </w:r>
    </w:p>
    <w:tbl>
      <w:tblPr>
        <w:tblStyle w:val="18"/>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1"/>
        <w:gridCol w:w="2954"/>
        <w:gridCol w:w="2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951"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2954" w:type="dxa"/>
          </w:tcPr>
          <w:p>
            <w:pPr>
              <w:widowControl/>
              <w:spacing w:line="360" w:lineRule="auto"/>
              <w:jc w:val="both"/>
              <w:rPr>
                <w:rFonts w:cs="仿宋" w:asciiTheme="minorEastAsia" w:hAnsiTheme="minorEastAsia" w:eastAsiaTheme="minorEastAsia"/>
                <w:sz w:val="24"/>
              </w:rPr>
            </w:pPr>
          </w:p>
        </w:tc>
        <w:tc>
          <w:tcPr>
            <w:tcW w:w="2954"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951"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服务内容</w:t>
            </w:r>
          </w:p>
        </w:tc>
        <w:tc>
          <w:tcPr>
            <w:tcW w:w="2954" w:type="dxa"/>
          </w:tcPr>
          <w:p>
            <w:pPr>
              <w:widowControl/>
              <w:spacing w:line="360" w:lineRule="auto"/>
              <w:jc w:val="both"/>
              <w:rPr>
                <w:rFonts w:cs="仿宋" w:asciiTheme="minorEastAsia" w:hAnsiTheme="minorEastAsia" w:eastAsiaTheme="minorEastAsia"/>
                <w:sz w:val="24"/>
              </w:rPr>
            </w:pPr>
          </w:p>
        </w:tc>
        <w:tc>
          <w:tcPr>
            <w:tcW w:w="2954"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2951"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委托人/发包人名称</w:t>
            </w:r>
          </w:p>
        </w:tc>
        <w:tc>
          <w:tcPr>
            <w:tcW w:w="2954" w:type="dxa"/>
          </w:tcPr>
          <w:p>
            <w:pPr>
              <w:widowControl/>
              <w:spacing w:line="360" w:lineRule="auto"/>
              <w:jc w:val="both"/>
              <w:rPr>
                <w:rFonts w:cs="仿宋" w:asciiTheme="minorEastAsia" w:hAnsiTheme="minorEastAsia" w:eastAsiaTheme="minorEastAsia"/>
                <w:sz w:val="24"/>
              </w:rPr>
            </w:pPr>
          </w:p>
        </w:tc>
        <w:tc>
          <w:tcPr>
            <w:tcW w:w="2954"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2951"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委托人/发包人联系人及电话</w:t>
            </w:r>
          </w:p>
        </w:tc>
        <w:tc>
          <w:tcPr>
            <w:tcW w:w="2954" w:type="dxa"/>
          </w:tcPr>
          <w:p>
            <w:pPr>
              <w:widowControl/>
              <w:spacing w:line="360" w:lineRule="auto"/>
              <w:jc w:val="both"/>
              <w:rPr>
                <w:rFonts w:cs="仿宋" w:asciiTheme="minorEastAsia" w:hAnsiTheme="minorEastAsia" w:eastAsiaTheme="minorEastAsia"/>
                <w:sz w:val="24"/>
              </w:rPr>
            </w:pPr>
          </w:p>
        </w:tc>
        <w:tc>
          <w:tcPr>
            <w:tcW w:w="2954"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951"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2954" w:type="dxa"/>
          </w:tcPr>
          <w:p>
            <w:pPr>
              <w:widowControl/>
              <w:spacing w:line="360" w:lineRule="auto"/>
              <w:jc w:val="both"/>
              <w:rPr>
                <w:rFonts w:cs="仿宋" w:asciiTheme="minorEastAsia" w:hAnsiTheme="minorEastAsia" w:eastAsiaTheme="minorEastAsia"/>
                <w:sz w:val="24"/>
              </w:rPr>
            </w:pPr>
          </w:p>
        </w:tc>
        <w:tc>
          <w:tcPr>
            <w:tcW w:w="2954"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951"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服务是否完成</w:t>
            </w:r>
          </w:p>
        </w:tc>
        <w:tc>
          <w:tcPr>
            <w:tcW w:w="2954" w:type="dxa"/>
          </w:tcPr>
          <w:p>
            <w:pPr>
              <w:widowControl/>
              <w:spacing w:line="360" w:lineRule="auto"/>
              <w:jc w:val="both"/>
              <w:rPr>
                <w:rFonts w:cs="仿宋" w:asciiTheme="minorEastAsia" w:hAnsiTheme="minorEastAsia" w:eastAsiaTheme="minorEastAsia"/>
                <w:sz w:val="24"/>
              </w:rPr>
            </w:pPr>
          </w:p>
        </w:tc>
        <w:tc>
          <w:tcPr>
            <w:tcW w:w="2954"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2951"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项目负责人（如有）</w:t>
            </w:r>
          </w:p>
        </w:tc>
        <w:tc>
          <w:tcPr>
            <w:tcW w:w="2954" w:type="dxa"/>
          </w:tcPr>
          <w:p>
            <w:pPr>
              <w:widowControl/>
              <w:spacing w:line="360" w:lineRule="auto"/>
              <w:jc w:val="both"/>
              <w:rPr>
                <w:rFonts w:cs="仿宋" w:asciiTheme="minorEastAsia" w:hAnsiTheme="minorEastAsia" w:eastAsiaTheme="minorEastAsia"/>
                <w:sz w:val="24"/>
              </w:rPr>
            </w:pPr>
          </w:p>
        </w:tc>
        <w:tc>
          <w:tcPr>
            <w:tcW w:w="2954"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2951"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2954" w:type="dxa"/>
          </w:tcPr>
          <w:p>
            <w:pPr>
              <w:widowControl/>
              <w:spacing w:line="360" w:lineRule="auto"/>
              <w:jc w:val="both"/>
              <w:rPr>
                <w:rFonts w:cs="仿宋" w:asciiTheme="minorEastAsia" w:hAnsiTheme="minorEastAsia" w:eastAsiaTheme="minorEastAsia"/>
                <w:sz w:val="24"/>
              </w:rPr>
            </w:pPr>
          </w:p>
        </w:tc>
        <w:tc>
          <w:tcPr>
            <w:tcW w:w="2954"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951"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2954" w:type="dxa"/>
          </w:tcPr>
          <w:p>
            <w:pPr>
              <w:widowControl/>
              <w:spacing w:line="360" w:lineRule="auto"/>
              <w:jc w:val="both"/>
              <w:rPr>
                <w:rFonts w:cs="仿宋" w:asciiTheme="minorEastAsia" w:hAnsiTheme="minorEastAsia" w:eastAsiaTheme="minorEastAsia"/>
                <w:sz w:val="24"/>
              </w:rPr>
            </w:pPr>
          </w:p>
        </w:tc>
        <w:tc>
          <w:tcPr>
            <w:tcW w:w="2954" w:type="dxa"/>
          </w:tcPr>
          <w:p>
            <w:pPr>
              <w:widowControl/>
              <w:spacing w:line="360" w:lineRule="auto"/>
              <w:jc w:val="both"/>
              <w:rPr>
                <w:rFonts w:cs="仿宋" w:asciiTheme="minorEastAsia" w:hAnsiTheme="minorEastAsia" w:eastAsiaTheme="minorEastAsia"/>
                <w:sz w:val="24"/>
              </w:rPr>
            </w:pPr>
          </w:p>
        </w:tc>
      </w:tr>
    </w:tbl>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注：供应商应根据供应商须知前附表第3.5（4）项的要求在本表后附相关证明材料。</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（三）拟委任的主要人员汇总表</w:t>
      </w:r>
    </w:p>
    <w:tbl>
      <w:tblPr>
        <w:tblStyle w:val="18"/>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0"/>
        <w:gridCol w:w="1470"/>
        <w:gridCol w:w="1470"/>
        <w:gridCol w:w="147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470"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1470"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本项目任职</w:t>
            </w:r>
          </w:p>
        </w:tc>
        <w:tc>
          <w:tcPr>
            <w:tcW w:w="1470"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姓名</w:t>
            </w:r>
          </w:p>
        </w:tc>
        <w:tc>
          <w:tcPr>
            <w:tcW w:w="1470"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职称</w:t>
            </w:r>
          </w:p>
        </w:tc>
        <w:tc>
          <w:tcPr>
            <w:tcW w:w="1470"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专业</w:t>
            </w:r>
          </w:p>
        </w:tc>
        <w:tc>
          <w:tcPr>
            <w:tcW w:w="1470"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470" w:type="dxa"/>
          </w:tcPr>
          <w:p>
            <w:pPr>
              <w:widowControl/>
              <w:spacing w:line="360" w:lineRule="auto"/>
              <w:jc w:val="both"/>
              <w:rPr>
                <w:rFonts w:cs="仿宋" w:asciiTheme="minorEastAsia" w:hAnsiTheme="minorEastAsia" w:eastAsiaTheme="minorEastAsia"/>
                <w:sz w:val="24"/>
              </w:rPr>
            </w:pPr>
          </w:p>
        </w:tc>
        <w:tc>
          <w:tcPr>
            <w:tcW w:w="1470" w:type="dxa"/>
          </w:tcPr>
          <w:p>
            <w:pPr>
              <w:widowControl/>
              <w:spacing w:line="360" w:lineRule="auto"/>
              <w:jc w:val="both"/>
              <w:rPr>
                <w:rFonts w:cs="仿宋" w:asciiTheme="minorEastAsia" w:hAnsiTheme="minorEastAsia" w:eastAsiaTheme="minorEastAsia"/>
                <w:sz w:val="24"/>
              </w:rPr>
            </w:pPr>
          </w:p>
        </w:tc>
        <w:tc>
          <w:tcPr>
            <w:tcW w:w="1470" w:type="dxa"/>
          </w:tcPr>
          <w:p>
            <w:pPr>
              <w:widowControl/>
              <w:spacing w:line="360" w:lineRule="auto"/>
              <w:jc w:val="both"/>
              <w:rPr>
                <w:rFonts w:cs="仿宋" w:asciiTheme="minorEastAsia" w:hAnsiTheme="minorEastAsia" w:eastAsiaTheme="minorEastAsia"/>
                <w:sz w:val="24"/>
              </w:rPr>
            </w:pPr>
          </w:p>
        </w:tc>
        <w:tc>
          <w:tcPr>
            <w:tcW w:w="1470" w:type="dxa"/>
          </w:tcPr>
          <w:p>
            <w:pPr>
              <w:widowControl/>
              <w:spacing w:line="360" w:lineRule="auto"/>
              <w:jc w:val="both"/>
              <w:rPr>
                <w:rFonts w:cs="仿宋" w:asciiTheme="minorEastAsia" w:hAnsiTheme="minorEastAsia" w:eastAsiaTheme="minorEastAsia"/>
                <w:sz w:val="24"/>
              </w:rPr>
            </w:pPr>
          </w:p>
        </w:tc>
        <w:tc>
          <w:tcPr>
            <w:tcW w:w="1470" w:type="dxa"/>
          </w:tcPr>
          <w:p>
            <w:pPr>
              <w:widowControl/>
              <w:spacing w:line="360" w:lineRule="auto"/>
              <w:jc w:val="both"/>
              <w:rPr>
                <w:rFonts w:cs="仿宋" w:asciiTheme="minorEastAsia" w:hAnsiTheme="minorEastAsia" w:eastAsiaTheme="minorEastAsia"/>
                <w:sz w:val="24"/>
              </w:rPr>
            </w:pPr>
          </w:p>
        </w:tc>
        <w:tc>
          <w:tcPr>
            <w:tcW w:w="1470"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470" w:type="dxa"/>
          </w:tcPr>
          <w:p>
            <w:pPr>
              <w:widowControl/>
              <w:spacing w:line="360" w:lineRule="auto"/>
              <w:jc w:val="both"/>
              <w:rPr>
                <w:rFonts w:cs="仿宋" w:asciiTheme="minorEastAsia" w:hAnsiTheme="minorEastAsia" w:eastAsiaTheme="minorEastAsia"/>
                <w:sz w:val="24"/>
              </w:rPr>
            </w:pPr>
          </w:p>
        </w:tc>
        <w:tc>
          <w:tcPr>
            <w:tcW w:w="1470" w:type="dxa"/>
          </w:tcPr>
          <w:p>
            <w:pPr>
              <w:widowControl/>
              <w:spacing w:line="360" w:lineRule="auto"/>
              <w:jc w:val="both"/>
              <w:rPr>
                <w:rFonts w:cs="仿宋" w:asciiTheme="minorEastAsia" w:hAnsiTheme="minorEastAsia" w:eastAsiaTheme="minorEastAsia"/>
                <w:sz w:val="24"/>
              </w:rPr>
            </w:pPr>
          </w:p>
        </w:tc>
        <w:tc>
          <w:tcPr>
            <w:tcW w:w="1470" w:type="dxa"/>
          </w:tcPr>
          <w:p>
            <w:pPr>
              <w:widowControl/>
              <w:spacing w:line="360" w:lineRule="auto"/>
              <w:jc w:val="both"/>
              <w:rPr>
                <w:rFonts w:cs="仿宋" w:asciiTheme="minorEastAsia" w:hAnsiTheme="minorEastAsia" w:eastAsiaTheme="minorEastAsia"/>
                <w:sz w:val="24"/>
              </w:rPr>
            </w:pPr>
          </w:p>
        </w:tc>
        <w:tc>
          <w:tcPr>
            <w:tcW w:w="1470" w:type="dxa"/>
          </w:tcPr>
          <w:p>
            <w:pPr>
              <w:widowControl/>
              <w:spacing w:line="360" w:lineRule="auto"/>
              <w:jc w:val="both"/>
              <w:rPr>
                <w:rFonts w:cs="仿宋" w:asciiTheme="minorEastAsia" w:hAnsiTheme="minorEastAsia" w:eastAsiaTheme="minorEastAsia"/>
                <w:sz w:val="24"/>
              </w:rPr>
            </w:pPr>
          </w:p>
        </w:tc>
        <w:tc>
          <w:tcPr>
            <w:tcW w:w="1470" w:type="dxa"/>
          </w:tcPr>
          <w:p>
            <w:pPr>
              <w:widowControl/>
              <w:spacing w:line="360" w:lineRule="auto"/>
              <w:jc w:val="both"/>
              <w:rPr>
                <w:rFonts w:cs="仿宋" w:asciiTheme="minorEastAsia" w:hAnsiTheme="minorEastAsia" w:eastAsiaTheme="minorEastAsia"/>
                <w:sz w:val="24"/>
              </w:rPr>
            </w:pPr>
          </w:p>
        </w:tc>
        <w:tc>
          <w:tcPr>
            <w:tcW w:w="1470"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470" w:type="dxa"/>
          </w:tcPr>
          <w:p>
            <w:pPr>
              <w:widowControl/>
              <w:spacing w:line="360" w:lineRule="auto"/>
              <w:jc w:val="both"/>
              <w:rPr>
                <w:rFonts w:cs="仿宋" w:asciiTheme="minorEastAsia" w:hAnsiTheme="minorEastAsia" w:eastAsiaTheme="minorEastAsia"/>
                <w:sz w:val="24"/>
              </w:rPr>
            </w:pPr>
          </w:p>
        </w:tc>
        <w:tc>
          <w:tcPr>
            <w:tcW w:w="1470" w:type="dxa"/>
          </w:tcPr>
          <w:p>
            <w:pPr>
              <w:widowControl/>
              <w:spacing w:line="360" w:lineRule="auto"/>
              <w:jc w:val="both"/>
              <w:rPr>
                <w:rFonts w:cs="仿宋" w:asciiTheme="minorEastAsia" w:hAnsiTheme="minorEastAsia" w:eastAsiaTheme="minorEastAsia"/>
                <w:sz w:val="24"/>
              </w:rPr>
            </w:pPr>
          </w:p>
        </w:tc>
        <w:tc>
          <w:tcPr>
            <w:tcW w:w="1470" w:type="dxa"/>
          </w:tcPr>
          <w:p>
            <w:pPr>
              <w:widowControl/>
              <w:spacing w:line="360" w:lineRule="auto"/>
              <w:jc w:val="both"/>
              <w:rPr>
                <w:rFonts w:cs="仿宋" w:asciiTheme="minorEastAsia" w:hAnsiTheme="minorEastAsia" w:eastAsiaTheme="minorEastAsia"/>
                <w:sz w:val="24"/>
              </w:rPr>
            </w:pPr>
          </w:p>
        </w:tc>
        <w:tc>
          <w:tcPr>
            <w:tcW w:w="1470" w:type="dxa"/>
          </w:tcPr>
          <w:p>
            <w:pPr>
              <w:widowControl/>
              <w:spacing w:line="360" w:lineRule="auto"/>
              <w:jc w:val="both"/>
              <w:rPr>
                <w:rFonts w:cs="仿宋" w:asciiTheme="minorEastAsia" w:hAnsiTheme="minorEastAsia" w:eastAsiaTheme="minorEastAsia"/>
                <w:sz w:val="24"/>
              </w:rPr>
            </w:pPr>
          </w:p>
        </w:tc>
        <w:tc>
          <w:tcPr>
            <w:tcW w:w="1470" w:type="dxa"/>
          </w:tcPr>
          <w:p>
            <w:pPr>
              <w:widowControl/>
              <w:spacing w:line="360" w:lineRule="auto"/>
              <w:jc w:val="both"/>
              <w:rPr>
                <w:rFonts w:cs="仿宋" w:asciiTheme="minorEastAsia" w:hAnsiTheme="minorEastAsia" w:eastAsiaTheme="minorEastAsia"/>
                <w:sz w:val="24"/>
              </w:rPr>
            </w:pPr>
          </w:p>
        </w:tc>
        <w:tc>
          <w:tcPr>
            <w:tcW w:w="1470"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470" w:type="dxa"/>
          </w:tcPr>
          <w:p>
            <w:pPr>
              <w:widowControl/>
              <w:spacing w:line="360" w:lineRule="auto"/>
              <w:jc w:val="both"/>
              <w:rPr>
                <w:rFonts w:cs="仿宋" w:asciiTheme="minorEastAsia" w:hAnsiTheme="minorEastAsia" w:eastAsiaTheme="minorEastAsia"/>
                <w:sz w:val="24"/>
              </w:rPr>
            </w:pPr>
          </w:p>
        </w:tc>
        <w:tc>
          <w:tcPr>
            <w:tcW w:w="1470" w:type="dxa"/>
          </w:tcPr>
          <w:p>
            <w:pPr>
              <w:widowControl/>
              <w:spacing w:line="360" w:lineRule="auto"/>
              <w:jc w:val="both"/>
              <w:rPr>
                <w:rFonts w:cs="仿宋" w:asciiTheme="minorEastAsia" w:hAnsiTheme="minorEastAsia" w:eastAsiaTheme="minorEastAsia"/>
                <w:sz w:val="24"/>
              </w:rPr>
            </w:pPr>
          </w:p>
        </w:tc>
        <w:tc>
          <w:tcPr>
            <w:tcW w:w="1470" w:type="dxa"/>
          </w:tcPr>
          <w:p>
            <w:pPr>
              <w:widowControl/>
              <w:spacing w:line="360" w:lineRule="auto"/>
              <w:jc w:val="both"/>
              <w:rPr>
                <w:rFonts w:cs="仿宋" w:asciiTheme="minorEastAsia" w:hAnsiTheme="minorEastAsia" w:eastAsiaTheme="minorEastAsia"/>
                <w:sz w:val="24"/>
              </w:rPr>
            </w:pPr>
          </w:p>
        </w:tc>
        <w:tc>
          <w:tcPr>
            <w:tcW w:w="1470" w:type="dxa"/>
          </w:tcPr>
          <w:p>
            <w:pPr>
              <w:widowControl/>
              <w:spacing w:line="360" w:lineRule="auto"/>
              <w:jc w:val="both"/>
              <w:rPr>
                <w:rFonts w:cs="仿宋" w:asciiTheme="minorEastAsia" w:hAnsiTheme="minorEastAsia" w:eastAsiaTheme="minorEastAsia"/>
                <w:sz w:val="24"/>
              </w:rPr>
            </w:pPr>
          </w:p>
        </w:tc>
        <w:tc>
          <w:tcPr>
            <w:tcW w:w="1470" w:type="dxa"/>
          </w:tcPr>
          <w:p>
            <w:pPr>
              <w:widowControl/>
              <w:spacing w:line="360" w:lineRule="auto"/>
              <w:jc w:val="both"/>
              <w:rPr>
                <w:rFonts w:cs="仿宋" w:asciiTheme="minorEastAsia" w:hAnsiTheme="minorEastAsia" w:eastAsiaTheme="minorEastAsia"/>
                <w:sz w:val="24"/>
              </w:rPr>
            </w:pPr>
          </w:p>
        </w:tc>
        <w:tc>
          <w:tcPr>
            <w:tcW w:w="1470"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470" w:type="dxa"/>
          </w:tcPr>
          <w:p>
            <w:pPr>
              <w:widowControl/>
              <w:spacing w:line="360" w:lineRule="auto"/>
              <w:jc w:val="both"/>
              <w:rPr>
                <w:rFonts w:cs="仿宋" w:asciiTheme="minorEastAsia" w:hAnsiTheme="minorEastAsia" w:eastAsiaTheme="minorEastAsia"/>
                <w:sz w:val="24"/>
              </w:rPr>
            </w:pPr>
          </w:p>
        </w:tc>
        <w:tc>
          <w:tcPr>
            <w:tcW w:w="1470" w:type="dxa"/>
          </w:tcPr>
          <w:p>
            <w:pPr>
              <w:widowControl/>
              <w:spacing w:line="360" w:lineRule="auto"/>
              <w:jc w:val="both"/>
              <w:rPr>
                <w:rFonts w:cs="仿宋" w:asciiTheme="minorEastAsia" w:hAnsiTheme="minorEastAsia" w:eastAsiaTheme="minorEastAsia"/>
                <w:sz w:val="24"/>
              </w:rPr>
            </w:pPr>
          </w:p>
        </w:tc>
        <w:tc>
          <w:tcPr>
            <w:tcW w:w="1470" w:type="dxa"/>
          </w:tcPr>
          <w:p>
            <w:pPr>
              <w:widowControl/>
              <w:spacing w:line="360" w:lineRule="auto"/>
              <w:jc w:val="both"/>
              <w:rPr>
                <w:rFonts w:cs="仿宋" w:asciiTheme="minorEastAsia" w:hAnsiTheme="minorEastAsia" w:eastAsiaTheme="minorEastAsia"/>
                <w:sz w:val="24"/>
              </w:rPr>
            </w:pPr>
          </w:p>
        </w:tc>
        <w:tc>
          <w:tcPr>
            <w:tcW w:w="1470" w:type="dxa"/>
          </w:tcPr>
          <w:p>
            <w:pPr>
              <w:widowControl/>
              <w:spacing w:line="360" w:lineRule="auto"/>
              <w:jc w:val="both"/>
              <w:rPr>
                <w:rFonts w:cs="仿宋" w:asciiTheme="minorEastAsia" w:hAnsiTheme="minorEastAsia" w:eastAsiaTheme="minorEastAsia"/>
                <w:sz w:val="24"/>
              </w:rPr>
            </w:pPr>
          </w:p>
        </w:tc>
        <w:tc>
          <w:tcPr>
            <w:tcW w:w="1470" w:type="dxa"/>
          </w:tcPr>
          <w:p>
            <w:pPr>
              <w:widowControl/>
              <w:spacing w:line="360" w:lineRule="auto"/>
              <w:jc w:val="both"/>
              <w:rPr>
                <w:rFonts w:cs="仿宋" w:asciiTheme="minorEastAsia" w:hAnsiTheme="minorEastAsia" w:eastAsiaTheme="minorEastAsia"/>
                <w:sz w:val="24"/>
              </w:rPr>
            </w:pPr>
          </w:p>
        </w:tc>
        <w:tc>
          <w:tcPr>
            <w:tcW w:w="1470" w:type="dxa"/>
          </w:tcPr>
          <w:p>
            <w:pPr>
              <w:widowControl/>
              <w:spacing w:line="360" w:lineRule="auto"/>
              <w:jc w:val="both"/>
              <w:rPr>
                <w:rFonts w:cs="仿宋" w:asciiTheme="minorEastAsia" w:hAnsiTheme="minorEastAsia" w:eastAsiaTheme="minorEastAsia"/>
                <w:sz w:val="24"/>
              </w:rPr>
            </w:pPr>
          </w:p>
        </w:tc>
      </w:tr>
    </w:tbl>
    <w:p>
      <w:pPr>
        <w:pStyle w:val="4"/>
        <w:spacing w:before="0" w:after="0" w:line="380" w:lineRule="atLeast"/>
        <w:jc w:val="both"/>
        <w:rPr>
          <w:rFonts w:asciiTheme="minorEastAsia" w:hAnsiTheme="minorEastAsia" w:eastAsiaTheme="minorEastAsia"/>
          <w:b w:val="0"/>
          <w:sz w:val="24"/>
          <w:szCs w:val="24"/>
        </w:rPr>
      </w:pPr>
      <w:r>
        <w:rPr>
          <w:rFonts w:asciiTheme="minorEastAsia" w:hAnsiTheme="minorEastAsia" w:eastAsiaTheme="minorEastAsia"/>
          <w:sz w:val="24"/>
        </w:rPr>
        <w:br w:type="page"/>
      </w:r>
      <w:r>
        <w:rPr>
          <w:rFonts w:hint="eastAsia" w:asciiTheme="minorEastAsia" w:hAnsiTheme="minorEastAsia" w:eastAsiaTheme="minorEastAsia"/>
          <w:b w:val="0"/>
          <w:sz w:val="24"/>
          <w:szCs w:val="24"/>
        </w:rPr>
        <w:t>（四）主要人员简</w:t>
      </w:r>
      <w:r>
        <w:rPr>
          <w:rFonts w:asciiTheme="minorEastAsia" w:hAnsiTheme="minorEastAsia" w:eastAsiaTheme="minorEastAsia"/>
          <w:b w:val="0"/>
          <w:sz w:val="24"/>
          <w:szCs w:val="24"/>
        </w:rPr>
        <w:t>历表</w:t>
      </w:r>
    </w:p>
    <w:p>
      <w:pPr>
        <w:autoSpaceDE w:val="0"/>
        <w:autoSpaceDN w:val="0"/>
        <w:spacing w:line="400" w:lineRule="atLeast"/>
        <w:jc w:val="both"/>
        <w:textAlignment w:val="bottom"/>
        <w:rPr>
          <w:rFonts w:asciiTheme="minorEastAsia" w:hAnsiTheme="minorEastAsia" w:eastAsiaTheme="minorEastAsia"/>
          <w:sz w:val="24"/>
        </w:rPr>
      </w:pPr>
    </w:p>
    <w:tbl>
      <w:tblPr>
        <w:tblStyle w:val="17"/>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71"/>
        <w:gridCol w:w="56"/>
        <w:gridCol w:w="1615"/>
        <w:gridCol w:w="1177"/>
        <w:gridCol w:w="1534"/>
        <w:gridCol w:w="374"/>
        <w:gridCol w:w="1714"/>
        <w:gridCol w:w="42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7" w:hRule="atLeast"/>
        </w:trPr>
        <w:tc>
          <w:tcPr>
            <w:tcW w:w="1371" w:type="dxa"/>
            <w:vAlign w:val="center"/>
          </w:tcPr>
          <w:p>
            <w:pPr>
              <w:autoSpaceDE w:val="0"/>
              <w:autoSpaceDN w:val="0"/>
              <w:spacing w:beforeLines="25"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姓    名</w:t>
            </w:r>
          </w:p>
        </w:tc>
        <w:tc>
          <w:tcPr>
            <w:tcW w:w="1671" w:type="dxa"/>
            <w:gridSpan w:val="2"/>
            <w:vAlign w:val="center"/>
          </w:tcPr>
          <w:p>
            <w:pPr>
              <w:autoSpaceDE w:val="0"/>
              <w:autoSpaceDN w:val="0"/>
              <w:spacing w:beforeLines="25" w:afterLines="25" w:line="400" w:lineRule="atLeast"/>
              <w:jc w:val="center"/>
              <w:textAlignment w:val="bottom"/>
              <w:rPr>
                <w:rFonts w:asciiTheme="minorEastAsia" w:hAnsiTheme="minorEastAsia" w:eastAsiaTheme="minorEastAsia"/>
                <w:sz w:val="24"/>
              </w:rPr>
            </w:pPr>
          </w:p>
        </w:tc>
        <w:tc>
          <w:tcPr>
            <w:tcW w:w="1177" w:type="dxa"/>
            <w:vAlign w:val="center"/>
          </w:tcPr>
          <w:p>
            <w:pPr>
              <w:autoSpaceDE w:val="0"/>
              <w:autoSpaceDN w:val="0"/>
              <w:spacing w:beforeLines="25"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年    龄</w:t>
            </w:r>
          </w:p>
        </w:tc>
        <w:tc>
          <w:tcPr>
            <w:tcW w:w="1534" w:type="dxa"/>
          </w:tcPr>
          <w:p>
            <w:pPr>
              <w:autoSpaceDE w:val="0"/>
              <w:autoSpaceDN w:val="0"/>
              <w:spacing w:beforeLines="25" w:afterLines="25" w:line="400" w:lineRule="atLeast"/>
              <w:jc w:val="center"/>
              <w:textAlignment w:val="bottom"/>
              <w:rPr>
                <w:rFonts w:asciiTheme="minorEastAsia" w:hAnsiTheme="minorEastAsia" w:eastAsiaTheme="minorEastAsia"/>
                <w:sz w:val="24"/>
              </w:rPr>
            </w:pPr>
          </w:p>
        </w:tc>
        <w:tc>
          <w:tcPr>
            <w:tcW w:w="2088" w:type="dxa"/>
            <w:gridSpan w:val="2"/>
          </w:tcPr>
          <w:p>
            <w:pPr>
              <w:autoSpaceDE w:val="0"/>
              <w:autoSpaceDN w:val="0"/>
              <w:spacing w:beforeLines="25" w:afterLines="25" w:line="400" w:lineRule="atLeast"/>
              <w:jc w:val="center"/>
              <w:textAlignment w:val="bottom"/>
              <w:rPr>
                <w:rFonts w:asciiTheme="minorEastAsia" w:hAnsiTheme="minorEastAsia" w:eastAsiaTheme="minorEastAsia"/>
                <w:sz w:val="24"/>
              </w:rPr>
            </w:pPr>
            <w:r>
              <w:rPr>
                <w:rFonts w:hint="eastAsia" w:cs="仿宋" w:asciiTheme="minorEastAsia" w:hAnsiTheme="minorEastAsia" w:eastAsiaTheme="minorEastAsia"/>
                <w:sz w:val="24"/>
              </w:rPr>
              <w:t>执业或职业资格证书名称</w:t>
            </w:r>
          </w:p>
        </w:tc>
        <w:tc>
          <w:tcPr>
            <w:tcW w:w="1853" w:type="dxa"/>
            <w:gridSpan w:val="2"/>
          </w:tcPr>
          <w:p>
            <w:pPr>
              <w:autoSpaceDE w:val="0"/>
              <w:autoSpaceDN w:val="0"/>
              <w:spacing w:beforeLines="25"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71" w:type="dxa"/>
            <w:vAlign w:val="center"/>
          </w:tcPr>
          <w:p>
            <w:pPr>
              <w:autoSpaceDE w:val="0"/>
              <w:autoSpaceDN w:val="0"/>
              <w:spacing w:beforeLines="25"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职称</w:t>
            </w:r>
          </w:p>
        </w:tc>
        <w:tc>
          <w:tcPr>
            <w:tcW w:w="1671" w:type="dxa"/>
            <w:gridSpan w:val="2"/>
            <w:vAlign w:val="center"/>
          </w:tcPr>
          <w:p>
            <w:pPr>
              <w:autoSpaceDE w:val="0"/>
              <w:autoSpaceDN w:val="0"/>
              <w:spacing w:beforeLines="25" w:afterLines="25" w:line="400" w:lineRule="atLeast"/>
              <w:jc w:val="center"/>
              <w:textAlignment w:val="bottom"/>
              <w:rPr>
                <w:rFonts w:asciiTheme="minorEastAsia" w:hAnsiTheme="minorEastAsia" w:eastAsiaTheme="minorEastAsia"/>
                <w:sz w:val="24"/>
              </w:rPr>
            </w:pPr>
          </w:p>
        </w:tc>
        <w:tc>
          <w:tcPr>
            <w:tcW w:w="1177" w:type="dxa"/>
            <w:vAlign w:val="center"/>
          </w:tcPr>
          <w:p>
            <w:pPr>
              <w:autoSpaceDE w:val="0"/>
              <w:autoSpaceDN w:val="0"/>
              <w:spacing w:beforeLines="25"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学    历</w:t>
            </w:r>
          </w:p>
        </w:tc>
        <w:tc>
          <w:tcPr>
            <w:tcW w:w="1534" w:type="dxa"/>
          </w:tcPr>
          <w:p>
            <w:pPr>
              <w:autoSpaceDE w:val="0"/>
              <w:autoSpaceDN w:val="0"/>
              <w:spacing w:beforeLines="25" w:afterLines="25" w:line="400" w:lineRule="atLeast"/>
              <w:jc w:val="center"/>
              <w:textAlignment w:val="bottom"/>
              <w:rPr>
                <w:rFonts w:asciiTheme="minorEastAsia" w:hAnsiTheme="minorEastAsia" w:eastAsiaTheme="minorEastAsia"/>
                <w:sz w:val="24"/>
              </w:rPr>
            </w:pPr>
          </w:p>
        </w:tc>
        <w:tc>
          <w:tcPr>
            <w:tcW w:w="2088" w:type="dxa"/>
            <w:gridSpan w:val="2"/>
          </w:tcPr>
          <w:p>
            <w:pPr>
              <w:autoSpaceDE w:val="0"/>
              <w:autoSpaceDN w:val="0"/>
              <w:spacing w:beforeLines="25"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拟在本</w:t>
            </w:r>
            <w:r>
              <w:rPr>
                <w:rFonts w:hint="eastAsia" w:asciiTheme="minorEastAsia" w:hAnsiTheme="minorEastAsia" w:eastAsiaTheme="minorEastAsia"/>
                <w:sz w:val="24"/>
              </w:rPr>
              <w:t>项目</w:t>
            </w:r>
            <w:r>
              <w:rPr>
                <w:rFonts w:asciiTheme="minorEastAsia" w:hAnsiTheme="minorEastAsia" w:eastAsiaTheme="minorEastAsia"/>
                <w:sz w:val="24"/>
              </w:rPr>
              <w:t>任职</w:t>
            </w:r>
          </w:p>
        </w:tc>
        <w:tc>
          <w:tcPr>
            <w:tcW w:w="1853" w:type="dxa"/>
            <w:gridSpan w:val="2"/>
          </w:tcPr>
          <w:p>
            <w:pPr>
              <w:autoSpaceDE w:val="0"/>
              <w:autoSpaceDN w:val="0"/>
              <w:spacing w:beforeLines="25"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71" w:type="dxa"/>
            <w:vAlign w:val="center"/>
          </w:tcPr>
          <w:p>
            <w:pPr>
              <w:autoSpaceDE w:val="0"/>
              <w:autoSpaceDN w:val="0"/>
              <w:spacing w:beforeLines="25"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工作年限</w:t>
            </w:r>
          </w:p>
        </w:tc>
        <w:tc>
          <w:tcPr>
            <w:tcW w:w="4382" w:type="dxa"/>
            <w:gridSpan w:val="4"/>
            <w:vAlign w:val="center"/>
          </w:tcPr>
          <w:p>
            <w:pPr>
              <w:autoSpaceDE w:val="0"/>
              <w:autoSpaceDN w:val="0"/>
              <w:spacing w:beforeLines="25" w:afterLines="25" w:line="400" w:lineRule="atLeast"/>
              <w:jc w:val="center"/>
              <w:textAlignment w:val="bottom"/>
              <w:rPr>
                <w:rFonts w:asciiTheme="minorEastAsia" w:hAnsiTheme="minorEastAsia" w:eastAsiaTheme="minorEastAsia"/>
                <w:sz w:val="24"/>
              </w:rPr>
            </w:pPr>
          </w:p>
        </w:tc>
        <w:tc>
          <w:tcPr>
            <w:tcW w:w="2088" w:type="dxa"/>
            <w:gridSpan w:val="2"/>
            <w:vAlign w:val="center"/>
          </w:tcPr>
          <w:p>
            <w:pPr>
              <w:autoSpaceDE w:val="0"/>
              <w:autoSpaceDN w:val="0"/>
              <w:spacing w:beforeLines="25" w:afterLines="25" w:line="400" w:lineRule="atLeast"/>
              <w:jc w:val="center"/>
              <w:textAlignment w:val="bottom"/>
              <w:rPr>
                <w:rFonts w:asciiTheme="minorEastAsia" w:hAnsiTheme="minorEastAsia" w:eastAsiaTheme="minorEastAsia"/>
                <w:sz w:val="24"/>
              </w:rPr>
            </w:pPr>
            <w:r>
              <w:rPr>
                <w:rFonts w:hint="eastAsia" w:asciiTheme="minorEastAsia" w:hAnsiTheme="minorEastAsia" w:eastAsiaTheme="minorEastAsia"/>
                <w:sz w:val="24"/>
              </w:rPr>
              <w:t>从事</w:t>
            </w:r>
            <w:r>
              <w:rPr>
                <w:rFonts w:asciiTheme="minorEastAsia" w:hAnsiTheme="minorEastAsia" w:eastAsiaTheme="minorEastAsia"/>
                <w:sz w:val="24"/>
              </w:rPr>
              <w:t>类似</w:t>
            </w:r>
            <w:r>
              <w:rPr>
                <w:rFonts w:hint="eastAsia" w:asciiTheme="minorEastAsia" w:hAnsiTheme="minorEastAsia" w:eastAsiaTheme="minorEastAsia"/>
                <w:sz w:val="24"/>
              </w:rPr>
              <w:t>工作</w:t>
            </w:r>
            <w:r>
              <w:rPr>
                <w:rFonts w:asciiTheme="minorEastAsia" w:hAnsiTheme="minorEastAsia" w:eastAsiaTheme="minorEastAsia"/>
                <w:sz w:val="24"/>
              </w:rPr>
              <w:t>年限</w:t>
            </w:r>
          </w:p>
        </w:tc>
        <w:tc>
          <w:tcPr>
            <w:tcW w:w="1853" w:type="dxa"/>
            <w:gridSpan w:val="2"/>
          </w:tcPr>
          <w:p>
            <w:pPr>
              <w:autoSpaceDE w:val="0"/>
              <w:autoSpaceDN w:val="0"/>
              <w:spacing w:beforeLines="25"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371" w:type="dxa"/>
            <w:vAlign w:val="center"/>
          </w:tcPr>
          <w:p>
            <w:pPr>
              <w:autoSpaceDE w:val="0"/>
              <w:autoSpaceDN w:val="0"/>
              <w:spacing w:beforeLines="25"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毕业学校</w:t>
            </w:r>
          </w:p>
        </w:tc>
        <w:tc>
          <w:tcPr>
            <w:tcW w:w="8323" w:type="dxa"/>
            <w:gridSpan w:val="8"/>
            <w:vAlign w:val="center"/>
          </w:tcPr>
          <w:p>
            <w:pPr>
              <w:autoSpaceDE w:val="0"/>
              <w:autoSpaceDN w:val="0"/>
              <w:spacing w:beforeLines="25" w:afterLines="25" w:line="400" w:lineRule="atLeast"/>
              <w:ind w:left="-187" w:leftChars="-89"/>
              <w:jc w:val="both"/>
              <w:textAlignment w:val="bottom"/>
              <w:rPr>
                <w:rFonts w:asciiTheme="minorEastAsia" w:hAnsiTheme="minorEastAsia" w:eastAsiaTheme="minorEastAsia"/>
                <w:sz w:val="24"/>
              </w:rPr>
            </w:pPr>
            <w:r>
              <w:rPr>
                <w:rFonts w:asciiTheme="minorEastAsia" w:hAnsiTheme="minorEastAsia" w:eastAsiaTheme="minorEastAsia"/>
                <w:sz w:val="24"/>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694" w:type="dxa"/>
            <w:gridSpan w:val="9"/>
            <w:vAlign w:val="center"/>
          </w:tcPr>
          <w:p>
            <w:pPr>
              <w:autoSpaceDE w:val="0"/>
              <w:autoSpaceDN w:val="0"/>
              <w:spacing w:beforeLines="25" w:afterLines="25" w:line="400" w:lineRule="atLeast"/>
              <w:jc w:val="both"/>
              <w:textAlignment w:val="bottom"/>
              <w:rPr>
                <w:rFonts w:asciiTheme="minorEastAsia" w:hAnsiTheme="minorEastAsia" w:eastAsiaTheme="minorEastAsia"/>
                <w:sz w:val="24"/>
              </w:rPr>
            </w:pPr>
            <w:r>
              <w:rPr>
                <w:rFonts w:hint="eastAsia" w:asciiTheme="minorEastAsia" w:hAnsiTheme="minorEastAsia" w:eastAsiaTheme="minorEastAsia"/>
                <w:sz w:val="24"/>
              </w:rPr>
              <w:t>主要工作</w:t>
            </w:r>
            <w:r>
              <w:rPr>
                <w:rFonts w:asciiTheme="minorEastAsia" w:hAnsiTheme="minorEastAsia" w:eastAsiaTheme="minorEastAsia"/>
                <w:sz w:val="24"/>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Lines="25"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时  间</w:t>
            </w:r>
          </w:p>
        </w:tc>
        <w:tc>
          <w:tcPr>
            <w:tcW w:w="4700" w:type="dxa"/>
            <w:gridSpan w:val="4"/>
            <w:vAlign w:val="center"/>
          </w:tcPr>
          <w:p>
            <w:pPr>
              <w:pStyle w:val="27"/>
              <w:adjustRightInd/>
              <w:snapToGrid/>
              <w:spacing w:beforeLines="25" w:afterLines="25" w:line="400" w:lineRule="atLeast"/>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参加过的类似项目</w:t>
            </w:r>
          </w:p>
        </w:tc>
        <w:tc>
          <w:tcPr>
            <w:tcW w:w="2142" w:type="dxa"/>
            <w:gridSpan w:val="2"/>
            <w:vAlign w:val="center"/>
          </w:tcPr>
          <w:p>
            <w:pPr>
              <w:pStyle w:val="27"/>
              <w:adjustRightInd/>
              <w:snapToGrid/>
              <w:spacing w:beforeLines="25" w:afterLines="25" w:line="400" w:lineRule="atLeast"/>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担任职务</w:t>
            </w:r>
          </w:p>
        </w:tc>
        <w:tc>
          <w:tcPr>
            <w:tcW w:w="1425" w:type="dxa"/>
            <w:vAlign w:val="center"/>
          </w:tcPr>
          <w:p>
            <w:pPr>
              <w:autoSpaceDE w:val="0"/>
              <w:autoSpaceDN w:val="0"/>
              <w:spacing w:beforeLines="25"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Lines="25"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Lines="25"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Lines="25"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Lines="25"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Lines="25"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Lines="25"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Lines="25"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Lines="25"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Lines="25"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Lines="25"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Lines="25"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Lines="25"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Lines="25"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Lines="25"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Lines="25"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Lines="25"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Lines="25"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Lines="25"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Lines="25"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Lines="25"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Lines="25"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Lines="25"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Lines="25"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Lines="25"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Lines="25"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Lines="25"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Lines="25"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Lines="25" w:afterLines="25" w:line="400" w:lineRule="atLeast"/>
              <w:jc w:val="both"/>
              <w:textAlignment w:val="bottom"/>
              <w:rPr>
                <w:rFonts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注：供应商应根据供应商须知前附表第3.5（6）项的要求在本表后附相关证明材料。</w:t>
      </w:r>
    </w:p>
    <w:p>
      <w:pPr>
        <w:jc w:val="both"/>
      </w:pPr>
      <w:r>
        <w:rPr>
          <w:rFonts w:hint="eastAsia" w:cs="仿宋" w:asciiTheme="minorEastAsia" w:hAnsiTheme="minorEastAsia" w:eastAsiaTheme="minorEastAsia"/>
          <w:sz w:val="24"/>
        </w:rPr>
        <w:br w:type="page"/>
      </w:r>
    </w:p>
    <w:p>
      <w:pPr>
        <w:pStyle w:val="16"/>
        <w:numPr>
          <w:ilvl w:val="0"/>
          <w:numId w:val="6"/>
        </w:numPr>
        <w:spacing w:line="360" w:lineRule="auto"/>
        <w:ind w:left="420"/>
        <w:jc w:val="center"/>
        <w:rPr>
          <w:rFonts w:ascii="黑体" w:hAnsi="黑体" w:eastAsia="黑体" w:cs="仿宋"/>
          <w:sz w:val="36"/>
          <w:szCs w:val="36"/>
          <w:lang w:val="zh-CN"/>
        </w:rPr>
      </w:pPr>
      <w:r>
        <w:rPr>
          <w:rFonts w:hint="eastAsia" w:ascii="黑体" w:hAnsi="黑体" w:eastAsia="黑体" w:cs="仿宋"/>
          <w:sz w:val="36"/>
          <w:szCs w:val="36"/>
        </w:rPr>
        <w:t>响应方案</w:t>
      </w:r>
    </w:p>
    <w:p>
      <w:pPr>
        <w:pStyle w:val="16"/>
        <w:numPr>
          <w:ilvl w:val="0"/>
          <w:numId w:val="0"/>
        </w:numPr>
        <w:spacing w:line="360" w:lineRule="auto"/>
        <w:jc w:val="both"/>
        <w:rPr>
          <w:rFonts w:ascii="黑体" w:hAnsi="黑体" w:eastAsia="黑体" w:cs="仿宋"/>
          <w:sz w:val="36"/>
          <w:szCs w:val="36"/>
          <w:lang w:val="zh-CN"/>
        </w:rPr>
      </w:pPr>
    </w:p>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响应方案一般包括(但不限于)下列内容:</w:t>
      </w:r>
    </w:p>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(1)服务范围及内容；</w:t>
      </w:r>
    </w:p>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(2)拟投入本项目的服务人员；</w:t>
      </w:r>
    </w:p>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(3)对本项目的合理化建议。</w:t>
      </w:r>
    </w:p>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pStyle w:val="16"/>
        <w:numPr>
          <w:ilvl w:val="0"/>
          <w:numId w:val="6"/>
        </w:numPr>
        <w:spacing w:line="360" w:lineRule="auto"/>
        <w:ind w:left="420" w:firstLine="420"/>
        <w:jc w:val="center"/>
        <w:rPr>
          <w:rFonts w:ascii="黑体" w:hAnsi="黑体" w:eastAsia="黑体" w:cs="黑体"/>
          <w:sz w:val="36"/>
          <w:szCs w:val="36"/>
        </w:rPr>
      </w:pPr>
      <w:r>
        <w:rPr>
          <w:rFonts w:hint="eastAsia" w:ascii="黑体" w:hAnsi="黑体" w:eastAsia="黑体" w:cs="黑体"/>
          <w:sz w:val="36"/>
          <w:szCs w:val="36"/>
        </w:rPr>
        <w:t>其他资料</w:t>
      </w:r>
    </w:p>
    <w:p>
      <w:pPr>
        <w:pStyle w:val="16"/>
        <w:numPr>
          <w:ilvl w:val="0"/>
          <w:numId w:val="0"/>
        </w:numPr>
        <w:spacing w:line="360" w:lineRule="auto"/>
        <w:ind w:left="840"/>
        <w:jc w:val="both"/>
        <w:rPr>
          <w:rFonts w:ascii="黑体" w:hAnsi="黑体" w:eastAsia="黑体" w:cs="黑体"/>
          <w:sz w:val="36"/>
          <w:szCs w:val="36"/>
        </w:rPr>
      </w:pPr>
    </w:p>
    <w:p>
      <w:pPr>
        <w:pStyle w:val="16"/>
        <w:numPr>
          <w:ilvl w:val="0"/>
          <w:numId w:val="0"/>
        </w:numPr>
        <w:spacing w:line="360" w:lineRule="auto"/>
        <w:ind w:left="840"/>
        <w:jc w:val="both"/>
        <w:rPr>
          <w:rFonts w:ascii="黑体" w:hAnsi="黑体" w:eastAsia="黑体" w:cs="黑体"/>
          <w:sz w:val="36"/>
          <w:szCs w:val="36"/>
        </w:rPr>
      </w:pPr>
    </w:p>
    <w:p>
      <w:pPr>
        <w:pStyle w:val="16"/>
        <w:numPr>
          <w:ilvl w:val="0"/>
          <w:numId w:val="0"/>
        </w:numPr>
        <w:spacing w:line="360" w:lineRule="auto"/>
        <w:jc w:val="center"/>
        <w:rPr>
          <w:rFonts w:hAnsi="宋体" w:cs="宋体"/>
          <w:sz w:val="28"/>
          <w:szCs w:val="28"/>
        </w:rPr>
      </w:pPr>
      <w:r>
        <w:rPr>
          <w:rFonts w:hint="eastAsia" w:hAnsi="宋体" w:cs="宋体"/>
          <w:sz w:val="28"/>
          <w:szCs w:val="28"/>
        </w:rPr>
        <w:t>（供应商结合企业实际情况提供）</w:t>
      </w:r>
    </w:p>
    <w:p>
      <w:pPr>
        <w:pStyle w:val="16"/>
        <w:numPr>
          <w:ilvl w:val="0"/>
          <w:numId w:val="0"/>
        </w:numPr>
        <w:spacing w:line="360" w:lineRule="auto"/>
        <w:ind w:left="840"/>
        <w:jc w:val="both"/>
        <w:rPr>
          <w:rFonts w:ascii="黑体" w:hAnsi="黑体" w:eastAsia="黑体" w:cs="仿宋"/>
          <w:sz w:val="36"/>
          <w:szCs w:val="36"/>
          <w:lang w:val="zh-CN"/>
        </w:rPr>
      </w:pP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0002009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script"/>
    <w:pitch w:val="default"/>
    <w:sig w:usb0="00000001" w:usb1="080E0000" w:usb2="00000000" w:usb3="00000000" w:csb0="00040000" w:csb1="00000000"/>
  </w:font>
  <w:font w:name="??">
    <w:altName w:val="Calibri"/>
    <w:panose1 w:val="00000000000000000000"/>
    <w:charset w:val="00"/>
    <w:family w:val="auto"/>
    <w:pitch w:val="default"/>
    <w:sig w:usb0="00000000" w:usb1="00000000" w:usb2="00000000" w:usb3="00000000" w:csb0="00000001" w:csb1="00000000"/>
  </w:font>
  <w:font w:name="方正小标宋_GBK">
    <w:altName w:val="微软雅黑"/>
    <w:panose1 w:val="00000000000000000000"/>
    <w:charset w:val="86"/>
    <w:family w:val="script"/>
    <w:pitch w:val="default"/>
    <w:sig w:usb0="00000000" w:usb1="00000000"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joinstyle="miter"/>
          <v:imagedata o:title=""/>
          <o:lock v:ext="edit"/>
          <v:textbox inset="0mm,0mm,0mm,0mm" style="mso-fit-shape-to-text:t;">
            <w:txbxContent>
              <w:p>
                <w:pPr>
                  <w:pStyle w:val="9"/>
                </w:pPr>
                <w:r>
                  <w:fldChar w:fldCharType="begin"/>
                </w:r>
                <w:r>
                  <w:instrText xml:space="preserve"> PAGE  \* MERGEFORMAT </w:instrText>
                </w:r>
                <w:r>
                  <w:fldChar w:fldCharType="separate"/>
                </w:r>
                <w:r>
                  <w:t>55</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pPr>
      <w:r>
        <w:separator/>
      </w:r>
    </w:p>
  </w:footnote>
  <w:footnote w:type="continuationSeparator" w:id="5">
    <w:p>
      <w:pPr>
        <w:spacing w:line="240" w:lineRule="auto"/>
      </w:pPr>
      <w:r>
        <w:continuationSeparator/>
      </w:r>
    </w:p>
  </w:footnote>
  <w:footnote w:id="0">
    <w:p>
      <w:pPr>
        <w:pStyle w:val="12"/>
        <w:spacing w:line="280" w:lineRule="atLeast"/>
        <w:ind w:left="0" w:firstLine="0"/>
      </w:pPr>
    </w:p>
  </w:footnote>
  <w:footnote w:id="1">
    <w:p>
      <w:pPr>
        <w:pStyle w:val="12"/>
        <w:ind w:left="0" w:firstLine="0"/>
        <w:rPr>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multilevel"/>
    <w:tmpl w:val="00000011"/>
    <w:lvl w:ilvl="0" w:tentative="0">
      <w:start w:val="1"/>
      <w:numFmt w:val="decimal"/>
      <w:pStyle w:val="2"/>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03ECED67"/>
    <w:multiLevelType w:val="singleLevel"/>
    <w:tmpl w:val="03ECED67"/>
    <w:lvl w:ilvl="0" w:tentative="0">
      <w:start w:val="4"/>
      <w:numFmt w:val="decimal"/>
      <w:lvlText w:val="%1."/>
      <w:lvlJc w:val="left"/>
      <w:pPr>
        <w:tabs>
          <w:tab w:val="left" w:pos="312"/>
        </w:tabs>
      </w:pPr>
    </w:lvl>
  </w:abstractNum>
  <w:abstractNum w:abstractNumId="2">
    <w:nsid w:val="300A89A2"/>
    <w:multiLevelType w:val="singleLevel"/>
    <w:tmpl w:val="300A89A2"/>
    <w:lvl w:ilvl="0" w:tentative="0">
      <w:start w:val="6"/>
      <w:numFmt w:val="chineseCounting"/>
      <w:suff w:val="nothing"/>
      <w:lvlText w:val="%1、"/>
      <w:lvlJc w:val="left"/>
      <w:rPr>
        <w:rFonts w:hint="eastAsia"/>
      </w:rPr>
    </w:lvl>
  </w:abstractNum>
  <w:abstractNum w:abstractNumId="3">
    <w:nsid w:val="3601A173"/>
    <w:multiLevelType w:val="singleLevel"/>
    <w:tmpl w:val="3601A173"/>
    <w:lvl w:ilvl="0" w:tentative="0">
      <w:start w:val="1"/>
      <w:numFmt w:val="chineseCounting"/>
      <w:suff w:val="nothing"/>
      <w:lvlText w:val="%1、"/>
      <w:lvlJc w:val="left"/>
      <w:rPr>
        <w:rFonts w:hint="eastAsia"/>
      </w:rPr>
    </w:lvl>
  </w:abstractNum>
  <w:abstractNum w:abstractNumId="4">
    <w:nsid w:val="36583D00"/>
    <w:multiLevelType w:val="singleLevel"/>
    <w:tmpl w:val="36583D00"/>
    <w:lvl w:ilvl="0" w:tentative="0">
      <w:start w:val="5"/>
      <w:numFmt w:val="chineseCounting"/>
      <w:suff w:val="space"/>
      <w:lvlText w:val="第%1章"/>
      <w:lvlJc w:val="left"/>
      <w:rPr>
        <w:rFonts w:hint="eastAsia"/>
        <w:lang w:val="en-US"/>
      </w:rPr>
    </w:lvl>
  </w:abstractNum>
  <w:abstractNum w:abstractNumId="5">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trackedChanges" w:enforcement="0"/>
  <w:defaultTabStop w:val="420"/>
  <w:drawingGridVerticalSpacing w:val="156"/>
  <w:noPunctuationKerning w:val="1"/>
  <w:characterSpacingControl w:val="compressPunctuation"/>
  <w:hdrShapeDefaults>
    <o:shapelayout v:ext="edit">
      <o:idmap v:ext="edit" data="1"/>
    </o:shapelayout>
  </w:hdrShapeDefaults>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c3OTgzYWJlZTQ4OWUwNmU2NDgyNDg3ZTU4ZmE2OGEifQ=="/>
    <w:docVar w:name="KSO_WPS_MARK_KEY" w:val="5bbd6861-beef-49e1-97de-f4afa7d01bd4"/>
  </w:docVars>
  <w:rsids>
    <w:rsidRoot w:val="6B1F3BFC"/>
    <w:rsid w:val="0000084C"/>
    <w:rsid w:val="00045D2D"/>
    <w:rsid w:val="00074155"/>
    <w:rsid w:val="00093355"/>
    <w:rsid w:val="000E21E1"/>
    <w:rsid w:val="000E2FE9"/>
    <w:rsid w:val="00132FA1"/>
    <w:rsid w:val="001605F1"/>
    <w:rsid w:val="00200A87"/>
    <w:rsid w:val="002070A2"/>
    <w:rsid w:val="002165F4"/>
    <w:rsid w:val="00237D5B"/>
    <w:rsid w:val="002A7663"/>
    <w:rsid w:val="002C3625"/>
    <w:rsid w:val="002E4374"/>
    <w:rsid w:val="002F512D"/>
    <w:rsid w:val="00330AF0"/>
    <w:rsid w:val="00352305"/>
    <w:rsid w:val="00362728"/>
    <w:rsid w:val="00380873"/>
    <w:rsid w:val="00381DAA"/>
    <w:rsid w:val="003A67B2"/>
    <w:rsid w:val="003B4A69"/>
    <w:rsid w:val="003C36BA"/>
    <w:rsid w:val="004250F9"/>
    <w:rsid w:val="0043268F"/>
    <w:rsid w:val="00434054"/>
    <w:rsid w:val="004A0E64"/>
    <w:rsid w:val="00504045"/>
    <w:rsid w:val="00505D9E"/>
    <w:rsid w:val="00525748"/>
    <w:rsid w:val="00556060"/>
    <w:rsid w:val="005A79B3"/>
    <w:rsid w:val="005B29DD"/>
    <w:rsid w:val="00615E7B"/>
    <w:rsid w:val="00621728"/>
    <w:rsid w:val="00643036"/>
    <w:rsid w:val="0064572D"/>
    <w:rsid w:val="00691FEB"/>
    <w:rsid w:val="006C4A1B"/>
    <w:rsid w:val="00706942"/>
    <w:rsid w:val="00707CE5"/>
    <w:rsid w:val="00714613"/>
    <w:rsid w:val="0073317D"/>
    <w:rsid w:val="007A2400"/>
    <w:rsid w:val="007D32A1"/>
    <w:rsid w:val="008148FF"/>
    <w:rsid w:val="00831C1C"/>
    <w:rsid w:val="00845568"/>
    <w:rsid w:val="00871D8F"/>
    <w:rsid w:val="008808EB"/>
    <w:rsid w:val="00885C13"/>
    <w:rsid w:val="00892A30"/>
    <w:rsid w:val="00893FF0"/>
    <w:rsid w:val="00934A8F"/>
    <w:rsid w:val="0094382D"/>
    <w:rsid w:val="009746D2"/>
    <w:rsid w:val="00976DF8"/>
    <w:rsid w:val="009B183C"/>
    <w:rsid w:val="009E1ECF"/>
    <w:rsid w:val="00A155F7"/>
    <w:rsid w:val="00A4752B"/>
    <w:rsid w:val="00A871EB"/>
    <w:rsid w:val="00A9485D"/>
    <w:rsid w:val="00AF411E"/>
    <w:rsid w:val="00B04A9B"/>
    <w:rsid w:val="00B117E8"/>
    <w:rsid w:val="00B3242A"/>
    <w:rsid w:val="00B50536"/>
    <w:rsid w:val="00B65073"/>
    <w:rsid w:val="00B831ED"/>
    <w:rsid w:val="00B979ED"/>
    <w:rsid w:val="00C077C2"/>
    <w:rsid w:val="00C43599"/>
    <w:rsid w:val="00C64BAC"/>
    <w:rsid w:val="00C82AD4"/>
    <w:rsid w:val="00D41986"/>
    <w:rsid w:val="00D85DC7"/>
    <w:rsid w:val="00DA1A3B"/>
    <w:rsid w:val="00DB2398"/>
    <w:rsid w:val="00DD6B6F"/>
    <w:rsid w:val="00E920A7"/>
    <w:rsid w:val="00E921AC"/>
    <w:rsid w:val="00EB3670"/>
    <w:rsid w:val="00EB7950"/>
    <w:rsid w:val="00EC19D9"/>
    <w:rsid w:val="00ED58A9"/>
    <w:rsid w:val="00F14DB7"/>
    <w:rsid w:val="00F34008"/>
    <w:rsid w:val="00F41B2D"/>
    <w:rsid w:val="00F839EE"/>
    <w:rsid w:val="00F84D92"/>
    <w:rsid w:val="00FA0E8F"/>
    <w:rsid w:val="00FA61B8"/>
    <w:rsid w:val="00FF1316"/>
    <w:rsid w:val="020411DA"/>
    <w:rsid w:val="025C7716"/>
    <w:rsid w:val="05146D75"/>
    <w:rsid w:val="0559143D"/>
    <w:rsid w:val="06C64689"/>
    <w:rsid w:val="0817059F"/>
    <w:rsid w:val="09263EF3"/>
    <w:rsid w:val="096F6F2A"/>
    <w:rsid w:val="0A596B5B"/>
    <w:rsid w:val="0D40255D"/>
    <w:rsid w:val="0D5046F7"/>
    <w:rsid w:val="0DA23B5C"/>
    <w:rsid w:val="0EA813EF"/>
    <w:rsid w:val="101E71B8"/>
    <w:rsid w:val="10353944"/>
    <w:rsid w:val="104007F8"/>
    <w:rsid w:val="105877A0"/>
    <w:rsid w:val="107D459E"/>
    <w:rsid w:val="12D927D1"/>
    <w:rsid w:val="12EC7207"/>
    <w:rsid w:val="13365C72"/>
    <w:rsid w:val="147E0DA7"/>
    <w:rsid w:val="16B84A69"/>
    <w:rsid w:val="17CF330A"/>
    <w:rsid w:val="18027BF4"/>
    <w:rsid w:val="186D6D90"/>
    <w:rsid w:val="18D32045"/>
    <w:rsid w:val="19FD11F2"/>
    <w:rsid w:val="1B7D4040"/>
    <w:rsid w:val="1CDA5F8A"/>
    <w:rsid w:val="1D676E30"/>
    <w:rsid w:val="1E9C7A55"/>
    <w:rsid w:val="1FA03001"/>
    <w:rsid w:val="20992202"/>
    <w:rsid w:val="20FC2B5E"/>
    <w:rsid w:val="21551AAA"/>
    <w:rsid w:val="21B14A12"/>
    <w:rsid w:val="23311B9A"/>
    <w:rsid w:val="23BF0F9F"/>
    <w:rsid w:val="23C9146A"/>
    <w:rsid w:val="24DE44D8"/>
    <w:rsid w:val="253E3D48"/>
    <w:rsid w:val="270900D9"/>
    <w:rsid w:val="270A6008"/>
    <w:rsid w:val="2859068C"/>
    <w:rsid w:val="2AB47A28"/>
    <w:rsid w:val="2C6A7DD5"/>
    <w:rsid w:val="2CA8442E"/>
    <w:rsid w:val="2CCE400E"/>
    <w:rsid w:val="2D5D35C4"/>
    <w:rsid w:val="2E3C3753"/>
    <w:rsid w:val="2F411A82"/>
    <w:rsid w:val="300813F3"/>
    <w:rsid w:val="30832B70"/>
    <w:rsid w:val="30BA4655"/>
    <w:rsid w:val="30FE1004"/>
    <w:rsid w:val="3107065A"/>
    <w:rsid w:val="32B26089"/>
    <w:rsid w:val="347A250E"/>
    <w:rsid w:val="34914DA6"/>
    <w:rsid w:val="34FE0AEE"/>
    <w:rsid w:val="35D64A66"/>
    <w:rsid w:val="35F871DF"/>
    <w:rsid w:val="37811BEE"/>
    <w:rsid w:val="378510A5"/>
    <w:rsid w:val="38122438"/>
    <w:rsid w:val="385801FE"/>
    <w:rsid w:val="38665021"/>
    <w:rsid w:val="38CC7D23"/>
    <w:rsid w:val="3A073842"/>
    <w:rsid w:val="3BF633D1"/>
    <w:rsid w:val="3C8A369E"/>
    <w:rsid w:val="3D5546D1"/>
    <w:rsid w:val="3E600F80"/>
    <w:rsid w:val="3F0C45B1"/>
    <w:rsid w:val="3F9A57D2"/>
    <w:rsid w:val="40135D43"/>
    <w:rsid w:val="40215770"/>
    <w:rsid w:val="40F328B0"/>
    <w:rsid w:val="41033D52"/>
    <w:rsid w:val="41567BB7"/>
    <w:rsid w:val="42FC5917"/>
    <w:rsid w:val="43501A78"/>
    <w:rsid w:val="43A01B1B"/>
    <w:rsid w:val="44462187"/>
    <w:rsid w:val="454F4524"/>
    <w:rsid w:val="464722B0"/>
    <w:rsid w:val="46E07E7B"/>
    <w:rsid w:val="49C815CF"/>
    <w:rsid w:val="4A1314DA"/>
    <w:rsid w:val="4A1A5E18"/>
    <w:rsid w:val="4B727641"/>
    <w:rsid w:val="4CC255DD"/>
    <w:rsid w:val="4D064117"/>
    <w:rsid w:val="4E0D3669"/>
    <w:rsid w:val="4EA24A37"/>
    <w:rsid w:val="4F014568"/>
    <w:rsid w:val="4F0F38FE"/>
    <w:rsid w:val="500F671C"/>
    <w:rsid w:val="5038161B"/>
    <w:rsid w:val="515C59E4"/>
    <w:rsid w:val="51DF50CB"/>
    <w:rsid w:val="52984B42"/>
    <w:rsid w:val="54631631"/>
    <w:rsid w:val="55336660"/>
    <w:rsid w:val="55AC51D4"/>
    <w:rsid w:val="59326AFB"/>
    <w:rsid w:val="5A805ADD"/>
    <w:rsid w:val="5AA53FED"/>
    <w:rsid w:val="5B136654"/>
    <w:rsid w:val="5B294816"/>
    <w:rsid w:val="5B573449"/>
    <w:rsid w:val="5BA423C0"/>
    <w:rsid w:val="5E14397E"/>
    <w:rsid w:val="5E502386"/>
    <w:rsid w:val="5E5932A6"/>
    <w:rsid w:val="5EAD43BF"/>
    <w:rsid w:val="5F73593B"/>
    <w:rsid w:val="5FA70B09"/>
    <w:rsid w:val="5FEA694B"/>
    <w:rsid w:val="607466A0"/>
    <w:rsid w:val="60785A18"/>
    <w:rsid w:val="60B96D9C"/>
    <w:rsid w:val="60E54D47"/>
    <w:rsid w:val="61400757"/>
    <w:rsid w:val="61E873BF"/>
    <w:rsid w:val="623B7BE4"/>
    <w:rsid w:val="63201FCA"/>
    <w:rsid w:val="642E689C"/>
    <w:rsid w:val="651D5826"/>
    <w:rsid w:val="66CB3C42"/>
    <w:rsid w:val="67287FDF"/>
    <w:rsid w:val="676B7FCA"/>
    <w:rsid w:val="697769D4"/>
    <w:rsid w:val="6A8B1010"/>
    <w:rsid w:val="6ADA35A3"/>
    <w:rsid w:val="6B1F3BFC"/>
    <w:rsid w:val="6C9A54AD"/>
    <w:rsid w:val="6DA00A50"/>
    <w:rsid w:val="6DC54D99"/>
    <w:rsid w:val="6FC211D5"/>
    <w:rsid w:val="709C5869"/>
    <w:rsid w:val="70C6205C"/>
    <w:rsid w:val="72512E4E"/>
    <w:rsid w:val="72976EE5"/>
    <w:rsid w:val="748B2D30"/>
    <w:rsid w:val="771A66ED"/>
    <w:rsid w:val="78D4504A"/>
    <w:rsid w:val="793D50B0"/>
    <w:rsid w:val="7ABE7682"/>
    <w:rsid w:val="7AE901D9"/>
    <w:rsid w:val="7B793E4D"/>
    <w:rsid w:val="7C5D0F8B"/>
    <w:rsid w:val="7CA1074A"/>
    <w:rsid w:val="7DA43CC8"/>
    <w:rsid w:val="7E7318ED"/>
    <w:rsid w:val="7EDE2DE8"/>
    <w:rsid w:val="7F6061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0"/>
    <w:autoRedefine/>
    <w:unhideWhenUsed/>
    <w:qFormat/>
    <w:uiPriority w:val="0"/>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6">
    <w:name w:val="heading 4"/>
    <w:basedOn w:val="1"/>
    <w:next w:val="1"/>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numPr>
        <w:ilvl w:val="0"/>
        <w:numId w:val="1"/>
      </w:numPr>
      <w:spacing w:after="120"/>
      <w:ind w:left="0" w:firstLine="0"/>
    </w:pPr>
  </w:style>
  <w:style w:type="paragraph" w:customStyle="1" w:styleId="3">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7">
    <w:name w:val="Body Text Indent"/>
    <w:basedOn w:val="1"/>
    <w:autoRedefine/>
    <w:qFormat/>
    <w:uiPriority w:val="0"/>
    <w:pPr>
      <w:widowControl w:val="0"/>
      <w:spacing w:after="120" w:line="240" w:lineRule="auto"/>
      <w:ind w:left="420" w:leftChars="200"/>
      <w:jc w:val="both"/>
    </w:pPr>
  </w:style>
  <w:style w:type="paragraph" w:styleId="8">
    <w:name w:val="Balloon Text"/>
    <w:basedOn w:val="1"/>
    <w:link w:val="29"/>
    <w:uiPriority w:val="0"/>
    <w:pPr>
      <w:spacing w:line="240" w:lineRule="auto"/>
    </w:pPr>
    <w:rPr>
      <w:sz w:val="18"/>
      <w:szCs w:val="18"/>
    </w:rPr>
  </w:style>
  <w:style w:type="paragraph" w:styleId="9">
    <w:name w:val="footer"/>
    <w:basedOn w:val="1"/>
    <w:unhideWhenUsed/>
    <w:qFormat/>
    <w:uiPriority w:val="99"/>
    <w:pPr>
      <w:tabs>
        <w:tab w:val="center" w:pos="4153"/>
        <w:tab w:val="right" w:pos="8306"/>
      </w:tabs>
      <w:snapToGrid w:val="0"/>
    </w:pPr>
    <w:rPr>
      <w:sz w:val="18"/>
      <w:szCs w:val="18"/>
    </w:rPr>
  </w:style>
  <w:style w:type="paragraph" w:styleId="10">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pPr>
      <w:tabs>
        <w:tab w:val="right" w:leader="dot" w:pos="9242"/>
      </w:tabs>
      <w:spacing w:beforeLines="25" w:afterLines="25"/>
    </w:pPr>
    <w:rPr>
      <w:rFonts w:ascii="宋体"/>
      <w:szCs w:val="21"/>
    </w:rPr>
  </w:style>
  <w:style w:type="paragraph" w:styleId="12">
    <w:name w:val="footnote text"/>
    <w:basedOn w:val="1"/>
    <w:qFormat/>
    <w:uiPriority w:val="0"/>
    <w:pPr>
      <w:tabs>
        <w:tab w:val="left" w:pos="0"/>
      </w:tabs>
      <w:snapToGrid w:val="0"/>
      <w:ind w:left="720" w:hanging="357"/>
    </w:pPr>
    <w:rPr>
      <w:rFonts w:ascii="宋体" w:hAnsiTheme="minorHAnsi" w:eastAsiaTheme="minorEastAsia" w:cstheme="minorBidi"/>
      <w:sz w:val="18"/>
      <w:szCs w:val="18"/>
    </w:rPr>
  </w:style>
  <w:style w:type="paragraph" w:styleId="13">
    <w:name w:val="Body Text Indent 3"/>
    <w:basedOn w:val="1"/>
    <w:link w:val="31"/>
    <w:qFormat/>
    <w:uiPriority w:val="0"/>
    <w:pPr>
      <w:spacing w:after="120"/>
      <w:ind w:left="420" w:leftChars="200"/>
    </w:pPr>
    <w:rPr>
      <w:sz w:val="16"/>
      <w:szCs w:val="16"/>
    </w:rPr>
  </w:style>
  <w:style w:type="paragraph" w:styleId="14">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15">
    <w:name w:val="Normal (Web)"/>
    <w:basedOn w:val="1"/>
    <w:unhideWhenUsed/>
    <w:qFormat/>
    <w:uiPriority w:val="99"/>
    <w:pPr>
      <w:spacing w:before="100" w:beforeAutospacing="1" w:after="100" w:afterAutospacing="1"/>
    </w:pPr>
    <w:rPr>
      <w:rFonts w:ascii="宋体" w:hAnsi="宋体" w:cs="宋体"/>
      <w:kern w:val="0"/>
      <w:sz w:val="24"/>
    </w:rPr>
  </w:style>
  <w:style w:type="paragraph" w:styleId="16">
    <w:name w:val="Body Text First Indent"/>
    <w:basedOn w:val="2"/>
    <w:qFormat/>
    <w:uiPriority w:val="0"/>
    <w:pPr>
      <w:autoSpaceDE w:val="0"/>
      <w:autoSpaceDN w:val="0"/>
      <w:adjustRightInd w:val="0"/>
      <w:ind w:firstLine="420"/>
      <w:textAlignment w:val="baseline"/>
    </w:pPr>
    <w:rPr>
      <w:rFonts w:ascii="宋体"/>
      <w:sz w:val="34"/>
    </w:rPr>
  </w:style>
  <w:style w:type="table" w:styleId="18">
    <w:name w:val="Table Grid"/>
    <w:basedOn w:val="1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22"/>
    <w:rPr>
      <w:b/>
      <w:bCs/>
    </w:rPr>
  </w:style>
  <w:style w:type="character" w:styleId="21">
    <w:name w:val="Hyperlink"/>
    <w:qFormat/>
    <w:uiPriority w:val="99"/>
    <w:rPr>
      <w:color w:val="0000FF"/>
      <w:spacing w:val="0"/>
      <w:w w:val="100"/>
      <w:szCs w:val="21"/>
      <w:u w:val="single"/>
      <w:lang w:val="en-US" w:eastAsia="zh-CN"/>
    </w:rPr>
  </w:style>
  <w:style w:type="character" w:styleId="22">
    <w:name w:val="footnote reference"/>
    <w:qFormat/>
    <w:uiPriority w:val="0"/>
    <w:rPr>
      <w:vertAlign w:val="superscript"/>
    </w:rPr>
  </w:style>
  <w:style w:type="paragraph" w:customStyle="1" w:styleId="23">
    <w:name w:val="_Style 2"/>
    <w:basedOn w:val="4"/>
    <w:next w:val="1"/>
    <w:qFormat/>
    <w:uiPriority w:val="0"/>
    <w:pPr>
      <w:spacing w:before="480" w:after="0" w:line="276" w:lineRule="auto"/>
      <w:outlineLvl w:val="9"/>
    </w:pPr>
    <w:rPr>
      <w:rFonts w:ascii="Cambria" w:hAnsi="Cambria"/>
      <w:color w:val="365F91"/>
      <w:kern w:val="0"/>
      <w:sz w:val="28"/>
      <w:szCs w:val="28"/>
    </w:rPr>
  </w:style>
  <w:style w:type="paragraph" w:styleId="24">
    <w:name w:val="List Paragraph"/>
    <w:basedOn w:val="1"/>
    <w:qFormat/>
    <w:uiPriority w:val="34"/>
    <w:pPr>
      <w:ind w:firstLine="420" w:firstLineChars="200"/>
    </w:pPr>
    <w:rPr>
      <w:rFonts w:ascii="宋体" w:hAnsi="宋体" w:cs="宋体"/>
      <w:kern w:val="0"/>
      <w:sz w:val="24"/>
    </w:rPr>
  </w:style>
  <w:style w:type="paragraph" w:customStyle="1" w:styleId="25">
    <w:name w:val="一级条标题"/>
    <w:next w:val="26"/>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paragraph" w:customStyle="1" w:styleId="26">
    <w:name w:val="段"/>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2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8">
    <w:name w:val="WPSOffice手动目录 1"/>
    <w:qFormat/>
    <w:uiPriority w:val="0"/>
    <w:rPr>
      <w:rFonts w:ascii="Times New Roman" w:hAnsi="Times New Roman" w:eastAsia="宋体" w:cs="Times New Roman"/>
      <w:lang w:val="en-US" w:eastAsia="zh-CN" w:bidi="ar-SA"/>
    </w:rPr>
  </w:style>
  <w:style w:type="character" w:customStyle="1" w:styleId="29">
    <w:name w:val="批注框文本 Char"/>
    <w:basedOn w:val="19"/>
    <w:link w:val="8"/>
    <w:qFormat/>
    <w:uiPriority w:val="0"/>
    <w:rPr>
      <w:kern w:val="2"/>
      <w:sz w:val="18"/>
      <w:szCs w:val="18"/>
    </w:rPr>
  </w:style>
  <w:style w:type="character" w:customStyle="1" w:styleId="30">
    <w:name w:val="标题 2 Char"/>
    <w:basedOn w:val="19"/>
    <w:link w:val="5"/>
    <w:qFormat/>
    <w:uiPriority w:val="0"/>
    <w:rPr>
      <w:rFonts w:asciiTheme="majorHAnsi" w:hAnsiTheme="majorHAnsi" w:eastAsiaTheme="majorEastAsia" w:cstheme="majorBidi"/>
      <w:b/>
      <w:bCs/>
      <w:kern w:val="2"/>
      <w:sz w:val="32"/>
      <w:szCs w:val="32"/>
    </w:rPr>
  </w:style>
  <w:style w:type="character" w:customStyle="1" w:styleId="31">
    <w:name w:val="正文文本缩进 3 Char"/>
    <w:basedOn w:val="19"/>
    <w:link w:val="13"/>
    <w:qFormat/>
    <w:uiPriority w:val="0"/>
    <w:rPr>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3533</Words>
  <Characters>20139</Characters>
  <Lines>167</Lines>
  <Paragraphs>47</Paragraphs>
  <TotalTime>83</TotalTime>
  <ScaleCrop>false</ScaleCrop>
  <LinksUpToDate>false</LinksUpToDate>
  <CharactersWithSpaces>23625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2021-09-16T06:44:00Z</dcterms:created>
  <dc:creator>LILY</dc:creator>
  <cp:lastModifiedBy>咸鱼</cp:lastModifiedBy>
  <cp:lastPrinted>2024-04-09T08:54:00Z</cp:lastPrinted>
  <dcterms:modified xsi:type="dcterms:W3CDTF">2024-04-18T03:30:18Z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A285184A9B3643789159571C35592DFF_13</vt:lpwstr>
  </property>
</Properties>
</file>