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城港公司2#装车机大车轨道提质改造项目</w:t>
      </w:r>
      <w:r>
        <w:rPr>
          <w:rFonts w:hint="eastAsia" w:ascii="黑体" w:hAnsi="黑体" w:eastAsia="黑体" w:cs="黑体"/>
          <w:b/>
          <w:bCs/>
          <w:sz w:val="44"/>
          <w:szCs w:val="44"/>
        </w:rPr>
        <w:t>施工</w:t>
      </w:r>
      <w:r>
        <w:rPr>
          <w:rFonts w:hint="eastAsia" w:ascii="黑体" w:hAnsi="黑体" w:eastAsia="黑体" w:cs="黑体"/>
          <w:b/>
          <w:bCs/>
          <w:sz w:val="44"/>
          <w:szCs w:val="44"/>
          <w:lang w:val="en-US" w:eastAsia="zh-CN"/>
        </w:rPr>
        <w:t>劳务</w:t>
      </w:r>
    </w:p>
    <w:p>
      <w:pPr>
        <w:snapToGrid w:val="0"/>
        <w:spacing w:line="900" w:lineRule="exact"/>
        <w:jc w:val="center"/>
        <w:rPr>
          <w:rFonts w:hint="eastAsia" w:ascii="黑体" w:hAnsi="黑体" w:eastAsia="黑体" w:cs="黑体"/>
          <w:b/>
          <w:bCs/>
          <w:sz w:val="44"/>
          <w:szCs w:val="44"/>
        </w:rPr>
      </w:pPr>
      <w:r>
        <w:rPr>
          <w:rFonts w:hint="eastAsia" w:ascii="黑体" w:hAnsi="黑体" w:eastAsia="黑体" w:cs="黑体"/>
          <w:b/>
          <w:bCs/>
          <w:sz w:val="44"/>
          <w:szCs w:val="44"/>
        </w:rPr>
        <w:t>询 价 采 购 文 件</w:t>
      </w:r>
    </w:p>
    <w:p>
      <w:pPr>
        <w:pStyle w:val="14"/>
        <w:rPr>
          <w:sz w:val="36"/>
          <w:szCs w:val="36"/>
        </w:rPr>
      </w:pPr>
    </w:p>
    <w:p>
      <w:pPr>
        <w:jc w:val="center"/>
        <w:rPr>
          <w:rFonts w:ascii="宋体" w:hAnsi="宋体" w:cs="宋体"/>
          <w:b/>
          <w:color w:val="000000"/>
          <w:kern w:val="0"/>
          <w:sz w:val="28"/>
          <w:szCs w:val="28"/>
        </w:rPr>
      </w:pPr>
    </w:p>
    <w:p>
      <w:pPr>
        <w:snapToGrid w:val="0"/>
        <w:spacing w:line="480" w:lineRule="auto"/>
        <w:jc w:val="center"/>
        <w:rPr>
          <w:rFonts w:ascii="黑体" w:hAnsi="黑体" w:eastAsia="黑体" w:cs="黑体"/>
          <w:b/>
          <w:bCs/>
          <w:sz w:val="30"/>
          <w:szCs w:val="30"/>
        </w:rPr>
      </w:pPr>
      <w:r>
        <w:rPr>
          <w:rFonts w:hint="eastAsia" w:ascii="黑体" w:hAnsi="黑体" w:eastAsia="黑体" w:cs="黑体"/>
          <w:b/>
          <w:bCs/>
          <w:sz w:val="30"/>
          <w:szCs w:val="30"/>
        </w:rPr>
        <w:t>采购编号：省港</w:t>
      </w:r>
      <w:r>
        <w:rPr>
          <w:rFonts w:hint="eastAsia" w:ascii="黑体" w:hAnsi="黑体" w:eastAsia="黑体" w:cs="黑体"/>
          <w:b/>
          <w:bCs/>
          <w:sz w:val="30"/>
          <w:szCs w:val="30"/>
          <w:lang w:val="en-US" w:eastAsia="zh-CN"/>
        </w:rPr>
        <w:t>服</w:t>
      </w:r>
      <w:r>
        <w:rPr>
          <w:rFonts w:hint="eastAsia" w:ascii="黑体" w:hAnsi="黑体" w:eastAsia="黑体" w:cs="黑体"/>
          <w:b/>
          <w:bCs/>
          <w:sz w:val="30"/>
          <w:szCs w:val="30"/>
        </w:rPr>
        <w:t>（202</w:t>
      </w:r>
      <w:r>
        <w:rPr>
          <w:rFonts w:hint="eastAsia" w:ascii="黑体" w:hAnsi="黑体" w:eastAsia="黑体" w:cs="黑体"/>
          <w:b/>
          <w:bCs/>
          <w:sz w:val="30"/>
          <w:szCs w:val="30"/>
          <w:lang w:val="en-US" w:eastAsia="zh-CN"/>
        </w:rPr>
        <w:t>4</w:t>
      </w:r>
      <w:r>
        <w:rPr>
          <w:rFonts w:hint="eastAsia" w:ascii="黑体" w:hAnsi="黑体" w:eastAsia="黑体" w:cs="黑体"/>
          <w:b/>
          <w:bCs/>
          <w:sz w:val="30"/>
          <w:szCs w:val="30"/>
        </w:rPr>
        <w:t>）年询第</w:t>
      </w:r>
      <w:r>
        <w:rPr>
          <w:rFonts w:hint="eastAsia" w:ascii="黑体" w:hAnsi="黑体" w:eastAsia="黑体" w:cs="黑体"/>
          <w:b/>
          <w:bCs/>
          <w:sz w:val="30"/>
          <w:szCs w:val="30"/>
          <w:lang w:val="en-US" w:eastAsia="zh-CN"/>
        </w:rPr>
        <w:t xml:space="preserve">  </w:t>
      </w:r>
      <w:r>
        <w:rPr>
          <w:rFonts w:hint="eastAsia" w:ascii="黑体" w:hAnsi="黑体" w:eastAsia="黑体" w:cs="黑体"/>
          <w:b/>
          <w:bCs/>
          <w:sz w:val="30"/>
          <w:szCs w:val="30"/>
        </w:rPr>
        <w:t>号【港产】</w:t>
      </w:r>
    </w:p>
    <w:p>
      <w:pPr>
        <w:spacing w:line="600" w:lineRule="exact"/>
      </w:pPr>
    </w:p>
    <w:p>
      <w:pPr>
        <w:spacing w:line="600" w:lineRule="exact"/>
      </w:pPr>
    </w:p>
    <w:p>
      <w:pPr>
        <w:spacing w:line="600" w:lineRule="exact"/>
      </w:pPr>
    </w:p>
    <w:p>
      <w:pPr>
        <w:pStyle w:val="15"/>
      </w:pPr>
    </w:p>
    <w:p>
      <w:pPr>
        <w:pStyle w:val="15"/>
      </w:pPr>
    </w:p>
    <w:p>
      <w:pPr>
        <w:pStyle w:val="15"/>
      </w:pPr>
    </w:p>
    <w:p>
      <w:pPr>
        <w:pStyle w:val="15"/>
      </w:pPr>
    </w:p>
    <w:p>
      <w:pPr>
        <w:pStyle w:val="15"/>
      </w:pPr>
    </w:p>
    <w:p>
      <w:pPr>
        <w:pStyle w:val="15"/>
      </w:pPr>
    </w:p>
    <w:p>
      <w:pPr>
        <w:pStyle w:val="15"/>
      </w:pPr>
    </w:p>
    <w:p>
      <w:pPr>
        <w:pStyle w:val="15"/>
        <w:ind w:left="0" w:firstLine="0"/>
      </w:pPr>
    </w:p>
    <w:p>
      <w:pPr>
        <w:pStyle w:val="15"/>
      </w:pPr>
    </w:p>
    <w:p>
      <w:pPr>
        <w:pStyle w:val="15"/>
      </w:pPr>
    </w:p>
    <w:p>
      <w:pPr>
        <w:pStyle w:val="15"/>
      </w:pPr>
    </w:p>
    <w:p>
      <w:pPr>
        <w:pStyle w:val="15"/>
      </w:pPr>
    </w:p>
    <w:p>
      <w:pPr>
        <w:spacing w:line="600" w:lineRule="exact"/>
      </w:pP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rPr>
        <w:t>湖南港产科技有限公司</w:t>
      </w: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rPr>
        <w:t>二О二</w:t>
      </w:r>
      <w:r>
        <w:rPr>
          <w:rFonts w:hint="eastAsia" w:ascii="黑体" w:hAnsi="黑体" w:eastAsia="黑体"/>
          <w:bCs/>
          <w:sz w:val="48"/>
          <w:szCs w:val="48"/>
          <w:lang w:val="en-US" w:eastAsia="zh-CN"/>
        </w:rPr>
        <w:t>四</w:t>
      </w:r>
      <w:r>
        <w:rPr>
          <w:rFonts w:hint="eastAsia" w:ascii="黑体" w:hAnsi="黑体" w:eastAsia="黑体"/>
          <w:bCs/>
          <w:sz w:val="48"/>
          <w:szCs w:val="48"/>
        </w:rPr>
        <w:t>年</w:t>
      </w:r>
      <w:r>
        <w:rPr>
          <w:rFonts w:hint="eastAsia" w:ascii="黑体" w:hAnsi="黑体" w:eastAsia="黑体"/>
          <w:bCs/>
          <w:sz w:val="48"/>
          <w:szCs w:val="48"/>
          <w:lang w:val="en-US" w:eastAsia="zh-CN"/>
        </w:rPr>
        <w:t>四</w:t>
      </w:r>
      <w:r>
        <w:rPr>
          <w:rFonts w:hint="eastAsia" w:ascii="黑体" w:hAnsi="黑体" w:eastAsia="黑体"/>
          <w:bCs/>
          <w:sz w:val="48"/>
          <w:szCs w:val="48"/>
        </w:rPr>
        <w:t>月</w:t>
      </w:r>
    </w:p>
    <w:p>
      <w:pPr>
        <w:rPr>
          <w:rFonts w:ascii="黑体" w:hAnsi="黑体" w:eastAsia="黑体"/>
          <w:b w:val="0"/>
          <w:color w:val="auto"/>
          <w:sz w:val="44"/>
          <w:szCs w:val="44"/>
          <w:lang w:val="zh-CN"/>
        </w:rPr>
      </w:pPr>
      <w:r>
        <w:rPr>
          <w:rFonts w:ascii="黑体" w:hAnsi="黑体" w:eastAsia="黑体"/>
          <w:b w:val="0"/>
          <w:color w:val="auto"/>
          <w:sz w:val="44"/>
          <w:szCs w:val="44"/>
          <w:lang w:val="zh-CN"/>
        </w:rPr>
        <w:br w:type="page"/>
      </w:r>
    </w:p>
    <w:p>
      <w:pPr>
        <w:rPr>
          <w:lang w:val="zh-CN"/>
        </w:rPr>
      </w:pPr>
    </w:p>
    <w:sdt>
      <w:sdtPr>
        <w:rPr>
          <w:rFonts w:ascii="宋体" w:hAnsi="宋体"/>
        </w:rPr>
        <w:id w:val="147480426"/>
        <w15:color w:val="DBDBDB"/>
        <w:docPartObj>
          <w:docPartGallery w:val="Table of Contents"/>
          <w:docPartUnique/>
        </w:docPartObj>
      </w:sdtPr>
      <w:sdtEndPr>
        <w:rPr>
          <w:rFonts w:ascii="宋体" w:hAnsi="宋体"/>
          <w:sz w:val="30"/>
          <w:szCs w:val="30"/>
        </w:rPr>
      </w:sdtEndPr>
      <w:sdtContent>
        <w:p>
          <w:pPr>
            <w:spacing w:line="240" w:lineRule="auto"/>
            <w:jc w:val="center"/>
            <w:rPr>
              <w:rFonts w:ascii="黑体" w:hAnsi="黑体" w:eastAsia="黑体" w:cs="黑体"/>
              <w:sz w:val="44"/>
              <w:szCs w:val="44"/>
            </w:rPr>
          </w:pPr>
          <w:r>
            <w:rPr>
              <w:rFonts w:hint="eastAsia" w:ascii="黑体" w:hAnsi="黑体" w:eastAsia="黑体" w:cs="黑体"/>
              <w:sz w:val="44"/>
              <w:szCs w:val="44"/>
            </w:rPr>
            <w:t>目  录</w:t>
          </w:r>
        </w:p>
        <w:p>
          <w:pPr>
            <w:pStyle w:val="22"/>
            <w:tabs>
              <w:tab w:val="right" w:leader="dot" w:pos="8300"/>
            </w:tabs>
            <w:rPr>
              <w:rFonts w:ascii="黑体" w:hAnsi="黑体" w:eastAsia="黑体" w:cs="黑体"/>
              <w:sz w:val="24"/>
              <w:szCs w:val="24"/>
              <w:lang w:val="zh-CN"/>
            </w:rPr>
          </w:pPr>
        </w:p>
        <w:p>
          <w:pPr>
            <w:pStyle w:val="22"/>
            <w:tabs>
              <w:tab w:val="right" w:leader="dot" w:pos="8300"/>
            </w:tabs>
            <w:rPr>
              <w:rFonts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TOC \o "1-1" \h \u </w:instrText>
          </w:r>
          <w:r>
            <w:rPr>
              <w:rFonts w:hint="eastAsia" w:ascii="黑体" w:hAnsi="黑体" w:eastAsia="黑体" w:cs="黑体"/>
              <w:sz w:val="30"/>
              <w:szCs w:val="30"/>
              <w:lang w:val="zh-CN"/>
            </w:rPr>
            <w:fldChar w:fldCharType="separate"/>
          </w:r>
          <w:r>
            <w:fldChar w:fldCharType="begin"/>
          </w:r>
          <w:r>
            <w:instrText xml:space="preserve"> HYPERLINK \l "_Toc28648" </w:instrText>
          </w:r>
          <w:r>
            <w:fldChar w:fldCharType="separate"/>
          </w:r>
          <w:r>
            <w:rPr>
              <w:rFonts w:hint="eastAsia" w:ascii="黑体" w:hAnsi="黑体" w:eastAsia="黑体" w:cs="黑体"/>
              <w:sz w:val="30"/>
              <w:szCs w:val="30"/>
            </w:rPr>
            <w:t>第一章 采购公告</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_Toc28648 \h </w:instrText>
          </w:r>
          <w:r>
            <w:rPr>
              <w:rFonts w:hint="eastAsia" w:ascii="黑体" w:hAnsi="黑体" w:eastAsia="黑体" w:cs="黑体"/>
              <w:sz w:val="30"/>
              <w:szCs w:val="30"/>
            </w:rPr>
            <w:fldChar w:fldCharType="separate"/>
          </w:r>
          <w:r>
            <w:rPr>
              <w:rFonts w:hint="eastAsia" w:ascii="黑体" w:hAnsi="黑体" w:eastAsia="黑体" w:cs="黑体"/>
              <w:sz w:val="30"/>
              <w:szCs w:val="30"/>
            </w:rPr>
            <w:t>3</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"_Toc13560" </w:instrText>
          </w:r>
          <w:r>
            <w:fldChar w:fldCharType="separate"/>
          </w:r>
          <w:r>
            <w:rPr>
              <w:rFonts w:hint="eastAsia" w:ascii="黑体" w:hAnsi="黑体" w:eastAsia="黑体" w:cs="黑体"/>
              <w:sz w:val="30"/>
              <w:szCs w:val="30"/>
            </w:rPr>
            <w:t>第二章 供应商须知</w:t>
          </w:r>
          <w:r>
            <w:rPr>
              <w:rFonts w:hint="eastAsia" w:ascii="黑体" w:hAnsi="黑体" w:eastAsia="黑体" w:cs="黑体"/>
              <w:sz w:val="30"/>
              <w:szCs w:val="30"/>
            </w:rPr>
            <w:tab/>
          </w:r>
          <w:r>
            <w:rPr>
              <w:rFonts w:hint="eastAsia" w:ascii="黑体" w:hAnsi="黑体" w:eastAsia="黑体" w:cs="黑体"/>
              <w:sz w:val="30"/>
              <w:szCs w:val="30"/>
              <w:lang w:val="en-US" w:eastAsia="zh-CN"/>
            </w:rPr>
            <w:t>9</w:t>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"_Toc27443" </w:instrText>
          </w:r>
          <w:r>
            <w:fldChar w:fldCharType="separate"/>
          </w:r>
          <w:r>
            <w:rPr>
              <w:rFonts w:hint="eastAsia" w:ascii="黑体" w:hAnsi="黑体" w:eastAsia="黑体" w:cs="黑体"/>
              <w:bCs/>
              <w:sz w:val="30"/>
              <w:szCs w:val="30"/>
            </w:rPr>
            <w:t>第三章 评审办法</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_Toc27443 \h </w:instrText>
          </w:r>
          <w:r>
            <w:rPr>
              <w:rFonts w:hint="eastAsia" w:ascii="黑体" w:hAnsi="黑体" w:eastAsia="黑体" w:cs="黑体"/>
              <w:sz w:val="30"/>
              <w:szCs w:val="30"/>
            </w:rPr>
            <w:fldChar w:fldCharType="separate"/>
          </w:r>
          <w:r>
            <w:rPr>
              <w:rFonts w:hint="eastAsia" w:ascii="黑体" w:hAnsi="黑体" w:eastAsia="黑体" w:cs="黑体"/>
              <w:sz w:val="30"/>
              <w:szCs w:val="30"/>
            </w:rPr>
            <w:t>2</w:t>
          </w:r>
          <w:r>
            <w:rPr>
              <w:rFonts w:hint="eastAsia" w:ascii="黑体" w:hAnsi="黑体" w:eastAsia="黑体" w:cs="黑体"/>
              <w:sz w:val="30"/>
              <w:szCs w:val="30"/>
              <w:lang w:val="en-US" w:eastAsia="zh-CN"/>
            </w:rPr>
            <w:t>6</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"_Toc9628" </w:instrText>
          </w:r>
          <w:r>
            <w:fldChar w:fldCharType="separate"/>
          </w:r>
          <w:r>
            <w:rPr>
              <w:rFonts w:hint="eastAsia" w:ascii="黑体" w:hAnsi="黑体" w:eastAsia="黑体" w:cs="黑体"/>
              <w:sz w:val="30"/>
              <w:szCs w:val="30"/>
            </w:rPr>
            <w:t>第四章 合同条款及格式</w:t>
          </w:r>
          <w:r>
            <w:rPr>
              <w:rFonts w:hint="eastAsia" w:ascii="黑体" w:hAnsi="黑体" w:eastAsia="黑体" w:cs="黑体"/>
              <w:sz w:val="30"/>
              <w:szCs w:val="30"/>
            </w:rPr>
            <w:tab/>
          </w:r>
          <w:r>
            <w:rPr>
              <w:rFonts w:hint="eastAsia" w:ascii="黑体" w:hAnsi="黑体" w:eastAsia="黑体" w:cs="黑体"/>
              <w:sz w:val="30"/>
              <w:szCs w:val="30"/>
              <w:lang w:val="en-US" w:eastAsia="zh-CN"/>
            </w:rPr>
            <w:t>3</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0</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"_Toc31503" </w:instrText>
          </w:r>
          <w:r>
            <w:fldChar w:fldCharType="separate"/>
          </w:r>
          <w:r>
            <w:rPr>
              <w:rFonts w:hint="eastAsia" w:ascii="黑体" w:hAnsi="黑体" w:eastAsia="黑体" w:cs="黑体"/>
              <w:sz w:val="30"/>
              <w:szCs w:val="30"/>
            </w:rPr>
            <w:t>第五章 采购需求</w:t>
          </w:r>
          <w:r>
            <w:rPr>
              <w:rFonts w:hint="eastAsia" w:ascii="黑体" w:hAnsi="黑体" w:eastAsia="黑体" w:cs="黑体"/>
              <w:sz w:val="30"/>
              <w:szCs w:val="30"/>
            </w:rPr>
            <w:tab/>
          </w:r>
          <w:r>
            <w:rPr>
              <w:rFonts w:hint="eastAsia" w:ascii="黑体" w:hAnsi="黑体" w:eastAsia="黑体" w:cs="黑体"/>
              <w:sz w:val="30"/>
              <w:szCs w:val="30"/>
              <w:lang w:val="en-US" w:eastAsia="zh-CN"/>
            </w:rPr>
            <w:t>4</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2</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"_Toc13840" </w:instrText>
          </w:r>
          <w:r>
            <w:fldChar w:fldCharType="separate"/>
          </w:r>
          <w:r>
            <w:rPr>
              <w:rFonts w:hint="eastAsia" w:ascii="黑体" w:hAnsi="黑体" w:eastAsia="黑体" w:cs="黑体"/>
              <w:sz w:val="30"/>
              <w:szCs w:val="30"/>
            </w:rPr>
            <w:t>第六章 响应文件格式</w:t>
          </w:r>
          <w:r>
            <w:rPr>
              <w:rFonts w:hint="eastAsia" w:ascii="黑体" w:hAnsi="黑体" w:eastAsia="黑体" w:cs="黑体"/>
              <w:sz w:val="30"/>
              <w:szCs w:val="30"/>
            </w:rPr>
            <w:tab/>
          </w:r>
          <w:r>
            <w:rPr>
              <w:rFonts w:hint="eastAsia" w:ascii="黑体" w:hAnsi="黑体" w:eastAsia="黑体" w:cs="黑体"/>
              <w:sz w:val="30"/>
              <w:szCs w:val="30"/>
              <w:lang w:val="en-US" w:eastAsia="zh-CN"/>
            </w:rPr>
            <w:t>4</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5</w:t>
          </w:r>
        </w:p>
        <w:p>
          <w:pPr>
            <w:pStyle w:val="22"/>
            <w:tabs>
              <w:tab w:val="right" w:leader="dot" w:pos="8300"/>
            </w:tabs>
            <w:rPr>
              <w:rFonts w:ascii="黑体" w:hAnsi="黑体" w:eastAsia="黑体" w:cs="黑体"/>
              <w:sz w:val="30"/>
              <w:szCs w:val="30"/>
            </w:rPr>
          </w:pPr>
          <w:r>
            <w:fldChar w:fldCharType="begin"/>
          </w:r>
          <w:r>
            <w:instrText xml:space="preserve"> HYPERLINK \l "_Toc23650" </w:instrText>
          </w:r>
          <w:r>
            <w:fldChar w:fldCharType="separate"/>
          </w:r>
          <w:r>
            <w:rPr>
              <w:rFonts w:hint="eastAsia" w:ascii="黑体" w:hAnsi="黑体" w:eastAsia="黑体" w:cs="黑体"/>
              <w:sz w:val="30"/>
              <w:szCs w:val="30"/>
            </w:rPr>
            <w:t>一、响应函</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_Toc23650 \h </w:instrText>
          </w:r>
          <w:r>
            <w:rPr>
              <w:rFonts w:hint="eastAsia" w:ascii="黑体" w:hAnsi="黑体" w:eastAsia="黑体" w:cs="黑体"/>
              <w:sz w:val="30"/>
              <w:szCs w:val="30"/>
            </w:rPr>
            <w:fldChar w:fldCharType="separate"/>
          </w:r>
          <w:r>
            <w:rPr>
              <w:rFonts w:hint="eastAsia" w:ascii="黑体" w:hAnsi="黑体" w:eastAsia="黑体" w:cs="黑体"/>
              <w:sz w:val="30"/>
              <w:szCs w:val="30"/>
            </w:rPr>
            <w:t>4</w:t>
          </w:r>
          <w:r>
            <w:rPr>
              <w:rFonts w:hint="eastAsia" w:ascii="黑体" w:hAnsi="黑体" w:eastAsia="黑体" w:cs="黑体"/>
              <w:sz w:val="30"/>
              <w:szCs w:val="30"/>
              <w:lang w:val="en-US" w:eastAsia="zh-CN"/>
            </w:rPr>
            <w:t>7</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"_Toc747" </w:instrText>
          </w:r>
          <w:r>
            <w:fldChar w:fldCharType="separate"/>
          </w:r>
          <w:r>
            <w:rPr>
              <w:rFonts w:hint="eastAsia" w:ascii="黑体" w:hAnsi="黑体" w:eastAsia="黑体" w:cs="黑体"/>
              <w:sz w:val="30"/>
              <w:szCs w:val="30"/>
            </w:rPr>
            <w:t>二、授权委托书</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0</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"_Toc6895" </w:instrText>
          </w:r>
          <w:r>
            <w:fldChar w:fldCharType="separate"/>
          </w:r>
          <w:r>
            <w:rPr>
              <w:rFonts w:hint="eastAsia" w:ascii="黑体" w:hAnsi="黑体" w:eastAsia="黑体" w:cs="黑体"/>
              <w:sz w:val="30"/>
              <w:szCs w:val="30"/>
            </w:rPr>
            <w:t>三、商务和技术偏差表</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1</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"_Toc26297" </w:instrText>
          </w:r>
          <w:r>
            <w:fldChar w:fldCharType="separate"/>
          </w:r>
          <w:r>
            <w:rPr>
              <w:rFonts w:hint="eastAsia" w:ascii="黑体" w:hAnsi="黑体" w:eastAsia="黑体" w:cs="黑体"/>
              <w:sz w:val="30"/>
              <w:szCs w:val="30"/>
            </w:rPr>
            <w:t>四、报价表</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3</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"_Toc25545" </w:instrText>
          </w:r>
          <w:r>
            <w:fldChar w:fldCharType="separate"/>
          </w:r>
          <w:r>
            <w:rPr>
              <w:rFonts w:hint="eastAsia" w:ascii="黑体" w:hAnsi="黑体" w:eastAsia="黑体" w:cs="黑体"/>
              <w:sz w:val="30"/>
              <w:szCs w:val="30"/>
            </w:rPr>
            <w:t>五、资格审查资料</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4</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"_Toc22288" </w:instrText>
          </w:r>
          <w:r>
            <w:fldChar w:fldCharType="separate"/>
          </w:r>
          <w:r>
            <w:rPr>
              <w:rFonts w:hint="eastAsia" w:ascii="黑体" w:hAnsi="黑体" w:eastAsia="黑体" w:cs="黑体"/>
              <w:sz w:val="30"/>
              <w:szCs w:val="30"/>
            </w:rPr>
            <w:t>六、响应方案</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8</w:t>
          </w:r>
        </w:p>
        <w:p>
          <w:pPr>
            <w:pStyle w:val="22"/>
            <w:tabs>
              <w:tab w:val="right" w:leader="dot" w:pos="8300"/>
            </w:tabs>
            <w:rPr>
              <w:rFonts w:hint="eastAsia" w:ascii="黑体" w:hAnsi="黑体" w:eastAsia="黑体" w:cs="黑体"/>
              <w:sz w:val="30"/>
              <w:szCs w:val="30"/>
              <w:lang w:val="en-US" w:eastAsia="zh-CN"/>
            </w:rPr>
          </w:pPr>
          <w:r>
            <w:fldChar w:fldCharType="begin"/>
          </w:r>
          <w:r>
            <w:instrText xml:space="preserve"> HYPERLINK \l "_Toc30187" </w:instrText>
          </w:r>
          <w:r>
            <w:fldChar w:fldCharType="separate"/>
          </w:r>
          <w:r>
            <w:rPr>
              <w:rFonts w:hint="eastAsia" w:ascii="黑体" w:hAnsi="黑体" w:eastAsia="黑体" w:cs="黑体"/>
              <w:sz w:val="30"/>
              <w:szCs w:val="30"/>
            </w:rPr>
            <w:t>七、其他资料</w:t>
          </w:r>
          <w:r>
            <w:rPr>
              <w:rFonts w:hint="eastAsia" w:ascii="黑体" w:hAnsi="黑体" w:eastAsia="黑体" w:cs="黑体"/>
              <w:sz w:val="30"/>
              <w:szCs w:val="30"/>
            </w:rPr>
            <w:tab/>
          </w:r>
          <w:r>
            <w:rPr>
              <w:rFonts w:hint="eastAsia" w:ascii="黑体" w:hAnsi="黑体" w:eastAsia="黑体" w:cs="黑体"/>
              <w:sz w:val="30"/>
              <w:szCs w:val="30"/>
              <w:lang w:val="en-US" w:eastAsia="zh-CN"/>
            </w:rPr>
            <w:t>5</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9</w:t>
          </w:r>
        </w:p>
        <w:p>
          <w:pPr>
            <w:pStyle w:val="11"/>
            <w:widowControl w:val="0"/>
            <w:tabs>
              <w:tab w:val="right" w:leader="dot" w:pos="8948"/>
              <w:tab w:val="clear" w:pos="9242"/>
            </w:tabs>
            <w:adjustRightInd w:val="0"/>
            <w:snapToGrid w:val="0"/>
            <w:spacing w:before="60" w:after="60" w:line="312" w:lineRule="auto"/>
            <w:rPr>
              <w:rFonts w:ascii="Times New Roman"/>
              <w:sz w:val="30"/>
              <w:szCs w:val="30"/>
            </w:rPr>
          </w:pPr>
          <w:r>
            <w:rPr>
              <w:rFonts w:hint="eastAsia" w:ascii="黑体" w:hAnsi="黑体" w:eastAsia="黑体" w:cs="黑体"/>
              <w:sz w:val="30"/>
              <w:szCs w:val="30"/>
              <w:lang w:val="zh-CN"/>
            </w:rPr>
            <w:fldChar w:fldCharType="end"/>
          </w:r>
        </w:p>
      </w:sdtContent>
    </w:sdt>
    <w:p>
      <w:pPr>
        <w:rPr>
          <w:szCs w:val="21"/>
        </w:rPr>
      </w:pPr>
      <w:r>
        <w:br w:type="page"/>
      </w:r>
    </w:p>
    <w:p>
      <w:pPr>
        <w:pStyle w:val="23"/>
        <w:numPr>
          <w:ilvl w:val="0"/>
          <w:numId w:val="1"/>
        </w:numPr>
        <w:spacing w:line="600" w:lineRule="exact"/>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snapToGrid w:val="0"/>
        <w:spacing w:line="90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城港公司2#装车机大车轨道提质改造项目施工劳务</w:t>
      </w:r>
    </w:p>
    <w:p>
      <w:pPr>
        <w:snapToGrid w:val="0"/>
        <w:spacing w:line="90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询价采购公告</w:t>
      </w:r>
    </w:p>
    <w:p>
      <w:pPr>
        <w:pStyle w:val="13"/>
        <w:spacing w:before="0" w:beforeAutospacing="0" w:after="0" w:afterAutospacing="0"/>
        <w:ind w:firstLine="2880" w:firstLineChars="1200"/>
        <w:jc w:val="both"/>
      </w:pPr>
      <w:r>
        <w:rPr>
          <w:rFonts w:hint="eastAsia"/>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城港公司2#装车机大车轨道提质改造项目施工劳务经湖南城陵矶</w:t>
      </w:r>
      <w:r>
        <w:rPr>
          <w:rFonts w:hint="eastAsia" w:asciiTheme="minorEastAsia" w:hAnsiTheme="minorEastAsia" w:eastAsiaTheme="minorEastAsia" w:cstheme="minorEastAsia"/>
          <w:b w:val="0"/>
          <w:bCs w:val="0"/>
          <w:sz w:val="24"/>
          <w:szCs w:val="24"/>
        </w:rPr>
        <w:t>港</w:t>
      </w:r>
      <w:r>
        <w:rPr>
          <w:rFonts w:hint="eastAsia" w:asciiTheme="minorEastAsia" w:hAnsiTheme="minorEastAsia" w:eastAsiaTheme="minorEastAsia" w:cstheme="minorEastAsia"/>
          <w:b w:val="0"/>
          <w:bCs w:val="0"/>
          <w:sz w:val="24"/>
          <w:szCs w:val="24"/>
          <w:lang w:val="en-US" w:eastAsia="zh-CN"/>
        </w:rPr>
        <w:t>口</w:t>
      </w:r>
      <w:r>
        <w:rPr>
          <w:rFonts w:hint="eastAsia" w:asciiTheme="minorEastAsia" w:hAnsiTheme="minorEastAsia" w:eastAsiaTheme="minorEastAsia" w:cstheme="minorEastAsia"/>
          <w:b w:val="0"/>
          <w:bCs w:val="0"/>
          <w:sz w:val="24"/>
          <w:szCs w:val="24"/>
        </w:rPr>
        <w:t>集团批准，将</w:t>
      </w:r>
      <w:r>
        <w:rPr>
          <w:rFonts w:hint="eastAsia" w:asciiTheme="minorEastAsia" w:hAnsiTheme="minorEastAsia" w:eastAsiaTheme="minorEastAsia" w:cstheme="minorEastAsia"/>
          <w:b w:val="0"/>
          <w:bCs w:val="0"/>
          <w:sz w:val="24"/>
          <w:szCs w:val="24"/>
          <w:lang w:val="en-US" w:eastAsia="zh-CN"/>
        </w:rPr>
        <w:t>该项目施工劳务</w:t>
      </w:r>
      <w:r>
        <w:rPr>
          <w:rFonts w:hint="eastAsia" w:asciiTheme="minorEastAsia" w:hAnsiTheme="minorEastAsia" w:eastAsiaTheme="minorEastAsia" w:cstheme="minorEastAsia"/>
          <w:b w:val="0"/>
          <w:bCs w:val="0"/>
          <w:sz w:val="24"/>
          <w:szCs w:val="24"/>
        </w:rPr>
        <w:t>进行外包，现公开邀请供应商参加采购活动。</w:t>
      </w:r>
    </w:p>
    <w:p>
      <w:pPr>
        <w:pStyle w:val="7"/>
        <w:jc w:val="both"/>
        <w:rPr>
          <w:rFonts w:ascii="Arial" w:hAnsi="Arial"/>
        </w:rPr>
      </w:pPr>
      <w:r>
        <w:rPr>
          <w:rFonts w:hint="eastAsia"/>
        </w:rPr>
        <w:t xml:space="preserve">1 </w:t>
      </w:r>
      <w:r>
        <w:rPr>
          <w:rFonts w:hint="eastAsia" w:ascii="黑体" w:hAnsi="黑体"/>
        </w:rPr>
        <w:t xml:space="preserve">采购项目简介 </w:t>
      </w:r>
    </w:p>
    <w:p>
      <w:pPr>
        <w:keepNext w:val="0"/>
        <w:keepLines w:val="0"/>
        <w:pageBreakBefore w:val="0"/>
        <w:kinsoku/>
        <w:wordWrap/>
        <w:overflowPunct/>
        <w:topLinePunct w:val="0"/>
        <w:autoSpaceDE w:val="0"/>
        <w:autoSpaceDN/>
        <w:bidi w:val="0"/>
        <w:spacing w:line="440" w:lineRule="exact"/>
        <w:jc w:val="both"/>
        <w:rPr>
          <w:rFonts w:hint="eastAsia" w:ascii="宋体" w:hAnsi="宋体" w:eastAsia="宋体"/>
          <w:sz w:val="24"/>
          <w:lang w:eastAsia="zh-CN"/>
        </w:rPr>
      </w:pPr>
      <w:r>
        <w:rPr>
          <w:rFonts w:hint="eastAsia" w:ascii="宋体" w:hAnsi="宋体"/>
          <w:b/>
          <w:bCs/>
          <w:sz w:val="24"/>
        </w:rPr>
        <w:t>1.1</w:t>
      </w:r>
      <w:r>
        <w:rPr>
          <w:rFonts w:hint="eastAsia" w:ascii="宋体" w:hAnsi="宋体"/>
          <w:sz w:val="24"/>
        </w:rPr>
        <w:t xml:space="preserve"> 采购项目名称:</w:t>
      </w:r>
      <w:r>
        <w:rPr>
          <w:rFonts w:hint="eastAsia" w:asciiTheme="minorEastAsia" w:hAnsiTheme="minorEastAsia" w:eastAsiaTheme="minorEastAsia" w:cstheme="minorEastAsia"/>
          <w:b w:val="0"/>
          <w:bCs w:val="0"/>
          <w:sz w:val="24"/>
          <w:szCs w:val="24"/>
          <w:lang w:val="en-US" w:eastAsia="zh-CN"/>
        </w:rPr>
        <w:t>城港公司</w:t>
      </w:r>
      <w:r>
        <w:rPr>
          <w:rFonts w:hint="eastAsia" w:ascii="宋体" w:hAnsi="宋体"/>
          <w:sz w:val="24"/>
          <w:lang w:val="en-US" w:eastAsia="zh-CN"/>
        </w:rPr>
        <w:t>2#装车机大车轨道提质改造项目</w:t>
      </w:r>
      <w:r>
        <w:rPr>
          <w:rFonts w:hint="eastAsia" w:ascii="宋体" w:hAnsi="宋体"/>
          <w:sz w:val="24"/>
        </w:rPr>
        <w:t>施工</w:t>
      </w:r>
      <w:r>
        <w:rPr>
          <w:rFonts w:hint="eastAsia" w:ascii="宋体" w:hAnsi="宋体"/>
          <w:sz w:val="24"/>
          <w:lang w:val="en-US" w:eastAsia="zh-CN"/>
        </w:rPr>
        <w:t>劳务</w:t>
      </w:r>
      <w:r>
        <w:rPr>
          <w:rFonts w:hint="eastAsia" w:ascii="宋体" w:hAnsi="宋体"/>
          <w:sz w:val="24"/>
          <w:lang w:eastAsia="zh-CN"/>
        </w:rPr>
        <w:t>。</w:t>
      </w:r>
    </w:p>
    <w:p>
      <w:pPr>
        <w:keepNext w:val="0"/>
        <w:keepLines w:val="0"/>
        <w:pageBreakBefore w:val="0"/>
        <w:kinsoku/>
        <w:wordWrap/>
        <w:overflowPunct/>
        <w:topLinePunct w:val="0"/>
        <w:autoSpaceDE w:val="0"/>
        <w:autoSpaceDN/>
        <w:bidi w:val="0"/>
        <w:spacing w:line="440" w:lineRule="exact"/>
        <w:jc w:val="both"/>
        <w:rPr>
          <w:rFonts w:ascii="宋体" w:hAnsi="宋体"/>
          <w:sz w:val="24"/>
        </w:rPr>
      </w:pPr>
      <w:r>
        <w:rPr>
          <w:rFonts w:hint="eastAsia" w:ascii="宋体" w:hAnsi="宋体"/>
          <w:b/>
          <w:bCs/>
          <w:sz w:val="24"/>
        </w:rPr>
        <w:t>1.2</w:t>
      </w:r>
      <w:r>
        <w:rPr>
          <w:rFonts w:hint="eastAsia" w:ascii="宋体" w:hAnsi="宋体"/>
          <w:sz w:val="24"/>
        </w:rPr>
        <w:t xml:space="preserve"> 采购人</w:t>
      </w:r>
      <w:r>
        <w:rPr>
          <w:rFonts w:hint="eastAsia" w:ascii="宋体" w:hAnsi="宋体"/>
          <w:sz w:val="24"/>
          <w:lang w:eastAsia="zh-CN"/>
        </w:rPr>
        <w:t>：</w:t>
      </w:r>
      <w:r>
        <w:rPr>
          <w:rFonts w:hint="eastAsia" w:ascii="宋体" w:hAnsi="宋体"/>
          <w:sz w:val="24"/>
        </w:rPr>
        <w:t xml:space="preserve"> 湖南港产科技有限公司</w:t>
      </w:r>
    </w:p>
    <w:p>
      <w:pPr>
        <w:keepNext w:val="0"/>
        <w:keepLines w:val="0"/>
        <w:pageBreakBefore w:val="0"/>
        <w:kinsoku/>
        <w:wordWrap/>
        <w:overflowPunct/>
        <w:topLinePunct w:val="0"/>
        <w:autoSpaceDE w:val="0"/>
        <w:autoSpaceDN/>
        <w:bidi w:val="0"/>
        <w:spacing w:line="440" w:lineRule="exact"/>
        <w:jc w:val="both"/>
        <w:rPr>
          <w:rFonts w:ascii="宋体" w:hAnsi="宋体"/>
          <w:sz w:val="24"/>
        </w:rPr>
      </w:pPr>
      <w:r>
        <w:rPr>
          <w:rFonts w:hint="eastAsia" w:ascii="宋体" w:hAnsi="宋体"/>
          <w:b/>
          <w:bCs/>
          <w:sz w:val="24"/>
        </w:rPr>
        <w:t>1.3</w:t>
      </w:r>
      <w:r>
        <w:rPr>
          <w:rFonts w:hint="eastAsia" w:ascii="宋体" w:hAnsi="宋体"/>
          <w:sz w:val="24"/>
        </w:rPr>
        <w:t xml:space="preserve"> 采购代理机构</w:t>
      </w:r>
      <w:r>
        <w:rPr>
          <w:rFonts w:hint="eastAsia" w:ascii="宋体" w:hAnsi="宋体"/>
          <w:sz w:val="24"/>
          <w:lang w:eastAsia="zh-CN"/>
        </w:rPr>
        <w:t>：</w:t>
      </w:r>
      <w:r>
        <w:rPr>
          <w:rFonts w:hint="eastAsia" w:ascii="宋体" w:hAnsi="宋体"/>
          <w:sz w:val="24"/>
        </w:rPr>
        <w:t>无</w:t>
      </w:r>
    </w:p>
    <w:p>
      <w:pPr>
        <w:keepNext w:val="0"/>
        <w:keepLines w:val="0"/>
        <w:pageBreakBefore w:val="0"/>
        <w:kinsoku/>
        <w:wordWrap/>
        <w:overflowPunct/>
        <w:topLinePunct w:val="0"/>
        <w:autoSpaceDE w:val="0"/>
        <w:autoSpaceDN/>
        <w:bidi w:val="0"/>
        <w:spacing w:line="440" w:lineRule="exact"/>
        <w:jc w:val="both"/>
        <w:rPr>
          <w:rFonts w:hint="eastAsia" w:ascii="宋体" w:hAnsi="宋体" w:eastAsia="宋体" w:cs="宋体"/>
          <w:sz w:val="24"/>
          <w:szCs w:val="24"/>
        </w:rPr>
      </w:pPr>
      <w:r>
        <w:rPr>
          <w:rFonts w:hint="eastAsia" w:ascii="宋体" w:hAnsi="宋体" w:eastAsia="宋体" w:cs="宋体"/>
          <w:b/>
          <w:bCs/>
          <w:sz w:val="24"/>
          <w:szCs w:val="24"/>
        </w:rPr>
        <w:t xml:space="preserve">1.4 </w:t>
      </w:r>
      <w:r>
        <w:rPr>
          <w:rFonts w:hint="eastAsia" w:ascii="宋体" w:hAnsi="宋体" w:eastAsia="宋体" w:cs="宋体"/>
          <w:sz w:val="24"/>
          <w:szCs w:val="24"/>
        </w:rPr>
        <w:t>采购项目资金落实情况:自筹资金，已落实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jc w:val="both"/>
        <w:rPr>
          <w:rFonts w:hint="eastAsia" w:ascii="宋体" w:hAnsi="宋体" w:eastAsia="宋体" w:cs="宋体"/>
          <w:sz w:val="24"/>
          <w:szCs w:val="24"/>
        </w:rPr>
      </w:pPr>
      <w:r>
        <w:rPr>
          <w:rFonts w:hint="eastAsia" w:ascii="宋体" w:hAnsi="宋体" w:eastAsia="宋体" w:cs="宋体"/>
          <w:b/>
          <w:bCs/>
          <w:sz w:val="24"/>
          <w:szCs w:val="24"/>
        </w:rPr>
        <w:t xml:space="preserve">1.5 </w:t>
      </w:r>
      <w:r>
        <w:rPr>
          <w:rFonts w:hint="eastAsia" w:ascii="宋体" w:hAnsi="宋体" w:eastAsia="宋体" w:cs="宋体"/>
          <w:sz w:val="24"/>
          <w:szCs w:val="24"/>
        </w:rPr>
        <w:t>采购项目概况:</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城港公司2#装车机轨道多</w:t>
      </w:r>
      <w:r>
        <w:rPr>
          <w:rFonts w:hint="eastAsia" w:ascii="宋体" w:hAnsi="宋体" w:cs="宋体"/>
          <w:sz w:val="24"/>
          <w:szCs w:val="24"/>
          <w:lang w:val="en-US" w:eastAsia="zh-CN"/>
        </w:rPr>
        <w:t>处</w:t>
      </w:r>
      <w:r>
        <w:rPr>
          <w:rFonts w:hint="eastAsia" w:ascii="宋体" w:hAnsi="宋体" w:eastAsia="宋体" w:cs="宋体"/>
          <w:sz w:val="24"/>
          <w:szCs w:val="24"/>
          <w:lang w:val="en-US" w:eastAsia="zh-CN"/>
        </w:rPr>
        <w:t>轨道基础出现沉降，轨道接头处松动，沥青砂破损严重</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部分轨道沉降，轨道沟面积水严重，轨道接头下沉故障等。严重影响装车机装车作业，增加大车机构故障风险。</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整体方案：整体拆除轨道，对基础垫板及轨道沟底部垫层拆除，更换钢垫板抬高调整轨道安装基面，灌注胶泥养护后安装轨道。轨道接头采用铝热焊焊联。</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更换轨道垫板及基础处理暂定数量为72*3=216米，实际以现场勘查施工量为准</w:t>
      </w:r>
    </w:p>
    <w:p>
      <w:pPr>
        <w:keepNext w:val="0"/>
        <w:keepLines w:val="0"/>
        <w:pageBreakBefore w:val="0"/>
        <w:kinsoku/>
        <w:wordWrap/>
        <w:overflowPunct/>
        <w:topLinePunct w:val="0"/>
        <w:autoSpaceDE w:val="0"/>
        <w:autoSpaceDN/>
        <w:bidi w:val="0"/>
        <w:spacing w:line="440" w:lineRule="exact"/>
        <w:ind w:firstLine="241" w:firstLineChars="100"/>
        <w:jc w:val="both"/>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1、</w:t>
      </w:r>
      <w:r>
        <w:rPr>
          <w:rFonts w:hint="eastAsia" w:ascii="宋体" w:hAnsi="宋体" w:eastAsia="宋体" w:cs="宋体"/>
          <w:b/>
          <w:bCs/>
          <w:sz w:val="24"/>
          <w:szCs w:val="24"/>
          <w:lang w:val="en-US" w:eastAsia="zh-CN"/>
        </w:rPr>
        <w:t>施工内容：</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1.整体测量车轮轨道标高，标记轨道标高</w:t>
      </w:r>
      <w:r>
        <w:rPr>
          <w:rFonts w:hint="eastAsia" w:ascii="宋体" w:hAnsi="宋体" w:cs="宋体"/>
          <w:sz w:val="24"/>
          <w:szCs w:val="24"/>
          <w:lang w:val="en-US" w:eastAsia="zh-CN"/>
        </w:rPr>
        <w:t>偏差</w:t>
      </w:r>
      <w:r>
        <w:rPr>
          <w:rFonts w:hint="eastAsia" w:ascii="宋体" w:hAnsi="宋体" w:eastAsia="宋体" w:cs="宋体"/>
          <w:sz w:val="24"/>
          <w:szCs w:val="24"/>
          <w:lang w:val="en-US" w:eastAsia="zh-CN"/>
        </w:rPr>
        <w:t>位置。</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2.破拆清理轨道沟沥青砂，采用人工风镐破拆，清理轨道沟沥青砂，将废料装车运送至指定位置处理。</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3.清洗轨道沟，检查轨道沟基础情况，重点检查轨道接头处基础和轨道超差位置及沉降严重位置轨道沟基础（钢板是否变形，底板是否有空洞）。保护性拆除轨道。</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4.拆除通铺钢板的连接钢板。</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5、通过测量标高，对超差的、底板空洞、钢板变形及沉降严重位置，将钢板预紧螺母松开，取出调节螺母，用风镐及工具将钢板揭开，破除底部胶泥。更换 </w:t>
      </w:r>
      <w:r>
        <w:rPr>
          <w:rFonts w:hint="default" w:ascii="宋体" w:hAnsi="宋体" w:eastAsia="宋体" w:cs="宋体"/>
          <w:sz w:val="24"/>
          <w:szCs w:val="24"/>
          <w:lang w:val="en-US" w:eastAsia="zh-CN"/>
        </w:rPr>
        <w:t>Q235</w:t>
      </w:r>
      <w:r>
        <w:rPr>
          <w:rFonts w:hint="eastAsia" w:ascii="宋体" w:hAnsi="宋体" w:eastAsia="宋体" w:cs="宋体"/>
          <w:sz w:val="24"/>
          <w:szCs w:val="24"/>
          <w:lang w:val="en-US" w:eastAsia="zh-CN"/>
        </w:rPr>
        <w:t xml:space="preserve">  20厚</w:t>
      </w:r>
      <w:r>
        <w:rPr>
          <w:rFonts w:hint="default" w:ascii="宋体" w:hAnsi="宋体" w:eastAsia="宋体" w:cs="宋体"/>
          <w:sz w:val="24"/>
          <w:szCs w:val="24"/>
          <w:lang w:val="en-US" w:eastAsia="zh-CN"/>
        </w:rPr>
        <w:t>钢垫板，严格按照现场</w:t>
      </w:r>
      <w:r>
        <w:rPr>
          <w:rFonts w:hint="eastAsia" w:ascii="宋体" w:hAnsi="宋体" w:eastAsia="宋体" w:cs="宋体"/>
          <w:sz w:val="24"/>
          <w:szCs w:val="24"/>
          <w:lang w:val="en-US" w:eastAsia="zh-CN"/>
        </w:rPr>
        <w:t>预埋螺栓</w:t>
      </w:r>
      <w:r>
        <w:rPr>
          <w:rFonts w:hint="default" w:ascii="宋体" w:hAnsi="宋体" w:eastAsia="宋体" w:cs="宋体"/>
          <w:sz w:val="24"/>
          <w:szCs w:val="24"/>
          <w:lang w:val="en-US" w:eastAsia="zh-CN"/>
        </w:rPr>
        <w:t>的</w:t>
      </w:r>
      <w:r>
        <w:rPr>
          <w:rFonts w:hint="eastAsia" w:ascii="宋体" w:hAnsi="宋体" w:eastAsia="宋体" w:cs="宋体"/>
          <w:sz w:val="24"/>
          <w:szCs w:val="24"/>
          <w:lang w:val="en-US" w:eastAsia="zh-CN"/>
        </w:rPr>
        <w:t>尺寸</w:t>
      </w:r>
      <w:r>
        <w:rPr>
          <w:rFonts w:hint="eastAsia" w:ascii="宋体" w:hAnsi="宋体" w:cs="宋体"/>
          <w:sz w:val="24"/>
          <w:szCs w:val="24"/>
          <w:lang w:val="en-US" w:eastAsia="zh-CN"/>
        </w:rPr>
        <w:t>要</w:t>
      </w:r>
      <w:r>
        <w:rPr>
          <w:rFonts w:hint="default" w:ascii="宋体" w:hAnsi="宋体" w:eastAsia="宋体" w:cs="宋体"/>
          <w:sz w:val="24"/>
          <w:szCs w:val="24"/>
          <w:lang w:val="en-US" w:eastAsia="zh-CN"/>
        </w:rPr>
        <w:t xml:space="preserve">求对钢垫板做打孔、整平等； </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6、更换</w:t>
      </w:r>
      <w:r>
        <w:rPr>
          <w:rFonts w:hint="default" w:ascii="宋体" w:hAnsi="宋体" w:eastAsia="宋体" w:cs="宋体"/>
          <w:sz w:val="24"/>
          <w:szCs w:val="24"/>
          <w:lang w:val="en-US" w:eastAsia="zh-CN"/>
        </w:rPr>
        <w:t>安装钢垫板前，彻底清除轨道槽表面的杂物以及颗粒等； 确定钢垫板的安装标高，并将其妥善安置在预埋 螺栓上，经调校螺栓将钢垫板调整至标记位置</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7.在钢垫板安装完毕并且调整至设定标高后，并用</w:t>
      </w:r>
      <w:r>
        <w:rPr>
          <w:rFonts w:hint="default" w:ascii="宋体" w:hAnsi="宋体" w:eastAsia="宋体" w:cs="宋体"/>
          <w:sz w:val="24"/>
          <w:szCs w:val="24"/>
          <w:lang w:val="en-US" w:eastAsia="zh-CN"/>
        </w:rPr>
        <w:t>低氢电焊条固定压板底座，</w:t>
      </w:r>
      <w:r>
        <w:rPr>
          <w:rFonts w:hint="eastAsia" w:ascii="宋体" w:hAnsi="宋体" w:cs="宋体"/>
          <w:sz w:val="24"/>
          <w:szCs w:val="24"/>
          <w:lang w:val="en-US" w:eastAsia="zh-CN"/>
        </w:rPr>
        <w:t>最后在</w:t>
      </w:r>
      <w:r>
        <w:rPr>
          <w:rFonts w:hint="default" w:ascii="宋体" w:hAnsi="宋体" w:eastAsia="宋体" w:cs="宋体"/>
          <w:sz w:val="24"/>
          <w:szCs w:val="24"/>
          <w:lang w:val="en-US" w:eastAsia="zh-CN"/>
        </w:rPr>
        <w:t>钢垫板</w:t>
      </w:r>
      <w:r>
        <w:rPr>
          <w:rFonts w:hint="eastAsia" w:ascii="宋体" w:hAnsi="宋体" w:eastAsia="宋体" w:cs="宋体"/>
          <w:sz w:val="24"/>
          <w:szCs w:val="24"/>
          <w:lang w:val="en-US" w:eastAsia="zh-CN"/>
        </w:rPr>
        <w:t>连接处焊接连接钢板-20*60*180</w:t>
      </w:r>
      <w:r>
        <w:rPr>
          <w:rFonts w:hint="default"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8.钢垫板调整改造施工结束后灌注胶泥作业：</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9.铺设胶垫板 </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在铺设胶垫板期间，应及时清理垫板表面的颗粒以及油污等污染物。保持胶垫板凹凸面朝上，胶垫板之间的接口位置不需要做特殊处理，但是应该注意错开钢垫板与轨道的</w:t>
      </w:r>
      <w:r>
        <w:rPr>
          <w:rFonts w:hint="eastAsia" w:ascii="宋体" w:hAnsi="宋体" w:eastAsia="宋体" w:cs="宋体"/>
          <w:sz w:val="24"/>
          <w:szCs w:val="24"/>
          <w:lang w:val="en-US" w:eastAsia="zh-CN"/>
        </w:rPr>
        <w:t>接口，最后在轨道两侧的钢垫板表面焊接钢片，避免胶垫板</w:t>
      </w:r>
      <w:r>
        <w:rPr>
          <w:rFonts w:hint="default" w:ascii="宋体" w:hAnsi="宋体" w:eastAsia="宋体" w:cs="宋体"/>
          <w:sz w:val="24"/>
          <w:szCs w:val="24"/>
          <w:lang w:val="en-US" w:eastAsia="zh-CN"/>
        </w:rPr>
        <w:t>滑出。</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10.轨道焊联：轨道采用铝热焊焊联为一根整体后安装。</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11.轨道安装紧固调整。   </w:t>
      </w:r>
    </w:p>
    <w:p>
      <w:pPr>
        <w:keepNext w:val="0"/>
        <w:keepLines w:val="0"/>
        <w:pageBreakBefore w:val="0"/>
        <w:kinsoku/>
        <w:wordWrap/>
        <w:overflowPunct/>
        <w:topLinePunct w:val="0"/>
        <w:autoSpaceDE w:val="0"/>
        <w:autoSpaceDN/>
        <w:bidi w:val="0"/>
        <w:spacing w:line="440" w:lineRule="exact"/>
        <w:ind w:firstLine="241" w:firstLineChars="1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2采购范围及项目工程量：</w:t>
      </w:r>
    </w:p>
    <w:tbl>
      <w:tblPr>
        <w:tblStyle w:val="1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9"/>
        <w:gridCol w:w="1397"/>
        <w:gridCol w:w="1674"/>
        <w:gridCol w:w="739"/>
        <w:gridCol w:w="936"/>
        <w:gridCol w:w="1390"/>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沥青砂破除</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62.208</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破除轨道沟沥青砂，运输清理废料</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0.4*0.18*432*2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拆除轨道</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P60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864</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保护性拆除轨道，</w:t>
            </w:r>
            <w:r>
              <w:rPr>
                <w:rFonts w:hint="eastAsia" w:ascii="宋体" w:hAnsi="宋体" w:cs="宋体"/>
                <w:i w:val="0"/>
                <w:iCs w:val="0"/>
                <w:color w:val="000000"/>
                <w:kern w:val="0"/>
                <w:sz w:val="24"/>
                <w:szCs w:val="24"/>
                <w:u w:val="none"/>
                <w:lang w:val="en-US" w:eastAsia="zh-CN" w:bidi="ar"/>
              </w:rPr>
              <w:t>从车挡</w:t>
            </w:r>
            <w:r>
              <w:rPr>
                <w:rFonts w:hint="eastAsia" w:ascii="宋体" w:hAnsi="宋体" w:eastAsia="宋体" w:cs="宋体"/>
                <w:i w:val="0"/>
                <w:iCs w:val="0"/>
                <w:color w:val="000000"/>
                <w:kern w:val="0"/>
                <w:sz w:val="24"/>
                <w:szCs w:val="24"/>
                <w:u w:val="none"/>
                <w:lang w:val="en-US" w:eastAsia="zh-CN" w:bidi="ar"/>
              </w:rPr>
              <w:t>开始计算</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钢垫板拆除更换</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20*350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含轨道基础测量、调整、安装费用</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8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轨道沟砼破除基础修复</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5</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轨道胶泥破除及灌溉、养护</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0.4*0.05*216</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轨道压板底座焊接</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12*216</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螺杆修复</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M20*100/M24</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1296</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M24螺杆手工套丝（6个/米）</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轨道焊联</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轨道接头处理、铝热焊</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含轨道头裁切，新轨道焊联</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9</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轨道安装铺设</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轨道铺设、调整、紧固。</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864</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10</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施工耗材</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氧气、乙炔、丙烷、焊条等易耗品</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Calibri"/>
                <w:i w:val="0"/>
                <w:iCs w:val="0"/>
                <w:color w:val="000000"/>
                <w:kern w:val="2"/>
                <w:sz w:val="24"/>
                <w:szCs w:val="24"/>
                <w:u w:val="none"/>
                <w:lang w:val="en-US" w:eastAsia="zh-CN" w:bidi="ar-SA"/>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p>
        </w:tc>
      </w:tr>
    </w:tbl>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2.1计划工期:合同签订，进场施工25天内完成，下雨顺延。 </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2.2建设地点: 城港公司2#装车机。</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2.3施工技术质量要求：</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1、本工程的施工质量必须达到国家起重机钢轨安装GB3426-82相关规定的标准要求。</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2、轨道基础应按照设计要求进行施工，确保基础的平整度和稳定性。基础的混凝土强度应满足起重机运行的要求，避免产生变形或沉降。</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3、轨道的直线度和水平度应符合设计要求，接头处应平滑过渡，无明显错位或台阶。轨道的纵向和横向偏差应在允许范围内，确保起重机的平稳运行。</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4、乙方必须严格按照甲方质量管理体系的要求，进行工程质量控制，并按甲方的有关要求填报相关表格，交甲方整理存档。</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5、所承包的工程，满足甲方安全性、可靠性、使用性能的要求，符合国家最新相关施工验收规范、检验标准的要求。</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6、工程质量验收标准：</w:t>
      </w:r>
      <w:r>
        <w:rPr>
          <w:rFonts w:hint="eastAsia" w:ascii="宋体" w:hAnsi="宋体" w:eastAsia="宋体" w:cs="宋体"/>
          <w:color w:val="000000"/>
          <w:sz w:val="24"/>
          <w:szCs w:val="24"/>
        </w:rPr>
        <w:t>必须符合</w:t>
      </w:r>
      <w:r>
        <w:rPr>
          <w:rFonts w:hint="eastAsia" w:ascii="宋体" w:hAnsi="宋体" w:eastAsia="宋体" w:cs="宋体"/>
          <w:sz w:val="24"/>
          <w:szCs w:val="24"/>
          <w:lang w:val="en-US" w:eastAsia="zh-CN"/>
        </w:rPr>
        <w:t>起重机钢轨安装GB3426-82相关规定</w:t>
      </w:r>
      <w:r>
        <w:rPr>
          <w:rFonts w:hint="eastAsia" w:ascii="宋体" w:hAnsi="宋体" w:cs="宋体"/>
          <w:sz w:val="24"/>
          <w:szCs w:val="24"/>
          <w:lang w:val="en-US" w:eastAsia="zh-CN"/>
        </w:rPr>
        <w:t>要求</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7、工程质量保修期</w:t>
      </w:r>
      <w:r>
        <w:rPr>
          <w:rFonts w:hint="eastAsia" w:ascii="宋体" w:hAnsi="宋体" w:cs="宋体"/>
          <w:sz w:val="24"/>
          <w:szCs w:val="24"/>
          <w:lang w:val="en-US" w:eastAsia="zh-CN"/>
        </w:rPr>
        <w:t>按</w:t>
      </w:r>
      <w:r>
        <w:rPr>
          <w:rFonts w:hint="eastAsia" w:ascii="宋体" w:hAnsi="宋体" w:eastAsia="宋体" w:cs="宋体"/>
          <w:sz w:val="24"/>
          <w:szCs w:val="24"/>
          <w:lang w:val="en-US" w:eastAsia="zh-CN"/>
        </w:rPr>
        <w:t>竣工验收合格后12个月执行。工程质量保修期起始日期自竣工验收报告签署之日起。</w:t>
      </w:r>
    </w:p>
    <w:p>
      <w:pPr>
        <w:pStyle w:val="7"/>
        <w:ind w:firstLine="281" w:firstLineChars="100"/>
        <w:jc w:val="both"/>
        <w:rPr>
          <w:rFonts w:ascii="Arial" w:hAnsi="Arial"/>
        </w:rPr>
      </w:pPr>
      <w:r>
        <w:rPr>
          <w:rFonts w:hint="eastAsia" w:ascii="黑体" w:hAnsi="黑体"/>
          <w:lang w:val="en-US" w:eastAsia="zh-CN"/>
        </w:rPr>
        <w:t>3</w:t>
      </w:r>
      <w:r>
        <w:rPr>
          <w:rFonts w:hint="eastAsia" w:ascii="黑体" w:hAnsi="黑体"/>
        </w:rPr>
        <w:t>供应商资格要求</w:t>
      </w:r>
    </w:p>
    <w:p>
      <w:pPr>
        <w:autoSpaceDE w:val="0"/>
        <w:spacing w:line="400" w:lineRule="exact"/>
        <w:ind w:firstLine="241" w:firstLineChars="100"/>
        <w:jc w:val="both"/>
        <w:rPr>
          <w:rFonts w:ascii="宋体" w:hAnsi="宋体"/>
          <w:sz w:val="24"/>
        </w:rPr>
      </w:pPr>
      <w:r>
        <w:rPr>
          <w:rFonts w:hint="eastAsia" w:ascii="宋体" w:hAnsi="宋体"/>
          <w:b/>
          <w:bCs/>
          <w:sz w:val="24"/>
          <w:lang w:val="en-US" w:eastAsia="zh-CN"/>
        </w:rPr>
        <w:t>3</w:t>
      </w:r>
      <w:r>
        <w:rPr>
          <w:rFonts w:hint="eastAsia" w:ascii="宋体" w:hAnsi="宋体"/>
          <w:b/>
          <w:bCs/>
          <w:sz w:val="24"/>
        </w:rPr>
        <w:t>.1</w:t>
      </w:r>
      <w:r>
        <w:rPr>
          <w:rFonts w:hint="eastAsia" w:ascii="宋体" w:hAnsi="宋体"/>
          <w:sz w:val="24"/>
        </w:rPr>
        <w:t>供应商不得存在下列情形之一:</w:t>
      </w:r>
    </w:p>
    <w:p>
      <w:pPr>
        <w:autoSpaceDE w:val="0"/>
        <w:spacing w:line="400" w:lineRule="exact"/>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400" w:lineRule="exact"/>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400" w:lineRule="exact"/>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400" w:lineRule="exact"/>
        <w:jc w:val="both"/>
        <w:rPr>
          <w:rFonts w:ascii="宋体" w:hAnsi="宋体"/>
          <w:sz w:val="24"/>
        </w:rPr>
      </w:pPr>
      <w:r>
        <w:rPr>
          <w:rFonts w:hint="eastAsia" w:ascii="宋体" w:hAnsi="宋体"/>
          <w:sz w:val="24"/>
        </w:rPr>
        <w:t>3.2供应商应满足如下要求:</w:t>
      </w:r>
    </w:p>
    <w:tbl>
      <w:tblPr>
        <w:tblStyle w:val="17"/>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ascii="宋体" w:hAnsi="宋体"/>
                <w:sz w:val="24"/>
              </w:rPr>
            </w:pPr>
            <w:r>
              <w:rPr>
                <w:rFonts w:hint="eastAsia" w:ascii="宋体" w:hAnsi="宋体"/>
                <w:sz w:val="24"/>
              </w:rPr>
              <w:t>资格条件</w:t>
            </w:r>
          </w:p>
        </w:tc>
        <w:tc>
          <w:tcPr>
            <w:tcW w:w="1643" w:type="dxa"/>
          </w:tcPr>
          <w:p>
            <w:pPr>
              <w:widowControl w:val="0"/>
              <w:spacing w:line="320" w:lineRule="exact"/>
              <w:jc w:val="center"/>
              <w:rPr>
                <w:rFonts w:ascii="宋体" w:hAnsi="宋体"/>
                <w:sz w:val="24"/>
              </w:rPr>
            </w:pPr>
            <w:r>
              <w:rPr>
                <w:rFonts w:hint="eastAsia" w:ascii="宋体" w:hAnsi="宋体"/>
                <w:sz w:val="24"/>
              </w:rPr>
              <w:t>对供应商要求</w:t>
            </w:r>
          </w:p>
        </w:tc>
        <w:tc>
          <w:tcPr>
            <w:tcW w:w="5008" w:type="dxa"/>
          </w:tcPr>
          <w:p>
            <w:pPr>
              <w:widowControl w:val="0"/>
              <w:spacing w:line="320" w:lineRule="exact"/>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（1）依法设立</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（2）资质要求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color w:val="FF0000"/>
                <w:sz w:val="24"/>
              </w:rPr>
            </w:pPr>
            <w:r>
              <w:rPr>
                <w:rFonts w:hint="eastAsia" w:ascii="宋体" w:hAnsi="宋体"/>
                <w:sz w:val="24"/>
              </w:rPr>
              <w:t>（3）财务要求</w:t>
            </w:r>
          </w:p>
        </w:tc>
        <w:tc>
          <w:tcPr>
            <w:tcW w:w="1643"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不适用  </w:t>
            </w:r>
          </w:p>
          <w:p>
            <w:pPr>
              <w:widowControl w:val="0"/>
              <w:spacing w:line="320" w:lineRule="exact"/>
              <w:jc w:val="both"/>
              <w:rPr>
                <w:rFonts w:ascii="宋体" w:hAnsi="宋体"/>
                <w:color w:val="FF0000"/>
                <w:sz w:val="24"/>
              </w:rPr>
            </w:pPr>
          </w:p>
        </w:tc>
        <w:tc>
          <w:tcPr>
            <w:tcW w:w="5008"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不适用  </w:t>
            </w:r>
          </w:p>
          <w:p>
            <w:pPr>
              <w:widowControl w:val="0"/>
              <w:spacing w:line="320" w:lineRule="exact"/>
              <w:jc w:val="both"/>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（4）业绩要求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（5）信誉要求</w:t>
            </w:r>
          </w:p>
        </w:tc>
        <w:tc>
          <w:tcPr>
            <w:tcW w:w="1643"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适用  </w:t>
            </w:r>
          </w:p>
          <w:p>
            <w:pPr>
              <w:widowControl w:val="0"/>
              <w:spacing w:line="320" w:lineRule="exact"/>
              <w:jc w:val="both"/>
              <w:rPr>
                <w:rFonts w:ascii="宋体" w:hAnsi="宋体"/>
                <w:sz w:val="24"/>
              </w:rPr>
            </w:pP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r>
              <w:rPr>
                <w:rStyle w:val="19"/>
                <w:rFonts w:hint="eastAsia"/>
                <w:u w:val="single"/>
                <w:lang w:eastAsia="zh-CN"/>
              </w:rPr>
              <w:t>，</w:t>
            </w:r>
            <w:r>
              <w:rPr>
                <w:rStyle w:val="19"/>
                <w:rFonts w:hint="eastAsia"/>
                <w:u w:val="single"/>
              </w:rPr>
              <w:t>见采购文件供应商须知前附表3.5（</w:t>
            </w:r>
            <w:r>
              <w:rPr>
                <w:rStyle w:val="19"/>
                <w:rFonts w:hint="eastAsia"/>
                <w:u w:val="single"/>
                <w:lang w:val="en-US" w:eastAsia="zh-CN"/>
              </w:rPr>
              <w:t>5</w:t>
            </w:r>
            <w:r>
              <w:rPr>
                <w:rStyle w:val="19"/>
                <w:rFonts w:hint="eastAsia"/>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ascii="宋体" w:hAnsi="宋体"/>
                <w:sz w:val="24"/>
              </w:rPr>
            </w:pPr>
            <w:r>
              <w:rPr>
                <w:rFonts w:hint="eastAsia" w:ascii="宋体" w:hAnsi="宋体"/>
                <w:sz w:val="24"/>
              </w:rPr>
              <w:t>（6）承担本项目的主要人员要求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ascii="宋体" w:hAnsi="宋体"/>
                <w:sz w:val="24"/>
              </w:rPr>
            </w:pPr>
            <w:r>
              <w:rPr>
                <w:rFonts w:hint="eastAsia" w:ascii="宋体" w:hAnsi="宋体"/>
                <w:sz w:val="24"/>
              </w:rPr>
              <w:t>（8）供应商不存在第一章3.1款情形的证明材料</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适用,见采购文件供应商须知前附表3.5（8）。</w:t>
            </w:r>
          </w:p>
        </w:tc>
      </w:tr>
    </w:tbl>
    <w:p>
      <w:pPr>
        <w:pStyle w:val="14"/>
        <w:ind w:firstLine="0"/>
      </w:pPr>
    </w:p>
    <w:p>
      <w:pPr>
        <w:pStyle w:val="7"/>
        <w:jc w:val="both"/>
        <w:rPr>
          <w:rFonts w:ascii="黑体" w:hAnsi="黑体"/>
        </w:rPr>
      </w:pPr>
      <w:r>
        <w:rPr>
          <w:rFonts w:hint="eastAsia"/>
          <w:lang w:val="en-US" w:eastAsia="zh-CN"/>
        </w:rPr>
        <w:t>4</w:t>
      </w:r>
      <w:r>
        <w:rPr>
          <w:rFonts w:hint="eastAsia"/>
        </w:rPr>
        <w:t xml:space="preserve"> </w:t>
      </w:r>
      <w:r>
        <w:rPr>
          <w:rFonts w:hint="eastAsia" w:ascii="黑体" w:hAnsi="黑体"/>
        </w:rPr>
        <w:t>响应保证金</w:t>
      </w:r>
    </w:p>
    <w:tbl>
      <w:tblPr>
        <w:tblStyle w:val="17"/>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2738" w:type="dxa"/>
          </w:tcPr>
          <w:p>
            <w:pPr>
              <w:widowControl w:val="0"/>
              <w:autoSpaceDE w:val="0"/>
              <w:spacing w:line="400" w:lineRule="exact"/>
              <w:jc w:val="both"/>
              <w:rPr>
                <w:rFonts w:ascii="宋体" w:hAnsi="宋体"/>
                <w:sz w:val="24"/>
              </w:rPr>
            </w:pPr>
            <w:r>
              <w:rPr>
                <w:rFonts w:hint="eastAsia" w:ascii="宋体" w:hAnsi="宋体"/>
                <w:sz w:val="24"/>
              </w:rPr>
              <w:t>响应保证金的递交</w:t>
            </w:r>
          </w:p>
        </w:tc>
        <w:tc>
          <w:tcPr>
            <w:tcW w:w="3314" w:type="dxa"/>
          </w:tcPr>
          <w:p>
            <w:pPr>
              <w:widowControl w:val="0"/>
              <w:autoSpaceDE w:val="0"/>
              <w:spacing w:line="400" w:lineRule="exact"/>
              <w:jc w:val="both"/>
              <w:rPr>
                <w:rFonts w:ascii="黑体" w:hAnsi="黑体"/>
              </w:rPr>
            </w:pPr>
            <w:r>
              <w:rPr>
                <w:rFonts w:hint="eastAsia" w:ascii="宋体" w:hAnsi="宋体"/>
                <w:sz w:val="24"/>
              </w:rPr>
              <w:t>不退还响应保证金的其他情形</w:t>
            </w:r>
          </w:p>
        </w:tc>
        <w:tc>
          <w:tcPr>
            <w:tcW w:w="3046" w:type="dxa"/>
          </w:tcPr>
          <w:p>
            <w:pPr>
              <w:widowControl w:val="0"/>
              <w:autoSpaceDE w:val="0"/>
              <w:spacing w:line="400" w:lineRule="exact"/>
              <w:jc w:val="both"/>
              <w:rPr>
                <w:rFonts w:ascii="黑体" w:hAnsi="黑体"/>
              </w:rPr>
            </w:pPr>
            <w:r>
              <w:rPr>
                <w:rFonts w:hint="eastAsia" w:ascii="宋体" w:hAnsi="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ascii="宋体" w:hAnsi="宋体"/>
                <w:sz w:val="24"/>
              </w:rPr>
            </w:pPr>
            <w:r>
              <w:rPr>
                <w:rStyle w:val="19"/>
                <w:rFonts w:hint="eastAsia"/>
              </w:rPr>
              <w:t>☑</w:t>
            </w:r>
            <w:r>
              <w:rPr>
                <w:rFonts w:hint="eastAsia" w:ascii="宋体" w:hAnsi="宋体"/>
                <w:sz w:val="24"/>
              </w:rPr>
              <w:t>不要求递交</w:t>
            </w:r>
          </w:p>
        </w:tc>
        <w:tc>
          <w:tcPr>
            <w:tcW w:w="3314" w:type="dxa"/>
          </w:tcPr>
          <w:p>
            <w:pPr>
              <w:widowControl w:val="0"/>
              <w:autoSpaceDE w:val="0"/>
              <w:spacing w:line="400" w:lineRule="exact"/>
              <w:jc w:val="both"/>
              <w:rPr>
                <w:rFonts w:ascii="黑体" w:hAnsi="黑体"/>
              </w:rPr>
            </w:pPr>
            <w:r>
              <w:rPr>
                <w:rStyle w:val="19"/>
                <w:rFonts w:hint="eastAsia"/>
              </w:rPr>
              <w:t>☑不</w:t>
            </w:r>
            <w:r>
              <w:rPr>
                <w:rFonts w:hint="eastAsia" w:ascii="宋体" w:hAnsi="宋体"/>
                <w:sz w:val="24"/>
              </w:rPr>
              <w:t>适用</w:t>
            </w:r>
          </w:p>
        </w:tc>
        <w:tc>
          <w:tcPr>
            <w:tcW w:w="3046" w:type="dxa"/>
          </w:tcPr>
          <w:p>
            <w:pPr>
              <w:widowControl w:val="0"/>
              <w:autoSpaceDE w:val="0"/>
              <w:spacing w:line="400" w:lineRule="exact"/>
              <w:jc w:val="both"/>
              <w:rPr>
                <w:rFonts w:ascii="黑体" w:hAnsi="黑体"/>
              </w:rPr>
            </w:pPr>
            <w:r>
              <w:rPr>
                <w:rStyle w:val="19"/>
                <w:rFonts w:hint="eastAsia"/>
              </w:rPr>
              <w:t>☑</w:t>
            </w:r>
            <w:r>
              <w:rPr>
                <w:rFonts w:hint="eastAsia" w:ascii="宋体" w:hAnsi="宋体"/>
                <w:sz w:val="24"/>
              </w:rPr>
              <w:t>不适用</w:t>
            </w:r>
          </w:p>
        </w:tc>
      </w:tr>
    </w:tbl>
    <w:p/>
    <w:p>
      <w:pPr>
        <w:pStyle w:val="7"/>
        <w:jc w:val="both"/>
        <w:rPr>
          <w:rFonts w:ascii="Arial" w:hAnsi="Arial"/>
        </w:rPr>
      </w:pPr>
      <w:r>
        <w:rPr>
          <w:rFonts w:hint="eastAsia"/>
          <w:lang w:val="en-US" w:eastAsia="zh-CN"/>
        </w:rPr>
        <w:t>5</w:t>
      </w:r>
      <w:r>
        <w:t xml:space="preserve"> </w:t>
      </w:r>
      <w:r>
        <w:rPr>
          <w:rFonts w:hint="eastAsia" w:ascii="黑体" w:hAnsi="黑体"/>
        </w:rPr>
        <w:t>确定成交供应商的方法</w:t>
      </w:r>
    </w:p>
    <w:p>
      <w:pPr>
        <w:autoSpaceDE w:val="0"/>
        <w:spacing w:line="400" w:lineRule="exact"/>
        <w:jc w:val="both"/>
        <w:rPr>
          <w:rStyle w:val="19"/>
        </w:rPr>
      </w:pPr>
      <w:r>
        <w:rPr>
          <w:rFonts w:hint="eastAsia" w:ascii="宋体" w:hAnsi="宋体"/>
          <w:b/>
          <w:bCs/>
          <w:sz w:val="24"/>
        </w:rPr>
        <w:t>（一） 最低价法</w:t>
      </w:r>
    </w:p>
    <w:p>
      <w:pPr>
        <w:autoSpaceDE w:val="0"/>
        <w:spacing w:line="400" w:lineRule="exact"/>
        <w:jc w:val="both"/>
        <w:rPr>
          <w:rFonts w:ascii="宋体" w:hAnsi="宋体"/>
          <w:sz w:val="24"/>
        </w:rPr>
      </w:pPr>
      <w:r>
        <w:rPr>
          <w:rFonts w:hint="eastAsia" w:ascii="宋体" w:hAnsi="宋体"/>
          <w:b/>
          <w:bCs/>
          <w:sz w:val="24"/>
        </w:rPr>
        <w:t>（二）</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7"/>
        <w:jc w:val="both"/>
        <w:rPr>
          <w:rFonts w:ascii="Arial" w:hAnsi="Arial"/>
        </w:rPr>
      </w:pPr>
      <w:r>
        <w:rPr>
          <w:rFonts w:hint="eastAsia" w:ascii="黑体" w:hAnsi="黑体"/>
          <w:lang w:val="en-US" w:eastAsia="zh-CN"/>
        </w:rPr>
        <w:t>6</w:t>
      </w:r>
      <w:r>
        <w:rPr>
          <w:rFonts w:hint="eastAsia" w:ascii="黑体" w:hAnsi="黑体"/>
        </w:rPr>
        <w:t>采购文件获取</w:t>
      </w:r>
    </w:p>
    <w:p>
      <w:pPr>
        <w:autoSpaceDE w:val="0"/>
        <w:spacing w:line="400" w:lineRule="exact"/>
        <w:jc w:val="both"/>
        <w:rPr>
          <w:rFonts w:ascii="宋体" w:hAnsi="宋体"/>
          <w:sz w:val="24"/>
          <w:u w:val="none"/>
        </w:rPr>
      </w:pPr>
      <w:r>
        <w:rPr>
          <w:rFonts w:hint="eastAsia" w:ascii="宋体" w:hAnsi="宋体"/>
          <w:b/>
          <w:bCs/>
          <w:sz w:val="24"/>
          <w:lang w:val="en-US" w:eastAsia="zh-CN"/>
        </w:rPr>
        <w:t>6</w:t>
      </w:r>
      <w:r>
        <w:rPr>
          <w:rFonts w:hint="eastAsia" w:ascii="宋体" w:hAnsi="宋体"/>
          <w:b/>
          <w:bCs/>
          <w:sz w:val="24"/>
        </w:rPr>
        <w:t xml:space="preserve">.1 </w:t>
      </w:r>
      <w:r>
        <w:rPr>
          <w:rFonts w:hint="eastAsia" w:ascii="宋体" w:hAnsi="宋体"/>
          <w:sz w:val="24"/>
        </w:rPr>
        <w:t>供应商应当于</w:t>
      </w:r>
      <w:r>
        <w:rPr>
          <w:rFonts w:hint="eastAsia" w:ascii="宋体" w:hAnsi="宋体"/>
          <w:sz w:val="24"/>
          <w:u w:val="none"/>
          <w:lang w:val="en-US" w:eastAsia="zh-CN"/>
        </w:rPr>
        <w:t>2024</w:t>
      </w:r>
      <w:r>
        <w:rPr>
          <w:rFonts w:hint="eastAsia" w:ascii="宋体" w:hAnsi="宋体"/>
          <w:sz w:val="24"/>
          <w:u w:val="none"/>
        </w:rPr>
        <w:t>年</w:t>
      </w:r>
      <w:r>
        <w:rPr>
          <w:rFonts w:hint="eastAsia" w:ascii="宋体" w:hAnsi="宋体"/>
          <w:sz w:val="24"/>
          <w:u w:val="none"/>
          <w:lang w:val="en-US" w:eastAsia="zh-CN"/>
        </w:rPr>
        <w:t>4</w:t>
      </w:r>
      <w:r>
        <w:rPr>
          <w:rFonts w:hint="eastAsia" w:ascii="宋体" w:hAnsi="宋体"/>
          <w:sz w:val="24"/>
          <w:u w:val="none"/>
        </w:rPr>
        <w:t>月</w:t>
      </w:r>
      <w:r>
        <w:rPr>
          <w:rFonts w:hint="eastAsia" w:ascii="宋体" w:hAnsi="宋体"/>
          <w:sz w:val="24"/>
          <w:u w:val="none"/>
          <w:lang w:val="en-US" w:eastAsia="zh-CN"/>
        </w:rPr>
        <w:t>16</w:t>
      </w:r>
      <w:r>
        <w:rPr>
          <w:rFonts w:hint="eastAsia" w:ascii="宋体" w:hAnsi="宋体"/>
          <w:sz w:val="24"/>
          <w:u w:val="none"/>
        </w:rPr>
        <w:t>日</w:t>
      </w:r>
      <w:r>
        <w:rPr>
          <w:rFonts w:hint="eastAsia" w:ascii="宋体" w:hAnsi="宋体"/>
          <w:sz w:val="24"/>
          <w:u w:val="none"/>
          <w:lang w:val="en-US" w:eastAsia="zh-CN"/>
        </w:rPr>
        <w:t>8</w:t>
      </w:r>
      <w:r>
        <w:rPr>
          <w:rFonts w:hint="eastAsia" w:ascii="宋体" w:hAnsi="宋体"/>
          <w:sz w:val="24"/>
          <w:u w:val="none"/>
        </w:rPr>
        <w:t>时</w:t>
      </w:r>
      <w:r>
        <w:rPr>
          <w:rFonts w:hint="eastAsia" w:ascii="宋体" w:hAnsi="宋体"/>
          <w:sz w:val="24"/>
          <w:u w:val="none"/>
          <w:lang w:val="en-US" w:eastAsia="zh-CN"/>
        </w:rPr>
        <w:t>00</w:t>
      </w:r>
      <w:r>
        <w:rPr>
          <w:rFonts w:hint="eastAsia" w:ascii="宋体" w:hAnsi="宋体"/>
          <w:sz w:val="24"/>
          <w:u w:val="none"/>
        </w:rPr>
        <w:t>分至</w:t>
      </w:r>
      <w:r>
        <w:rPr>
          <w:rFonts w:hint="eastAsia" w:ascii="宋体" w:hAnsi="宋体"/>
          <w:sz w:val="24"/>
          <w:u w:val="none"/>
          <w:lang w:val="en-US" w:eastAsia="zh-CN"/>
        </w:rPr>
        <w:t>2024</w:t>
      </w:r>
      <w:r>
        <w:rPr>
          <w:rFonts w:hint="eastAsia" w:ascii="宋体" w:hAnsi="宋体"/>
          <w:sz w:val="24"/>
          <w:u w:val="none"/>
        </w:rPr>
        <w:t>年</w:t>
      </w:r>
      <w:r>
        <w:rPr>
          <w:rFonts w:hint="eastAsia" w:ascii="宋体" w:hAnsi="宋体"/>
          <w:sz w:val="24"/>
          <w:u w:val="none"/>
          <w:lang w:val="en-US" w:eastAsia="zh-CN"/>
        </w:rPr>
        <w:t>4</w:t>
      </w:r>
      <w:r>
        <w:rPr>
          <w:rFonts w:hint="eastAsia" w:ascii="宋体" w:hAnsi="宋体"/>
          <w:sz w:val="24"/>
          <w:u w:val="none"/>
        </w:rPr>
        <w:t>月</w:t>
      </w:r>
      <w:r>
        <w:rPr>
          <w:rFonts w:hint="eastAsia" w:ascii="宋体" w:hAnsi="宋体"/>
          <w:sz w:val="24"/>
          <w:u w:val="none"/>
          <w:lang w:val="en-US" w:eastAsia="zh-CN"/>
        </w:rPr>
        <w:t>20</w:t>
      </w:r>
      <w:r>
        <w:rPr>
          <w:rFonts w:hint="eastAsia" w:ascii="宋体" w:hAnsi="宋体"/>
          <w:sz w:val="24"/>
          <w:u w:val="none"/>
        </w:rPr>
        <w:t>日</w:t>
      </w:r>
      <w:r>
        <w:rPr>
          <w:rFonts w:hint="eastAsia" w:ascii="宋体" w:hAnsi="宋体"/>
          <w:sz w:val="24"/>
          <w:u w:val="none"/>
          <w:lang w:val="en-US" w:eastAsia="zh-CN"/>
        </w:rPr>
        <w:t>17</w:t>
      </w:r>
      <w:r>
        <w:rPr>
          <w:rFonts w:hint="eastAsia" w:ascii="宋体" w:hAnsi="宋体"/>
          <w:sz w:val="24"/>
          <w:u w:val="none"/>
        </w:rPr>
        <w:t>时</w:t>
      </w:r>
      <w:r>
        <w:rPr>
          <w:rFonts w:hint="eastAsia" w:ascii="宋体" w:hAnsi="宋体"/>
          <w:sz w:val="24"/>
          <w:u w:val="none"/>
          <w:lang w:val="en-US" w:eastAsia="zh-CN"/>
        </w:rPr>
        <w:t>00</w:t>
      </w:r>
      <w:r>
        <w:rPr>
          <w:rFonts w:hint="eastAsia" w:ascii="宋体" w:hAnsi="宋体"/>
          <w:sz w:val="24"/>
          <w:u w:val="none"/>
        </w:rPr>
        <w:t>分</w:t>
      </w:r>
      <w:r>
        <w:rPr>
          <w:rFonts w:hint="eastAsia" w:ascii="宋体" w:hAnsi="宋体"/>
          <w:sz w:val="24"/>
          <w:u w:val="none"/>
        </w:rPr>
        <w:t xml:space="preserve">，                    </w:t>
      </w:r>
      <w:r>
        <w:rPr>
          <w:rFonts w:ascii="宋体" w:hAnsi="宋体"/>
          <w:sz w:val="24"/>
          <w:u w:val="none"/>
        </w:rPr>
        <w:t xml:space="preserve">  </w:t>
      </w:r>
      <w:r>
        <w:rPr>
          <w:rFonts w:hint="eastAsia" w:ascii="宋体" w:hAnsi="宋体"/>
          <w:sz w:val="24"/>
          <w:u w:val="none"/>
        </w:rPr>
        <w:t>获取采购文件:</w:t>
      </w:r>
    </w:p>
    <w:p>
      <w:pPr>
        <w:autoSpaceDE w:val="0"/>
        <w:spacing w:line="400" w:lineRule="exact"/>
        <w:jc w:val="both"/>
        <w:rPr>
          <w:rFonts w:ascii="宋体" w:hAnsi="宋体"/>
          <w:sz w:val="24"/>
        </w:rPr>
      </w:pPr>
      <w:r>
        <w:rPr>
          <w:rFonts w:hint="eastAsia" w:ascii="宋体" w:hAnsi="宋体"/>
          <w:b/>
          <w:bCs/>
          <w:sz w:val="24"/>
          <w:u w:val="none"/>
          <w:lang w:val="en-US" w:eastAsia="zh-CN"/>
        </w:rPr>
        <w:t>6</w:t>
      </w:r>
      <w:r>
        <w:rPr>
          <w:rFonts w:hint="eastAsia" w:ascii="宋体" w:hAnsi="宋体"/>
          <w:b/>
          <w:bCs/>
          <w:sz w:val="24"/>
          <w:u w:val="none"/>
        </w:rPr>
        <w:t>.</w:t>
      </w:r>
      <w:r>
        <w:rPr>
          <w:rFonts w:hint="eastAsia" w:ascii="宋体" w:hAnsi="宋体"/>
          <w:b/>
          <w:bCs/>
          <w:sz w:val="24"/>
          <w:u w:val="none"/>
          <w:lang w:val="en-US" w:eastAsia="zh-CN"/>
        </w:rPr>
        <w:t>2</w:t>
      </w:r>
      <w:r>
        <w:rPr>
          <w:rFonts w:hint="eastAsia" w:ascii="宋体" w:hAnsi="宋体"/>
          <w:b/>
          <w:bCs/>
          <w:sz w:val="24"/>
          <w:u w:val="none"/>
        </w:rPr>
        <w:t xml:space="preserve"> </w:t>
      </w:r>
      <w:r>
        <w:rPr>
          <w:rFonts w:hint="eastAsia" w:ascii="宋体" w:hAnsi="宋体"/>
          <w:sz w:val="24"/>
          <w:u w:val="none"/>
        </w:rPr>
        <w:t>供应商若对本项目采购需求、资格要求等有疑问的，应当于</w:t>
      </w:r>
      <w:r>
        <w:rPr>
          <w:rFonts w:hint="eastAsia" w:ascii="宋体" w:hAnsi="宋体"/>
          <w:sz w:val="24"/>
          <w:u w:val="none"/>
          <w:lang w:val="en-US" w:eastAsia="zh-CN"/>
        </w:rPr>
        <w:t>2024</w:t>
      </w:r>
      <w:r>
        <w:rPr>
          <w:rFonts w:hint="eastAsia" w:ascii="宋体" w:hAnsi="宋体"/>
          <w:sz w:val="24"/>
          <w:u w:val="none"/>
        </w:rPr>
        <w:t>年</w:t>
      </w:r>
      <w:r>
        <w:rPr>
          <w:rFonts w:hint="eastAsia" w:ascii="宋体" w:hAnsi="宋体"/>
          <w:sz w:val="24"/>
          <w:u w:val="none"/>
          <w:lang w:val="en-US" w:eastAsia="zh-CN"/>
        </w:rPr>
        <w:t>4</w:t>
      </w:r>
      <w:r>
        <w:rPr>
          <w:rFonts w:hint="eastAsia" w:ascii="宋体" w:hAnsi="宋体"/>
          <w:sz w:val="24"/>
          <w:u w:val="none"/>
        </w:rPr>
        <w:t>月</w:t>
      </w:r>
      <w:r>
        <w:rPr>
          <w:rFonts w:hint="eastAsia" w:ascii="宋体" w:hAnsi="宋体"/>
          <w:sz w:val="24"/>
          <w:u w:val="none"/>
          <w:lang w:val="en-US" w:eastAsia="zh-CN"/>
        </w:rPr>
        <w:t>18</w:t>
      </w:r>
      <w:r>
        <w:rPr>
          <w:rFonts w:hint="eastAsia" w:ascii="宋体" w:hAnsi="宋体"/>
          <w:sz w:val="24"/>
          <w:u w:val="none"/>
        </w:rPr>
        <w:t>日</w:t>
      </w:r>
      <w:r>
        <w:rPr>
          <w:rFonts w:hint="eastAsia" w:ascii="宋体" w:hAnsi="宋体"/>
          <w:sz w:val="24"/>
          <w:u w:val="none"/>
          <w:lang w:val="en-US" w:eastAsia="zh-CN"/>
        </w:rPr>
        <w:t>17</w:t>
      </w:r>
      <w:r>
        <w:rPr>
          <w:rFonts w:hint="eastAsia" w:ascii="宋体" w:hAnsi="宋体"/>
          <w:sz w:val="24"/>
          <w:u w:val="none"/>
        </w:rPr>
        <w:t>时</w:t>
      </w:r>
      <w:r>
        <w:rPr>
          <w:rFonts w:hint="eastAsia" w:ascii="宋体" w:hAnsi="宋体"/>
          <w:sz w:val="24"/>
          <w:u w:val="none"/>
          <w:lang w:val="en-US" w:eastAsia="zh-CN"/>
        </w:rPr>
        <w:t>00</w:t>
      </w:r>
      <w:r>
        <w:rPr>
          <w:rFonts w:hint="eastAsia" w:ascii="宋体" w:hAnsi="宋体"/>
          <w:sz w:val="24"/>
          <w:u w:val="none"/>
        </w:rPr>
        <w:t>分前向采购人提出澄清要求。</w:t>
      </w:r>
    </w:p>
    <w:p>
      <w:pPr>
        <w:pStyle w:val="7"/>
        <w:jc w:val="both"/>
      </w:pPr>
      <w:r>
        <w:rPr>
          <w:rFonts w:hint="eastAsia"/>
          <w:lang w:val="en-US" w:eastAsia="zh-CN"/>
        </w:rPr>
        <w:t>7</w:t>
      </w:r>
      <w:r>
        <w:t xml:space="preserve"> </w:t>
      </w:r>
      <w:r>
        <w:rPr>
          <w:rFonts w:hint="eastAsia"/>
        </w:rPr>
        <w:t>发布</w:t>
      </w:r>
      <w:r>
        <w:rPr>
          <w:rFonts w:hint="eastAsia" w:ascii="黑体" w:hAnsi="黑体"/>
        </w:rPr>
        <w:t>公告的</w:t>
      </w:r>
      <w:r>
        <w:rPr>
          <w:rFonts w:hint="eastAsia"/>
        </w:rPr>
        <w:t>媒介</w:t>
      </w:r>
    </w:p>
    <w:p>
      <w:pPr>
        <w:widowControl w:val="0"/>
        <w:spacing w:line="312" w:lineRule="auto"/>
        <w:ind w:firstLine="480" w:firstLineChars="200"/>
        <w:jc w:val="both"/>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中国招标投标公共服务平台（http：//www.cebpubservice.com）、湖南省港航水利集团官网（http：//www.hnsghsljt.com）、湖南省港务集团有限公司门户网站（http://www.hnsgwjt.com/）上发布。</w:t>
      </w:r>
    </w:p>
    <w:p>
      <w:pPr>
        <w:pStyle w:val="7"/>
        <w:jc w:val="both"/>
      </w:pPr>
      <w:bookmarkStart w:id="0" w:name="_Toc77254104"/>
      <w:bookmarkStart w:id="1" w:name="_Toc76635692"/>
      <w:bookmarkStart w:id="2" w:name="_Toc512257471"/>
      <w:bookmarkStart w:id="3" w:name="_Toc79596547"/>
      <w:r>
        <w:rPr>
          <w:rFonts w:hint="eastAsia"/>
          <w:lang w:val="en-US" w:eastAsia="zh-CN"/>
        </w:rPr>
        <w:t xml:space="preserve">8 </w:t>
      </w:r>
      <w:r>
        <w:t>监督</w:t>
      </w:r>
      <w:bookmarkEnd w:id="0"/>
      <w:bookmarkEnd w:id="1"/>
      <w:bookmarkEnd w:id="2"/>
      <w:r>
        <w:rPr>
          <w:rFonts w:hint="eastAsia"/>
        </w:rPr>
        <w:t>部门</w:t>
      </w:r>
      <w:bookmarkEnd w:id="3"/>
    </w:p>
    <w:p>
      <w:pPr>
        <w:pStyle w:val="13"/>
        <w:widowControl w:val="0"/>
        <w:adjustRightInd w:val="0"/>
        <w:snapToGrid w:val="0"/>
        <w:spacing w:before="0" w:beforeAutospacing="0" w:after="0" w:afterAutospacing="0" w:line="312" w:lineRule="auto"/>
        <w:ind w:firstLine="480" w:firstLineChars="200"/>
        <w:jc w:val="both"/>
        <w:rPr>
          <w:rFonts w:cs="Times New Roman"/>
        </w:rPr>
      </w:pPr>
      <w:r>
        <w:rPr>
          <w:rFonts w:cs="Times New Roman"/>
        </w:rPr>
        <w:t>本次</w:t>
      </w:r>
      <w:r>
        <w:rPr>
          <w:rFonts w:hint="eastAsia" w:cs="Times New Roman"/>
        </w:rPr>
        <w:t>采购</w:t>
      </w:r>
      <w:r>
        <w:rPr>
          <w:rFonts w:cs="Times New Roman"/>
        </w:rPr>
        <w:t>监督部门为</w:t>
      </w:r>
      <w:r>
        <w:rPr>
          <w:rFonts w:hint="eastAsia" w:cs="Times New Roman"/>
        </w:rPr>
        <w:t>湖南</w:t>
      </w:r>
      <w:r>
        <w:rPr>
          <w:rFonts w:hint="eastAsia"/>
        </w:rPr>
        <w:t>港产科技有限公司党群综合部晏晶</w:t>
      </w:r>
      <w:r>
        <w:rPr>
          <w:rFonts w:cs="Times New Roman"/>
        </w:rPr>
        <w:t>，</w:t>
      </w:r>
    </w:p>
    <w:p>
      <w:pPr>
        <w:pStyle w:val="13"/>
        <w:widowControl w:val="0"/>
        <w:adjustRightInd w:val="0"/>
        <w:snapToGrid w:val="0"/>
        <w:spacing w:before="0" w:beforeAutospacing="0" w:after="0" w:afterAutospacing="0" w:line="312" w:lineRule="auto"/>
        <w:ind w:firstLine="480" w:firstLineChars="200"/>
        <w:jc w:val="both"/>
      </w:pPr>
      <w:r>
        <w:rPr>
          <w:rFonts w:cs="Times New Roman"/>
        </w:rPr>
        <w:t>电话：</w:t>
      </w:r>
      <w:r>
        <w:rPr>
          <w:rFonts w:hint="eastAsia"/>
        </w:rPr>
        <w:t>13873063063</w:t>
      </w:r>
    </w:p>
    <w:p>
      <w:pPr>
        <w:pStyle w:val="5"/>
        <w:widowControl w:val="0"/>
        <w:adjustRightInd w:val="0"/>
        <w:snapToGrid w:val="0"/>
        <w:spacing w:after="0" w:line="312" w:lineRule="auto"/>
        <w:jc w:val="both"/>
        <w:rPr>
          <w:rFonts w:cs="宋体"/>
          <w:sz w:val="24"/>
          <w:szCs w:val="24"/>
        </w:rPr>
      </w:pPr>
      <w:r>
        <w:rPr>
          <w:rFonts w:hint="eastAsia" w:cs="宋体"/>
          <w:sz w:val="30"/>
          <w:szCs w:val="30"/>
          <w:lang w:val="en-US" w:eastAsia="zh-CN"/>
        </w:rPr>
        <w:t>9</w:t>
      </w:r>
      <w:r>
        <w:rPr>
          <w:rFonts w:hint="eastAsia" w:cs="宋体"/>
          <w:sz w:val="24"/>
          <w:szCs w:val="24"/>
          <w:lang w:val="en-US" w:eastAsia="zh-CN"/>
        </w:rPr>
        <w:t xml:space="preserve"> </w:t>
      </w:r>
      <w:r>
        <w:rPr>
          <w:rFonts w:hint="eastAsia" w:cs="宋体"/>
          <w:sz w:val="24"/>
          <w:szCs w:val="24"/>
        </w:rPr>
        <w:t>最高投标限价</w:t>
      </w:r>
    </w:p>
    <w:p>
      <w:pPr>
        <w:keepNext w:val="0"/>
        <w:keepLines w:val="0"/>
        <w:pageBreakBefore w:val="0"/>
        <w:widowControl/>
        <w:suppressLineNumbers w:val="0"/>
        <w:kinsoku/>
        <w:wordWrap/>
        <w:overflowPunct/>
        <w:topLinePunct w:val="0"/>
        <w:autoSpaceDE/>
        <w:autoSpaceDN/>
        <w:bidi w:val="0"/>
        <w:spacing w:line="400" w:lineRule="exact"/>
        <w:ind w:firstLine="480" w:firstLineChars="200"/>
        <w:jc w:val="left"/>
        <w:textAlignment w:val="auto"/>
        <w:rPr>
          <w:rFonts w:ascii="宋体" w:hAnsi="宋体" w:cs="宋体"/>
          <w:bCs/>
          <w:color w:val="000000"/>
          <w:sz w:val="24"/>
        </w:rPr>
      </w:pPr>
      <w:r>
        <w:rPr>
          <w:rFonts w:hint="eastAsia" w:ascii="宋体" w:hAnsi="宋体" w:cs="宋体"/>
          <w:bCs/>
          <w:color w:val="FF0000"/>
          <w:sz w:val="24"/>
          <w:highlight w:val="none"/>
          <w:lang w:val="en-US" w:eastAsia="zh-CN"/>
        </w:rPr>
        <w:t>9.1</w:t>
      </w:r>
      <w:r>
        <w:rPr>
          <w:rFonts w:hint="eastAsia" w:ascii="宋体" w:hAnsi="宋体" w:cs="宋体"/>
          <w:bCs/>
          <w:color w:val="FF0000"/>
          <w:sz w:val="24"/>
          <w:highlight w:val="none"/>
        </w:rPr>
        <w:t>采购人对本次询价项目设置了最高限价</w:t>
      </w:r>
      <w:r>
        <w:rPr>
          <w:rFonts w:hint="eastAsia" w:ascii="宋体" w:hAnsi="宋体" w:cs="宋体"/>
          <w:bCs/>
          <w:color w:val="FF0000"/>
          <w:sz w:val="24"/>
          <w:highlight w:val="none"/>
          <w:lang w:val="en-US" w:eastAsia="zh-CN"/>
        </w:rPr>
        <w:t>约</w:t>
      </w:r>
      <w:r>
        <w:rPr>
          <w:rFonts w:hint="eastAsia" w:ascii="宋体" w:hAnsi="宋体" w:cs="宋体"/>
          <w:bCs/>
          <w:color w:val="FF0000"/>
          <w:sz w:val="24"/>
          <w:highlight w:val="none"/>
        </w:rPr>
        <w:t>为</w:t>
      </w:r>
      <w:r>
        <w:rPr>
          <w:rFonts w:hint="eastAsia" w:ascii="宋体" w:hAnsi="宋体" w:cs="宋体"/>
          <w:bCs/>
          <w:color w:val="FF0000"/>
          <w:sz w:val="24"/>
          <w:highlight w:val="none"/>
          <w:lang w:val="en-US" w:eastAsia="zh-CN"/>
        </w:rPr>
        <w:t>人民币</w:t>
      </w:r>
      <w:r>
        <w:rPr>
          <w:rFonts w:hint="eastAsia" w:ascii="宋体" w:hAnsi="宋体" w:eastAsia="宋体" w:cs="宋体"/>
          <w:bCs/>
          <w:color w:val="FF0000"/>
          <w:sz w:val="24"/>
          <w:highlight w:val="none"/>
          <w:lang w:eastAsia="zh-CN"/>
        </w:rPr>
        <w:t>：</w:t>
      </w:r>
      <w:r>
        <w:rPr>
          <w:rFonts w:hint="default" w:ascii="Arial" w:hAnsi="Arial" w:eastAsia="宋体" w:cs="Arial"/>
          <w:bCs/>
          <w:color w:val="FF0000"/>
          <w:sz w:val="24"/>
          <w:highlight w:val="none"/>
          <w:lang w:eastAsia="zh-CN"/>
        </w:rPr>
        <w:t>¥</w:t>
      </w:r>
      <w:r>
        <w:rPr>
          <w:rFonts w:hint="eastAsia" w:ascii="Arial" w:hAnsi="Arial" w:cs="Arial"/>
          <w:bCs/>
          <w:color w:val="FF0000"/>
          <w:sz w:val="24"/>
          <w:highlight w:val="none"/>
          <w:lang w:eastAsia="zh-CN"/>
        </w:rPr>
        <w:t>：</w:t>
      </w:r>
      <w:r>
        <w:rPr>
          <w:rFonts w:hint="eastAsia" w:ascii="Arial" w:hAnsi="Arial" w:cs="Arial"/>
          <w:bCs/>
          <w:color w:val="FF0000"/>
          <w:sz w:val="24"/>
          <w:highlight w:val="none"/>
          <w:lang w:val="en-US" w:eastAsia="zh-CN"/>
        </w:rPr>
        <w:t>244645元</w:t>
      </w:r>
      <w:r>
        <w:rPr>
          <w:rFonts w:hint="eastAsia" w:ascii="宋体" w:hAnsi="宋体" w:cs="宋体"/>
          <w:bCs/>
          <w:color w:val="000000"/>
          <w:sz w:val="24"/>
          <w:highlight w:val="none"/>
        </w:rPr>
        <w:t>（</w:t>
      </w:r>
      <w:r>
        <w:rPr>
          <w:rFonts w:hint="eastAsia" w:ascii="宋体" w:hAnsi="宋体" w:cs="宋体"/>
          <w:bCs/>
          <w:color w:val="000000"/>
          <w:sz w:val="24"/>
        </w:rPr>
        <w:t>税率</w:t>
      </w:r>
      <w:r>
        <w:rPr>
          <w:rFonts w:hint="eastAsia" w:ascii="宋体" w:hAnsi="宋体" w:cs="宋体"/>
          <w:bCs/>
          <w:color w:val="000000"/>
          <w:sz w:val="24"/>
          <w:lang w:val="en-US" w:eastAsia="zh-CN"/>
        </w:rPr>
        <w:t>3%</w:t>
      </w:r>
      <w:r>
        <w:rPr>
          <w:rFonts w:hint="eastAsia" w:ascii="宋体" w:hAnsi="宋体" w:cs="宋体"/>
          <w:bCs/>
          <w:color w:val="000000"/>
          <w:sz w:val="24"/>
        </w:rPr>
        <w:t>）</w:t>
      </w:r>
      <w:r>
        <w:rPr>
          <w:rFonts w:hint="eastAsia" w:ascii="宋体" w:hAnsi="宋体" w:cs="宋体"/>
          <w:bCs/>
          <w:color w:val="000000"/>
          <w:sz w:val="24"/>
          <w:lang w:eastAsia="zh-CN"/>
        </w:rPr>
        <w:t>，</w:t>
      </w:r>
      <w:r>
        <w:rPr>
          <w:rFonts w:hint="eastAsia" w:ascii="宋体" w:hAnsi="宋体" w:cs="宋体"/>
          <w:bCs/>
          <w:color w:val="000000"/>
          <w:sz w:val="24"/>
          <w:lang w:val="en-US" w:eastAsia="zh-CN"/>
        </w:rPr>
        <w:t>工作内容见明细，</w:t>
      </w:r>
      <w:r>
        <w:rPr>
          <w:rFonts w:hint="eastAsia" w:ascii="宋体" w:hAnsi="宋体" w:cs="宋体"/>
          <w:bCs/>
          <w:color w:val="000000"/>
          <w:sz w:val="24"/>
        </w:rPr>
        <w:t>超过最高限价的作废。如果报价人提供其他税率的增值税专用发票，招标人按（</w:t>
      </w:r>
      <w:r>
        <w:rPr>
          <w:rFonts w:hint="eastAsia" w:ascii="宋体" w:hAnsi="宋体" w:cs="宋体"/>
          <w:bCs/>
          <w:color w:val="000000"/>
          <w:sz w:val="24"/>
          <w:lang w:val="en-US" w:eastAsia="zh-CN"/>
        </w:rPr>
        <w:t>税前价</w:t>
      </w:r>
      <w:r>
        <w:rPr>
          <w:rFonts w:hint="eastAsia" w:ascii="宋体" w:hAnsi="宋体" w:cs="宋体"/>
          <w:bCs/>
          <w:color w:val="000000"/>
          <w:sz w:val="24"/>
        </w:rPr>
        <w:t>）的税率调整后计算报价参与排序。</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bCs/>
          <w:color w:val="000000"/>
          <w:sz w:val="24"/>
        </w:rPr>
      </w:pPr>
      <w:r>
        <w:rPr>
          <w:rFonts w:hint="eastAsia" w:ascii="宋体" w:hAnsi="宋体" w:cs="宋体"/>
          <w:bCs/>
          <w:color w:val="000000"/>
          <w:sz w:val="24"/>
        </w:rPr>
        <w:t>本项目的报价采用包工、包质量、包安全生产和安全保卫、包文明施工，</w:t>
      </w:r>
      <w:r>
        <w:rPr>
          <w:rFonts w:hint="eastAsia" w:ascii="宋体" w:hAnsi="宋体" w:cs="宋体"/>
          <w:bCs/>
          <w:color w:val="000000"/>
          <w:sz w:val="24"/>
          <w:lang w:val="en-US" w:eastAsia="zh-CN"/>
        </w:rPr>
        <w:t>总</w:t>
      </w:r>
      <w:r>
        <w:rPr>
          <w:rFonts w:hint="eastAsia" w:ascii="宋体" w:hAnsi="宋体" w:cs="宋体"/>
          <w:bCs/>
          <w:color w:val="000000"/>
          <w:sz w:val="24"/>
        </w:rPr>
        <w:t>包干的方式进行承包。包括：相应所有直接费、各种技术措施费用、管理费、利润、安全文明施工费、冬雨季施工增加费、社会保险费、规费、税金、从指定的水电接驳点接水接电费用及夜间施工照明费用、合同工期内的赶工费、各种施工风险因素后的</w:t>
      </w:r>
      <w:r>
        <w:rPr>
          <w:rFonts w:hint="eastAsia" w:ascii="宋体" w:hAnsi="宋体" w:cs="宋体"/>
          <w:bCs/>
          <w:color w:val="000000"/>
          <w:sz w:val="24"/>
          <w:lang w:val="en-US" w:eastAsia="zh-CN"/>
        </w:rPr>
        <w:t>价格</w:t>
      </w:r>
      <w:r>
        <w:rPr>
          <w:rFonts w:hint="eastAsia" w:ascii="宋体" w:hAnsi="宋体" w:cs="宋体"/>
          <w:bCs/>
          <w:color w:val="000000"/>
          <w:sz w:val="24"/>
        </w:rPr>
        <w:t>。</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default" w:ascii="宋体" w:hAnsi="宋体" w:eastAsia="宋体" w:cs="宋体"/>
          <w:bCs/>
          <w:color w:val="000000"/>
          <w:sz w:val="24"/>
          <w:lang w:val="en-US" w:eastAsia="zh-CN"/>
        </w:rPr>
      </w:pPr>
      <w:r>
        <w:rPr>
          <w:rFonts w:hint="eastAsia" w:ascii="宋体" w:hAnsi="宋体" w:cs="宋体"/>
          <w:bCs/>
          <w:color w:val="000000"/>
          <w:sz w:val="24"/>
          <w:lang w:val="en-US" w:eastAsia="zh-CN"/>
        </w:rPr>
        <w:t xml:space="preserve">9.2 </w:t>
      </w:r>
      <w:r>
        <w:rPr>
          <w:rFonts w:hint="eastAsia" w:ascii="宋体" w:hAnsi="宋体"/>
          <w:sz w:val="24"/>
        </w:rPr>
        <w:t>采购人在签署采购合同时及合同履行过程中，有权对采购标</w:t>
      </w:r>
      <w:r>
        <w:rPr>
          <w:rFonts w:hint="eastAsia" w:ascii="宋体" w:hAnsi="宋体"/>
          <w:sz w:val="24"/>
          <w:lang w:val="en-US" w:eastAsia="zh-CN"/>
        </w:rPr>
        <w:t>工程量清单</w:t>
      </w:r>
      <w:r>
        <w:rPr>
          <w:rFonts w:hint="eastAsia" w:ascii="宋体" w:hAnsi="宋体"/>
          <w:sz w:val="24"/>
        </w:rPr>
        <w:t xml:space="preserve">进行增加或减少的幅度: </w:t>
      </w:r>
      <w:r>
        <w:rPr>
          <w:rFonts w:hint="eastAsia" w:ascii="宋体" w:hAnsi="宋体"/>
          <w:sz w:val="24"/>
          <w:lang w:val="en-US" w:eastAsia="zh-CN"/>
        </w:rPr>
        <w:t>10</w:t>
      </w:r>
      <w:r>
        <w:rPr>
          <w:rFonts w:hint="eastAsia" w:ascii="宋体" w:hAnsi="宋体"/>
          <w:sz w:val="24"/>
        </w:rPr>
        <w:t>%。</w:t>
      </w:r>
    </w:p>
    <w:p>
      <w:pPr>
        <w:pStyle w:val="7"/>
        <w:jc w:val="both"/>
        <w:rPr>
          <w:rFonts w:ascii="Arial" w:hAnsi="Arial"/>
        </w:rPr>
      </w:pPr>
      <w:r>
        <w:rPr>
          <w:rFonts w:hint="eastAsia" w:ascii="黑体" w:hAnsi="黑体"/>
          <w:lang w:val="en-US" w:eastAsia="zh-CN"/>
        </w:rPr>
        <w:t xml:space="preserve">10 </w:t>
      </w:r>
      <w:r>
        <w:rPr>
          <w:rFonts w:hint="eastAsia" w:ascii="黑体" w:hAnsi="黑体"/>
        </w:rPr>
        <w:t>联系方式</w:t>
      </w:r>
    </w:p>
    <w:p>
      <w:pPr>
        <w:autoSpaceDE w:val="0"/>
        <w:spacing w:line="400" w:lineRule="exact"/>
        <w:ind w:firstLine="240" w:firstLineChars="100"/>
        <w:jc w:val="both"/>
        <w:rPr>
          <w:rFonts w:ascii="宋体" w:hAnsi="宋体"/>
          <w:sz w:val="24"/>
        </w:rPr>
      </w:pPr>
      <w:r>
        <w:rPr>
          <w:rFonts w:hint="eastAsia" w:ascii="宋体" w:hAnsi="宋体"/>
          <w:sz w:val="24"/>
        </w:rPr>
        <w:t xml:space="preserve">采 购 人: 湖南港产科技有限公司         </w:t>
      </w:r>
    </w:p>
    <w:p>
      <w:pPr>
        <w:autoSpaceDE w:val="0"/>
        <w:spacing w:line="400" w:lineRule="exact"/>
        <w:ind w:firstLine="240" w:firstLineChars="100"/>
        <w:jc w:val="both"/>
        <w:rPr>
          <w:rFonts w:ascii="宋体" w:hAnsi="宋体"/>
          <w:sz w:val="24"/>
        </w:rPr>
      </w:pPr>
      <w:r>
        <w:rPr>
          <w:rFonts w:hint="eastAsia" w:ascii="宋体" w:hAnsi="宋体"/>
          <w:sz w:val="24"/>
        </w:rPr>
        <w:t>地    址: 湖南省岳阳市城陵矶长江路2号</w:t>
      </w:r>
    </w:p>
    <w:p>
      <w:pPr>
        <w:autoSpaceDE w:val="0"/>
        <w:spacing w:line="400" w:lineRule="exact"/>
        <w:ind w:firstLine="240" w:firstLineChars="100"/>
        <w:jc w:val="both"/>
        <w:rPr>
          <w:rFonts w:ascii="宋体" w:hAnsi="宋体"/>
          <w:sz w:val="24"/>
        </w:rPr>
      </w:pPr>
      <w:r>
        <w:rPr>
          <w:rFonts w:hint="eastAsia" w:ascii="宋体" w:hAnsi="宋体"/>
          <w:sz w:val="24"/>
        </w:rPr>
        <w:t xml:space="preserve">邮政编码: 414000                         </w:t>
      </w:r>
    </w:p>
    <w:p>
      <w:pPr>
        <w:autoSpaceDE w:val="0"/>
        <w:spacing w:line="400" w:lineRule="exact"/>
        <w:ind w:firstLine="240" w:firstLineChars="100"/>
        <w:jc w:val="both"/>
        <w:rPr>
          <w:rFonts w:ascii="宋体" w:hAnsi="宋体"/>
          <w:sz w:val="24"/>
        </w:rPr>
      </w:pPr>
      <w:r>
        <w:rPr>
          <w:rFonts w:hint="eastAsia" w:ascii="宋体" w:hAnsi="宋体"/>
          <w:sz w:val="24"/>
        </w:rPr>
        <w:t xml:space="preserve">联 系 人: </w:t>
      </w:r>
      <w:r>
        <w:rPr>
          <w:rFonts w:hint="eastAsia" w:ascii="宋体" w:hAnsi="宋体"/>
          <w:sz w:val="24"/>
          <w:lang w:val="en-US" w:eastAsia="zh-CN"/>
        </w:rPr>
        <w:t>许  松</w:t>
      </w:r>
      <w:r>
        <w:rPr>
          <w:rFonts w:hint="eastAsia" w:ascii="宋体" w:hAnsi="宋体"/>
          <w:sz w:val="24"/>
        </w:rPr>
        <w:t xml:space="preserve">            </w:t>
      </w:r>
    </w:p>
    <w:p>
      <w:pPr>
        <w:autoSpaceDE w:val="0"/>
        <w:spacing w:line="400" w:lineRule="exact"/>
        <w:ind w:firstLine="240" w:firstLineChars="100"/>
        <w:jc w:val="both"/>
        <w:rPr>
          <w:rFonts w:hint="default" w:eastAsia="宋体"/>
          <w:lang w:val="en-US" w:eastAsia="zh-CN"/>
        </w:rPr>
      </w:pPr>
      <w:r>
        <w:rPr>
          <w:rFonts w:hint="eastAsia" w:ascii="宋体" w:hAnsi="宋体"/>
          <w:sz w:val="24"/>
        </w:rPr>
        <w:t xml:space="preserve">电    话: </w:t>
      </w:r>
      <w:bookmarkStart w:id="4" w:name="_Toc517787494"/>
      <w:bookmarkStart w:id="5" w:name="_Toc234832861"/>
      <w:r>
        <w:rPr>
          <w:rFonts w:hint="eastAsia" w:ascii="宋体" w:hAnsi="宋体"/>
          <w:sz w:val="24"/>
          <w:lang w:val="en-US" w:eastAsia="zh-CN"/>
        </w:rPr>
        <w:t>18773006000</w:t>
      </w: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br w:type="page"/>
      </w:r>
    </w:p>
    <w:p>
      <w:pPr>
        <w:spacing w:line="600" w:lineRule="exact"/>
        <w:jc w:val="center"/>
        <w:rPr>
          <w:rFonts w:ascii="黑体" w:hAnsi="黑体" w:eastAsia="黑体"/>
          <w:sz w:val="32"/>
          <w:szCs w:val="32"/>
        </w:rPr>
      </w:pPr>
      <w:r>
        <w:rPr>
          <w:rFonts w:hint="eastAsia" w:ascii="黑体" w:hAnsi="黑体" w:eastAsia="黑体"/>
          <w:sz w:val="32"/>
          <w:szCs w:val="32"/>
        </w:rPr>
        <w:t>第二章  供应商须知</w:t>
      </w:r>
      <w:bookmarkEnd w:id="4"/>
      <w:bookmarkEnd w:id="5"/>
    </w:p>
    <w:p>
      <w:pPr>
        <w:pStyle w:val="4"/>
        <w:spacing w:before="240" w:after="240" w:line="600" w:lineRule="exact"/>
        <w:jc w:val="both"/>
        <w:rPr>
          <w:rFonts w:ascii="仿宋" w:hAnsi="仿宋" w:eastAsia="仿宋" w:cs="仿宋"/>
          <w:sz w:val="30"/>
          <w:szCs w:val="30"/>
        </w:rPr>
      </w:pPr>
      <w:bookmarkStart w:id="6" w:name="_Toc517787495"/>
      <w:bookmarkStart w:id="7" w:name="_Toc234832862"/>
      <w:r>
        <w:rPr>
          <w:rFonts w:hint="eastAsia" w:ascii="仿宋" w:hAnsi="仿宋" w:eastAsia="仿宋" w:cs="仿宋"/>
          <w:sz w:val="30"/>
          <w:szCs w:val="30"/>
        </w:rPr>
        <w:t>供应商须知前附表</w:t>
      </w:r>
      <w:r>
        <w:rPr>
          <w:rStyle w:val="20"/>
          <w:rFonts w:hint="eastAsia" w:ascii="仿宋" w:hAnsi="仿宋" w:eastAsia="仿宋" w:cs="仿宋"/>
          <w:sz w:val="30"/>
          <w:szCs w:val="30"/>
        </w:rPr>
        <w:footnoteReference w:id="0"/>
      </w:r>
      <w:bookmarkEnd w:id="6"/>
      <w:bookmarkEnd w:id="7"/>
    </w:p>
    <w:tbl>
      <w:tblPr>
        <w:tblStyle w:val="16"/>
        <w:tblW w:w="9010" w:type="dxa"/>
        <w:tblInd w:w="0" w:type="dxa"/>
        <w:tblLayout w:type="fixed"/>
        <w:tblCellMar>
          <w:top w:w="0" w:type="dxa"/>
          <w:left w:w="108" w:type="dxa"/>
          <w:bottom w:w="0" w:type="dxa"/>
          <w:right w:w="108" w:type="dxa"/>
        </w:tblCellMar>
      </w:tblPr>
      <w:tblGrid>
        <w:gridCol w:w="1415"/>
        <w:gridCol w:w="3090"/>
        <w:gridCol w:w="4505"/>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☑最低价法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（A、C）</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不得分包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允许偏差的范围：细微偏差</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允许偏差的项数：</w:t>
            </w:r>
            <w:r>
              <w:rPr>
                <w:rFonts w:hint="eastAsia" w:cs="仿宋" w:asciiTheme="minorEastAsia" w:hAnsiTheme="minorEastAsia" w:eastAsiaTheme="minorEastAsia"/>
                <w:sz w:val="24"/>
                <w:lang w:val="en-US" w:eastAsia="zh-CN"/>
              </w:rPr>
              <w:t>2</w:t>
            </w:r>
            <w:r>
              <w:rPr>
                <w:rFonts w:hint="eastAsia" w:cs="仿宋" w:asciiTheme="minorEastAsia" w:hAnsiTheme="minorEastAsia" w:eastAsiaTheme="minorEastAsia"/>
                <w:sz w:val="24"/>
              </w:rPr>
              <w:t xml:space="preserve">项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截止时间：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确认的最晚时间：</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确定的方式：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采购标的数量增减幅度</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采购标</w:t>
            </w:r>
            <w:r>
              <w:rPr>
                <w:rFonts w:hint="eastAsia" w:ascii="宋体" w:hAnsi="宋体"/>
                <w:sz w:val="24"/>
              </w:rPr>
              <w:t>有权对</w:t>
            </w:r>
            <w:r>
              <w:rPr>
                <w:rFonts w:hint="eastAsia" w:ascii="宋体" w:hAnsi="宋体"/>
                <w:sz w:val="24"/>
                <w:lang w:val="en-US" w:eastAsia="zh-CN"/>
              </w:rPr>
              <w:t>工程量清单</w:t>
            </w:r>
            <w:r>
              <w:rPr>
                <w:rFonts w:hint="eastAsia" w:ascii="宋体" w:hAnsi="宋体"/>
                <w:sz w:val="24"/>
              </w:rPr>
              <w:t>进行增加或减少的幅度</w:t>
            </w: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val="en-US" w:eastAsia="zh-CN"/>
              </w:rPr>
              <w:t>10%</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最高限价</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sz w:val="24"/>
                <w:lang w:val="en-US"/>
              </w:rPr>
            </w:pPr>
            <w:r>
              <w:rPr>
                <w:rFonts w:hint="eastAsia" w:cs="仿宋" w:asciiTheme="minorEastAsia" w:hAnsiTheme="minorEastAsia" w:eastAsiaTheme="minorEastAsia"/>
                <w:sz w:val="24"/>
              </w:rPr>
              <w:t>☑有，</w:t>
            </w:r>
            <w:r>
              <w:rPr>
                <w:rFonts w:hint="eastAsia" w:cs="仿宋" w:asciiTheme="minorEastAsia" w:hAnsiTheme="minorEastAsia" w:eastAsiaTheme="minorEastAsia"/>
                <w:sz w:val="24"/>
                <w:lang w:val="en-US" w:eastAsia="zh-CN"/>
              </w:rPr>
              <w:t>最高限价:</w:t>
            </w:r>
            <w:r>
              <w:rPr>
                <w:rFonts w:hint="eastAsia" w:cs="仿宋" w:asciiTheme="minorEastAsia" w:hAnsiTheme="minorEastAsia" w:eastAsiaTheme="minorEastAsia"/>
                <w:sz w:val="24"/>
                <w:highlight w:val="none"/>
                <w:lang w:val="en-US" w:eastAsia="zh-CN"/>
              </w:rPr>
              <w:t xml:space="preserve"> </w:t>
            </w:r>
            <w:r>
              <w:rPr>
                <w:rFonts w:hint="eastAsia" w:ascii="宋体" w:hAnsi="宋体" w:cs="宋体"/>
                <w:bCs/>
                <w:color w:val="FF0000"/>
                <w:sz w:val="24"/>
                <w:highlight w:val="none"/>
                <w:lang w:val="en-US" w:eastAsia="zh-CN"/>
              </w:rPr>
              <w:t>244645元</w:t>
            </w:r>
            <w:r>
              <w:rPr>
                <w:rFonts w:hint="eastAsia" w:ascii="宋体" w:hAnsi="宋体" w:cs="宋体"/>
                <w:bCs/>
                <w:color w:val="000000"/>
                <w:sz w:val="24"/>
              </w:rPr>
              <w:t>（税率</w:t>
            </w:r>
            <w:r>
              <w:rPr>
                <w:rFonts w:hint="eastAsia" w:ascii="宋体" w:hAnsi="宋体" w:cs="宋体"/>
                <w:bCs/>
                <w:color w:val="000000"/>
                <w:sz w:val="24"/>
                <w:lang w:val="en-US" w:eastAsia="zh-CN"/>
              </w:rPr>
              <w:t>3%</w:t>
            </w:r>
            <w:r>
              <w:rPr>
                <w:rFonts w:hint="eastAsia" w:ascii="宋体" w:hAnsi="宋体" w:cs="宋体"/>
                <w:bCs/>
                <w:color w:val="000000"/>
                <w:sz w:val="24"/>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rPr>
            </w:pPr>
            <w:r>
              <w:rPr>
                <w:rStyle w:val="19"/>
                <w:rFonts w:hint="eastAsia" w:asciiTheme="minorEastAsia" w:hAnsiTheme="minorEastAsia" w:eastAsiaTheme="minorEastAsia"/>
                <w:b w:val="0"/>
                <w:color w:val="000000"/>
                <w:sz w:val="24"/>
              </w:rPr>
              <w:t>依法设立的证明材料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仿宋" w:asciiTheme="minorEastAsia" w:hAnsiTheme="minorEastAsia" w:eastAsiaTheme="minorEastAsia"/>
                <w:sz w:val="24"/>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19"/>
                <w:rFonts w:hint="eastAsia" w:asciiTheme="minorEastAsia" w:hAnsiTheme="minorEastAsia" w:eastAsiaTheme="minorEastAsia"/>
                <w:b w:val="0"/>
                <w:color w:val="000000"/>
                <w:sz w:val="24"/>
              </w:rPr>
              <w:t>资质要求证明材料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适用。供应商应提供相关资质证书副本的复印件，以证明供应商具有承担本项目要求的资质。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rPr>
              <w:t>资质证书包括：</w:t>
            </w:r>
            <w:r>
              <w:rPr>
                <w:rFonts w:hint="eastAsia" w:cs="宋体" w:asciiTheme="minorEastAsia" w:hAnsiTheme="minorEastAsia" w:eastAsiaTheme="minorEastAsia"/>
                <w:color w:val="000000"/>
                <w:sz w:val="24"/>
                <w:highlight w:val="none"/>
                <w:lang w:val="en-US" w:eastAsia="zh-CN"/>
              </w:rPr>
              <w:t>施工劳务不分等级</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rPr>
            </w:pPr>
            <w:r>
              <w:rPr>
                <w:rStyle w:val="19"/>
                <w:rFonts w:hint="eastAsia" w:asciiTheme="minorEastAsia" w:hAnsiTheme="minorEastAsia" w:eastAsiaTheme="minorEastAsia"/>
                <w:b w:val="0"/>
                <w:color w:val="000000"/>
                <w:sz w:val="24"/>
              </w:rPr>
              <w:t>财务要求证明材料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u w:val="single"/>
                <w:lang w:val="en-US" w:eastAsia="zh-CN"/>
              </w:rPr>
            </w:pP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sz w:val="24"/>
                <w:lang w:val="en-US" w:eastAsia="zh-CN"/>
              </w:rPr>
              <w:t>(</w:t>
            </w:r>
            <w:r>
              <w:rPr>
                <w:rFonts w:hint="eastAsia" w:cs="宋体" w:asciiTheme="minorEastAsia" w:hAnsiTheme="minorEastAsia" w:eastAsiaTheme="minorEastAsia"/>
                <w:color w:val="000000"/>
                <w:sz w:val="24"/>
              </w:rPr>
              <w:t>近年的类似项目情况表），以证明供应商具有承担本项目要求的业绩</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sz w:val="24"/>
                <w:u w:val="single"/>
              </w:rPr>
              <w:t>至少提供1份</w:t>
            </w:r>
            <w:r>
              <w:rPr>
                <w:rFonts w:hint="eastAsia" w:cs="宋体" w:asciiTheme="minorEastAsia" w:hAnsiTheme="minorEastAsia" w:eastAsiaTheme="minorEastAsia"/>
                <w:sz w:val="24"/>
                <w:u w:val="single"/>
                <w:lang w:val="en-US" w:eastAsia="zh-CN"/>
              </w:rPr>
              <w:t>类似</w:t>
            </w:r>
            <w:r>
              <w:rPr>
                <w:rFonts w:hint="eastAsia" w:cs="宋体" w:asciiTheme="minorEastAsia" w:hAnsiTheme="minorEastAsia" w:eastAsiaTheme="minorEastAsia"/>
                <w:sz w:val="24"/>
                <w:u w:val="single"/>
              </w:rPr>
              <w:t>业绩证明材料，提供复印件并加盖单位公章。</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。近</w:t>
            </w:r>
            <w:r>
              <w:rPr>
                <w:rFonts w:hint="eastAsia" w:cs="宋体" w:asciiTheme="minorEastAsia" w:hAnsiTheme="minorEastAsia" w:eastAsiaTheme="minorEastAsia"/>
                <w:color w:val="000000"/>
                <w:sz w:val="24"/>
                <w:lang w:val="en-US" w:eastAsia="zh-CN"/>
              </w:rPr>
              <w:t>年是指</w:t>
            </w:r>
            <w:r>
              <w:rPr>
                <w:rFonts w:hint="eastAsia" w:cs="宋体" w:asciiTheme="minorEastAsia" w:hAnsiTheme="minorEastAsia" w:eastAsiaTheme="minorEastAsia"/>
                <w:color w:val="000000"/>
                <w:sz w:val="24"/>
                <w:u w:val="single"/>
              </w:rPr>
              <w:t>20</w:t>
            </w:r>
            <w:r>
              <w:rPr>
                <w:rFonts w:hint="eastAsia" w:cs="宋体" w:asciiTheme="minorEastAsia" w:hAnsiTheme="minorEastAsia" w:eastAsiaTheme="minorEastAsia"/>
                <w:color w:val="000000"/>
                <w:sz w:val="24"/>
                <w:u w:val="single"/>
                <w:lang w:val="en-US" w:eastAsia="zh-CN"/>
              </w:rPr>
              <w:t>22年1月</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202</w:t>
            </w:r>
            <w:r>
              <w:rPr>
                <w:rFonts w:hint="eastAsia" w:cs="宋体" w:asciiTheme="minorEastAsia" w:hAnsiTheme="minorEastAsia" w:eastAsiaTheme="minorEastAsia"/>
                <w:color w:val="000000"/>
                <w:sz w:val="24"/>
                <w:u w:val="single"/>
                <w:lang w:val="en-US" w:eastAsia="zh-CN"/>
              </w:rPr>
              <w:t>4</w:t>
            </w:r>
            <w:r>
              <w:rPr>
                <w:rFonts w:hint="eastAsia" w:cs="宋体" w:asciiTheme="minorEastAsia" w:hAnsiTheme="minorEastAsia" w:eastAsiaTheme="minorEastAsia"/>
                <w:color w:val="000000"/>
                <w:sz w:val="24"/>
                <w:u w:val="single"/>
              </w:rPr>
              <w:t>年</w:t>
            </w:r>
            <w:r>
              <w:rPr>
                <w:rFonts w:hint="eastAsia" w:cs="宋体" w:asciiTheme="minorEastAsia" w:hAnsiTheme="minorEastAsia" w:eastAsiaTheme="minorEastAsia"/>
                <w:color w:val="000000"/>
                <w:sz w:val="24"/>
                <w:u w:val="single"/>
                <w:lang w:val="en-US" w:eastAsia="zh-CN"/>
              </w:rPr>
              <w:t>4月</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合同/订单</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竣工验收报告/验收证明</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业绩证明材料种类要求：</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rPr>
              <w:t>需同时提供上述勾选的所有证明材料</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sz w:val="24"/>
                <w:highlight w:val="none"/>
              </w:rPr>
              <w:t>☑其他要求：</w:t>
            </w:r>
            <w:r>
              <w:rPr>
                <w:rFonts w:hint="eastAsia" w:cs="宋体" w:asciiTheme="minorEastAsia" w:hAnsiTheme="minorEastAsia" w:eastAsiaTheme="minorEastAsia"/>
                <w:sz w:val="24"/>
                <w:highlight w:val="none"/>
                <w:u w:val="single"/>
              </w:rPr>
              <w:t xml:space="preserve"> 至少提供</w:t>
            </w:r>
            <w:r>
              <w:rPr>
                <w:rFonts w:hint="eastAsia" w:cs="宋体" w:asciiTheme="minorEastAsia" w:hAnsiTheme="minorEastAsia" w:eastAsiaTheme="minorEastAsia"/>
                <w:sz w:val="24"/>
                <w:highlight w:val="none"/>
                <w:u w:val="single"/>
                <w:lang w:val="en-US" w:eastAsia="zh-CN"/>
              </w:rPr>
              <w:t>1</w:t>
            </w:r>
            <w:r>
              <w:rPr>
                <w:rFonts w:hint="eastAsia" w:cs="宋体" w:asciiTheme="minorEastAsia" w:hAnsiTheme="minorEastAsia" w:eastAsiaTheme="minorEastAsia"/>
                <w:sz w:val="24"/>
                <w:highlight w:val="none"/>
                <w:u w:val="single"/>
              </w:rPr>
              <w:t>份</w:t>
            </w:r>
            <w:r>
              <w:rPr>
                <w:rFonts w:hint="eastAsia" w:cs="宋体" w:asciiTheme="minorEastAsia" w:hAnsiTheme="minorEastAsia" w:eastAsiaTheme="minorEastAsia"/>
                <w:sz w:val="24"/>
                <w:highlight w:val="none"/>
                <w:u w:val="single"/>
                <w:lang w:val="en-US" w:eastAsia="zh-CN"/>
              </w:rPr>
              <w:t>类似</w:t>
            </w:r>
            <w:r>
              <w:rPr>
                <w:rFonts w:hint="eastAsia" w:cs="宋体" w:asciiTheme="minorEastAsia" w:hAnsiTheme="minorEastAsia" w:eastAsiaTheme="minorEastAsia"/>
                <w:sz w:val="24"/>
                <w:highlight w:val="none"/>
                <w:u w:val="single"/>
              </w:rPr>
              <w:t>业绩证明材料，提供复印件并加盖单位公章。</w:t>
            </w: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信誉要求证明材料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color w:val="000000"/>
                <w:sz w:val="24"/>
                <w:highlight w:val="none"/>
                <w:u w:val="none"/>
              </w:rPr>
              <w:sym w:font="Wingdings 2" w:char="0052"/>
            </w:r>
            <w:r>
              <w:rPr>
                <w:rFonts w:hint="eastAsia" w:ascii="宋体" w:hAnsi="宋体" w:eastAsia="宋体"/>
                <w:sz w:val="24"/>
                <w:szCs w:val="24"/>
                <w:lang w:val="en-US" w:eastAsia="zh-CN"/>
              </w:rPr>
              <w:t>劳务工</w:t>
            </w:r>
            <w:r>
              <w:rPr>
                <w:rFonts w:hint="eastAsia" w:ascii="宋体" w:hAnsi="宋体"/>
                <w:sz w:val="24"/>
                <w:szCs w:val="24"/>
                <w:lang w:val="en-US" w:eastAsia="zh-CN"/>
              </w:rPr>
              <w:t>8-10人，</w:t>
            </w:r>
            <w:r>
              <w:rPr>
                <w:rFonts w:hint="eastAsia" w:ascii="宋体" w:hAnsi="宋体" w:eastAsia="宋体"/>
                <w:sz w:val="24"/>
                <w:szCs w:val="24"/>
                <w:lang w:val="en-US" w:eastAsia="zh-CN"/>
              </w:rPr>
              <w:t>须年满十八周岁、不满</w:t>
            </w:r>
            <w:r>
              <w:rPr>
                <w:rFonts w:hint="eastAsia" w:ascii="宋体" w:hAnsi="宋体"/>
                <w:sz w:val="24"/>
                <w:szCs w:val="24"/>
                <w:lang w:val="en-US" w:eastAsia="zh-CN"/>
              </w:rPr>
              <w:t>58</w:t>
            </w:r>
            <w:r>
              <w:rPr>
                <w:rFonts w:hint="eastAsia" w:ascii="宋体" w:hAnsi="宋体" w:eastAsia="宋体"/>
                <w:sz w:val="24"/>
                <w:szCs w:val="24"/>
                <w:lang w:val="en-US" w:eastAsia="zh-CN"/>
              </w:rPr>
              <w:t>周岁，身体健康、现实表现好</w:t>
            </w:r>
            <w:r>
              <w:rPr>
                <w:rFonts w:hint="eastAsia" w:ascii="宋体" w:hAnsi="宋体"/>
                <w:sz w:val="24"/>
                <w:szCs w:val="24"/>
                <w:lang w:val="en-US" w:eastAsia="zh-CN"/>
              </w:rPr>
              <w:t>；</w:t>
            </w:r>
            <w:r>
              <w:rPr>
                <w:rFonts w:hint="eastAsia" w:ascii="宋体" w:hAnsi="宋体" w:eastAsia="宋体"/>
                <w:sz w:val="24"/>
                <w:szCs w:val="24"/>
                <w:lang w:val="en-US" w:eastAsia="zh-CN"/>
              </w:rPr>
              <w:t>劳务管理人员</w:t>
            </w:r>
            <w:r>
              <w:rPr>
                <w:rFonts w:hint="eastAsia" w:ascii="宋体" w:hAnsi="宋体"/>
                <w:sz w:val="24"/>
                <w:szCs w:val="24"/>
                <w:lang w:val="en-US" w:eastAsia="zh-CN"/>
              </w:rPr>
              <w:t>1人，</w:t>
            </w:r>
            <w:r>
              <w:rPr>
                <w:rFonts w:hint="eastAsia" w:ascii="宋体" w:hAnsi="宋体" w:eastAsia="宋体"/>
                <w:sz w:val="24"/>
                <w:szCs w:val="24"/>
                <w:lang w:val="en-US" w:eastAsia="zh-CN"/>
              </w:rPr>
              <w:t>具有2年以上从事劳务管理工作经验。</w:t>
            </w:r>
            <w:r>
              <w:rPr>
                <w:rFonts w:hint="eastAsia" w:ascii="宋体" w:hAnsi="宋体"/>
                <w:sz w:val="24"/>
                <w:szCs w:val="24"/>
                <w:lang w:val="en-US" w:eastAsia="zh-CN"/>
              </w:rPr>
              <w:t>提供所有人员</w:t>
            </w:r>
            <w:r>
              <w:rPr>
                <w:rFonts w:hint="eastAsia" w:ascii="宋体" w:hAnsi="宋体" w:eastAsia="宋体"/>
                <w:sz w:val="24"/>
                <w:szCs w:val="24"/>
                <w:lang w:val="en-US" w:eastAsia="zh-CN"/>
              </w:rPr>
              <w:t>的工伤保险或人身意外保险证明</w:t>
            </w:r>
            <w:r>
              <w:rPr>
                <w:rFonts w:hint="eastAsia" w:ascii="宋体" w:hAnsi="宋体"/>
                <w:sz w:val="24"/>
                <w:szCs w:val="24"/>
                <w:lang w:val="en-US" w:eastAsia="zh-CN"/>
              </w:rPr>
              <w:t>(提供签合同前购买以上保险的承诺函也可）、身份证复印件及劳务管理人员的业绩说明</w:t>
            </w:r>
            <w:r>
              <w:rPr>
                <w:rFonts w:hint="eastAsia" w:ascii="宋体" w:hAnsi="宋体" w:eastAsia="宋体"/>
                <w:sz w:val="24"/>
                <w:szCs w:val="24"/>
                <w:lang w:val="en-US" w:eastAsia="zh-CN"/>
              </w:rPr>
              <w:t>。</w:t>
            </w:r>
            <w:r>
              <w:rPr>
                <w:rFonts w:hint="eastAsia" w:cs="宋体" w:asciiTheme="minorEastAsia" w:hAnsiTheme="minorEastAsia" w:eastAsiaTheme="minorEastAsia"/>
                <w:sz w:val="24"/>
              </w:rPr>
              <w:t xml:space="preserve">             </w:t>
            </w:r>
          </w:p>
          <w:p>
            <w:pPr>
              <w:spacing w:line="288" w:lineRule="auto"/>
              <w:jc w:val="both"/>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rPr>
              <w:t>项目负责人1人</w:t>
            </w:r>
            <w:r>
              <w:rPr>
                <w:rFonts w:hint="eastAsia" w:cs="宋体" w:asciiTheme="minorEastAsia" w:hAnsiTheme="minorEastAsia" w:eastAsiaTheme="minorEastAsia"/>
                <w:sz w:val="24"/>
                <w:lang w:eastAsia="zh-CN"/>
              </w:rPr>
              <w:t>；</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sz w:val="24"/>
              </w:rPr>
              <w:t>项目安全员1人：须具备安全考核合格证书C证；</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供应商不存在第一章3.1款情形的证明材料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☑需要提供</w:t>
            </w:r>
            <w:r>
              <w:rPr>
                <w:rFonts w:hint="eastAsia" w:cs="宋体" w:asciiTheme="minorEastAsia" w:hAnsiTheme="minorEastAsia" w:eastAsiaTheme="minorEastAsia"/>
                <w:color w:val="000000"/>
                <w:sz w:val="24"/>
                <w:lang w:val="en-US" w:eastAsia="zh-CN"/>
              </w:rPr>
              <w:t>承诺函。</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提供证据或证明材料复印件，并加盖单位公章。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是否要求提供电子版响应文件：</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lang w:val="en-US" w:eastAsia="zh-CN"/>
              </w:rPr>
              <w:t>不</w:t>
            </w:r>
            <w:r>
              <w:rPr>
                <w:rFonts w:hint="eastAsia" w:cs="宋体" w:asciiTheme="minorEastAsia" w:hAnsiTheme="minorEastAsia" w:eastAsiaTheme="minorEastAsia"/>
                <w:color w:val="000000"/>
                <w:sz w:val="24"/>
                <w:highlight w:val="none"/>
              </w:rPr>
              <w:t>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45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12"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rPr>
              <w:t>☑适用，供应商名称：</w:t>
            </w:r>
            <w:r>
              <w:rPr>
                <w:rFonts w:hint="eastAsia" w:cs="宋体" w:asciiTheme="minorEastAsia" w:hAnsiTheme="minorEastAsia" w:eastAsiaTheme="minorEastAsia"/>
                <w:color w:val="000000"/>
                <w:sz w:val="24"/>
                <w:u w:val="single"/>
              </w:rPr>
              <w:t xml:space="preserve">                                        </w:t>
            </w:r>
            <w:r>
              <w:rPr>
                <w:rFonts w:hint="eastAsia" w:asciiTheme="minorEastAsia" w:hAnsiTheme="minorEastAsia" w:eastAsiaTheme="minorEastAsia" w:cstheme="minorEastAsia"/>
                <w:b w:val="0"/>
                <w:bCs w:val="0"/>
                <w:sz w:val="24"/>
                <w:szCs w:val="24"/>
                <w:u w:val="single"/>
                <w:lang w:val="en-US" w:eastAsia="zh-CN"/>
              </w:rPr>
              <w:t>城港公司2#装车机大车轨道提质改造项目施工劳务</w:t>
            </w:r>
            <w:r>
              <w:rPr>
                <w:rFonts w:hint="eastAsia" w:cs="宋体" w:asciiTheme="minorEastAsia" w:hAnsiTheme="minorEastAsia" w:eastAsiaTheme="minorEastAsia"/>
                <w:color w:val="000000"/>
                <w:sz w:val="24"/>
                <w:u w:val="single"/>
                <w:lang w:eastAsia="zh-CN"/>
              </w:rPr>
              <w:t>响应文件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递交响应文件截止时间和地点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截止时间：</w:t>
            </w:r>
            <w:r>
              <w:rPr>
                <w:rFonts w:hint="eastAsia"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u w:val="single"/>
                <w:lang w:val="en-US" w:eastAsia="zh-CN"/>
              </w:rPr>
              <w:t>2024年4月22日10点00分</w:t>
            </w:r>
            <w:bookmarkStart w:id="53" w:name="_GoBack"/>
            <w:bookmarkEnd w:id="53"/>
            <w:r>
              <w:rPr>
                <w:rFonts w:hint="eastAsia" w:cs="宋体" w:asciiTheme="minorEastAsia" w:hAnsiTheme="minorEastAsia" w:eastAsiaTheme="minorEastAsia"/>
                <w:color w:val="000000"/>
                <w:sz w:val="24"/>
                <w:highlight w:val="none"/>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递交响应文件的地点： 湖南</w:t>
            </w:r>
            <w:r>
              <w:rPr>
                <w:rFonts w:hint="eastAsia" w:ascii="宋体" w:hAnsi="宋体"/>
                <w:sz w:val="24"/>
              </w:rPr>
              <w:t>港产科技有限公司办公楼1楼10</w:t>
            </w:r>
            <w:r>
              <w:rPr>
                <w:rFonts w:hint="eastAsia" w:ascii="宋体" w:hAnsi="宋体"/>
                <w:sz w:val="24"/>
                <w:lang w:val="en-US" w:eastAsia="zh-CN"/>
              </w:rPr>
              <w:t>2</w:t>
            </w:r>
            <w:r>
              <w:rPr>
                <w:rFonts w:hint="eastAsia" w:ascii="宋体" w:hAnsi="宋体"/>
                <w:sz w:val="24"/>
              </w:rPr>
              <w:t>室</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供应商撤回响应文件情况下退还响应保证金的时间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自采购人收到供应商递交的书面通知之日起</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日内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评审小组的组建</w:t>
            </w:r>
            <w:r>
              <w:rPr>
                <w:rStyle w:val="20"/>
                <w:rFonts w:cs="宋体" w:asciiTheme="minorEastAsia" w:hAnsiTheme="minorEastAsia" w:eastAsiaTheme="minorEastAsia"/>
                <w:color w:val="000000"/>
                <w:sz w:val="24"/>
              </w:rPr>
              <w:footnoteReference w:id="1"/>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评标（谈判）小组构成：3人。</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评审（谈判）专家确定方式：在湖南省湘水集团有限公司综合评标专家库中随机抽取2人，业主代表1人。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r>
              <w:rPr>
                <w:rStyle w:val="20"/>
                <w:rFonts w:cs="宋体" w:asciiTheme="minorEastAsia" w:hAnsiTheme="minorEastAsia" w:eastAsiaTheme="minorEastAsia"/>
                <w:color w:val="000000"/>
                <w:sz w:val="24"/>
              </w:rPr>
              <w:footnoteReference w:id="2"/>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cs="宋体" w:asciiTheme="minorEastAsia" w:hAnsiTheme="minorEastAsia" w:eastAsiaTheme="minorEastAsia"/>
                <w:b/>
                <w:bCs/>
                <w:color w:val="000000"/>
                <w:sz w:val="24"/>
              </w:rPr>
              <w:t xml:space="preserve">  </w:t>
            </w:r>
            <w:r>
              <w:rPr>
                <w:rFonts w:hint="eastAsia" w:cs="宋体" w:asciiTheme="minorEastAsia" w:hAnsiTheme="minorEastAsia" w:eastAsiaTheme="minorEastAsia"/>
                <w:b/>
                <w:bCs/>
                <w:color w:val="000000"/>
                <w:sz w:val="24"/>
              </w:rPr>
              <w:t>1-3</w:t>
            </w:r>
            <w:r>
              <w:rPr>
                <w:rFonts w:hint="eastAsia" w:cs="宋体" w:asciiTheme="minorEastAsia" w:hAnsiTheme="minorEastAsia" w:eastAsiaTheme="minorEastAsia"/>
                <w:color w:val="000000"/>
                <w:sz w:val="24"/>
              </w:rPr>
              <w:t>个（不超过3个），并标明推荐顺序。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推荐成交候选供应商的排序及数量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☑排序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公示媒介：</w:t>
            </w:r>
            <w:r>
              <w:rPr>
                <w:rFonts w:hint="eastAsia" w:ascii="宋体" w:hAnsi="宋体" w:cs="宋体"/>
                <w:sz w:val="24"/>
              </w:rPr>
              <w:t>中国招标投标公共服务平台（http：//www.cebpubservice.com）、湖南省港航水利集团官网（http：//www.hnsghsljt.com）、</w:t>
            </w:r>
            <w:r>
              <w:rPr>
                <w:rFonts w:hint="eastAsia" w:ascii="宋体" w:hAnsi="宋体" w:cs="宋体"/>
                <w:sz w:val="24"/>
                <w:u w:val="single"/>
              </w:rPr>
              <w:t xml:space="preserve">                                   </w:t>
            </w:r>
            <w:r>
              <w:rPr>
                <w:rFonts w:hint="eastAsia" w:ascii="宋体" w:hAnsi="宋体" w:cs="宋体"/>
                <w:sz w:val="24"/>
              </w:rPr>
              <w:t>湖南省港务集团有限公司门户网站（http://www.hnsgwjt.com/）上发布。</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3 个日历日</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其他应公示的内容</w:t>
            </w: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u w:val="single"/>
              </w:rPr>
              <w:t xml:space="preserve"> 无  </w:t>
            </w:r>
          </w:p>
        </w:tc>
      </w:tr>
      <w:tr>
        <w:tblPrEx>
          <w:tblCellMar>
            <w:top w:w="0" w:type="dxa"/>
            <w:left w:w="108" w:type="dxa"/>
            <w:bottom w:w="0" w:type="dxa"/>
            <w:right w:w="108" w:type="dxa"/>
          </w:tblCellMar>
        </w:tblPrEx>
        <w:trPr>
          <w:trHeight w:val="753"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联系人：</w:t>
            </w:r>
            <w:r>
              <w:rPr>
                <w:rFonts w:hint="eastAsia" w:cs="宋体" w:asciiTheme="minorEastAsia" w:hAnsiTheme="minorEastAsia" w:eastAsiaTheme="minorEastAsia"/>
                <w:color w:val="000000"/>
                <w:sz w:val="24"/>
                <w:u w:val="single"/>
              </w:rPr>
              <w:t xml:space="preserve">     晏晶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联系电话：13873063063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通信地址：湖南岳阳城陵矶长江路2号</w:t>
            </w:r>
            <w:r>
              <w:rPr>
                <w:rFonts w:hint="eastAsia" w:cs="宋体" w:asciiTheme="minorEastAsia" w:hAnsiTheme="minorEastAsia" w:eastAsiaTheme="minorEastAsia"/>
                <w:color w:val="000000"/>
                <w:sz w:val="24"/>
                <w:lang w:val="en-US" w:eastAsia="zh-CN"/>
              </w:rPr>
              <w:t>钢港产</w:t>
            </w:r>
            <w:r>
              <w:rPr>
                <w:rFonts w:hint="eastAsia" w:cs="宋体" w:asciiTheme="minorEastAsia" w:hAnsiTheme="minorEastAsia" w:eastAsiaTheme="minorEastAsia"/>
                <w:color w:val="000000"/>
                <w:sz w:val="24"/>
              </w:rPr>
              <w:t>科技公司办公楼</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采购代理服务费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☑不要求承担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需要补充的其他内容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eastAsia="zh-CN"/>
              </w:rPr>
            </w:pPr>
            <w:r>
              <w:rPr>
                <w:rFonts w:hint="eastAsia" w:ascii="宋体" w:hAnsi="宋体" w:eastAsia="宋体" w:cs="宋体"/>
                <w:color w:val="000000"/>
                <w:sz w:val="21"/>
                <w:szCs w:val="21"/>
                <w:highlight w:val="none"/>
                <w:lang w:val="en-US" w:eastAsia="zh-CN"/>
              </w:rPr>
              <w:t>1</w:t>
            </w:r>
            <w:r>
              <w:rPr>
                <w:rFonts w:hint="eastAsia" w:cs="宋体" w:asciiTheme="minorEastAsia" w:hAnsiTheme="minorEastAsia" w:eastAsiaTheme="minorEastAsia"/>
                <w:color w:val="000000"/>
                <w:sz w:val="24"/>
                <w:lang w:val="en-US" w:eastAsia="zh-CN"/>
              </w:rPr>
              <w:t>.</w:t>
            </w:r>
            <w:r>
              <w:rPr>
                <w:rFonts w:hint="eastAsia" w:cs="宋体" w:asciiTheme="minorEastAsia" w:hAnsiTheme="minorEastAsia" w:eastAsiaTheme="minorEastAsia"/>
                <w:color w:val="000000"/>
                <w:sz w:val="24"/>
                <w:lang w:eastAsia="zh-CN"/>
              </w:rPr>
              <w:t>供应商提供的相关证明文件若为复印件，必须加盖单位公章。</w:t>
            </w:r>
          </w:p>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r>
              <w:rPr>
                <w:rFonts w:hint="eastAsia" w:cs="宋体" w:asciiTheme="minorEastAsia" w:hAnsiTheme="minorEastAsia" w:eastAsiaTheme="minorEastAsia"/>
                <w:color w:val="000000"/>
                <w:sz w:val="24"/>
                <w:lang w:eastAsia="zh-CN"/>
              </w:rPr>
              <w:t>本项目不接受联合体投标。</w:t>
            </w:r>
          </w:p>
          <w:p>
            <w:p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3.响应文件份数：</w:t>
            </w:r>
            <w:r>
              <w:rPr>
                <w:rFonts w:hint="eastAsia" w:cs="宋体" w:asciiTheme="minorEastAsia" w:hAnsiTheme="minorEastAsia" w:eastAsiaTheme="minorEastAsia"/>
                <w:color w:val="000000"/>
                <w:sz w:val="24"/>
              </w:rPr>
              <w:t>正本1份，副本 2 份</w:t>
            </w:r>
          </w:p>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w:t>
            </w:r>
          </w:p>
        </w:tc>
      </w:tr>
    </w:tbl>
    <w:p>
      <w:r>
        <w:br w:type="page"/>
      </w:r>
    </w:p>
    <w:p>
      <w:pPr>
        <w:spacing w:line="240" w:lineRule="auto"/>
        <w:jc w:val="center"/>
        <w:outlineLvl w:val="0"/>
        <w:rPr>
          <w:rFonts w:ascii="仿宋" w:hAnsi="仿宋" w:eastAsia="仿宋" w:cs="仿宋"/>
          <w:sz w:val="30"/>
          <w:szCs w:val="30"/>
          <w:u w:val="single"/>
        </w:rPr>
      </w:pPr>
      <w:bookmarkStart w:id="8" w:name="_Toc12159"/>
      <w:r>
        <w:rPr>
          <w:rFonts w:hint="eastAsia" w:ascii="华文中宋" w:hAnsi="华文中宋" w:eastAsia="华文中宋" w:cs="仿宋"/>
          <w:b/>
          <w:bCs/>
          <w:sz w:val="30"/>
          <w:szCs w:val="30"/>
          <w:u w:val="single"/>
        </w:rPr>
        <w:t>第二章 供应商须知正文</w:t>
      </w:r>
      <w:bookmarkEnd w:id="8"/>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24"/>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25"/>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25"/>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25"/>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25"/>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1.7踏勘现场（本项目不组织踏勘现场）</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1.9主要材料和关键部件外购</w:t>
      </w:r>
    </w:p>
    <w:p>
      <w:pPr>
        <w:spacing w:line="312" w:lineRule="auto"/>
        <w:ind w:firstLine="453" w:firstLineChars="189"/>
        <w:jc w:val="both"/>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w:t>
      </w:r>
      <w:r>
        <w:rPr>
          <w:rFonts w:hint="eastAsia" w:ascii="宋体" w:hAnsi="宋体" w:cs="仿宋"/>
          <w:sz w:val="24"/>
          <w:lang w:eastAsia="zh-CN"/>
        </w:rPr>
        <w:t>做</w:t>
      </w:r>
      <w:r>
        <w:rPr>
          <w:rFonts w:hint="eastAsia" w:ascii="宋体" w:hAnsi="宋体" w:cs="仿宋"/>
          <w:sz w:val="24"/>
        </w:rPr>
        <w:t>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w:t>
      </w:r>
      <w:r>
        <w:rPr>
          <w:rFonts w:hint="eastAsia" w:ascii="宋体" w:hAnsi="宋体" w:cs="仿宋"/>
          <w:sz w:val="24"/>
          <w:lang w:eastAsia="zh-CN"/>
        </w:rPr>
        <w:t>供应商</w:t>
      </w:r>
      <w:r>
        <w:rPr>
          <w:rFonts w:hint="eastAsia" w:ascii="宋体" w:hAnsi="宋体" w:cs="仿宋"/>
          <w:sz w:val="24"/>
        </w:rPr>
        <w:t>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w:t>
      </w:r>
      <w:r>
        <w:rPr>
          <w:rFonts w:hint="eastAsia" w:ascii="宋体" w:hAnsi="宋体" w:cs="仿宋"/>
          <w:sz w:val="24"/>
          <w:lang w:eastAsia="zh-CN"/>
        </w:rPr>
        <w:t>的</w:t>
      </w:r>
      <w:r>
        <w:rPr>
          <w:rFonts w:hint="eastAsia" w:ascii="宋体" w:hAnsi="宋体" w:cs="仿宋"/>
          <w:sz w:val="24"/>
        </w:rPr>
        <w:t>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w:t>
      </w:r>
      <w:r>
        <w:rPr>
          <w:rFonts w:hint="eastAsia" w:ascii="宋体" w:hAnsi="宋体" w:cs="仿宋"/>
          <w:sz w:val="24"/>
          <w:lang w:eastAsia="zh-CN"/>
        </w:rPr>
        <w:t>位公</w:t>
      </w:r>
      <w:r>
        <w:rPr>
          <w:rFonts w:hint="eastAsia" w:ascii="宋体" w:hAnsi="宋体" w:cs="仿宋"/>
          <w:sz w:val="24"/>
        </w:rPr>
        <w:t>章。联合体协议书(如有)应由联合体各方的法定代表人(单位负责人)或其授权的代理人签字并加盖单</w:t>
      </w:r>
      <w:r>
        <w:rPr>
          <w:rFonts w:hint="eastAsia" w:ascii="宋体" w:hAnsi="宋体" w:cs="仿宋"/>
          <w:sz w:val="24"/>
          <w:lang w:eastAsia="zh-CN"/>
        </w:rPr>
        <w:t>位公</w:t>
      </w:r>
      <w:r>
        <w:rPr>
          <w:rFonts w:hint="eastAsia" w:ascii="宋体" w:hAnsi="宋体" w:cs="仿宋"/>
          <w:sz w:val="24"/>
        </w:rPr>
        <w:t>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w:t>
      </w:r>
      <w:r>
        <w:rPr>
          <w:rFonts w:hint="eastAsia" w:ascii="宋体" w:hAnsi="宋体" w:cs="仿宋"/>
          <w:sz w:val="24"/>
          <w:lang w:eastAsia="zh-CN"/>
        </w:rPr>
        <w:t>位公</w:t>
      </w:r>
      <w:r>
        <w:rPr>
          <w:rFonts w:hint="eastAsia" w:ascii="宋体" w:hAnsi="宋体" w:cs="仿宋"/>
          <w:sz w:val="24"/>
        </w:rPr>
        <w:t>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w:t>
      </w:r>
      <w:r>
        <w:rPr>
          <w:rFonts w:hint="eastAsia" w:ascii="宋体" w:hAnsi="宋体" w:cs="仿宋"/>
          <w:sz w:val="24"/>
          <w:lang w:eastAsia="zh-CN"/>
        </w:rPr>
        <w:t>位公</w:t>
      </w:r>
      <w:r>
        <w:rPr>
          <w:rFonts w:hint="eastAsia" w:ascii="宋体" w:hAnsi="宋体" w:cs="仿宋"/>
          <w:sz w:val="24"/>
        </w:rPr>
        <w:t>章。</w:t>
      </w:r>
    </w:p>
    <w:p>
      <w:pPr>
        <w:adjustRightInd w:val="0"/>
        <w:snapToGrid w:val="0"/>
        <w:spacing w:line="312" w:lineRule="auto"/>
        <w:jc w:val="both"/>
        <w:rPr>
          <w:rFonts w:ascii="宋体" w:hAnsi="宋体" w:cs="仿宋"/>
          <w:sz w:val="24"/>
        </w:rPr>
      </w:pPr>
      <w:r>
        <w:rPr>
          <w:rFonts w:ascii="宋体" w:hAnsi="宋体" w:cs="仿宋"/>
          <w:sz w:val="24"/>
        </w:rPr>
        <w:t>3.7.5响应文件正本一份，副本</w:t>
      </w:r>
      <w:r>
        <w:rPr>
          <w:rFonts w:hint="eastAsia" w:ascii="宋体" w:hAnsi="宋体" w:cs="仿宋"/>
          <w:sz w:val="24"/>
          <w:lang w:val="en-US" w:eastAsia="zh-CN"/>
        </w:rPr>
        <w:t>二</w:t>
      </w:r>
      <w:r>
        <w:rPr>
          <w:rFonts w:ascii="宋体" w:hAnsi="宋体" w:cs="仿宋"/>
          <w:sz w:val="24"/>
        </w:rPr>
        <w:t>份数见供应商须知前附表。正本和副本的封面右上角应清楚地标记“正本”或“副本”的字样。供应商应根据供应商须知前附表要求提供电子版文件。当副本和正本</w:t>
      </w:r>
      <w:r>
        <w:rPr>
          <w:rFonts w:hint="eastAsia" w:ascii="宋体" w:hAnsi="宋体" w:cs="仿宋"/>
          <w:sz w:val="24"/>
          <w:lang w:eastAsia="zh-CN"/>
        </w:rPr>
        <w:t>不符</w:t>
      </w:r>
      <w:r>
        <w:rPr>
          <w:rFonts w:ascii="宋体" w:hAnsi="宋体" w:cs="仿宋"/>
          <w:sz w:val="24"/>
        </w:rPr>
        <w:t>，或电子版文件和纸质正本文件不一致时，以纸质正本文件为准。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w:t>
      </w:r>
      <w:r>
        <w:rPr>
          <w:rFonts w:hint="eastAsia" w:ascii="宋体" w:hAnsi="宋体" w:cs="仿宋"/>
          <w:sz w:val="24"/>
          <w:lang w:eastAsia="zh-CN"/>
        </w:rPr>
        <w:t>（</w:t>
      </w:r>
      <w:r>
        <w:rPr>
          <w:rFonts w:hint="eastAsia" w:ascii="宋体" w:hAnsi="宋体" w:cs="仿宋"/>
          <w:sz w:val="24"/>
          <w:lang w:val="en-US" w:eastAsia="zh-CN"/>
        </w:rPr>
        <w:t>封面为彩色）</w:t>
      </w:r>
      <w:r>
        <w:rPr>
          <w:rFonts w:ascii="宋体" w:hAnsi="宋体" w:cs="仿宋"/>
          <w:sz w:val="24"/>
        </w:rPr>
        <w:t>，并编制目录。响应文件需分册装订的，具体分册装订要求见供应商须知前附表规定。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w:t>
      </w:r>
      <w:r>
        <w:rPr>
          <w:rFonts w:hint="eastAsia" w:ascii="宋体" w:hAnsi="宋体" w:cs="仿宋"/>
          <w:sz w:val="24"/>
          <w:lang w:eastAsia="zh-CN"/>
        </w:rPr>
        <w:t>完善</w:t>
      </w:r>
      <w:r>
        <w:rPr>
          <w:rFonts w:ascii="宋体" w:hAnsi="宋体" w:cs="仿宋"/>
          <w:sz w:val="24"/>
        </w:rPr>
        <w:t>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w:t>
      </w:r>
      <w:r>
        <w:rPr>
          <w:rFonts w:hint="eastAsia" w:ascii="宋体" w:hAnsi="宋体" w:cs="仿宋"/>
          <w:sz w:val="24"/>
          <w:lang w:eastAsia="zh-CN"/>
        </w:rPr>
        <w:t>不予退还</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w:t>
      </w:r>
      <w:r>
        <w:rPr>
          <w:rFonts w:hint="eastAsia" w:ascii="宋体" w:hAnsi="宋体" w:cs="仿宋"/>
          <w:sz w:val="24"/>
          <w:lang w:eastAsia="zh-CN"/>
        </w:rPr>
        <w:t>位公</w:t>
      </w:r>
      <w:r>
        <w:rPr>
          <w:rFonts w:ascii="宋体" w:hAnsi="宋体" w:cs="仿宋"/>
          <w:sz w:val="24"/>
        </w:rPr>
        <w:t>章。采购人收到供应商修改响应文件的书面文件后，向供应商出具接收凭证</w:t>
      </w:r>
      <w:r>
        <w:rPr>
          <w:rFonts w:hint="eastAsia" w:ascii="宋体" w:hAnsi="宋体" w:cs="仿宋"/>
          <w:sz w:val="24"/>
          <w:lang w:eastAsia="zh-CN"/>
        </w:rPr>
        <w:t>；</w:t>
      </w:r>
      <w:r>
        <w:rPr>
          <w:rFonts w:ascii="宋体" w:hAnsi="宋体" w:cs="仿宋"/>
          <w:sz w:val="24"/>
        </w:rPr>
        <w:t>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pPr>
      <w:r>
        <w:rPr>
          <w:rFonts w:hint="eastAsia" w:ascii="宋体" w:hAnsi="宋体" w:cs="仿宋"/>
          <w:sz w:val="24"/>
        </w:rPr>
        <w:t>(2)开启会议结束。</w:t>
      </w:r>
    </w:p>
    <w:p>
      <w:pPr>
        <w:adjustRightInd w:val="0"/>
        <w:snapToGrid w:val="0"/>
        <w:spacing w:line="312"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w:t>
      </w:r>
      <w:r>
        <w:rPr>
          <w:rFonts w:hint="eastAsia" w:ascii="宋体" w:hAnsi="宋体" w:cs="仿宋"/>
          <w:sz w:val="24"/>
          <w:lang w:eastAsia="zh-CN"/>
        </w:rPr>
        <w:t>下列情形之一的</w:t>
      </w:r>
      <w:r>
        <w:rPr>
          <w:rFonts w:hint="eastAsia" w:ascii="宋体" w:hAnsi="宋体" w:cs="仿宋"/>
          <w:sz w:val="24"/>
        </w:rPr>
        <w:t>，应当回避: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p>
    <w:p>
      <w:pPr>
        <w:pStyle w:val="14"/>
      </w:pP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w:t>
      </w:r>
      <w:r>
        <w:rPr>
          <w:rFonts w:hint="eastAsia" w:ascii="宋体" w:hAnsi="宋体" w:cs="仿宋"/>
          <w:sz w:val="24"/>
          <w:lang w:eastAsia="zh-CN"/>
        </w:rPr>
        <w:t>或</w:t>
      </w:r>
      <w:r>
        <w:rPr>
          <w:rFonts w:hint="eastAsia" w:ascii="宋体" w:hAnsi="宋体" w:cs="仿宋"/>
          <w:sz w:val="24"/>
        </w:rPr>
        <w:t>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sz w:val="24"/>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公示</w:t>
      </w:r>
    </w:p>
    <w:p>
      <w:pPr>
        <w:pStyle w:val="14"/>
      </w:pPr>
      <w:r>
        <w:rPr>
          <w:rFonts w:hint="eastAsia" w:hAnsi="宋体" w:cs="宋体"/>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7.6履约保证金（本项目不要求递交履约保证金）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w:t>
      </w:r>
      <w:r>
        <w:rPr>
          <w:rFonts w:hint="eastAsia" w:ascii="宋体" w:hAnsi="宋体" w:cs="仿宋"/>
          <w:sz w:val="24"/>
          <w:lang w:eastAsia="zh-CN"/>
        </w:rPr>
        <w:t>子项</w:t>
      </w:r>
      <w:r>
        <w:rPr>
          <w:rFonts w:hint="eastAsia" w:ascii="宋体" w:hAnsi="宋体" w:cs="仿宋"/>
          <w:sz w:val="24"/>
        </w:rPr>
        <w:t>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w:t>
      </w:r>
      <w:r>
        <w:rPr>
          <w:rFonts w:hint="eastAsia" w:ascii="宋体" w:hAnsi="宋体" w:cs="仿宋"/>
          <w:sz w:val="24"/>
          <w:lang w:eastAsia="zh-CN"/>
        </w:rPr>
        <w:t>位公</w:t>
      </w:r>
      <w:r>
        <w:rPr>
          <w:rFonts w:hint="eastAsia" w:ascii="宋体" w:hAnsi="宋体" w:cs="仿宋"/>
          <w:sz w:val="24"/>
        </w:rPr>
        <w:t>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lang w:eastAsia="zh-CN"/>
        </w:rPr>
        <w:t>需要</w:t>
      </w:r>
      <w:r>
        <w:rPr>
          <w:rFonts w:hint="eastAsia" w:ascii="宋体" w:hAnsi="宋体" w:cs="仿宋"/>
          <w:sz w:val="24"/>
        </w:rPr>
        <w:t>补充的其他内容:见供应商须知前附表。</w:t>
      </w: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pStyle w:val="14"/>
        <w:rPr>
          <w:rFonts w:hAnsi="宋体" w:cs="仿宋"/>
          <w:b/>
          <w:bCs/>
          <w:u w:val="single"/>
        </w:rPr>
      </w:pPr>
    </w:p>
    <w:p>
      <w:pPr>
        <w:pStyle w:val="14"/>
        <w:rPr>
          <w:rFonts w:hAnsi="宋体" w:cs="仿宋"/>
          <w:b/>
          <w:bCs/>
          <w:u w:val="single"/>
        </w:rPr>
      </w:pPr>
    </w:p>
    <w:p>
      <w:pPr>
        <w:pStyle w:val="14"/>
        <w:rPr>
          <w:rFonts w:hAnsi="宋体" w:cs="仿宋"/>
          <w:b/>
          <w:bCs/>
          <w:u w:val="single"/>
        </w:rPr>
      </w:pPr>
    </w:p>
    <w:p>
      <w:pPr>
        <w:pStyle w:val="14"/>
        <w:rPr>
          <w:rFonts w:hAnsi="宋体" w:cs="仿宋"/>
          <w:b/>
          <w:bCs/>
          <w:u w:val="single"/>
        </w:rPr>
      </w:pPr>
    </w:p>
    <w:p>
      <w:pPr>
        <w:spacing w:line="312" w:lineRule="auto"/>
        <w:jc w:val="both"/>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17"/>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pStyle w:val="14"/>
        <w:rPr>
          <w:rFonts w:hAnsi="宋体" w:cs="仿宋"/>
          <w:sz w:val="30"/>
          <w:szCs w:val="30"/>
        </w:rPr>
      </w:pPr>
    </w:p>
    <w:p>
      <w:pPr>
        <w:pStyle w:val="14"/>
        <w:rPr>
          <w:rFonts w:hAnsi="宋体" w:cs="仿宋"/>
          <w:sz w:val="30"/>
          <w:szCs w:val="30"/>
        </w:rPr>
      </w:pPr>
    </w:p>
    <w:p>
      <w:pPr>
        <w:pStyle w:val="14"/>
        <w:rPr>
          <w:rFonts w:hAnsi="宋体" w:cs="仿宋"/>
          <w:sz w:val="30"/>
          <w:szCs w:val="30"/>
        </w:rPr>
      </w:pPr>
    </w:p>
    <w:p>
      <w:pPr>
        <w:pStyle w:val="14"/>
        <w:rPr>
          <w:rFonts w:hAnsi="宋体" w:cs="仿宋"/>
          <w:sz w:val="30"/>
          <w:szCs w:val="30"/>
        </w:rPr>
      </w:pPr>
    </w:p>
    <w:p>
      <w:pPr>
        <w:pStyle w:val="14"/>
        <w:rPr>
          <w:rFonts w:hAnsi="宋体" w:cs="仿宋"/>
          <w:sz w:val="30"/>
          <w:szCs w:val="30"/>
        </w:rPr>
      </w:pPr>
    </w:p>
    <w:p>
      <w:pPr>
        <w:adjustRightInd w:val="0"/>
        <w:snapToGrid w:val="0"/>
        <w:spacing w:line="600" w:lineRule="exact"/>
        <w:ind w:firstLine="600" w:firstLineChars="200"/>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4320" w:firstLineChars="1800"/>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 xml:space="preserve">(签字)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lang w:val="en-US" w:eastAsia="zh-CN"/>
        </w:rPr>
        <w:t xml:space="preserve"> </w:t>
      </w: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3360" w:firstLineChars="1400"/>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4800" w:firstLineChars="2000"/>
        <w:jc w:val="both"/>
        <w:rPr>
          <w:rFonts w:ascii="仿宋" w:hAnsi="仿宋" w:eastAsia="仿宋" w:cs="仿宋"/>
          <w:sz w:val="30"/>
          <w:szCs w:val="30"/>
        </w:rPr>
      </w:pP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14"/>
        <w:ind w:firstLine="0"/>
        <w:rPr>
          <w:rFonts w:hAnsi="宋体" w:cs="仿宋"/>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lang w:eastAsia="zh-CN"/>
        </w:rPr>
        <w:t>发出的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23"/>
        <w:adjustRightInd w:val="0"/>
        <w:snapToGrid w:val="0"/>
        <w:spacing w:line="600" w:lineRule="exact"/>
        <w:ind w:firstLine="6240" w:firstLineChars="2600"/>
        <w:jc w:val="center"/>
        <w:rPr>
          <w:rFonts w:cs="仿宋"/>
        </w:rPr>
      </w:pP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rPr>
        <w:t>日</w:t>
      </w:r>
      <w:r>
        <w:rPr>
          <w:rFonts w:hint="eastAsia" w:cs="仿宋"/>
        </w:rPr>
        <w:br w:type="page"/>
      </w:r>
    </w:p>
    <w:p>
      <w:pPr>
        <w:adjustRightInd w:val="0"/>
        <w:snapToGrid w:val="0"/>
        <w:spacing w:line="600" w:lineRule="exact"/>
        <w:jc w:val="center"/>
        <w:outlineLvl w:val="0"/>
        <w:rPr>
          <w:rFonts w:ascii="黑体" w:hAnsi="黑体" w:eastAsia="黑体" w:cs="仿宋"/>
          <w:bCs/>
          <w:sz w:val="36"/>
          <w:szCs w:val="36"/>
        </w:rPr>
      </w:pPr>
      <w:bookmarkStart w:id="9" w:name="_Toc27443"/>
      <w:r>
        <w:rPr>
          <w:rFonts w:hint="eastAsia" w:ascii="黑体" w:hAnsi="黑体" w:eastAsia="黑体" w:cs="仿宋"/>
          <w:bCs/>
          <w:sz w:val="36"/>
          <w:szCs w:val="36"/>
        </w:rPr>
        <w:t>第三章 评审办法</w:t>
      </w:r>
      <w:bookmarkEnd w:id="9"/>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17"/>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条款号及名称</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评审因素</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1</w:t>
            </w:r>
          </w:p>
        </w:tc>
        <w:tc>
          <w:tcPr>
            <w:tcW w:w="1155"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评审方法</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评审方法</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exac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2.1.1</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形式评审标准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供应商名称</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与营业执照、资质证书一致；</w:t>
            </w:r>
          </w:p>
          <w:p>
            <w:pPr>
              <w:widowControl/>
              <w:adjustRightInd w:val="0"/>
              <w:snapToGrid w:val="0"/>
              <w:spacing w:line="288" w:lineRule="auto"/>
              <w:jc w:val="center"/>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响应文件签字盖章</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响应函中实质性内容</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2.1.2</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资格评审标准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依法设立</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资质要求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w:t>
            </w:r>
            <w:r>
              <w:rPr>
                <w:rFonts w:hint="eastAsia" w:ascii="宋体" w:hAnsi="宋体" w:cs="宋体"/>
                <w:sz w:val="24"/>
                <w:lang w:val="en-US" w:eastAsia="zh-CN"/>
              </w:rPr>
              <w:t>2</w:t>
            </w:r>
            <w:r>
              <w:rPr>
                <w:rFonts w:hint="eastAsia" w:ascii="宋体" w:hAnsi="宋体" w:cs="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财务要求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业绩要求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人员要求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w:t>
            </w:r>
            <w:r>
              <w:rPr>
                <w:rFonts w:hint="eastAsia" w:ascii="宋体" w:hAnsi="宋体" w:cs="宋体"/>
                <w:sz w:val="24"/>
                <w:lang w:val="en-US" w:eastAsia="zh-CN"/>
              </w:rPr>
              <w:t>6</w:t>
            </w:r>
            <w:r>
              <w:rPr>
                <w:rFonts w:hint="eastAsia" w:ascii="宋体" w:hAnsi="宋体" w:cs="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不存在第一章第3.</w:t>
            </w:r>
            <w:r>
              <w:rPr>
                <w:rFonts w:hint="eastAsia" w:ascii="宋体" w:hAnsi="宋体" w:cs="宋体"/>
                <w:sz w:val="24"/>
                <w:lang w:val="en-US" w:eastAsia="zh-CN"/>
              </w:rPr>
              <w:t>1</w:t>
            </w:r>
            <w:r>
              <w:rPr>
                <w:rFonts w:hint="eastAsia" w:ascii="宋体" w:hAnsi="宋体" w:cs="宋体"/>
                <w:sz w:val="24"/>
              </w:rPr>
              <w:t>款情形</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w:t>
            </w:r>
            <w:r>
              <w:rPr>
                <w:rFonts w:hint="eastAsia" w:ascii="宋体" w:hAnsi="宋体" w:cs="宋体"/>
                <w:sz w:val="24"/>
                <w:lang w:val="en-US" w:eastAsia="zh-CN"/>
              </w:rPr>
              <w:t>8</w:t>
            </w:r>
            <w:r>
              <w:rPr>
                <w:rFonts w:hint="eastAsia" w:ascii="宋体" w:hAnsi="宋体" w:cs="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2.1.3</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响应性评审标准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报价</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响应文件有效期</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响应方案</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质量标准</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完成期限</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合同签订，进场开工后</w:t>
            </w:r>
            <w:r>
              <w:rPr>
                <w:rFonts w:hint="eastAsia" w:ascii="宋体" w:hAnsi="宋体" w:cs="宋体"/>
                <w:sz w:val="24"/>
                <w:lang w:val="en-US" w:eastAsia="zh-CN"/>
              </w:rPr>
              <w:t>25</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合同条款</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对非关键条款的偏差</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允许偏差的范围：细微偏差</w:t>
            </w:r>
          </w:p>
          <w:p>
            <w:pPr>
              <w:widowControl/>
              <w:adjustRightInd w:val="0"/>
              <w:snapToGrid w:val="0"/>
              <w:spacing w:line="288" w:lineRule="auto"/>
              <w:jc w:val="center"/>
              <w:rPr>
                <w:rFonts w:hint="eastAsia" w:ascii="宋体" w:hAnsi="宋体" w:cs="宋体"/>
                <w:sz w:val="24"/>
              </w:rPr>
            </w:pPr>
            <w:r>
              <w:rPr>
                <w:rFonts w:hint="eastAsia" w:ascii="宋体" w:hAnsi="宋体" w:cs="宋体"/>
                <w:sz w:val="24"/>
              </w:rPr>
              <w:t xml:space="preserve">允许偏差的项数：2项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2.2.2</w:t>
            </w:r>
          </w:p>
        </w:tc>
        <w:tc>
          <w:tcPr>
            <w:tcW w:w="1155" w:type="dxa"/>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评审价格</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大写含税价格</w:t>
            </w: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条款号</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条款内容</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3</w:t>
            </w:r>
          </w:p>
        </w:tc>
        <w:tc>
          <w:tcPr>
            <w:tcW w:w="1452" w:type="dxa"/>
            <w:vAlign w:val="center"/>
          </w:tcPr>
          <w:p>
            <w:pPr>
              <w:widowControl w:val="0"/>
              <w:spacing w:line="288" w:lineRule="auto"/>
              <w:jc w:val="center"/>
              <w:rPr>
                <w:rFonts w:ascii="宋体" w:hAnsi="宋体" w:cs="宋体"/>
                <w:sz w:val="24"/>
              </w:rPr>
            </w:pPr>
            <w:r>
              <w:rPr>
                <w:rFonts w:hint="eastAsia" w:ascii="宋体" w:hAnsi="宋体" w:cs="宋体"/>
                <w:sz w:val="24"/>
              </w:rPr>
              <w:t>报价</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根据2.2.2条规定，本项要求提供</w:t>
            </w:r>
            <w:r>
              <w:rPr>
                <w:rFonts w:hint="eastAsia" w:ascii="宋体" w:hAnsi="宋体" w:cs="宋体"/>
                <w:sz w:val="24"/>
                <w:lang w:val="en-US" w:eastAsia="zh-CN"/>
              </w:rPr>
              <w:t>当地税务部门规定的</w:t>
            </w:r>
            <w:r>
              <w:rPr>
                <w:rFonts w:hint="eastAsia" w:ascii="宋体" w:hAnsi="宋体" w:cs="宋体"/>
                <w:sz w:val="24"/>
                <w:highlight w:val="yellow"/>
              </w:rPr>
              <w:t>增值</w:t>
            </w:r>
            <w:r>
              <w:rPr>
                <w:rFonts w:hint="eastAsia" w:ascii="宋体" w:hAnsi="宋体" w:cs="宋体"/>
                <w:sz w:val="24"/>
              </w:rPr>
              <w:t>税专用发票，</w:t>
            </w:r>
            <w:r>
              <w:rPr>
                <w:rFonts w:hint="eastAsia" w:ascii="宋体" w:hAnsi="宋体" w:cs="宋体"/>
                <w:sz w:val="24"/>
                <w:lang w:val="en-US" w:eastAsia="zh-CN"/>
              </w:rPr>
              <w:t>税前价</w:t>
            </w:r>
            <w:r>
              <w:rPr>
                <w:rFonts w:hint="eastAsia" w:ascii="宋体" w:hAnsi="宋体" w:cs="宋体"/>
                <w:sz w:val="24"/>
              </w:rPr>
              <w:t>超过最高限价的作废。如果报价人提供其他税率的增值税专用发票，招标人按</w:t>
            </w:r>
            <w:r>
              <w:rPr>
                <w:rFonts w:hint="eastAsia" w:ascii="宋体" w:hAnsi="宋体" w:cs="宋体"/>
                <w:sz w:val="24"/>
                <w:lang w:val="en-US" w:eastAsia="zh-CN"/>
              </w:rPr>
              <w:t>当地税务部门规定的</w:t>
            </w:r>
            <w:r>
              <w:rPr>
                <w:rFonts w:hint="eastAsia" w:ascii="宋体" w:hAnsi="宋体" w:cs="宋体"/>
                <w:sz w:val="24"/>
              </w:rPr>
              <w:t>增值税税率调整报价后参与排序。</w:t>
            </w:r>
          </w:p>
        </w:tc>
      </w:tr>
    </w:tbl>
    <w:p>
      <w:pPr>
        <w:spacing w:line="288" w:lineRule="auto"/>
        <w:jc w:val="both"/>
        <w:rPr>
          <w:rFonts w:ascii="宋体" w:hAnsi="宋体" w:cs="宋体"/>
          <w:sz w:val="24"/>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pStyle w:val="14"/>
        <w:spacing w:line="288" w:lineRule="auto"/>
        <w:ind w:firstLine="0"/>
        <w:jc w:val="both"/>
        <w:rPr>
          <w:rFonts w:hAnsi="宋体" w:cs="仿宋"/>
        </w:rPr>
      </w:pPr>
    </w:p>
    <w:p>
      <w:pPr>
        <w:rPr>
          <w:rFonts w:hAnsi="宋体" w:cs="仿宋"/>
        </w:rPr>
      </w:pPr>
      <w:r>
        <w:rPr>
          <w:rFonts w:hAnsi="宋体" w:cs="仿宋"/>
        </w:rP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lang w:val="en-US" w:eastAsia="zh-CN"/>
        </w:rPr>
        <w:t xml:space="preserve"> </w:t>
      </w: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w:t>
      </w:r>
      <w:r>
        <w:rPr>
          <w:rFonts w:hint="eastAsia" w:ascii="宋体" w:hAnsi="宋体" w:cs="仿宋"/>
          <w:sz w:val="24"/>
          <w:lang w:eastAsia="zh-CN"/>
        </w:rPr>
        <w:t>递交</w:t>
      </w:r>
      <w:r>
        <w:rPr>
          <w:rFonts w:hint="eastAsia" w:ascii="宋体" w:hAnsi="宋体" w:cs="仿宋"/>
          <w:sz w:val="24"/>
        </w:rPr>
        <w:t>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2.2.2除评审办法前附表另有规定外，评审价格为供应商在响应函中填报的税</w:t>
      </w:r>
      <w:r>
        <w:rPr>
          <w:rFonts w:hint="eastAsia" w:ascii="宋体" w:hAnsi="宋体" w:cs="仿宋"/>
          <w:sz w:val="24"/>
          <w:lang w:val="en-US" w:eastAsia="zh-CN"/>
        </w:rPr>
        <w:t>前</w:t>
      </w:r>
      <w:r>
        <w:rPr>
          <w:rFonts w:hint="eastAsia" w:ascii="宋体" w:hAnsi="宋体" w:cs="仿宋"/>
          <w:sz w:val="24"/>
        </w:rPr>
        <w:t>价格</w:t>
      </w:r>
      <w:r>
        <w:rPr>
          <w:rFonts w:hint="eastAsia" w:ascii="宋体" w:hAnsi="宋体" w:cs="宋体"/>
          <w:sz w:val="24"/>
        </w:rPr>
        <w:t>，</w:t>
      </w:r>
      <w:r>
        <w:rPr>
          <w:rFonts w:hint="eastAsia" w:ascii="宋体" w:hAnsi="宋体" w:cs="仿宋"/>
          <w:sz w:val="24"/>
        </w:rPr>
        <w:t>超过最高限价的作废</w:t>
      </w:r>
      <w:r>
        <w:rPr>
          <w:rFonts w:hint="eastAsia" w:ascii="宋体" w:hAnsi="宋体" w:cs="仿宋"/>
          <w:sz w:val="24"/>
          <w:lang w:eastAsia="zh-CN"/>
        </w:rPr>
        <w:t>，</w:t>
      </w:r>
      <w:r>
        <w:rPr>
          <w:rFonts w:hint="eastAsia" w:ascii="宋体" w:hAnsi="宋体" w:cs="仿宋"/>
          <w:sz w:val="24"/>
        </w:rPr>
        <w:t>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w:t>
      </w:r>
      <w:r>
        <w:rPr>
          <w:rFonts w:hint="eastAsia" w:ascii="宋体" w:hAnsi="宋体" w:cs="仿宋"/>
          <w:sz w:val="24"/>
          <w:lang w:eastAsia="zh-CN"/>
        </w:rPr>
        <w:t>位公</w:t>
      </w:r>
      <w:r>
        <w:rPr>
          <w:rFonts w:hint="eastAsia" w:ascii="宋体" w:hAnsi="宋体" w:cs="仿宋"/>
          <w:sz w:val="24"/>
        </w:rPr>
        <w:t>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w:t>
      </w:r>
      <w:r>
        <w:rPr>
          <w:rFonts w:hint="eastAsia" w:ascii="宋体" w:hAnsi="宋体" w:cs="仿宋"/>
          <w:sz w:val="24"/>
          <w:lang w:val="en-US" w:eastAsia="zh-CN"/>
        </w:rPr>
        <w:t>子目</w:t>
      </w:r>
      <w:r>
        <w:rPr>
          <w:rFonts w:hint="eastAsia" w:ascii="宋体" w:hAnsi="宋体" w:cs="仿宋"/>
          <w:sz w:val="24"/>
        </w:rPr>
        <w:t>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w:t>
      </w:r>
      <w:r>
        <w:rPr>
          <w:rFonts w:hint="eastAsia" w:ascii="宋体" w:hAnsi="宋体" w:cs="仿宋"/>
          <w:sz w:val="24"/>
          <w:lang w:val="en-US" w:eastAsia="zh-CN"/>
        </w:rPr>
        <w:t>子目</w:t>
      </w:r>
      <w:r>
        <w:rPr>
          <w:rFonts w:hint="eastAsia" w:ascii="宋体" w:hAnsi="宋体" w:cs="仿宋"/>
          <w:sz w:val="24"/>
        </w:rPr>
        <w:t>报价中存在缺漏项，且缺漏项内容不属于实质性偏差的，则视为缺漏项内容的价格已包含在其他分项</w:t>
      </w:r>
      <w:r>
        <w:rPr>
          <w:rFonts w:hint="eastAsia" w:ascii="宋体" w:hAnsi="宋体" w:cs="仿宋"/>
          <w:sz w:val="24"/>
          <w:lang w:val="en-US" w:eastAsia="zh-CN"/>
        </w:rPr>
        <w:t>子目</w:t>
      </w:r>
      <w:r>
        <w:rPr>
          <w:rFonts w:hint="eastAsia" w:ascii="宋体" w:hAnsi="宋体" w:cs="仿宋"/>
          <w:sz w:val="24"/>
        </w:rPr>
        <w:t>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r>
        <w:br w:type="page"/>
      </w:r>
    </w:p>
    <w:p>
      <w:pPr>
        <w:pStyle w:val="23"/>
        <w:spacing w:line="600" w:lineRule="exact"/>
        <w:ind w:firstLine="0" w:firstLineChars="0"/>
        <w:jc w:val="center"/>
        <w:outlineLvl w:val="0"/>
        <w:rPr>
          <w:rFonts w:ascii="黑体" w:hAnsi="黑体" w:eastAsia="黑体" w:cs="仿宋"/>
          <w:b/>
          <w:color w:val="000000"/>
          <w:sz w:val="36"/>
          <w:szCs w:val="36"/>
        </w:rPr>
      </w:pPr>
      <w:bookmarkStart w:id="10" w:name="_Toc9628"/>
      <w:r>
        <w:rPr>
          <w:rFonts w:hint="eastAsia" w:ascii="黑体" w:hAnsi="黑体" w:eastAsia="黑体" w:cs="仿宋"/>
          <w:b/>
          <w:color w:val="000000"/>
          <w:sz w:val="44"/>
          <w:szCs w:val="44"/>
        </w:rPr>
        <w:t>第四章  合同条款及格式</w:t>
      </w:r>
      <w:bookmarkEnd w:id="10"/>
    </w:p>
    <w:p/>
    <w:p>
      <w:pPr>
        <w:jc w:val="center"/>
      </w:pPr>
      <w:r>
        <w:rPr>
          <w:rFonts w:hint="eastAsia"/>
        </w:rPr>
        <w:t xml:space="preserve">                                               合同编号：</w:t>
      </w:r>
    </w:p>
    <w:p>
      <w:pPr>
        <w:pStyle w:val="14"/>
      </w:pPr>
    </w:p>
    <w:p>
      <w:pPr>
        <w:pStyle w:val="14"/>
      </w:pPr>
    </w:p>
    <w:p>
      <w:pPr>
        <w:pStyle w:val="14"/>
      </w:pPr>
    </w:p>
    <w:p>
      <w:pPr>
        <w:pStyle w:val="14"/>
      </w:pPr>
    </w:p>
    <w:p>
      <w:pPr>
        <w:pStyle w:val="14"/>
      </w:pPr>
    </w:p>
    <w:p>
      <w:pPr>
        <w:widowControl w:val="0"/>
        <w:adjustRightInd w:val="0"/>
        <w:snapToGrid w:val="0"/>
        <w:spacing w:line="360" w:lineRule="auto"/>
        <w:jc w:val="center"/>
        <w:rPr>
          <w:rFonts w:ascii="黑体" w:hAnsi="黑体" w:eastAsia="黑体"/>
          <w:bCs/>
          <w:color w:val="000000"/>
          <w:sz w:val="44"/>
          <w:szCs w:val="44"/>
        </w:rPr>
      </w:pPr>
      <w:r>
        <w:rPr>
          <w:rFonts w:hint="eastAsia" w:ascii="黑体" w:hAnsi="黑体" w:eastAsia="黑体" w:cs="黑体"/>
          <w:bCs/>
          <w:sz w:val="44"/>
          <w:szCs w:val="44"/>
        </w:rPr>
        <w:t xml:space="preserve"> </w:t>
      </w:r>
      <w:r>
        <w:rPr>
          <w:rFonts w:hint="eastAsia" w:ascii="黑体" w:hAnsi="黑体" w:eastAsia="黑体" w:cs="黑体"/>
          <w:bCs/>
          <w:sz w:val="44"/>
          <w:szCs w:val="44"/>
          <w:lang w:val="en-US" w:eastAsia="zh-CN"/>
        </w:rPr>
        <w:t xml:space="preserve">施 工 </w:t>
      </w:r>
      <w:r>
        <w:rPr>
          <w:rFonts w:hint="eastAsia" w:ascii="黑体" w:hAnsi="黑体" w:eastAsia="黑体"/>
          <w:bCs/>
          <w:sz w:val="44"/>
          <w:szCs w:val="44"/>
        </w:rPr>
        <w:t>合 同</w:t>
      </w:r>
    </w:p>
    <w:p>
      <w:pPr>
        <w:spacing w:line="360" w:lineRule="auto"/>
        <w:jc w:val="both"/>
        <w:rPr>
          <w:b/>
          <w:bCs/>
          <w:sz w:val="44"/>
          <w:szCs w:val="44"/>
        </w:rPr>
      </w:pPr>
    </w:p>
    <w:p>
      <w:pPr>
        <w:spacing w:line="360" w:lineRule="auto"/>
        <w:rPr>
          <w:b/>
          <w:bCs/>
          <w:sz w:val="44"/>
          <w:szCs w:val="44"/>
        </w:rPr>
      </w:pPr>
    </w:p>
    <w:p>
      <w:pPr>
        <w:pStyle w:val="14"/>
        <w:rPr>
          <w:b/>
          <w:bCs/>
          <w:sz w:val="44"/>
          <w:szCs w:val="44"/>
        </w:rPr>
      </w:pPr>
    </w:p>
    <w:p>
      <w:pPr>
        <w:pStyle w:val="14"/>
        <w:rPr>
          <w:b/>
          <w:bCs/>
          <w:sz w:val="44"/>
          <w:szCs w:val="44"/>
        </w:rPr>
      </w:pPr>
    </w:p>
    <w:p>
      <w:pPr>
        <w:pStyle w:val="14"/>
        <w:rPr>
          <w:b/>
          <w:bCs/>
          <w:sz w:val="44"/>
          <w:szCs w:val="44"/>
        </w:rPr>
      </w:pPr>
    </w:p>
    <w:p>
      <w:pPr>
        <w:pStyle w:val="14"/>
        <w:rPr>
          <w:b/>
          <w:bCs/>
          <w:sz w:val="44"/>
          <w:szCs w:val="44"/>
        </w:rPr>
      </w:pPr>
    </w:p>
    <w:p>
      <w:pPr>
        <w:keepNext w:val="0"/>
        <w:keepLines w:val="0"/>
        <w:pageBreakBefore w:val="0"/>
        <w:widowControl/>
        <w:kinsoku/>
        <w:wordWrap/>
        <w:overflowPunct/>
        <w:topLinePunct w:val="0"/>
        <w:autoSpaceDE/>
        <w:autoSpaceDN/>
        <w:bidi w:val="0"/>
        <w:spacing w:line="360" w:lineRule="auto"/>
        <w:rPr>
          <w:rFonts w:hint="eastAsia" w:ascii="黑体" w:hAnsi="黑体" w:eastAsia="黑体" w:cs="黑体"/>
          <w:b w:val="0"/>
          <w:bCs w:val="0"/>
          <w:sz w:val="28"/>
          <w:szCs w:val="28"/>
        </w:rPr>
      </w:pPr>
      <w:r>
        <w:rPr>
          <w:rFonts w:hint="eastAsia" w:ascii="黑体" w:hAnsi="黑体" w:eastAsia="黑体"/>
          <w:sz w:val="32"/>
          <w:szCs w:val="32"/>
        </w:rPr>
        <w:t>项目名称：</w:t>
      </w:r>
      <w:r>
        <w:rPr>
          <w:rFonts w:hint="eastAsia" w:ascii="黑体" w:hAnsi="黑体" w:eastAsia="黑体" w:cs="黑体"/>
          <w:b w:val="0"/>
          <w:bCs w:val="0"/>
          <w:sz w:val="28"/>
          <w:szCs w:val="28"/>
          <w:lang w:val="en-US" w:eastAsia="zh-CN"/>
        </w:rPr>
        <w:t>城港公司2#装车机大车轨道提质改造项目施工劳务</w:t>
      </w:r>
      <w:r>
        <w:rPr>
          <w:rFonts w:hint="eastAsia" w:ascii="黑体" w:hAnsi="黑体" w:eastAsia="黑体" w:cs="黑体"/>
          <w:b w:val="0"/>
          <w:bCs w:val="0"/>
          <w:sz w:val="28"/>
          <w:szCs w:val="28"/>
        </w:rPr>
        <w:t>合同</w:t>
      </w:r>
    </w:p>
    <w:p>
      <w:pPr>
        <w:keepNext w:val="0"/>
        <w:keepLines w:val="0"/>
        <w:pageBreakBefore w:val="0"/>
        <w:widowControl/>
        <w:kinsoku/>
        <w:wordWrap/>
        <w:overflowPunct/>
        <w:topLinePunct w:val="0"/>
        <w:autoSpaceDE/>
        <w:autoSpaceDN/>
        <w:bidi w:val="0"/>
        <w:spacing w:line="360" w:lineRule="auto"/>
        <w:rPr>
          <w:rFonts w:hint="eastAsia" w:ascii="黑体" w:hAnsi="黑体" w:eastAsia="黑体" w:cs="黑体"/>
          <w:b w:val="0"/>
          <w:bCs w:val="0"/>
          <w:sz w:val="28"/>
          <w:szCs w:val="28"/>
        </w:rPr>
      </w:pPr>
    </w:p>
    <w:p>
      <w:pPr>
        <w:widowControl w:val="0"/>
        <w:snapToGrid w:val="0"/>
        <w:spacing w:line="240" w:lineRule="auto"/>
        <w:outlineLvl w:val="2"/>
        <w:rPr>
          <w:rFonts w:ascii="黑体" w:hAnsi="黑体" w:eastAsia="黑体"/>
          <w:sz w:val="30"/>
          <w:szCs w:val="30"/>
        </w:rPr>
      </w:pPr>
      <w:r>
        <w:rPr>
          <w:rFonts w:hint="eastAsia" w:ascii="黑体" w:hAnsi="黑体" w:eastAsia="黑体"/>
          <w:sz w:val="32"/>
          <w:szCs w:val="32"/>
        </w:rPr>
        <w:t>发</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w:t>
      </w:r>
      <w:r>
        <w:rPr>
          <w:rFonts w:hint="eastAsia" w:ascii="黑体" w:hAnsi="黑体" w:eastAsia="黑体"/>
          <w:sz w:val="30"/>
          <w:szCs w:val="30"/>
        </w:rPr>
        <w:t>湖南港产科技有限公司</w:t>
      </w:r>
    </w:p>
    <w:p>
      <w:pPr>
        <w:widowControl w:val="0"/>
        <w:snapToGrid w:val="0"/>
        <w:spacing w:line="240" w:lineRule="auto"/>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承</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w:t>
      </w:r>
    </w:p>
    <w:p>
      <w:pPr>
        <w:widowControl w:val="0"/>
        <w:snapToGrid w:val="0"/>
        <w:spacing w:line="240" w:lineRule="auto"/>
        <w:rPr>
          <w:rFonts w:ascii="黑体" w:hAnsi="黑体" w:eastAsia="黑体"/>
          <w:sz w:val="32"/>
          <w:szCs w:val="32"/>
        </w:rPr>
      </w:pPr>
    </w:p>
    <w:p>
      <w:pPr>
        <w:widowControl w:val="0"/>
        <w:snapToGrid w:val="0"/>
        <w:spacing w:line="240" w:lineRule="auto"/>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签订日期：</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rPr>
        <w:t>日</w:t>
      </w:r>
    </w:p>
    <w:p>
      <w:pPr>
        <w:widowControl w:val="0"/>
        <w:snapToGrid w:val="0"/>
        <w:spacing w:line="240" w:lineRule="auto"/>
        <w:rPr>
          <w:rFonts w:ascii="黑体" w:hAnsi="黑体" w:eastAsia="黑体"/>
          <w:sz w:val="32"/>
          <w:szCs w:val="32"/>
          <w:u w:val="single"/>
        </w:rPr>
        <w:sectPr>
          <w:headerReference r:id="rId5" w:type="default"/>
          <w:footerReference r:id="rId6" w:type="default"/>
          <w:pgSz w:w="11900" w:h="16840"/>
          <w:pgMar w:top="1440" w:right="1800" w:bottom="1440" w:left="1800" w:header="720" w:footer="720" w:gutter="0"/>
          <w:cols w:space="720" w:num="1"/>
          <w:docGrid w:linePitch="286" w:charSpace="0"/>
        </w:sectPr>
      </w:pPr>
    </w:p>
    <w:p>
      <w:pPr>
        <w:keepNext w:val="0"/>
        <w:keepLines w:val="0"/>
        <w:pageBreakBefore w:val="0"/>
        <w:widowControl/>
        <w:kinsoku/>
        <w:wordWrap/>
        <w:overflowPunct/>
        <w:topLinePunct w:val="0"/>
        <w:autoSpaceDE/>
        <w:autoSpaceDN/>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发包人：湖南港产科技有限公司        </w:t>
      </w:r>
      <w:r>
        <w:rPr>
          <w:rFonts w:hint="eastAsia" w:asciiTheme="minorEastAsia" w:hAnsiTheme="minorEastAsia" w:eastAsiaTheme="minorEastAsia" w:cstheme="minorEastAsia"/>
          <w:b/>
          <w:bCs/>
          <w:color w:val="0D0D0D"/>
          <w:kern w:val="0"/>
          <w:sz w:val="24"/>
          <w:szCs w:val="24"/>
        </w:rPr>
        <w:t>(以下简称甲方)</w:t>
      </w:r>
      <w:r>
        <w:rPr>
          <w:rFonts w:hint="eastAsia" w:asciiTheme="minorEastAsia" w:hAnsiTheme="minorEastAsia" w:eastAsiaTheme="minorEastAsia" w:cstheme="minorEastAsia"/>
          <w:b/>
          <w:bCs/>
          <w:sz w:val="24"/>
          <w:szCs w:val="24"/>
        </w:rPr>
        <w:t xml:space="preserve">       </w:t>
      </w:r>
    </w:p>
    <w:p>
      <w:pPr>
        <w:pStyle w:val="14"/>
        <w:keepNext w:val="0"/>
        <w:keepLines w:val="0"/>
        <w:pageBreakBefore w:val="0"/>
        <w:widowControl/>
        <w:kinsoku/>
        <w:wordWrap/>
        <w:overflowPunct/>
        <w:topLinePunct w:val="0"/>
        <w:autoSpaceDE/>
        <w:autoSpaceDN/>
        <w:bidi w:val="0"/>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承包人：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color w:val="0D0D0D"/>
          <w:kern w:val="0"/>
          <w:sz w:val="24"/>
          <w:szCs w:val="24"/>
        </w:rPr>
        <w:t>(以下简称乙方)</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rPr>
          <w:rFonts w:hint="eastAsia" w:ascii="宋体" w:hAnsi="宋体" w:eastAsia="宋体" w:cs="宋体"/>
          <w:b w:val="0"/>
          <w:bCs w:val="0"/>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rPr>
        <w:t>依照《中华人民共和国民法典》以及其他有关法律、行政法规，遵循平等、自愿、公平和诚实信用的原则，经双方</w:t>
      </w:r>
      <w:r>
        <w:rPr>
          <w:rFonts w:hint="eastAsia" w:ascii="宋体" w:hAnsi="宋体" w:cs="宋体"/>
          <w:b w:val="0"/>
          <w:bCs w:val="0"/>
          <w:sz w:val="24"/>
          <w:szCs w:val="24"/>
          <w:lang w:eastAsia="zh-CN"/>
        </w:rPr>
        <w:t>协商</w:t>
      </w:r>
      <w:r>
        <w:rPr>
          <w:rFonts w:hint="eastAsia" w:ascii="宋体" w:hAnsi="宋体" w:eastAsia="宋体" w:cs="宋体"/>
          <w:b w:val="0"/>
          <w:bCs w:val="0"/>
          <w:sz w:val="24"/>
          <w:szCs w:val="24"/>
        </w:rPr>
        <w:t>，达成</w:t>
      </w:r>
      <w:r>
        <w:rPr>
          <w:rFonts w:hint="eastAsia" w:asciiTheme="minorEastAsia" w:hAnsiTheme="minorEastAsia" w:eastAsiaTheme="minorEastAsia" w:cstheme="minorEastAsia"/>
          <w:b w:val="0"/>
          <w:bCs w:val="0"/>
          <w:sz w:val="24"/>
          <w:szCs w:val="24"/>
          <w:lang w:val="en-US" w:eastAsia="zh-CN"/>
        </w:rPr>
        <w:t>城港公司2#装车机大车轨道提质改造项目施工劳务</w:t>
      </w:r>
      <w:r>
        <w:rPr>
          <w:rFonts w:hint="eastAsia" w:ascii="宋体" w:hAnsi="宋体" w:eastAsia="宋体" w:cs="宋体"/>
          <w:b w:val="0"/>
          <w:bCs w:val="0"/>
          <w:sz w:val="24"/>
          <w:szCs w:val="24"/>
          <w:lang w:val="en-US" w:eastAsia="zh-CN"/>
        </w:rPr>
        <w:t>服务</w:t>
      </w:r>
      <w:r>
        <w:rPr>
          <w:rFonts w:hint="eastAsia" w:ascii="宋体" w:hAnsi="宋体" w:eastAsia="宋体" w:cs="宋体"/>
          <w:b w:val="0"/>
          <w:bCs w:val="0"/>
          <w:sz w:val="24"/>
          <w:szCs w:val="24"/>
        </w:rPr>
        <w:t xml:space="preserve">合同，双方共同遵照执行。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一、工程概况</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工程名称：</w:t>
      </w:r>
      <w:r>
        <w:rPr>
          <w:rFonts w:hint="eastAsia" w:asciiTheme="minorEastAsia" w:hAnsiTheme="minorEastAsia" w:eastAsiaTheme="minorEastAsia" w:cstheme="minorEastAsia"/>
          <w:b w:val="0"/>
          <w:bCs w:val="0"/>
          <w:sz w:val="24"/>
          <w:szCs w:val="24"/>
          <w:lang w:val="en-US" w:eastAsia="zh-CN"/>
        </w:rPr>
        <w:t>城港公司2#装车机大车轨道提质改造项目施工劳务</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工程地点：城</w:t>
      </w:r>
      <w:r>
        <w:rPr>
          <w:rFonts w:hint="eastAsia" w:ascii="宋体" w:hAnsi="宋体" w:eastAsia="宋体" w:cs="宋体"/>
          <w:b w:val="0"/>
          <w:bCs w:val="0"/>
          <w:sz w:val="24"/>
          <w:szCs w:val="24"/>
          <w:lang w:val="en-US" w:eastAsia="zh-CN"/>
        </w:rPr>
        <w:t>港</w:t>
      </w:r>
      <w:r>
        <w:rPr>
          <w:rFonts w:hint="eastAsia" w:ascii="宋体" w:hAnsi="宋体" w:eastAsia="宋体" w:cs="宋体"/>
          <w:b w:val="0"/>
          <w:bCs w:val="0"/>
          <w:sz w:val="24"/>
          <w:szCs w:val="24"/>
        </w:rPr>
        <w:t>公司</w:t>
      </w:r>
      <w:r>
        <w:rPr>
          <w:rFonts w:hint="eastAsia" w:ascii="宋体" w:hAnsi="宋体" w:cs="宋体"/>
          <w:b w:val="0"/>
          <w:bCs w:val="0"/>
          <w:sz w:val="24"/>
          <w:szCs w:val="24"/>
          <w:lang w:val="en-US" w:eastAsia="zh-CN"/>
        </w:rPr>
        <w:t>2#装车机</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rPr>
        <w:t>工程内容：</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城港公司2#装车机轨道</w:t>
      </w:r>
      <w:r>
        <w:rPr>
          <w:rFonts w:hint="eastAsia" w:ascii="宋体" w:hAnsi="宋体" w:cs="宋体"/>
          <w:sz w:val="24"/>
          <w:szCs w:val="24"/>
          <w:lang w:val="en-US" w:eastAsia="zh-CN"/>
        </w:rPr>
        <w:t>多处</w:t>
      </w:r>
      <w:r>
        <w:rPr>
          <w:rFonts w:hint="eastAsia" w:ascii="宋体" w:hAnsi="宋体" w:eastAsia="宋体" w:cs="宋体"/>
          <w:sz w:val="24"/>
          <w:szCs w:val="24"/>
          <w:lang w:val="en-US" w:eastAsia="zh-CN"/>
        </w:rPr>
        <w:t>轨道基础出现沉降，轨道接头处松动，沥青砂破损严重。严重影响装车机装车作业，增加大车机构故障风险。现场部分轨道沉降，轨道沟面积水严重，轨道接头下沉故障等。</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整体方案：整体拆除轨道，对基础垫板及轨道沟底部垫层拆除，更换钢垫板抬高调整轨道安装基面，灌注胶泥养护后安装轨道。轨道接头采用铝热焊焊联。</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更换轨道垫板及基础处理暂定数量为72*3=216米，实际以现场勘查施工量为准</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1.整体测量车轮轨道标高，标记轨道标高</w:t>
      </w:r>
      <w:r>
        <w:rPr>
          <w:rFonts w:hint="eastAsia" w:ascii="宋体" w:hAnsi="宋体" w:cs="宋体"/>
          <w:sz w:val="24"/>
          <w:szCs w:val="24"/>
          <w:lang w:val="en-US" w:eastAsia="zh-CN"/>
        </w:rPr>
        <w:t>偏差</w:t>
      </w:r>
      <w:r>
        <w:rPr>
          <w:rFonts w:hint="eastAsia" w:ascii="宋体" w:hAnsi="宋体" w:eastAsia="宋体" w:cs="宋体"/>
          <w:sz w:val="24"/>
          <w:szCs w:val="24"/>
          <w:lang w:val="en-US" w:eastAsia="zh-CN"/>
        </w:rPr>
        <w:t>位置。</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2.破拆清理轨道沟沥青砂，采用人工风镐破拆，清理轨道沟沥青砂，将废料装车运送至指定位置处理。</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3.清洗轨道沟，检查轨道沟基础情况，重点</w:t>
      </w:r>
      <w:r>
        <w:rPr>
          <w:rFonts w:hint="eastAsia" w:ascii="宋体" w:hAnsi="宋体" w:cs="宋体"/>
          <w:sz w:val="24"/>
          <w:szCs w:val="24"/>
          <w:lang w:val="en-US" w:eastAsia="zh-CN"/>
        </w:rPr>
        <w:t>检查</w:t>
      </w:r>
      <w:r>
        <w:rPr>
          <w:rFonts w:hint="eastAsia" w:ascii="宋体" w:hAnsi="宋体" w:eastAsia="宋体" w:cs="宋体"/>
          <w:sz w:val="24"/>
          <w:szCs w:val="24"/>
          <w:lang w:val="en-US" w:eastAsia="zh-CN"/>
        </w:rPr>
        <w:t>轨道接头处基础和轨道超差位置及沉降严重位置轨道沟基础（钢板是否变形，底板是否有空洞）。保护性拆除轨道。</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4.拆除通铺钢板的连接钢板。</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5、通过测量标高，对超差的、底板空洞、钢板变形及沉降严重位置，将钢板预紧螺母松开，取出调节螺母，用风镐及工具将钢板揭开，破除底部胶泥。更换 </w:t>
      </w:r>
      <w:r>
        <w:rPr>
          <w:rFonts w:hint="default" w:ascii="宋体" w:hAnsi="宋体" w:eastAsia="宋体" w:cs="宋体"/>
          <w:sz w:val="24"/>
          <w:szCs w:val="24"/>
          <w:lang w:val="en-US" w:eastAsia="zh-CN"/>
        </w:rPr>
        <w:t>Q235</w:t>
      </w:r>
      <w:r>
        <w:rPr>
          <w:rFonts w:hint="eastAsia" w:ascii="宋体" w:hAnsi="宋体" w:eastAsia="宋体" w:cs="宋体"/>
          <w:sz w:val="24"/>
          <w:szCs w:val="24"/>
          <w:lang w:val="en-US" w:eastAsia="zh-CN"/>
        </w:rPr>
        <w:t xml:space="preserve">  20厚</w:t>
      </w:r>
      <w:r>
        <w:rPr>
          <w:rFonts w:hint="default" w:ascii="宋体" w:hAnsi="宋体" w:eastAsia="宋体" w:cs="宋体"/>
          <w:sz w:val="24"/>
          <w:szCs w:val="24"/>
          <w:lang w:val="en-US" w:eastAsia="zh-CN"/>
        </w:rPr>
        <w:t>钢垫板，严格按照现场</w:t>
      </w:r>
      <w:r>
        <w:rPr>
          <w:rFonts w:hint="eastAsia" w:ascii="宋体" w:hAnsi="宋体" w:eastAsia="宋体" w:cs="宋体"/>
          <w:sz w:val="24"/>
          <w:szCs w:val="24"/>
          <w:lang w:val="en-US" w:eastAsia="zh-CN"/>
        </w:rPr>
        <w:t>预埋螺栓</w:t>
      </w:r>
      <w:r>
        <w:rPr>
          <w:rFonts w:hint="default" w:ascii="宋体" w:hAnsi="宋体" w:eastAsia="宋体" w:cs="宋体"/>
          <w:sz w:val="24"/>
          <w:szCs w:val="24"/>
          <w:lang w:val="en-US" w:eastAsia="zh-CN"/>
        </w:rPr>
        <w:t>的</w:t>
      </w:r>
      <w:r>
        <w:rPr>
          <w:rFonts w:hint="eastAsia" w:ascii="宋体" w:hAnsi="宋体" w:eastAsia="宋体" w:cs="宋体"/>
          <w:sz w:val="24"/>
          <w:szCs w:val="24"/>
          <w:lang w:val="en-US" w:eastAsia="zh-CN"/>
        </w:rPr>
        <w:t>尺寸</w:t>
      </w:r>
      <w:r>
        <w:rPr>
          <w:rFonts w:hint="default" w:ascii="宋体" w:hAnsi="宋体" w:eastAsia="宋体" w:cs="宋体"/>
          <w:sz w:val="24"/>
          <w:szCs w:val="24"/>
          <w:lang w:val="en-US" w:eastAsia="zh-CN"/>
        </w:rPr>
        <w:t xml:space="preserve">要求对钢垫板做打孔、整平等； </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6、更换</w:t>
      </w:r>
      <w:r>
        <w:rPr>
          <w:rFonts w:hint="default" w:ascii="宋体" w:hAnsi="宋体" w:eastAsia="宋体" w:cs="宋体"/>
          <w:sz w:val="24"/>
          <w:szCs w:val="24"/>
          <w:lang w:val="en-US" w:eastAsia="zh-CN"/>
        </w:rPr>
        <w:t>安装钢垫板前，彻底清除轨道槽表面的杂物以及颗粒等； 确定钢垫板的安装标高，并将其妥善安置在预埋 螺栓上，经调校螺栓将钢垫板调整至标记位置</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7.在钢垫板安装完毕并且调整至设定标高后，并用</w:t>
      </w:r>
      <w:r>
        <w:rPr>
          <w:rFonts w:hint="default" w:ascii="宋体" w:hAnsi="宋体" w:eastAsia="宋体" w:cs="宋体"/>
          <w:sz w:val="24"/>
          <w:szCs w:val="24"/>
          <w:lang w:val="en-US" w:eastAsia="zh-CN"/>
        </w:rPr>
        <w:t>低氢电焊条固定压板底座，最后</w:t>
      </w:r>
      <w:r>
        <w:rPr>
          <w:rFonts w:hint="eastAsia" w:ascii="宋体" w:hAnsi="宋体" w:cs="宋体"/>
          <w:sz w:val="24"/>
          <w:szCs w:val="24"/>
          <w:lang w:val="en-US" w:eastAsia="zh-CN"/>
        </w:rPr>
        <w:t>在</w:t>
      </w:r>
      <w:r>
        <w:rPr>
          <w:rFonts w:hint="default" w:ascii="宋体" w:hAnsi="宋体" w:eastAsia="宋体" w:cs="宋体"/>
          <w:sz w:val="24"/>
          <w:szCs w:val="24"/>
          <w:lang w:val="en-US" w:eastAsia="zh-CN"/>
        </w:rPr>
        <w:t>钢垫板</w:t>
      </w:r>
      <w:r>
        <w:rPr>
          <w:rFonts w:hint="eastAsia" w:ascii="宋体" w:hAnsi="宋体" w:eastAsia="宋体" w:cs="宋体"/>
          <w:sz w:val="24"/>
          <w:szCs w:val="24"/>
          <w:lang w:val="en-US" w:eastAsia="zh-CN"/>
        </w:rPr>
        <w:t>连接处焊接连接钢板-20*60*180</w:t>
      </w:r>
      <w:r>
        <w:rPr>
          <w:rFonts w:hint="default"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8.钢垫板调整改造施工结束后灌注胶泥作业：</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9.铺设胶垫板 </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在铺设胶垫板期间，应及时清理垫板表面的颗粒以及油污等污染物。保持胶垫板凹凸面朝上，胶垫板之间的接口位置不需要做特殊处理，但是应该注意错开钢垫板与轨道的</w:t>
      </w:r>
      <w:r>
        <w:rPr>
          <w:rFonts w:hint="eastAsia" w:ascii="宋体" w:hAnsi="宋体" w:eastAsia="宋体" w:cs="宋体"/>
          <w:sz w:val="24"/>
          <w:szCs w:val="24"/>
          <w:lang w:val="en-US" w:eastAsia="zh-CN"/>
        </w:rPr>
        <w:t>接口，最后在轨道两侧的钢垫板表面焊接钢片，避免胶垫板</w:t>
      </w:r>
      <w:r>
        <w:rPr>
          <w:rFonts w:hint="default" w:ascii="宋体" w:hAnsi="宋体" w:eastAsia="宋体" w:cs="宋体"/>
          <w:sz w:val="24"/>
          <w:szCs w:val="24"/>
          <w:lang w:val="en-US" w:eastAsia="zh-CN"/>
        </w:rPr>
        <w:t>滑出。</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10.轨道焊联：轨道采用铝热焊焊联为一根整体后安装。</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11.轨道安装紧固调整。</w:t>
      </w:r>
    </w:p>
    <w:p>
      <w:pPr>
        <w:pStyle w:val="14"/>
        <w:ind w:left="0" w:leftChars="0" w:firstLine="0" w:firstLineChars="0"/>
        <w:rPr>
          <w:rFonts w:hint="eastAsia" w:ascii="宋体" w:hAnsi="宋体"/>
          <w:sz w:val="24"/>
          <w:lang w:val="en-US" w:eastAsia="zh-CN"/>
        </w:rPr>
      </w:pPr>
      <w:r>
        <w:rPr>
          <w:rFonts w:hint="eastAsia" w:ascii="宋体" w:hAnsi="宋体" w:eastAsia="宋体" w:cs="宋体"/>
          <w:bCs/>
          <w:color w:val="000000"/>
          <w:sz w:val="24"/>
          <w:szCs w:val="24"/>
          <w:highlight w:val="none"/>
          <w:lang w:val="en-US" w:eastAsia="zh-CN"/>
        </w:rPr>
        <w:t>承接本工程的施工项目，包工不包料。工程项目及工程量如下</w:t>
      </w:r>
      <w:r>
        <w:rPr>
          <w:rFonts w:hint="eastAsia" w:hAnsi="宋体" w:cs="宋体"/>
          <w:bCs/>
          <w:color w:val="000000"/>
          <w:sz w:val="24"/>
          <w:szCs w:val="24"/>
          <w:highlight w:val="none"/>
          <w:lang w:val="en-US" w:eastAsia="zh-CN"/>
        </w:rPr>
        <w:t>：</w:t>
      </w:r>
    </w:p>
    <w:tbl>
      <w:tblPr>
        <w:tblStyle w:val="1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8"/>
        <w:gridCol w:w="1415"/>
        <w:gridCol w:w="1692"/>
        <w:gridCol w:w="757"/>
        <w:gridCol w:w="944"/>
        <w:gridCol w:w="1416"/>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沥青砂破除</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m³</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62.208</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破除轨道沟沥青砂，运输清理废料</w:t>
            </w: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0.4*0.18*432*2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拆除轨道</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P60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m</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864</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保护性拆除轨道，</w:t>
            </w:r>
            <w:r>
              <w:rPr>
                <w:rFonts w:hint="eastAsia" w:ascii="宋体" w:hAnsi="宋体" w:cs="宋体"/>
                <w:i w:val="0"/>
                <w:iCs w:val="0"/>
                <w:color w:val="000000"/>
                <w:kern w:val="0"/>
                <w:sz w:val="24"/>
                <w:szCs w:val="24"/>
                <w:u w:val="none"/>
                <w:lang w:val="en-US" w:eastAsia="zh-CN" w:bidi="ar"/>
              </w:rPr>
              <w:t>从车挡</w:t>
            </w:r>
            <w:r>
              <w:rPr>
                <w:rFonts w:hint="eastAsia" w:ascii="宋体" w:hAnsi="宋体" w:eastAsia="宋体" w:cs="宋体"/>
                <w:i w:val="0"/>
                <w:iCs w:val="0"/>
                <w:color w:val="000000"/>
                <w:kern w:val="0"/>
                <w:sz w:val="24"/>
                <w:szCs w:val="24"/>
                <w:u w:val="none"/>
                <w:lang w:val="en-US" w:eastAsia="zh-CN" w:bidi="ar"/>
              </w:rPr>
              <w:t>开始计算</w:t>
            </w: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钢垫板拆除更换</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20*350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m</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216</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含轨道基础测量、调整、安装费用</w:t>
            </w: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83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轨道沟砼破除基础修复</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m</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216</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5</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轨道胶泥破除及灌溉、养护</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lang w:val="en-US" w:eastAsia="zh-CN" w:bidi="ar"/>
              </w:rPr>
              <w:t>³</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4.32</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default" w:ascii="Calibri" w:hAnsi="Calibri" w:eastAsia="宋体" w:cs="Calibri"/>
                <w:i w:val="0"/>
                <w:iCs w:val="0"/>
                <w:color w:val="000000"/>
                <w:kern w:val="0"/>
                <w:sz w:val="24"/>
                <w:szCs w:val="24"/>
                <w:u w:val="none"/>
                <w:lang w:val="en-US" w:eastAsia="zh-CN" w:bidi="ar"/>
              </w:rPr>
              <w:t>0.4*0.05*216</w:t>
            </w:r>
          </w:p>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轨道压板底座焊接</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12*216</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螺杆修复</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M20*100/M24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1296</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M24螺杆手工套丝（6个/米）</w:t>
            </w: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轨道焊联</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轨道接头处理、铝热焊</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74</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含轨道头裁切，新轨道焊联</w:t>
            </w: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432*2/12.5+2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9</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轨道安装铺设</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轨道铺设、调整、紧固。</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m</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864</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10</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施工耗材</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氧气、乙炔、丙烷、焊条等易耗品</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项</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1</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kern w:val="2"/>
                <w:sz w:val="24"/>
                <w:szCs w:val="24"/>
                <w:u w:val="none"/>
                <w:lang w:val="en-US" w:eastAsia="zh-CN" w:bidi="ar-SA"/>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p>
        </w:tc>
      </w:tr>
    </w:tbl>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施工质量技术要求：</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1、本工程的施工质量必须达到国家起重机钢轨安装GB3426-82相关规定的标准要求。</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2、轨道基础应按照设计要求进行施工，确保基础的平整度和稳定性。基础的混凝土强度应满足起重机运行的要求，避免产生变形或沉降。</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3、轨道的直线度和水平度应符合设计要求，接头处应平滑过渡，无明显错位或台阶。轨道的纵向和横向偏差应在允许范围内，确保起重机的平稳运行。</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4、乙方必须严格按照甲方质量管理体系的要求，进行工程质量控制，并按甲方的有关要求填报相关表格，交甲方整理存档。</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5、所承包的工程，满足甲方安全性、可靠性、使用性能的要求，符合国家最新相关施工验收规范、检验标准的要求。</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6、工程质量验收标准：符合起重机钢轨安装GB3426-82相关规定</w:t>
      </w:r>
      <w:r>
        <w:rPr>
          <w:rFonts w:hint="eastAsia" w:ascii="宋体" w:hAnsi="宋体" w:cs="宋体"/>
          <w:sz w:val="24"/>
          <w:szCs w:val="24"/>
          <w:lang w:val="en-US" w:eastAsia="zh-CN"/>
        </w:rPr>
        <w:t>要求</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7、工程质量保修期</w:t>
      </w:r>
      <w:r>
        <w:rPr>
          <w:rFonts w:hint="eastAsia" w:ascii="宋体" w:hAnsi="宋体" w:cs="宋体"/>
          <w:sz w:val="24"/>
          <w:szCs w:val="24"/>
          <w:lang w:val="en-US" w:eastAsia="zh-CN"/>
        </w:rPr>
        <w:t>按</w:t>
      </w:r>
      <w:r>
        <w:rPr>
          <w:rFonts w:hint="eastAsia" w:ascii="宋体" w:hAnsi="宋体" w:eastAsia="宋体" w:cs="宋体"/>
          <w:sz w:val="24"/>
          <w:szCs w:val="24"/>
          <w:lang w:val="en-US" w:eastAsia="zh-CN"/>
        </w:rPr>
        <w:t>竣工验收合格后12个月执行。工程质量保修期起始日期自竣工验收报告签署之日起。</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四、施工工期：</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1、总工期    天，计划开工日期：     年   月   日，计划完工日期    年    月   日 。确保达到约定的合同工期。</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2、因业主原因致使工期延误，经业主认可工期可顺延，乙方进度应满足变更后的总工期目标。因乙方原因影响工期，每延误一天，罚款    元。</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五</w:t>
      </w:r>
      <w:r>
        <w:rPr>
          <w:rFonts w:hint="eastAsia" w:ascii="宋体" w:hAnsi="宋体" w:eastAsia="宋体" w:cs="宋体"/>
          <w:sz w:val="24"/>
          <w:szCs w:val="24"/>
        </w:rPr>
        <w:t>、工程费用及结算：</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1、本合同为施工总价合同，包工不包料。合同价款包干价     元（大写：       整）。（含   增值税）。</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本工程采用包工、包质量、包安全生产和安全保卫、包文明施工的包干方式进行承包。</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工程款支付：本工程预付30%工程款。</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（1）工程全部完工并验收合格一个月内，银行转账支付至合同价款的97% 。</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（2）剩余3%质量保证金，质保期满后一次性支付给乙方，质保期为12个月。</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2、工程结算编制、审核按甲方有关要求办理。</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3、乙方向甲方提供与工程款等额税率为3%专用发票。</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4、结算条件：</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（1）工程质量验评合格；</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（2）结算资料应完整齐全、准确、有效、符合有关计算规则。</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bookmarkStart w:id="11" w:name="_Toc17509"/>
      <w:r>
        <w:rPr>
          <w:rFonts w:hint="eastAsia" w:ascii="宋体" w:hAnsi="宋体" w:eastAsia="宋体" w:cs="宋体"/>
          <w:sz w:val="24"/>
          <w:szCs w:val="24"/>
          <w:lang w:val="en-US" w:eastAsia="zh-CN"/>
        </w:rPr>
        <w:t>5、本合同施工范围外的增加工程量另行协商。</w:t>
      </w:r>
      <w:bookmarkEnd w:id="11"/>
    </w:p>
    <w:p>
      <w:pPr>
        <w:keepNext w:val="0"/>
        <w:keepLines w:val="0"/>
        <w:pageBreakBefore w:val="0"/>
        <w:kinsoku/>
        <w:wordWrap/>
        <w:overflowPunct/>
        <w:topLinePunct w:val="0"/>
        <w:autoSpaceDE/>
        <w:autoSpaceDN/>
        <w:bidi w:val="0"/>
        <w:spacing w:line="480" w:lineRule="exact"/>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七、</w:t>
      </w:r>
      <w:r>
        <w:rPr>
          <w:rFonts w:hint="eastAsia" w:ascii="宋体" w:hAnsi="宋体" w:eastAsia="宋体" w:cs="宋体"/>
          <w:sz w:val="24"/>
          <w:szCs w:val="24"/>
        </w:rPr>
        <w:t>双方责任约定：</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1、甲方安排专人进行项目监管，督促落实施工安全、质量、进度。</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2、施工作业中乙方有需要协调及时与甲方进行通报联系。</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3、合同一经签订，乙方不得单方面解除合同或中途停工。</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4、乙方必须按照合同所规定的时间完工，因甲方原因或不可抗力导致停工的，工期顺延。</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5、乙方施工作业人员进场必须按公司要求做好安全入场教育及</w:t>
      </w:r>
      <w:r>
        <w:rPr>
          <w:rFonts w:hint="eastAsia" w:ascii="宋体" w:hAnsi="宋体" w:eastAsia="宋体" w:cs="宋体"/>
          <w:color w:val="000000" w:themeColor="text1"/>
          <w:sz w:val="24"/>
          <w:szCs w:val="24"/>
          <w14:textFill>
            <w14:solidFill>
              <w14:schemeClr w14:val="tx1"/>
            </w14:solidFill>
          </w14:textFill>
        </w:rPr>
        <w:t>现场安全</w:t>
      </w:r>
      <w:r>
        <w:rPr>
          <w:rFonts w:hint="eastAsia" w:ascii="宋体" w:hAnsi="宋体" w:eastAsia="宋体" w:cs="宋体"/>
          <w:sz w:val="24"/>
          <w:szCs w:val="24"/>
        </w:rPr>
        <w:t>技术交底工作，在施工中必须严格按双方签订的《安全生产协议》执行，所有因此产生的后果由乙方自行承担。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6、乙方施工作业人员应自觉遵守新港公司各项规章制度，做好现场安全文明施工与安全防护措施工作，</w:t>
      </w:r>
      <w:r>
        <w:rPr>
          <w:rFonts w:hint="eastAsia" w:ascii="宋体" w:hAnsi="宋体" w:cs="宋体"/>
          <w:sz w:val="24"/>
          <w:szCs w:val="24"/>
          <w:lang w:eastAsia="zh-CN"/>
        </w:rPr>
        <w:t>正确佩戴</w:t>
      </w:r>
      <w:r>
        <w:rPr>
          <w:rFonts w:hint="eastAsia" w:ascii="宋体" w:hAnsi="宋体" w:eastAsia="宋体" w:cs="宋体"/>
          <w:sz w:val="24"/>
          <w:szCs w:val="24"/>
        </w:rPr>
        <w:t>好安全帽与个人的劳保用品。</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八</w:t>
      </w:r>
      <w:r>
        <w:rPr>
          <w:rFonts w:hint="eastAsia" w:ascii="宋体" w:hAnsi="宋体" w:eastAsia="宋体" w:cs="宋体"/>
          <w:sz w:val="24"/>
          <w:szCs w:val="24"/>
        </w:rPr>
        <w:t>、其他事项：</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1、在执行合同中发生争议、双方应通过友好协商解决。</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2、本合同一式四份，甲方执叁份，乙方执壹份，经双方签字盖章后生效。</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default" w:ascii="宋体" w:hAnsi="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安全协议书、廉政协议</w:t>
      </w:r>
      <w:r>
        <w:rPr>
          <w:rFonts w:hint="eastAsia" w:cs="宋体"/>
          <w:sz w:val="24"/>
          <w:szCs w:val="24"/>
          <w:lang w:val="en-US" w:eastAsia="zh-CN"/>
        </w:rPr>
        <w:t>、项目清单施工费用报价表</w:t>
      </w:r>
      <w:r>
        <w:rPr>
          <w:rFonts w:hint="eastAsia" w:ascii="宋体" w:hAnsi="宋体" w:eastAsia="宋体" w:cs="宋体"/>
          <w:sz w:val="24"/>
          <w:szCs w:val="24"/>
          <w:lang w:val="en-US" w:eastAsia="zh-CN"/>
        </w:rPr>
        <w:t>作为本合同附件部分。</w:t>
      </w:r>
    </w:p>
    <w:p>
      <w:pPr>
        <w:pStyle w:val="13"/>
        <w:keepNext w:val="0"/>
        <w:keepLines w:val="0"/>
        <w:pageBreakBefore w:val="0"/>
        <w:widowControl/>
        <w:kinsoku/>
        <w:wordWrap/>
        <w:overflowPunct/>
        <w:topLinePunct w:val="0"/>
        <w:autoSpaceDE/>
        <w:autoSpaceDN/>
        <w:bidi w:val="0"/>
        <w:adjustRightInd/>
        <w:snapToGrid/>
        <w:spacing w:after="144" w:line="360" w:lineRule="auto"/>
        <w:ind w:firstLine="480" w:firstLineChars="200"/>
        <w:textAlignment w:val="auto"/>
        <w:rPr>
          <w:rFonts w:hint="eastAsia" w:ascii="宋体" w:hAnsi="宋体" w:eastAsia="宋体" w:cs="宋体"/>
          <w:sz w:val="24"/>
          <w:szCs w:val="24"/>
          <w:lang w:val="en-US" w:eastAsia="zh-CN"/>
        </w:rPr>
      </w:pPr>
    </w:p>
    <w:p>
      <w:pPr>
        <w:pStyle w:val="13"/>
        <w:keepNext w:val="0"/>
        <w:keepLines w:val="0"/>
        <w:pageBreakBefore w:val="0"/>
        <w:widowControl/>
        <w:kinsoku/>
        <w:wordWrap/>
        <w:overflowPunct/>
        <w:topLinePunct w:val="0"/>
        <w:autoSpaceDE/>
        <w:autoSpaceDN/>
        <w:bidi w:val="0"/>
        <w:adjustRightInd/>
        <w:snapToGrid/>
        <w:spacing w:after="144" w:line="360" w:lineRule="auto"/>
        <w:ind w:firstLine="480" w:firstLineChars="200"/>
        <w:textAlignment w:val="auto"/>
        <w:rPr>
          <w:rFonts w:hint="eastAsia" w:ascii="宋体" w:hAnsi="宋体" w:eastAsia="宋体" w:cs="宋体"/>
          <w:sz w:val="24"/>
          <w:szCs w:val="24"/>
          <w:lang w:val="en-US" w:eastAsia="zh-CN"/>
        </w:rPr>
      </w:pPr>
    </w:p>
    <w:p>
      <w:pPr>
        <w:pStyle w:val="13"/>
        <w:keepNext w:val="0"/>
        <w:keepLines w:val="0"/>
        <w:pageBreakBefore w:val="0"/>
        <w:widowControl/>
        <w:kinsoku/>
        <w:wordWrap/>
        <w:overflowPunct/>
        <w:topLinePunct w:val="0"/>
        <w:autoSpaceDE/>
        <w:autoSpaceDN/>
        <w:bidi w:val="0"/>
        <w:adjustRightInd/>
        <w:snapToGrid/>
        <w:spacing w:after="144" w:line="360" w:lineRule="auto"/>
        <w:ind w:firstLine="480" w:firstLineChars="200"/>
        <w:textAlignment w:val="auto"/>
        <w:rPr>
          <w:rFonts w:hint="eastAsia" w:ascii="宋体" w:hAnsi="宋体" w:eastAsia="宋体" w:cs="宋体"/>
          <w:sz w:val="24"/>
          <w:szCs w:val="24"/>
          <w:lang w:val="en-US" w:eastAsia="zh-CN"/>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eastAsia="宋体" w:cs="宋体"/>
          <w:b/>
          <w:bCs/>
          <w:color w:val="110F0F"/>
          <w:w w:val="110"/>
          <w:sz w:val="24"/>
          <w:szCs w:val="24"/>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cs="宋体"/>
          <w:b/>
          <w:bCs/>
          <w:color w:val="110F0F"/>
          <w:w w:val="110"/>
          <w:sz w:val="24"/>
          <w:szCs w:val="24"/>
          <w:lang w:eastAsia="zh-CN"/>
        </w:rPr>
      </w:pPr>
    </w:p>
    <w:p>
      <w:pPr>
        <w:ind w:firstLine="3179" w:firstLineChars="1200"/>
        <w:rPr>
          <w:rFonts w:hint="eastAsia" w:ascii="宋体" w:hAnsi="宋体" w:eastAsia="宋体" w:cs="宋体"/>
          <w:b/>
          <w:bCs/>
          <w:color w:val="110F0F"/>
          <w:w w:val="110"/>
          <w:sz w:val="24"/>
          <w:szCs w:val="24"/>
        </w:rPr>
      </w:pPr>
    </w:p>
    <w:p>
      <w:pPr>
        <w:rPr>
          <w:rFonts w:hint="eastAsia" w:ascii="宋体" w:hAnsi="宋体" w:eastAsia="宋体" w:cs="宋体"/>
          <w:b/>
          <w:bCs/>
          <w:color w:val="110F0F"/>
          <w:w w:val="110"/>
          <w:sz w:val="28"/>
          <w:szCs w:val="28"/>
        </w:rPr>
      </w:pPr>
      <w:r>
        <w:rPr>
          <w:rFonts w:hint="eastAsia" w:ascii="宋体" w:hAnsi="宋体" w:eastAsia="宋体" w:cs="宋体"/>
          <w:b/>
          <w:bCs/>
          <w:color w:val="110F0F"/>
          <w:w w:val="110"/>
          <w:sz w:val="28"/>
          <w:szCs w:val="28"/>
        </w:rPr>
        <w:br w:type="page"/>
      </w:r>
    </w:p>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安</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全</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协</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议</w:t>
      </w:r>
    </w:p>
    <w:p>
      <w:pPr>
        <w:pStyle w:val="14"/>
        <w:keepNext w:val="0"/>
        <w:keepLines w:val="0"/>
        <w:pageBreakBefore w:val="0"/>
        <w:widowControl/>
        <w:kinsoku/>
        <w:wordWrap/>
        <w:overflowPunct/>
        <w:topLinePunct w:val="0"/>
        <w:autoSpaceDE/>
        <w:autoSpaceDN/>
        <w:bidi w:val="0"/>
        <w:spacing w:line="380" w:lineRule="exact"/>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协议。</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sz w:val="24"/>
          <w:szCs w:val="24"/>
        </w:rPr>
        <w:t>第一条：项目名称：</w:t>
      </w:r>
      <w:r>
        <w:rPr>
          <w:rFonts w:hint="eastAsia" w:asciiTheme="minorEastAsia" w:hAnsiTheme="minorEastAsia" w:eastAsiaTheme="minorEastAsia" w:cstheme="minorEastAsia"/>
          <w:b w:val="0"/>
          <w:bCs w:val="0"/>
          <w:sz w:val="24"/>
          <w:szCs w:val="24"/>
          <w:lang w:val="en-US" w:eastAsia="zh-CN"/>
        </w:rPr>
        <w:t>城港公司2#装车机大车轨道提质改造项目施工劳务</w:t>
      </w:r>
      <w:r>
        <w:rPr>
          <w:rFonts w:hint="eastAsia" w:ascii="宋体" w:hAnsi="宋体" w:eastAsia="宋体" w:cs="宋体"/>
          <w:b/>
          <w:bCs/>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第二条：本协议内容只涉及甲乙双方在本项目中关于安全生产的权利和责任。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第三条：甲方的权利：</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（一）有权要求乙方建立安全组织机构或指定专人负责作业现场安全监督检查。严格执行安全生产法律、法规、条例、标准，遵守甲方的安全生产规章制度等。</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（二）有权按规定对乙方安全业绩、资质进行审查，对乙方针对作业项目制定的职业健康安全、环境项目进行审查并备案。</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（三）有权要求乙方在项目施工过程中保护好施工区域内甲方的安全生产设施、设备和器材。</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（四）有权要求乙方在进入甲方现场作业前所有作业人员接受甲方的安全培训与教育。</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（五）有权对乙方的作业现场的安全作业情况进行监督检查，有权对乙方不符合安全生产要求的行为进行制止、纠正、处罚、停止作业</w:t>
      </w:r>
      <w:r>
        <w:rPr>
          <w:rFonts w:hint="eastAsia" w:ascii="宋体" w:hAnsi="宋体" w:cs="宋体"/>
          <w:sz w:val="24"/>
          <w:szCs w:val="24"/>
          <w:lang w:eastAsia="zh-CN"/>
        </w:rPr>
        <w:t>直至</w:t>
      </w:r>
      <w:r>
        <w:rPr>
          <w:rFonts w:hint="eastAsia" w:ascii="宋体" w:hAnsi="宋体" w:eastAsia="宋体" w:cs="宋体"/>
          <w:sz w:val="24"/>
          <w:szCs w:val="24"/>
        </w:rPr>
        <w:t>清退出场。</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（六）有权要求乙方所有作业人员必须</w:t>
      </w:r>
      <w:r>
        <w:rPr>
          <w:rFonts w:hint="eastAsia" w:ascii="宋体" w:hAnsi="宋体" w:cs="宋体"/>
          <w:sz w:val="24"/>
          <w:szCs w:val="24"/>
          <w:lang w:eastAsia="zh-CN"/>
        </w:rPr>
        <w:t>缴纳</w:t>
      </w:r>
      <w:r>
        <w:rPr>
          <w:rFonts w:hint="eastAsia" w:ascii="宋体" w:hAnsi="宋体" w:eastAsia="宋体" w:cs="宋体"/>
          <w:sz w:val="24"/>
          <w:szCs w:val="24"/>
        </w:rPr>
        <w:t>工伤保险和意外伤害保险。</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第四条：甲方的责任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（一）认真贯彻落实国家有关法律、法规、标准及甲方公司安全生产规章制度。</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（二）向乙方明确作业区（</w:t>
      </w:r>
      <w:r>
        <w:rPr>
          <w:rFonts w:hint="eastAsia" w:ascii="宋体" w:hAnsi="宋体" w:eastAsia="宋体" w:cs="宋体"/>
          <w:sz w:val="24"/>
          <w:szCs w:val="24"/>
          <w:lang w:val="en-US" w:eastAsia="zh-CN"/>
        </w:rPr>
        <w:t>站</w:t>
      </w:r>
      <w:r>
        <w:rPr>
          <w:rFonts w:hint="eastAsia" w:ascii="宋体" w:hAnsi="宋体" w:eastAsia="宋体" w:cs="宋体"/>
          <w:sz w:val="24"/>
          <w:szCs w:val="24"/>
        </w:rPr>
        <w:t>内）的范围、危险源及安全技术交底，并要有书面记录。</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（三）在甲方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内为乙方提供项目合同中规定的安全作业条件。</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内发生事故时，积极协助抢险，防止事故扩大，并按照甲方公司有关规定进行报告。</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第五条：乙方的权利</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（一）有权对甲方的安全工作提出合理化建议和改进意见。</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（二）日常作业中，若甲方违章指挥、强令乙方冒险作业，有权拒绝执行。</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（三）有权要求在甲方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内提供符合安全作业的工艺条件和环境。</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（四）发生严重危及乙方生命安全的紧急情况时，乙方有权采取必要的避险措施。</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第六条：乙方的责任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（一）乙方是本项目的安全生产责任主体，对本项目的安全生产工作全面负责。</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（二）健全安全组织机构，建立安全生产责任制，制定健全的安全生产规章制度，制定生产安全事故</w:t>
      </w:r>
      <w:r>
        <w:rPr>
          <w:rFonts w:hint="eastAsia" w:ascii="宋体" w:hAnsi="宋体" w:cs="宋体"/>
          <w:sz w:val="24"/>
          <w:szCs w:val="24"/>
          <w:lang w:eastAsia="zh-CN"/>
        </w:rPr>
        <w:t>应急救援</w:t>
      </w:r>
      <w:r>
        <w:rPr>
          <w:rFonts w:hint="eastAsia" w:ascii="宋体" w:hAnsi="宋体" w:eastAsia="宋体" w:cs="宋体"/>
          <w:sz w:val="24"/>
          <w:szCs w:val="24"/>
        </w:rPr>
        <w:t>预案，配备必要的安全生产管理人员和劳动保护用品，严格执行甲方相关的规章制度。</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（三）应对作业人员进行作业前安全教育培训，使其具备相应的安全意识和安全技能；特种作业人员应具有相应的资格证书。</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（四）不得使用不符合国家、行业标准和甲方规定的原材料、设备、装置、防护用品、器材、安全检测仪器等。所使用的特种设备，必须经具有专业资质的检验检测机构检测。经检测不合格的，不得继续使用。</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（五）指定专人负责现场安全监督检查工作，认真开展安全检查，发现作业过程中人的不安全行为及事故安全隐患，应采取有效措施积极处理。</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（六）乙方有责任对作业区域的安全生产条件进行详细了解。</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（七）乙方在作业过程中有属于危及安全生产的关键作业时，应提出切实可行的方案，经甲方同意后，方可实施。</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（八）乙方在甲方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内作业期间只能在甲方规定的路线进出公司，只能在规定的区域内作业，禁止私自进入甲方其它生产区域。</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（九）乙方应服从甲方单位的安全管理。</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（十）发生事故时，乙方应积极抢险，避免事故的进一步扩大，并按照国家相关要求报告事故。</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（十一）当乙方在甲方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第七条  违约责任及处理</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（一）甲乙双方违反本合同要求，未造成事故时，依据相关合同对违约者进行处理（包括但不限于支付违约金、赔偿损失等）。</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（二）在甲方</w:t>
      </w:r>
      <w:r>
        <w:rPr>
          <w:rFonts w:hint="eastAsia" w:ascii="宋体" w:hAnsi="宋体" w:eastAsia="宋体" w:cs="宋体"/>
          <w:sz w:val="24"/>
          <w:szCs w:val="24"/>
          <w:lang w:val="en-US" w:eastAsia="zh-CN"/>
        </w:rPr>
        <w:t>站</w:t>
      </w:r>
      <w:r>
        <w:rPr>
          <w:rFonts w:hint="eastAsia" w:ascii="宋体" w:hAnsi="宋体" w:eastAsia="宋体" w:cs="宋体"/>
          <w:sz w:val="24"/>
          <w:szCs w:val="24"/>
        </w:rPr>
        <w:t>内发生事故时，甲、乙双方有抢险、救灾的责任，所发生的费用由责任方承担。</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（三）发生的事故，应经事故调查确认责任；事故报告和调查应按照国家和甲方有关规定进行。           </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（四）甲方违约造成的事故，甲方承担全部责任，并按规定追究有关人员责任及上报。</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（五）乙方违约造成的事故，乙方承担全部责任，并按规定追究有关人员责任并报告甲方。</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（六）甲、乙双方共同造成的事故，按双方责任大小承担相应责任，并按规定追究有关人员责任。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（七）对乙方发生事故后弄虚作假、隐瞒不报、迟报或谎报，一经查出，按有关规定从重处罚，情节严重的，甲方有权向当地政府安全生产监督管理部门报告，并取消其进入甲方市场资格。</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（八）作业期间，需要办理的有关安全的批文</w:t>
      </w:r>
      <w:r>
        <w:rPr>
          <w:rFonts w:hint="eastAsia" w:ascii="宋体" w:hAnsi="宋体" w:cs="宋体"/>
          <w:sz w:val="24"/>
          <w:szCs w:val="24"/>
          <w:lang w:eastAsia="zh-CN"/>
        </w:rPr>
        <w:t>或其他</w:t>
      </w:r>
      <w:r>
        <w:rPr>
          <w:rFonts w:hint="eastAsia" w:ascii="宋体" w:hAnsi="宋体" w:eastAsia="宋体" w:cs="宋体"/>
          <w:sz w:val="24"/>
          <w:szCs w:val="24"/>
        </w:rPr>
        <w:t>手续，乙方必须办理齐全，否则发生安全事故由乙方承担全部责任。</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第八条：由于不可抗力造成合同项目作业事故及生产的损失，当事人双方各自承担相应的损失。</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第九条：甲乙双方的作业人员和机具设备的保险，由甲乙双方依据国家相关规定或约定各自承担。</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第十条  本协议履行过程中发生争议纠纷，应通过友好协商方式解决，如协商不成，按双方在项目经济合同中约定的管辖地和纠纷解决的方式执行。</w:t>
      </w:r>
    </w:p>
    <w:p>
      <w:pPr>
        <w:keepNext w:val="0"/>
        <w:keepLines w:val="0"/>
        <w:pageBreakBefore w:val="0"/>
        <w:widowControl/>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第十一条：本协议是项目经济合同的附件，与项目经济合同具有同等法律效力。本协议与项目经济合同同时生效、终止。</w:t>
      </w:r>
    </w:p>
    <w:p>
      <w:pPr>
        <w:keepNext w:val="0"/>
        <w:keepLines w:val="0"/>
        <w:pageBreakBefore w:val="0"/>
        <w:widowControl/>
        <w:numPr>
          <w:ilvl w:val="0"/>
          <w:numId w:val="2"/>
        </w:numPr>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乙方人员进场前安全教育培训人员；乙方作业期间指定现场安全监护人员。</w:t>
      </w: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pStyle w:val="14"/>
        <w:keepNext w:val="0"/>
        <w:keepLines w:val="0"/>
        <w:pageBreakBefore w:val="0"/>
        <w:kinsoku/>
        <w:wordWrap/>
        <w:overflowPunct/>
        <w:topLinePunct w:val="0"/>
        <w:autoSpaceDE/>
        <w:autoSpaceDN/>
        <w:bidi w:val="0"/>
        <w:spacing w:line="380" w:lineRule="exact"/>
        <w:ind w:left="0" w:leftChars="0" w:firstLine="0" w:firstLineChars="0"/>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宋体" w:hAnsi="宋体" w:eastAsia="宋体" w:cs="宋体"/>
          <w:b/>
          <w:bCs/>
          <w:color w:val="110F0F"/>
          <w:w w:val="110"/>
          <w:sz w:val="28"/>
          <w:szCs w:val="28"/>
        </w:rPr>
      </w:pPr>
      <w:r>
        <w:rPr>
          <w:rFonts w:hint="eastAsia" w:ascii="宋体" w:hAnsi="宋体" w:eastAsia="宋体" w:cs="宋体"/>
          <w:b/>
          <w:bCs/>
          <w:sz w:val="36"/>
          <w:szCs w:val="36"/>
        </w:rPr>
        <w:t>廉</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政</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协</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议</w:t>
      </w:r>
    </w:p>
    <w:p>
      <w:pPr>
        <w:pStyle w:val="14"/>
        <w:keepNext w:val="0"/>
        <w:keepLines w:val="0"/>
        <w:pageBreakBefore w:val="0"/>
        <w:widowControl/>
        <w:kinsoku/>
        <w:wordWrap/>
        <w:overflowPunct/>
        <w:topLinePunct w:val="0"/>
        <w:autoSpaceDE/>
        <w:autoSpaceDN/>
        <w:bidi w:val="0"/>
        <w:spacing w:line="380" w:lineRule="exact"/>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12" w:name="_Toc21390"/>
      <w:bookmarkStart w:id="13" w:name="_Toc30686"/>
      <w:bookmarkStart w:id="14" w:name="_Toc282076315"/>
      <w:r>
        <w:rPr>
          <w:rFonts w:hint="eastAsia" w:ascii="宋体" w:hAnsi="宋体" w:eastAsia="宋体" w:cs="宋体"/>
          <w:sz w:val="24"/>
          <w:szCs w:val="24"/>
        </w:rPr>
        <w:t>为做好工程建设中的党风廉政建设，保证工程建设高效优质、建设资金的安全和投资效益，以及双方合作的公平和公正，预防发包人利益受到双方经济合同之外各种不正当行为的损害，根据国家有关项目建设的法律法规和廉政建设规定，签订本廉政协议，以资共同遵守。第一条  甲乙双方的责任</w:t>
      </w:r>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（一）应严格遵守国家关于市场准入、项目招标投标、工程建设和市场活动等有关法律、法规，相关政策，以及廉政建设的各项规定。</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（二）严格执行建设工程项目相关合同文件，自觉按合同办事。</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（三）业务活动必须坚持公开、公平、公正、诚信、透明的原则，不得为获取不正当的利益，损害国家、集体和对方利益。</w:t>
      </w:r>
    </w:p>
    <w:p>
      <w:pPr>
        <w:keepNext w:val="0"/>
        <w:keepLines w:val="0"/>
        <w:pageBreakBefore w:val="0"/>
        <w:widowControl/>
        <w:kinsoku/>
        <w:wordWrap/>
        <w:overflowPunct/>
        <w:topLinePunct w:val="0"/>
        <w:autoSpaceDE/>
        <w:autoSpaceDN/>
        <w:bidi w:val="0"/>
        <w:adjustRightInd w:val="0"/>
        <w:snapToGrid w:val="0"/>
        <w:spacing w:line="380" w:lineRule="exact"/>
        <w:ind w:firstLine="482"/>
        <w:textAlignment w:val="auto"/>
        <w:rPr>
          <w:rFonts w:hint="eastAsia" w:ascii="宋体" w:hAnsi="宋体" w:eastAsia="宋体" w:cs="宋体"/>
          <w:sz w:val="24"/>
          <w:szCs w:val="24"/>
        </w:rPr>
      </w:pPr>
      <w:r>
        <w:rPr>
          <w:rFonts w:hint="eastAsia" w:ascii="宋体" w:hAnsi="宋体" w:eastAsia="宋体" w:cs="宋体"/>
          <w:sz w:val="24"/>
          <w:szCs w:val="24"/>
        </w:rPr>
        <w:t>（四）发现对方在业务活动中有违规、违纪、违法行为的，应及时提醒对方，情节严重的，应向其上级主管部门或纪检监察部门进行举报。</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15" w:name="_Toc25742"/>
      <w:bookmarkStart w:id="16" w:name="_Toc22406"/>
      <w:bookmarkStart w:id="17" w:name="_Toc282076316"/>
      <w:r>
        <w:rPr>
          <w:rFonts w:hint="eastAsia" w:ascii="宋体" w:hAnsi="宋体" w:eastAsia="宋体" w:cs="宋体"/>
          <w:sz w:val="24"/>
          <w:szCs w:val="24"/>
        </w:rPr>
        <w:t>第二条  发包人的责任</w:t>
      </w:r>
      <w:bookmarkEnd w:id="15"/>
      <w:bookmarkEnd w:id="16"/>
      <w:bookmarkEnd w:id="17"/>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发包人工作人员，在工程建设的事前、事中、事后应遵守以下规定：</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（一）不得向承包人索要或接受回扣、礼金、有价证券、贵重物品和好处费、感谢费等。</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（二）不得在承包人报销任何应由个人支付的费用。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（三）不得要求或接受承包人为其个人装修住房或为其配偶、子女的工作安排以及出国（境）、旅游等提供方便。</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（四）不得参加有可能影响公正执行公务的承包人的宴请、健身和娱乐等活动。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（五）不得向承包人介绍或推荐其配偶、子女及其他亲属参与</w:t>
      </w:r>
      <w:r>
        <w:rPr>
          <w:rFonts w:hint="eastAsia" w:ascii="宋体" w:hAnsi="宋体" w:cs="宋体"/>
          <w:sz w:val="24"/>
          <w:szCs w:val="24"/>
          <w:lang w:eastAsia="zh-CN"/>
        </w:rPr>
        <w:t>承包合同</w:t>
      </w:r>
      <w:r>
        <w:rPr>
          <w:rFonts w:hint="eastAsia" w:ascii="宋体" w:hAnsi="宋体" w:eastAsia="宋体" w:cs="宋体"/>
          <w:sz w:val="24"/>
          <w:szCs w:val="24"/>
        </w:rPr>
        <w:t>发包人建设项目有关的经济活动。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（六）不得以任何理由向承包人推荐分包单位或要求承包人购买项目合同规定以外的材料、设备和服务等。</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（七）</w:t>
      </w:r>
      <w:r>
        <w:rPr>
          <w:rFonts w:hint="eastAsia" w:ascii="宋体" w:hAnsi="宋体" w:cs="宋体"/>
          <w:sz w:val="24"/>
          <w:szCs w:val="24"/>
          <w:lang w:eastAsia="zh-CN"/>
        </w:rPr>
        <w:t>其他</w:t>
      </w:r>
      <w:r>
        <w:rPr>
          <w:rFonts w:hint="eastAsia" w:ascii="宋体" w:hAnsi="宋体" w:eastAsia="宋体" w:cs="宋体"/>
          <w:sz w:val="24"/>
          <w:szCs w:val="24"/>
        </w:rPr>
        <w:t>与项目有关的党风廉政建设和预防腐败的规定。</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18" w:name="_Toc282076317"/>
      <w:bookmarkStart w:id="19" w:name="_Toc14483"/>
      <w:bookmarkStart w:id="20" w:name="_Toc11848"/>
      <w:r>
        <w:rPr>
          <w:rFonts w:hint="eastAsia" w:ascii="宋体" w:hAnsi="宋体" w:eastAsia="宋体" w:cs="宋体"/>
          <w:sz w:val="24"/>
          <w:szCs w:val="24"/>
        </w:rPr>
        <w:t>第三条  承包人的责任</w:t>
      </w:r>
      <w:bookmarkEnd w:id="18"/>
      <w:bookmarkEnd w:id="19"/>
      <w:bookmarkEnd w:id="20"/>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应与发包人保持正常的业务交往，按照有关法律法规和程序开展业务工作，严格执行工程建设的有关方针、政策，并遵守以下规定：</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（一）不得以任何理由向发包人工作人员赠送礼金、有价证券、贵重物品和回扣、好处费、感谢费等。</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（二）不得以任何理由为发包人工作人员报销应由其个人支付的费用。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（三）不得为发包人工作人员装修住房或为其配偶、子女的工作安排以及出国（境）、旅游等提供方便。</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（四）不得以任何理由邀请发包人工作人员参加有可能影响公正执行公务的宴请、健身、娱乐等活动。</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21" w:name="OLE_LINK1"/>
      <w:r>
        <w:rPr>
          <w:rFonts w:hint="eastAsia" w:ascii="宋体" w:hAnsi="宋体" w:eastAsia="宋体" w:cs="宋体"/>
          <w:sz w:val="24"/>
          <w:szCs w:val="24"/>
        </w:rPr>
        <w:t>（五）</w:t>
      </w:r>
      <w:r>
        <w:rPr>
          <w:rFonts w:hint="eastAsia" w:ascii="宋体" w:hAnsi="宋体" w:cs="宋体"/>
          <w:sz w:val="24"/>
          <w:szCs w:val="24"/>
          <w:lang w:eastAsia="zh-CN"/>
        </w:rPr>
        <w:t>其他</w:t>
      </w:r>
      <w:r>
        <w:rPr>
          <w:rFonts w:hint="eastAsia" w:ascii="宋体" w:hAnsi="宋体" w:eastAsia="宋体" w:cs="宋体"/>
          <w:sz w:val="24"/>
          <w:szCs w:val="24"/>
        </w:rPr>
        <w:t>与项目有关的党风廉政建设和预防腐败的规定。</w:t>
      </w:r>
    </w:p>
    <w:bookmarkEnd w:id="21"/>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22" w:name="_Toc32291"/>
      <w:bookmarkStart w:id="23" w:name="_Toc9799"/>
      <w:bookmarkStart w:id="24" w:name="OLE_LINK2"/>
      <w:r>
        <w:rPr>
          <w:rFonts w:hint="eastAsia" w:ascii="宋体" w:hAnsi="宋体" w:eastAsia="宋体" w:cs="宋体"/>
          <w:sz w:val="24"/>
          <w:szCs w:val="24"/>
        </w:rPr>
        <w:t>第四条  违约责任</w:t>
      </w:r>
      <w:bookmarkEnd w:id="22"/>
      <w:bookmarkEnd w:id="23"/>
    </w:p>
    <w:bookmarkEnd w:id="24"/>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r>
        <w:rPr>
          <w:rFonts w:hint="eastAsia" w:ascii="宋体" w:hAnsi="宋体" w:eastAsia="宋体" w:cs="宋体"/>
          <w:sz w:val="24"/>
          <w:szCs w:val="24"/>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p>
      <w:pPr>
        <w:keepNext w:val="0"/>
        <w:keepLines w:val="0"/>
        <w:pageBreakBefore w:val="0"/>
        <w:widowControl/>
        <w:kinsoku/>
        <w:wordWrap/>
        <w:overflowPunct/>
        <w:topLinePunct w:val="0"/>
        <w:autoSpaceDE/>
        <w:autoSpaceDN/>
        <w:bidi w:val="0"/>
        <w:adjustRightInd w:val="0"/>
        <w:snapToGrid w:val="0"/>
        <w:spacing w:line="380" w:lineRule="exact"/>
        <w:ind w:firstLine="480"/>
        <w:rPr>
          <w:rFonts w:hint="eastAsia" w:ascii="宋体" w:hAnsi="宋体" w:eastAsia="宋体" w:cs="宋体"/>
          <w:sz w:val="24"/>
          <w:szCs w:val="24"/>
        </w:rPr>
      </w:pPr>
      <w:bookmarkStart w:id="25" w:name="_Toc9354"/>
      <w:bookmarkStart w:id="26" w:name="_Toc28966"/>
      <w:r>
        <w:rPr>
          <w:rFonts w:hint="eastAsia" w:ascii="宋体" w:hAnsi="宋体" w:eastAsia="宋体" w:cs="宋体"/>
          <w:sz w:val="24"/>
          <w:szCs w:val="24"/>
        </w:rPr>
        <w:t>第五条：本合同作为甲、乙双方主合同的附件，与主合同具有同等法律效力。经双方签署后立即生效，项目决算审计后合同效力终止</w:t>
      </w:r>
      <w:bookmarkEnd w:id="25"/>
      <w:bookmarkEnd w:id="26"/>
      <w:r>
        <w:rPr>
          <w:rFonts w:hint="eastAsia" w:ascii="宋体" w:hAnsi="宋体" w:eastAsia="宋体" w:cs="宋体"/>
          <w:sz w:val="24"/>
          <w:szCs w:val="24"/>
        </w:rPr>
        <w:t>。</w:t>
      </w:r>
    </w:p>
    <w:p>
      <w:pPr>
        <w:rPr>
          <w:rFonts w:hint="eastAsia" w:ascii="新宋体" w:hAnsi="新宋体" w:eastAsia="新宋体" w:cs="新宋体"/>
          <w:b/>
          <w:bCs/>
          <w:color w:val="110F0F"/>
          <w:w w:val="110"/>
          <w:sz w:val="28"/>
          <w:szCs w:val="28"/>
          <w:lang w:val="en-US" w:eastAsia="zh-CN"/>
        </w:rPr>
      </w:pPr>
    </w:p>
    <w:p>
      <w:pPr>
        <w:pStyle w:val="14"/>
        <w:ind w:left="0" w:leftChars="0" w:firstLine="0" w:firstLineChars="0"/>
        <w:rPr>
          <w:rFonts w:hint="eastAsia" w:ascii="新宋体" w:hAnsi="新宋体" w:eastAsia="新宋体" w:cs="新宋体"/>
          <w:b/>
          <w:bCs/>
          <w:color w:val="110F0F"/>
          <w:w w:val="110"/>
          <w:sz w:val="28"/>
          <w:szCs w:val="28"/>
          <w:lang w:val="en-US" w:eastAsia="zh-CN"/>
        </w:rPr>
      </w:pPr>
    </w:p>
    <w:tbl>
      <w:tblPr>
        <w:tblStyle w:val="16"/>
        <w:tblW w:w="87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6"/>
        <w:gridCol w:w="2915"/>
        <w:gridCol w:w="1500"/>
        <w:gridCol w:w="2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31" w:type="dxa"/>
            <w:gridSpan w:val="2"/>
            <w:tcBorders>
              <w:top w:val="single" w:color="auto" w:sz="4" w:space="0"/>
              <w:left w:val="single" w:color="auto" w:sz="4" w:space="0"/>
              <w:bottom w:val="single" w:color="auto" w:sz="4" w:space="0"/>
              <w:right w:val="single" w:color="auto" w:sz="4" w:space="0"/>
            </w:tcBorders>
          </w:tcPr>
          <w:p>
            <w:pPr>
              <w:widowControl/>
              <w:spacing w:after="160" w:line="600" w:lineRule="exact"/>
              <w:jc w:val="center"/>
              <w:rPr>
                <w:rFonts w:ascii="宋体" w:hAnsi="宋体" w:cs="宋体"/>
                <w:kern w:val="0"/>
                <w:sz w:val="28"/>
                <w:szCs w:val="28"/>
              </w:rPr>
            </w:pPr>
            <w:r>
              <w:rPr>
                <w:rFonts w:hint="eastAsia" w:ascii="宋体" w:hAnsi="宋体" w:cs="宋体"/>
                <w:kern w:val="0"/>
                <w:sz w:val="28"/>
                <w:szCs w:val="28"/>
              </w:rPr>
              <w:t>甲    方</w:t>
            </w:r>
          </w:p>
        </w:tc>
        <w:tc>
          <w:tcPr>
            <w:tcW w:w="4445" w:type="dxa"/>
            <w:gridSpan w:val="2"/>
            <w:tcBorders>
              <w:top w:val="single" w:color="auto" w:sz="4" w:space="0"/>
              <w:left w:val="single" w:color="auto" w:sz="4" w:space="0"/>
              <w:bottom w:val="single" w:color="auto" w:sz="4" w:space="0"/>
              <w:right w:val="single" w:color="auto" w:sz="4" w:space="0"/>
            </w:tcBorders>
          </w:tcPr>
          <w:p>
            <w:pPr>
              <w:widowControl/>
              <w:spacing w:after="160" w:line="600" w:lineRule="exact"/>
              <w:jc w:val="center"/>
              <w:rPr>
                <w:rFonts w:ascii="宋体" w:hAnsi="宋体" w:cs="宋体"/>
                <w:kern w:val="0"/>
                <w:sz w:val="28"/>
                <w:szCs w:val="28"/>
              </w:rPr>
            </w:pPr>
            <w:r>
              <w:rPr>
                <w:rFonts w:hint="eastAsia" w:ascii="宋体" w:hAnsi="宋体" w:cs="宋体"/>
                <w:kern w:val="0"/>
                <w:sz w:val="28"/>
                <w:szCs w:val="28"/>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ind w:left="280" w:hanging="240" w:hangingChars="1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单位名称：（章）</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湖南港产科技有限公司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 （章）</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单位地址</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岳阳市城陵矶长江路二号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单位地址</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法人</w:t>
            </w:r>
            <w:r>
              <w:rPr>
                <w:rFonts w:hint="eastAsia" w:asciiTheme="minorEastAsia" w:hAnsiTheme="minorEastAsia" w:eastAsiaTheme="minorEastAsia" w:cstheme="minorEastAsia"/>
                <w:kern w:val="0"/>
                <w:sz w:val="24"/>
                <w:szCs w:val="24"/>
                <w:lang w:val="en-US" w:eastAsia="zh-CN"/>
              </w:rPr>
              <w:t>代表</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法人</w:t>
            </w:r>
            <w:r>
              <w:rPr>
                <w:rFonts w:hint="eastAsia" w:asciiTheme="minorEastAsia" w:hAnsiTheme="minorEastAsia" w:eastAsiaTheme="minorEastAsia" w:cstheme="minorEastAsia"/>
                <w:kern w:val="0"/>
                <w:sz w:val="24"/>
                <w:szCs w:val="24"/>
                <w:lang w:val="en-US" w:eastAsia="zh-CN"/>
              </w:rPr>
              <w:t>代表</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委托代理人</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委托代理人</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话</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话</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开户银行</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岳阳市建行城陵矶支行</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开户银行</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帐</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号</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color w:val="000000"/>
                <w:sz w:val="24"/>
                <w:szCs w:val="24"/>
              </w:rPr>
              <w:t>43050166628600000536</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帐</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号</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税</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号</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color w:val="000000"/>
                <w:sz w:val="24"/>
                <w:szCs w:val="24"/>
              </w:rPr>
              <w:t>91430600MF7FA45M0B</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税</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号</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编</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414002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编</w:t>
            </w:r>
          </w:p>
        </w:tc>
        <w:tc>
          <w:tcPr>
            <w:tcW w:w="2945"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bl>
    <w:p>
      <w:pPr>
        <w:numPr>
          <w:ilvl w:val="0"/>
          <w:numId w:val="0"/>
        </w:numPr>
        <w:spacing w:line="600" w:lineRule="exact"/>
        <w:jc w:val="both"/>
        <w:outlineLvl w:val="0"/>
        <w:rPr>
          <w:rFonts w:ascii="黑体" w:hAnsi="黑体" w:eastAsia="黑体" w:cs="仿宋"/>
          <w:b/>
          <w:color w:val="000000"/>
          <w:sz w:val="36"/>
          <w:szCs w:val="36"/>
        </w:rPr>
      </w:pPr>
    </w:p>
    <w:p>
      <w:pPr>
        <w:pStyle w:val="14"/>
        <w:rPr>
          <w:rFonts w:hint="eastAsia"/>
          <w:lang w:val="en-US" w:eastAsia="zh-CN"/>
        </w:rPr>
      </w:pPr>
      <w:r>
        <w:rPr>
          <w:rFonts w:hint="eastAsia"/>
          <w:lang w:val="en-US" w:eastAsia="zh-CN"/>
        </w:rPr>
        <w:t xml:space="preserve">  </w:t>
      </w: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rPr>
          <w:rFonts w:hint="eastAsia"/>
          <w:lang w:val="en-US" w:eastAsia="zh-CN"/>
        </w:rPr>
      </w:pPr>
    </w:p>
    <w:p>
      <w:pPr>
        <w:pStyle w:val="14"/>
        <w:numPr>
          <w:ilvl w:val="0"/>
          <w:numId w:val="3"/>
        </w:numPr>
        <w:ind w:left="2668" w:leftChars="0" w:firstLine="0" w:firstLineChars="0"/>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 xml:space="preserve">  采购需要</w:t>
      </w:r>
    </w:p>
    <w:p>
      <w:pPr>
        <w:pStyle w:val="14"/>
        <w:numPr>
          <w:ilvl w:val="0"/>
          <w:numId w:val="0"/>
        </w:numPr>
        <w:ind w:left="2668" w:leftChars="0"/>
        <w:rPr>
          <w:rFonts w:hint="eastAsia" w:ascii="微软雅黑" w:hAnsi="微软雅黑" w:eastAsia="微软雅黑" w:cs="微软雅黑"/>
          <w:b/>
          <w:bCs/>
          <w:sz w:val="32"/>
          <w:szCs w:val="32"/>
          <w:lang w:val="en-US" w:eastAsia="zh-CN"/>
        </w:rPr>
      </w:pPr>
    </w:p>
    <w:p>
      <w:pPr>
        <w:numPr>
          <w:ilvl w:val="0"/>
          <w:numId w:val="4"/>
        </w:numPr>
        <w:spacing w:line="480" w:lineRule="exact"/>
        <w:jc w:val="both"/>
        <w:outlineLvl w:val="1"/>
        <w:rPr>
          <w:rFonts w:hint="eastAsia" w:ascii="宋体" w:hAnsi="宋体"/>
          <w:color w:val="0000FF"/>
          <w:sz w:val="24"/>
        </w:rPr>
      </w:pPr>
      <w:bookmarkStart w:id="27" w:name="_Toc6655"/>
      <w:r>
        <w:rPr>
          <w:rFonts w:hint="eastAsia" w:ascii="宋体" w:hAnsi="宋体"/>
          <w:b/>
          <w:bCs/>
          <w:sz w:val="24"/>
          <w:highlight w:val="none"/>
        </w:rPr>
        <w:t>采购项目名称 ：</w:t>
      </w:r>
      <w:bookmarkEnd w:id="27"/>
    </w:p>
    <w:p>
      <w:pPr>
        <w:numPr>
          <w:ilvl w:val="0"/>
          <w:numId w:val="0"/>
        </w:numPr>
        <w:adjustRightInd w:val="0"/>
        <w:snapToGrid w:val="0"/>
        <w:spacing w:line="312" w:lineRule="auto"/>
        <w:rPr>
          <w:rFonts w:hint="eastAsia" w:ascii="宋体" w:hAnsi="宋体"/>
          <w:color w:val="0000FF"/>
          <w:sz w:val="24"/>
        </w:rPr>
      </w:pPr>
      <w:r>
        <w:rPr>
          <w:rFonts w:hint="eastAsia" w:asciiTheme="minorEastAsia" w:hAnsiTheme="minorEastAsia" w:eastAsiaTheme="minorEastAsia" w:cstheme="minorEastAsia"/>
          <w:b w:val="0"/>
          <w:bCs w:val="0"/>
          <w:sz w:val="24"/>
          <w:szCs w:val="24"/>
          <w:lang w:val="en-US" w:eastAsia="zh-CN"/>
        </w:rPr>
        <w:t>城港公司2#装车机大车轨道提质改造项目施工劳务</w:t>
      </w:r>
      <w:r>
        <w:rPr>
          <w:rFonts w:hint="eastAsia" w:asciiTheme="minorEastAsia" w:hAnsiTheme="minorEastAsia" w:eastAsiaTheme="minorEastAsia" w:cstheme="minorEastAsia"/>
          <w:b w:val="0"/>
          <w:bCs w:val="0"/>
          <w:sz w:val="24"/>
          <w:szCs w:val="24"/>
          <w:lang w:eastAsia="zh-CN"/>
        </w:rPr>
        <w:t>。</w:t>
      </w:r>
    </w:p>
    <w:p>
      <w:pPr>
        <w:numPr>
          <w:ilvl w:val="0"/>
          <w:numId w:val="4"/>
        </w:numPr>
        <w:adjustRightInd w:val="0"/>
        <w:snapToGrid w:val="0"/>
        <w:spacing w:line="312" w:lineRule="auto"/>
        <w:rPr>
          <w:rFonts w:hint="eastAsia" w:ascii="宋体" w:hAnsi="宋体"/>
          <w:b/>
          <w:bCs/>
          <w:sz w:val="24"/>
        </w:rPr>
      </w:pPr>
      <w:r>
        <w:rPr>
          <w:rFonts w:hint="eastAsia" w:ascii="宋体" w:hAnsi="宋体"/>
          <w:b/>
          <w:bCs/>
          <w:sz w:val="24"/>
        </w:rPr>
        <w:t>项目概况及主要数据：</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城港公司2#装车机轨道</w:t>
      </w:r>
      <w:r>
        <w:rPr>
          <w:rFonts w:hint="eastAsia" w:ascii="宋体" w:hAnsi="宋体" w:cs="宋体"/>
          <w:b w:val="0"/>
          <w:bCs w:val="0"/>
          <w:sz w:val="24"/>
          <w:szCs w:val="24"/>
          <w:lang w:val="en-US" w:eastAsia="zh-CN"/>
        </w:rPr>
        <w:t>多处</w:t>
      </w:r>
      <w:r>
        <w:rPr>
          <w:rFonts w:hint="eastAsia" w:ascii="宋体" w:hAnsi="宋体" w:eastAsia="宋体" w:cs="宋体"/>
          <w:b w:val="0"/>
          <w:bCs w:val="0"/>
          <w:sz w:val="24"/>
          <w:szCs w:val="24"/>
          <w:lang w:val="en-US" w:eastAsia="zh-CN"/>
        </w:rPr>
        <w:t>轨道基础出现沉降，轨道接头处松动，沥青砂破损严重。严重影响装车机装车作业，增加大车机构故障风险。现场部分轨道沉降，轨道沟面积水严重，轨道接头下沉故障等。</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整体方案：整体拆除轨道，对基础垫板及轨道沟底部垫层拆除，更换钢垫板抬高调整轨道安装基面，灌注胶泥养护后安装轨道。轨道接头采用铝热焊焊联。</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更换轨道垫板及基础处理暂定数量为72*3=216米，实际以现场勘查施工量为准</w:t>
      </w:r>
    </w:p>
    <w:p>
      <w:pPr>
        <w:numPr>
          <w:ilvl w:val="0"/>
          <w:numId w:val="4"/>
        </w:numPr>
        <w:adjustRightInd w:val="0"/>
        <w:snapToGrid w:val="0"/>
        <w:spacing w:line="312" w:lineRule="auto"/>
        <w:rPr>
          <w:b/>
          <w:bCs/>
        </w:rPr>
      </w:pPr>
      <w:r>
        <w:rPr>
          <w:rFonts w:hint="eastAsia" w:ascii="宋体" w:hAnsi="宋体"/>
          <w:b/>
          <w:bCs/>
          <w:sz w:val="24"/>
        </w:rPr>
        <w:t>服务承包范围：</w:t>
      </w:r>
    </w:p>
    <w:p>
      <w:pPr>
        <w:pStyle w:val="14"/>
        <w:ind w:left="0" w:leftChars="0" w:firstLine="0" w:firstLineChars="0"/>
        <w:rPr>
          <w:rFonts w:hint="eastAsia" w:ascii="宋体" w:hAnsi="宋体"/>
          <w:sz w:val="24"/>
          <w:lang w:val="en-US" w:eastAsia="zh-CN"/>
        </w:rPr>
      </w:pPr>
      <w:r>
        <w:rPr>
          <w:rFonts w:hint="eastAsia" w:ascii="宋体" w:hAnsi="宋体" w:eastAsia="宋体" w:cs="宋体"/>
          <w:bCs/>
          <w:color w:val="000000"/>
          <w:sz w:val="24"/>
          <w:szCs w:val="24"/>
          <w:highlight w:val="none"/>
          <w:lang w:val="en-US" w:eastAsia="zh-CN"/>
        </w:rPr>
        <w:t>承接本工程的施工项目，包工不包料。工程项目及工程量如下</w:t>
      </w:r>
      <w:r>
        <w:rPr>
          <w:rFonts w:hint="eastAsia" w:hAnsi="宋体" w:cs="宋体"/>
          <w:bCs/>
          <w:color w:val="000000"/>
          <w:sz w:val="24"/>
          <w:szCs w:val="24"/>
          <w:highlight w:val="none"/>
          <w:lang w:val="en-US" w:eastAsia="zh-CN"/>
        </w:rPr>
        <w:t>：</w:t>
      </w:r>
    </w:p>
    <w:p>
      <w:pPr>
        <w:pStyle w:val="14"/>
        <w:numPr>
          <w:ilvl w:val="0"/>
          <w:numId w:val="0"/>
        </w:numPr>
        <w:spacing w:after="0" w:line="240" w:lineRule="auto"/>
        <w:rPr>
          <w:rFonts w:hint="eastAsia"/>
          <w:lang w:val="en-US" w:eastAsia="zh-CN"/>
        </w:rPr>
      </w:pPr>
      <w:r>
        <w:rPr>
          <w:rFonts w:hint="eastAsia"/>
          <w:lang w:val="en-US" w:eastAsia="zh-CN"/>
        </w:rPr>
        <w:t xml:space="preserve">  </w:t>
      </w:r>
    </w:p>
    <w:tbl>
      <w:tblPr>
        <w:tblStyle w:val="1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9"/>
        <w:gridCol w:w="1398"/>
        <w:gridCol w:w="1676"/>
        <w:gridCol w:w="740"/>
        <w:gridCol w:w="936"/>
        <w:gridCol w:w="1391"/>
        <w:gridCol w:w="1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沥青砂破除</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62.208</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破除轨道沟沥青砂，运输清理废料</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0.4*0.18*432*2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拆除轨道</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P60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864</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保护性拆除轨道，</w:t>
            </w:r>
            <w:r>
              <w:rPr>
                <w:rFonts w:hint="eastAsia" w:ascii="宋体" w:hAnsi="宋体" w:cs="宋体"/>
                <w:i w:val="0"/>
                <w:iCs w:val="0"/>
                <w:color w:val="000000"/>
                <w:kern w:val="0"/>
                <w:sz w:val="24"/>
                <w:szCs w:val="24"/>
                <w:u w:val="none"/>
                <w:lang w:val="en-US" w:eastAsia="zh-CN" w:bidi="ar"/>
              </w:rPr>
              <w:t>从车挡</w:t>
            </w:r>
            <w:r>
              <w:rPr>
                <w:rFonts w:hint="eastAsia" w:ascii="宋体" w:hAnsi="宋体" w:eastAsia="宋体" w:cs="宋体"/>
                <w:i w:val="0"/>
                <w:iCs w:val="0"/>
                <w:color w:val="000000"/>
                <w:kern w:val="0"/>
                <w:sz w:val="24"/>
                <w:szCs w:val="24"/>
                <w:u w:val="none"/>
                <w:lang w:val="en-US" w:eastAsia="zh-CN" w:bidi="ar"/>
              </w:rPr>
              <w:t>开始计算</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钢垫板拆除更换</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20*350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含轨道基础测量、调整、安装费用</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轨道沟砼破除基础修复</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轨道胶泥破除及灌溉、养护</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0.4*0.05*216</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轨道压板底座焊接</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12*216</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螺杆修复</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M20*100/M24</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1296</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M24螺杆手工套丝（6个/米）</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轨道焊联</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轨道接头处理、铝热焊</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含轨道头裁切，新轨道焊联</w:t>
            </w: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轨道安装铺设</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轨道铺设、调整、紧固。</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864</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10</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施工耗材</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氧气、乙炔、丙烷、焊条等易耗品</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Calibri"/>
                <w:i w:val="0"/>
                <w:iCs w:val="0"/>
                <w:color w:val="000000"/>
                <w:kern w:val="2"/>
                <w:sz w:val="24"/>
                <w:szCs w:val="24"/>
                <w:u w:val="none"/>
                <w:lang w:val="en-US" w:eastAsia="zh-CN" w:bidi="ar-SA"/>
              </w:rPr>
            </w:pPr>
          </w:p>
        </w:tc>
        <w:tc>
          <w:tcPr>
            <w:tcW w:w="1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p>
        </w:tc>
      </w:tr>
    </w:tbl>
    <w:p>
      <w:pPr>
        <w:pStyle w:val="14"/>
        <w:ind w:left="0" w:leftChars="0" w:firstLine="0" w:firstLineChars="0"/>
        <w:rPr>
          <w:rFonts w:hint="eastAsia" w:ascii="宋体" w:hAnsi="宋体"/>
          <w:b/>
          <w:bCs/>
          <w:sz w:val="24"/>
          <w:lang w:val="en-US" w:eastAsia="zh-CN"/>
        </w:rPr>
      </w:pPr>
    </w:p>
    <w:p>
      <w:pPr>
        <w:pStyle w:val="14"/>
        <w:ind w:left="0" w:leftChars="0" w:firstLine="0" w:firstLineChars="0"/>
        <w:rPr>
          <w:rFonts w:hint="default"/>
          <w:b/>
          <w:bCs/>
          <w:lang w:val="en-US"/>
        </w:rPr>
      </w:pPr>
      <w:r>
        <w:rPr>
          <w:rFonts w:hint="eastAsia" w:ascii="宋体" w:hAnsi="宋体"/>
          <w:b/>
          <w:bCs/>
          <w:sz w:val="24"/>
          <w:lang w:val="en-US" w:eastAsia="zh-CN"/>
        </w:rPr>
        <w:t>备注：如有工程未列项，报价单位可自行列出并备注事由。新列报价包</w:t>
      </w:r>
      <w:r>
        <w:rPr>
          <w:rFonts w:hint="eastAsia" w:hAnsi="宋体"/>
          <w:b/>
          <w:bCs/>
          <w:sz w:val="24"/>
          <w:lang w:val="en-US" w:eastAsia="zh-CN"/>
        </w:rPr>
        <w:t>含</w:t>
      </w:r>
      <w:r>
        <w:rPr>
          <w:rFonts w:hint="eastAsia" w:ascii="宋体" w:hAnsi="宋体"/>
          <w:b/>
          <w:bCs/>
          <w:sz w:val="24"/>
          <w:lang w:val="en-US" w:eastAsia="zh-CN"/>
        </w:rPr>
        <w:t>在总</w:t>
      </w:r>
    </w:p>
    <w:p>
      <w:pPr>
        <w:pStyle w:val="14"/>
        <w:ind w:left="0" w:leftChars="0" w:firstLine="0" w:firstLineChars="0"/>
        <w:rPr>
          <w:rFonts w:hint="default"/>
          <w:b/>
          <w:bCs/>
          <w:lang w:val="en-US" w:eastAsia="zh-CN"/>
        </w:rPr>
      </w:pPr>
      <w:r>
        <w:rPr>
          <w:rFonts w:hint="eastAsia"/>
          <w:b/>
          <w:bCs/>
          <w:lang w:val="en-US" w:eastAsia="zh-CN"/>
        </w:rPr>
        <w:t>价中</w:t>
      </w:r>
    </w:p>
    <w:p>
      <w:pPr>
        <w:numPr>
          <w:ilvl w:val="0"/>
          <w:numId w:val="4"/>
        </w:numPr>
        <w:adjustRightInd w:val="0"/>
        <w:snapToGrid w:val="0"/>
        <w:spacing w:line="312" w:lineRule="auto"/>
        <w:ind w:left="0" w:leftChars="0" w:firstLine="0" w:firstLineChars="0"/>
        <w:rPr>
          <w:rFonts w:hint="eastAsia"/>
          <w:b/>
          <w:bCs/>
        </w:rPr>
      </w:pPr>
      <w:r>
        <w:rPr>
          <w:rFonts w:hint="eastAsia" w:ascii="宋体" w:hAnsi="宋体"/>
          <w:b/>
          <w:bCs/>
          <w:sz w:val="24"/>
          <w:lang w:val="en-US" w:eastAsia="zh-CN"/>
        </w:rPr>
        <w:t>施工技术质量要求</w:t>
      </w:r>
      <w:r>
        <w:rPr>
          <w:rFonts w:hint="eastAsia" w:ascii="宋体" w:hAnsi="宋体"/>
          <w:b/>
          <w:bCs/>
          <w:sz w:val="24"/>
        </w:rPr>
        <w:t>：</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1、本工程的施工质量必须达到国家起重机钢轨安装GB3426-82相关规定的标准要求。</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2、轨道基础应按照设计要求进行施工，确保基础的平整度和稳定性。基础的混凝土强度应满足起重机运行的要求，避免产生变形或沉降。</w:t>
      </w:r>
    </w:p>
    <w:p>
      <w:pPr>
        <w:keepNext w:val="0"/>
        <w:keepLines w:val="0"/>
        <w:pageBreakBefore w:val="0"/>
        <w:kinsoku/>
        <w:wordWrap/>
        <w:overflowPunct/>
        <w:topLinePunct w:val="0"/>
        <w:autoSpaceDE/>
        <w:autoSpaceDN/>
        <w:bidi w:val="0"/>
        <w:spacing w:line="48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3、轨道的直线度和水平度应符合设计要求，接头处应平滑过渡，无明显错位或台阶。轨道的纵向和横向偏差应在允许范围内，确保起重机的平稳运行。</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4、乙方必须严格按照甲方质量管理体系的要求，进行工程质量控制，并按甲方的有关要求填报相关表格，交甲方整理存档。</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5、所承包的工程，满足甲方安全性、可靠性、使用性能的要求，符合国家最新相关施工验收规范、检验标准的要求。</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6、工程质量验收标准：</w:t>
      </w:r>
      <w:r>
        <w:rPr>
          <w:rFonts w:hint="eastAsia" w:ascii="宋体" w:hAnsi="宋体" w:eastAsia="宋体" w:cs="宋体"/>
          <w:color w:val="000000"/>
          <w:sz w:val="24"/>
          <w:szCs w:val="24"/>
        </w:rPr>
        <w:t>必须符合</w:t>
      </w:r>
      <w:r>
        <w:rPr>
          <w:rFonts w:hint="eastAsia" w:ascii="宋体" w:hAnsi="宋体" w:eastAsia="宋体" w:cs="宋体"/>
          <w:sz w:val="24"/>
          <w:szCs w:val="24"/>
          <w:lang w:val="en-US" w:eastAsia="zh-CN"/>
        </w:rPr>
        <w:t>起重机钢轨安装GB3426-82相关规定</w:t>
      </w:r>
      <w:r>
        <w:rPr>
          <w:rFonts w:hint="eastAsia" w:ascii="宋体" w:hAnsi="宋体" w:cs="宋体"/>
          <w:sz w:val="24"/>
          <w:szCs w:val="24"/>
          <w:lang w:val="en-US" w:eastAsia="zh-CN"/>
        </w:rPr>
        <w:t>要求</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7、工程质量保修期</w:t>
      </w:r>
      <w:r>
        <w:rPr>
          <w:rFonts w:hint="eastAsia" w:ascii="宋体" w:hAnsi="宋体" w:cs="宋体"/>
          <w:sz w:val="24"/>
          <w:szCs w:val="24"/>
          <w:lang w:val="en-US" w:eastAsia="zh-CN"/>
        </w:rPr>
        <w:t>按</w:t>
      </w:r>
      <w:r>
        <w:rPr>
          <w:rFonts w:hint="eastAsia" w:ascii="宋体" w:hAnsi="宋体" w:eastAsia="宋体" w:cs="宋体"/>
          <w:sz w:val="24"/>
          <w:szCs w:val="24"/>
          <w:lang w:val="en-US" w:eastAsia="zh-CN"/>
        </w:rPr>
        <w:t>竣工验收合格后12个月执行。工程质量保修期起始日期自竣工验收报告签署之日起。</w:t>
      </w:r>
    </w:p>
    <w:p>
      <w:pPr>
        <w:spacing w:line="312" w:lineRule="auto"/>
        <w:outlineLvl w:val="1"/>
        <w:rPr>
          <w:rFonts w:ascii="宋体" w:hAnsi="宋体"/>
          <w:b/>
          <w:bCs/>
          <w:sz w:val="24"/>
          <w:highlight w:val="none"/>
        </w:rPr>
      </w:pPr>
      <w:bookmarkStart w:id="28" w:name="_Toc9470"/>
      <w:r>
        <w:rPr>
          <w:rFonts w:hint="eastAsia" w:ascii="宋体" w:hAnsi="宋体"/>
          <w:b/>
          <w:bCs/>
          <w:sz w:val="24"/>
          <w:highlight w:val="none"/>
        </w:rPr>
        <w:t>（五</w:t>
      </w:r>
      <w:r>
        <w:rPr>
          <w:rFonts w:ascii="宋体" w:hAnsi="宋体"/>
          <w:b/>
          <w:bCs/>
          <w:sz w:val="24"/>
          <w:highlight w:val="none"/>
        </w:rPr>
        <w:t>）</w:t>
      </w:r>
      <w:r>
        <w:rPr>
          <w:rFonts w:hint="eastAsia" w:ascii="宋体" w:hAnsi="宋体"/>
          <w:b/>
          <w:bCs/>
          <w:sz w:val="24"/>
          <w:highlight w:val="none"/>
        </w:rPr>
        <w:t>工期及验收：</w:t>
      </w:r>
      <w:bookmarkEnd w:id="28"/>
    </w:p>
    <w:p>
      <w:pPr>
        <w:pStyle w:val="14"/>
        <w:ind w:firstLine="720" w:firstLineChars="300"/>
        <w:rPr>
          <w:rFonts w:hAnsi="宋体"/>
          <w:highlight w:val="none"/>
        </w:rPr>
      </w:pPr>
      <w:r>
        <w:rPr>
          <w:rFonts w:hint="eastAsia" w:hAnsi="宋体"/>
          <w:highlight w:val="none"/>
        </w:rPr>
        <w:t>本工程工期为</w:t>
      </w:r>
      <w:r>
        <w:rPr>
          <w:rFonts w:hint="eastAsia" w:hAnsi="宋体"/>
          <w:highlight w:val="none"/>
          <w:lang w:val="en-US" w:eastAsia="zh-CN"/>
        </w:rPr>
        <w:t>25个</w:t>
      </w:r>
      <w:r>
        <w:rPr>
          <w:rFonts w:hint="eastAsia" w:hAnsi="宋体"/>
          <w:highlight w:val="none"/>
        </w:rPr>
        <w:t>日历日</w:t>
      </w:r>
    </w:p>
    <w:p>
      <w:pPr>
        <w:pStyle w:val="14"/>
        <w:ind w:firstLine="0"/>
        <w:outlineLvl w:val="1"/>
        <w:rPr>
          <w:rFonts w:hint="eastAsia" w:hAnsi="宋体" w:eastAsia="宋体" w:cs="宋体"/>
          <w:szCs w:val="24"/>
          <w:highlight w:val="none"/>
          <w:lang w:val="en-US" w:eastAsia="zh-CN"/>
        </w:rPr>
      </w:pPr>
      <w:bookmarkStart w:id="29" w:name="_Toc12667"/>
      <w:r>
        <w:rPr>
          <w:rFonts w:hint="eastAsia" w:hAnsi="宋体"/>
          <w:b/>
          <w:bCs/>
          <w:highlight w:val="none"/>
        </w:rPr>
        <w:t>（六）</w:t>
      </w:r>
      <w:r>
        <w:rPr>
          <w:rFonts w:hAnsi="宋体"/>
          <w:b/>
          <w:bCs/>
          <w:highlight w:val="none"/>
        </w:rPr>
        <w:t>适用法规政策目</w:t>
      </w:r>
      <w:bookmarkEnd w:id="29"/>
      <w:r>
        <w:rPr>
          <w:rFonts w:hint="eastAsia" w:hAnsi="宋体"/>
          <w:b/>
          <w:bCs/>
          <w:highlight w:val="none"/>
          <w:lang w:val="en-US" w:eastAsia="zh-CN"/>
        </w:rPr>
        <w:t>录</w:t>
      </w:r>
    </w:p>
    <w:p>
      <w:pPr>
        <w:numPr>
          <w:ilvl w:val="255"/>
          <w:numId w:val="0"/>
        </w:numPr>
        <w:spacing w:line="312" w:lineRule="auto"/>
        <w:ind w:firstLine="480" w:firstLineChars="200"/>
        <w:rPr>
          <w:rFonts w:hint="eastAsia" w:ascii="宋体" w:hAnsi="宋体" w:cs="宋体"/>
          <w:sz w:val="24"/>
          <w:highlight w:val="none"/>
        </w:rPr>
      </w:pPr>
      <w:r>
        <w:rPr>
          <w:rFonts w:hint="eastAsia" w:ascii="宋体" w:hAnsi="宋体" w:cs="宋体"/>
          <w:sz w:val="24"/>
          <w:highlight w:val="none"/>
        </w:rPr>
        <w:t>ISO14001环境管理</w:t>
      </w:r>
    </w:p>
    <w:p>
      <w:pPr>
        <w:pStyle w:val="14"/>
      </w:pPr>
    </w:p>
    <w:p>
      <w:pPr>
        <w:adjustRightInd w:val="0"/>
        <w:snapToGrid w:val="0"/>
        <w:spacing w:line="312" w:lineRule="auto"/>
        <w:outlineLvl w:val="1"/>
        <w:rPr>
          <w:rFonts w:hint="eastAsia" w:ascii="宋体" w:hAnsi="宋体"/>
          <w:sz w:val="24"/>
          <w:highlight w:val="none"/>
        </w:rPr>
      </w:pPr>
      <w:bookmarkStart w:id="30" w:name="_Toc7572"/>
      <w:r>
        <w:rPr>
          <w:rFonts w:hint="eastAsia" w:ascii="宋体" w:hAnsi="宋体"/>
          <w:b/>
          <w:bCs/>
          <w:sz w:val="24"/>
          <w:highlight w:val="none"/>
        </w:rPr>
        <w:t>（七</w:t>
      </w:r>
      <w:r>
        <w:rPr>
          <w:rFonts w:ascii="宋体" w:hAnsi="宋体"/>
          <w:b/>
          <w:bCs/>
          <w:sz w:val="24"/>
          <w:highlight w:val="none"/>
        </w:rPr>
        <w:t>）</w:t>
      </w:r>
      <w:r>
        <w:rPr>
          <w:rFonts w:hint="eastAsia" w:ascii="宋体" w:hAnsi="宋体"/>
          <w:b/>
          <w:bCs/>
          <w:sz w:val="24"/>
          <w:highlight w:val="none"/>
          <w:lang w:eastAsia="zh-CN"/>
        </w:rPr>
        <w:t>其他需要</w:t>
      </w:r>
      <w:r>
        <w:rPr>
          <w:rFonts w:hint="eastAsia" w:ascii="宋体" w:hAnsi="宋体"/>
          <w:b/>
          <w:bCs/>
          <w:sz w:val="24"/>
          <w:highlight w:val="none"/>
        </w:rPr>
        <w:t>说明的事项：</w:t>
      </w:r>
      <w:r>
        <w:rPr>
          <w:rFonts w:hint="eastAsia" w:ascii="宋体" w:hAnsi="宋体" w:cs="宋体"/>
          <w:sz w:val="24"/>
          <w:highlight w:val="none"/>
        </w:rPr>
        <w:t>最终结算以现场签证</w:t>
      </w:r>
      <w:r>
        <w:rPr>
          <w:rFonts w:hint="eastAsia" w:ascii="宋体" w:hAnsi="宋体" w:cs="宋体"/>
          <w:sz w:val="24"/>
          <w:highlight w:val="none"/>
          <w:lang w:val="en-US" w:eastAsia="zh-CN"/>
        </w:rPr>
        <w:t>及第三方审计为准</w:t>
      </w:r>
      <w:bookmarkEnd w:id="30"/>
    </w:p>
    <w:p>
      <w:pPr>
        <w:pStyle w:val="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ind w:firstLine="480" w:firstLineChars="200"/>
        <w:rPr>
          <w:rFonts w:hint="eastAsia" w:ascii="宋体" w:hAnsi="宋体" w:eastAsia="宋体" w:cs="宋体"/>
          <w:b w:val="0"/>
          <w:bCs w:val="0"/>
          <w:sz w:val="24"/>
          <w:szCs w:val="24"/>
          <w:lang w:val="en-US" w:eastAsia="zh-CN"/>
        </w:rPr>
      </w:pPr>
    </w:p>
    <w:p>
      <w:pPr>
        <w:pStyle w:val="3"/>
        <w:rPr>
          <w:rFonts w:hint="eastAsia" w:ascii="宋体" w:hAnsi="宋体" w:eastAsia="宋体" w:cs="宋体"/>
          <w:b w:val="0"/>
          <w:bCs w:val="0"/>
          <w:sz w:val="24"/>
          <w:szCs w:val="24"/>
          <w:lang w:val="en-US" w:eastAsia="zh-CN"/>
        </w:rPr>
      </w:pPr>
    </w:p>
    <w:p>
      <w:pPr>
        <w:rPr>
          <w:rFonts w:hint="eastAsia" w:ascii="黑体" w:hAnsi="黑体" w:eastAsia="黑体" w:cs="仿宋"/>
          <w:b/>
          <w:color w:val="000000"/>
          <w:sz w:val="36"/>
          <w:szCs w:val="36"/>
        </w:rPr>
      </w:pPr>
      <w:bookmarkStart w:id="31" w:name="_Toc13840"/>
      <w:r>
        <w:rPr>
          <w:rFonts w:hint="eastAsia" w:ascii="黑体" w:hAnsi="黑体" w:eastAsia="黑体" w:cs="仿宋"/>
          <w:b/>
          <w:color w:val="000000"/>
          <w:sz w:val="36"/>
          <w:szCs w:val="36"/>
        </w:rPr>
        <w:br w:type="page"/>
      </w:r>
    </w:p>
    <w:p>
      <w:pPr>
        <w:jc w:val="center"/>
        <w:rPr>
          <w:rFonts w:ascii="黑体" w:hAnsi="黑体" w:eastAsia="黑体" w:cs="仿宋"/>
          <w:b/>
          <w:color w:val="000000"/>
          <w:sz w:val="36"/>
          <w:szCs w:val="36"/>
        </w:rPr>
      </w:pPr>
      <w:r>
        <w:rPr>
          <w:rFonts w:hint="eastAsia" w:ascii="黑体" w:hAnsi="黑体" w:eastAsia="黑体" w:cs="仿宋"/>
          <w:b/>
          <w:color w:val="000000"/>
          <w:sz w:val="36"/>
          <w:szCs w:val="36"/>
        </w:rPr>
        <w:t>第六章  响应文件格式</w:t>
      </w:r>
      <w:bookmarkEnd w:id="31"/>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32" w:name="_Toc11696"/>
      <w:r>
        <w:rPr>
          <w:rFonts w:hint="eastAsia" w:eastAsia="方正小标宋_GBK"/>
          <w:b/>
          <w:bCs/>
          <w:sz w:val="40"/>
          <w:szCs w:val="36"/>
        </w:rPr>
        <w:t>项目</w:t>
      </w:r>
      <w:bookmarkEnd w:id="32"/>
    </w:p>
    <w:p>
      <w:pPr>
        <w:widowControl w:val="0"/>
        <w:spacing w:before="312" w:beforeLines="100" w:after="312" w:afterLines="100" w:line="240" w:lineRule="auto"/>
        <w:jc w:val="center"/>
        <w:outlineLvl w:val="0"/>
        <w:rPr>
          <w:rFonts w:eastAsia="楷体_GB2312"/>
          <w:b/>
          <w:bCs/>
          <w:sz w:val="28"/>
          <w:szCs w:val="28"/>
        </w:rPr>
      </w:pPr>
      <w:bookmarkStart w:id="33" w:name="_Toc23766"/>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33"/>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outlineLvl w:val="0"/>
        <w:rPr>
          <w:rFonts w:eastAsia="方正小标宋_GBK"/>
          <w:b/>
          <w:bCs/>
          <w:spacing w:val="160"/>
          <w:sz w:val="72"/>
          <w:szCs w:val="72"/>
        </w:rPr>
      </w:pPr>
      <w:bookmarkStart w:id="34" w:name="_Toc7555"/>
      <w:r>
        <w:rPr>
          <w:rFonts w:hint="eastAsia" w:eastAsia="方正小标宋_GBK"/>
          <w:b/>
          <w:bCs/>
          <w:spacing w:val="160"/>
          <w:sz w:val="72"/>
          <w:szCs w:val="72"/>
        </w:rPr>
        <w:t>响应</w:t>
      </w:r>
      <w:r>
        <w:rPr>
          <w:rFonts w:eastAsia="方正小标宋_GBK"/>
          <w:b/>
          <w:bCs/>
          <w:spacing w:val="160"/>
          <w:sz w:val="72"/>
          <w:szCs w:val="72"/>
        </w:rPr>
        <w:t>文件</w:t>
      </w:r>
      <w:bookmarkEnd w:id="34"/>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35" w:name="_Toc148"/>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35"/>
      <w:r>
        <w:rPr>
          <w:rFonts w:eastAsia="黑体"/>
          <w:bCs/>
          <w:sz w:val="30"/>
          <w:szCs w:val="30"/>
          <w:u w:val="single"/>
        </w:rPr>
        <w:t xml:space="preserve"> </w:t>
      </w:r>
    </w:p>
    <w:p>
      <w:pPr>
        <w:spacing w:line="900" w:lineRule="exact"/>
        <w:jc w:val="center"/>
        <w:outlineLvl w:val="0"/>
        <w:rPr>
          <w:rFonts w:eastAsia="黑体"/>
          <w:sz w:val="30"/>
          <w:szCs w:val="30"/>
        </w:rPr>
      </w:pPr>
      <w:bookmarkStart w:id="36" w:name="_Toc31175"/>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36"/>
    </w:p>
    <w:p>
      <w:pPr>
        <w:pStyle w:val="14"/>
        <w:ind w:firstLine="0"/>
        <w:rPr>
          <w:rFonts w:ascii="黑体" w:hAnsi="黑体" w:eastAsia="黑体" w:cs="仿宋"/>
          <w:sz w:val="36"/>
          <w:szCs w:val="36"/>
        </w:rPr>
      </w:pPr>
    </w:p>
    <w:p>
      <w:pPr>
        <w:pStyle w:val="14"/>
        <w:ind w:firstLine="0"/>
        <w:rPr>
          <w:rFonts w:ascii="黑体" w:hAnsi="黑体" w:eastAsia="黑体" w:cs="仿宋"/>
          <w:sz w:val="36"/>
          <w:szCs w:val="36"/>
        </w:rPr>
      </w:pPr>
    </w:p>
    <w:p>
      <w:pPr>
        <w:adjustRightInd w:val="0"/>
        <w:snapToGrid w:val="0"/>
        <w:spacing w:line="600" w:lineRule="exact"/>
        <w:jc w:val="center"/>
        <w:outlineLvl w:val="0"/>
        <w:rPr>
          <w:rFonts w:hint="eastAsia" w:ascii="黑体" w:hAnsi="黑体" w:eastAsia="黑体" w:cs="仿宋"/>
          <w:sz w:val="36"/>
          <w:szCs w:val="36"/>
        </w:rPr>
      </w:pPr>
      <w:bookmarkStart w:id="37" w:name="_Toc12780"/>
    </w:p>
    <w:p>
      <w:pPr>
        <w:adjustRightInd w:val="0"/>
        <w:snapToGrid w:val="0"/>
        <w:spacing w:line="600" w:lineRule="exact"/>
        <w:jc w:val="center"/>
        <w:outlineLvl w:val="0"/>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37"/>
    </w:p>
    <w:p>
      <w:pPr>
        <w:adjustRightInd w:val="0"/>
        <w:snapToGrid w:val="0"/>
        <w:spacing w:line="600" w:lineRule="exact"/>
        <w:jc w:val="both"/>
        <w:rPr>
          <w:rFonts w:ascii="宋体" w:hAnsi="宋体" w:cs="仿宋"/>
          <w:sz w:val="36"/>
          <w:szCs w:val="36"/>
        </w:rPr>
      </w:pPr>
    </w:p>
    <w:p>
      <w:pPr>
        <w:adjustRightInd w:val="0"/>
        <w:snapToGrid w:val="0"/>
        <w:spacing w:line="600" w:lineRule="exact"/>
        <w:jc w:val="both"/>
        <w:outlineLvl w:val="0"/>
      </w:pPr>
      <w:bookmarkStart w:id="38" w:name="_Toc15730"/>
      <w:r>
        <w:rPr>
          <w:rFonts w:hint="eastAsia" w:ascii="宋体" w:hAnsi="宋体" w:cs="仿宋"/>
          <w:sz w:val="24"/>
        </w:rPr>
        <w:t>一、响应函</w:t>
      </w:r>
      <w:bookmarkEnd w:id="38"/>
    </w:p>
    <w:p>
      <w:pPr>
        <w:adjustRightInd w:val="0"/>
        <w:snapToGrid w:val="0"/>
        <w:spacing w:line="600" w:lineRule="exact"/>
        <w:jc w:val="both"/>
        <w:outlineLvl w:val="0"/>
      </w:pPr>
      <w:bookmarkStart w:id="39" w:name="_Toc24943"/>
      <w:r>
        <w:rPr>
          <w:rFonts w:hint="eastAsia" w:ascii="宋体" w:hAnsi="宋体" w:cs="仿宋"/>
          <w:sz w:val="24"/>
        </w:rPr>
        <w:t>二、授权委托书(适用于有委托代理人的情况)</w:t>
      </w:r>
      <w:bookmarkEnd w:id="39"/>
    </w:p>
    <w:p>
      <w:pPr>
        <w:spacing w:line="600" w:lineRule="exact"/>
        <w:jc w:val="both"/>
        <w:outlineLvl w:val="0"/>
        <w:rPr>
          <w:rFonts w:ascii="宋体" w:hAnsi="宋体" w:cs="仿宋"/>
          <w:sz w:val="24"/>
        </w:rPr>
      </w:pPr>
      <w:bookmarkStart w:id="40" w:name="_Toc14971"/>
      <w:r>
        <w:rPr>
          <w:rFonts w:hint="eastAsia" w:ascii="宋体" w:hAnsi="宋体" w:cs="仿宋"/>
          <w:sz w:val="24"/>
        </w:rPr>
        <w:t>三、商务与技术偏差表</w:t>
      </w:r>
      <w:bookmarkEnd w:id="40"/>
    </w:p>
    <w:p>
      <w:pPr>
        <w:adjustRightInd w:val="0"/>
        <w:snapToGrid w:val="0"/>
        <w:spacing w:line="600" w:lineRule="exact"/>
        <w:jc w:val="both"/>
        <w:outlineLvl w:val="0"/>
        <w:rPr>
          <w:rFonts w:ascii="宋体" w:hAnsi="宋体" w:cs="仿宋"/>
          <w:sz w:val="24"/>
        </w:rPr>
      </w:pPr>
      <w:bookmarkStart w:id="41" w:name="_Toc22074"/>
      <w:r>
        <w:rPr>
          <w:rFonts w:hint="eastAsia" w:ascii="宋体" w:hAnsi="宋体" w:cs="仿宋"/>
          <w:sz w:val="24"/>
        </w:rPr>
        <w:t>四、报价表</w:t>
      </w:r>
      <w:bookmarkEnd w:id="41"/>
    </w:p>
    <w:p>
      <w:pPr>
        <w:adjustRightInd w:val="0"/>
        <w:snapToGrid w:val="0"/>
        <w:spacing w:line="600" w:lineRule="exact"/>
        <w:jc w:val="both"/>
        <w:outlineLvl w:val="0"/>
      </w:pPr>
      <w:bookmarkStart w:id="42" w:name="_Toc27785"/>
      <w:r>
        <w:rPr>
          <w:rFonts w:hint="eastAsia" w:ascii="宋体" w:hAnsi="宋体" w:cs="仿宋"/>
          <w:sz w:val="24"/>
        </w:rPr>
        <w:t>五、资格审查资料</w:t>
      </w:r>
      <w:bookmarkEnd w:id="42"/>
    </w:p>
    <w:p>
      <w:pPr>
        <w:adjustRightInd w:val="0"/>
        <w:snapToGrid w:val="0"/>
        <w:spacing w:line="600" w:lineRule="exact"/>
        <w:jc w:val="both"/>
        <w:outlineLvl w:val="0"/>
      </w:pPr>
      <w:bookmarkStart w:id="43" w:name="_Toc4714"/>
      <w:r>
        <w:rPr>
          <w:rFonts w:hint="eastAsia" w:ascii="宋体" w:hAnsi="宋体" w:cs="仿宋"/>
          <w:sz w:val="24"/>
        </w:rPr>
        <w:t>六、响应方案</w:t>
      </w:r>
      <w:bookmarkEnd w:id="43"/>
    </w:p>
    <w:p>
      <w:pPr>
        <w:adjustRightInd w:val="0"/>
        <w:snapToGrid w:val="0"/>
        <w:spacing w:line="600" w:lineRule="exact"/>
        <w:jc w:val="both"/>
        <w:outlineLvl w:val="0"/>
        <w:rPr>
          <w:rFonts w:ascii="宋体" w:hAnsi="宋体" w:cs="仿宋"/>
          <w:sz w:val="24"/>
        </w:rPr>
      </w:pPr>
      <w:bookmarkStart w:id="44" w:name="_Toc13831"/>
      <w:r>
        <w:rPr>
          <w:rFonts w:hint="eastAsia" w:ascii="宋体" w:hAnsi="宋体" w:cs="仿宋"/>
          <w:sz w:val="24"/>
        </w:rPr>
        <w:t>七、其他资料</w:t>
      </w:r>
      <w:bookmarkEnd w:id="44"/>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5"/>
        </w:numPr>
        <w:adjustRightInd w:val="0"/>
        <w:snapToGrid w:val="0"/>
        <w:spacing w:line="600" w:lineRule="exact"/>
        <w:jc w:val="center"/>
        <w:outlineLvl w:val="0"/>
        <w:rPr>
          <w:rFonts w:ascii="黑体" w:hAnsi="黑体" w:eastAsia="黑体" w:cs="仿宋"/>
          <w:sz w:val="36"/>
          <w:szCs w:val="36"/>
        </w:rPr>
      </w:pPr>
      <w:bookmarkStart w:id="45" w:name="_Toc23650"/>
      <w:r>
        <w:rPr>
          <w:rFonts w:hint="eastAsia" w:ascii="黑体" w:hAnsi="黑体" w:eastAsia="黑体" w:cs="仿宋"/>
          <w:sz w:val="36"/>
          <w:szCs w:val="36"/>
        </w:rPr>
        <w:t>响应函</w:t>
      </w:r>
      <w:bookmarkEnd w:id="45"/>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utoSpaceDE w:val="0"/>
        <w:spacing w:line="400" w:lineRule="exact"/>
        <w:jc w:val="both"/>
        <w:rPr>
          <w:rFonts w:ascii="宋体" w:hAnsi="宋体"/>
          <w:sz w:val="24"/>
        </w:rPr>
      </w:pPr>
      <w:r>
        <w:rPr>
          <w:rFonts w:hint="eastAsia" w:cs="仿宋" w:asciiTheme="minorEastAsia" w:hAnsiTheme="minorEastAsia" w:eastAsiaTheme="minorEastAsia"/>
          <w:sz w:val="24"/>
        </w:rPr>
        <w:t>1.我方已仔细研究了</w:t>
      </w:r>
      <w:r>
        <w:rPr>
          <w:rFonts w:cs="仿宋" w:asciiTheme="minorEastAsia" w:hAnsiTheme="minorEastAsia" w:eastAsiaTheme="minorEastAsia"/>
          <w:sz w:val="24"/>
          <w:u w:val="single"/>
        </w:rPr>
        <w:t xml:space="preserve">__                     </w:t>
      </w:r>
      <w:r>
        <w:rPr>
          <w:rFonts w:hint="eastAsia" w:cs="仿宋" w:asciiTheme="minorEastAsia" w:hAnsiTheme="minorEastAsia" w:eastAsiaTheme="minorEastAsia"/>
          <w:sz w:val="24"/>
        </w:rPr>
        <w:t>(项目名称)采购文件的全部内容，愿意以含税价人民币(大写)(￥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w:t>
      </w:r>
      <w:r>
        <w:rPr>
          <w:rFonts w:hint="eastAsia" w:cs="仿宋" w:asciiTheme="minorEastAsia" w:hAnsiTheme="minorEastAsia" w:eastAsiaTheme="minorEastAsia"/>
          <w:sz w:val="24"/>
          <w:highlight w:val="none"/>
        </w:rPr>
        <w:t>其中：增值税税</w:t>
      </w:r>
      <w:r>
        <w:rPr>
          <w:rFonts w:hint="eastAsia" w:cs="仿宋" w:asciiTheme="minorEastAsia" w:hAnsiTheme="minorEastAsia" w:eastAsiaTheme="minorEastAsia"/>
          <w:sz w:val="24"/>
          <w:highlight w:val="none"/>
          <w:lang w:val="en-US" w:eastAsia="zh-CN"/>
        </w:rPr>
        <w:t>率</w:t>
      </w:r>
      <w:r>
        <w:rPr>
          <w:rFonts w:hint="eastAsia" w:cs="仿宋" w:asciiTheme="minorEastAsia" w:hAnsiTheme="minorEastAsia" w:eastAsiaTheme="minorEastAsia"/>
          <w:sz w:val="24"/>
          <w:highlight w:val="none"/>
        </w:rPr>
        <w:t>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rPr>
        <w:t>)完成/提供本项目/服务，并按合同约定履行义务。施工期限为：合同签订，</w:t>
      </w:r>
      <w:r>
        <w:rPr>
          <w:rFonts w:hint="eastAsia" w:ascii="宋体" w:hAnsi="宋体"/>
          <w:sz w:val="24"/>
        </w:rPr>
        <w:t>进场</w:t>
      </w:r>
      <w:r>
        <w:rPr>
          <w:rFonts w:hint="eastAsia" w:ascii="宋体" w:hAnsi="宋体"/>
          <w:sz w:val="24"/>
          <w:lang w:val="en-US" w:eastAsia="zh-CN"/>
        </w:rPr>
        <w:t>后</w:t>
      </w:r>
      <w:r>
        <w:rPr>
          <w:rFonts w:hint="eastAsia" w:ascii="宋体" w:hAnsi="宋体"/>
          <w:sz w:val="24"/>
        </w:rPr>
        <w:t>开工</w:t>
      </w:r>
      <w:r>
        <w:rPr>
          <w:rFonts w:hint="eastAsia" w:ascii="宋体" w:hAnsi="宋体"/>
          <w:sz w:val="24"/>
          <w:lang w:val="en-US" w:eastAsia="zh-CN"/>
        </w:rPr>
        <w:t xml:space="preserve">     </w:t>
      </w:r>
      <w:r>
        <w:rPr>
          <w:rFonts w:hint="eastAsia" w:ascii="宋体" w:hAnsi="宋体"/>
          <w:sz w:val="24"/>
        </w:rPr>
        <w:t>个日历日，响应有效期为：90天。</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3</w:t>
      </w:r>
      <w:r>
        <w:rPr>
          <w:rFonts w:hint="eastAsia" w:cs="仿宋" w:asciiTheme="minorEastAsia" w:hAnsiTheme="minorEastAsia" w:eastAsiaTheme="minorEastAsia"/>
          <w:sz w:val="24"/>
        </w:rPr>
        <w:t>)商务和技术偏差表;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4</w:t>
      </w:r>
      <w:r>
        <w:rPr>
          <w:rFonts w:hint="eastAsia" w:cs="仿宋" w:asciiTheme="minorEastAsia" w:hAnsiTheme="minorEastAsia" w:eastAsiaTheme="minorEastAsia"/>
          <w:sz w:val="24"/>
        </w:rPr>
        <w:t>)报价表;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5</w:t>
      </w:r>
      <w:r>
        <w:rPr>
          <w:rFonts w:hint="eastAsia" w:cs="仿宋" w:asciiTheme="minorEastAsia" w:hAnsiTheme="minorEastAsia" w:eastAsiaTheme="minorEastAsia"/>
          <w:sz w:val="24"/>
        </w:rPr>
        <w:t>)资格审查资料;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6</w:t>
      </w:r>
      <w:r>
        <w:rPr>
          <w:rFonts w:hint="eastAsia" w:cs="仿宋" w:asciiTheme="minorEastAsia" w:hAnsiTheme="minorEastAsia" w:eastAsiaTheme="minorEastAsia"/>
          <w:sz w:val="24"/>
        </w:rPr>
        <w:t>)响应方案;</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w:t>
      </w:r>
      <w:r>
        <w:rPr>
          <w:rFonts w:hint="eastAsia" w:cs="仿宋" w:asciiTheme="minorEastAsia" w:hAnsiTheme="minorEastAsia" w:eastAsiaTheme="minorEastAsia"/>
          <w:sz w:val="24"/>
          <w:lang w:eastAsia="zh-CN"/>
        </w:rPr>
        <w:t>一致</w:t>
      </w:r>
      <w:r>
        <w:rPr>
          <w:rFonts w:hint="eastAsia" w:cs="仿宋" w:asciiTheme="minorEastAsia" w:hAnsiTheme="minorEastAsia" w:eastAsiaTheme="minorEastAsia"/>
          <w:sz w:val="24"/>
        </w:rPr>
        <w:t>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6"/>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6"/>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6.我方在此声明，所递交的响应文件及有关资料内容完整、真实和准确，且不存在第一章“采购公告”中规定的供应商不得存在的情形。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2880" w:firstLineChars="12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46" w:name="_Toc747"/>
      <w:r>
        <w:rPr>
          <w:rFonts w:hint="eastAsia" w:ascii="黑体" w:hAnsi="黑体" w:eastAsia="黑体" w:cs="仿宋"/>
          <w:sz w:val="36"/>
          <w:szCs w:val="36"/>
        </w:rPr>
        <w:t>二、授权委托书</w:t>
      </w:r>
      <w:bookmarkEnd w:id="46"/>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年   月   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47" w:name="_Toc6895"/>
      <w:r>
        <w:rPr>
          <w:rFonts w:hint="eastAsia" w:ascii="黑体" w:hAnsi="黑体" w:eastAsia="黑体" w:cs="仿宋"/>
          <w:sz w:val="36"/>
          <w:szCs w:val="36"/>
        </w:rPr>
        <w:t>三、商务和技术偏差表</w:t>
      </w:r>
      <w:bookmarkEnd w:id="47"/>
    </w:p>
    <w:p>
      <w:pPr>
        <w:spacing w:line="600" w:lineRule="exact"/>
        <w:jc w:val="center"/>
        <w:rPr>
          <w:rFonts w:cs="仿宋" w:asciiTheme="minorEastAsia" w:hAnsiTheme="minorEastAsia" w:eastAsiaTheme="minorEastAsia"/>
          <w:sz w:val="24"/>
        </w:rPr>
      </w:pPr>
    </w:p>
    <w:tbl>
      <w:tblPr>
        <w:tblStyle w:val="17"/>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809"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240" w:lineRule="auto"/>
        <w:rPr>
          <w:rFonts w:ascii="黑体" w:hAnsi="黑体" w:eastAsia="黑体" w:cs="仿宋"/>
          <w:color w:val="FF0000"/>
          <w:sz w:val="36"/>
          <w:szCs w:val="36"/>
        </w:rPr>
      </w:pPr>
      <w:r>
        <w:rPr>
          <w:rFonts w:hint="eastAsia" w:ascii="黑体" w:hAnsi="黑体" w:eastAsia="黑体" w:cs="仿宋"/>
          <w:sz w:val="36"/>
          <w:szCs w:val="36"/>
        </w:rPr>
        <w:br w:type="page"/>
      </w:r>
    </w:p>
    <w:p>
      <w:pPr>
        <w:spacing w:line="600" w:lineRule="exact"/>
        <w:ind w:left="420"/>
        <w:jc w:val="center"/>
        <w:outlineLvl w:val="0"/>
        <w:rPr>
          <w:rFonts w:ascii="黑体" w:hAnsi="黑体" w:eastAsia="黑体" w:cs="仿宋"/>
          <w:sz w:val="36"/>
          <w:szCs w:val="36"/>
        </w:rPr>
      </w:pPr>
      <w:bookmarkStart w:id="48" w:name="_Toc26297"/>
      <w:r>
        <w:rPr>
          <w:rFonts w:hint="eastAsia" w:ascii="黑体" w:hAnsi="黑体" w:eastAsia="黑体" w:cs="仿宋"/>
          <w:sz w:val="36"/>
          <w:szCs w:val="36"/>
        </w:rPr>
        <w:t>四、</w:t>
      </w:r>
      <w:r>
        <w:rPr>
          <w:rFonts w:hint="eastAsia" w:ascii="黑体" w:hAnsi="黑体" w:eastAsia="黑体" w:cs="仿宋"/>
          <w:sz w:val="36"/>
          <w:szCs w:val="36"/>
          <w:lang w:val="en-US" w:eastAsia="zh-CN"/>
        </w:rPr>
        <w:t>项目施工费用</w:t>
      </w:r>
      <w:r>
        <w:rPr>
          <w:rFonts w:hint="eastAsia" w:ascii="黑体" w:hAnsi="黑体" w:eastAsia="黑体" w:cs="仿宋"/>
          <w:sz w:val="36"/>
          <w:szCs w:val="36"/>
        </w:rPr>
        <w:t>报价表</w:t>
      </w:r>
      <w:bookmarkEnd w:id="48"/>
    </w:p>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1.报价表说明</w:t>
      </w:r>
    </w:p>
    <w:p>
      <w:pPr>
        <w:spacing w:line="360" w:lineRule="auto"/>
        <w:jc w:val="both"/>
        <w:rPr>
          <w:rFonts w:hint="eastAsia" w:cs="仿宋" w:asciiTheme="minorEastAsia" w:hAnsiTheme="minorEastAsia" w:eastAsiaTheme="minorEastAsia"/>
          <w:szCs w:val="21"/>
        </w:rPr>
      </w:pPr>
      <w:r>
        <w:rPr>
          <w:rFonts w:hint="eastAsia" w:cs="仿宋" w:asciiTheme="minorEastAsia" w:hAnsiTheme="minorEastAsia" w:eastAsiaTheme="minorEastAsia"/>
          <w:szCs w:val="21"/>
        </w:rPr>
        <w:t>2.报价表</w:t>
      </w:r>
    </w:p>
    <w:tbl>
      <w:tblPr>
        <w:tblStyle w:val="16"/>
        <w:tblW w:w="5685" w:type="pct"/>
        <w:tblInd w:w="-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725"/>
        <w:gridCol w:w="896"/>
        <w:gridCol w:w="480"/>
        <w:gridCol w:w="935"/>
        <w:gridCol w:w="1724"/>
        <w:gridCol w:w="1755"/>
        <w:gridCol w:w="76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计算式</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沥青砂破除</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62.208</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破除轨道沟沥青砂，运输清理废料</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0.4*0.18*432*2</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拆除轨道</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P60</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864</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保护性拆除轨道，</w:t>
            </w:r>
            <w:r>
              <w:rPr>
                <w:rFonts w:hint="eastAsia" w:ascii="宋体" w:hAnsi="宋体" w:cs="宋体"/>
                <w:i w:val="0"/>
                <w:iCs w:val="0"/>
                <w:color w:val="000000"/>
                <w:kern w:val="0"/>
                <w:sz w:val="24"/>
                <w:szCs w:val="24"/>
                <w:u w:val="none"/>
                <w:lang w:val="en-US" w:eastAsia="zh-CN" w:bidi="ar"/>
              </w:rPr>
              <w:t>从车挡</w:t>
            </w:r>
            <w:r>
              <w:rPr>
                <w:rFonts w:hint="eastAsia" w:ascii="宋体" w:hAnsi="宋体" w:eastAsia="宋体" w:cs="宋体"/>
                <w:i w:val="0"/>
                <w:iCs w:val="0"/>
                <w:color w:val="000000"/>
                <w:kern w:val="0"/>
                <w:sz w:val="24"/>
                <w:szCs w:val="24"/>
                <w:u w:val="none"/>
                <w:lang w:val="en-US" w:eastAsia="zh-CN" w:bidi="ar"/>
              </w:rPr>
              <w:t>开始计算</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钢垫板拆除更换</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20*350</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含轨道基础测量、调整、安装费用</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9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轨道沟砼破除基础修复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轨道胶泥破除及灌溉、养护</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0.4*0.05*216</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轨道压板底座焊接</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12*216</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螺杆修复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M20*100/M24</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1296</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M24螺杆手工套丝（6个/米）</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以现场实际工程量为准</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轨道焊联</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轨道接头处理、铝热焊</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含轨道头裁切，新轨道焊联</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432*2/12.5+2</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轨道安装铺设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轨道铺设、调整、紧固。</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864</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432*2</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施工耗材</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氧气、乙炔、丙烷、焊条等易耗品</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项</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r>
              <w:rPr>
                <w:rFonts w:hint="eastAsia" w:ascii="Calibri" w:hAnsi="Calibri" w:cs="Calibri"/>
                <w:i w:val="0"/>
                <w:iCs w:val="0"/>
                <w:color w:val="000000"/>
                <w:kern w:val="0"/>
                <w:sz w:val="24"/>
                <w:szCs w:val="24"/>
                <w:u w:val="none"/>
                <w:lang w:val="en-US" w:eastAsia="zh-CN" w:bidi="ar"/>
              </w:rPr>
              <w:t>1</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Calibri"/>
                <w:i w:val="0"/>
                <w:iCs w:val="0"/>
                <w:color w:val="000000"/>
                <w:kern w:val="2"/>
                <w:sz w:val="24"/>
                <w:szCs w:val="24"/>
                <w:u w:val="none"/>
                <w:lang w:val="en-US" w:eastAsia="zh-CN" w:bidi="ar-SA"/>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24"/>
                <w:szCs w:val="24"/>
                <w:u w:val="none"/>
                <w:lang w:val="en-US" w:eastAsia="zh-CN" w:bidi="ar"/>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w:t>
            </w:r>
          </w:p>
        </w:tc>
        <w:tc>
          <w:tcPr>
            <w:tcW w:w="4628"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以上费用合计：        元（税率3%）</w:t>
            </w:r>
          </w:p>
        </w:tc>
      </w:tr>
    </w:tbl>
    <w:p>
      <w:pPr>
        <w:pStyle w:val="14"/>
        <w:jc w:val="center"/>
        <w:rPr>
          <w:rFonts w:hint="eastAsia"/>
        </w:rPr>
      </w:pPr>
      <w:r>
        <w:rPr>
          <w:rFonts w:hint="eastAsia" w:cs="Times New Roman"/>
          <w:szCs w:val="20"/>
          <w:lang w:eastAsia="zh-CN"/>
        </w:rPr>
        <w:t>（</w:t>
      </w:r>
      <w:r>
        <w:rPr>
          <w:rFonts w:hint="eastAsia" w:cs="Times New Roman"/>
          <w:szCs w:val="20"/>
          <w:lang w:val="en-US" w:eastAsia="zh-CN"/>
        </w:rPr>
        <w:t>所有工程量以现场实际工作量及第三方审计为准核算）</w:t>
      </w:r>
    </w:p>
    <w:p>
      <w:pPr>
        <w:spacing w:line="600" w:lineRule="exact"/>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注：</w:t>
      </w:r>
      <w:r>
        <w:rPr>
          <w:rFonts w:hint="eastAsia" w:cs="仿宋" w:asciiTheme="minorEastAsia" w:hAnsiTheme="minorEastAsia" w:eastAsiaTheme="minorEastAsia"/>
          <w:szCs w:val="21"/>
          <w:highlight w:val="none"/>
          <w:lang w:val="en-US" w:eastAsia="zh-CN"/>
        </w:rPr>
        <w:t>1.</w:t>
      </w:r>
      <w:r>
        <w:rPr>
          <w:rFonts w:hint="eastAsia" w:cs="仿宋" w:asciiTheme="minorEastAsia" w:hAnsiTheme="minorEastAsia" w:eastAsiaTheme="minorEastAsia"/>
          <w:szCs w:val="21"/>
          <w:highlight w:val="none"/>
        </w:rPr>
        <w:t>若分项费用的计算依据、过程和公式不便在表中表述，可单独另附表格或描述进行说明。</w:t>
      </w:r>
    </w:p>
    <w:p>
      <w:pPr>
        <w:spacing w:line="600" w:lineRule="exact"/>
        <w:jc w:val="left"/>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2.本项目的报价采用包工、包质量、包安全生产和安全保卫、包文明施工、包伙食费与交通费，总价包干的方式进行承包。包括：相应所有直接费、各种技术措施费用、管理费、利润、安全文明施工费、冬雨季施工增加费、社会保险费、规费、税金、从指定的水电接驳点接水接电费用及夜间施工照明费用、合同工期内的赶工费、各种施工风险因素后的价格。最终结算金额以实际工作量及第三方审计为准。</w:t>
      </w:r>
    </w:p>
    <w:p>
      <w:pPr>
        <w:pStyle w:val="2"/>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pStyle w:val="3"/>
        <w:rPr>
          <w:rFonts w:hint="eastAsia" w:ascii="宋体" w:hAnsi="宋体" w:cs="宋体"/>
          <w:sz w:val="24"/>
        </w:rPr>
      </w:pPr>
    </w:p>
    <w:p>
      <w:pPr>
        <w:jc w:val="center"/>
        <w:rPr>
          <w:rFonts w:cs="仿宋" w:asciiTheme="minorEastAsia" w:hAnsiTheme="minorEastAsia" w:eastAsiaTheme="minorEastAsia"/>
          <w:sz w:val="24"/>
        </w:rPr>
      </w:pPr>
    </w:p>
    <w:p>
      <w:pPr>
        <w:rPr>
          <w:rFonts w:hint="eastAsia" w:ascii="黑体" w:hAnsi="黑体" w:eastAsia="黑体" w:cs="仿宋"/>
          <w:sz w:val="36"/>
          <w:szCs w:val="36"/>
        </w:rPr>
      </w:pPr>
      <w:bookmarkStart w:id="49" w:name="_Toc25545"/>
      <w:r>
        <w:rPr>
          <w:rFonts w:hint="eastAsia" w:ascii="黑体" w:hAnsi="黑体" w:eastAsia="黑体" w:cs="仿宋"/>
          <w:sz w:val="36"/>
          <w:szCs w:val="36"/>
        </w:rPr>
        <w:br w:type="page"/>
      </w:r>
    </w:p>
    <w:p>
      <w:pPr>
        <w:jc w:val="center"/>
        <w:outlineLvl w:val="0"/>
        <w:rPr>
          <w:rFonts w:ascii="黑体" w:hAnsi="黑体" w:eastAsia="黑体" w:cs="仿宋"/>
          <w:sz w:val="36"/>
          <w:szCs w:val="36"/>
        </w:rPr>
      </w:pPr>
      <w:r>
        <w:rPr>
          <w:rFonts w:hint="eastAsia" w:ascii="黑体" w:hAnsi="黑体" w:eastAsia="黑体" w:cs="仿宋"/>
          <w:sz w:val="36"/>
          <w:szCs w:val="36"/>
        </w:rPr>
        <w:t>五、资格审查资料</w:t>
      </w:r>
      <w:bookmarkEnd w:id="49"/>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w:t>
      </w:r>
      <w:r>
        <w:rPr>
          <w:rFonts w:hint="eastAsia" w:cs="仿宋" w:asciiTheme="minorEastAsia" w:hAnsiTheme="minorEastAsia" w:eastAsiaTheme="minorEastAsia"/>
          <w:sz w:val="24"/>
          <w:lang w:eastAsia="zh-CN"/>
        </w:rPr>
        <w:t>前</w:t>
      </w:r>
      <w:r>
        <w:rPr>
          <w:rFonts w:hint="eastAsia" w:cs="仿宋" w:asciiTheme="minorEastAsia" w:hAnsiTheme="minorEastAsia" w:eastAsiaTheme="minorEastAsia"/>
          <w:sz w:val="24"/>
        </w:rPr>
        <w:t>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17"/>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617"/>
        <w:gridCol w:w="1678"/>
        <w:gridCol w:w="171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numPr>
          <w:ilvl w:val="0"/>
          <w:numId w:val="4"/>
        </w:num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拟</w:t>
      </w:r>
      <w:r>
        <w:rPr>
          <w:rFonts w:hint="eastAsia" w:cs="仿宋" w:asciiTheme="minorEastAsia" w:hAnsiTheme="minorEastAsia" w:eastAsiaTheme="minorEastAsia"/>
          <w:sz w:val="24"/>
          <w:lang w:eastAsia="zh-CN"/>
        </w:rPr>
        <w:t>委派</w:t>
      </w:r>
      <w:r>
        <w:rPr>
          <w:rFonts w:hint="eastAsia" w:cs="仿宋" w:asciiTheme="minorEastAsia" w:hAnsiTheme="minorEastAsia" w:eastAsiaTheme="minorEastAsia"/>
          <w:sz w:val="24"/>
        </w:rPr>
        <w:t>的主要人员汇总表</w:t>
      </w:r>
    </w:p>
    <w:tbl>
      <w:tblPr>
        <w:tblStyle w:val="17"/>
        <w:tblpPr w:leftFromText="180" w:rightFromText="180" w:vertAnchor="text" w:horzAnchor="page" w:tblpX="1267" w:tblpY="487"/>
        <w:tblOverlap w:val="never"/>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87"/>
        <w:gridCol w:w="1118"/>
        <w:gridCol w:w="1105"/>
        <w:gridCol w:w="886"/>
        <w:gridCol w:w="1336"/>
        <w:gridCol w:w="1037"/>
        <w:gridCol w:w="790"/>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187"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118"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10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886"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163" w:type="dxa"/>
            <w:gridSpan w:val="3"/>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119"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tcPr>
          <w:p>
            <w:pPr>
              <w:widowControl/>
              <w:spacing w:line="288" w:lineRule="auto"/>
              <w:jc w:val="both"/>
              <w:rPr>
                <w:rFonts w:cs="仿宋" w:asciiTheme="minorEastAsia" w:hAnsiTheme="minorEastAsia" w:eastAsiaTheme="minorEastAsia"/>
                <w:sz w:val="24"/>
              </w:rPr>
            </w:pPr>
          </w:p>
        </w:tc>
        <w:tc>
          <w:tcPr>
            <w:tcW w:w="1187" w:type="dxa"/>
            <w:vMerge w:val="continue"/>
          </w:tcPr>
          <w:p>
            <w:pPr>
              <w:widowControl/>
              <w:spacing w:line="288" w:lineRule="auto"/>
              <w:jc w:val="both"/>
              <w:rPr>
                <w:rFonts w:cs="仿宋" w:asciiTheme="minorEastAsia" w:hAnsiTheme="minorEastAsia" w:eastAsiaTheme="minorEastAsia"/>
                <w:sz w:val="24"/>
              </w:rPr>
            </w:pPr>
          </w:p>
        </w:tc>
        <w:tc>
          <w:tcPr>
            <w:tcW w:w="1118" w:type="dxa"/>
            <w:vMerge w:val="continue"/>
          </w:tcPr>
          <w:p>
            <w:pPr>
              <w:widowControl/>
              <w:spacing w:line="288" w:lineRule="auto"/>
              <w:jc w:val="both"/>
              <w:rPr>
                <w:rFonts w:cs="仿宋" w:asciiTheme="minorEastAsia" w:hAnsiTheme="minorEastAsia" w:eastAsiaTheme="minorEastAsia"/>
                <w:sz w:val="24"/>
              </w:rPr>
            </w:pPr>
          </w:p>
        </w:tc>
        <w:tc>
          <w:tcPr>
            <w:tcW w:w="1105" w:type="dxa"/>
            <w:vMerge w:val="continue"/>
          </w:tcPr>
          <w:p>
            <w:pPr>
              <w:widowControl/>
              <w:spacing w:line="288" w:lineRule="auto"/>
              <w:jc w:val="both"/>
              <w:rPr>
                <w:rFonts w:cs="仿宋" w:asciiTheme="minorEastAsia" w:hAnsiTheme="minorEastAsia" w:eastAsiaTheme="minorEastAsia"/>
                <w:sz w:val="24"/>
              </w:rPr>
            </w:pPr>
          </w:p>
        </w:tc>
        <w:tc>
          <w:tcPr>
            <w:tcW w:w="886" w:type="dxa"/>
            <w:vMerge w:val="continue"/>
          </w:tcPr>
          <w:p>
            <w:pPr>
              <w:widowControl/>
              <w:spacing w:line="288" w:lineRule="auto"/>
              <w:jc w:val="both"/>
              <w:rPr>
                <w:rFonts w:cs="仿宋" w:asciiTheme="minorEastAsia" w:hAnsiTheme="minorEastAsia" w:eastAsiaTheme="minorEastAsia"/>
                <w:sz w:val="24"/>
              </w:rPr>
            </w:pPr>
          </w:p>
        </w:tc>
        <w:tc>
          <w:tcPr>
            <w:tcW w:w="133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37"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79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119"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cs="仿宋" w:asciiTheme="minorEastAsia" w:hAnsiTheme="minorEastAsia" w:eastAsiaTheme="minorEastAsia"/>
                <w:sz w:val="24"/>
              </w:rPr>
              <w:t>2</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项目安全员</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cs="仿宋" w:asciiTheme="minorEastAsia" w:hAnsiTheme="minorEastAsia" w:eastAsiaTheme="minorEastAsia"/>
                <w:sz w:val="24"/>
              </w:rPr>
              <w:t>3</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施工员 </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p>
        </w:tc>
        <w:tc>
          <w:tcPr>
            <w:tcW w:w="1187" w:type="dxa"/>
          </w:tcPr>
          <w:p>
            <w:pPr>
              <w:widowControl/>
              <w:spacing w:line="600" w:lineRule="exact"/>
              <w:jc w:val="both"/>
              <w:rPr>
                <w:rFonts w:cs="仿宋" w:asciiTheme="minorEastAsia" w:hAnsiTheme="minorEastAsia" w:eastAsiaTheme="minorEastAsia"/>
                <w:sz w:val="24"/>
              </w:rPr>
            </w:pP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bl>
    <w:p>
      <w:pPr>
        <w:jc w:val="both"/>
        <w:rPr>
          <w:rFonts w:asciiTheme="minorEastAsia" w:hAnsiTheme="minorEastAsia" w:eastAsiaTheme="minorEastAsia"/>
          <w:sz w:val="24"/>
        </w:rPr>
      </w:pPr>
    </w:p>
    <w:p>
      <w:pPr>
        <w:pStyle w:val="4"/>
        <w:spacing w:before="0" w:after="0" w:line="380" w:lineRule="atLeast"/>
        <w:jc w:val="both"/>
        <w:rPr>
          <w:rFonts w:asciiTheme="minorEastAsia" w:hAnsiTheme="minorEastAsia" w:eastAsiaTheme="minorEastAsia"/>
          <w:b w:val="0"/>
          <w:sz w:val="24"/>
          <w:szCs w:val="24"/>
        </w:rPr>
      </w:pPr>
    </w:p>
    <w:p>
      <w:pPr>
        <w:rPr>
          <w:rFonts w:asciiTheme="minorEastAsia" w:hAnsiTheme="minorEastAsia" w:eastAsiaTheme="minorEastAsia"/>
          <w:sz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asciiTheme="minorEastAsia" w:hAnsiTheme="minorEastAsia" w:eastAsiaTheme="minorEastAsia"/>
          <w:szCs w:val="24"/>
        </w:rPr>
      </w:pPr>
    </w:p>
    <w:p>
      <w:pPr>
        <w:pStyle w:val="14"/>
        <w:rPr>
          <w:rFonts w:hint="eastAsia" w:asciiTheme="minorEastAsia" w:hAnsiTheme="minorEastAsia" w:eastAsiaTheme="minorEastAsia"/>
          <w:szCs w:val="24"/>
        </w:rPr>
      </w:pPr>
    </w:p>
    <w:p>
      <w:pPr>
        <w:pStyle w:val="14"/>
        <w:rPr>
          <w:rFonts w:asciiTheme="minorEastAsia" w:hAnsiTheme="minorEastAsia" w:eastAsiaTheme="minorEastAsia"/>
          <w:szCs w:val="24"/>
        </w:rPr>
      </w:pPr>
    </w:p>
    <w:p>
      <w:pPr>
        <w:pStyle w:val="4"/>
        <w:spacing w:before="0" w:after="0" w:line="380" w:lineRule="atLeast"/>
        <w:jc w:val="both"/>
        <w:rPr>
          <w:rFonts w:asciiTheme="minorEastAsia" w:hAnsiTheme="minorEastAsia" w:eastAsiaTheme="minorEastAsia"/>
          <w:b w:val="0"/>
          <w:sz w:val="24"/>
          <w:szCs w:val="24"/>
        </w:rPr>
      </w:pPr>
      <w:bookmarkStart w:id="50" w:name="_Toc14209"/>
      <w:r>
        <w:rPr>
          <w:rFonts w:hint="eastAsia" w:asciiTheme="minorEastAsia" w:hAnsiTheme="minorEastAsia" w:eastAsiaTheme="minorEastAsia"/>
          <w:b w:val="0"/>
          <w:sz w:val="24"/>
          <w:szCs w:val="24"/>
        </w:rPr>
        <w:t>（</w:t>
      </w:r>
      <w:r>
        <w:rPr>
          <w:rFonts w:hint="eastAsia" w:asciiTheme="minorEastAsia" w:hAnsiTheme="minorEastAsia" w:eastAsiaTheme="minorEastAsia"/>
          <w:b w:val="0"/>
          <w:sz w:val="24"/>
          <w:szCs w:val="24"/>
          <w:lang w:val="en-US" w:eastAsia="zh-CN"/>
        </w:rPr>
        <w:t>七</w:t>
      </w:r>
      <w:r>
        <w:rPr>
          <w:rFonts w:hint="eastAsia" w:asciiTheme="minorEastAsia" w:hAnsiTheme="minorEastAsia" w:eastAsiaTheme="minorEastAsia"/>
          <w:b w:val="0"/>
          <w:sz w:val="24"/>
          <w:szCs w:val="24"/>
        </w:rPr>
        <w:t>）主要人员简</w:t>
      </w:r>
      <w:r>
        <w:rPr>
          <w:rFonts w:asciiTheme="minorEastAsia" w:hAnsiTheme="minorEastAsia" w:eastAsiaTheme="minorEastAsia"/>
          <w:b w:val="0"/>
          <w:sz w:val="24"/>
          <w:szCs w:val="24"/>
        </w:rPr>
        <w:t>历表</w:t>
      </w:r>
      <w:bookmarkEnd w:id="50"/>
    </w:p>
    <w:tbl>
      <w:tblPr>
        <w:tblStyle w:val="16"/>
        <w:tblpPr w:leftFromText="180" w:rightFromText="180" w:vertAnchor="text" w:horzAnchor="page" w:tblpX="1296" w:tblpY="366"/>
        <w:tblOverlap w:val="never"/>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85"/>
        <w:gridCol w:w="2003"/>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671"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671"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382" w:type="dxa"/>
            <w:gridSpan w:val="4"/>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135" w:type="dxa"/>
            <w:gridSpan w:val="7"/>
            <w:vAlign w:val="center"/>
          </w:tcPr>
          <w:p>
            <w:pPr>
              <w:autoSpaceDE w:val="0"/>
              <w:autoSpaceDN w:val="0"/>
              <w:spacing w:before="78" w:beforeLines="25" w:after="78" w:afterLines="25" w:line="288" w:lineRule="auto"/>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506" w:type="dxa"/>
            <w:gridSpan w:val="8"/>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411" w:type="dxa"/>
            <w:gridSpan w:val="4"/>
            <w:vAlign w:val="center"/>
          </w:tcPr>
          <w:p>
            <w:pPr>
              <w:pStyle w:val="26"/>
              <w:adjustRightInd/>
              <w:snapToGrid/>
              <w:spacing w:before="78" w:beforeLines="25" w:after="78"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003" w:type="dxa"/>
            <w:vAlign w:val="center"/>
          </w:tcPr>
          <w:p>
            <w:pPr>
              <w:pStyle w:val="26"/>
              <w:adjustRightInd/>
              <w:snapToGrid/>
              <w:spacing w:before="78" w:beforeLines="25" w:after="78"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665" w:type="dxa"/>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bl>
    <w:p>
      <w:pPr>
        <w:autoSpaceDE w:val="0"/>
        <w:autoSpaceDN w:val="0"/>
        <w:spacing w:line="400" w:lineRule="atLeast"/>
        <w:jc w:val="both"/>
        <w:textAlignment w:val="bottom"/>
        <w:rPr>
          <w:rFonts w:asciiTheme="minorEastAsia" w:hAnsiTheme="minorEastAsia" w:eastAsiaTheme="minorEastAsia"/>
          <w:sz w:val="24"/>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51" w:name="_Toc22288"/>
      <w:r>
        <w:rPr>
          <w:rFonts w:hint="eastAsia" w:ascii="黑体" w:hAnsi="黑体" w:eastAsia="黑体" w:cs="仿宋"/>
          <w:sz w:val="36"/>
          <w:szCs w:val="36"/>
        </w:rPr>
        <w:t>六、响应方案</w:t>
      </w:r>
      <w:bookmarkEnd w:id="51"/>
    </w:p>
    <w:p>
      <w:pPr>
        <w:pStyle w:val="14"/>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(2)服务范围及内容;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(9)对本项目的合理化建议。</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52" w:name="_Toc30187"/>
      <w:r>
        <w:rPr>
          <w:rFonts w:hint="eastAsia" w:ascii="黑体" w:hAnsi="黑体" w:eastAsia="黑体" w:cs="仿宋"/>
          <w:sz w:val="36"/>
          <w:szCs w:val="36"/>
        </w:rPr>
        <w:t>七、其他资料</w:t>
      </w:r>
      <w:bookmarkEnd w:id="52"/>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hint="default"/>
          <w:lang w:val="en-US"/>
        </w:rPr>
      </w:pPr>
      <w:r>
        <w:rPr>
          <w:rFonts w:hint="eastAsia" w:cs="仿宋" w:asciiTheme="minorEastAsia" w:hAnsiTheme="minorEastAsia" w:eastAsiaTheme="minorEastAsia"/>
          <w:sz w:val="24"/>
        </w:rPr>
        <w:t>供应商需提交的其他资料。</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2"/>
        <w:spacing w:line="280" w:lineRule="atLeast"/>
        <w:ind w:left="180" w:hanging="180" w:hangingChars="100"/>
      </w:pPr>
      <w:r>
        <w:rPr>
          <w:rStyle w:val="20"/>
        </w:rPr>
        <w:footnoteRef/>
      </w:r>
      <w:r>
        <w:t xml:space="preserve"> </w:t>
      </w:r>
      <w:r>
        <w:rPr>
          <w:rFonts w:hint="eastAsia"/>
        </w:rPr>
        <w:t>a.“供应商须知前附表”用于进一步明确正文中的未尽事宜，由采购人根据采购项目具体特点和实际需要编制和填写，且</w:t>
      </w:r>
      <w:r>
        <w:t>应</w:t>
      </w:r>
      <w:r>
        <w:rPr>
          <w:rFonts w:hint="eastAsia"/>
        </w:rPr>
        <w:t>与采购文件中其他章节相衔接，并不得与本章正文内容相抵触。</w:t>
      </w:r>
    </w:p>
    <w:p>
      <w:pPr>
        <w:pStyle w:val="12"/>
        <w:spacing w:line="280" w:lineRule="atLeast"/>
        <w:ind w:left="0" w:firstLine="0"/>
      </w:pPr>
      <w:r>
        <w:rPr>
          <w:rFonts w:hint="eastAsia"/>
        </w:rPr>
        <w:t>b.</w:t>
      </w:r>
      <w:r>
        <w:rPr>
          <w:rFonts w:hint="eastAsia" w:hAnsi="宋体" w:cs="宋体-18030"/>
        </w:rPr>
        <w:t>“供应商须知前附表”中的附录表格同属“供应商须知前附表”内容，具有同等效力。</w:t>
      </w:r>
    </w:p>
  </w:footnote>
  <w:footnote w:id="1">
    <w:p>
      <w:pPr>
        <w:pStyle w:val="12"/>
        <w:rPr>
          <w:sz w:val="24"/>
          <w:szCs w:val="24"/>
        </w:rPr>
      </w:pPr>
      <w:r>
        <w:rPr>
          <w:rStyle w:val="20"/>
          <w:sz w:val="24"/>
          <w:szCs w:val="24"/>
        </w:rPr>
        <w:footnoteRef/>
      </w:r>
      <w:r>
        <w:rPr>
          <w:rStyle w:val="20"/>
          <w:sz w:val="24"/>
          <w:szCs w:val="24"/>
        </w:rPr>
        <w:t>4</w:t>
      </w:r>
      <w:r>
        <w:rPr>
          <w:rFonts w:hint="eastAsia"/>
          <w:sz w:val="24"/>
          <w:szCs w:val="24"/>
        </w:rPr>
        <w:t>仅适用于询价采购和竞争性谈判。</w:t>
      </w:r>
    </w:p>
  </w:footnote>
  <w:footnote w:id="2">
    <w:p>
      <w:pPr>
        <w:pStyle w:val="12"/>
        <w:rPr>
          <w:sz w:val="24"/>
          <w:szCs w:val="24"/>
        </w:rPr>
      </w:pPr>
      <w:r>
        <w:rPr>
          <w:rStyle w:val="20"/>
          <w:sz w:val="24"/>
          <w:szCs w:val="24"/>
        </w:rPr>
        <w:footnoteRef/>
      </w:r>
      <w:r>
        <w:rPr>
          <w:rStyle w:val="20"/>
          <w:sz w:val="24"/>
          <w:szCs w:val="24"/>
        </w:rPr>
        <w:t>4</w:t>
      </w:r>
      <w:r>
        <w:rPr>
          <w:rFonts w:hint="eastAsia"/>
          <w:sz w:val="24"/>
          <w:szCs w:val="24"/>
        </w:rPr>
        <w:t>仅适用于询价采购。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ECB7D"/>
    <w:multiLevelType w:val="singleLevel"/>
    <w:tmpl w:val="C94ECB7D"/>
    <w:lvl w:ilvl="0" w:tentative="0">
      <w:start w:val="1"/>
      <w:numFmt w:val="chineseCounting"/>
      <w:suff w:val="nothing"/>
      <w:lvlText w:val="（%1）"/>
      <w:lvlJc w:val="left"/>
      <w:rPr>
        <w:rFonts w:hint="eastAsia"/>
      </w:rPr>
    </w:lvl>
  </w:abstractNum>
  <w:abstractNum w:abstractNumId="1">
    <w:nsid w:val="CCF6924D"/>
    <w:multiLevelType w:val="singleLevel"/>
    <w:tmpl w:val="CCF6924D"/>
    <w:lvl w:ilvl="0" w:tentative="0">
      <w:start w:val="12"/>
      <w:numFmt w:val="chineseCounting"/>
      <w:suff w:val="space"/>
      <w:lvlText w:val="第%1条"/>
      <w:lvlJc w:val="left"/>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F956512"/>
    <w:multiLevelType w:val="singleLevel"/>
    <w:tmpl w:val="6F956512"/>
    <w:lvl w:ilvl="0" w:tentative="0">
      <w:start w:val="5"/>
      <w:numFmt w:val="chineseCounting"/>
      <w:suff w:val="space"/>
      <w:lvlText w:val="第%1章"/>
      <w:lvlJc w:val="left"/>
      <w:pPr>
        <w:ind w:left="2668" w:leftChars="0" w:firstLine="0" w:firstLineChars="0"/>
      </w:pPr>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OTgzYWJlZTQ4OWUwNmU2NDgyNDg3ZTU4ZmE2OGEifQ=="/>
  </w:docVars>
  <w:rsids>
    <w:rsidRoot w:val="004F37D1"/>
    <w:rsid w:val="000C0523"/>
    <w:rsid w:val="000F2955"/>
    <w:rsid w:val="002E5118"/>
    <w:rsid w:val="004F37D1"/>
    <w:rsid w:val="006516FB"/>
    <w:rsid w:val="007D1C8A"/>
    <w:rsid w:val="008F56C2"/>
    <w:rsid w:val="00930024"/>
    <w:rsid w:val="01646A5D"/>
    <w:rsid w:val="01D6466C"/>
    <w:rsid w:val="022C0655"/>
    <w:rsid w:val="02825780"/>
    <w:rsid w:val="030363B9"/>
    <w:rsid w:val="03BB1B41"/>
    <w:rsid w:val="044955CA"/>
    <w:rsid w:val="047C17CD"/>
    <w:rsid w:val="047D5E81"/>
    <w:rsid w:val="04FA6B05"/>
    <w:rsid w:val="05096B07"/>
    <w:rsid w:val="050B6D23"/>
    <w:rsid w:val="07026A9C"/>
    <w:rsid w:val="075524D7"/>
    <w:rsid w:val="07921036"/>
    <w:rsid w:val="081259FA"/>
    <w:rsid w:val="0874698D"/>
    <w:rsid w:val="0897758E"/>
    <w:rsid w:val="08A41020"/>
    <w:rsid w:val="08C2594B"/>
    <w:rsid w:val="09AD0AEE"/>
    <w:rsid w:val="09B554AF"/>
    <w:rsid w:val="0A4F762B"/>
    <w:rsid w:val="0A6A2C00"/>
    <w:rsid w:val="0A803704"/>
    <w:rsid w:val="0A843777"/>
    <w:rsid w:val="0AEE2A27"/>
    <w:rsid w:val="0C491C5C"/>
    <w:rsid w:val="0C692CAD"/>
    <w:rsid w:val="0CE06D96"/>
    <w:rsid w:val="0CF62067"/>
    <w:rsid w:val="0D755681"/>
    <w:rsid w:val="0E1063A6"/>
    <w:rsid w:val="0E4312DC"/>
    <w:rsid w:val="0E545297"/>
    <w:rsid w:val="0EA627EF"/>
    <w:rsid w:val="0F19203C"/>
    <w:rsid w:val="0F870CC0"/>
    <w:rsid w:val="0FB14F32"/>
    <w:rsid w:val="0FE64614"/>
    <w:rsid w:val="10907857"/>
    <w:rsid w:val="112C6057"/>
    <w:rsid w:val="11301E91"/>
    <w:rsid w:val="113D2012"/>
    <w:rsid w:val="11AB1672"/>
    <w:rsid w:val="11AE1162"/>
    <w:rsid w:val="11E9006E"/>
    <w:rsid w:val="12665599"/>
    <w:rsid w:val="12C16C73"/>
    <w:rsid w:val="13126F62"/>
    <w:rsid w:val="13DB3D64"/>
    <w:rsid w:val="14164D9C"/>
    <w:rsid w:val="158724D6"/>
    <w:rsid w:val="15E50395"/>
    <w:rsid w:val="160C6457"/>
    <w:rsid w:val="16BA7E07"/>
    <w:rsid w:val="16BE59A3"/>
    <w:rsid w:val="18086B5E"/>
    <w:rsid w:val="186E164B"/>
    <w:rsid w:val="19852E2E"/>
    <w:rsid w:val="19EA4D01"/>
    <w:rsid w:val="1A7D3DC7"/>
    <w:rsid w:val="1AA03612"/>
    <w:rsid w:val="1BDA5665"/>
    <w:rsid w:val="1BFF4D5F"/>
    <w:rsid w:val="1CA7533F"/>
    <w:rsid w:val="1D0C4C51"/>
    <w:rsid w:val="1D6E2743"/>
    <w:rsid w:val="1D7F1C04"/>
    <w:rsid w:val="1E114F52"/>
    <w:rsid w:val="1EAF2075"/>
    <w:rsid w:val="1EFD1033"/>
    <w:rsid w:val="1F04279E"/>
    <w:rsid w:val="2020322B"/>
    <w:rsid w:val="204C4020"/>
    <w:rsid w:val="208A4B48"/>
    <w:rsid w:val="20F621DE"/>
    <w:rsid w:val="21022930"/>
    <w:rsid w:val="22032E04"/>
    <w:rsid w:val="22D93B65"/>
    <w:rsid w:val="235C0A1E"/>
    <w:rsid w:val="244907C7"/>
    <w:rsid w:val="27392E24"/>
    <w:rsid w:val="27B4482F"/>
    <w:rsid w:val="27BA5D13"/>
    <w:rsid w:val="288A1B89"/>
    <w:rsid w:val="28E3573D"/>
    <w:rsid w:val="293D6BFB"/>
    <w:rsid w:val="294F2DD3"/>
    <w:rsid w:val="29CB4DA9"/>
    <w:rsid w:val="2A0F121A"/>
    <w:rsid w:val="2A7837A8"/>
    <w:rsid w:val="2A7A24A7"/>
    <w:rsid w:val="2A8B3997"/>
    <w:rsid w:val="2A9F5694"/>
    <w:rsid w:val="2BBC3CFA"/>
    <w:rsid w:val="2C1F2E22"/>
    <w:rsid w:val="2C73502A"/>
    <w:rsid w:val="2D21486F"/>
    <w:rsid w:val="2DFD2DFD"/>
    <w:rsid w:val="2E385BE3"/>
    <w:rsid w:val="2E9A4AF0"/>
    <w:rsid w:val="2ED55B28"/>
    <w:rsid w:val="2F256088"/>
    <w:rsid w:val="2F4B7B98"/>
    <w:rsid w:val="2FC13A08"/>
    <w:rsid w:val="31264419"/>
    <w:rsid w:val="31AB4B36"/>
    <w:rsid w:val="325B6344"/>
    <w:rsid w:val="327C651E"/>
    <w:rsid w:val="32931BB4"/>
    <w:rsid w:val="330E755F"/>
    <w:rsid w:val="336A5DDC"/>
    <w:rsid w:val="339F04B3"/>
    <w:rsid w:val="33A87367"/>
    <w:rsid w:val="33DA752D"/>
    <w:rsid w:val="34056568"/>
    <w:rsid w:val="340C15FB"/>
    <w:rsid w:val="34C74165"/>
    <w:rsid w:val="34DE6A77"/>
    <w:rsid w:val="356E17B3"/>
    <w:rsid w:val="35C23876"/>
    <w:rsid w:val="35DF3F0D"/>
    <w:rsid w:val="3619454C"/>
    <w:rsid w:val="3667175C"/>
    <w:rsid w:val="36873BAC"/>
    <w:rsid w:val="377231D0"/>
    <w:rsid w:val="37CC1A73"/>
    <w:rsid w:val="38E70932"/>
    <w:rsid w:val="396C52DB"/>
    <w:rsid w:val="39CC19DF"/>
    <w:rsid w:val="3A6B7341"/>
    <w:rsid w:val="3AC54DD6"/>
    <w:rsid w:val="3B1B3CA1"/>
    <w:rsid w:val="3C1D466B"/>
    <w:rsid w:val="3CB46CDB"/>
    <w:rsid w:val="3CED4FF9"/>
    <w:rsid w:val="3D730E75"/>
    <w:rsid w:val="3EF26282"/>
    <w:rsid w:val="3F3C384C"/>
    <w:rsid w:val="3F975DAE"/>
    <w:rsid w:val="402406BD"/>
    <w:rsid w:val="41C66782"/>
    <w:rsid w:val="41DC1527"/>
    <w:rsid w:val="422229DB"/>
    <w:rsid w:val="422F1DEF"/>
    <w:rsid w:val="42A258CA"/>
    <w:rsid w:val="42B20202"/>
    <w:rsid w:val="42B71375"/>
    <w:rsid w:val="42D932C0"/>
    <w:rsid w:val="42F16BD6"/>
    <w:rsid w:val="43CC6E3E"/>
    <w:rsid w:val="43E268C5"/>
    <w:rsid w:val="44CE73DC"/>
    <w:rsid w:val="44EB4741"/>
    <w:rsid w:val="464C44CA"/>
    <w:rsid w:val="469B5DA2"/>
    <w:rsid w:val="46BB0831"/>
    <w:rsid w:val="47D6229D"/>
    <w:rsid w:val="48143E00"/>
    <w:rsid w:val="48187993"/>
    <w:rsid w:val="48517B76"/>
    <w:rsid w:val="48824CCD"/>
    <w:rsid w:val="489C689F"/>
    <w:rsid w:val="49B06B1E"/>
    <w:rsid w:val="4A4A0D21"/>
    <w:rsid w:val="4A531274"/>
    <w:rsid w:val="4B33111C"/>
    <w:rsid w:val="4B367CCC"/>
    <w:rsid w:val="4BC15012"/>
    <w:rsid w:val="4C3C5B7B"/>
    <w:rsid w:val="4CD1190A"/>
    <w:rsid w:val="4D6C3FC3"/>
    <w:rsid w:val="4DD059E1"/>
    <w:rsid w:val="4E5C54C6"/>
    <w:rsid w:val="4E965273"/>
    <w:rsid w:val="4F160B4D"/>
    <w:rsid w:val="4F753910"/>
    <w:rsid w:val="4FA85AE0"/>
    <w:rsid w:val="50025BF9"/>
    <w:rsid w:val="50D92DFE"/>
    <w:rsid w:val="50DB5EBC"/>
    <w:rsid w:val="50EC48E0"/>
    <w:rsid w:val="518F3002"/>
    <w:rsid w:val="5212481A"/>
    <w:rsid w:val="521C2FA3"/>
    <w:rsid w:val="5277467D"/>
    <w:rsid w:val="52A24CB4"/>
    <w:rsid w:val="52DE294E"/>
    <w:rsid w:val="531C531B"/>
    <w:rsid w:val="537F29D4"/>
    <w:rsid w:val="5387653C"/>
    <w:rsid w:val="53C80231"/>
    <w:rsid w:val="53FB4F58"/>
    <w:rsid w:val="541E4421"/>
    <w:rsid w:val="5546444E"/>
    <w:rsid w:val="55517407"/>
    <w:rsid w:val="55DB13C7"/>
    <w:rsid w:val="567D49BA"/>
    <w:rsid w:val="569D37CF"/>
    <w:rsid w:val="569F41A2"/>
    <w:rsid w:val="56C51DAE"/>
    <w:rsid w:val="57A53A3A"/>
    <w:rsid w:val="58354DBE"/>
    <w:rsid w:val="58450D79"/>
    <w:rsid w:val="59102B0E"/>
    <w:rsid w:val="593037D7"/>
    <w:rsid w:val="598A2EE8"/>
    <w:rsid w:val="5AA24261"/>
    <w:rsid w:val="5B433C96"/>
    <w:rsid w:val="5B4A4595"/>
    <w:rsid w:val="5B523ED9"/>
    <w:rsid w:val="5BF136F2"/>
    <w:rsid w:val="5D2B49E2"/>
    <w:rsid w:val="5D810AA5"/>
    <w:rsid w:val="5DC50992"/>
    <w:rsid w:val="5DD118E9"/>
    <w:rsid w:val="5E3C5787"/>
    <w:rsid w:val="5FF92B75"/>
    <w:rsid w:val="60261654"/>
    <w:rsid w:val="60566219"/>
    <w:rsid w:val="617F52FC"/>
    <w:rsid w:val="61B3722B"/>
    <w:rsid w:val="62575B57"/>
    <w:rsid w:val="627472DF"/>
    <w:rsid w:val="628C7116"/>
    <w:rsid w:val="6324615B"/>
    <w:rsid w:val="63F12CFB"/>
    <w:rsid w:val="65A76BCF"/>
    <w:rsid w:val="65BF45A7"/>
    <w:rsid w:val="66646CC6"/>
    <w:rsid w:val="67203C59"/>
    <w:rsid w:val="67535261"/>
    <w:rsid w:val="67DA7730"/>
    <w:rsid w:val="68104F00"/>
    <w:rsid w:val="683B4862"/>
    <w:rsid w:val="68586E78"/>
    <w:rsid w:val="68A044D6"/>
    <w:rsid w:val="68F74B20"/>
    <w:rsid w:val="690A5DF3"/>
    <w:rsid w:val="699F29DF"/>
    <w:rsid w:val="69B55D5F"/>
    <w:rsid w:val="6A294655"/>
    <w:rsid w:val="6ADE3093"/>
    <w:rsid w:val="6B5C511C"/>
    <w:rsid w:val="6B72282A"/>
    <w:rsid w:val="6CF43042"/>
    <w:rsid w:val="6D611D5A"/>
    <w:rsid w:val="6F5953DE"/>
    <w:rsid w:val="6FAE64D1"/>
    <w:rsid w:val="701F03D6"/>
    <w:rsid w:val="706C6707"/>
    <w:rsid w:val="70B7060E"/>
    <w:rsid w:val="70FD2BA9"/>
    <w:rsid w:val="71FA7589"/>
    <w:rsid w:val="71FD4747"/>
    <w:rsid w:val="72D1172F"/>
    <w:rsid w:val="72FA28D8"/>
    <w:rsid w:val="73A87A1C"/>
    <w:rsid w:val="73F73418"/>
    <w:rsid w:val="74A71BD5"/>
    <w:rsid w:val="74FC6D16"/>
    <w:rsid w:val="753C37D8"/>
    <w:rsid w:val="75866801"/>
    <w:rsid w:val="75B62790"/>
    <w:rsid w:val="75E023B5"/>
    <w:rsid w:val="768947FB"/>
    <w:rsid w:val="76A5715B"/>
    <w:rsid w:val="76C577FD"/>
    <w:rsid w:val="770025E3"/>
    <w:rsid w:val="789456D9"/>
    <w:rsid w:val="78A43B6E"/>
    <w:rsid w:val="790B4EBB"/>
    <w:rsid w:val="791E6EA9"/>
    <w:rsid w:val="79271705"/>
    <w:rsid w:val="793A0C03"/>
    <w:rsid w:val="79A8143C"/>
    <w:rsid w:val="79A951B4"/>
    <w:rsid w:val="79C769F2"/>
    <w:rsid w:val="7AEB11EE"/>
    <w:rsid w:val="7B311B58"/>
    <w:rsid w:val="7B3C3938"/>
    <w:rsid w:val="7B42766E"/>
    <w:rsid w:val="7B4E1B6F"/>
    <w:rsid w:val="7C2A3A96"/>
    <w:rsid w:val="7C857813"/>
    <w:rsid w:val="7D41034A"/>
    <w:rsid w:val="7E3E4D2F"/>
    <w:rsid w:val="7EFE565A"/>
    <w:rsid w:val="7F2826D7"/>
    <w:rsid w:val="7F4D213E"/>
    <w:rsid w:val="7FCA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6"/>
    <w:autoRedefine/>
    <w:qFormat/>
    <w:uiPriority w:val="0"/>
    <w:pPr>
      <w:spacing w:before="100" w:beforeAutospacing="1" w:after="100" w:afterAutospacing="1"/>
      <w:outlineLvl w:val="1"/>
    </w:pPr>
    <w:rPr>
      <w:rFonts w:ascii="宋体" w:hAnsi="宋体"/>
      <w:b/>
      <w:bCs/>
      <w:kern w:val="0"/>
      <w:sz w:val="36"/>
      <w:szCs w:val="36"/>
    </w:rPr>
  </w:style>
  <w:style w:type="paragraph" w:styleId="6">
    <w:name w:val="heading 3"/>
    <w:basedOn w:val="5"/>
    <w:next w:val="1"/>
    <w:autoRedefine/>
    <w:qFormat/>
    <w:uiPriority w:val="0"/>
    <w:pPr>
      <w:keepNext/>
      <w:keepLines/>
      <w:spacing w:before="260" w:after="260" w:line="415" w:lineRule="auto"/>
      <w:outlineLvl w:val="2"/>
    </w:pPr>
    <w:rPr>
      <w:sz w:val="32"/>
      <w:szCs w:val="32"/>
    </w:rPr>
  </w:style>
  <w:style w:type="paragraph" w:styleId="7">
    <w:name w:val="heading 4"/>
    <w:basedOn w:val="1"/>
    <w:next w:val="1"/>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style>
  <w:style w:type="paragraph" w:customStyle="1" w:styleId="3">
    <w:name w:val="Default"/>
    <w:basedOn w:val="1"/>
    <w:autoRedefine/>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8">
    <w:name w:val="Body Text Indent"/>
    <w:basedOn w:val="1"/>
    <w:autoRedefine/>
    <w:qFormat/>
    <w:uiPriority w:val="0"/>
    <w:pPr>
      <w:spacing w:line="400" w:lineRule="exact"/>
      <w:ind w:firstLine="435"/>
    </w:pPr>
  </w:style>
  <w:style w:type="paragraph" w:styleId="9">
    <w:name w:val="footer"/>
    <w:basedOn w:val="1"/>
    <w:autoRedefine/>
    <w:qFormat/>
    <w:uiPriority w:val="99"/>
    <w:pPr>
      <w:snapToGrid w:val="0"/>
      <w:ind w:right="210" w:rightChars="100"/>
      <w:jc w:val="right"/>
    </w:pPr>
    <w:rPr>
      <w:rFonts w:asciiTheme="minorHAnsi" w:hAnsiTheme="minorHAnsi" w:eastAsiaTheme="minorEastAsia" w:cstheme="minorBidi"/>
      <w:sz w:val="18"/>
      <w:szCs w:val="18"/>
    </w:rPr>
  </w:style>
  <w:style w:type="paragraph" w:styleId="10">
    <w:name w:val="header"/>
    <w:basedOn w:val="1"/>
    <w:autoRedefine/>
    <w:qFormat/>
    <w:uiPriority w:val="99"/>
    <w:pPr>
      <w:snapToGrid w:val="0"/>
    </w:pPr>
    <w:rPr>
      <w:rFonts w:asciiTheme="minorHAnsi" w:hAnsiTheme="minorHAnsi" w:eastAsiaTheme="minorEastAsia" w:cstheme="minorBidi"/>
      <w:sz w:val="18"/>
      <w:szCs w:val="18"/>
    </w:rPr>
  </w:style>
  <w:style w:type="paragraph" w:styleId="11">
    <w:name w:val="toc 1"/>
    <w:basedOn w:val="1"/>
    <w:next w:val="1"/>
    <w:autoRedefine/>
    <w:semiHidden/>
    <w:qFormat/>
    <w:uiPriority w:val="0"/>
    <w:pPr>
      <w:tabs>
        <w:tab w:val="right" w:leader="dot" w:pos="9242"/>
      </w:tabs>
      <w:spacing w:beforeLines="25" w:afterLines="25"/>
    </w:pPr>
    <w:rPr>
      <w:rFonts w:ascii="宋体"/>
      <w:szCs w:val="21"/>
    </w:rPr>
  </w:style>
  <w:style w:type="paragraph" w:styleId="12">
    <w:name w:val="footnote text"/>
    <w:basedOn w:val="1"/>
    <w:autoRedefine/>
    <w:qFormat/>
    <w:uiPriority w:val="0"/>
    <w:pPr>
      <w:tabs>
        <w:tab w:val="left" w:pos="0"/>
      </w:tabs>
      <w:snapToGrid w:val="0"/>
      <w:ind w:left="720" w:hanging="357"/>
    </w:pPr>
    <w:rPr>
      <w:rFonts w:ascii="宋体" w:hAnsiTheme="minorHAnsi" w:eastAsiaTheme="minorEastAsia" w:cstheme="minorBidi"/>
      <w:sz w:val="18"/>
      <w:szCs w:val="18"/>
    </w:rPr>
  </w:style>
  <w:style w:type="paragraph" w:styleId="13">
    <w:name w:val="Normal (Web)"/>
    <w:basedOn w:val="1"/>
    <w:autoRedefine/>
    <w:unhideWhenUsed/>
    <w:qFormat/>
    <w:uiPriority w:val="99"/>
    <w:pPr>
      <w:spacing w:before="100" w:beforeAutospacing="1" w:after="100" w:afterAutospacing="1"/>
    </w:pPr>
    <w:rPr>
      <w:rFonts w:ascii="宋体" w:hAnsi="宋体" w:cs="宋体"/>
      <w:kern w:val="0"/>
      <w:sz w:val="24"/>
    </w:rPr>
  </w:style>
  <w:style w:type="paragraph" w:styleId="14">
    <w:name w:val="Body Text First Indent"/>
    <w:basedOn w:val="2"/>
    <w:autoRedefine/>
    <w:qFormat/>
    <w:uiPriority w:val="0"/>
    <w:pPr>
      <w:adjustRightInd w:val="0"/>
      <w:snapToGrid w:val="0"/>
      <w:ind w:firstLine="420"/>
      <w:textAlignment w:val="baseline"/>
    </w:pPr>
    <w:rPr>
      <w:rFonts w:ascii="宋体"/>
      <w:snapToGrid w:val="0"/>
      <w:kern w:val="24"/>
      <w:sz w:val="24"/>
      <w:szCs w:val="20"/>
    </w:rPr>
  </w:style>
  <w:style w:type="paragraph" w:styleId="15">
    <w:name w:val="Body Text First Indent 2"/>
    <w:basedOn w:val="8"/>
    <w:autoRedefine/>
    <w:qFormat/>
    <w:uiPriority w:val="0"/>
    <w:pPr>
      <w:spacing w:after="120" w:line="240" w:lineRule="auto"/>
      <w:ind w:left="420" w:firstLine="210"/>
    </w:pPr>
    <w:rPr>
      <w:szCs w:val="20"/>
    </w:rPr>
  </w:style>
  <w:style w:type="table" w:styleId="17">
    <w:name w:val="Table Grid"/>
    <w:basedOn w:val="1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22"/>
    <w:rPr>
      <w:b/>
      <w:bCs/>
    </w:rPr>
  </w:style>
  <w:style w:type="character" w:styleId="20">
    <w:name w:val="footnote reference"/>
    <w:autoRedefine/>
    <w:qFormat/>
    <w:uiPriority w:val="0"/>
    <w:rPr>
      <w:vertAlign w:val="superscript"/>
    </w:rPr>
  </w:style>
  <w:style w:type="paragraph" w:customStyle="1" w:styleId="21">
    <w:name w:val="_Style 2"/>
    <w:basedOn w:val="4"/>
    <w:next w:val="1"/>
    <w:autoRedefine/>
    <w:qFormat/>
    <w:uiPriority w:val="0"/>
    <w:pPr>
      <w:spacing w:before="480" w:after="0" w:line="276" w:lineRule="auto"/>
      <w:outlineLvl w:val="9"/>
    </w:pPr>
    <w:rPr>
      <w:rFonts w:ascii="Cambria" w:hAnsi="Cambria"/>
      <w:color w:val="365F91"/>
      <w:kern w:val="0"/>
      <w:sz w:val="28"/>
      <w:szCs w:val="28"/>
    </w:rPr>
  </w:style>
  <w:style w:type="paragraph" w:customStyle="1" w:styleId="22">
    <w:name w:val="WPSOffice手动目录 1"/>
    <w:autoRedefine/>
    <w:qFormat/>
    <w:uiPriority w:val="0"/>
    <w:rPr>
      <w:rFonts w:ascii="Times New Roman" w:hAnsi="Times New Roman" w:eastAsia="宋体" w:cs="Times New Roman"/>
      <w:lang w:val="en-US" w:eastAsia="zh-CN" w:bidi="ar-SA"/>
    </w:rPr>
  </w:style>
  <w:style w:type="paragraph" w:styleId="23">
    <w:name w:val="List Paragraph"/>
    <w:basedOn w:val="1"/>
    <w:autoRedefine/>
    <w:qFormat/>
    <w:uiPriority w:val="34"/>
    <w:pPr>
      <w:ind w:firstLine="420" w:firstLineChars="200"/>
    </w:pPr>
    <w:rPr>
      <w:rFonts w:ascii="宋体" w:hAnsi="宋体" w:cs="宋体"/>
      <w:kern w:val="0"/>
      <w:sz w:val="24"/>
    </w:rPr>
  </w:style>
  <w:style w:type="paragraph" w:customStyle="1" w:styleId="24">
    <w:name w:val="一级条标题"/>
    <w:next w:val="25"/>
    <w:autoRedefine/>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5">
    <w:name w:val="段"/>
    <w:autoRedefine/>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6">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27">
    <w:name w:val="font11"/>
    <w:basedOn w:val="18"/>
    <w:autoRedefine/>
    <w:qFormat/>
    <w:uiPriority w:val="0"/>
    <w:rPr>
      <w:rFonts w:hint="eastAsia" w:ascii="宋体" w:hAnsi="宋体" w:eastAsia="宋体" w:cs="宋体"/>
      <w:color w:val="000000"/>
      <w:sz w:val="21"/>
      <w:szCs w:val="21"/>
      <w:u w:val="none"/>
    </w:rPr>
  </w:style>
  <w:style w:type="character" w:customStyle="1" w:styleId="28">
    <w:name w:val="font31"/>
    <w:basedOn w:val="18"/>
    <w:autoRedefine/>
    <w:qFormat/>
    <w:uiPriority w:val="0"/>
    <w:rPr>
      <w:rFonts w:hint="eastAsia" w:ascii="宋体" w:hAnsi="宋体" w:eastAsia="宋体" w:cs="宋体"/>
      <w:color w:val="000000"/>
      <w:sz w:val="21"/>
      <w:szCs w:val="21"/>
      <w:u w:val="none"/>
    </w:rPr>
  </w:style>
  <w:style w:type="character" w:customStyle="1" w:styleId="29">
    <w:name w:val="font21"/>
    <w:basedOn w:val="18"/>
    <w:autoRedefine/>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21493</Words>
  <Characters>23771</Characters>
  <Lines>205</Lines>
  <Paragraphs>57</Paragraphs>
  <TotalTime>5</TotalTime>
  <ScaleCrop>false</ScaleCrop>
  <LinksUpToDate>false</LinksUpToDate>
  <CharactersWithSpaces>25590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2022-04-19T02:12:00Z</dcterms:created>
  <dc:creator>Administrator</dc:creator>
  <cp:lastModifiedBy>咸鱼</cp:lastModifiedBy>
  <dcterms:modified xsi:type="dcterms:W3CDTF">2024-04-15T01:04:34Z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942B8433172440B7B1823C4CE6A0B483_13</vt:lpwstr>
  </property>
</Properties>
</file>