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r>
        <w:rPr>
          <w:rFonts w:ascii="微软雅黑" w:hAnsi="微软雅黑" w:eastAsia="微软雅黑" w:cs="微软雅黑"/>
          <w:b/>
          <w:bCs/>
          <w:i w:val="0"/>
          <w:iCs w:val="0"/>
          <w:caps w:val="0"/>
          <w:color w:val="666666"/>
          <w:spacing w:val="0"/>
          <w:sz w:val="52"/>
          <w:szCs w:val="52"/>
          <w:shd w:val="clear" w:fill="FFFFFF"/>
        </w:rPr>
        <w:t>岳阳城陵矶危险品储运有限公司</w:t>
      </w:r>
    </w:p>
    <w:p>
      <w:pPr>
        <w:snapToGrid w:val="0"/>
        <w:spacing w:line="360" w:lineRule="auto"/>
        <w:jc w:val="center"/>
        <w:rPr>
          <w:rFonts w:hint="eastAsia" w:ascii="黑体" w:hAnsi="黑体" w:eastAsia="黑体" w:cs="Times New Roman"/>
          <w:b/>
          <w:bCs/>
          <w:sz w:val="52"/>
          <w:szCs w:val="52"/>
          <w:lang w:val="en-US" w:eastAsia="zh-CN"/>
        </w:rPr>
      </w:pPr>
    </w:p>
    <w:p>
      <w:pPr>
        <w:pStyle w:val="2"/>
        <w:rPr>
          <w:rFonts w:hint="eastAsia"/>
          <w:lang w:val="en-US" w:eastAsia="zh-CN"/>
        </w:rPr>
      </w:pPr>
    </w:p>
    <w:p>
      <w:pPr>
        <w:pStyle w:val="2"/>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pStyle w:val="2"/>
        <w:ind w:left="0" w:leftChars="0" w:firstLine="0" w:firstLineChars="0"/>
        <w:rPr>
          <w:rFonts w:hint="eastAsia" w:ascii="黑体" w:hAnsi="黑体" w:eastAsia="黑体" w:cs="Times New Roman"/>
          <w:b/>
          <w:bCs/>
          <w:sz w:val="52"/>
          <w:szCs w:val="52"/>
          <w:lang w:val="en-US" w:eastAsia="zh-CN"/>
        </w:rPr>
      </w:pP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盲区监控系统增加询价采购文件</w:t>
      </w:r>
    </w:p>
    <w:p>
      <w:pPr>
        <w:spacing w:line="360" w:lineRule="auto"/>
      </w:pPr>
    </w:p>
    <w:p>
      <w:pPr>
        <w:pStyle w:val="3"/>
      </w:pPr>
    </w:p>
    <w:p>
      <w:pPr>
        <w:pStyle w:val="15"/>
        <w:spacing w:line="360" w:lineRule="auto"/>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tabs>
          <w:tab w:val="left" w:pos="0"/>
          <w:tab w:val="left" w:pos="4185"/>
        </w:tabs>
        <w:spacing w:line="360" w:lineRule="auto"/>
        <w:ind w:right="-6"/>
        <w:jc w:val="center"/>
        <w:rPr>
          <w:rFonts w:hint="eastAsia" w:ascii="黑体" w:hAnsi="黑体" w:eastAsia="黑体"/>
          <w:bCs/>
          <w:sz w:val="40"/>
          <w:szCs w:val="40"/>
        </w:rPr>
      </w:pP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0"/>
          <w:szCs w:val="40"/>
        </w:rPr>
        <w:t>二О二</w:t>
      </w:r>
      <w:r>
        <w:rPr>
          <w:rFonts w:hint="eastAsia" w:ascii="黑体" w:hAnsi="黑体" w:eastAsia="黑体"/>
          <w:bCs/>
          <w:sz w:val="40"/>
          <w:szCs w:val="40"/>
          <w:lang w:val="en-US" w:eastAsia="zh-CN"/>
        </w:rPr>
        <w:t>四</w:t>
      </w:r>
      <w:r>
        <w:rPr>
          <w:rFonts w:hint="eastAsia" w:ascii="黑体" w:hAnsi="黑体" w:eastAsia="黑体"/>
          <w:bCs/>
          <w:sz w:val="40"/>
          <w:szCs w:val="40"/>
        </w:rPr>
        <w:t>年</w:t>
      </w:r>
      <w:r>
        <w:rPr>
          <w:rFonts w:hint="eastAsia" w:ascii="黑体" w:hAnsi="黑体" w:eastAsia="黑体"/>
          <w:bCs/>
          <w:sz w:val="40"/>
          <w:szCs w:val="40"/>
          <w:lang w:val="en-US" w:eastAsia="zh-CN"/>
        </w:rPr>
        <w:t>三</w:t>
      </w:r>
      <w:r>
        <w:rPr>
          <w:rFonts w:hint="eastAsia" w:ascii="黑体" w:hAnsi="黑体" w:eastAsia="黑体"/>
          <w:bCs/>
          <w:sz w:val="40"/>
          <w:szCs w:val="40"/>
        </w:rPr>
        <w:t>月</w:t>
      </w:r>
    </w:p>
    <w:p>
      <w:pPr>
        <w:rPr>
          <w:rFonts w:ascii="黑体" w:hAnsi="黑体" w:eastAsia="黑体"/>
          <w:b w:val="0"/>
          <w:color w:val="auto"/>
          <w:sz w:val="44"/>
          <w:szCs w:val="44"/>
          <w:lang w:val="zh-CN"/>
        </w:rPr>
      </w:pPr>
      <w:r>
        <w:rPr>
          <w:rFonts w:ascii="黑体" w:hAnsi="黑体" w:eastAsia="黑体"/>
          <w:b w:val="0"/>
          <w:color w:val="auto"/>
          <w:sz w:val="44"/>
          <w:szCs w:val="44"/>
          <w:lang w:val="zh-CN"/>
        </w:rPr>
        <w:br w:type="page"/>
      </w:r>
    </w:p>
    <w:p>
      <w:pPr>
        <w:pStyle w:val="24"/>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11"/>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20"/>
          <w:rFonts w:hint="eastAsia" w:ascii="微软雅黑" w:hAnsi="微软雅黑" w:eastAsia="微软雅黑"/>
          <w:sz w:val="24"/>
          <w:szCs w:val="24"/>
        </w:rPr>
        <w:t>第一章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11"/>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"_Toc77254106" </w:instrText>
      </w:r>
      <w:r>
        <w:rPr>
          <w:sz w:val="24"/>
          <w:szCs w:val="24"/>
        </w:rPr>
        <w:fldChar w:fldCharType="separate"/>
      </w:r>
      <w:r>
        <w:rPr>
          <w:rStyle w:val="20"/>
          <w:rFonts w:hint="eastAsia" w:ascii="微软雅黑" w:hAnsi="微软雅黑" w:eastAsia="微软雅黑"/>
          <w:sz w:val="24"/>
          <w:szCs w:val="24"/>
        </w:rPr>
        <w:t>第二章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7</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20"/>
          <w:rFonts w:hint="eastAsia" w:ascii="微软雅黑" w:hAnsi="微软雅黑" w:eastAsia="微软雅黑"/>
          <w:sz w:val="24"/>
          <w:szCs w:val="24"/>
        </w:rPr>
        <w:t>第三章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评标办</w:t>
      </w:r>
      <w:bookmarkStart w:id="0" w:name="_Hlt79481238"/>
      <w:bookmarkStart w:id="1" w:name="_Hlt79481237"/>
      <w:r>
        <w:rPr>
          <w:rStyle w:val="20"/>
          <w:rFonts w:hint="eastAsia" w:ascii="微软雅黑" w:hAnsi="微软雅黑" w:eastAsia="微软雅黑"/>
          <w:sz w:val="24"/>
          <w:szCs w:val="24"/>
        </w:rPr>
        <w:t>法</w:t>
      </w:r>
      <w:bookmarkEnd w:id="0"/>
      <w:bookmarkEnd w:id="1"/>
      <w:r>
        <w:rPr>
          <w:rStyle w:val="20"/>
          <w:rFonts w:hint="eastAsia" w:ascii="微软雅黑" w:hAnsi="微软雅黑" w:eastAsia="微软雅黑"/>
          <w:sz w:val="24"/>
          <w:szCs w:val="24"/>
        </w:rPr>
        <w:t>（</w:t>
      </w:r>
      <w:r>
        <w:rPr>
          <w:rStyle w:val="20"/>
          <w:rFonts w:hint="eastAsia" w:ascii="微软雅黑" w:hAnsi="微软雅黑" w:eastAsia="微软雅黑"/>
          <w:sz w:val="24"/>
          <w:szCs w:val="24"/>
          <w:lang w:val="en-US"/>
        </w:rPr>
        <w:t>综合评分法</w:t>
      </w:r>
      <w:r>
        <w:rPr>
          <w:rStyle w:val="20"/>
          <w:rFonts w:hint="eastAsia" w:ascii="微软雅黑" w:hAnsi="微软雅黑" w:eastAsia="微软雅黑"/>
          <w:sz w:val="24"/>
          <w:szCs w:val="24"/>
        </w:rPr>
        <w:t>）</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25</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20"/>
          <w:rFonts w:hint="eastAsia" w:ascii="微软雅黑" w:hAnsi="微软雅黑" w:eastAsia="微软雅黑"/>
          <w:sz w:val="24"/>
          <w:szCs w:val="24"/>
        </w:rPr>
        <w:t>第四章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29</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rPr>
      </w:pPr>
      <w:r>
        <w:rPr>
          <w:sz w:val="24"/>
          <w:szCs w:val="24"/>
        </w:rPr>
        <w:fldChar w:fldCharType="begin"/>
      </w:r>
      <w:r>
        <w:rPr>
          <w:sz w:val="24"/>
          <w:szCs w:val="24"/>
        </w:rPr>
        <w:instrText xml:space="preserve"> HYPERLINK \l "_Toc77254286" </w:instrText>
      </w:r>
      <w:r>
        <w:rPr>
          <w:sz w:val="24"/>
          <w:szCs w:val="24"/>
        </w:rPr>
        <w:fldChar w:fldCharType="separate"/>
      </w:r>
      <w:r>
        <w:rPr>
          <w:rStyle w:val="20"/>
          <w:rFonts w:hint="eastAsia" w:ascii="微软雅黑" w:hAnsi="微软雅黑" w:eastAsia="微软雅黑"/>
          <w:sz w:val="24"/>
          <w:szCs w:val="24"/>
        </w:rPr>
        <w:t>第五章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32</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20"/>
          <w:rFonts w:hint="eastAsia" w:ascii="微软雅黑" w:hAnsi="微软雅黑" w:eastAsia="微软雅黑"/>
          <w:sz w:val="24"/>
          <w:szCs w:val="24"/>
        </w:rPr>
        <w:t>第六章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41</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sz w:val="24"/>
          <w:szCs w:val="24"/>
        </w:rPr>
        <w:fldChar w:fldCharType="begin"/>
      </w:r>
      <w:r>
        <w:rPr>
          <w:sz w:val="24"/>
          <w:szCs w:val="24"/>
        </w:rPr>
        <w:instrText xml:space="preserve"> HYPERLINK \l "_Toc77254298" </w:instrText>
      </w:r>
      <w:r>
        <w:rPr>
          <w:sz w:val="24"/>
          <w:szCs w:val="24"/>
        </w:rPr>
        <w:fldChar w:fldCharType="separate"/>
      </w:r>
      <w:r>
        <w:rPr>
          <w:rStyle w:val="20"/>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43</w:t>
      </w:r>
    </w:p>
    <w:p>
      <w:pPr>
        <w:pStyle w:val="13"/>
        <w:tabs>
          <w:tab w:val="right" w:leader="dot" w:pos="8948"/>
        </w:tabs>
        <w:adjustRightInd w:val="0"/>
        <w:snapToGrid w:val="0"/>
        <w:spacing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"_Toc77254299" </w:instrText>
      </w:r>
      <w:r>
        <w:rPr>
          <w:sz w:val="24"/>
          <w:szCs w:val="24"/>
        </w:rPr>
        <w:fldChar w:fldCharType="separate"/>
      </w:r>
      <w:r>
        <w:rPr>
          <w:rStyle w:val="20"/>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46</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Style w:val="20"/>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rPr>
        <w:fldChar w:fldCharType="begin"/>
      </w:r>
      <w:r>
        <w:rPr>
          <w:sz w:val="24"/>
          <w:szCs w:val="24"/>
        </w:rPr>
        <w:instrText xml:space="preserve"> HYPERLINK \l "_Toc77254300" </w:instrText>
      </w:r>
      <w:r>
        <w:rPr>
          <w:rFonts w:hint="eastAsia"/>
          <w:sz w:val="24"/>
          <w:szCs w:val="24"/>
        </w:rPr>
        <w:fldChar w:fldCharType="separate"/>
      </w:r>
      <w:r>
        <w:rPr>
          <w:rStyle w:val="20"/>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47</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Fonts w:hint="eastAsia"/>
          <w:sz w:val="24"/>
          <w:szCs w:val="24"/>
        </w:rPr>
        <w:fldChar w:fldCharType="begin"/>
      </w:r>
      <w:r>
        <w:rPr>
          <w:sz w:val="24"/>
          <w:szCs w:val="24"/>
        </w:rPr>
        <w:instrText xml:space="preserve"> HYPERLINK \l "_Toc77254302" </w:instrText>
      </w:r>
      <w:r>
        <w:rPr>
          <w:rFonts w:hint="eastAsia"/>
          <w:sz w:val="24"/>
          <w:szCs w:val="24"/>
        </w:rPr>
        <w:fldChar w:fldCharType="separate"/>
      </w:r>
      <w:r>
        <w:rPr>
          <w:rStyle w:val="20"/>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48</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"_Toc77254304" </w:instrText>
      </w:r>
      <w:r>
        <w:rPr>
          <w:rFonts w:hint="eastAsia"/>
          <w:sz w:val="24"/>
          <w:szCs w:val="24"/>
        </w:rPr>
        <w:fldChar w:fldCharType="separate"/>
      </w:r>
      <w:r>
        <w:rPr>
          <w:rStyle w:val="20"/>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49</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"_Toc77254308" </w:instrText>
      </w:r>
      <w:r>
        <w:rPr>
          <w:rFonts w:hint="eastAsia"/>
          <w:sz w:val="24"/>
          <w:szCs w:val="24"/>
        </w:rPr>
        <w:fldChar w:fldCharType="separate"/>
      </w:r>
      <w:r>
        <w:rPr>
          <w:rStyle w:val="20"/>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50</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"_Toc77254310" </w:instrText>
      </w:r>
      <w:r>
        <w:rPr>
          <w:rFonts w:hint="eastAsia"/>
          <w:sz w:val="24"/>
          <w:szCs w:val="24"/>
        </w:rPr>
        <w:fldChar w:fldCharType="separate"/>
      </w:r>
      <w:r>
        <w:rPr>
          <w:rStyle w:val="20"/>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51</w:t>
      </w:r>
    </w:p>
    <w:p>
      <w:pPr>
        <w:pStyle w:val="11"/>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pStyle w:val="25"/>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岳阳城陵矶危险品储运有限公司盲区监控系统增加</w:t>
      </w:r>
    </w:p>
    <w:p>
      <w:pPr>
        <w:widowControl w:val="0"/>
        <w:adjustRightInd w:val="0"/>
        <w:snapToGrid w:val="0"/>
        <w:spacing w:line="360" w:lineRule="auto"/>
        <w:jc w:val="center"/>
        <w:rPr>
          <w:rFonts w:cs="Times New Roman"/>
          <w:kern w:val="2"/>
        </w:rPr>
      </w:pPr>
      <w:r>
        <w:rPr>
          <w:rFonts w:hint="eastAsia" w:ascii="宋体" w:hAnsi="宋体" w:eastAsia="宋体" w:cs="宋体"/>
          <w:b/>
          <w:bCs/>
          <w:sz w:val="32"/>
          <w:szCs w:val="32"/>
          <w:lang w:val="en-US" w:eastAsia="zh-CN"/>
        </w:rPr>
        <w:t>询价采购</w:t>
      </w:r>
      <w:r>
        <w:rPr>
          <w:rFonts w:hint="eastAsia" w:ascii="宋体" w:hAnsi="宋体" w:eastAsia="宋体" w:cs="宋体"/>
          <w:b/>
          <w:bCs/>
          <w:sz w:val="32"/>
          <w:szCs w:val="32"/>
        </w:rPr>
        <w:t>公告</w:t>
      </w:r>
      <w:r>
        <w:rPr>
          <w:rFonts w:hint="eastAsia" w:cs="Times New Roman"/>
          <w:kern w:val="2"/>
        </w:rPr>
        <w:t xml:space="preserve"> </w:t>
      </w:r>
    </w:p>
    <w:p>
      <w:pPr>
        <w:autoSpaceDE w:val="0"/>
        <w:spacing w:line="360" w:lineRule="auto"/>
        <w:jc w:val="both"/>
        <w:rPr>
          <w:szCs w:val="21"/>
        </w:rPr>
      </w:pPr>
      <w:r>
        <w:rPr>
          <w:rFonts w:hint="eastAsia" w:ascii="宋体" w:hAnsi="宋体"/>
          <w:sz w:val="24"/>
        </w:rPr>
        <w:t xml:space="preserve">   </w:t>
      </w:r>
      <w:r>
        <w:rPr>
          <w:rFonts w:hint="eastAsia" w:ascii="宋体" w:hAnsi="宋体"/>
          <w:sz w:val="24"/>
          <w:lang w:val="en-US" w:eastAsia="zh-CN"/>
        </w:rPr>
        <w:t>岳阳城陵矶危险品储运有限公司</w:t>
      </w:r>
      <w:r>
        <w:rPr>
          <w:rFonts w:hint="eastAsia" w:ascii="宋体" w:hAnsi="宋体"/>
          <w:sz w:val="24"/>
        </w:rPr>
        <w:t>现公开邀请具备实施能力的供应商参加</w:t>
      </w:r>
      <w:r>
        <w:rPr>
          <w:rFonts w:hint="eastAsia" w:ascii="宋体" w:hAnsi="宋体" w:cs="Times New Roman"/>
          <w:sz w:val="24"/>
          <w:lang w:val="en-US" w:eastAsia="zh-CN"/>
        </w:rPr>
        <w:t>盲区监控系统增加</w:t>
      </w:r>
      <w:r>
        <w:rPr>
          <w:rFonts w:hint="eastAsia" w:ascii="宋体" w:hAnsi="宋体"/>
          <w:sz w:val="24"/>
        </w:rPr>
        <w:t>采购活动。</w:t>
      </w:r>
    </w:p>
    <w:p>
      <w:pPr>
        <w:pStyle w:val="7"/>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cs="宋体"/>
          <w:color w:val="000000"/>
          <w:sz w:val="24"/>
          <w:szCs w:val="24"/>
          <w:highlight w:val="none"/>
          <w:u w:val="single" w:color="auto"/>
          <w:lang w:val="en-US" w:eastAsia="zh-CN"/>
        </w:rPr>
        <w:t>盲区监控系统增加询价</w:t>
      </w:r>
      <w:r>
        <w:rPr>
          <w:rFonts w:hint="eastAsia" w:ascii="宋体" w:hAnsi="宋体" w:eastAsia="宋体"/>
          <w:sz w:val="24"/>
          <w:szCs w:val="24"/>
          <w:u w:val="single" w:color="auto"/>
        </w:rPr>
        <w:t>采购</w:t>
      </w:r>
      <w:r>
        <w:rPr>
          <w:rFonts w:hint="eastAsia" w:ascii="宋体" w:hAnsi="宋体"/>
          <w:sz w:val="24"/>
          <w:szCs w:val="24"/>
          <w:u w:val="single" w:color="auto"/>
          <w:lang w:val="en-US" w:eastAsia="zh-CN"/>
        </w:rPr>
        <w:t>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w:t>
      </w:r>
      <w:r>
        <w:rPr>
          <w:rFonts w:hint="eastAsia" w:ascii="宋体" w:hAnsi="宋体"/>
          <w:sz w:val="24"/>
          <w:lang w:val="en-US" w:eastAsia="zh-CN"/>
        </w:rPr>
        <w:t>岳阳城陵矶危险品储运有限公司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rPr>
          <w:rFonts w:hint="eastAsia" w:ascii="宋体" w:hAnsi="宋体"/>
          <w:sz w:val="24"/>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sz w:val="24"/>
          <w:lang w:eastAsia="zh-CN"/>
        </w:rPr>
        <w:t>：公司危险品集中箱存储场地及作业区，过道有部分盲区，不便于公司进行监管及预防事故</w:t>
      </w:r>
      <w:r>
        <w:rPr>
          <w:rFonts w:hint="eastAsia" w:ascii="宋体" w:hAnsi="宋体"/>
          <w:sz w:val="24"/>
          <w:lang w:val="en-US" w:eastAsia="zh-CN"/>
        </w:rPr>
        <w:t xml:space="preserve"> 。</w:t>
      </w:r>
    </w:p>
    <w:p>
      <w:pPr>
        <w:pStyle w:val="7"/>
        <w:numPr>
          <w:ilvl w:val="0"/>
          <w:numId w:val="2"/>
        </w:numPr>
        <w:spacing w:line="360" w:lineRule="auto"/>
        <w:jc w:val="both"/>
        <w:rPr>
          <w:rFonts w:hint="eastAsia" w:ascii="黑体" w:hAnsi="黑体"/>
        </w:rPr>
      </w:pPr>
      <w:r>
        <w:rPr>
          <w:rFonts w:hint="eastAsia" w:ascii="黑体" w:hAnsi="黑体"/>
        </w:rPr>
        <w:t>采购范围及相关要求</w:t>
      </w:r>
    </w:p>
    <w:p>
      <w:pPr>
        <w:spacing w:line="360" w:lineRule="auto"/>
        <w:rPr>
          <w:rFonts w:hint="eastAsia"/>
        </w:rPr>
      </w:pPr>
      <w:r>
        <w:rPr>
          <w:rFonts w:hint="eastAsia" w:ascii="宋体" w:hAnsi="宋体" w:eastAsia="宋体" w:cs="Calibri"/>
          <w:b/>
          <w:bCs/>
          <w:color w:val="000000"/>
          <w:sz w:val="24"/>
          <w:szCs w:val="22"/>
          <w:highlight w:val="none"/>
          <w:lang w:val="en-US" w:eastAsia="zh-CN"/>
        </w:rPr>
        <w:t>2.1</w:t>
      </w:r>
      <w:r>
        <w:rPr>
          <w:rFonts w:hint="eastAsia" w:ascii="宋体" w:hAnsi="宋体" w:eastAsia="宋体" w:cs="Calibri"/>
          <w:color w:val="000000"/>
          <w:sz w:val="24"/>
          <w:szCs w:val="22"/>
          <w:highlight w:val="none"/>
          <w:lang w:eastAsia="zh-CN"/>
        </w:rPr>
        <w:t>询价</w:t>
      </w:r>
      <w:r>
        <w:rPr>
          <w:rFonts w:hint="eastAsia" w:ascii="宋体" w:hAnsi="宋体" w:eastAsia="Calibri" w:cs="Calibri"/>
          <w:color w:val="000000"/>
          <w:sz w:val="24"/>
          <w:szCs w:val="22"/>
          <w:highlight w:val="none"/>
        </w:rPr>
        <w:t>范围：</w:t>
      </w:r>
    </w:p>
    <w:p>
      <w:pPr>
        <w:widowControl/>
        <w:autoSpaceDE w:val="0"/>
        <w:adjustRightInd/>
        <w:snapToGrid/>
        <w:spacing w:after="0" w:line="360" w:lineRule="auto"/>
        <w:jc w:val="left"/>
        <w:rPr>
          <w:rFonts w:hint="eastAsia" w:ascii="宋体" w:hAnsi="宋体"/>
          <w:sz w:val="24"/>
          <w:lang w:val="en-US" w:eastAsia="zh-CN"/>
        </w:rPr>
      </w:pPr>
      <w:r>
        <w:rPr>
          <w:rFonts w:hint="eastAsia" w:ascii="宋体" w:hAnsi="宋体" w:eastAsia="宋体" w:cs="宋体"/>
          <w:b/>
          <w:bCs/>
          <w:color w:val="000000"/>
          <w:sz w:val="24"/>
          <w:szCs w:val="22"/>
          <w:highlight w:val="none"/>
          <w:lang w:val="en-US" w:eastAsia="zh-CN"/>
        </w:rPr>
        <w:t>1</w:t>
      </w:r>
      <w:r>
        <w:rPr>
          <w:rFonts w:hint="eastAsia" w:ascii="宋体" w:hAnsi="宋体" w:cs="宋体"/>
          <w:b/>
          <w:bCs/>
          <w:color w:val="000000"/>
          <w:sz w:val="24"/>
          <w:szCs w:val="22"/>
          <w:highlight w:val="none"/>
          <w:lang w:val="en-US" w:eastAsia="zh-CN"/>
        </w:rPr>
        <w:t>、防爆球机3个、防爆枪机2个、红外球机1个、红外枪机8个</w:t>
      </w:r>
      <w:r>
        <w:rPr>
          <w:rFonts w:hint="eastAsia" w:ascii="宋体" w:hAnsi="宋体"/>
          <w:sz w:val="24"/>
          <w:lang w:val="en-US" w:eastAsia="zh-CN"/>
        </w:rPr>
        <w:t>。</w:t>
      </w:r>
    </w:p>
    <w:p>
      <w:pPr>
        <w:pStyle w:val="2"/>
        <w:widowControl/>
        <w:numPr>
          <w:ilvl w:val="0"/>
          <w:numId w:val="0"/>
        </w:numPr>
        <w:autoSpaceDE w:val="0"/>
        <w:spacing w:after="0" w:line="360" w:lineRule="auto"/>
        <w:jc w:val="left"/>
        <w:rPr>
          <w:rFonts w:hint="default" w:hAnsi="宋体" w:cs="宋体"/>
          <w:color w:val="000000"/>
          <w:sz w:val="24"/>
          <w:szCs w:val="24"/>
          <w:highlight w:val="none"/>
          <w:lang w:val="en-US" w:eastAsia="zh-CN"/>
        </w:rPr>
      </w:pPr>
      <w:r>
        <w:rPr>
          <w:rFonts w:hint="eastAsia" w:hAnsi="宋体" w:cs="宋体"/>
          <w:b/>
          <w:bCs/>
          <w:color w:val="000000"/>
          <w:sz w:val="24"/>
          <w:szCs w:val="24"/>
          <w:highlight w:val="none"/>
          <w:lang w:val="en-US" w:eastAsia="zh-CN"/>
        </w:rPr>
        <w:t>2、后台硬盘录像机一套，存储时间3个月</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baseline"/>
        <w:rPr>
          <w:rFonts w:hint="eastAsia" w:hAnsi="宋体" w:cs="宋体"/>
          <w:color w:val="000000"/>
          <w:kern w:val="2"/>
          <w:sz w:val="24"/>
          <w:szCs w:val="22"/>
          <w:highlight w:val="none"/>
          <w:lang w:val="en-US" w:eastAsia="zh-CN" w:bidi="ar-SA"/>
        </w:rPr>
      </w:pPr>
      <w:r>
        <w:rPr>
          <w:rFonts w:hint="eastAsia" w:hAnsi="宋体" w:cs="宋体"/>
          <w:b/>
          <w:bCs/>
          <w:color w:val="000000"/>
          <w:kern w:val="2"/>
          <w:sz w:val="24"/>
          <w:szCs w:val="22"/>
          <w:highlight w:val="none"/>
          <w:lang w:val="en-US" w:eastAsia="zh-CN" w:bidi="ar-SA"/>
        </w:rPr>
        <w:t>3、</w:t>
      </w:r>
      <w:r>
        <w:rPr>
          <w:rFonts w:hint="eastAsia" w:ascii="宋体" w:hAnsi="宋体" w:eastAsia="宋体" w:cs="宋体"/>
          <w:b/>
          <w:bCs/>
          <w:color w:val="000000"/>
          <w:kern w:val="2"/>
          <w:sz w:val="24"/>
          <w:szCs w:val="22"/>
          <w:highlight w:val="none"/>
          <w:lang w:val="en-US" w:eastAsia="zh-CN" w:bidi="ar-SA"/>
        </w:rPr>
        <w:t xml:space="preserve"> </w:t>
      </w:r>
      <w:r>
        <w:rPr>
          <w:rFonts w:hint="eastAsia" w:hAnsi="宋体" w:cs="宋体"/>
          <w:color w:val="000000"/>
          <w:kern w:val="2"/>
          <w:sz w:val="24"/>
          <w:szCs w:val="22"/>
          <w:highlight w:val="none"/>
          <w:lang w:val="en-US" w:eastAsia="zh-CN" w:bidi="ar-SA"/>
        </w:rPr>
        <w:t>相关配备安装所需的线材、辅材、配件。</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baseline"/>
        <w:rPr>
          <w:rFonts w:hint="default" w:ascii="宋体" w:hAnsi="宋体" w:eastAsia="宋体" w:cs="宋体"/>
          <w:color w:val="000000"/>
          <w:kern w:val="2"/>
          <w:sz w:val="24"/>
          <w:szCs w:val="22"/>
          <w:highlight w:val="none"/>
          <w:lang w:val="en-US" w:eastAsia="zh-CN" w:bidi="ar-SA"/>
        </w:rPr>
      </w:pPr>
      <w:r>
        <w:rPr>
          <w:rFonts w:hint="eastAsia" w:hAnsi="宋体" w:cs="宋体"/>
          <w:b/>
          <w:bCs/>
          <w:color w:val="000000"/>
          <w:kern w:val="2"/>
          <w:sz w:val="24"/>
          <w:szCs w:val="22"/>
          <w:highlight w:val="none"/>
          <w:lang w:val="en-US" w:eastAsia="zh-CN" w:bidi="ar-SA"/>
        </w:rPr>
        <w:t xml:space="preserve">4、 </w:t>
      </w:r>
      <w:r>
        <w:rPr>
          <w:rFonts w:hint="eastAsia" w:ascii="宋体" w:hAnsi="宋体" w:eastAsia="宋体" w:cs="宋体"/>
          <w:color w:val="000000"/>
          <w:kern w:val="2"/>
          <w:sz w:val="24"/>
          <w:szCs w:val="22"/>
          <w:highlight w:val="none"/>
          <w:lang w:val="en-US" w:eastAsia="zh-CN" w:bidi="ar-SA"/>
        </w:rPr>
        <w:t>质保期从验收合格签字之日算起，</w:t>
      </w:r>
      <w:r>
        <w:rPr>
          <w:rFonts w:hint="eastAsia" w:hAnsi="宋体" w:cs="宋体"/>
          <w:color w:val="000000"/>
          <w:kern w:val="2"/>
          <w:sz w:val="24"/>
          <w:szCs w:val="22"/>
          <w:highlight w:val="none"/>
          <w:lang w:val="en-US" w:eastAsia="zh-CN" w:bidi="ar-SA"/>
        </w:rPr>
        <w:t>期限为3年</w:t>
      </w:r>
      <w:r>
        <w:rPr>
          <w:rFonts w:hint="eastAsia" w:ascii="宋体" w:hAnsi="宋体" w:eastAsia="宋体" w:cs="宋体"/>
          <w:color w:val="000000"/>
          <w:kern w:val="2"/>
          <w:sz w:val="24"/>
          <w:szCs w:val="22"/>
          <w:highlight w:val="none"/>
          <w:lang w:val="en-US" w:eastAsia="zh-CN" w:bidi="ar-SA"/>
        </w:rPr>
        <w:t>。</w:t>
      </w:r>
    </w:p>
    <w:p>
      <w:pPr>
        <w:widowControl/>
        <w:autoSpaceDE w:val="0"/>
        <w:adjustRightInd/>
        <w:snapToGrid/>
        <w:spacing w:after="0" w:line="360" w:lineRule="auto"/>
        <w:jc w:val="lef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交货期：</w:t>
      </w:r>
      <w:r>
        <w:rPr>
          <w:rFonts w:hint="eastAsia" w:ascii="宋体" w:hAnsi="宋体" w:eastAsia="宋体" w:cs="宋体"/>
          <w:color w:val="000000"/>
          <w:sz w:val="24"/>
          <w:szCs w:val="24"/>
          <w:highlight w:val="none"/>
          <w:lang w:eastAsia="zh-CN"/>
        </w:rPr>
        <w:t>合同签订后</w:t>
      </w:r>
      <w:r>
        <w:rPr>
          <w:rFonts w:hint="eastAsia" w:ascii="宋体" w:hAnsi="宋体" w:cs="宋体"/>
          <w:b/>
          <w:bCs/>
          <w:color w:val="000000"/>
          <w:sz w:val="24"/>
          <w:szCs w:val="24"/>
          <w:highlight w:val="none"/>
          <w:u w:val="single"/>
          <w:lang w:val="en-US" w:eastAsia="zh-CN"/>
        </w:rPr>
        <w:t>30</w:t>
      </w:r>
      <w:r>
        <w:rPr>
          <w:rFonts w:hint="eastAsia" w:ascii="宋体" w:hAnsi="宋体"/>
          <w:b/>
          <w:bCs/>
          <w:sz w:val="24"/>
          <w:u w:val="none"/>
          <w:lang w:val="en-US" w:eastAsia="zh-CN"/>
        </w:rPr>
        <w:t>个日历日</w:t>
      </w:r>
      <w:r>
        <w:rPr>
          <w:rFonts w:hint="eastAsia" w:ascii="宋体" w:hAnsi="宋体"/>
          <w:b w:val="0"/>
          <w:bCs w:val="0"/>
          <w:sz w:val="24"/>
          <w:u w:val="none"/>
          <w:lang w:val="en-US" w:eastAsia="zh-CN"/>
        </w:rPr>
        <w:t>内完成交货安装</w:t>
      </w:r>
      <w:r>
        <w:rPr>
          <w:rFonts w:hint="eastAsia" w:ascii="宋体" w:hAnsi="宋体"/>
          <w:sz w:val="24"/>
          <w:u w:val="none"/>
          <w:lang w:val="en-US" w:eastAsia="zh-CN"/>
        </w:rPr>
        <w:t>。</w:t>
      </w:r>
    </w:p>
    <w:p>
      <w:pPr>
        <w:widowControl w:val="0"/>
        <w:adjustRightInd w:val="0"/>
        <w:snapToGrid w:val="0"/>
        <w:spacing w:after="0" w:line="360" w:lineRule="auto"/>
        <w:jc w:val="left"/>
        <w:rPr>
          <w:rFonts w:hint="eastAsia"/>
        </w:rPr>
      </w:pPr>
      <w:r>
        <w:rPr>
          <w:rFonts w:hint="eastAsia" w:ascii="宋体" w:hAnsi="宋体" w:eastAsia="宋体" w:cs="宋体"/>
          <w:b/>
          <w:bCs/>
          <w:color w:val="000000"/>
          <w:sz w:val="24"/>
          <w:szCs w:val="24"/>
          <w:highlight w:val="none"/>
        </w:rPr>
        <w:t>2.</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交货地点及方式：</w:t>
      </w:r>
      <w:r>
        <w:rPr>
          <w:rFonts w:hint="eastAsia" w:ascii="宋体" w:hAnsi="宋体" w:eastAsia="宋体" w:cs="宋体"/>
          <w:color w:val="000000"/>
          <w:sz w:val="24"/>
          <w:szCs w:val="24"/>
          <w:highlight w:val="none"/>
          <w:u w:val="none"/>
          <w:lang w:eastAsia="zh-CN"/>
        </w:rPr>
        <w:t>由</w:t>
      </w:r>
      <w:r>
        <w:rPr>
          <w:rFonts w:hint="eastAsia" w:ascii="宋体" w:hAnsi="宋体" w:cs="宋体"/>
          <w:color w:val="000000"/>
          <w:sz w:val="24"/>
          <w:szCs w:val="24"/>
          <w:highlight w:val="none"/>
          <w:u w:val="none"/>
          <w:lang w:eastAsia="zh-CN"/>
        </w:rPr>
        <w:t>供应商</w:t>
      </w:r>
      <w:r>
        <w:rPr>
          <w:rFonts w:hint="eastAsia" w:ascii="宋体" w:hAnsi="宋体" w:eastAsia="宋体" w:cs="宋体"/>
          <w:color w:val="000000"/>
          <w:sz w:val="24"/>
          <w:szCs w:val="24"/>
          <w:highlight w:val="none"/>
          <w:u w:val="none"/>
          <w:lang w:eastAsia="zh-CN"/>
        </w:rPr>
        <w:t>负责运输至</w:t>
      </w:r>
      <w:r>
        <w:rPr>
          <w:rFonts w:hint="eastAsia" w:ascii="宋体" w:hAnsi="宋体"/>
          <w:sz w:val="24"/>
          <w:u w:val="single"/>
          <w:lang w:eastAsia="zh-CN"/>
        </w:rPr>
        <w:t>岳阳城陵矶危险品储运有限公司</w:t>
      </w:r>
      <w:r>
        <w:rPr>
          <w:rFonts w:hint="eastAsia" w:ascii="宋体" w:hAnsi="宋体"/>
          <w:sz w:val="24"/>
          <w:u w:val="none"/>
          <w:lang w:eastAsia="zh-CN"/>
        </w:rPr>
        <w:t>交货</w:t>
      </w:r>
      <w:r>
        <w:rPr>
          <w:rFonts w:hint="eastAsia" w:ascii="宋体" w:hAnsi="宋体"/>
          <w:sz w:val="24"/>
          <w:u w:val="none"/>
          <w:lang w:val="en-US" w:eastAsia="zh-CN"/>
        </w:rPr>
        <w:t>安装</w:t>
      </w:r>
      <w:r>
        <w:rPr>
          <w:rFonts w:hint="eastAsia" w:ascii="宋体" w:hAnsi="宋体"/>
          <w:sz w:val="24"/>
          <w:u w:val="none"/>
          <w:lang w:eastAsia="zh-CN"/>
        </w:rPr>
        <w:t>，运费由供应商承担。</w:t>
      </w:r>
    </w:p>
    <w:p>
      <w:pPr>
        <w:pStyle w:val="7"/>
        <w:keepNext/>
        <w:keepLines/>
        <w:pageBreakBefore w:val="0"/>
        <w:widowControl/>
        <w:kinsoku/>
        <w:wordWrap/>
        <w:overflowPunct/>
        <w:topLinePunct w:val="0"/>
        <w:autoSpaceDE/>
        <w:autoSpaceDN/>
        <w:bidi w:val="0"/>
        <w:adjustRightInd/>
        <w:snapToGrid/>
        <w:spacing w:after="280" w:line="360" w:lineRule="auto"/>
        <w:jc w:val="both"/>
        <w:textAlignment w:val="auto"/>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17"/>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bCs/>
                <w:color w:val="000000" w:themeColor="text1"/>
                <w:u w:val="single"/>
                <w14:textFill>
                  <w14:solidFill>
                    <w14:schemeClr w14:val="tx1"/>
                  </w14:solidFill>
                </w14:textFill>
              </w:rPr>
              <w:sym w:font="Wingdings 2" w:char="0052"/>
            </w:r>
            <w:r>
              <w:rPr>
                <w:rStyle w:val="19"/>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19"/>
                <w:rFonts w:hint="eastAsia"/>
                <w:b/>
                <w:bCs/>
                <w:color w:val="000000" w:themeColor="text1"/>
                <w:highlight w:val="none"/>
                <w:u w:val="single"/>
                <w14:textFill>
                  <w14:solidFill>
                    <w14:schemeClr w14:val="tx1"/>
                  </w14:solidFill>
                </w14:textFill>
              </w:rPr>
              <w:sym w:font="Wingdings 2" w:char="0052"/>
            </w:r>
            <w:r>
              <w:rPr>
                <w:rStyle w:val="19"/>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w:t>
            </w:r>
            <w:r>
              <w:rPr>
                <w:rStyle w:val="19"/>
                <w:rFonts w:hint="eastAsia"/>
                <w:b w:val="0"/>
                <w:bCs w:val="0"/>
                <w:color w:val="000000" w:themeColor="text1"/>
                <w:u w:val="single"/>
                <w:lang w:val="en-US" w:eastAsia="zh-CN"/>
                <w14:textFill>
                  <w14:solidFill>
                    <w14:schemeClr w14:val="tx1"/>
                  </w14:solidFill>
                </w14:textFill>
              </w:rPr>
              <w:t>2</w:t>
            </w:r>
            <w:r>
              <w:rPr>
                <w:rStyle w:val="19"/>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19"/>
                <w:rFonts w:hint="eastAsia"/>
                <w:b w:val="0"/>
                <w:bCs w:val="0"/>
                <w:color w:val="000000" w:themeColor="text1"/>
                <w:highlight w:val="none"/>
                <w:u w:val="single"/>
                <w14:textFill>
                  <w14:solidFill>
                    <w14:schemeClr w14:val="tx1"/>
                  </w14:solidFill>
                </w14:textFill>
              </w:rPr>
              <w:sym w:font="Wingdings 2" w:char="0052"/>
            </w:r>
            <w:r>
              <w:rPr>
                <w:rStyle w:val="19"/>
                <w:rFonts w:hint="eastAsia"/>
                <w:b w:val="0"/>
                <w:bCs w:val="0"/>
                <w:color w:val="000000" w:themeColor="text1"/>
                <w:highlight w:val="none"/>
                <w:u w:val="single"/>
                <w:lang w:val="en-US" w:eastAsia="zh-CN"/>
                <w14:textFill>
                  <w14:solidFill>
                    <w14:schemeClr w14:val="tx1"/>
                  </w14:solidFill>
                </w14:textFill>
              </w:rPr>
              <w:t>不</w:t>
            </w:r>
            <w:r>
              <w:rPr>
                <w:rStyle w:val="19"/>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hint="eastAsia" w:ascii="宋体" w:hAnsi="宋体" w:eastAsia="宋体"/>
                <w:b w:val="0"/>
                <w:bCs w:val="0"/>
                <w:color w:val="000000" w:themeColor="text1"/>
                <w:sz w:val="24"/>
                <w:highlight w:val="none"/>
                <w:lang w:val="en-US" w:eastAsia="zh-CN"/>
                <w14:textFill>
                  <w14:solidFill>
                    <w14:schemeClr w14:val="tx1"/>
                  </w14:solidFill>
                </w14:textFill>
              </w:rPr>
            </w:pPr>
            <w:r>
              <w:rPr>
                <w:rStyle w:val="19"/>
                <w:rFonts w:hint="eastAsia"/>
                <w:b w:val="0"/>
                <w:bCs w:val="0"/>
                <w:color w:val="000000" w:themeColor="text1"/>
                <w:highlight w:val="none"/>
                <w:u w:val="single"/>
                <w14:textFill>
                  <w14:solidFill>
                    <w14:schemeClr w14:val="tx1"/>
                  </w14:solidFill>
                </w14:textFill>
              </w:rPr>
              <w:sym w:font="Wingdings 2" w:char="0052"/>
            </w:r>
            <w:r>
              <w:rPr>
                <w:rStyle w:val="19"/>
                <w:rFonts w:hint="eastAsia"/>
                <w:b w:val="0"/>
                <w:bCs w:val="0"/>
                <w:color w:val="000000" w:themeColor="text1"/>
                <w:highlight w:val="none"/>
                <w:u w:val="single"/>
                <w:lang w:val="en-US" w:eastAsia="zh-CN"/>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bCs/>
                <w:color w:val="000000" w:themeColor="text1"/>
                <w:u w:val="single"/>
                <w14:textFill>
                  <w14:solidFill>
                    <w14:schemeClr w14:val="tx1"/>
                  </w14:solidFill>
                </w14:textFill>
              </w:rPr>
              <w:sym w:font="Wingdings 2" w:char="0052"/>
            </w:r>
            <w:r>
              <w:rPr>
                <w:rStyle w:val="19"/>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w:t>
            </w:r>
            <w:r>
              <w:rPr>
                <w:rStyle w:val="19"/>
                <w:rFonts w:hint="eastAsia"/>
                <w:b w:val="0"/>
                <w:bCs w:val="0"/>
                <w:color w:val="000000" w:themeColor="text1"/>
                <w:u w:val="single"/>
                <w:lang w:val="en-US" w:eastAsia="zh-CN"/>
                <w14:textFill>
                  <w14:solidFill>
                    <w14:schemeClr w14:val="tx1"/>
                  </w14:solidFill>
                </w14:textFill>
              </w:rPr>
              <w:t>4</w:t>
            </w:r>
            <w:r>
              <w:rPr>
                <w:rStyle w:val="19"/>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bCs/>
                <w:color w:val="000000" w:themeColor="text1"/>
                <w:u w:val="single"/>
                <w14:textFill>
                  <w14:solidFill>
                    <w14:schemeClr w14:val="tx1"/>
                  </w14:solidFill>
                </w14:textFill>
              </w:rPr>
              <w:sym w:font="Wingdings 2" w:char="0052"/>
            </w:r>
            <w:r>
              <w:rPr>
                <w:rStyle w:val="19"/>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适用,见采购文件供应商须知前附表3.5（8）。</w:t>
            </w:r>
          </w:p>
        </w:tc>
      </w:tr>
    </w:tbl>
    <w:p>
      <w:pPr>
        <w:pStyle w:val="7"/>
        <w:spacing w:line="360" w:lineRule="auto"/>
        <w:jc w:val="both"/>
        <w:rPr>
          <w:rFonts w:ascii="Arial" w:hAnsi="Arial"/>
        </w:rPr>
      </w:pPr>
      <w:r>
        <w:rPr>
          <w:rFonts w:hint="eastAsia"/>
        </w:rPr>
        <w:t xml:space="preserve">4 </w:t>
      </w:r>
      <w:r>
        <w:rPr>
          <w:rFonts w:hint="eastAsia" w:ascii="黑体" w:hAnsi="黑体"/>
        </w:rPr>
        <w:t>响应保证金</w:t>
      </w:r>
    </w:p>
    <w:tbl>
      <w:tblPr>
        <w:tblStyle w:val="1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19"/>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19"/>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19"/>
                <w:rFonts w:hint="eastAsia"/>
              </w:rPr>
              <w:t>☑</w:t>
            </w:r>
            <w:r>
              <w:rPr>
                <w:rFonts w:hint="eastAsia" w:ascii="宋体" w:hAnsi="宋体"/>
                <w:sz w:val="24"/>
              </w:rPr>
              <w:t>不适用</w:t>
            </w:r>
          </w:p>
        </w:tc>
      </w:tr>
    </w:tbl>
    <w:p>
      <w:pPr>
        <w:pStyle w:val="7"/>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19"/>
          <w:rFonts w:hint="default" w:eastAsia="宋体"/>
          <w:lang w:val="en-US" w:eastAsia="zh-CN"/>
        </w:rPr>
      </w:pPr>
      <w:r>
        <w:rPr>
          <w:rFonts w:hint="eastAsia" w:ascii="宋体" w:hAnsi="宋体"/>
          <w:b/>
          <w:bCs/>
          <w:sz w:val="24"/>
        </w:rPr>
        <w:t xml:space="preserve">5.1 </w:t>
      </w:r>
      <w:r>
        <w:rPr>
          <w:rFonts w:hint="eastAsia" w:ascii="宋体" w:hAnsi="宋体"/>
          <w:b/>
          <w:bCs/>
          <w:sz w:val="24"/>
          <w:lang w:val="en-US" w:eastAsia="zh-CN"/>
        </w:rPr>
        <w:t>综合评分法</w:t>
      </w:r>
    </w:p>
    <w:p>
      <w:pPr>
        <w:autoSpaceDE w:val="0"/>
        <w:spacing w:line="360" w:lineRule="auto"/>
        <w:jc w:val="both"/>
        <w:rPr>
          <w:rFonts w:ascii="宋体" w:hAnsi="宋体"/>
          <w:color w:val="000000" w:themeColor="text1"/>
          <w:sz w:val="24"/>
          <w14:textFill>
            <w14:solidFill>
              <w14:schemeClr w14:val="tx1"/>
            </w14:solidFill>
          </w14:textFill>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rPr>
      </w:pPr>
      <w:r>
        <w:rPr>
          <w:rFonts w:hint="eastAsia"/>
        </w:rPr>
        <w:t>6</w:t>
      </w:r>
      <w:r>
        <w:rPr>
          <w:rFonts w:hint="eastAsia" w:ascii="黑体" w:hAnsi="黑体"/>
        </w:rPr>
        <w:t>采购文件获取</w:t>
      </w:r>
    </w:p>
    <w:p>
      <w:pPr>
        <w:pageBreakBefore w:val="0"/>
        <w:kinsoku/>
        <w:wordWrap/>
        <w:overflowPunct/>
        <w:topLinePunct w:val="0"/>
        <w:autoSpaceDE w:val="0"/>
        <w:autoSpaceDN/>
        <w:bidi w:val="0"/>
        <w:spacing w:line="360" w:lineRule="auto"/>
        <w:ind w:left="0"/>
        <w:jc w:val="left"/>
        <w:rPr>
          <w:rFonts w:ascii="宋体" w:hAnsi="宋体"/>
          <w:sz w:val="24"/>
          <w:highlight w:val="none"/>
        </w:rPr>
      </w:pPr>
      <w:r>
        <w:rPr>
          <w:rFonts w:hint="eastAsia" w:ascii="宋体" w:hAnsi="宋体"/>
          <w:b/>
          <w:bCs/>
          <w:sz w:val="24"/>
        </w:rPr>
        <w:t xml:space="preserve">6.1 </w:t>
      </w:r>
      <w:r>
        <w:rPr>
          <w:rFonts w:hint="eastAsia" w:ascii="宋体" w:hAnsi="宋体"/>
          <w:sz w:val="24"/>
          <w:highlight w:val="none"/>
        </w:rPr>
        <w:t>供应商应当于</w:t>
      </w:r>
      <w:r>
        <w:rPr>
          <w:rFonts w:hint="eastAsia" w:ascii="宋体" w:hAnsi="宋体"/>
          <w:sz w:val="24"/>
          <w:highlight w:val="none"/>
          <w:u w:val="single"/>
          <w:lang w:val="en-US" w:eastAsia="zh-CN"/>
        </w:rPr>
        <w:t>2024</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4</w:t>
      </w:r>
      <w:r>
        <w:rPr>
          <w:rFonts w:hint="eastAsia" w:ascii="宋体" w:hAnsi="宋体"/>
          <w:sz w:val="24"/>
          <w:highlight w:val="none"/>
          <w:u w:val="single"/>
        </w:rPr>
        <w:t>日</w:t>
      </w:r>
      <w:r>
        <w:rPr>
          <w:rFonts w:hint="eastAsia" w:ascii="宋体" w:hAnsi="宋体"/>
          <w:sz w:val="24"/>
          <w:highlight w:val="none"/>
        </w:rPr>
        <w:t>至</w:t>
      </w:r>
      <w:r>
        <w:rPr>
          <w:rFonts w:hint="eastAsia" w:ascii="宋体" w:hAnsi="宋体"/>
          <w:sz w:val="24"/>
          <w:highlight w:val="none"/>
          <w:u w:val="single"/>
          <w:lang w:val="en-US" w:eastAsia="zh-CN"/>
        </w:rPr>
        <w:t>2024</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8</w:t>
      </w:r>
      <w:r>
        <w:rPr>
          <w:rFonts w:hint="eastAsia" w:ascii="宋体" w:hAnsi="宋体"/>
          <w:sz w:val="24"/>
          <w:highlight w:val="none"/>
          <w:u w:val="single"/>
        </w:rPr>
        <w:t>日</w:t>
      </w:r>
      <w:r>
        <w:rPr>
          <w:rFonts w:hint="eastAsia" w:ascii="宋体" w:hAnsi="宋体"/>
          <w:sz w:val="24"/>
          <w:highlight w:val="none"/>
        </w:rPr>
        <w:t>，</w:t>
      </w:r>
      <w:r>
        <w:rPr>
          <w:rFonts w:hint="eastAsia" w:ascii="宋体" w:hAnsi="宋体"/>
          <w:sz w:val="24"/>
          <w:highlight w:val="none"/>
          <w:lang w:eastAsia="zh-CN"/>
        </w:rPr>
        <w:t>在</w:t>
      </w:r>
      <w:r>
        <w:rPr>
          <w:rFonts w:hint="eastAsia" w:ascii="宋体" w:hAnsi="宋体" w:cs="宋体"/>
          <w:sz w:val="24"/>
          <w:highlight w:val="none"/>
          <w:u w:val="single"/>
        </w:rPr>
        <w:t>湖南省</w:t>
      </w:r>
      <w:r>
        <w:rPr>
          <w:rFonts w:hint="eastAsia" w:ascii="宋体" w:hAnsi="宋体" w:cs="宋体"/>
          <w:sz w:val="24"/>
          <w:highlight w:val="none"/>
          <w:u w:val="single"/>
          <w:lang w:val="en-US" w:eastAsia="zh-CN"/>
        </w:rPr>
        <w:t>港行水利集团</w:t>
      </w:r>
      <w:r>
        <w:rPr>
          <w:rFonts w:hint="eastAsia" w:ascii="宋体" w:hAnsi="宋体" w:cs="宋体"/>
          <w:sz w:val="24"/>
          <w:highlight w:val="none"/>
          <w:u w:val="single"/>
        </w:rPr>
        <w:t>有限公司网站（http：//www.hnsxsjt.com）、</w:t>
      </w:r>
      <w:r>
        <w:rPr>
          <w:rFonts w:hint="eastAsia" w:ascii="宋体" w:hAnsi="宋体" w:cs="宋体"/>
          <w:sz w:val="24"/>
          <w:highlight w:val="none"/>
          <w:u w:val="single"/>
          <w:lang w:eastAsia="zh-CN"/>
        </w:rPr>
        <w:t>湖南省</w:t>
      </w:r>
      <w:r>
        <w:rPr>
          <w:rFonts w:hint="eastAsia" w:ascii="宋体" w:hAnsi="宋体" w:cs="宋体"/>
          <w:sz w:val="24"/>
          <w:highlight w:val="none"/>
          <w:u w:val="single"/>
          <w:lang w:val="en-US" w:eastAsia="zh-CN"/>
        </w:rPr>
        <w:t>城陵矶港口</w:t>
      </w:r>
      <w:r>
        <w:rPr>
          <w:rFonts w:hint="eastAsia" w:ascii="宋体" w:hAnsi="宋体" w:cs="宋体"/>
          <w:sz w:val="24"/>
          <w:highlight w:val="none"/>
          <w:u w:val="single"/>
          <w:lang w:eastAsia="zh-CN"/>
        </w:rPr>
        <w:t>集团有限公司网站（</w:t>
      </w:r>
      <w:r>
        <w:rPr>
          <w:rFonts w:hint="eastAsia" w:ascii="宋体" w:hAnsi="宋体" w:cs="宋体"/>
          <w:sz w:val="24"/>
          <w:highlight w:val="none"/>
          <w:u w:val="single"/>
        </w:rPr>
        <w:t>http://www.hnsgwjt.com</w:t>
      </w:r>
      <w:r>
        <w:rPr>
          <w:rFonts w:hint="eastAsia" w:ascii="宋体" w:hAnsi="宋体" w:cs="宋体"/>
          <w:sz w:val="24"/>
          <w:highlight w:val="none"/>
          <w:u w:val="single"/>
          <w:lang w:eastAsia="zh-CN"/>
        </w:rPr>
        <w:t>）网站上</w:t>
      </w:r>
      <w:r>
        <w:rPr>
          <w:rFonts w:hint="eastAsia" w:ascii="宋体" w:hAnsi="宋体"/>
          <w:sz w:val="24"/>
          <w:highlight w:val="none"/>
        </w:rPr>
        <w:t>获取采购文件</w:t>
      </w:r>
      <w:r>
        <w:rPr>
          <w:rFonts w:hint="eastAsia" w:ascii="宋体" w:hAnsi="宋体"/>
          <w:sz w:val="24"/>
          <w:highlight w:val="none"/>
          <w:lang w:eastAsia="zh-CN"/>
        </w:rPr>
        <w:t>；</w:t>
      </w:r>
    </w:p>
    <w:p>
      <w:pPr>
        <w:pageBreakBefore w:val="0"/>
        <w:kinsoku/>
        <w:wordWrap/>
        <w:overflowPunct/>
        <w:topLinePunct w:val="0"/>
        <w:autoSpaceDN/>
        <w:bidi w:val="0"/>
        <w:spacing w:line="360" w:lineRule="auto"/>
        <w:ind w:left="0"/>
        <w:jc w:val="both"/>
        <w:rPr>
          <w:rFonts w:hint="eastAsia" w:ascii="宋体" w:hAnsi="宋体" w:eastAsia="宋体" w:cs="宋体"/>
          <w:color w:val="000000"/>
          <w:sz w:val="24"/>
          <w:highlight w:val="none"/>
          <w:u w:val="single"/>
          <w:shd w:val="clear" w:color="auto" w:fill="auto"/>
          <w:lang w:val="en-US" w:eastAsia="zh-CN"/>
        </w:rPr>
      </w:pPr>
      <w:r>
        <w:rPr>
          <w:rFonts w:hint="eastAsia" w:ascii="宋体" w:hAnsi="宋体" w:eastAsia="宋体" w:cs="Times New Roman"/>
          <w:b/>
          <w:bCs/>
          <w:color w:val="auto"/>
          <w:kern w:val="2"/>
          <w:sz w:val="24"/>
          <w:szCs w:val="24"/>
          <w:highlight w:val="none"/>
          <w:shd w:val="clear" w:color="auto" w:fill="auto"/>
          <w:lang w:val="en-US" w:eastAsia="zh-CN" w:bidi="ar-SA"/>
        </w:rPr>
        <w:t>6.2</w:t>
      </w:r>
      <w:r>
        <w:rPr>
          <w:rFonts w:hint="eastAsia" w:ascii="宋体" w:hAnsi="宋体" w:cs="Times New Roman"/>
          <w:b/>
          <w:bCs/>
          <w:color w:val="auto"/>
          <w:kern w:val="2"/>
          <w:sz w:val="24"/>
          <w:szCs w:val="24"/>
          <w:highlight w:val="non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cs="宋体"/>
          <w:color w:val="000000"/>
          <w:sz w:val="24"/>
          <w:highlight w:val="none"/>
          <w:u w:val="single"/>
          <w:shd w:val="clear" w:color="auto" w:fill="auto"/>
          <w:lang w:val="en-US" w:eastAsia="zh-CN"/>
        </w:rPr>
        <w:t>2024</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4</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11</w:t>
      </w:r>
      <w:r>
        <w:rPr>
          <w:rFonts w:hint="eastAsia" w:ascii="宋体" w:hAnsi="宋体" w:eastAsia="宋体" w:cs="宋体"/>
          <w:color w:val="000000"/>
          <w:sz w:val="24"/>
          <w:highlight w:val="none"/>
          <w:u w:val="single"/>
          <w:shd w:val="clear" w:color="auto" w:fill="auto"/>
          <w:lang w:val="en-US" w:eastAsia="zh-CN"/>
        </w:rPr>
        <w:t>日</w:t>
      </w:r>
      <w:r>
        <w:rPr>
          <w:rFonts w:hint="eastAsia" w:ascii="宋体" w:hAnsi="宋体" w:cs="宋体"/>
          <w:color w:val="000000"/>
          <w:sz w:val="24"/>
          <w:highlight w:val="none"/>
          <w:u w:val="single"/>
          <w:shd w:val="clear" w:color="auto" w:fill="auto"/>
          <w:lang w:val="en-US" w:eastAsia="zh-CN"/>
        </w:rPr>
        <w:t>12</w:t>
      </w:r>
      <w:r>
        <w:rPr>
          <w:rFonts w:hint="eastAsia" w:ascii="宋体" w:hAnsi="宋体" w:eastAsia="宋体" w:cs="宋体"/>
          <w:color w:val="000000"/>
          <w:sz w:val="24"/>
          <w:highlight w:val="none"/>
          <w:u w:val="single"/>
          <w:shd w:val="clear" w:color="auto" w:fill="auto"/>
          <w:lang w:val="en-US" w:eastAsia="zh-CN"/>
        </w:rPr>
        <w:t>时</w:t>
      </w:r>
      <w:r>
        <w:rPr>
          <w:rFonts w:hint="eastAsia" w:ascii="宋体" w:hAnsi="宋体" w:cs="宋体"/>
          <w:color w:val="000000"/>
          <w:sz w:val="24"/>
          <w:highlight w:val="none"/>
          <w:u w:val="single"/>
          <w:shd w:val="clear" w:color="auto" w:fill="auto"/>
          <w:lang w:val="en-US" w:eastAsia="zh-CN"/>
        </w:rPr>
        <w:t>00</w:t>
      </w:r>
      <w:r>
        <w:rPr>
          <w:rFonts w:hint="eastAsia" w:ascii="宋体" w:hAnsi="宋体" w:eastAsia="宋体" w:cs="宋体"/>
          <w:color w:val="000000"/>
          <w:sz w:val="24"/>
          <w:highlight w:val="none"/>
          <w:u w:val="single"/>
          <w:shd w:val="clear" w:color="auto" w:fill="auto"/>
          <w:lang w:val="en-US" w:eastAsia="zh-CN"/>
        </w:rPr>
        <w:t>分；</w:t>
      </w:r>
    </w:p>
    <w:p>
      <w:pPr>
        <w:autoSpaceDE w:val="0"/>
        <w:spacing w:line="360" w:lineRule="auto"/>
        <w:jc w:val="both"/>
        <w:rPr>
          <w:rFonts w:hint="default" w:ascii="宋体" w:hAnsi="宋体" w:eastAsia="宋体"/>
          <w:b/>
          <w:bCs/>
          <w:color w:val="FF0000"/>
          <w:sz w:val="24"/>
          <w:highlight w:val="none"/>
          <w:lang w:val="en-US" w:eastAsia="zh-CN"/>
        </w:rPr>
      </w:pPr>
      <w:r>
        <w:rPr>
          <w:rFonts w:hint="eastAsia" w:ascii="宋体" w:hAnsi="宋体" w:eastAsia="宋体" w:cs="宋体"/>
          <w:color w:val="FF0000"/>
          <w:sz w:val="24"/>
          <w:highlight w:val="none"/>
          <w:shd w:val="clear" w:color="auto" w:fill="auto"/>
        </w:rPr>
        <w:t>递交响应文件的地点：</w:t>
      </w:r>
      <w:r>
        <w:rPr>
          <w:rFonts w:hint="eastAsia" w:ascii="宋体" w:hAnsi="宋体" w:cs="宋体"/>
          <w:color w:val="FF0000"/>
          <w:sz w:val="24"/>
          <w:szCs w:val="24"/>
          <w:u w:val="single"/>
          <w:lang w:val="en-US" w:eastAsia="zh-CN"/>
        </w:rPr>
        <w:t xml:space="preserve">  岳阳城陵矶新港有限公司技术创新部314室。               </w:t>
      </w:r>
    </w:p>
    <w:p>
      <w:pPr>
        <w:autoSpaceDE w:val="0"/>
        <w:spacing w:line="360" w:lineRule="auto"/>
        <w:ind w:left="241" w:hanging="241" w:hangingChars="100"/>
        <w:jc w:val="both"/>
        <w:rPr>
          <w:rFonts w:ascii="宋体" w:hAnsi="宋体"/>
          <w:sz w:val="24"/>
        </w:rPr>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sz w:val="24"/>
          <w:highlight w:val="none"/>
          <w:u w:val="single"/>
          <w:lang w:val="en-US" w:eastAsia="zh-CN"/>
        </w:rPr>
        <w:t>2024</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8</w:t>
      </w:r>
      <w:r>
        <w:rPr>
          <w:rFonts w:hint="eastAsia" w:ascii="宋体" w:hAnsi="宋体"/>
          <w:sz w:val="24"/>
          <w:highlight w:val="none"/>
          <w:u w:val="single"/>
        </w:rPr>
        <w:t>日</w:t>
      </w:r>
      <w:r>
        <w:rPr>
          <w:rFonts w:hint="eastAsia" w:ascii="宋体" w:hAnsi="宋体"/>
          <w:sz w:val="24"/>
          <w:highlight w:val="none"/>
          <w:u w:val="single"/>
          <w:lang w:val="en-US" w:eastAsia="zh-CN"/>
        </w:rPr>
        <w:t>17</w:t>
      </w:r>
      <w:r>
        <w:rPr>
          <w:rFonts w:hint="eastAsia" w:ascii="宋体" w:hAnsi="宋体" w:eastAsia="宋体" w:cs="宋体"/>
          <w:color w:val="000000"/>
          <w:sz w:val="24"/>
          <w:highlight w:val="none"/>
          <w:u w:val="single"/>
          <w:shd w:val="clear" w:color="auto" w:fill="auto"/>
          <w:lang w:val="en-US" w:eastAsia="zh-CN"/>
        </w:rPr>
        <w:t>时</w:t>
      </w:r>
      <w:r>
        <w:rPr>
          <w:rFonts w:hint="eastAsia" w:ascii="宋体" w:hAnsi="宋体" w:cs="宋体"/>
          <w:color w:val="000000"/>
          <w:sz w:val="24"/>
          <w:highlight w:val="none"/>
          <w:u w:val="single"/>
          <w:shd w:val="clear" w:color="auto" w:fill="auto"/>
          <w:lang w:val="en-US" w:eastAsia="zh-CN"/>
        </w:rPr>
        <w:t>30</w:t>
      </w:r>
      <w:r>
        <w:rPr>
          <w:rFonts w:hint="eastAsia" w:ascii="宋体" w:hAnsi="宋体" w:eastAsia="宋体" w:cs="宋体"/>
          <w:color w:val="000000"/>
          <w:sz w:val="24"/>
          <w:highlight w:val="none"/>
          <w:u w:val="single"/>
          <w:shd w:val="clear" w:color="auto" w:fill="auto"/>
          <w:lang w:val="en-US" w:eastAsia="zh-CN"/>
        </w:rPr>
        <w:t>分</w:t>
      </w:r>
      <w:r>
        <w:rPr>
          <w:rFonts w:hint="eastAsia" w:ascii="宋体" w:hAnsi="宋体"/>
          <w:sz w:val="24"/>
          <w:highlight w:val="none"/>
        </w:rPr>
        <w:t>前</w:t>
      </w:r>
      <w:r>
        <w:rPr>
          <w:rFonts w:hint="eastAsia" w:ascii="宋体" w:hAnsi="宋体"/>
          <w:sz w:val="24"/>
        </w:rPr>
        <w:t>向采购人提出澄清要求。</w:t>
      </w:r>
    </w:p>
    <w:p>
      <w:pPr>
        <w:spacing w:line="360" w:lineRule="auto"/>
      </w:pPr>
    </w:p>
    <w:p>
      <w:pPr>
        <w:pStyle w:val="7"/>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240" w:firstLineChars="100"/>
        <w:jc w:val="left"/>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w:t>
      </w:r>
      <w:r>
        <w:rPr>
          <w:rFonts w:hint="eastAsia" w:ascii="宋体" w:hAnsi="宋体" w:cs="宋体"/>
          <w:sz w:val="24"/>
          <w:lang w:val="en-US" w:eastAsia="zh-CN"/>
        </w:rPr>
        <w:t>港行水利</w:t>
      </w:r>
      <w:r>
        <w:rPr>
          <w:rFonts w:hint="eastAsia" w:ascii="宋体" w:hAnsi="宋体" w:cs="宋体"/>
          <w:sz w:val="24"/>
        </w:rPr>
        <w:t>集团有限公司网站（http：//www.hnsxsjt.com）、湖南省</w:t>
      </w:r>
      <w:r>
        <w:rPr>
          <w:rFonts w:hint="eastAsia" w:ascii="宋体" w:hAnsi="宋体" w:cs="宋体"/>
          <w:sz w:val="24"/>
          <w:lang w:val="en-US" w:eastAsia="zh-CN"/>
        </w:rPr>
        <w:t>城陵矶港口</w:t>
      </w:r>
      <w:r>
        <w:rPr>
          <w:rFonts w:hint="eastAsia" w:ascii="宋体" w:hAnsi="宋体" w:cs="宋体"/>
          <w:sz w:val="24"/>
        </w:rPr>
        <w:t>集团有限公司门户网站（http://www.hnsgwjt.com/）上发布。</w:t>
      </w:r>
    </w:p>
    <w:p>
      <w:pPr>
        <w:pStyle w:val="7"/>
        <w:spacing w:line="360" w:lineRule="auto"/>
        <w:jc w:val="both"/>
      </w:pPr>
      <w:r>
        <w:rPr>
          <w:rFonts w:hint="eastAsia"/>
        </w:rPr>
        <w:t>8</w:t>
      </w:r>
      <w:bookmarkStart w:id="2" w:name="_Toc512257471"/>
      <w:bookmarkStart w:id="3" w:name="_Toc76635692"/>
      <w:bookmarkStart w:id="4" w:name="_Toc77254104"/>
      <w:bookmarkStart w:id="5" w:name="_Toc79596547"/>
      <w:r>
        <w:t xml:space="preserve"> 监督</w:t>
      </w:r>
      <w:bookmarkEnd w:id="2"/>
      <w:bookmarkEnd w:id="3"/>
      <w:bookmarkEnd w:id="4"/>
      <w:r>
        <w:rPr>
          <w:rFonts w:hint="eastAsia"/>
        </w:rPr>
        <w:t>部门</w:t>
      </w:r>
      <w:bookmarkEnd w:id="5"/>
    </w:p>
    <w:p>
      <w:pPr>
        <w:pStyle w:val="14"/>
        <w:widowControl w:val="0"/>
        <w:adjustRightInd w:val="0"/>
        <w:snapToGrid w:val="0"/>
        <w:spacing w:before="0" w:beforeAutospacing="0" w:after="0" w:afterAutospacing="0" w:line="360" w:lineRule="auto"/>
        <w:ind w:firstLine="240" w:firstLineChars="100"/>
        <w:jc w:val="both"/>
        <w:rPr>
          <w:rFonts w:hint="default" w:cs="Times New Roman"/>
          <w:lang w:val="en-US"/>
        </w:rPr>
      </w:pPr>
      <w:r>
        <w:rPr>
          <w:rFonts w:cs="Times New Roman"/>
          <w:color w:val="FF0000"/>
        </w:rPr>
        <w:t>本次</w:t>
      </w:r>
      <w:r>
        <w:rPr>
          <w:rFonts w:hint="eastAsia" w:cs="Times New Roman"/>
          <w:color w:val="FF0000"/>
        </w:rPr>
        <w:t>采购</w:t>
      </w:r>
      <w:r>
        <w:rPr>
          <w:rFonts w:cs="Times New Roman"/>
          <w:color w:val="FF0000"/>
        </w:rPr>
        <w:t>监督部门为</w:t>
      </w:r>
      <w:r>
        <w:rPr>
          <w:rFonts w:hint="eastAsia" w:cs="Times New Roman"/>
          <w:color w:val="FF0000"/>
          <w:u w:val="single"/>
          <w:lang w:val="en-US" w:eastAsia="zh-CN"/>
        </w:rPr>
        <w:t xml:space="preserve">   岳阳危险品储运有限公司综合运营部    </w:t>
      </w:r>
      <w:r>
        <w:rPr>
          <w:rFonts w:cs="Times New Roman"/>
          <w:color w:val="FF0000"/>
        </w:rPr>
        <w:t>，电话：</w:t>
      </w:r>
      <w:r>
        <w:rPr>
          <w:rFonts w:hint="eastAsia" w:cs="宋体"/>
          <w:color w:val="FF0000"/>
          <w:highlight w:val="none"/>
          <w:u w:val="single"/>
          <w:lang w:val="en-US" w:eastAsia="zh-CN"/>
        </w:rPr>
        <w:t xml:space="preserve">   13707307729         。</w:t>
      </w:r>
    </w:p>
    <w:p>
      <w:pPr>
        <w:pStyle w:val="7"/>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sz w:val="24"/>
        </w:rPr>
      </w:pPr>
      <w:r>
        <w:rPr>
          <w:rFonts w:hint="eastAsia" w:ascii="宋体" w:hAnsi="宋体"/>
          <w:b/>
          <w:bCs/>
          <w:sz w:val="24"/>
          <w:lang w:val="en-US" w:eastAsia="zh-CN"/>
        </w:rPr>
        <w:t>9.1</w:t>
      </w:r>
      <w:r>
        <w:rPr>
          <w:rFonts w:hint="eastAsia" w:ascii="宋体" w:hAnsi="宋体"/>
          <w:sz w:val="24"/>
        </w:rPr>
        <w:t>采购人在签署采购合同时及合同履行过程中，有权对采购标的的数量进行增加或减少的幅度:</w:t>
      </w:r>
      <w:r>
        <w:rPr>
          <w:rFonts w:hint="eastAsia" w:ascii="宋体" w:hAnsi="宋体"/>
          <w:sz w:val="24"/>
          <w:u w:val="single"/>
        </w:rPr>
        <w:t>10</w:t>
      </w:r>
      <w:r>
        <w:rPr>
          <w:rFonts w:hint="eastAsia" w:ascii="宋体" w:hAnsi="宋体"/>
          <w:sz w:val="24"/>
        </w:rPr>
        <w:t>%。</w:t>
      </w:r>
    </w:p>
    <w:p>
      <w:pPr>
        <w:autoSpaceDE w:val="0"/>
        <w:spacing w:line="360" w:lineRule="auto"/>
        <w:jc w:val="both"/>
        <w:rPr>
          <w:rFonts w:ascii="宋体" w:hAnsi="宋体"/>
          <w:sz w:val="24"/>
        </w:rPr>
      </w:pPr>
      <w:r>
        <w:rPr>
          <w:rFonts w:hint="eastAsia" w:ascii="宋体" w:hAnsi="宋体" w:cs="Times New Roman"/>
          <w:b/>
          <w:bCs/>
          <w:kern w:val="2"/>
          <w:sz w:val="24"/>
          <w:szCs w:val="24"/>
          <w:highlight w:val="none"/>
          <w:lang w:val="en-US" w:eastAsia="zh-CN" w:bidi="ar-SA"/>
        </w:rPr>
        <w:t>9.2</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控制价：本项目最高限价为</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u w:val="single"/>
          <w:lang w:val="en-US" w:eastAsia="zh-CN"/>
        </w:rPr>
        <w:t>壹拾万元整</w:t>
      </w:r>
      <w:r>
        <w:rPr>
          <w:rFonts w:hint="eastAsia" w:ascii="宋体" w:hAnsi="宋体" w:eastAsia="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¥100000.00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，含</w:t>
      </w:r>
      <w:r>
        <w:rPr>
          <w:rFonts w:hint="eastAsia" w:ascii="宋体" w:hAnsi="宋体" w:eastAsia="宋体" w:cs="宋体"/>
          <w:color w:val="auto"/>
          <w:sz w:val="24"/>
          <w:szCs w:val="24"/>
          <w:highlight w:val="none"/>
          <w:lang w:val="en-US" w:eastAsia="zh-CN"/>
        </w:rPr>
        <w:t>13%的增值税</w:t>
      </w:r>
      <w:r>
        <w:rPr>
          <w:rFonts w:hint="eastAsia" w:ascii="宋体" w:hAnsi="宋体" w:cs="宋体"/>
          <w:color w:val="auto"/>
          <w:sz w:val="24"/>
          <w:szCs w:val="24"/>
          <w:highlight w:val="none"/>
          <w:lang w:val="en-US" w:eastAsia="zh-CN"/>
        </w:rPr>
        <w:t>和运费，</w:t>
      </w:r>
      <w:r>
        <w:rPr>
          <w:rFonts w:hint="eastAsia" w:ascii="宋体" w:hAnsi="宋体" w:eastAsia="宋体" w:cs="宋体"/>
          <w:color w:val="auto"/>
          <w:sz w:val="24"/>
          <w:szCs w:val="24"/>
          <w:highlight w:val="none"/>
        </w:rPr>
        <w:t>超过最高限价的作废。</w:t>
      </w:r>
    </w:p>
    <w:p>
      <w:pPr>
        <w:pStyle w:val="7"/>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 xml:space="preserve">采 购 人: </w:t>
      </w:r>
      <w:r>
        <w:rPr>
          <w:rFonts w:hint="eastAsia" w:ascii="宋体" w:hAnsi="宋体"/>
          <w:sz w:val="24"/>
          <w:lang w:eastAsia="zh-CN"/>
        </w:rPr>
        <w:t>岳阳城陵矶危险品储运有限公司</w:t>
      </w:r>
      <w:r>
        <w:rPr>
          <w:rFonts w:hint="eastAsia" w:ascii="宋体" w:hAnsi="宋体"/>
          <w:sz w:val="24"/>
        </w:rPr>
        <w:tab/>
      </w:r>
      <w:r>
        <w:rPr>
          <w:rFonts w:hint="eastAsia" w:ascii="宋体" w:hAnsi="宋体"/>
          <w:sz w:val="24"/>
        </w:rPr>
        <w:t xml:space="preserve">         </w:t>
      </w:r>
    </w:p>
    <w:p>
      <w:pPr>
        <w:autoSpaceDE w:val="0"/>
        <w:spacing w:line="360" w:lineRule="auto"/>
        <w:ind w:firstLine="240" w:firstLineChars="100"/>
        <w:jc w:val="both"/>
        <w:rPr>
          <w:rFonts w:hint="eastAsia" w:ascii="宋体" w:hAnsi="宋体"/>
          <w:sz w:val="24"/>
          <w:lang w:eastAsia="zh-CN"/>
        </w:rPr>
      </w:pPr>
      <w:r>
        <w:rPr>
          <w:rFonts w:hint="eastAsia" w:ascii="宋体" w:hAnsi="宋体"/>
          <w:sz w:val="24"/>
        </w:rPr>
        <w:t>地    址: 湖南省</w:t>
      </w:r>
      <w:r>
        <w:rPr>
          <w:rFonts w:hint="eastAsia" w:ascii="宋体" w:hAnsi="宋体"/>
          <w:sz w:val="24"/>
          <w:lang w:eastAsia="zh-CN"/>
        </w:rPr>
        <w:t>岳阳城陵矶危险品储运有限公司</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color w:val="FF0000"/>
          <w:sz w:val="24"/>
        </w:rPr>
      </w:pPr>
      <w:r>
        <w:rPr>
          <w:rFonts w:hint="eastAsia" w:ascii="宋体" w:hAnsi="宋体"/>
          <w:color w:val="FF0000"/>
          <w:sz w:val="24"/>
        </w:rPr>
        <w:t xml:space="preserve">联 系 人: </w:t>
      </w:r>
      <w:r>
        <w:rPr>
          <w:rFonts w:hint="eastAsia" w:ascii="宋体" w:hAnsi="宋体"/>
          <w:color w:val="FF0000"/>
          <w:sz w:val="24"/>
          <w:lang w:val="en-US" w:eastAsia="zh-CN"/>
        </w:rPr>
        <w:t xml:space="preserve"> 杨 林</w:t>
      </w:r>
      <w:r>
        <w:rPr>
          <w:rFonts w:hint="eastAsia" w:ascii="宋体" w:hAnsi="宋体"/>
          <w:color w:val="FF0000"/>
          <w:sz w:val="24"/>
        </w:rPr>
        <w:t xml:space="preserve">                         </w:t>
      </w:r>
    </w:p>
    <w:p>
      <w:pPr>
        <w:spacing w:line="360" w:lineRule="auto"/>
        <w:ind w:firstLine="240" w:firstLineChars="100"/>
        <w:jc w:val="both"/>
        <w:outlineLvl w:val="0"/>
        <w:rPr>
          <w:rFonts w:hint="eastAsia" w:ascii="宋体" w:hAnsi="宋体"/>
          <w:color w:val="FF0000"/>
          <w:sz w:val="24"/>
        </w:rPr>
      </w:pPr>
      <w:r>
        <w:rPr>
          <w:rFonts w:hint="eastAsia" w:ascii="宋体" w:hAnsi="宋体"/>
          <w:color w:val="FF0000"/>
          <w:sz w:val="24"/>
        </w:rPr>
        <w:t xml:space="preserve">电    话:  </w:t>
      </w:r>
      <w:r>
        <w:rPr>
          <w:rFonts w:hint="eastAsia" w:ascii="宋体" w:hAnsi="宋体"/>
          <w:color w:val="FF0000"/>
          <w:sz w:val="24"/>
          <w:lang w:val="en-US" w:eastAsia="zh-CN"/>
        </w:rPr>
        <w:t xml:space="preserve">13873095575 </w:t>
      </w:r>
      <w:r>
        <w:rPr>
          <w:rFonts w:hint="eastAsia" w:ascii="宋体" w:hAnsi="宋体"/>
          <w:color w:val="FF0000"/>
          <w:sz w:val="24"/>
        </w:rPr>
        <w:t xml:space="preserve">  </w:t>
      </w: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spacing w:line="360" w:lineRule="auto"/>
        <w:jc w:val="center"/>
        <w:outlineLvl w:val="0"/>
        <w:rPr>
          <w:rFonts w:hint="eastAsia" w:ascii="黑体" w:hAnsi="黑体" w:eastAsia="黑体"/>
          <w:sz w:val="36"/>
          <w:szCs w:val="36"/>
        </w:rPr>
      </w:pPr>
    </w:p>
    <w:p>
      <w:pPr>
        <w:pStyle w:val="2"/>
        <w:rPr>
          <w:rFonts w:hint="eastAsia" w:ascii="黑体" w:hAnsi="黑体" w:eastAsia="黑体"/>
          <w:sz w:val="36"/>
          <w:szCs w:val="36"/>
        </w:rPr>
      </w:pPr>
    </w:p>
    <w:p>
      <w:pPr>
        <w:pStyle w:val="2"/>
        <w:rPr>
          <w:rFonts w:hint="eastAsia" w:ascii="黑体" w:hAnsi="黑体" w:eastAsia="黑体"/>
          <w:sz w:val="36"/>
          <w:szCs w:val="36"/>
        </w:rPr>
      </w:pP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p>
    <w:p>
      <w:pPr>
        <w:pStyle w:val="6"/>
        <w:spacing w:before="240" w:after="240" w:line="360" w:lineRule="auto"/>
        <w:jc w:val="center"/>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bookmarkEnd w:id="6"/>
      <w:bookmarkEnd w:id="7"/>
    </w:p>
    <w:tbl>
      <w:tblPr>
        <w:tblStyle w:val="16"/>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293"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lang w:val="en-US" w:eastAsia="zh-CN"/>
              </w:rPr>
              <w:t>综合评分法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组织</w:t>
            </w:r>
            <w:r>
              <w:rPr>
                <w:rFonts w:hint="eastAsia" w:ascii="宋体" w:hAnsi="宋体" w:cs="宋体"/>
                <w:szCs w:val="21"/>
              </w:rPr>
              <w:sym w:font="Wingdings 2" w:char="0052"/>
            </w:r>
            <w:r>
              <w:rPr>
                <w:rFonts w:hint="eastAsia" w:ascii="宋体" w:hAnsi="宋体" w:cs="宋体"/>
                <w:szCs w:val="21"/>
              </w:rPr>
              <w:t xml:space="preserve">组织     </w:t>
            </w:r>
          </w:p>
          <w:p>
            <w:pPr>
              <w:spacing w:line="288" w:lineRule="auto"/>
              <w:jc w:val="both"/>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日，每天8:00-17:30</w:t>
            </w:r>
          </w:p>
          <w:p>
            <w:pPr>
              <w:spacing w:line="288" w:lineRule="auto"/>
              <w:jc w:val="both"/>
              <w:rPr>
                <w:rFonts w:ascii="宋体" w:hAnsi="宋体" w:cs="宋体"/>
                <w:color w:val="FF0000"/>
                <w:szCs w:val="21"/>
              </w:rPr>
            </w:pPr>
            <w:r>
              <w:rPr>
                <w:rFonts w:hint="eastAsia" w:ascii="宋体" w:hAnsi="宋体" w:cs="宋体"/>
                <w:color w:val="FF0000"/>
                <w:szCs w:val="21"/>
              </w:rPr>
              <w:t xml:space="preserve">联 系 人: </w:t>
            </w:r>
            <w:r>
              <w:rPr>
                <w:rFonts w:hint="eastAsia" w:ascii="宋体" w:hAnsi="宋体" w:cs="宋体"/>
                <w:color w:val="FF0000"/>
                <w:szCs w:val="21"/>
                <w:lang w:val="en-US" w:eastAsia="zh-CN"/>
              </w:rPr>
              <w:t xml:space="preserve"> 杨 林</w:t>
            </w:r>
            <w:r>
              <w:rPr>
                <w:rFonts w:hint="eastAsia" w:ascii="宋体" w:hAnsi="宋体" w:cs="宋体"/>
                <w:color w:val="FF0000"/>
                <w:szCs w:val="21"/>
              </w:rPr>
              <w:t xml:space="preserve">                         </w:t>
            </w:r>
          </w:p>
          <w:p>
            <w:pPr>
              <w:spacing w:line="360" w:lineRule="auto"/>
              <w:jc w:val="both"/>
              <w:rPr>
                <w:rFonts w:hint="default" w:eastAsia="宋体" w:cs="仿宋" w:asciiTheme="minorEastAsia" w:hAnsiTheme="minorEastAsia"/>
                <w:sz w:val="21"/>
                <w:szCs w:val="21"/>
                <w:lang w:val="en-US" w:eastAsia="zh-CN"/>
              </w:rPr>
            </w:pPr>
            <w:r>
              <w:rPr>
                <w:rFonts w:hint="eastAsia" w:ascii="宋体" w:hAnsi="宋体" w:cs="宋体"/>
                <w:color w:val="FF0000"/>
                <w:szCs w:val="21"/>
              </w:rPr>
              <w:t xml:space="preserve">电    话:  </w:t>
            </w:r>
            <w:r>
              <w:rPr>
                <w:rFonts w:hint="eastAsia" w:ascii="宋体" w:hAnsi="宋体" w:cs="宋体"/>
                <w:color w:val="FF0000"/>
                <w:szCs w:val="21"/>
                <w:lang w:val="en-US" w:eastAsia="zh-CN"/>
              </w:rPr>
              <w:t xml:space="preserve"> 13873095575</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不得分包的内容：</w:t>
            </w:r>
            <w:r>
              <w:rPr>
                <w:rFonts w:hint="eastAsia" w:cs="仿宋" w:asciiTheme="minorEastAsia" w:hAnsiTheme="minorEastAsia" w:eastAsiaTheme="minorEastAsia"/>
                <w:sz w:val="21"/>
                <w:szCs w:val="21"/>
                <w:u w:val="single"/>
                <w:lang w:eastAsia="zh-CN"/>
              </w:rPr>
              <w:t>不允许分包</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对分包供应商的要求：</w:t>
            </w:r>
            <w:r>
              <w:rPr>
                <w:rFonts w:hint="eastAsia" w:cs="仿宋" w:asciiTheme="minorEastAsia" w:hAnsiTheme="minorEastAsia" w:eastAsiaTheme="minorEastAsia"/>
                <w:color w:val="auto"/>
                <w:sz w:val="21"/>
                <w:szCs w:val="21"/>
                <w:u w:val="single"/>
                <w:lang w:eastAsia="zh-CN"/>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允许偏差的范围：</w:t>
            </w:r>
            <w:r>
              <w:rPr>
                <w:rFonts w:hint="eastAsia" w:cs="仿宋" w:asciiTheme="minorEastAsia" w:hAnsiTheme="minorEastAsia" w:eastAsiaTheme="minorEastAsia"/>
                <w:sz w:val="21"/>
                <w:szCs w:val="21"/>
                <w:lang w:eastAsia="zh-CN"/>
              </w:rPr>
              <w:t>不允许</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资料名称：</w:t>
            </w:r>
            <w:r>
              <w:rPr>
                <w:rFonts w:hint="eastAsia" w:cs="仿宋" w:asciiTheme="minorEastAsia" w:hAnsiTheme="minorEastAsia" w:eastAsiaTheme="minorEastAsia"/>
                <w:sz w:val="21"/>
                <w:szCs w:val="21"/>
                <w:lang w:eastAsia="zh-CN"/>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截止时间：</w:t>
            </w:r>
            <w:r>
              <w:rPr>
                <w:rFonts w:hint="eastAsia" w:ascii="宋体" w:hAnsi="宋体"/>
                <w:sz w:val="21"/>
                <w:szCs w:val="21"/>
                <w:highlight w:val="none"/>
                <w:u w:val="single"/>
                <w:lang w:val="en-US" w:eastAsia="zh-CN"/>
              </w:rPr>
              <w:t>2024</w:t>
            </w:r>
            <w:r>
              <w:rPr>
                <w:rFonts w:hint="eastAsia" w:ascii="宋体" w:hAnsi="宋体"/>
                <w:sz w:val="21"/>
                <w:szCs w:val="21"/>
                <w:highlight w:val="none"/>
                <w:u w:val="single"/>
              </w:rPr>
              <w:t>年</w:t>
            </w:r>
            <w:r>
              <w:rPr>
                <w:rFonts w:hint="eastAsia" w:ascii="宋体" w:hAnsi="宋体"/>
                <w:sz w:val="21"/>
                <w:szCs w:val="21"/>
                <w:highlight w:val="none"/>
                <w:u w:val="single"/>
                <w:lang w:val="en-US" w:eastAsia="zh-CN"/>
              </w:rPr>
              <w:t>4</w:t>
            </w:r>
            <w:r>
              <w:rPr>
                <w:rFonts w:hint="eastAsia" w:ascii="宋体" w:hAnsi="宋体"/>
                <w:sz w:val="21"/>
                <w:szCs w:val="21"/>
                <w:highlight w:val="none"/>
                <w:u w:val="single"/>
              </w:rPr>
              <w:t>月</w:t>
            </w:r>
            <w:r>
              <w:rPr>
                <w:rFonts w:hint="eastAsia" w:ascii="宋体" w:hAnsi="宋体"/>
                <w:sz w:val="21"/>
                <w:szCs w:val="21"/>
                <w:highlight w:val="none"/>
                <w:u w:val="single"/>
                <w:lang w:val="en-US" w:eastAsia="zh-CN"/>
              </w:rPr>
              <w:t>8</w:t>
            </w:r>
            <w:r>
              <w:rPr>
                <w:rFonts w:hint="eastAsia" w:ascii="宋体" w:hAnsi="宋体"/>
                <w:sz w:val="21"/>
                <w:szCs w:val="21"/>
                <w:highlight w:val="none"/>
                <w:u w:val="single"/>
              </w:rPr>
              <w:t>日</w:t>
            </w:r>
            <w:r>
              <w:rPr>
                <w:rFonts w:hint="eastAsia" w:ascii="宋体" w:hAnsi="宋体"/>
                <w:sz w:val="21"/>
                <w:szCs w:val="21"/>
                <w:highlight w:val="none"/>
                <w:u w:val="single"/>
                <w:lang w:val="en-US" w:eastAsia="zh-CN"/>
              </w:rPr>
              <w:t>17时30分</w:t>
            </w:r>
            <w:r>
              <w:rPr>
                <w:rFonts w:hint="eastAsia" w:ascii="宋体" w:hAnsi="宋体"/>
                <w:sz w:val="21"/>
                <w:szCs w:val="21"/>
                <w:highlight w:val="none"/>
              </w:rPr>
              <w:t>前</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确认的最晚时间：</w:t>
            </w:r>
            <w:r>
              <w:rPr>
                <w:rFonts w:hint="eastAsia" w:cs="仿宋" w:asciiTheme="minorEastAsia" w:hAnsiTheme="minorEastAsia" w:eastAsiaTheme="minorEastAsia"/>
                <w:sz w:val="21"/>
                <w:szCs w:val="21"/>
                <w:lang w:eastAsia="zh-CN"/>
              </w:rPr>
              <w:t>收到补充文件的</w:t>
            </w:r>
            <w:r>
              <w:rPr>
                <w:rFonts w:hint="eastAsia" w:cs="仿宋" w:asciiTheme="minorEastAsia" w:hAnsiTheme="minorEastAsia" w:eastAsiaTheme="minorEastAsia"/>
                <w:sz w:val="21"/>
                <w:szCs w:val="21"/>
                <w:lang w:val="en-US" w:eastAsia="zh-CN"/>
              </w:rPr>
              <w:t>24小时内</w:t>
            </w:r>
          </w:p>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确定的方式：</w:t>
            </w:r>
            <w:r>
              <w:rPr>
                <w:rFonts w:hint="eastAsia" w:cs="仿宋" w:asciiTheme="minorEastAsia" w:hAnsiTheme="minorEastAsia" w:eastAsiaTheme="minorEastAsia"/>
                <w:sz w:val="21"/>
                <w:szCs w:val="21"/>
                <w:lang w:eastAsia="zh-CN"/>
              </w:rPr>
              <w:t>书面确认</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响应</w:t>
            </w:r>
            <w:r>
              <w:rPr>
                <w:rFonts w:hint="eastAsia" w:cs="仿宋" w:asciiTheme="minorEastAsia" w:hAnsiTheme="minorEastAsia" w:eastAsiaTheme="minorEastAsia"/>
                <w:sz w:val="21"/>
                <w:szCs w:val="21"/>
                <w:lang w:eastAsia="zh-CN"/>
              </w:rPr>
              <w:t>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仿宋"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10%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 w:val="21"/>
                <w:szCs w:val="21"/>
              </w:rPr>
            </w:pPr>
            <w:r>
              <w:rPr>
                <w:rFonts w:hint="eastAsia" w:ascii="宋体" w:hAnsi="宋体" w:cs="宋体"/>
                <w:sz w:val="21"/>
                <w:szCs w:val="21"/>
              </w:rPr>
              <w:sym w:font="Wingdings 2" w:char="0052"/>
            </w:r>
            <w:r>
              <w:rPr>
                <w:rFonts w:hint="eastAsia" w:ascii="宋体" w:hAnsi="宋体" w:cs="宋体"/>
                <w:sz w:val="21"/>
                <w:szCs w:val="21"/>
              </w:rPr>
              <w:t>有，最高限价：人民币</w:t>
            </w:r>
            <w:r>
              <w:rPr>
                <w:rFonts w:hint="eastAsia" w:ascii="宋体" w:hAnsi="宋体" w:cs="宋体"/>
                <w:sz w:val="21"/>
                <w:szCs w:val="21"/>
                <w:lang w:val="en-US" w:eastAsia="zh-CN"/>
              </w:rPr>
              <w:t>壹拾叁万元</w:t>
            </w:r>
            <w:r>
              <w:rPr>
                <w:rFonts w:hint="eastAsia" w:ascii="宋体" w:hAnsi="宋体" w:cs="宋体"/>
                <w:sz w:val="21"/>
                <w:szCs w:val="21"/>
              </w:rPr>
              <w:t>整（小写：¥</w:t>
            </w:r>
            <w:r>
              <w:rPr>
                <w:rFonts w:hint="eastAsia" w:ascii="宋体" w:hAnsi="宋体" w:cs="宋体"/>
                <w:sz w:val="21"/>
                <w:szCs w:val="21"/>
                <w:lang w:val="en-US" w:eastAsia="zh-CN"/>
              </w:rPr>
              <w:t>100000.00</w:t>
            </w:r>
            <w:r>
              <w:rPr>
                <w:rFonts w:hint="eastAsia" w:ascii="宋体" w:hAnsi="宋体" w:cs="宋体"/>
                <w:sz w:val="21"/>
                <w:szCs w:val="21"/>
              </w:rPr>
              <w:t>元）</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ascii="宋体" w:hAnsi="宋体" w:cs="宋体"/>
                <w:b/>
                <w:bCs/>
                <w:szCs w:val="21"/>
              </w:rPr>
              <w:t>此报价应包含但不限于产品费、运费、税金、配件、安装调试、培训等应由供应商承担的一切费用。</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19"/>
                <w:rFonts w:asciiTheme="minorEastAsia" w:hAnsiTheme="minorEastAsia" w:eastAsiaTheme="minorEastAsia"/>
                <w:b w:val="0"/>
                <w:color w:val="000000"/>
                <w:sz w:val="21"/>
                <w:szCs w:val="21"/>
              </w:rPr>
            </w:pPr>
            <w:r>
              <w:rPr>
                <w:rStyle w:val="19"/>
                <w:rFonts w:hint="eastAsia" w:asciiTheme="minorEastAsia" w:hAnsiTheme="minorEastAsia" w:eastAsiaTheme="minorEastAsia"/>
                <w:b w:val="0"/>
                <w:color w:val="000000"/>
                <w:sz w:val="21"/>
                <w:szCs w:val="21"/>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left"/>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供应商应提供市场监管部门或其他行政机关颁发的可以合法开展</w:t>
            </w:r>
            <w:r>
              <w:rPr>
                <w:rFonts w:hint="eastAsia" w:asciiTheme="minorEastAsia" w:hAnsiTheme="minorEastAsia" w:eastAsiaTheme="minorEastAsia"/>
                <w:color w:val="000000"/>
                <w:sz w:val="21"/>
                <w:szCs w:val="21"/>
                <w:lang w:eastAsia="zh-CN"/>
              </w:rPr>
              <w:t>业务并适用于本项目范围</w:t>
            </w:r>
            <w:r>
              <w:rPr>
                <w:rFonts w:hint="eastAsia" w:asciiTheme="minorEastAsia" w:hAnsiTheme="minorEastAsia" w:eastAsiaTheme="minorEastAsia"/>
                <w:color w:val="000000"/>
                <w:sz w:val="21"/>
                <w:szCs w:val="21"/>
              </w:rPr>
              <w:t>的执照或证书。</w:t>
            </w:r>
            <w:r>
              <w:rPr>
                <w:rFonts w:hint="eastAsia" w:asciiTheme="minorEastAsia" w:hAnsiTheme="minorEastAsia" w:eastAsiaTheme="minorEastAsia"/>
                <w:color w:val="000000"/>
                <w:sz w:val="21"/>
                <w:szCs w:val="21"/>
                <w:lang w:eastAsia="zh-CN"/>
              </w:rPr>
              <w:t>提供营业执照复印件并加盖单位公章。</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yellow"/>
              </w:rPr>
            </w:pPr>
            <w:r>
              <w:rPr>
                <w:rStyle w:val="19"/>
                <w:rFonts w:hint="eastAsia" w:asciiTheme="minorEastAsia" w:hAnsiTheme="minorEastAsia" w:eastAsiaTheme="minorEastAsia"/>
                <w:b w:val="0"/>
                <w:color w:val="000000"/>
                <w:sz w:val="21"/>
                <w:szCs w:val="21"/>
                <w:highlight w:val="none"/>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both"/>
              <w:rPr>
                <w:rFonts w:hint="default"/>
                <w:lang w:val="en-US"/>
              </w:rPr>
            </w:pPr>
            <w:r>
              <w:rPr>
                <w:rFonts w:hint="eastAsia" w:ascii="宋体" w:hAnsi="宋体" w:cs="宋体"/>
                <w:szCs w:val="21"/>
              </w:rPr>
              <w:t>供应商为代理商时需提供：</w:t>
            </w:r>
            <w:r>
              <w:rPr>
                <w:rFonts w:hint="eastAsia" w:ascii="宋体" w:hAnsi="宋体" w:cs="宋体"/>
                <w:szCs w:val="21"/>
                <w:u w:val="single"/>
              </w:rPr>
              <w:t>所供产品的原厂商授权证明文件</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19"/>
                <w:rFonts w:asciiTheme="minorEastAsia" w:hAnsiTheme="minorEastAsia" w:eastAsiaTheme="minorEastAsia"/>
                <w:b w:val="0"/>
                <w:color w:val="000000"/>
                <w:sz w:val="21"/>
                <w:szCs w:val="21"/>
                <w:highlight w:val="none"/>
              </w:rPr>
            </w:pPr>
            <w:r>
              <w:rPr>
                <w:rStyle w:val="19"/>
                <w:rFonts w:hint="eastAsia" w:asciiTheme="minorEastAsia" w:hAnsiTheme="minorEastAsia" w:eastAsiaTheme="minorEastAsia"/>
                <w:b w:val="0"/>
                <w:color w:val="000000"/>
                <w:sz w:val="21"/>
                <w:szCs w:val="21"/>
                <w:highlight w:val="none"/>
              </w:rPr>
              <w:t>财务要求证明材料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 w:val="21"/>
                <w:szCs w:val="21"/>
                <w:highlight w:val="none"/>
              </w:rPr>
            </w:pPr>
            <w:r>
              <w:rPr>
                <w:rFonts w:hint="eastAsia" w:cs="仿宋" w:asciiTheme="minorEastAsia" w:hAnsiTheme="minorEastAsia" w:eastAsiaTheme="minorEastAsia"/>
                <w:b w:val="0"/>
                <w:bCs w:val="0"/>
                <w:sz w:val="21"/>
                <w:szCs w:val="21"/>
                <w:highlight w:val="none"/>
              </w:rPr>
              <w:sym w:font="Wingdings 2" w:char="0052"/>
            </w:r>
            <w:r>
              <w:rPr>
                <w:rFonts w:hint="eastAsia" w:cs="仿宋" w:asciiTheme="minorEastAsia" w:hAnsiTheme="minorEastAsia" w:eastAsiaTheme="minorEastAsia"/>
                <w:b w:val="0"/>
                <w:bCs w:val="0"/>
                <w:sz w:val="21"/>
                <w:szCs w:val="21"/>
                <w:highlight w:val="none"/>
                <w:lang w:val="en-US" w:eastAsia="zh-CN"/>
              </w:rPr>
              <w:t>不</w:t>
            </w:r>
            <w:r>
              <w:rPr>
                <w:rFonts w:hint="eastAsia" w:cs="仿宋" w:asciiTheme="minorEastAsia" w:hAnsiTheme="minorEastAsia" w:eastAsiaTheme="minorEastAsia"/>
                <w:b w:val="0"/>
                <w:bCs w:val="0"/>
                <w:sz w:val="21"/>
                <w:szCs w:val="21"/>
                <w:highlight w:val="none"/>
              </w:rPr>
              <w:t>适用。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b/>
                <w:bCs/>
              </w:rPr>
            </w:pPr>
            <w:r>
              <w:rPr>
                <w:rFonts w:hint="eastAsia"/>
                <w:b/>
                <w:bCs/>
              </w:rPr>
              <w:sym w:font="Wingdings 2" w:char="0052"/>
            </w:r>
            <w:r>
              <w:rPr>
                <w:rFonts w:hint="eastAsia"/>
                <w:b/>
                <w:bCs/>
              </w:rPr>
              <w:t>适用。</w:t>
            </w:r>
          </w:p>
          <w:p>
            <w:pPr>
              <w:spacing w:line="360" w:lineRule="auto"/>
              <w:jc w:val="left"/>
            </w:pPr>
            <w:r>
              <w:rPr>
                <w:rFonts w:hint="eastAsia"/>
              </w:rPr>
              <w:t>供应商应提供近年的类似项目情况表（格式见第六章“响应文件格式”七、资格审查资料（三）近年的类似项目情况表），以证明供应商具有承担本项目要求的业绩。近年是指</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3</w:t>
            </w:r>
            <w:r>
              <w:rPr>
                <w:rFonts w:hint="eastAsia"/>
                <w:u w:val="single"/>
              </w:rPr>
              <w:t>月</w:t>
            </w:r>
            <w:r>
              <w:rPr>
                <w:rFonts w:hint="eastAsia"/>
              </w:rPr>
              <w:t>至</w:t>
            </w:r>
            <w:r>
              <w:rPr>
                <w:rFonts w:hint="eastAsia"/>
                <w:u w:val="single"/>
                <w:lang w:eastAsia="zh-CN"/>
              </w:rPr>
              <w:t>2024</w:t>
            </w:r>
            <w:r>
              <w:rPr>
                <w:rFonts w:hint="eastAsia"/>
                <w:u w:val="single"/>
              </w:rPr>
              <w:t>年</w:t>
            </w:r>
            <w:r>
              <w:rPr>
                <w:rFonts w:hint="eastAsia"/>
                <w:u w:val="single"/>
                <w:lang w:val="en-US" w:eastAsia="zh-CN"/>
              </w:rPr>
              <w:t>3</w:t>
            </w:r>
            <w:r>
              <w:rPr>
                <w:rFonts w:hint="eastAsia"/>
                <w:u w:val="single"/>
              </w:rPr>
              <w:t>月</w:t>
            </w:r>
          </w:p>
          <w:p>
            <w:pPr>
              <w:spacing w:line="360" w:lineRule="auto"/>
              <w:jc w:val="left"/>
            </w:pPr>
            <w:r>
              <w:rPr>
                <w:rFonts w:hint="eastAsia"/>
              </w:rPr>
              <w:t>业绩证明材料：</w:t>
            </w:r>
          </w:p>
          <w:p>
            <w:pPr>
              <w:spacing w:line="360" w:lineRule="auto"/>
              <w:jc w:val="left"/>
              <w:rPr>
                <w:b/>
                <w:bCs/>
              </w:rPr>
            </w:pPr>
            <w:r>
              <w:rPr>
                <w:rFonts w:hint="eastAsia"/>
                <w:b/>
                <w:bCs/>
              </w:rPr>
              <w:sym w:font="Wingdings 2" w:char="0052"/>
            </w:r>
            <w:r>
              <w:rPr>
                <w:rFonts w:hint="eastAsia"/>
                <w:b/>
                <w:bCs/>
              </w:rPr>
              <w:t>合同/订单</w:t>
            </w:r>
          </w:p>
          <w:p>
            <w:pPr>
              <w:spacing w:line="360" w:lineRule="auto"/>
              <w:jc w:val="left"/>
            </w:pPr>
            <w:r>
              <w:rPr>
                <w:rFonts w:hint="eastAsia"/>
              </w:rPr>
              <w:t>业绩证明材料种类要求：</w:t>
            </w:r>
          </w:p>
          <w:p>
            <w:pPr>
              <w:spacing w:line="360" w:lineRule="auto"/>
              <w:jc w:val="left"/>
              <w:rPr>
                <w:rFonts w:hint="eastAsia"/>
                <w:lang w:eastAsia="zh-CN"/>
              </w:rPr>
            </w:pPr>
            <w:r>
              <w:rPr>
                <w:rFonts w:hint="eastAsia"/>
              </w:rPr>
              <w:t>☑其他要求：</w:t>
            </w:r>
            <w:r>
              <w:rPr>
                <w:rFonts w:hint="eastAsia"/>
                <w:lang w:eastAsia="zh-CN"/>
              </w:rPr>
              <w:t>至少提供</w:t>
            </w:r>
            <w:r>
              <w:rPr>
                <w:rFonts w:hint="eastAsia"/>
                <w:u w:val="single"/>
                <w:lang w:val="en-US" w:eastAsia="zh-CN"/>
              </w:rPr>
              <w:t xml:space="preserve"> 1个</w:t>
            </w:r>
            <w:r>
              <w:rPr>
                <w:rFonts w:hint="eastAsia"/>
                <w:lang w:val="en-US" w:eastAsia="zh-CN"/>
              </w:rPr>
              <w:t>近年类似项目业绩，证明材料若为</w:t>
            </w:r>
            <w:r>
              <w:rPr>
                <w:rFonts w:hint="eastAsia"/>
                <w:lang w:eastAsia="zh-CN"/>
              </w:rPr>
              <w:t>复印件需加盖单位公章。</w:t>
            </w:r>
          </w:p>
          <w:p>
            <w:pPr>
              <w:adjustRightInd/>
              <w:snapToGrid/>
              <w:spacing w:after="0" w:line="360" w:lineRule="auto"/>
              <w:jc w:val="both"/>
            </w:pPr>
            <w:r>
              <w:rPr>
                <w:rFonts w:hint="eastAsia" w:ascii="Times New Roman" w:hAnsi="Times New Roman" w:cs="Times New Roman"/>
                <w:lang w:val="en-US" w:eastAsia="zh-CN"/>
              </w:rPr>
              <w:t>注：</w:t>
            </w:r>
            <w:r>
              <w:rPr>
                <w:rFonts w:hint="eastAsia" w:ascii="Times New Roman" w:hAnsi="Times New Roman" w:cs="Times New Roman"/>
                <w:lang w:eastAsia="zh-CN"/>
              </w:rPr>
              <w:t>类似项目是指与本项目采购规模</w:t>
            </w:r>
            <w:r>
              <w:rPr>
                <w:rFonts w:hint="eastAsia" w:cs="Times New Roman"/>
                <w:lang w:eastAsia="zh-CN"/>
              </w:rPr>
              <w:t>、</w:t>
            </w:r>
            <w:r>
              <w:rPr>
                <w:rFonts w:hint="eastAsia" w:ascii="Times New Roman" w:hAnsi="Times New Roman" w:cs="Times New Roman"/>
                <w:lang w:eastAsia="zh-CN"/>
              </w:rPr>
              <w:t>产品类型</w:t>
            </w:r>
            <w:r>
              <w:rPr>
                <w:rFonts w:hint="eastAsia" w:cs="Times New Roman"/>
                <w:lang w:eastAsia="zh-CN"/>
              </w:rPr>
              <w:t>、</w:t>
            </w:r>
            <w:r>
              <w:rPr>
                <w:rFonts w:hint="eastAsia" w:ascii="Times New Roman" w:hAnsi="Times New Roman" w:cs="Times New Roman"/>
                <w:lang w:eastAsia="zh-CN"/>
              </w:rPr>
              <w:t>产品型号</w:t>
            </w:r>
            <w:r>
              <w:rPr>
                <w:rFonts w:hint="eastAsia" w:cs="Times New Roman"/>
                <w:lang w:eastAsia="zh-CN"/>
              </w:rPr>
              <w:t>、</w:t>
            </w:r>
            <w:r>
              <w:rPr>
                <w:rFonts w:hint="eastAsia" w:ascii="Times New Roman" w:hAnsi="Times New Roman" w:cs="Times New Roman"/>
                <w:lang w:eastAsia="zh-CN"/>
              </w:rPr>
              <w:t>使用功能等相近或相同的项目。</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不适用</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ascii="宋体" w:hAnsi="宋体" w:cs="仿宋"/>
                <w:bCs/>
                <w:szCs w:val="21"/>
              </w:rPr>
              <w:t>要求所有潜在供应商在截止开标前三天，安排技术人员到岳阳城陵矶</w:t>
            </w:r>
            <w:r>
              <w:rPr>
                <w:rFonts w:hint="eastAsia" w:ascii="宋体" w:hAnsi="宋体" w:cs="仿宋"/>
                <w:bCs/>
                <w:szCs w:val="21"/>
                <w:lang w:eastAsia="zh-CN"/>
              </w:rPr>
              <w:t>危险品储运</w:t>
            </w:r>
            <w:r>
              <w:rPr>
                <w:rFonts w:hint="eastAsia" w:ascii="宋体" w:hAnsi="宋体" w:cs="仿宋"/>
                <w:bCs/>
                <w:szCs w:val="21"/>
              </w:rPr>
              <w:t>有限公司现场踏勘</w:t>
            </w:r>
            <w:r>
              <w:rPr>
                <w:rFonts w:hint="eastAsia" w:hAnsi="宋体" w:cs="仿宋"/>
                <w:bCs/>
                <w:szCs w:val="21"/>
              </w:rPr>
              <w:t>并出具</w:t>
            </w:r>
            <w:r>
              <w:rPr>
                <w:rFonts w:hint="eastAsia" w:ascii="宋体" w:hAnsi="宋体" w:cs="仿宋"/>
                <w:bCs/>
                <w:szCs w:val="21"/>
              </w:rPr>
              <w:t>踏勘</w:t>
            </w:r>
            <w:r>
              <w:rPr>
                <w:rFonts w:hint="eastAsia" w:hAnsi="宋体" w:cs="仿宋"/>
                <w:bCs/>
                <w:szCs w:val="21"/>
              </w:rPr>
              <w:t>报告</w:t>
            </w:r>
            <w:r>
              <w:rPr>
                <w:rFonts w:hint="eastAsia" w:ascii="宋体" w:hAnsi="宋体" w:cs="仿宋"/>
                <w:bCs/>
                <w:szCs w:val="21"/>
              </w:rPr>
              <w:t>，踏勘</w:t>
            </w:r>
            <w:r>
              <w:rPr>
                <w:rFonts w:hint="eastAsia" w:hAnsi="宋体" w:cs="仿宋"/>
                <w:bCs/>
                <w:szCs w:val="21"/>
              </w:rPr>
              <w:t>报告需得到采购方认可</w:t>
            </w:r>
            <w:r>
              <w:rPr>
                <w:rFonts w:hint="eastAsia" w:ascii="宋体" w:hAnsi="宋体" w:cs="仿宋"/>
                <w:bCs/>
                <w:szCs w:val="21"/>
              </w:rPr>
              <w:t>并由采购方出具相关踏勘证明文件，供应商须在响应文件中提交踏勘证明文件并加盖公章</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需要提供证明材料</w:t>
            </w:r>
            <w:r>
              <w:rPr>
                <w:rFonts w:hint="eastAsia" w:cs="宋体" w:asciiTheme="minorEastAsia" w:hAnsiTheme="minorEastAsia" w:eastAsiaTheme="minorEastAsia"/>
                <w:color w:val="000000"/>
                <w:sz w:val="21"/>
                <w:szCs w:val="21"/>
              </w:rPr>
              <w:t>，包括：</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single"/>
              </w:rPr>
              <w:t>信用中国</w:t>
            </w:r>
            <w:r>
              <w:rPr>
                <w:rFonts w:hint="eastAsia" w:ascii="宋体" w:hAnsi="宋体" w:cs="宋体"/>
                <w:sz w:val="21"/>
                <w:szCs w:val="21"/>
                <w:u w:val="single"/>
              </w:rPr>
              <w:t>（https://www.creditchina.gov.cn/）网站上所下载的“企业信用信息报告”第1、2页复印件。</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适用：</w:t>
            </w:r>
            <w:r>
              <w:rPr>
                <w:rFonts w:hint="eastAsia" w:cs="宋体" w:asciiTheme="minorEastAsia" w:hAnsiTheme="minorEastAsia" w:eastAsiaTheme="minorEastAsia"/>
                <w:color w:val="000000"/>
                <w:sz w:val="21"/>
                <w:szCs w:val="21"/>
                <w:u w:val="single"/>
                <w:lang w:val="en-US" w:eastAsia="zh-CN"/>
              </w:rPr>
              <w:t>岳阳城陵矶危险品储运有限公司盲</w:t>
            </w:r>
            <w:bookmarkStart w:id="43" w:name="_GoBack"/>
            <w:bookmarkEnd w:id="43"/>
            <w:r>
              <w:rPr>
                <w:rFonts w:hint="eastAsia" w:cs="宋体" w:asciiTheme="minorEastAsia" w:hAnsiTheme="minorEastAsia" w:eastAsiaTheme="minorEastAsia"/>
                <w:color w:val="000000"/>
                <w:sz w:val="21"/>
                <w:szCs w:val="21"/>
                <w:u w:val="single"/>
                <w:lang w:val="en-US" w:eastAsia="zh-CN"/>
              </w:rPr>
              <w:t>区监控系统增加询价采购</w:t>
            </w:r>
            <w:r>
              <w:rPr>
                <w:rFonts w:hint="eastAsia" w:ascii="宋体" w:hAnsi="宋体"/>
                <w:sz w:val="21"/>
                <w:szCs w:val="21"/>
                <w:u w:val="single"/>
                <w:lang w:val="en-US" w:eastAsia="zh-CN"/>
              </w:rPr>
              <w:t>项目</w:t>
            </w:r>
            <w:r>
              <w:rPr>
                <w:rFonts w:hint="eastAsia" w:cs="宋体" w:asciiTheme="minorEastAsia" w:hAnsiTheme="minorEastAsia" w:eastAsiaTheme="minorEastAsia"/>
                <w:color w:val="000000"/>
                <w:sz w:val="21"/>
                <w:szCs w:val="21"/>
                <w:u w:val="single"/>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rPr>
              <w:t>截止时</w:t>
            </w:r>
            <w:r>
              <w:rPr>
                <w:rFonts w:hint="eastAsia" w:cs="宋体" w:asciiTheme="minorEastAsia" w:hAnsiTheme="minorEastAsia" w:eastAsiaTheme="minorEastAsia"/>
                <w:color w:val="000000"/>
                <w:sz w:val="21"/>
                <w:szCs w:val="21"/>
                <w:highlight w:val="none"/>
              </w:rPr>
              <w:t>间：</w:t>
            </w:r>
            <w:r>
              <w:rPr>
                <w:rFonts w:hint="eastAsia" w:ascii="宋体" w:hAnsi="宋体" w:cs="宋体"/>
                <w:color w:val="000000"/>
                <w:sz w:val="21"/>
                <w:szCs w:val="21"/>
                <w:highlight w:val="none"/>
                <w:u w:val="single"/>
                <w:shd w:val="clear" w:color="auto" w:fill="auto"/>
                <w:lang w:val="en-US" w:eastAsia="zh-CN"/>
              </w:rPr>
              <w:t>2024</w:t>
            </w:r>
            <w:r>
              <w:rPr>
                <w:rFonts w:hint="eastAsia" w:ascii="宋体" w:hAnsi="宋体" w:eastAsia="宋体" w:cs="宋体"/>
                <w:color w:val="000000"/>
                <w:sz w:val="21"/>
                <w:szCs w:val="21"/>
                <w:highlight w:val="none"/>
                <w:u w:val="single"/>
                <w:shd w:val="clear" w:color="auto" w:fill="auto"/>
                <w:lang w:val="en-US" w:eastAsia="zh-CN"/>
              </w:rPr>
              <w:t>年</w:t>
            </w:r>
            <w:r>
              <w:rPr>
                <w:rFonts w:hint="eastAsia" w:ascii="宋体" w:hAnsi="宋体" w:cs="宋体"/>
                <w:color w:val="000000"/>
                <w:sz w:val="21"/>
                <w:szCs w:val="21"/>
                <w:highlight w:val="none"/>
                <w:u w:val="single"/>
                <w:shd w:val="clear" w:color="auto" w:fill="auto"/>
                <w:lang w:val="en-US" w:eastAsia="zh-CN"/>
              </w:rPr>
              <w:t>4</w:t>
            </w:r>
            <w:r>
              <w:rPr>
                <w:rFonts w:hint="eastAsia" w:ascii="宋体" w:hAnsi="宋体" w:eastAsia="宋体" w:cs="宋体"/>
                <w:color w:val="000000"/>
                <w:sz w:val="21"/>
                <w:szCs w:val="21"/>
                <w:highlight w:val="none"/>
                <w:u w:val="single"/>
                <w:shd w:val="clear" w:color="auto" w:fill="auto"/>
                <w:lang w:val="en-US" w:eastAsia="zh-CN"/>
              </w:rPr>
              <w:t>月</w:t>
            </w:r>
            <w:r>
              <w:rPr>
                <w:rFonts w:hint="eastAsia" w:ascii="宋体" w:hAnsi="宋体" w:cs="宋体"/>
                <w:color w:val="000000"/>
                <w:sz w:val="21"/>
                <w:szCs w:val="21"/>
                <w:highlight w:val="none"/>
                <w:u w:val="single"/>
                <w:shd w:val="clear" w:color="auto" w:fill="auto"/>
                <w:lang w:val="en-US" w:eastAsia="zh-CN"/>
              </w:rPr>
              <w:t>11</w:t>
            </w:r>
            <w:r>
              <w:rPr>
                <w:rFonts w:hint="eastAsia" w:ascii="宋体" w:hAnsi="宋体" w:eastAsia="宋体" w:cs="宋体"/>
                <w:color w:val="000000"/>
                <w:sz w:val="21"/>
                <w:szCs w:val="21"/>
                <w:highlight w:val="none"/>
                <w:u w:val="single"/>
                <w:shd w:val="clear" w:color="auto" w:fill="auto"/>
                <w:lang w:val="en-US" w:eastAsia="zh-CN"/>
              </w:rPr>
              <w:t>日</w:t>
            </w:r>
            <w:r>
              <w:rPr>
                <w:rFonts w:hint="eastAsia" w:ascii="宋体" w:hAnsi="宋体" w:cs="宋体"/>
                <w:color w:val="000000"/>
                <w:sz w:val="21"/>
                <w:szCs w:val="21"/>
                <w:highlight w:val="none"/>
                <w:u w:val="single"/>
                <w:shd w:val="clear" w:color="auto" w:fill="auto"/>
                <w:lang w:val="en-US" w:eastAsia="zh-CN"/>
              </w:rPr>
              <w:t>12</w:t>
            </w:r>
            <w:r>
              <w:rPr>
                <w:rFonts w:hint="eastAsia" w:ascii="宋体" w:hAnsi="宋体" w:eastAsia="宋体" w:cs="宋体"/>
                <w:color w:val="000000"/>
                <w:sz w:val="21"/>
                <w:szCs w:val="21"/>
                <w:highlight w:val="none"/>
                <w:u w:val="single"/>
                <w:shd w:val="clear" w:color="auto" w:fill="auto"/>
                <w:lang w:val="en-US" w:eastAsia="zh-CN"/>
              </w:rPr>
              <w:t>时</w:t>
            </w:r>
            <w:r>
              <w:rPr>
                <w:rFonts w:hint="eastAsia" w:ascii="宋体" w:hAnsi="宋体" w:cs="宋体"/>
                <w:color w:val="000000"/>
                <w:sz w:val="21"/>
                <w:szCs w:val="21"/>
                <w:highlight w:val="none"/>
                <w:u w:val="single"/>
                <w:shd w:val="clear" w:color="auto" w:fill="auto"/>
                <w:lang w:val="en-US" w:eastAsia="zh-CN"/>
              </w:rPr>
              <w:t>00</w:t>
            </w:r>
            <w:r>
              <w:rPr>
                <w:rFonts w:hint="eastAsia" w:ascii="宋体" w:hAnsi="宋体" w:eastAsia="宋体" w:cs="宋体"/>
                <w:color w:val="000000"/>
                <w:sz w:val="21"/>
                <w:szCs w:val="21"/>
                <w:highlight w:val="none"/>
                <w:u w:val="single"/>
                <w:shd w:val="clear" w:color="auto" w:fill="auto"/>
                <w:lang w:val="en-US" w:eastAsia="zh-CN"/>
              </w:rPr>
              <w:t>分</w:t>
            </w:r>
          </w:p>
          <w:p>
            <w:pPr>
              <w:spacing w:line="360" w:lineRule="auto"/>
              <w:jc w:val="left"/>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FF0000"/>
                <w:sz w:val="21"/>
                <w:szCs w:val="21"/>
              </w:rPr>
              <w:t>递交响应文件的地点：</w:t>
            </w:r>
            <w:r>
              <w:rPr>
                <w:rFonts w:hint="eastAsia" w:cs="宋体" w:asciiTheme="minorEastAsia" w:hAnsiTheme="minorEastAsia" w:eastAsiaTheme="minorEastAsia"/>
                <w:color w:val="FF0000"/>
                <w:sz w:val="21"/>
                <w:szCs w:val="21"/>
                <w:u w:val="single"/>
                <w:lang w:val="en-US" w:eastAsia="zh-CN"/>
              </w:rPr>
              <w:t xml:space="preserve">   </w:t>
            </w:r>
            <w:r>
              <w:rPr>
                <w:rFonts w:hint="eastAsia" w:ascii="宋体" w:hAnsi="宋体" w:eastAsiaTheme="minorEastAsia"/>
                <w:color w:val="FF0000"/>
                <w:sz w:val="21"/>
                <w:szCs w:val="21"/>
                <w:u w:val="single"/>
                <w:lang w:val="en-US" w:eastAsia="zh-CN"/>
              </w:rPr>
              <w:t xml:space="preserve"> 岳阳城陵矶新港有限公司技术创新部314室。 </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21"/>
                <w:rFonts w:cs="宋体" w:asciiTheme="minorEastAsia" w:hAnsiTheme="minorEastAsia" w:eastAsiaTheme="minorEastAsia"/>
                <w:color w:val="000000"/>
                <w:sz w:val="21"/>
                <w:szCs w:val="21"/>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在湖南省湘水集团有限公司综合评标专家库中随机抽取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w:t>
            </w:r>
            <w:r>
              <w:rPr>
                <w:rFonts w:hint="eastAsia" w:ascii="宋体" w:hAnsi="宋体" w:cs="宋体"/>
                <w:sz w:val="21"/>
                <w:szCs w:val="21"/>
                <w:lang w:val="en-US" w:eastAsia="zh-CN"/>
              </w:rPr>
              <w:t>港行水利</w:t>
            </w:r>
            <w:r>
              <w:rPr>
                <w:rFonts w:hint="eastAsia" w:ascii="宋体" w:hAnsi="宋体" w:cs="宋体"/>
                <w:sz w:val="21"/>
                <w:szCs w:val="21"/>
              </w:rPr>
              <w:t>集团有限公司网站（http：//www.hnsxsjt.co</w:t>
            </w:r>
            <w:r>
              <w:rPr>
                <w:rFonts w:hint="eastAsia" w:ascii="宋体" w:hAnsi="宋体" w:cs="宋体"/>
                <w:sz w:val="21"/>
                <w:szCs w:val="21"/>
                <w:lang w:val="en-US" w:eastAsia="zh-CN"/>
              </w:rPr>
              <w:t>m</w:t>
            </w:r>
            <w:r>
              <w:rPr>
                <w:rFonts w:hint="eastAsia" w:ascii="宋体" w:hAnsi="宋体" w:cs="宋体"/>
                <w:sz w:val="21"/>
                <w:szCs w:val="21"/>
              </w:rPr>
              <w:t>）、湖南省</w:t>
            </w:r>
            <w:r>
              <w:rPr>
                <w:rFonts w:hint="eastAsia" w:ascii="宋体" w:hAnsi="宋体" w:cs="宋体"/>
                <w:sz w:val="21"/>
                <w:szCs w:val="21"/>
                <w:lang w:val="en-US" w:eastAsia="zh-CN"/>
              </w:rPr>
              <w:t>城陵矶港口</w:t>
            </w:r>
            <w:r>
              <w:rPr>
                <w:rFonts w:hint="eastAsia" w:ascii="宋体" w:hAnsi="宋体" w:cs="宋体"/>
                <w:sz w:val="21"/>
                <w:szCs w:val="21"/>
              </w:rPr>
              <w:t>集团有限公司门户网站（http://www.hnsgwjt.com/）上发布。</w:t>
            </w:r>
          </w:p>
          <w:p>
            <w:pPr>
              <w:spacing w:line="360" w:lineRule="auto"/>
              <w:jc w:val="left"/>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none"/>
                <w:lang w:val="en-US" w:eastAsia="zh-CN"/>
              </w:rPr>
              <w:t>个工作日</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ascii="宋体" w:hAnsi="宋体" w:cs="宋体"/>
                <w:color w:val="FF0000"/>
                <w:szCs w:val="21"/>
                <w:highlight w:val="yellow"/>
                <w:u w:val="single"/>
                <w:lang w:val="en-US"/>
              </w:rPr>
            </w:pPr>
            <w:r>
              <w:rPr>
                <w:rFonts w:hint="eastAsia" w:ascii="宋体" w:hAnsi="宋体" w:cs="宋体"/>
                <w:color w:val="FF0000"/>
                <w:szCs w:val="21"/>
              </w:rPr>
              <w:t>联系人：</w:t>
            </w:r>
            <w:r>
              <w:rPr>
                <w:rFonts w:hint="eastAsia" w:ascii="宋体" w:hAnsi="宋体" w:cs="宋体"/>
                <w:color w:val="FF0000"/>
                <w:szCs w:val="21"/>
                <w:u w:val="single"/>
                <w:lang w:val="en-US" w:eastAsia="zh-CN"/>
              </w:rPr>
              <w:t xml:space="preserve">     蒋小伍                       </w:t>
            </w:r>
          </w:p>
          <w:p>
            <w:pPr>
              <w:spacing w:line="288" w:lineRule="auto"/>
              <w:jc w:val="both"/>
              <w:rPr>
                <w:rFonts w:ascii="宋体" w:hAnsi="宋体" w:cs="宋体"/>
                <w:color w:val="FF0000"/>
                <w:szCs w:val="21"/>
              </w:rPr>
            </w:pPr>
            <w:r>
              <w:rPr>
                <w:rFonts w:hint="eastAsia" w:ascii="宋体" w:hAnsi="宋体" w:cs="宋体"/>
                <w:color w:val="FF0000"/>
                <w:szCs w:val="21"/>
              </w:rPr>
              <w:t>联系电话：</w:t>
            </w:r>
            <w:r>
              <w:rPr>
                <w:rFonts w:hint="eastAsia" w:ascii="宋体" w:hAnsi="宋体" w:cs="宋体"/>
                <w:color w:val="FF0000"/>
                <w:szCs w:val="21"/>
                <w:u w:val="single"/>
                <w:lang w:val="en-US" w:eastAsia="zh-CN"/>
              </w:rPr>
              <w:t xml:space="preserve">    13707307729         </w:t>
            </w:r>
            <w:r>
              <w:rPr>
                <w:rFonts w:hint="eastAsia" w:ascii="宋体" w:hAnsi="宋体" w:cs="宋体"/>
                <w:color w:val="FF0000"/>
                <w:szCs w:val="21"/>
              </w:rPr>
              <w:t xml:space="preserve">               </w:t>
            </w:r>
          </w:p>
          <w:p>
            <w:pPr>
              <w:spacing w:line="360" w:lineRule="auto"/>
              <w:jc w:val="left"/>
              <w:rPr>
                <w:rFonts w:hint="default" w:eastAsia="宋体" w:cs="宋体" w:asciiTheme="minorEastAsia" w:hAnsiTheme="minorEastAsia"/>
                <w:color w:val="000000"/>
                <w:sz w:val="21"/>
                <w:szCs w:val="21"/>
                <w:lang w:val="en-US" w:eastAsia="zh-CN"/>
              </w:rPr>
            </w:pPr>
            <w:r>
              <w:rPr>
                <w:rFonts w:hint="eastAsia" w:ascii="宋体" w:hAnsi="宋体" w:cs="宋体"/>
                <w:color w:val="FF0000"/>
                <w:szCs w:val="21"/>
              </w:rPr>
              <w:t>通信地址：</w:t>
            </w:r>
            <w:r>
              <w:rPr>
                <w:rFonts w:hint="eastAsia" w:ascii="宋体" w:hAnsi="宋体" w:cs="宋体"/>
                <w:color w:val="FF0000"/>
                <w:szCs w:val="21"/>
                <w:u w:val="single"/>
                <w:lang w:val="en-US" w:eastAsia="zh-CN"/>
              </w:rPr>
              <w:t xml:space="preserve">     岳阳城陵矶危险品储运有限公司                       </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26"/>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7"/>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7"/>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7"/>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eastAsia="宋体" w:cs="仿宋"/>
          <w:sz w:val="24"/>
          <w:szCs w:val="24"/>
        </w:rPr>
      </w:pPr>
      <w:r>
        <w:rPr>
          <w:rFonts w:hint="eastAsia" w:hAnsi="宋体" w:eastAsia="宋体" w:cs="仿宋"/>
          <w:sz w:val="24"/>
          <w:szCs w:val="24"/>
        </w:rPr>
        <w:t>1.1.2评审办法</w:t>
      </w:r>
    </w:p>
    <w:p>
      <w:pPr>
        <w:pStyle w:val="26"/>
        <w:keepNext w:val="0"/>
        <w:keepLines w:val="0"/>
        <w:pageBreakBefore w:val="0"/>
        <w:widowControl/>
        <w:kinsoku/>
        <w:wordWrap/>
        <w:overflowPunct/>
        <w:topLinePunct w:val="0"/>
        <w:autoSpaceDE/>
        <w:autoSpaceDN/>
        <w:bidi w:val="0"/>
        <w:adjustRightInd/>
        <w:snapToGrid/>
        <w:spacing w:beforeLines="0" w:afterLines="0" w:line="360" w:lineRule="auto"/>
        <w:ind w:left="0" w:firstLine="453" w:firstLineChars="189"/>
        <w:jc w:val="both"/>
        <w:textAlignment w:val="auto"/>
        <w:rPr>
          <w:rFonts w:ascii="宋体" w:hAnsi="宋体" w:eastAsia="宋体" w:cs="仿宋"/>
          <w:sz w:val="24"/>
          <w:szCs w:val="24"/>
        </w:rPr>
      </w:pPr>
      <w:r>
        <w:rPr>
          <w:rFonts w:hint="eastAsia" w:ascii="宋体" w:hAnsi="宋体" w:eastAsia="宋体" w:cs="仿宋"/>
          <w:color w:val="000000"/>
          <w:sz w:val="24"/>
          <w:szCs w:val="24"/>
        </w:rPr>
        <w:t>综合评分法（性价比法），</w:t>
      </w:r>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1.7踏勘现场（本项目组织踏勘现场）</w:t>
      </w:r>
    </w:p>
    <w:p>
      <w:pPr>
        <w:spacing w:line="288" w:lineRule="auto"/>
        <w:jc w:val="both"/>
        <w:rPr>
          <w:rFonts w:ascii="宋体" w:hAnsi="宋体" w:cs="宋体"/>
          <w:sz w:val="24"/>
        </w:rPr>
      </w:pPr>
      <w:r>
        <w:rPr>
          <w:rFonts w:hint="eastAsia" w:ascii="宋体" w:hAnsi="宋体" w:cs="宋体"/>
          <w:sz w:val="24"/>
        </w:rPr>
        <w:t>X月X日-X月X日，每天8:00-17:30</w:t>
      </w:r>
    </w:p>
    <w:p>
      <w:pPr>
        <w:spacing w:line="288" w:lineRule="auto"/>
        <w:jc w:val="both"/>
        <w:rPr>
          <w:rFonts w:ascii="宋体" w:hAnsi="宋体" w:cs="宋体"/>
          <w:color w:val="FF0000"/>
          <w:sz w:val="24"/>
        </w:rPr>
      </w:pPr>
      <w:r>
        <w:rPr>
          <w:rFonts w:hint="eastAsia" w:ascii="宋体" w:hAnsi="宋体" w:cs="宋体"/>
          <w:color w:val="FF0000"/>
          <w:sz w:val="24"/>
        </w:rPr>
        <w:t>联 系 人:</w:t>
      </w:r>
      <w:r>
        <w:rPr>
          <w:rFonts w:hint="eastAsia" w:ascii="宋体" w:hAnsi="宋体" w:cs="宋体"/>
          <w:color w:val="FF0000"/>
          <w:sz w:val="24"/>
          <w:lang w:val="en-US" w:eastAsia="zh-CN"/>
        </w:rPr>
        <w:t xml:space="preserve"> </w:t>
      </w:r>
      <w:r>
        <w:rPr>
          <w:rFonts w:hint="eastAsia" w:ascii="宋体" w:hAnsi="宋体" w:cs="宋体"/>
          <w:color w:val="FF0000"/>
          <w:sz w:val="24"/>
        </w:rPr>
        <w:t xml:space="preserve">  </w:t>
      </w:r>
      <w:r>
        <w:rPr>
          <w:rFonts w:hint="eastAsia" w:ascii="宋体" w:hAnsi="宋体" w:cs="宋体"/>
          <w:color w:val="FF0000"/>
          <w:sz w:val="24"/>
          <w:lang w:val="en-US" w:eastAsia="zh-CN"/>
        </w:rPr>
        <w:t>杨林</w:t>
      </w:r>
      <w:r>
        <w:rPr>
          <w:rFonts w:hint="eastAsia" w:ascii="宋体" w:hAnsi="宋体" w:cs="宋体"/>
          <w:color w:val="FF0000"/>
          <w:sz w:val="24"/>
        </w:rPr>
        <w:t xml:space="preserve">                       </w:t>
      </w:r>
    </w:p>
    <w:p>
      <w:pPr>
        <w:pStyle w:val="2"/>
        <w:ind w:firstLine="0"/>
        <w:rPr>
          <w:rFonts w:hint="default" w:eastAsia="宋体"/>
          <w:color w:val="FF0000"/>
          <w:szCs w:val="24"/>
          <w:lang w:val="en-US" w:eastAsia="zh-CN"/>
        </w:rPr>
      </w:pPr>
      <w:r>
        <w:rPr>
          <w:rFonts w:hint="eastAsia" w:hAnsi="宋体" w:cs="宋体"/>
          <w:color w:val="FF0000"/>
          <w:szCs w:val="24"/>
        </w:rPr>
        <w:t xml:space="preserve">电    话: </w:t>
      </w:r>
      <w:r>
        <w:rPr>
          <w:rFonts w:hint="eastAsia" w:hAnsi="宋体" w:cs="宋体"/>
          <w:color w:val="FF0000"/>
          <w:szCs w:val="24"/>
          <w:lang w:val="en-US" w:eastAsia="zh-CN"/>
        </w:rPr>
        <w:t xml:space="preserve"> 13873095575</w:t>
      </w:r>
    </w:p>
    <w:p>
      <w:pPr>
        <w:pStyle w:val="2"/>
      </w:pP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pStyle w:val="3"/>
        <w:rPr>
          <w:rFonts w:hint="eastAsia" w:ascii="宋体" w:hAnsi="宋体" w:eastAsia="宋体" w:cs="仿宋"/>
          <w:sz w:val="24"/>
          <w:lang w:val="en-US" w:eastAsia="zh-CN"/>
        </w:rPr>
      </w:pPr>
      <w:r>
        <w:rPr>
          <w:rFonts w:hint="eastAsia" w:ascii="宋体" w:hAnsi="宋体" w:cs="仿宋"/>
          <w:sz w:val="24"/>
        </w:rPr>
        <w:t>供应商拟对主要材料和关键部件进行外购的，应符合第五章“采购需求”中提出的或允许外购的相关规定，并在响应文件中作出说明</w:t>
      </w:r>
      <w:r>
        <w:rPr>
          <w:rFonts w:hint="eastAsia" w:ascii="宋体" w:hAnsi="宋体" w:cs="仿宋"/>
          <w:sz w:val="24"/>
          <w:lang w:eastAsia="zh-CN"/>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w:t>
      </w:r>
      <w:r>
        <w:rPr>
          <w:rFonts w:hint="eastAsia" w:ascii="宋体" w:hAnsi="宋体" w:cs="仿宋"/>
          <w:sz w:val="24"/>
          <w:lang w:eastAsia="zh-CN"/>
        </w:rPr>
        <w:t>不予退还</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w:t>
      </w:r>
      <w:r>
        <w:rPr>
          <w:rFonts w:hint="eastAsia" w:ascii="宋体" w:hAnsi="宋体" w:cs="仿宋"/>
          <w:sz w:val="24"/>
          <w:lang w:eastAsia="zh-CN"/>
        </w:rPr>
        <w:t>下列情形之一的</w:t>
      </w:r>
      <w:r>
        <w:rPr>
          <w:rFonts w:hint="eastAsia" w:ascii="宋体" w:hAnsi="宋体" w:cs="仿宋"/>
          <w:sz w:val="24"/>
        </w:rPr>
        <w:t>，应当回避:</w:t>
      </w:r>
    </w:p>
    <w:p>
      <w:pPr>
        <w:adjustRightInd w:val="0"/>
        <w:snapToGrid w:val="0"/>
        <w:spacing w:line="360"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w:t>
      </w:r>
      <w:r>
        <w:rPr>
          <w:rFonts w:hint="eastAsia" w:ascii="宋体" w:hAnsi="宋体" w:cs="仿宋"/>
          <w:sz w:val="24"/>
          <w:lang w:eastAsia="zh-CN"/>
        </w:rPr>
        <w:t>或</w:t>
      </w:r>
      <w:r>
        <w:rPr>
          <w:rFonts w:hint="eastAsia" w:ascii="宋体" w:hAnsi="宋体" w:cs="仿宋"/>
          <w:sz w:val="24"/>
        </w:rPr>
        <w:t>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b/>
          <w:bCs/>
          <w:sz w:val="24"/>
          <w:u w:val="single"/>
        </w:rPr>
      </w:pPr>
      <w:r>
        <w:rPr>
          <w:rFonts w:hint="eastAsia" w:ascii="宋体" w:hAnsi="宋体" w:cs="仿宋"/>
          <w:sz w:val="24"/>
        </w:rPr>
        <w:t>需更补充的其他内容:见供应商须知前附表。</w:t>
      </w:r>
    </w:p>
    <w:p>
      <w:pPr>
        <w:rPr>
          <w:rFonts w:hint="eastAsia" w:ascii="华文中宋" w:hAnsi="华文中宋" w:eastAsia="华文中宋" w:cs="仿宋"/>
          <w:b/>
          <w:bCs/>
          <w:sz w:val="36"/>
          <w:szCs w:val="36"/>
        </w:rPr>
      </w:pPr>
      <w:r>
        <w:rPr>
          <w:rFonts w:hint="eastAsia" w:ascii="华文中宋" w:hAnsi="华文中宋" w:eastAsia="华文中宋" w:cs="仿宋"/>
          <w:b/>
          <w:bCs/>
          <w:sz w:val="36"/>
          <w:szCs w:val="36"/>
        </w:rPr>
        <w:br w:type="page"/>
      </w:r>
    </w:p>
    <w:p>
      <w:pPr>
        <w:pStyle w:val="3"/>
        <w:rPr>
          <w:rFonts w:hint="eastAsia"/>
        </w:rPr>
      </w:pPr>
    </w:p>
    <w:p>
      <w:pPr>
        <w:pStyle w:val="3"/>
        <w:rPr>
          <w:rFonts w:hint="eastAsia"/>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2"/>
        <w:spacing w:line="360" w:lineRule="auto"/>
        <w:ind w:left="0" w:leftChars="0" w:firstLine="0" w:firstLineChars="0"/>
        <w:rPr>
          <w:rFonts w:ascii="宋体" w:hAnsi="宋体" w:cs="仿宋"/>
          <w:sz w:val="30"/>
          <w:szCs w:val="30"/>
        </w:rPr>
      </w:pPr>
    </w:p>
    <w:p>
      <w:pPr>
        <w:rPr>
          <w:rFonts w:hint="eastAsia" w:ascii="宋体" w:hAnsi="宋体" w:cs="仿宋"/>
          <w:sz w:val="30"/>
          <w:szCs w:val="30"/>
        </w:rPr>
      </w:pPr>
      <w:r>
        <w:rPr>
          <w:rFonts w:hint="eastAsia" w:ascii="宋体" w:hAnsi="宋体"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ind w:firstLine="6000" w:firstLineChars="2500"/>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280" w:firstLineChars="2200"/>
        <w:jc w:val="both"/>
        <w:rPr>
          <w:rFonts w:ascii="宋体" w:hAnsi="宋体" w:cs="仿宋"/>
          <w:sz w:val="24"/>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5040" w:firstLineChars="21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widowControl w:val="0"/>
        <w:snapToGrid w:val="0"/>
        <w:spacing w:after="0" w:line="490" w:lineRule="exact"/>
        <w:jc w:val="center"/>
        <w:outlineLvl w:val="0"/>
        <w:rPr>
          <w:rFonts w:ascii="黑体" w:hAnsi="黑体" w:eastAsia="黑体" w:cs="宋体"/>
          <w:color w:val="000000"/>
          <w:kern w:val="44"/>
          <w:sz w:val="36"/>
          <w:szCs w:val="36"/>
          <w:highlight w:val="none"/>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bookmarkStart w:id="8" w:name="_Toc512257484"/>
      <w:bookmarkStart w:id="9" w:name="_Toc77254124"/>
      <w:r>
        <w:rPr>
          <w:rFonts w:hint="eastAsia" w:ascii="黑体" w:hAnsi="黑体" w:eastAsia="黑体" w:cs="宋体"/>
          <w:color w:val="000000"/>
          <w:kern w:val="44"/>
          <w:sz w:val="36"/>
          <w:szCs w:val="36"/>
          <w:highlight w:val="none"/>
        </w:rPr>
        <w:t>第三章 评标办法（综合评估法）</w:t>
      </w:r>
      <w:bookmarkEnd w:id="8"/>
      <w:bookmarkEnd w:id="9"/>
      <w:r>
        <w:rPr>
          <w:rFonts w:hint="eastAsia" w:ascii="黑体" w:hAnsi="黑体" w:eastAsia="黑体" w:cs="宋体"/>
          <w:color w:val="000000"/>
          <w:kern w:val="44"/>
          <w:sz w:val="36"/>
          <w:szCs w:val="36"/>
          <w:highlight w:val="none"/>
        </w:rPr>
        <w:t xml:space="preserve"> </w:t>
      </w:r>
    </w:p>
    <w:p>
      <w:pPr>
        <w:widowControl w:val="0"/>
        <w:autoSpaceDN w:val="0"/>
        <w:adjustRightInd w:val="0"/>
        <w:snapToGrid w:val="0"/>
        <w:spacing w:after="0" w:line="312" w:lineRule="auto"/>
        <w:jc w:val="center"/>
        <w:outlineLvl w:val="1"/>
        <w:rPr>
          <w:rFonts w:ascii="Times New Roman" w:hAnsi="Times New Roman" w:eastAsia="黑体" w:cs="Times New Roman"/>
          <w:color w:val="000000"/>
          <w:kern w:val="0"/>
          <w:sz w:val="32"/>
          <w:szCs w:val="32"/>
          <w:highlight w:val="none"/>
        </w:rPr>
      </w:pPr>
      <w:bookmarkStart w:id="10" w:name="_Toc24335"/>
      <w:bookmarkStart w:id="11" w:name="_Toc77254125"/>
      <w:r>
        <w:rPr>
          <w:rFonts w:hint="eastAsia" w:ascii="Times New Roman" w:hAnsi="Times New Roman" w:eastAsia="黑体" w:cs="Times New Roman"/>
          <w:color w:val="000000"/>
          <w:kern w:val="0"/>
          <w:sz w:val="32"/>
          <w:szCs w:val="32"/>
          <w:highlight w:val="none"/>
        </w:rPr>
        <w:t xml:space="preserve"> </w:t>
      </w:r>
    </w:p>
    <w:p>
      <w:pPr>
        <w:widowControl w:val="0"/>
        <w:autoSpaceDN w:val="0"/>
        <w:adjustRightInd w:val="0"/>
        <w:snapToGrid w:val="0"/>
        <w:spacing w:after="0" w:line="312" w:lineRule="auto"/>
        <w:jc w:val="center"/>
        <w:outlineLvl w:val="1"/>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评标办法前附表</w:t>
      </w:r>
      <w:bookmarkEnd w:id="10"/>
      <w:bookmarkEnd w:id="11"/>
    </w:p>
    <w:tbl>
      <w:tblPr>
        <w:tblStyle w:val="1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85"/>
        <w:gridCol w:w="1665"/>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984" w:type="dxa"/>
            <w:gridSpan w:val="2"/>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条款号及名称</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评审因素</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p>
        </w:tc>
        <w:tc>
          <w:tcPr>
            <w:tcW w:w="1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评审方法</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评审方法</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综合评分</w:t>
            </w:r>
            <w:r>
              <w:rPr>
                <w:rFonts w:hint="eastAsia" w:cs="仿宋" w:asciiTheme="minorEastAsia" w:hAnsiTheme="minorEastAsia" w:eastAsiaTheme="minorEastAsia"/>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trPr>
        <w:tc>
          <w:tcPr>
            <w:tcW w:w="799"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2.1.1</w:t>
            </w:r>
          </w:p>
        </w:tc>
        <w:tc>
          <w:tcPr>
            <w:tcW w:w="1185"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形式评审标准</w:t>
            </w:r>
          </w:p>
        </w:tc>
        <w:tc>
          <w:tcPr>
            <w:tcW w:w="1665"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供应商名称</w:t>
            </w:r>
          </w:p>
        </w:tc>
        <w:tc>
          <w:tcPr>
            <w:tcW w:w="5113"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 w:val="21"/>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响应文件签字盖章</w:t>
            </w:r>
          </w:p>
        </w:tc>
        <w:tc>
          <w:tcPr>
            <w:tcW w:w="5113" w:type="dxa"/>
            <w:vAlign w:val="center"/>
          </w:tcPr>
          <w:p>
            <w:pPr>
              <w:widowControl/>
              <w:adjustRightInd w:val="0"/>
              <w:snapToGrid w:val="0"/>
              <w:spacing w:line="360" w:lineRule="auto"/>
              <w:ind w:firstLine="0"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响应函中实质性内容</w:t>
            </w:r>
          </w:p>
        </w:tc>
        <w:tc>
          <w:tcPr>
            <w:tcW w:w="5113"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799"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2.1.2</w:t>
            </w:r>
          </w:p>
        </w:tc>
        <w:tc>
          <w:tcPr>
            <w:tcW w:w="1185"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资格评审标准</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ascii="宋体" w:hAnsi="宋体" w:eastAsia="宋体" w:cs="Times New Roman"/>
                <w:color w:val="000000"/>
                <w:sz w:val="21"/>
                <w:szCs w:val="21"/>
                <w:highlight w:val="none"/>
              </w:rPr>
              <w:t>营业执照</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符合第一章第3.1款及供应商须知前附表第3.5（1）款规定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资质要求</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yellow"/>
                <w:lang w:eastAsia="zh-CN"/>
              </w:rPr>
            </w:pPr>
            <w:r>
              <w:rPr>
                <w:rFonts w:hint="eastAsia" w:cs="仿宋" w:asciiTheme="minorEastAsia" w:hAnsiTheme="minorEastAsia" w:eastAsiaTheme="minorEastAsia"/>
                <w:sz w:val="21"/>
                <w:szCs w:val="21"/>
              </w:rPr>
              <w:t>符合第一章第3.1款及供应商须知前附表第3.5（2）款规定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业绩要求</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yellow"/>
                <w:lang w:eastAsia="zh-CN"/>
              </w:rPr>
            </w:pPr>
            <w:r>
              <w:rPr>
                <w:rFonts w:hint="eastAsia" w:cs="仿宋" w:asciiTheme="minorEastAsia" w:hAnsiTheme="minorEastAsia" w:eastAsiaTheme="minorEastAsia"/>
                <w:sz w:val="21"/>
                <w:szCs w:val="21"/>
              </w:rPr>
              <w:t>符合第一章第3.1款及供应商须知前附表第3.5（4）款规定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不存在第一章第3.2款情形</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yellow"/>
                <w:lang w:eastAsia="zh-CN"/>
              </w:rPr>
            </w:pPr>
            <w:r>
              <w:rPr>
                <w:rFonts w:hint="eastAsia" w:cs="仿宋" w:asciiTheme="minorEastAsia" w:hAnsiTheme="minorEastAsia" w:eastAsiaTheme="minorEastAsia"/>
                <w:sz w:val="21"/>
                <w:szCs w:val="21"/>
              </w:rPr>
              <w:t>符合第一章第3.1款及供应商须知前附表第3.5（</w:t>
            </w:r>
            <w:r>
              <w:rPr>
                <w:rFonts w:hint="eastAsia" w:cs="仿宋" w:asciiTheme="minorEastAsia" w:hAnsiTheme="minorEastAsia" w:eastAsiaTheme="minorEastAsia"/>
                <w:sz w:val="21"/>
                <w:szCs w:val="21"/>
                <w:lang w:val="en-US" w:eastAsia="zh-CN"/>
              </w:rPr>
              <w:t>8</w:t>
            </w:r>
            <w:r>
              <w:rPr>
                <w:rFonts w:hint="eastAsia" w:cs="仿宋" w:asciiTheme="minorEastAsia" w:hAnsiTheme="minorEastAsia" w:eastAsiaTheme="minorEastAsia"/>
                <w:sz w:val="21"/>
                <w:szCs w:val="21"/>
              </w:rPr>
              <w:t>）款规定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2.1.3</w:t>
            </w:r>
          </w:p>
        </w:tc>
        <w:tc>
          <w:tcPr>
            <w:tcW w:w="1185"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响应性评审标准</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符合第二章第3.2款规定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90天</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响应方案</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符合第二章第3.6款规定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质量标准</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符合第一章第2条规定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完成期限</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合同签订后</w:t>
            </w:r>
            <w:r>
              <w:rPr>
                <w:rFonts w:hint="eastAsia" w:cs="仿宋" w:asciiTheme="minorEastAsia" w:hAnsiTheme="minorEastAsia" w:eastAsiaTheme="minorEastAsia"/>
                <w:sz w:val="21"/>
                <w:szCs w:val="21"/>
                <w:lang w:val="en-US" w:eastAsia="zh-CN"/>
              </w:rPr>
              <w:t>30个日历日</w:t>
            </w:r>
            <w:r>
              <w:rPr>
                <w:rFonts w:hint="eastAsia" w:cs="仿宋" w:asciiTheme="minorEastAsia" w:hAnsiTheme="minorEastAsia" w:eastAsiaTheme="minorEastAsia"/>
                <w:sz w:val="21"/>
                <w:szCs w:val="21"/>
              </w:rPr>
              <w:t>内</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合同条款</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符合第二章第1.10.1项规定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5113" w:type="dxa"/>
            <w:vAlign w:val="center"/>
          </w:tcPr>
          <w:p>
            <w:pPr>
              <w:widowControl w:val="0"/>
              <w:spacing w:line="288"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允许偏差的范围：</w:t>
            </w:r>
            <w:r>
              <w:rPr>
                <w:rFonts w:hint="eastAsia" w:cs="仿宋" w:asciiTheme="minorEastAsia" w:hAnsiTheme="minorEastAsia" w:eastAsiaTheme="minorEastAsia"/>
                <w:sz w:val="21"/>
                <w:szCs w:val="21"/>
                <w:lang w:eastAsia="zh-CN"/>
              </w:rPr>
              <w:t>不允许。</w:t>
            </w:r>
          </w:p>
          <w:p>
            <w:pPr>
              <w:widowControl/>
              <w:adjustRightInd w:val="0"/>
              <w:snapToGrid w:val="0"/>
              <w:spacing w:line="288" w:lineRule="auto"/>
              <w:jc w:val="left"/>
              <w:rPr>
                <w:rFonts w:hint="eastAsia" w:cs="仿宋"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2.2.2</w:t>
            </w:r>
          </w:p>
        </w:tc>
        <w:tc>
          <w:tcPr>
            <w:tcW w:w="1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评审价格</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 详细评审标准和程序（</w:t>
            </w:r>
            <w:r>
              <w:rPr>
                <w:rFonts w:hint="eastAsia" w:cs="仿宋" w:asciiTheme="minorEastAsia" w:hAnsiTheme="minorEastAsia" w:eastAsiaTheme="minorEastAsia"/>
                <w:sz w:val="21"/>
                <w:szCs w:val="21"/>
                <w:lang w:eastAsia="zh-CN"/>
              </w:rPr>
              <w:t>综合评分法</w:t>
            </w:r>
            <w:r>
              <w:rPr>
                <w:rFonts w:hint="eastAsia" w:cs="仿宋"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4" w:type="dxa"/>
            <w:gridSpan w:val="2"/>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条款内容</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Align w:val="center"/>
          </w:tcPr>
          <w:p>
            <w:pPr>
              <w:widowControl w:val="0"/>
              <w:adjustRightInd w:val="0"/>
              <w:snapToGrid w:val="0"/>
              <w:spacing w:after="0" w:line="288" w:lineRule="auto"/>
              <w:jc w:val="center"/>
              <w:rPr>
                <w:rFonts w:cs="仿宋" w:asciiTheme="minorEastAsia" w:hAnsiTheme="minorEastAsia" w:eastAsiaTheme="minorEastAsia"/>
                <w:sz w:val="21"/>
                <w:szCs w:val="21"/>
              </w:rPr>
            </w:pPr>
            <w:r>
              <w:rPr>
                <w:rFonts w:hint="eastAsia" w:ascii="宋体" w:hAnsi="宋体" w:eastAsia="宋体" w:cs="Times New Roman"/>
                <w:color w:val="000000"/>
                <w:sz w:val="21"/>
                <w:szCs w:val="21"/>
                <w:highlight w:val="none"/>
              </w:rPr>
              <w:t>2.2.1</w:t>
            </w:r>
          </w:p>
        </w:tc>
        <w:tc>
          <w:tcPr>
            <w:tcW w:w="1665" w:type="dxa"/>
            <w:vAlign w:val="center"/>
          </w:tcPr>
          <w:p>
            <w:pPr>
              <w:widowControl w:val="0"/>
              <w:autoSpaceDE w:val="0"/>
              <w:autoSpaceDN w:val="0"/>
              <w:adjustRightInd w:val="0"/>
              <w:snapToGrid w:val="0"/>
              <w:spacing w:after="0" w:line="288" w:lineRule="auto"/>
              <w:jc w:val="center"/>
              <w:rPr>
                <w:rFonts w:ascii="宋体" w:hAnsi="宋体" w:eastAsia="宋体" w:cs="Times New Roman"/>
                <w:color w:val="000000"/>
                <w:kern w:val="0"/>
                <w:sz w:val="21"/>
                <w:szCs w:val="21"/>
                <w:highlight w:val="none"/>
              </w:rPr>
            </w:pPr>
            <w:r>
              <w:rPr>
                <w:rFonts w:hint="eastAsia" w:ascii="宋体" w:hAnsi="宋体" w:eastAsia="宋体" w:cs="Times New Roman"/>
                <w:color w:val="000000"/>
                <w:kern w:val="0"/>
                <w:sz w:val="21"/>
                <w:szCs w:val="21"/>
                <w:highlight w:val="none"/>
              </w:rPr>
              <w:t>分值构成</w:t>
            </w:r>
          </w:p>
          <w:p>
            <w:pPr>
              <w:widowControl w:val="0"/>
              <w:adjustRightInd w:val="0"/>
              <w:snapToGrid w:val="0"/>
              <w:spacing w:after="0" w:line="288" w:lineRule="auto"/>
              <w:ind w:left="1" w:leftChars="0"/>
              <w:jc w:val="center"/>
              <w:rPr>
                <w:rFonts w:asciiTheme="minorEastAsia" w:hAnsiTheme="minorEastAsia" w:eastAsiaTheme="minorEastAsia"/>
                <w:sz w:val="21"/>
                <w:szCs w:val="21"/>
              </w:rPr>
            </w:pPr>
            <w:r>
              <w:rPr>
                <w:rFonts w:hint="eastAsia" w:ascii="宋体" w:hAnsi="宋体" w:eastAsia="宋体" w:cs="Times New Roman"/>
                <w:color w:val="000000"/>
                <w:sz w:val="21"/>
                <w:szCs w:val="21"/>
                <w:highlight w:val="none"/>
              </w:rPr>
              <w:t>（总分100分）</w:t>
            </w:r>
          </w:p>
        </w:tc>
        <w:tc>
          <w:tcPr>
            <w:tcW w:w="5113" w:type="dxa"/>
            <w:vAlign w:val="center"/>
          </w:tcPr>
          <w:p>
            <w:pPr>
              <w:widowControl w:val="0"/>
              <w:adjustRightInd w:val="0"/>
              <w:snapToGrid w:val="0"/>
              <w:spacing w:after="0" w:line="288" w:lineRule="auto"/>
              <w:jc w:val="both"/>
              <w:rPr>
                <w:rFonts w:hint="eastAsia"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（1）商务部分：</w:t>
            </w:r>
            <w:r>
              <w:rPr>
                <w:rFonts w:hint="eastAsia" w:ascii="宋体" w:hAnsi="宋体" w:eastAsia="宋体" w:cs="Times New Roman"/>
                <w:color w:val="FF0000"/>
                <w:sz w:val="21"/>
                <w:szCs w:val="21"/>
                <w:highlight w:val="none"/>
                <w:lang w:val="en-US" w:eastAsia="zh-CN"/>
              </w:rPr>
              <w:t xml:space="preserve"> </w:t>
            </w:r>
            <w:r>
              <w:rPr>
                <w:rFonts w:hint="eastAsia" w:ascii="宋体" w:hAnsi="宋体" w:cs="Times New Roman"/>
                <w:color w:val="FF0000"/>
                <w:sz w:val="21"/>
                <w:szCs w:val="21"/>
                <w:highlight w:val="none"/>
                <w:u w:val="single"/>
                <w:lang w:val="en-US" w:eastAsia="zh-CN"/>
              </w:rPr>
              <w:t>25</w:t>
            </w:r>
            <w:r>
              <w:rPr>
                <w:rFonts w:hint="eastAsia" w:ascii="宋体" w:hAnsi="宋体" w:eastAsia="宋体" w:cs="Times New Roman"/>
                <w:color w:val="FF0000"/>
                <w:sz w:val="21"/>
                <w:szCs w:val="21"/>
                <w:highlight w:val="none"/>
              </w:rPr>
              <w:t>分</w:t>
            </w:r>
          </w:p>
          <w:p>
            <w:pPr>
              <w:widowControl w:val="0"/>
              <w:adjustRightInd w:val="0"/>
              <w:snapToGrid w:val="0"/>
              <w:spacing w:after="0" w:line="288" w:lineRule="auto"/>
              <w:jc w:val="both"/>
              <w:rPr>
                <w:rFonts w:hint="eastAsia"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（2）技术部分：</w:t>
            </w:r>
            <w:r>
              <w:rPr>
                <w:rFonts w:hint="eastAsia" w:ascii="宋体" w:hAnsi="宋体" w:eastAsia="宋体" w:cs="Times New Roman"/>
                <w:color w:val="FF0000"/>
                <w:sz w:val="21"/>
                <w:szCs w:val="21"/>
                <w:highlight w:val="none"/>
                <w:u w:val="none"/>
              </w:rPr>
              <w:t xml:space="preserve"> </w:t>
            </w:r>
            <w:r>
              <w:rPr>
                <w:rFonts w:hint="eastAsia" w:ascii="宋体" w:hAnsi="宋体" w:cs="Times New Roman"/>
                <w:color w:val="FF0000"/>
                <w:sz w:val="21"/>
                <w:szCs w:val="21"/>
                <w:highlight w:val="none"/>
                <w:u w:val="single"/>
                <w:lang w:val="en-US" w:eastAsia="zh-CN"/>
              </w:rPr>
              <w:t>35</w:t>
            </w:r>
            <w:r>
              <w:rPr>
                <w:rFonts w:hint="eastAsia" w:ascii="宋体" w:hAnsi="宋体" w:eastAsia="宋体" w:cs="Times New Roman"/>
                <w:color w:val="FF0000"/>
                <w:sz w:val="21"/>
                <w:szCs w:val="21"/>
                <w:highlight w:val="none"/>
                <w:u w:val="single"/>
                <w:lang w:val="en-US" w:eastAsia="zh-CN"/>
              </w:rPr>
              <w:t xml:space="preserve"> </w:t>
            </w:r>
            <w:r>
              <w:rPr>
                <w:rFonts w:hint="eastAsia" w:ascii="宋体" w:hAnsi="宋体" w:eastAsia="宋体" w:cs="Times New Roman"/>
                <w:color w:val="FF0000"/>
                <w:sz w:val="21"/>
                <w:szCs w:val="21"/>
                <w:highlight w:val="none"/>
              </w:rPr>
              <w:t>分</w:t>
            </w:r>
          </w:p>
          <w:p>
            <w:pPr>
              <w:widowControl w:val="0"/>
              <w:adjustRightInd w:val="0"/>
              <w:snapToGrid w:val="0"/>
              <w:spacing w:after="0" w:line="288" w:lineRule="auto"/>
              <w:jc w:val="both"/>
              <w:rPr>
                <w:rFonts w:cs="仿宋" w:asciiTheme="minorEastAsia" w:hAnsiTheme="minorEastAsia" w:eastAsiaTheme="minorEastAsia"/>
                <w:sz w:val="21"/>
                <w:szCs w:val="21"/>
              </w:rPr>
            </w:pPr>
            <w:r>
              <w:rPr>
                <w:rFonts w:hint="eastAsia" w:ascii="宋体" w:hAnsi="宋体" w:eastAsia="宋体" w:cs="Times New Roman"/>
                <w:color w:val="FF0000"/>
                <w:sz w:val="21"/>
                <w:szCs w:val="21"/>
                <w:highlight w:val="none"/>
              </w:rPr>
              <w:t>（3）投标报价：</w:t>
            </w:r>
            <w:r>
              <w:rPr>
                <w:rFonts w:hint="eastAsia" w:ascii="宋体" w:hAnsi="宋体" w:eastAsia="宋体" w:cs="Times New Roman"/>
                <w:color w:val="FF0000"/>
                <w:sz w:val="21"/>
                <w:szCs w:val="21"/>
                <w:highlight w:val="none"/>
                <w:u w:val="none"/>
              </w:rPr>
              <w:t xml:space="preserve"> </w:t>
            </w:r>
            <w:r>
              <w:rPr>
                <w:rFonts w:hint="eastAsia" w:ascii="宋体" w:hAnsi="宋体" w:cs="Times New Roman"/>
                <w:color w:val="FF0000"/>
                <w:sz w:val="21"/>
                <w:szCs w:val="21"/>
                <w:highlight w:val="none"/>
                <w:u w:val="single"/>
                <w:lang w:val="en-US" w:eastAsia="zh-CN"/>
              </w:rPr>
              <w:t>40</w:t>
            </w:r>
            <w:r>
              <w:rPr>
                <w:rFonts w:hint="eastAsia" w:ascii="宋体" w:hAnsi="宋体" w:eastAsia="宋体" w:cs="Times New Roman"/>
                <w:color w:val="FF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Merge w:val="restart"/>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sz w:val="21"/>
                <w:szCs w:val="21"/>
                <w:highlight w:val="none"/>
              </w:rPr>
              <w:t>2.2.</w:t>
            </w:r>
            <w:r>
              <w:rPr>
                <w:rFonts w:hint="eastAsia" w:ascii="宋体" w:hAnsi="宋体" w:eastAsia="宋体" w:cs="Times New Roman"/>
                <w:color w:val="000000"/>
                <w:sz w:val="21"/>
                <w:szCs w:val="21"/>
                <w:highlight w:val="none"/>
              </w:rPr>
              <w:t>2</w:t>
            </w:r>
          </w:p>
        </w:tc>
        <w:tc>
          <w:tcPr>
            <w:tcW w:w="1665"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商务部分评分标准</w:t>
            </w:r>
          </w:p>
        </w:tc>
        <w:tc>
          <w:tcPr>
            <w:tcW w:w="5113"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详见本章</w:t>
            </w:r>
            <w:r>
              <w:rPr>
                <w:rFonts w:hint="eastAsia" w:ascii="宋体" w:hAnsi="宋体" w:eastAsia="宋体" w:cs="Times New Roman"/>
                <w:b/>
                <w:color w:val="000000"/>
                <w:sz w:val="21"/>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Merge w:val="continue"/>
            <w:vAlign w:val="center"/>
          </w:tcPr>
          <w:p>
            <w:pPr>
              <w:widowControl w:val="0"/>
              <w:adjustRightInd w:val="0"/>
              <w:snapToGrid w:val="0"/>
              <w:spacing w:after="0" w:line="288" w:lineRule="auto"/>
              <w:jc w:val="center"/>
              <w:rPr>
                <w:rFonts w:hint="eastAsia" w:ascii="宋体" w:hAnsi="宋体" w:eastAsia="宋体" w:cs="Times New Roman"/>
                <w:color w:val="000000"/>
                <w:sz w:val="21"/>
                <w:szCs w:val="21"/>
                <w:highlight w:val="none"/>
              </w:rPr>
            </w:pPr>
          </w:p>
        </w:tc>
        <w:tc>
          <w:tcPr>
            <w:tcW w:w="1665"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技术部分评分标准</w:t>
            </w:r>
          </w:p>
        </w:tc>
        <w:tc>
          <w:tcPr>
            <w:tcW w:w="5113"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详见本章</w:t>
            </w:r>
            <w:r>
              <w:rPr>
                <w:rFonts w:hint="eastAsia" w:ascii="宋体" w:hAnsi="宋体" w:eastAsia="宋体" w:cs="Times New Roman"/>
                <w:b/>
                <w:color w:val="000000"/>
                <w:sz w:val="21"/>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984" w:type="dxa"/>
            <w:gridSpan w:val="2"/>
            <w:vMerge w:val="continue"/>
            <w:vAlign w:val="center"/>
          </w:tcPr>
          <w:p>
            <w:pPr>
              <w:widowControl w:val="0"/>
              <w:adjustRightInd w:val="0"/>
              <w:snapToGrid w:val="0"/>
              <w:spacing w:after="0" w:line="288" w:lineRule="auto"/>
              <w:jc w:val="center"/>
              <w:rPr>
                <w:rFonts w:hint="eastAsia" w:ascii="宋体" w:hAnsi="宋体" w:eastAsia="宋体" w:cs="Times New Roman"/>
                <w:color w:val="000000"/>
                <w:sz w:val="21"/>
                <w:szCs w:val="21"/>
                <w:highlight w:val="none"/>
              </w:rPr>
            </w:pPr>
          </w:p>
        </w:tc>
        <w:tc>
          <w:tcPr>
            <w:tcW w:w="1665"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投标报价评分标准</w:t>
            </w:r>
          </w:p>
        </w:tc>
        <w:tc>
          <w:tcPr>
            <w:tcW w:w="5113" w:type="dxa"/>
            <w:vAlign w:val="center"/>
          </w:tcPr>
          <w:p>
            <w:pPr>
              <w:widowControl w:val="0"/>
              <w:adjustRightInd w:val="0"/>
              <w:snapToGrid w:val="0"/>
              <w:spacing w:after="0" w:line="288" w:lineRule="auto"/>
              <w:jc w:val="lef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投</w:t>
            </w:r>
            <w:r>
              <w:rPr>
                <w:rFonts w:hint="eastAsia" w:ascii="宋体" w:hAnsi="宋体"/>
                <w:color w:val="000000"/>
                <w:sz w:val="21"/>
                <w:szCs w:val="21"/>
                <w:highlight w:val="none"/>
              </w:rPr>
              <w:t>标人的投标价得分计算公式示例：</w:t>
            </w:r>
          </w:p>
          <w:p>
            <w:pPr>
              <w:widowControl w:val="0"/>
              <w:adjustRightInd w:val="0"/>
              <w:snapToGrid w:val="0"/>
              <w:spacing w:after="0" w:line="288" w:lineRule="auto"/>
              <w:jc w:val="left"/>
              <w:rPr>
                <w:rFonts w:hint="eastAsia" w:ascii="宋体" w:hAnsi="宋体"/>
                <w:color w:val="000000"/>
                <w:sz w:val="21"/>
                <w:szCs w:val="21"/>
                <w:highlight w:val="none"/>
              </w:rPr>
            </w:pPr>
            <w:r>
              <w:rPr>
                <w:rFonts w:hint="eastAsia" w:ascii="宋体" w:hAnsi="宋体"/>
                <w:color w:val="000000"/>
                <w:sz w:val="21"/>
                <w:szCs w:val="21"/>
                <w:highlight w:val="none"/>
              </w:rPr>
              <w:t>（1）如果投标人的投标报价&gt;评标基准价，则投标报价得分=P-偏差率×P×E1；</w:t>
            </w:r>
          </w:p>
          <w:p>
            <w:pPr>
              <w:widowControl w:val="0"/>
              <w:adjustRightInd w:val="0"/>
              <w:snapToGrid w:val="0"/>
              <w:spacing w:after="0" w:line="288" w:lineRule="auto"/>
              <w:jc w:val="left"/>
              <w:rPr>
                <w:rFonts w:hint="eastAsia" w:ascii="宋体" w:hAnsi="宋体"/>
                <w:color w:val="000000"/>
                <w:sz w:val="21"/>
                <w:szCs w:val="21"/>
                <w:highlight w:val="none"/>
              </w:rPr>
            </w:pPr>
            <w:r>
              <w:rPr>
                <w:rFonts w:hint="eastAsia" w:ascii="宋体" w:hAnsi="宋体"/>
                <w:color w:val="000000"/>
                <w:sz w:val="21"/>
                <w:szCs w:val="21"/>
                <w:highlight w:val="none"/>
              </w:rPr>
              <w:t>（2）如果投标人的投标报价≤评标基准价，则投标报价得分=P+偏差率×P×E2。</w:t>
            </w:r>
          </w:p>
          <w:p>
            <w:pPr>
              <w:widowControl w:val="0"/>
              <w:adjustRightInd w:val="0"/>
              <w:snapToGrid w:val="0"/>
              <w:spacing w:after="0" w:line="288" w:lineRule="auto"/>
              <w:ind w:firstLine="0" w:firstLineChars="0"/>
              <w:jc w:val="left"/>
              <w:rPr>
                <w:rFonts w:hint="eastAsia" w:ascii="宋体" w:hAnsi="宋体"/>
                <w:color w:val="000000"/>
                <w:sz w:val="21"/>
                <w:szCs w:val="21"/>
                <w:highlight w:val="none"/>
              </w:rPr>
            </w:pPr>
            <w:r>
              <w:rPr>
                <w:rFonts w:hint="eastAsia" w:ascii="宋体" w:hAnsi="宋体"/>
                <w:color w:val="000000"/>
                <w:sz w:val="21"/>
                <w:szCs w:val="21"/>
                <w:highlight w:val="none"/>
              </w:rPr>
              <w:t>其中：P是投标报价所占的评分满分值；E1是投标报价每高于评标基准价一个百分点的扣分值；E2是投标报价每低于评标基准价一个百分点的扣分值；</w:t>
            </w:r>
          </w:p>
          <w:p>
            <w:pPr>
              <w:widowControl w:val="0"/>
              <w:adjustRightInd w:val="0"/>
              <w:snapToGrid w:val="0"/>
              <w:spacing w:after="0" w:line="288" w:lineRule="auto"/>
              <w:ind w:firstLine="0" w:firstLineChars="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E1=</w:t>
            </w:r>
            <w:r>
              <w:rPr>
                <w:rFonts w:hint="eastAsia" w:ascii="宋体" w:hAnsi="宋体" w:eastAsia="宋体"/>
                <w:color w:val="000000"/>
                <w:sz w:val="21"/>
                <w:szCs w:val="21"/>
                <w:highlight w:val="none"/>
                <w:lang w:val="en-US" w:eastAsia="zh-CN"/>
              </w:rPr>
              <w:t>2</w:t>
            </w:r>
            <w:r>
              <w:rPr>
                <w:rFonts w:hint="eastAsia" w:ascii="宋体" w:hAnsi="宋体"/>
                <w:color w:val="000000"/>
                <w:sz w:val="21"/>
                <w:szCs w:val="21"/>
                <w:highlight w:val="none"/>
              </w:rPr>
              <w:t>，E2=</w:t>
            </w:r>
            <w:r>
              <w:rPr>
                <w:rFonts w:hint="eastAsia" w:ascii="宋体" w:hAnsi="宋体" w:eastAsia="宋体"/>
                <w:color w:val="000000"/>
                <w:sz w:val="21"/>
                <w:szCs w:val="21"/>
                <w:highlight w:val="none"/>
                <w:lang w:val="en-US" w:eastAsia="zh-CN"/>
              </w:rPr>
              <w:t>1</w:t>
            </w:r>
            <w:r>
              <w:rPr>
                <w:rFonts w:hint="eastAsia" w:ascii="宋体" w:hAnsi="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 xml:space="preserve">3.4.1 </w:t>
            </w:r>
          </w:p>
        </w:tc>
        <w:tc>
          <w:tcPr>
            <w:tcW w:w="1665" w:type="dxa"/>
            <w:vAlign w:val="center"/>
          </w:tcPr>
          <w:p>
            <w:pPr>
              <w:widowControl w:val="0"/>
              <w:adjustRightInd w:val="0"/>
              <w:snapToGrid w:val="0"/>
              <w:spacing w:after="0" w:line="288" w:lineRule="auto"/>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 w:val="21"/>
                <w:szCs w:val="21"/>
                <w:highlight w:val="none"/>
                <w:lang w:eastAsia="zh-CN"/>
              </w:rPr>
              <w:t>供应商</w:t>
            </w:r>
            <w:r>
              <w:rPr>
                <w:rFonts w:hint="eastAsia" w:ascii="宋体" w:hAnsi="宋体" w:eastAsia="宋体" w:cs="Times New Roman"/>
                <w:color w:val="000000"/>
                <w:sz w:val="21"/>
                <w:szCs w:val="21"/>
                <w:highlight w:val="none"/>
              </w:rPr>
              <w:t>最终得分的计算方法</w:t>
            </w:r>
          </w:p>
        </w:tc>
        <w:tc>
          <w:tcPr>
            <w:tcW w:w="5113" w:type="dxa"/>
            <w:vAlign w:val="center"/>
          </w:tcPr>
          <w:p>
            <w:pPr>
              <w:widowControl w:val="0"/>
              <w:adjustRightInd w:val="0"/>
              <w:snapToGrid w:val="0"/>
              <w:spacing w:after="0" w:line="288" w:lineRule="auto"/>
              <w:jc w:val="both"/>
              <w:rPr>
                <w:rFonts w:hint="eastAsia" w:ascii="宋体" w:hAnsi="宋体" w:cs="Times New Roman" w:eastAsiaTheme="minorEastAsia"/>
                <w:color w:val="000000"/>
                <w:kern w:val="2"/>
                <w:sz w:val="21"/>
                <w:szCs w:val="21"/>
                <w:highlight w:val="none"/>
                <w:lang w:val="en-US" w:eastAsia="zh-CN" w:bidi="ar-SA"/>
              </w:rPr>
            </w:pPr>
            <w:r>
              <w:rPr>
                <w:rFonts w:hint="eastAsia" w:asciiTheme="minorEastAsia" w:hAnsiTheme="minorEastAsia" w:eastAsiaTheme="minorEastAsia"/>
                <w:szCs w:val="21"/>
              </w:rPr>
              <w:t>供应商最终得分为商务部分、技术部分、投标报价3个方面评价得分之和。</w:t>
            </w:r>
            <w:r>
              <w:rPr>
                <w:rFonts w:hint="eastAsia" w:asciiTheme="minorEastAsia" w:hAnsiTheme="minorEastAsia" w:eastAsiaTheme="minorEastAsia"/>
                <w:szCs w:val="21"/>
                <w:lang w:eastAsia="zh-CN"/>
              </w:rPr>
              <w:t>得分最高者为第一成交候选人。</w:t>
            </w:r>
          </w:p>
        </w:tc>
      </w:tr>
    </w:tbl>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widowControl w:val="0"/>
        <w:autoSpaceDN w:val="0"/>
        <w:adjustRightInd w:val="0"/>
        <w:snapToGrid w:val="0"/>
        <w:spacing w:after="0" w:line="312" w:lineRule="auto"/>
        <w:ind w:firstLine="482" w:firstLineChars="200"/>
        <w:jc w:val="both"/>
        <w:outlineLvl w:val="1"/>
        <w:rPr>
          <w:rFonts w:ascii="宋体" w:hAnsi="宋体" w:eastAsia="宋体" w:cs="Times New Roman"/>
          <w:b/>
          <w:color w:val="000000"/>
          <w:kern w:val="0"/>
          <w:sz w:val="24"/>
          <w:szCs w:val="24"/>
          <w:highlight w:val="none"/>
        </w:rPr>
      </w:pPr>
      <w:bookmarkStart w:id="12" w:name="_Toc76635705"/>
      <w:bookmarkStart w:id="13" w:name="_Toc77254126"/>
      <w:r>
        <w:rPr>
          <w:rFonts w:hint="eastAsia" w:ascii="宋体" w:hAnsi="宋体" w:eastAsia="宋体" w:cs="Times New Roman"/>
          <w:b/>
          <w:color w:val="000000"/>
          <w:kern w:val="0"/>
          <w:sz w:val="24"/>
          <w:szCs w:val="24"/>
          <w:highlight w:val="none"/>
        </w:rPr>
        <w:t>1．评标方法</w:t>
      </w:r>
      <w:bookmarkEnd w:id="12"/>
      <w:bookmarkEnd w:id="13"/>
      <w:r>
        <w:rPr>
          <w:rFonts w:hint="eastAsia" w:ascii="宋体" w:hAnsi="宋体" w:eastAsia="宋体" w:cs="Times New Roman"/>
          <w:b/>
          <w:color w:val="000000"/>
          <w:kern w:val="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本次评标采用综合评估法，评标委员会对满足</w:t>
      </w:r>
      <w:r>
        <w:rPr>
          <w:rFonts w:hint="eastAsia" w:ascii="宋体" w:hAnsi="宋体" w:cs="Times New Roman"/>
          <w:color w:val="000000"/>
          <w:sz w:val="24"/>
          <w:szCs w:val="24"/>
          <w:highlight w:val="none"/>
          <w:lang w:eastAsia="zh-CN"/>
        </w:rPr>
        <w:t>询价</w:t>
      </w:r>
      <w:r>
        <w:rPr>
          <w:rFonts w:hint="eastAsia" w:ascii="宋体" w:hAnsi="宋体" w:eastAsia="宋体" w:cs="Times New Roman"/>
          <w:color w:val="000000"/>
          <w:sz w:val="24"/>
          <w:szCs w:val="24"/>
          <w:highlight w:val="none"/>
        </w:rPr>
        <w:t>文件实质性要求的投标文件，按照本章第 2.2 款规定的评分标准进行打分，并按得分由高到低顺序推荐中标候选人，但投标报价低于其成本的除外。综合评分相等时，以投标报价低的优先；投标报价也相等的，以技术部分得分高的优先；如果技术部分得分也相等，</w:t>
      </w:r>
      <w:r>
        <w:rPr>
          <w:rFonts w:ascii="宋体" w:hAnsi="宋体" w:eastAsia="宋体" w:cs="Times New Roman"/>
          <w:color w:val="000000"/>
          <w:sz w:val="24"/>
          <w:szCs w:val="24"/>
          <w:highlight w:val="none"/>
        </w:rPr>
        <w:t>由</w:t>
      </w:r>
      <w:r>
        <w:rPr>
          <w:rFonts w:hint="eastAsia" w:ascii="宋体" w:hAnsi="宋体" w:cs="Times New Roman"/>
          <w:color w:val="000000"/>
          <w:sz w:val="24"/>
          <w:szCs w:val="24"/>
          <w:highlight w:val="none"/>
          <w:lang w:eastAsia="zh-CN"/>
        </w:rPr>
        <w:t>采购人</w:t>
      </w:r>
      <w:r>
        <w:rPr>
          <w:rFonts w:ascii="宋体" w:hAnsi="宋体" w:eastAsia="宋体" w:cs="Times New Roman"/>
          <w:color w:val="000000"/>
          <w:sz w:val="24"/>
          <w:szCs w:val="24"/>
          <w:highlight w:val="none"/>
        </w:rPr>
        <w:t>或者经</w:t>
      </w:r>
      <w:r>
        <w:rPr>
          <w:rFonts w:hint="eastAsia" w:ascii="宋体" w:hAnsi="宋体" w:cs="Times New Roman"/>
          <w:color w:val="000000"/>
          <w:sz w:val="24"/>
          <w:szCs w:val="24"/>
          <w:highlight w:val="none"/>
          <w:lang w:eastAsia="zh-CN"/>
        </w:rPr>
        <w:t>采购人</w:t>
      </w:r>
      <w:r>
        <w:rPr>
          <w:rFonts w:ascii="宋体" w:hAnsi="宋体" w:eastAsia="宋体" w:cs="Times New Roman"/>
          <w:color w:val="000000"/>
          <w:sz w:val="24"/>
          <w:szCs w:val="24"/>
          <w:highlight w:val="none"/>
        </w:rPr>
        <w:t>授权评标委员会自行确定。</w:t>
      </w:r>
    </w:p>
    <w:p>
      <w:pPr>
        <w:widowControl w:val="0"/>
        <w:autoSpaceDN w:val="0"/>
        <w:adjustRightInd w:val="0"/>
        <w:snapToGrid w:val="0"/>
        <w:spacing w:after="0" w:line="312" w:lineRule="auto"/>
        <w:ind w:firstLine="482" w:firstLineChars="200"/>
        <w:jc w:val="both"/>
        <w:outlineLvl w:val="1"/>
        <w:rPr>
          <w:rFonts w:hint="eastAsia" w:ascii="宋体" w:hAnsi="宋体" w:eastAsia="宋体" w:cs="Times New Roman"/>
          <w:b/>
          <w:color w:val="000000"/>
          <w:kern w:val="0"/>
          <w:sz w:val="24"/>
          <w:szCs w:val="24"/>
          <w:highlight w:val="none"/>
        </w:rPr>
      </w:pPr>
      <w:bookmarkStart w:id="14" w:name="_Toc77254127"/>
      <w:bookmarkStart w:id="15" w:name="_Toc13445"/>
      <w:bookmarkStart w:id="16" w:name="_Toc76635706"/>
      <w:bookmarkStart w:id="17" w:name="_Toc512257486"/>
      <w:r>
        <w:rPr>
          <w:rFonts w:hint="eastAsia" w:ascii="宋体" w:hAnsi="宋体" w:eastAsia="宋体" w:cs="Times New Roman"/>
          <w:b/>
          <w:color w:val="000000"/>
          <w:kern w:val="0"/>
          <w:sz w:val="24"/>
          <w:szCs w:val="24"/>
          <w:highlight w:val="none"/>
        </w:rPr>
        <w:t>2．评审标准</w:t>
      </w:r>
      <w:bookmarkEnd w:id="14"/>
      <w:bookmarkEnd w:id="15"/>
      <w:bookmarkEnd w:id="16"/>
      <w:bookmarkEnd w:id="17"/>
      <w:r>
        <w:rPr>
          <w:rFonts w:hint="eastAsia" w:ascii="宋体" w:hAnsi="宋体" w:eastAsia="宋体" w:cs="Times New Roman"/>
          <w:b/>
          <w:color w:val="000000"/>
          <w:kern w:val="0"/>
          <w:sz w:val="24"/>
          <w:szCs w:val="24"/>
          <w:highlight w:val="none"/>
        </w:rPr>
        <w:t xml:space="preserve">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18" w:name="_Toc11852"/>
      <w:r>
        <w:rPr>
          <w:rFonts w:hint="eastAsia" w:ascii="宋体" w:hAnsi="宋体" w:eastAsia="宋体" w:cs="Times New Roman"/>
          <w:b/>
          <w:color w:val="000000"/>
          <w:sz w:val="24"/>
          <w:szCs w:val="24"/>
          <w:highlight w:val="none"/>
        </w:rPr>
        <w:t>2.1 初步评审标准</w:t>
      </w:r>
      <w:bookmarkEnd w:id="18"/>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2.1.1 形式评审标准：见评标办法前附表。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2.1.2 资格评审标准：见评标办法前附表。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2.1.3 响应性评审标准：见评标办法前附表。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19" w:name="_Toc8911"/>
      <w:r>
        <w:rPr>
          <w:rFonts w:hint="eastAsia" w:ascii="宋体" w:hAnsi="宋体" w:eastAsia="宋体" w:cs="Times New Roman"/>
          <w:b/>
          <w:color w:val="000000"/>
          <w:sz w:val="24"/>
          <w:szCs w:val="24"/>
          <w:highlight w:val="none"/>
        </w:rPr>
        <w:t>2.2 分值构成与评分标准</w:t>
      </w:r>
      <w:bookmarkEnd w:id="19"/>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2.2.1 分值构成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（1）商务部分：见评标办法附表；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（2）技术部分：见评标办法附表；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（3）投标报价部分：见评标办法附表。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2.2.2 评分标准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（1）商务部分评分标准：见评标办法前附表；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（2）技术部分评分标准：见评标办法前附表；</w:t>
      </w:r>
    </w:p>
    <w:p>
      <w:pPr>
        <w:pStyle w:val="22"/>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（3）投标报价评分标准：见评标办法前附表。</w:t>
      </w:r>
    </w:p>
    <w:p>
      <w:pPr>
        <w:widowControl w:val="0"/>
        <w:autoSpaceDN w:val="0"/>
        <w:adjustRightInd w:val="0"/>
        <w:snapToGrid w:val="0"/>
        <w:spacing w:after="0" w:line="312" w:lineRule="auto"/>
        <w:ind w:firstLine="482" w:firstLineChars="200"/>
        <w:jc w:val="both"/>
        <w:outlineLvl w:val="1"/>
        <w:rPr>
          <w:rFonts w:hint="eastAsia" w:ascii="宋体" w:hAnsi="宋体" w:eastAsia="宋体" w:cs="Times New Roman"/>
          <w:b/>
          <w:color w:val="000000"/>
          <w:kern w:val="0"/>
          <w:sz w:val="24"/>
          <w:szCs w:val="24"/>
          <w:highlight w:val="none"/>
        </w:rPr>
      </w:pPr>
      <w:bookmarkStart w:id="20" w:name="_Toc76635707"/>
      <w:bookmarkStart w:id="21" w:name="_Toc77254128"/>
      <w:bookmarkStart w:id="22" w:name="_Toc16627"/>
      <w:bookmarkStart w:id="23" w:name="_Toc512257487"/>
      <w:r>
        <w:rPr>
          <w:rFonts w:hint="eastAsia" w:ascii="宋体" w:hAnsi="宋体" w:eastAsia="宋体" w:cs="Times New Roman"/>
          <w:b/>
          <w:color w:val="000000"/>
          <w:kern w:val="0"/>
          <w:sz w:val="24"/>
          <w:szCs w:val="24"/>
          <w:highlight w:val="none"/>
        </w:rPr>
        <w:t>3．评标程序</w:t>
      </w:r>
      <w:bookmarkEnd w:id="20"/>
      <w:bookmarkEnd w:id="21"/>
      <w:bookmarkEnd w:id="22"/>
      <w:bookmarkEnd w:id="23"/>
      <w:r>
        <w:rPr>
          <w:rFonts w:hint="eastAsia" w:ascii="宋体" w:hAnsi="宋体" w:eastAsia="宋体" w:cs="Times New Roman"/>
          <w:b/>
          <w:color w:val="000000"/>
          <w:kern w:val="0"/>
          <w:sz w:val="24"/>
          <w:szCs w:val="24"/>
          <w:highlight w:val="none"/>
        </w:rPr>
        <w:t xml:space="preserve">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4" w:name="_Toc20466"/>
      <w:r>
        <w:rPr>
          <w:rFonts w:hint="eastAsia" w:ascii="宋体" w:hAnsi="宋体" w:eastAsia="宋体" w:cs="Times New Roman"/>
          <w:b/>
          <w:color w:val="000000"/>
          <w:sz w:val="24"/>
          <w:szCs w:val="24"/>
          <w:highlight w:val="none"/>
        </w:rPr>
        <w:t>3.1 初步评审</w:t>
      </w:r>
      <w:bookmarkEnd w:id="24"/>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3.1.1</w:t>
      </w:r>
      <w:r>
        <w:rPr>
          <w:rFonts w:hint="eastAsia" w:ascii="宋体" w:hAnsi="宋体" w:eastAsia="宋体" w:cs="Times New Roman"/>
          <w:color w:val="000000"/>
          <w:sz w:val="24"/>
          <w:szCs w:val="24"/>
          <w:highlight w:val="none"/>
        </w:rPr>
        <w:t>评标委员会可以要求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提交第二章“</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须知”第</w:t>
      </w:r>
      <w:r>
        <w:rPr>
          <w:rFonts w:ascii="宋体" w:hAnsi="宋体" w:eastAsia="宋体" w:cs="Times New Roman"/>
          <w:color w:val="000000"/>
          <w:sz w:val="24"/>
          <w:szCs w:val="24"/>
          <w:highlight w:val="none"/>
        </w:rPr>
        <w:t>3.5</w:t>
      </w:r>
      <w:r>
        <w:rPr>
          <w:rFonts w:hint="eastAsia" w:ascii="宋体" w:hAnsi="宋体" w:eastAsia="宋体" w:cs="Times New Roman"/>
          <w:color w:val="000000"/>
          <w:sz w:val="24"/>
          <w:szCs w:val="24"/>
          <w:highlight w:val="none"/>
        </w:rPr>
        <w:t>项规定的有关证明和证件的原件，以便核验。评标委员会依据本章第</w:t>
      </w:r>
      <w:r>
        <w:rPr>
          <w:rFonts w:ascii="宋体" w:hAnsi="宋体" w:eastAsia="宋体" w:cs="Times New Roman"/>
          <w:color w:val="000000"/>
          <w:sz w:val="24"/>
          <w:szCs w:val="24"/>
          <w:highlight w:val="none"/>
        </w:rPr>
        <w:t>2.1</w:t>
      </w:r>
      <w:r>
        <w:rPr>
          <w:rFonts w:hint="eastAsia" w:ascii="宋体" w:hAnsi="宋体" w:eastAsia="宋体" w:cs="Times New Roman"/>
          <w:color w:val="000000"/>
          <w:sz w:val="24"/>
          <w:szCs w:val="24"/>
          <w:highlight w:val="none"/>
        </w:rPr>
        <w:t>款规定的标准对投标文件进行初步评审。有一项不符合评审标准的，作废标处理。</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 xml:space="preserve">3.1.2 </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有以下情形之一的，其投标作废标处理：</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l</w:t>
      </w:r>
      <w:r>
        <w:rPr>
          <w:rFonts w:hint="eastAsia" w:ascii="宋体" w:hAnsi="宋体" w:eastAsia="宋体" w:cs="Times New Roman"/>
          <w:color w:val="000000"/>
          <w:sz w:val="24"/>
          <w:szCs w:val="24"/>
          <w:highlight w:val="none"/>
        </w:rPr>
        <w:t>）第二章“</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须知”第</w:t>
      </w:r>
      <w:r>
        <w:rPr>
          <w:rFonts w:ascii="宋体" w:hAnsi="宋体" w:eastAsia="宋体" w:cs="Times New Roman"/>
          <w:color w:val="000000"/>
          <w:sz w:val="24"/>
          <w:szCs w:val="24"/>
          <w:highlight w:val="none"/>
        </w:rPr>
        <w:t>1.4.3</w:t>
      </w:r>
      <w:r>
        <w:rPr>
          <w:rFonts w:hint="eastAsia" w:ascii="宋体" w:hAnsi="宋体" w:eastAsia="宋体" w:cs="Times New Roman"/>
          <w:color w:val="000000"/>
          <w:sz w:val="24"/>
          <w:szCs w:val="24"/>
          <w:highlight w:val="none"/>
        </w:rPr>
        <w:t>项和</w:t>
      </w:r>
      <w:r>
        <w:rPr>
          <w:rFonts w:ascii="宋体" w:hAnsi="宋体" w:eastAsia="宋体" w:cs="Times New Roman"/>
          <w:color w:val="000000"/>
          <w:sz w:val="24"/>
          <w:szCs w:val="24"/>
          <w:highlight w:val="none"/>
        </w:rPr>
        <w:t>9.2</w:t>
      </w:r>
      <w:r>
        <w:rPr>
          <w:rFonts w:hint="eastAsia" w:ascii="宋体" w:hAnsi="宋体" w:eastAsia="宋体" w:cs="Times New Roman"/>
          <w:color w:val="000000"/>
          <w:sz w:val="24"/>
          <w:szCs w:val="24"/>
          <w:highlight w:val="none"/>
        </w:rPr>
        <w:t>项规定的任何一种情形的：</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）串通投标或弄虚作假或有其他违法行为的；</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3</w:t>
      </w:r>
      <w:r>
        <w:rPr>
          <w:rFonts w:hint="eastAsia" w:ascii="宋体" w:hAnsi="宋体" w:eastAsia="宋体" w:cs="Times New Roman"/>
          <w:color w:val="000000"/>
          <w:sz w:val="24"/>
          <w:szCs w:val="24"/>
          <w:highlight w:val="none"/>
        </w:rPr>
        <w:t>）不按评标委员会要求澄清、说明或补正的。3.1.3 投标报价有算术错误及其他错误的，评标委员会按以下原则要求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对投标报价进行修正，并要求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书面澄清确认。</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拒不澄清确认的，评标委员会应当否决其投标：</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（1）投标文件中的大写金额与小写金额不一致的，以大写金额为准；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（2）总价金额与单价金额不一致的，以单价金额为准，但单价金额小数点有明显错误的除外；</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 xml:space="preserve">（3）投标报价为各分项报价金额之和，投标报价与分项报价的合价不一致的，应以各分项合价累计数为准，修正投标报价； </w:t>
      </w:r>
    </w:p>
    <w:p>
      <w:pPr>
        <w:pStyle w:val="3"/>
        <w:adjustRightInd w:val="0"/>
        <w:snapToGrid w:val="0"/>
        <w:spacing w:after="0" w:line="312" w:lineRule="auto"/>
        <w:ind w:firstLine="475" w:firstLineChars="198"/>
        <w:rPr>
          <w:rFonts w:ascii="宋体" w:hAnsi="宋体"/>
          <w:color w:val="000000"/>
          <w:sz w:val="24"/>
          <w:highlight w:val="none"/>
        </w:rPr>
      </w:pPr>
      <w:r>
        <w:rPr>
          <w:rFonts w:hint="eastAsia" w:ascii="宋体" w:hAnsi="宋体"/>
          <w:color w:val="000000"/>
          <w:sz w:val="24"/>
          <w:highlight w:val="none"/>
        </w:rPr>
        <w:t>3.1.4 进入投标报价分计算的</w:t>
      </w:r>
      <w:r>
        <w:rPr>
          <w:rFonts w:hint="eastAsia" w:ascii="宋体" w:hAnsi="宋体"/>
          <w:color w:val="000000"/>
          <w:sz w:val="24"/>
          <w:highlight w:val="none"/>
          <w:lang w:eastAsia="zh-CN"/>
        </w:rPr>
        <w:t>供应商</w:t>
      </w:r>
      <w:r>
        <w:rPr>
          <w:rFonts w:hint="eastAsia" w:ascii="宋体" w:hAnsi="宋体"/>
          <w:color w:val="000000"/>
          <w:sz w:val="24"/>
          <w:highlight w:val="none"/>
        </w:rPr>
        <w:t>投标报价均指经算术性错误修正后的最终投标报价。</w:t>
      </w:r>
      <w:r>
        <w:rPr>
          <w:rFonts w:hint="eastAsia" w:ascii="宋体" w:hAnsi="宋体"/>
          <w:color w:val="000000"/>
          <w:sz w:val="24"/>
          <w:highlight w:val="none"/>
          <w:lang w:eastAsia="zh-CN"/>
        </w:rPr>
        <w:t>供应商</w:t>
      </w:r>
      <w:r>
        <w:rPr>
          <w:rFonts w:hint="eastAsia" w:ascii="宋体" w:hAnsi="宋体"/>
          <w:color w:val="000000"/>
          <w:sz w:val="24"/>
          <w:highlight w:val="none"/>
        </w:rPr>
        <w:t>的最终投标报价若超过最高投标限价(如有)，</w:t>
      </w:r>
      <w:r>
        <w:rPr>
          <w:rFonts w:hint="eastAsia" w:ascii="宋体" w:hAnsi="宋体"/>
          <w:color w:val="000000"/>
          <w:sz w:val="24"/>
          <w:highlight w:val="none"/>
          <w:lang w:eastAsia="zh-CN"/>
        </w:rPr>
        <w:t>供应商</w:t>
      </w:r>
      <w:r>
        <w:rPr>
          <w:rFonts w:hint="eastAsia" w:ascii="宋体" w:hAnsi="宋体"/>
          <w:color w:val="000000"/>
          <w:sz w:val="24"/>
          <w:highlight w:val="none"/>
        </w:rPr>
        <w:t>的投标文件作废标处理。</w:t>
      </w:r>
      <w:r>
        <w:rPr>
          <w:rFonts w:ascii="宋体" w:hAnsi="宋体"/>
          <w:color w:val="000000"/>
          <w:sz w:val="24"/>
          <w:highlight w:val="none"/>
        </w:rPr>
        <w:t xml:space="preserve">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5" w:name="_Toc4450"/>
      <w:r>
        <w:rPr>
          <w:rFonts w:hint="eastAsia" w:ascii="宋体" w:hAnsi="宋体" w:eastAsia="宋体" w:cs="Times New Roman"/>
          <w:b/>
          <w:color w:val="000000"/>
          <w:sz w:val="24"/>
          <w:szCs w:val="24"/>
          <w:highlight w:val="none"/>
        </w:rPr>
        <w:t>3.2 详细评审</w:t>
      </w:r>
      <w:bookmarkEnd w:id="25"/>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3.2.1 评标委员会按本章第2.2款规定的量化因素和分值进行打分，并计算出综合评估得分。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（1）按本章第2.2.</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 xml:space="preserve">（1）目规定的评分因素和标准对商务部分计算出得分A；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（2）按本章第2.2.</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（2）目规定的评分因素和标准对技术部分计算出得分 B；</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（3）按本章第2.2.</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（3）目规定的评分因素和标准对投标报价计算出得分C；</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3.2.2 评分分值计算保留小数点后两位，小数点后第三位“四舍五入”。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3.2.3</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得分=</w:t>
      </w:r>
      <w:r>
        <w:rPr>
          <w:rFonts w:hint="eastAsia" w:ascii="宋体" w:hAnsi="宋体" w:eastAsia="宋体" w:cs="Times New Roman"/>
          <w:color w:val="000000"/>
          <w:kern w:val="0"/>
          <w:sz w:val="24"/>
          <w:szCs w:val="24"/>
          <w:highlight w:val="none"/>
        </w:rPr>
        <w:t xml:space="preserve"> A</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kern w:val="0"/>
          <w:sz w:val="24"/>
          <w:szCs w:val="24"/>
          <w:highlight w:val="none"/>
        </w:rPr>
        <w:t xml:space="preserve"> B</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kern w:val="0"/>
          <w:sz w:val="24"/>
          <w:szCs w:val="24"/>
          <w:highlight w:val="none"/>
        </w:rPr>
        <w:t>C</w:t>
      </w:r>
      <w:r>
        <w:rPr>
          <w:rFonts w:hint="eastAsia" w:ascii="宋体" w:hAnsi="宋体" w:eastAsia="宋体" w:cs="Times New Roman"/>
          <w:color w:val="000000"/>
          <w:sz w:val="24"/>
          <w:szCs w:val="24"/>
          <w:highlight w:val="none"/>
        </w:rPr>
        <w:t>。</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6" w:name="_Toc16822"/>
      <w:r>
        <w:rPr>
          <w:rFonts w:hint="eastAsia" w:ascii="宋体" w:hAnsi="宋体" w:eastAsia="宋体" w:cs="Times New Roman"/>
          <w:b/>
          <w:color w:val="000000"/>
          <w:sz w:val="24"/>
          <w:szCs w:val="24"/>
          <w:highlight w:val="none"/>
        </w:rPr>
        <w:t>3.3 投标文件的澄清</w:t>
      </w:r>
      <w:bookmarkEnd w:id="26"/>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3.3.1 在评标过程中，评标委员会可以书面形式要求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 xml:space="preserve">主动提出的澄清、说明或补正。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3.3.2 澄清、说明或补正不得超出投标文件的范围且不得改变投标文件的实质性内容，并构成投标文件的组成部分。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3.3.3 评标委员会对</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提交的澄清、说明或补正有疑问的，可以要求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 xml:space="preserve">进一步澄清、说明或补正，直至满足评标委员会的要求。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7" w:name="_Toc21250"/>
      <w:r>
        <w:rPr>
          <w:rFonts w:hint="eastAsia" w:ascii="宋体" w:hAnsi="宋体" w:eastAsia="宋体" w:cs="Times New Roman"/>
          <w:b/>
          <w:color w:val="000000"/>
          <w:sz w:val="24"/>
          <w:szCs w:val="24"/>
          <w:highlight w:val="none"/>
        </w:rPr>
        <w:t>3.4 评标结果</w:t>
      </w:r>
      <w:bookmarkEnd w:id="27"/>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3.4.1 除第二章“</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 xml:space="preserve">须知”前附表授权直接确定中标人外，评标委员会按照得分由高到低的顺序推荐中标候选人，并标明排序。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3.4.2 评标委员会完成评标后，应当向</w:t>
      </w:r>
      <w:r>
        <w:rPr>
          <w:rFonts w:hint="eastAsia" w:ascii="宋体" w:hAnsi="宋体" w:cs="Times New Roman"/>
          <w:color w:val="000000"/>
          <w:sz w:val="24"/>
          <w:szCs w:val="24"/>
          <w:highlight w:val="none"/>
          <w:lang w:eastAsia="zh-CN"/>
        </w:rPr>
        <w:t>采购人</w:t>
      </w:r>
      <w:r>
        <w:rPr>
          <w:rFonts w:hint="eastAsia" w:ascii="宋体" w:hAnsi="宋体" w:eastAsia="宋体" w:cs="Times New Roman"/>
          <w:color w:val="000000"/>
          <w:sz w:val="24"/>
          <w:szCs w:val="24"/>
          <w:highlight w:val="none"/>
        </w:rPr>
        <w:t xml:space="preserve">提交书面评标报告和中标候选人名单。 </w:t>
      </w:r>
    </w:p>
    <w:p>
      <w:pPr>
        <w:rPr>
          <w:rFonts w:hint="eastAsia" w:ascii="黑体" w:hAnsi="黑体" w:eastAsia="黑体" w:cs="宋体"/>
          <w:color w:val="000000"/>
          <w:kern w:val="44"/>
          <w:sz w:val="32"/>
          <w:szCs w:val="32"/>
          <w:highlight w:val="none"/>
        </w:rPr>
      </w:pPr>
      <w:bookmarkStart w:id="28" w:name="_Toc77254130"/>
      <w:bookmarkStart w:id="29" w:name="_Toc76635709"/>
      <w:r>
        <w:rPr>
          <w:rFonts w:hint="eastAsia" w:ascii="黑体" w:hAnsi="黑体" w:eastAsia="黑体" w:cs="宋体"/>
          <w:color w:val="000000"/>
          <w:kern w:val="44"/>
          <w:sz w:val="32"/>
          <w:szCs w:val="32"/>
          <w:highlight w:val="none"/>
        </w:rPr>
        <w:br w:type="page"/>
      </w:r>
      <w:bookmarkEnd w:id="28"/>
      <w:bookmarkEnd w:id="29"/>
    </w:p>
    <w:p>
      <w:pPr>
        <w:widowControl w:val="0"/>
        <w:snapToGrid w:val="0"/>
        <w:spacing w:after="0" w:line="490" w:lineRule="exact"/>
        <w:outlineLvl w:val="0"/>
        <w:rPr>
          <w:rFonts w:hint="eastAsia" w:ascii="黑体" w:hAnsi="黑体" w:eastAsia="黑体" w:cs="宋体"/>
          <w:color w:val="000000"/>
          <w:kern w:val="44"/>
          <w:sz w:val="32"/>
          <w:szCs w:val="32"/>
          <w:highlight w:val="none"/>
        </w:rPr>
      </w:pPr>
      <w:r>
        <w:rPr>
          <w:rFonts w:hint="eastAsia" w:ascii="黑体" w:hAnsi="黑体" w:eastAsia="黑体" w:cs="宋体"/>
          <w:color w:val="000000"/>
          <w:kern w:val="44"/>
          <w:sz w:val="32"/>
          <w:szCs w:val="32"/>
          <w:highlight w:val="none"/>
        </w:rPr>
        <w:t xml:space="preserve">附表1  </w:t>
      </w:r>
    </w:p>
    <w:p>
      <w:pPr>
        <w:widowControl w:val="0"/>
        <w:snapToGrid w:val="0"/>
        <w:spacing w:after="0" w:line="360" w:lineRule="auto"/>
        <w:jc w:val="center"/>
        <w:outlineLvl w:val="0"/>
        <w:rPr>
          <w:rFonts w:ascii="黑体" w:hAnsi="黑体" w:eastAsia="黑体" w:cs="宋体"/>
          <w:color w:val="000000"/>
          <w:kern w:val="44"/>
          <w:sz w:val="32"/>
          <w:szCs w:val="32"/>
          <w:highlight w:val="none"/>
        </w:rPr>
      </w:pPr>
      <w:r>
        <w:rPr>
          <w:rFonts w:hint="eastAsia" w:ascii="黑体" w:hAnsi="黑体" w:eastAsia="黑体" w:cs="宋体"/>
          <w:color w:val="000000"/>
          <w:kern w:val="44"/>
          <w:sz w:val="32"/>
          <w:szCs w:val="32"/>
          <w:highlight w:val="none"/>
        </w:rPr>
        <w:t xml:space="preserve"> 商务评分表（</w:t>
      </w:r>
      <w:r>
        <w:rPr>
          <w:rFonts w:hint="eastAsia" w:ascii="黑体" w:hAnsi="黑体" w:eastAsia="黑体" w:cs="宋体"/>
          <w:color w:val="000000"/>
          <w:kern w:val="44"/>
          <w:sz w:val="32"/>
          <w:szCs w:val="32"/>
          <w:highlight w:val="none"/>
          <w:lang w:val="en-US" w:eastAsia="zh-CN"/>
        </w:rPr>
        <w:t>25</w:t>
      </w:r>
      <w:r>
        <w:rPr>
          <w:rFonts w:hint="eastAsia" w:ascii="黑体" w:hAnsi="黑体" w:eastAsia="黑体" w:cs="宋体"/>
          <w:color w:val="000000"/>
          <w:kern w:val="44"/>
          <w:sz w:val="32"/>
          <w:szCs w:val="32"/>
          <w:highlight w:val="none"/>
        </w:rPr>
        <w:t>分 ）</w:t>
      </w:r>
    </w:p>
    <w:p>
      <w:pPr>
        <w:widowControl w:val="0"/>
        <w:spacing w:after="0" w:line="360" w:lineRule="auto"/>
        <w:jc w:val="both"/>
        <w:rPr>
          <w:rFonts w:hint="eastAsia"/>
        </w:rPr>
      </w:pPr>
      <w:r>
        <w:rPr>
          <w:rFonts w:hint="eastAsia" w:ascii="宋体" w:hAnsi="宋体" w:eastAsia="宋体" w:cs="Times New Roman"/>
          <w:color w:val="000000"/>
          <w:sz w:val="24"/>
          <w:szCs w:val="24"/>
          <w:highlight w:val="none"/>
        </w:rPr>
        <w:t>项目名称：</w:t>
      </w:r>
      <w:r>
        <w:rPr>
          <w:rFonts w:hint="eastAsia" w:ascii="宋体" w:hAnsi="宋体" w:cs="Times New Roman"/>
          <w:b w:val="0"/>
          <w:bCs w:val="0"/>
          <w:kern w:val="0"/>
          <w:sz w:val="24"/>
          <w:szCs w:val="24"/>
          <w:highlight w:val="none"/>
          <w:u w:val="single"/>
          <w:lang w:val="en-US" w:eastAsia="zh-CN"/>
        </w:rPr>
        <w:t>盲区监控系统增加</w:t>
      </w:r>
      <w:r>
        <w:rPr>
          <w:rFonts w:hint="eastAsia" w:ascii="宋体" w:hAnsi="宋体" w:eastAsia="宋体" w:cs="Times New Roman"/>
          <w:b w:val="0"/>
          <w:bCs w:val="0"/>
          <w:kern w:val="0"/>
          <w:sz w:val="24"/>
          <w:szCs w:val="24"/>
          <w:highlight w:val="none"/>
          <w:u w:val="single"/>
          <w:lang w:val="en-US" w:eastAsia="zh-CN"/>
        </w:rPr>
        <w:t>采购</w:t>
      </w:r>
      <w:r>
        <w:rPr>
          <w:rFonts w:hint="eastAsia" w:ascii="宋体" w:hAnsi="宋体" w:cs="Times New Roman"/>
          <w:b w:val="0"/>
          <w:bCs w:val="0"/>
          <w:kern w:val="0"/>
          <w:sz w:val="24"/>
          <w:szCs w:val="24"/>
          <w:highlight w:val="none"/>
          <w:u w:val="single"/>
          <w:lang w:val="en-US" w:eastAsia="zh-CN"/>
        </w:rPr>
        <w:t>项目</w:t>
      </w:r>
    </w:p>
    <w:tbl>
      <w:tblPr>
        <w:tblStyle w:val="1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7"/>
        <w:gridCol w:w="575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序号</w:t>
            </w:r>
          </w:p>
        </w:tc>
        <w:tc>
          <w:tcPr>
            <w:tcW w:w="2207"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评分因素</w:t>
            </w:r>
          </w:p>
        </w:tc>
        <w:tc>
          <w:tcPr>
            <w:tcW w:w="5759"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评价内容/分值</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cs="Times New Roman"/>
                <w:b/>
                <w:bCs/>
                <w:color w:val="000000"/>
                <w:kern w:val="0"/>
                <w:sz w:val="21"/>
                <w:szCs w:val="21"/>
                <w:highlight w:val="none"/>
                <w:lang w:eastAsia="zh-CN"/>
              </w:rPr>
              <w:t>供应商</w:t>
            </w:r>
            <w:r>
              <w:rPr>
                <w:rFonts w:hint="eastAsia" w:ascii="宋体" w:hAnsi="宋体" w:eastAsia="宋体" w:cs="Times New Roman"/>
                <w:b/>
                <w:bCs/>
                <w:color w:val="000000"/>
                <w:kern w:val="0"/>
                <w:sz w:val="21"/>
                <w:szCs w:val="21"/>
                <w:highlight w:val="none"/>
                <w:lang w:eastAsia="zh-CN"/>
              </w:rPr>
              <w:t>名称</w:t>
            </w:r>
            <w:r>
              <w:rPr>
                <w:rFonts w:hint="eastAsia" w:ascii="宋体" w:hAnsi="宋体" w:eastAsia="宋体" w:cs="Times New Roman"/>
                <w:b/>
                <w:bCs/>
                <w:color w:val="000000"/>
                <w:kern w:val="0"/>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b/>
                <w:bCs/>
              </w:rPr>
            </w:pPr>
          </w:p>
        </w:tc>
        <w:tc>
          <w:tcPr>
            <w:tcW w:w="2207"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b/>
                <w:bCs/>
              </w:rPr>
            </w:pPr>
          </w:p>
        </w:tc>
        <w:tc>
          <w:tcPr>
            <w:tcW w:w="5759"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b/>
                <w:bCs/>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r>
              <w:rPr>
                <w:rFonts w:hint="eastAsia" w:ascii="宋体" w:hAnsi="宋体" w:eastAsia="宋体" w:cs="Times New Roman"/>
                <w:color w:val="000000"/>
                <w:kern w:val="0"/>
                <w:sz w:val="21"/>
                <w:szCs w:val="21"/>
                <w:highlight w:val="none"/>
              </w:rPr>
              <w:t>1</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企业类似项目业绩（近</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3</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w:t>
            </w:r>
          </w:p>
          <w:p>
            <w:pPr>
              <w:widowControl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类似项目业绩满足资格审查需求的供应商得3分；</w:t>
            </w:r>
          </w:p>
          <w:p>
            <w:pPr>
              <w:pStyle w:val="2"/>
              <w:spacing w:after="0" w:line="360" w:lineRule="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额外提供近三年内相关业绩，每单个项目加1分，最高加2分。</w:t>
            </w:r>
          </w:p>
          <w:p>
            <w:pPr>
              <w:pStyle w:val="2"/>
              <w:spacing w:after="0" w:line="360" w:lineRule="auto"/>
              <w:rPr>
                <w:rFonts w:hint="eastAsia" w:ascii="宋体" w:hAnsi="宋体" w:cs="宋体"/>
                <w:szCs w:val="21"/>
              </w:rPr>
            </w:pPr>
            <w:r>
              <w:rPr>
                <w:rFonts w:hint="eastAsia" w:ascii="宋体" w:hAnsi="宋体" w:eastAsia="宋体" w:cs="宋体"/>
                <w:b/>
                <w:bCs/>
                <w:color w:val="000000"/>
                <w:sz w:val="21"/>
                <w:szCs w:val="21"/>
                <w:lang w:eastAsia="zh-CN"/>
              </w:rPr>
              <w:t>注：需提供业绩证明材料作为得分依据。</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kern w:val="0"/>
                <w:sz w:val="21"/>
                <w:szCs w:val="21"/>
                <w:highlight w:val="none"/>
                <w:lang w:val="en-US" w:eastAsia="zh-CN"/>
              </w:rPr>
            </w:pPr>
            <w:r>
              <w:rPr>
                <w:rFonts w:hint="eastAsia" w:ascii="宋体" w:hAnsi="宋体" w:eastAsia="宋体" w:cs="Times New Roman"/>
                <w:color w:val="000000"/>
                <w:kern w:val="0"/>
                <w:sz w:val="21"/>
                <w:szCs w:val="21"/>
                <w:highlight w:val="none"/>
                <w:lang w:val="en-US" w:eastAsia="zh-CN"/>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sz w:val="21"/>
                <w:szCs w:val="21"/>
                <w:highlight w:val="none"/>
                <w:lang w:eastAsia="zh-CN"/>
              </w:rPr>
              <w:t>认证体系情况</w:t>
            </w:r>
            <w:r>
              <w:rPr>
                <w:rFonts w:hint="eastAsia" w:ascii="宋体" w:hAnsi="宋体" w:cs="宋体"/>
                <w:color w:val="000000"/>
                <w:sz w:val="21"/>
                <w:szCs w:val="21"/>
                <w:highlight w:val="none"/>
                <w:lang w:val="en-US" w:eastAsia="zh-CN"/>
              </w:rPr>
              <w:t>(3分）</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投标人通过ISO9001质量管理体系认证；ISO14001环境管理体系认证；ISO45001职业健康安全管理体系认证；。</w:t>
            </w:r>
            <w:r>
              <w:rPr>
                <w:rFonts w:hint="eastAsia" w:ascii="宋体" w:hAnsi="宋体" w:cs="宋体"/>
                <w:sz w:val="21"/>
                <w:szCs w:val="21"/>
                <w:lang w:val="en-US" w:eastAsia="zh-CN"/>
              </w:rPr>
              <w:t>每满足1项加</w:t>
            </w:r>
            <w:r>
              <w:rPr>
                <w:rFonts w:hint="eastAsia" w:ascii="宋体" w:hAnsi="宋体" w:cs="宋体"/>
                <w:sz w:val="21"/>
                <w:szCs w:val="21"/>
                <w:u w:val="single"/>
                <w:lang w:val="en-US" w:eastAsia="zh-CN"/>
              </w:rPr>
              <w:t>1</w:t>
            </w:r>
            <w:r>
              <w:rPr>
                <w:rFonts w:hint="eastAsia" w:ascii="宋体" w:hAnsi="宋体" w:cs="宋体"/>
                <w:sz w:val="21"/>
                <w:szCs w:val="21"/>
                <w:lang w:val="en-US" w:eastAsia="zh-CN"/>
              </w:rPr>
              <w:t>分全部满足得3</w:t>
            </w:r>
            <w:r>
              <w:rPr>
                <w:rFonts w:hint="eastAsia" w:ascii="宋体" w:hAnsi="宋体" w:eastAsia="宋体" w:cs="宋体"/>
                <w:sz w:val="21"/>
                <w:szCs w:val="21"/>
                <w:lang w:val="en-US" w:eastAsia="zh-CN"/>
              </w:rPr>
              <w:t>分。</w:t>
            </w:r>
          </w:p>
          <w:p>
            <w:pPr>
              <w:widowControl w:val="0"/>
              <w:spacing w:after="0" w:line="360" w:lineRule="auto"/>
              <w:ind w:firstLine="211" w:firstLineChars="1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eastAsia="zh-CN"/>
              </w:rPr>
              <w:t>注：需提供信用等级证书扫描件或复印件作为得分依据。</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kern w:val="0"/>
                <w:sz w:val="21"/>
                <w:szCs w:val="21"/>
                <w:highlight w:val="none"/>
                <w:lang w:val="en-US" w:eastAsia="zh-CN"/>
              </w:rPr>
            </w:pPr>
            <w:r>
              <w:rPr>
                <w:rFonts w:hint="eastAsia" w:ascii="宋体" w:hAnsi="宋体" w:eastAsia="宋体" w:cs="Times New Roman"/>
                <w:color w:val="000000"/>
                <w:kern w:val="0"/>
                <w:sz w:val="21"/>
                <w:szCs w:val="21"/>
                <w:highlight w:val="none"/>
                <w:lang w:val="en-US" w:eastAsia="zh-CN"/>
              </w:rPr>
              <w:t>3</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响应</w:t>
            </w:r>
            <w:r>
              <w:rPr>
                <w:rFonts w:hint="eastAsia" w:ascii="宋体" w:hAnsi="宋体" w:eastAsia="宋体" w:cs="宋体"/>
                <w:color w:val="000000"/>
                <w:kern w:val="0"/>
                <w:sz w:val="21"/>
                <w:szCs w:val="21"/>
                <w:highlight w:val="none"/>
              </w:rPr>
              <w:t>文件完整性</w:t>
            </w:r>
          </w:p>
          <w:p>
            <w:pPr>
              <w:widowControl w:val="0"/>
              <w:autoSpaceDE w:val="0"/>
              <w:autoSpaceDN w:val="0"/>
              <w:adjustRightInd w:val="0"/>
              <w:snapToGrid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分）</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ind w:left="1" w:firstLine="210" w:firstLineChars="100"/>
              <w:jc w:val="both"/>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响应</w:t>
            </w:r>
            <w:r>
              <w:rPr>
                <w:rFonts w:hint="eastAsia" w:ascii="宋体" w:hAnsi="宋体" w:eastAsia="宋体" w:cs="宋体"/>
                <w:color w:val="000000"/>
                <w:kern w:val="0"/>
                <w:sz w:val="21"/>
                <w:szCs w:val="21"/>
                <w:highlight w:val="none"/>
                <w:lang w:eastAsia="zh-CN"/>
              </w:rPr>
              <w:t>文件内容、格式完全</w:t>
            </w:r>
            <w:r>
              <w:rPr>
                <w:rFonts w:hint="eastAsia" w:ascii="宋体" w:hAnsi="宋体" w:eastAsia="宋体" w:cs="宋体"/>
                <w:color w:val="000000"/>
                <w:kern w:val="0"/>
                <w:sz w:val="21"/>
                <w:szCs w:val="21"/>
                <w:highlight w:val="none"/>
              </w:rPr>
              <w:t>符合</w:t>
            </w:r>
            <w:r>
              <w:rPr>
                <w:rFonts w:hint="eastAsia" w:ascii="宋体" w:hAnsi="宋体" w:cs="宋体"/>
                <w:color w:val="000000"/>
                <w:kern w:val="0"/>
                <w:sz w:val="21"/>
                <w:szCs w:val="21"/>
                <w:highlight w:val="none"/>
                <w:lang w:eastAsia="zh-CN"/>
              </w:rPr>
              <w:t>询价</w:t>
            </w:r>
            <w:r>
              <w:rPr>
                <w:rFonts w:hint="eastAsia" w:ascii="宋体" w:hAnsi="宋体" w:eastAsia="宋体" w:cs="宋体"/>
                <w:color w:val="000000"/>
                <w:kern w:val="0"/>
                <w:sz w:val="21"/>
                <w:szCs w:val="21"/>
                <w:highlight w:val="none"/>
              </w:rPr>
              <w:t>文件要求</w:t>
            </w:r>
            <w:r>
              <w:rPr>
                <w:rFonts w:hint="eastAsia" w:ascii="宋体" w:hAnsi="宋体" w:eastAsia="宋体" w:cs="宋体"/>
                <w:color w:val="000000"/>
                <w:kern w:val="0"/>
                <w:sz w:val="21"/>
                <w:szCs w:val="21"/>
                <w:highlight w:val="none"/>
                <w:lang w:eastAsia="zh-CN"/>
              </w:rPr>
              <w:t>的</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5</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分；</w:t>
            </w:r>
          </w:p>
          <w:p>
            <w:pPr>
              <w:widowControl w:val="0"/>
              <w:spacing w:after="0" w:line="360" w:lineRule="auto"/>
              <w:ind w:left="1"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基本符合</w:t>
            </w:r>
            <w:r>
              <w:rPr>
                <w:rFonts w:hint="eastAsia" w:ascii="宋体" w:hAnsi="宋体" w:cs="宋体"/>
                <w:color w:val="000000"/>
                <w:kern w:val="0"/>
                <w:sz w:val="21"/>
                <w:szCs w:val="21"/>
                <w:highlight w:val="none"/>
                <w:lang w:eastAsia="zh-CN"/>
              </w:rPr>
              <w:t>询价</w:t>
            </w:r>
            <w:r>
              <w:rPr>
                <w:rFonts w:hint="eastAsia" w:ascii="宋体" w:hAnsi="宋体" w:eastAsia="宋体" w:cs="宋体"/>
                <w:color w:val="000000"/>
                <w:kern w:val="0"/>
                <w:sz w:val="21"/>
                <w:szCs w:val="21"/>
                <w:highlight w:val="none"/>
              </w:rPr>
              <w:t>文件</w:t>
            </w:r>
            <w:r>
              <w:rPr>
                <w:rFonts w:hint="eastAsia" w:ascii="宋体" w:hAnsi="宋体" w:eastAsia="宋体" w:cs="宋体"/>
                <w:color w:val="000000"/>
                <w:kern w:val="0"/>
                <w:sz w:val="21"/>
                <w:szCs w:val="21"/>
                <w:highlight w:val="none"/>
                <w:lang w:eastAsia="zh-CN"/>
              </w:rPr>
              <w:t>格式</w:t>
            </w:r>
            <w:r>
              <w:rPr>
                <w:rFonts w:hint="eastAsia" w:ascii="宋体" w:hAnsi="宋体" w:eastAsia="宋体" w:cs="宋体"/>
                <w:color w:val="000000"/>
                <w:kern w:val="0"/>
                <w:sz w:val="21"/>
                <w:szCs w:val="21"/>
                <w:highlight w:val="none"/>
              </w:rPr>
              <w:t>要求，得</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3</w:t>
            </w:r>
            <w:r>
              <w:rPr>
                <w:rFonts w:hint="eastAsia" w:ascii="宋体" w:hAnsi="宋体" w:eastAsia="宋体" w:cs="宋体"/>
                <w:color w:val="000000"/>
                <w:kern w:val="0"/>
                <w:sz w:val="21"/>
                <w:szCs w:val="21"/>
                <w:highlight w:val="none"/>
              </w:rPr>
              <w:t>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648" w:type="dxa"/>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kern w:val="0"/>
                <w:sz w:val="21"/>
                <w:szCs w:val="21"/>
                <w:highlight w:val="none"/>
                <w:lang w:val="en-US" w:eastAsia="zh-CN"/>
              </w:rPr>
            </w:pPr>
            <w:r>
              <w:rPr>
                <w:rFonts w:hint="eastAsia" w:ascii="宋体" w:hAnsi="宋体" w:eastAsia="宋体" w:cs="Times New Roman"/>
                <w:color w:val="000000"/>
                <w:kern w:val="0"/>
                <w:sz w:val="21"/>
                <w:szCs w:val="21"/>
                <w:highlight w:val="none"/>
                <w:lang w:val="en-US" w:eastAsia="zh-CN"/>
              </w:rPr>
              <w:t>4</w:t>
            </w:r>
          </w:p>
        </w:tc>
        <w:tc>
          <w:tcPr>
            <w:tcW w:w="2207" w:type="dxa"/>
            <w:tcBorders>
              <w:top w:val="single" w:color="auto" w:sz="4" w:space="0"/>
              <w:left w:val="single" w:color="auto" w:sz="4" w:space="0"/>
              <w:right w:val="single" w:color="auto" w:sz="4" w:space="0"/>
            </w:tcBorders>
            <w:noWrap w:val="0"/>
            <w:vAlign w:val="center"/>
          </w:tcPr>
          <w:p>
            <w:pPr>
              <w:widowControl/>
              <w:autoSpaceDE/>
              <w:autoSpaceDN/>
              <w:adjustRightInd/>
              <w:snapToGrid/>
              <w:spacing w:after="0" w:line="360" w:lineRule="auto"/>
              <w:jc w:val="center"/>
              <w:rPr>
                <w:rFonts w:hint="eastAsia" w:ascii="宋体" w:hAnsi="宋体" w:eastAsia="宋体" w:cs="宋体"/>
                <w:color w:val="000000"/>
                <w:sz w:val="21"/>
                <w:szCs w:val="21"/>
                <w:highlight w:val="none"/>
              </w:rPr>
            </w:pPr>
            <w:r>
              <w:rPr>
                <w:rFonts w:hint="eastAsia" w:ascii="宋体" w:hAnsi="宋体" w:cs="宋体"/>
                <w:b w:val="0"/>
                <w:bCs w:val="0"/>
                <w:sz w:val="21"/>
                <w:szCs w:val="21"/>
                <w:lang w:eastAsia="zh-CN"/>
              </w:rPr>
              <w:t>加分项</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12</w:t>
            </w:r>
            <w:r>
              <w:rPr>
                <w:rFonts w:hint="eastAsia" w:ascii="宋体" w:hAnsi="宋体" w:eastAsia="宋体" w:cs="宋体"/>
                <w:b w:val="0"/>
                <w:bCs w:val="0"/>
                <w:sz w:val="21"/>
                <w:szCs w:val="21"/>
              </w:rPr>
              <w:t>分）</w:t>
            </w:r>
          </w:p>
        </w:tc>
        <w:tc>
          <w:tcPr>
            <w:tcW w:w="5759" w:type="dxa"/>
            <w:tcBorders>
              <w:top w:val="single" w:color="auto" w:sz="4" w:space="0"/>
              <w:left w:val="single" w:color="auto" w:sz="4" w:space="0"/>
              <w:right w:val="single" w:color="auto" w:sz="4" w:space="0"/>
            </w:tcBorders>
            <w:noWrap w:val="0"/>
            <w:vAlign w:val="center"/>
          </w:tcPr>
          <w:p>
            <w:pPr>
              <w:widowControl/>
              <w:spacing w:after="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1、为满足具有高水平的科技创新实力与制造能力，具有强大的产业链和创新链资源整合能力，具备完善的专业化研究开发和产业化条件，投标人所投“防爆摄像机”产品原厂制造商为国家级众创空间的计6 分，省级众创空间的计3分，市级众创空间的计1分。（提供证书复印件，加盖原厂公章或投标专用章证明，否则不计分）</w:t>
            </w:r>
          </w:p>
          <w:p>
            <w:pPr>
              <w:widowControl/>
              <w:spacing w:after="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为保证本项目产品、服务及信息系统的稳定性与可靠性，投标人或投标所投存储服务器产品制造商需具备较强的信息安全开发能力，可提供中国信息安全测评中心颁发的信息安全服务资质（安全开发）证书的，二级及以上得6分，一级得3分，没有不得分。（提供证书复印件，加盖原厂公章或投标专用章证明，否则不计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14"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sz w:val="21"/>
                <w:szCs w:val="21"/>
                <w:highlight w:val="none"/>
                <w:lang w:eastAsia="zh-CN"/>
              </w:rPr>
            </w:pPr>
            <w:r>
              <w:rPr>
                <w:rFonts w:hint="eastAsia" w:ascii="宋体" w:hAnsi="宋体" w:eastAsia="宋体" w:cs="Times New Roman"/>
                <w:b/>
                <w:color w:val="000000"/>
                <w:kern w:val="0"/>
                <w:sz w:val="21"/>
                <w:szCs w:val="21"/>
                <w:highlight w:val="none"/>
              </w:rPr>
              <w:t>合    计</w:t>
            </w:r>
            <w:r>
              <w:rPr>
                <w:rFonts w:hint="eastAsia" w:ascii="宋体" w:hAnsi="宋体" w:eastAsia="宋体" w:cs="Times New Roman"/>
                <w:b/>
                <w:color w:val="000000"/>
                <w:kern w:val="0"/>
                <w:sz w:val="21"/>
                <w:szCs w:val="21"/>
                <w:highlight w:val="none"/>
                <w:lang w:eastAsia="zh-CN"/>
              </w:rPr>
              <w:t>（</w:t>
            </w:r>
            <w:r>
              <w:rPr>
                <w:rFonts w:hint="eastAsia" w:ascii="宋体" w:hAnsi="宋体" w:cs="Times New Roman"/>
                <w:b/>
                <w:color w:val="000000"/>
                <w:kern w:val="0"/>
                <w:sz w:val="21"/>
                <w:szCs w:val="21"/>
                <w:highlight w:val="none"/>
                <w:lang w:val="en-US" w:eastAsia="zh-CN"/>
              </w:rPr>
              <w:t>25</w:t>
            </w:r>
            <w:r>
              <w:rPr>
                <w:rFonts w:hint="eastAsia" w:ascii="宋体" w:hAnsi="宋体" w:eastAsia="宋体" w:cs="Times New Roman"/>
                <w:b/>
                <w:color w:val="000000"/>
                <w:kern w:val="0"/>
                <w:sz w:val="21"/>
                <w:szCs w:val="21"/>
                <w:highlight w:val="none"/>
                <w:lang w:val="en-US" w:eastAsia="zh-CN"/>
              </w:rPr>
              <w:t>分</w:t>
            </w:r>
            <w:r>
              <w:rPr>
                <w:rFonts w:hint="eastAsia" w:ascii="宋体" w:hAnsi="宋体" w:eastAsia="宋体" w:cs="Times New Roman"/>
                <w:b/>
                <w:color w:val="000000"/>
                <w:kern w:val="0"/>
                <w:sz w:val="21"/>
                <w:szCs w:val="21"/>
                <w:highlight w:val="none"/>
                <w:lang w:eastAsia="zh-CN"/>
              </w:rPr>
              <w:t>）</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bl>
    <w:p>
      <w:pPr>
        <w:widowControl w:val="0"/>
        <w:adjustRightInd w:val="0"/>
        <w:snapToGrid w:val="0"/>
        <w:spacing w:after="0" w:line="240" w:lineRule="auto"/>
        <w:jc w:val="both"/>
        <w:rPr>
          <w:rFonts w:hint="eastAsia" w:ascii="宋体" w:hAnsi="宋体" w:eastAsia="宋体" w:cs="Times New Roman"/>
          <w:color w:val="000000"/>
          <w:sz w:val="21"/>
          <w:szCs w:val="21"/>
          <w:highlight w:val="none"/>
        </w:rPr>
      </w:pPr>
      <w:r>
        <w:rPr>
          <w:rFonts w:hint="eastAsia" w:ascii="宋体" w:hAnsi="宋体" w:eastAsia="宋体" w:cs="Times New Roman"/>
          <w:b/>
          <w:color w:val="000000"/>
          <w:kern w:val="0"/>
          <w:sz w:val="21"/>
          <w:szCs w:val="21"/>
          <w:highlight w:val="none"/>
        </w:rPr>
        <w:t>注：</w:t>
      </w:r>
      <w:r>
        <w:rPr>
          <w:rFonts w:hint="eastAsia" w:ascii="宋体" w:hAnsi="宋体" w:eastAsia="宋体" w:cs="Times New Roman"/>
          <w:color w:val="000000"/>
          <w:kern w:val="0"/>
          <w:sz w:val="21"/>
          <w:szCs w:val="21"/>
          <w:highlight w:val="none"/>
        </w:rPr>
        <w:t xml:space="preserve"> 1、</w:t>
      </w:r>
      <w:r>
        <w:rPr>
          <w:rFonts w:hint="eastAsia" w:ascii="宋体" w:hAnsi="宋体" w:eastAsia="宋体" w:cs="Times New Roman"/>
          <w:color w:val="000000"/>
          <w:sz w:val="21"/>
          <w:szCs w:val="21"/>
          <w:highlight w:val="none"/>
        </w:rPr>
        <w:t>本表由评标委员会集体评议，统一计分。评标委员会成员中对结论有不同意见时，按少数服从多数的原则，确定得分。</w:t>
      </w:r>
    </w:p>
    <w:p>
      <w:pPr>
        <w:pStyle w:val="2"/>
      </w:pPr>
    </w:p>
    <w:p>
      <w:pPr>
        <w:pStyle w:val="2"/>
        <w:ind w:firstLine="0" w:firstLineChars="0"/>
        <w:rPr>
          <w:rFonts w:hint="eastAsia" w:ascii="黑体" w:hAnsi="黑体" w:eastAsia="黑体" w:cs="Times New Roman"/>
          <w:color w:val="000000"/>
          <w:sz w:val="32"/>
          <w:szCs w:val="32"/>
          <w:highlight w:val="none"/>
        </w:rPr>
      </w:pPr>
      <w:r>
        <w:rPr>
          <w:rFonts w:ascii="宋体" w:hAnsi="宋体" w:eastAsia="宋体" w:cs="Times New Roman"/>
          <w:color w:val="000000"/>
          <w:sz w:val="24"/>
          <w:szCs w:val="24"/>
          <w:highlight w:val="none"/>
        </w:rPr>
        <w:t>评</w:t>
      </w:r>
      <w:r>
        <w:rPr>
          <w:rFonts w:hint="eastAsia" w:ascii="宋体" w:hAnsi="宋体" w:eastAsia="宋体" w:cs="Times New Roman"/>
          <w:color w:val="000000"/>
          <w:sz w:val="24"/>
          <w:szCs w:val="24"/>
          <w:highlight w:val="none"/>
        </w:rPr>
        <w:t>委</w:t>
      </w:r>
      <w:r>
        <w:rPr>
          <w:rFonts w:ascii="宋体" w:hAnsi="宋体" w:eastAsia="宋体" w:cs="Times New Roman"/>
          <w:color w:val="000000"/>
          <w:sz w:val="24"/>
          <w:szCs w:val="24"/>
          <w:highlight w:val="none"/>
        </w:rPr>
        <w:t>签字：</w:t>
      </w:r>
      <w:r>
        <w:rPr>
          <w:rFonts w:hint="eastAsia" w:ascii="宋体" w:hAnsi="宋体" w:eastAsia="宋体" w:cs="Times New Roman"/>
          <w:color w:val="000000"/>
          <w:sz w:val="24"/>
          <w:szCs w:val="24"/>
          <w:highlight w:val="none"/>
          <w:lang w:val="en-US" w:eastAsia="zh-CN"/>
        </w:rPr>
        <w:t xml:space="preserve">                                         </w:t>
      </w:r>
      <w:r>
        <w:rPr>
          <w:rFonts w:hint="eastAsia" w:ascii="宋体" w:hAnsi="宋体" w:eastAsia="宋体" w:cs="Times New Roman"/>
          <w:color w:val="000000"/>
          <w:sz w:val="24"/>
          <w:szCs w:val="24"/>
          <w:highlight w:val="none"/>
          <w:lang w:eastAsia="zh-CN"/>
        </w:rPr>
        <w:t>监督人员签字：</w:t>
      </w:r>
    </w:p>
    <w:p>
      <w:pPr>
        <w:widowControl w:val="0"/>
        <w:snapToGrid w:val="0"/>
        <w:spacing w:after="0" w:line="360" w:lineRule="auto"/>
        <w:jc w:val="both"/>
        <w:outlineLvl w:val="2"/>
        <w:rPr>
          <w:rFonts w:hint="eastAsia"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br w:type="page"/>
      </w:r>
      <w:r>
        <w:rPr>
          <w:rFonts w:hint="eastAsia" w:ascii="黑体" w:hAnsi="黑体" w:eastAsia="黑体" w:cs="Times New Roman"/>
          <w:color w:val="000000"/>
          <w:sz w:val="32"/>
          <w:szCs w:val="32"/>
          <w:highlight w:val="none"/>
        </w:rPr>
        <w:t xml:space="preserve">附表2 </w:t>
      </w:r>
    </w:p>
    <w:p>
      <w:pPr>
        <w:widowControl w:val="0"/>
        <w:snapToGrid w:val="0"/>
        <w:spacing w:after="0" w:line="360" w:lineRule="auto"/>
        <w:jc w:val="center"/>
        <w:outlineLvl w:val="2"/>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技术评分表（</w:t>
      </w:r>
      <w:r>
        <w:rPr>
          <w:rFonts w:hint="eastAsia" w:ascii="黑体" w:hAnsi="黑体" w:eastAsia="黑体" w:cs="Times New Roman"/>
          <w:color w:val="000000"/>
          <w:sz w:val="32"/>
          <w:szCs w:val="32"/>
          <w:highlight w:val="none"/>
          <w:lang w:val="en-US" w:eastAsia="zh-CN"/>
        </w:rPr>
        <w:t>35</w:t>
      </w:r>
      <w:r>
        <w:rPr>
          <w:rFonts w:hint="eastAsia" w:ascii="黑体" w:hAnsi="黑体" w:eastAsia="黑体" w:cs="Times New Roman"/>
          <w:color w:val="000000"/>
          <w:sz w:val="32"/>
          <w:szCs w:val="32"/>
          <w:highlight w:val="none"/>
        </w:rPr>
        <w:t xml:space="preserve"> 分）</w:t>
      </w:r>
    </w:p>
    <w:tbl>
      <w:tblPr>
        <w:tblStyle w:val="16"/>
        <w:tblpPr w:leftFromText="180" w:rightFromText="180" w:vertAnchor="text" w:horzAnchor="page" w:tblpXSpec="center" w:tblpY="412"/>
        <w:tblOverlap w:val="never"/>
        <w:tblW w:w="5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154"/>
        <w:gridCol w:w="546"/>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562" w:type="pct"/>
            <w:vMerge w:val="restar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技术</w:t>
            </w:r>
          </w:p>
          <w:p>
            <w:pPr>
              <w:pStyle w:val="3"/>
              <w:keepNext w:val="0"/>
              <w:keepLines w:val="0"/>
              <w:pageBreakBefore w:val="0"/>
              <w:kinsoku/>
              <w:wordWrap/>
              <w:overflowPunct/>
              <w:topLinePunct w:val="0"/>
              <w:autoSpaceDN/>
              <w:bidi w:val="0"/>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部分</w:t>
            </w:r>
          </w:p>
          <w:p>
            <w:pPr>
              <w:keepNext w:val="0"/>
              <w:keepLines w:val="0"/>
              <w:pageBreakBefore w:val="0"/>
              <w:widowControl/>
              <w:kinsoku/>
              <w:wordWrap/>
              <w:overflowPunct/>
              <w:topLinePunct w:val="0"/>
              <w:autoSpaceDN/>
              <w:bidi w:val="0"/>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35</w:t>
            </w:r>
            <w:r>
              <w:rPr>
                <w:rFonts w:hint="eastAsia" w:asciiTheme="minorEastAsia" w:hAnsiTheme="minorEastAsia" w:eastAsiaTheme="minorEastAsia" w:cstheme="minorEastAsia"/>
                <w:color w:val="000000"/>
                <w:kern w:val="0"/>
                <w:sz w:val="21"/>
                <w:szCs w:val="21"/>
                <w:highlight w:val="none"/>
              </w:rPr>
              <w:t>分）</w:t>
            </w:r>
          </w:p>
        </w:tc>
        <w:tc>
          <w:tcPr>
            <w:tcW w:w="622" w:type="pc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360" w:lineRule="auto"/>
              <w:jc w:val="center"/>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技术指标</w:t>
            </w:r>
          </w:p>
        </w:tc>
        <w:tc>
          <w:tcPr>
            <w:tcW w:w="294" w:type="pc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textAlignment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15</w:t>
            </w:r>
          </w:p>
        </w:tc>
        <w:tc>
          <w:tcPr>
            <w:tcW w:w="35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投标人如实应答“技术偏离表”，所投主要产品各项技术参数指标及要求完全满足招标文件要求的得满分15分；技术要求中标示“★”的条款属于不可偏离项目，带“▲”的技术参数为重要参数指标，每负偏离一项扣5分，扣完为止；非“▲”的技术参数为一般技术指标，每项负偏离扣1分，扣完为止。</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详见第五章采购需求中技术参数要求。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62" w:type="pct"/>
            <w:vMerge w:val="continue"/>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left"/>
              <w:rPr>
                <w:rFonts w:hint="eastAsia" w:asciiTheme="minorEastAsia" w:hAnsiTheme="minorEastAsia" w:eastAsiaTheme="minorEastAsia" w:cstheme="minorEastAsia"/>
                <w:color w:val="000000"/>
                <w:kern w:val="0"/>
                <w:sz w:val="21"/>
                <w:szCs w:val="21"/>
                <w:highlight w:val="none"/>
              </w:rPr>
            </w:pPr>
          </w:p>
        </w:tc>
        <w:tc>
          <w:tcPr>
            <w:tcW w:w="622" w:type="pc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工程实施措施保证</w:t>
            </w:r>
          </w:p>
        </w:tc>
        <w:tc>
          <w:tcPr>
            <w:tcW w:w="294" w:type="pc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10</w:t>
            </w:r>
          </w:p>
        </w:tc>
        <w:tc>
          <w:tcPr>
            <w:tcW w:w="35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保证项目规范运作，快速有效达到预期目标。根据投标人针对本项目所制定的工程实施方案的科学合理可靠程度进行综合评定。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确保项目交付以后的操作及日常保养规范，根据投标人针对本项目所制定的工程培训方案的完善程度进行综合评定。由评委综合比较计分，优10分，良5分，一般计3分；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62" w:type="pct"/>
            <w:vMerge w:val="continue"/>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left"/>
              <w:rPr>
                <w:rFonts w:hint="eastAsia" w:asciiTheme="minorEastAsia" w:hAnsiTheme="minorEastAsia" w:eastAsiaTheme="minorEastAsia" w:cstheme="minorEastAsia"/>
                <w:color w:val="000000"/>
                <w:kern w:val="0"/>
                <w:sz w:val="21"/>
                <w:szCs w:val="21"/>
                <w:highlight w:val="none"/>
              </w:rPr>
            </w:pPr>
          </w:p>
        </w:tc>
        <w:tc>
          <w:tcPr>
            <w:tcW w:w="622" w:type="pc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售后服务</w:t>
            </w:r>
          </w:p>
        </w:tc>
        <w:tc>
          <w:tcPr>
            <w:tcW w:w="294" w:type="pc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10</w:t>
            </w:r>
          </w:p>
        </w:tc>
        <w:tc>
          <w:tcPr>
            <w:tcW w:w="3520" w:type="pct"/>
            <w:tcBorders>
              <w:tl2br w:val="nil"/>
              <w:tr2bl w:val="nil"/>
            </w:tcBorders>
            <w:noWrap w:val="0"/>
            <w:vAlign w:val="center"/>
          </w:tcPr>
          <w:p>
            <w:pPr>
              <w:pStyle w:val="2"/>
              <w:ind w:left="0" w:leftChars="0" w:firstLine="0" w:firstLineChars="0"/>
              <w:rPr>
                <w:rFonts w:hint="eastAsia" w:hAnsi="宋体" w:cs="宋体"/>
                <w:b w:val="0"/>
                <w:bCs w:val="0"/>
                <w:sz w:val="21"/>
                <w:szCs w:val="21"/>
                <w:lang w:val="en-US" w:eastAsia="zh-CN"/>
              </w:rPr>
            </w:pPr>
            <w:r>
              <w:rPr>
                <w:rFonts w:hint="eastAsia" w:hAnsi="宋体" w:cs="宋体"/>
                <w:b w:val="0"/>
                <w:bCs w:val="0"/>
                <w:sz w:val="21"/>
                <w:szCs w:val="21"/>
                <w:lang w:val="en-US" w:eastAsia="zh-CN"/>
              </w:rPr>
              <w:t>1、投标产品制造厂商应具有良好服务理念，优秀的售后服务水平，完善的服务流程及配套资源，确保向本项目提供专业、快捷、规范的售后服务。有原厂售后服务承诺书的，得2分，提供证书复印件并加盖厂商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投标人针对本项目提供的售后服务承诺书及服务条款，有明确的服务内容，有详细的设备维护保养方案、措施、计划、关键备品备件准备程度、质保期限等，优的计8分，良计5分，一般的计3分，差的或未提供的不计分。</w:t>
            </w:r>
          </w:p>
        </w:tc>
      </w:tr>
    </w:tbl>
    <w:p>
      <w:pPr>
        <w:rPr>
          <w:rFonts w:hint="eastAsia" w:ascii="宋体" w:hAnsi="宋体" w:eastAsia="宋体" w:cs="Times New Roman"/>
          <w:color w:val="000000"/>
          <w:sz w:val="24"/>
          <w:szCs w:val="24"/>
          <w:highlight w:val="none"/>
          <w:lang w:val="en-US" w:eastAsia="zh-CN"/>
        </w:rPr>
      </w:pPr>
    </w:p>
    <w:p>
      <w:pPr>
        <w:rPr>
          <w:rFonts w:hint="eastAsia" w:ascii="黑体" w:hAnsi="黑体" w:eastAsia="黑体" w:cs="Times New Roman"/>
          <w:color w:val="000000"/>
          <w:sz w:val="32"/>
          <w:szCs w:val="32"/>
          <w:highlight w:val="none"/>
        </w:rPr>
      </w:pPr>
      <w:bookmarkStart w:id="30" w:name="_Toc11850"/>
      <w:bookmarkStart w:id="31" w:name="_Toc76056662"/>
      <w:r>
        <w:rPr>
          <w:rFonts w:hint="eastAsia" w:ascii="黑体" w:hAnsi="黑体" w:eastAsia="黑体" w:cs="Times New Roman"/>
          <w:color w:val="000000"/>
          <w:sz w:val="32"/>
          <w:szCs w:val="32"/>
          <w:highlight w:val="none"/>
        </w:rPr>
        <w:br w:type="page"/>
      </w:r>
    </w:p>
    <w:p>
      <w:pPr>
        <w:widowControl w:val="0"/>
        <w:spacing w:after="0" w:line="360" w:lineRule="auto"/>
        <w:jc w:val="both"/>
        <w:rPr>
          <w:rFonts w:hint="eastAsia" w:ascii="黑体" w:hAnsi="黑体" w:eastAsia="黑体" w:cs="Times New Roman"/>
          <w:color w:val="000000"/>
          <w:kern w:val="2"/>
          <w:sz w:val="32"/>
          <w:szCs w:val="32"/>
          <w:highlight w:val="none"/>
          <w:lang w:val="en-US" w:eastAsia="zh-CN"/>
        </w:rPr>
      </w:pPr>
      <w:r>
        <w:rPr>
          <w:rFonts w:hint="eastAsia" w:ascii="黑体" w:hAnsi="黑体" w:eastAsia="黑体" w:cs="Times New Roman"/>
          <w:color w:val="000000"/>
          <w:sz w:val="32"/>
          <w:szCs w:val="32"/>
          <w:highlight w:val="none"/>
        </w:rPr>
        <w:t>附表</w:t>
      </w:r>
      <w:r>
        <w:rPr>
          <w:rFonts w:hint="eastAsia" w:ascii="黑体" w:hAnsi="黑体" w:eastAsia="黑体" w:cs="Times New Roman"/>
          <w:color w:val="000000"/>
          <w:sz w:val="32"/>
          <w:szCs w:val="32"/>
          <w:highlight w:val="none"/>
          <w:lang w:val="en-US" w:eastAsia="zh-CN"/>
        </w:rPr>
        <w:t>3</w:t>
      </w:r>
    </w:p>
    <w:bookmarkEnd w:id="30"/>
    <w:bookmarkEnd w:id="31"/>
    <w:p>
      <w:pPr>
        <w:widowControl w:val="0"/>
        <w:adjustRightInd w:val="0"/>
        <w:snapToGrid w:val="0"/>
        <w:spacing w:after="0" w:line="360" w:lineRule="auto"/>
        <w:jc w:val="center"/>
        <w:rPr>
          <w:rFonts w:hint="eastAsia" w:ascii="黑体" w:hAnsi="黑体" w:eastAsia="黑体" w:cs="Times New Roman"/>
          <w:color w:val="000000"/>
          <w:sz w:val="32"/>
          <w:szCs w:val="32"/>
          <w:highlight w:val="none"/>
          <w:lang w:eastAsia="zh-CN"/>
        </w:rPr>
      </w:pPr>
      <w:r>
        <w:rPr>
          <w:rFonts w:hint="eastAsia" w:ascii="黑体" w:hAnsi="黑体" w:eastAsia="黑体" w:cs="Times New Roman"/>
          <w:color w:val="000000"/>
          <w:sz w:val="32"/>
          <w:szCs w:val="32"/>
          <w:highlight w:val="none"/>
          <w:lang w:eastAsia="zh-CN"/>
        </w:rPr>
        <w:t>价格评分表（</w:t>
      </w:r>
      <w:r>
        <w:rPr>
          <w:rFonts w:hint="eastAsia" w:ascii="黑体" w:hAnsi="黑体" w:eastAsia="黑体" w:cs="Times New Roman"/>
          <w:color w:val="000000"/>
          <w:sz w:val="32"/>
          <w:szCs w:val="32"/>
          <w:highlight w:val="none"/>
          <w:lang w:val="en-US" w:eastAsia="zh-CN"/>
        </w:rPr>
        <w:t>40分</w:t>
      </w:r>
      <w:r>
        <w:rPr>
          <w:rFonts w:hint="eastAsia" w:ascii="黑体" w:hAnsi="黑体" w:eastAsia="黑体" w:cs="Times New Roman"/>
          <w:color w:val="000000"/>
          <w:sz w:val="32"/>
          <w:szCs w:val="32"/>
          <w:highlight w:val="none"/>
          <w:lang w:eastAsia="zh-CN"/>
        </w:rPr>
        <w:t>）</w:t>
      </w:r>
    </w:p>
    <w:p>
      <w:pPr>
        <w:spacing w:line="360" w:lineRule="auto"/>
        <w:jc w:val="both"/>
        <w:rPr>
          <w:rFonts w:hint="eastAsia" w:ascii="黑体" w:hAnsi="黑体" w:eastAsia="黑体" w:cs="Times New Roman"/>
          <w:color w:val="000000"/>
          <w:sz w:val="32"/>
          <w:szCs w:val="32"/>
          <w:highlight w:val="none"/>
          <w:lang w:eastAsia="zh-CN"/>
        </w:rPr>
      </w:pPr>
      <w:r>
        <w:rPr>
          <w:rFonts w:hint="eastAsia" w:ascii="宋体" w:hAnsi="宋体" w:eastAsia="宋体" w:cs="Times New Roman"/>
          <w:color w:val="000000"/>
          <w:kern w:val="0"/>
          <w:sz w:val="24"/>
          <w:szCs w:val="24"/>
          <w:highlight w:val="none"/>
        </w:rPr>
        <w:t>项目名称：</w:t>
      </w:r>
      <w:r>
        <w:rPr>
          <w:rFonts w:hint="eastAsia" w:ascii="宋体" w:hAnsi="宋体" w:cs="Times New Roman"/>
          <w:b w:val="0"/>
          <w:bCs w:val="0"/>
          <w:kern w:val="0"/>
          <w:sz w:val="24"/>
          <w:szCs w:val="24"/>
          <w:highlight w:val="none"/>
          <w:u w:val="single"/>
          <w:lang w:val="en-US" w:eastAsia="zh-CN"/>
        </w:rPr>
        <w:t>岳阳城陵矶危险品储运有限公司盲区监控系统增加屏询价</w:t>
      </w:r>
      <w:r>
        <w:rPr>
          <w:rFonts w:hint="eastAsia" w:ascii="宋体" w:hAnsi="宋体" w:eastAsia="宋体" w:cs="Times New Roman"/>
          <w:b w:val="0"/>
          <w:bCs w:val="0"/>
          <w:kern w:val="0"/>
          <w:sz w:val="24"/>
          <w:szCs w:val="24"/>
          <w:highlight w:val="none"/>
          <w:u w:val="single"/>
          <w:lang w:val="en-US" w:eastAsia="zh-CN"/>
        </w:rPr>
        <w:t>采购</w:t>
      </w:r>
    </w:p>
    <w:tbl>
      <w:tblPr>
        <w:tblStyle w:val="17"/>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66"/>
        <w:gridCol w:w="525"/>
        <w:gridCol w:w="2852"/>
        <w:gridCol w:w="851"/>
        <w:gridCol w:w="780"/>
        <w:gridCol w:w="166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42"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序号</w:t>
            </w:r>
          </w:p>
        </w:tc>
        <w:tc>
          <w:tcPr>
            <w:tcW w:w="766"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评审因素</w:t>
            </w:r>
          </w:p>
        </w:tc>
        <w:tc>
          <w:tcPr>
            <w:tcW w:w="525"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分值</w:t>
            </w:r>
          </w:p>
        </w:tc>
        <w:tc>
          <w:tcPr>
            <w:tcW w:w="2852"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评分标准</w:t>
            </w:r>
          </w:p>
        </w:tc>
        <w:tc>
          <w:tcPr>
            <w:tcW w:w="851"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投标人名称</w:t>
            </w:r>
          </w:p>
        </w:tc>
        <w:tc>
          <w:tcPr>
            <w:tcW w:w="780"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投标报价</w:t>
            </w:r>
          </w:p>
        </w:tc>
        <w:tc>
          <w:tcPr>
            <w:tcW w:w="1660"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评标基准价</w:t>
            </w:r>
          </w:p>
        </w:tc>
        <w:tc>
          <w:tcPr>
            <w:tcW w:w="859" w:type="dxa"/>
            <w:noWrap w:val="0"/>
            <w:vAlign w:val="center"/>
          </w:tcPr>
          <w:p>
            <w:pPr>
              <w:pStyle w:val="6"/>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442" w:type="dxa"/>
            <w:noWrap w:val="0"/>
            <w:vAlign w:val="center"/>
          </w:tcPr>
          <w:p>
            <w:pPr>
              <w:pStyle w:val="6"/>
              <w:keepNext w:val="0"/>
              <w:keepLines w:val="0"/>
              <w:widowControl w:val="0"/>
              <w:overflowPunct w:val="0"/>
              <w:topLinePunct/>
              <w:adjustRightInd w:val="0"/>
              <w:snapToGrid w:val="0"/>
              <w:spacing w:after="0" w:line="312" w:lineRule="auto"/>
              <w:ind w:right="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宋体" w:cs="宋体"/>
                <w:b w:val="0"/>
                <w:bCs w:val="0"/>
                <w:color w:val="000000"/>
                <w:kern w:val="44"/>
                <w:sz w:val="21"/>
                <w:szCs w:val="21"/>
                <w:highlight w:val="none"/>
                <w:vertAlign w:val="baseline"/>
                <w:lang w:val="en-US" w:eastAsia="zh-CN"/>
              </w:rPr>
              <w:t>1</w:t>
            </w:r>
          </w:p>
        </w:tc>
        <w:tc>
          <w:tcPr>
            <w:tcW w:w="766" w:type="dxa"/>
            <w:noWrap w:val="0"/>
            <w:vAlign w:val="center"/>
          </w:tcPr>
          <w:p>
            <w:pPr>
              <w:pStyle w:val="6"/>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宋体" w:cs="宋体"/>
                <w:b w:val="0"/>
                <w:bCs w:val="0"/>
                <w:color w:val="000000"/>
                <w:kern w:val="44"/>
                <w:sz w:val="21"/>
                <w:szCs w:val="21"/>
                <w:highlight w:val="none"/>
                <w:vertAlign w:val="baseline"/>
                <w:lang w:eastAsia="zh-CN"/>
              </w:rPr>
              <w:t>价格评议</w:t>
            </w:r>
          </w:p>
        </w:tc>
        <w:tc>
          <w:tcPr>
            <w:tcW w:w="525" w:type="dxa"/>
            <w:noWrap w:val="0"/>
            <w:vAlign w:val="center"/>
          </w:tcPr>
          <w:p>
            <w:pPr>
              <w:pStyle w:val="6"/>
              <w:keepNext w:val="0"/>
              <w:keepLines w:val="0"/>
              <w:widowControl w:val="0"/>
              <w:overflowPunct w:val="0"/>
              <w:topLinePunct/>
              <w:adjustRightInd w:val="0"/>
              <w:snapToGrid w:val="0"/>
              <w:spacing w:after="0" w:line="312" w:lineRule="auto"/>
              <w:ind w:right="0" w:rightChars="0"/>
              <w:jc w:val="both"/>
              <w:rPr>
                <w:rFonts w:hint="default" w:ascii="宋体" w:hAnsi="宋体" w:eastAsia="宋体" w:cs="宋体"/>
                <w:b w:val="0"/>
                <w:bCs w:val="0"/>
                <w:color w:val="000000"/>
                <w:kern w:val="44"/>
                <w:sz w:val="21"/>
                <w:szCs w:val="21"/>
                <w:highlight w:val="none"/>
                <w:vertAlign w:val="baseline"/>
                <w:lang w:val="en-US" w:eastAsia="zh-CN"/>
              </w:rPr>
            </w:pPr>
            <w:r>
              <w:rPr>
                <w:rFonts w:hint="eastAsia" w:ascii="宋体" w:hAnsi="宋体" w:cs="宋体"/>
                <w:b w:val="0"/>
                <w:bCs w:val="0"/>
                <w:color w:val="000000"/>
                <w:kern w:val="44"/>
                <w:sz w:val="21"/>
                <w:szCs w:val="21"/>
                <w:highlight w:val="none"/>
                <w:vertAlign w:val="baseline"/>
                <w:lang w:val="en-US" w:eastAsia="zh-CN"/>
              </w:rPr>
              <w:t>40</w:t>
            </w:r>
          </w:p>
        </w:tc>
        <w:tc>
          <w:tcPr>
            <w:tcW w:w="2852" w:type="dxa"/>
            <w:noWrap w:val="0"/>
            <w:vAlign w:val="center"/>
          </w:tcPr>
          <w:p>
            <w:pPr>
              <w:widowControl w:val="0"/>
              <w:adjustRightInd w:val="0"/>
              <w:snapToGrid w:val="0"/>
              <w:spacing w:after="0" w:line="288" w:lineRule="auto"/>
              <w:jc w:val="left"/>
              <w:rPr>
                <w:rFonts w:hint="eastAsia" w:ascii="宋体" w:hAnsi="宋体" w:eastAsia="宋体" w:cs="宋体"/>
                <w:sz w:val="21"/>
                <w:szCs w:val="21"/>
              </w:rPr>
            </w:pPr>
            <w:r>
              <w:rPr>
                <w:rFonts w:hint="eastAsia" w:ascii="宋体" w:hAnsi="宋体" w:eastAsia="宋体" w:cs="宋体"/>
                <w:sz w:val="21"/>
                <w:szCs w:val="21"/>
              </w:rPr>
              <w:t>投标人的投标价得分计算公式示例：</w:t>
            </w:r>
          </w:p>
          <w:p>
            <w:pPr>
              <w:widowControl w:val="0"/>
              <w:adjustRightInd w:val="0"/>
              <w:snapToGrid w:val="0"/>
              <w:spacing w:after="0" w:line="288" w:lineRule="auto"/>
              <w:jc w:val="left"/>
              <w:rPr>
                <w:rFonts w:hint="eastAsia" w:ascii="宋体" w:hAnsi="宋体" w:eastAsia="宋体" w:cs="宋体"/>
                <w:sz w:val="21"/>
                <w:szCs w:val="21"/>
              </w:rPr>
            </w:pPr>
            <w:r>
              <w:rPr>
                <w:rFonts w:hint="eastAsia" w:ascii="宋体" w:hAnsi="宋体" w:eastAsia="宋体" w:cs="宋体"/>
                <w:sz w:val="21"/>
                <w:szCs w:val="21"/>
              </w:rPr>
              <w:t>（1）如果投标人的投标报价&gt;评标基准价，则投标报价得分=P-偏差率×P×E1；</w:t>
            </w:r>
          </w:p>
          <w:p>
            <w:pPr>
              <w:widowControl w:val="0"/>
              <w:adjustRightInd w:val="0"/>
              <w:snapToGrid w:val="0"/>
              <w:spacing w:after="0" w:line="288" w:lineRule="auto"/>
              <w:jc w:val="left"/>
              <w:rPr>
                <w:rFonts w:hint="eastAsia" w:ascii="宋体" w:hAnsi="宋体" w:eastAsia="宋体" w:cs="宋体"/>
                <w:sz w:val="21"/>
                <w:szCs w:val="21"/>
              </w:rPr>
            </w:pPr>
            <w:r>
              <w:rPr>
                <w:rFonts w:hint="eastAsia" w:ascii="宋体" w:hAnsi="宋体" w:eastAsia="宋体" w:cs="宋体"/>
                <w:sz w:val="21"/>
                <w:szCs w:val="21"/>
              </w:rPr>
              <w:t>（2）如果投标人的投标报价≤评标基准价，则投标报价得分=P+偏差率×P×E2。</w:t>
            </w:r>
          </w:p>
          <w:p>
            <w:pPr>
              <w:widowControl w:val="0"/>
              <w:spacing w:line="288" w:lineRule="auto"/>
              <w:ind w:firstLine="0"/>
              <w:jc w:val="left"/>
              <w:rPr>
                <w:rFonts w:hint="eastAsia" w:ascii="宋体" w:hAnsi="宋体" w:eastAsia="宋体" w:cs="宋体"/>
                <w:sz w:val="21"/>
                <w:szCs w:val="21"/>
              </w:rPr>
            </w:pPr>
            <w:r>
              <w:rPr>
                <w:rFonts w:hint="eastAsia" w:ascii="宋体" w:hAnsi="宋体" w:eastAsia="宋体" w:cs="宋体"/>
                <w:sz w:val="21"/>
                <w:szCs w:val="21"/>
              </w:rPr>
              <w:t>其中：P是投标报价所占的评分满分值；E1是投标报价每高于评标基准价一个百分点的扣分值；E2是投标报价每低于评标基准价一个百分点的扣分值；E1=</w:t>
            </w:r>
            <w:r>
              <w:rPr>
                <w:rFonts w:hint="eastAsia" w:ascii="宋体" w:hAnsi="宋体" w:eastAsia="宋体" w:cs="宋体"/>
                <w:sz w:val="21"/>
                <w:szCs w:val="21"/>
                <w:lang w:val="en-US" w:eastAsia="zh-CN"/>
              </w:rPr>
              <w:t>2</w:t>
            </w:r>
            <w:r>
              <w:rPr>
                <w:rFonts w:hint="eastAsia" w:ascii="宋体" w:hAnsi="宋体" w:eastAsia="宋体" w:cs="宋体"/>
                <w:sz w:val="21"/>
                <w:szCs w:val="21"/>
              </w:rPr>
              <w:t>，E2=</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pStyle w:val="2"/>
              <w:widowControl w:val="0"/>
              <w:ind w:firstLine="0" w:firstLineChars="0"/>
              <w:jc w:val="left"/>
              <w:rPr>
                <w:rFonts w:hint="eastAsia" w:ascii="宋体" w:hAnsi="宋体" w:cs="宋体"/>
                <w:b w:val="0"/>
                <w:bCs w:val="0"/>
                <w:color w:val="000000"/>
                <w:kern w:val="2"/>
                <w:sz w:val="21"/>
                <w:szCs w:val="21"/>
                <w:vertAlign w:val="baseline"/>
              </w:rPr>
            </w:pPr>
            <w:r>
              <w:rPr>
                <w:rFonts w:hint="eastAsia" w:ascii="宋体" w:hAnsi="宋体" w:cs="宋体"/>
                <w:color w:val="000000"/>
                <w:sz w:val="21"/>
                <w:szCs w:val="21"/>
                <w:highlight w:val="none"/>
              </w:rPr>
              <w:t>偏差率</w:t>
            </w:r>
            <w:r>
              <w:rPr>
                <w:rFonts w:hint="eastAsia" w:ascii="宋体" w:hAnsi="宋体" w:eastAsia="宋体" w:cs="宋体"/>
                <w:color w:val="000000"/>
                <w:sz w:val="21"/>
                <w:szCs w:val="21"/>
                <w:highlight w:val="none"/>
              </w:rPr>
              <w:t>=100%×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投标人报价</w:t>
            </w:r>
            <w:r>
              <w:rPr>
                <w:rFonts w:hint="eastAsia" w:ascii="宋体" w:hAnsi="宋体" w:cs="宋体"/>
                <w:color w:val="000000"/>
                <w:sz w:val="21"/>
                <w:szCs w:val="21"/>
                <w:highlight w:val="none"/>
              </w:rPr>
              <w:t>-评标基准价</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rPr>
              <w:t>/评标基准</w:t>
            </w:r>
            <w:r>
              <w:rPr>
                <w:rFonts w:hint="eastAsia" w:ascii="宋体" w:hAnsi="宋体" w:eastAsia="宋体" w:cs="宋体"/>
                <w:color w:val="000000"/>
                <w:sz w:val="21"/>
                <w:szCs w:val="21"/>
                <w:highlight w:val="none"/>
                <w:lang w:eastAsia="zh-CN"/>
              </w:rPr>
              <w:t>价</w:t>
            </w:r>
          </w:p>
        </w:tc>
        <w:tc>
          <w:tcPr>
            <w:tcW w:w="851" w:type="dxa"/>
            <w:noWrap w:val="0"/>
            <w:vAlign w:val="center"/>
          </w:tcPr>
          <w:p>
            <w:pPr>
              <w:pStyle w:val="6"/>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p>
        </w:tc>
        <w:tc>
          <w:tcPr>
            <w:tcW w:w="780" w:type="dxa"/>
            <w:noWrap w:val="0"/>
            <w:vAlign w:val="center"/>
          </w:tcPr>
          <w:p>
            <w:pPr>
              <w:pStyle w:val="6"/>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p>
        </w:tc>
        <w:tc>
          <w:tcPr>
            <w:tcW w:w="1660" w:type="dxa"/>
            <w:noWrap w:val="0"/>
            <w:vAlign w:val="center"/>
          </w:tcPr>
          <w:p>
            <w:pPr>
              <w:pStyle w:val="6"/>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Calibri" w:cs="Calibri"/>
                <w:color w:val="000000"/>
                <w:sz w:val="21"/>
                <w:szCs w:val="21"/>
                <w:highlight w:val="none"/>
              </w:rPr>
              <w:t>除按规定被宣布废标的投标报价外，所有通过初步评审的有效投标人投标报价的算术平均值即为评标基准价。</w:t>
            </w:r>
          </w:p>
        </w:tc>
        <w:tc>
          <w:tcPr>
            <w:tcW w:w="859" w:type="dxa"/>
            <w:noWrap w:val="0"/>
            <w:vAlign w:val="center"/>
          </w:tcPr>
          <w:p>
            <w:pPr>
              <w:pStyle w:val="6"/>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p>
        </w:tc>
      </w:tr>
    </w:tbl>
    <w:p>
      <w:pPr>
        <w:rPr>
          <w:rFonts w:hint="eastAsia" w:ascii="宋体" w:hAnsi="宋体" w:eastAsia="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 xml:space="preserve">                                                                                                                                                                                                                                                                                                                                                                                                                                                                                                                                                                                                                                                                                                                                                                                                                                                                                                         </w:t>
      </w:r>
      <w:r>
        <w:rPr>
          <w:rFonts w:hint="eastAsia" w:ascii="宋体" w:hAnsi="宋体" w:eastAsia="宋体" w:cs="Times New Roman"/>
          <w:color w:val="000000"/>
          <w:sz w:val="24"/>
          <w:szCs w:val="24"/>
          <w:highlight w:val="none"/>
          <w:lang w:val="en-US" w:eastAsia="zh-CN"/>
        </w:rPr>
        <w:br w:type="page"/>
      </w:r>
    </w:p>
    <w:p>
      <w:pPr>
        <w:pStyle w:val="25"/>
        <w:spacing w:line="360" w:lineRule="auto"/>
        <w:ind w:left="420" w:firstLine="0" w:firstLineChars="0"/>
        <w:jc w:val="center"/>
        <w:rPr>
          <w:rFonts w:ascii="黑体" w:hAnsi="黑体" w:eastAsia="黑体" w:cs="仿宋"/>
          <w:b/>
          <w:color w:val="000000"/>
          <w:sz w:val="36"/>
          <w:szCs w:val="36"/>
        </w:rPr>
      </w:pPr>
    </w:p>
    <w:p>
      <w:pPr>
        <w:pStyle w:val="25"/>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rFonts w:hint="eastAsia" w:ascii="黑体" w:hAnsi="黑体" w:eastAsia="黑体" w:cs="黑体"/>
          <w:u w:val="single"/>
        </w:rPr>
      </w:pPr>
      <w:r>
        <w:rPr>
          <w:rFonts w:hint="eastAsia" w:ascii="黑体" w:hAnsi="黑体" w:eastAsia="黑体" w:cs="黑体"/>
        </w:rPr>
        <w:t xml:space="preserve">                                               合同编号：</w:t>
      </w:r>
    </w:p>
    <w:p>
      <w:pPr>
        <w:pStyle w:val="25"/>
        <w:spacing w:line="600" w:lineRule="exact"/>
        <w:ind w:left="420" w:leftChars="200" w:right="979" w:rightChars="466" w:firstLine="0" w:firstLineChars="0"/>
        <w:jc w:val="center"/>
        <w:rPr>
          <w:rFonts w:hint="eastAsia" w:ascii="黑体" w:hAnsi="黑体" w:eastAsia="黑体" w:cs="黑体"/>
          <w:b/>
          <w:color w:val="000000"/>
          <w:sz w:val="36"/>
          <w:szCs w:val="36"/>
          <w:highlight w:val="none"/>
          <w:lang w:val="en-US" w:eastAsia="zh-CN"/>
        </w:rPr>
      </w:pPr>
      <w:r>
        <w:rPr>
          <w:rFonts w:hint="eastAsia" w:ascii="黑体" w:hAnsi="黑体" w:eastAsia="黑体" w:cs="黑体"/>
          <w:b/>
          <w:color w:val="000000"/>
          <w:sz w:val="36"/>
          <w:szCs w:val="36"/>
          <w:highlight w:val="none"/>
          <w:lang w:val="en-US" w:eastAsia="zh-CN"/>
        </w:rPr>
        <w:t>岳阳城陵矶危险品储运有限公司</w:t>
      </w:r>
    </w:p>
    <w:p>
      <w:pPr>
        <w:pStyle w:val="25"/>
        <w:spacing w:line="600" w:lineRule="exact"/>
        <w:ind w:left="420" w:leftChars="200" w:right="979" w:rightChars="466" w:firstLine="0" w:firstLineChars="0"/>
        <w:jc w:val="center"/>
        <w:rPr>
          <w:rFonts w:hint="eastAsia" w:ascii="黑体" w:hAnsi="黑体" w:eastAsia="黑体" w:cs="黑体"/>
          <w:b/>
          <w:color w:val="000000"/>
          <w:sz w:val="36"/>
          <w:szCs w:val="36"/>
          <w:highlight w:val="none"/>
        </w:rPr>
      </w:pPr>
      <w:r>
        <w:rPr>
          <w:rFonts w:hint="eastAsia" w:ascii="黑体" w:hAnsi="黑体" w:eastAsia="黑体" w:cs="黑体"/>
          <w:b/>
          <w:color w:val="000000"/>
          <w:sz w:val="36"/>
          <w:szCs w:val="36"/>
          <w:highlight w:val="none"/>
          <w:lang w:val="en-US" w:eastAsia="zh-CN"/>
        </w:rPr>
        <w:t>盲区监控系统增加询价采购</w:t>
      </w:r>
      <w:r>
        <w:rPr>
          <w:rFonts w:hint="eastAsia" w:ascii="黑体" w:hAnsi="黑体" w:eastAsia="黑体" w:cs="黑体"/>
          <w:b/>
          <w:color w:val="000000"/>
          <w:sz w:val="36"/>
          <w:szCs w:val="36"/>
          <w:highlight w:val="none"/>
        </w:rPr>
        <w:t>合同</w:t>
      </w:r>
    </w:p>
    <w:p>
      <w:pPr>
        <w:spacing w:line="360" w:lineRule="auto"/>
        <w:jc w:val="both"/>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spacing w:line="360" w:lineRule="auto"/>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widowControl w:val="0"/>
        <w:snapToGrid w:val="0"/>
        <w:spacing w:line="240" w:lineRule="auto"/>
        <w:ind w:left="1400" w:hanging="1600" w:hangingChars="500"/>
        <w:outlineLvl w:val="2"/>
        <w:rPr>
          <w:rFonts w:hint="eastAsia"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lang w:val="en-US" w:eastAsia="zh-CN"/>
        </w:rPr>
        <w:t>岳阳城陵矶危险品储运有限公司盲区监控系统增加询价采购</w:t>
      </w:r>
      <w:r>
        <w:rPr>
          <w:rFonts w:hint="eastAsia" w:ascii="黑体" w:hAnsi="黑体" w:eastAsia="黑体" w:cs="黑体"/>
          <w:sz w:val="32"/>
          <w:szCs w:val="32"/>
        </w:rPr>
        <w:t>合同</w:t>
      </w:r>
    </w:p>
    <w:p>
      <w:pPr>
        <w:widowControl w:val="0"/>
        <w:snapToGrid w:val="0"/>
        <w:spacing w:line="240" w:lineRule="auto"/>
        <w:outlineLvl w:val="2"/>
        <w:rPr>
          <w:rFonts w:hint="eastAsia" w:ascii="黑体" w:hAnsi="黑体" w:eastAsia="黑体" w:cs="黑体"/>
          <w:sz w:val="32"/>
          <w:szCs w:val="32"/>
          <w:lang w:eastAsia="zh-CN"/>
        </w:rPr>
      </w:pPr>
      <w:r>
        <w:rPr>
          <w:rFonts w:hint="eastAsia" w:ascii="黑体" w:hAnsi="黑体" w:eastAsia="黑体" w:cs="黑体"/>
          <w:sz w:val="32"/>
          <w:szCs w:val="32"/>
        </w:rPr>
        <w:t>发 包 人：</w:t>
      </w:r>
      <w:r>
        <w:rPr>
          <w:rFonts w:hint="eastAsia" w:ascii="黑体" w:hAnsi="黑体" w:eastAsia="黑体" w:cs="黑体"/>
          <w:sz w:val="32"/>
          <w:szCs w:val="32"/>
          <w:lang w:eastAsia="zh-CN"/>
        </w:rPr>
        <w:t>岳阳城陵矶危险品储运有限公司</w:t>
      </w: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rPr>
        <w:t>承 包 人：</w:t>
      </w:r>
    </w:p>
    <w:p>
      <w:pPr>
        <w:widowControl w:val="0"/>
        <w:snapToGrid w:val="0"/>
        <w:spacing w:line="240" w:lineRule="auto"/>
        <w:outlineLvl w:val="2"/>
        <w:rPr>
          <w:rFonts w:hint="eastAsia" w:ascii="黑体" w:hAnsi="黑体" w:eastAsia="黑体" w:cs="黑体"/>
          <w:sz w:val="32"/>
          <w:szCs w:val="32"/>
        </w:rPr>
      </w:pPr>
    </w:p>
    <w:p>
      <w:pPr>
        <w:widowControl w:val="0"/>
        <w:snapToGrid w:val="0"/>
        <w:spacing w:line="240" w:lineRule="auto"/>
        <w:outlineLvl w:val="2"/>
        <w:rPr>
          <w:rFonts w:hint="eastAsia" w:ascii="黑体" w:hAnsi="黑体" w:eastAsia="黑体" w:cs="黑体"/>
          <w:sz w:val="32"/>
          <w:szCs w:val="32"/>
        </w:rPr>
      </w:pP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rPr>
        <w:t>签订日期：</w:t>
      </w:r>
      <w:r>
        <w:rPr>
          <w:rFonts w:hint="eastAsia" w:ascii="黑体" w:hAnsi="黑体" w:eastAsia="黑体" w:cs="黑体"/>
          <w:sz w:val="32"/>
          <w:szCs w:val="32"/>
          <w:lang w:eastAsia="zh-CN"/>
        </w:rPr>
        <w:t>2024</w:t>
      </w:r>
      <w:r>
        <w:rPr>
          <w:rFonts w:hint="eastAsia" w:ascii="黑体" w:hAnsi="黑体" w:eastAsia="黑体" w:cs="黑体"/>
          <w:sz w:val="32"/>
          <w:szCs w:val="32"/>
        </w:rPr>
        <w:t>年   月   日</w:t>
      </w:r>
    </w:p>
    <w:p>
      <w:pPr>
        <w:widowControl w:val="0"/>
        <w:snapToGrid w:val="0"/>
        <w:spacing w:line="240" w:lineRule="auto"/>
        <w:outlineLvl w:val="2"/>
        <w:rPr>
          <w:rFonts w:hint="eastAsia" w:ascii="黑体" w:hAnsi="黑体" w:eastAsia="黑体" w:cs="黑体"/>
          <w:sz w:val="32"/>
          <w:szCs w:val="32"/>
          <w:u w:val="single"/>
        </w:rPr>
        <w:sectPr>
          <w:footerReference r:id="rId5" w:type="default"/>
          <w:pgSz w:w="11900" w:h="16840"/>
          <w:pgMar w:top="1440" w:right="1800" w:bottom="1440" w:left="1800" w:header="720" w:footer="720" w:gutter="0"/>
          <w:cols w:space="720" w:num="1"/>
          <w:docGrid w:linePitch="286" w:charSpace="0"/>
        </w:sectPr>
      </w:pPr>
    </w:p>
    <w:p>
      <w:pPr>
        <w:widowControl/>
        <w:snapToGrid/>
        <w:spacing w:line="240" w:lineRule="auto"/>
        <w:ind w:firstLine="0" w:firstLineChars="0"/>
        <w:jc w:val="center"/>
        <w:outlineLvl w:val="9"/>
        <w:rPr>
          <w:rFonts w:hint="eastAsia" w:ascii="黑体" w:hAnsi="黑体" w:eastAsia="黑体" w:cs="黑体"/>
          <w:w w:val="100"/>
          <w:sz w:val="32"/>
          <w:szCs w:val="32"/>
        </w:rPr>
      </w:pPr>
      <w:r>
        <w:rPr>
          <w:rFonts w:hint="eastAsia" w:ascii="黑体" w:hAnsi="黑体" w:eastAsia="黑体" w:cs="黑体"/>
          <w:w w:val="100"/>
          <w:sz w:val="32"/>
          <w:szCs w:val="32"/>
        </w:rPr>
        <w:t>第一部分 合同部分</w:t>
      </w:r>
    </w:p>
    <w:p>
      <w:pPr>
        <w:widowControl w:val="0"/>
        <w:adjustRightInd w:val="0"/>
        <w:snapToGrid w:val="0"/>
        <w:spacing w:line="312"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岳阳城陵矶危险品储运有限公司</w:t>
      </w:r>
      <w:r>
        <w:rPr>
          <w:rFonts w:hint="eastAsia" w:ascii="宋体" w:hAnsi="宋体" w:cs="宋体"/>
          <w:sz w:val="24"/>
        </w:rPr>
        <w:t xml:space="preserve">                     </w:t>
      </w:r>
    </w:p>
    <w:p>
      <w:pPr>
        <w:widowControl w:val="0"/>
        <w:adjustRightInd w:val="0"/>
        <w:snapToGrid w:val="0"/>
        <w:spacing w:line="312"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12" w:lineRule="auto"/>
        <w:ind w:firstLine="480" w:firstLineChars="200"/>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新港盲区监控系统增加</w:t>
      </w:r>
      <w:r>
        <w:rPr>
          <w:rFonts w:hint="eastAsia" w:ascii="宋体" w:hAnsi="宋体" w:cs="宋体"/>
          <w:sz w:val="24"/>
        </w:rPr>
        <w:t xml:space="preserve">采购项目合同，双方共同遵照执行。 </w:t>
      </w:r>
    </w:p>
    <w:p>
      <w:pPr>
        <w:numPr>
          <w:ilvl w:val="255"/>
          <w:numId w:val="0"/>
        </w:numPr>
        <w:rPr>
          <w:rFonts w:hint="eastAsia"/>
          <w:b/>
          <w:bCs/>
          <w:color w:val="000000"/>
          <w:sz w:val="24"/>
          <w:lang w:val="en-US" w:eastAsia="zh-CN"/>
        </w:rPr>
      </w:pPr>
      <w:r>
        <w:rPr>
          <w:rFonts w:hint="eastAsia"/>
          <w:b/>
          <w:bCs/>
          <w:color w:val="000000"/>
          <w:sz w:val="24"/>
        </w:rPr>
        <w:t>第一条：</w:t>
      </w:r>
      <w:r>
        <w:rPr>
          <w:rFonts w:hint="eastAsia"/>
          <w:b/>
          <w:bCs/>
          <w:color w:val="000000"/>
          <w:sz w:val="24"/>
          <w:lang w:val="en-US" w:eastAsia="zh-CN"/>
        </w:rPr>
        <w:t>合同内容：</w:t>
      </w:r>
    </w:p>
    <w:p>
      <w:pPr>
        <w:rPr>
          <w:rFonts w:hint="eastAsia" w:ascii="宋体" w:hAnsi="宋体" w:eastAsia="宋体" w:cs="宋体"/>
          <w:sz w:val="24"/>
          <w:szCs w:val="24"/>
        </w:rPr>
      </w:pPr>
      <w:r>
        <w:rPr>
          <w:rFonts w:hint="eastAsia" w:ascii="宋体" w:hAnsi="宋体" w:eastAsia="宋体" w:cs="宋体"/>
          <w:sz w:val="24"/>
          <w:szCs w:val="24"/>
          <w:lang w:val="en-US" w:eastAsia="zh-CN"/>
        </w:rPr>
        <w:t>1、按技术参数要求。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2、将</w:t>
      </w:r>
      <w:r>
        <w:rPr>
          <w:rFonts w:hint="eastAsia" w:ascii="宋体" w:hAnsi="宋体" w:cs="宋体"/>
          <w:sz w:val="24"/>
          <w:szCs w:val="24"/>
          <w:lang w:val="en-US" w:eastAsia="zh-CN"/>
        </w:rPr>
        <w:t>监控</w:t>
      </w:r>
      <w:r>
        <w:rPr>
          <w:rFonts w:hint="eastAsia" w:ascii="宋体" w:hAnsi="宋体" w:eastAsia="宋体" w:cs="宋体"/>
          <w:sz w:val="24"/>
          <w:szCs w:val="24"/>
          <w:lang w:val="en-US" w:eastAsia="zh-CN"/>
        </w:rPr>
        <w:t>运送至甲方指定地点。</w:t>
      </w:r>
    </w:p>
    <w:p>
      <w:pPr>
        <w:rPr>
          <w:rFonts w:hint="eastAsia"/>
          <w:lang w:val="en-US" w:eastAsia="zh-CN"/>
        </w:rPr>
      </w:pPr>
      <w:r>
        <w:rPr>
          <w:rFonts w:hint="eastAsia" w:ascii="宋体" w:hAnsi="宋体" w:eastAsia="宋体" w:cs="宋体"/>
          <w:sz w:val="24"/>
          <w:szCs w:val="24"/>
          <w:lang w:val="en-US" w:eastAsia="zh-CN"/>
        </w:rPr>
        <w:t>3、安装并且调试确保</w:t>
      </w:r>
      <w:r>
        <w:rPr>
          <w:rFonts w:hint="eastAsia" w:ascii="宋体" w:hAnsi="宋体" w:cs="宋体"/>
          <w:sz w:val="24"/>
          <w:szCs w:val="24"/>
          <w:lang w:val="en-US" w:eastAsia="zh-CN"/>
        </w:rPr>
        <w:t>监控</w:t>
      </w:r>
      <w:r>
        <w:rPr>
          <w:rFonts w:hint="eastAsia" w:ascii="宋体" w:hAnsi="宋体" w:eastAsia="宋体" w:cs="宋体"/>
          <w:sz w:val="24"/>
          <w:szCs w:val="24"/>
          <w:lang w:val="en-US" w:eastAsia="zh-CN"/>
        </w:rPr>
        <w:t>能正常使用。</w:t>
      </w:r>
    </w:p>
    <w:p>
      <w:pPr>
        <w:rPr>
          <w:rFonts w:hint="eastAsia"/>
          <w:b/>
          <w:bCs/>
          <w:color w:val="000000"/>
          <w:sz w:val="24"/>
          <w:lang w:val="en-US" w:eastAsia="zh-CN"/>
        </w:rPr>
      </w:pPr>
      <w:r>
        <w:rPr>
          <w:rFonts w:hint="eastAsia"/>
          <w:b/>
          <w:bCs/>
          <w:color w:val="000000"/>
          <w:sz w:val="24"/>
        </w:rPr>
        <w:t>第</w:t>
      </w:r>
      <w:r>
        <w:rPr>
          <w:rFonts w:hint="eastAsia"/>
          <w:b/>
          <w:bCs/>
          <w:color w:val="000000"/>
          <w:sz w:val="24"/>
          <w:lang w:val="en-US" w:eastAsia="zh-CN"/>
        </w:rPr>
        <w:t>二</w:t>
      </w:r>
      <w:r>
        <w:rPr>
          <w:rFonts w:hint="eastAsia"/>
          <w:b/>
          <w:bCs/>
          <w:color w:val="000000"/>
          <w:sz w:val="24"/>
        </w:rPr>
        <w:t>条：产品</w:t>
      </w:r>
      <w:r>
        <w:rPr>
          <w:rFonts w:hint="eastAsia"/>
          <w:b/>
          <w:bCs/>
          <w:color w:val="000000"/>
          <w:sz w:val="24"/>
          <w:lang w:val="en-US" w:eastAsia="zh-CN"/>
        </w:rPr>
        <w:t>清单明细</w:t>
      </w:r>
    </w:p>
    <w:p>
      <w:pPr>
        <w:pStyle w:val="2"/>
        <w:rPr>
          <w:rFonts w:hint="eastAsia"/>
          <w:lang w:val="en-US" w:eastAsia="zh-CN"/>
        </w:rPr>
      </w:pPr>
    </w:p>
    <w:p>
      <w:pPr>
        <w:pStyle w:val="2"/>
        <w:rPr>
          <w:rFonts w:hint="eastAsia"/>
          <w:lang w:val="en-US" w:eastAsia="zh-CN"/>
        </w:rPr>
      </w:pPr>
      <w:r>
        <w:rPr>
          <w:rFonts w:hint="eastAsia"/>
          <w:lang w:val="en-US" w:eastAsia="zh-CN"/>
        </w:rPr>
        <w:t>（备注：如有未列项，供应商可另行列出并备注说明，包含在总价中）</w:t>
      </w:r>
    </w:p>
    <w:p>
      <w:pPr>
        <w:numPr>
          <w:ilvl w:val="0"/>
          <w:numId w:val="3"/>
        </w:numPr>
        <w:spacing w:line="360" w:lineRule="auto"/>
        <w:outlineLvl w:val="2"/>
        <w:rPr>
          <w:rFonts w:hint="eastAsia"/>
          <w:b/>
          <w:bCs/>
          <w:color w:val="000000"/>
          <w:sz w:val="24"/>
        </w:rPr>
      </w:pPr>
      <w:r>
        <w:rPr>
          <w:rFonts w:hint="eastAsia"/>
          <w:b/>
          <w:bCs/>
          <w:color w:val="000000"/>
          <w:sz w:val="24"/>
        </w:rPr>
        <w:t xml:space="preserve"> 款项的给付</w:t>
      </w:r>
    </w:p>
    <w:p>
      <w:pPr>
        <w:numPr>
          <w:ilvl w:val="0"/>
          <w:numId w:val="4"/>
        </w:numPr>
        <w:spacing w:line="360" w:lineRule="auto"/>
        <w:ind w:firstLine="480" w:firstLineChars="200"/>
        <w:outlineLvl w:val="2"/>
        <w:rPr>
          <w:rFonts w:hint="eastAsia" w:ascii="宋体" w:hAnsi="宋体" w:cs="宋体"/>
          <w:color w:val="000000"/>
          <w:sz w:val="24"/>
        </w:rPr>
      </w:pPr>
      <w:r>
        <w:rPr>
          <w:rFonts w:hint="eastAsia" w:ascii="宋体" w:hAnsi="宋体" w:cs="宋体"/>
          <w:color w:val="000000"/>
          <w:sz w:val="24"/>
        </w:rPr>
        <w:t>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0"/>
          <w:numId w:val="0"/>
        </w:numPr>
        <w:spacing w:line="360" w:lineRule="auto"/>
        <w:ind w:firstLine="480" w:firstLineChars="200"/>
        <w:outlineLvl w:val="2"/>
        <w:rPr>
          <w:rFonts w:hint="eastAsia" w:ascii="宋体" w:hAnsi="宋体" w:eastAsia="宋体" w:cs="宋体"/>
          <w:sz w:val="24"/>
          <w:lang w:eastAsia="zh-CN"/>
        </w:rPr>
      </w:pPr>
      <w:r>
        <w:rPr>
          <w:rFonts w:hint="eastAsia" w:ascii="宋体" w:hAnsi="宋体" w:cs="宋体"/>
          <w:color w:val="000000"/>
          <w:sz w:val="24"/>
        </w:rPr>
        <w:t>2.本合同经双方确认签字盖章后，发生法律效力。合同签订后买方向卖方支付30%订金（￥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w:t>
      </w:r>
      <w:r>
        <w:rPr>
          <w:rFonts w:hint="eastAsia" w:ascii="宋体" w:hAnsi="宋体" w:cs="宋体"/>
          <w:sz w:val="24"/>
          <w:lang w:val="en-US" w:eastAsia="zh-CN"/>
        </w:rPr>
        <w:t>供货</w:t>
      </w:r>
      <w:r>
        <w:rPr>
          <w:rFonts w:hint="eastAsia" w:ascii="宋体" w:hAnsi="宋体" w:cs="宋体"/>
          <w:sz w:val="24"/>
        </w:rPr>
        <w:t>，指定卖方在规定</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rPr>
        <w:t>买方支付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质保期期满</w:t>
      </w:r>
      <w:r>
        <w:rPr>
          <w:rFonts w:hint="eastAsia" w:ascii="宋体" w:hAnsi="宋体" w:cs="宋体"/>
          <w:sz w:val="24"/>
        </w:rPr>
        <w:t>支</w:t>
      </w:r>
      <w:r>
        <w:rPr>
          <w:rFonts w:hint="eastAsia" w:ascii="宋体" w:hAnsi="宋体" w:cs="宋体"/>
          <w:sz w:val="24"/>
          <w:lang w:val="en-US" w:eastAsia="zh-CN"/>
        </w:rPr>
        <w:t>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rPr>
          <w:b/>
          <w:bCs/>
          <w:color w:val="000000"/>
          <w:sz w:val="24"/>
        </w:rPr>
      </w:pPr>
      <w:r>
        <w:rPr>
          <w:rFonts w:hint="eastAsia"/>
          <w:b/>
          <w:bCs/>
          <w:color w:val="000000"/>
          <w:sz w:val="24"/>
        </w:rPr>
        <w:t>第四条   产品交付</w:t>
      </w:r>
    </w:p>
    <w:p>
      <w:pPr>
        <w:spacing w:line="460" w:lineRule="exact"/>
        <w:ind w:firstLine="480" w:firstLineChars="200"/>
        <w:rPr>
          <w:b/>
          <w:bCs/>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合</w:t>
      </w:r>
      <w:r>
        <w:rPr>
          <w:rFonts w:hint="eastAsia"/>
          <w:color w:val="000000"/>
          <w:sz w:val="24"/>
        </w:rPr>
        <w:t>同交货期为合同签订后</w:t>
      </w:r>
      <w:r>
        <w:rPr>
          <w:rFonts w:hint="eastAsia"/>
          <w:color w:val="000000"/>
          <w:sz w:val="24"/>
          <w:u w:val="single"/>
          <w:lang w:val="en-US" w:eastAsia="zh-CN"/>
        </w:rPr>
        <w:t>7</w:t>
      </w:r>
      <w:r>
        <w:rPr>
          <w:rFonts w:hint="eastAsia"/>
          <w:color w:val="000000"/>
          <w:sz w:val="24"/>
          <w:u w:val="single"/>
        </w:rPr>
        <w:t xml:space="preserve"> </w:t>
      </w:r>
      <w:r>
        <w:rPr>
          <w:rFonts w:hint="eastAsia"/>
          <w:color w:val="000000"/>
          <w:sz w:val="24"/>
          <w:u w:val="none"/>
          <w:lang w:val="en-US" w:eastAsia="zh-CN"/>
        </w:rPr>
        <w:t>个</w:t>
      </w:r>
      <w:r>
        <w:rPr>
          <w:rFonts w:hint="eastAsia"/>
          <w:color w:val="000000"/>
          <w:sz w:val="24"/>
          <w:lang w:val="en-US" w:eastAsia="zh-CN"/>
        </w:rPr>
        <w:t>日历日</w:t>
      </w:r>
      <w:r>
        <w:rPr>
          <w:rFonts w:hint="eastAsia"/>
          <w:color w:val="000000"/>
          <w:sz w:val="24"/>
        </w:rPr>
        <w:t>内，由卖方将设备运至</w:t>
      </w:r>
      <w:r>
        <w:rPr>
          <w:rFonts w:hint="eastAsia"/>
          <w:color w:val="000000"/>
          <w:sz w:val="24"/>
          <w:lang w:val="en-US" w:eastAsia="zh-CN"/>
        </w:rPr>
        <w:t>甲</w:t>
      </w:r>
      <w:r>
        <w:rPr>
          <w:rFonts w:hint="eastAsia"/>
          <w:color w:val="000000"/>
          <w:sz w:val="24"/>
        </w:rPr>
        <w:t>方指定地点</w:t>
      </w:r>
      <w:r>
        <w:rPr>
          <w:rFonts w:hint="eastAsia"/>
          <w:color w:val="000000"/>
          <w:sz w:val="24"/>
          <w:lang w:val="en-US" w:eastAsia="zh-CN"/>
        </w:rPr>
        <w:t>且安装调试完成能交付使用</w:t>
      </w:r>
      <w:r>
        <w:rPr>
          <w:rFonts w:hint="eastAsia"/>
          <w:color w:val="000000"/>
          <w:sz w:val="24"/>
        </w:rPr>
        <w:t>。</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s="宋体"/>
          <w:color w:val="000000"/>
          <w:kern w:val="0"/>
          <w:sz w:val="24"/>
        </w:rPr>
        <w:t>交货地点：岳阳城陵矶港。</w:t>
      </w:r>
    </w:p>
    <w:p>
      <w:pPr>
        <w:tabs>
          <w:tab w:val="left" w:pos="540"/>
        </w:tabs>
        <w:autoSpaceDE w:val="0"/>
        <w:autoSpaceDN w:val="0"/>
        <w:adjustRightInd w:val="0"/>
        <w:spacing w:line="5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3</w:t>
      </w:r>
      <w:r>
        <w:rPr>
          <w:rFonts w:hint="eastAsia" w:ascii="宋体" w:hAnsi="宋体" w:cs="宋体"/>
          <w:color w:val="000000"/>
          <w:kern w:val="0"/>
          <w:sz w:val="24"/>
          <w:lang w:eastAsia="zh-CN"/>
        </w:rPr>
        <w:t>、</w:t>
      </w:r>
      <w:r>
        <w:rPr>
          <w:rFonts w:hint="eastAsia" w:ascii="宋体" w:hAnsi="宋体" w:cs="宋体"/>
          <w:color w:val="000000"/>
          <w:kern w:val="0"/>
          <w:sz w:val="24"/>
        </w:rPr>
        <w:t>包装方式：</w:t>
      </w:r>
      <w:r>
        <w:rPr>
          <w:rFonts w:hint="eastAsia" w:ascii="宋体" w:hAnsi="宋体" w:cs="宋体"/>
          <w:color w:val="000000"/>
          <w:kern w:val="0"/>
          <w:sz w:val="24"/>
          <w:lang w:val="en-US" w:eastAsia="zh-CN"/>
        </w:rPr>
        <w:t>乙</w:t>
      </w:r>
      <w:r>
        <w:rPr>
          <w:rFonts w:hint="eastAsia" w:ascii="宋体" w:hAnsi="宋体" w:cs="宋体"/>
          <w:color w:val="000000"/>
          <w:kern w:val="0"/>
          <w:sz w:val="24"/>
        </w:rPr>
        <w:t>方应当严格执行现行包装标准,确保设备无任何损毁瑕疵，包装费用由</w:t>
      </w:r>
      <w:r>
        <w:rPr>
          <w:rFonts w:hint="eastAsia" w:ascii="宋体" w:hAnsi="宋体" w:cs="宋体"/>
          <w:color w:val="000000"/>
          <w:kern w:val="0"/>
          <w:sz w:val="24"/>
          <w:lang w:val="en-US" w:eastAsia="zh-CN"/>
        </w:rPr>
        <w:t>乙</w:t>
      </w:r>
      <w:r>
        <w:rPr>
          <w:rFonts w:hint="eastAsia" w:ascii="宋体" w:hAnsi="宋体" w:cs="宋体"/>
          <w:color w:val="000000"/>
          <w:kern w:val="0"/>
          <w:sz w:val="24"/>
        </w:rPr>
        <w:t>方承担。</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eastAsia="zh-CN"/>
        </w:rPr>
        <w:t>、</w:t>
      </w:r>
      <w:r>
        <w:rPr>
          <w:rFonts w:hint="eastAsia" w:ascii="宋体" w:hAnsi="宋体" w:cs="宋体"/>
          <w:color w:val="000000"/>
          <w:kern w:val="0"/>
          <w:sz w:val="24"/>
        </w:rPr>
        <w:t>产品在运送至</w:t>
      </w:r>
      <w:r>
        <w:rPr>
          <w:rFonts w:hint="eastAsia" w:ascii="宋体" w:hAnsi="宋体" w:cs="宋体"/>
          <w:color w:val="000000"/>
          <w:kern w:val="0"/>
          <w:sz w:val="24"/>
          <w:lang w:val="en-US" w:eastAsia="zh-CN"/>
        </w:rPr>
        <w:t>甲</w:t>
      </w:r>
      <w:r>
        <w:rPr>
          <w:rFonts w:hint="eastAsia" w:ascii="宋体" w:hAnsi="宋体" w:cs="宋体"/>
          <w:color w:val="000000"/>
          <w:kern w:val="0"/>
          <w:sz w:val="24"/>
        </w:rPr>
        <w:t>方指定地点并经</w:t>
      </w:r>
      <w:r>
        <w:rPr>
          <w:rFonts w:hint="eastAsia" w:ascii="宋体" w:hAnsi="宋体" w:cs="宋体"/>
          <w:color w:val="000000"/>
          <w:kern w:val="0"/>
          <w:sz w:val="24"/>
          <w:lang w:val="en-US" w:eastAsia="zh-CN"/>
        </w:rPr>
        <w:t>甲</w:t>
      </w:r>
      <w:r>
        <w:rPr>
          <w:rFonts w:hint="eastAsia" w:ascii="宋体" w:hAnsi="宋体" w:cs="宋体"/>
          <w:color w:val="000000"/>
          <w:kern w:val="0"/>
          <w:sz w:val="24"/>
        </w:rPr>
        <w:t>方验收合格之前的毁损、灭失的风险由</w:t>
      </w:r>
      <w:r>
        <w:rPr>
          <w:rFonts w:hint="eastAsia" w:ascii="宋体" w:hAnsi="宋体" w:cs="宋体"/>
          <w:color w:val="000000"/>
          <w:kern w:val="0"/>
          <w:sz w:val="24"/>
          <w:lang w:val="en-US" w:eastAsia="zh-CN"/>
        </w:rPr>
        <w:t>乙</w:t>
      </w:r>
      <w:r>
        <w:rPr>
          <w:rFonts w:hint="eastAsia" w:ascii="宋体" w:hAnsi="宋体" w:cs="宋体"/>
          <w:color w:val="000000"/>
          <w:kern w:val="0"/>
          <w:sz w:val="24"/>
        </w:rPr>
        <w:t>方承担。</w:t>
      </w:r>
    </w:p>
    <w:p>
      <w:pPr>
        <w:spacing w:line="460" w:lineRule="atLeast"/>
        <w:ind w:firstLine="480" w:firstLineChars="200"/>
        <w:rPr>
          <w:rFonts w:hint="eastAsia" w:ascii="宋体" w:hAnsi="宋体"/>
          <w:color w:val="000000"/>
          <w:sz w:val="24"/>
        </w:rPr>
      </w:pPr>
      <w:r>
        <w:rPr>
          <w:rFonts w:hint="eastAsia" w:ascii="宋体" w:hAnsi="宋体"/>
          <w:color w:val="000000"/>
          <w:sz w:val="24"/>
        </w:rPr>
        <w:t>5、交付:产品运送至买方指定地点，买方接收后并经买方查验合格，安装调试验收合格，视为卖方已交付。</w:t>
      </w: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乙</w:t>
      </w:r>
      <w:r>
        <w:rPr>
          <w:rFonts w:hint="eastAsia" w:ascii="宋体" w:hAnsi="宋体" w:cs="宋体"/>
          <w:color w:val="000000"/>
          <w:kern w:val="0"/>
          <w:sz w:val="24"/>
        </w:rPr>
        <w:t>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z w:val="24"/>
        </w:rPr>
        <w:t>对除上述货品表面情况及数量外的其他质量异议，</w:t>
      </w:r>
      <w:r>
        <w:rPr>
          <w:rFonts w:hint="eastAsia" w:ascii="宋体" w:hAnsi="宋体" w:cs="宋体"/>
          <w:color w:val="000000"/>
          <w:sz w:val="24"/>
          <w:lang w:val="en-US" w:eastAsia="zh-CN"/>
        </w:rPr>
        <w:t>甲</w:t>
      </w:r>
      <w:r>
        <w:rPr>
          <w:rFonts w:hint="eastAsia" w:ascii="宋体" w:hAnsi="宋体" w:cs="宋体"/>
          <w:color w:val="000000"/>
          <w:sz w:val="24"/>
        </w:rPr>
        <w:t>方应在产品验收合格之日起7日内以书面形式向</w:t>
      </w:r>
      <w:r>
        <w:rPr>
          <w:rFonts w:hint="eastAsia" w:ascii="宋体" w:hAnsi="宋体" w:cs="宋体"/>
          <w:color w:val="000000"/>
          <w:sz w:val="24"/>
          <w:lang w:val="en-US" w:eastAsia="zh-CN"/>
        </w:rPr>
        <w:t>乙</w:t>
      </w:r>
      <w:r>
        <w:rPr>
          <w:rFonts w:hint="eastAsia" w:ascii="宋体" w:hAnsi="宋体" w:cs="宋体"/>
          <w:color w:val="000000"/>
          <w:sz w:val="24"/>
        </w:rPr>
        <w:t>方提出，经</w:t>
      </w:r>
      <w:r>
        <w:rPr>
          <w:rFonts w:hint="eastAsia" w:ascii="宋体" w:hAnsi="宋体" w:cs="宋体"/>
          <w:color w:val="000000"/>
          <w:sz w:val="24"/>
          <w:lang w:val="en-US" w:eastAsia="zh-CN"/>
        </w:rPr>
        <w:t>乙</w:t>
      </w:r>
      <w:r>
        <w:rPr>
          <w:rFonts w:hint="eastAsia" w:ascii="宋体" w:hAnsi="宋体" w:cs="宋体"/>
          <w:color w:val="000000"/>
          <w:sz w:val="24"/>
        </w:rPr>
        <w:t>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default" w:eastAsia="宋体"/>
          <w:color w:val="000000"/>
          <w:sz w:val="24"/>
          <w:lang w:val="en-US" w:eastAsia="zh-CN"/>
        </w:rPr>
      </w:pPr>
      <w:r>
        <w:rPr>
          <w:rFonts w:hint="eastAsia" w:ascii="宋体" w:hAnsi="宋体" w:cs="宋体"/>
          <w:color w:val="000000"/>
          <w:sz w:val="24"/>
        </w:rPr>
        <w:t>3</w:t>
      </w:r>
      <w:r>
        <w:rPr>
          <w:rFonts w:hint="eastAsia" w:ascii="宋体" w:hAnsi="宋体" w:cs="宋体"/>
          <w:color w:val="000000"/>
          <w:sz w:val="24"/>
          <w:lang w:eastAsia="zh-CN"/>
        </w:rPr>
        <w:t>、</w:t>
      </w:r>
      <w:r>
        <w:rPr>
          <w:rFonts w:hint="eastAsia" w:ascii="宋体" w:hAnsi="宋体" w:cs="宋体"/>
          <w:color w:val="000000"/>
          <w:sz w:val="24"/>
          <w:lang w:val="en-US" w:eastAsia="zh-CN"/>
        </w:rPr>
        <w:t>乙</w:t>
      </w:r>
      <w:r>
        <w:rPr>
          <w:rFonts w:hint="eastAsia" w:ascii="宋体" w:hAnsi="宋体" w:cs="宋体"/>
          <w:color w:val="000000"/>
          <w:sz w:val="24"/>
        </w:rPr>
        <w:t>方承诺，自买方验收产品合格后的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w:t>
      </w:r>
      <w:r>
        <w:rPr>
          <w:rFonts w:hint="eastAsia" w:ascii="宋体" w:hAnsi="宋体" w:cs="宋体"/>
          <w:color w:val="000000"/>
          <w:sz w:val="24"/>
          <w:lang w:val="en-US" w:eastAsia="zh-CN"/>
        </w:rPr>
        <w:t>乙</w:t>
      </w:r>
      <w:r>
        <w:rPr>
          <w:rFonts w:hint="eastAsia" w:ascii="宋体" w:hAnsi="宋体" w:cs="宋体"/>
          <w:color w:val="000000"/>
          <w:sz w:val="24"/>
        </w:rPr>
        <w:t>方应在收到</w:t>
      </w:r>
      <w:r>
        <w:rPr>
          <w:rFonts w:hint="eastAsia" w:ascii="宋体" w:hAnsi="宋体" w:cs="宋体"/>
          <w:color w:val="000000"/>
          <w:sz w:val="24"/>
          <w:lang w:val="en-US" w:eastAsia="zh-CN"/>
        </w:rPr>
        <w:t>甲</w:t>
      </w:r>
      <w:r>
        <w:rPr>
          <w:rFonts w:hint="eastAsia" w:ascii="宋体" w:hAnsi="宋体" w:cs="宋体"/>
          <w:color w:val="000000"/>
          <w:sz w:val="24"/>
        </w:rPr>
        <w:t>方通知后_</w:t>
      </w:r>
      <w:r>
        <w:rPr>
          <w:rFonts w:hint="eastAsia" w:ascii="宋体" w:hAnsi="宋体" w:cs="宋体"/>
          <w:color w:val="000000"/>
          <w:sz w:val="24"/>
          <w:lang w:val="en-US" w:eastAsia="zh-CN"/>
        </w:rPr>
        <w:t>3</w:t>
      </w:r>
      <w:r>
        <w:rPr>
          <w:rFonts w:hint="eastAsia" w:ascii="宋体" w:hAnsi="宋体" w:cs="宋体"/>
          <w:color w:val="000000"/>
          <w:sz w:val="24"/>
        </w:rPr>
        <w:t>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所造成的损失由乙方承担。</w:t>
      </w:r>
    </w:p>
    <w:p>
      <w:pPr>
        <w:pStyle w:val="2"/>
      </w:pPr>
    </w:p>
    <w:p>
      <w:pPr>
        <w:spacing w:line="460" w:lineRule="exact"/>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0.</w:t>
      </w:r>
      <w:r>
        <w:rPr>
          <w:rFonts w:hint="eastAsia" w:ascii="宋体" w:hAnsi="宋体"/>
          <w:color w:val="000000"/>
          <w:sz w:val="24"/>
          <w:u w:val="single"/>
          <w:lang w:val="en-US" w:eastAsia="zh-CN"/>
        </w:rPr>
        <w:t>5</w:t>
      </w:r>
      <w:r>
        <w:rPr>
          <w:rFonts w:hint="eastAsia" w:ascii="宋体" w:hAnsi="宋体"/>
          <w:color w:val="000000"/>
          <w:sz w:val="24"/>
          <w:u w:val="single"/>
        </w:rPr>
        <w:t xml:space="preserve">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lang w:val="en-US" w:eastAsia="zh-CN"/>
        </w:rPr>
        <w:t>20</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pStyle w:val="2"/>
      </w:pPr>
    </w:p>
    <w:p>
      <w:pPr>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9"/>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9"/>
        <w:ind w:left="479" w:leftChars="228" w:firstLine="0"/>
        <w:rPr>
          <w:color w:val="000000"/>
        </w:rPr>
      </w:pPr>
    </w:p>
    <w:p>
      <w:pPr>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460" w:lineRule="exact"/>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460" w:lineRule="exact"/>
        <w:rPr>
          <w:rFonts w:ascii="宋体" w:hAnsi="宋体" w:cs="宋体"/>
          <w:color w:val="000000"/>
          <w:sz w:val="24"/>
        </w:rPr>
      </w:pPr>
      <w:r>
        <w:rPr>
          <w:rFonts w:hint="eastAsia" w:ascii="宋体" w:hAnsi="宋体" w:cs="宋体"/>
          <w:color w:val="000000"/>
          <w:sz w:val="24"/>
        </w:rPr>
        <w:t>力，是本合同不可分割的部分。</w:t>
      </w:r>
    </w:p>
    <w:p>
      <w:pPr>
        <w:spacing w:line="460" w:lineRule="exact"/>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份,买方执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4</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rPr>
          <w:rFonts w:hint="default"/>
          <w:lang w:val="en-US" w:eastAsia="zh-CN"/>
        </w:rPr>
      </w:pPr>
      <w:r>
        <w:rPr>
          <w:rFonts w:hint="default"/>
          <w:lang w:val="en-US" w:eastAsia="zh-CN"/>
        </w:rPr>
        <w:br w:type="page"/>
      </w:r>
    </w:p>
    <w:p>
      <w:pPr>
        <w:jc w:val="center"/>
        <w:rPr>
          <w:rFonts w:hint="eastAsia" w:ascii="黑体" w:hAnsi="黑体" w:eastAsia="黑体" w:cs="黑体"/>
          <w:sz w:val="32"/>
          <w:szCs w:val="32"/>
        </w:rPr>
      </w:pPr>
      <w:r>
        <w:rPr>
          <w:rFonts w:hint="eastAsia" w:ascii="黑体" w:hAnsi="黑体" w:eastAsia="黑体" w:cs="黑体"/>
          <w:sz w:val="32"/>
          <w:szCs w:val="32"/>
        </w:rPr>
        <w:t>安全协议</w:t>
      </w:r>
    </w:p>
    <w:p>
      <w:pPr>
        <w:pStyle w:val="2"/>
        <w:rPr>
          <w:rFonts w:hint="eastAsia" w:ascii="宋体" w:hAnsi="宋体" w:eastAsia="宋体" w:cs="宋体"/>
          <w:sz w:val="24"/>
          <w:szCs w:val="20"/>
        </w:rPr>
      </w:pPr>
    </w:p>
    <w:p>
      <w:pPr>
        <w:adjustRightInd w:val="0"/>
        <w:snapToGrid w:val="0"/>
        <w:spacing w:line="31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第一条：项目名称：</w:t>
      </w:r>
      <w:r>
        <w:rPr>
          <w:rFonts w:hint="eastAsia" w:ascii="宋体" w:hAnsi="宋体" w:cs="宋体"/>
          <w:sz w:val="28"/>
          <w:szCs w:val="28"/>
          <w:lang w:val="en-US" w:eastAsia="zh-CN"/>
        </w:rPr>
        <w:t>岳阳城陵矶危险品储运有限公司盲区监控系统增加</w:t>
      </w:r>
      <w:r>
        <w:rPr>
          <w:rFonts w:hint="eastAsia" w:ascii="宋体" w:hAnsi="宋体" w:eastAsia="宋体" w:cs="宋体"/>
          <w:sz w:val="28"/>
          <w:szCs w:val="28"/>
          <w:lang w:val="en-US" w:eastAsia="zh-CN"/>
        </w:rPr>
        <w:t>询价采购</w:t>
      </w:r>
      <w:r>
        <w:rPr>
          <w:rFonts w:hint="eastAsia" w:ascii="宋体" w:hAnsi="宋体" w:eastAsia="宋体" w:cs="宋体"/>
          <w:sz w:val="28"/>
          <w:szCs w:val="28"/>
        </w:rPr>
        <w:t>。</w:t>
      </w:r>
    </w:p>
    <w:p>
      <w:pPr>
        <w:adjustRightInd w:val="0"/>
        <w:snapToGrid w:val="0"/>
        <w:spacing w:line="31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第二条：本协议内容只涉及甲乙双方在本项目中关于安全生产的权利和责任。</w:t>
      </w:r>
    </w:p>
    <w:p>
      <w:pPr>
        <w:adjustRightInd w:val="0"/>
        <w:snapToGrid w:val="0"/>
        <w:spacing w:line="31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第三条：甲方的权利：</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（一）有权要求乙方建立安全组织机构或指定专人负责作业现场安全监督检查。严格执行安全生产法律、法规、条例、标准，遵守甲方的安全生产规章制度等。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（二）有权按规定对乙方安全业绩、资质进行审查，对乙方针对作业项目制定的职业健康安全、环境项目进行审查并备案。</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（三）有权要求乙方在项目施工过程中保护好施工区域内甲方的安全生产设施、设备和器材。</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（四）有权要求乙方在进入甲方现场作业前所有作业人员接受甲方的安全培训与教育。</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（五）有权对乙方的作业现场的安全作业情况进行监督检查，有权对乙方不符合安全生产要求的行为进行制止、纠正、处罚、停止作业</w:t>
      </w:r>
      <w:r>
        <w:rPr>
          <w:rFonts w:hint="eastAsia" w:ascii="宋体" w:hAnsi="宋体" w:eastAsia="宋体" w:cs="宋体"/>
          <w:sz w:val="28"/>
          <w:szCs w:val="28"/>
          <w:lang w:eastAsia="zh-CN"/>
        </w:rPr>
        <w:t>直至</w:t>
      </w:r>
      <w:r>
        <w:rPr>
          <w:rFonts w:hint="eastAsia" w:ascii="宋体" w:hAnsi="宋体" w:eastAsia="宋体" w:cs="宋体"/>
          <w:sz w:val="28"/>
          <w:szCs w:val="28"/>
        </w:rPr>
        <w:t>清退出场。</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（六）有权要求乙方所有作业人员必须</w:t>
      </w:r>
      <w:r>
        <w:rPr>
          <w:rFonts w:hint="eastAsia" w:ascii="宋体" w:hAnsi="宋体" w:eastAsia="宋体" w:cs="宋体"/>
          <w:sz w:val="28"/>
          <w:szCs w:val="28"/>
          <w:lang w:eastAsia="zh-CN"/>
        </w:rPr>
        <w:t>缴纳</w:t>
      </w:r>
      <w:r>
        <w:rPr>
          <w:rFonts w:hint="eastAsia" w:ascii="宋体" w:hAnsi="宋体" w:eastAsia="宋体" w:cs="宋体"/>
          <w:sz w:val="28"/>
          <w:szCs w:val="28"/>
        </w:rPr>
        <w:t>工伤保险和意外伤害保险。</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第四条：甲方的责任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（一）认真贯彻落实国家有关法律、法规、标准及甲方公司安全生产规章制度。</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（二）向乙方明确作业区（甲方港内）的范围、危险源及安全技术交底，并要有书面记录。</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（三）在甲方港内为乙方提供项目合同中规定的安全作业条件。</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（四）在甲方港内发生事故时，积极协助抢险，防止事故扩大，并按照甲方公司有关规定进行报告。</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第五条：乙方的权利</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（一）有权对甲方的安全工作提出合理化建议和改进意见。</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（二）日常作业中，若甲方违章指挥、强令乙方冒险作业，有权拒绝执行。</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（三）有权要求在甲方港内提供符合安全作业的工艺条件和环境。</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（四）发生严重危及乙方生命安全的紧急情况时，乙方有权采取必要的避险措施。</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第六条：乙方的责任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（一）乙方是本项目的安全生产责任主体，对本项目的安全生产工作全面负责。</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（二）健全安全组织机构，建立安全生产责任制，制定健全的安全生产规章制度，制定生产安全事故</w:t>
      </w:r>
      <w:r>
        <w:rPr>
          <w:rFonts w:hint="eastAsia" w:ascii="宋体" w:hAnsi="宋体" w:eastAsia="宋体" w:cs="宋体"/>
          <w:sz w:val="28"/>
          <w:szCs w:val="28"/>
          <w:lang w:eastAsia="zh-CN"/>
        </w:rPr>
        <w:t>应急救援</w:t>
      </w:r>
      <w:r>
        <w:rPr>
          <w:rFonts w:hint="eastAsia" w:ascii="宋体" w:hAnsi="宋体" w:eastAsia="宋体" w:cs="宋体"/>
          <w:sz w:val="28"/>
          <w:szCs w:val="28"/>
        </w:rPr>
        <w:t>预案，配备必要的安全生产管理人员和劳动保护用品，严格执行甲方相关的规章制度。</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（三）应对作业人员进行作业前安全教育培训，使其具备相应的安全意识和安全技能；特种作业人员应具有相应的资格证书。</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（五）指定专人负责现场安全监督检查工作，认真开展安全检查，发现作业过程中人的不安全行为及事故安全隐患，应采取有效措施积极处理。</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（六）乙方有责任对作业区域的安全生产条件进行详细了解。</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（七）乙方在作业过程中有属于危及安全生产的关键作业时，应提出切实可行的方案，经甲方同意后，方可实施。</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（八）乙方在甲方港内作业期间只能在甲方规定的路线进出公司，只能在规定的区域内作业，禁止私自进入甲方</w:t>
      </w:r>
      <w:r>
        <w:rPr>
          <w:rFonts w:hint="eastAsia" w:ascii="宋体" w:hAnsi="宋体" w:eastAsia="宋体" w:cs="宋体"/>
          <w:sz w:val="28"/>
          <w:szCs w:val="28"/>
          <w:lang w:eastAsia="zh-CN"/>
        </w:rPr>
        <w:t>其他生产</w:t>
      </w:r>
      <w:r>
        <w:rPr>
          <w:rFonts w:hint="eastAsia" w:ascii="宋体" w:hAnsi="宋体" w:eastAsia="宋体" w:cs="宋体"/>
          <w:sz w:val="28"/>
          <w:szCs w:val="28"/>
        </w:rPr>
        <w:t>区域。</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（九）乙方应服从甲方单位的安全管理。</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（十）发生事故时，乙方应积极抢险，避免事故的进一步扩大，并按照国家相关要求报告事故。</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十一）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第七条  违约责任及处理</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（一）甲乙双方违反本合同要求，未造成事故时，依据相关合同对违约者进行处理（包括但不限于支付违约金、赔偿损失等）。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（二）在甲方港内发生事故时，甲、乙双方有抢险、救灾的责任，所发生的费用由责任方承担。</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 xml:space="preserve">（三）发生的事故，应经事故调查确认责任；事故报告和调查应按照国家和甲方有关规定进行。           </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（四）甲方违约造成的事故，甲方承担全部责任，并按规定追究有关人员责任及上报。</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（五）乙方违约造成的事故，乙方承担全部责任，并按规定追究有关人员责任并报告甲方。</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（六）甲、乙双方共同造成的事故，按双方责任大小承担相应责任，并按规定追究有关人员责任。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（七）对乙方发生事故后弄虚作假、隐瞒不报、迟报或谎报，一经查出，按有关规定从重处罚，情节严重的，甲方有权向当地政府安全生产监督管理部门报告，并取消其进入甲方市场资格。</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（八）作业期间，需要办理的有关安全的批文</w:t>
      </w:r>
      <w:r>
        <w:rPr>
          <w:rFonts w:hint="eastAsia" w:ascii="宋体" w:hAnsi="宋体" w:eastAsia="宋体" w:cs="宋体"/>
          <w:sz w:val="28"/>
          <w:szCs w:val="28"/>
          <w:lang w:eastAsia="zh-CN"/>
        </w:rPr>
        <w:t>或其他</w:t>
      </w:r>
      <w:r>
        <w:rPr>
          <w:rFonts w:hint="eastAsia" w:ascii="宋体" w:hAnsi="宋体" w:eastAsia="宋体" w:cs="宋体"/>
          <w:sz w:val="28"/>
          <w:szCs w:val="28"/>
        </w:rPr>
        <w:t>手续，乙方必须办理齐全，否则发生安全事故由乙方承担全部责任。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第八条：由于不可抗力造成合同项目作业事故及生产的损失，当事人双方各自承担相应的损失。</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第九条：甲乙双方的作业人员和机具设备的保险，由甲乙双方依据国家相关规定或约定各自承担。</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第十条  本协议履行过程中发生争议纠纷，应通过友好协商方式解决，如协商不成，按双方在项目经济合同中约定的管辖地和纠纷解决的方式执行。</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第十一条：本协议是项目经济合同的附件，与项目经济合同具有同等法律效力。本协议与项目经济合同同时生效、终止。</w:t>
      </w:r>
    </w:p>
    <w:p>
      <w:pPr>
        <w:numPr>
          <w:ilvl w:val="0"/>
          <w:numId w:val="5"/>
        </w:num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 xml:space="preserve"> 乙方人员进场前安全教育培训人员；乙方作业期间指定现场安全监护人员。</w:t>
      </w:r>
    </w:p>
    <w:p>
      <w:pPr>
        <w:pStyle w:val="2"/>
        <w:ind w:firstLine="0"/>
        <w:rPr>
          <w:rFonts w:hint="eastAsia" w:ascii="宋体" w:hAnsi="宋体" w:eastAsia="宋体" w:cs="宋体"/>
        </w:rPr>
      </w:pPr>
      <w:r>
        <w:rPr>
          <w:rFonts w:hint="eastAsia" w:ascii="宋体" w:hAnsi="宋体" w:eastAsia="宋体" w:cs="宋体"/>
        </w:rPr>
        <w:br w:type="page"/>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廉政协议</w:t>
      </w:r>
    </w:p>
    <w:p>
      <w:pPr>
        <w:pStyle w:val="2"/>
        <w:rPr>
          <w:rFonts w:hint="eastAsia" w:ascii="宋体" w:hAnsi="宋体" w:eastAsia="宋体" w:cs="宋体"/>
        </w:rPr>
      </w:pPr>
    </w:p>
    <w:p>
      <w:pPr>
        <w:adjustRightInd w:val="0"/>
        <w:snapToGrid w:val="0"/>
        <w:spacing w:line="312" w:lineRule="auto"/>
        <w:ind w:firstLine="480"/>
        <w:jc w:val="left"/>
        <w:rPr>
          <w:rFonts w:hint="eastAsia" w:ascii="宋体" w:hAnsi="宋体" w:eastAsia="宋体" w:cs="宋体"/>
          <w:sz w:val="28"/>
          <w:szCs w:val="28"/>
        </w:rPr>
      </w:pPr>
      <w:bookmarkStart w:id="32" w:name="_Toc282076315"/>
      <w:bookmarkStart w:id="33" w:name="_Toc30686"/>
      <w:bookmarkStart w:id="34" w:name="_Toc21390"/>
      <w:r>
        <w:rPr>
          <w:rFonts w:hint="eastAsia" w:ascii="宋体" w:hAnsi="宋体" w:eastAsia="宋体" w:cs="宋体"/>
          <w:sz w:val="28"/>
          <w:szCs w:val="28"/>
        </w:rPr>
        <w:t>为做好工程建设中的党风廉政建设，保证工程建设高效优质、建设资金的安全和投资效益，以及双方合作的公平和公正，预防甲方利益受到双方经济合同之外各种不正当行为的损害，根据国家有关项目建设的法律法规和廉政建设规定，签订本廉政协议，以资共同遵守。</w:t>
      </w:r>
    </w:p>
    <w:p>
      <w:pPr>
        <w:adjustRightInd w:val="0"/>
        <w:snapToGrid w:val="0"/>
        <w:spacing w:line="312" w:lineRule="auto"/>
        <w:ind w:firstLine="480"/>
        <w:jc w:val="left"/>
        <w:rPr>
          <w:rFonts w:hint="eastAsia" w:ascii="宋体" w:hAnsi="宋体" w:eastAsia="宋体" w:cs="宋体"/>
          <w:sz w:val="28"/>
          <w:szCs w:val="28"/>
        </w:rPr>
      </w:pPr>
      <w:r>
        <w:rPr>
          <w:rFonts w:hint="eastAsia" w:ascii="宋体" w:hAnsi="宋体" w:eastAsia="宋体" w:cs="宋体"/>
          <w:sz w:val="28"/>
          <w:szCs w:val="28"/>
        </w:rPr>
        <w:t>第一条  甲乙双方的责任</w:t>
      </w:r>
      <w:bookmarkEnd w:id="32"/>
      <w:bookmarkEnd w:id="33"/>
      <w:bookmarkEnd w:id="34"/>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（一）应严格遵守国家关于市场准入、项目招标投标、工程建设和市场活动等有关法律、法规，相关政策，以及廉政建设的各项规定。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（二）严格执行建设工程项目相关合同文件，自觉按合同办事。</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（三）业务活动必须坚持公开、公平、公正、诚信、透明的原则，不得为获取不正当的利益，损害国家、集体和对方利益。</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（四）发现对方在业务活动中有违规、违纪、违法行为的，应及时提醒对方，情节严重的，应向其上级主管部门或纪检监察部门进行举报。</w:t>
      </w:r>
    </w:p>
    <w:p>
      <w:pPr>
        <w:adjustRightInd w:val="0"/>
        <w:snapToGrid w:val="0"/>
        <w:spacing w:line="312" w:lineRule="auto"/>
        <w:ind w:firstLine="480"/>
        <w:rPr>
          <w:rFonts w:hint="eastAsia" w:ascii="宋体" w:hAnsi="宋体" w:eastAsia="宋体" w:cs="宋体"/>
          <w:sz w:val="28"/>
          <w:szCs w:val="28"/>
        </w:rPr>
      </w:pPr>
      <w:bookmarkStart w:id="35" w:name="_Toc282076316"/>
      <w:bookmarkStart w:id="36" w:name="_Toc25742"/>
      <w:bookmarkStart w:id="37" w:name="_Toc22406"/>
      <w:r>
        <w:rPr>
          <w:rFonts w:hint="eastAsia" w:ascii="宋体" w:hAnsi="宋体" w:eastAsia="宋体" w:cs="宋体"/>
          <w:sz w:val="28"/>
          <w:szCs w:val="28"/>
        </w:rPr>
        <w:t>第二条  甲方的责任</w:t>
      </w:r>
      <w:bookmarkEnd w:id="35"/>
      <w:bookmarkEnd w:id="36"/>
      <w:bookmarkEnd w:id="37"/>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甲方工作人员，在工程建设的事前、事中、事后应遵守以下规定：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（一）不得向乙方索要或接受回扣、礼金、有价证券、贵重物品和好处费、感谢费等。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（二）不得在乙方报销任何应由个人支付的费用。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（三）不得要求或接受乙方为其个人装修住房或为其配偶、子女的工作安排以及出国（境）、旅游等提供方便。</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（四）不得参加有可能影响公正执行公务的乙方的宴请、健身和娱乐等活动。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其他</w:t>
      </w:r>
      <w:r>
        <w:rPr>
          <w:rFonts w:hint="eastAsia" w:ascii="宋体" w:hAnsi="宋体" w:eastAsia="宋体" w:cs="宋体"/>
          <w:sz w:val="28"/>
          <w:szCs w:val="28"/>
        </w:rPr>
        <w:t>与项目有关的党风廉政建设和预防腐败的规定。</w:t>
      </w:r>
    </w:p>
    <w:p>
      <w:pPr>
        <w:adjustRightInd w:val="0"/>
        <w:snapToGrid w:val="0"/>
        <w:spacing w:line="312" w:lineRule="auto"/>
        <w:ind w:firstLine="480"/>
        <w:rPr>
          <w:rFonts w:hint="eastAsia" w:ascii="宋体" w:hAnsi="宋体" w:eastAsia="宋体" w:cs="宋体"/>
          <w:sz w:val="28"/>
          <w:szCs w:val="28"/>
        </w:rPr>
      </w:pPr>
      <w:bookmarkStart w:id="38" w:name="_Toc14483"/>
      <w:bookmarkStart w:id="39" w:name="_Toc11848"/>
      <w:bookmarkStart w:id="40" w:name="_Toc282076317"/>
      <w:r>
        <w:rPr>
          <w:rFonts w:hint="eastAsia" w:ascii="宋体" w:hAnsi="宋体" w:eastAsia="宋体" w:cs="宋体"/>
          <w:sz w:val="28"/>
          <w:szCs w:val="28"/>
        </w:rPr>
        <w:t>第三条  乙方的责任</w:t>
      </w:r>
      <w:bookmarkEnd w:id="38"/>
      <w:bookmarkEnd w:id="39"/>
      <w:bookmarkEnd w:id="40"/>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应与甲方保持正常的业务交往，按照有关法律法规和程序开展业务工作，严格执行工程建设的有关方针、政策，并遵守以下规定：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（一）不得以任何理由向甲方工作人员赠送礼金、有价证券、贵重物品和回扣、好处费、感谢费等。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（二）不得以任何理由为甲方工作人员报销应由其个人支付的费用。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（三）不得为甲方工作人员装修住房或为其配偶、子女的工作安排以及出国（境）、旅游等提供方便。</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（四）不得以任何理由邀请甲方工作人员参加有可能影响公正执行公务的宴请、健身、娱乐等活动。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其他</w:t>
      </w:r>
      <w:r>
        <w:rPr>
          <w:rFonts w:hint="eastAsia" w:ascii="宋体" w:hAnsi="宋体" w:eastAsia="宋体" w:cs="宋体"/>
          <w:sz w:val="28"/>
          <w:szCs w:val="28"/>
        </w:rPr>
        <w:t>与项目有关的党风廉政建设和预防腐败的规定。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甲方工作人员有违反本合同第一、二条行为的，经调查属实，依据有关法律法规和规定给予党纪、政纪处分或组织处理；涉嫌犯罪的，移交司法机关追究刑事责任；给乙方造成经济损失的，甲方应予以赔偿。</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乙方工作人员有违反本合同第一、三条行为的，经调查属实，依据有关法律法规和规定给予以下相应处理；给甲方造成经济损失的，乙方应予以赔偿；情节严重的，甲方建议交通工程建设主管部门给予一至三年不得进入交通建设市场的处罚；涉嫌犯罪的，移交司法机关追究刑事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adjustRightInd w:val="0"/>
        <w:snapToGrid w:val="0"/>
        <w:spacing w:line="312" w:lineRule="auto"/>
        <w:ind w:firstLine="480"/>
        <w:rPr>
          <w:rFonts w:hint="eastAsia" w:ascii="宋体" w:hAnsi="宋体" w:eastAsia="宋体" w:cs="宋体"/>
          <w:sz w:val="28"/>
          <w:szCs w:val="28"/>
        </w:rPr>
      </w:pPr>
      <w:bookmarkStart w:id="41" w:name="_Toc28966"/>
      <w:bookmarkStart w:id="42" w:name="_Toc9354"/>
      <w:r>
        <w:rPr>
          <w:rFonts w:hint="eastAsia" w:ascii="宋体" w:hAnsi="宋体" w:eastAsia="宋体" w:cs="宋体"/>
          <w:sz w:val="28"/>
          <w:szCs w:val="28"/>
        </w:rPr>
        <w:t>第五条：本合同作为甲、乙双方主合同的附件，与主合同具有同等法律效力。经双方签署后立即生效，项目决算审计后合同效力终止</w:t>
      </w:r>
      <w:bookmarkEnd w:id="41"/>
      <w:bookmarkEnd w:id="42"/>
      <w:r>
        <w:rPr>
          <w:rFonts w:hint="eastAsia" w:ascii="宋体" w:hAnsi="宋体" w:eastAsia="宋体" w:cs="宋体"/>
          <w:sz w:val="28"/>
          <w:szCs w:val="28"/>
        </w:rPr>
        <w:t>。</w:t>
      </w:r>
    </w:p>
    <w:p>
      <w:pPr>
        <w:pStyle w:val="2"/>
      </w:pPr>
    </w:p>
    <w:tbl>
      <w:tblPr>
        <w:tblStyle w:val="16"/>
        <w:tblW w:w="957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3315"/>
        <w:gridCol w:w="1470"/>
        <w:gridCol w:w="3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160" w:line="600" w:lineRule="exact"/>
              <w:jc w:val="center"/>
              <w:rPr>
                <w:rFonts w:ascii="宋体" w:hAnsi="宋体" w:cs="宋体"/>
                <w:kern w:val="0"/>
                <w:sz w:val="28"/>
                <w:szCs w:val="28"/>
              </w:rPr>
            </w:pPr>
            <w:r>
              <w:rPr>
                <w:rFonts w:hint="eastAsia" w:ascii="宋体" w:hAnsi="宋体" w:cs="宋体"/>
                <w:kern w:val="0"/>
                <w:sz w:val="28"/>
                <w:szCs w:val="28"/>
              </w:rPr>
              <w:t>甲    方</w:t>
            </w:r>
          </w:p>
        </w:tc>
        <w:tc>
          <w:tcPr>
            <w:tcW w:w="4701"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160" w:line="600" w:lineRule="exact"/>
              <w:jc w:val="center"/>
              <w:rPr>
                <w:rFonts w:ascii="宋体" w:hAnsi="宋体" w:cs="宋体"/>
                <w:kern w:val="0"/>
                <w:sz w:val="28"/>
                <w:szCs w:val="28"/>
              </w:rPr>
            </w:pPr>
            <w:r>
              <w:rPr>
                <w:rFonts w:hint="eastAsia" w:ascii="宋体" w:hAnsi="宋体" w:cs="宋体"/>
                <w:kern w:val="0"/>
                <w:sz w:val="28"/>
                <w:szCs w:val="28"/>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单位名称：（章）</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eastAsia" w:ascii="宋体" w:hAnsi="宋体" w:eastAsia="宋体" w:cs="宋体"/>
                <w:kern w:val="0"/>
                <w:sz w:val="28"/>
                <w:szCs w:val="28"/>
                <w:lang w:val="en-US" w:eastAsia="zh-CN"/>
              </w:rPr>
            </w:pPr>
            <w:r>
              <w:rPr>
                <w:rFonts w:hint="eastAsia" w:ascii="宋体" w:hAnsi="宋体" w:cs="宋体"/>
                <w:kern w:val="0"/>
                <w:sz w:val="28"/>
                <w:szCs w:val="28"/>
                <w:lang w:eastAsia="zh-CN"/>
              </w:rPr>
              <w:t>岳阳城陵矶危险品储运有限公司</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单位名称： （章）</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单位地址</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default"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单位地址</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法定代表</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法定代表</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委托代理人</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委托代理人</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电话</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电话</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开户银行</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开户银行</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lang w:eastAsia="zh-CN"/>
              </w:rPr>
              <w:t>账号</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lang w:eastAsia="zh-CN"/>
              </w:rPr>
              <w:t>账号</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税号</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税号</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邮编</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eastAsia"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邮编</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bl>
    <w:p>
      <w:pPr>
        <w:rPr>
          <w:rFonts w:hint="default"/>
          <w:lang w:val="en-US" w:eastAsia="zh-CN"/>
        </w:rPr>
      </w:pPr>
      <w:r>
        <w:rPr>
          <w:rFonts w:hint="default"/>
          <w:lang w:val="en-US" w:eastAsia="zh-CN"/>
        </w:rPr>
        <w:br w:type="page"/>
      </w:r>
    </w:p>
    <w:p>
      <w:pPr>
        <w:pStyle w:val="2"/>
      </w:pP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after="0"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采购项目名称 :</w:t>
      </w:r>
      <w:r>
        <w:rPr>
          <w:rFonts w:hint="eastAsia" w:ascii="宋体" w:hAnsi="宋体"/>
          <w:b w:val="0"/>
          <w:bCs w:val="0"/>
          <w:color w:val="000000" w:themeColor="text1"/>
          <w:sz w:val="24"/>
          <w:lang w:val="en-US" w:eastAsia="zh-CN"/>
          <w14:textFill>
            <w14:solidFill>
              <w14:schemeClr w14:val="tx1"/>
            </w14:solidFill>
          </w14:textFill>
        </w:rPr>
        <w:t>岳阳城陵矶危险品储运有限公司盲区监控系统增加</w:t>
      </w:r>
      <w:r>
        <w:rPr>
          <w:rFonts w:hint="eastAsia" w:ascii="宋体" w:hAnsi="宋体" w:cs="Times New Roman"/>
          <w:b w:val="0"/>
          <w:bCs w:val="0"/>
          <w:color w:val="000000" w:themeColor="text1"/>
          <w:sz w:val="24"/>
          <w14:textFill>
            <w14:solidFill>
              <w14:schemeClr w14:val="tx1"/>
            </w14:solidFill>
          </w14:textFill>
        </w:rPr>
        <w:t>采购</w:t>
      </w:r>
      <w:r>
        <w:rPr>
          <w:rFonts w:hint="eastAsia" w:ascii="宋体" w:hAnsi="宋体" w:cs="Times New Roman"/>
          <w:b w:val="0"/>
          <w:bCs w:val="0"/>
          <w:color w:val="000000" w:themeColor="text1"/>
          <w:sz w:val="24"/>
          <w:lang w:val="en-US" w:eastAsia="zh-CN"/>
          <w14:textFill>
            <w14:solidFill>
              <w14:schemeClr w14:val="tx1"/>
            </w14:solidFill>
          </w14:textFill>
        </w:rPr>
        <w:t>项目</w:t>
      </w:r>
    </w:p>
    <w:p>
      <w:pPr>
        <w:pStyle w:val="2"/>
        <w:widowControl/>
        <w:numPr>
          <w:ilvl w:val="0"/>
          <w:numId w:val="0"/>
        </w:numPr>
        <w:autoSpaceDE w:val="0"/>
        <w:spacing w:after="0" w:line="360" w:lineRule="auto"/>
        <w:jc w:val="left"/>
        <w:rPr>
          <w:rFonts w:hint="default" w:ascii="宋体" w:hAnsi="宋体" w:eastAsia="宋体" w:cs="宋体"/>
          <w:b/>
          <w:bCs/>
          <w:color w:val="000000"/>
          <w:sz w:val="24"/>
          <w:szCs w:val="24"/>
          <w:highlight w:val="none"/>
          <w:lang w:val="en-US" w:eastAsia="zh-CN"/>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二</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w:t>
      </w:r>
      <w:r>
        <w:rPr>
          <w:rFonts w:hint="eastAsia" w:ascii="宋体" w:hAnsi="宋体" w:cs="宋体"/>
          <w:b/>
          <w:bCs/>
          <w:color w:val="000000"/>
          <w:sz w:val="24"/>
          <w:szCs w:val="24"/>
          <w:highlight w:val="none"/>
          <w:lang w:val="en-US" w:eastAsia="zh-CN"/>
        </w:rPr>
        <w:t>数量</w:t>
      </w:r>
      <w:r>
        <w:rPr>
          <w:rFonts w:hint="eastAsia" w:hAnsi="宋体" w:cs="宋体"/>
          <w:b/>
          <w:bCs/>
          <w:color w:val="000000"/>
          <w:sz w:val="24"/>
          <w:szCs w:val="24"/>
          <w:highlight w:val="none"/>
          <w:lang w:val="en-US" w:eastAsia="zh-CN"/>
        </w:rPr>
        <w:t>：</w:t>
      </w:r>
      <w:r>
        <w:rPr>
          <w:rFonts w:hint="eastAsia" w:hAnsi="宋体" w:cs="宋体"/>
          <w:b w:val="0"/>
          <w:bCs w:val="0"/>
          <w:color w:val="000000"/>
          <w:sz w:val="24"/>
          <w:szCs w:val="24"/>
          <w:highlight w:val="none"/>
          <w:u w:val="single"/>
          <w:lang w:val="en-US" w:eastAsia="zh-CN"/>
        </w:rPr>
        <w:t>防爆球机3个、防爆枪机2个、 红外球机1个、红外枪机8个、硬盘录像机1台及相关配套安装线材、辅材。</w:t>
      </w:r>
    </w:p>
    <w:p>
      <w:pPr>
        <w:pStyle w:val="2"/>
        <w:widowControl/>
        <w:numPr>
          <w:ilvl w:val="255"/>
          <w:numId w:val="0"/>
        </w:numPr>
        <w:autoSpaceDE w:val="0"/>
        <w:spacing w:after="0" w:line="360" w:lineRule="auto"/>
        <w:ind w:firstLine="0" w:firstLineChars="0"/>
        <w:jc w:val="both"/>
        <w:outlineLvl w:val="1"/>
        <w:rPr>
          <w:rFonts w:hint="eastAsia" w:ascii="宋体"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w:t>
      </w:r>
      <w:r>
        <w:rPr>
          <w:rFonts w:hint="eastAsia" w:hAnsi="宋体"/>
          <w:b/>
          <w:bCs/>
          <w:color w:val="000000" w:themeColor="text1"/>
          <w:sz w:val="24"/>
          <w:lang w:val="en-US" w:eastAsia="zh-CN"/>
          <w14:textFill>
            <w14:solidFill>
              <w14:schemeClr w14:val="tx1"/>
            </w14:solidFill>
          </w14:textFill>
        </w:rPr>
        <w:t>三</w:t>
      </w:r>
      <w:r>
        <w:rPr>
          <w:rFonts w:hint="eastAsia" w:hAnsi="宋体"/>
          <w:b/>
          <w:bCs/>
          <w:color w:val="000000" w:themeColor="text1"/>
          <w:sz w:val="24"/>
          <w14:textFill>
            <w14:solidFill>
              <w14:schemeClr w14:val="tx1"/>
            </w14:solidFill>
          </w14:textFill>
        </w:rPr>
        <w:t>）</w:t>
      </w:r>
      <w:r>
        <w:rPr>
          <w:rFonts w:hint="eastAsia"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技术规格、参数与要求：</w:t>
      </w:r>
    </w:p>
    <w:tbl>
      <w:tblPr>
        <w:tblStyle w:val="16"/>
        <w:tblW w:w="10125"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216"/>
        <w:gridCol w:w="6810"/>
        <w:gridCol w:w="769"/>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12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岳阳城陵矶危险品储运有限公司部分监控盲区材料清单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防爆球机</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防爆标志：Ex db ⅡC T6 Gb/Ex tb ⅢC T80℃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304不锈钢材质设计，防爆球机散热;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采用高性能传感器，图像清晰;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400万像素逐行扫描 1/2.8" 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最大分辨率可达2560×1440;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最低照度：彩色：0.005Lux @ (F1.6，AGC ON)；黑白：0.001Lux @(F1.6，AGC ON);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支持ICR红外滤片式自动切换;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支持120dB超宽动态、3D降噪;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支持H.265编码;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支持掉电记忆、断网续传;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焦距4.8 mm~105.6 mm，22倍光学变倍;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支持3D定位，可通过鼠标框选目标以实现目标的快速定位与捕捉;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支持360°水平旋转，垂直方向0°~90°;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支持定时任务、一键守望、一键巡航功能;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防爆标志：Ex db IIC T6 Gb/Ex tb IIIC T80℃ Db（以防爆合格证为准）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▲支持区域入侵、越界入侵、徘徊、物品遗留、物品移除、音频异常、人脸检测、人员聚集、快速移动、进入区域、离开区域，并联动报警。（以公安部检验报告为准）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▲支持最低照度可达彩色0.0005Lux，黑白0.0001Lux（以公安部检验报告为准）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传感器类型：1/2.8＂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最低照度：彩色：0.005Lux @ (F1.6，AGC ON);黑白：0.001Lux @ (F1.6，AGC ON)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焦距：4.8 mm~ 105.6 mm, 22倍光学变倍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视场角：55°~2.7° (广角-望远)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水平范围：水平0~360°连续旋转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垂直范围：0°～ +90°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水平速度：水平键控速度：0.1°~160°/s,速度可设，水平预置点速度：160°/s,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垂直速度：垂直键控速度：0.1°~120°/s,速度可设，垂直预置点速度：120°/s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主码流帧率分辨率：50 Hz: 25 fps (2560 × 1440, 1920 × 1080, 1280 × 960, 1280 × 720)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Hz: 30 fps (2560 × 1440, 1920 × 1080, 1280 × 960, 1280 × 720)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视频压缩标准：H.265/H.264/MJPEG/smart264/smart265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网络接口：内置RJ45网口（支持10M/100M网络数据）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SD卡扩展：支持Micro SD/Micro SDHC/Micro SDXC卡，最大支持256G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报警：1进1出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电源：DC12 V，7 W Max，支持POE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尺寸：Ø184 mm × 264.2 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重量：8 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材质：SUS304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工作温湿度：-30℃~60℃, 湿度小于95%RH(无凝结)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防护：IP68；TVS 6000V 防雷、防浪涌、防突波，符合GB/T17626.5 四级标准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普通球机</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4寸双光智能球机;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支持1/2.8" 200万23倍光学变焦镜头，采用高效补光阵列，低功耗，红外补光100 m，白光补光30 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支持区域入侵侦测，越界侦测，进入区域侦测和离开区域侦测等智能侦测;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适用于农田、森林，河道、水库、矿区、野外等场景;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支持切换为人脸抓拍模式，最大同时抓拍5张人脸;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支持最大2560 × 1440 @25 fps高清画面输出;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支持超低照度，0.005 Lux/F1.6（彩色），0.001 Lux/F1.6（黑白），0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内置加热玻璃，有效除雾;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支持23倍光学变倍，16倍数字变倍;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支持隐私遮蔽颜色和马赛克配置;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支持定时抓图与事件抓图功能;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支持定时任务、一键守望、一键巡航功能;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支持3D数字降噪，支持120 dB宽动态;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支持海康SDK、视图库、开放型网络视频接口、ISAPI、GB/T28181、ISUP、萤石云平台接入;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支持一进一出报警、一进一出音频、最大支持512 GB MicroSD卡存储;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1个内置麦克风，支持拾音功能;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IP66，抗干扰能力强，适用于严酷的电磁环境，符合GB/T17626.2/3/4/5/6四级标准;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支持通过报警输出同推荐配件相连，控制红蓝警戒灯和蜂鸣器，实现警戒震慑功能（可选）;</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传感器类型：1/2.8"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最低照度：彩色：0.005 Lux @（F1.6，AGC ON）；黑白：0.001 Lux @（F1.6，AGC ON），0 Lux with IR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焦距：4.8-110.4 mm，23倍光学变倍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视场角：55°~2.7°（广角~望远）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补光灯类型：混合补光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补光灯距离：【白光】30 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【红外】100 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水平范围：360°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垂直范围：-15°-90°(自动翻转)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水平速度：水平键控速度：0.1°-80°/s,速度可设;水平预置点速度：80°/s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垂直速度：垂直键控速度：0.1°-80°/s,速度可设;垂直预置点速度：80°/s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主码流帧率分辨率：50 Hz：25 fps（2560 × 1440，1920 × 1080，1280 × 960，1280 × 720）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 Hz：30 fps（2560 × 1440，1920 × 1080，1280 × 960，1280 × 720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视频压缩标准：H.265;H.264;MJPEG;（主码流不支持MJPEG）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宽动态：真宽动态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内置麦克风：支持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报警：1进1出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网络接口：RJ45网口，自适应10M/100M网络数据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SD卡扩展：内置MicroSD卡插槽，支持MicroSD/MicroSDHC/MicroSDXC卡，最大支持512 GB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除雾：加热玻璃除雾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使用环境说明：1、请勿将设备使用在振动或冲击环境下，如车载、动车、船舶、港口塔吊、大型采矿机械上等；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2、请勿将设备使用在强腐蚀、强酸、高盐碱地区，如海上岛屿、海上平台、海上船舶、化工、熏蒸、海边（5公里以内）等特殊腐蚀环境；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3、请勿将设备应用在强电磁干扰环境，如广播塔天线主发射方向、变电站合闸区、电网输电线近区、轨道受电弓、雷达、医用核磁共振、4G/5G/FM基站天线附近等强电磁干扰高频辐射环境；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4、请勿将设备使用在极热、极冷、多尘或者长时间高湿度等环境下，参考工作温湿度要求；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工作温湿度：-30 °C~65 °C，湿度小于90%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恢复出厂设置：支持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尺寸：Ø164.5 × 290.7 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重量：2 kg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防护：IP66；4000V 防雷、防浪涌、防突波，符合GB/T17626.5 四级标准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防爆红外枪机</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Smart功能;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Smart事件：区域入侵侦测（目标触发报警后支持单次报警），越界侦测，进入区域侦测，离开区域侦测，物品遗留侦测，物品拿取侦测，徘徊侦测，快速运动侦测，场景变更侦测;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Smart录像：支持断网续传功能保证录像不丢失;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Smart编码：支持低码率、低延时、ROI感兴趣区域增强编码、SVC自适应编码技术，支持Smart265编码，可根据场景情况自适应调整码率分配，有效节省存储成本;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图像相关;防爆标志：Ex db ⅡC T6 Gb/Ex tb ⅢC T80℃ Db（以防爆合格证为准）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▲镜头光圈大小为F1.0，内置一颗集GPU芯片（公安部检验报告证明）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支持旋转模式，增加纵向狭长环境下监控区域;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支持H.265/H.264/MJPEG视频压缩算法，支持多级别视频质量配置、编码复杂度设置;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码流平滑设置，适应不同场景下对图像质量、流畅性的不同要求;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支持120 dB宽动态，适合逆光环境监控;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支持GBK字库，支持更多汉字及生僻字叠加，支持OSD颜色自选;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采用高效暖白光灯，使用寿命长，照射距离最远可达20 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全彩，支持日夜两套参数独立配置;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支持开放型网络视频接口，ISAPI，GB28181协议接入;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防爆标志：Ex db IIC T6 Gb/Ex tb IIIC T80℃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支持IP68防护等级;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支持PoE供电功能;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支持标准的256 GB MicroSD/MicroSDHC/MicroSDXC卡存储（选配）;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安全服务;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支持HTTPS安全认证，支持创建证书;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初始设备开机修改密码，保障密码安全;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支持用户登录锁定机制;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支持三级用户权限管理,支持授权的用户和密码;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红外枪机</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  含支架 含电源</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2U机架式8盘位嵌入式网络硬盘录像机，整机采用短机箱设计，搭载1+1冗余电源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【硬件规格】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存储接口：8个SATA接口，支持硬盘热插拔，已内置8块8TB硬盘，总容量达64TB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视频接口：2×HDMI，2×VGA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网络接口：2×RJ45 10/100/1000Mbps自适应以太网口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反向供电：1路DC12V 1A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串行接口：1路RS-232接口，1路全双工RS-485接口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USB接口：2×USB 2.0，2×USB 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扩展接口：1×eSATA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【产品性能】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输入带宽：320Mbps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输出带宽：256Mbps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接入能力：32路H.264、H.265格式高清码流接入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解码能力：最大支持32×1080P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显示能力：最大支持8K+1080P、2×4K异源输出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RAID模式：RAID0、RAID1、RAID5、RAID6、RAID10，支持全局热备盘</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球机支架</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球机壁装支架/白色/铝合金/110×145×190.5mm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防爆防爆挠性管</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主要材料为编织线、碳钢和NBR;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适用于防爆场景中的线缆保护;</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产品尺寸：Ø27.6 mm × 1000 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螺纹规格：G-3/4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设备重量：约0.8 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启动和工作温湿度：-40°C ~ 80°C，湿度小于95%（无凝结）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防护：IP68</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防爆标志：Ex eb ⅡC Gb；Ex tb ⅢC Db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防爆箱</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防爆等级：铸铝 EX d IIC T6 Gb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防爆合格证编号：SYEx19.04115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输入电压：AC220V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防爆标志：EX d IIC T6 Gb、EX d IIB T6 Gb、EX e IIC T6 Gb、EX tD A21 IP66 T80℃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可用气体与爆炸性环境：1区，2区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可用粉尘环境爆炸性环境：21区，22区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产品标准：Q/ZH002-2019</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开孔数量：8个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开孔尺寸：DN20(3/4)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防腐等级：WF1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安装形式：挂式、立式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重量：7.8Kg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防护等级：IP65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适用温度：-40℃～50℃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防爆盒接线</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铝合金材质，一体化成型设计;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适用于厂用防爆场景中的线缆连接;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出线孔：3个（G3/4螺纹）;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体积小，安装维护方便;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防护等级：IP66/IP68(2m/2h);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防爆标志：Ex db ⅡC T6 Gb/Ex tb ⅢC T80℃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内部尺寸：ф100 x 58.5 mm;</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电流功耗：≤5 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产品尺寸：244.7 × 223 × 89 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包装尺寸：302 × 302 × 154 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设备重量：1.3 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存储温湿度：-40 °C~60 °C，湿度小于90%（无凝结）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启动和工作温湿度：-40 °C~60 °C，湿度小于90%（无凝结）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防护：IP66/ IP68(2m/2h)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防爆标志：Ex db ⅡC T6 Gb/Ex tb ⅢC T80°C Db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5口千兆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复合光纤</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室外铠装4芯单模+2*1.0电缆</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20镀锌管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镀锌1.5米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镀锌4.5米</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立杆基础 </w:t>
            </w:r>
          </w:p>
        </w:tc>
        <w:tc>
          <w:tcPr>
            <w:tcW w:w="6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含地笼、水泥、砂石等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辅助材料</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PVC管、胶布、扎带、软管、排插、水晶头等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光纤配件</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跳纤、尾纤、终端盒等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681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含挖沟、破路及恢复、布线、镀锌安装、设备安装调试、人员保险、垃圾清理等</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项目合计</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  含税9%</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2"/>
        <w:widowControl/>
        <w:numPr>
          <w:ilvl w:val="255"/>
          <w:numId w:val="0"/>
        </w:numPr>
        <w:autoSpaceDE w:val="0"/>
        <w:spacing w:after="0" w:line="360" w:lineRule="auto"/>
        <w:ind w:firstLine="0" w:firstLineChars="0"/>
        <w:jc w:val="both"/>
        <w:outlineLvl w:val="1"/>
        <w:rPr>
          <w:rFonts w:hint="eastAsia" w:ascii="宋体" w:hAnsi="宋体"/>
          <w:b/>
          <w:bCs/>
          <w:color w:val="000000" w:themeColor="text1"/>
          <w:sz w:val="24"/>
          <w14:textFill>
            <w14:solidFill>
              <w14:schemeClr w14:val="tx1"/>
            </w14:solidFill>
          </w14:textFill>
        </w:rPr>
      </w:pPr>
    </w:p>
    <w:p>
      <w:pPr>
        <w:pStyle w:val="2"/>
        <w:numPr>
          <w:ilvl w:val="0"/>
          <w:numId w:val="0"/>
        </w:numPr>
        <w:ind w:firstLine="241" w:firstLineChars="100"/>
        <w:rPr>
          <w:rFonts w:hint="eastAsia" w:ascii="宋体" w:hAnsi="宋体" w:eastAsia="宋体" w:cs="宋体"/>
          <w:sz w:val="24"/>
        </w:rPr>
      </w:pPr>
      <w:r>
        <w:rPr>
          <w:rFonts w:hint="eastAsia" w:hAnsi="宋体" w:cs="宋体"/>
          <w:b/>
          <w:bCs/>
          <w:sz w:val="24"/>
          <w:lang w:eastAsia="zh-CN"/>
        </w:rPr>
        <w:t>（</w:t>
      </w:r>
      <w:r>
        <w:rPr>
          <w:rFonts w:hint="eastAsia" w:hAnsi="宋体" w:cs="宋体"/>
          <w:b/>
          <w:bCs/>
          <w:sz w:val="24"/>
          <w:lang w:val="en-US" w:eastAsia="zh-CN"/>
        </w:rPr>
        <w:t>四）</w:t>
      </w:r>
      <w:r>
        <w:rPr>
          <w:rFonts w:hint="eastAsia" w:ascii="宋体" w:hAnsi="宋体" w:cs="宋体"/>
          <w:b/>
          <w:bCs/>
          <w:sz w:val="24"/>
        </w:rPr>
        <w:t>验收标准和方法：</w:t>
      </w:r>
    </w:p>
    <w:p>
      <w:pPr>
        <w:pStyle w:val="2"/>
        <w:numPr>
          <w:ilvl w:val="0"/>
          <w:numId w:val="0"/>
        </w:numPr>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hAnsi="宋体" w:cs="宋体"/>
          <w:sz w:val="24"/>
          <w:lang w:val="en-US" w:eastAsia="zh-CN"/>
        </w:rPr>
        <w:t>交换机</w:t>
      </w:r>
      <w:r>
        <w:rPr>
          <w:rFonts w:hint="eastAsia" w:ascii="宋体" w:hAnsi="宋体" w:eastAsia="宋体" w:cs="宋体"/>
          <w:sz w:val="24"/>
          <w:lang w:val="en-US" w:eastAsia="zh-CN"/>
        </w:rPr>
        <w:t>为正规供货渠道</w:t>
      </w:r>
      <w:r>
        <w:rPr>
          <w:rFonts w:hint="eastAsia" w:ascii="宋体" w:hAnsi="宋体" w:eastAsia="宋体" w:cs="宋体"/>
          <w:sz w:val="24"/>
        </w:rPr>
        <w:t>，</w:t>
      </w:r>
      <w:r>
        <w:rPr>
          <w:rFonts w:hint="eastAsia" w:ascii="宋体" w:hAnsi="宋体" w:eastAsia="宋体" w:cs="宋体"/>
          <w:sz w:val="24"/>
          <w:lang w:eastAsia="zh-CN"/>
        </w:rPr>
        <w:t>提供</w:t>
      </w:r>
      <w:r>
        <w:rPr>
          <w:rFonts w:hint="eastAsia" w:ascii="宋体" w:hAnsi="宋体" w:eastAsia="宋体" w:cs="宋体"/>
          <w:sz w:val="24"/>
        </w:rPr>
        <w:t>产品合格证明</w:t>
      </w:r>
      <w:r>
        <w:rPr>
          <w:rFonts w:hint="eastAsia" w:ascii="宋体" w:hAnsi="宋体" w:eastAsia="宋体" w:cs="宋体"/>
          <w:sz w:val="24"/>
          <w:lang w:eastAsia="zh-CN"/>
        </w:rPr>
        <w:t>、</w:t>
      </w:r>
      <w:r>
        <w:rPr>
          <w:rFonts w:hint="eastAsia" w:ascii="宋体" w:hAnsi="宋体" w:eastAsia="宋体" w:cs="宋体"/>
          <w:sz w:val="24"/>
        </w:rPr>
        <w:t>质量证书</w:t>
      </w:r>
      <w:r>
        <w:rPr>
          <w:rFonts w:hint="eastAsia" w:ascii="宋体" w:hAnsi="宋体" w:eastAsia="宋体" w:cs="宋体"/>
          <w:sz w:val="24"/>
          <w:lang w:eastAsia="zh-CN"/>
        </w:rPr>
        <w:t>、</w:t>
      </w:r>
      <w:r>
        <w:rPr>
          <w:rFonts w:hint="eastAsia" w:ascii="宋体" w:hAnsi="宋体" w:eastAsia="宋体" w:cs="宋体"/>
          <w:sz w:val="24"/>
          <w:lang w:val="en-US" w:eastAsia="zh-CN"/>
        </w:rPr>
        <w:t>序列号</w:t>
      </w:r>
      <w:r>
        <w:rPr>
          <w:rFonts w:hint="eastAsia" w:hAnsi="宋体" w:cs="宋体"/>
          <w:sz w:val="24"/>
          <w:lang w:eastAsia="zh-CN"/>
        </w:rPr>
        <w:t>；</w:t>
      </w:r>
    </w:p>
    <w:p>
      <w:pPr>
        <w:autoSpaceDE w:val="0"/>
        <w:autoSpaceDN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cs="宋体"/>
          <w:sz w:val="24"/>
          <w:lang w:val="en-US" w:eastAsia="zh-CN"/>
        </w:rPr>
        <w:t>交换机</w:t>
      </w:r>
      <w:r>
        <w:rPr>
          <w:rFonts w:hint="eastAsia" w:ascii="宋体" w:hAnsi="宋体" w:eastAsia="宋体" w:cs="宋体"/>
          <w:sz w:val="24"/>
          <w:lang w:val="en-US" w:eastAsia="zh-CN"/>
        </w:rPr>
        <w:t>（包含内部</w:t>
      </w:r>
      <w:r>
        <w:rPr>
          <w:rFonts w:hint="eastAsia" w:ascii="宋体" w:hAnsi="宋体" w:eastAsia="宋体" w:cs="宋体"/>
          <w:sz w:val="24"/>
          <w:u w:val="none"/>
        </w:rPr>
        <w:t>电器元件</w:t>
      </w:r>
      <w:r>
        <w:rPr>
          <w:rFonts w:hint="eastAsia" w:ascii="宋体" w:hAnsi="宋体" w:eastAsia="宋体" w:cs="宋体"/>
          <w:sz w:val="24"/>
          <w:lang w:val="en-US" w:eastAsia="zh-CN"/>
        </w:rPr>
        <w:t>）外观无破损；</w:t>
      </w:r>
    </w:p>
    <w:p>
      <w:pPr>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.在货到买方指定现场之日后，由买卖双方协商确定安装调试的日期的</w:t>
      </w:r>
      <w:r>
        <w:rPr>
          <w:rFonts w:hint="eastAsia" w:ascii="宋体" w:hAnsi="宋体" w:eastAsia="宋体" w:cs="宋体"/>
          <w:color w:val="000000"/>
          <w:kern w:val="0"/>
          <w:sz w:val="24"/>
          <w:u w:val="single"/>
          <w:lang w:val="en-US" w:eastAsia="zh-CN"/>
        </w:rPr>
        <w:t xml:space="preserve"> 3 </w:t>
      </w:r>
      <w:r>
        <w:rPr>
          <w:rFonts w:hint="eastAsia" w:ascii="宋体" w:hAnsi="宋体" w:eastAsia="宋体" w:cs="宋体"/>
          <w:color w:val="000000"/>
          <w:kern w:val="0"/>
          <w:sz w:val="24"/>
        </w:rPr>
        <w:t>日内，派遣技术人员按合同规定</w:t>
      </w:r>
      <w:r>
        <w:rPr>
          <w:rFonts w:hint="eastAsia" w:ascii="宋体" w:hAnsi="宋体" w:eastAsia="宋体" w:cs="宋体"/>
          <w:color w:val="000000"/>
          <w:kern w:val="0"/>
          <w:sz w:val="24"/>
          <w:lang w:val="en-US" w:eastAsia="zh-CN"/>
        </w:rPr>
        <w:t>提供</w:t>
      </w:r>
      <w:r>
        <w:rPr>
          <w:rFonts w:hint="eastAsia" w:ascii="宋体" w:hAnsi="宋体" w:eastAsia="宋体" w:cs="宋体"/>
          <w:color w:val="000000"/>
          <w:kern w:val="0"/>
          <w:sz w:val="24"/>
        </w:rPr>
        <w:t>设备的安装和调试</w:t>
      </w:r>
      <w:r>
        <w:rPr>
          <w:rFonts w:hint="eastAsia" w:ascii="宋体" w:hAnsi="宋体" w:eastAsia="宋体" w:cs="宋体"/>
          <w:color w:val="000000"/>
          <w:kern w:val="0"/>
          <w:sz w:val="24"/>
          <w:lang w:val="en-US" w:eastAsia="zh-CN"/>
        </w:rPr>
        <w:t>指导</w:t>
      </w:r>
      <w:r>
        <w:rPr>
          <w:rFonts w:hint="eastAsia" w:ascii="宋体" w:hAnsi="宋体" w:eastAsia="宋体" w:cs="宋体"/>
          <w:color w:val="000000"/>
          <w:kern w:val="0"/>
          <w:sz w:val="24"/>
        </w:rPr>
        <w:t>工作，并对买方人员进行为期不少于</w:t>
      </w:r>
      <w:r>
        <w:rPr>
          <w:rFonts w:hint="eastAsia" w:ascii="宋体" w:hAnsi="宋体" w:eastAsia="宋体" w:cs="宋体"/>
          <w:color w:val="000000"/>
          <w:kern w:val="0"/>
          <w:sz w:val="24"/>
          <w:u w:val="single"/>
        </w:rPr>
        <w:t xml:space="preserve"> 2 </w:t>
      </w:r>
      <w:r>
        <w:rPr>
          <w:rFonts w:hint="eastAsia" w:ascii="宋体" w:hAnsi="宋体" w:eastAsia="宋体" w:cs="宋体"/>
          <w:color w:val="000000"/>
          <w:kern w:val="0"/>
          <w:sz w:val="24"/>
        </w:rPr>
        <w:t>日的技术指导和现场培训，保证使设备达到预定的性能指标。</w:t>
      </w:r>
    </w:p>
    <w:p>
      <w:pPr>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4.安装调试完成后，设备运行正常，符合生产运行无故障天数达到</w:t>
      </w:r>
      <w:r>
        <w:rPr>
          <w:rFonts w:hint="eastAsia" w:ascii="宋体" w:hAnsi="宋体" w:eastAsia="宋体" w:cs="宋体"/>
          <w:b/>
          <w:bCs/>
          <w:sz w:val="24"/>
          <w:u w:val="single"/>
          <w:lang w:val="en-US" w:eastAsia="zh-CN"/>
        </w:rPr>
        <w:t>30</w:t>
      </w:r>
      <w:r>
        <w:rPr>
          <w:rFonts w:hint="eastAsia" w:ascii="宋体" w:hAnsi="宋体" w:eastAsia="宋体" w:cs="宋体"/>
          <w:sz w:val="24"/>
          <w:lang w:val="en-US" w:eastAsia="zh-CN"/>
        </w:rPr>
        <w:t>个工作日，验收合格。</w:t>
      </w:r>
    </w:p>
    <w:p>
      <w:pPr>
        <w:widowControl w:val="0"/>
        <w:numPr>
          <w:ilvl w:val="0"/>
          <w:numId w:val="0"/>
        </w:numPr>
        <w:spacing w:line="360" w:lineRule="auto"/>
        <w:ind w:firstLine="241" w:firstLineChars="100"/>
        <w:jc w:val="both"/>
        <w:outlineLvl w:val="1"/>
        <w:rPr>
          <w:rFonts w:hint="eastAsia" w:ascii="宋体" w:hAnsi="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五</w:t>
      </w:r>
      <w:r>
        <w:rPr>
          <w:rFonts w:hint="eastAsia" w:ascii="宋体" w:hAnsi="宋体" w:cs="宋体"/>
          <w:b/>
          <w:bCs/>
          <w:sz w:val="24"/>
          <w:lang w:eastAsia="zh-CN"/>
        </w:rPr>
        <w:t>）运输及交货期：</w:t>
      </w:r>
    </w:p>
    <w:p>
      <w:pPr>
        <w:pStyle w:val="2"/>
        <w:ind w:left="0" w:leftChars="0" w:firstLine="240" w:firstLineChars="100"/>
        <w:rPr>
          <w:rFonts w:hint="default"/>
          <w:lang w:val="en-US" w:eastAsia="zh-CN"/>
        </w:rPr>
      </w:pPr>
      <w:r>
        <w:rPr>
          <w:rFonts w:hint="eastAsia" w:hAnsi="宋体" w:cs="宋体"/>
          <w:i w:val="0"/>
          <w:iCs w:val="0"/>
          <w:sz w:val="24"/>
          <w:u w:val="none"/>
          <w:lang w:val="en-US" w:eastAsia="zh-CN"/>
        </w:rPr>
        <w:t>1、</w:t>
      </w:r>
      <w:r>
        <w:rPr>
          <w:rFonts w:hint="eastAsia" w:ascii="宋体" w:hAnsi="宋体" w:eastAsia="宋体" w:cs="宋体"/>
          <w:i w:val="0"/>
          <w:iCs w:val="0"/>
          <w:sz w:val="24"/>
          <w:u w:val="none"/>
          <w:lang w:val="en-US" w:eastAsia="zh-CN"/>
        </w:rPr>
        <w:t>产品运输费用由</w:t>
      </w:r>
      <w:r>
        <w:rPr>
          <w:rFonts w:hint="eastAsia" w:hAnsi="宋体" w:cs="宋体"/>
          <w:i w:val="0"/>
          <w:iCs w:val="0"/>
          <w:sz w:val="24"/>
          <w:u w:val="none"/>
          <w:lang w:val="en-US" w:eastAsia="zh-CN"/>
        </w:rPr>
        <w:t>供应商</w:t>
      </w:r>
      <w:r>
        <w:rPr>
          <w:rFonts w:hint="eastAsia" w:ascii="宋体" w:hAnsi="宋体" w:eastAsia="宋体" w:cs="宋体"/>
          <w:i w:val="0"/>
          <w:iCs w:val="0"/>
          <w:sz w:val="24"/>
          <w:u w:val="none"/>
          <w:lang w:val="en-US" w:eastAsia="zh-CN"/>
        </w:rPr>
        <w:t>承担</w:t>
      </w:r>
    </w:p>
    <w:p>
      <w:pPr>
        <w:spacing w:line="360" w:lineRule="auto"/>
        <w:ind w:firstLine="240" w:firstLineChars="1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交货期:合同签订后</w:t>
      </w:r>
      <w:r>
        <w:rPr>
          <w:rFonts w:hint="eastAsia" w:ascii="宋体" w:hAnsi="宋体" w:cs="宋体"/>
          <w:b w:val="0"/>
          <w:bCs w:val="0"/>
          <w:color w:val="auto"/>
          <w:kern w:val="2"/>
          <w:sz w:val="24"/>
          <w:szCs w:val="24"/>
          <w:u w:val="single"/>
          <w:lang w:val="en-US" w:eastAsia="zh-CN" w:bidi="ar-SA"/>
        </w:rPr>
        <w:t>30</w:t>
      </w:r>
      <w:r>
        <w:rPr>
          <w:rFonts w:hint="eastAsia" w:ascii="宋体" w:hAnsi="宋体" w:eastAsia="宋体" w:cs="宋体"/>
          <w:b w:val="0"/>
          <w:bCs w:val="0"/>
          <w:color w:val="auto"/>
          <w:kern w:val="2"/>
          <w:sz w:val="24"/>
          <w:szCs w:val="24"/>
          <w:lang w:val="en-US" w:eastAsia="zh-CN" w:bidi="ar-SA"/>
        </w:rPr>
        <w:t>个日历日内完成交货</w:t>
      </w:r>
    </w:p>
    <w:p>
      <w:pPr>
        <w:spacing w:line="360" w:lineRule="auto"/>
        <w:ind w:firstLine="240" w:firstLineChars="100"/>
        <w:rPr>
          <w:rFonts w:hint="default"/>
          <w:b/>
          <w:bCs/>
          <w:lang w:val="en-US" w:eastAsia="zh-CN"/>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交货地点:</w:t>
      </w:r>
      <w:r>
        <w:rPr>
          <w:rFonts w:hint="eastAsia" w:ascii="宋体" w:hAnsi="宋体" w:cs="宋体"/>
          <w:color w:val="auto"/>
          <w:kern w:val="2"/>
          <w:sz w:val="24"/>
          <w:szCs w:val="24"/>
          <w:lang w:val="en-US" w:eastAsia="zh-CN" w:bidi="ar-SA"/>
        </w:rPr>
        <w:t>由供应商负责运输至岳阳城陵矶危险品储运有限公司</w:t>
      </w:r>
    </w:p>
    <w:p>
      <w:pPr>
        <w:numPr>
          <w:ilvl w:val="255"/>
          <w:numId w:val="0"/>
        </w:numPr>
        <w:spacing w:line="360" w:lineRule="auto"/>
        <w:ind w:firstLine="241" w:firstLineChars="100"/>
        <w:outlineLvl w:val="1"/>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六</w:t>
      </w:r>
      <w:r>
        <w:rPr>
          <w:rFonts w:hint="eastAsia" w:ascii="宋体" w:hAnsi="宋体" w:cs="宋体"/>
          <w:b/>
          <w:bCs/>
          <w:sz w:val="24"/>
        </w:rPr>
        <w:t>）售后服务的要求：</w:t>
      </w:r>
    </w:p>
    <w:p>
      <w:pPr>
        <w:numPr>
          <w:ilvl w:val="0"/>
          <w:numId w:val="0"/>
        </w:numPr>
        <w:spacing w:after="0" w:line="360" w:lineRule="auto"/>
        <w:ind w:firstLine="240" w:firstLineChars="1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w:t>
      </w:r>
      <w:r>
        <w:rPr>
          <w:rFonts w:hint="eastAsia" w:ascii="宋体" w:hAnsi="宋体" w:eastAsia="宋体" w:cs="宋体"/>
          <w:sz w:val="24"/>
        </w:rPr>
        <w:t>安装调试及技术服务要求：</w:t>
      </w:r>
      <w:r>
        <w:rPr>
          <w:rFonts w:hint="eastAsia" w:ascii="宋体" w:hAnsi="宋体" w:cs="宋体"/>
          <w:sz w:val="24"/>
          <w:lang w:eastAsia="zh-CN"/>
        </w:rPr>
        <w:t>供应商</w:t>
      </w:r>
      <w:r>
        <w:rPr>
          <w:rFonts w:hint="eastAsia" w:ascii="宋体" w:hAnsi="宋体" w:eastAsia="宋体" w:cs="宋体"/>
          <w:sz w:val="24"/>
          <w:u w:val="none"/>
        </w:rPr>
        <w:t>应提供产品设备</w:t>
      </w:r>
      <w:r>
        <w:rPr>
          <w:rFonts w:hint="eastAsia" w:ascii="宋体" w:hAnsi="宋体" w:eastAsia="宋体" w:cs="宋体"/>
          <w:sz w:val="24"/>
          <w:u w:val="none"/>
          <w:lang w:val="en-US" w:eastAsia="zh-CN"/>
        </w:rPr>
        <w:t>安装技术指导</w:t>
      </w:r>
      <w:r>
        <w:rPr>
          <w:rFonts w:hint="eastAsia" w:ascii="宋体" w:hAnsi="宋体" w:eastAsia="宋体" w:cs="宋体"/>
          <w:sz w:val="24"/>
          <w:u w:val="none"/>
        </w:rPr>
        <w:t>服务。</w:t>
      </w:r>
    </w:p>
    <w:p>
      <w:pPr>
        <w:numPr>
          <w:ilvl w:val="0"/>
          <w:numId w:val="0"/>
        </w:numPr>
        <w:spacing w:after="0"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b w:val="0"/>
          <w:bCs w:val="0"/>
          <w:sz w:val="24"/>
        </w:rPr>
        <w:t>质保</w:t>
      </w:r>
      <w:r>
        <w:rPr>
          <w:rFonts w:hint="eastAsia" w:ascii="宋体" w:hAnsi="宋体" w:eastAsia="宋体" w:cs="宋体"/>
          <w:b w:val="0"/>
          <w:bCs w:val="0"/>
          <w:sz w:val="24"/>
          <w:lang w:eastAsia="zh-CN"/>
        </w:rPr>
        <w:t>期</w:t>
      </w:r>
      <w:r>
        <w:rPr>
          <w:rFonts w:hint="eastAsia" w:ascii="宋体" w:hAnsi="宋体" w:eastAsia="宋体" w:cs="宋体"/>
          <w:sz w:val="24"/>
        </w:rPr>
        <w:t>为</w:t>
      </w:r>
      <w:r>
        <w:rPr>
          <w:rFonts w:hint="eastAsia" w:ascii="宋体" w:hAnsi="宋体" w:cs="宋体"/>
          <w:sz w:val="24"/>
          <w:u w:val="single"/>
          <w:lang w:val="en-US" w:eastAsia="zh-CN"/>
        </w:rPr>
        <w:t>3</w:t>
      </w:r>
      <w:r>
        <w:rPr>
          <w:rFonts w:hint="eastAsia" w:ascii="宋体" w:hAnsi="宋体" w:eastAsia="宋体" w:cs="宋体"/>
          <w:sz w:val="24"/>
        </w:rPr>
        <w:t>年</w:t>
      </w:r>
      <w:r>
        <w:rPr>
          <w:rFonts w:hint="eastAsia" w:ascii="宋体" w:hAnsi="宋体" w:eastAsia="宋体" w:cs="宋体"/>
          <w:sz w:val="24"/>
          <w:lang w:eastAsia="zh-CN"/>
        </w:rPr>
        <w:t>，</w:t>
      </w:r>
      <w:r>
        <w:rPr>
          <w:rFonts w:hint="eastAsia" w:ascii="宋体" w:hAnsi="宋体" w:eastAsia="宋体" w:cs="宋体"/>
          <w:b w:val="0"/>
          <w:bCs w:val="0"/>
          <w:color w:val="000000"/>
          <w:sz w:val="24"/>
          <w:szCs w:val="24"/>
          <w:highlight w:val="none"/>
          <w:u w:val="none"/>
          <w:lang w:val="en-US" w:eastAsia="zh-CN"/>
        </w:rPr>
        <w:t>质保期内</w:t>
      </w:r>
      <w:r>
        <w:rPr>
          <w:rFonts w:hint="eastAsia" w:ascii="宋体" w:hAnsi="宋体" w:cs="宋体"/>
          <w:b w:val="0"/>
          <w:bCs w:val="0"/>
          <w:color w:val="000000"/>
          <w:sz w:val="24"/>
          <w:szCs w:val="24"/>
          <w:highlight w:val="none"/>
          <w:u w:val="none"/>
          <w:lang w:val="en-US" w:eastAsia="zh-CN"/>
        </w:rPr>
        <w:t>产品</w:t>
      </w:r>
      <w:r>
        <w:rPr>
          <w:rFonts w:hint="eastAsia" w:ascii="宋体" w:hAnsi="宋体" w:eastAsia="宋体" w:cs="宋体"/>
          <w:b w:val="0"/>
          <w:bCs w:val="0"/>
          <w:color w:val="000000"/>
          <w:sz w:val="24"/>
          <w:szCs w:val="24"/>
          <w:highlight w:val="none"/>
          <w:u w:val="none"/>
          <w:lang w:val="en-US" w:eastAsia="zh-CN"/>
        </w:rPr>
        <w:t>关键部位配件损坏，</w:t>
      </w:r>
      <w:r>
        <w:rPr>
          <w:rFonts w:hint="eastAsia" w:ascii="宋体" w:hAnsi="宋体" w:cs="宋体"/>
          <w:b w:val="0"/>
          <w:bCs w:val="0"/>
          <w:color w:val="000000"/>
          <w:sz w:val="24"/>
          <w:szCs w:val="24"/>
          <w:highlight w:val="none"/>
          <w:u w:val="none"/>
          <w:lang w:val="en-US" w:eastAsia="zh-CN"/>
        </w:rPr>
        <w:t>供应商</w:t>
      </w:r>
      <w:r>
        <w:rPr>
          <w:rFonts w:hint="eastAsia" w:ascii="宋体" w:hAnsi="宋体" w:eastAsia="宋体" w:cs="宋体"/>
          <w:b w:val="0"/>
          <w:bCs w:val="0"/>
          <w:color w:val="000000"/>
          <w:sz w:val="24"/>
          <w:szCs w:val="24"/>
          <w:highlight w:val="none"/>
          <w:u w:val="none"/>
          <w:lang w:val="en-US" w:eastAsia="zh-CN"/>
        </w:rPr>
        <w:t>必须免费进行更换。</w:t>
      </w:r>
    </w:p>
    <w:p>
      <w:pPr>
        <w:pStyle w:val="3"/>
        <w:numPr>
          <w:ilvl w:val="0"/>
          <w:numId w:val="0"/>
        </w:numPr>
        <w:spacing w:after="0" w:line="360" w:lineRule="auto"/>
        <w:ind w:left="0" w:firstLine="240" w:firstLineChars="100"/>
        <w:rPr>
          <w:rFonts w:hint="eastAsia" w:ascii="宋体" w:hAnsi="宋体" w:eastAsia="宋体" w:cs="宋体"/>
          <w:b w:val="0"/>
          <w:bCs w:val="0"/>
          <w:color w:val="000000"/>
          <w:sz w:val="24"/>
          <w:szCs w:val="24"/>
          <w:highlight w:val="none"/>
          <w:u w:val="none"/>
          <w:lang w:val="en-US" w:eastAsia="zh-CN"/>
        </w:rPr>
      </w:pP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 w:val="0"/>
          <w:bCs w:val="0"/>
          <w:color w:val="000000"/>
          <w:sz w:val="24"/>
          <w:szCs w:val="24"/>
          <w:highlight w:val="none"/>
          <w:u w:val="none"/>
          <w:lang w:eastAsia="zh-CN"/>
        </w:rPr>
        <w:t>技术服务期限为</w:t>
      </w:r>
      <w:r>
        <w:rPr>
          <w:rFonts w:hint="eastAsia" w:ascii="宋体" w:hAnsi="宋体" w:cs="宋体"/>
          <w:b w:val="0"/>
          <w:bCs w:val="0"/>
          <w:color w:val="000000"/>
          <w:sz w:val="24"/>
          <w:szCs w:val="24"/>
          <w:highlight w:val="none"/>
          <w:u w:val="single"/>
          <w:lang w:val="en-US" w:eastAsia="zh-CN"/>
        </w:rPr>
        <w:t>3</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none"/>
          <w:lang w:val="en-US" w:eastAsia="zh-CN"/>
        </w:rPr>
        <w:t>年，服务期限内出现除使用不当的任何技术问题，投标方必须委派技术人员提供远程处理，必要时委派技术人员到达现场。</w:t>
      </w:r>
    </w:p>
    <w:p>
      <w:pPr>
        <w:pStyle w:val="3"/>
        <w:numPr>
          <w:ilvl w:val="0"/>
          <w:numId w:val="0"/>
        </w:numPr>
        <w:spacing w:after="0" w:line="360" w:lineRule="auto"/>
        <w:ind w:firstLine="240" w:firstLineChars="100"/>
        <w:rPr>
          <w:rFonts w:hint="eastAsia" w:ascii="宋体" w:hAnsi="宋体" w:cs="宋体"/>
        </w:rPr>
      </w:pPr>
      <w:r>
        <w:rPr>
          <w:rFonts w:hint="eastAsia" w:ascii="宋体" w:hAnsi="宋体" w:eastAsia="宋体" w:cs="宋体"/>
          <w:b w:val="0"/>
          <w:bCs w:val="0"/>
          <w:color w:val="000000"/>
          <w:sz w:val="24"/>
          <w:szCs w:val="24"/>
          <w:highlight w:val="none"/>
          <w:u w:val="none"/>
          <w:lang w:val="en-US" w:eastAsia="zh-CN"/>
        </w:rPr>
        <w:t>4</w:t>
      </w:r>
      <w:r>
        <w:rPr>
          <w:rFonts w:hint="eastAsia" w:ascii="宋体" w:hAnsi="宋体" w:cs="宋体"/>
          <w:b w:val="0"/>
          <w:bCs w:val="0"/>
          <w:color w:val="000000"/>
          <w:sz w:val="24"/>
          <w:szCs w:val="24"/>
          <w:highlight w:val="none"/>
          <w:u w:val="none"/>
          <w:lang w:val="en-US" w:eastAsia="zh-CN"/>
        </w:rPr>
        <w:t>、质保期内，</w:t>
      </w:r>
      <w:r>
        <w:rPr>
          <w:rFonts w:hint="eastAsia" w:ascii="宋体" w:hAnsi="宋体" w:cs="宋体"/>
          <w:sz w:val="24"/>
          <w:lang w:eastAsia="zh-CN"/>
        </w:rPr>
        <w:t>若因质量问题导致产品无法正常运行，供应商</w:t>
      </w:r>
      <w:r>
        <w:rPr>
          <w:rFonts w:hint="eastAsia" w:ascii="宋体" w:hAnsi="宋体" w:cs="宋体"/>
          <w:sz w:val="24"/>
        </w:rPr>
        <w:t>应在收到</w:t>
      </w:r>
      <w:r>
        <w:rPr>
          <w:rFonts w:hint="eastAsia" w:ascii="宋体" w:hAnsi="宋体" w:cs="宋体"/>
          <w:sz w:val="24"/>
          <w:lang w:eastAsia="zh-CN"/>
        </w:rPr>
        <w:t>采购人</w:t>
      </w:r>
      <w:r>
        <w:rPr>
          <w:rFonts w:hint="eastAsia" w:ascii="宋体" w:hAnsi="宋体" w:cs="宋体"/>
          <w:sz w:val="24"/>
        </w:rPr>
        <w:t>通知后</w:t>
      </w:r>
      <w:r>
        <w:rPr>
          <w:rFonts w:hint="eastAsia" w:ascii="宋体" w:hAnsi="宋体" w:cs="宋体"/>
          <w:sz w:val="24"/>
          <w:u w:val="single"/>
          <w:lang w:val="en-US" w:eastAsia="zh-CN"/>
        </w:rPr>
        <w:t xml:space="preserve"> 3 </w:t>
      </w:r>
      <w:r>
        <w:rPr>
          <w:rFonts w:hint="eastAsia" w:ascii="宋体" w:hAnsi="宋体" w:cs="宋体"/>
          <w:sz w:val="24"/>
        </w:rPr>
        <w:t>日内免费负责</w:t>
      </w:r>
      <w:r>
        <w:rPr>
          <w:rFonts w:hint="eastAsia" w:ascii="宋体" w:hAnsi="宋体" w:cs="宋体"/>
          <w:sz w:val="24"/>
          <w:lang w:eastAsia="zh-CN"/>
        </w:rPr>
        <w:t>指导</w:t>
      </w:r>
      <w:r>
        <w:rPr>
          <w:rFonts w:hint="eastAsia" w:ascii="宋体" w:hAnsi="宋体" w:cs="宋体"/>
          <w:sz w:val="24"/>
        </w:rPr>
        <w:t>修复</w:t>
      </w:r>
      <w:r>
        <w:rPr>
          <w:rFonts w:hint="eastAsia" w:ascii="宋体" w:hAnsi="宋体" w:cs="宋体"/>
          <w:sz w:val="24"/>
          <w:lang w:eastAsia="zh-CN"/>
        </w:rPr>
        <w:t>，若质量问题严重，供应商需对产品进行免费更换。</w:t>
      </w:r>
    </w:p>
    <w:p>
      <w:pPr>
        <w:pStyle w:val="2"/>
        <w:ind w:left="0" w:leftChars="0" w:firstLine="240" w:firstLineChars="100"/>
        <w:rPr>
          <w:rFonts w:hint="eastAsia"/>
          <w:lang w:val="en-US" w:eastAsia="zh-CN"/>
        </w:rPr>
      </w:pPr>
      <w:r>
        <w:rPr>
          <w:rFonts w:hint="eastAsia"/>
          <w:lang w:val="en-US" w:eastAsia="zh-CN"/>
        </w:rPr>
        <w:t>5、附质量承诺书。</w:t>
      </w:r>
    </w:p>
    <w:p>
      <w:pPr>
        <w:rPr>
          <w:rFonts w:hint="eastAsia"/>
          <w:lang w:val="en-US" w:eastAsia="zh-CN"/>
        </w:rPr>
      </w:pPr>
      <w:r>
        <w:rPr>
          <w:rFonts w:hint="eastAsia"/>
          <w:lang w:val="en-US" w:eastAsia="zh-CN"/>
        </w:rPr>
        <w:br w:type="page"/>
      </w:r>
    </w:p>
    <w:p>
      <w:p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hint="eastAsia" w:ascii="黑体" w:hAnsi="黑体" w:eastAsia="黑体" w:cs="仿宋"/>
          <w:sz w:val="36"/>
          <w:szCs w:val="36"/>
        </w:rPr>
      </w:pPr>
    </w:p>
    <w:p>
      <w:pPr>
        <w:adjustRightInd w:val="0"/>
        <w:snapToGrid w:val="0"/>
        <w:spacing w:line="360" w:lineRule="auto"/>
        <w:jc w:val="center"/>
        <w:outlineLvl w:val="0"/>
        <w:rPr>
          <w:rFonts w:hint="eastAsia" w:ascii="黑体" w:hAnsi="黑体" w:eastAsia="黑体" w:cs="仿宋"/>
          <w:sz w:val="36"/>
          <w:szCs w:val="36"/>
        </w:rPr>
      </w:pPr>
    </w:p>
    <w:p>
      <w:pPr>
        <w:adjustRightInd w:val="0"/>
        <w:snapToGrid w:val="0"/>
        <w:spacing w:line="360" w:lineRule="auto"/>
        <w:jc w:val="center"/>
        <w:outlineLvl w:val="0"/>
        <w:rPr>
          <w:rFonts w:hint="eastAsia"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2"/>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6"/>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在第一章“采购公告”中规定的供应商不得存在的情形</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1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8"/>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17"/>
        <w:tblW w:w="9636"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87"/>
        <w:gridCol w:w="1602"/>
        <w:gridCol w:w="612"/>
        <w:gridCol w:w="995"/>
        <w:gridCol w:w="715"/>
        <w:gridCol w:w="1191"/>
        <w:gridCol w:w="124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87"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名称</w:t>
            </w:r>
          </w:p>
        </w:tc>
        <w:tc>
          <w:tcPr>
            <w:tcW w:w="1602"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规格型号</w:t>
            </w:r>
          </w:p>
        </w:tc>
        <w:tc>
          <w:tcPr>
            <w:tcW w:w="612"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995"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15"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税率</w:t>
            </w:r>
          </w:p>
        </w:tc>
        <w:tc>
          <w:tcPr>
            <w:tcW w:w="1191"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含税单价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24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含税合价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39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387"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1602"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612" w:type="dxa"/>
            <w:vAlign w:val="center"/>
          </w:tcPr>
          <w:p>
            <w:pPr>
              <w:pStyle w:val="2"/>
              <w:widowControl w:val="0"/>
              <w:spacing w:after="0" w:line="360" w:lineRule="auto"/>
              <w:ind w:firstLine="0" w:firstLineChars="0"/>
              <w:jc w:val="center"/>
              <w:rPr>
                <w:rFonts w:hint="default" w:ascii="宋体" w:hAnsi="宋体" w:eastAsia="宋体" w:cs="宋体"/>
                <w:snapToGrid w:val="0"/>
                <w:kern w:val="24"/>
                <w:sz w:val="22"/>
                <w:szCs w:val="22"/>
                <w:vertAlign w:val="baseline"/>
                <w:lang w:val="en-US" w:eastAsia="zh-CN" w:bidi="ar-SA"/>
              </w:rPr>
            </w:pP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p>
        </w:tc>
        <w:tc>
          <w:tcPr>
            <w:tcW w:w="715" w:type="dxa"/>
            <w:vAlign w:val="center"/>
          </w:tcPr>
          <w:p>
            <w:pPr>
              <w:widowControl/>
              <w:spacing w:line="360" w:lineRule="auto"/>
              <w:jc w:val="center"/>
              <w:rPr>
                <w:rFonts w:hint="default" w:ascii="宋体" w:hAnsi="宋体" w:eastAsia="宋体" w:cs="宋体"/>
                <w:sz w:val="22"/>
                <w:szCs w:val="22"/>
                <w:lang w:val="en-US" w:eastAsia="zh-CN"/>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387"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1602"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61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387"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1602"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61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0" w:type="dxa"/>
            <w:vAlign w:val="center"/>
          </w:tcPr>
          <w:p>
            <w:pPr>
              <w:widowControl/>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c>
          <w:tcPr>
            <w:tcW w:w="1387" w:type="dxa"/>
            <w:vAlign w:val="center"/>
          </w:tcPr>
          <w:p>
            <w:pPr>
              <w:pStyle w:val="2"/>
              <w:widowControl w:val="0"/>
              <w:spacing w:after="0" w:line="360" w:lineRule="auto"/>
              <w:ind w:firstLine="0" w:firstLineChars="0"/>
              <w:jc w:val="both"/>
              <w:rPr>
                <w:rFonts w:hint="default" w:ascii="宋体" w:hAnsi="宋体" w:eastAsia="宋体" w:cs="宋体"/>
                <w:snapToGrid w:val="0"/>
                <w:kern w:val="24"/>
                <w:sz w:val="22"/>
                <w:szCs w:val="22"/>
                <w:vertAlign w:val="baseline"/>
                <w:lang w:val="en-US" w:eastAsia="zh-CN" w:bidi="ar-SA"/>
              </w:rPr>
            </w:pPr>
          </w:p>
        </w:tc>
        <w:tc>
          <w:tcPr>
            <w:tcW w:w="1602"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p>
        </w:tc>
        <w:tc>
          <w:tcPr>
            <w:tcW w:w="612"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p>
        </w:tc>
        <w:tc>
          <w:tcPr>
            <w:tcW w:w="995"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992" w:type="dxa"/>
            <w:gridSpan w:val="7"/>
            <w:vAlign w:val="center"/>
          </w:tcPr>
          <w:p>
            <w:pPr>
              <w:widowControl/>
              <w:spacing w:line="360" w:lineRule="auto"/>
              <w:jc w:val="center"/>
              <w:rPr>
                <w:rFonts w:hint="eastAsia" w:ascii="宋体" w:hAnsi="宋体" w:eastAsia="宋体" w:cs="宋体"/>
                <w:i w:val="0"/>
                <w:iCs w:val="0"/>
                <w:sz w:val="21"/>
                <w:szCs w:val="21"/>
              </w:rPr>
            </w:pPr>
            <w:r>
              <w:rPr>
                <w:rFonts w:hint="eastAsia" w:ascii="宋体" w:hAnsi="宋体" w:eastAsia="宋体" w:cs="宋体"/>
                <w:i w:val="0"/>
                <w:iCs w:val="0"/>
                <w:sz w:val="21"/>
                <w:szCs w:val="21"/>
                <w:lang w:eastAsia="zh-CN"/>
              </w:rPr>
              <w:t>含税总价（元）</w:t>
            </w:r>
          </w:p>
        </w:tc>
        <w:tc>
          <w:tcPr>
            <w:tcW w:w="2644" w:type="dxa"/>
            <w:gridSpan w:val="2"/>
            <w:vAlign w:val="center"/>
          </w:tcPr>
          <w:p>
            <w:pPr>
              <w:widowControl/>
              <w:spacing w:line="360" w:lineRule="auto"/>
              <w:ind w:firstLine="210" w:firstLineChars="10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 xml:space="preserve"> </w:t>
            </w:r>
            <w:r>
              <w:rPr>
                <w:rFonts w:hint="eastAsia" w:ascii="宋体" w:hAnsi="宋体" w:eastAsia="宋体" w:cs="宋体"/>
                <w:i w:val="0"/>
                <w:iCs w:val="0"/>
                <w:sz w:val="21"/>
                <w:szCs w:val="21"/>
                <w:u w:val="single"/>
                <w:lang w:val="en-US" w:eastAsia="zh-CN"/>
              </w:rPr>
              <w:t xml:space="preserve">         </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（二）近年的类似项目情况表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lang w:eastAsia="zh-CN"/>
        </w:rPr>
        <w:t>个）</w:t>
      </w:r>
    </w:p>
    <w:tbl>
      <w:tblPr>
        <w:tblStyle w:val="17"/>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3"/>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rPr>
          <w:rFonts w:hint="eastAsia" w:ascii="黑体" w:hAnsi="黑体" w:eastAsia="黑体" w:cs="仿宋"/>
          <w:sz w:val="36"/>
          <w:szCs w:val="36"/>
        </w:rPr>
      </w:pPr>
      <w:r>
        <w:rPr>
          <w:rFonts w:hint="eastAsia" w:ascii="黑体" w:hAnsi="黑体" w:eastAsia="黑体" w:cs="仿宋"/>
          <w:sz w:val="36"/>
          <w:szCs w:val="36"/>
        </w:rPr>
        <w:br w:type="page"/>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2"/>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cs="仿宋" w:asciiTheme="minorEastAsia" w:hAnsiTheme="minorEastAsia" w:eastAsiaTheme="minorEastAsia"/>
          <w:sz w:val="24"/>
        </w:rPr>
      </w:pPr>
      <w:r>
        <w:rPr>
          <w:rFonts w:hint="eastAsia" w:ascii="黑体" w:hAnsi="黑体" w:eastAsia="黑体" w:cs="仿宋"/>
          <w:sz w:val="36"/>
          <w:szCs w:val="36"/>
          <w:highlight w:val="none"/>
          <w:lang w:eastAsia="zh-CN"/>
        </w:rPr>
        <w:br w:type="page"/>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r>
        <w:rPr>
          <w:rFonts w:hint="eastAsia" w:cs="仿宋" w:asciiTheme="minorEastAsia" w:hAnsiTheme="minorEastAsia" w:eastAsiaTheme="minorEastAsia"/>
          <w:sz w:val="24"/>
          <w:lang w:eastAsia="zh-CN"/>
        </w:rPr>
        <w:t>及投标文件所需其他资料</w:t>
      </w:r>
      <w:r>
        <w:rPr>
          <w:rFonts w:hint="eastAsia" w:cs="仿宋" w:asciiTheme="minorEastAsia" w:hAnsiTheme="minorEastAsia" w:eastAsiaTheme="minorEastAsia"/>
          <w:sz w:val="24"/>
        </w:rPr>
        <w:t>。</w:t>
      </w:r>
    </w:p>
    <w:p>
      <w:pPr>
        <w:spacing w:line="360" w:lineRule="auto"/>
        <w:jc w:val="both"/>
      </w:pPr>
    </w:p>
    <w:p>
      <w:pPr>
        <w:spacing w:line="360" w:lineRule="auto"/>
      </w:pPr>
    </w:p>
    <w:p>
      <w:pPr>
        <w:pStyle w:val="2"/>
        <w:ind w:left="0" w:leftChars="0" w:firstLine="240" w:firstLineChars="1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enter" w:pos="4153"/>
                              <w:tab w:val="right" w:pos="8306"/>
                            </w:tabs>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33A7C"/>
    <w:multiLevelType w:val="singleLevel"/>
    <w:tmpl w:val="A7433A7C"/>
    <w:lvl w:ilvl="0" w:tentative="0">
      <w:start w:val="3"/>
      <w:numFmt w:val="chineseCounting"/>
      <w:suff w:val="space"/>
      <w:lvlText w:val="第%1条"/>
      <w:lvlJc w:val="left"/>
      <w:rPr>
        <w:rFonts w:hint="eastAsia"/>
      </w:rPr>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BF19998F"/>
    <w:multiLevelType w:val="singleLevel"/>
    <w:tmpl w:val="BF19998F"/>
    <w:lvl w:ilvl="0" w:tentative="0">
      <w:start w:val="1"/>
      <w:numFmt w:val="decimal"/>
      <w:lvlText w:val="%1."/>
      <w:lvlJc w:val="left"/>
      <w:pPr>
        <w:tabs>
          <w:tab w:val="left" w:pos="312"/>
        </w:tabs>
      </w:pPr>
    </w:lvl>
  </w:abstractNum>
  <w:abstractNum w:abstractNumId="3">
    <w:nsid w:val="CCF6924D"/>
    <w:multiLevelType w:val="singleLevel"/>
    <w:tmpl w:val="CCF6924D"/>
    <w:lvl w:ilvl="0" w:tentative="0">
      <w:start w:val="12"/>
      <w:numFmt w:val="chineseCounting"/>
      <w:suff w:val="space"/>
      <w:lvlText w:val="第%1条"/>
      <w:lvlJc w:val="left"/>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0868652B"/>
    <w:multiLevelType w:val="singleLevel"/>
    <w:tmpl w:val="0868652B"/>
    <w:lvl w:ilvl="0" w:tentative="0">
      <w:start w:val="2"/>
      <w:numFmt w:val="decimal"/>
      <w:suff w:val="nothing"/>
      <w:lvlText w:val="%1．"/>
      <w:lvlJc w:val="left"/>
    </w:lvl>
  </w:abstractNum>
  <w:abstractNum w:abstractNumId="6">
    <w:nsid w:val="1F6DBE5D"/>
    <w:multiLevelType w:val="singleLevel"/>
    <w:tmpl w:val="1F6DBE5D"/>
    <w:lvl w:ilvl="0" w:tentative="0">
      <w:start w:val="1"/>
      <w:numFmt w:val="decimal"/>
      <w:lvlText w:val="%1."/>
      <w:lvlJc w:val="left"/>
      <w:pPr>
        <w:tabs>
          <w:tab w:val="left" w:pos="312"/>
        </w:tabs>
      </w:pPr>
    </w:lvl>
  </w:abstractNum>
  <w:abstractNum w:abstractNumId="7">
    <w:nsid w:val="3601A173"/>
    <w:multiLevelType w:val="singleLevel"/>
    <w:tmpl w:val="3601A173"/>
    <w:lvl w:ilvl="0" w:tentative="0">
      <w:start w:val="1"/>
      <w:numFmt w:val="chineseCounting"/>
      <w:suff w:val="nothing"/>
      <w:lvlText w:val="%1、"/>
      <w:lvlJc w:val="left"/>
      <w:rPr>
        <w:rFonts w:hint="eastAsia"/>
      </w:rPr>
    </w:lvl>
  </w:abstractNum>
  <w:abstractNum w:abstractNumId="8">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8"/>
  </w:num>
  <w:num w:numId="2">
    <w:abstractNumId w:val="5"/>
  </w:num>
  <w:num w:numId="3">
    <w:abstractNumId w:val="0"/>
  </w:num>
  <w:num w:numId="4">
    <w:abstractNumId w:val="2"/>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000000"/>
    <w:rsid w:val="014B2E9B"/>
    <w:rsid w:val="027E29A5"/>
    <w:rsid w:val="04F057C8"/>
    <w:rsid w:val="06562220"/>
    <w:rsid w:val="07DC3469"/>
    <w:rsid w:val="0B5C0134"/>
    <w:rsid w:val="12C639D0"/>
    <w:rsid w:val="146B62F4"/>
    <w:rsid w:val="15296EA6"/>
    <w:rsid w:val="19BE1006"/>
    <w:rsid w:val="1BEE002F"/>
    <w:rsid w:val="1C9832CA"/>
    <w:rsid w:val="1F9123D4"/>
    <w:rsid w:val="1FDA5C08"/>
    <w:rsid w:val="231E6161"/>
    <w:rsid w:val="23217F01"/>
    <w:rsid w:val="236B764D"/>
    <w:rsid w:val="23FD72D4"/>
    <w:rsid w:val="246062EC"/>
    <w:rsid w:val="252C4420"/>
    <w:rsid w:val="253921CC"/>
    <w:rsid w:val="27AD4DD5"/>
    <w:rsid w:val="28363F3F"/>
    <w:rsid w:val="294239E6"/>
    <w:rsid w:val="2E423D71"/>
    <w:rsid w:val="30426C84"/>
    <w:rsid w:val="33901BD5"/>
    <w:rsid w:val="34E83103"/>
    <w:rsid w:val="35C632C4"/>
    <w:rsid w:val="37E220D3"/>
    <w:rsid w:val="39561BD6"/>
    <w:rsid w:val="3AF576F6"/>
    <w:rsid w:val="3ED60F9D"/>
    <w:rsid w:val="40E65973"/>
    <w:rsid w:val="41624150"/>
    <w:rsid w:val="43A7763B"/>
    <w:rsid w:val="470B38B4"/>
    <w:rsid w:val="4AF465BC"/>
    <w:rsid w:val="4E095585"/>
    <w:rsid w:val="4E411BE7"/>
    <w:rsid w:val="4E944C60"/>
    <w:rsid w:val="4F773318"/>
    <w:rsid w:val="508329F2"/>
    <w:rsid w:val="534A7FE3"/>
    <w:rsid w:val="541D4E1A"/>
    <w:rsid w:val="59CD617A"/>
    <w:rsid w:val="5D5F6439"/>
    <w:rsid w:val="5ECB3ADB"/>
    <w:rsid w:val="5ECF75EF"/>
    <w:rsid w:val="5F9B67AF"/>
    <w:rsid w:val="5FFE7B17"/>
    <w:rsid w:val="63B60DB6"/>
    <w:rsid w:val="63E56332"/>
    <w:rsid w:val="64AB1647"/>
    <w:rsid w:val="675F10BA"/>
    <w:rsid w:val="677F7162"/>
    <w:rsid w:val="6AF35861"/>
    <w:rsid w:val="72FA7564"/>
    <w:rsid w:val="75E61788"/>
    <w:rsid w:val="794E61EE"/>
    <w:rsid w:val="7A747570"/>
    <w:rsid w:val="7B05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7">
    <w:name w:val="heading 4"/>
    <w:basedOn w:val="1"/>
    <w:next w:val="1"/>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autoRedefine/>
    <w:semiHidden/>
    <w:unhideWhenUsed/>
    <w:qFormat/>
    <w:uiPriority w:val="99"/>
    <w:pPr>
      <w:spacing w:after="120"/>
    </w:pPr>
  </w:style>
  <w:style w:type="paragraph" w:customStyle="1" w:styleId="4">
    <w:name w:val="Body Text Indent 21"/>
    <w:basedOn w:val="1"/>
    <w:next w:val="5"/>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autoRedefine/>
    <w:qFormat/>
    <w:uiPriority w:val="99"/>
    <w:pPr>
      <w:snapToGrid w:val="0"/>
    </w:pPr>
    <w:rPr>
      <w:rFonts w:asciiTheme="minorHAnsi" w:hAnsiTheme="minorHAnsi" w:eastAsiaTheme="minorEastAsia" w:cstheme="minorBidi"/>
      <w:sz w:val="18"/>
      <w:szCs w:val="18"/>
    </w:rPr>
  </w:style>
  <w:style w:type="paragraph" w:styleId="8">
    <w:name w:val="annotation text"/>
    <w:basedOn w:val="1"/>
    <w:autoRedefine/>
    <w:semiHidden/>
    <w:qFormat/>
    <w:uiPriority w:val="0"/>
    <w:rPr>
      <w:rFonts w:asciiTheme="minorHAnsi" w:hAnsiTheme="minorHAnsi" w:eastAsiaTheme="minorEastAsia" w:cstheme="minorBidi"/>
    </w:rPr>
  </w:style>
  <w:style w:type="paragraph" w:styleId="9">
    <w:name w:val="Body Text Indent"/>
    <w:basedOn w:val="1"/>
    <w:autoRedefine/>
    <w:qFormat/>
    <w:uiPriority w:val="0"/>
    <w:pPr>
      <w:spacing w:line="400" w:lineRule="exact"/>
      <w:ind w:firstLine="435"/>
    </w:pPr>
  </w:style>
  <w:style w:type="paragraph" w:styleId="10">
    <w:name w:val="footer"/>
    <w:basedOn w:val="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11">
    <w:name w:val="toc 1"/>
    <w:basedOn w:val="1"/>
    <w:next w:val="1"/>
    <w:autoRedefine/>
    <w:semiHidden/>
    <w:qFormat/>
    <w:uiPriority w:val="0"/>
    <w:pPr>
      <w:tabs>
        <w:tab w:val="right" w:leader="dot" w:pos="9242"/>
      </w:tabs>
      <w:spacing w:beforeLines="25" w:afterLines="25"/>
    </w:pPr>
    <w:rPr>
      <w:rFonts w:ascii="宋体"/>
      <w:szCs w:val="21"/>
    </w:rPr>
  </w:style>
  <w:style w:type="paragraph" w:styleId="12">
    <w:name w:val="footnote text"/>
    <w:basedOn w:val="1"/>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oc 2"/>
    <w:basedOn w:val="1"/>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15">
    <w:name w:val="Body Text First Indent 2"/>
    <w:basedOn w:val="9"/>
    <w:autoRedefine/>
    <w:qFormat/>
    <w:uiPriority w:val="0"/>
    <w:pPr>
      <w:spacing w:after="120" w:line="240" w:lineRule="auto"/>
      <w:ind w:left="420" w:firstLine="210"/>
    </w:pPr>
    <w:rPr>
      <w:szCs w:val="20"/>
    </w:r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22"/>
    <w:rPr>
      <w:b/>
      <w:bCs/>
    </w:rPr>
  </w:style>
  <w:style w:type="character" w:styleId="20">
    <w:name w:val="Hyperlink"/>
    <w:autoRedefine/>
    <w:qFormat/>
    <w:uiPriority w:val="99"/>
    <w:rPr>
      <w:color w:val="0000FF"/>
      <w:spacing w:val="0"/>
      <w:w w:val="100"/>
      <w:szCs w:val="21"/>
      <w:u w:val="single"/>
      <w:lang w:val="en-US" w:eastAsia="zh-CN"/>
    </w:rPr>
  </w:style>
  <w:style w:type="character" w:styleId="21">
    <w:name w:val="footnote reference"/>
    <w:autoRedefine/>
    <w:qFormat/>
    <w:uiPriority w:val="0"/>
    <w:rPr>
      <w:vertAlign w:val="superscript"/>
    </w:rPr>
  </w:style>
  <w:style w:type="paragraph" w:customStyle="1" w:styleId="22">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3">
    <w:name w:val="列出段落1"/>
    <w:basedOn w:val="1"/>
    <w:autoRedefine/>
    <w:qFormat/>
    <w:uiPriority w:val="34"/>
    <w:pPr>
      <w:ind w:firstLine="420" w:firstLineChars="200"/>
    </w:pPr>
  </w:style>
  <w:style w:type="paragraph" w:customStyle="1" w:styleId="24">
    <w:name w:val="_Style 2"/>
    <w:basedOn w:val="6"/>
    <w:next w:val="1"/>
    <w:autoRedefine/>
    <w:qFormat/>
    <w:uiPriority w:val="0"/>
    <w:pPr>
      <w:spacing w:before="480" w:after="0" w:line="276" w:lineRule="auto"/>
      <w:outlineLvl w:val="9"/>
    </w:pPr>
    <w:rPr>
      <w:rFonts w:ascii="Cambria" w:hAnsi="Cambria"/>
      <w:color w:val="365F91"/>
      <w:kern w:val="0"/>
      <w:sz w:val="28"/>
      <w:szCs w:val="28"/>
    </w:rPr>
  </w:style>
  <w:style w:type="paragraph" w:styleId="25">
    <w:name w:val="List Paragraph"/>
    <w:basedOn w:val="1"/>
    <w:autoRedefine/>
    <w:qFormat/>
    <w:uiPriority w:val="34"/>
    <w:pPr>
      <w:ind w:firstLine="420" w:firstLineChars="200"/>
    </w:pPr>
    <w:rPr>
      <w:rFonts w:ascii="宋体" w:hAnsi="宋体" w:cs="宋体"/>
      <w:kern w:val="0"/>
      <w:sz w:val="24"/>
    </w:rPr>
  </w:style>
  <w:style w:type="paragraph" w:customStyle="1" w:styleId="26">
    <w:name w:val="一级条标题"/>
    <w:next w:val="27"/>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7">
    <w:name w:val="段"/>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21930</Words>
  <Characters>23611</Characters>
  <Lines>0</Lines>
  <Paragraphs>0</Paragraphs>
  <TotalTime>81</TotalTime>
  <ScaleCrop>false</ScaleCrop>
  <LinksUpToDate>false</LinksUpToDate>
  <CharactersWithSpaces>25601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2022-09-06T02:11:00Z</dcterms:created>
  <dc:creator>lenovo</dc:creator>
  <cp:lastModifiedBy>咸鱼</cp:lastModifiedBy>
  <dcterms:modified xsi:type="dcterms:W3CDTF">2024-04-03T07:16:07Z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D871248620DB430B9671686653FB0B9B_13</vt:lpwstr>
  </property>
</Properties>
</file>