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rPr>
          <w:rFonts w:ascii="黑体" w:hAnsi="黑体" w:eastAsia="黑体"/>
          <w:color w:val="000000" w:themeColor="text1"/>
          <w:sz w:val="36"/>
          <w:szCs w:val="36"/>
          <w:highlight w:val="none"/>
          <w14:textFill>
            <w14:solidFill>
              <w14:schemeClr w14:val="tx1"/>
            </w14:solidFill>
          </w14:textFill>
        </w:rPr>
      </w:pPr>
      <w:r>
        <w:rPr>
          <w:rFonts w:hint="eastAsia" w:ascii="黑体" w:hAnsi="黑体" w:eastAsia="黑体"/>
          <w:color w:val="000000" w:themeColor="text1"/>
          <w:sz w:val="36"/>
          <w:szCs w:val="36"/>
          <w:highlight w:val="none"/>
          <w14:textFill>
            <w14:solidFill>
              <w14:schemeClr w14:val="tx1"/>
            </w14:solidFill>
          </w14:textFill>
        </w:rPr>
        <w:t>岳阳港道仁矶码头工程</w:t>
      </w:r>
    </w:p>
    <w:p>
      <w:pPr>
        <w:snapToGrid w:val="0"/>
        <w:spacing w:line="900" w:lineRule="exact"/>
        <w:jc w:val="center"/>
        <w:rPr>
          <w:rFonts w:hint="eastAsia" w:ascii="黑体" w:hAnsi="黑体" w:eastAsia="黑体"/>
          <w:color w:val="000000" w:themeColor="text1"/>
          <w:sz w:val="36"/>
          <w:szCs w:val="36"/>
          <w:highlight w:val="none"/>
          <w14:textFill>
            <w14:solidFill>
              <w14:schemeClr w14:val="tx1"/>
            </w14:solidFill>
          </w14:textFill>
        </w:rPr>
      </w:pPr>
      <w:r>
        <w:rPr>
          <w:rFonts w:hint="eastAsia" w:ascii="黑体" w:hAnsi="黑体" w:eastAsia="黑体"/>
          <w:color w:val="000000" w:themeColor="text1"/>
          <w:sz w:val="36"/>
          <w:szCs w:val="36"/>
          <w:highlight w:val="none"/>
          <w14:textFill>
            <w14:solidFill>
              <w14:schemeClr w14:val="tx1"/>
            </w14:solidFill>
          </w14:textFill>
        </w:rPr>
        <w:t>水土流失监测及水土保持措施竣工验收评估报告</w:t>
      </w:r>
    </w:p>
    <w:p>
      <w:pPr>
        <w:snapToGrid w:val="0"/>
        <w:spacing w:line="900" w:lineRule="exact"/>
        <w:jc w:val="center"/>
        <w:rPr>
          <w:rFonts w:hint="eastAsia" w:ascii="黑体" w:hAnsi="黑体" w:eastAsia="黑体"/>
          <w:color w:val="000000" w:themeColor="text1"/>
          <w:sz w:val="36"/>
          <w:szCs w:val="36"/>
          <w:highlight w:val="none"/>
          <w14:textFill>
            <w14:solidFill>
              <w14:schemeClr w14:val="tx1"/>
            </w14:solidFill>
          </w14:textFill>
        </w:rPr>
      </w:pPr>
      <w:r>
        <w:rPr>
          <w:rFonts w:hint="eastAsia" w:ascii="黑体" w:hAnsi="黑体" w:eastAsia="黑体"/>
          <w:color w:val="000000" w:themeColor="text1"/>
          <w:sz w:val="36"/>
          <w:szCs w:val="36"/>
          <w:highlight w:val="none"/>
          <w14:textFill>
            <w14:solidFill>
              <w14:schemeClr w14:val="tx1"/>
            </w14:solidFill>
          </w14:textFill>
        </w:rPr>
        <w:t>编制服务询价</w:t>
      </w:r>
    </w:p>
    <w:p>
      <w:pPr>
        <w:snapToGrid w:val="0"/>
        <w:spacing w:line="900" w:lineRule="exact"/>
        <w:jc w:val="both"/>
        <w:rPr>
          <w:rFonts w:ascii="黑体" w:hAnsi="黑体" w:eastAsia="黑体"/>
          <w:color w:val="000000" w:themeColor="text1"/>
          <w:sz w:val="36"/>
          <w:szCs w:val="36"/>
          <w:highlight w:val="none"/>
          <w14:textFill>
            <w14:solidFill>
              <w14:schemeClr w14:val="tx1"/>
            </w14:solidFill>
          </w14:textFill>
        </w:rPr>
      </w:pPr>
    </w:p>
    <w:p>
      <w:pPr>
        <w:snapToGrid w:val="0"/>
        <w:spacing w:line="900" w:lineRule="exact"/>
        <w:jc w:val="center"/>
        <w:rPr>
          <w:rFonts w:ascii="黑体" w:hAnsi="黑体" w:eastAsia="黑体" w:cs="宋体"/>
          <w:b/>
          <w:color w:val="000000" w:themeColor="text1"/>
          <w:kern w:val="0"/>
          <w:sz w:val="72"/>
          <w:szCs w:val="72"/>
          <w:highlight w:val="none"/>
          <w14:textFill>
            <w14:solidFill>
              <w14:schemeClr w14:val="tx1"/>
            </w14:solidFill>
          </w14:textFill>
        </w:rPr>
      </w:pPr>
      <w:r>
        <w:rPr>
          <w:rFonts w:hint="eastAsia" w:ascii="黑体" w:hAnsi="黑体" w:eastAsia="黑体" w:cs="宋体"/>
          <w:b/>
          <w:color w:val="000000" w:themeColor="text1"/>
          <w:kern w:val="0"/>
          <w:sz w:val="72"/>
          <w:szCs w:val="72"/>
          <w:highlight w:val="none"/>
          <w14:textFill>
            <w14:solidFill>
              <w14:schemeClr w14:val="tx1"/>
            </w14:solidFill>
          </w14:textFill>
        </w:rPr>
        <w:t>询</w:t>
      </w:r>
    </w:p>
    <w:p>
      <w:pPr>
        <w:snapToGrid w:val="0"/>
        <w:spacing w:line="900" w:lineRule="exact"/>
        <w:jc w:val="center"/>
        <w:rPr>
          <w:rFonts w:ascii="黑体" w:hAnsi="黑体" w:eastAsia="黑体" w:cs="宋体"/>
          <w:b/>
          <w:color w:val="000000" w:themeColor="text1"/>
          <w:kern w:val="0"/>
          <w:sz w:val="72"/>
          <w:szCs w:val="72"/>
          <w:highlight w:val="none"/>
          <w14:textFill>
            <w14:solidFill>
              <w14:schemeClr w14:val="tx1"/>
            </w14:solidFill>
          </w14:textFill>
        </w:rPr>
      </w:pPr>
    </w:p>
    <w:p>
      <w:pPr>
        <w:snapToGrid w:val="0"/>
        <w:spacing w:line="900" w:lineRule="exact"/>
        <w:jc w:val="center"/>
        <w:rPr>
          <w:rFonts w:ascii="黑体" w:hAnsi="黑体" w:eastAsia="黑体" w:cs="宋体"/>
          <w:b/>
          <w:color w:val="000000" w:themeColor="text1"/>
          <w:kern w:val="0"/>
          <w:sz w:val="72"/>
          <w:szCs w:val="72"/>
          <w:highlight w:val="none"/>
          <w14:textFill>
            <w14:solidFill>
              <w14:schemeClr w14:val="tx1"/>
            </w14:solidFill>
          </w14:textFill>
        </w:rPr>
      </w:pPr>
      <w:r>
        <w:rPr>
          <w:rFonts w:hint="eastAsia" w:ascii="黑体" w:hAnsi="黑体" w:eastAsia="黑体" w:cs="宋体"/>
          <w:b/>
          <w:color w:val="000000" w:themeColor="text1"/>
          <w:kern w:val="0"/>
          <w:sz w:val="72"/>
          <w:szCs w:val="72"/>
          <w:highlight w:val="none"/>
          <w14:textFill>
            <w14:solidFill>
              <w14:schemeClr w14:val="tx1"/>
            </w14:solidFill>
          </w14:textFill>
        </w:rPr>
        <w:t>价</w:t>
      </w:r>
    </w:p>
    <w:p>
      <w:pPr>
        <w:snapToGrid w:val="0"/>
        <w:spacing w:line="900" w:lineRule="exact"/>
        <w:jc w:val="center"/>
        <w:rPr>
          <w:rFonts w:ascii="黑体" w:hAnsi="黑体" w:eastAsia="黑体" w:cs="宋体"/>
          <w:b/>
          <w:color w:val="000000" w:themeColor="text1"/>
          <w:kern w:val="0"/>
          <w:sz w:val="72"/>
          <w:szCs w:val="72"/>
          <w:highlight w:val="none"/>
          <w14:textFill>
            <w14:solidFill>
              <w14:schemeClr w14:val="tx1"/>
            </w14:solidFill>
          </w14:textFill>
        </w:rPr>
      </w:pPr>
    </w:p>
    <w:p>
      <w:pPr>
        <w:snapToGrid w:val="0"/>
        <w:spacing w:line="900" w:lineRule="exact"/>
        <w:jc w:val="center"/>
        <w:rPr>
          <w:rFonts w:ascii="黑体" w:hAnsi="黑体" w:eastAsia="黑体" w:cs="宋体"/>
          <w:b/>
          <w:color w:val="000000" w:themeColor="text1"/>
          <w:kern w:val="0"/>
          <w:sz w:val="72"/>
          <w:szCs w:val="72"/>
          <w:highlight w:val="none"/>
          <w14:textFill>
            <w14:solidFill>
              <w14:schemeClr w14:val="tx1"/>
            </w14:solidFill>
          </w14:textFill>
        </w:rPr>
      </w:pPr>
      <w:r>
        <w:rPr>
          <w:rFonts w:hint="eastAsia" w:ascii="黑体" w:hAnsi="黑体" w:eastAsia="黑体" w:cs="宋体"/>
          <w:b/>
          <w:color w:val="000000" w:themeColor="text1"/>
          <w:kern w:val="0"/>
          <w:sz w:val="72"/>
          <w:szCs w:val="72"/>
          <w:highlight w:val="none"/>
          <w14:textFill>
            <w14:solidFill>
              <w14:schemeClr w14:val="tx1"/>
            </w14:solidFill>
          </w14:textFill>
        </w:rPr>
        <w:t xml:space="preserve">文 </w:t>
      </w:r>
    </w:p>
    <w:p>
      <w:pPr>
        <w:snapToGrid w:val="0"/>
        <w:spacing w:line="900" w:lineRule="exact"/>
        <w:jc w:val="center"/>
        <w:rPr>
          <w:rFonts w:ascii="黑体" w:hAnsi="黑体" w:eastAsia="黑体" w:cs="宋体"/>
          <w:b/>
          <w:color w:val="000000" w:themeColor="text1"/>
          <w:kern w:val="0"/>
          <w:sz w:val="72"/>
          <w:szCs w:val="72"/>
          <w:highlight w:val="none"/>
          <w14:textFill>
            <w14:solidFill>
              <w14:schemeClr w14:val="tx1"/>
            </w14:solidFill>
          </w14:textFill>
        </w:rPr>
      </w:pPr>
    </w:p>
    <w:p>
      <w:pPr>
        <w:spacing w:line="480" w:lineRule="auto"/>
        <w:jc w:val="center"/>
        <w:rPr>
          <w:rFonts w:ascii="黑体" w:hAnsi="黑体" w:eastAsia="黑体" w:cs="宋体"/>
          <w:b/>
          <w:color w:val="000000" w:themeColor="text1"/>
          <w:kern w:val="0"/>
          <w:sz w:val="72"/>
          <w:szCs w:val="72"/>
          <w:highlight w:val="none"/>
          <w14:textFill>
            <w14:solidFill>
              <w14:schemeClr w14:val="tx1"/>
            </w14:solidFill>
          </w14:textFill>
        </w:rPr>
      </w:pPr>
      <w:r>
        <w:rPr>
          <w:rFonts w:hint="eastAsia" w:ascii="黑体" w:hAnsi="黑体" w:eastAsia="黑体" w:cs="宋体"/>
          <w:b/>
          <w:color w:val="000000" w:themeColor="text1"/>
          <w:kern w:val="0"/>
          <w:sz w:val="72"/>
          <w:szCs w:val="72"/>
          <w:highlight w:val="none"/>
          <w14:textFill>
            <w14:solidFill>
              <w14:schemeClr w14:val="tx1"/>
            </w14:solidFill>
          </w14:textFill>
        </w:rPr>
        <w:t>件</w:t>
      </w:r>
    </w:p>
    <w:p>
      <w:pPr>
        <w:spacing w:line="480" w:lineRule="auto"/>
        <w:jc w:val="center"/>
        <w:rPr>
          <w:color w:val="000000" w:themeColor="text1"/>
          <w:highlight w:val="none"/>
          <w14:textFill>
            <w14:solidFill>
              <w14:schemeClr w14:val="tx1"/>
            </w14:solidFill>
          </w14:textFill>
        </w:rPr>
      </w:pPr>
    </w:p>
    <w:p>
      <w:pPr>
        <w:snapToGrid w:val="0"/>
        <w:spacing w:line="900" w:lineRule="exact"/>
        <w:jc w:val="center"/>
        <w:rPr>
          <w:rFonts w:ascii="黑体" w:hAnsi="黑体" w:eastAsia="黑体"/>
          <w:bCs/>
          <w:color w:val="000000" w:themeColor="text1"/>
          <w:sz w:val="48"/>
          <w:szCs w:val="48"/>
          <w:highlight w:val="none"/>
          <w14:textFill>
            <w14:solidFill>
              <w14:schemeClr w14:val="tx1"/>
            </w14:solidFill>
          </w14:textFill>
        </w:rPr>
      </w:pPr>
      <w:r>
        <w:rPr>
          <w:rFonts w:hint="eastAsia" w:ascii="黑体" w:hAnsi="黑体" w:eastAsia="黑体"/>
          <w:bCs/>
          <w:color w:val="000000" w:themeColor="text1"/>
          <w:sz w:val="48"/>
          <w:szCs w:val="48"/>
          <w:highlight w:val="none"/>
          <w14:textFill>
            <w14:solidFill>
              <w14:schemeClr w14:val="tx1"/>
            </w14:solidFill>
          </w14:textFill>
        </w:rPr>
        <w:t>湖南省港务集团有限公司</w:t>
      </w:r>
    </w:p>
    <w:p>
      <w:pPr>
        <w:tabs>
          <w:tab w:val="left" w:pos="0"/>
          <w:tab w:val="left" w:pos="4185"/>
        </w:tabs>
        <w:spacing w:line="288" w:lineRule="auto"/>
        <w:ind w:right="-6"/>
        <w:jc w:val="center"/>
        <w:rPr>
          <w:rFonts w:eastAsia="楷体_GB2312"/>
          <w:b/>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48"/>
          <w:szCs w:val="48"/>
          <w:highlight w:val="none"/>
          <w14:textFill>
            <w14:solidFill>
              <w14:schemeClr w14:val="tx1"/>
            </w14:solidFill>
          </w14:textFill>
        </w:rPr>
        <w:t>二О二</w:t>
      </w:r>
      <w:r>
        <w:rPr>
          <w:rFonts w:hint="eastAsia" w:ascii="黑体" w:hAnsi="黑体" w:eastAsia="黑体"/>
          <w:bCs/>
          <w:color w:val="000000" w:themeColor="text1"/>
          <w:sz w:val="48"/>
          <w:szCs w:val="48"/>
          <w:highlight w:val="none"/>
          <w:lang w:val="en-US" w:eastAsia="zh-CN"/>
          <w14:textFill>
            <w14:solidFill>
              <w14:schemeClr w14:val="tx1"/>
            </w14:solidFill>
          </w14:textFill>
        </w:rPr>
        <w:t>四</w:t>
      </w:r>
      <w:r>
        <w:rPr>
          <w:rFonts w:hint="eastAsia" w:ascii="黑体" w:hAnsi="黑体" w:eastAsia="黑体"/>
          <w:bCs/>
          <w:color w:val="000000" w:themeColor="text1"/>
          <w:sz w:val="48"/>
          <w:szCs w:val="48"/>
          <w:highlight w:val="none"/>
          <w14:textFill>
            <w14:solidFill>
              <w14:schemeClr w14:val="tx1"/>
            </w14:solidFill>
          </w14:textFill>
        </w:rPr>
        <w:t>年</w:t>
      </w:r>
      <w:r>
        <w:rPr>
          <w:rFonts w:hint="eastAsia" w:ascii="黑体" w:hAnsi="黑体" w:eastAsia="黑体"/>
          <w:bCs/>
          <w:color w:val="000000" w:themeColor="text1"/>
          <w:sz w:val="48"/>
          <w:szCs w:val="48"/>
          <w:highlight w:val="none"/>
          <w:lang w:val="en-US" w:eastAsia="zh-CN"/>
          <w14:textFill>
            <w14:solidFill>
              <w14:schemeClr w14:val="tx1"/>
            </w14:solidFill>
          </w14:textFill>
        </w:rPr>
        <w:t>三</w:t>
      </w:r>
      <w:r>
        <w:rPr>
          <w:rFonts w:hint="eastAsia" w:ascii="黑体" w:hAnsi="黑体" w:eastAsia="黑体"/>
          <w:bCs/>
          <w:color w:val="000000" w:themeColor="text1"/>
          <w:sz w:val="48"/>
          <w:szCs w:val="48"/>
          <w:highlight w:val="none"/>
          <w14:textFill>
            <w14:solidFill>
              <w14:schemeClr w14:val="tx1"/>
            </w14:solidFill>
          </w14:textFill>
        </w:rPr>
        <w:t>月</w:t>
      </w:r>
    </w:p>
    <w:p>
      <w:pPr>
        <w:pStyle w:val="191"/>
        <w:keepNext w:val="0"/>
        <w:keepLines w:val="0"/>
        <w:widowControl w:val="0"/>
        <w:spacing w:before="0" w:line="600" w:lineRule="exact"/>
        <w:ind w:left="440"/>
        <w:jc w:val="center"/>
        <w:rPr>
          <w:rFonts w:ascii="黑体" w:hAnsi="黑体" w:eastAsia="黑体"/>
          <w:b w:val="0"/>
          <w:color w:val="000000" w:themeColor="text1"/>
          <w:sz w:val="44"/>
          <w:szCs w:val="44"/>
          <w:highlight w:val="none"/>
          <w:lang w:val="zh-CN"/>
          <w14:textFill>
            <w14:solidFill>
              <w14:schemeClr w14:val="tx1"/>
            </w14:solidFill>
          </w14:textFill>
        </w:rPr>
      </w:pPr>
      <w:r>
        <w:rPr>
          <w:rFonts w:ascii="黑体" w:hAnsi="黑体" w:eastAsia="黑体"/>
          <w:b w:val="0"/>
          <w:color w:val="000000" w:themeColor="text1"/>
          <w:sz w:val="44"/>
          <w:szCs w:val="44"/>
          <w:highlight w:val="none"/>
          <w:lang w:val="zh-CN"/>
          <w14:textFill>
            <w14:solidFill>
              <w14:schemeClr w14:val="tx1"/>
            </w14:solidFill>
          </w14:textFill>
        </w:rPr>
        <w:t>目    录</w:t>
      </w:r>
    </w:p>
    <w:p>
      <w:pPr>
        <w:jc w:val="center"/>
        <w:rPr>
          <w:rFonts w:eastAsia="华文楷体"/>
          <w:color w:val="000000" w:themeColor="text1"/>
          <w:sz w:val="28"/>
          <w:szCs w:val="28"/>
          <w:highlight w:val="none"/>
          <w:lang w:val="zh-CN"/>
          <w14:textFill>
            <w14:solidFill>
              <w14:schemeClr w14:val="tx1"/>
            </w14:solidFill>
          </w14:textFill>
        </w:rPr>
      </w:pPr>
    </w:p>
    <w:p>
      <w:pPr>
        <w:pStyle w:val="28"/>
        <w:tabs>
          <w:tab w:val="right" w:leader="dot" w:pos="8948"/>
          <w:tab w:val="clear" w:pos="9242"/>
        </w:tabs>
        <w:adjustRightInd w:val="0"/>
        <w:snapToGrid w:val="0"/>
        <w:spacing w:before="60" w:after="60"/>
        <w:rPr>
          <w:rFonts w:ascii="微软雅黑" w:hAnsi="微软雅黑" w:eastAsia="微软雅黑"/>
          <w:bCs/>
          <w:caps/>
          <w:color w:val="000000" w:themeColor="text1"/>
          <w:sz w:val="24"/>
          <w:szCs w:val="24"/>
          <w:highlight w:val="none"/>
          <w14:textFill>
            <w14:solidFill>
              <w14:schemeClr w14:val="tx1"/>
            </w14:solidFill>
          </w14:textFill>
        </w:rPr>
      </w:pPr>
      <w:r>
        <w:rPr>
          <w:rFonts w:ascii="微软雅黑" w:hAnsi="微软雅黑" w:eastAsia="微软雅黑"/>
          <w:color w:val="000000" w:themeColor="text1"/>
          <w:sz w:val="24"/>
          <w:szCs w:val="24"/>
          <w:highlight w:val="none"/>
          <w14:textFill>
            <w14:solidFill>
              <w14:schemeClr w14:val="tx1"/>
            </w14:solidFill>
          </w14:textFill>
        </w:rPr>
        <w:fldChar w:fldCharType="begin"/>
      </w:r>
      <w:r>
        <w:rPr>
          <w:rFonts w:ascii="微软雅黑" w:hAnsi="微软雅黑" w:eastAsia="微软雅黑"/>
          <w:color w:val="000000" w:themeColor="text1"/>
          <w:sz w:val="24"/>
          <w:szCs w:val="24"/>
          <w:highlight w:val="none"/>
          <w14:textFill>
            <w14:solidFill>
              <w14:schemeClr w14:val="tx1"/>
            </w14:solidFill>
          </w14:textFill>
        </w:rPr>
        <w:instrText xml:space="preserve"> TOC \o "1-3" \h \z \u </w:instrText>
      </w:r>
      <w:r>
        <w:rPr>
          <w:rFonts w:ascii="微软雅黑" w:hAnsi="微软雅黑" w:eastAsia="微软雅黑"/>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"_Toc77254096"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第一章采购公告</w:t>
      </w:r>
      <w:r>
        <w:rPr>
          <w:rFonts w:ascii="微软雅黑" w:hAnsi="微软雅黑" w:eastAsia="微软雅黑"/>
          <w:color w:val="000000" w:themeColor="text1"/>
          <w:sz w:val="24"/>
          <w:szCs w:val="24"/>
          <w:highlight w:val="none"/>
          <w14:textFill>
            <w14:solidFill>
              <w14:schemeClr w14:val="tx1"/>
            </w14:solidFill>
          </w14:textFill>
        </w:rPr>
        <w:tab/>
      </w:r>
      <w:r>
        <w:rPr>
          <w:rFonts w:ascii="微软雅黑" w:hAnsi="微软雅黑" w:eastAsia="微软雅黑"/>
          <w:color w:val="000000" w:themeColor="text1"/>
          <w:sz w:val="24"/>
          <w:szCs w:val="24"/>
          <w:highlight w:val="none"/>
          <w14:textFill>
            <w14:solidFill>
              <w14:schemeClr w14:val="tx1"/>
            </w14:solidFill>
          </w14:textFill>
        </w:rPr>
        <w:t>4</w:t>
      </w:r>
      <w:r>
        <w:rPr>
          <w:rFonts w:ascii="微软雅黑" w:hAnsi="微软雅黑" w:eastAsia="微软雅黑"/>
          <w:color w:val="000000" w:themeColor="text1"/>
          <w:sz w:val="24"/>
          <w:szCs w:val="24"/>
          <w:highlight w:val="none"/>
          <w14:textFill>
            <w14:solidFill>
              <w14:schemeClr w14:val="tx1"/>
            </w14:solidFill>
          </w14:textFill>
        </w:rPr>
        <w:fldChar w:fldCharType="end"/>
      </w:r>
    </w:p>
    <w:p>
      <w:pPr>
        <w:pStyle w:val="28"/>
        <w:tabs>
          <w:tab w:val="right" w:leader="dot" w:pos="8948"/>
          <w:tab w:val="clear" w:pos="9242"/>
        </w:tabs>
        <w:adjustRightInd w:val="0"/>
        <w:snapToGrid w:val="0"/>
        <w:spacing w:before="60" w:after="60"/>
        <w:rPr>
          <w:rFonts w:ascii="微软雅黑" w:hAnsi="微软雅黑" w:eastAsia="微软雅黑"/>
          <w:bCs/>
          <w: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"_Toc77254106"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第二章供应商须知</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8</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28"/>
        <w:tabs>
          <w:tab w:val="right" w:leader="dot" w:pos="8948"/>
          <w:tab w:val="clear" w:pos="9242"/>
        </w:tabs>
        <w:adjustRightInd w:val="0"/>
        <w:snapToGrid w:val="0"/>
        <w:spacing w:before="60" w:after="60"/>
        <w:rPr>
          <w:rFonts w:ascii="微软雅黑" w:hAnsi="微软雅黑" w:eastAsia="微软雅黑"/>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"_Toc77254124"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第三章评标办</w:t>
      </w:r>
      <w:bookmarkStart w:id="0" w:name="_Hlt79481237"/>
      <w:bookmarkStart w:id="1" w:name="_Hlt79481238"/>
      <w:r>
        <w:rPr>
          <w:rStyle w:val="50"/>
          <w:rFonts w:hint="eastAsia" w:ascii="微软雅黑" w:hAnsi="微软雅黑" w:eastAsia="微软雅黑"/>
          <w:color w:val="000000" w:themeColor="text1"/>
          <w:sz w:val="24"/>
          <w:szCs w:val="24"/>
          <w:highlight w:val="none"/>
          <w14:textFill>
            <w14:solidFill>
              <w14:schemeClr w14:val="tx1"/>
            </w14:solidFill>
          </w14:textFill>
        </w:rPr>
        <w:t>法</w:t>
      </w:r>
      <w:bookmarkEnd w:id="0"/>
      <w:bookmarkEnd w:id="1"/>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3</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r>
        <w:rPr>
          <w:rFonts w:hint="eastAsia" w:ascii="微软雅黑" w:hAnsi="微软雅黑" w:eastAsia="微软雅黑"/>
          <w:color w:val="000000" w:themeColor="text1"/>
          <w:sz w:val="24"/>
          <w:szCs w:val="24"/>
          <w:highlight w:val="none"/>
          <w14:textFill>
            <w14:solidFill>
              <w14:schemeClr w14:val="tx1"/>
            </w14:solidFill>
          </w14:textFill>
        </w:rPr>
        <w:t>1</w:t>
      </w:r>
    </w:p>
    <w:p>
      <w:pPr>
        <w:pStyle w:val="28"/>
        <w:tabs>
          <w:tab w:val="right" w:leader="dot" w:pos="8948"/>
          <w:tab w:val="clear" w:pos="9242"/>
        </w:tabs>
        <w:adjustRightInd w:val="0"/>
        <w:snapToGrid w:val="0"/>
        <w:spacing w:before="60" w:after="60"/>
        <w:rPr>
          <w:rFonts w:ascii="微软雅黑" w:hAnsi="微软雅黑" w:eastAsia="微软雅黑"/>
          <w:bCs/>
          <w: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"_Toc77254138"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第四章合同条款及格式</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3</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r>
        <w:rPr>
          <w:rFonts w:hint="eastAsia" w:ascii="微软雅黑" w:hAnsi="微软雅黑" w:eastAsia="微软雅黑"/>
          <w:color w:val="000000" w:themeColor="text1"/>
          <w:sz w:val="24"/>
          <w:szCs w:val="24"/>
          <w:highlight w:val="none"/>
          <w14:textFill>
            <w14:solidFill>
              <w14:schemeClr w14:val="tx1"/>
            </w14:solidFill>
          </w14:textFill>
        </w:rPr>
        <w:t>7</w:t>
      </w:r>
    </w:p>
    <w:p>
      <w:pPr>
        <w:pStyle w:val="28"/>
        <w:tabs>
          <w:tab w:val="right" w:leader="dot" w:pos="8948"/>
          <w:tab w:val="clear" w:pos="9242"/>
        </w:tabs>
        <w:adjustRightInd w:val="0"/>
        <w:snapToGrid w:val="0"/>
        <w:spacing w:before="60" w:after="60"/>
        <w:rPr>
          <w:rFonts w:ascii="微软雅黑" w:hAnsi="微软雅黑" w:eastAsia="微软雅黑"/>
          <w:bCs/>
          <w: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"_Toc77254286"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第五章采购需求</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38</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28"/>
        <w:tabs>
          <w:tab w:val="right" w:leader="dot" w:pos="8948"/>
          <w:tab w:val="clear" w:pos="9242"/>
        </w:tabs>
        <w:adjustRightInd w:val="0"/>
        <w:snapToGrid w:val="0"/>
        <w:spacing w:before="60" w:after="60"/>
        <w:rPr>
          <w:rFonts w:ascii="微软雅黑" w:hAnsi="微软雅黑" w:eastAsia="微软雅黑"/>
          <w:bCs/>
          <w: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"_Toc77254297"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第六章响应文件格式</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39</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34"/>
        <w:tabs>
          <w:tab w:val="right" w:leader="dot" w:pos="8948"/>
        </w:tabs>
        <w:adjustRightInd w:val="0"/>
        <w:snapToGrid w:val="0"/>
        <w:rPr>
          <w:rFonts w:ascii="微软雅黑" w:hAnsi="微软雅黑" w:eastAsia="微软雅黑"/>
          <w:small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"_Toc77254298"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一、响应函</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42</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34"/>
        <w:tabs>
          <w:tab w:val="right" w:leader="dot" w:pos="8948"/>
        </w:tabs>
        <w:adjustRightInd w:val="0"/>
        <w:snapToGrid w:val="0"/>
        <w:rPr>
          <w:rFonts w:ascii="微软雅黑" w:hAnsi="微软雅黑" w:eastAsia="微软雅黑"/>
          <w:small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"_Toc77254299"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二、授权委托书</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4</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r>
        <w:rPr>
          <w:rFonts w:hint="eastAsia" w:ascii="微软雅黑" w:hAnsi="微软雅黑" w:eastAsia="微软雅黑"/>
          <w:color w:val="000000" w:themeColor="text1"/>
          <w:sz w:val="24"/>
          <w:szCs w:val="24"/>
          <w:highlight w:val="none"/>
          <w14:textFill>
            <w14:solidFill>
              <w14:schemeClr w14:val="tx1"/>
            </w14:solidFill>
          </w14:textFill>
        </w:rPr>
        <w:t>5</w:t>
      </w:r>
    </w:p>
    <w:p>
      <w:pPr>
        <w:pStyle w:val="34"/>
        <w:tabs>
          <w:tab w:val="right" w:leader="dot" w:pos="8948"/>
        </w:tabs>
        <w:adjustRightInd w:val="0"/>
        <w:snapToGrid w:val="0"/>
        <w:rPr>
          <w:rFonts w:ascii="微软雅黑" w:hAnsi="微软雅黑" w:eastAsia="微软雅黑"/>
          <w:small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"_Toc77254300"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三、响应保证金</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4</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r>
        <w:rPr>
          <w:rFonts w:hint="eastAsia" w:ascii="微软雅黑" w:hAnsi="微软雅黑" w:eastAsia="微软雅黑"/>
          <w:color w:val="000000" w:themeColor="text1"/>
          <w:sz w:val="24"/>
          <w:szCs w:val="24"/>
          <w:highlight w:val="none"/>
          <w14:textFill>
            <w14:solidFill>
              <w14:schemeClr w14:val="tx1"/>
            </w14:solidFill>
          </w14:textFill>
        </w:rPr>
        <w:t>6</w:t>
      </w:r>
    </w:p>
    <w:p>
      <w:pPr>
        <w:pStyle w:val="34"/>
        <w:tabs>
          <w:tab w:val="right" w:leader="dot" w:pos="8948"/>
        </w:tabs>
        <w:adjustRightInd w:val="0"/>
        <w:snapToGrid w:val="0"/>
        <w:rPr>
          <w:rFonts w:ascii="微软雅黑" w:hAnsi="微软雅黑" w:eastAsia="微软雅黑"/>
          <w:small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"_Toc77254302"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四、商务和技术偏差表</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47</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34"/>
        <w:tabs>
          <w:tab w:val="right" w:leader="dot" w:pos="8948"/>
        </w:tabs>
        <w:adjustRightInd w:val="0"/>
        <w:snapToGrid w:val="0"/>
        <w:rPr>
          <w:rFonts w:ascii="微软雅黑" w:hAnsi="微软雅黑" w:eastAsia="微软雅黑"/>
          <w:small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"_Toc77254304"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五、报价表</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48</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34"/>
        <w:tabs>
          <w:tab w:val="right" w:leader="dot" w:pos="8948"/>
        </w:tabs>
        <w:adjustRightInd w:val="0"/>
        <w:snapToGrid w:val="0"/>
        <w:rPr>
          <w:rFonts w:ascii="微软雅黑" w:hAnsi="微软雅黑" w:eastAsia="微软雅黑"/>
          <w:small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"_Toc77254308"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六、资格审查资料</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51</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34"/>
        <w:tabs>
          <w:tab w:val="right" w:leader="dot" w:pos="8948"/>
        </w:tabs>
        <w:adjustRightInd w:val="0"/>
        <w:snapToGrid w:val="0"/>
        <w:rPr>
          <w:rFonts w:ascii="微软雅黑" w:hAnsi="微软雅黑" w:eastAsia="微软雅黑"/>
          <w:small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"_Toc77254309"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七、响应方案</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58</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34"/>
        <w:tabs>
          <w:tab w:val="right" w:leader="dot" w:pos="8948"/>
        </w:tabs>
        <w:adjustRightInd w:val="0"/>
        <w:snapToGrid w:val="0"/>
        <w:rPr>
          <w:rFonts w:ascii="微软雅黑" w:hAnsi="微软雅黑" w:eastAsia="微软雅黑"/>
          <w:small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"_Toc77254310"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八、其他资料</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61</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28"/>
        <w:widowControl w:val="0"/>
        <w:tabs>
          <w:tab w:val="right" w:leader="dot" w:pos="8948"/>
          <w:tab w:val="clear" w:pos="9242"/>
        </w:tabs>
        <w:adjustRightInd w:val="0"/>
        <w:snapToGrid w:val="0"/>
        <w:spacing w:before="60" w:after="60" w:line="312" w:lineRule="auto"/>
        <w:rPr>
          <w:rFonts w:ascii="Times New Roman"/>
          <w:color w:val="000000" w:themeColor="text1"/>
          <w:sz w:val="24"/>
          <w:szCs w:val="24"/>
          <w:highlight w:val="none"/>
          <w14:textFill>
            <w14:solidFill>
              <w14:schemeClr w14:val="tx1"/>
            </w14:solidFill>
          </w14:textFill>
        </w:rPr>
      </w:pPr>
      <w:r>
        <w:rPr>
          <w:rFonts w:ascii="微软雅黑" w:hAnsi="微软雅黑" w:eastAsia="微软雅黑"/>
          <w:color w:val="000000" w:themeColor="text1"/>
          <w:sz w:val="24"/>
          <w:szCs w:val="24"/>
          <w:highlight w:val="none"/>
          <w:lang w:val="zh-CN"/>
          <w14:textFill>
            <w14:solidFill>
              <w14:schemeClr w14:val="tx1"/>
            </w14:solidFill>
          </w14:textFill>
        </w:rPr>
        <w:fldChar w:fldCharType="end"/>
      </w: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pStyle w:val="82"/>
        <w:numPr>
          <w:ilvl w:val="0"/>
          <w:numId w:val="1"/>
        </w:numPr>
        <w:spacing w:line="600" w:lineRule="exact"/>
        <w:ind w:left="0" w:firstLine="0" w:firstLineChars="0"/>
        <w:jc w:val="center"/>
        <w:rPr>
          <w:rFonts w:ascii="黑体" w:hAnsi="黑体" w:eastAsia="黑体" w:cs="仿宋"/>
          <w:b/>
          <w:color w:val="000000" w:themeColor="text1"/>
          <w:sz w:val="44"/>
          <w:szCs w:val="44"/>
          <w:highlight w:val="none"/>
          <w14:textFill>
            <w14:solidFill>
              <w14:schemeClr w14:val="tx1"/>
            </w14:solidFill>
          </w14:textFill>
        </w:rPr>
      </w:pPr>
      <w:r>
        <w:rPr>
          <w:rFonts w:hint="eastAsia" w:ascii="黑体" w:hAnsi="黑体" w:eastAsia="黑体" w:cs="仿宋"/>
          <w:b/>
          <w:color w:val="000000" w:themeColor="text1"/>
          <w:sz w:val="44"/>
          <w:szCs w:val="44"/>
          <w:highlight w:val="none"/>
          <w14:textFill>
            <w14:solidFill>
              <w14:schemeClr w14:val="tx1"/>
            </w14:solidFill>
          </w14:textFill>
        </w:rPr>
        <w:t>采购公告</w:t>
      </w:r>
    </w:p>
    <w:p>
      <w:pPr>
        <w:tabs>
          <w:tab w:val="center" w:pos="4479"/>
          <w:tab w:val="left" w:pos="9781"/>
        </w:tabs>
        <w:spacing w:line="240" w:lineRule="auto"/>
        <w:jc w:val="center"/>
        <w:rPr>
          <w:rFonts w:hint="eastAsia" w:ascii="黑体" w:hAnsi="黑体" w:eastAsia="黑体" w:cs="宋体"/>
          <w:color w:val="000000" w:themeColor="text1"/>
          <w:kern w:val="0"/>
          <w:sz w:val="32"/>
          <w:szCs w:val="32"/>
          <w:highlight w:val="none"/>
          <w:lang w:val="en-US" w:eastAsia="zh-CN" w:bidi="ar-SA"/>
          <w14:textFill>
            <w14:solidFill>
              <w14:schemeClr w14:val="tx1"/>
            </w14:solidFill>
          </w14:textFill>
        </w:rPr>
      </w:pPr>
      <w:r>
        <w:rPr>
          <w:rFonts w:hint="eastAsia" w:ascii="黑体" w:hAnsi="黑体" w:eastAsia="黑体" w:cs="宋体"/>
          <w:color w:val="000000" w:themeColor="text1"/>
          <w:kern w:val="0"/>
          <w:sz w:val="32"/>
          <w:szCs w:val="32"/>
          <w:highlight w:val="none"/>
          <w:lang w:val="en-US" w:eastAsia="zh-CN" w:bidi="ar-SA"/>
          <w14:textFill>
            <w14:solidFill>
              <w14:schemeClr w14:val="tx1"/>
            </w14:solidFill>
          </w14:textFill>
        </w:rPr>
        <w:t>岳阳港道仁矶码头工程水土流失监测及水土保持措施竣工验收</w:t>
      </w:r>
    </w:p>
    <w:p>
      <w:pPr>
        <w:tabs>
          <w:tab w:val="center" w:pos="4479"/>
          <w:tab w:val="left" w:pos="9781"/>
        </w:tabs>
        <w:spacing w:line="240" w:lineRule="auto"/>
        <w:jc w:val="center"/>
        <w:rPr>
          <w:rFonts w:hint="eastAsia" w:ascii="黑体" w:hAnsi="黑体" w:eastAsia="黑体" w:cs="宋体"/>
          <w:color w:val="000000" w:themeColor="text1"/>
          <w:kern w:val="0"/>
          <w:sz w:val="32"/>
          <w:szCs w:val="32"/>
          <w:highlight w:val="none"/>
          <w:lang w:val="en-US" w:eastAsia="zh-CN" w:bidi="ar-SA"/>
          <w14:textFill>
            <w14:solidFill>
              <w14:schemeClr w14:val="tx1"/>
            </w14:solidFill>
          </w14:textFill>
        </w:rPr>
      </w:pPr>
      <w:r>
        <w:rPr>
          <w:rFonts w:hint="eastAsia" w:ascii="黑体" w:hAnsi="黑体" w:eastAsia="黑体" w:cs="宋体"/>
          <w:color w:val="000000" w:themeColor="text1"/>
          <w:kern w:val="0"/>
          <w:sz w:val="32"/>
          <w:szCs w:val="32"/>
          <w:highlight w:val="none"/>
          <w:lang w:val="en-US" w:eastAsia="zh-CN" w:bidi="ar-SA"/>
          <w14:textFill>
            <w14:solidFill>
              <w14:schemeClr w14:val="tx1"/>
            </w14:solidFill>
          </w14:textFill>
        </w:rPr>
        <w:t>评估报告编制服务询价采购公告</w:t>
      </w:r>
    </w:p>
    <w:p>
      <w:pPr>
        <w:autoSpaceDE w:val="0"/>
        <w:spacing w:line="400" w:lineRule="exact"/>
        <w:ind w:firstLine="960" w:firstLineChars="400"/>
        <w:rPr>
          <w:rFonts w:hint="eastAsia" w:ascii="宋体" w:hAnsi="宋体"/>
          <w:color w:val="000000" w:themeColor="text1"/>
          <w:sz w:val="24"/>
          <w:highlight w:val="none"/>
          <w14:textFill>
            <w14:solidFill>
              <w14:schemeClr w14:val="tx1"/>
            </w14:solidFill>
          </w14:textFill>
        </w:rPr>
      </w:pPr>
    </w:p>
    <w:p>
      <w:pPr>
        <w:autoSpaceDE w:val="0"/>
        <w:spacing w:line="400" w:lineRule="exact"/>
        <w:ind w:firstLine="960" w:firstLineChars="4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岳阳港道仁矶码头工程水土流失监测及水土保持措施竣工验收评估报告编制服务</w:t>
      </w:r>
    </w:p>
    <w:p>
      <w:pPr>
        <w:autoSpaceDE w:val="0"/>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询价已具备采购条件，现公开邀请供应商参加采购活动。 </w:t>
      </w:r>
    </w:p>
    <w:p>
      <w:pPr>
        <w:pStyle w:val="5"/>
        <w:keepNext w:val="0"/>
        <w:keepLines w:val="0"/>
        <w:widowControl w:val="0"/>
        <w:adjustRightInd w:val="0"/>
        <w:snapToGrid w:val="0"/>
        <w:spacing w:after="0" w:line="312"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采购项目简介</w:t>
      </w:r>
    </w:p>
    <w:p>
      <w:pPr>
        <w:autoSpaceDE w:val="0"/>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1.1</w:t>
      </w:r>
      <w:r>
        <w:rPr>
          <w:rFonts w:hint="eastAsia" w:ascii="宋体" w:hAnsi="宋体"/>
          <w:color w:val="000000" w:themeColor="text1"/>
          <w:sz w:val="24"/>
          <w:highlight w:val="none"/>
          <w14:textFill>
            <w14:solidFill>
              <w14:schemeClr w14:val="tx1"/>
            </w14:solidFill>
          </w14:textFill>
        </w:rPr>
        <w:t xml:space="preserve"> 采购项目名称:岳阳港道仁矶码头工程水土流失监测及水土保持措施竣工验收评估报告编制服务</w:t>
      </w:r>
    </w:p>
    <w:p>
      <w:pPr>
        <w:autoSpaceDE w:val="0"/>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 xml:space="preserve"> 采购人: 湖南省港务集团有限公司</w:t>
      </w:r>
    </w:p>
    <w:p>
      <w:pPr>
        <w:autoSpaceDE w:val="0"/>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1.3</w:t>
      </w:r>
      <w:r>
        <w:rPr>
          <w:rFonts w:hint="eastAsia" w:ascii="宋体" w:hAnsi="宋体"/>
          <w:color w:val="000000" w:themeColor="text1"/>
          <w:sz w:val="24"/>
          <w:highlight w:val="none"/>
          <w14:textFill>
            <w14:solidFill>
              <w14:schemeClr w14:val="tx1"/>
            </w14:solidFill>
          </w14:textFill>
        </w:rPr>
        <w:t xml:space="preserve"> 采购代理机构:_无____</w:t>
      </w:r>
    </w:p>
    <w:p>
      <w:pPr>
        <w:autoSpaceDE w:val="0"/>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1.4 </w:t>
      </w:r>
      <w:r>
        <w:rPr>
          <w:rFonts w:hint="eastAsia" w:ascii="宋体" w:hAnsi="宋体"/>
          <w:color w:val="000000" w:themeColor="text1"/>
          <w:sz w:val="24"/>
          <w:highlight w:val="none"/>
          <w14:textFill>
            <w14:solidFill>
              <w14:schemeClr w14:val="tx1"/>
            </w14:solidFill>
          </w14:textFill>
        </w:rPr>
        <w:t>采购项目资金落实情况:_已落实_</w:t>
      </w:r>
    </w:p>
    <w:p>
      <w:pPr>
        <w:pStyle w:val="9"/>
        <w:spacing w:line="400" w:lineRule="exact"/>
        <w:ind w:firstLine="482"/>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1.5 </w:t>
      </w:r>
      <w:r>
        <w:rPr>
          <w:rFonts w:hint="eastAsia" w:ascii="宋体" w:hAnsi="宋体"/>
          <w:color w:val="000000" w:themeColor="text1"/>
          <w:sz w:val="24"/>
          <w:highlight w:val="none"/>
          <w14:textFill>
            <w14:solidFill>
              <w14:schemeClr w14:val="tx1"/>
            </w14:solidFill>
          </w14:textFill>
        </w:rPr>
        <w:t>采购项目概况:拟建工程位于湖南省岳阳市云溪区道仁矶镇，荆岳长江大桥上游约1.5km 的长江右岸，工程距城陵矶约 12km，工程河段为长江中游杨林岩水道中段，港址处中游航道里程约为 219.3~220.1km。本工程拟建 6 个 5000 吨级散货泊位（其中水工结构按 10000 吨级船舶靠泊能力设计），其中一个泊位兼顾装卸防汛物资功能。货物年吞吐量为 1660 万吨，其中散货进口 1050 万吨/年，散货出口 600 万吨/年，防汛物资 10 万吨/年，码头设计通过能力 1881.4 万吨/年。</w:t>
      </w:r>
    </w:p>
    <w:p>
      <w:pPr>
        <w:pStyle w:val="5"/>
        <w:keepNext w:val="0"/>
        <w:keepLines w:val="0"/>
        <w:widowControl w:val="0"/>
        <w:adjustRightInd w:val="0"/>
        <w:snapToGrid w:val="0"/>
        <w:spacing w:after="0" w:line="312"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2．采购范围及相关要求</w:t>
      </w:r>
    </w:p>
    <w:p>
      <w:pPr>
        <w:autoSpaceDE w:val="0"/>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kern w:val="2"/>
          <w:sz w:val="24"/>
          <w:szCs w:val="24"/>
          <w:highlight w:val="none"/>
          <w:lang w:val="en-US" w:eastAsia="zh-CN" w:bidi="ar-SA"/>
          <w14:textFill>
            <w14:solidFill>
              <w14:schemeClr w14:val="tx1"/>
            </w14:solidFill>
          </w14:textFill>
        </w:rPr>
        <w:t>2.1</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 xml:space="preserve"> 采购范围: </w:t>
      </w:r>
      <w:r>
        <w:rPr>
          <w:rFonts w:hint="eastAsia" w:ascii="宋体" w:hAnsi="宋体"/>
          <w:color w:val="000000" w:themeColor="text1"/>
          <w:sz w:val="24"/>
          <w:highlight w:val="none"/>
          <w14:textFill>
            <w14:solidFill>
              <w14:schemeClr w14:val="tx1"/>
            </w14:solidFill>
          </w14:textFill>
        </w:rPr>
        <w:t>岳阳港道仁矶码头工程水土流失监测及水土保持措施竣工验收评估报告编制服务</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供应商</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完成技术服务工作成果的形式：《水土保持验收鉴定书》一式贰份（电子版壹份）、《水土保持验收总结报告》一式贰份（电子版壹份）</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《水土保持监测报告》（包含实施方案一份、监测季报四份、总结报告一份）一式贰份（电子版壹份），以上工作成果必须符合相关规范和要求，通过行政主管部门评审并获批复。</w:t>
      </w:r>
    </w:p>
    <w:p>
      <w:pPr>
        <w:pStyle w:val="9"/>
        <w:spacing w:line="400" w:lineRule="exact"/>
        <w:ind w:firstLine="482"/>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2.2 </w:t>
      </w:r>
      <w:r>
        <w:rPr>
          <w:rFonts w:hint="eastAsia" w:ascii="宋体" w:hAnsi="宋体"/>
          <w:color w:val="000000" w:themeColor="text1"/>
          <w:sz w:val="24"/>
          <w:highlight w:val="none"/>
          <w14:textFill>
            <w14:solidFill>
              <w14:schemeClr w14:val="tx1"/>
            </w14:solidFill>
          </w14:textFill>
        </w:rPr>
        <w:t>服务期限: 合同签</w:t>
      </w:r>
      <w:r>
        <w:rPr>
          <w:rFonts w:hint="eastAsia" w:ascii="宋体" w:hAnsi="宋体"/>
          <w:color w:val="000000" w:themeColor="text1"/>
          <w:sz w:val="24"/>
          <w:highlight w:val="none"/>
          <w:lang w:val="en-US" w:eastAsia="zh-CN"/>
          <w14:textFill>
            <w14:solidFill>
              <w14:schemeClr w14:val="tx1"/>
            </w14:solidFill>
          </w14:textFill>
        </w:rPr>
        <w:t>之日起至项目竣工验收</w:t>
      </w:r>
      <w:r>
        <w:rPr>
          <w:rFonts w:hint="eastAsia" w:ascii="宋体" w:hAnsi="宋体"/>
          <w:color w:val="000000" w:themeColor="text1"/>
          <w:sz w:val="24"/>
          <w:highlight w:val="none"/>
          <w14:textFill>
            <w14:solidFill>
              <w14:schemeClr w14:val="tx1"/>
            </w14:solidFill>
          </w14:textFill>
        </w:rPr>
        <w:t>。</w:t>
      </w:r>
    </w:p>
    <w:p>
      <w:pPr>
        <w:pStyle w:val="9"/>
        <w:spacing w:line="400" w:lineRule="exact"/>
        <w:ind w:firstLine="482"/>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2.3</w:t>
      </w:r>
      <w:r>
        <w:rPr>
          <w:rFonts w:hint="eastAsia" w:ascii="宋体" w:hAnsi="宋体"/>
          <w:color w:val="000000" w:themeColor="text1"/>
          <w:sz w:val="24"/>
          <w:highlight w:val="none"/>
          <w14:textFill>
            <w14:solidFill>
              <w14:schemeClr w14:val="tx1"/>
            </w14:solidFill>
          </w14:textFill>
        </w:rPr>
        <w:t xml:space="preserve"> 服务地点: 湖南省岳阳市云溪区道仁矶镇</w:t>
      </w:r>
    </w:p>
    <w:p>
      <w:pPr>
        <w:pStyle w:val="9"/>
        <w:spacing w:line="400" w:lineRule="exact"/>
        <w:ind w:firstLine="482"/>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2.4</w:t>
      </w:r>
      <w:r>
        <w:rPr>
          <w:rFonts w:hint="eastAsia" w:ascii="宋体" w:hAnsi="宋体"/>
          <w:color w:val="000000" w:themeColor="text1"/>
          <w:sz w:val="24"/>
          <w:highlight w:val="none"/>
          <w14:textFill>
            <w14:solidFill>
              <w14:schemeClr w14:val="tx1"/>
            </w14:solidFill>
          </w14:textFill>
        </w:rPr>
        <w:t xml:space="preserve"> 服务要求: 详见“第五章 采购</w:t>
      </w:r>
      <w:r>
        <w:rPr>
          <w:rFonts w:hint="eastAsia" w:ascii="宋体" w:hAnsi="宋体"/>
          <w:color w:val="000000" w:themeColor="text1"/>
          <w:sz w:val="24"/>
          <w:highlight w:val="none"/>
          <w:lang w:val="en-US" w:eastAsia="zh-CN"/>
          <w14:textFill>
            <w14:solidFill>
              <w14:schemeClr w14:val="tx1"/>
            </w14:solidFill>
          </w14:textFill>
        </w:rPr>
        <w:t>需</w:t>
      </w:r>
      <w:r>
        <w:rPr>
          <w:rFonts w:hint="eastAsia" w:ascii="宋体" w:hAnsi="宋体"/>
          <w:color w:val="000000" w:themeColor="text1"/>
          <w:sz w:val="24"/>
          <w:highlight w:val="none"/>
          <w14:textFill>
            <w14:solidFill>
              <w14:schemeClr w14:val="tx1"/>
            </w14:solidFill>
          </w14:textFill>
        </w:rPr>
        <w:t>求”。</w:t>
      </w:r>
    </w:p>
    <w:p>
      <w:pPr>
        <w:pStyle w:val="5"/>
        <w:keepNext w:val="0"/>
        <w:keepLines w:val="0"/>
        <w:widowControl w:val="0"/>
        <w:adjustRightInd w:val="0"/>
        <w:snapToGrid w:val="0"/>
        <w:spacing w:after="0" w:line="312"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 供应商资格要求</w:t>
      </w:r>
    </w:p>
    <w:p>
      <w:pPr>
        <w:autoSpaceDE w:val="0"/>
        <w:spacing w:line="400" w:lineRule="exact"/>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3.1</w:t>
      </w:r>
      <w:r>
        <w:rPr>
          <w:rFonts w:hint="eastAsia" w:ascii="宋体" w:hAnsi="宋体"/>
          <w:color w:val="000000" w:themeColor="text1"/>
          <w:sz w:val="24"/>
          <w:highlight w:val="none"/>
          <w14:textFill>
            <w14:solidFill>
              <w14:schemeClr w14:val="tx1"/>
            </w14:solidFill>
          </w14:textFill>
        </w:rPr>
        <w:t>供应商不得存在下列情形之一:</w:t>
      </w:r>
    </w:p>
    <w:p>
      <w:pPr>
        <w:autoSpaceDE w:val="0"/>
        <w:spacing w:line="400" w:lineRule="exact"/>
        <w:ind w:firstLine="240" w:firstLineChars="1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（1）处于被责令停产停业、暂扣或者吊销执照、暂扣或者吊销许可证、吊销资质证书状态;</w:t>
      </w:r>
    </w:p>
    <w:p>
      <w:pPr>
        <w:autoSpaceDE w:val="0"/>
        <w:spacing w:line="400" w:lineRule="exact"/>
        <w:ind w:firstLine="240" w:firstLineChars="1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（2）进入清算程序，或被宣告破产，或其他丧失履约能力的情形;</w:t>
      </w:r>
    </w:p>
    <w:p>
      <w:pPr>
        <w:autoSpaceDE w:val="0"/>
        <w:spacing w:line="400" w:lineRule="exact"/>
        <w:ind w:firstLine="240" w:firstLineChars="1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（3）被采购人或采购人上级单位纳入黑名单</w:t>
      </w:r>
    </w:p>
    <w:p>
      <w:pPr>
        <w:spacing w:line="440" w:lineRule="exact"/>
        <w:ind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为投资参股本项目的法人单位；</w:t>
      </w:r>
    </w:p>
    <w:p>
      <w:pPr>
        <w:autoSpaceDE w:val="0"/>
        <w:spacing w:line="40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3.2供应商应满足如下要求: </w:t>
      </w:r>
    </w:p>
    <w:tbl>
      <w:tblPr>
        <w:tblStyle w:val="4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资格条件</w:t>
            </w:r>
          </w:p>
        </w:tc>
        <w:tc>
          <w:tcPr>
            <w:tcW w:w="1786" w:type="dxa"/>
          </w:tcPr>
          <w:p>
            <w:pPr>
              <w:widowControl w:val="0"/>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对供应商要求</w:t>
            </w:r>
          </w:p>
        </w:tc>
        <w:tc>
          <w:tcPr>
            <w:tcW w:w="5443" w:type="dxa"/>
          </w:tcPr>
          <w:p>
            <w:pPr>
              <w:widowControl w:val="0"/>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（1）依法设立</w:t>
            </w:r>
          </w:p>
        </w:tc>
        <w:tc>
          <w:tcPr>
            <w:tcW w:w="1786"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A3"/>
            </w: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w:t>
            </w:r>
          </w:p>
        </w:tc>
        <w:tc>
          <w:tcPr>
            <w:tcW w:w="5443"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（2）资质要求</w:t>
            </w:r>
          </w:p>
        </w:tc>
        <w:tc>
          <w:tcPr>
            <w:tcW w:w="1786"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A3"/>
            </w:r>
            <w:r>
              <w:rPr>
                <w:rStyle w:val="46"/>
                <w:rFonts w:hint="eastAsia"/>
                <w:color w:val="000000" w:themeColor="text1"/>
                <w:highlight w:val="none"/>
                <w:u w:val="single"/>
                <w14:textFill>
                  <w14:solidFill>
                    <w14:schemeClr w14:val="tx1"/>
                  </w14:solidFill>
                </w14:textFill>
              </w:rPr>
              <w:t>适用</w:t>
            </w:r>
          </w:p>
        </w:tc>
        <w:tc>
          <w:tcPr>
            <w:tcW w:w="5443"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A3"/>
            </w:r>
            <w:r>
              <w:rPr>
                <w:rStyle w:val="46"/>
                <w:rFonts w:hint="eastAsia"/>
                <w:color w:val="000000" w:themeColor="text1"/>
                <w:highlight w:val="none"/>
                <w:u w:val="single"/>
                <w14:textFill>
                  <w14:solidFill>
                    <w14:schemeClr w14:val="tx1"/>
                  </w14:solidFill>
                </w14:textFill>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（3）财务要求</w:t>
            </w:r>
          </w:p>
        </w:tc>
        <w:tc>
          <w:tcPr>
            <w:tcW w:w="1786"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t>□适用</w:t>
            </w:r>
          </w:p>
        </w:tc>
        <w:tc>
          <w:tcPr>
            <w:tcW w:w="5443"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（4）业绩要求</w:t>
            </w:r>
          </w:p>
        </w:tc>
        <w:tc>
          <w:tcPr>
            <w:tcW w:w="1786"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A3"/>
            </w: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w:t>
            </w:r>
          </w:p>
        </w:tc>
        <w:tc>
          <w:tcPr>
            <w:tcW w:w="5443"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（5）信誉要求</w:t>
            </w:r>
          </w:p>
        </w:tc>
        <w:tc>
          <w:tcPr>
            <w:tcW w:w="1786"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w:t>
            </w:r>
          </w:p>
        </w:tc>
        <w:tc>
          <w:tcPr>
            <w:tcW w:w="5443"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（6）承担本项目的主要人员要求</w:t>
            </w:r>
          </w:p>
        </w:tc>
        <w:tc>
          <w:tcPr>
            <w:tcW w:w="1786"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A3"/>
            </w: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w:t>
            </w:r>
          </w:p>
        </w:tc>
        <w:tc>
          <w:tcPr>
            <w:tcW w:w="5443"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（7）其他要求</w:t>
            </w:r>
          </w:p>
        </w:tc>
        <w:tc>
          <w:tcPr>
            <w:tcW w:w="1786"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t>□适用</w:t>
            </w:r>
          </w:p>
        </w:tc>
        <w:tc>
          <w:tcPr>
            <w:tcW w:w="5443"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（8）供应商不存在第一章3.1款情形的证明材料</w:t>
            </w:r>
          </w:p>
        </w:tc>
        <w:tc>
          <w:tcPr>
            <w:tcW w:w="1786"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w:t>
            </w:r>
          </w:p>
        </w:tc>
        <w:tc>
          <w:tcPr>
            <w:tcW w:w="5443"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适用,见采购文件供应商须知前附表3.5（8）。</w:t>
            </w:r>
          </w:p>
        </w:tc>
      </w:tr>
    </w:tbl>
    <w:p>
      <w:pPr>
        <w:pStyle w:val="5"/>
        <w:keepNext w:val="0"/>
        <w:keepLines w:val="0"/>
        <w:widowControl w:val="0"/>
        <w:adjustRightInd w:val="0"/>
        <w:snapToGrid w:val="0"/>
        <w:spacing w:after="0" w:line="312"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 响应保证金</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color w:val="000000" w:themeColor="text1"/>
                <w:highlight w:val="none"/>
                <w14:textFill>
                  <w14:solidFill>
                    <w14:schemeClr w14:val="tx1"/>
                  </w14:solidFill>
                </w14:textFill>
              </w:rPr>
            </w:pPr>
            <w:r>
              <w:rPr>
                <w:rFonts w:hint="eastAsia" w:ascii="黑体" w:hAnsi="黑体"/>
                <w:color w:val="000000" w:themeColor="text1"/>
                <w:highlight w:val="none"/>
                <w14:textFill>
                  <w14:solidFill>
                    <w14:schemeClr w14:val="tx1"/>
                  </w14:solidFill>
                </w14:textFill>
              </w:rPr>
              <w:t>响应</w:t>
            </w:r>
            <w:r>
              <w:rPr>
                <w:rFonts w:hint="eastAsia" w:ascii="宋体" w:hAnsi="宋体"/>
                <w:color w:val="000000" w:themeColor="text1"/>
                <w:sz w:val="24"/>
                <w:highlight w:val="none"/>
                <w14:textFill>
                  <w14:solidFill>
                    <w14:schemeClr w14:val="tx1"/>
                  </w14:solidFill>
                </w14:textFill>
              </w:rPr>
              <w:t>保证金的递交</w:t>
            </w:r>
          </w:p>
        </w:tc>
        <w:tc>
          <w:tcPr>
            <w:tcW w:w="3597" w:type="dxa"/>
          </w:tcPr>
          <w:p>
            <w:pPr>
              <w:widowControl w:val="0"/>
              <w:autoSpaceDE w:val="0"/>
              <w:spacing w:line="400" w:lineRule="exact"/>
              <w:jc w:val="both"/>
              <w:rPr>
                <w:rFonts w:ascii="黑体" w:hAnsi="黑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不退还响应保证金的其他情形</w:t>
            </w:r>
          </w:p>
        </w:tc>
        <w:tc>
          <w:tcPr>
            <w:tcW w:w="3285" w:type="dxa"/>
          </w:tcPr>
          <w:p>
            <w:pPr>
              <w:widowControl w:val="0"/>
              <w:autoSpaceDE w:val="0"/>
              <w:spacing w:line="400" w:lineRule="exact"/>
              <w:jc w:val="both"/>
              <w:rPr>
                <w:rFonts w:ascii="黑体" w:hAnsi="黑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14:textFill>
                  <w14:solidFill>
                    <w14:schemeClr w14:val="tx1"/>
                  </w14:solidFill>
                </w14:textFill>
              </w:rPr>
              <w:sym w:font="Wingdings 2" w:char="0052"/>
            </w:r>
            <w:r>
              <w:rPr>
                <w:rFonts w:hint="eastAsia" w:ascii="宋体" w:hAnsi="宋体"/>
                <w:color w:val="000000" w:themeColor="text1"/>
                <w:sz w:val="24"/>
                <w:highlight w:val="none"/>
                <w14:textFill>
                  <w14:solidFill>
                    <w14:schemeClr w14:val="tx1"/>
                  </w14:solidFill>
                </w14:textFill>
              </w:rPr>
              <w:t>不要求递交</w:t>
            </w:r>
          </w:p>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要求递交</w:t>
            </w:r>
          </w:p>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保证金金额：_________；</w:t>
            </w:r>
          </w:p>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保证金形式：________；</w:t>
            </w:r>
          </w:p>
        </w:tc>
        <w:tc>
          <w:tcPr>
            <w:tcW w:w="3597" w:type="dxa"/>
          </w:tcPr>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14:textFill>
                  <w14:solidFill>
                    <w14:schemeClr w14:val="tx1"/>
                  </w14:solidFill>
                </w14:textFill>
              </w:rPr>
              <w:sym w:font="Wingdings 2" w:char="0052"/>
            </w:r>
            <w:r>
              <w:rPr>
                <w:rStyle w:val="46"/>
                <w:rFonts w:hint="eastAsia"/>
                <w:b w:val="0"/>
                <w:bCs w:val="0"/>
                <w:color w:val="000000" w:themeColor="text1"/>
                <w:highlight w:val="none"/>
                <w14:textFill>
                  <w14:solidFill>
                    <w14:schemeClr w14:val="tx1"/>
                  </w14:solidFill>
                </w14:textFill>
              </w:rPr>
              <w:t>不</w:t>
            </w:r>
            <w:r>
              <w:rPr>
                <w:rFonts w:hint="eastAsia" w:ascii="宋体" w:hAnsi="宋体"/>
                <w:color w:val="000000" w:themeColor="text1"/>
                <w:sz w:val="24"/>
                <w:highlight w:val="none"/>
                <w14:textFill>
                  <w14:solidFill>
                    <w14:schemeClr w14:val="tx1"/>
                  </w14:solidFill>
                </w14:textFill>
              </w:rPr>
              <w:t>适用</w:t>
            </w:r>
          </w:p>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适用，具体如下：</w:t>
            </w:r>
          </w:p>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p>
          <w:p>
            <w:pPr>
              <w:widowControl w:val="0"/>
              <w:autoSpaceDE w:val="0"/>
              <w:spacing w:line="400" w:lineRule="exact"/>
              <w:jc w:val="both"/>
              <w:rPr>
                <w:rFonts w:ascii="黑体" w:hAnsi="黑体"/>
                <w:color w:val="000000" w:themeColor="text1"/>
                <w:highlight w:val="none"/>
                <w14:textFill>
                  <w14:solidFill>
                    <w14:schemeClr w14:val="tx1"/>
                  </w14:solidFill>
                </w14:textFill>
              </w:rPr>
            </w:pPr>
          </w:p>
        </w:tc>
        <w:tc>
          <w:tcPr>
            <w:tcW w:w="3285" w:type="dxa"/>
          </w:tcPr>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14:textFill>
                  <w14:solidFill>
                    <w14:schemeClr w14:val="tx1"/>
                  </w14:solidFill>
                </w14:textFill>
              </w:rPr>
              <w:sym w:font="Wingdings 2" w:char="0052"/>
            </w:r>
            <w:r>
              <w:rPr>
                <w:rFonts w:hint="eastAsia" w:ascii="宋体" w:hAnsi="宋体"/>
                <w:color w:val="000000" w:themeColor="text1"/>
                <w:sz w:val="24"/>
                <w:highlight w:val="none"/>
                <w14:textFill>
                  <w14:solidFill>
                    <w14:schemeClr w14:val="tx1"/>
                  </w14:solidFill>
                </w14:textFill>
              </w:rPr>
              <w:t>不适用</w:t>
            </w:r>
          </w:p>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适用，具体如下：</w:t>
            </w:r>
          </w:p>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p>
          <w:p>
            <w:pPr>
              <w:widowControl w:val="0"/>
              <w:autoSpaceDE w:val="0"/>
              <w:spacing w:line="400" w:lineRule="exact"/>
              <w:jc w:val="both"/>
              <w:rPr>
                <w:rFonts w:ascii="黑体" w:hAnsi="黑体"/>
                <w:color w:val="000000" w:themeColor="text1"/>
                <w:highlight w:val="none"/>
                <w14:textFill>
                  <w14:solidFill>
                    <w14:schemeClr w14:val="tx1"/>
                  </w14:solidFill>
                </w14:textFill>
              </w:rPr>
            </w:pPr>
          </w:p>
        </w:tc>
      </w:tr>
    </w:tbl>
    <w:p>
      <w:pPr>
        <w:pStyle w:val="5"/>
        <w:keepNext w:val="0"/>
        <w:keepLines w:val="0"/>
        <w:widowControl w:val="0"/>
        <w:adjustRightInd w:val="0"/>
        <w:snapToGrid w:val="0"/>
        <w:spacing w:after="0" w:line="312"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5.确定成交供应商的方法</w:t>
      </w:r>
    </w:p>
    <w:p>
      <w:pPr>
        <w:autoSpaceDE w:val="0"/>
        <w:spacing w:line="240" w:lineRule="auto"/>
        <w:ind w:firstLine="482" w:firstLineChars="200"/>
        <w:jc w:val="both"/>
        <w:rPr>
          <w:rStyle w:val="46"/>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5.1</w:t>
      </w:r>
      <w:r>
        <w:rPr>
          <w:rStyle w:val="46"/>
          <w:rFonts w:hint="eastAsia"/>
          <w:color w:val="000000" w:themeColor="text1"/>
          <w:highlight w:val="none"/>
          <w14:textFill>
            <w14:solidFill>
              <w14:schemeClr w14:val="tx1"/>
            </w14:solidFill>
          </w14:textFill>
        </w:rPr>
        <w:t>综合评分法</w:t>
      </w:r>
    </w:p>
    <w:p>
      <w:pPr>
        <w:autoSpaceDE w:val="0"/>
        <w:spacing w:line="240" w:lineRule="auto"/>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5.2</w:t>
      </w:r>
      <w:r>
        <w:rPr>
          <w:rFonts w:hint="eastAsia" w:ascii="宋体" w:hAnsi="宋体"/>
          <w:color w:val="000000" w:themeColor="text1"/>
          <w:sz w:val="24"/>
          <w:highlight w:val="none"/>
          <w14:textFill>
            <w14:solidFill>
              <w14:schemeClr w14:val="tx1"/>
            </w14:solidFill>
          </w14:textFill>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5"/>
        <w:keepNext w:val="0"/>
        <w:keepLines w:val="0"/>
        <w:widowControl w:val="0"/>
        <w:adjustRightInd w:val="0"/>
        <w:snapToGrid w:val="0"/>
        <w:spacing w:after="0" w:line="312"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6．最高投标限价</w:t>
      </w:r>
    </w:p>
    <w:p>
      <w:pPr>
        <w:autoSpaceDE w:val="0"/>
        <w:spacing w:line="400" w:lineRule="exact"/>
        <w:ind w:firstLine="482" w:firstLineChars="200"/>
        <w:jc w:val="both"/>
        <w:rPr>
          <w:rFonts w:ascii="宋体" w:hAnsi="宋体"/>
          <w:color w:val="000000" w:themeColor="text1"/>
          <w:sz w:val="24"/>
          <w:highlight w:val="none"/>
          <w14:textFill>
            <w14:solidFill>
              <w14:schemeClr w14:val="tx1"/>
            </w14:solidFill>
          </w14:textFill>
        </w:rPr>
      </w:pPr>
      <w:bookmarkStart w:id="2" w:name="_Toc40274970"/>
      <w:bookmarkStart w:id="3" w:name="_Toc38287094"/>
      <w:r>
        <w:rPr>
          <w:rFonts w:hint="eastAsia" w:ascii="宋体" w:hAnsi="宋体"/>
          <w:b/>
          <w:bCs/>
          <w:color w:val="000000" w:themeColor="text1"/>
          <w:sz w:val="24"/>
          <w:highlight w:val="none"/>
          <w14:textFill>
            <w14:solidFill>
              <w14:schemeClr w14:val="tx1"/>
            </w14:solidFill>
          </w14:textFill>
        </w:rPr>
        <w:t>6.1</w:t>
      </w:r>
      <w:r>
        <w:rPr>
          <w:rFonts w:hint="eastAsia" w:ascii="宋体" w:hAnsi="宋体"/>
          <w:color w:val="000000" w:themeColor="text1"/>
          <w:sz w:val="24"/>
          <w:highlight w:val="none"/>
          <w14:textFill>
            <w14:solidFill>
              <w14:schemeClr w14:val="tx1"/>
            </w14:solidFill>
          </w14:textFill>
        </w:rPr>
        <w:t>询价人为本次招标编制了最高投标限价，最高限价：</w:t>
      </w:r>
      <w:r>
        <w:rPr>
          <w:rFonts w:hint="eastAsia" w:ascii="宋体" w:hAnsi="宋体"/>
          <w:color w:val="000000" w:themeColor="text1"/>
          <w:sz w:val="24"/>
          <w:highlight w:val="none"/>
          <w:lang w:val="en-US" w:eastAsia="zh-CN"/>
          <w14:textFill>
            <w14:solidFill>
              <w14:schemeClr w14:val="tx1"/>
            </w14:solidFill>
          </w14:textFill>
        </w:rPr>
        <w:t>壹拾伍万</w:t>
      </w:r>
      <w:r>
        <w:rPr>
          <w:rFonts w:hint="eastAsia" w:ascii="宋体" w:hAnsi="宋体"/>
          <w:color w:val="000000" w:themeColor="text1"/>
          <w:sz w:val="24"/>
          <w:highlight w:val="none"/>
          <w14:textFill>
            <w14:solidFill>
              <w14:schemeClr w14:val="tx1"/>
            </w14:solidFill>
          </w14:textFill>
        </w:rPr>
        <w:t>元整 （小写：￥</w:t>
      </w:r>
      <w:r>
        <w:rPr>
          <w:rFonts w:hint="eastAsia" w:ascii="宋体" w:hAnsi="宋体"/>
          <w:color w:val="000000" w:themeColor="text1"/>
          <w:sz w:val="24"/>
          <w:highlight w:val="none"/>
          <w:lang w:val="en-US" w:eastAsia="zh-CN"/>
          <w14:textFill>
            <w14:solidFill>
              <w14:schemeClr w14:val="tx1"/>
            </w14:solidFill>
          </w14:textFill>
        </w:rPr>
        <w:t>15</w:t>
      </w:r>
      <w:r>
        <w:rPr>
          <w:rFonts w:hint="eastAsia" w:ascii="宋体" w:hAnsi="宋体"/>
          <w:color w:val="000000" w:themeColor="text1"/>
          <w:sz w:val="24"/>
          <w:highlight w:val="none"/>
          <w14:textFill>
            <w14:solidFill>
              <w14:schemeClr w14:val="tx1"/>
            </w14:solidFill>
          </w14:textFill>
        </w:rPr>
        <w:t>0000元）。</w:t>
      </w:r>
    </w:p>
    <w:p>
      <w:pPr>
        <w:autoSpaceDE w:val="0"/>
        <w:spacing w:line="400" w:lineRule="exact"/>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6.2</w:t>
      </w:r>
      <w:r>
        <w:rPr>
          <w:rFonts w:hint="eastAsia" w:ascii="宋体" w:hAnsi="宋体"/>
          <w:color w:val="000000" w:themeColor="text1"/>
          <w:sz w:val="24"/>
          <w:highlight w:val="none"/>
          <w14:textFill>
            <w14:solidFill>
              <w14:schemeClr w14:val="tx1"/>
            </w14:solidFill>
          </w14:textFill>
        </w:rPr>
        <w:t>报价人投标报价应不高于最高投标限价，否则其投标将被否决。</w:t>
      </w:r>
      <w:bookmarkEnd w:id="2"/>
      <w:bookmarkEnd w:id="3"/>
    </w:p>
    <w:p>
      <w:pPr>
        <w:autoSpaceDE w:val="0"/>
        <w:spacing w:line="400" w:lineRule="exact"/>
        <w:ind w:firstLine="482" w:firstLineChars="200"/>
        <w:jc w:val="both"/>
        <w:rPr>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6.3</w:t>
      </w:r>
      <w:r>
        <w:rPr>
          <w:rFonts w:hint="eastAsia" w:ascii="宋体" w:hAnsi="宋体"/>
          <w:color w:val="000000" w:themeColor="text1"/>
          <w:sz w:val="24"/>
          <w:highlight w:val="none"/>
          <w14:textFill>
            <w14:solidFill>
              <w14:schemeClr w14:val="tx1"/>
            </w14:solidFill>
          </w14:textFill>
        </w:rPr>
        <w:t>本次询价不接受联合体报价。</w:t>
      </w:r>
    </w:p>
    <w:p>
      <w:pPr>
        <w:pStyle w:val="5"/>
        <w:keepNext w:val="0"/>
        <w:keepLines w:val="0"/>
        <w:widowControl w:val="0"/>
        <w:adjustRightInd w:val="0"/>
        <w:snapToGrid w:val="0"/>
        <w:spacing w:after="0" w:line="312"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7.采购文件获取</w:t>
      </w:r>
    </w:p>
    <w:p>
      <w:pPr>
        <w:autoSpaceDE w:val="0"/>
        <w:spacing w:line="400" w:lineRule="exact"/>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7.1 </w:t>
      </w:r>
      <w:r>
        <w:rPr>
          <w:rFonts w:hint="eastAsia" w:ascii="宋体" w:hAnsi="宋体"/>
          <w:color w:val="000000" w:themeColor="text1"/>
          <w:sz w:val="24"/>
          <w:highlight w:val="none"/>
          <w14:textFill>
            <w14:solidFill>
              <w14:schemeClr w14:val="tx1"/>
            </w14:solidFill>
          </w14:textFill>
        </w:rPr>
        <w:t>供应商应当于</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3</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15</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u w:val="singl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时</w:t>
      </w:r>
      <w:r>
        <w:rPr>
          <w:rFonts w:hint="eastAsia" w:ascii="宋体" w:hAnsi="宋体"/>
          <w:color w:val="000000" w:themeColor="text1"/>
          <w:sz w:val="24"/>
          <w:highlight w:val="none"/>
          <w:u w:val="single"/>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分至</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3</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20</w:t>
      </w:r>
      <w:bookmarkStart w:id="24" w:name="_GoBack"/>
      <w:bookmarkEnd w:id="24"/>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上午</w:t>
      </w:r>
      <w:r>
        <w:rPr>
          <w:rFonts w:hint="eastAsia" w:ascii="宋体" w:hAnsi="宋体"/>
          <w:color w:val="000000" w:themeColor="text1"/>
          <w:sz w:val="24"/>
          <w:highlight w:val="none"/>
          <w:u w:val="single"/>
          <w14:textFill>
            <w14:solidFill>
              <w14:schemeClr w14:val="tx1"/>
            </w14:solidFill>
          </w14:textFill>
        </w:rPr>
        <w:t>1</w:t>
      </w:r>
      <w:r>
        <w:rPr>
          <w:rFonts w:hint="eastAsia" w:ascii="宋体" w:hAnsi="宋体"/>
          <w:color w:val="000000" w:themeColor="text1"/>
          <w:sz w:val="24"/>
          <w:highlight w:val="none"/>
          <w:u w:val="singl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时</w:t>
      </w:r>
      <w:r>
        <w:rPr>
          <w:rFonts w:hint="eastAsia" w:ascii="宋体" w:hAnsi="宋体"/>
          <w:color w:val="000000" w:themeColor="text1"/>
          <w:sz w:val="24"/>
          <w:highlight w:val="none"/>
          <w:u w:val="single"/>
          <w:lang w:val="en-US" w:eastAsia="zh-CN"/>
          <w14:textFill>
            <w14:solidFill>
              <w14:schemeClr w14:val="tx1"/>
            </w14:solidFill>
          </w14:textFill>
        </w:rPr>
        <w:t>0</w:t>
      </w:r>
      <w:r>
        <w:rPr>
          <w:rFonts w:hint="eastAsia" w:ascii="宋体" w:hAnsi="宋体"/>
          <w:color w:val="000000" w:themeColor="text1"/>
          <w:sz w:val="24"/>
          <w:highlight w:val="none"/>
          <w:u w:val="singl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分，</w:t>
      </w:r>
      <w:r>
        <w:rPr>
          <w:rFonts w:hint="eastAsia" w:ascii="宋体" w:hAnsi="宋体"/>
          <w:color w:val="000000" w:themeColor="text1"/>
          <w:sz w:val="24"/>
          <w:highlight w:val="none"/>
          <w:u w:val="single"/>
          <w14:textFill>
            <w14:solidFill>
              <w14:schemeClr w14:val="tx1"/>
            </w14:solidFill>
          </w14:textFill>
        </w:rPr>
        <w:t>网上直接下载</w:t>
      </w:r>
      <w:r>
        <w:rPr>
          <w:rFonts w:hint="eastAsia" w:ascii="宋体" w:hAnsi="宋体"/>
          <w:color w:val="000000" w:themeColor="text1"/>
          <w:sz w:val="24"/>
          <w:highlight w:val="none"/>
          <w14:textFill>
            <w14:solidFill>
              <w14:schemeClr w14:val="tx1"/>
            </w14:solidFill>
          </w14:textFill>
        </w:rPr>
        <w:t>获取采购文件，报价文件最迟应于</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3</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21</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上午</w:t>
      </w:r>
      <w:r>
        <w:rPr>
          <w:rFonts w:hint="eastAsia" w:ascii="宋体" w:hAnsi="宋体"/>
          <w:color w:val="000000" w:themeColor="text1"/>
          <w:sz w:val="24"/>
          <w:highlight w:val="none"/>
          <w:u w:val="single"/>
          <w14:textFill>
            <w14:solidFill>
              <w14:schemeClr w14:val="tx1"/>
            </w14:solidFill>
          </w14:textFill>
        </w:rPr>
        <w:t>1</w:t>
      </w:r>
      <w:r>
        <w:rPr>
          <w:rFonts w:hint="eastAsia" w:ascii="宋体" w:hAnsi="宋体"/>
          <w:color w:val="000000" w:themeColor="text1"/>
          <w:sz w:val="24"/>
          <w:highlight w:val="none"/>
          <w:u w:val="singl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时</w:t>
      </w:r>
      <w:r>
        <w:rPr>
          <w:rFonts w:hint="eastAsia" w:ascii="宋体" w:hAnsi="宋体"/>
          <w:color w:val="000000" w:themeColor="text1"/>
          <w:sz w:val="24"/>
          <w:highlight w:val="none"/>
          <w:u w:val="single"/>
          <w:lang w:val="en-US" w:eastAsia="zh-CN"/>
          <w14:textFill>
            <w14:solidFill>
              <w14:schemeClr w14:val="tx1"/>
            </w14:solidFill>
          </w14:textFill>
        </w:rPr>
        <w:t>0</w:t>
      </w:r>
      <w:r>
        <w:rPr>
          <w:rFonts w:hint="eastAsia" w:ascii="宋体" w:hAnsi="宋体"/>
          <w:color w:val="000000" w:themeColor="text1"/>
          <w:sz w:val="24"/>
          <w:highlight w:val="none"/>
          <w:u w:val="singl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分分送达</w:t>
      </w:r>
      <w:r>
        <w:rPr>
          <w:rFonts w:hint="eastAsia" w:ascii="宋体" w:hAnsi="宋体"/>
          <w:color w:val="000000" w:themeColor="text1"/>
          <w:sz w:val="24"/>
          <w:highlight w:val="none"/>
          <w:u w:val="single"/>
          <w14:textFill>
            <w14:solidFill>
              <w14:schemeClr w14:val="tx1"/>
            </w14:solidFill>
          </w14:textFill>
        </w:rPr>
        <w:t>湖南省港务集团有限公司工程管理部（岳阳市城陵矶新港信息大楼307室）</w:t>
      </w:r>
      <w:r>
        <w:rPr>
          <w:rFonts w:hint="eastAsia" w:ascii="宋体" w:hAnsi="宋体"/>
          <w:color w:val="000000" w:themeColor="text1"/>
          <w:sz w:val="24"/>
          <w:highlight w:val="none"/>
          <w14:textFill>
            <w14:solidFill>
              <w14:schemeClr w14:val="tx1"/>
            </w14:solidFill>
          </w14:textFill>
        </w:rPr>
        <w:t>，逾期送达的或者未送达指定地点的文件，不予受理。</w:t>
      </w:r>
    </w:p>
    <w:p>
      <w:pPr>
        <w:autoSpaceDE w:val="0"/>
        <w:spacing w:line="400" w:lineRule="exact"/>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7.2 </w:t>
      </w:r>
      <w:r>
        <w:rPr>
          <w:rFonts w:hint="eastAsia" w:ascii="宋体" w:hAnsi="宋体"/>
          <w:color w:val="000000" w:themeColor="text1"/>
          <w:sz w:val="24"/>
          <w:highlight w:val="none"/>
          <w14:textFill>
            <w14:solidFill>
              <w14:schemeClr w14:val="tx1"/>
            </w14:solidFill>
          </w14:textFill>
        </w:rPr>
        <w:t>供应商若对本项目采购需求、资格要求等有疑问的，应当于</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18</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u w:val="single"/>
          <w14:textFill>
            <w14:solidFill>
              <w14:schemeClr w14:val="tx1"/>
            </w14:solidFill>
          </w14:textFill>
        </w:rPr>
        <w:t>17</w:t>
      </w:r>
      <w:r>
        <w:rPr>
          <w:rFonts w:hint="eastAsia" w:ascii="宋体" w:hAnsi="宋体"/>
          <w:color w:val="000000" w:themeColor="text1"/>
          <w:sz w:val="24"/>
          <w:highlight w:val="none"/>
          <w14:textFill>
            <w14:solidFill>
              <w14:schemeClr w14:val="tx1"/>
            </w14:solidFill>
          </w14:textFill>
        </w:rPr>
        <w:t>时</w:t>
      </w:r>
      <w:r>
        <w:rPr>
          <w:rFonts w:hint="eastAsia" w:ascii="宋体" w:hAnsi="宋体"/>
          <w:color w:val="000000" w:themeColor="text1"/>
          <w:sz w:val="24"/>
          <w:highlight w:val="none"/>
          <w:u w:val="single"/>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分前向采购人提出澄清要求。</w:t>
      </w:r>
    </w:p>
    <w:p>
      <w:pPr>
        <w:pStyle w:val="5"/>
        <w:keepNext w:val="0"/>
        <w:keepLines w:val="0"/>
        <w:widowControl w:val="0"/>
        <w:adjustRightInd w:val="0"/>
        <w:snapToGrid w:val="0"/>
        <w:spacing w:after="0" w:line="312"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8.发布公告的媒介</w:t>
      </w:r>
    </w:p>
    <w:p>
      <w:pPr>
        <w:widowControl w:val="0"/>
        <w:spacing w:line="312" w:lineRule="auto"/>
        <w:ind w:firstLine="480" w:firstLineChars="200"/>
        <w:jc w:val="both"/>
        <w:rPr>
          <w:rFonts w:ascii="宋体" w:hAnsi="宋体" w:cs="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本次采购公告</w:t>
      </w:r>
      <w:r>
        <w:rPr>
          <w:rFonts w:hint="eastAsia" w:ascii="宋体" w:hAnsi="宋体"/>
          <w:color w:val="000000" w:themeColor="text1"/>
          <w:sz w:val="24"/>
          <w:highlight w:val="none"/>
          <w14:textFill>
            <w14:solidFill>
              <w14:schemeClr w14:val="tx1"/>
            </w14:solidFill>
          </w14:textFill>
        </w:rPr>
        <w:t>发布的媒介:</w:t>
      </w:r>
      <w:r>
        <w:rPr>
          <w:rFonts w:hint="eastAsia" w:ascii="宋体" w:hAnsi="宋体" w:cs="宋体"/>
          <w:color w:val="000000" w:themeColor="text1"/>
          <w:sz w:val="24"/>
          <w:highlight w:val="none"/>
          <w14:textFill>
            <w14:solidFill>
              <w14:schemeClr w14:val="tx1"/>
            </w14:solidFill>
          </w14:textFill>
        </w:rPr>
        <w:t xml:space="preserve"> 中国招标投标公共服务平台（http：//www.cebpubservice.com）、湖南省港航水利集团有限公司网站（http：//www.hnsxsjt.com）、</w:t>
      </w:r>
      <w:r>
        <w:rPr>
          <w:rFonts w:hint="eastAsia" w:ascii="宋体" w:hAnsi="宋体" w:cs="宋体"/>
          <w:color w:val="000000" w:themeColor="text1"/>
          <w:sz w:val="24"/>
          <w:highlight w:val="none"/>
          <w:u w:val="single"/>
          <w14:textFill>
            <w14:solidFill>
              <w14:schemeClr w14:val="tx1"/>
            </w14:solidFill>
          </w14:textFill>
        </w:rPr>
        <w:t xml:space="preserve">                                   湖南省港务集团有限公司</w:t>
      </w:r>
      <w:r>
        <w:rPr>
          <w:rFonts w:hint="eastAsia" w:ascii="宋体" w:hAnsi="宋体" w:cs="宋体"/>
          <w:color w:val="000000" w:themeColor="text1"/>
          <w:sz w:val="24"/>
          <w:highlight w:val="none"/>
          <w14:textFill>
            <w14:solidFill>
              <w14:schemeClr w14:val="tx1"/>
            </w14:solidFill>
          </w14:textFill>
        </w:rPr>
        <w:t>（http://www.hnsgwjt.com）上发布。</w:t>
      </w:r>
    </w:p>
    <w:p>
      <w:pPr>
        <w:pStyle w:val="5"/>
        <w:jc w:val="both"/>
        <w:rPr>
          <w:color w:val="000000" w:themeColor="text1"/>
          <w:highlight w:val="none"/>
          <w14:textFill>
            <w14:solidFill>
              <w14:schemeClr w14:val="tx1"/>
            </w14:solidFill>
          </w14:textFill>
        </w:rPr>
      </w:pPr>
      <w:bookmarkStart w:id="4" w:name="_Toc512257471"/>
      <w:bookmarkStart w:id="5" w:name="_Toc77254104"/>
      <w:bookmarkStart w:id="6" w:name="_Toc76635692"/>
      <w:bookmarkStart w:id="7" w:name="_Toc79596547"/>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监督</w:t>
      </w:r>
      <w:bookmarkEnd w:id="4"/>
      <w:bookmarkEnd w:id="5"/>
      <w:bookmarkEnd w:id="6"/>
      <w:r>
        <w:rPr>
          <w:rFonts w:hint="eastAsia"/>
          <w:color w:val="000000" w:themeColor="text1"/>
          <w:highlight w:val="none"/>
          <w14:textFill>
            <w14:solidFill>
              <w14:schemeClr w14:val="tx1"/>
            </w14:solidFill>
          </w14:textFill>
        </w:rPr>
        <w:t>部门</w:t>
      </w:r>
      <w:bookmarkEnd w:id="7"/>
    </w:p>
    <w:p>
      <w:pPr>
        <w:widowControl w:val="0"/>
        <w:spacing w:line="312" w:lineRule="auto"/>
        <w:ind w:firstLine="480" w:firstLineChars="200"/>
        <w:jc w:val="both"/>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本次采购监督部门为湖南省港务集团纪检监察部 ，电话： </w:t>
      </w:r>
      <w:r>
        <w:rPr>
          <w:rFonts w:hint="eastAsia" w:ascii="宋体" w:hAnsi="宋体"/>
          <w:bCs/>
          <w:color w:val="000000" w:themeColor="text1"/>
          <w:sz w:val="24"/>
          <w:highlight w:val="none"/>
          <w:lang w:val="zh-CN"/>
          <w14:textFill>
            <w14:solidFill>
              <w14:schemeClr w14:val="tx1"/>
            </w14:solidFill>
          </w14:textFill>
        </w:rPr>
        <w:t>0730-8426255</w:t>
      </w:r>
      <w:r>
        <w:rPr>
          <w:rFonts w:hint="eastAsia" w:ascii="宋体" w:hAnsi="宋体"/>
          <w:bCs/>
          <w:color w:val="000000" w:themeColor="text1"/>
          <w:sz w:val="24"/>
          <w:highlight w:val="none"/>
          <w14:textFill>
            <w14:solidFill>
              <w14:schemeClr w14:val="tx1"/>
            </w14:solidFill>
          </w14:textFill>
        </w:rPr>
        <w:t xml:space="preserve"> 。</w:t>
      </w:r>
    </w:p>
    <w:p>
      <w:pPr>
        <w:pStyle w:val="5"/>
        <w:jc w:val="both"/>
        <w:rPr>
          <w:rFonts w:ascii="Arial" w:hAnsi="Arial"/>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ascii="黑体" w:hAnsi="黑体"/>
          <w:color w:val="000000" w:themeColor="text1"/>
          <w:highlight w:val="none"/>
          <w14:textFill>
            <w14:solidFill>
              <w14:schemeClr w14:val="tx1"/>
            </w14:solidFill>
          </w14:textFill>
        </w:rPr>
        <w:t>联系方式</w:t>
      </w:r>
    </w:p>
    <w:p>
      <w:pPr>
        <w:autoSpaceDE w:val="0"/>
        <w:spacing w:line="400" w:lineRule="exact"/>
        <w:ind w:firstLine="240" w:firstLineChars="1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 购 人:</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湖南省港务集团</w:t>
      </w:r>
      <w:r>
        <w:rPr>
          <w:rFonts w:hint="eastAsia" w:ascii="宋体" w:hAnsi="宋体"/>
          <w:color w:val="000000" w:themeColor="text1"/>
          <w:sz w:val="24"/>
          <w:highlight w:val="none"/>
          <w:u w:val="single"/>
          <w14:textFill>
            <w14:solidFill>
              <w14:schemeClr w14:val="tx1"/>
            </w14:solidFill>
          </w14:textFill>
        </w:rPr>
        <w:t>有限公司</w:t>
      </w:r>
    </w:p>
    <w:p>
      <w:pPr>
        <w:autoSpaceDE w:val="0"/>
        <w:spacing w:line="400" w:lineRule="exact"/>
        <w:ind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湖南省岳阳市城陵矶新港有限公司办公楼307室</w:t>
      </w:r>
    </w:p>
    <w:p>
      <w:pPr>
        <w:autoSpaceDE w:val="0"/>
        <w:spacing w:line="400" w:lineRule="exact"/>
        <w:ind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 系 人:</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刘女士                     </w:t>
      </w:r>
    </w:p>
    <w:p>
      <w:pPr>
        <w:autoSpaceDE w:val="0"/>
        <w:spacing w:line="400" w:lineRule="exact"/>
        <w:ind w:firstLine="240" w:firstLineChars="100"/>
        <w:rPr>
          <w:rFonts w:eastAsiaTheme="minorEastAsia"/>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电    话: </w:t>
      </w:r>
      <w:r>
        <w:rPr>
          <w:rFonts w:hint="eastAsia"/>
          <w:color w:val="000000" w:themeColor="text1"/>
          <w:sz w:val="24"/>
          <w:highlight w:val="none"/>
          <w:u w:val="single"/>
          <w14:textFill>
            <w14:solidFill>
              <w14:schemeClr w14:val="tx1"/>
            </w14:solidFill>
          </w14:textFill>
        </w:rPr>
        <w:t>0730-8426237</w:t>
      </w:r>
    </w:p>
    <w:p>
      <w:pPr>
        <w:spacing w:line="240" w:lineRule="auto"/>
        <w:jc w:val="both"/>
        <w:rPr>
          <w:rFonts w:ascii="黑体" w:hAnsi="黑体" w:eastAsia="黑体"/>
          <w:color w:val="000000" w:themeColor="text1"/>
          <w:sz w:val="32"/>
          <w:szCs w:val="32"/>
          <w:highlight w:val="none"/>
          <w14:textFill>
            <w14:solidFill>
              <w14:schemeClr w14:val="tx1"/>
            </w14:solidFill>
          </w14:textFill>
        </w:rPr>
      </w:pPr>
      <w:bookmarkStart w:id="8" w:name="_Toc517787494"/>
      <w:bookmarkStart w:id="9" w:name="_Toc234832861"/>
    </w:p>
    <w:p>
      <w:pPr>
        <w:spacing w:line="240" w:lineRule="auto"/>
        <w:jc w:val="center"/>
        <w:rPr>
          <w:rFonts w:ascii="黑体" w:hAnsi="黑体" w:eastAsia="黑体"/>
          <w:color w:val="000000" w:themeColor="text1"/>
          <w:sz w:val="32"/>
          <w:szCs w:val="32"/>
          <w:highlight w:val="none"/>
          <w14:textFill>
            <w14:solidFill>
              <w14:schemeClr w14:val="tx1"/>
            </w14:solidFill>
          </w14:textFill>
        </w:rPr>
      </w:pPr>
    </w:p>
    <w:p>
      <w:pPr>
        <w:spacing w:line="240" w:lineRule="auto"/>
        <w:jc w:val="center"/>
        <w:rPr>
          <w:rFonts w:ascii="黑体" w:hAnsi="黑体" w:eastAsia="黑体"/>
          <w:color w:val="000000" w:themeColor="text1"/>
          <w:sz w:val="32"/>
          <w:szCs w:val="32"/>
          <w:highlight w:val="none"/>
          <w14:textFill>
            <w14:solidFill>
              <w14:schemeClr w14:val="tx1"/>
            </w14:solidFill>
          </w14:textFill>
        </w:rPr>
      </w:pPr>
    </w:p>
    <w:p>
      <w:pPr>
        <w:spacing w:line="240" w:lineRule="auto"/>
        <w:jc w:val="both"/>
        <w:rPr>
          <w:rFonts w:ascii="黑体" w:hAnsi="黑体" w:eastAsia="黑体"/>
          <w:color w:val="000000" w:themeColor="text1"/>
          <w:sz w:val="32"/>
          <w:szCs w:val="32"/>
          <w:highlight w:val="none"/>
          <w14:textFill>
            <w14:solidFill>
              <w14:schemeClr w14:val="tx1"/>
            </w14:solidFill>
          </w14:textFill>
        </w:rPr>
      </w:pPr>
    </w:p>
    <w:p>
      <w:pPr>
        <w:spacing w:line="24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第二章  供应商须知</w:t>
      </w:r>
      <w:bookmarkEnd w:id="8"/>
      <w:bookmarkEnd w:id="9"/>
    </w:p>
    <w:p>
      <w:pPr>
        <w:pStyle w:val="4"/>
        <w:spacing w:before="240" w:after="240" w:line="600" w:lineRule="exact"/>
        <w:jc w:val="both"/>
        <w:rPr>
          <w:rFonts w:ascii="仿宋" w:hAnsi="仿宋" w:eastAsia="仿宋" w:cs="仿宋"/>
          <w:color w:val="000000" w:themeColor="text1"/>
          <w:sz w:val="30"/>
          <w:szCs w:val="30"/>
          <w:highlight w:val="none"/>
          <w14:textFill>
            <w14:solidFill>
              <w14:schemeClr w14:val="tx1"/>
            </w14:solidFill>
          </w14:textFill>
        </w:rPr>
      </w:pPr>
      <w:bookmarkStart w:id="10" w:name="_Toc234832862"/>
      <w:bookmarkStart w:id="11" w:name="_Toc517787495"/>
      <w:r>
        <w:rPr>
          <w:rFonts w:hint="eastAsia" w:ascii="仿宋" w:hAnsi="仿宋" w:eastAsia="仿宋" w:cs="仿宋"/>
          <w:color w:val="000000" w:themeColor="text1"/>
          <w:sz w:val="30"/>
          <w:szCs w:val="30"/>
          <w:highlight w:val="none"/>
          <w14:textFill>
            <w14:solidFill>
              <w14:schemeClr w14:val="tx1"/>
            </w14:solidFill>
          </w14:textFill>
        </w:rPr>
        <w:t>供应商须知前附表</w:t>
      </w:r>
      <w:bookmarkEnd w:id="10"/>
      <w:bookmarkEnd w:id="11"/>
    </w:p>
    <w:tbl>
      <w:tblPr>
        <w:tblStyle w:val="43"/>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4"/>
                <w:highlight w:val="none"/>
                <w14:textFill>
                  <w14:solidFill>
                    <w14:schemeClr w14:val="tx1"/>
                  </w14:solidFill>
                </w14:textFill>
              </w:rPr>
              <w:t>询价</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□竞争性谈判</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□单一来源</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□直接采购</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sym w:font="Wingdings 2" w:char="00A3"/>
            </w:r>
            <w:r>
              <w:rPr>
                <w:rFonts w:hint="eastAsia" w:cs="仿宋" w:asciiTheme="minorEastAsia" w:hAnsiTheme="minorEastAsia" w:eastAsiaTheme="minorEastAsia"/>
                <w:color w:val="000000" w:themeColor="text1"/>
                <w:sz w:val="24"/>
                <w:highlight w:val="none"/>
                <w14:textFill>
                  <w14:solidFill>
                    <w14:schemeClr w14:val="tx1"/>
                  </w14:solidFill>
                </w14:textFill>
              </w:rPr>
              <w:t>最低价法（同质比价法和同价比质法）</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4"/>
                <w:highlight w:val="none"/>
                <w14:textFill>
                  <w14:solidFill>
                    <w14:schemeClr w14:val="tx1"/>
                  </w14:solidFill>
                </w14:textFill>
              </w:rPr>
              <w:t>综合评分法（性价比法）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4"/>
                <w:highlight w:val="none"/>
                <w14:textFill>
                  <w14:solidFill>
                    <w14:schemeClr w14:val="tx1"/>
                  </w14:solidFill>
                </w14:textFill>
              </w:rPr>
              <w:t>不组织</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□组织，踏勘时间：              </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踏勘集中地点：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4"/>
                <w:highlight w:val="none"/>
                <w14:textFill>
                  <w14:solidFill>
                    <w14:schemeClr w14:val="tx1"/>
                  </w14:solidFill>
                </w14:textFill>
              </w:rPr>
              <w:t>不召开</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□召开，召开时间：              </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召开地点：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不得分包的内容：不允许分包</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对分包供应商的要求：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允许偏差的范围：不允许重大偏差，允许细微偏差</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截止时间：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18</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u w:val="single"/>
                <w14:textFill>
                  <w14:solidFill>
                    <w14:schemeClr w14:val="tx1"/>
                  </w14:solidFill>
                </w14:textFill>
              </w:rPr>
              <w:t>17</w:t>
            </w:r>
            <w:r>
              <w:rPr>
                <w:rFonts w:hint="eastAsia" w:ascii="宋体" w:hAnsi="宋体"/>
                <w:color w:val="000000" w:themeColor="text1"/>
                <w:sz w:val="24"/>
                <w:highlight w:val="none"/>
                <w14:textFill>
                  <w14:solidFill>
                    <w14:schemeClr w14:val="tx1"/>
                  </w14:solidFill>
                </w14:textFill>
              </w:rPr>
              <w:t>时</w:t>
            </w:r>
            <w:r>
              <w:rPr>
                <w:rFonts w:hint="eastAsia" w:ascii="宋体" w:hAnsi="宋体"/>
                <w:color w:val="000000" w:themeColor="text1"/>
                <w:sz w:val="24"/>
                <w:highlight w:val="none"/>
                <w:u w:val="single"/>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分前</w:t>
            </w: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确认的最晚时间：202</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cs="仿宋" w:asciiTheme="minorEastAsia" w:hAnsiTheme="minorEastAsia" w:eastAsiaTheme="minorEastAsia"/>
                <w:color w:val="000000" w:themeColor="text1"/>
                <w:sz w:val="24"/>
                <w:highlight w:val="none"/>
                <w14:textFill>
                  <w14:solidFill>
                    <w14:schemeClr w14:val="tx1"/>
                  </w14:solidFill>
                </w14:textFill>
              </w:rPr>
              <w:t>年</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月2</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cs="仿宋" w:asciiTheme="minorEastAsia" w:hAnsiTheme="minorEastAsia" w:eastAsiaTheme="minorEastAsia"/>
                <w:color w:val="000000" w:themeColor="text1"/>
                <w:sz w:val="24"/>
                <w:highlight w:val="none"/>
                <w14:textFill>
                  <w14:solidFill>
                    <w14:schemeClr w14:val="tx1"/>
                  </w14:solidFill>
                </w14:textFill>
              </w:rPr>
              <w:t>日</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上午</w:t>
            </w:r>
            <w:r>
              <w:rPr>
                <w:rFonts w:hint="eastAsia" w:cs="仿宋" w:asciiTheme="minorEastAsia" w:hAnsiTheme="minorEastAsia" w:eastAsiaTheme="minorEastAsia"/>
                <w:color w:val="000000" w:themeColor="text1"/>
                <w:sz w:val="24"/>
                <w:highlight w:val="none"/>
                <w14:textFill>
                  <w14:solidFill>
                    <w14:schemeClr w14:val="tx1"/>
                  </w14:solidFill>
                </w14:textFill>
              </w:rPr>
              <w:t>1</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cs="仿宋" w:asciiTheme="minorEastAsia" w:hAnsiTheme="minorEastAsia" w:eastAsiaTheme="minorEastAsia"/>
                <w:color w:val="000000" w:themeColor="text1"/>
                <w:sz w:val="24"/>
                <w:highlight w:val="none"/>
                <w14:textFill>
                  <w14:solidFill>
                    <w14:schemeClr w14:val="tx1"/>
                  </w14:solidFill>
                </w14:textFill>
              </w:rPr>
              <w:t>时</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0</w:t>
            </w:r>
            <w:r>
              <w:rPr>
                <w:rFonts w:hint="eastAsia" w:cs="仿宋" w:asciiTheme="minorEastAsia" w:hAnsiTheme="minorEastAsia" w:eastAsiaTheme="minorEastAsia"/>
                <w:color w:val="000000" w:themeColor="text1"/>
                <w:sz w:val="24"/>
                <w:highlight w:val="none"/>
                <w14:textFill>
                  <w14:solidFill>
                    <w14:schemeClr w14:val="tx1"/>
                  </w14:solidFill>
                </w14:textFill>
              </w:rPr>
              <w:t>0分。</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确定的方式：收到纸质版文件为准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□无</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4"/>
                <w:highlight w:val="none"/>
                <w14:textFill>
                  <w14:solidFill>
                    <w14:schemeClr w14:val="tx1"/>
                  </w14:solidFill>
                </w14:textFill>
              </w:rPr>
              <w:t>有，最高限价：</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15</w:t>
            </w:r>
            <w:r>
              <w:rPr>
                <w:rFonts w:hint="eastAsia" w:cs="仿宋" w:asciiTheme="minorEastAsia" w:hAnsiTheme="minorEastAsia" w:eastAsiaTheme="minorEastAsia"/>
                <w:color w:val="000000" w:themeColor="text1"/>
                <w:sz w:val="24"/>
                <w:highlight w:val="none"/>
                <w14:textFill>
                  <w14:solidFill>
                    <w14:schemeClr w14:val="tx1"/>
                  </w14:solidFill>
                </w14:textFill>
              </w:rPr>
              <w:t>万元</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4"/>
                <w:highlight w:val="none"/>
                <w14:textFill>
                  <w14:solidFill>
                    <w14:schemeClr w14:val="tx1"/>
                  </w14:solidFill>
                </w14:textFill>
              </w:rPr>
              <w:t>不要求递交</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□要求递交，</w:t>
            </w:r>
          </w:p>
          <w:p>
            <w:pPr>
              <w:spacing w:line="288" w:lineRule="auto"/>
              <w:ind w:firstLine="360" w:firstLineChars="15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保证金的金额：              </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保证金的形式：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color w:val="000000" w:themeColor="text1"/>
                <w:sz w:val="24"/>
                <w:highlight w:val="none"/>
                <w14:textFill>
                  <w14:solidFill>
                    <w14:schemeClr w14:val="tx1"/>
                  </w14:solidFill>
                </w14:textFill>
              </w:rPr>
            </w:pPr>
            <w:r>
              <w:rPr>
                <w:rStyle w:val="46"/>
                <w:rFonts w:hint="eastAsia" w:asciiTheme="minorEastAsia" w:hAnsiTheme="minorEastAsia" w:eastAsiaTheme="minorEastAsia"/>
                <w:b w:val="0"/>
                <w:color w:val="000000" w:themeColor="text1"/>
                <w:sz w:val="24"/>
                <w:highlight w:val="none"/>
                <w14:textFill>
                  <w14:solidFill>
                    <w14:schemeClr w14:val="tx1"/>
                  </w14:solidFill>
                </w14:textFill>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A3"/>
            </w:r>
            <w:r>
              <w:rPr>
                <w:rFonts w:hint="eastAsia" w:cs="宋体" w:asciiTheme="minorEastAsia" w:hAnsiTheme="minorEastAsia" w:eastAsiaTheme="minorEastAsia"/>
                <w:color w:val="000000" w:themeColor="text1"/>
                <w:sz w:val="24"/>
                <w:highlight w:val="none"/>
                <w14:textFill>
                  <w14:solidFill>
                    <w14:schemeClr w14:val="tx1"/>
                  </w14:solidFill>
                </w14:textFill>
              </w:rPr>
              <w:t>不适用。</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适用。供应商在中华人民共和国境内注册。持有有效的营业执照（或事业单位法人证书），并具有独立法人资格。需提供法人营业执照(或事业单位法人证书)复印件（并加盖单位章）。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Style w:val="46"/>
                <w:rFonts w:hint="eastAsia" w:asciiTheme="minorEastAsia" w:hAnsiTheme="minorEastAsia" w:eastAsiaTheme="minorEastAsia"/>
                <w:b w:val="0"/>
                <w:color w:val="000000" w:themeColor="text1"/>
                <w:sz w:val="24"/>
                <w:highlight w:val="none"/>
                <w14:textFill>
                  <w14:solidFill>
                    <w14:schemeClr w14:val="tx1"/>
                  </w14:solidFill>
                </w14:textFill>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4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不适用</w:t>
            </w:r>
          </w:p>
          <w:p>
            <w:pPr>
              <w:spacing w:line="24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A3"/>
            </w:r>
            <w:r>
              <w:rPr>
                <w:rFonts w:hint="eastAsia" w:cs="宋体" w:asciiTheme="minorEastAsia" w:hAnsiTheme="minorEastAsia" w:eastAsiaTheme="minorEastAsia"/>
                <w:color w:val="000000" w:themeColor="text1"/>
                <w:sz w:val="24"/>
                <w:highlight w:val="none"/>
                <w14:textFill>
                  <w14:solidFill>
                    <w14:schemeClr w14:val="tx1"/>
                  </w14:solidFill>
                </w14:textFill>
              </w:rPr>
              <w:t>适用。供应商应在人员、设备、资金等方面具有相应的承揽能力；（提供资质证书复印件）。</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color w:val="000000" w:themeColor="text1"/>
                <w:sz w:val="24"/>
                <w:highlight w:val="none"/>
                <w14:textFill>
                  <w14:solidFill>
                    <w14:schemeClr w14:val="tx1"/>
                  </w14:solidFill>
                </w14:textFill>
              </w:rPr>
            </w:pPr>
            <w:r>
              <w:rPr>
                <w:rStyle w:val="46"/>
                <w:rFonts w:hint="eastAsia" w:asciiTheme="minorEastAsia" w:hAnsiTheme="minorEastAsia" w:eastAsiaTheme="minorEastAsia"/>
                <w:b w:val="0"/>
                <w:color w:val="000000" w:themeColor="text1"/>
                <w:sz w:val="24"/>
                <w:highlight w:val="none"/>
                <w14:textFill>
                  <w14:solidFill>
                    <w14:schemeClr w14:val="tx1"/>
                  </w14:solidFill>
                </w14:textFill>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不适用</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适用。供应商应提供经会计师事务所或审计机构审计的近年财务会计报表复印件，包括资产负债表，现金流量表、利润表等。近年财务会计报表年份是指：至年（供应商的成立时间少于该规定年份的，应提供成立以来的财务会计报表）</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□适用。供应商应提供近年财务会计报表复印件，包括资产负债表，现金流量表、利润表等。近年财务会计报表年份是指：至年（供应商的成立时间少于该规定年份的，应提供成立以来的财务会计报表）</w:t>
            </w:r>
          </w:p>
          <w:p>
            <w:pPr>
              <w:spacing w:line="288" w:lineRule="auto"/>
              <w:jc w:val="both"/>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（注：有财务要求的，应选择两种财务会计报表中的一种作为财务证明资料。）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□不适用</w:t>
            </w:r>
          </w:p>
          <w:p>
            <w:pPr>
              <w:spacing w:line="288" w:lineRule="auto"/>
              <w:jc w:val="both"/>
              <w:rPr>
                <w:rFonts w:cs="宋体" w:asciiTheme="minorEastAsia" w:hAnsiTheme="minorEastAsia" w:eastAsiaTheme="minorEastAsia"/>
                <w:color w:val="000000" w:themeColor="text1"/>
                <w:sz w:val="24"/>
                <w:highlight w:val="none"/>
                <w:u w:val="single"/>
                <w:shd w:val="clear" w:color="auto" w:fill="00B0F0"/>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适用。供应商近3年内完成过1个或以上</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水土流失监测或水土保持方案编制</w:t>
            </w:r>
            <w:r>
              <w:rPr>
                <w:rFonts w:hint="eastAsia" w:cs="宋体" w:asciiTheme="minorEastAsia" w:hAnsiTheme="minorEastAsia" w:eastAsiaTheme="minorEastAsia"/>
                <w:color w:val="000000" w:themeColor="text1"/>
                <w:sz w:val="24"/>
                <w:highlight w:val="none"/>
                <w14:textFill>
                  <w14:solidFill>
                    <w14:schemeClr w14:val="tx1"/>
                  </w14:solidFill>
                </w14:textFill>
              </w:rPr>
              <w:t>服务业绩</w:t>
            </w:r>
            <w:r>
              <w:rPr>
                <w:rFonts w:hint="eastAsia" w:cs="宋体" w:asciiTheme="minorEastAsia" w:hAnsiTheme="minorEastAsia" w:eastAsiaTheme="minorEastAsia"/>
                <w:color w:val="000000" w:themeColor="text1"/>
                <w:sz w:val="24"/>
                <w:highlight w:val="none"/>
                <w:shd w:val="clear" w:color="auto" w:fill="00B0F0"/>
                <w14:textFill>
                  <w14:solidFill>
                    <w14:schemeClr w14:val="tx1"/>
                  </w14:solidFill>
                </w14:textFill>
              </w:rPr>
              <w:t>。</w:t>
            </w:r>
            <w:r>
              <w:rPr>
                <w:rFonts w:hint="eastAsia" w:cs="宋体" w:asciiTheme="minorEastAsia" w:hAnsiTheme="minorEastAsia" w:eastAsiaTheme="minorEastAsia"/>
                <w:color w:val="000000" w:themeColor="text1"/>
                <w:sz w:val="24"/>
                <w:highlight w:val="none"/>
                <w:shd w:val="clear" w:color="auto" w:fill="00B0F0"/>
                <w:lang w:val="en-US" w:eastAsia="zh-CN"/>
                <w14:textFill>
                  <w14:solidFill>
                    <w14:schemeClr w14:val="tx1"/>
                  </w14:solidFill>
                </w14:textFill>
              </w:rPr>
              <w:t>业绩时间以合同签订日期为准。</w:t>
            </w:r>
            <w:r>
              <w:rPr>
                <w:rFonts w:hint="eastAsia" w:cs="宋体" w:asciiTheme="minorEastAsia" w:hAnsiTheme="minorEastAsia" w:eastAsiaTheme="minorEastAsia"/>
                <w:color w:val="000000" w:themeColor="text1"/>
                <w:sz w:val="24"/>
                <w:highlight w:val="none"/>
                <w:shd w:val="clear" w:color="auto" w:fill="00B0F0"/>
                <w14:textFill>
                  <w14:solidFill>
                    <w14:schemeClr w14:val="tx1"/>
                  </w14:solidFill>
                </w14:textFill>
              </w:rPr>
              <w:t>供应商应提供近年的类似项目情况表（格式见第六章“响应文件格式”</w:t>
            </w:r>
            <w:r>
              <w:rPr>
                <w:rFonts w:hint="eastAsia" w:cs="宋体" w:asciiTheme="minorEastAsia" w:hAnsiTheme="minorEastAsia" w:eastAsiaTheme="minorEastAsia"/>
                <w:color w:val="000000" w:themeColor="text1"/>
                <w:sz w:val="24"/>
                <w:highlight w:val="none"/>
                <w:shd w:val="clear" w:color="auto" w:fill="00B0F0"/>
                <w:lang w:val="en-US" w:eastAsia="zh-CN"/>
                <w14:textFill>
                  <w14:solidFill>
                    <w14:schemeClr w14:val="tx1"/>
                  </w14:solidFill>
                </w14:textFill>
              </w:rPr>
              <w:t>五</w:t>
            </w:r>
            <w:r>
              <w:rPr>
                <w:rFonts w:hint="eastAsia" w:cs="宋体" w:asciiTheme="minorEastAsia" w:hAnsiTheme="minorEastAsia" w:eastAsiaTheme="minorEastAsia"/>
                <w:color w:val="000000" w:themeColor="text1"/>
                <w:sz w:val="24"/>
                <w:highlight w:val="none"/>
                <w:shd w:val="clear" w:color="auto" w:fill="00B0F0"/>
                <w14:textFill>
                  <w14:solidFill>
                    <w14:schemeClr w14:val="tx1"/>
                  </w14:solidFill>
                </w14:textFill>
              </w:rPr>
              <w:t>、资格审查资料（三）近年的类似项目情况表），以证明供应商具有承担本项目要求的业绩。近</w:t>
            </w:r>
            <w:r>
              <w:rPr>
                <w:rFonts w:hint="eastAsia" w:cs="宋体" w:asciiTheme="minorEastAsia" w:hAnsiTheme="minorEastAsia" w:eastAsiaTheme="minorEastAsia"/>
                <w:color w:val="000000" w:themeColor="text1"/>
                <w:sz w:val="24"/>
                <w:highlight w:val="none"/>
                <w:shd w:val="clear" w:color="auto" w:fill="00B0F0"/>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highlight w:val="none"/>
                <w:shd w:val="clear" w:color="auto" w:fill="00B0F0"/>
                <w14:textFill>
                  <w14:solidFill>
                    <w14:schemeClr w14:val="tx1"/>
                  </w14:solidFill>
                </w14:textFill>
              </w:rPr>
              <w:t>年是指</w:t>
            </w:r>
            <w:r>
              <w:rPr>
                <w:rFonts w:hint="eastAsia" w:cs="宋体" w:asciiTheme="minorEastAsia" w:hAnsiTheme="minorEastAsia" w:eastAsiaTheme="minorEastAsia"/>
                <w:color w:val="000000" w:themeColor="text1"/>
                <w:sz w:val="24"/>
                <w:highlight w:val="none"/>
                <w:u w:val="single"/>
                <w:shd w:val="clear" w:color="auto" w:fill="00B0F0"/>
                <w14:textFill>
                  <w14:solidFill>
                    <w14:schemeClr w14:val="tx1"/>
                  </w14:solidFill>
                </w14:textFill>
              </w:rPr>
              <w:t xml:space="preserve"> 202</w:t>
            </w:r>
            <w:r>
              <w:rPr>
                <w:rFonts w:hint="eastAsia" w:cs="宋体" w:asciiTheme="minorEastAsia" w:hAnsiTheme="minorEastAsia" w:eastAsiaTheme="minorEastAsia"/>
                <w:color w:val="000000" w:themeColor="text1"/>
                <w:sz w:val="24"/>
                <w:highlight w:val="none"/>
                <w:u w:val="single"/>
                <w:shd w:val="clear" w:color="auto" w:fill="00B0F0"/>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highlight w:val="none"/>
                <w:u w:val="single"/>
                <w:shd w:val="clear" w:color="auto" w:fill="00B0F0"/>
                <w14:textFill>
                  <w14:solidFill>
                    <w14:schemeClr w14:val="tx1"/>
                  </w14:solidFill>
                </w14:textFill>
              </w:rPr>
              <w:t>年</w:t>
            </w:r>
            <w:r>
              <w:rPr>
                <w:rFonts w:hint="eastAsia" w:cs="宋体" w:asciiTheme="minorEastAsia" w:hAnsiTheme="minorEastAsia" w:eastAsiaTheme="minorEastAsia"/>
                <w:color w:val="000000" w:themeColor="text1"/>
                <w:sz w:val="24"/>
                <w:highlight w:val="none"/>
                <w:u w:val="single"/>
                <w:shd w:val="clear" w:color="auto" w:fill="00B0F0"/>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highlight w:val="none"/>
                <w:u w:val="single"/>
                <w:shd w:val="clear" w:color="auto" w:fill="00B0F0"/>
                <w14:textFill>
                  <w14:solidFill>
                    <w14:schemeClr w14:val="tx1"/>
                  </w14:solidFill>
                </w14:textFill>
              </w:rPr>
              <w:t xml:space="preserve">月 </w:t>
            </w:r>
            <w:r>
              <w:rPr>
                <w:rFonts w:hint="eastAsia" w:cs="宋体" w:asciiTheme="minorEastAsia" w:hAnsiTheme="minorEastAsia" w:eastAsiaTheme="minorEastAsia"/>
                <w:color w:val="000000" w:themeColor="text1"/>
                <w:sz w:val="24"/>
                <w:highlight w:val="none"/>
                <w:shd w:val="clear" w:color="auto" w:fill="00B0F0"/>
                <w14:textFill>
                  <w14:solidFill>
                    <w14:schemeClr w14:val="tx1"/>
                  </w14:solidFill>
                </w14:textFill>
              </w:rPr>
              <w:t>至</w:t>
            </w:r>
            <w:r>
              <w:rPr>
                <w:rFonts w:hint="eastAsia" w:cs="宋体" w:asciiTheme="minorEastAsia" w:hAnsiTheme="minorEastAsia" w:eastAsiaTheme="minorEastAsia"/>
                <w:color w:val="000000" w:themeColor="text1"/>
                <w:sz w:val="24"/>
                <w:highlight w:val="none"/>
                <w:u w:val="single"/>
                <w:shd w:val="clear" w:color="auto" w:fill="00B0F0"/>
                <w14:textFill>
                  <w14:solidFill>
                    <w14:schemeClr w14:val="tx1"/>
                  </w14:solidFill>
                </w14:textFill>
              </w:rPr>
              <w:t xml:space="preserve"> 202</w:t>
            </w:r>
            <w:r>
              <w:rPr>
                <w:rFonts w:hint="eastAsia" w:cs="宋体" w:asciiTheme="minorEastAsia" w:hAnsiTheme="minorEastAsia" w:eastAsiaTheme="minorEastAsia"/>
                <w:color w:val="000000" w:themeColor="text1"/>
                <w:sz w:val="24"/>
                <w:highlight w:val="none"/>
                <w:u w:val="single"/>
                <w:shd w:val="clear" w:color="auto" w:fill="00B0F0"/>
                <w:lang w:val="en-US" w:eastAsia="zh-CN"/>
                <w14:textFill>
                  <w14:solidFill>
                    <w14:schemeClr w14:val="tx1"/>
                  </w14:solidFill>
                </w14:textFill>
              </w:rPr>
              <w:t>4</w:t>
            </w:r>
            <w:r>
              <w:rPr>
                <w:rFonts w:hint="eastAsia" w:cs="宋体" w:asciiTheme="minorEastAsia" w:hAnsiTheme="minorEastAsia" w:eastAsiaTheme="minorEastAsia"/>
                <w:color w:val="000000" w:themeColor="text1"/>
                <w:sz w:val="24"/>
                <w:highlight w:val="none"/>
                <w:u w:val="single"/>
                <w:shd w:val="clear" w:color="auto" w:fill="00B0F0"/>
                <w14:textFill>
                  <w14:solidFill>
                    <w14:schemeClr w14:val="tx1"/>
                  </w14:solidFill>
                </w14:textFill>
              </w:rPr>
              <w:t>年</w:t>
            </w:r>
            <w:r>
              <w:rPr>
                <w:rFonts w:hint="eastAsia" w:cs="宋体" w:asciiTheme="minorEastAsia" w:hAnsiTheme="minorEastAsia" w:eastAsiaTheme="minorEastAsia"/>
                <w:color w:val="000000" w:themeColor="text1"/>
                <w:sz w:val="24"/>
                <w:highlight w:val="none"/>
                <w:u w:val="single"/>
                <w:shd w:val="clear" w:color="auto" w:fill="00B0F0"/>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highlight w:val="none"/>
                <w:u w:val="single"/>
                <w:shd w:val="clear" w:color="auto" w:fill="00B0F0"/>
                <w14:textFill>
                  <w14:solidFill>
                    <w14:schemeClr w14:val="tx1"/>
                  </w14:solidFill>
                </w14:textFill>
              </w:rPr>
              <w:t>月</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业绩证明材料：</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合同/订单</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A3"/>
            </w:r>
            <w:r>
              <w:rPr>
                <w:rFonts w:hint="eastAsia" w:cs="宋体" w:asciiTheme="minorEastAsia" w:hAnsiTheme="minorEastAsia" w:eastAsiaTheme="minorEastAsia"/>
                <w:color w:val="000000" w:themeColor="text1"/>
                <w:sz w:val="24"/>
                <w:highlight w:val="none"/>
                <w14:textFill>
                  <w14:solidFill>
                    <w14:schemeClr w14:val="tx1"/>
                  </w14:solidFill>
                </w14:textFill>
              </w:rPr>
              <w:t>中标通知书/成交通知书</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竣工验收报告/验收证明</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□业主证明。</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业绩证明材料种类要求：</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需同时提供上述勾选的所有证明材料</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A3"/>
            </w:r>
            <w:r>
              <w:rPr>
                <w:rFonts w:hint="eastAsia" w:cs="宋体" w:asciiTheme="minorEastAsia" w:hAnsiTheme="minorEastAsia" w:eastAsiaTheme="minorEastAsia"/>
                <w:color w:val="000000" w:themeColor="text1"/>
                <w:sz w:val="24"/>
                <w:highlight w:val="none"/>
                <w14:textFill>
                  <w14:solidFill>
                    <w14:schemeClr w14:val="tx1"/>
                  </w14:solidFill>
                </w14:textFill>
              </w:rPr>
              <w:t>其他要求：</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□不适用</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适用。供应商应提供相关信誉情况的证明材料，包括：1．全国企业信用信息公示系统中未列入严重违法失信企业名单的网页截图。</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2.被最高人民法院在“信用中国”网站（www.creditchina.gov.cn）中未列入失信被执行人名单的网页截图。</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A3"/>
            </w:r>
            <w:r>
              <w:rPr>
                <w:rFonts w:hint="eastAsia" w:cs="宋体" w:asciiTheme="minorEastAsia" w:hAnsiTheme="minorEastAsia" w:eastAsiaTheme="minorEastAsia"/>
                <w:color w:val="000000" w:themeColor="text1"/>
                <w:sz w:val="24"/>
                <w:highlight w:val="none"/>
                <w14:textFill>
                  <w14:solidFill>
                    <w14:schemeClr w14:val="tx1"/>
                  </w14:solidFill>
                </w14:textFill>
              </w:rPr>
              <w:t>不适用</w:t>
            </w:r>
          </w:p>
          <w:p>
            <w:pPr>
              <w:widowControl w:val="0"/>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适用。供应商应提供拟委任的主要人员汇总表和主要人员简历表（格式见第六章“响应文件格式”七、资格审查资料（四）拟委任的主要人员汇总表和（五）主要人员简历表）。</w:t>
            </w:r>
          </w:p>
          <w:p>
            <w:pPr>
              <w:wordWrap w:val="0"/>
              <w:spacing w:line="240"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项目负责人</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1人</w:t>
            </w:r>
            <w:r>
              <w:rPr>
                <w:rFonts w:hint="eastAsia" w:cs="宋体" w:asciiTheme="minorEastAsia" w:hAnsiTheme="minorEastAsia" w:eastAsiaTheme="minorEastAsia"/>
                <w:color w:val="000000" w:themeColor="text1"/>
                <w:sz w:val="24"/>
                <w:highlight w:val="none"/>
                <w14:textFill>
                  <w14:solidFill>
                    <w14:schemeClr w14:val="tx1"/>
                  </w14:solidFill>
                </w14:textFill>
              </w:rPr>
              <w:t>：具有水利水电中级职称。</w:t>
            </w:r>
          </w:p>
          <w:p>
            <w:pPr>
              <w:widowControl w:val="0"/>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供应商应按如下要求提供相关证明文件：</w:t>
            </w:r>
          </w:p>
          <w:p>
            <w:pPr>
              <w:widowControl w:val="0"/>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1.供应商必须在《主要人员简历表》后附上身份证、毕业证、职称证、资格证书（如有）等。</w:t>
            </w:r>
          </w:p>
          <w:p>
            <w:pPr>
              <w:widowControl w:val="0"/>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2.供应商拟投入的人员年龄不得超过60周岁（按投标文件截止之日计算年龄）。</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□不需要提供证明材料</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需要提供证明材料，包括：</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提供承诺函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供应商只能提出唯一响应方案</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□供应商可提出多个响应方案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提供纸质版响应文件三份：一正两副          是否要求提供电子版响应文件：</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不要求</w:t>
            </w:r>
          </w:p>
          <w:p>
            <w:pPr>
              <w:spacing w:line="288"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A3"/>
            </w:r>
            <w:r>
              <w:rPr>
                <w:rFonts w:hint="eastAsia" w:cs="宋体" w:asciiTheme="minorEastAsia" w:hAnsiTheme="minorEastAsia" w:eastAsiaTheme="minorEastAsia"/>
                <w:color w:val="000000" w:themeColor="text1"/>
                <w:sz w:val="24"/>
                <w:highlight w:val="none"/>
                <w14:textFill>
                  <w14:solidFill>
                    <w14:schemeClr w14:val="tx1"/>
                  </w14:solidFill>
                </w14:textFill>
              </w:rPr>
              <w:t>要求，提供电子版响应文件的形式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□不适用</w:t>
            </w:r>
          </w:p>
          <w:p>
            <w:pPr>
              <w:spacing w:line="288"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适用，供应商名称、（项目名称）响应文件 、联系方式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截止时间：</w:t>
            </w:r>
            <w:r>
              <w:rPr>
                <w:rFonts w:hint="eastAsia" w:cs="仿宋" w:asciiTheme="minorEastAsia" w:hAnsiTheme="minorEastAsia" w:eastAsiaTheme="minorEastAsia"/>
                <w:color w:val="000000" w:themeColor="text1"/>
                <w:sz w:val="24"/>
                <w:highlight w:val="none"/>
                <w14:textFill>
                  <w14:solidFill>
                    <w14:schemeClr w14:val="tx1"/>
                  </w14:solidFill>
                </w14:textFill>
              </w:rPr>
              <w:t>202</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cs="仿宋" w:asciiTheme="minorEastAsia" w:hAnsiTheme="minorEastAsia" w:eastAsiaTheme="minorEastAsia"/>
                <w:color w:val="000000" w:themeColor="text1"/>
                <w:sz w:val="24"/>
                <w:highlight w:val="none"/>
                <w14:textFill>
                  <w14:solidFill>
                    <w14:schemeClr w14:val="tx1"/>
                  </w14:solidFill>
                </w14:textFill>
              </w:rPr>
              <w:t>年</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月2</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cs="仿宋" w:asciiTheme="minorEastAsia" w:hAnsiTheme="minorEastAsia" w:eastAsiaTheme="minorEastAsia"/>
                <w:color w:val="000000" w:themeColor="text1"/>
                <w:sz w:val="24"/>
                <w:highlight w:val="none"/>
                <w14:textFill>
                  <w14:solidFill>
                    <w14:schemeClr w14:val="tx1"/>
                  </w14:solidFill>
                </w14:textFill>
              </w:rPr>
              <w:t>日</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上午</w:t>
            </w:r>
            <w:r>
              <w:rPr>
                <w:rFonts w:hint="eastAsia" w:cs="仿宋" w:asciiTheme="minorEastAsia" w:hAnsiTheme="minorEastAsia" w:eastAsiaTheme="minorEastAsia"/>
                <w:color w:val="000000" w:themeColor="text1"/>
                <w:sz w:val="24"/>
                <w:highlight w:val="none"/>
                <w14:textFill>
                  <w14:solidFill>
                    <w14:schemeClr w14:val="tx1"/>
                  </w14:solidFill>
                </w14:textFill>
              </w:rPr>
              <w:t>1</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cs="仿宋" w:asciiTheme="minorEastAsia" w:hAnsiTheme="minorEastAsia" w:eastAsiaTheme="minorEastAsia"/>
                <w:color w:val="000000" w:themeColor="text1"/>
                <w:sz w:val="24"/>
                <w:highlight w:val="none"/>
                <w14:textFill>
                  <w14:solidFill>
                    <w14:schemeClr w14:val="tx1"/>
                  </w14:solidFill>
                </w14:textFill>
              </w:rPr>
              <w:t>时</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0</w:t>
            </w:r>
            <w:r>
              <w:rPr>
                <w:rFonts w:hint="eastAsia" w:cs="仿宋" w:asciiTheme="minorEastAsia" w:hAnsiTheme="minorEastAsia" w:eastAsiaTheme="minorEastAsia"/>
                <w:color w:val="000000" w:themeColor="text1"/>
                <w:sz w:val="24"/>
                <w:highlight w:val="none"/>
                <w14:textFill>
                  <w14:solidFill>
                    <w14:schemeClr w14:val="tx1"/>
                  </w14:solidFill>
                </w14:textFill>
              </w:rPr>
              <w:t>0分。</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递交响应文件的地点：</w:t>
            </w:r>
            <w:r>
              <w:rPr>
                <w:rFonts w:hint="eastAsia"/>
                <w:color w:val="000000" w:themeColor="text1"/>
                <w:sz w:val="24"/>
                <w:highlight w:val="none"/>
                <w:u w:val="single"/>
                <w14:textFill>
                  <w14:solidFill>
                    <w14:schemeClr w14:val="tx1"/>
                  </w14:solidFill>
                </w14:textFill>
              </w:rPr>
              <w:t>湖南省岳阳市城陵矶新港有限公司办公楼307室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否</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□是，退还时间：</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否</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□是</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湖南省港务集团有限公司602开标室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开启顺序：</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随机 </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其他应公布的信息：</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评标（谈判）小组构成：3人。</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评审（谈判）专家确定方式：采购代表1人，在湖南省港务集团有限公司综合评标专家库中随机抽取2人。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是否排序：</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排序</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□不排序</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数量：</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1-3 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公示媒介：</w:t>
            </w:r>
            <w:r>
              <w:rPr>
                <w:rFonts w:hint="eastAsia" w:ascii="宋体" w:hAnsi="宋体" w:cs="宋体"/>
                <w:color w:val="000000" w:themeColor="text1"/>
                <w:sz w:val="24"/>
                <w:highlight w:val="none"/>
                <w14:textFill>
                  <w14:solidFill>
                    <w14:schemeClr w14:val="tx1"/>
                  </w14:solidFill>
                </w14:textFill>
              </w:rPr>
              <w:t xml:space="preserve"> 中国招标投标公共服务平台（http：//www.cebpubservice.com）、湖南省港航水利集团有限公司网站（http：//www.hnsxsjt.com）、</w:t>
            </w:r>
            <w:r>
              <w:rPr>
                <w:rFonts w:hint="eastAsia" w:ascii="宋体" w:hAnsi="宋体" w:cs="宋体"/>
                <w:color w:val="000000" w:themeColor="text1"/>
                <w:sz w:val="24"/>
                <w:highlight w:val="none"/>
                <w:u w:val="single"/>
                <w14:textFill>
                  <w14:solidFill>
                    <w14:schemeClr w14:val="tx1"/>
                  </w14:solidFill>
                </w14:textFill>
              </w:rPr>
              <w:t xml:space="preserve">                                   湖南省港务集团有限公司</w:t>
            </w:r>
            <w:r>
              <w:rPr>
                <w:rFonts w:hint="eastAsia" w:ascii="宋体" w:hAnsi="宋体" w:cs="宋体"/>
                <w:color w:val="000000" w:themeColor="text1"/>
                <w:sz w:val="24"/>
                <w:highlight w:val="none"/>
                <w14:textFill>
                  <w14:solidFill>
                    <w14:schemeClr w14:val="tx1"/>
                  </w14:solidFill>
                </w14:textFill>
              </w:rPr>
              <w:t>（http://www.hnsgwjt.com）上发布。</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公示期限：</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不要求提交</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□要求递交</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履约保证金金额：</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履约保证金形式：</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履约保证金有效期限：</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递交时间：</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其他要求：</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联系人：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湖南省港务集团纪检监察部                 </w:t>
            </w:r>
          </w:p>
          <w:p>
            <w:pPr>
              <w:spacing w:line="288" w:lineRule="auto"/>
              <w:jc w:val="both"/>
              <w:rPr>
                <w:color w:val="000000" w:themeColor="text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联系电话：</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lang w:val="zh-CN"/>
                <w14:textFill>
                  <w14:solidFill>
                    <w14:schemeClr w14:val="tx1"/>
                  </w14:solidFill>
                </w14:textFill>
              </w:rPr>
              <w:t>0730-8426255</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通信地址：</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湖南省岳阳市云溪区沿江西路50米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不要求承担</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□要求承担</w:t>
            </w:r>
          </w:p>
          <w:p>
            <w:pPr>
              <w:spacing w:line="288" w:lineRule="auto"/>
              <w:jc w:val="both"/>
              <w:rPr>
                <w:rFonts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费用标准或金额：</w:t>
            </w:r>
          </w:p>
          <w:p>
            <w:pPr>
              <w:spacing w:line="288" w:lineRule="auto"/>
              <w:jc w:val="both"/>
              <w:rPr>
                <w:rFonts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交费时间：</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交费方式：</w:t>
            </w:r>
          </w:p>
        </w:tc>
      </w:tr>
    </w:tbl>
    <w:p>
      <w:pPr>
        <w:spacing w:line="240" w:lineRule="auto"/>
        <w:jc w:val="center"/>
        <w:rPr>
          <w:rFonts w:ascii="仿宋" w:hAnsi="仿宋" w:eastAsia="仿宋" w:cs="仿宋"/>
          <w:color w:val="000000" w:themeColor="text1"/>
          <w:sz w:val="30"/>
          <w:szCs w:val="30"/>
          <w:highlight w:val="none"/>
          <w14:textFill>
            <w14:solidFill>
              <w14:schemeClr w14:val="tx1"/>
            </w14:solidFill>
          </w14:textFill>
        </w:rPr>
      </w:pPr>
      <w:r>
        <w:rPr>
          <w:rFonts w:ascii="仿宋" w:hAnsi="仿宋" w:eastAsia="仿宋" w:cs="仿宋"/>
          <w:b/>
          <w:bCs/>
          <w:color w:val="000000" w:themeColor="text1"/>
          <w:sz w:val="30"/>
          <w:szCs w:val="30"/>
          <w:highlight w:val="none"/>
          <w14:textFill>
            <w14:solidFill>
              <w14:schemeClr w14:val="tx1"/>
            </w14:solidFill>
          </w14:textFill>
        </w:rPr>
        <w:br w:type="page"/>
      </w:r>
      <w:r>
        <w:rPr>
          <w:rFonts w:hint="eastAsia" w:ascii="华文中宋" w:hAnsi="华文中宋" w:eastAsia="华文中宋" w:cs="仿宋"/>
          <w:b/>
          <w:bCs/>
          <w:color w:val="000000" w:themeColor="text1"/>
          <w:sz w:val="30"/>
          <w:szCs w:val="30"/>
          <w:highlight w:val="none"/>
          <w14:textFill>
            <w14:solidFill>
              <w14:schemeClr w14:val="tx1"/>
            </w14:solidFill>
          </w14:textFill>
        </w:rPr>
        <w:t>第二章 供应商须知正文</w:t>
      </w:r>
    </w:p>
    <w:p>
      <w:pPr>
        <w:adjustRightInd w:val="0"/>
        <w:snapToGrid w:val="0"/>
        <w:spacing w:before="120" w:beforeLines="50" w:after="120" w:afterLines="50"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 总则</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1.1采购方法和评审办法</w:t>
      </w:r>
    </w:p>
    <w:p>
      <w:pPr>
        <w:pStyle w:val="77"/>
        <w:spacing w:before="120" w:after="120" w:line="312" w:lineRule="auto"/>
        <w:ind w:left="426" w:firstLine="48" w:firstLineChars="20"/>
        <w:jc w:val="both"/>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本项目采用供应商须知前附表规定的采购方式和评审办法。</w:t>
      </w:r>
    </w:p>
    <w:p>
      <w:pPr>
        <w:pStyle w:val="71"/>
        <w:spacing w:line="312" w:lineRule="auto"/>
        <w:ind w:firstLine="0" w:firstLineChars="0"/>
        <w:rPr>
          <w:rFonts w:hAnsi="宋体" w:eastAsia="宋体" w:cs="仿宋"/>
          <w:color w:val="000000" w:themeColor="text1"/>
          <w:sz w:val="24"/>
          <w:szCs w:val="24"/>
          <w:highlight w:val="none"/>
          <w14:textFill>
            <w14:solidFill>
              <w14:schemeClr w14:val="tx1"/>
            </w14:solidFill>
          </w14:textFill>
        </w:rPr>
      </w:pPr>
      <w:r>
        <w:rPr>
          <w:rFonts w:hint="eastAsia" w:hAnsi="宋体" w:eastAsia="宋体" w:cs="仿宋"/>
          <w:color w:val="000000" w:themeColor="text1"/>
          <w:sz w:val="24"/>
          <w:szCs w:val="24"/>
          <w:highlight w:val="none"/>
          <w14:textFill>
            <w14:solidFill>
              <w14:schemeClr w14:val="tx1"/>
            </w14:solidFill>
          </w14:textFill>
        </w:rPr>
        <w:t>1.1.1采购方法</w:t>
      </w:r>
    </w:p>
    <w:p>
      <w:pPr>
        <w:pStyle w:val="71"/>
        <w:spacing w:line="312" w:lineRule="auto"/>
        <w:ind w:firstLine="453" w:firstLineChars="189"/>
        <w:rPr>
          <w:rFonts w:hAnsi="宋体" w:eastAsia="宋体" w:cs="仿宋"/>
          <w:color w:val="000000" w:themeColor="text1"/>
          <w:sz w:val="24"/>
          <w:szCs w:val="24"/>
          <w:highlight w:val="none"/>
          <w14:textFill>
            <w14:solidFill>
              <w14:schemeClr w14:val="tx1"/>
            </w14:solidFill>
          </w14:textFill>
        </w:rPr>
      </w:pPr>
      <w:r>
        <w:rPr>
          <w:rFonts w:hint="eastAsia" w:hAnsi="宋体" w:eastAsia="宋体" w:cs="仿宋"/>
          <w:color w:val="000000" w:themeColor="text1"/>
          <w:sz w:val="24"/>
          <w:szCs w:val="24"/>
          <w:highlight w:val="none"/>
          <w14:textFill>
            <w14:solidFill>
              <w14:schemeClr w14:val="tx1"/>
            </w14:solidFill>
          </w14:textFill>
        </w:rPr>
        <w:t>询价采购，是指按照规定程序就采购项目向符合资格要求的供应商进行询价，通过评审、比较确定成交供应商的采购方式。</w:t>
      </w:r>
    </w:p>
    <w:p>
      <w:pPr>
        <w:pStyle w:val="71"/>
        <w:spacing w:line="312" w:lineRule="auto"/>
        <w:ind w:firstLine="0" w:firstLineChars="0"/>
        <w:rPr>
          <w:rFonts w:hAnsi="宋体" w:eastAsia="宋体" w:cs="仿宋"/>
          <w:color w:val="000000" w:themeColor="text1"/>
          <w:sz w:val="24"/>
          <w:szCs w:val="24"/>
          <w:highlight w:val="none"/>
          <w14:textFill>
            <w14:solidFill>
              <w14:schemeClr w14:val="tx1"/>
            </w14:solidFill>
          </w14:textFill>
        </w:rPr>
      </w:pPr>
      <w:r>
        <w:rPr>
          <w:rFonts w:hint="eastAsia" w:hAnsi="宋体" w:eastAsia="宋体" w:cs="仿宋"/>
          <w:color w:val="000000" w:themeColor="text1"/>
          <w:sz w:val="24"/>
          <w:szCs w:val="24"/>
          <w:highlight w:val="none"/>
          <w14:textFill>
            <w14:solidFill>
              <w14:schemeClr w14:val="tx1"/>
            </w14:solidFill>
          </w14:textFill>
        </w:rPr>
        <w:t>1.1.2评审办法</w:t>
      </w:r>
    </w:p>
    <w:p>
      <w:pPr>
        <w:pStyle w:val="71"/>
        <w:spacing w:line="312" w:lineRule="auto"/>
        <w:ind w:firstLine="480"/>
        <w:rPr>
          <w:rFonts w:hAnsi="宋体" w:eastAsia="宋体" w:cs="仿宋"/>
          <w:color w:val="000000" w:themeColor="text1"/>
          <w:sz w:val="24"/>
          <w:szCs w:val="24"/>
          <w:highlight w:val="none"/>
          <w14:textFill>
            <w14:solidFill>
              <w14:schemeClr w14:val="tx1"/>
            </w14:solidFill>
          </w14:textFill>
        </w:rPr>
      </w:pPr>
      <w:r>
        <w:rPr>
          <w:rFonts w:hint="eastAsia" w:hAnsi="宋体" w:eastAsia="宋体" w:cs="仿宋"/>
          <w:color w:val="000000" w:themeColor="text1"/>
          <w:sz w:val="24"/>
          <w:szCs w:val="24"/>
          <w:highlight w:val="none"/>
          <w14:textFill>
            <w14:solidFill>
              <w14:schemeClr w14:val="tx1"/>
            </w14:solidFill>
          </w14:textFill>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1.2采购项目概况和供应商资格要求</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采购项目概况和供应商资格要求见第一章“采购公告”。</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1.3 费用承担</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供应商准备和参加采购活动所发生的各种费用由供应商自行承担。</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1.4保密</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1.5语言文字</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1.6计量单位</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所有计量均采用中华人民共和国法定计量单位。</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1.7踏勘现场</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1.8采购预备会</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1.9分包(A、C)</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1.10响应和偏差</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2采购文件</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2.1采购文件的组成</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本采购文件包括:</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(1)采购公告:</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(2)供应商须知;</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(3)评审办法;</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(4)合同条款及格式;</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(5)采购需求;</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(6)响应文件格式;</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(7)供应商须知前附表规定的其他资料。</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采购人依照本章规定，对采购文件所作的澄清、修改，构成采购文件的组成部分。</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2.2采购文件的澄清和修改</w:t>
      </w:r>
    </w:p>
    <w:p>
      <w:pPr>
        <w:adjustRightInd w:val="0"/>
        <w:snapToGrid w:val="0"/>
        <w:spacing w:line="312" w:lineRule="auto"/>
        <w:ind w:left="105" w:left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3响应文件</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3.1响应文件的组成</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3.1.1响应文件应包括下列内容:</w:t>
      </w:r>
    </w:p>
    <w:p>
      <w:pPr>
        <w:adjustRightInd w:val="0"/>
        <w:snapToGrid w:val="0"/>
        <w:spacing w:line="312"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(1)响应函;</w:t>
      </w:r>
    </w:p>
    <w:p>
      <w:pPr>
        <w:adjustRightInd w:val="0"/>
        <w:snapToGrid w:val="0"/>
        <w:spacing w:line="312"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(2)授权委托书(如有);</w:t>
      </w:r>
    </w:p>
    <w:p>
      <w:pPr>
        <w:adjustRightInd w:val="0"/>
        <w:snapToGrid w:val="0"/>
        <w:spacing w:line="312"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(3)联合体协议书(如有);</w:t>
      </w:r>
    </w:p>
    <w:p>
      <w:pPr>
        <w:adjustRightInd w:val="0"/>
        <w:snapToGrid w:val="0"/>
        <w:spacing w:line="312"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(4)响应保证金(如有);</w:t>
      </w:r>
    </w:p>
    <w:p>
      <w:pPr>
        <w:adjustRightInd w:val="0"/>
        <w:snapToGrid w:val="0"/>
        <w:spacing w:line="312"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(5)商务和技术偏差表;</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(6)报价表;</w:t>
      </w:r>
    </w:p>
    <w:p>
      <w:pPr>
        <w:adjustRightInd w:val="0"/>
        <w:snapToGrid w:val="0"/>
        <w:spacing w:line="312"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(7)资格审查资料;</w:t>
      </w:r>
    </w:p>
    <w:p>
      <w:pPr>
        <w:adjustRightInd w:val="0"/>
        <w:snapToGrid w:val="0"/>
        <w:spacing w:line="312"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(8)响应方案;</w:t>
      </w:r>
    </w:p>
    <w:p>
      <w:pPr>
        <w:adjustRightInd w:val="0"/>
        <w:snapToGrid w:val="0"/>
        <w:spacing w:line="312"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(9)供应商须知前附表规定的其他资料。</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供应商在评审过程中作出的符合采购文件要求的澄清、说明和补正，构成响应文件的组成部分。</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3.2报价</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3.2.4报价的其他要求见供应商须知前附表。</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3.3响应文件有效期</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3.4响应保证金</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3.4.3有下列情形之一的，响应保证金将不予退还:</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(1)供应商在响应文件有效期内撤销响应文件；</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3.5资格审查资料</w:t>
      </w:r>
    </w:p>
    <w:p>
      <w:pPr>
        <w:adjustRightInd w:val="0"/>
        <w:snapToGrid w:val="0"/>
        <w:spacing w:line="312" w:lineRule="auto"/>
        <w:ind w:left="149" w:leftChars="71" w:firstLine="360" w:firstLineChars="1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3.6响应方案</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3.7响应文件的编制</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3.7.2响应文件应用不褪色的的材料书写或打印。</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4响应文件的递交</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ascii="宋体" w:hAnsi="宋体" w:cs="仿宋"/>
          <w:b/>
          <w:bCs/>
          <w:color w:val="000000" w:themeColor="text1"/>
          <w:sz w:val="24"/>
          <w:highlight w:val="none"/>
          <w14:textFill>
            <w14:solidFill>
              <w14:schemeClr w14:val="tx1"/>
            </w14:solidFill>
          </w14:textFill>
        </w:rPr>
        <w:t>4.1响应文件的包装与标记</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4.1.1响应文件应安善包装。供应商须知前附表规定响应文件应密封的，响应文件应按要求密封。</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4.1.2响应文件封套上应载明的内容见供应商须知前附表。</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4.2响应文件的递交</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4.2.2除供应商须知前附表另有规定外，供应商所提交的响应文件不于退还。</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4.3响应文件的修改与撤回</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4.3.2</w:t>
      </w:r>
      <w:r>
        <w:rPr>
          <w:rFonts w:ascii="宋体" w:hAnsi="宋体" w:cs="仿宋"/>
          <w:color w:val="000000" w:themeColor="text1"/>
          <w:sz w:val="24"/>
          <w:highlight w:val="none"/>
          <w14:textFill>
            <w14:solidFill>
              <w14:schemeClr w14:val="tx1"/>
            </w14:solidFill>
          </w14:textFill>
        </w:rPr>
        <w:t>响应文件的修改文件或供应商</w:t>
      </w:r>
      <w:r>
        <w:rPr>
          <w:rFonts w:hint="eastAsia" w:ascii="宋体" w:hAnsi="宋体" w:cs="仿宋"/>
          <w:color w:val="000000" w:themeColor="text1"/>
          <w:sz w:val="24"/>
          <w:highlight w:val="none"/>
          <w14:textFill>
            <w14:solidFill>
              <w14:schemeClr w14:val="tx1"/>
            </w14:solidFill>
          </w14:textFill>
        </w:rPr>
        <w:t>撤</w:t>
      </w:r>
      <w:r>
        <w:rPr>
          <w:rFonts w:ascii="宋体" w:hAnsi="宋体" w:cs="仿宋"/>
          <w:color w:val="000000" w:themeColor="text1"/>
          <w:sz w:val="24"/>
          <w:highlight w:val="none"/>
          <w14:textFill>
            <w14:solidFill>
              <w14:schemeClr w14:val="tx1"/>
            </w14:solidFill>
          </w14:textFill>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5开启响应文件</w:t>
      </w:r>
    </w:p>
    <w:p>
      <w:pPr>
        <w:adjustRightInd w:val="0"/>
        <w:snapToGrid w:val="0"/>
        <w:spacing w:line="312" w:lineRule="auto"/>
        <w:ind w:firstLine="455"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b/>
          <w:color w:val="000000" w:themeColor="text1"/>
          <w:sz w:val="24"/>
          <w:highlight w:val="none"/>
          <w14:textFill>
            <w14:solidFill>
              <w14:schemeClr w14:val="tx1"/>
            </w14:solidFill>
          </w14:textFill>
        </w:rPr>
        <w:t>采购人一般不公开开启响应文件。</w:t>
      </w:r>
      <w:r>
        <w:rPr>
          <w:rFonts w:hint="eastAsia" w:ascii="宋体" w:hAnsi="宋体" w:cs="仿宋"/>
          <w:bCs/>
          <w:color w:val="000000" w:themeColor="text1"/>
          <w:sz w:val="24"/>
          <w:highlight w:val="none"/>
          <w14:textFill>
            <w14:solidFill>
              <w14:schemeClr w14:val="tx1"/>
            </w14:solidFill>
          </w14:textFill>
        </w:rPr>
        <w:t>如</w:t>
      </w:r>
      <w:r>
        <w:rPr>
          <w:rFonts w:hint="eastAsia" w:ascii="宋体" w:hAnsi="宋体" w:cs="仿宋"/>
          <w:color w:val="000000" w:themeColor="text1"/>
          <w:sz w:val="24"/>
          <w:highlight w:val="none"/>
          <w14:textFill>
            <w14:solidFill>
              <w14:schemeClr w14:val="tx1"/>
            </w14:solidFill>
          </w14:textFill>
        </w:rPr>
        <w:t>供应商须知前附表规定公开开启响应文件的，开启活动应按本条规定执行。</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5.1开启响应文件的时间和地点</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5.2开启程序</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主持人按下列程序公开开启响应文件:</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(2)开启会议结束。</w:t>
      </w:r>
    </w:p>
    <w:p>
      <w:pPr>
        <w:adjustRightInd w:val="0"/>
        <w:snapToGrid w:val="0"/>
        <w:spacing w:line="312" w:lineRule="auto"/>
        <w:ind w:firstLine="455"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5.3递交响应文件的供应商不足的情形</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6评审（适用于询价采购）</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6.1评审小组</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6.1.1评审由采购人组建的评审小组负责。</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6.1.2评审小组成员有下列情形之的，应当回避:</w:t>
      </w:r>
    </w:p>
    <w:p>
      <w:pPr>
        <w:adjustRightInd w:val="0"/>
        <w:snapToGrid w:val="0"/>
        <w:spacing w:line="312" w:lineRule="auto"/>
        <w:ind w:left="716" w:leftChars="284" w:hanging="120" w:hanging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(2)与供应商有经济利益关系或其他利害关系，可能影响公正评审的。</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6.2评审</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7合同授予</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7.1成交候选供应商报价核查(B)</w:t>
      </w:r>
    </w:p>
    <w:p>
      <w:pPr>
        <w:widowControl w:val="0"/>
        <w:adjustRightInd w:val="0"/>
        <w:snapToGrid w:val="0"/>
        <w:spacing w:line="312" w:lineRule="auto"/>
        <w:ind w:firstLine="475" w:firstLineChars="198"/>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7.2</w:t>
      </w:r>
      <w:r>
        <w:rPr>
          <w:rFonts w:hint="eastAsia" w:ascii="宋体" w:hAnsi="宋体" w:cs="宋体"/>
          <w:b/>
          <w:bCs/>
          <w:color w:val="000000" w:themeColor="text1"/>
          <w:sz w:val="24"/>
          <w:highlight w:val="none"/>
          <w14:textFill>
            <w14:solidFill>
              <w14:schemeClr w14:val="tx1"/>
            </w14:solidFill>
          </w14:textFill>
        </w:rPr>
        <w:t>成交候选</w:t>
      </w:r>
      <w:r>
        <w:rPr>
          <w:rFonts w:hint="eastAsia" w:ascii="宋体" w:hAnsi="宋体" w:cs="仿宋"/>
          <w:b/>
          <w:bCs/>
          <w:color w:val="000000" w:themeColor="text1"/>
          <w:sz w:val="24"/>
          <w:highlight w:val="none"/>
          <w14:textFill>
            <w14:solidFill>
              <w14:schemeClr w14:val="tx1"/>
            </w14:solidFill>
          </w14:textFill>
        </w:rPr>
        <w:t>供应商</w:t>
      </w:r>
      <w:r>
        <w:rPr>
          <w:rFonts w:hint="eastAsia" w:ascii="宋体" w:hAnsi="宋体" w:cs="宋体"/>
          <w:b/>
          <w:bCs/>
          <w:color w:val="000000" w:themeColor="text1"/>
          <w:sz w:val="24"/>
          <w:highlight w:val="none"/>
          <w14:textFill>
            <w14:solidFill>
              <w14:schemeClr w14:val="tx1"/>
            </w14:solidFill>
          </w14:textFill>
        </w:rPr>
        <w:t xml:space="preserve">公示 </w:t>
      </w:r>
    </w:p>
    <w:p>
      <w:pPr>
        <w:widowControl w:val="0"/>
        <w:adjustRightInd w:val="0"/>
        <w:snapToGrid w:val="0"/>
        <w:spacing w:line="312" w:lineRule="auto"/>
        <w:ind w:firstLine="480" w:firstLineChars="20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7.3成交结果异议 </w:t>
      </w:r>
    </w:p>
    <w:p>
      <w:pPr>
        <w:adjustRightInd w:val="0"/>
        <w:snapToGrid w:val="0"/>
        <w:spacing w:line="312" w:lineRule="auto"/>
        <w:ind w:firstLine="424" w:firstLineChars="177"/>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供应商或者其他利害关系人对采购结果有异议的，应当在成交候选供应商公示期间提出。</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7.4成交候选供应商履约能力核查</w:t>
      </w:r>
    </w:p>
    <w:p>
      <w:pPr>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7.5发出成交通知书</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7.6履约保证金</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color w:val="000000" w:themeColor="text1"/>
          <w:sz w:val="24"/>
          <w:highlight w:val="none"/>
          <w14:textFill>
            <w14:solidFill>
              <w14:schemeClr w14:val="tx1"/>
            </w14:solidFill>
          </w14:textFill>
        </w:rPr>
        <w:t>10</w:t>
      </w: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7.7签订合同</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7.7.3联合体成交的，联合体各方应当共同与采购人签订合同，就成交项目向采购人承担连带责任。</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w:t>
      </w:r>
      <w:r>
        <w:rPr>
          <w:rFonts w:ascii="宋体" w:hAnsi="宋体" w:cs="仿宋"/>
          <w:b/>
          <w:bCs/>
          <w:color w:val="000000" w:themeColor="text1"/>
          <w:sz w:val="24"/>
          <w:highlight w:val="none"/>
          <w14:textFill>
            <w14:solidFill>
              <w14:schemeClr w14:val="tx1"/>
            </w14:solidFill>
          </w14:textFill>
        </w:rPr>
        <w:t>8</w:t>
      </w:r>
      <w:r>
        <w:rPr>
          <w:rFonts w:hint="eastAsia" w:ascii="宋体" w:hAnsi="宋体" w:cs="仿宋"/>
          <w:b/>
          <w:bCs/>
          <w:color w:val="000000" w:themeColor="text1"/>
          <w:sz w:val="24"/>
          <w:highlight w:val="none"/>
          <w14:textFill>
            <w14:solidFill>
              <w14:schemeClr w14:val="tx1"/>
            </w14:solidFill>
          </w14:textFill>
        </w:rPr>
        <w:t>特殊情形处理</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8异议</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8.1提出异议</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(1)异议人名称、地址、邮政编码、联系人及联系电话;</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异议函应由异议人的法定代表人(单位负责人)或其授权的代理人签字并加盖单位章。</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8.2异议处理</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采购人认为异议不成立或不影响采购结果的，可以继续进行采购活动。</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9纪律要求</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9.1对采购人的纪律要求</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9.2对供应商的纪律要求</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9.3对评审小组成员的纪律要求</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9.4对与采购活动有关的工作人员的纪律要求</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10需要补充的其他内容</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10.1采购代理服务费</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10.2其他</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需更补充的其他内容:见供应商须知前附表。</w:t>
      </w:r>
    </w:p>
    <w:p>
      <w:pPr>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br w:type="page"/>
      </w:r>
    </w:p>
    <w:p>
      <w:pPr>
        <w:adjustRightInd w:val="0"/>
        <w:snapToGrid w:val="0"/>
        <w:spacing w:line="600" w:lineRule="exact"/>
        <w:ind w:firstLine="600" w:firstLineChars="200"/>
        <w:rPr>
          <w:rFonts w:ascii="宋体" w:hAnsi="宋体"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30"/>
          <w:szCs w:val="30"/>
          <w:highlight w:val="none"/>
          <w14:textFill>
            <w14:solidFill>
              <w14:schemeClr w14:val="tx1"/>
            </w14:solidFill>
          </w14:textFill>
        </w:rPr>
        <w:t>附件1  开启记录表</w:t>
      </w:r>
    </w:p>
    <w:p>
      <w:pPr>
        <w:adjustRightInd w:val="0"/>
        <w:snapToGrid w:val="0"/>
        <w:spacing w:line="600" w:lineRule="exact"/>
        <w:ind w:firstLine="723"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600" w:lineRule="exact"/>
        <w:ind w:firstLine="723"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r>
        <w:rPr>
          <w:rFonts w:hint="eastAsia" w:ascii="华文中宋" w:hAnsi="华文中宋" w:eastAsia="华文中宋" w:cs="仿宋"/>
          <w:b/>
          <w:bCs/>
          <w:color w:val="000000" w:themeColor="text1"/>
          <w:sz w:val="36"/>
          <w:szCs w:val="36"/>
          <w:highlight w:val="none"/>
          <w14:textFill>
            <w14:solidFill>
              <w14:schemeClr w14:val="tx1"/>
            </w14:solidFill>
          </w14:textFill>
        </w:rPr>
        <w:t>开启记录表</w:t>
      </w:r>
    </w:p>
    <w:p>
      <w:pPr>
        <w:adjustRightInd w:val="0"/>
        <w:snapToGrid w:val="0"/>
        <w:spacing w:line="600" w:lineRule="exact"/>
        <w:ind w:firstLine="723"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p>
    <w:p>
      <w:pPr>
        <w:spacing w:line="24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开启时间：年月日时分</w:t>
      </w:r>
    </w:p>
    <w:tbl>
      <w:tblPr>
        <w:tblStyle w:val="44"/>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序 号</w:t>
            </w:r>
          </w:p>
        </w:tc>
        <w:tc>
          <w:tcPr>
            <w:tcW w:w="1238" w:type="pct"/>
            <w:vAlign w:val="center"/>
          </w:tcPr>
          <w:p>
            <w:pPr>
              <w:widowControl w:val="0"/>
              <w:spacing w:line="24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w:t>
            </w:r>
          </w:p>
        </w:tc>
        <w:tc>
          <w:tcPr>
            <w:tcW w:w="1029" w:type="pct"/>
            <w:vAlign w:val="center"/>
          </w:tcPr>
          <w:p>
            <w:pPr>
              <w:widowControl w:val="0"/>
              <w:spacing w:line="24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密封情况</w:t>
            </w:r>
          </w:p>
        </w:tc>
        <w:tc>
          <w:tcPr>
            <w:tcW w:w="1029" w:type="pct"/>
            <w:vAlign w:val="center"/>
          </w:tcPr>
          <w:p>
            <w:pPr>
              <w:widowControl w:val="0"/>
              <w:spacing w:line="24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报价</w:t>
            </w:r>
          </w:p>
        </w:tc>
        <w:tc>
          <w:tcPr>
            <w:tcW w:w="1029" w:type="pct"/>
            <w:vAlign w:val="center"/>
          </w:tcPr>
          <w:p>
            <w:pPr>
              <w:widowControl w:val="0"/>
              <w:spacing w:line="24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238"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238"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238"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238"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238"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bl>
    <w:p>
      <w:pPr>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p>
      <w:pPr>
        <w:spacing w:line="240" w:lineRule="auto"/>
        <w:ind w:firstLine="1200" w:firstLineChars="500"/>
        <w:jc w:val="both"/>
        <w:rPr>
          <w:rFonts w:cs="仿宋"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采购人代表：      记录人：监督人：</w:t>
      </w:r>
    </w:p>
    <w:p>
      <w:pPr>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p>
      <w:pPr>
        <w:spacing w:line="240" w:lineRule="auto"/>
        <w:jc w:val="both"/>
        <w:rPr>
          <w:rFonts w:ascii="仿宋" w:hAnsi="仿宋" w:eastAsia="仿宋" w:cs="仿宋"/>
          <w:color w:val="000000" w:themeColor="text1"/>
          <w:sz w:val="30"/>
          <w:szCs w:val="30"/>
          <w:highlight w:val="none"/>
          <w14:textFill>
            <w14:solidFill>
              <w14:schemeClr w14:val="tx1"/>
            </w14:solidFill>
          </w14:textFill>
        </w:rPr>
      </w:pPr>
    </w:p>
    <w:p>
      <w:pPr>
        <w:spacing w:line="240" w:lineRule="auto"/>
        <w:jc w:val="both"/>
        <w:rPr>
          <w:rFonts w:ascii="仿宋" w:hAnsi="仿宋" w:eastAsia="仿宋" w:cs="仿宋"/>
          <w:color w:val="000000" w:themeColor="text1"/>
          <w:sz w:val="30"/>
          <w:szCs w:val="30"/>
          <w:highlight w:val="none"/>
          <w14:textFill>
            <w14:solidFill>
              <w14:schemeClr w14:val="tx1"/>
            </w14:solidFill>
          </w14:textFill>
        </w:rPr>
      </w:pPr>
      <w:r>
        <w:rPr>
          <w:rFonts w:ascii="仿宋" w:hAnsi="仿宋" w:eastAsia="仿宋" w:cs="仿宋"/>
          <w:color w:val="000000" w:themeColor="text1"/>
          <w:sz w:val="30"/>
          <w:szCs w:val="30"/>
          <w:highlight w:val="none"/>
          <w14:textFill>
            <w14:solidFill>
              <w14:schemeClr w14:val="tx1"/>
            </w14:solidFill>
          </w14:textFill>
        </w:rPr>
        <w:br w:type="page"/>
      </w:r>
    </w:p>
    <w:p>
      <w:pPr>
        <w:adjustRightInd w:val="0"/>
        <w:snapToGrid w:val="0"/>
        <w:spacing w:line="600" w:lineRule="exact"/>
        <w:ind w:firstLine="600" w:firstLineChars="200"/>
        <w:rPr>
          <w:rFonts w:ascii="宋体" w:hAnsi="宋体"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30"/>
          <w:szCs w:val="30"/>
          <w:highlight w:val="none"/>
          <w14:textFill>
            <w14:solidFill>
              <w14:schemeClr w14:val="tx1"/>
            </w14:solidFill>
          </w14:textFill>
        </w:rPr>
        <w:t>附件2  问题澄清通知</w:t>
      </w:r>
    </w:p>
    <w:p>
      <w:pPr>
        <w:adjustRightInd w:val="0"/>
        <w:snapToGrid w:val="0"/>
        <w:spacing w:line="600" w:lineRule="exact"/>
        <w:ind w:firstLine="723"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600" w:lineRule="exact"/>
        <w:ind w:firstLine="723"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r>
        <w:rPr>
          <w:rFonts w:hint="eastAsia" w:ascii="华文中宋" w:hAnsi="华文中宋" w:eastAsia="华文中宋" w:cs="仿宋"/>
          <w:b/>
          <w:bCs/>
          <w:color w:val="000000" w:themeColor="text1"/>
          <w:sz w:val="36"/>
          <w:szCs w:val="36"/>
          <w:highlight w:val="none"/>
          <w14:textFill>
            <w14:solidFill>
              <w14:schemeClr w14:val="tx1"/>
            </w14:solidFill>
          </w14:textFill>
        </w:rPr>
        <w:t>问题澄清通知</w:t>
      </w:r>
    </w:p>
    <w:p>
      <w:pPr>
        <w:adjustRightInd w:val="0"/>
        <w:snapToGrid w:val="0"/>
        <w:spacing w:line="600" w:lineRule="exact"/>
        <w:ind w:firstLine="480" w:firstLineChars="200"/>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(编号:）</w:t>
      </w:r>
    </w:p>
    <w:p>
      <w:pPr>
        <w:adjustRightInd w:val="0"/>
        <w:snapToGrid w:val="0"/>
        <w:spacing w:line="600" w:lineRule="exact"/>
        <w:ind w:left="210" w:leftChars="100" w:firstLine="240" w:firstLineChars="100"/>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u w:val="single"/>
          <w14:textFill>
            <w14:solidFill>
              <w14:schemeClr w14:val="tx1"/>
            </w14:solidFill>
          </w14:textFill>
        </w:rPr>
        <w:t>(供应商名称):</w:t>
      </w:r>
    </w:p>
    <w:p>
      <w:pPr>
        <w:adjustRightInd w:val="0"/>
        <w:snapToGrid w:val="0"/>
        <w:spacing w:line="600" w:lineRule="exact"/>
        <w:ind w:left="210" w:leftChars="100" w:firstLine="496" w:firstLineChars="207"/>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w:t>
      </w:r>
    </w:p>
    <w:p>
      <w:pPr>
        <w:adjustRightInd w:val="0"/>
        <w:snapToGrid w:val="0"/>
        <w:spacing w:line="600" w:lineRule="exact"/>
        <w:ind w:left="210" w:leftChars="100" w:firstLine="496" w:firstLineChars="207"/>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w:t>
      </w:r>
    </w:p>
    <w:p>
      <w:pPr>
        <w:adjustRightInd w:val="0"/>
        <w:snapToGrid w:val="0"/>
        <w:spacing w:line="600" w:lineRule="exact"/>
        <w:ind w:left="508" w:leftChars="242" w:firstLine="496" w:firstLineChars="207"/>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600" w:lineRule="exact"/>
        <w:ind w:left="141" w:leftChars="67" w:firstLine="566" w:firstLineChars="236"/>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请将上述问题的澄清、说明和补正于年月日时前递交至</w:t>
      </w:r>
      <w:r>
        <w:rPr>
          <w:rFonts w:hint="eastAsia" w:ascii="宋体" w:hAnsi="宋体" w:cs="仿宋"/>
          <w:color w:val="000000" w:themeColor="text1"/>
          <w:sz w:val="24"/>
          <w:highlight w:val="none"/>
          <w:u w:val="single"/>
          <w14:textFill>
            <w14:solidFill>
              <w14:schemeClr w14:val="tx1"/>
            </w14:solidFill>
          </w14:textFill>
        </w:rPr>
        <w:t>(详细地址)</w:t>
      </w:r>
      <w:r>
        <w:rPr>
          <w:rFonts w:hint="eastAsia" w:ascii="宋体" w:hAnsi="宋体" w:cs="仿宋"/>
          <w:color w:val="000000" w:themeColor="text1"/>
          <w:sz w:val="24"/>
          <w:highlight w:val="none"/>
          <w14:textFill>
            <w14:solidFill>
              <w14:schemeClr w14:val="tx1"/>
            </w14:solidFill>
          </w14:textFill>
        </w:rPr>
        <w:t>或发电子邮件至</w:t>
      </w:r>
      <w:r>
        <w:rPr>
          <w:rFonts w:hint="eastAsia" w:ascii="宋体" w:hAnsi="宋体" w:cs="仿宋"/>
          <w:color w:val="000000" w:themeColor="text1"/>
          <w:sz w:val="24"/>
          <w:highlight w:val="none"/>
          <w:u w:val="single"/>
          <w14:textFill>
            <w14:solidFill>
              <w14:schemeClr w14:val="tx1"/>
            </w14:solidFill>
          </w14:textFill>
        </w:rPr>
        <w:t>(电子邮箱地址)</w:t>
      </w:r>
      <w:r>
        <w:rPr>
          <w:rFonts w:hint="eastAsia" w:ascii="宋体" w:hAnsi="宋体" w:cs="仿宋"/>
          <w:color w:val="000000" w:themeColor="text1"/>
          <w:sz w:val="24"/>
          <w:highlight w:val="none"/>
          <w14:textFill>
            <w14:solidFill>
              <w14:schemeClr w14:val="tx1"/>
            </w14:solidFill>
          </w14:textFill>
        </w:rPr>
        <w:t>。采用电子邮件方式的，应在年月日_时前将原件递交至</w:t>
      </w:r>
      <w:r>
        <w:rPr>
          <w:rFonts w:hint="eastAsia" w:ascii="宋体" w:hAnsi="宋体" w:cs="仿宋"/>
          <w:color w:val="000000" w:themeColor="text1"/>
          <w:sz w:val="24"/>
          <w:highlight w:val="none"/>
          <w:u w:val="single"/>
          <w14:textFill>
            <w14:solidFill>
              <w14:schemeClr w14:val="tx1"/>
            </w14:solidFill>
          </w14:textFill>
        </w:rPr>
        <w:t>(详细地址)</w:t>
      </w: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600" w:lineRule="exact"/>
        <w:ind w:left="141" w:leftChars="67" w:firstLine="566" w:firstLineChars="236"/>
        <w:jc w:val="both"/>
        <w:rPr>
          <w:rFonts w:ascii="宋体" w:hAnsi="宋体" w:cs="仿宋"/>
          <w:color w:val="000000" w:themeColor="text1"/>
          <w:sz w:val="24"/>
          <w:highlight w:val="none"/>
          <w14:textFill>
            <w14:solidFill>
              <w14:schemeClr w14:val="tx1"/>
            </w14:solidFill>
          </w14:textFill>
        </w:rPr>
      </w:pPr>
    </w:p>
    <w:p>
      <w:pPr>
        <w:adjustRightInd w:val="0"/>
        <w:snapToGrid w:val="0"/>
        <w:spacing w:line="600" w:lineRule="exact"/>
        <w:ind w:left="210" w:leftChars="100" w:firstLine="240" w:firstLineChars="100"/>
        <w:jc w:val="both"/>
        <w:rPr>
          <w:rFonts w:ascii="宋体" w:hAnsi="宋体" w:cs="仿宋"/>
          <w:color w:val="000000" w:themeColor="text1"/>
          <w:sz w:val="24"/>
          <w:highlight w:val="none"/>
          <w14:textFill>
            <w14:solidFill>
              <w14:schemeClr w14:val="tx1"/>
            </w14:solidFill>
          </w14:textFill>
        </w:rPr>
      </w:pPr>
    </w:p>
    <w:p>
      <w:pPr>
        <w:adjustRightInd w:val="0"/>
        <w:snapToGrid w:val="0"/>
        <w:spacing w:line="600" w:lineRule="exact"/>
        <w:ind w:left="210" w:leftChars="100" w:firstLine="240" w:firstLineChars="100"/>
        <w:jc w:val="both"/>
        <w:rPr>
          <w:rFonts w:ascii="宋体" w:hAnsi="宋体" w:cs="仿宋"/>
          <w:color w:val="000000" w:themeColor="text1"/>
          <w:sz w:val="24"/>
          <w:highlight w:val="none"/>
          <w14:textFill>
            <w14:solidFill>
              <w14:schemeClr w14:val="tx1"/>
            </w14:solidFill>
          </w14:textFill>
        </w:rPr>
      </w:pPr>
    </w:p>
    <w:p>
      <w:pPr>
        <w:adjustRightInd w:val="0"/>
        <w:snapToGrid w:val="0"/>
        <w:spacing w:line="600" w:lineRule="exact"/>
        <w:ind w:left="210" w:leftChars="100" w:firstLine="4560" w:firstLineChars="1900"/>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采购人(或采购代理机构):</w:t>
      </w:r>
      <w:r>
        <w:rPr>
          <w:rFonts w:hint="eastAsia" w:ascii="宋体" w:hAnsi="宋体" w:cs="仿宋"/>
          <w:color w:val="000000" w:themeColor="text1"/>
          <w:sz w:val="24"/>
          <w:highlight w:val="none"/>
          <w:u w:val="single"/>
          <w14:textFill>
            <w14:solidFill>
              <w14:schemeClr w14:val="tx1"/>
            </w14:solidFill>
          </w14:textFill>
        </w:rPr>
        <w:t>(签字或盖单位章)</w:t>
      </w:r>
    </w:p>
    <w:p>
      <w:pPr>
        <w:spacing w:line="600" w:lineRule="exact"/>
        <w:ind w:firstLine="6480" w:firstLineChars="2700"/>
        <w:jc w:val="both"/>
        <w:rPr>
          <w:rFonts w:ascii="仿宋" w:hAnsi="仿宋" w:eastAsia="仿宋"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年月日</w:t>
      </w:r>
      <w:r>
        <w:rPr>
          <w:rFonts w:hint="eastAsia" w:ascii="仿宋" w:hAnsi="仿宋" w:eastAsia="仿宋" w:cs="仿宋"/>
          <w:color w:val="000000" w:themeColor="text1"/>
          <w:sz w:val="30"/>
          <w:szCs w:val="30"/>
          <w:highlight w:val="none"/>
          <w14:textFill>
            <w14:solidFill>
              <w14:schemeClr w14:val="tx1"/>
            </w14:solidFill>
          </w14:textFill>
        </w:rPr>
        <w:br w:type="page"/>
      </w:r>
    </w:p>
    <w:p>
      <w:pPr>
        <w:adjustRightInd w:val="0"/>
        <w:snapToGrid w:val="0"/>
        <w:spacing w:line="600" w:lineRule="exact"/>
        <w:ind w:firstLine="567" w:firstLineChars="189"/>
        <w:rPr>
          <w:rFonts w:ascii="宋体" w:hAnsi="宋体"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30"/>
          <w:szCs w:val="30"/>
          <w:highlight w:val="none"/>
          <w14:textFill>
            <w14:solidFill>
              <w14:schemeClr w14:val="tx1"/>
            </w14:solidFill>
          </w14:textFill>
        </w:rPr>
        <w:t>附件3  问题的澄清</w:t>
      </w:r>
    </w:p>
    <w:p>
      <w:pPr>
        <w:adjustRightInd w:val="0"/>
        <w:snapToGrid w:val="0"/>
        <w:spacing w:line="600" w:lineRule="exact"/>
        <w:jc w:val="center"/>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600" w:lineRule="exact"/>
        <w:jc w:val="center"/>
        <w:rPr>
          <w:rFonts w:ascii="华文中宋" w:hAnsi="华文中宋" w:eastAsia="华文中宋" w:cs="仿宋"/>
          <w:b/>
          <w:bCs/>
          <w:color w:val="000000" w:themeColor="text1"/>
          <w:sz w:val="36"/>
          <w:szCs w:val="36"/>
          <w:highlight w:val="none"/>
          <w14:textFill>
            <w14:solidFill>
              <w14:schemeClr w14:val="tx1"/>
            </w14:solidFill>
          </w14:textFill>
        </w:rPr>
      </w:pPr>
      <w:r>
        <w:rPr>
          <w:rFonts w:hint="eastAsia" w:ascii="华文中宋" w:hAnsi="华文中宋" w:eastAsia="华文中宋" w:cs="仿宋"/>
          <w:b/>
          <w:bCs/>
          <w:color w:val="000000" w:themeColor="text1"/>
          <w:sz w:val="36"/>
          <w:szCs w:val="36"/>
          <w:highlight w:val="none"/>
          <w14:textFill>
            <w14:solidFill>
              <w14:schemeClr w14:val="tx1"/>
            </w14:solidFill>
          </w14:textFill>
        </w:rPr>
        <w:t>问题的澄清</w:t>
      </w:r>
    </w:p>
    <w:p>
      <w:pPr>
        <w:adjustRightInd w:val="0"/>
        <w:snapToGrid w:val="0"/>
        <w:spacing w:line="600" w:lineRule="exact"/>
        <w:ind w:firstLine="480" w:firstLineChars="200"/>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(编号:)</w:t>
      </w:r>
    </w:p>
    <w:p>
      <w:pPr>
        <w:adjustRightInd w:val="0"/>
        <w:snapToGrid w:val="0"/>
        <w:spacing w:line="600" w:lineRule="exact"/>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w:t>
      </w:r>
    </w:p>
    <w:p>
      <w:pPr>
        <w:adjustRightInd w:val="0"/>
        <w:snapToGrid w:val="0"/>
        <w:spacing w:line="600" w:lineRule="exact"/>
        <w:ind w:firstLine="530" w:firstLineChars="2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问题澄清通知(编号:)已收悉，现澄清、说明和补正如下：</w:t>
      </w:r>
    </w:p>
    <w:p>
      <w:pPr>
        <w:adjustRightInd w:val="0"/>
        <w:snapToGrid w:val="0"/>
        <w:spacing w:line="600" w:lineRule="exact"/>
        <w:ind w:firstLine="530" w:firstLineChars="2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w:t>
      </w:r>
    </w:p>
    <w:p>
      <w:pPr>
        <w:adjustRightInd w:val="0"/>
        <w:snapToGrid w:val="0"/>
        <w:spacing w:line="600" w:lineRule="exact"/>
        <w:ind w:firstLine="530" w:firstLineChars="2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w:t>
      </w:r>
    </w:p>
    <w:p>
      <w:pPr>
        <w:adjustRightInd w:val="0"/>
        <w:snapToGrid w:val="0"/>
        <w:spacing w:line="600" w:lineRule="exact"/>
        <w:ind w:firstLine="530" w:firstLineChars="2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600" w:lineRule="exact"/>
        <w:ind w:firstLine="530" w:firstLineChars="2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上述问题澄清、说明和补正，构成我方响应文件的组成部分。</w:t>
      </w:r>
    </w:p>
    <w:p>
      <w:pPr>
        <w:adjustRightInd w:val="0"/>
        <w:snapToGrid w:val="0"/>
        <w:spacing w:line="600" w:lineRule="exact"/>
        <w:ind w:firstLine="530" w:firstLineChars="221"/>
        <w:jc w:val="both"/>
        <w:rPr>
          <w:rFonts w:ascii="宋体" w:hAnsi="宋体" w:cs="仿宋"/>
          <w:color w:val="000000" w:themeColor="text1"/>
          <w:sz w:val="24"/>
          <w:highlight w:val="none"/>
          <w14:textFill>
            <w14:solidFill>
              <w14:schemeClr w14:val="tx1"/>
            </w14:solidFill>
          </w14:textFill>
        </w:rPr>
      </w:pPr>
    </w:p>
    <w:p>
      <w:pPr>
        <w:adjustRightInd w:val="0"/>
        <w:snapToGrid w:val="0"/>
        <w:spacing w:line="600" w:lineRule="exact"/>
        <w:ind w:firstLine="5090" w:firstLineChars="2121"/>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w:t>
      </w:r>
      <w:r>
        <w:rPr>
          <w:rFonts w:hint="eastAsia" w:ascii="宋体" w:hAnsi="宋体" w:cs="仿宋"/>
          <w:color w:val="000000" w:themeColor="text1"/>
          <w:sz w:val="24"/>
          <w:highlight w:val="none"/>
          <w:u w:val="single"/>
          <w14:textFill>
            <w14:solidFill>
              <w14:schemeClr w14:val="tx1"/>
            </w14:solidFill>
          </w14:textFill>
        </w:rPr>
        <w:t>(盖单位章)</w:t>
      </w:r>
    </w:p>
    <w:p>
      <w:pPr>
        <w:adjustRightInd w:val="0"/>
        <w:snapToGrid w:val="0"/>
        <w:spacing w:line="600" w:lineRule="exact"/>
        <w:ind w:firstLine="3410" w:firstLineChars="1421"/>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法定代表人(单位负责人)或其授权的代理人:</w:t>
      </w:r>
      <w:r>
        <w:rPr>
          <w:rFonts w:hint="eastAsia" w:ascii="宋体" w:hAnsi="宋体" w:cs="仿宋"/>
          <w:color w:val="000000" w:themeColor="text1"/>
          <w:sz w:val="24"/>
          <w:highlight w:val="none"/>
          <w:u w:val="single"/>
          <w14:textFill>
            <w14:solidFill>
              <w14:schemeClr w14:val="tx1"/>
            </w14:solidFill>
          </w14:textFill>
        </w:rPr>
        <w:t>(签字)</w:t>
      </w:r>
    </w:p>
    <w:p>
      <w:pPr>
        <w:spacing w:line="600" w:lineRule="exact"/>
        <w:ind w:firstLine="5570" w:firstLineChars="23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年月日</w:t>
      </w:r>
      <w:r>
        <w:rPr>
          <w:rFonts w:hint="eastAsia" w:ascii="宋体" w:hAnsi="宋体" w:cs="仿宋"/>
          <w:color w:val="000000" w:themeColor="text1"/>
          <w:sz w:val="24"/>
          <w:highlight w:val="none"/>
          <w14:textFill>
            <w14:solidFill>
              <w14:schemeClr w14:val="tx1"/>
            </w14:solidFill>
          </w14:textFill>
        </w:rPr>
        <w:br w:type="page"/>
      </w:r>
    </w:p>
    <w:p>
      <w:pPr>
        <w:adjustRightInd w:val="0"/>
        <w:snapToGrid w:val="0"/>
        <w:spacing w:line="600" w:lineRule="exact"/>
        <w:ind w:firstLine="567" w:firstLineChars="189"/>
        <w:rPr>
          <w:rFonts w:ascii="宋体" w:hAnsi="宋体"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30"/>
          <w:szCs w:val="30"/>
          <w:highlight w:val="none"/>
          <w14:textFill>
            <w14:solidFill>
              <w14:schemeClr w14:val="tx1"/>
            </w14:solidFill>
          </w14:textFill>
        </w:rPr>
        <w:t>附件4  成交通知书</w:t>
      </w:r>
    </w:p>
    <w:p>
      <w:pPr>
        <w:adjustRightInd w:val="0"/>
        <w:snapToGrid w:val="0"/>
        <w:spacing w:line="600" w:lineRule="exact"/>
        <w:jc w:val="center"/>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600" w:lineRule="exact"/>
        <w:jc w:val="center"/>
        <w:rPr>
          <w:rFonts w:ascii="华文中宋" w:hAnsi="华文中宋" w:eastAsia="华文中宋" w:cs="仿宋"/>
          <w:b/>
          <w:bCs/>
          <w:color w:val="000000" w:themeColor="text1"/>
          <w:sz w:val="36"/>
          <w:szCs w:val="36"/>
          <w:highlight w:val="none"/>
          <w14:textFill>
            <w14:solidFill>
              <w14:schemeClr w14:val="tx1"/>
            </w14:solidFill>
          </w14:textFill>
        </w:rPr>
      </w:pPr>
      <w:r>
        <w:rPr>
          <w:rFonts w:hint="eastAsia" w:ascii="华文中宋" w:hAnsi="华文中宋" w:eastAsia="华文中宋" w:cs="仿宋"/>
          <w:b/>
          <w:bCs/>
          <w:color w:val="000000" w:themeColor="text1"/>
          <w:sz w:val="36"/>
          <w:szCs w:val="36"/>
          <w:highlight w:val="none"/>
          <w14:textFill>
            <w14:solidFill>
              <w14:schemeClr w14:val="tx1"/>
            </w14:solidFill>
          </w14:textFill>
        </w:rPr>
        <w:t>成交通知书</w:t>
      </w:r>
    </w:p>
    <w:p>
      <w:pPr>
        <w:adjustRightInd w:val="0"/>
        <w:snapToGrid w:val="0"/>
        <w:spacing w:line="600" w:lineRule="exact"/>
        <w:ind w:firstLine="723" w:firstLineChars="200"/>
        <w:jc w:val="both"/>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u w:val="single"/>
          <w14:textFill>
            <w14:solidFill>
              <w14:schemeClr w14:val="tx1"/>
            </w14:solidFill>
          </w14:textFill>
        </w:rPr>
        <w:t>(成交供应商名称)</w:t>
      </w: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你方所递交的</w:t>
      </w:r>
      <w:r>
        <w:rPr>
          <w:rFonts w:hint="eastAsia" w:ascii="宋体" w:hAnsi="宋体" w:cs="仿宋"/>
          <w:color w:val="000000" w:themeColor="text1"/>
          <w:sz w:val="24"/>
          <w:highlight w:val="none"/>
          <w:u w:val="single"/>
          <w14:textFill>
            <w14:solidFill>
              <w14:schemeClr w14:val="tx1"/>
            </w14:solidFill>
          </w14:textFill>
        </w:rPr>
        <w:t>(项目名称)</w:t>
      </w:r>
      <w:r>
        <w:rPr>
          <w:rFonts w:hint="eastAsia" w:ascii="宋体" w:hAnsi="宋体" w:cs="仿宋"/>
          <w:color w:val="000000" w:themeColor="text1"/>
          <w:sz w:val="24"/>
          <w:highlight w:val="none"/>
          <w14:textFill>
            <w14:solidFill>
              <w14:schemeClr w14:val="tx1"/>
            </w14:solidFill>
          </w14:textFill>
        </w:rPr>
        <w:t>的响应文件已被我方接受，被确定为成交供应商。</w:t>
      </w:r>
    </w:p>
    <w:p>
      <w:pPr>
        <w:adjustRightInd w:val="0"/>
        <w:snapToGrid w:val="0"/>
        <w:spacing w:line="600" w:lineRule="exact"/>
        <w:ind w:firstLine="480" w:firstLineChars="200"/>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成交价: 。</w:t>
      </w: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请你方在接到本通知书后的日内到</w:t>
      </w:r>
      <w:r>
        <w:rPr>
          <w:rFonts w:hint="eastAsia" w:ascii="宋体" w:hAnsi="宋体" w:cs="仿宋"/>
          <w:color w:val="000000" w:themeColor="text1"/>
          <w:sz w:val="24"/>
          <w:highlight w:val="none"/>
          <w:u w:val="single"/>
          <w14:textFill>
            <w14:solidFill>
              <w14:schemeClr w14:val="tx1"/>
            </w14:solidFill>
          </w14:textFill>
        </w:rPr>
        <w:t>(指定地点)</w:t>
      </w:r>
      <w:r>
        <w:rPr>
          <w:rFonts w:hint="eastAsia" w:ascii="宋体" w:hAnsi="宋体" w:cs="仿宋"/>
          <w:color w:val="000000" w:themeColor="text1"/>
          <w:sz w:val="24"/>
          <w:highlight w:val="none"/>
          <w14:textFill>
            <w14:solidFill>
              <w14:schemeClr w14:val="tx1"/>
            </w14:solidFill>
          </w14:textFill>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特此通知。</w:t>
      </w: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p>
    <w:p>
      <w:pPr>
        <w:adjustRightInd w:val="0"/>
        <w:snapToGrid w:val="0"/>
        <w:spacing w:line="600" w:lineRule="exact"/>
        <w:ind w:firstLine="5090" w:firstLineChars="2121"/>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采购人(或采购代理机构):</w:t>
      </w:r>
      <w:r>
        <w:rPr>
          <w:rFonts w:hint="eastAsia" w:ascii="宋体" w:hAnsi="宋体" w:cs="仿宋"/>
          <w:color w:val="000000" w:themeColor="text1"/>
          <w:sz w:val="24"/>
          <w:highlight w:val="none"/>
          <w:u w:val="single"/>
          <w14:textFill>
            <w14:solidFill>
              <w14:schemeClr w14:val="tx1"/>
            </w14:solidFill>
          </w14:textFill>
        </w:rPr>
        <w:t>(盖单位章)</w:t>
      </w:r>
    </w:p>
    <w:p>
      <w:pPr>
        <w:adjustRightInd w:val="0"/>
        <w:snapToGrid w:val="0"/>
        <w:spacing w:line="600" w:lineRule="exact"/>
        <w:ind w:firstLine="6240" w:firstLineChars="2600"/>
        <w:jc w:val="both"/>
        <w:rPr>
          <w:rFonts w:ascii="仿宋" w:hAnsi="仿宋" w:eastAsia="仿宋"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年月日</w:t>
      </w:r>
      <w:r>
        <w:rPr>
          <w:rFonts w:hint="eastAsia" w:ascii="仿宋" w:hAnsi="仿宋" w:eastAsia="仿宋" w:cs="仿宋"/>
          <w:color w:val="000000" w:themeColor="text1"/>
          <w:sz w:val="30"/>
          <w:szCs w:val="30"/>
          <w:highlight w:val="none"/>
          <w14:textFill>
            <w14:solidFill>
              <w14:schemeClr w14:val="tx1"/>
            </w14:solidFill>
          </w14:textFill>
        </w:rPr>
        <w:br w:type="page"/>
      </w:r>
    </w:p>
    <w:p>
      <w:pPr>
        <w:adjustRightInd w:val="0"/>
        <w:snapToGrid w:val="0"/>
        <w:spacing w:line="600" w:lineRule="exact"/>
        <w:ind w:firstLine="567" w:firstLineChars="189"/>
        <w:rPr>
          <w:rFonts w:ascii="宋体" w:hAnsi="宋体"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30"/>
          <w:szCs w:val="30"/>
          <w:highlight w:val="none"/>
          <w14:textFill>
            <w14:solidFill>
              <w14:schemeClr w14:val="tx1"/>
            </w14:solidFill>
          </w14:textFill>
        </w:rPr>
        <w:t>附件5  确认通知</w:t>
      </w:r>
    </w:p>
    <w:p>
      <w:pPr>
        <w:adjustRightInd w:val="0"/>
        <w:snapToGrid w:val="0"/>
        <w:spacing w:line="600" w:lineRule="exact"/>
        <w:ind w:firstLine="723" w:firstLineChars="200"/>
        <w:jc w:val="both"/>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600" w:lineRule="exact"/>
        <w:ind w:firstLine="723"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r>
        <w:rPr>
          <w:rFonts w:hint="eastAsia" w:ascii="华文中宋" w:hAnsi="华文中宋" w:eastAsia="华文中宋" w:cs="仿宋"/>
          <w:b/>
          <w:bCs/>
          <w:color w:val="000000" w:themeColor="text1"/>
          <w:sz w:val="36"/>
          <w:szCs w:val="36"/>
          <w:highlight w:val="none"/>
          <w14:textFill>
            <w14:solidFill>
              <w14:schemeClr w14:val="tx1"/>
            </w14:solidFill>
          </w14:textFill>
        </w:rPr>
        <w:t>确认通知</w:t>
      </w:r>
    </w:p>
    <w:p>
      <w:pPr>
        <w:adjustRightInd w:val="0"/>
        <w:snapToGrid w:val="0"/>
        <w:spacing w:line="600" w:lineRule="exact"/>
        <w:ind w:firstLine="723" w:firstLineChars="200"/>
        <w:jc w:val="both"/>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600" w:lineRule="exact"/>
        <w:ind w:firstLine="480" w:firstLineChars="200"/>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u w:val="single"/>
          <w14:textFill>
            <w14:solidFill>
              <w14:schemeClr w14:val="tx1"/>
            </w14:solidFill>
          </w14:textFill>
        </w:rPr>
        <w:t xml:space="preserve">           （采购人或采购代理机构名称)</w:t>
      </w: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你方于年月日发出的的</w:t>
      </w:r>
      <w:r>
        <w:rPr>
          <w:rFonts w:hint="eastAsia" w:ascii="宋体" w:hAnsi="宋体" w:cs="仿宋"/>
          <w:color w:val="000000" w:themeColor="text1"/>
          <w:sz w:val="24"/>
          <w:highlight w:val="none"/>
          <w:u w:val="single"/>
          <w14:textFill>
            <w14:solidFill>
              <w14:schemeClr w14:val="tx1"/>
            </w14:solidFill>
          </w14:textFill>
        </w:rPr>
        <w:t>(项目名称)</w:t>
      </w:r>
      <w:r>
        <w:rPr>
          <w:rFonts w:hint="eastAsia" w:ascii="宋体" w:hAnsi="宋体" w:cs="仿宋"/>
          <w:color w:val="000000" w:themeColor="text1"/>
          <w:sz w:val="24"/>
          <w:highlight w:val="none"/>
          <w14:textFill>
            <w14:solidFill>
              <w14:schemeClr w14:val="tx1"/>
            </w14:solidFill>
          </w14:textFill>
        </w:rPr>
        <w:t>采购文件的澄清/修改的通知，我方已于年月日收到。</w:t>
      </w: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特此确认。</w:t>
      </w: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p>
    <w:p>
      <w:pPr>
        <w:adjustRightInd w:val="0"/>
        <w:snapToGrid w:val="0"/>
        <w:spacing w:line="600" w:lineRule="exact"/>
        <w:ind w:firstLine="5090" w:firstLineChars="2121"/>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w:t>
      </w:r>
      <w:r>
        <w:rPr>
          <w:rFonts w:hint="eastAsia" w:ascii="宋体" w:hAnsi="宋体" w:cs="仿宋"/>
          <w:color w:val="000000" w:themeColor="text1"/>
          <w:sz w:val="24"/>
          <w:highlight w:val="none"/>
          <w:u w:val="single"/>
          <w14:textFill>
            <w14:solidFill>
              <w14:schemeClr w14:val="tx1"/>
            </w14:solidFill>
          </w14:textFill>
        </w:rPr>
        <w:t>(盖单位章)</w:t>
      </w:r>
    </w:p>
    <w:p>
      <w:pPr>
        <w:pStyle w:val="82"/>
        <w:spacing w:line="600" w:lineRule="exact"/>
        <w:ind w:left="420" w:firstLine="5280" w:firstLineChars="2200"/>
        <w:jc w:val="both"/>
        <w:rPr>
          <w:rFonts w:cs="仿宋"/>
          <w:b/>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年月日</w:t>
      </w:r>
    </w:p>
    <w:p>
      <w:pPr>
        <w:spacing w:line="240" w:lineRule="auto"/>
        <w:jc w:val="both"/>
        <w:rPr>
          <w:rFonts w:ascii="宋体" w:hAnsi="宋体" w:cs="仿宋"/>
          <w:b/>
          <w:color w:val="000000" w:themeColor="text1"/>
          <w:kern w:val="0"/>
          <w:sz w:val="24"/>
          <w:highlight w:val="none"/>
          <w14:textFill>
            <w14:solidFill>
              <w14:schemeClr w14:val="tx1"/>
            </w14:solidFill>
          </w14:textFill>
        </w:rPr>
      </w:pPr>
      <w:r>
        <w:rPr>
          <w:rFonts w:ascii="宋体" w:hAnsi="宋体" w:cs="仿宋"/>
          <w:b/>
          <w:color w:val="000000" w:themeColor="text1"/>
          <w:sz w:val="24"/>
          <w:highlight w:val="none"/>
          <w14:textFill>
            <w14:solidFill>
              <w14:schemeClr w14:val="tx1"/>
            </w14:solidFill>
          </w14:textFill>
        </w:rPr>
        <w:br w:type="page"/>
      </w:r>
    </w:p>
    <w:p>
      <w:pPr>
        <w:adjustRightInd w:val="0"/>
        <w:snapToGrid w:val="0"/>
        <w:spacing w:line="600" w:lineRule="exact"/>
        <w:jc w:val="center"/>
        <w:rPr>
          <w:rFonts w:ascii="黑体" w:hAnsi="黑体" w:eastAsia="黑体" w:cs="仿宋"/>
          <w:bCs/>
          <w:color w:val="000000" w:themeColor="text1"/>
          <w:sz w:val="36"/>
          <w:szCs w:val="36"/>
          <w:highlight w:val="none"/>
          <w14:textFill>
            <w14:solidFill>
              <w14:schemeClr w14:val="tx1"/>
            </w14:solidFill>
          </w14:textFill>
        </w:rPr>
      </w:pPr>
      <w:r>
        <w:rPr>
          <w:rFonts w:hint="eastAsia" w:ascii="黑体" w:hAnsi="黑体" w:eastAsia="黑体" w:cs="仿宋"/>
          <w:bCs/>
          <w:color w:val="000000" w:themeColor="text1"/>
          <w:sz w:val="36"/>
          <w:szCs w:val="36"/>
          <w:highlight w:val="none"/>
          <w14:textFill>
            <w14:solidFill>
              <w14:schemeClr w14:val="tx1"/>
            </w14:solidFill>
          </w14:textFill>
        </w:rPr>
        <w:t>第三章 评审办法</w:t>
      </w:r>
    </w:p>
    <w:p>
      <w:pPr>
        <w:adjustRightInd w:val="0"/>
        <w:snapToGrid w:val="0"/>
        <w:spacing w:before="120" w:beforeLines="50" w:after="120" w:afterLines="50" w:line="312" w:lineRule="auto"/>
        <w:jc w:val="center"/>
        <w:rPr>
          <w:rFonts w:ascii="黑体" w:hAnsi="黑体" w:eastAsia="黑体" w:cs="仿宋"/>
          <w:bCs/>
          <w:color w:val="000000" w:themeColor="text1"/>
          <w:sz w:val="32"/>
          <w:szCs w:val="32"/>
          <w:highlight w:val="none"/>
          <w14:textFill>
            <w14:solidFill>
              <w14:schemeClr w14:val="tx1"/>
            </w14:solidFill>
          </w14:textFill>
        </w:rPr>
      </w:pPr>
      <w:r>
        <w:rPr>
          <w:rFonts w:hint="eastAsia" w:ascii="黑体" w:hAnsi="黑体" w:eastAsia="黑体" w:cs="仿宋"/>
          <w:bCs/>
          <w:color w:val="000000" w:themeColor="text1"/>
          <w:sz w:val="32"/>
          <w:szCs w:val="32"/>
          <w:highlight w:val="none"/>
          <w14:textFill>
            <w14:solidFill>
              <w14:schemeClr w14:val="tx1"/>
            </w14:solidFill>
          </w14:textFill>
        </w:rPr>
        <w:t>评审办法前附表</w:t>
      </w:r>
    </w:p>
    <w:tbl>
      <w:tblPr>
        <w:tblStyle w:val="44"/>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1</w:t>
            </w:r>
          </w:p>
        </w:tc>
        <w:tc>
          <w:tcPr>
            <w:tcW w:w="1252"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评审方法</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评审方法</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w:t>
            </w:r>
            <w:r>
              <w:rPr>
                <w:rFonts w:ascii="宋体" w:hAnsi="宋体"/>
                <w:color w:val="000000" w:themeColor="text1"/>
                <w:szCs w:val="21"/>
                <w:highlight w:val="none"/>
                <w14:textFill>
                  <w14:solidFill>
                    <w14:schemeClr w14:val="tx1"/>
                  </w14:solidFill>
                </w14:textFill>
              </w:rPr>
              <w:t>营业执照</w:t>
            </w:r>
            <w:r>
              <w:rPr>
                <w:rFonts w:hint="eastAsia" w:ascii="宋体" w:hAnsi="宋体"/>
                <w:color w:val="000000" w:themeColor="text1"/>
                <w:szCs w:val="21"/>
                <w:highlight w:val="none"/>
                <w14:textFill>
                  <w14:solidFill>
                    <w14:schemeClr w14:val="tx1"/>
                  </w14:solidFill>
                </w14:textFill>
              </w:rPr>
              <w:t>或事业单位法人证书</w:t>
            </w:r>
            <w:r>
              <w:rPr>
                <w:rFonts w:ascii="宋体" w:hAnsi="宋体"/>
                <w:color w:val="000000" w:themeColor="text1"/>
                <w:szCs w:val="21"/>
                <w:highlight w:val="none"/>
                <w14:textFill>
                  <w14:solidFill>
                    <w14:schemeClr w14:val="tx1"/>
                  </w14:solidFill>
                </w14:textFill>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报价唯一</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依法设立</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资质要求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财务要求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业绩要求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信誉要求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人员要求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无符合第一章第3.1款及供应商须知前附表第3.5（6）款规定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其他要求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不存在第一章第3.1款情形</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联合体供应商</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报价</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响应方案</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服务要求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完成期限</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合同条款</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2.2.2</w:t>
            </w:r>
          </w:p>
        </w:tc>
        <w:tc>
          <w:tcPr>
            <w:tcW w:w="1252"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评审价格</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符合第三章第2.2.2项的规定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3.1</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分值构成（总分100分）</w:t>
            </w:r>
          </w:p>
        </w:tc>
        <w:tc>
          <w:tcPr>
            <w:tcW w:w="5676" w:type="dxa"/>
          </w:tcPr>
          <w:p>
            <w:pPr>
              <w:widowControl/>
              <w:numPr>
                <w:ilvl w:val="0"/>
                <w:numId w:val="2"/>
              </w:numPr>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商务部分：</w:t>
            </w:r>
            <w:r>
              <w:rPr>
                <w:rFonts w:hint="eastAsia" w:cs="仿宋" w:asciiTheme="minorEastAsia" w:hAnsiTheme="minorEastAsia" w:eastAsiaTheme="minorEastAsia"/>
                <w:color w:val="000000" w:themeColor="text1"/>
                <w:szCs w:val="21"/>
                <w:highlight w:val="none"/>
                <w:u w:val="single"/>
                <w14:textFill>
                  <w14:solidFill>
                    <w14:schemeClr w14:val="tx1"/>
                  </w14:solidFill>
                </w14:textFill>
              </w:rPr>
              <w:t xml:space="preserve">   40   </w:t>
            </w:r>
            <w:r>
              <w:rPr>
                <w:rFonts w:hint="eastAsia" w:cs="仿宋" w:asciiTheme="minorEastAsia" w:hAnsiTheme="minorEastAsia" w:eastAsiaTheme="minorEastAsia"/>
                <w:color w:val="000000" w:themeColor="text1"/>
                <w:szCs w:val="21"/>
                <w:highlight w:val="none"/>
                <w14:textFill>
                  <w14:solidFill>
                    <w14:schemeClr w14:val="tx1"/>
                  </w14:solidFill>
                </w14:textFill>
              </w:rPr>
              <w:t>分</w:t>
            </w:r>
          </w:p>
          <w:p>
            <w:pPr>
              <w:widowControl/>
              <w:numPr>
                <w:ilvl w:val="0"/>
                <w:numId w:val="2"/>
              </w:numPr>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技术部分：</w:t>
            </w:r>
            <w:r>
              <w:rPr>
                <w:rFonts w:hint="eastAsia" w:cs="仿宋" w:asciiTheme="minorEastAsia" w:hAnsiTheme="minorEastAsia" w:eastAsiaTheme="minorEastAsia"/>
                <w:color w:val="000000" w:themeColor="text1"/>
                <w:szCs w:val="21"/>
                <w:highlight w:val="none"/>
                <w:u w:val="single"/>
                <w14:textFill>
                  <w14:solidFill>
                    <w14:schemeClr w14:val="tx1"/>
                  </w14:solidFill>
                </w14:textFill>
              </w:rPr>
              <w:t xml:space="preserve">   30  </w:t>
            </w:r>
            <w:r>
              <w:rPr>
                <w:rFonts w:hint="eastAsia" w:cs="仿宋" w:asciiTheme="minorEastAsia" w:hAnsiTheme="minorEastAsia" w:eastAsiaTheme="minorEastAsia"/>
                <w:color w:val="000000" w:themeColor="text1"/>
                <w:szCs w:val="21"/>
                <w:highlight w:val="none"/>
                <w14:textFill>
                  <w14:solidFill>
                    <w14:schemeClr w14:val="tx1"/>
                  </w14:solidFill>
                </w14:textFill>
              </w:rPr>
              <w:t>分</w:t>
            </w:r>
          </w:p>
          <w:p>
            <w:pPr>
              <w:widowControl/>
              <w:numPr>
                <w:ilvl w:val="0"/>
                <w:numId w:val="2"/>
              </w:numPr>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报价部分：</w:t>
            </w:r>
            <w:r>
              <w:rPr>
                <w:rFonts w:hint="eastAsia" w:cs="仿宋" w:asciiTheme="minorEastAsia" w:hAnsiTheme="minorEastAsia" w:eastAsiaTheme="minorEastAsia"/>
                <w:color w:val="000000" w:themeColor="text1"/>
                <w:szCs w:val="21"/>
                <w:highlight w:val="none"/>
                <w:u w:val="single"/>
                <w14:textFill>
                  <w14:solidFill>
                    <w14:schemeClr w14:val="tx1"/>
                  </w14:solidFill>
                </w14:textFill>
              </w:rPr>
              <w:t xml:space="preserve">   30  </w:t>
            </w:r>
            <w:r>
              <w:rPr>
                <w:rFonts w:hint="eastAsia" w:cs="仿宋" w:asciiTheme="minorEastAsia" w:hAnsiTheme="minorEastAsia" w:eastAsiaTheme="minorEastAsia"/>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3.2（2）</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评审基准价计算方法</w:t>
            </w:r>
          </w:p>
        </w:tc>
        <w:tc>
          <w:tcPr>
            <w:tcW w:w="5676" w:type="dxa"/>
          </w:tcPr>
          <w:p>
            <w:pPr>
              <w:widowControl/>
              <w:spacing w:line="240" w:lineRule="auto"/>
              <w:jc w:val="left"/>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通过初步评审的最低评审价格为评审基准价，其供应商报价分为满分。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条款号</w:t>
            </w:r>
          </w:p>
        </w:tc>
        <w:tc>
          <w:tcPr>
            <w:tcW w:w="2825" w:type="dxa"/>
            <w:gridSpan w:val="2"/>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评分因素</w:t>
            </w:r>
          </w:p>
        </w:tc>
        <w:tc>
          <w:tcPr>
            <w:tcW w:w="5676" w:type="dxa"/>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3.3（1）</w:t>
            </w:r>
          </w:p>
        </w:tc>
        <w:tc>
          <w:tcPr>
            <w:tcW w:w="2825" w:type="dxa"/>
            <w:gridSpan w:val="2"/>
          </w:tcPr>
          <w:p>
            <w:pPr>
              <w:widowControl w:val="0"/>
              <w:adjustRightInd w:val="0"/>
              <w:snapToGrid w:val="0"/>
              <w:spacing w:line="288"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商务部分评分标准</w:t>
            </w:r>
          </w:p>
        </w:tc>
        <w:tc>
          <w:tcPr>
            <w:tcW w:w="5676" w:type="dxa"/>
            <w:vAlign w:val="center"/>
          </w:tcPr>
          <w:p>
            <w:pPr>
              <w:widowControl w:val="0"/>
              <w:adjustRightInd w:val="0"/>
              <w:snapToGrid w:val="0"/>
              <w:spacing w:line="288"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详见本章</w:t>
            </w:r>
            <w:r>
              <w:rPr>
                <w:rFonts w:hint="eastAsia" w:ascii="宋体" w:hAnsi="宋体"/>
                <w:b/>
                <w:color w:val="000000" w:themeColor="text1"/>
                <w:szCs w:val="21"/>
                <w:highlight w:val="none"/>
                <w14:textFill>
                  <w14:solidFill>
                    <w14:schemeClr w14:val="tx1"/>
                  </w14:solidFill>
                </w14:textFill>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3.3（2）</w:t>
            </w:r>
          </w:p>
        </w:tc>
        <w:tc>
          <w:tcPr>
            <w:tcW w:w="2825" w:type="dxa"/>
            <w:gridSpan w:val="2"/>
          </w:tcPr>
          <w:p>
            <w:pPr>
              <w:widowControl w:val="0"/>
              <w:adjustRightInd w:val="0"/>
              <w:snapToGrid w:val="0"/>
              <w:spacing w:line="288"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技术部分评分标准</w:t>
            </w:r>
          </w:p>
        </w:tc>
        <w:tc>
          <w:tcPr>
            <w:tcW w:w="5676" w:type="dxa"/>
            <w:vAlign w:val="center"/>
          </w:tcPr>
          <w:p>
            <w:pPr>
              <w:widowControl w:val="0"/>
              <w:adjustRightInd w:val="0"/>
              <w:snapToGrid w:val="0"/>
              <w:spacing w:line="288"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详见本章</w:t>
            </w:r>
            <w:r>
              <w:rPr>
                <w:rFonts w:hint="eastAsia" w:ascii="宋体" w:hAnsi="宋体"/>
                <w:b/>
                <w:color w:val="000000" w:themeColor="text1"/>
                <w:szCs w:val="21"/>
                <w:highlight w:val="none"/>
                <w14:textFill>
                  <w14:solidFill>
                    <w14:schemeClr w14:val="tx1"/>
                  </w14:solidFill>
                </w14:textFill>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3.3（3）</w:t>
            </w:r>
          </w:p>
        </w:tc>
        <w:tc>
          <w:tcPr>
            <w:tcW w:w="2825" w:type="dxa"/>
            <w:gridSpan w:val="2"/>
          </w:tcPr>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p>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p>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p>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p>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评标基准价计算办法</w:t>
            </w:r>
          </w:p>
        </w:tc>
        <w:tc>
          <w:tcPr>
            <w:tcW w:w="5676" w:type="dxa"/>
          </w:tcPr>
          <w:p>
            <w:pPr>
              <w:widowControl w:val="0"/>
              <w:adjustRightInd w:val="0"/>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评标基准价的确定：</w:t>
            </w:r>
          </w:p>
          <w:p>
            <w:pPr>
              <w:widowControl w:val="0"/>
              <w:adjustRightInd w:val="0"/>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 xml:space="preserve"> 理论成本价</w:t>
            </w:r>
            <w:r>
              <w:rPr>
                <w:rFonts w:hint="eastAsia" w:ascii="宋体" w:hAnsi="宋体"/>
                <w:color w:val="000000" w:themeColor="text1"/>
                <w:szCs w:val="21"/>
                <w:highlight w:val="none"/>
                <w14:textFill>
                  <w14:solidFill>
                    <w14:schemeClr w14:val="tx1"/>
                  </w14:solidFill>
                </w14:textFill>
              </w:rPr>
              <w:t>的确定:</w:t>
            </w:r>
          </w:p>
          <w:p>
            <w:pPr>
              <w:widowControl w:val="0"/>
              <w:adjustRightInd w:val="0"/>
              <w:snapToGrid w:val="0"/>
              <w:ind w:firstLine="151" w:firstLineChars="72"/>
              <w:jc w:val="both"/>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理论成本价</w:t>
            </w:r>
            <w:r>
              <w:rPr>
                <w:rFonts w:hint="eastAsia" w:ascii="宋体" w:hAnsi="宋体"/>
                <w:color w:val="000000" w:themeColor="text1"/>
                <w:szCs w:val="21"/>
                <w:highlight w:val="none"/>
                <w14:textFill>
                  <w14:solidFill>
                    <w14:schemeClr w14:val="tx1"/>
                  </w14:solidFill>
                </w14:textFill>
              </w:rPr>
              <w:t>＝（招标人最高投标限价</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通过初步评审的所有投标人投标报价</w:t>
            </w:r>
            <w:r>
              <w:rPr>
                <w:rFonts w:ascii="宋体" w:hAnsi="宋体"/>
                <w:color w:val="000000" w:themeColor="text1"/>
                <w:szCs w:val="21"/>
                <w:highlight w:val="none"/>
                <w14:textFill>
                  <w14:solidFill>
                    <w14:schemeClr w14:val="tx1"/>
                  </w14:solidFill>
                </w14:textFill>
              </w:rPr>
              <w:t>的算术平均值×</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88。</w:t>
            </w:r>
          </w:p>
          <w:p>
            <w:pPr>
              <w:widowControl w:val="0"/>
              <w:adjustRightInd w:val="0"/>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满足招标文件要求且投标价格最低的投标报价（低于理论成本价的除外）为评标基准价，其报价分为满分。</w:t>
            </w:r>
          </w:p>
          <w:p>
            <w:pPr>
              <w:widowControl/>
              <w:tabs>
                <w:tab w:val="left" w:pos="2108"/>
              </w:tabs>
              <w:adjustRightInd w:val="0"/>
              <w:snapToGrid w:val="0"/>
              <w:spacing w:line="288" w:lineRule="auto"/>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）投标人投标报价低于理论成本价的，其投标将被否决，作废标处理。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2825" w:type="dxa"/>
            <w:gridSpan w:val="2"/>
          </w:tcPr>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p>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报价评分标准</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通过初步评审的最低评审价格</w:t>
            </w:r>
            <w:r>
              <w:rPr>
                <w:rFonts w:hint="eastAsia" w:ascii="宋体" w:hAnsi="宋体"/>
                <w:color w:val="000000" w:themeColor="text1"/>
                <w:szCs w:val="21"/>
                <w:highlight w:val="none"/>
                <w14:textFill>
                  <w14:solidFill>
                    <w14:schemeClr w14:val="tx1"/>
                  </w14:solidFill>
                </w14:textFill>
              </w:rPr>
              <w:t>（低于理论成本价的除外）</w:t>
            </w:r>
            <w:r>
              <w:rPr>
                <w:rFonts w:hint="eastAsia" w:asciiTheme="minorEastAsia" w:hAnsiTheme="minorEastAsia" w:eastAsiaTheme="minorEastAsia"/>
                <w:color w:val="000000" w:themeColor="text1"/>
                <w:szCs w:val="21"/>
                <w:highlight w:val="none"/>
                <w14:textFill>
                  <w14:solidFill>
                    <w14:schemeClr w14:val="tx1"/>
                  </w14:solidFill>
                </w14:textFill>
              </w:rPr>
              <w:t>为评审基准价，其供应商报价分为满分。其他供应商的报价分统一按照下列公式计算：报价得分＝（评审基准价／评审价格）</w:t>
            </w: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30   </w:t>
            </w:r>
            <w:r>
              <w:rPr>
                <w:rFonts w:hint="eastAsia" w:asciiTheme="minorEastAsia" w:hAnsiTheme="minorEastAsia" w:eastAsiaTheme="minorEastAsia"/>
                <w:color w:val="000000" w:themeColor="text1"/>
                <w:szCs w:val="21"/>
                <w:highlight w:val="none"/>
                <w14:textFill>
                  <w14:solidFill>
                    <w14:schemeClr w14:val="tx1"/>
                  </w14:solidFill>
                </w14:textFill>
              </w:rPr>
              <w:t>（投标报价分）。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val="0"/>
              <w:adjustRightInd w:val="0"/>
              <w:snapToGrid w:val="0"/>
              <w:spacing w:line="288" w:lineRule="auto"/>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3.4.1 </w:t>
            </w:r>
          </w:p>
        </w:tc>
        <w:tc>
          <w:tcPr>
            <w:tcW w:w="2825" w:type="dxa"/>
            <w:gridSpan w:val="2"/>
            <w:vAlign w:val="center"/>
          </w:tcPr>
          <w:p>
            <w:pPr>
              <w:widowControl w:val="0"/>
              <w:adjustRightInd w:val="0"/>
              <w:snapToGrid w:val="0"/>
              <w:spacing w:line="288" w:lineRule="auto"/>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供应商最终得分的计算方法</w:t>
            </w:r>
          </w:p>
        </w:tc>
        <w:tc>
          <w:tcPr>
            <w:tcW w:w="5676" w:type="dxa"/>
            <w:vAlign w:val="center"/>
          </w:tcPr>
          <w:p>
            <w:pPr>
              <w:widowControl w:val="0"/>
              <w:adjustRightInd w:val="0"/>
              <w:snapToGrid w:val="0"/>
              <w:spacing w:line="288" w:lineRule="auto"/>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供应商最终得分为商务部分、技术部分、投标报价3个方面评价得分之和。</w:t>
            </w:r>
          </w:p>
        </w:tc>
      </w:tr>
    </w:tbl>
    <w:p>
      <w:pPr>
        <w:spacing w:line="288"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br w:type="page"/>
      </w:r>
    </w:p>
    <w:p>
      <w:pPr>
        <w:adjustRightInd w:val="0"/>
        <w:snapToGrid w:val="0"/>
        <w:spacing w:line="312" w:lineRule="auto"/>
        <w:jc w:val="center"/>
        <w:rPr>
          <w:rFonts w:ascii="宋体" w:hAnsi="宋体" w:cs="仿宋"/>
          <w:b/>
          <w:bCs/>
          <w:color w:val="000000" w:themeColor="text1"/>
          <w:sz w:val="36"/>
          <w:szCs w:val="36"/>
          <w:highlight w:val="none"/>
          <w14:textFill>
            <w14:solidFill>
              <w14:schemeClr w14:val="tx1"/>
            </w14:solidFill>
          </w14:textFill>
        </w:rPr>
      </w:pPr>
      <w:r>
        <w:rPr>
          <w:rFonts w:hint="eastAsia" w:ascii="宋体" w:hAnsi="宋体" w:cs="仿宋"/>
          <w:b/>
          <w:bCs/>
          <w:color w:val="000000" w:themeColor="text1"/>
          <w:sz w:val="36"/>
          <w:szCs w:val="36"/>
          <w:highlight w:val="none"/>
          <w14:textFill>
            <w14:solidFill>
              <w14:schemeClr w14:val="tx1"/>
            </w14:solidFill>
          </w14:textFill>
        </w:rPr>
        <w:t>评审办法正文</w:t>
      </w:r>
    </w:p>
    <w:p>
      <w:pPr>
        <w:adjustRightInd w:val="0"/>
        <w:snapToGrid w:val="0"/>
        <w:spacing w:line="312" w:lineRule="auto"/>
        <w:jc w:val="both"/>
        <w:rPr>
          <w:rFonts w:ascii="宋体" w:hAnsi="宋体" w:cs="仿宋"/>
          <w:b/>
          <w:bCs/>
          <w:color w:val="000000" w:themeColor="text1"/>
          <w:sz w:val="36"/>
          <w:szCs w:val="36"/>
          <w:highlight w:val="none"/>
          <w14:textFill>
            <w14:solidFill>
              <w14:schemeClr w14:val="tx1"/>
            </w14:solidFill>
          </w14:textFill>
        </w:rPr>
      </w:pP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1评审方法(综合评分法)</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2初步评审标准和程序</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2.1初步评审标准</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2.1.1形式评审标准:见评审办法前附表。</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2.1.2资格评审标准:见评审办法前附表。</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2.1.3响应性评审标准:见评审办法前附表。</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2.2初步评审程序</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评审价格若超过最高限价(如有)，其响应文件将被视为无效。</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2.2.4供应商有串通，弄虚作假、行贿等违法行为的，其响应文件将被视为无效。</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3详细评审标准和程序(综合评分法)</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3.1分值构成</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(1)商务部分:见评审办法前附表;</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(2)技术部分:见评审办法前附表;</w:t>
      </w:r>
    </w:p>
    <w:p>
      <w:pPr>
        <w:adjustRightInd w:val="0"/>
        <w:snapToGrid w:val="0"/>
        <w:spacing w:line="312" w:lineRule="auto"/>
        <w:ind w:firstLine="321" w:firstLineChars="134"/>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(3)报价:见评审办法前附表;</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3.2评分标准</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(1)商务评分标准:见评审办法前附表;</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(2)技术评分标准:见评审办法前附表;</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(3)报价评分标准: 见评审办法前附表;</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3.3评分</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3.4汇总</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3.5排序</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4评审结果</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4.1提交书面评审报告</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评审小组完成评审后，应当向采购人提交书面评审报告。</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4.2推荐成交候选供应商排序要求及数量</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both"/>
        <w:outlineLvl w:val="0"/>
        <w:rPr>
          <w:rFonts w:ascii="黑体" w:hAnsi="黑体" w:eastAsia="黑体" w:cs="宋体"/>
          <w:color w:val="000000" w:themeColor="text1"/>
          <w:kern w:val="44"/>
          <w:sz w:val="32"/>
          <w:szCs w:val="32"/>
          <w:highlight w:val="none"/>
          <w14:textFill>
            <w14:solidFill>
              <w14:schemeClr w14:val="tx1"/>
            </w14:solidFill>
          </w14:textFill>
        </w:rPr>
      </w:pPr>
    </w:p>
    <w:p>
      <w:pPr>
        <w:widowControl w:val="0"/>
        <w:snapToGrid w:val="0"/>
        <w:spacing w:line="490" w:lineRule="exact"/>
        <w:jc w:val="both"/>
        <w:outlineLvl w:val="0"/>
        <w:rPr>
          <w:rFonts w:ascii="黑体" w:hAnsi="黑体" w:eastAsia="黑体" w:cs="宋体"/>
          <w:color w:val="000000" w:themeColor="text1"/>
          <w:kern w:val="44"/>
          <w:sz w:val="32"/>
          <w:szCs w:val="32"/>
          <w:highlight w:val="none"/>
          <w14:textFill>
            <w14:solidFill>
              <w14:schemeClr w14:val="tx1"/>
            </w14:solidFill>
          </w14:textFill>
        </w:rPr>
      </w:pPr>
      <w:r>
        <w:rPr>
          <w:rFonts w:hint="eastAsia" w:ascii="黑体" w:hAnsi="黑体" w:eastAsia="黑体" w:cs="宋体"/>
          <w:color w:val="000000" w:themeColor="text1"/>
          <w:kern w:val="44"/>
          <w:sz w:val="32"/>
          <w:szCs w:val="32"/>
          <w:highlight w:val="none"/>
          <w14:textFill>
            <w14:solidFill>
              <w14:schemeClr w14:val="tx1"/>
            </w14:solidFill>
          </w14:textFill>
        </w:rPr>
        <w:t xml:space="preserve">附表1  </w:t>
      </w:r>
    </w:p>
    <w:p>
      <w:pPr>
        <w:widowControl w:val="0"/>
        <w:snapToGrid w:val="0"/>
        <w:spacing w:line="490" w:lineRule="exact"/>
        <w:jc w:val="center"/>
        <w:outlineLvl w:val="0"/>
        <w:rPr>
          <w:rFonts w:ascii="黑体" w:hAnsi="黑体" w:eastAsia="黑体" w:cs="宋体"/>
          <w:color w:val="000000" w:themeColor="text1"/>
          <w:kern w:val="44"/>
          <w:sz w:val="32"/>
          <w:szCs w:val="32"/>
          <w:highlight w:val="none"/>
          <w14:textFill>
            <w14:solidFill>
              <w14:schemeClr w14:val="tx1"/>
            </w14:solidFill>
          </w14:textFill>
        </w:rPr>
      </w:pPr>
      <w:r>
        <w:rPr>
          <w:rFonts w:hint="eastAsia" w:ascii="黑体" w:hAnsi="黑体" w:eastAsia="黑体" w:cs="宋体"/>
          <w:color w:val="000000" w:themeColor="text1"/>
          <w:kern w:val="44"/>
          <w:sz w:val="32"/>
          <w:szCs w:val="32"/>
          <w:highlight w:val="none"/>
          <w14:textFill>
            <w14:solidFill>
              <w14:schemeClr w14:val="tx1"/>
            </w14:solidFill>
          </w14:textFill>
        </w:rPr>
        <w:t>商务部分评分表</w:t>
      </w:r>
    </w:p>
    <w:p>
      <w:pPr>
        <w:snapToGrid w:val="0"/>
        <w:spacing w:line="400" w:lineRule="exact"/>
        <w:jc w:val="both"/>
        <w:rPr>
          <w:rFonts w:ascii="宋体" w:hAnsi="宋体"/>
          <w:color w:val="000000" w:themeColor="text1"/>
          <w:sz w:val="24"/>
          <w:highlight w:val="none"/>
          <w14:textFill>
            <w14:solidFill>
              <w14:schemeClr w14:val="tx1"/>
            </w14:solidFill>
          </w14:textFill>
        </w:rPr>
      </w:pPr>
    </w:p>
    <w:tbl>
      <w:tblPr>
        <w:tblStyle w:val="43"/>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856"/>
        <w:gridCol w:w="4819"/>
        <w:gridCol w:w="1121"/>
        <w:gridCol w:w="112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序号</w:t>
            </w:r>
          </w:p>
        </w:tc>
        <w:tc>
          <w:tcPr>
            <w:tcW w:w="185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评分因素</w:t>
            </w:r>
          </w:p>
        </w:tc>
        <w:tc>
          <w:tcPr>
            <w:tcW w:w="481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评价内容/分值</w:t>
            </w:r>
          </w:p>
        </w:tc>
        <w:tc>
          <w:tcPr>
            <w:tcW w:w="3254"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856"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481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85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投标人与项目类似的具体业绩（24分）</w:t>
            </w:r>
          </w:p>
        </w:tc>
        <w:tc>
          <w:tcPr>
            <w:tcW w:w="4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类似项目业绩满足资格审查条件的计15分。</w:t>
            </w:r>
          </w:p>
          <w:p>
            <w:pPr>
              <w:spacing w:line="288"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近3年每额外增加1个</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水土流失监测或水土保持方案编制</w:t>
            </w:r>
            <w:r>
              <w:rPr>
                <w:rFonts w:hint="eastAsia" w:ascii="宋体" w:hAnsi="宋体" w:cs="宋体"/>
                <w:color w:val="000000" w:themeColor="text1"/>
                <w:sz w:val="24"/>
                <w:highlight w:val="none"/>
                <w:lang w:val="en-US" w:eastAsia="zh-CN"/>
                <w14:textFill>
                  <w14:solidFill>
                    <w14:schemeClr w14:val="tx1"/>
                  </w14:solidFill>
                </w14:textFill>
              </w:rPr>
              <w:t>服务</w:t>
            </w:r>
            <w:r>
              <w:rPr>
                <w:rFonts w:hint="eastAsia" w:ascii="宋体" w:hAnsi="宋体" w:cs="宋体"/>
                <w:color w:val="000000" w:themeColor="text1"/>
                <w:sz w:val="24"/>
                <w:highlight w:val="none"/>
                <w14:textFill>
                  <w14:solidFill>
                    <w14:schemeClr w14:val="tx1"/>
                  </w14:solidFill>
                </w14:textFill>
              </w:rPr>
              <w:t>业绩，加3分，本项加分项最高加9分。（提供合同复印件</w:t>
            </w:r>
            <w:r>
              <w:rPr>
                <w:rFonts w:hint="eastAsia" w:asciiTheme="minorEastAsia" w:hAnsiTheme="minorEastAsia" w:eastAsiaTheme="minorEastAsia"/>
                <w:spacing w:val="-4"/>
                <w:sz w:val="24"/>
              </w:rPr>
              <w:t>或批复验收报告等证明材料</w:t>
            </w:r>
            <w:r>
              <w:rPr>
                <w:rFonts w:hint="eastAsia" w:ascii="宋体" w:hAnsi="宋体" w:cs="宋体"/>
                <w:color w:val="000000" w:themeColor="text1"/>
                <w:sz w:val="24"/>
                <w:highlight w:val="none"/>
                <w14:textFill>
                  <w14:solidFill>
                    <w14:schemeClr w14:val="tx1"/>
                  </w14:solidFill>
                </w14:textFill>
              </w:rPr>
              <w:t>）</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85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标书制作（</w:t>
            </w:r>
            <w:r>
              <w:rPr>
                <w:rFonts w:hint="eastAsia" w:ascii="宋体" w:hAnsi="宋体" w:cs="宋体"/>
                <w:color w:val="000000" w:themeColor="text1"/>
                <w:sz w:val="24"/>
                <w:highlight w:val="none"/>
                <w:lang w:val="en-US" w:eastAsia="zh-CN"/>
                <w14:textFill>
                  <w14:solidFill>
                    <w14:schemeClr w14:val="tx1"/>
                  </w14:solidFill>
                </w14:textFill>
              </w:rPr>
              <w:t>16</w:t>
            </w:r>
            <w:r>
              <w:rPr>
                <w:rFonts w:hint="eastAsia" w:ascii="宋体" w:hAnsi="宋体" w:cs="宋体"/>
                <w:color w:val="000000" w:themeColor="text1"/>
                <w:sz w:val="24"/>
                <w:highlight w:val="none"/>
                <w14:textFill>
                  <w14:solidFill>
                    <w14:schemeClr w14:val="tx1"/>
                  </w14:solidFill>
                </w14:textFill>
              </w:rPr>
              <w:t>分）</w:t>
            </w:r>
          </w:p>
        </w:tc>
        <w:tc>
          <w:tcPr>
            <w:tcW w:w="481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文件按招标文件规定的格式、顺序编制，有目录、编页码，装订成册，书面整洁无涂改，没有缺漏项，价格数量等计算准确的，计</w:t>
            </w:r>
            <w:r>
              <w:rPr>
                <w:rFonts w:hint="eastAsia" w:ascii="宋体" w:hAnsi="宋体" w:cs="宋体"/>
                <w:color w:val="000000" w:themeColor="text1"/>
                <w:sz w:val="24"/>
                <w:highlight w:val="none"/>
                <w:lang w:val="en-US" w:eastAsia="zh-CN"/>
                <w14:textFill>
                  <w14:solidFill>
                    <w14:schemeClr w14:val="tx1"/>
                  </w14:solidFill>
                </w14:textFill>
              </w:rPr>
              <w:t>16</w:t>
            </w:r>
            <w:r>
              <w:rPr>
                <w:rFonts w:hint="eastAsia" w:ascii="宋体" w:hAnsi="宋体" w:cs="宋体"/>
                <w:color w:val="000000" w:themeColor="text1"/>
                <w:sz w:val="24"/>
                <w:highlight w:val="none"/>
                <w14:textFill>
                  <w14:solidFill>
                    <w14:schemeClr w14:val="tx1"/>
                  </w14:solidFill>
                </w14:textFill>
              </w:rPr>
              <w:t>分；不符合要求的，每处扣</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分，最</w:t>
            </w:r>
            <w:r>
              <w:rPr>
                <w:rFonts w:hint="eastAsia" w:ascii="宋体" w:hAnsi="宋体" w:cs="宋体"/>
                <w:color w:val="000000" w:themeColor="text1"/>
                <w:sz w:val="24"/>
                <w:highlight w:val="none"/>
                <w:lang w:val="en-US" w:eastAsia="zh-CN"/>
                <w14:textFill>
                  <w14:solidFill>
                    <w14:schemeClr w14:val="tx1"/>
                  </w14:solidFill>
                </w14:textFill>
              </w:rPr>
              <w:t>多扣6</w:t>
            </w:r>
            <w:r>
              <w:rPr>
                <w:rFonts w:hint="eastAsia" w:ascii="宋体" w:hAnsi="宋体" w:cs="宋体"/>
                <w:color w:val="000000" w:themeColor="text1"/>
                <w:sz w:val="24"/>
                <w:highlight w:val="none"/>
                <w14:textFill>
                  <w14:solidFill>
                    <w14:schemeClr w14:val="tx1"/>
                  </w14:solidFill>
                </w14:textFill>
              </w:rPr>
              <w:t>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 xml:space="preserve">合    计     </w:t>
            </w:r>
            <w:r>
              <w:rPr>
                <w:rFonts w:ascii="宋体" w:hAnsi="宋体"/>
                <w:b/>
                <w:color w:val="000000" w:themeColor="text1"/>
                <w:kern w:val="0"/>
                <w:szCs w:val="21"/>
                <w:highlight w:val="none"/>
                <w14:textFill>
                  <w14:solidFill>
                    <w14:schemeClr w14:val="tx1"/>
                  </w14:solidFill>
                </w14:textFill>
              </w:rPr>
              <w:t>4</w:t>
            </w:r>
            <w:r>
              <w:rPr>
                <w:rFonts w:hint="eastAsia" w:ascii="宋体" w:hAnsi="宋体"/>
                <w:b/>
                <w:color w:val="000000" w:themeColor="text1"/>
                <w:kern w:val="0"/>
                <w:szCs w:val="21"/>
                <w:highlight w:val="none"/>
                <w14:textFill>
                  <w14:solidFill>
                    <w14:schemeClr w14:val="tx1"/>
                  </w14:solidFill>
                </w14:textFill>
              </w:rPr>
              <w:t>0   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r>
    </w:tbl>
    <w:p>
      <w:pPr>
        <w:widowControl w:val="0"/>
        <w:adjustRightInd w:val="0"/>
        <w:snapToGrid w:val="0"/>
        <w:spacing w:line="312" w:lineRule="auto"/>
        <w:jc w:val="both"/>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注：</w:t>
      </w:r>
      <w:r>
        <w:rPr>
          <w:rFonts w:hint="eastAsia" w:ascii="宋体" w:hAnsi="宋体"/>
          <w:color w:val="000000" w:themeColor="text1"/>
          <w:kern w:val="0"/>
          <w:szCs w:val="21"/>
          <w:highlight w:val="none"/>
          <w14:textFill>
            <w14:solidFill>
              <w14:schemeClr w14:val="tx1"/>
            </w14:solidFill>
          </w14:textFill>
        </w:rPr>
        <w:t xml:space="preserve"> 1、</w:t>
      </w:r>
      <w:r>
        <w:rPr>
          <w:rFonts w:hint="eastAsia" w:ascii="宋体" w:hAnsi="宋体"/>
          <w:color w:val="000000" w:themeColor="text1"/>
          <w:szCs w:val="21"/>
          <w:highlight w:val="none"/>
          <w14:textFill>
            <w14:solidFill>
              <w14:schemeClr w14:val="tx1"/>
            </w14:solidFill>
          </w14:textFill>
        </w:rPr>
        <w:t>本表由评审（谈判）小组集体评议，统一计分。评审（谈判）小组成员中对结论有不同意见时，按少数服从多数的原则，确定得分。</w:t>
      </w:r>
    </w:p>
    <w:p>
      <w:pPr>
        <w:widowControl w:val="0"/>
        <w:adjustRightInd w:val="0"/>
        <w:snapToGrid w:val="0"/>
        <w:spacing w:line="312" w:lineRule="auto"/>
        <w:ind w:firstLine="420" w:firstLineChars="200"/>
        <w:jc w:val="both"/>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2、各评分因素中基本合理项的最低分值不得低于该评分因素和评分标准最高分值的60%。</w:t>
      </w:r>
      <w:r>
        <w:rPr>
          <w:rFonts w:hint="eastAsia" w:ascii="宋体" w:hAnsi="宋体"/>
          <w:color w:val="000000" w:themeColor="text1"/>
          <w:szCs w:val="21"/>
          <w:highlight w:val="none"/>
          <w14:textFill>
            <w14:solidFill>
              <w14:schemeClr w14:val="tx1"/>
            </w14:solidFill>
          </w14:textFill>
        </w:rPr>
        <w:t>评审（谈判）小组</w:t>
      </w:r>
      <w:r>
        <w:rPr>
          <w:rFonts w:hint="eastAsia" w:ascii="宋体" w:hAnsi="宋体"/>
          <w:color w:val="000000" w:themeColor="text1"/>
          <w:kern w:val="0"/>
          <w:szCs w:val="21"/>
          <w:highlight w:val="none"/>
          <w14:textFill>
            <w14:solidFill>
              <w14:schemeClr w14:val="tx1"/>
            </w14:solidFill>
          </w14:textFill>
        </w:rPr>
        <w:t>对某评分因素评审计分低于该评分因素和评分标准最高分值的60%的，评委应说明原因。</w:t>
      </w:r>
    </w:p>
    <w:p>
      <w:pPr>
        <w:widowControl w:val="0"/>
        <w:jc w:val="both"/>
        <w:rPr>
          <w:rFonts w:ascii="宋体" w:hAnsi="宋体"/>
          <w:color w:val="000000" w:themeColor="text1"/>
          <w:sz w:val="24"/>
          <w:highlight w:val="none"/>
          <w14:textFill>
            <w14:solidFill>
              <w14:schemeClr w14:val="tx1"/>
            </w14:solidFill>
          </w14:textFill>
        </w:rPr>
      </w:pPr>
    </w:p>
    <w:p>
      <w:pPr>
        <w:widowControl w:val="0"/>
        <w:jc w:val="both"/>
        <w:rPr>
          <w:rFonts w:ascii="宋体" w:hAnsi="宋体"/>
          <w:color w:val="000000" w:themeColor="text1"/>
          <w:sz w:val="24"/>
          <w:highlight w:val="none"/>
          <w14:textFill>
            <w14:solidFill>
              <w14:schemeClr w14:val="tx1"/>
            </w14:solidFill>
          </w14:textFill>
        </w:rPr>
      </w:pPr>
    </w:p>
    <w:p>
      <w:pPr>
        <w:widowControl w:val="0"/>
        <w:jc w:val="both"/>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评审（谈判）小组</w:t>
      </w:r>
      <w:r>
        <w:rPr>
          <w:rFonts w:ascii="宋体" w:hAnsi="宋体"/>
          <w:color w:val="000000" w:themeColor="text1"/>
          <w:sz w:val="24"/>
          <w:highlight w:val="none"/>
          <w14:textFill>
            <w14:solidFill>
              <w14:schemeClr w14:val="tx1"/>
            </w14:solidFill>
          </w14:textFill>
        </w:rPr>
        <w:t>全体成员签字：</w:t>
      </w:r>
    </w:p>
    <w:p>
      <w:pPr>
        <w:widowControl w:val="0"/>
        <w:snapToGrid w:val="0"/>
        <w:spacing w:line="240" w:lineRule="auto"/>
        <w:jc w:val="both"/>
        <w:outlineLvl w:val="2"/>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240" w:lineRule="auto"/>
        <w:jc w:val="both"/>
        <w:outlineLvl w:val="2"/>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240" w:lineRule="auto"/>
        <w:outlineLvl w:val="2"/>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240" w:lineRule="auto"/>
        <w:outlineLvl w:val="2"/>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240" w:lineRule="auto"/>
        <w:outlineLvl w:val="2"/>
        <w:rPr>
          <w:rFonts w:ascii="黑体" w:hAnsi="黑体" w:eastAsia="黑体"/>
          <w:color w:val="000000" w:themeColor="text1"/>
          <w:sz w:val="32"/>
          <w:szCs w:val="32"/>
          <w:highlight w:val="none"/>
          <w14:textFill>
            <w14:solidFill>
              <w14:schemeClr w14:val="tx1"/>
            </w14:solidFill>
          </w14:textFill>
        </w:rPr>
      </w:pPr>
    </w:p>
    <w:p>
      <w:pPr>
        <w:pStyle w:val="9"/>
        <w:ind w:firstLine="0" w:firstLineChars="0"/>
        <w:rPr>
          <w:rFonts w:ascii="黑体" w:hAnsi="黑体" w:eastAsia="黑体"/>
          <w:color w:val="000000" w:themeColor="text1"/>
          <w:sz w:val="32"/>
          <w:szCs w:val="32"/>
          <w:highlight w:val="none"/>
          <w14:textFill>
            <w14:solidFill>
              <w14:schemeClr w14:val="tx1"/>
            </w14:solidFill>
          </w14:textFill>
        </w:rPr>
      </w:pPr>
    </w:p>
    <w:p>
      <w:pPr>
        <w:pStyle w:val="9"/>
        <w:ind w:firstLine="0" w:firstLineChars="0"/>
        <w:rPr>
          <w:rFonts w:ascii="黑体" w:hAnsi="黑体" w:eastAsia="黑体"/>
          <w:color w:val="000000" w:themeColor="text1"/>
          <w:sz w:val="32"/>
          <w:szCs w:val="32"/>
          <w:highlight w:val="none"/>
          <w14:textFill>
            <w14:solidFill>
              <w14:schemeClr w14:val="tx1"/>
            </w14:solidFill>
          </w14:textFill>
        </w:rPr>
      </w:pPr>
    </w:p>
    <w:p>
      <w:pPr>
        <w:pStyle w:val="9"/>
        <w:ind w:firstLine="0" w:firstLineChars="0"/>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240" w:lineRule="auto"/>
        <w:outlineLvl w:val="2"/>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240" w:lineRule="auto"/>
        <w:outlineLvl w:val="2"/>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240" w:lineRule="auto"/>
        <w:outlineLvl w:val="2"/>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240" w:lineRule="auto"/>
        <w:outlineLvl w:val="2"/>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附表2 </w:t>
      </w:r>
    </w:p>
    <w:p>
      <w:pPr>
        <w:widowControl w:val="0"/>
        <w:snapToGrid w:val="0"/>
        <w:spacing w:line="240" w:lineRule="auto"/>
        <w:jc w:val="center"/>
        <w:outlineLvl w:val="2"/>
        <w:rPr>
          <w:rFonts w:ascii="宋体" w:hAnsi="宋体"/>
          <w:color w:val="000000" w:themeColor="text1"/>
          <w:kern w:val="0"/>
          <w:sz w:val="24"/>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技术部分评分表</w:t>
      </w:r>
    </w:p>
    <w:tbl>
      <w:tblPr>
        <w:tblStyle w:val="43"/>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425"/>
        <w:gridCol w:w="4185"/>
        <w:gridCol w:w="540"/>
        <w:gridCol w:w="825"/>
        <w:gridCol w:w="78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评分因素</w:t>
            </w:r>
          </w:p>
        </w:tc>
        <w:tc>
          <w:tcPr>
            <w:tcW w:w="472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评分标准</w:t>
            </w:r>
            <w:r>
              <w:rPr>
                <w:rFonts w:hint="eastAsia" w:ascii="宋体" w:hAnsi="宋体"/>
                <w:b/>
                <w:color w:val="000000" w:themeColor="text1"/>
                <w:szCs w:val="21"/>
                <w:highlight w:val="none"/>
                <w14:textFill>
                  <w14:solidFill>
                    <w14:schemeClr w14:val="tx1"/>
                  </w14:solidFill>
                </w14:textFill>
              </w:rPr>
              <w:t>/分值</w:t>
            </w:r>
          </w:p>
        </w:tc>
        <w:tc>
          <w:tcPr>
            <w:tcW w:w="2172"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color w:val="000000" w:themeColor="text1"/>
                <w:szCs w:val="21"/>
                <w:highlight w:val="none"/>
                <w14:textFill>
                  <w14:solidFill>
                    <w14:schemeClr w14:val="tx1"/>
                  </w14:solidFill>
                </w14:textFill>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color w:val="000000" w:themeColor="text1"/>
                <w:szCs w:val="21"/>
                <w:highlight w:val="none"/>
                <w14:textFill>
                  <w14:solidFill>
                    <w14:schemeClr w14:val="tx1"/>
                  </w14:solidFill>
                </w14:textFill>
              </w:rPr>
            </w:pPr>
          </w:p>
        </w:tc>
        <w:tc>
          <w:tcPr>
            <w:tcW w:w="472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color w:val="000000" w:themeColor="text1"/>
                <w:szCs w:val="2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对项目的理解</w:t>
            </w:r>
          </w:p>
        </w:tc>
        <w:tc>
          <w:tcPr>
            <w:tcW w:w="4185" w:type="dxa"/>
            <w:tcBorders>
              <w:top w:val="single" w:color="auto" w:sz="4" w:space="0"/>
              <w:left w:val="single" w:color="auto" w:sz="4" w:space="0"/>
              <w:right w:val="single" w:color="auto" w:sz="4" w:space="0"/>
            </w:tcBorders>
            <w:vAlign w:val="center"/>
          </w:tcPr>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要评审供应商对项目的理解程度，对工作的特点、难点分析是否准确，对重点难点问题拟采取的措施的有效性和针对性。</w:t>
            </w:r>
          </w:p>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对项目的理解透彻，对工程重点、难点理解准确、清晰，措施有针对性，且有效。得8-10分；</w:t>
            </w:r>
          </w:p>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对工程的理解比较透彻，对工程的理解比较准确，措施有针对性，措施基本有效。得4-7分；</w:t>
            </w:r>
          </w:p>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对工程有一定的理解，对工程的重点、难点有一定的理解，能提出针对本工程的措施。得1-3分；</w:t>
            </w:r>
          </w:p>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否则得0分。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基础资料丰富程度</w:t>
            </w:r>
          </w:p>
          <w:p>
            <w:pPr>
              <w:overflowPunct w:val="0"/>
              <w:autoSpaceDE w:val="0"/>
              <w:autoSpaceDN w:val="0"/>
              <w:adjustRightInd w:val="0"/>
              <w:ind w:left="212" w:leftChars="100" w:hanging="2" w:hangingChars="1"/>
              <w:jc w:val="center"/>
              <w:textAlignment w:val="baseline"/>
              <w:rPr>
                <w:rFonts w:ascii="宋体" w:hAnsi="宋体" w:cs="宋体"/>
                <w:color w:val="000000" w:themeColor="text1"/>
                <w:sz w:val="24"/>
                <w:highlight w:val="none"/>
                <w14:textFill>
                  <w14:solidFill>
                    <w14:schemeClr w14:val="tx1"/>
                  </w14:solidFill>
                </w14:textFill>
              </w:rPr>
            </w:pPr>
          </w:p>
        </w:tc>
        <w:tc>
          <w:tcPr>
            <w:tcW w:w="41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根据供应商已具备的为本项目服务的项目区域基础资料丰富程度（投标文件中提供的基础资料清单，须附证明材料）打分，好的得6-10分，较好的得3-5分，一般的得1-2分，差的得0分。</w:t>
            </w:r>
          </w:p>
        </w:tc>
        <w:tc>
          <w:tcPr>
            <w:tcW w:w="540"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exac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4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服务保障措施</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服务保障措施可行、具体、有针对性，便于操作，得4-5分；服务保障基本可行、有结合项目的特点，得1-3分；服务保障可行性差、针对性差得0分。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exac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4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进度计划和保证措施</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主要评审针对本工程制定的工作进度计划和保证措施的合理性。进度计划和保证措施科学合理，满足工程建设需要，得5分；进度计划和保证措施较为合理，基本满足工程建设需要，得3分；否则得0分。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r>
    </w:tbl>
    <w:p>
      <w:pPr>
        <w:widowControl w:val="0"/>
        <w:adjustRightInd w:val="0"/>
        <w:snapToGrid w:val="0"/>
        <w:spacing w:line="312" w:lineRule="auto"/>
        <w:ind w:firstLine="315" w:firstLineChars="1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注：1、本表小计总分为</w:t>
      </w:r>
      <w:r>
        <w:rPr>
          <w:rFonts w:hint="eastAsia" w:ascii="宋体" w:hAnsi="宋体"/>
          <w:color w:val="000000" w:themeColor="text1"/>
          <w:szCs w:val="21"/>
          <w:highlight w:val="none"/>
          <w:u w:val="single"/>
          <w14:textFill>
            <w14:solidFill>
              <w14:schemeClr w14:val="tx1"/>
            </w14:solidFill>
          </w14:textFill>
        </w:rPr>
        <w:t>30</w:t>
      </w:r>
      <w:r>
        <w:rPr>
          <w:rFonts w:hint="eastAsia" w:ascii="宋体" w:hAnsi="宋体"/>
          <w:color w:val="000000" w:themeColor="text1"/>
          <w:kern w:val="0"/>
          <w:szCs w:val="21"/>
          <w:highlight w:val="none"/>
          <w14:textFill>
            <w14:solidFill>
              <w14:schemeClr w14:val="tx1"/>
            </w14:solidFill>
          </w14:textFill>
        </w:rPr>
        <w:t>分。</w:t>
      </w:r>
    </w:p>
    <w:p>
      <w:pPr>
        <w:widowControl w:val="0"/>
        <w:adjustRightInd w:val="0"/>
        <w:snapToGrid w:val="0"/>
        <w:spacing w:line="312" w:lineRule="auto"/>
        <w:ind w:firstLine="735" w:firstLineChars="3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2、技术文件中缺失某项评分因素的，该项评分因素计0分。</w:t>
      </w:r>
    </w:p>
    <w:p>
      <w:pPr>
        <w:widowControl w:val="0"/>
        <w:adjustRightInd w:val="0"/>
        <w:snapToGrid w:val="0"/>
        <w:spacing w:line="312" w:lineRule="auto"/>
        <w:ind w:firstLine="735" w:firstLineChars="3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3、该项评分内容计分，由</w:t>
      </w:r>
      <w:r>
        <w:rPr>
          <w:rFonts w:hint="eastAsia" w:ascii="宋体" w:hAnsi="宋体"/>
          <w:color w:val="000000" w:themeColor="text1"/>
          <w:szCs w:val="21"/>
          <w:highlight w:val="none"/>
          <w14:textFill>
            <w14:solidFill>
              <w14:schemeClr w14:val="tx1"/>
            </w14:solidFill>
          </w14:textFill>
        </w:rPr>
        <w:t>评审（谈判）小组</w:t>
      </w:r>
      <w:r>
        <w:rPr>
          <w:rFonts w:hint="eastAsia" w:ascii="宋体" w:hAnsi="宋体"/>
          <w:color w:val="000000" w:themeColor="text1"/>
          <w:kern w:val="0"/>
          <w:szCs w:val="21"/>
          <w:highlight w:val="none"/>
          <w14:textFill>
            <w14:solidFill>
              <w14:schemeClr w14:val="tx1"/>
            </w14:solidFill>
          </w14:textFill>
        </w:rPr>
        <w:t>集体评议，评委根据集体评议意见，自主评分。</w:t>
      </w:r>
      <w:r>
        <w:rPr>
          <w:rFonts w:hint="eastAsia" w:ascii="宋体" w:hAnsi="宋体"/>
          <w:b/>
          <w:color w:val="000000" w:themeColor="text1"/>
          <w:kern w:val="0"/>
          <w:szCs w:val="21"/>
          <w:highlight w:val="none"/>
          <w14:textFill>
            <w14:solidFill>
              <w14:schemeClr w14:val="tx1"/>
            </w14:solidFill>
          </w14:textFill>
        </w:rPr>
        <w:t>技术文件得分为评委个人评审计分的算术平均值。</w:t>
      </w:r>
    </w:p>
    <w:p>
      <w:pPr>
        <w:widowControl w:val="0"/>
        <w:adjustRightInd w:val="0"/>
        <w:snapToGrid w:val="0"/>
        <w:spacing w:line="312" w:lineRule="auto"/>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评审（谈判）小组</w:t>
      </w:r>
      <w:r>
        <w:rPr>
          <w:rFonts w:ascii="宋体" w:hAnsi="宋体"/>
          <w:color w:val="000000" w:themeColor="text1"/>
          <w:sz w:val="24"/>
          <w:highlight w:val="none"/>
          <w14:textFill>
            <w14:solidFill>
              <w14:schemeClr w14:val="tx1"/>
            </w14:solidFill>
          </w14:textFill>
        </w:rPr>
        <w:t>全体成员签字：</w:t>
      </w:r>
    </w:p>
    <w:p>
      <w:pPr>
        <w:pStyle w:val="42"/>
        <w:spacing w:line="360" w:lineRule="auto"/>
        <w:ind w:left="0" w:leftChars="0" w:firstLine="0" w:firstLineChars="0"/>
        <w:jc w:val="center"/>
        <w:rPr>
          <w:rFonts w:ascii="黑体" w:hAnsi="黑体" w:eastAsia="黑体" w:cs="仿宋"/>
          <w:b/>
          <w:color w:val="000000" w:themeColor="text1"/>
          <w:sz w:val="36"/>
          <w:szCs w:val="36"/>
          <w:highlight w:val="none"/>
          <w14:textFill>
            <w14:solidFill>
              <w14:schemeClr w14:val="tx1"/>
            </w14:solidFill>
          </w14:textFill>
        </w:rPr>
      </w:pPr>
      <w:r>
        <w:rPr>
          <w:rFonts w:hint="eastAsia" w:ascii="黑体" w:hAnsi="黑体" w:eastAsia="黑体" w:cs="仿宋"/>
          <w:b/>
          <w:color w:val="000000" w:themeColor="text1"/>
          <w:sz w:val="36"/>
          <w:szCs w:val="36"/>
          <w:highlight w:val="none"/>
          <w14:textFill>
            <w14:solidFill>
              <w14:schemeClr w14:val="tx1"/>
            </w14:solidFill>
          </w14:textFill>
        </w:rPr>
        <w:t>第四章  合同条款及格式</w:t>
      </w:r>
    </w:p>
    <w:p>
      <w:pPr>
        <w:pStyle w:val="16"/>
        <w:spacing w:after="0" w:line="316" w:lineRule="auto"/>
        <w:ind w:firstLine="480"/>
        <w:rPr>
          <w:rFonts w:hint="eastAsia" w:ascii="宋体" w:hAnsi="宋体" w:cs="宋体"/>
          <w:sz w:val="24"/>
        </w:rPr>
      </w:pPr>
      <w:bookmarkStart w:id="12" w:name="_Toc32056"/>
      <w:bookmarkStart w:id="13" w:name="_Toc179632786"/>
      <w:bookmarkStart w:id="14" w:name="_Toc152042547"/>
      <w:bookmarkStart w:id="15" w:name="_Toc246996337"/>
      <w:bookmarkStart w:id="16" w:name="_Toc144974827"/>
      <w:bookmarkStart w:id="17" w:name="_Toc246997080"/>
      <w:bookmarkStart w:id="18" w:name="_Toc152045768"/>
      <w:bookmarkStart w:id="19" w:name="_Toc247085852"/>
    </w:p>
    <w:p>
      <w:pPr>
        <w:pStyle w:val="16"/>
        <w:spacing w:after="0" w:line="316" w:lineRule="auto"/>
        <w:ind w:firstLine="480"/>
        <w:rPr>
          <w:rFonts w:ascii="宋体" w:hAnsi="宋体" w:cs="宋体"/>
          <w:sz w:val="24"/>
        </w:rPr>
      </w:pPr>
      <w:r>
        <w:rPr>
          <w:rFonts w:hint="eastAsia" w:ascii="宋体" w:hAnsi="宋体" w:cs="宋体"/>
          <w:sz w:val="24"/>
        </w:rPr>
        <w:t>本合同书由</w:t>
      </w:r>
      <w:r>
        <w:rPr>
          <w:rFonts w:hint="eastAsia" w:ascii="宋体" w:hAnsi="宋体" w:cs="宋体"/>
          <w:sz w:val="24"/>
          <w:u w:val="single"/>
        </w:rPr>
        <w:t xml:space="preserve">           </w:t>
      </w:r>
      <w:r>
        <w:rPr>
          <w:rFonts w:hint="eastAsia" w:ascii="宋体" w:hAnsi="宋体" w:cs="宋体"/>
          <w:sz w:val="24"/>
        </w:rPr>
        <w:t>（以下简称“发包人”）与</w:t>
      </w:r>
      <w:r>
        <w:rPr>
          <w:rFonts w:hint="eastAsia" w:ascii="宋体" w:hAnsi="宋体" w:cs="宋体"/>
          <w:sz w:val="24"/>
          <w:u w:val="single"/>
        </w:rPr>
        <w:t xml:space="preserve">              </w:t>
      </w:r>
      <w:r>
        <w:rPr>
          <w:rFonts w:hint="eastAsia" w:ascii="宋体" w:hAnsi="宋体" w:cs="宋体"/>
          <w:sz w:val="24"/>
        </w:rPr>
        <w:t>（以下简称“承包人”）于</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xml:space="preserve">日签署。 </w:t>
      </w:r>
    </w:p>
    <w:p>
      <w:pPr>
        <w:pStyle w:val="16"/>
        <w:spacing w:after="0" w:line="316" w:lineRule="auto"/>
        <w:ind w:firstLine="480"/>
        <w:rPr>
          <w:rFonts w:ascii="宋体" w:hAnsi="宋体" w:cs="宋体"/>
          <w:sz w:val="24"/>
        </w:rPr>
      </w:pPr>
      <w:r>
        <w:rPr>
          <w:rFonts w:hint="eastAsia" w:ascii="宋体" w:hAnsi="宋体" w:cs="宋体"/>
          <w:sz w:val="24"/>
        </w:rPr>
        <w:t>发包人拟对</w:t>
      </w:r>
      <w:r>
        <w:rPr>
          <w:rFonts w:hint="eastAsia" w:ascii="宋体" w:hAnsi="宋体" w:cs="宋体"/>
          <w:sz w:val="24"/>
          <w:u w:val="single"/>
        </w:rPr>
        <w:t xml:space="preserve">                             </w:t>
      </w:r>
      <w:r>
        <w:rPr>
          <w:rFonts w:hint="eastAsia" w:ascii="宋体" w:hAnsi="宋体" w:cs="宋体"/>
          <w:sz w:val="24"/>
        </w:rPr>
        <w:t>项目进行水土保持编制服务， 并接受了承包人以人民币</w:t>
      </w:r>
      <w:r>
        <w:rPr>
          <w:rFonts w:hint="eastAsia" w:ascii="宋体" w:hAnsi="宋体" w:cs="宋体"/>
          <w:sz w:val="24"/>
          <w:u w:val="single"/>
        </w:rPr>
        <w:t xml:space="preserve">       </w:t>
      </w:r>
      <w:r>
        <w:rPr>
          <w:rFonts w:hint="eastAsia" w:ascii="宋体" w:hAnsi="宋体" w:cs="宋体"/>
          <w:sz w:val="24"/>
        </w:rPr>
        <w:t xml:space="preserve">元作为完成本项目所需费用的投标文件，双方达成如下协议：  </w:t>
      </w:r>
    </w:p>
    <w:p>
      <w:pPr>
        <w:pStyle w:val="16"/>
        <w:spacing w:after="0" w:line="316" w:lineRule="auto"/>
        <w:ind w:firstLine="480"/>
        <w:rPr>
          <w:rFonts w:ascii="宋体" w:hAnsi="宋体" w:cs="宋体"/>
          <w:sz w:val="24"/>
        </w:rPr>
      </w:pPr>
      <w:r>
        <w:rPr>
          <w:rFonts w:hint="eastAsia" w:ascii="宋体" w:hAnsi="宋体" w:cs="宋体"/>
          <w:sz w:val="24"/>
        </w:rPr>
        <w:t xml:space="preserve"> </w:t>
      </w:r>
    </w:p>
    <w:p>
      <w:pPr>
        <w:spacing w:line="400" w:lineRule="exact"/>
        <w:jc w:val="both"/>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一、</w:t>
      </w:r>
      <w:r>
        <w:rPr>
          <w:rFonts w:hint="eastAsia" w:ascii="宋体" w:hAnsi="宋体" w:cs="宋体"/>
          <w:b/>
          <w:color w:val="000000" w:themeColor="text1"/>
          <w:sz w:val="24"/>
          <w:highlight w:val="none"/>
          <w14:textFill>
            <w14:solidFill>
              <w14:schemeClr w14:val="tx1"/>
            </w14:solidFill>
          </w14:textFill>
        </w:rPr>
        <w:t xml:space="preserve">组成合同的文件如下，并按如下顺序解释，依次序排在前面为准： </w:t>
      </w:r>
    </w:p>
    <w:p>
      <w:pPr>
        <w:pStyle w:val="16"/>
        <w:spacing w:after="0"/>
        <w:ind w:firstLine="240" w:firstLineChars="100"/>
        <w:rPr>
          <w:rFonts w:hint="eastAsia" w:ascii="宋体" w:hAnsi="宋体" w:cs="宋体"/>
          <w:sz w:val="24"/>
        </w:rPr>
      </w:pPr>
      <w:r>
        <w:rPr>
          <w:rFonts w:hint="eastAsia" w:ascii="宋体" w:hAnsi="宋体" w:cs="宋体"/>
          <w:sz w:val="24"/>
        </w:rPr>
        <w:t xml:space="preserve">1、合同书； </w:t>
      </w:r>
    </w:p>
    <w:p>
      <w:pPr>
        <w:pStyle w:val="16"/>
        <w:spacing w:after="0"/>
        <w:ind w:firstLine="240" w:firstLineChars="1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成交</w:t>
      </w:r>
      <w:r>
        <w:rPr>
          <w:rFonts w:hint="eastAsia" w:ascii="宋体" w:hAnsi="宋体" w:cs="宋体"/>
          <w:sz w:val="24"/>
        </w:rPr>
        <w:t xml:space="preserve">通知书； </w:t>
      </w:r>
    </w:p>
    <w:p>
      <w:pPr>
        <w:pStyle w:val="16"/>
        <w:spacing w:after="0"/>
        <w:ind w:firstLine="240" w:firstLineChars="1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询价</w:t>
      </w:r>
      <w:r>
        <w:rPr>
          <w:rFonts w:hint="eastAsia" w:ascii="宋体" w:hAnsi="宋体" w:cs="宋体"/>
          <w:sz w:val="24"/>
        </w:rPr>
        <w:t xml:space="preserve">文件； </w:t>
      </w:r>
    </w:p>
    <w:p>
      <w:pPr>
        <w:pStyle w:val="16"/>
        <w:spacing w:after="0"/>
        <w:ind w:firstLine="240" w:firstLineChars="100"/>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供应商</w:t>
      </w:r>
      <w:r>
        <w:rPr>
          <w:rFonts w:hint="eastAsia" w:ascii="宋体" w:hAnsi="宋体" w:cs="宋体"/>
          <w:sz w:val="24"/>
        </w:rPr>
        <w:t>的</w:t>
      </w:r>
      <w:r>
        <w:rPr>
          <w:rFonts w:hint="eastAsia" w:ascii="宋体" w:hAnsi="宋体" w:cs="宋体"/>
          <w:sz w:val="24"/>
          <w:lang w:val="en-US" w:eastAsia="zh-CN"/>
        </w:rPr>
        <w:t>响应</w:t>
      </w:r>
      <w:r>
        <w:rPr>
          <w:rFonts w:hint="eastAsia" w:ascii="宋体" w:hAnsi="宋体" w:cs="宋体"/>
          <w:sz w:val="24"/>
        </w:rPr>
        <w:t xml:space="preserve">文件； </w:t>
      </w:r>
    </w:p>
    <w:p>
      <w:pPr>
        <w:pStyle w:val="16"/>
        <w:spacing w:after="0"/>
        <w:ind w:firstLine="240" w:firstLineChars="10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z w:val="24"/>
        </w:rPr>
        <w:t xml:space="preserve">5、其他合同文件。 </w:t>
      </w:r>
    </w:p>
    <w:p>
      <w:pPr>
        <w:pStyle w:val="7"/>
        <w:ind w:left="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 xml:space="preserve">二、语言和法律 </w:t>
      </w:r>
    </w:p>
    <w:p>
      <w:pPr>
        <w:pStyle w:val="16"/>
        <w:spacing w:after="0"/>
        <w:ind w:firstLine="240" w:firstLineChars="100"/>
        <w:rPr>
          <w:rFonts w:ascii="宋体" w:hAnsi="宋体" w:cs="宋体"/>
          <w:sz w:val="24"/>
        </w:rPr>
      </w:pPr>
      <w:r>
        <w:rPr>
          <w:rFonts w:hint="eastAsia" w:ascii="宋体" w:hAnsi="宋体" w:cs="宋体"/>
          <w:sz w:val="24"/>
        </w:rPr>
        <w:t xml:space="preserve">1、本合同所使用的语言为中文； </w:t>
      </w:r>
    </w:p>
    <w:p>
      <w:pPr>
        <w:pStyle w:val="16"/>
        <w:spacing w:after="0"/>
        <w:ind w:firstLine="240" w:firstLineChars="100"/>
      </w:pPr>
      <w:r>
        <w:rPr>
          <w:rFonts w:hint="eastAsia" w:ascii="宋体" w:hAnsi="宋体" w:cs="宋体"/>
          <w:sz w:val="24"/>
        </w:rPr>
        <w:t xml:space="preserve">2、本合同适用的法律为中华人民共和国现行法律。 </w:t>
      </w:r>
    </w:p>
    <w:p>
      <w:pPr>
        <w:pStyle w:val="7"/>
        <w:ind w:left="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 xml:space="preserve">三、通讯方式 </w:t>
      </w:r>
    </w:p>
    <w:p>
      <w:pPr>
        <w:pStyle w:val="16"/>
        <w:spacing w:after="0" w:line="316" w:lineRule="auto"/>
        <w:ind w:firstLine="480"/>
        <w:rPr>
          <w:b w:val="0"/>
          <w:bCs w:val="0"/>
          <w:lang w:val="en-US" w:bidi="ar-SA"/>
        </w:rPr>
      </w:pPr>
      <w:r>
        <w:rPr>
          <w:rFonts w:hint="eastAsia" w:ascii="宋体" w:hAnsi="宋体" w:cs="宋体"/>
          <w:sz w:val="24"/>
        </w:rPr>
        <w:t xml:space="preserve">合同中所提到的合同双方交流的通讯方式，只有书面形式有效，通知只有在对方签收时有效，合同双方不得无故拒签通知性文件。 </w:t>
      </w:r>
    </w:p>
    <w:p>
      <w:pPr>
        <w:pStyle w:val="7"/>
        <w:ind w:left="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四、服务目标、内容和成果</w:t>
      </w:r>
    </w:p>
    <w:p>
      <w:pPr>
        <w:pStyle w:val="82"/>
        <w:widowControl w:val="0"/>
        <w:spacing w:line="360" w:lineRule="auto"/>
        <w:ind w:firstLine="566" w:firstLineChars="236"/>
        <w:jc w:val="both"/>
        <w:rPr>
          <w:kern w:val="2"/>
        </w:rPr>
      </w:pPr>
      <w:r>
        <w:rPr>
          <w:rFonts w:hint="eastAsia"/>
          <w:kern w:val="2"/>
        </w:rPr>
        <w:t>1、技术服务的目标：</w:t>
      </w:r>
    </w:p>
    <w:p>
      <w:pPr>
        <w:pStyle w:val="82"/>
        <w:spacing w:line="360" w:lineRule="auto"/>
        <w:ind w:firstLine="566" w:firstLineChars="236"/>
        <w:rPr>
          <w:kern w:val="2"/>
        </w:rPr>
      </w:pPr>
      <w:r>
        <w:rPr>
          <w:rFonts w:hint="eastAsia"/>
          <w:kern w:val="2"/>
        </w:rPr>
        <w:t>乙方依据相关技术标准，综合运用多种手段和方法，自合同签订之日起对项目水土流失的成因、数量、强度、影响范围及其水土保持工程效果等进行动态监测和分析，完成本项目水土保持监测总报告，然后结合项目水土保持措施落实情况，最终完成水土保持竣工验收。</w:t>
      </w:r>
    </w:p>
    <w:p>
      <w:pPr>
        <w:pStyle w:val="82"/>
        <w:widowControl w:val="0"/>
        <w:numPr>
          <w:ilvl w:val="0"/>
          <w:numId w:val="3"/>
        </w:numPr>
        <w:spacing w:line="360" w:lineRule="auto"/>
        <w:ind w:firstLineChars="0"/>
        <w:jc w:val="both"/>
        <w:rPr>
          <w:kern w:val="2"/>
        </w:rPr>
      </w:pPr>
      <w:r>
        <w:rPr>
          <w:rFonts w:hint="eastAsia"/>
          <w:kern w:val="2"/>
        </w:rPr>
        <w:t>技术服务的内容：</w:t>
      </w:r>
    </w:p>
    <w:p>
      <w:pPr>
        <w:pStyle w:val="82"/>
        <w:spacing w:line="360" w:lineRule="auto"/>
        <w:ind w:firstLine="566" w:firstLineChars="236"/>
        <w:rPr>
          <w:kern w:val="2"/>
        </w:rPr>
      </w:pPr>
      <w:r>
        <w:rPr>
          <w:rFonts w:hint="eastAsia"/>
          <w:kern w:val="2"/>
        </w:rPr>
        <w:t>乙方按照有关技术要求，对项目开展水土保持监测工作，主要包括：用相关专业仪器设备对项目区的地形、地貌、项目施工前后植被的发展变化状况进行调查对比分析；对项目区水土流失主要因子背景进行调查；对施工期水土流失进行监测；对水土保持措施实施的效果进行监测，出具监测报告；其它依据批复的水影响评价报告（或水土保持方案），需要实施的监测内容。并根据国家有关法律法规对开发建设项目水土保持设施验收管理的规定，对项目建设区以及按规定确定的影响区建成的水土保持设施进行技术评估。</w:t>
      </w:r>
    </w:p>
    <w:p>
      <w:pPr>
        <w:pStyle w:val="82"/>
        <w:widowControl w:val="0"/>
        <w:numPr>
          <w:ilvl w:val="0"/>
          <w:numId w:val="3"/>
        </w:numPr>
        <w:spacing w:line="360" w:lineRule="auto"/>
        <w:ind w:firstLineChars="0"/>
        <w:jc w:val="both"/>
        <w:rPr>
          <w:kern w:val="2"/>
        </w:rPr>
      </w:pPr>
      <w:r>
        <w:rPr>
          <w:rFonts w:hint="eastAsia"/>
          <w:kern w:val="2"/>
        </w:rPr>
        <w:t>技术服务的成果及进度：</w:t>
      </w:r>
    </w:p>
    <w:p>
      <w:pPr>
        <w:pStyle w:val="82"/>
        <w:spacing w:line="360" w:lineRule="auto"/>
        <w:ind w:firstLine="566" w:firstLineChars="236"/>
        <w:rPr>
          <w:kern w:val="2"/>
        </w:rPr>
      </w:pPr>
      <w:r>
        <w:rPr>
          <w:rFonts w:hint="eastAsia"/>
          <w:kern w:val="2"/>
        </w:rPr>
        <w:t>在合同签订后，乙方及时为甲方进行相关的技术服务，服务期限为本项目开工之日起至水土保持设施竣工验收合格后止；合同期内每个季度向水行政主管部门及业主提交水保监测季报，在主体工程完工后20个工作日内完成水土保持监测总报告，在主体工程完工，且各项水土保持设施达到验收标准，在20个工作日内完成水土保持设施验收技术评估总报告、协助甲方完成水土保持工作总结报告的编制工作，并按水行政主管部门要求，最终协助甲方完成水土保持工程竣工验收。</w:t>
      </w:r>
    </w:p>
    <w:p>
      <w:pPr>
        <w:pStyle w:val="7"/>
        <w:ind w:left="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五、技术规范及要求：</w:t>
      </w:r>
    </w:p>
    <w:p>
      <w:pPr>
        <w:spacing w:line="360" w:lineRule="auto"/>
        <w:ind w:firstLine="480" w:firstLineChars="200"/>
        <w:rPr>
          <w:rFonts w:ascii="宋体" w:hAnsi="宋体" w:cs="宋体"/>
          <w:sz w:val="24"/>
        </w:rPr>
      </w:pPr>
      <w:r>
        <w:rPr>
          <w:rFonts w:hint="eastAsia" w:ascii="宋体" w:hAnsi="宋体" w:cs="宋体"/>
          <w:sz w:val="24"/>
        </w:rPr>
        <w:t>1、《开发建设项目水土保持工程验收办法》(水利部16号令)等；</w:t>
      </w:r>
    </w:p>
    <w:p>
      <w:pPr>
        <w:spacing w:line="360" w:lineRule="auto"/>
        <w:ind w:firstLine="480" w:firstLineChars="200"/>
        <w:rPr>
          <w:rFonts w:ascii="宋体" w:hAnsi="宋体" w:cs="宋体"/>
          <w:sz w:val="24"/>
        </w:rPr>
      </w:pPr>
      <w:r>
        <w:rPr>
          <w:rFonts w:hint="eastAsia" w:ascii="宋体" w:hAnsi="宋体" w:cs="宋体"/>
          <w:sz w:val="24"/>
        </w:rPr>
        <w:t>2、经批复的水影响评价报告（或水土保持方案）等。</w:t>
      </w:r>
    </w:p>
    <w:p>
      <w:pPr>
        <w:spacing w:line="360" w:lineRule="auto"/>
        <w:ind w:firstLine="480" w:firstLineChars="200"/>
        <w:rPr>
          <w:rFonts w:ascii="宋体" w:hAnsi="宋体" w:cs="宋体"/>
          <w:sz w:val="24"/>
        </w:rPr>
      </w:pPr>
      <w:r>
        <w:rPr>
          <w:rFonts w:hint="eastAsia" w:ascii="宋体" w:hAnsi="宋体" w:cs="宋体"/>
          <w:sz w:val="24"/>
        </w:rPr>
        <w:t>3、《水土保持监测技术规范》(SL277-2002)；</w:t>
      </w:r>
    </w:p>
    <w:p>
      <w:pPr>
        <w:pStyle w:val="7"/>
        <w:ind w:left="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六、工作条件和协作事项：</w:t>
      </w:r>
    </w:p>
    <w:p>
      <w:pPr>
        <w:spacing w:line="360" w:lineRule="auto"/>
        <w:ind w:firstLine="480" w:firstLineChars="200"/>
        <w:rPr>
          <w:rFonts w:ascii="宋体" w:hAnsi="宋体" w:cs="宋体"/>
          <w:sz w:val="24"/>
        </w:rPr>
      </w:pPr>
      <w:r>
        <w:rPr>
          <w:rFonts w:hint="eastAsia" w:ascii="宋体" w:hAnsi="宋体" w:cs="宋体"/>
          <w:sz w:val="24"/>
        </w:rPr>
        <w:t>在合同生效后7日内，甲方向乙方提供下列资料和工作条件：</w:t>
      </w:r>
    </w:p>
    <w:p>
      <w:pPr>
        <w:spacing w:line="360" w:lineRule="auto"/>
        <w:ind w:firstLine="480" w:firstLineChars="200"/>
        <w:rPr>
          <w:rFonts w:ascii="宋体" w:hAnsi="宋体" w:cs="宋体"/>
          <w:sz w:val="24"/>
        </w:rPr>
      </w:pPr>
      <w:r>
        <w:rPr>
          <w:rFonts w:hint="eastAsia" w:ascii="宋体" w:hAnsi="宋体" w:cs="宋体"/>
          <w:sz w:val="24"/>
        </w:rPr>
        <w:t>1、甲方如实向乙方介绍工程建设情况并向乙方提供编制水土保持监测报告和验收评估、工作总结报告所需的全部相关资料。</w:t>
      </w:r>
    </w:p>
    <w:p>
      <w:pPr>
        <w:spacing w:line="360" w:lineRule="auto"/>
        <w:ind w:firstLine="482" w:firstLineChars="201"/>
        <w:rPr>
          <w:rFonts w:ascii="宋体" w:hAnsi="宋体" w:cs="宋体"/>
          <w:sz w:val="24"/>
        </w:rPr>
      </w:pPr>
      <w:r>
        <w:rPr>
          <w:rFonts w:hint="eastAsia" w:ascii="宋体" w:hAnsi="宋体" w:cs="宋体"/>
          <w:sz w:val="24"/>
        </w:rPr>
        <w:t>2、乙方应严格按照甲方的工作要求及时完成各项工作，并积极配合水行政主管部门的现场检查工作，积极协调相关各方关系。</w:t>
      </w:r>
    </w:p>
    <w:p>
      <w:pPr>
        <w:pStyle w:val="7"/>
        <w:ind w:left="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七、验收标准和方式：</w:t>
      </w:r>
    </w:p>
    <w:p>
      <w:pPr>
        <w:spacing w:line="360" w:lineRule="auto"/>
        <w:ind w:firstLine="555"/>
        <w:rPr>
          <w:rFonts w:ascii="宋体" w:hAnsi="宋体" w:cs="宋体"/>
          <w:sz w:val="24"/>
        </w:rPr>
      </w:pPr>
      <w:r>
        <w:rPr>
          <w:rFonts w:hint="eastAsia" w:ascii="宋体" w:hAnsi="宋体" w:cs="宋体"/>
          <w:sz w:val="24"/>
        </w:rPr>
        <w:t xml:space="preserve">1、乙方完成技术服务工作成果的形式：《 </w:t>
      </w:r>
      <w:r>
        <w:rPr>
          <w:rFonts w:ascii="宋体" w:hAnsi="宋体" w:cs="宋体"/>
          <w:sz w:val="24"/>
        </w:rPr>
        <w:t xml:space="preserve">     </w:t>
      </w:r>
      <w:r>
        <w:rPr>
          <w:rFonts w:hint="eastAsia" w:ascii="宋体" w:hAnsi="宋体" w:cs="宋体"/>
          <w:sz w:val="24"/>
        </w:rPr>
        <w:t>项目水土保持自验收技术评估报告》一式贰份（电子版壹份）、《</w:t>
      </w:r>
      <w:r>
        <w:rPr>
          <w:rFonts w:hint="eastAsia" w:ascii="宋体" w:hAnsi="宋体" w:cs="宋体"/>
          <w:sz w:val="24"/>
          <w:lang w:val="en-US" w:eastAsia="zh-CN"/>
        </w:rPr>
        <w:t xml:space="preserve">       </w:t>
      </w:r>
      <w:r>
        <w:rPr>
          <w:rFonts w:hint="eastAsia" w:ascii="宋体" w:hAnsi="宋体" w:cs="宋体"/>
          <w:sz w:val="24"/>
        </w:rPr>
        <w:t>项目水土保持工作总结报告》一式贰份（电子版壹份）</w:t>
      </w:r>
      <w:r>
        <w:rPr>
          <w:rFonts w:hint="eastAsia" w:ascii="宋体" w:hAnsi="宋体" w:cs="宋体"/>
          <w:sz w:val="24"/>
          <w:lang w:eastAsia="zh-CN"/>
        </w:rPr>
        <w:t>、</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项目水土保持监测报告》（包含实施方案一份、监测季报四份、总结报告一份）一式贰份（电子版壹份）。</w:t>
      </w:r>
    </w:p>
    <w:p>
      <w:pPr>
        <w:spacing w:line="360" w:lineRule="auto"/>
        <w:ind w:firstLine="555"/>
        <w:rPr>
          <w:rFonts w:ascii="宋体" w:hAnsi="宋体" w:cs="宋体"/>
          <w:sz w:val="24"/>
        </w:rPr>
      </w:pPr>
      <w:r>
        <w:rPr>
          <w:rFonts w:hint="eastAsia" w:ascii="宋体" w:hAnsi="宋体" w:cs="宋体"/>
          <w:sz w:val="24"/>
        </w:rPr>
        <w:t>2、技术服务工作成果的验收标准：按国家相关规程、规范。</w:t>
      </w:r>
    </w:p>
    <w:p>
      <w:pPr>
        <w:spacing w:line="360" w:lineRule="auto"/>
        <w:ind w:firstLine="555"/>
        <w:rPr>
          <w:rFonts w:ascii="宋体" w:hAnsi="宋体" w:cs="宋体"/>
          <w:sz w:val="24"/>
        </w:rPr>
      </w:pPr>
      <w:r>
        <w:rPr>
          <w:rFonts w:hint="eastAsia" w:ascii="宋体" w:hAnsi="宋体" w:cs="宋体"/>
          <w:sz w:val="24"/>
        </w:rPr>
        <w:t>3、技术服务工作成果的验收方法：完成水土保持监测和竣工验收总报告，满足水土保持设施验收需要，通过相关主管部门组织的竣工验收。</w:t>
      </w:r>
    </w:p>
    <w:p>
      <w:pPr>
        <w:pStyle w:val="7"/>
        <w:ind w:left="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八、报酬及其支付方式：</w:t>
      </w:r>
    </w:p>
    <w:p>
      <w:pPr>
        <w:spacing w:line="360" w:lineRule="auto"/>
        <w:ind w:firstLine="480" w:firstLineChars="200"/>
        <w:rPr>
          <w:rFonts w:ascii="宋体" w:hAnsi="宋体" w:cs="宋体"/>
          <w:sz w:val="24"/>
        </w:rPr>
      </w:pPr>
      <w:r>
        <w:rPr>
          <w:rFonts w:hint="eastAsia" w:ascii="宋体" w:hAnsi="宋体" w:cs="宋体"/>
          <w:sz w:val="24"/>
        </w:rPr>
        <w:t>（一）本项目报酬为￥     元(大写：    万元整)</w:t>
      </w:r>
      <w:r>
        <w:rPr>
          <w:rFonts w:hint="eastAsia" w:ascii="宋体" w:hAnsi="宋体" w:cs="宋体"/>
          <w:sz w:val="24"/>
          <w:lang w:val="en-US" w:eastAsia="zh-CN"/>
        </w:rPr>
        <w:t>税率6%，此费用为含税价</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（二）支付方式</w:t>
      </w:r>
    </w:p>
    <w:p>
      <w:pPr>
        <w:spacing w:line="360" w:lineRule="auto"/>
        <w:ind w:firstLine="480" w:firstLineChars="200"/>
        <w:rPr>
          <w:rFonts w:ascii="宋体" w:hAnsi="宋体" w:cs="宋体"/>
          <w:sz w:val="24"/>
        </w:rPr>
      </w:pPr>
      <w:r>
        <w:rPr>
          <w:rFonts w:hint="eastAsia" w:ascii="宋体" w:hAnsi="宋体" w:cs="宋体"/>
          <w:sz w:val="24"/>
        </w:rPr>
        <w:t>1、工程完工并达到验收标准后，乙方完成监测总报告，配合甲方通过水行政主管部门组织的专家竣工验收后20个工作日内支付乙方的监测及验收技术服务费用，计人民币￥    元(大写：     万元整)；</w:t>
      </w:r>
    </w:p>
    <w:p>
      <w:pPr>
        <w:spacing w:line="360" w:lineRule="auto"/>
        <w:ind w:firstLine="480" w:firstLineChars="200"/>
        <w:rPr>
          <w:rFonts w:ascii="宋体" w:hAnsi="宋体" w:cs="宋体"/>
          <w:sz w:val="24"/>
        </w:rPr>
      </w:pPr>
      <w:r>
        <w:rPr>
          <w:rFonts w:hint="eastAsia" w:ascii="宋体" w:hAnsi="宋体" w:cs="宋体"/>
          <w:sz w:val="24"/>
        </w:rPr>
        <w:t>2、需提供甲方认可的增值税发票。</w:t>
      </w:r>
    </w:p>
    <w:p>
      <w:pPr>
        <w:pStyle w:val="7"/>
        <w:ind w:left="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九、违约责任：</w:t>
      </w:r>
    </w:p>
    <w:p>
      <w:pPr>
        <w:spacing w:line="360" w:lineRule="auto"/>
        <w:ind w:firstLine="585"/>
        <w:outlineLvl w:val="1"/>
        <w:rPr>
          <w:rFonts w:ascii="宋体" w:hAnsi="宋体" w:cs="宋体"/>
          <w:sz w:val="24"/>
        </w:rPr>
      </w:pPr>
      <w:r>
        <w:rPr>
          <w:rFonts w:hint="eastAsia" w:ascii="宋体" w:hAnsi="宋体" w:cs="宋体"/>
          <w:sz w:val="24"/>
        </w:rPr>
        <w:t>1.甲方违约责任</w:t>
      </w:r>
    </w:p>
    <w:p>
      <w:pPr>
        <w:spacing w:line="360" w:lineRule="auto"/>
        <w:ind w:firstLine="585"/>
        <w:outlineLvl w:val="1"/>
        <w:rPr>
          <w:rFonts w:ascii="宋体" w:hAnsi="宋体" w:cs="宋体"/>
          <w:sz w:val="24"/>
        </w:rPr>
      </w:pPr>
      <w:r>
        <w:rPr>
          <w:rFonts w:hint="eastAsia" w:ascii="宋体" w:hAnsi="宋体" w:cs="宋体"/>
          <w:sz w:val="24"/>
        </w:rPr>
        <w:t>（1）未按合同约定提供项目相关资料和工作条件，影响乙方工作进度和质量的，乙方提交工作成果的日期相应顺延。</w:t>
      </w:r>
    </w:p>
    <w:p>
      <w:pPr>
        <w:spacing w:line="360" w:lineRule="auto"/>
        <w:ind w:firstLine="585"/>
        <w:outlineLvl w:val="1"/>
        <w:rPr>
          <w:rFonts w:ascii="宋体" w:hAnsi="宋体" w:cs="宋体"/>
          <w:sz w:val="24"/>
        </w:rPr>
      </w:pPr>
      <w:r>
        <w:rPr>
          <w:rFonts w:hint="eastAsia" w:ascii="宋体" w:hAnsi="宋体" w:cs="宋体"/>
          <w:sz w:val="24"/>
        </w:rPr>
        <w:t>（2）未按合同约定支付费用的，乙方提交工作成果的日期相应顺延。</w:t>
      </w:r>
    </w:p>
    <w:p>
      <w:pPr>
        <w:spacing w:line="360" w:lineRule="auto"/>
        <w:ind w:firstLine="585"/>
        <w:outlineLvl w:val="1"/>
        <w:rPr>
          <w:rFonts w:ascii="宋体" w:hAnsi="宋体" w:cs="宋体"/>
          <w:sz w:val="24"/>
        </w:rPr>
      </w:pPr>
      <w:r>
        <w:rPr>
          <w:rFonts w:hint="eastAsia" w:ascii="宋体" w:hAnsi="宋体" w:cs="宋体"/>
          <w:sz w:val="24"/>
        </w:rPr>
        <w:t>2.乙方违约责任</w:t>
      </w:r>
    </w:p>
    <w:p>
      <w:pPr>
        <w:spacing w:line="360" w:lineRule="auto"/>
        <w:ind w:firstLine="585"/>
        <w:outlineLvl w:val="1"/>
        <w:rPr>
          <w:rFonts w:ascii="宋体" w:hAnsi="宋体" w:cs="宋体"/>
          <w:sz w:val="24"/>
        </w:rPr>
      </w:pPr>
      <w:r>
        <w:rPr>
          <w:rFonts w:hint="eastAsia" w:ascii="宋体" w:hAnsi="宋体" w:cs="宋体"/>
          <w:sz w:val="24"/>
        </w:rPr>
        <w:t>（1）未按合同约定期限提交工作成果的，乙方应承担相应责任。</w:t>
      </w:r>
    </w:p>
    <w:p>
      <w:pPr>
        <w:spacing w:line="360" w:lineRule="auto"/>
        <w:ind w:firstLine="585"/>
        <w:outlineLvl w:val="1"/>
        <w:rPr>
          <w:rFonts w:ascii="宋体" w:hAnsi="宋体" w:cs="宋体"/>
          <w:sz w:val="24"/>
        </w:rPr>
      </w:pPr>
      <w:r>
        <w:rPr>
          <w:rFonts w:hint="eastAsia" w:ascii="宋体" w:hAnsi="宋体" w:cs="宋体"/>
          <w:sz w:val="24"/>
        </w:rPr>
        <w:t>（2）提交的工作成果不符合合同约定技术质量的，需要修改、补充、完善的相关费用由乙方承担。</w:t>
      </w:r>
    </w:p>
    <w:p>
      <w:pPr>
        <w:spacing w:line="360" w:lineRule="auto"/>
        <w:ind w:firstLine="585"/>
        <w:outlineLvl w:val="1"/>
        <w:rPr>
          <w:rFonts w:ascii="宋体" w:hAnsi="宋体" w:cs="宋体"/>
          <w:sz w:val="24"/>
        </w:rPr>
      </w:pPr>
      <w:r>
        <w:rPr>
          <w:rFonts w:hint="eastAsia" w:ascii="宋体" w:hAnsi="宋体" w:cs="宋体"/>
          <w:sz w:val="24"/>
        </w:rPr>
        <w:t>（3）因国家和地方法律法规政策、项目重大变更、公众意见以及其他非技术原因，致使工作无法正常推进或报告书无法通过评审和审批的，不属于乙方责任。</w:t>
      </w:r>
    </w:p>
    <w:p>
      <w:pPr>
        <w:pStyle w:val="7"/>
        <w:ind w:left="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十、争议解决办法：</w:t>
      </w:r>
    </w:p>
    <w:p>
      <w:pPr>
        <w:spacing w:line="360" w:lineRule="auto"/>
        <w:ind w:firstLine="585"/>
        <w:outlineLvl w:val="1"/>
        <w:rPr>
          <w:rFonts w:ascii="宋体" w:hAnsi="宋体" w:cs="宋体"/>
          <w:sz w:val="24"/>
        </w:rPr>
      </w:pPr>
      <w:r>
        <w:rPr>
          <w:rFonts w:hint="eastAsia" w:ascii="宋体" w:hAnsi="宋体" w:cs="宋体"/>
          <w:sz w:val="24"/>
        </w:rPr>
        <w:t>双方在合同履行过程中发生争议或纠纷，应当通过友好协商办法解决。协商不成的，可向</w:t>
      </w:r>
      <w:r>
        <w:rPr>
          <w:rFonts w:hint="eastAsia" w:ascii="宋体" w:hAnsi="宋体" w:cs="宋体"/>
          <w:sz w:val="24"/>
          <w:lang w:val="en-US" w:eastAsia="zh-CN"/>
        </w:rPr>
        <w:t>岳阳市云溪区</w:t>
      </w:r>
      <w:r>
        <w:rPr>
          <w:rFonts w:hint="eastAsia" w:ascii="宋体" w:hAnsi="宋体" w:cs="宋体"/>
          <w:sz w:val="24"/>
        </w:rPr>
        <w:t>人民法院提起诉讼。</w:t>
      </w:r>
    </w:p>
    <w:p>
      <w:pPr>
        <w:pStyle w:val="7"/>
        <w:ind w:left="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十一、其他</w:t>
      </w:r>
    </w:p>
    <w:p>
      <w:pPr>
        <w:spacing w:line="360" w:lineRule="auto"/>
        <w:ind w:firstLine="585"/>
        <w:outlineLvl w:val="1"/>
        <w:rPr>
          <w:rFonts w:ascii="宋体" w:hAnsi="宋体" w:cs="宋体"/>
          <w:sz w:val="24"/>
        </w:rPr>
      </w:pPr>
      <w:r>
        <w:rPr>
          <w:rFonts w:hint="eastAsia" w:ascii="宋体" w:hAnsi="宋体" w:cs="宋体"/>
          <w:sz w:val="24"/>
        </w:rPr>
        <w:t>1.本合同经双方签字、签章后生效，双方履行全部合同义务后失效。</w:t>
      </w:r>
    </w:p>
    <w:p>
      <w:pPr>
        <w:spacing w:line="360" w:lineRule="auto"/>
        <w:ind w:firstLine="585"/>
        <w:outlineLvl w:val="1"/>
        <w:rPr>
          <w:rFonts w:ascii="宋体" w:hAnsi="宋体" w:cs="宋体"/>
          <w:sz w:val="24"/>
        </w:rPr>
      </w:pPr>
      <w:r>
        <w:rPr>
          <w:rFonts w:hint="eastAsia" w:ascii="宋体" w:hAnsi="宋体" w:cs="宋体"/>
          <w:sz w:val="24"/>
        </w:rPr>
        <w:t>2.本合同未尽事宜，双方经友好协商解决。</w:t>
      </w:r>
    </w:p>
    <w:p>
      <w:pPr>
        <w:spacing w:line="360" w:lineRule="auto"/>
        <w:ind w:firstLine="585"/>
        <w:outlineLvl w:val="1"/>
        <w:rPr>
          <w:color w:val="000000" w:themeColor="text1"/>
          <w:highlight w:val="none"/>
          <w14:textFill>
            <w14:solidFill>
              <w14:schemeClr w14:val="tx1"/>
            </w14:solidFill>
          </w14:textFill>
        </w:rPr>
      </w:pPr>
      <w:r>
        <w:rPr>
          <w:rFonts w:hint="eastAsia" w:ascii="宋体" w:hAnsi="宋体" w:cs="宋体"/>
          <w:sz w:val="24"/>
        </w:rPr>
        <w:t>3.本合同一式贰份，甲乙双方各壹份。</w:t>
      </w:r>
      <w:bookmarkEnd w:id="12"/>
      <w:bookmarkEnd w:id="13"/>
      <w:bookmarkEnd w:id="14"/>
      <w:bookmarkEnd w:id="15"/>
      <w:bookmarkEnd w:id="16"/>
      <w:bookmarkEnd w:id="17"/>
      <w:bookmarkEnd w:id="18"/>
      <w:bookmarkEnd w:id="19"/>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此页无正文</w:t>
      </w:r>
      <w:r>
        <w:rPr>
          <w:rFonts w:hint="eastAsia"/>
          <w:color w:val="000000" w:themeColor="text1"/>
          <w:sz w:val="24"/>
          <w:highlight w:val="none"/>
          <w:lang w:eastAsia="zh-CN"/>
          <w14:textFill>
            <w14:solidFill>
              <w14:schemeClr w14:val="tx1"/>
            </w14:solidFill>
          </w14:textFill>
        </w:rPr>
        <w:t>）</w:t>
      </w: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发包人：（盖单位章）</w:t>
      </w:r>
      <w:r>
        <w:rPr>
          <w:rFonts w:hint="eastAsia"/>
          <w:color w:val="000000" w:themeColor="text1"/>
          <w:sz w:val="24"/>
          <w:highlight w:val="non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服务人：（盖单位章）</w:t>
      </w: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法定代表人或其委托代理人：（签字</w:t>
      </w:r>
      <w:r>
        <w:rPr>
          <w:rFonts w:hint="eastAsia"/>
          <w:color w:val="000000" w:themeColor="text1"/>
          <w:sz w:val="24"/>
          <w:highlight w:val="none"/>
          <w14:textFill>
            <w14:solidFill>
              <w14:schemeClr w14:val="tx1"/>
            </w14:solidFill>
          </w14:textFill>
        </w:rPr>
        <w:t>或签章</w:t>
      </w:r>
      <w:r>
        <w:rPr>
          <w:color w:val="000000" w:themeColor="text1"/>
          <w:sz w:val="24"/>
          <w:highlight w:val="none"/>
          <w14:textFill>
            <w14:solidFill>
              <w14:schemeClr w14:val="tx1"/>
            </w14:solidFill>
          </w14:textFill>
        </w:rPr>
        <w:t>）法定代表人或其委托代理人：（签字</w:t>
      </w:r>
      <w:r>
        <w:rPr>
          <w:rFonts w:hint="eastAsia"/>
          <w:color w:val="000000" w:themeColor="text1"/>
          <w:sz w:val="24"/>
          <w:highlight w:val="none"/>
          <w14:textFill>
            <w14:solidFill>
              <w14:schemeClr w14:val="tx1"/>
            </w14:solidFill>
          </w14:textFill>
        </w:rPr>
        <w:t>或签章</w:t>
      </w:r>
      <w:r>
        <w:rPr>
          <w:color w:val="000000" w:themeColor="text1"/>
          <w:sz w:val="24"/>
          <w:highlight w:val="none"/>
          <w14:textFill>
            <w14:solidFill>
              <w14:schemeClr w14:val="tx1"/>
            </w14:solidFill>
          </w14:textFill>
        </w:rPr>
        <w:t>）</w:t>
      </w:r>
    </w:p>
    <w:p>
      <w:pPr>
        <w:spacing w:line="360" w:lineRule="auto"/>
        <w:ind w:firstLine="720" w:firstLineChars="300"/>
        <w:rPr>
          <w:color w:val="000000" w:themeColor="text1"/>
          <w:sz w:val="24"/>
          <w:highlight w:val="none"/>
          <w14:textFill>
            <w14:solidFill>
              <w14:schemeClr w14:val="tx1"/>
            </w14:solidFill>
          </w14:textFill>
        </w:rPr>
      </w:pPr>
    </w:p>
    <w:p>
      <w:pPr>
        <w:spacing w:line="360" w:lineRule="auto"/>
        <w:ind w:firstLine="1200" w:firstLineChars="5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日</w:t>
      </w:r>
      <w:r>
        <w:rPr>
          <w:rFonts w:hint="eastAsia"/>
          <w:color w:val="000000" w:themeColor="text1"/>
          <w:sz w:val="24"/>
          <w:highlight w:val="non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bookmarkStart w:id="20" w:name="_Hlk79957878"/>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：廉政责任书</w:t>
      </w:r>
    </w:p>
    <w:p>
      <w:pPr>
        <w:pStyle w:val="194"/>
        <w:autoSpaceDE/>
        <w:autoSpaceDN/>
        <w:adjustRightInd/>
        <w:spacing w:before="240" w:after="240" w:line="490" w:lineRule="exact"/>
        <w:jc w:val="center"/>
        <w:rPr>
          <w:rFonts w:cs="Times New Roman"/>
          <w:b/>
          <w:color w:val="000000" w:themeColor="text1"/>
          <w:sz w:val="32"/>
          <w:szCs w:val="32"/>
          <w:highlight w:val="none"/>
          <w14:textFill>
            <w14:solidFill>
              <w14:schemeClr w14:val="tx1"/>
            </w14:solidFill>
          </w14:textFill>
        </w:rPr>
      </w:pPr>
      <w:r>
        <w:rPr>
          <w:rFonts w:cs="Times New Roman"/>
          <w:b/>
          <w:color w:val="000000" w:themeColor="text1"/>
          <w:sz w:val="32"/>
          <w:szCs w:val="32"/>
          <w:highlight w:val="none"/>
          <w14:textFill>
            <w14:solidFill>
              <w14:schemeClr w14:val="tx1"/>
            </w14:solidFill>
          </w14:textFill>
        </w:rPr>
        <w:t>廉政责任书（格式）</w:t>
      </w:r>
    </w:p>
    <w:p>
      <w:pPr>
        <w:spacing w:line="312"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项目名称：</w:t>
      </w:r>
    </w:p>
    <w:p>
      <w:pPr>
        <w:spacing w:line="312"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项目地址：</w:t>
      </w:r>
    </w:p>
    <w:p>
      <w:pPr>
        <w:spacing w:line="312"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发包人（甲方）：</w:t>
      </w:r>
    </w:p>
    <w:p>
      <w:pPr>
        <w:spacing w:line="312"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人（乙方）：</w:t>
      </w:r>
    </w:p>
    <w:p>
      <w:pPr>
        <w:spacing w:line="312" w:lineRule="auto"/>
        <w:ind w:firstLine="480" w:firstLineChars="200"/>
        <w:rPr>
          <w:rFonts w:ascii="宋体" w:hAnsi="宋体"/>
          <w:color w:val="000000" w:themeColor="text1"/>
          <w:sz w:val="24"/>
          <w:highlight w:val="none"/>
          <w14:textFill>
            <w14:solidFill>
              <w14:schemeClr w14:val="tx1"/>
            </w14:solidFill>
          </w14:textFill>
        </w:rPr>
      </w:pP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加强工程建设中的廉政建设，规范甲乙双方的各项活动，防止发生各种谋取不正当利益的违法违纪行为，保护国家、集体和当事人的合法权益，根据国家有关工程建设的法律法规和廉政建设责任制规定，特订立本廉政责任书。</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第一条  甲乙双方的责任</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（一）应严格遵守国家关于市场准入、项目招标投标、工程建设施工监理等有关法律、法规，相关政策，以及廉政建设的各项规定。</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（二）严格执行建设工程项目施工监理合同文件，自觉按合同办事。</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（三）业务活动必须坚持公开、公平、公正、诚信、透明的原则（除法律法规另有规定者外）。不得为获取不正当的利益，损害国家、集体和对方利益，不得违反工程建设施工监理的规章制度。</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（四）发现对方在业务活动中有违规、违纪、违法行为的，应及时提醒对方，情节严重的，应向其上级主管部门或纪检监察、司法等有关机关举报。</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第二条  甲方的责任</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甲方的领导和从事该建设工程项目的工作人员，在工程建设的事前、事中、事后应遵守以下规定：</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（一）不准向乙方和相关单位索要或接受回扣、礼金、有价证券、贵重物品和好处费、感谢费等。</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（二）不准在乙方和相关单位报销任何应由甲方或个人支付的费人。</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（三）不准要求、暗示或接受乙方和相关单位为个人装修住房、婚丧嫁娶、配偶子女的工作安排以及出国（境）、旅游等提供方便。</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（四）不准参加有可能影响公正执行公务的乙方和相关单位的宴请和健身、娱乐等活动。</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不准向乙方介绍或为配偶、子女、亲属参与同甲方项目工程施工监理合同有关的各项经济活动。不得以任何理由向乙方和相关单位推荐分包单位和要求乙方购买项目工程施工监理合同规定以外的材料、设备等。</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第三条  乙方的责任</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应与甲方保持正常的业务交往，按照有关法律法规和程序开展业务工作，严格执行工程建设的有关政策，遵守以下规定：</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（一）不准以任何理由向甲方、相关单位及其工作人员索要、接受或赠送礼、有价证券、贵重物品和回扣、好处费、感谢费等。</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（二）不准以任何理由为甲方和相关单位报销应由对方或个人支付的费用。</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（三）不准接受或暗示为甲方、相关单位或个人装修住房、婚丧嫁娶、配偶子女的工作安排以及出国（境）、旅游等提供方便。</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（四）不准以任何理由为甲方、相关单位或个人、组织提供有可能影响公正执行公务的宴请、健身、娱乐等活动。</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第四条  违约责任</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第五条  本责任书作为工程施工监理合同的附件，与工程施工监理合同具有同等法律效力。经双方签署后生效。</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第六条  本责任书的有效期为双方签署之日至该工程项目竣工验收合格时止。</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第七条  本责任和本工程施工监理合同同时使用，由双方法定代表人或其授权的代理人签署与加盖公章后生效。</w:t>
      </w:r>
    </w:p>
    <w:p>
      <w:pPr>
        <w:spacing w:line="312" w:lineRule="auto"/>
        <w:ind w:firstLine="480" w:firstLineChars="200"/>
        <w:rPr>
          <w:rFonts w:ascii="宋体" w:hAnsi="宋体"/>
          <w:color w:val="000000" w:themeColor="text1"/>
          <w:sz w:val="24"/>
          <w:highlight w:val="none"/>
          <w14:textFill>
            <w14:solidFill>
              <w14:schemeClr w14:val="tx1"/>
            </w14:solidFill>
          </w14:textFill>
        </w:rPr>
      </w:pPr>
    </w:p>
    <w:p>
      <w:pPr>
        <w:pStyle w:val="195"/>
        <w:autoSpaceDE/>
        <w:autoSpaceDN/>
        <w:adjustRightInd/>
        <w:spacing w:line="312" w:lineRule="auto"/>
        <w:jc w:val="both"/>
        <w:rPr>
          <w:rFonts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委托人</w:t>
      </w:r>
      <w:r>
        <w:rPr>
          <w:rFonts w:hAnsi="宋体" w:cs="Times New Roman"/>
          <w:color w:val="000000" w:themeColor="text1"/>
          <w:highlight w:val="none"/>
          <w14:textFill>
            <w14:solidFill>
              <w14:schemeClr w14:val="tx1"/>
            </w14:solidFill>
          </w14:textFill>
        </w:rPr>
        <w:t>：</w:t>
      </w:r>
      <w:r>
        <w:rPr>
          <w:rFonts w:hAnsi="宋体" w:cs="Times New Roman"/>
          <w:color w:val="000000" w:themeColor="text1"/>
          <w:highlight w:val="none"/>
          <w:u w:val="single"/>
          <w14:textFill>
            <w14:solidFill>
              <w14:schemeClr w14:val="tx1"/>
            </w14:solidFill>
          </w14:textFill>
        </w:rPr>
        <w:t xml:space="preserve">      （盖单位公章）  </w:t>
      </w:r>
      <w:r>
        <w:rPr>
          <w:rFonts w:hint="eastAsia" w:hAnsi="宋体" w:cs="Times New Roman"/>
          <w:color w:val="000000" w:themeColor="text1"/>
          <w:highlight w:val="none"/>
          <w14:textFill>
            <w14:solidFill>
              <w14:schemeClr w14:val="tx1"/>
            </w14:solidFill>
          </w14:textFill>
        </w:rPr>
        <w:t>服务</w:t>
      </w:r>
      <w:r>
        <w:rPr>
          <w:rFonts w:hAnsi="宋体" w:cs="Times New Roman"/>
          <w:color w:val="000000" w:themeColor="text1"/>
          <w:highlight w:val="none"/>
          <w14:textFill>
            <w14:solidFill>
              <w14:schemeClr w14:val="tx1"/>
            </w14:solidFill>
          </w14:textFill>
        </w:rPr>
        <w:t>人：</w:t>
      </w:r>
      <w:r>
        <w:rPr>
          <w:rFonts w:hAnsi="宋体" w:cs="Times New Roman"/>
          <w:color w:val="000000" w:themeColor="text1"/>
          <w:highlight w:val="none"/>
          <w:u w:val="single"/>
          <w14:textFill>
            <w14:solidFill>
              <w14:schemeClr w14:val="tx1"/>
            </w14:solidFill>
          </w14:textFill>
        </w:rPr>
        <w:t xml:space="preserve">    （盖单位公章）   </w:t>
      </w:r>
    </w:p>
    <w:p>
      <w:pPr>
        <w:pStyle w:val="195"/>
        <w:autoSpaceDE/>
        <w:autoSpaceDN/>
        <w:adjustRightInd/>
        <w:spacing w:line="312" w:lineRule="auto"/>
        <w:jc w:val="both"/>
        <w:rPr>
          <w:rFonts w:hAnsi="宋体" w:cs="Times New Roman"/>
          <w:color w:val="000000" w:themeColor="text1"/>
          <w:highlight w:val="none"/>
          <w14:textFill>
            <w14:solidFill>
              <w14:schemeClr w14:val="tx1"/>
            </w14:solidFill>
          </w14:textFill>
        </w:rPr>
      </w:pPr>
    </w:p>
    <w:p>
      <w:pPr>
        <w:pStyle w:val="195"/>
        <w:autoSpaceDE/>
        <w:autoSpaceDN/>
        <w:adjustRightInd/>
        <w:spacing w:line="312" w:lineRule="auto"/>
        <w:jc w:val="both"/>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法定代表人或其委托代理人</w:t>
      </w:r>
      <w:r>
        <w:rPr>
          <w:rFonts w:hint="eastAsia" w:hAnsi="宋体" w:cs="Times New Roman"/>
          <w:color w:val="000000" w:themeColor="text1"/>
          <w:highlight w:val="none"/>
          <w14:textFill>
            <w14:solidFill>
              <w14:schemeClr w14:val="tx1"/>
            </w14:solidFill>
          </w14:textFill>
        </w:rPr>
        <w:t>:</w:t>
      </w:r>
      <w:r>
        <w:rPr>
          <w:rFonts w:hAnsi="宋体" w:cs="Times New Roman"/>
          <w:color w:val="000000" w:themeColor="text1"/>
          <w:highlight w:val="none"/>
          <w:u w:val="single"/>
          <w14:textFill>
            <w14:solidFill>
              <w14:schemeClr w14:val="tx1"/>
            </w14:solidFill>
          </w14:textFill>
        </w:rPr>
        <w:t>（签字</w:t>
      </w:r>
      <w:r>
        <w:rPr>
          <w:rFonts w:hint="eastAsia" w:hAnsi="宋体" w:cs="Times New Roman"/>
          <w:color w:val="000000" w:themeColor="text1"/>
          <w:highlight w:val="none"/>
          <w:u w:val="single"/>
          <w14:textFill>
            <w14:solidFill>
              <w14:schemeClr w14:val="tx1"/>
            </w14:solidFill>
          </w14:textFill>
        </w:rPr>
        <w:t>或签章</w:t>
      </w:r>
      <w:r>
        <w:rPr>
          <w:rFonts w:hAnsi="宋体" w:cs="Times New Roman"/>
          <w:color w:val="000000" w:themeColor="text1"/>
          <w:highlight w:val="none"/>
          <w:u w:val="single"/>
          <w14:textFill>
            <w14:solidFill>
              <w14:schemeClr w14:val="tx1"/>
            </w14:solidFill>
          </w14:textFill>
        </w:rPr>
        <w:t>）</w:t>
      </w:r>
      <w:r>
        <w:rPr>
          <w:rFonts w:hint="eastAsia" w:hAnsi="宋体" w:cs="Times New Roman"/>
          <w:color w:val="000000" w:themeColor="text1"/>
          <w:highlight w:val="none"/>
          <w14:textFill>
            <w14:solidFill>
              <w14:schemeClr w14:val="tx1"/>
            </w14:solidFill>
          </w14:textFill>
        </w:rPr>
        <w:t>法</w:t>
      </w:r>
      <w:r>
        <w:rPr>
          <w:rFonts w:hAnsi="宋体" w:cs="Times New Roman"/>
          <w:color w:val="000000" w:themeColor="text1"/>
          <w:highlight w:val="none"/>
          <w14:textFill>
            <w14:solidFill>
              <w14:schemeClr w14:val="tx1"/>
            </w14:solidFill>
          </w14:textFill>
        </w:rPr>
        <w:t>定代表人或其委托代理人：</w:t>
      </w:r>
      <w:r>
        <w:rPr>
          <w:rFonts w:hAnsi="宋体" w:cs="Times New Roman"/>
          <w:color w:val="000000" w:themeColor="text1"/>
          <w:highlight w:val="none"/>
          <w:u w:val="single"/>
          <w14:textFill>
            <w14:solidFill>
              <w14:schemeClr w14:val="tx1"/>
            </w14:solidFill>
          </w14:textFill>
        </w:rPr>
        <w:t xml:space="preserve">  （签字</w:t>
      </w:r>
      <w:r>
        <w:rPr>
          <w:rFonts w:hint="eastAsia" w:hAnsi="宋体" w:cs="Times New Roman"/>
          <w:color w:val="000000" w:themeColor="text1"/>
          <w:highlight w:val="none"/>
          <w:u w:val="single"/>
          <w14:textFill>
            <w14:solidFill>
              <w14:schemeClr w14:val="tx1"/>
            </w14:solidFill>
          </w14:textFill>
        </w:rPr>
        <w:t>或签章</w:t>
      </w:r>
      <w:r>
        <w:rPr>
          <w:rFonts w:hAnsi="宋体" w:cs="Times New Roman"/>
          <w:color w:val="000000" w:themeColor="text1"/>
          <w:highlight w:val="none"/>
          <w:u w:val="single"/>
          <w14:textFill>
            <w14:solidFill>
              <w14:schemeClr w14:val="tx1"/>
            </w14:solidFill>
          </w14:textFill>
        </w:rPr>
        <w:t xml:space="preserve">）  </w:t>
      </w:r>
      <w:bookmarkEnd w:id="20"/>
    </w:p>
    <w:p>
      <w:pPr>
        <w:spacing w:line="600" w:lineRule="exact"/>
        <w:jc w:val="center"/>
        <w:rPr>
          <w:rFonts w:ascii="黑体" w:hAnsi="黑体" w:eastAsia="黑体" w:cs="仿宋"/>
          <w:b/>
          <w:color w:val="000000" w:themeColor="text1"/>
          <w:sz w:val="36"/>
          <w:szCs w:val="36"/>
          <w:highlight w:val="none"/>
          <w14:textFill>
            <w14:solidFill>
              <w14:schemeClr w14:val="tx1"/>
            </w14:solidFill>
          </w14:textFill>
        </w:rPr>
      </w:pPr>
      <w:r>
        <w:rPr>
          <w:rFonts w:hint="eastAsia" w:ascii="黑体" w:hAnsi="黑体" w:eastAsia="黑体" w:cs="仿宋"/>
          <w:b/>
          <w:color w:val="000000" w:themeColor="text1"/>
          <w:sz w:val="36"/>
          <w:szCs w:val="36"/>
          <w:highlight w:val="none"/>
          <w14:textFill>
            <w14:solidFill>
              <w14:schemeClr w14:val="tx1"/>
            </w14:solidFill>
          </w14:textFill>
        </w:rPr>
        <w:t>第五章  采购需求</w:t>
      </w:r>
    </w:p>
    <w:p>
      <w:pPr>
        <w:adjustRightInd w:val="0"/>
        <w:snapToGrid w:val="0"/>
        <w:spacing w:line="312" w:lineRule="auto"/>
        <w:rPr>
          <w:rFonts w:ascii="宋体" w:hAnsi="宋体"/>
          <w:b/>
          <w:color w:val="000000" w:themeColor="text1"/>
          <w:sz w:val="24"/>
          <w:highlight w:val="none"/>
          <w14:textFill>
            <w14:solidFill>
              <w14:schemeClr w14:val="tx1"/>
            </w14:solidFill>
          </w14:textFill>
        </w:rPr>
      </w:pPr>
    </w:p>
    <w:p>
      <w:pPr>
        <w:spacing w:line="400" w:lineRule="exact"/>
        <w:ind w:firstLine="482" w:firstLineChars="200"/>
        <w:jc w:val="both"/>
        <w:rPr>
          <w:rFonts w:ascii="宋体" w:hAnsi="宋体" w:cs="宋体"/>
          <w:b/>
          <w:color w:val="000000" w:themeColor="text1"/>
          <w:sz w:val="24"/>
          <w:highlight w:val="none"/>
          <w14:textFill>
            <w14:solidFill>
              <w14:schemeClr w14:val="tx1"/>
            </w14:solidFill>
          </w14:textFill>
        </w:rPr>
      </w:pPr>
      <w:bookmarkStart w:id="21" w:name="_Toc505337986"/>
      <w:r>
        <w:rPr>
          <w:rFonts w:hint="eastAsia" w:ascii="宋体" w:hAnsi="宋体" w:cs="宋体"/>
          <w:b/>
          <w:color w:val="000000" w:themeColor="text1"/>
          <w:sz w:val="24"/>
          <w:highlight w:val="none"/>
          <w14:textFill>
            <w14:solidFill>
              <w14:schemeClr w14:val="tx1"/>
            </w14:solidFill>
          </w14:textFill>
        </w:rPr>
        <w:t>1. 项目概况</w:t>
      </w:r>
    </w:p>
    <w:p>
      <w:pPr>
        <w:autoSpaceDE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（1）项目名称：</w:t>
      </w:r>
      <w:r>
        <w:rPr>
          <w:rFonts w:hint="eastAsia" w:ascii="宋体" w:hAnsi="宋体"/>
          <w:color w:val="000000" w:themeColor="text1"/>
          <w:sz w:val="24"/>
          <w:highlight w:val="none"/>
          <w14:textFill>
            <w14:solidFill>
              <w14:schemeClr w14:val="tx1"/>
            </w14:solidFill>
          </w14:textFill>
        </w:rPr>
        <w:t>岳阳港道仁矶码头工程水土流失监测及水土保持措施竣工验收评估报告编制服务</w:t>
      </w:r>
    </w:p>
    <w:p>
      <w:pPr>
        <w:spacing w:line="400" w:lineRule="exact"/>
        <w:ind w:firstLine="480" w:firstLineChars="200"/>
        <w:jc w:val="both"/>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（2）建设单位：</w:t>
      </w:r>
      <w:r>
        <w:rPr>
          <w:rFonts w:hint="eastAsia" w:ascii="宋体" w:hAnsi="宋体"/>
          <w:color w:val="000000" w:themeColor="text1"/>
          <w:sz w:val="24"/>
          <w:highlight w:val="none"/>
          <w:lang w:val="en-US" w:eastAsia="zh-CN"/>
          <w14:textFill>
            <w14:solidFill>
              <w14:schemeClr w14:val="tx1"/>
            </w14:solidFill>
          </w14:textFill>
        </w:rPr>
        <w:t>湖南省港务集团</w:t>
      </w:r>
      <w:r>
        <w:rPr>
          <w:rFonts w:hint="eastAsia" w:ascii="宋体" w:hAnsi="宋体"/>
          <w:color w:val="000000" w:themeColor="text1"/>
          <w:sz w:val="24"/>
          <w:highlight w:val="none"/>
          <w14:textFill>
            <w14:solidFill>
              <w14:schemeClr w14:val="tx1"/>
            </w14:solidFill>
          </w14:textFill>
        </w:rPr>
        <w:t>有限公司</w:t>
      </w:r>
    </w:p>
    <w:p>
      <w:pPr>
        <w:pStyle w:val="9"/>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（3）建设规模：</w:t>
      </w:r>
      <w:r>
        <w:rPr>
          <w:rFonts w:hint="eastAsia" w:ascii="宋体" w:hAnsi="宋体"/>
          <w:color w:val="000000" w:themeColor="text1"/>
          <w:sz w:val="24"/>
          <w:highlight w:val="none"/>
          <w14:textFill>
            <w14:solidFill>
              <w14:schemeClr w14:val="tx1"/>
            </w14:solidFill>
          </w14:textFill>
        </w:rPr>
        <w:t>拟建工程位于湖南省岳阳市云溪区道仁矶镇，荆岳长江大桥上游约1.5km 的长江右岸，工程距城陵矶约 12km，工程河段为长江中游杨林岩水道中段，港址处中游航道里程约为 219.3~220.1km。本工程拟建 6 个 5000 吨级散货泊位（其中水工结构按 10000 吨级船舶靠泊能力设计），其中一个泊位兼顾装卸防汛物资功能。货物年吞吐量为 1660 万吨，其中散货进口 1050 万吨/年，散货出口 600 万吨/年，防汛物资 10 万吨/年，码头设计通过能力 1881.4 万吨/年。</w:t>
      </w:r>
    </w:p>
    <w:p>
      <w:pPr>
        <w:ind w:firstLine="48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（4）项目地理位置：</w:t>
      </w:r>
      <w:r>
        <w:rPr>
          <w:rFonts w:hint="eastAsia" w:ascii="宋体" w:hAnsi="宋体"/>
          <w:color w:val="000000" w:themeColor="text1"/>
          <w:sz w:val="24"/>
          <w:highlight w:val="none"/>
          <w14:textFill>
            <w14:solidFill>
              <w14:schemeClr w14:val="tx1"/>
            </w14:solidFill>
          </w14:textFill>
        </w:rPr>
        <w:t>湖南省岳阳市云溪区道仁矶镇</w:t>
      </w:r>
    </w:p>
    <w:bookmarkEnd w:id="21"/>
    <w:p>
      <w:pPr>
        <w:adjustRightInd w:val="0"/>
        <w:snapToGrid w:val="0"/>
        <w:spacing w:line="312" w:lineRule="auto"/>
        <w:ind w:firstLine="482" w:firstLineChars="200"/>
        <w:rPr>
          <w:rFonts w:ascii="宋体" w:hAnsi="宋体"/>
          <w:b/>
          <w:color w:val="000000" w:themeColor="text1"/>
          <w:sz w:val="24"/>
          <w:highlight w:val="none"/>
          <w14:textFill>
            <w14:solidFill>
              <w14:schemeClr w14:val="tx1"/>
            </w14:solidFill>
          </w14:textFill>
        </w:rPr>
      </w:pPr>
      <w:bookmarkStart w:id="22" w:name="_Toc505337988"/>
    </w:p>
    <w:p>
      <w:pPr>
        <w:adjustRightInd w:val="0"/>
        <w:snapToGrid w:val="0"/>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w:t>
      </w:r>
      <w:bookmarkEnd w:id="22"/>
      <w:bookmarkStart w:id="23" w:name="_Toc505337995"/>
      <w:r>
        <w:rPr>
          <w:rFonts w:hint="eastAsia" w:ascii="宋体" w:hAnsi="宋体"/>
          <w:b/>
          <w:color w:val="000000" w:themeColor="text1"/>
          <w:sz w:val="24"/>
          <w:highlight w:val="none"/>
          <w14:textFill>
            <w14:solidFill>
              <w14:schemeClr w14:val="tx1"/>
            </w14:solidFill>
          </w14:textFill>
        </w:rPr>
        <w:t>服务</w:t>
      </w:r>
      <w:bookmarkEnd w:id="23"/>
      <w:r>
        <w:rPr>
          <w:rFonts w:hint="eastAsia" w:ascii="宋体" w:hAnsi="宋体"/>
          <w:b/>
          <w:color w:val="000000" w:themeColor="text1"/>
          <w:sz w:val="24"/>
          <w:highlight w:val="none"/>
          <w14:textFill>
            <w14:solidFill>
              <w14:schemeClr w14:val="tx1"/>
            </w14:solidFill>
          </w14:textFill>
        </w:rPr>
        <w:t>内容及要求</w:t>
      </w:r>
    </w:p>
    <w:p>
      <w:pPr>
        <w:keepNext w:val="0"/>
        <w:keepLines w:val="0"/>
        <w:pageBreakBefore w:val="0"/>
        <w:widowControl/>
        <w:kinsoku/>
        <w:wordWrap/>
        <w:overflowPunct/>
        <w:topLinePunct w:val="0"/>
        <w:autoSpaceDE w:val="0"/>
        <w:autoSpaceDN/>
        <w:bidi w:val="0"/>
        <w:adjustRightInd/>
        <w:snapToGrid/>
        <w:spacing w:line="400" w:lineRule="exact"/>
        <w:ind w:firstLine="566" w:firstLineChars="236"/>
        <w:textAlignment w:val="auto"/>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内容及要求</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：《水土保持验收鉴定书》一式贰份（电子版壹份）、《水土保持验收总结报告》一式贰份（电子版壹份）</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《水土保持监测报告》（包含实施方案一份、监测季报四份、总结报告一份）一式贰份（电子版壹份），以上工作成果必须符合相关规范和要求，通过行政主管部门评审并获批复。</w:t>
      </w:r>
    </w:p>
    <w:p>
      <w:pPr>
        <w:pStyle w:val="193"/>
        <w:spacing w:line="460" w:lineRule="exact"/>
        <w:ind w:firstLine="482" w:firstLineChars="200"/>
        <w:rPr>
          <w:rFonts w:hint="default" w:ascii="宋体" w:hAnsi="宋体" w:eastAsia="宋体" w:cs="Times New Roman"/>
          <w:b/>
          <w:bCs/>
          <w:color w:val="auto"/>
          <w:kern w:val="2"/>
          <w:sz w:val="24"/>
          <w:szCs w:val="24"/>
          <w:highlight w:val="none"/>
          <w:lang w:val="en-US" w:eastAsia="zh-CN" w:bidi="ar-SA"/>
        </w:rPr>
      </w:pPr>
      <w:r>
        <w:rPr>
          <w:rFonts w:hint="eastAsia" w:ascii="Times New Roman" w:hAnsi="Times New Roman" w:cs="Times New Roman"/>
          <w:b/>
          <w:bCs/>
          <w:color w:val="auto"/>
          <w:sz w:val="24"/>
          <w:u w:val="none"/>
          <w:lang w:val="en-US" w:eastAsia="zh-CN"/>
        </w:rPr>
        <w:t>其他要求：本项目由</w:t>
      </w:r>
      <w:r>
        <w:rPr>
          <w:rFonts w:hint="eastAsia" w:ascii="宋体" w:hAnsi="宋体" w:eastAsia="宋体" w:cs="Times New Roman"/>
          <w:b/>
          <w:bCs/>
          <w:color w:val="auto"/>
          <w:kern w:val="2"/>
          <w:sz w:val="24"/>
          <w:szCs w:val="24"/>
          <w:highlight w:val="none"/>
          <w:u w:val="none"/>
          <w:lang w:val="en-US" w:eastAsia="zh-CN" w:bidi="ar-SA"/>
        </w:rPr>
        <w:t>湖</w:t>
      </w:r>
      <w:r>
        <w:rPr>
          <w:rFonts w:hint="eastAsia" w:ascii="宋体" w:hAnsi="宋体" w:eastAsia="宋体" w:cs="Times New Roman"/>
          <w:b/>
          <w:bCs/>
          <w:color w:val="auto"/>
          <w:kern w:val="2"/>
          <w:sz w:val="24"/>
          <w:szCs w:val="24"/>
          <w:highlight w:val="none"/>
          <w:lang w:val="en-US" w:eastAsia="zh-CN" w:bidi="ar-SA"/>
        </w:rPr>
        <w:t>南省港务集团负责</w:t>
      </w:r>
      <w:r>
        <w:rPr>
          <w:rFonts w:hint="eastAsia" w:hAnsi="宋体" w:cs="Times New Roman"/>
          <w:b/>
          <w:bCs/>
          <w:color w:val="auto"/>
          <w:kern w:val="2"/>
          <w:sz w:val="24"/>
          <w:szCs w:val="24"/>
          <w:highlight w:val="none"/>
          <w:lang w:val="en-US" w:eastAsia="zh-CN" w:bidi="ar-SA"/>
        </w:rPr>
        <w:t>招标</w:t>
      </w:r>
      <w:r>
        <w:rPr>
          <w:rFonts w:hint="eastAsia" w:ascii="宋体" w:hAnsi="宋体" w:eastAsia="宋体" w:cs="Times New Roman"/>
          <w:b/>
          <w:bCs/>
          <w:color w:val="auto"/>
          <w:kern w:val="2"/>
          <w:sz w:val="24"/>
          <w:szCs w:val="24"/>
          <w:highlight w:val="none"/>
          <w:lang w:val="en-US" w:eastAsia="zh-CN" w:bidi="ar-SA"/>
        </w:rPr>
        <w:t>，后续合同事宜由湖南省港务集团子公司岳阳道仁矶港物流有限公司与中标单位直接签订并履行合同中的义务。</w:t>
      </w:r>
    </w:p>
    <w:p>
      <w:pPr>
        <w:pStyle w:val="2"/>
        <w:rPr>
          <w:rFonts w:hint="default"/>
          <w:lang w:val="en-US" w:eastAsia="zh-CN"/>
        </w:rPr>
      </w:pPr>
    </w:p>
    <w:p>
      <w:pPr>
        <w:spacing w:line="312" w:lineRule="auto"/>
        <w:jc w:val="center"/>
        <w:rPr>
          <w:rFonts w:ascii="仿宋" w:hAnsi="仿宋" w:eastAsia="仿宋" w:cs="仿宋"/>
          <w:color w:val="000000" w:themeColor="text1"/>
          <w:sz w:val="30"/>
          <w:szCs w:val="30"/>
          <w:highlight w:val="none"/>
          <w14:textFill>
            <w14:solidFill>
              <w14:schemeClr w14:val="tx1"/>
            </w14:solidFill>
          </w14:textFill>
        </w:rPr>
      </w:pPr>
      <w:r>
        <w:rPr>
          <w:rFonts w:ascii="仿宋" w:hAnsi="仿宋" w:eastAsia="仿宋" w:cs="仿宋"/>
          <w:color w:val="000000" w:themeColor="text1"/>
          <w:sz w:val="30"/>
          <w:szCs w:val="30"/>
          <w:highlight w:val="none"/>
          <w14:textFill>
            <w14:solidFill>
              <w14:schemeClr w14:val="tx1"/>
            </w14:solidFill>
          </w14:textFill>
        </w:rPr>
        <w:br w:type="page"/>
      </w:r>
    </w:p>
    <w:p>
      <w:pPr>
        <w:spacing w:line="312" w:lineRule="auto"/>
        <w:jc w:val="center"/>
        <w:rPr>
          <w:rFonts w:ascii="仿宋" w:hAnsi="仿宋" w:eastAsia="仿宋" w:cs="仿宋"/>
          <w:color w:val="000000" w:themeColor="text1"/>
          <w:sz w:val="30"/>
          <w:szCs w:val="30"/>
          <w:highlight w:val="none"/>
          <w14:textFill>
            <w14:solidFill>
              <w14:schemeClr w14:val="tx1"/>
            </w14:solidFill>
          </w14:textFill>
        </w:rPr>
      </w:pPr>
    </w:p>
    <w:p>
      <w:pPr>
        <w:spacing w:line="312" w:lineRule="auto"/>
        <w:jc w:val="center"/>
        <w:rPr>
          <w:rFonts w:ascii="仿宋" w:hAnsi="仿宋" w:eastAsia="仿宋" w:cs="仿宋"/>
          <w:color w:val="000000" w:themeColor="text1"/>
          <w:sz w:val="30"/>
          <w:szCs w:val="30"/>
          <w:highlight w:val="none"/>
          <w14:textFill>
            <w14:solidFill>
              <w14:schemeClr w14:val="tx1"/>
            </w14:solidFill>
          </w14:textFill>
        </w:rPr>
      </w:pPr>
    </w:p>
    <w:p>
      <w:pPr>
        <w:spacing w:line="312" w:lineRule="auto"/>
        <w:jc w:val="center"/>
        <w:rPr>
          <w:rFonts w:ascii="仿宋" w:hAnsi="仿宋" w:eastAsia="仿宋" w:cs="仿宋"/>
          <w:color w:val="000000" w:themeColor="text1"/>
          <w:sz w:val="30"/>
          <w:szCs w:val="30"/>
          <w:highlight w:val="none"/>
          <w14:textFill>
            <w14:solidFill>
              <w14:schemeClr w14:val="tx1"/>
            </w14:solidFill>
          </w14:textFill>
        </w:rPr>
      </w:pPr>
    </w:p>
    <w:p>
      <w:pPr>
        <w:spacing w:line="312" w:lineRule="auto"/>
        <w:jc w:val="center"/>
        <w:rPr>
          <w:rFonts w:ascii="黑体" w:hAnsi="黑体" w:eastAsia="黑体" w:cs="仿宋"/>
          <w:b/>
          <w:color w:val="000000" w:themeColor="text1"/>
          <w:sz w:val="36"/>
          <w:szCs w:val="36"/>
          <w:highlight w:val="none"/>
          <w14:textFill>
            <w14:solidFill>
              <w14:schemeClr w14:val="tx1"/>
            </w14:solidFill>
          </w14:textFill>
        </w:rPr>
      </w:pPr>
      <w:r>
        <w:rPr>
          <w:rFonts w:hint="eastAsia" w:ascii="黑体" w:hAnsi="黑体" w:eastAsia="黑体" w:cs="仿宋"/>
          <w:b/>
          <w:color w:val="000000" w:themeColor="text1"/>
          <w:sz w:val="36"/>
          <w:szCs w:val="36"/>
          <w:highlight w:val="none"/>
          <w14:textFill>
            <w14:solidFill>
              <w14:schemeClr w14:val="tx1"/>
            </w14:solidFill>
          </w14:textFill>
        </w:rPr>
        <w:t>第六章  响应文件格式</w:t>
      </w:r>
    </w:p>
    <w:p>
      <w:pPr>
        <w:jc w:val="center"/>
        <w:rPr>
          <w:rFonts w:ascii="仿宋" w:hAnsi="仿宋" w:eastAsia="仿宋" w:cs="仿宋"/>
          <w:color w:val="000000" w:themeColor="text1"/>
          <w:sz w:val="30"/>
          <w:szCs w:val="30"/>
          <w:highlight w:val="none"/>
          <w14:textFill>
            <w14:solidFill>
              <w14:schemeClr w14:val="tx1"/>
            </w14:solidFill>
          </w14:textFill>
        </w:rPr>
      </w:pPr>
    </w:p>
    <w:p>
      <w:pPr>
        <w:jc w:val="center"/>
        <w:rPr>
          <w:rFonts w:ascii="仿宋" w:hAnsi="仿宋" w:eastAsia="仿宋" w:cs="仿宋"/>
          <w:color w:val="000000" w:themeColor="text1"/>
          <w:sz w:val="30"/>
          <w:szCs w:val="30"/>
          <w:highlight w:val="none"/>
          <w14:textFill>
            <w14:solidFill>
              <w14:schemeClr w14:val="tx1"/>
            </w14:solidFill>
          </w14:textFill>
        </w:rPr>
      </w:pPr>
    </w:p>
    <w:p>
      <w:pPr>
        <w:jc w:val="center"/>
        <w:rPr>
          <w:rFonts w:ascii="仿宋" w:hAnsi="仿宋" w:eastAsia="仿宋" w:cs="仿宋"/>
          <w:color w:val="000000" w:themeColor="text1"/>
          <w:sz w:val="30"/>
          <w:szCs w:val="30"/>
          <w:highlight w:val="none"/>
          <w14:textFill>
            <w14:solidFill>
              <w14:schemeClr w14:val="tx1"/>
            </w14:solidFill>
          </w14:textFill>
        </w:rPr>
      </w:pPr>
    </w:p>
    <w:p>
      <w:pPr>
        <w:jc w:val="center"/>
        <w:rPr>
          <w:rFonts w:eastAsia="方正小标宋_GBK"/>
          <w:b/>
          <w:bCs/>
          <w:color w:val="000000" w:themeColor="text1"/>
          <w:sz w:val="40"/>
          <w:szCs w:val="36"/>
          <w:highlight w:val="none"/>
          <w14:textFill>
            <w14:solidFill>
              <w14:schemeClr w14:val="tx1"/>
            </w14:solidFill>
          </w14:textFill>
        </w:rPr>
      </w:pPr>
      <w:r>
        <w:rPr>
          <w:rFonts w:hint="eastAsia" w:eastAsia="方正小标宋_GBK"/>
          <w:bCs/>
          <w:color w:val="000000" w:themeColor="text1"/>
          <w:sz w:val="48"/>
          <w:szCs w:val="44"/>
          <w:highlight w:val="none"/>
          <w:u w:val="single"/>
          <w14:textFill>
            <w14:solidFill>
              <w14:schemeClr w14:val="tx1"/>
            </w14:solidFill>
          </w14:textFill>
        </w:rPr>
        <w:t xml:space="preserve">       </w:t>
      </w:r>
      <w:r>
        <w:rPr>
          <w:rFonts w:eastAsia="方正小标宋_GBK"/>
          <w:bCs/>
          <w:color w:val="000000" w:themeColor="text1"/>
          <w:sz w:val="48"/>
          <w:szCs w:val="44"/>
          <w:highlight w:val="none"/>
          <w:u w:val="single"/>
          <w14:textFill>
            <w14:solidFill>
              <w14:schemeClr w14:val="tx1"/>
            </w14:solidFill>
          </w14:textFill>
        </w:rPr>
        <w:t xml:space="preserve">            </w:t>
      </w:r>
      <w:r>
        <w:rPr>
          <w:rFonts w:hint="eastAsia" w:eastAsia="方正小标宋_GBK"/>
          <w:b/>
          <w:bCs/>
          <w:color w:val="000000" w:themeColor="text1"/>
          <w:sz w:val="40"/>
          <w:szCs w:val="36"/>
          <w:highlight w:val="none"/>
          <w14:textFill>
            <w14:solidFill>
              <w14:schemeClr w14:val="tx1"/>
            </w14:solidFill>
          </w14:textFill>
        </w:rPr>
        <w:t>项目</w:t>
      </w:r>
    </w:p>
    <w:p>
      <w:pPr>
        <w:widowControl w:val="0"/>
        <w:spacing w:before="240" w:beforeLines="100" w:after="240" w:afterLines="100" w:line="240" w:lineRule="auto"/>
        <w:jc w:val="center"/>
        <w:rPr>
          <w:rFonts w:eastAsia="楷体_GB2312"/>
          <w:b/>
          <w:bCs/>
          <w:color w:val="000000" w:themeColor="text1"/>
          <w:sz w:val="28"/>
          <w:szCs w:val="28"/>
          <w:highlight w:val="none"/>
          <w14:textFill>
            <w14:solidFill>
              <w14:schemeClr w14:val="tx1"/>
            </w14:solidFill>
          </w14:textFill>
        </w:rPr>
      </w:pPr>
      <w:r>
        <w:rPr>
          <w:rFonts w:eastAsia="楷体_GB2312"/>
          <w:b/>
          <w:bCs/>
          <w:color w:val="000000" w:themeColor="text1"/>
          <w:sz w:val="28"/>
          <w:szCs w:val="28"/>
          <w:highlight w:val="none"/>
          <w14:textFill>
            <w14:solidFill>
              <w14:schemeClr w14:val="tx1"/>
            </w14:solidFill>
          </w14:textFill>
        </w:rPr>
        <w:t>（项目</w:t>
      </w:r>
      <w:r>
        <w:rPr>
          <w:rFonts w:hint="eastAsia" w:eastAsia="楷体_GB2312"/>
          <w:b/>
          <w:bCs/>
          <w:color w:val="000000" w:themeColor="text1"/>
          <w:sz w:val="28"/>
          <w:szCs w:val="28"/>
          <w:highlight w:val="none"/>
          <w14:textFill>
            <w14:solidFill>
              <w14:schemeClr w14:val="tx1"/>
            </w14:solidFill>
          </w14:textFill>
        </w:rPr>
        <w:t>采购</w:t>
      </w:r>
      <w:r>
        <w:rPr>
          <w:rFonts w:eastAsia="楷体_GB2312"/>
          <w:b/>
          <w:bCs/>
          <w:color w:val="000000" w:themeColor="text1"/>
          <w:sz w:val="28"/>
          <w:szCs w:val="28"/>
          <w:highlight w:val="none"/>
          <w14:textFill>
            <w14:solidFill>
              <w14:schemeClr w14:val="tx1"/>
            </w14:solidFill>
          </w14:textFill>
        </w:rPr>
        <w:t>编号：</w:t>
      </w:r>
      <w:r>
        <w:rPr>
          <w:rFonts w:eastAsia="楷体_GB2312"/>
          <w:b/>
          <w:bCs/>
          <w:color w:val="000000" w:themeColor="text1"/>
          <w:sz w:val="28"/>
          <w:szCs w:val="28"/>
          <w:highlight w:val="none"/>
          <w:u w:val="single"/>
          <w14:textFill>
            <w14:solidFill>
              <w14:schemeClr w14:val="tx1"/>
            </w14:solidFill>
          </w14:textFill>
        </w:rPr>
        <w:t xml:space="preserve">   </w:t>
      </w:r>
      <w:r>
        <w:rPr>
          <w:rFonts w:hint="eastAsia" w:eastAsia="楷体_GB2312"/>
          <w:b/>
          <w:bCs/>
          <w:color w:val="000000" w:themeColor="text1"/>
          <w:sz w:val="28"/>
          <w:szCs w:val="28"/>
          <w:highlight w:val="none"/>
          <w:u w:val="single"/>
          <w14:textFill>
            <w14:solidFill>
              <w14:schemeClr w14:val="tx1"/>
            </w14:solidFill>
          </w14:textFill>
        </w:rPr>
        <w:t>填入项目采购编号</w:t>
      </w:r>
      <w:r>
        <w:rPr>
          <w:rFonts w:eastAsia="楷体_GB2312"/>
          <w:b/>
          <w:bCs/>
          <w:color w:val="000000" w:themeColor="text1"/>
          <w:sz w:val="28"/>
          <w:szCs w:val="28"/>
          <w:highlight w:val="none"/>
          <w:u w:val="single"/>
          <w14:textFill>
            <w14:solidFill>
              <w14:schemeClr w14:val="tx1"/>
            </w14:solidFill>
          </w14:textFill>
        </w:rPr>
        <w:t xml:space="preserve">     </w:t>
      </w:r>
      <w:r>
        <w:rPr>
          <w:rFonts w:eastAsia="楷体_GB2312"/>
          <w:b/>
          <w:bCs/>
          <w:color w:val="000000" w:themeColor="text1"/>
          <w:sz w:val="28"/>
          <w:szCs w:val="28"/>
          <w:highlight w:val="none"/>
          <w14:textFill>
            <w14:solidFill>
              <w14:schemeClr w14:val="tx1"/>
            </w14:solidFill>
          </w14:textFill>
        </w:rPr>
        <w:t>）</w:t>
      </w:r>
    </w:p>
    <w:p>
      <w:pPr>
        <w:widowControl w:val="0"/>
        <w:adjustRightInd w:val="0"/>
        <w:snapToGrid w:val="0"/>
        <w:rPr>
          <w:b/>
          <w:color w:val="000000" w:themeColor="text1"/>
          <w:highlight w:val="none"/>
          <w14:textFill>
            <w14:solidFill>
              <w14:schemeClr w14:val="tx1"/>
            </w14:solidFill>
          </w14:textFill>
        </w:rPr>
      </w:pPr>
    </w:p>
    <w:p>
      <w:pPr>
        <w:spacing w:line="288" w:lineRule="auto"/>
        <w:jc w:val="both"/>
        <w:rPr>
          <w:rFonts w:eastAsia="方正小标宋_GBK"/>
          <w:b/>
          <w:bCs/>
          <w:color w:val="000000" w:themeColor="text1"/>
          <w:spacing w:val="160"/>
          <w:sz w:val="72"/>
          <w:szCs w:val="72"/>
          <w:highlight w:val="none"/>
          <w14:textFill>
            <w14:solidFill>
              <w14:schemeClr w14:val="tx1"/>
            </w14:solidFill>
          </w14:textFill>
        </w:rPr>
      </w:pPr>
    </w:p>
    <w:p>
      <w:pPr>
        <w:spacing w:line="288" w:lineRule="auto"/>
        <w:jc w:val="center"/>
        <w:rPr>
          <w:rFonts w:eastAsia="方正小标宋_GBK"/>
          <w:b/>
          <w:bCs/>
          <w:color w:val="000000" w:themeColor="text1"/>
          <w:spacing w:val="160"/>
          <w:sz w:val="72"/>
          <w:szCs w:val="72"/>
          <w:highlight w:val="none"/>
          <w14:textFill>
            <w14:solidFill>
              <w14:schemeClr w14:val="tx1"/>
            </w14:solidFill>
          </w14:textFill>
        </w:rPr>
      </w:pPr>
    </w:p>
    <w:p>
      <w:pPr>
        <w:spacing w:line="288" w:lineRule="auto"/>
        <w:jc w:val="center"/>
        <w:rPr>
          <w:rFonts w:eastAsia="方正小标宋_GBK"/>
          <w:b/>
          <w:bCs/>
          <w:color w:val="000000" w:themeColor="text1"/>
          <w:spacing w:val="160"/>
          <w:sz w:val="72"/>
          <w:szCs w:val="72"/>
          <w:highlight w:val="none"/>
          <w14:textFill>
            <w14:solidFill>
              <w14:schemeClr w14:val="tx1"/>
            </w14:solidFill>
          </w14:textFill>
        </w:rPr>
      </w:pPr>
      <w:r>
        <w:rPr>
          <w:rFonts w:hint="eastAsia" w:eastAsia="方正小标宋_GBK"/>
          <w:b/>
          <w:bCs/>
          <w:color w:val="000000" w:themeColor="text1"/>
          <w:spacing w:val="160"/>
          <w:sz w:val="72"/>
          <w:szCs w:val="72"/>
          <w:highlight w:val="none"/>
          <w14:textFill>
            <w14:solidFill>
              <w14:schemeClr w14:val="tx1"/>
            </w14:solidFill>
          </w14:textFill>
        </w:rPr>
        <w:t>响应</w:t>
      </w:r>
      <w:r>
        <w:rPr>
          <w:rFonts w:eastAsia="方正小标宋_GBK"/>
          <w:b/>
          <w:bCs/>
          <w:color w:val="000000" w:themeColor="text1"/>
          <w:spacing w:val="160"/>
          <w:sz w:val="72"/>
          <w:szCs w:val="72"/>
          <w:highlight w:val="none"/>
          <w14:textFill>
            <w14:solidFill>
              <w14:schemeClr w14:val="tx1"/>
            </w14:solidFill>
          </w14:textFill>
        </w:rPr>
        <w:t>文件</w:t>
      </w:r>
    </w:p>
    <w:p>
      <w:pPr>
        <w:widowControl w:val="0"/>
        <w:spacing w:before="240" w:beforeLines="100" w:after="240" w:afterLines="100" w:line="240" w:lineRule="auto"/>
        <w:jc w:val="center"/>
        <w:rPr>
          <w:rFonts w:eastAsia="楷体_GB2312"/>
          <w:b/>
          <w:bCs/>
          <w:color w:val="000000" w:themeColor="text1"/>
          <w:sz w:val="28"/>
          <w:szCs w:val="28"/>
          <w:highlight w:val="none"/>
          <w14:textFill>
            <w14:solidFill>
              <w14:schemeClr w14:val="tx1"/>
            </w14:solidFill>
          </w14:textFill>
        </w:rPr>
      </w:pPr>
    </w:p>
    <w:p>
      <w:pPr>
        <w:spacing w:line="288" w:lineRule="auto"/>
        <w:rPr>
          <w:color w:val="000000" w:themeColor="text1"/>
          <w:sz w:val="26"/>
          <w:szCs w:val="26"/>
          <w:highlight w:val="none"/>
          <w14:textFill>
            <w14:solidFill>
              <w14:schemeClr w14:val="tx1"/>
            </w14:solidFill>
          </w14:textFill>
        </w:rPr>
      </w:pPr>
    </w:p>
    <w:p>
      <w:pPr>
        <w:spacing w:line="288" w:lineRule="auto"/>
        <w:rPr>
          <w:color w:val="000000" w:themeColor="text1"/>
          <w:sz w:val="26"/>
          <w:szCs w:val="26"/>
          <w:highlight w:val="none"/>
          <w14:textFill>
            <w14:solidFill>
              <w14:schemeClr w14:val="tx1"/>
            </w14:solidFill>
          </w14:textFill>
        </w:rPr>
      </w:pPr>
    </w:p>
    <w:p>
      <w:pPr>
        <w:spacing w:line="288" w:lineRule="auto"/>
        <w:rPr>
          <w:color w:val="000000" w:themeColor="text1"/>
          <w:sz w:val="26"/>
          <w:szCs w:val="26"/>
          <w:highlight w:val="none"/>
          <w14:textFill>
            <w14:solidFill>
              <w14:schemeClr w14:val="tx1"/>
            </w14:solidFill>
          </w14:textFill>
        </w:rPr>
      </w:pPr>
    </w:p>
    <w:p>
      <w:pPr>
        <w:spacing w:line="288" w:lineRule="auto"/>
        <w:rPr>
          <w:color w:val="000000" w:themeColor="text1"/>
          <w:sz w:val="26"/>
          <w:szCs w:val="26"/>
          <w:highlight w:val="none"/>
          <w14:textFill>
            <w14:solidFill>
              <w14:schemeClr w14:val="tx1"/>
            </w14:solidFill>
          </w14:textFill>
        </w:rPr>
      </w:pPr>
    </w:p>
    <w:p>
      <w:pPr>
        <w:spacing w:line="900" w:lineRule="exact"/>
        <w:jc w:val="center"/>
        <w:rPr>
          <w:rFonts w:eastAsia="黑体"/>
          <w:bCs/>
          <w:color w:val="000000" w:themeColor="text1"/>
          <w:sz w:val="30"/>
          <w:szCs w:val="30"/>
          <w:highlight w:val="none"/>
          <w14:textFill>
            <w14:solidFill>
              <w14:schemeClr w14:val="tx1"/>
            </w14:solidFill>
          </w14:textFill>
        </w:rPr>
      </w:pPr>
      <w:r>
        <w:rPr>
          <w:rFonts w:hint="eastAsia" w:eastAsia="黑体"/>
          <w:bCs/>
          <w:color w:val="000000" w:themeColor="text1"/>
          <w:sz w:val="30"/>
          <w:szCs w:val="30"/>
          <w:highlight w:val="none"/>
          <w14:textFill>
            <w14:solidFill>
              <w14:schemeClr w14:val="tx1"/>
            </w14:solidFill>
          </w14:textFill>
        </w:rPr>
        <w:t>供应商</w:t>
      </w:r>
      <w:r>
        <w:rPr>
          <w:rFonts w:eastAsia="黑体"/>
          <w:bCs/>
          <w:color w:val="000000" w:themeColor="text1"/>
          <w:sz w:val="30"/>
          <w:szCs w:val="30"/>
          <w:highlight w:val="none"/>
          <w14:textFill>
            <w14:solidFill>
              <w14:schemeClr w14:val="tx1"/>
            </w14:solidFill>
          </w14:textFill>
        </w:rPr>
        <w:t>：</w:t>
      </w:r>
      <w:r>
        <w:rPr>
          <w:rFonts w:hint="eastAsia" w:eastAsia="黑体"/>
          <w:bCs/>
          <w:color w:val="000000" w:themeColor="text1"/>
          <w:sz w:val="30"/>
          <w:szCs w:val="30"/>
          <w:highlight w:val="none"/>
          <w:u w:val="single"/>
          <w14:textFill>
            <w14:solidFill>
              <w14:schemeClr w14:val="tx1"/>
            </w14:solidFill>
          </w14:textFill>
        </w:rPr>
        <w:t>供应商</w:t>
      </w:r>
      <w:r>
        <w:rPr>
          <w:rFonts w:eastAsia="黑体"/>
          <w:bCs/>
          <w:color w:val="000000" w:themeColor="text1"/>
          <w:sz w:val="30"/>
          <w:szCs w:val="30"/>
          <w:highlight w:val="none"/>
          <w:u w:val="single"/>
          <w14:textFill>
            <w14:solidFill>
              <w14:schemeClr w14:val="tx1"/>
            </w14:solidFill>
          </w14:textFill>
        </w:rPr>
        <w:t>全称并盖单位公章</w:t>
      </w:r>
    </w:p>
    <w:p>
      <w:pPr>
        <w:spacing w:line="900" w:lineRule="exact"/>
        <w:jc w:val="center"/>
        <w:rPr>
          <w:rFonts w:eastAsia="黑体"/>
          <w:color w:val="000000" w:themeColor="text1"/>
          <w:sz w:val="30"/>
          <w:szCs w:val="30"/>
          <w:highlight w:val="none"/>
          <w14:textFill>
            <w14:solidFill>
              <w14:schemeClr w14:val="tx1"/>
            </w14:solidFill>
          </w14:textFill>
        </w:rPr>
      </w:pPr>
      <w:r>
        <w:rPr>
          <w:rFonts w:eastAsia="黑体"/>
          <w:color w:val="000000" w:themeColor="text1"/>
          <w:sz w:val="30"/>
          <w:szCs w:val="30"/>
          <w:highlight w:val="none"/>
          <w14:textFill>
            <w14:solidFill>
              <w14:schemeClr w14:val="tx1"/>
            </w14:solidFill>
          </w14:textFill>
        </w:rPr>
        <w:t>日期：</w:t>
      </w:r>
      <w:r>
        <w:rPr>
          <w:rFonts w:hint="eastAsia" w:eastAsia="黑体"/>
          <w:color w:val="000000" w:themeColor="text1"/>
          <w:sz w:val="30"/>
          <w:szCs w:val="30"/>
          <w:highlight w:val="none"/>
          <w:lang w:val="en-US" w:eastAsia="zh-CN"/>
          <w14:textFill>
            <w14:solidFill>
              <w14:schemeClr w14:val="tx1"/>
            </w14:solidFill>
          </w14:textFill>
        </w:rPr>
        <w:t xml:space="preserve">   </w:t>
      </w:r>
      <w:r>
        <w:rPr>
          <w:rFonts w:eastAsia="黑体"/>
          <w:color w:val="000000" w:themeColor="text1"/>
          <w:sz w:val="30"/>
          <w:szCs w:val="30"/>
          <w:highlight w:val="none"/>
          <w14:textFill>
            <w14:solidFill>
              <w14:schemeClr w14:val="tx1"/>
            </w14:solidFill>
          </w14:textFill>
        </w:rPr>
        <w:t>年</w:t>
      </w:r>
      <w:r>
        <w:rPr>
          <w:rFonts w:hint="eastAsia" w:eastAsia="黑体"/>
          <w:color w:val="000000" w:themeColor="text1"/>
          <w:sz w:val="30"/>
          <w:szCs w:val="30"/>
          <w:highlight w:val="none"/>
          <w:lang w:val="en-US" w:eastAsia="zh-CN"/>
          <w14:textFill>
            <w14:solidFill>
              <w14:schemeClr w14:val="tx1"/>
            </w14:solidFill>
          </w14:textFill>
        </w:rPr>
        <w:t xml:space="preserve">    </w:t>
      </w:r>
      <w:r>
        <w:rPr>
          <w:rFonts w:eastAsia="黑体"/>
          <w:color w:val="000000" w:themeColor="text1"/>
          <w:sz w:val="30"/>
          <w:szCs w:val="30"/>
          <w:highlight w:val="none"/>
          <w14:textFill>
            <w14:solidFill>
              <w14:schemeClr w14:val="tx1"/>
            </w14:solidFill>
          </w14:textFill>
        </w:rPr>
        <w:t>月</w:t>
      </w:r>
      <w:r>
        <w:rPr>
          <w:rFonts w:hint="eastAsia" w:eastAsia="黑体"/>
          <w:color w:val="000000" w:themeColor="text1"/>
          <w:sz w:val="30"/>
          <w:szCs w:val="30"/>
          <w:highlight w:val="none"/>
          <w:lang w:val="en-US" w:eastAsia="zh-CN"/>
          <w14:textFill>
            <w14:solidFill>
              <w14:schemeClr w14:val="tx1"/>
            </w14:solidFill>
          </w14:textFill>
        </w:rPr>
        <w:t xml:space="preserve">    </w:t>
      </w:r>
      <w:r>
        <w:rPr>
          <w:rFonts w:eastAsia="黑体"/>
          <w:color w:val="000000" w:themeColor="text1"/>
          <w:sz w:val="30"/>
          <w:szCs w:val="30"/>
          <w:highlight w:val="none"/>
          <w14:textFill>
            <w14:solidFill>
              <w14:schemeClr w14:val="tx1"/>
            </w14:solidFill>
          </w14:textFill>
        </w:rPr>
        <w:t>日</w:t>
      </w:r>
    </w:p>
    <w:p>
      <w:pPr>
        <w:adjustRightInd w:val="0"/>
        <w:snapToGrid w:val="0"/>
        <w:spacing w:line="600" w:lineRule="exact"/>
        <w:jc w:val="center"/>
        <w:rPr>
          <w:rFonts w:hint="eastAsia" w:ascii="黑体" w:hAnsi="黑体" w:eastAsia="黑体" w:cs="仿宋"/>
          <w:color w:val="000000" w:themeColor="text1"/>
          <w:sz w:val="36"/>
          <w:szCs w:val="36"/>
          <w:highlight w:val="none"/>
          <w14:textFill>
            <w14:solidFill>
              <w14:schemeClr w14:val="tx1"/>
            </w14:solidFill>
          </w14:textFill>
        </w:rPr>
      </w:pPr>
    </w:p>
    <w:p>
      <w:pPr>
        <w:adjustRightInd w:val="0"/>
        <w:snapToGrid w:val="0"/>
        <w:spacing w:line="600" w:lineRule="exact"/>
        <w:jc w:val="center"/>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14:textFill>
            <w14:solidFill>
              <w14:schemeClr w14:val="tx1"/>
            </w14:solidFill>
          </w14:textFill>
        </w:rPr>
        <w:t>目 录</w:t>
      </w:r>
    </w:p>
    <w:p>
      <w:pPr>
        <w:adjustRightInd w:val="0"/>
        <w:snapToGrid w:val="0"/>
        <w:spacing w:line="600" w:lineRule="exact"/>
        <w:jc w:val="both"/>
        <w:rPr>
          <w:rFonts w:ascii="宋体" w:hAnsi="宋体" w:cs="仿宋"/>
          <w:color w:val="000000" w:themeColor="text1"/>
          <w:sz w:val="36"/>
          <w:szCs w:val="36"/>
          <w:highlight w:val="none"/>
          <w14:textFill>
            <w14:solidFill>
              <w14:schemeClr w14:val="tx1"/>
            </w14:solidFill>
          </w14:textFill>
        </w:rPr>
      </w:pPr>
    </w:p>
    <w:p>
      <w:pPr>
        <w:adjustRightInd w:val="0"/>
        <w:snapToGrid w:val="0"/>
        <w:spacing w:line="600" w:lineRule="exact"/>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一、响应函</w:t>
      </w:r>
    </w:p>
    <w:p>
      <w:pPr>
        <w:adjustRightInd w:val="0"/>
        <w:snapToGrid w:val="0"/>
        <w:spacing w:line="600" w:lineRule="exact"/>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二、授权委托书(适用于有委托代理人的情况)</w:t>
      </w:r>
    </w:p>
    <w:p>
      <w:pPr>
        <w:adjustRightInd w:val="0"/>
        <w:snapToGrid w:val="0"/>
        <w:spacing w:line="600" w:lineRule="exact"/>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en-US" w:eastAsia="zh-CN"/>
          <w14:textFill>
            <w14:solidFill>
              <w14:schemeClr w14:val="tx1"/>
            </w14:solidFill>
          </w14:textFill>
        </w:rPr>
        <w:t>三</w:t>
      </w:r>
      <w:r>
        <w:rPr>
          <w:rFonts w:hint="eastAsia" w:ascii="宋体" w:hAnsi="宋体" w:cs="仿宋"/>
          <w:color w:val="000000" w:themeColor="text1"/>
          <w:sz w:val="24"/>
          <w:highlight w:val="none"/>
          <w14:textFill>
            <w14:solidFill>
              <w14:schemeClr w14:val="tx1"/>
            </w14:solidFill>
          </w14:textFill>
        </w:rPr>
        <w:t>、商务和技术偏差表</w:t>
      </w:r>
    </w:p>
    <w:p>
      <w:pPr>
        <w:adjustRightInd w:val="0"/>
        <w:snapToGrid w:val="0"/>
        <w:spacing w:line="600" w:lineRule="exact"/>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en-US" w:eastAsia="zh-CN"/>
          <w14:textFill>
            <w14:solidFill>
              <w14:schemeClr w14:val="tx1"/>
            </w14:solidFill>
          </w14:textFill>
        </w:rPr>
        <w:t>四</w:t>
      </w:r>
      <w:r>
        <w:rPr>
          <w:rFonts w:hint="eastAsia" w:ascii="宋体" w:hAnsi="宋体" w:cs="仿宋"/>
          <w:color w:val="000000" w:themeColor="text1"/>
          <w:sz w:val="24"/>
          <w:highlight w:val="none"/>
          <w14:textFill>
            <w14:solidFill>
              <w14:schemeClr w14:val="tx1"/>
            </w14:solidFill>
          </w14:textFill>
        </w:rPr>
        <w:t>、报价表</w:t>
      </w:r>
    </w:p>
    <w:p>
      <w:pPr>
        <w:adjustRightInd w:val="0"/>
        <w:snapToGrid w:val="0"/>
        <w:spacing w:line="600" w:lineRule="exact"/>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en-US" w:eastAsia="zh-CN"/>
          <w14:textFill>
            <w14:solidFill>
              <w14:schemeClr w14:val="tx1"/>
            </w14:solidFill>
          </w14:textFill>
        </w:rPr>
        <w:t>五</w:t>
      </w:r>
      <w:r>
        <w:rPr>
          <w:rFonts w:hint="eastAsia" w:ascii="宋体" w:hAnsi="宋体" w:cs="仿宋"/>
          <w:color w:val="000000" w:themeColor="text1"/>
          <w:sz w:val="24"/>
          <w:highlight w:val="none"/>
          <w14:textFill>
            <w14:solidFill>
              <w14:schemeClr w14:val="tx1"/>
            </w14:solidFill>
          </w14:textFill>
        </w:rPr>
        <w:t>、资格审查资料</w:t>
      </w:r>
    </w:p>
    <w:p>
      <w:pPr>
        <w:adjustRightInd w:val="0"/>
        <w:snapToGrid w:val="0"/>
        <w:spacing w:line="600" w:lineRule="exact"/>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en-US" w:eastAsia="zh-CN"/>
          <w14:textFill>
            <w14:solidFill>
              <w14:schemeClr w14:val="tx1"/>
            </w14:solidFill>
          </w14:textFill>
        </w:rPr>
        <w:t>六</w:t>
      </w:r>
      <w:r>
        <w:rPr>
          <w:rFonts w:hint="eastAsia" w:ascii="宋体" w:hAnsi="宋体" w:cs="仿宋"/>
          <w:color w:val="000000" w:themeColor="text1"/>
          <w:sz w:val="24"/>
          <w:highlight w:val="none"/>
          <w14:textFill>
            <w14:solidFill>
              <w14:schemeClr w14:val="tx1"/>
            </w14:solidFill>
          </w14:textFill>
        </w:rPr>
        <w:t>、响应方案</w:t>
      </w:r>
    </w:p>
    <w:p>
      <w:pPr>
        <w:adjustRightInd w:val="0"/>
        <w:snapToGrid w:val="0"/>
        <w:spacing w:line="600" w:lineRule="exact"/>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en-US" w:eastAsia="zh-CN"/>
          <w14:textFill>
            <w14:solidFill>
              <w14:schemeClr w14:val="tx1"/>
            </w14:solidFill>
          </w14:textFill>
        </w:rPr>
        <w:t>七</w:t>
      </w:r>
      <w:r>
        <w:rPr>
          <w:rFonts w:hint="eastAsia" w:ascii="宋体" w:hAnsi="宋体" w:cs="仿宋"/>
          <w:color w:val="000000" w:themeColor="text1"/>
          <w:sz w:val="24"/>
          <w:highlight w:val="none"/>
          <w14:textFill>
            <w14:solidFill>
              <w14:schemeClr w14:val="tx1"/>
            </w14:solidFill>
          </w14:textFill>
        </w:rPr>
        <w:t>、其他资料</w:t>
      </w:r>
    </w:p>
    <w:p>
      <w:pPr>
        <w:spacing w:line="600" w:lineRule="exact"/>
        <w:jc w:val="both"/>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br w:type="page"/>
      </w:r>
    </w:p>
    <w:p>
      <w:pPr>
        <w:numPr>
          <w:ilvl w:val="0"/>
          <w:numId w:val="4"/>
        </w:numPr>
        <w:adjustRightInd w:val="0"/>
        <w:snapToGrid w:val="0"/>
        <w:spacing w:line="600" w:lineRule="exact"/>
        <w:jc w:val="center"/>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14:textFill>
            <w14:solidFill>
              <w14:schemeClr w14:val="tx1"/>
            </w14:solidFill>
          </w14:textFill>
        </w:rPr>
        <w:t>响应函</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(采购人名称):</w:t>
      </w:r>
    </w:p>
    <w:p>
      <w:pPr>
        <w:adjustRightInd w:val="0"/>
        <w:snapToGrid w:val="0"/>
        <w:spacing w:line="600" w:lineRule="exact"/>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1.我方已仔细研究了__(项目名称)采购文件的全部内容，愿意以含税价人民币(大写)(￥)的报价（其中：不含税价为:;增值税税额为:)完成/提供本项目工程/货物/服务，并按合同约定履行义务。</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2.我方的响应文件包括下列内容:</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(1)响应函;</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(2)授权委托书(如有);</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(3)联合体协议书(如有);</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(4)响应保证金(如有);</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(5)报价表;</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(6)资格审查资料;</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(7)响应方案;</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3.我方承诺除商务和技术偏差表列出的偏差外，我方响应采购文件的全部要求。</w:t>
      </w:r>
    </w:p>
    <w:p>
      <w:pPr>
        <w:numPr>
          <w:ilvl w:val="0"/>
          <w:numId w:val="5"/>
        </w:num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我方承诺在采购文件规定的响应文件有效期内不撤销响应文件。</w:t>
      </w:r>
    </w:p>
    <w:p>
      <w:pPr>
        <w:numPr>
          <w:ilvl w:val="0"/>
          <w:numId w:val="5"/>
        </w:num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如我方成交，我方承诺:</w:t>
      </w:r>
    </w:p>
    <w:p>
      <w:pPr>
        <w:tabs>
          <w:tab w:val="left" w:pos="312"/>
        </w:tabs>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(2)在签订合同时不向你方提出附加条件;</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(3)在合同约定的期限内完成合同规定的全部义务。</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7.(其他补充说明)。</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供应商:________________________(盖单位章)</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法定代表人(单位负责人)或其授权的代理人:(签字) </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地址:____________________________________________</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电子邮箱：_______________________________________</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电话：____________________________________________</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传真：____________________________________________</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邮政编码：_______________________________________</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p>
      <w:pPr>
        <w:spacing w:line="600" w:lineRule="exact"/>
        <w:ind w:firstLine="7200" w:firstLineChars="30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年 月 日</w:t>
      </w:r>
    </w:p>
    <w:p>
      <w:pPr>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br w:type="page"/>
      </w:r>
    </w:p>
    <w:p>
      <w:pPr>
        <w:spacing w:line="400" w:lineRule="exact"/>
        <w:jc w:val="center"/>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6"/>
          <w:szCs w:val="36"/>
          <w:highlight w:val="none"/>
          <w14:textFill>
            <w14:solidFill>
              <w14:schemeClr w14:val="tx1"/>
            </w14:solidFill>
          </w14:textFill>
        </w:rPr>
        <w:t>附：守法诚信承诺书</w:t>
      </w:r>
    </w:p>
    <w:p>
      <w:pPr>
        <w:spacing w:line="360" w:lineRule="auto"/>
        <w:ind w:firstLine="480" w:firstLineChars="200"/>
        <w:jc w:val="both"/>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××公司：</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1、我司已仔细阅读《××单位××文件》（以下</w:t>
      </w:r>
      <w:r>
        <w:rPr>
          <w:rFonts w:cs="仿宋" w:asciiTheme="minorEastAsia" w:hAnsiTheme="minorEastAsia" w:eastAsiaTheme="minorEastAsia"/>
          <w:color w:val="000000" w:themeColor="text1"/>
          <w:sz w:val="24"/>
          <w:highlight w:val="none"/>
          <w14:textFill>
            <w14:solidFill>
              <w14:schemeClr w14:val="tx1"/>
            </w14:solidFill>
          </w14:textFill>
        </w:rPr>
        <w:t>简称</w:t>
      </w:r>
      <w:r>
        <w:rPr>
          <w:rFonts w:hint="eastAsia" w:cs="仿宋" w:asciiTheme="minorEastAsia" w:hAnsiTheme="minorEastAsia" w:eastAsiaTheme="minorEastAsia"/>
          <w:color w:val="000000" w:themeColor="text1"/>
          <w:sz w:val="24"/>
          <w:highlight w:val="none"/>
          <w14:textFill>
            <w14:solidFill>
              <w14:schemeClr w14:val="tx1"/>
            </w14:solidFill>
          </w14:textFill>
        </w:rPr>
        <w:t>采购</w:t>
      </w:r>
      <w:r>
        <w:rPr>
          <w:rFonts w:cs="仿宋" w:asciiTheme="minorEastAsia" w:hAnsiTheme="minorEastAsia" w:eastAsiaTheme="minorEastAsia"/>
          <w:color w:val="000000" w:themeColor="text1"/>
          <w:sz w:val="24"/>
          <w:highlight w:val="none"/>
          <w14:textFill>
            <w14:solidFill>
              <w14:schemeClr w14:val="tx1"/>
            </w14:solidFill>
          </w14:textFill>
        </w:rPr>
        <w:t>文件）</w:t>
      </w:r>
      <w:r>
        <w:rPr>
          <w:rFonts w:hint="eastAsia" w:cs="仿宋" w:asciiTheme="minorEastAsia" w:hAnsiTheme="minorEastAsia" w:eastAsiaTheme="minorEastAsia"/>
          <w:color w:val="000000" w:themeColor="text1"/>
          <w:sz w:val="24"/>
          <w:highlight w:val="none"/>
          <w14:textFill>
            <w14:solidFill>
              <w14:schemeClr w14:val="tx1"/>
            </w14:solidFill>
          </w14:textFill>
        </w:rPr>
        <w:t>，包括采</w:t>
      </w:r>
      <w:r>
        <w:rPr>
          <w:rFonts w:cs="仿宋" w:asciiTheme="minorEastAsia" w:hAnsiTheme="minorEastAsia" w:eastAsiaTheme="minorEastAsia"/>
          <w:color w:val="000000" w:themeColor="text1"/>
          <w:sz w:val="24"/>
          <w:highlight w:val="none"/>
          <w14:textFill>
            <w14:solidFill>
              <w14:schemeClr w14:val="tx1"/>
            </w14:solidFill>
          </w14:textFill>
        </w:rPr>
        <w:t>购</w:t>
      </w:r>
      <w:r>
        <w:rPr>
          <w:rFonts w:hint="eastAsia" w:cs="仿宋" w:asciiTheme="minorEastAsia" w:hAnsiTheme="minorEastAsia" w:eastAsiaTheme="minorEastAsia"/>
          <w:color w:val="000000" w:themeColor="text1"/>
          <w:sz w:val="24"/>
          <w:highlight w:val="none"/>
          <w14:textFill>
            <w14:solidFill>
              <w14:schemeClr w14:val="tx1"/>
            </w14:solidFill>
          </w14:textFill>
        </w:rPr>
        <w:t>文件的澄清或修改说明</w:t>
      </w:r>
      <w:r>
        <w:rPr>
          <w:rFonts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完全支持并响应，不存在误解或不明。</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2、遵纪守法，不触底线，公平公正参与竞争。我司提供的《响应文件》及其资料真实合法有效。</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3、响应期间没有因质量或</w:t>
      </w:r>
      <w:r>
        <w:rPr>
          <w:rFonts w:cs="仿宋" w:asciiTheme="minorEastAsia" w:hAnsiTheme="minorEastAsia" w:eastAsiaTheme="minorEastAsia"/>
          <w:color w:val="000000" w:themeColor="text1"/>
          <w:sz w:val="24"/>
          <w:highlight w:val="none"/>
          <w14:textFill>
            <w14:solidFill>
              <w14:schemeClr w14:val="tx1"/>
            </w14:solidFill>
          </w14:textFill>
        </w:rPr>
        <w:t>服务</w:t>
      </w:r>
      <w:r>
        <w:rPr>
          <w:rFonts w:hint="eastAsia" w:cs="仿宋" w:asciiTheme="minorEastAsia" w:hAnsiTheme="minorEastAsia" w:eastAsiaTheme="minorEastAsia"/>
          <w:color w:val="000000" w:themeColor="text1"/>
          <w:sz w:val="24"/>
          <w:highlight w:val="none"/>
          <w14:textFill>
            <w14:solidFill>
              <w14:schemeClr w14:val="tx1"/>
            </w14:solidFill>
          </w14:textFill>
        </w:rPr>
        <w:t>问题被采购人或采购人上级</w:t>
      </w:r>
      <w:r>
        <w:rPr>
          <w:rFonts w:cs="仿宋" w:asciiTheme="minorEastAsia" w:hAnsiTheme="minorEastAsia" w:eastAsiaTheme="minorEastAsia"/>
          <w:color w:val="000000" w:themeColor="text1"/>
          <w:sz w:val="24"/>
          <w:highlight w:val="none"/>
          <w14:textFill>
            <w14:solidFill>
              <w14:schemeClr w14:val="tx1"/>
            </w14:solidFill>
          </w14:textFill>
        </w:rPr>
        <w:t>机构</w:t>
      </w:r>
      <w:r>
        <w:rPr>
          <w:rFonts w:hint="eastAsia" w:cs="仿宋" w:asciiTheme="minorEastAsia" w:hAnsiTheme="minorEastAsia" w:eastAsiaTheme="minorEastAsia"/>
          <w:color w:val="000000" w:themeColor="text1"/>
          <w:sz w:val="24"/>
          <w:highlight w:val="none"/>
          <w14:textFill>
            <w14:solidFill>
              <w14:schemeClr w14:val="tx1"/>
            </w14:solidFill>
          </w14:textFill>
        </w:rPr>
        <w:t>通报且在整改期内。</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5、无联合体另外报价。</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7</w:t>
      </w:r>
      <w:r>
        <w:rPr>
          <w:rFonts w:hint="eastAsia" w:cs="仿宋" w:asciiTheme="minorEastAsia" w:hAnsiTheme="minorEastAsia" w:eastAsiaTheme="minorEastAsia"/>
          <w:color w:val="000000" w:themeColor="text1"/>
          <w:sz w:val="24"/>
          <w:highlight w:val="none"/>
          <w14:textFill>
            <w14:solidFill>
              <w14:schemeClr w14:val="tx1"/>
            </w14:solidFill>
          </w14:textFill>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8</w:t>
      </w:r>
      <w:r>
        <w:rPr>
          <w:rFonts w:hint="eastAsia" w:cs="仿宋" w:asciiTheme="minorEastAsia" w:hAnsiTheme="minorEastAsia" w:eastAsiaTheme="minorEastAsia"/>
          <w:color w:val="000000" w:themeColor="text1"/>
          <w:sz w:val="24"/>
          <w:highlight w:val="none"/>
          <w14:textFill>
            <w14:solidFill>
              <w14:schemeClr w14:val="tx1"/>
            </w14:solidFill>
          </w14:textFill>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9</w:t>
      </w:r>
      <w:r>
        <w:rPr>
          <w:rFonts w:hint="eastAsia" w:cs="仿宋" w:asciiTheme="minorEastAsia" w:hAnsiTheme="minorEastAsia" w:eastAsiaTheme="minorEastAsia"/>
          <w:color w:val="000000" w:themeColor="text1"/>
          <w:sz w:val="24"/>
          <w:highlight w:val="none"/>
          <w14:textFill>
            <w14:solidFill>
              <w14:schemeClr w14:val="tx1"/>
            </w14:solidFill>
          </w14:textFill>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专此承诺。</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4320" w:firstLineChars="18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承诺单位</w:t>
      </w:r>
      <w:r>
        <w:rPr>
          <w:rFonts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印刷体全称</w:t>
      </w:r>
      <w:r>
        <w:rPr>
          <w:rFonts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单位公章</w:t>
      </w:r>
      <w:r>
        <w:rPr>
          <w:rFonts w:cs="仿宋"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firstLine="3600" w:firstLineChars="15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承诺单位法定代表人或其委托代理人（印刷体+</w:t>
      </w:r>
      <w:r>
        <w:rPr>
          <w:rFonts w:cs="仿宋" w:asciiTheme="minorEastAsia" w:hAnsiTheme="minorEastAsia" w:eastAsiaTheme="minorEastAsia"/>
          <w:color w:val="000000" w:themeColor="text1"/>
          <w:sz w:val="24"/>
          <w:highlight w:val="none"/>
          <w14:textFill>
            <w14:solidFill>
              <w14:schemeClr w14:val="tx1"/>
            </w14:solidFill>
          </w14:textFill>
        </w:rPr>
        <w:t>签字）：</w:t>
      </w:r>
    </w:p>
    <w:p>
      <w:pPr>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年月日</w:t>
      </w:r>
    </w:p>
    <w:p>
      <w:pPr>
        <w:spacing w:line="600" w:lineRule="exact"/>
        <w:jc w:val="center"/>
        <w:rPr>
          <w:rFonts w:ascii="黑体" w:hAnsi="黑体" w:eastAsia="黑体" w:cs="仿宋"/>
          <w:color w:val="000000" w:themeColor="text1"/>
          <w:sz w:val="36"/>
          <w:szCs w:val="36"/>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br w:type="page"/>
      </w:r>
      <w:r>
        <w:rPr>
          <w:rFonts w:hint="eastAsia" w:ascii="黑体" w:hAnsi="黑体" w:eastAsia="黑体" w:cs="仿宋"/>
          <w:color w:val="000000" w:themeColor="text1"/>
          <w:sz w:val="36"/>
          <w:szCs w:val="36"/>
          <w:highlight w:val="none"/>
          <w14:textFill>
            <w14:solidFill>
              <w14:schemeClr w14:val="tx1"/>
            </w14:solidFill>
          </w14:textFill>
        </w:rPr>
        <w:t>二、授权委托书</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委托期限:自本委托书签署之日起至采购项目签订采购合同之日止。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年_月日</w:t>
      </w:r>
    </w:p>
    <w:p>
      <w:pPr>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br w:type="page"/>
      </w:r>
    </w:p>
    <w:p>
      <w:pPr>
        <w:spacing w:line="600" w:lineRule="exact"/>
        <w:jc w:val="center"/>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lang w:val="en-US" w:eastAsia="zh-CN"/>
          <w14:textFill>
            <w14:solidFill>
              <w14:schemeClr w14:val="tx1"/>
            </w14:solidFill>
          </w14:textFill>
        </w:rPr>
        <w:t>三</w:t>
      </w:r>
      <w:r>
        <w:rPr>
          <w:rFonts w:hint="eastAsia" w:ascii="黑体" w:hAnsi="黑体" w:eastAsia="黑体" w:cs="仿宋"/>
          <w:color w:val="000000" w:themeColor="text1"/>
          <w:sz w:val="36"/>
          <w:szCs w:val="36"/>
          <w:highlight w:val="none"/>
          <w14:textFill>
            <w14:solidFill>
              <w14:schemeClr w14:val="tx1"/>
            </w14:solidFill>
          </w14:textFill>
        </w:rPr>
        <w:t>、商务和技术偏差表</w:t>
      </w:r>
    </w:p>
    <w:p>
      <w:pPr>
        <w:spacing w:line="600" w:lineRule="exact"/>
        <w:jc w:val="center"/>
        <w:rPr>
          <w:rFonts w:cs="仿宋" w:asciiTheme="minorEastAsia" w:hAnsiTheme="minorEastAsia" w:eastAsiaTheme="minorEastAsia"/>
          <w:color w:val="000000" w:themeColor="text1"/>
          <w:sz w:val="24"/>
          <w:highlight w:val="none"/>
          <w14:textFill>
            <w14:solidFill>
              <w14:schemeClr w14:val="tx1"/>
            </w14:solidFill>
          </w14:textFill>
        </w:rPr>
      </w:pP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序号</w:t>
            </w:r>
          </w:p>
        </w:tc>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采购文件章节及条款号</w:t>
            </w: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响应文件章节及条款号</w:t>
            </w:r>
          </w:p>
        </w:tc>
        <w:tc>
          <w:tcPr>
            <w:tcW w:w="2464" w:type="dxa"/>
          </w:tcPr>
          <w:p>
            <w:pPr>
              <w:widowControl/>
              <w:spacing w:line="600" w:lineRule="exact"/>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bl>
    <w:p>
      <w:pPr>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供应商保证：除商务和技术偏差表列出的偏差外，供应商响应采购文件的全部要求。</w:t>
      </w:r>
    </w:p>
    <w:p>
      <w:pPr>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br w:type="page"/>
      </w:r>
    </w:p>
    <w:p>
      <w:pPr>
        <w:numPr>
          <w:ilvl w:val="0"/>
          <w:numId w:val="0"/>
        </w:numPr>
        <w:spacing w:line="600" w:lineRule="exact"/>
        <w:jc w:val="center"/>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lang w:val="en-US" w:eastAsia="zh-CN"/>
          <w14:textFill>
            <w14:solidFill>
              <w14:schemeClr w14:val="tx1"/>
            </w14:solidFill>
          </w14:textFill>
        </w:rPr>
        <w:t>四、</w:t>
      </w:r>
      <w:r>
        <w:rPr>
          <w:rFonts w:hint="eastAsia" w:ascii="黑体" w:hAnsi="黑体" w:eastAsia="黑体" w:cs="仿宋"/>
          <w:color w:val="000000" w:themeColor="text1"/>
          <w:sz w:val="36"/>
          <w:szCs w:val="36"/>
          <w:highlight w:val="none"/>
          <w14:textFill>
            <w14:solidFill>
              <w14:schemeClr w14:val="tx1"/>
            </w14:solidFill>
          </w14:textFill>
        </w:rPr>
        <w:t>报价表</w:t>
      </w:r>
    </w:p>
    <w:p>
      <w:pPr>
        <w:pStyle w:val="9"/>
        <w:ind w:firstLine="0" w:firstLineChars="0"/>
        <w:jc w:val="center"/>
        <w:rPr>
          <w:color w:val="000000" w:themeColor="text1"/>
          <w:highlight w:val="none"/>
          <w14:textFill>
            <w14:solidFill>
              <w14:schemeClr w14:val="tx1"/>
            </w14:solidFill>
          </w14:textFill>
        </w:rPr>
      </w:pPr>
    </w:p>
    <w:p>
      <w:pPr>
        <w:spacing w:line="600" w:lineRule="exact"/>
        <w:ind w:firstLine="720" w:firstLineChars="300"/>
        <w:jc w:val="both"/>
        <w:rPr>
          <w:rFonts w:cs="仿宋" w:asciiTheme="minorEastAsia" w:hAnsiTheme="minorEastAsia" w:eastAsiaTheme="minorEastAsia"/>
          <w:sz w:val="24"/>
        </w:rPr>
      </w:pPr>
      <w:r>
        <w:rPr>
          <w:rFonts w:hint="eastAsia" w:cs="仿宋" w:asciiTheme="minorEastAsia" w:hAnsiTheme="minorEastAsia" w:eastAsiaTheme="minorEastAsia"/>
          <w:sz w:val="24"/>
        </w:rPr>
        <w:t>1.报价表说明</w:t>
      </w:r>
    </w:p>
    <w:p>
      <w:pPr>
        <w:spacing w:line="600" w:lineRule="exact"/>
        <w:ind w:firstLine="720" w:firstLineChars="300"/>
        <w:jc w:val="both"/>
        <w:rPr>
          <w:rFonts w:cs="仿宋" w:asciiTheme="minorEastAsia" w:hAnsiTheme="minorEastAsia" w:eastAsiaTheme="minorEastAsia"/>
          <w:sz w:val="24"/>
        </w:rPr>
      </w:pPr>
      <w:r>
        <w:rPr>
          <w:rFonts w:hint="eastAsia" w:cs="仿宋" w:asciiTheme="minorEastAsia" w:hAnsiTheme="minorEastAsia" w:eastAsiaTheme="minorEastAsia"/>
          <w:sz w:val="24"/>
        </w:rPr>
        <w:t>2.报价表</w:t>
      </w:r>
    </w:p>
    <w:tbl>
      <w:tblPr>
        <w:tblStyle w:val="44"/>
        <w:tblpPr w:leftFromText="180" w:rightFromText="180" w:vertAnchor="text" w:horzAnchor="page" w:tblpX="1804" w:tblpY="164"/>
        <w:tblOverlap w:val="never"/>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295"/>
        <w:gridCol w:w="916"/>
        <w:gridCol w:w="1605"/>
        <w:gridCol w:w="915"/>
        <w:gridCol w:w="123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restart"/>
          </w:tcPr>
          <w:p>
            <w:pPr>
              <w:widowControl/>
              <w:spacing w:line="312"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295" w:type="dxa"/>
            <w:vMerge w:val="restart"/>
          </w:tcPr>
          <w:p>
            <w:pPr>
              <w:widowControl/>
              <w:spacing w:line="312"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服务费用分项名称</w:t>
            </w:r>
          </w:p>
        </w:tc>
        <w:tc>
          <w:tcPr>
            <w:tcW w:w="916" w:type="dxa"/>
            <w:vMerge w:val="restart"/>
          </w:tcPr>
          <w:p>
            <w:pPr>
              <w:widowControl/>
              <w:spacing w:line="312"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数量 </w:t>
            </w:r>
          </w:p>
        </w:tc>
        <w:tc>
          <w:tcPr>
            <w:tcW w:w="3750" w:type="dxa"/>
            <w:gridSpan w:val="3"/>
          </w:tcPr>
          <w:p>
            <w:pPr>
              <w:widowControl/>
              <w:spacing w:line="312" w:lineRule="auto"/>
              <w:jc w:val="center"/>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lang w:val="en-US" w:eastAsia="zh-CN"/>
              </w:rPr>
              <w:t>报价</w:t>
            </w:r>
          </w:p>
        </w:tc>
        <w:tc>
          <w:tcPr>
            <w:tcW w:w="1444" w:type="dxa"/>
            <w:vMerge w:val="restart"/>
          </w:tcPr>
          <w:p>
            <w:pPr>
              <w:widowControl/>
              <w:spacing w:line="312"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pPr>
              <w:widowControl/>
              <w:spacing w:line="312" w:lineRule="auto"/>
              <w:jc w:val="both"/>
              <w:rPr>
                <w:rFonts w:cs="仿宋" w:asciiTheme="minorEastAsia" w:hAnsiTheme="minorEastAsia" w:eastAsiaTheme="minorEastAsia"/>
                <w:sz w:val="24"/>
              </w:rPr>
            </w:pPr>
          </w:p>
        </w:tc>
        <w:tc>
          <w:tcPr>
            <w:tcW w:w="1295" w:type="dxa"/>
            <w:vMerge w:val="continue"/>
          </w:tcPr>
          <w:p>
            <w:pPr>
              <w:widowControl/>
              <w:spacing w:line="312" w:lineRule="auto"/>
              <w:jc w:val="both"/>
              <w:rPr>
                <w:rFonts w:cs="仿宋" w:asciiTheme="minorEastAsia" w:hAnsiTheme="minorEastAsia" w:eastAsiaTheme="minorEastAsia"/>
                <w:sz w:val="24"/>
              </w:rPr>
            </w:pPr>
          </w:p>
        </w:tc>
        <w:tc>
          <w:tcPr>
            <w:tcW w:w="916" w:type="dxa"/>
            <w:vMerge w:val="continue"/>
          </w:tcPr>
          <w:p>
            <w:pPr>
              <w:widowControl/>
              <w:spacing w:line="312" w:lineRule="auto"/>
              <w:jc w:val="both"/>
              <w:rPr>
                <w:rFonts w:cs="仿宋" w:asciiTheme="minorEastAsia" w:hAnsiTheme="minorEastAsia" w:eastAsiaTheme="minorEastAsia"/>
                <w:sz w:val="24"/>
              </w:rPr>
            </w:pPr>
          </w:p>
        </w:tc>
        <w:tc>
          <w:tcPr>
            <w:tcW w:w="1605" w:type="dxa"/>
          </w:tcPr>
          <w:p>
            <w:pPr>
              <w:widowControl/>
              <w:spacing w:line="312"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不含税金额</w:t>
            </w:r>
          </w:p>
        </w:tc>
        <w:tc>
          <w:tcPr>
            <w:tcW w:w="915" w:type="dxa"/>
          </w:tcPr>
          <w:p>
            <w:pPr>
              <w:widowControl/>
              <w:spacing w:line="312"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税额</w:t>
            </w:r>
          </w:p>
        </w:tc>
        <w:tc>
          <w:tcPr>
            <w:tcW w:w="1230" w:type="dxa"/>
          </w:tcPr>
          <w:p>
            <w:pPr>
              <w:widowControl/>
              <w:spacing w:line="312"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价税合计</w:t>
            </w:r>
          </w:p>
        </w:tc>
        <w:tc>
          <w:tcPr>
            <w:tcW w:w="1444" w:type="dxa"/>
            <w:vMerge w:val="continue"/>
          </w:tcPr>
          <w:p>
            <w:pPr>
              <w:widowControl/>
              <w:spacing w:line="312"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28" w:type="dxa"/>
          </w:tcPr>
          <w:p>
            <w:pPr>
              <w:widowControl/>
              <w:spacing w:line="312"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1295" w:type="dxa"/>
          </w:tcPr>
          <w:p>
            <w:pPr>
              <w:widowControl/>
              <w:spacing w:line="312" w:lineRule="auto"/>
              <w:jc w:val="both"/>
              <w:rPr>
                <w:rFonts w:cs="仿宋" w:asciiTheme="minorEastAsia" w:hAnsiTheme="minorEastAsia" w:eastAsiaTheme="minorEastAsia"/>
                <w:sz w:val="24"/>
              </w:rPr>
            </w:pPr>
          </w:p>
        </w:tc>
        <w:tc>
          <w:tcPr>
            <w:tcW w:w="916" w:type="dxa"/>
          </w:tcPr>
          <w:p>
            <w:pPr>
              <w:widowControl/>
              <w:spacing w:line="312" w:lineRule="auto"/>
              <w:jc w:val="both"/>
              <w:rPr>
                <w:rFonts w:cs="仿宋" w:asciiTheme="minorEastAsia" w:hAnsiTheme="minorEastAsia" w:eastAsiaTheme="minorEastAsia"/>
                <w:sz w:val="24"/>
              </w:rPr>
            </w:pPr>
          </w:p>
        </w:tc>
        <w:tc>
          <w:tcPr>
            <w:tcW w:w="1605" w:type="dxa"/>
          </w:tcPr>
          <w:p>
            <w:pPr>
              <w:widowControl/>
              <w:spacing w:line="312" w:lineRule="auto"/>
              <w:jc w:val="both"/>
              <w:rPr>
                <w:rFonts w:cs="仿宋" w:asciiTheme="minorEastAsia" w:hAnsiTheme="minorEastAsia" w:eastAsiaTheme="minorEastAsia"/>
                <w:sz w:val="24"/>
              </w:rPr>
            </w:pPr>
          </w:p>
        </w:tc>
        <w:tc>
          <w:tcPr>
            <w:tcW w:w="915" w:type="dxa"/>
          </w:tcPr>
          <w:p>
            <w:pPr>
              <w:widowControl/>
              <w:spacing w:line="312" w:lineRule="auto"/>
              <w:jc w:val="both"/>
              <w:rPr>
                <w:rFonts w:cs="仿宋" w:asciiTheme="minorEastAsia" w:hAnsiTheme="minorEastAsia" w:eastAsiaTheme="minorEastAsia"/>
                <w:sz w:val="24"/>
              </w:rPr>
            </w:pPr>
          </w:p>
        </w:tc>
        <w:tc>
          <w:tcPr>
            <w:tcW w:w="1230" w:type="dxa"/>
          </w:tcPr>
          <w:p>
            <w:pPr>
              <w:widowControl/>
              <w:spacing w:line="312" w:lineRule="auto"/>
              <w:jc w:val="both"/>
              <w:rPr>
                <w:rFonts w:cs="仿宋" w:asciiTheme="minorEastAsia" w:hAnsiTheme="minorEastAsia" w:eastAsiaTheme="minorEastAsia"/>
                <w:sz w:val="24"/>
              </w:rPr>
            </w:pPr>
          </w:p>
        </w:tc>
        <w:tc>
          <w:tcPr>
            <w:tcW w:w="1444" w:type="dxa"/>
          </w:tcPr>
          <w:p>
            <w:pPr>
              <w:widowControl/>
              <w:spacing w:line="312"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8"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w:t>
            </w:r>
          </w:p>
        </w:tc>
        <w:tc>
          <w:tcPr>
            <w:tcW w:w="1295" w:type="dxa"/>
          </w:tcPr>
          <w:p>
            <w:pPr>
              <w:widowControl/>
              <w:spacing w:line="600" w:lineRule="exact"/>
              <w:jc w:val="both"/>
              <w:rPr>
                <w:rFonts w:cs="仿宋" w:asciiTheme="minorEastAsia" w:hAnsiTheme="minorEastAsia" w:eastAsiaTheme="minorEastAsia"/>
                <w:sz w:val="24"/>
              </w:rPr>
            </w:pPr>
          </w:p>
        </w:tc>
        <w:tc>
          <w:tcPr>
            <w:tcW w:w="916" w:type="dxa"/>
          </w:tcPr>
          <w:p>
            <w:pPr>
              <w:widowControl/>
              <w:spacing w:line="600" w:lineRule="exact"/>
              <w:jc w:val="both"/>
              <w:rPr>
                <w:rFonts w:cs="仿宋" w:asciiTheme="minorEastAsia" w:hAnsiTheme="minorEastAsia" w:eastAsiaTheme="minorEastAsia"/>
                <w:sz w:val="24"/>
              </w:rPr>
            </w:pPr>
          </w:p>
        </w:tc>
        <w:tc>
          <w:tcPr>
            <w:tcW w:w="1605" w:type="dxa"/>
          </w:tcPr>
          <w:p>
            <w:pPr>
              <w:widowControl/>
              <w:spacing w:line="600" w:lineRule="exact"/>
              <w:jc w:val="both"/>
              <w:rPr>
                <w:rFonts w:cs="仿宋" w:asciiTheme="minorEastAsia" w:hAnsiTheme="minorEastAsia" w:eastAsiaTheme="minorEastAsia"/>
                <w:sz w:val="24"/>
              </w:rPr>
            </w:pPr>
          </w:p>
        </w:tc>
        <w:tc>
          <w:tcPr>
            <w:tcW w:w="915" w:type="dxa"/>
          </w:tcPr>
          <w:p>
            <w:pPr>
              <w:widowControl/>
              <w:spacing w:line="600" w:lineRule="exact"/>
              <w:jc w:val="both"/>
              <w:rPr>
                <w:rFonts w:cs="仿宋" w:asciiTheme="minorEastAsia" w:hAnsiTheme="minorEastAsia" w:eastAsiaTheme="minorEastAsia"/>
                <w:sz w:val="24"/>
              </w:rPr>
            </w:pPr>
          </w:p>
        </w:tc>
        <w:tc>
          <w:tcPr>
            <w:tcW w:w="1230" w:type="dxa"/>
          </w:tcPr>
          <w:p>
            <w:pPr>
              <w:widowControl/>
              <w:spacing w:line="600" w:lineRule="exact"/>
              <w:jc w:val="both"/>
              <w:rPr>
                <w:rFonts w:cs="仿宋" w:asciiTheme="minorEastAsia" w:hAnsiTheme="minorEastAsia" w:eastAsiaTheme="minorEastAsia"/>
                <w:sz w:val="24"/>
              </w:rPr>
            </w:pPr>
          </w:p>
        </w:tc>
        <w:tc>
          <w:tcPr>
            <w:tcW w:w="144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w:t>
            </w:r>
          </w:p>
        </w:tc>
        <w:tc>
          <w:tcPr>
            <w:tcW w:w="1295" w:type="dxa"/>
          </w:tcPr>
          <w:p>
            <w:pPr>
              <w:widowControl/>
              <w:spacing w:line="600" w:lineRule="exact"/>
              <w:jc w:val="both"/>
              <w:rPr>
                <w:rFonts w:cs="仿宋" w:asciiTheme="minorEastAsia" w:hAnsiTheme="minorEastAsia" w:eastAsiaTheme="minorEastAsia"/>
                <w:sz w:val="24"/>
              </w:rPr>
            </w:pPr>
          </w:p>
        </w:tc>
        <w:tc>
          <w:tcPr>
            <w:tcW w:w="916" w:type="dxa"/>
          </w:tcPr>
          <w:p>
            <w:pPr>
              <w:widowControl/>
              <w:spacing w:line="600" w:lineRule="exact"/>
              <w:jc w:val="both"/>
              <w:rPr>
                <w:rFonts w:cs="仿宋" w:asciiTheme="minorEastAsia" w:hAnsiTheme="minorEastAsia" w:eastAsiaTheme="minorEastAsia"/>
                <w:sz w:val="24"/>
              </w:rPr>
            </w:pPr>
          </w:p>
        </w:tc>
        <w:tc>
          <w:tcPr>
            <w:tcW w:w="1605" w:type="dxa"/>
          </w:tcPr>
          <w:p>
            <w:pPr>
              <w:widowControl/>
              <w:spacing w:line="600" w:lineRule="exact"/>
              <w:jc w:val="both"/>
              <w:rPr>
                <w:rFonts w:cs="仿宋" w:asciiTheme="minorEastAsia" w:hAnsiTheme="minorEastAsia" w:eastAsiaTheme="minorEastAsia"/>
                <w:sz w:val="24"/>
              </w:rPr>
            </w:pPr>
          </w:p>
        </w:tc>
        <w:tc>
          <w:tcPr>
            <w:tcW w:w="915" w:type="dxa"/>
          </w:tcPr>
          <w:p>
            <w:pPr>
              <w:widowControl/>
              <w:spacing w:line="600" w:lineRule="exact"/>
              <w:jc w:val="both"/>
              <w:rPr>
                <w:rFonts w:cs="仿宋" w:asciiTheme="minorEastAsia" w:hAnsiTheme="minorEastAsia" w:eastAsiaTheme="minorEastAsia"/>
                <w:sz w:val="24"/>
              </w:rPr>
            </w:pPr>
          </w:p>
        </w:tc>
        <w:tc>
          <w:tcPr>
            <w:tcW w:w="1230" w:type="dxa"/>
          </w:tcPr>
          <w:p>
            <w:pPr>
              <w:widowControl/>
              <w:spacing w:line="600" w:lineRule="exact"/>
              <w:jc w:val="both"/>
              <w:rPr>
                <w:rFonts w:cs="仿宋" w:asciiTheme="minorEastAsia" w:hAnsiTheme="minorEastAsia" w:eastAsiaTheme="minorEastAsia"/>
                <w:sz w:val="24"/>
              </w:rPr>
            </w:pPr>
          </w:p>
        </w:tc>
        <w:tc>
          <w:tcPr>
            <w:tcW w:w="144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p>
        </w:tc>
        <w:tc>
          <w:tcPr>
            <w:tcW w:w="1295" w:type="dxa"/>
          </w:tcPr>
          <w:p>
            <w:pPr>
              <w:widowControl/>
              <w:spacing w:line="600" w:lineRule="exact"/>
              <w:jc w:val="both"/>
              <w:rPr>
                <w:rFonts w:cs="仿宋" w:asciiTheme="minorEastAsia" w:hAnsiTheme="minorEastAsia" w:eastAsiaTheme="minorEastAsia"/>
                <w:sz w:val="24"/>
              </w:rPr>
            </w:pPr>
          </w:p>
        </w:tc>
        <w:tc>
          <w:tcPr>
            <w:tcW w:w="916" w:type="dxa"/>
          </w:tcPr>
          <w:p>
            <w:pPr>
              <w:widowControl/>
              <w:spacing w:line="600" w:lineRule="exact"/>
              <w:jc w:val="both"/>
              <w:rPr>
                <w:rFonts w:cs="仿宋" w:asciiTheme="minorEastAsia" w:hAnsiTheme="minorEastAsia" w:eastAsiaTheme="minorEastAsia"/>
                <w:sz w:val="24"/>
              </w:rPr>
            </w:pPr>
          </w:p>
        </w:tc>
        <w:tc>
          <w:tcPr>
            <w:tcW w:w="1605" w:type="dxa"/>
          </w:tcPr>
          <w:p>
            <w:pPr>
              <w:widowControl/>
              <w:spacing w:line="600" w:lineRule="exact"/>
              <w:jc w:val="both"/>
              <w:rPr>
                <w:rFonts w:cs="仿宋" w:asciiTheme="minorEastAsia" w:hAnsiTheme="minorEastAsia" w:eastAsiaTheme="minorEastAsia"/>
                <w:sz w:val="24"/>
              </w:rPr>
            </w:pPr>
          </w:p>
        </w:tc>
        <w:tc>
          <w:tcPr>
            <w:tcW w:w="915" w:type="dxa"/>
          </w:tcPr>
          <w:p>
            <w:pPr>
              <w:widowControl/>
              <w:spacing w:line="600" w:lineRule="exact"/>
              <w:jc w:val="both"/>
              <w:rPr>
                <w:rFonts w:cs="仿宋" w:asciiTheme="minorEastAsia" w:hAnsiTheme="minorEastAsia" w:eastAsiaTheme="minorEastAsia"/>
                <w:sz w:val="24"/>
              </w:rPr>
            </w:pPr>
          </w:p>
        </w:tc>
        <w:tc>
          <w:tcPr>
            <w:tcW w:w="1230" w:type="dxa"/>
          </w:tcPr>
          <w:p>
            <w:pPr>
              <w:widowControl/>
              <w:spacing w:line="600" w:lineRule="exact"/>
              <w:jc w:val="both"/>
              <w:rPr>
                <w:rFonts w:cs="仿宋" w:asciiTheme="minorEastAsia" w:hAnsiTheme="minorEastAsia" w:eastAsiaTheme="minorEastAsia"/>
                <w:sz w:val="24"/>
              </w:rPr>
            </w:pPr>
          </w:p>
        </w:tc>
        <w:tc>
          <w:tcPr>
            <w:tcW w:w="144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9" w:type="dxa"/>
            <w:gridSpan w:val="5"/>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合计报价</w:t>
            </w:r>
          </w:p>
        </w:tc>
        <w:tc>
          <w:tcPr>
            <w:tcW w:w="2674" w:type="dxa"/>
            <w:gridSpan w:val="2"/>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42"/>
        <w:ind w:left="0" w:leftChars="0" w:firstLine="0" w:firstLineChars="0"/>
        <w:jc w:val="both"/>
        <w:rPr>
          <w:rFonts w:ascii="宋体" w:hAnsi="宋体"/>
          <w:color w:val="000000" w:themeColor="text1"/>
          <w:sz w:val="24"/>
          <w:highlight w:val="none"/>
          <w14:textFill>
            <w14:solidFill>
              <w14:schemeClr w14:val="tx1"/>
            </w14:solidFill>
          </w14:textFill>
        </w:rPr>
      </w:pPr>
    </w:p>
    <w:p>
      <w:pPr>
        <w:widowControl w:val="0"/>
        <w:snapToGrid w:val="0"/>
        <w:spacing w:line="500" w:lineRule="exact"/>
        <w:jc w:val="both"/>
        <w:rPr>
          <w:rFonts w:hint="eastAsia" w:cs="仿宋" w:asciiTheme="minorEastAsia" w:hAnsiTheme="minorEastAsia" w:eastAsiaTheme="minorEastAsia"/>
          <w:sz w:val="24"/>
        </w:rPr>
      </w:pPr>
    </w:p>
    <w:p>
      <w:pPr>
        <w:widowControl w:val="0"/>
        <w:snapToGrid w:val="0"/>
        <w:spacing w:line="500" w:lineRule="exact"/>
        <w:jc w:val="both"/>
        <w:rPr>
          <w:rFonts w:hint="eastAsia" w:cs="仿宋" w:asciiTheme="minorEastAsia" w:hAnsiTheme="minorEastAsia" w:eastAsiaTheme="minorEastAsia"/>
          <w:sz w:val="24"/>
        </w:rPr>
      </w:pPr>
    </w:p>
    <w:p>
      <w:pPr>
        <w:widowControl w:val="0"/>
        <w:snapToGrid w:val="0"/>
        <w:spacing w:line="500" w:lineRule="exact"/>
        <w:jc w:val="both"/>
        <w:rPr>
          <w:rFonts w:hint="eastAsia" w:cs="仿宋" w:asciiTheme="minorEastAsia" w:hAnsiTheme="minorEastAsia" w:eastAsiaTheme="minorEastAsia"/>
          <w:sz w:val="24"/>
        </w:rPr>
      </w:pPr>
    </w:p>
    <w:p>
      <w:pPr>
        <w:widowControl w:val="0"/>
        <w:snapToGrid w:val="0"/>
        <w:spacing w:line="500" w:lineRule="exact"/>
        <w:jc w:val="both"/>
        <w:rPr>
          <w:rFonts w:hint="eastAsia" w:cs="仿宋" w:asciiTheme="minorEastAsia" w:hAnsiTheme="minorEastAsia" w:eastAsiaTheme="minorEastAsia"/>
          <w:sz w:val="24"/>
        </w:rPr>
      </w:pPr>
    </w:p>
    <w:p>
      <w:pPr>
        <w:widowControl w:val="0"/>
        <w:snapToGrid w:val="0"/>
        <w:spacing w:line="500" w:lineRule="exact"/>
        <w:jc w:val="both"/>
        <w:rPr>
          <w:rFonts w:hint="eastAsia" w:cs="仿宋" w:asciiTheme="minorEastAsia" w:hAnsiTheme="minorEastAsia" w:eastAsiaTheme="minorEastAsia"/>
          <w:sz w:val="24"/>
        </w:rPr>
      </w:pPr>
    </w:p>
    <w:p>
      <w:pPr>
        <w:widowControl w:val="0"/>
        <w:snapToGrid w:val="0"/>
        <w:spacing w:line="500" w:lineRule="exact"/>
        <w:jc w:val="both"/>
        <w:rPr>
          <w:rFonts w:hint="eastAsia" w:cs="仿宋" w:asciiTheme="minorEastAsia" w:hAnsiTheme="minorEastAsia" w:eastAsiaTheme="minorEastAsia"/>
          <w:sz w:val="24"/>
        </w:rPr>
      </w:pPr>
    </w:p>
    <w:p>
      <w:pPr>
        <w:widowControl w:val="0"/>
        <w:snapToGrid w:val="0"/>
        <w:spacing w:line="500" w:lineRule="exact"/>
        <w:jc w:val="both"/>
        <w:rPr>
          <w:rFonts w:ascii="新宋体" w:hAnsi="新宋体" w:eastAsia="新宋体" w:cs="宋体-18030"/>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sz w:val="21"/>
          <w:szCs w:val="21"/>
        </w:rPr>
        <w:t>注：</w:t>
      </w:r>
      <w:r>
        <w:rPr>
          <w:rFonts w:hint="eastAsia" w:cs="仿宋" w:asciiTheme="minorEastAsia" w:hAnsiTheme="minorEastAsia" w:eastAsiaTheme="minorEastAsia"/>
          <w:b/>
          <w:bCs/>
          <w:sz w:val="21"/>
          <w:szCs w:val="21"/>
          <w:lang w:val="en-US" w:eastAsia="zh-CN"/>
        </w:rPr>
        <w:t>1.</w:t>
      </w:r>
      <w:r>
        <w:rPr>
          <w:rFonts w:hint="eastAsia" w:cs="仿宋" w:asciiTheme="minorEastAsia" w:hAnsiTheme="minorEastAsia" w:eastAsiaTheme="minorEastAsia"/>
          <w:b/>
          <w:bCs/>
          <w:sz w:val="21"/>
          <w:szCs w:val="21"/>
        </w:rPr>
        <w:t>若分项费用的计算依据、过程和公式不便在表中表述，可单独另附表格或描述进行说明。</w:t>
      </w:r>
    </w:p>
    <w:p>
      <w:pPr>
        <w:widowControl w:val="0"/>
        <w:snapToGrid w:val="0"/>
        <w:spacing w:line="500" w:lineRule="exact"/>
        <w:jc w:val="both"/>
        <w:rPr>
          <w:rFonts w:hint="default" w:cs="仿宋" w:asciiTheme="minorEastAsia" w:hAnsiTheme="minorEastAsia" w:eastAsiaTheme="minorEastAsia"/>
          <w:b/>
          <w:bCs/>
          <w:sz w:val="21"/>
          <w:szCs w:val="21"/>
          <w:lang w:val="en-US" w:eastAsia="zh-CN"/>
        </w:rPr>
      </w:pPr>
      <w:r>
        <w:rPr>
          <w:rFonts w:hint="eastAsia" w:cs="仿宋" w:asciiTheme="minorEastAsia" w:hAnsiTheme="minorEastAsia" w:eastAsiaTheme="minorEastAsia"/>
          <w:b/>
          <w:bCs/>
          <w:sz w:val="21"/>
          <w:szCs w:val="21"/>
          <w:lang w:val="en-US" w:eastAsia="zh-CN"/>
        </w:rPr>
        <w:t>2.报价</w:t>
      </w:r>
      <w:r>
        <w:rPr>
          <w:rFonts w:hint="eastAsia" w:cs="仿宋" w:asciiTheme="minorEastAsia" w:hAnsiTheme="minorEastAsia" w:eastAsiaTheme="minorEastAsia"/>
          <w:b/>
          <w:bCs/>
          <w:sz w:val="21"/>
          <w:szCs w:val="21"/>
        </w:rPr>
        <w:t>包括完成所投标段所有工作内容和提供资料成果、后续服务、会务费、专家评审费、税金</w:t>
      </w:r>
      <w:r>
        <w:rPr>
          <w:rFonts w:hint="eastAsia" w:cs="仿宋" w:asciiTheme="minorEastAsia" w:hAnsiTheme="minorEastAsia" w:eastAsiaTheme="minorEastAsia"/>
          <w:b/>
          <w:bCs/>
          <w:sz w:val="21"/>
          <w:szCs w:val="21"/>
          <w:lang w:val="en-US" w:eastAsia="zh-CN"/>
        </w:rPr>
        <w:t>等</w:t>
      </w:r>
      <w:r>
        <w:rPr>
          <w:rFonts w:hint="eastAsia" w:cs="仿宋" w:asciiTheme="minorEastAsia" w:hAnsiTheme="minorEastAsia" w:eastAsiaTheme="minorEastAsia"/>
          <w:b/>
          <w:bCs/>
          <w:sz w:val="21"/>
          <w:szCs w:val="21"/>
        </w:rPr>
        <w:t>相关的全部费用，由乙方包干使用。</w:t>
      </w:r>
    </w:p>
    <w:p>
      <w:pPr>
        <w:widowControl w:val="0"/>
        <w:snapToGrid w:val="0"/>
        <w:spacing w:line="500" w:lineRule="exact"/>
        <w:ind w:firstLine="3120" w:firstLineChars="1300"/>
        <w:jc w:val="both"/>
        <w:rPr>
          <w:rFonts w:hint="eastAsia" w:ascii="新宋体" w:hAnsi="新宋体" w:eastAsia="新宋体" w:cs="宋体-18030"/>
          <w:color w:val="000000" w:themeColor="text1"/>
          <w:sz w:val="24"/>
          <w:highlight w:val="none"/>
          <w14:textFill>
            <w14:solidFill>
              <w14:schemeClr w14:val="tx1"/>
            </w14:solidFill>
          </w14:textFill>
        </w:rPr>
      </w:pPr>
    </w:p>
    <w:p>
      <w:pPr>
        <w:widowControl w:val="0"/>
        <w:snapToGrid w:val="0"/>
        <w:spacing w:line="500" w:lineRule="exact"/>
        <w:ind w:firstLine="3120" w:firstLineChars="1300"/>
        <w:jc w:val="both"/>
        <w:rPr>
          <w:rFonts w:hint="eastAsia" w:ascii="新宋体" w:hAnsi="新宋体" w:eastAsia="新宋体" w:cs="宋体-18030"/>
          <w:color w:val="000000" w:themeColor="text1"/>
          <w:sz w:val="24"/>
          <w:highlight w:val="none"/>
          <w14:textFill>
            <w14:solidFill>
              <w14:schemeClr w14:val="tx1"/>
            </w14:solidFill>
          </w14:textFill>
        </w:rPr>
      </w:pPr>
    </w:p>
    <w:p>
      <w:pPr>
        <w:widowControl w:val="0"/>
        <w:snapToGrid w:val="0"/>
        <w:spacing w:line="500" w:lineRule="exact"/>
        <w:ind w:firstLine="3120" w:firstLineChars="1300"/>
        <w:jc w:val="both"/>
        <w:rPr>
          <w:rFonts w:ascii="新宋体" w:hAnsi="新宋体" w:eastAsia="新宋体" w:cs="宋体-18030"/>
          <w:color w:val="000000" w:themeColor="text1"/>
          <w:sz w:val="24"/>
          <w:highlight w:val="none"/>
          <w14:textFill>
            <w14:solidFill>
              <w14:schemeClr w14:val="tx1"/>
            </w14:solidFill>
          </w14:textFill>
        </w:rPr>
      </w:pPr>
      <w:r>
        <w:rPr>
          <w:rFonts w:hint="eastAsia" w:ascii="新宋体" w:hAnsi="新宋体" w:eastAsia="新宋体" w:cs="宋体-18030"/>
          <w:color w:val="000000" w:themeColor="text1"/>
          <w:sz w:val="24"/>
          <w:highlight w:val="none"/>
          <w14:textFill>
            <w14:solidFill>
              <w14:schemeClr w14:val="tx1"/>
            </w14:solidFill>
          </w14:textFill>
        </w:rPr>
        <w:t>供           应             商：</w:t>
      </w:r>
      <w:r>
        <w:rPr>
          <w:rFonts w:hint="eastAsia" w:ascii="新宋体" w:hAnsi="新宋体" w:eastAsia="新宋体" w:cs="宋体-18030"/>
          <w:color w:val="000000" w:themeColor="text1"/>
          <w:sz w:val="24"/>
          <w:highlight w:val="none"/>
          <w:u w:val="single"/>
          <w14:textFill>
            <w14:solidFill>
              <w14:schemeClr w14:val="tx1"/>
            </w14:solidFill>
          </w14:textFill>
        </w:rPr>
        <w:t xml:space="preserve">          （名称）        </w:t>
      </w:r>
    </w:p>
    <w:p>
      <w:pPr>
        <w:widowControl w:val="0"/>
        <w:spacing w:line="500" w:lineRule="exact"/>
        <w:jc w:val="center"/>
        <w:rPr>
          <w:rFonts w:ascii="新宋体" w:hAnsi="新宋体" w:eastAsia="新宋体" w:cs="宋体-18030"/>
          <w:color w:val="000000" w:themeColor="text1"/>
          <w:sz w:val="24"/>
          <w:highlight w:val="none"/>
          <w14:textFill>
            <w14:solidFill>
              <w14:schemeClr w14:val="tx1"/>
            </w14:solidFill>
          </w14:textFill>
        </w:rPr>
      </w:pPr>
      <w:r>
        <w:rPr>
          <w:rFonts w:hint="eastAsia" w:ascii="新宋体" w:hAnsi="新宋体" w:eastAsia="新宋体" w:cs="宋体-18030"/>
          <w:color w:val="000000" w:themeColor="text1"/>
          <w:sz w:val="24"/>
          <w:highlight w:val="none"/>
          <w14:textFill>
            <w14:solidFill>
              <w14:schemeClr w14:val="tx1"/>
            </w14:solidFill>
          </w14:textFill>
        </w:rPr>
        <w:t xml:space="preserve">                                                             （盖单位章）</w:t>
      </w:r>
    </w:p>
    <w:p>
      <w:pPr>
        <w:widowControl w:val="0"/>
        <w:snapToGrid w:val="0"/>
        <w:spacing w:line="500" w:lineRule="exact"/>
        <w:ind w:firstLine="3120" w:firstLineChars="1300"/>
        <w:jc w:val="both"/>
        <w:rPr>
          <w:rFonts w:ascii="新宋体" w:hAnsi="新宋体" w:eastAsia="新宋体" w:cs="宋体-18030"/>
          <w:color w:val="000000" w:themeColor="text1"/>
          <w:sz w:val="24"/>
          <w:highlight w:val="none"/>
          <w14:textFill>
            <w14:solidFill>
              <w14:schemeClr w14:val="tx1"/>
            </w14:solidFill>
          </w14:textFill>
        </w:rPr>
      </w:pPr>
      <w:r>
        <w:rPr>
          <w:rFonts w:hint="eastAsia" w:ascii="新宋体" w:hAnsi="新宋体" w:eastAsia="新宋体" w:cs="宋体-18030"/>
          <w:color w:val="000000" w:themeColor="text1"/>
          <w:sz w:val="24"/>
          <w:highlight w:val="none"/>
          <w14:textFill>
            <w14:solidFill>
              <w14:schemeClr w14:val="tx1"/>
            </w14:solidFill>
          </w14:textFill>
        </w:rPr>
        <w:t>供应商法定代表人（或授权代理人）：</w:t>
      </w:r>
      <w:r>
        <w:rPr>
          <w:rFonts w:hint="eastAsia" w:ascii="新宋体" w:hAnsi="新宋体" w:eastAsia="新宋体" w:cs="宋体-18030"/>
          <w:color w:val="000000" w:themeColor="text1"/>
          <w:sz w:val="24"/>
          <w:highlight w:val="none"/>
          <w:u w:val="single"/>
          <w14:textFill>
            <w14:solidFill>
              <w14:schemeClr w14:val="tx1"/>
            </w14:solidFill>
          </w14:textFill>
        </w:rPr>
        <w:t xml:space="preserve">          （姓名）        </w:t>
      </w:r>
    </w:p>
    <w:p>
      <w:pPr>
        <w:widowControl w:val="0"/>
        <w:spacing w:line="500" w:lineRule="exact"/>
        <w:jc w:val="both"/>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s="宋体-18030"/>
          <w:color w:val="000000" w:themeColor="text1"/>
          <w:sz w:val="24"/>
          <w:highlight w:val="none"/>
          <w14:textFill>
            <w14:solidFill>
              <w14:schemeClr w14:val="tx1"/>
            </w14:solidFill>
          </w14:textFill>
        </w:rPr>
        <w:t xml:space="preserve">                                                                   （签名）</w:t>
      </w:r>
    </w:p>
    <w:p>
      <w:pPr>
        <w:widowControl w:val="0"/>
        <w:spacing w:line="500" w:lineRule="exact"/>
        <w:ind w:firstLine="5040" w:firstLineChars="2100"/>
        <w:jc w:val="both"/>
        <w:rPr>
          <w:rFonts w:ascii="新宋体" w:hAnsi="新宋体" w:eastAsia="新宋体" w:cs="宋体"/>
          <w:b/>
          <w:bCs/>
          <w:color w:val="000000" w:themeColor="text1"/>
          <w:sz w:val="24"/>
          <w:szCs w:val="21"/>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日           期：</w:t>
      </w:r>
      <w:r>
        <w:rPr>
          <w:rFonts w:ascii="新宋体" w:hAnsi="新宋体" w:eastAsia="新宋体" w:cs="宋体"/>
          <w:b/>
          <w:bCs/>
          <w:color w:val="000000" w:themeColor="text1"/>
          <w:sz w:val="24"/>
          <w:szCs w:val="21"/>
          <w:highlight w:val="none"/>
          <w14:textFill>
            <w14:solidFill>
              <w14:schemeClr w14:val="tx1"/>
            </w14:solidFill>
          </w14:textFill>
        </w:rPr>
        <w:br w:type="page"/>
      </w:r>
    </w:p>
    <w:p>
      <w:pPr>
        <w:spacing w:line="600" w:lineRule="exact"/>
        <w:jc w:val="center"/>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lang w:val="en-US" w:eastAsia="zh-CN"/>
          <w14:textFill>
            <w14:solidFill>
              <w14:schemeClr w14:val="tx1"/>
            </w14:solidFill>
          </w14:textFill>
        </w:rPr>
        <w:t>五</w:t>
      </w:r>
      <w:r>
        <w:rPr>
          <w:rFonts w:hint="eastAsia" w:ascii="黑体" w:hAnsi="黑体" w:eastAsia="黑体" w:cs="仿宋"/>
          <w:color w:val="000000" w:themeColor="text1"/>
          <w:sz w:val="36"/>
          <w:szCs w:val="36"/>
          <w:highlight w:val="none"/>
          <w14:textFill>
            <w14:solidFill>
              <w14:schemeClr w14:val="tx1"/>
            </w14:solidFill>
          </w14:textFill>
        </w:rPr>
        <w:t>、资格审查资料</w:t>
      </w:r>
    </w:p>
    <w:p>
      <w:pPr>
        <w:spacing w:line="600" w:lineRule="exact"/>
        <w:jc w:val="center"/>
        <w:rPr>
          <w:rFonts w:ascii="黑体" w:hAnsi="黑体" w:eastAsia="黑体" w:cs="仿宋"/>
          <w:color w:val="000000" w:themeColor="text1"/>
          <w:sz w:val="36"/>
          <w:szCs w:val="36"/>
          <w:highlight w:val="none"/>
          <w14:textFill>
            <w14:solidFill>
              <w14:schemeClr w14:val="tx1"/>
            </w14:solidFill>
          </w14:textFill>
        </w:rPr>
      </w:pP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（一）基本情况</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（二）近年财务状况</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（三）近年的类似项目情况表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项目名称</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服务内容</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委托人/发包人名称</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委托人/发包人联系人及电话</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合同价格</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服务是否完成</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项目负责人（如有）</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项目概况及供应商履约情况</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备注</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bl>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注：供应商应根据供应商须知前附表第3.5（4）项的要求在本表后附相关证明材料。</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p>
      <w:pPr>
        <w:spacing w:line="600" w:lineRule="exact"/>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（四）拟委任的主要人员汇总表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序号</w:t>
            </w:r>
          </w:p>
        </w:tc>
        <w:tc>
          <w:tcPr>
            <w:tcW w:w="1095" w:type="dxa"/>
            <w:vMerge w:val="restart"/>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本项目任职</w:t>
            </w:r>
          </w:p>
        </w:tc>
        <w:tc>
          <w:tcPr>
            <w:tcW w:w="1095" w:type="dxa"/>
            <w:vMerge w:val="restart"/>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姓名</w:t>
            </w:r>
          </w:p>
        </w:tc>
        <w:tc>
          <w:tcPr>
            <w:tcW w:w="1095" w:type="dxa"/>
            <w:vMerge w:val="restart"/>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职称</w:t>
            </w:r>
          </w:p>
        </w:tc>
        <w:tc>
          <w:tcPr>
            <w:tcW w:w="1095" w:type="dxa"/>
            <w:vMerge w:val="restart"/>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专业</w:t>
            </w:r>
          </w:p>
        </w:tc>
        <w:tc>
          <w:tcPr>
            <w:tcW w:w="3285" w:type="dxa"/>
            <w:gridSpan w:val="3"/>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执业或职业资格证明</w:t>
            </w:r>
          </w:p>
        </w:tc>
        <w:tc>
          <w:tcPr>
            <w:tcW w:w="1095" w:type="dxa"/>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vMerge w:val="continue"/>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vMerge w:val="continue"/>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vMerge w:val="continue"/>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vMerge w:val="continue"/>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证书名称</w:t>
            </w:r>
          </w:p>
        </w:tc>
        <w:tc>
          <w:tcPr>
            <w:tcW w:w="1095" w:type="dxa"/>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级别</w:t>
            </w:r>
          </w:p>
        </w:tc>
        <w:tc>
          <w:tcPr>
            <w:tcW w:w="1095" w:type="dxa"/>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证号</w:t>
            </w:r>
          </w:p>
        </w:tc>
        <w:tc>
          <w:tcPr>
            <w:tcW w:w="1095"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bl>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p>
      <w:pPr>
        <w:pStyle w:val="4"/>
        <w:spacing w:before="0" w:after="0" w:line="380" w:lineRule="atLeast"/>
        <w:jc w:val="both"/>
        <w:rPr>
          <w:rFonts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（五）主要人员简</w:t>
      </w:r>
      <w:r>
        <w:rPr>
          <w:rFonts w:asciiTheme="minorEastAsia" w:hAnsiTheme="minorEastAsia" w:eastAsiaTheme="minorEastAsia"/>
          <w:b w:val="0"/>
          <w:color w:val="000000" w:themeColor="text1"/>
          <w:sz w:val="24"/>
          <w:szCs w:val="24"/>
          <w:highlight w:val="none"/>
          <w14:textFill>
            <w14:solidFill>
              <w14:schemeClr w14:val="tx1"/>
            </w14:solidFill>
          </w14:textFill>
        </w:rPr>
        <w:t>历表</w:t>
      </w:r>
    </w:p>
    <w:p>
      <w:pPr>
        <w:autoSpaceDE w:val="0"/>
        <w:autoSpaceDN w:val="0"/>
        <w:spacing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bl>
      <w:tblPr>
        <w:tblStyle w:val="43"/>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拟在本</w:t>
            </w:r>
            <w:r>
              <w:rPr>
                <w:rFonts w:hint="eastAsia" w:asciiTheme="minorEastAsia" w:hAnsiTheme="minorEastAsia" w:eastAsiaTheme="minorEastAsia"/>
                <w:color w:val="000000" w:themeColor="text1"/>
                <w:sz w:val="24"/>
                <w:highlight w:val="none"/>
                <w14:textFill>
                  <w14:solidFill>
                    <w14:schemeClr w14:val="tx1"/>
                  </w14:solidFill>
                </w14:textFill>
              </w:rPr>
              <w:t>项目</w:t>
            </w:r>
            <w:r>
              <w:rPr>
                <w:rFonts w:asciiTheme="minorEastAsia" w:hAnsiTheme="minorEastAsia" w:eastAsiaTheme="minorEastAsia"/>
                <w:color w:val="000000" w:themeColor="text1"/>
                <w:sz w:val="24"/>
                <w:highlight w:val="none"/>
                <w14:textFill>
                  <w14:solidFill>
                    <w14:schemeClr w14:val="tx1"/>
                  </w14:solidFill>
                </w14:textFill>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从事</w:t>
            </w:r>
            <w:r>
              <w:rPr>
                <w:rFonts w:asciiTheme="minorEastAsia" w:hAnsiTheme="minorEastAsia" w:eastAsiaTheme="minorEastAsia"/>
                <w:color w:val="000000" w:themeColor="text1"/>
                <w:sz w:val="24"/>
                <w:highlight w:val="none"/>
                <w14:textFill>
                  <w14:solidFill>
                    <w14:schemeClr w14:val="tx1"/>
                  </w14:solidFill>
                </w14:textFill>
              </w:rPr>
              <w:t>类似</w:t>
            </w:r>
            <w:r>
              <w:rPr>
                <w:rFonts w:hint="eastAsia" w:asciiTheme="minorEastAsia" w:hAnsiTheme="minorEastAsia" w:eastAsiaTheme="minorEastAsia"/>
                <w:color w:val="000000" w:themeColor="text1"/>
                <w:sz w:val="24"/>
                <w:highlight w:val="none"/>
                <w14:textFill>
                  <w14:solidFill>
                    <w14:schemeClr w14:val="tx1"/>
                  </w14:solidFill>
                </w14:textFill>
              </w:rPr>
              <w:t>工作</w:t>
            </w:r>
            <w:r>
              <w:rPr>
                <w:rFonts w:asciiTheme="minorEastAsia" w:hAnsiTheme="minorEastAsia" w:eastAsiaTheme="minorEastAsia"/>
                <w:color w:val="000000" w:themeColor="text1"/>
                <w:sz w:val="24"/>
                <w:highlight w:val="none"/>
                <w14:textFill>
                  <w14:solidFill>
                    <w14:schemeClr w14:val="tx1"/>
                  </w14:solidFill>
                </w14:textFill>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主要工作</w:t>
            </w:r>
            <w:r>
              <w:rPr>
                <w:rFonts w:asciiTheme="minorEastAsia" w:hAnsiTheme="minorEastAsia" w:eastAsiaTheme="minorEastAsia"/>
                <w:color w:val="000000" w:themeColor="text1"/>
                <w:sz w:val="24"/>
                <w:highlight w:val="none"/>
                <w14:textFill>
                  <w14:solidFill>
                    <w14:schemeClr w14:val="tx1"/>
                  </w14:solidFill>
                </w14:textFill>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时  间</w:t>
            </w:r>
          </w:p>
        </w:tc>
        <w:tc>
          <w:tcPr>
            <w:tcW w:w="4700" w:type="dxa"/>
            <w:gridSpan w:val="4"/>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color w:val="000000" w:themeColor="text1"/>
                <w:spacing w:val="0"/>
                <w:kern w:val="2"/>
                <w:sz w:val="24"/>
                <w:szCs w:val="24"/>
                <w:highlight w:val="none"/>
                <w14:textFill>
                  <w14:solidFill>
                    <w14:schemeClr w14:val="tx1"/>
                  </w14:solidFill>
                </w14:textFill>
              </w:rPr>
            </w:pPr>
            <w:r>
              <w:rPr>
                <w:rFonts w:asciiTheme="minorEastAsia" w:hAnsiTheme="minorEastAsia" w:eastAsiaTheme="minorEastAsia"/>
                <w:color w:val="000000" w:themeColor="text1"/>
                <w:spacing w:val="0"/>
                <w:kern w:val="2"/>
                <w:sz w:val="24"/>
                <w:szCs w:val="24"/>
                <w:highlight w:val="none"/>
                <w14:textFill>
                  <w14:solidFill>
                    <w14:schemeClr w14:val="tx1"/>
                  </w14:solidFill>
                </w14:textFill>
              </w:rPr>
              <w:t>参加过的类似项目</w:t>
            </w:r>
          </w:p>
        </w:tc>
        <w:tc>
          <w:tcPr>
            <w:tcW w:w="2142" w:type="dxa"/>
            <w:gridSpan w:val="2"/>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color w:val="000000" w:themeColor="text1"/>
                <w:spacing w:val="0"/>
                <w:kern w:val="2"/>
                <w:sz w:val="24"/>
                <w:szCs w:val="24"/>
                <w:highlight w:val="none"/>
                <w14:textFill>
                  <w14:solidFill>
                    <w14:schemeClr w14:val="tx1"/>
                  </w14:solidFill>
                </w14:textFill>
              </w:rPr>
            </w:pPr>
            <w:r>
              <w:rPr>
                <w:rFonts w:asciiTheme="minorEastAsia" w:hAnsiTheme="minorEastAsia" w:eastAsiaTheme="minorEastAsia"/>
                <w:color w:val="000000" w:themeColor="text1"/>
                <w:spacing w:val="0"/>
                <w:kern w:val="2"/>
                <w:sz w:val="24"/>
                <w:szCs w:val="24"/>
                <w:highlight w:val="none"/>
                <w14:textFill>
                  <w14:solidFill>
                    <w14:schemeClr w14:val="tx1"/>
                  </w14:solidFill>
                </w14:textFill>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r>
    </w:tbl>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注：供应商应根据供应商须知前附表第3.5（6）项的要求在本表后附相关证明材料。</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br w:type="page"/>
      </w:r>
    </w:p>
    <w:p>
      <w:pPr>
        <w:adjustRightInd w:val="0"/>
        <w:snapToGrid w:val="0"/>
        <w:spacing w:line="600" w:lineRule="exact"/>
        <w:jc w:val="center"/>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lang w:val="en-US" w:eastAsia="zh-CN"/>
          <w14:textFill>
            <w14:solidFill>
              <w14:schemeClr w14:val="tx1"/>
            </w14:solidFill>
          </w14:textFill>
        </w:rPr>
        <w:t>六</w:t>
      </w:r>
      <w:r>
        <w:rPr>
          <w:rFonts w:hint="eastAsia" w:ascii="黑体" w:hAnsi="黑体" w:eastAsia="黑体" w:cs="仿宋"/>
          <w:color w:val="000000" w:themeColor="text1"/>
          <w:sz w:val="36"/>
          <w:szCs w:val="36"/>
          <w:highlight w:val="none"/>
          <w14:textFill>
            <w14:solidFill>
              <w14:schemeClr w14:val="tx1"/>
            </w14:solidFill>
          </w14:textFill>
        </w:rPr>
        <w:t>、响应方案</w:t>
      </w:r>
    </w:p>
    <w:p>
      <w:pPr>
        <w:pStyle w:val="41"/>
        <w:rPr>
          <w:color w:val="000000" w:themeColor="text1"/>
          <w:highlight w:val="none"/>
          <w14:textFill>
            <w14:solidFill>
              <w14:schemeClr w14:val="tx1"/>
            </w14:solidFill>
          </w14:textFill>
        </w:rPr>
      </w:pPr>
    </w:p>
    <w:p>
      <w:pPr>
        <w:adjustRightInd w:val="0"/>
        <w:snapToGrid w:val="0"/>
        <w:spacing w:line="600" w:lineRule="exact"/>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(1)对项目的理解;</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(2)服务范围及内容;</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(3)服务工作的依据、工作目标;</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(4)服务机构设置(框图)、岗位职责;</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(7)服务工作重点、难点分析;</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(8)对本项目的合理化建议。</w:t>
      </w:r>
    </w:p>
    <w:p>
      <w:pPr>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br w:type="page"/>
      </w:r>
    </w:p>
    <w:p>
      <w:pPr>
        <w:adjustRightInd w:val="0"/>
        <w:snapToGrid w:val="0"/>
        <w:spacing w:line="600" w:lineRule="exact"/>
        <w:jc w:val="center"/>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lang w:val="en-US" w:eastAsia="zh-CN"/>
          <w14:textFill>
            <w14:solidFill>
              <w14:schemeClr w14:val="tx1"/>
            </w14:solidFill>
          </w14:textFill>
        </w:rPr>
        <w:t>七</w:t>
      </w:r>
      <w:r>
        <w:rPr>
          <w:rFonts w:hint="eastAsia" w:ascii="黑体" w:hAnsi="黑体" w:eastAsia="黑体" w:cs="仿宋"/>
          <w:color w:val="000000" w:themeColor="text1"/>
          <w:sz w:val="36"/>
          <w:szCs w:val="36"/>
          <w:highlight w:val="none"/>
          <w14:textFill>
            <w14:solidFill>
              <w14:schemeClr w14:val="tx1"/>
            </w14:solidFill>
          </w14:textFill>
        </w:rPr>
        <w:t>、其他资料</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供应商需提交的其他资料。</w:t>
      </w:r>
    </w:p>
    <w:p>
      <w:pPr>
        <w:spacing w:line="240" w:lineRule="auto"/>
        <w:jc w:val="both"/>
        <w:rPr>
          <w:rFonts w:asciiTheme="minorEastAsia" w:hAnsiTheme="minorEastAsia" w:eastAsiaTheme="minorEastAsia"/>
          <w:color w:val="000000" w:themeColor="text1"/>
          <w:sz w:val="24"/>
          <w:highlight w:val="none"/>
          <w14:textFill>
            <w14:solidFill>
              <w14:schemeClr w14:val="tx1"/>
            </w14:solidFill>
          </w14:textFill>
        </w:rPr>
      </w:pPr>
    </w:p>
    <w:sectPr>
      <w:footerReference r:id="rId5"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1"/>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43</w:t>
        </w:r>
        <w:r>
          <w:rPr>
            <w:sz w:val="20"/>
          </w:rPr>
          <w:fldChar w:fldCharType="end"/>
        </w:r>
      </w:p>
    </w:sdtContent>
  </w:sdt>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3601A173"/>
    <w:multiLevelType w:val="singleLevel"/>
    <w:tmpl w:val="3601A173"/>
    <w:lvl w:ilvl="0" w:tentative="0">
      <w:start w:val="1"/>
      <w:numFmt w:val="chineseCounting"/>
      <w:suff w:val="nothing"/>
      <w:lvlText w:val="%1、"/>
      <w:lvlJc w:val="left"/>
      <w:rPr>
        <w:rFonts w:hint="eastAsia"/>
      </w:rPr>
    </w:lvl>
  </w:abstractNum>
  <w:abstractNum w:abstractNumId="3">
    <w:nsid w:val="43265886"/>
    <w:multiLevelType w:val="multilevel"/>
    <w:tmpl w:val="43265886"/>
    <w:lvl w:ilvl="0" w:tentative="0">
      <w:start w:val="2"/>
      <w:numFmt w:val="decimal"/>
      <w:lvlText w:val="%1、"/>
      <w:lvlJc w:val="left"/>
      <w:pPr>
        <w:ind w:left="926" w:hanging="36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formatting="1"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TgzYWJlZTQ4OWUwNmU2NDgyNDg3ZTU4ZmE2OGEifQ=="/>
  </w:docVars>
  <w:rsids>
    <w:rsidRoot w:val="00124EA9"/>
    <w:rsid w:val="000021E0"/>
    <w:rsid w:val="00002637"/>
    <w:rsid w:val="00004047"/>
    <w:rsid w:val="00010F56"/>
    <w:rsid w:val="00024612"/>
    <w:rsid w:val="00044051"/>
    <w:rsid w:val="00045372"/>
    <w:rsid w:val="00045996"/>
    <w:rsid w:val="00053E1B"/>
    <w:rsid w:val="0006009C"/>
    <w:rsid w:val="00064FF7"/>
    <w:rsid w:val="00077817"/>
    <w:rsid w:val="00080B47"/>
    <w:rsid w:val="000A0047"/>
    <w:rsid w:val="000A4856"/>
    <w:rsid w:val="000A7926"/>
    <w:rsid w:val="000B4936"/>
    <w:rsid w:val="000C4E44"/>
    <w:rsid w:val="000C5689"/>
    <w:rsid w:val="000D0FD0"/>
    <w:rsid w:val="000D3A07"/>
    <w:rsid w:val="000E5829"/>
    <w:rsid w:val="000F2F60"/>
    <w:rsid w:val="000F3281"/>
    <w:rsid w:val="000F3D59"/>
    <w:rsid w:val="000F572C"/>
    <w:rsid w:val="000F65C5"/>
    <w:rsid w:val="00101210"/>
    <w:rsid w:val="00124EA9"/>
    <w:rsid w:val="00133753"/>
    <w:rsid w:val="00140710"/>
    <w:rsid w:val="00141200"/>
    <w:rsid w:val="001421A1"/>
    <w:rsid w:val="0014231F"/>
    <w:rsid w:val="001429F5"/>
    <w:rsid w:val="00143EE9"/>
    <w:rsid w:val="00144A0B"/>
    <w:rsid w:val="00155F5F"/>
    <w:rsid w:val="0016577A"/>
    <w:rsid w:val="00172E5F"/>
    <w:rsid w:val="00175066"/>
    <w:rsid w:val="00186D78"/>
    <w:rsid w:val="001A1831"/>
    <w:rsid w:val="001A77A4"/>
    <w:rsid w:val="001B2635"/>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A13A6"/>
    <w:rsid w:val="002A178A"/>
    <w:rsid w:val="002A3646"/>
    <w:rsid w:val="002A69B8"/>
    <w:rsid w:val="002B225E"/>
    <w:rsid w:val="002B7B11"/>
    <w:rsid w:val="002C68D6"/>
    <w:rsid w:val="002D3DCC"/>
    <w:rsid w:val="002D460A"/>
    <w:rsid w:val="002E1D5F"/>
    <w:rsid w:val="002E1F6F"/>
    <w:rsid w:val="002E503D"/>
    <w:rsid w:val="002F4C12"/>
    <w:rsid w:val="0031048F"/>
    <w:rsid w:val="003220EE"/>
    <w:rsid w:val="003276E9"/>
    <w:rsid w:val="003332ED"/>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0EA3"/>
    <w:rsid w:val="0055203E"/>
    <w:rsid w:val="00554490"/>
    <w:rsid w:val="00567DFB"/>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001C"/>
    <w:rsid w:val="00686532"/>
    <w:rsid w:val="00690B7C"/>
    <w:rsid w:val="006A12CE"/>
    <w:rsid w:val="006A499F"/>
    <w:rsid w:val="006A4B76"/>
    <w:rsid w:val="006B1EC2"/>
    <w:rsid w:val="006B3F31"/>
    <w:rsid w:val="006C735F"/>
    <w:rsid w:val="006D3E72"/>
    <w:rsid w:val="006E037A"/>
    <w:rsid w:val="006E0909"/>
    <w:rsid w:val="006E37CB"/>
    <w:rsid w:val="006E4993"/>
    <w:rsid w:val="006E5C39"/>
    <w:rsid w:val="00702A69"/>
    <w:rsid w:val="007265BE"/>
    <w:rsid w:val="007312AC"/>
    <w:rsid w:val="00734D60"/>
    <w:rsid w:val="007555FC"/>
    <w:rsid w:val="007623DE"/>
    <w:rsid w:val="00767FCD"/>
    <w:rsid w:val="00770FF3"/>
    <w:rsid w:val="00771629"/>
    <w:rsid w:val="00773441"/>
    <w:rsid w:val="00773E3D"/>
    <w:rsid w:val="007809BE"/>
    <w:rsid w:val="0078437B"/>
    <w:rsid w:val="00784672"/>
    <w:rsid w:val="00784F8A"/>
    <w:rsid w:val="00785C21"/>
    <w:rsid w:val="007964EF"/>
    <w:rsid w:val="007C2355"/>
    <w:rsid w:val="007C74E8"/>
    <w:rsid w:val="007D0497"/>
    <w:rsid w:val="007D29D4"/>
    <w:rsid w:val="007D3081"/>
    <w:rsid w:val="007E1F23"/>
    <w:rsid w:val="007E4510"/>
    <w:rsid w:val="007F3D4A"/>
    <w:rsid w:val="0080745B"/>
    <w:rsid w:val="00822A51"/>
    <w:rsid w:val="00824B55"/>
    <w:rsid w:val="00855A14"/>
    <w:rsid w:val="008669CD"/>
    <w:rsid w:val="00867D79"/>
    <w:rsid w:val="008705DF"/>
    <w:rsid w:val="008762E6"/>
    <w:rsid w:val="00883782"/>
    <w:rsid w:val="00892349"/>
    <w:rsid w:val="00892DCC"/>
    <w:rsid w:val="008933B7"/>
    <w:rsid w:val="00896688"/>
    <w:rsid w:val="008A4531"/>
    <w:rsid w:val="008A6664"/>
    <w:rsid w:val="008B1E7E"/>
    <w:rsid w:val="008B2D72"/>
    <w:rsid w:val="008C623B"/>
    <w:rsid w:val="008F6B51"/>
    <w:rsid w:val="00904EFD"/>
    <w:rsid w:val="0090589A"/>
    <w:rsid w:val="0093128C"/>
    <w:rsid w:val="009315C2"/>
    <w:rsid w:val="00935E41"/>
    <w:rsid w:val="00935ED2"/>
    <w:rsid w:val="009413B0"/>
    <w:rsid w:val="00954F74"/>
    <w:rsid w:val="00955643"/>
    <w:rsid w:val="009573B9"/>
    <w:rsid w:val="00965E94"/>
    <w:rsid w:val="00983877"/>
    <w:rsid w:val="00983F1D"/>
    <w:rsid w:val="00986B6E"/>
    <w:rsid w:val="009A1BD2"/>
    <w:rsid w:val="009A24B1"/>
    <w:rsid w:val="009B084E"/>
    <w:rsid w:val="009B5405"/>
    <w:rsid w:val="009B626F"/>
    <w:rsid w:val="009B66AE"/>
    <w:rsid w:val="009E6CEC"/>
    <w:rsid w:val="009F0696"/>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C1D79"/>
    <w:rsid w:val="00AD2A48"/>
    <w:rsid w:val="00AD2C8A"/>
    <w:rsid w:val="00AD6819"/>
    <w:rsid w:val="00AE15F3"/>
    <w:rsid w:val="00AF4CC2"/>
    <w:rsid w:val="00B01BC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0978"/>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D703C"/>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4CFE"/>
    <w:rsid w:val="00DC758D"/>
    <w:rsid w:val="00DD03AC"/>
    <w:rsid w:val="00DD081E"/>
    <w:rsid w:val="00DD63AD"/>
    <w:rsid w:val="00DD7197"/>
    <w:rsid w:val="00DF2B35"/>
    <w:rsid w:val="00E002E7"/>
    <w:rsid w:val="00E006FA"/>
    <w:rsid w:val="00E07092"/>
    <w:rsid w:val="00E10A95"/>
    <w:rsid w:val="00E25112"/>
    <w:rsid w:val="00E263FD"/>
    <w:rsid w:val="00E30201"/>
    <w:rsid w:val="00E44E6A"/>
    <w:rsid w:val="00E5145F"/>
    <w:rsid w:val="00E5459C"/>
    <w:rsid w:val="00E5461B"/>
    <w:rsid w:val="00E55052"/>
    <w:rsid w:val="00E61B4A"/>
    <w:rsid w:val="00E65DCA"/>
    <w:rsid w:val="00E828A3"/>
    <w:rsid w:val="00E839E1"/>
    <w:rsid w:val="00E8703F"/>
    <w:rsid w:val="00EA3253"/>
    <w:rsid w:val="00EB3032"/>
    <w:rsid w:val="00EB36F8"/>
    <w:rsid w:val="00EB3D32"/>
    <w:rsid w:val="00EB45C5"/>
    <w:rsid w:val="00EC1A38"/>
    <w:rsid w:val="00EC1C0F"/>
    <w:rsid w:val="00EC394D"/>
    <w:rsid w:val="00EC4B84"/>
    <w:rsid w:val="00EC5AF3"/>
    <w:rsid w:val="00ED0C16"/>
    <w:rsid w:val="00EE75AA"/>
    <w:rsid w:val="00F014DF"/>
    <w:rsid w:val="00F0428D"/>
    <w:rsid w:val="00F067FF"/>
    <w:rsid w:val="00F138CF"/>
    <w:rsid w:val="00F17C9D"/>
    <w:rsid w:val="00F31726"/>
    <w:rsid w:val="00F366D3"/>
    <w:rsid w:val="00F40991"/>
    <w:rsid w:val="00F449A4"/>
    <w:rsid w:val="00F51761"/>
    <w:rsid w:val="00F51B37"/>
    <w:rsid w:val="00F552F8"/>
    <w:rsid w:val="00F725CC"/>
    <w:rsid w:val="00F76C2C"/>
    <w:rsid w:val="00F86C0E"/>
    <w:rsid w:val="00FA688E"/>
    <w:rsid w:val="00FA7AF8"/>
    <w:rsid w:val="00FB7FEC"/>
    <w:rsid w:val="00FC0CDA"/>
    <w:rsid w:val="00FC2557"/>
    <w:rsid w:val="00FC3155"/>
    <w:rsid w:val="00FD0360"/>
    <w:rsid w:val="00FD4D0F"/>
    <w:rsid w:val="00FD78D6"/>
    <w:rsid w:val="00FE3439"/>
    <w:rsid w:val="00FE5003"/>
    <w:rsid w:val="00FF43B1"/>
    <w:rsid w:val="00FF670A"/>
    <w:rsid w:val="0108124A"/>
    <w:rsid w:val="016110F4"/>
    <w:rsid w:val="01655E65"/>
    <w:rsid w:val="019B53E2"/>
    <w:rsid w:val="01AC7279"/>
    <w:rsid w:val="01B372CB"/>
    <w:rsid w:val="02190755"/>
    <w:rsid w:val="023043CB"/>
    <w:rsid w:val="02C82FD8"/>
    <w:rsid w:val="03D90B92"/>
    <w:rsid w:val="04427745"/>
    <w:rsid w:val="047F723D"/>
    <w:rsid w:val="04A65DBC"/>
    <w:rsid w:val="04BA2702"/>
    <w:rsid w:val="04F73278"/>
    <w:rsid w:val="058058AC"/>
    <w:rsid w:val="05C8377A"/>
    <w:rsid w:val="05CD3A4B"/>
    <w:rsid w:val="05EF1FFE"/>
    <w:rsid w:val="05EF42D9"/>
    <w:rsid w:val="067E2B27"/>
    <w:rsid w:val="06A27A94"/>
    <w:rsid w:val="06B55198"/>
    <w:rsid w:val="06FC0882"/>
    <w:rsid w:val="071C2DD7"/>
    <w:rsid w:val="07DF54F0"/>
    <w:rsid w:val="08026E2C"/>
    <w:rsid w:val="085B5FAA"/>
    <w:rsid w:val="08826D5B"/>
    <w:rsid w:val="08F024B8"/>
    <w:rsid w:val="08F17FDE"/>
    <w:rsid w:val="09262AB2"/>
    <w:rsid w:val="09343645"/>
    <w:rsid w:val="09B41187"/>
    <w:rsid w:val="09C53944"/>
    <w:rsid w:val="09C6304D"/>
    <w:rsid w:val="09E7100A"/>
    <w:rsid w:val="0A7315F2"/>
    <w:rsid w:val="0AED2D32"/>
    <w:rsid w:val="0AF00027"/>
    <w:rsid w:val="0B0D605F"/>
    <w:rsid w:val="0B2E76B3"/>
    <w:rsid w:val="0B300652"/>
    <w:rsid w:val="0B6E30DF"/>
    <w:rsid w:val="0BA37CB5"/>
    <w:rsid w:val="0C223104"/>
    <w:rsid w:val="0C5C5C68"/>
    <w:rsid w:val="0C5E65EE"/>
    <w:rsid w:val="0C905B62"/>
    <w:rsid w:val="0C9413AC"/>
    <w:rsid w:val="0CCC561D"/>
    <w:rsid w:val="0CE02BCB"/>
    <w:rsid w:val="0D002EE5"/>
    <w:rsid w:val="0D414932"/>
    <w:rsid w:val="0D8B5F9E"/>
    <w:rsid w:val="0DB21D98"/>
    <w:rsid w:val="0DB759FC"/>
    <w:rsid w:val="0DF91E0E"/>
    <w:rsid w:val="0E891CDE"/>
    <w:rsid w:val="0EFB7611"/>
    <w:rsid w:val="0F250657"/>
    <w:rsid w:val="0F2C1D70"/>
    <w:rsid w:val="0F470918"/>
    <w:rsid w:val="0F5372FC"/>
    <w:rsid w:val="0F72584C"/>
    <w:rsid w:val="0FE216C6"/>
    <w:rsid w:val="10576B90"/>
    <w:rsid w:val="10A157BC"/>
    <w:rsid w:val="10CB7D53"/>
    <w:rsid w:val="10D715D2"/>
    <w:rsid w:val="110C64BE"/>
    <w:rsid w:val="113B3D20"/>
    <w:rsid w:val="11553800"/>
    <w:rsid w:val="11603F53"/>
    <w:rsid w:val="118A1C40"/>
    <w:rsid w:val="119E5E08"/>
    <w:rsid w:val="120174E4"/>
    <w:rsid w:val="1209283C"/>
    <w:rsid w:val="123F24AA"/>
    <w:rsid w:val="12AF2E1E"/>
    <w:rsid w:val="13024F2E"/>
    <w:rsid w:val="136C60D7"/>
    <w:rsid w:val="13D33102"/>
    <w:rsid w:val="13F05A62"/>
    <w:rsid w:val="145076DA"/>
    <w:rsid w:val="149C34F4"/>
    <w:rsid w:val="14B70C0B"/>
    <w:rsid w:val="150E3D50"/>
    <w:rsid w:val="15355BAF"/>
    <w:rsid w:val="158C3BDB"/>
    <w:rsid w:val="15952B11"/>
    <w:rsid w:val="16314BAD"/>
    <w:rsid w:val="1704667E"/>
    <w:rsid w:val="17100B20"/>
    <w:rsid w:val="17594306"/>
    <w:rsid w:val="17D539F2"/>
    <w:rsid w:val="17DD7BFF"/>
    <w:rsid w:val="188B7B07"/>
    <w:rsid w:val="18961368"/>
    <w:rsid w:val="18E4741C"/>
    <w:rsid w:val="19097045"/>
    <w:rsid w:val="192D5062"/>
    <w:rsid w:val="196A4431"/>
    <w:rsid w:val="19D11E91"/>
    <w:rsid w:val="1A104EBC"/>
    <w:rsid w:val="1A491A28"/>
    <w:rsid w:val="1ABA20D4"/>
    <w:rsid w:val="1C2276D5"/>
    <w:rsid w:val="1C3B6EE0"/>
    <w:rsid w:val="1C796955"/>
    <w:rsid w:val="1CB151AD"/>
    <w:rsid w:val="1CCD60E9"/>
    <w:rsid w:val="1D0936F0"/>
    <w:rsid w:val="1D2422D8"/>
    <w:rsid w:val="1D2B3667"/>
    <w:rsid w:val="1D5D05DC"/>
    <w:rsid w:val="1D94745E"/>
    <w:rsid w:val="1DA769B6"/>
    <w:rsid w:val="1DAB68D7"/>
    <w:rsid w:val="1DB06D6D"/>
    <w:rsid w:val="1DBB01B3"/>
    <w:rsid w:val="1DC15D79"/>
    <w:rsid w:val="1DC7279C"/>
    <w:rsid w:val="1DEC3661"/>
    <w:rsid w:val="1E1F3B60"/>
    <w:rsid w:val="1E231977"/>
    <w:rsid w:val="1E5310C7"/>
    <w:rsid w:val="1E5803E7"/>
    <w:rsid w:val="1E650058"/>
    <w:rsid w:val="1E901304"/>
    <w:rsid w:val="1F031D0C"/>
    <w:rsid w:val="1F2148F2"/>
    <w:rsid w:val="1F2E0BFF"/>
    <w:rsid w:val="1F5E681A"/>
    <w:rsid w:val="1F62545B"/>
    <w:rsid w:val="1F833B5F"/>
    <w:rsid w:val="1F9D58D9"/>
    <w:rsid w:val="1FB37BD1"/>
    <w:rsid w:val="1FBF76D7"/>
    <w:rsid w:val="20320A13"/>
    <w:rsid w:val="20505AC4"/>
    <w:rsid w:val="2063580D"/>
    <w:rsid w:val="208F03B0"/>
    <w:rsid w:val="210E5B18"/>
    <w:rsid w:val="21211A72"/>
    <w:rsid w:val="212E078A"/>
    <w:rsid w:val="229D6DB5"/>
    <w:rsid w:val="22CD0ADC"/>
    <w:rsid w:val="22E46A43"/>
    <w:rsid w:val="23144B9D"/>
    <w:rsid w:val="23292344"/>
    <w:rsid w:val="23331D17"/>
    <w:rsid w:val="23445482"/>
    <w:rsid w:val="235B5479"/>
    <w:rsid w:val="23713256"/>
    <w:rsid w:val="23B73EA6"/>
    <w:rsid w:val="23C9261C"/>
    <w:rsid w:val="23D7486A"/>
    <w:rsid w:val="23E80503"/>
    <w:rsid w:val="241C3B45"/>
    <w:rsid w:val="2423791C"/>
    <w:rsid w:val="242742BA"/>
    <w:rsid w:val="242B4894"/>
    <w:rsid w:val="243D276B"/>
    <w:rsid w:val="244514B2"/>
    <w:rsid w:val="247B1377"/>
    <w:rsid w:val="247E6772"/>
    <w:rsid w:val="24C25045"/>
    <w:rsid w:val="24CF2408"/>
    <w:rsid w:val="24ED6496"/>
    <w:rsid w:val="252B269C"/>
    <w:rsid w:val="25313DAC"/>
    <w:rsid w:val="25670F4C"/>
    <w:rsid w:val="264E6DB9"/>
    <w:rsid w:val="266A16A4"/>
    <w:rsid w:val="26A05072"/>
    <w:rsid w:val="26A050C5"/>
    <w:rsid w:val="26D92385"/>
    <w:rsid w:val="27B73E41"/>
    <w:rsid w:val="2872440F"/>
    <w:rsid w:val="289856E6"/>
    <w:rsid w:val="28AF339E"/>
    <w:rsid w:val="28EE7628"/>
    <w:rsid w:val="290336EA"/>
    <w:rsid w:val="2907571B"/>
    <w:rsid w:val="291E6775"/>
    <w:rsid w:val="295E13D6"/>
    <w:rsid w:val="295F1BEE"/>
    <w:rsid w:val="29A94291"/>
    <w:rsid w:val="29D137E8"/>
    <w:rsid w:val="29FE7C6D"/>
    <w:rsid w:val="2A7757C9"/>
    <w:rsid w:val="2A810C26"/>
    <w:rsid w:val="2ABD7C6A"/>
    <w:rsid w:val="2AE509BC"/>
    <w:rsid w:val="2AEB642C"/>
    <w:rsid w:val="2BA222B6"/>
    <w:rsid w:val="2BAE4200"/>
    <w:rsid w:val="2BB311E2"/>
    <w:rsid w:val="2BD74C8B"/>
    <w:rsid w:val="2BF10955"/>
    <w:rsid w:val="2C5946EF"/>
    <w:rsid w:val="2C771289"/>
    <w:rsid w:val="2C7C7A3B"/>
    <w:rsid w:val="2C9F197B"/>
    <w:rsid w:val="2CD62C3A"/>
    <w:rsid w:val="2CDD61E8"/>
    <w:rsid w:val="2D101F87"/>
    <w:rsid w:val="2D933C05"/>
    <w:rsid w:val="2E41641E"/>
    <w:rsid w:val="2E944985"/>
    <w:rsid w:val="2F0B483D"/>
    <w:rsid w:val="2F794705"/>
    <w:rsid w:val="2FB9638B"/>
    <w:rsid w:val="2FBF7A81"/>
    <w:rsid w:val="2FD26F55"/>
    <w:rsid w:val="2FEA115F"/>
    <w:rsid w:val="30096558"/>
    <w:rsid w:val="309F77D5"/>
    <w:rsid w:val="30A734F4"/>
    <w:rsid w:val="30AA2AA4"/>
    <w:rsid w:val="30DE2DAE"/>
    <w:rsid w:val="31564A68"/>
    <w:rsid w:val="317374AD"/>
    <w:rsid w:val="31B71515"/>
    <w:rsid w:val="31D75713"/>
    <w:rsid w:val="3247469D"/>
    <w:rsid w:val="32756EB2"/>
    <w:rsid w:val="328A0351"/>
    <w:rsid w:val="32947966"/>
    <w:rsid w:val="329D4C70"/>
    <w:rsid w:val="339248A7"/>
    <w:rsid w:val="33DC1707"/>
    <w:rsid w:val="347E184F"/>
    <w:rsid w:val="34874156"/>
    <w:rsid w:val="34DC45DC"/>
    <w:rsid w:val="35032B89"/>
    <w:rsid w:val="351E6AD6"/>
    <w:rsid w:val="353A4937"/>
    <w:rsid w:val="359B5468"/>
    <w:rsid w:val="35E068D3"/>
    <w:rsid w:val="35F76384"/>
    <w:rsid w:val="36237A11"/>
    <w:rsid w:val="369E5F5A"/>
    <w:rsid w:val="36BD4AD5"/>
    <w:rsid w:val="36D57A86"/>
    <w:rsid w:val="370C2303"/>
    <w:rsid w:val="37141A05"/>
    <w:rsid w:val="379B30ED"/>
    <w:rsid w:val="37E36BED"/>
    <w:rsid w:val="3806709E"/>
    <w:rsid w:val="38302D1E"/>
    <w:rsid w:val="3844766B"/>
    <w:rsid w:val="386A115C"/>
    <w:rsid w:val="38F117B0"/>
    <w:rsid w:val="39423DBA"/>
    <w:rsid w:val="395D7391"/>
    <w:rsid w:val="39C96499"/>
    <w:rsid w:val="39F51A7B"/>
    <w:rsid w:val="3A1D0739"/>
    <w:rsid w:val="3AF93B99"/>
    <w:rsid w:val="3B0C28D2"/>
    <w:rsid w:val="3B1D42F5"/>
    <w:rsid w:val="3B2B40CB"/>
    <w:rsid w:val="3B3A0951"/>
    <w:rsid w:val="3B786F8B"/>
    <w:rsid w:val="3BA174BE"/>
    <w:rsid w:val="3BD45629"/>
    <w:rsid w:val="3C2E7A0D"/>
    <w:rsid w:val="3C56520F"/>
    <w:rsid w:val="3D461FBA"/>
    <w:rsid w:val="3D5B45EF"/>
    <w:rsid w:val="3D5B544A"/>
    <w:rsid w:val="3E090511"/>
    <w:rsid w:val="3E8F1850"/>
    <w:rsid w:val="3EC01B26"/>
    <w:rsid w:val="3F0013D8"/>
    <w:rsid w:val="3F747742"/>
    <w:rsid w:val="3FA24D3D"/>
    <w:rsid w:val="3FB93C81"/>
    <w:rsid w:val="3FE61943"/>
    <w:rsid w:val="40096B18"/>
    <w:rsid w:val="4037008C"/>
    <w:rsid w:val="407A02DD"/>
    <w:rsid w:val="40BE77DA"/>
    <w:rsid w:val="40F7682E"/>
    <w:rsid w:val="41AA4BF2"/>
    <w:rsid w:val="41CE0EB7"/>
    <w:rsid w:val="41D45583"/>
    <w:rsid w:val="4202005B"/>
    <w:rsid w:val="422E6094"/>
    <w:rsid w:val="4273261E"/>
    <w:rsid w:val="42B9360E"/>
    <w:rsid w:val="43055142"/>
    <w:rsid w:val="43632443"/>
    <w:rsid w:val="43B07126"/>
    <w:rsid w:val="43BC1982"/>
    <w:rsid w:val="43C6273F"/>
    <w:rsid w:val="44D14A1F"/>
    <w:rsid w:val="4503099B"/>
    <w:rsid w:val="453D7EFA"/>
    <w:rsid w:val="45594965"/>
    <w:rsid w:val="45DE02F0"/>
    <w:rsid w:val="45E343D9"/>
    <w:rsid w:val="460A3EB2"/>
    <w:rsid w:val="463D1554"/>
    <w:rsid w:val="46480423"/>
    <w:rsid w:val="469F0A9E"/>
    <w:rsid w:val="46C44BD5"/>
    <w:rsid w:val="46E42955"/>
    <w:rsid w:val="46FD0ED7"/>
    <w:rsid w:val="473A1C92"/>
    <w:rsid w:val="47592E4A"/>
    <w:rsid w:val="4773581B"/>
    <w:rsid w:val="47D44A52"/>
    <w:rsid w:val="48133EF7"/>
    <w:rsid w:val="484E040B"/>
    <w:rsid w:val="49061DFF"/>
    <w:rsid w:val="492D450B"/>
    <w:rsid w:val="49A47970"/>
    <w:rsid w:val="49E352A4"/>
    <w:rsid w:val="4A625DAC"/>
    <w:rsid w:val="4AA95536"/>
    <w:rsid w:val="4AF56EDE"/>
    <w:rsid w:val="4B9F509C"/>
    <w:rsid w:val="4BA044F9"/>
    <w:rsid w:val="4BB73BE9"/>
    <w:rsid w:val="4BEB2031"/>
    <w:rsid w:val="4C0E711F"/>
    <w:rsid w:val="4C2C5768"/>
    <w:rsid w:val="4C3C28EB"/>
    <w:rsid w:val="4C7327B1"/>
    <w:rsid w:val="4C8D7FB6"/>
    <w:rsid w:val="4CD70D91"/>
    <w:rsid w:val="4CFB75B5"/>
    <w:rsid w:val="4D106AD6"/>
    <w:rsid w:val="4D7D047C"/>
    <w:rsid w:val="4DF01BDF"/>
    <w:rsid w:val="4E5F0909"/>
    <w:rsid w:val="4E6200BB"/>
    <w:rsid w:val="4EC8736A"/>
    <w:rsid w:val="4EF83441"/>
    <w:rsid w:val="4F085C07"/>
    <w:rsid w:val="4F7855EA"/>
    <w:rsid w:val="4F940716"/>
    <w:rsid w:val="4F9C77F0"/>
    <w:rsid w:val="4FF45606"/>
    <w:rsid w:val="50025BF9"/>
    <w:rsid w:val="50203001"/>
    <w:rsid w:val="50530951"/>
    <w:rsid w:val="50613214"/>
    <w:rsid w:val="511F2F07"/>
    <w:rsid w:val="520004CA"/>
    <w:rsid w:val="526D7CA2"/>
    <w:rsid w:val="532627CA"/>
    <w:rsid w:val="532F2F36"/>
    <w:rsid w:val="5415414D"/>
    <w:rsid w:val="5422279F"/>
    <w:rsid w:val="54C32B11"/>
    <w:rsid w:val="54DC56F8"/>
    <w:rsid w:val="55A35789"/>
    <w:rsid w:val="562C577E"/>
    <w:rsid w:val="56367C5B"/>
    <w:rsid w:val="5641747C"/>
    <w:rsid w:val="56677807"/>
    <w:rsid w:val="56702A03"/>
    <w:rsid w:val="56820D5B"/>
    <w:rsid w:val="56BF0FCF"/>
    <w:rsid w:val="56CA17BA"/>
    <w:rsid w:val="57096D7C"/>
    <w:rsid w:val="574E78C6"/>
    <w:rsid w:val="574F5BC8"/>
    <w:rsid w:val="57526CA3"/>
    <w:rsid w:val="57547BA2"/>
    <w:rsid w:val="579B0911"/>
    <w:rsid w:val="579E08FE"/>
    <w:rsid w:val="57B40121"/>
    <w:rsid w:val="58054589"/>
    <w:rsid w:val="58134E48"/>
    <w:rsid w:val="58726012"/>
    <w:rsid w:val="58B91018"/>
    <w:rsid w:val="58D06D06"/>
    <w:rsid w:val="58F05189"/>
    <w:rsid w:val="590429E2"/>
    <w:rsid w:val="59D5260B"/>
    <w:rsid w:val="59F510C8"/>
    <w:rsid w:val="5A190D99"/>
    <w:rsid w:val="5A465B9D"/>
    <w:rsid w:val="5A631C3C"/>
    <w:rsid w:val="5AAE2ACB"/>
    <w:rsid w:val="5AC95C92"/>
    <w:rsid w:val="5AF71073"/>
    <w:rsid w:val="5B353327"/>
    <w:rsid w:val="5B6270CB"/>
    <w:rsid w:val="5BAD0267"/>
    <w:rsid w:val="5BB24FC7"/>
    <w:rsid w:val="5BBE0B98"/>
    <w:rsid w:val="5C245875"/>
    <w:rsid w:val="5D1E4A62"/>
    <w:rsid w:val="5D5A5542"/>
    <w:rsid w:val="5DBD75BE"/>
    <w:rsid w:val="5DDB3A67"/>
    <w:rsid w:val="5E007081"/>
    <w:rsid w:val="5E0168D8"/>
    <w:rsid w:val="5E2979F3"/>
    <w:rsid w:val="5E646A2E"/>
    <w:rsid w:val="5E975EED"/>
    <w:rsid w:val="5EFD0600"/>
    <w:rsid w:val="5F5A7169"/>
    <w:rsid w:val="5FA558FD"/>
    <w:rsid w:val="5FC52CF8"/>
    <w:rsid w:val="5FC5301A"/>
    <w:rsid w:val="5FC5541A"/>
    <w:rsid w:val="603C7D37"/>
    <w:rsid w:val="60714E01"/>
    <w:rsid w:val="609621D0"/>
    <w:rsid w:val="60C05441"/>
    <w:rsid w:val="60E14966"/>
    <w:rsid w:val="60FF494F"/>
    <w:rsid w:val="612018B0"/>
    <w:rsid w:val="618741B1"/>
    <w:rsid w:val="62013F63"/>
    <w:rsid w:val="622A196A"/>
    <w:rsid w:val="62525166"/>
    <w:rsid w:val="6252656D"/>
    <w:rsid w:val="63310F09"/>
    <w:rsid w:val="634B193A"/>
    <w:rsid w:val="6367429A"/>
    <w:rsid w:val="638E1826"/>
    <w:rsid w:val="63A421DF"/>
    <w:rsid w:val="63B84F56"/>
    <w:rsid w:val="63ED139D"/>
    <w:rsid w:val="64515AE1"/>
    <w:rsid w:val="64557A48"/>
    <w:rsid w:val="64824840"/>
    <w:rsid w:val="64887113"/>
    <w:rsid w:val="65571836"/>
    <w:rsid w:val="655F482E"/>
    <w:rsid w:val="657B69CF"/>
    <w:rsid w:val="65A373BB"/>
    <w:rsid w:val="65E54EB0"/>
    <w:rsid w:val="663E10C6"/>
    <w:rsid w:val="664A1D65"/>
    <w:rsid w:val="664D59C9"/>
    <w:rsid w:val="666552E6"/>
    <w:rsid w:val="668B7395"/>
    <w:rsid w:val="66A80014"/>
    <w:rsid w:val="66EA796E"/>
    <w:rsid w:val="677406C7"/>
    <w:rsid w:val="677A2413"/>
    <w:rsid w:val="679C0569"/>
    <w:rsid w:val="67B945ED"/>
    <w:rsid w:val="67BA708E"/>
    <w:rsid w:val="67CD5453"/>
    <w:rsid w:val="67DB2C51"/>
    <w:rsid w:val="67E244F8"/>
    <w:rsid w:val="68012F0F"/>
    <w:rsid w:val="68562B5B"/>
    <w:rsid w:val="686B311E"/>
    <w:rsid w:val="689E250C"/>
    <w:rsid w:val="69362744"/>
    <w:rsid w:val="69934DBD"/>
    <w:rsid w:val="69E77EB0"/>
    <w:rsid w:val="6AAA1AFA"/>
    <w:rsid w:val="6AD00976"/>
    <w:rsid w:val="6B2F5A5F"/>
    <w:rsid w:val="6B3F724F"/>
    <w:rsid w:val="6B533C17"/>
    <w:rsid w:val="6B7C0E15"/>
    <w:rsid w:val="6B855C05"/>
    <w:rsid w:val="6BFF0A82"/>
    <w:rsid w:val="6C046B2A"/>
    <w:rsid w:val="6C5C2368"/>
    <w:rsid w:val="6C9974B0"/>
    <w:rsid w:val="6D06067F"/>
    <w:rsid w:val="6D396CA7"/>
    <w:rsid w:val="6D3A5127"/>
    <w:rsid w:val="6E0F5663"/>
    <w:rsid w:val="6EBD7FFE"/>
    <w:rsid w:val="6EBF1B48"/>
    <w:rsid w:val="6EC13E25"/>
    <w:rsid w:val="6EC1476E"/>
    <w:rsid w:val="6ED554AF"/>
    <w:rsid w:val="6EFE2BE8"/>
    <w:rsid w:val="6F321C00"/>
    <w:rsid w:val="6F6C697E"/>
    <w:rsid w:val="6F96218E"/>
    <w:rsid w:val="6FD45398"/>
    <w:rsid w:val="702E686B"/>
    <w:rsid w:val="70932120"/>
    <w:rsid w:val="70CD5F26"/>
    <w:rsid w:val="715C2F1C"/>
    <w:rsid w:val="71A30B93"/>
    <w:rsid w:val="71C31377"/>
    <w:rsid w:val="71E74047"/>
    <w:rsid w:val="71FB452B"/>
    <w:rsid w:val="71FC02A3"/>
    <w:rsid w:val="7205398F"/>
    <w:rsid w:val="72623B06"/>
    <w:rsid w:val="72AE792D"/>
    <w:rsid w:val="72CD33C4"/>
    <w:rsid w:val="733E54EC"/>
    <w:rsid w:val="736C43E3"/>
    <w:rsid w:val="73AA3571"/>
    <w:rsid w:val="73BC5AD9"/>
    <w:rsid w:val="73D85E91"/>
    <w:rsid w:val="73E53D74"/>
    <w:rsid w:val="74033B6B"/>
    <w:rsid w:val="74110714"/>
    <w:rsid w:val="742F0E63"/>
    <w:rsid w:val="7453751A"/>
    <w:rsid w:val="746453A7"/>
    <w:rsid w:val="74C0380A"/>
    <w:rsid w:val="74D55507"/>
    <w:rsid w:val="75DF4873"/>
    <w:rsid w:val="76013066"/>
    <w:rsid w:val="76013836"/>
    <w:rsid w:val="764D1C01"/>
    <w:rsid w:val="76813BAB"/>
    <w:rsid w:val="76EE0B02"/>
    <w:rsid w:val="77400CB2"/>
    <w:rsid w:val="77401EC1"/>
    <w:rsid w:val="77455630"/>
    <w:rsid w:val="77686F5C"/>
    <w:rsid w:val="77A40E96"/>
    <w:rsid w:val="77D870BC"/>
    <w:rsid w:val="786A5B72"/>
    <w:rsid w:val="78803BC5"/>
    <w:rsid w:val="78CA23D8"/>
    <w:rsid w:val="78DC2BF2"/>
    <w:rsid w:val="793B59A2"/>
    <w:rsid w:val="7A0C4A94"/>
    <w:rsid w:val="7AB61937"/>
    <w:rsid w:val="7B99300E"/>
    <w:rsid w:val="7BA07EF1"/>
    <w:rsid w:val="7BCF57C7"/>
    <w:rsid w:val="7BE401C5"/>
    <w:rsid w:val="7BF3506E"/>
    <w:rsid w:val="7C336426"/>
    <w:rsid w:val="7C6155D7"/>
    <w:rsid w:val="7D046393"/>
    <w:rsid w:val="7DB1356C"/>
    <w:rsid w:val="7E146EA1"/>
    <w:rsid w:val="7E5A0480"/>
    <w:rsid w:val="7EE33B7E"/>
    <w:rsid w:val="7F190573"/>
    <w:rsid w:val="7F384243"/>
    <w:rsid w:val="7F6F3703"/>
    <w:rsid w:val="7F870749"/>
    <w:rsid w:val="7FF80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2"/>
    <w:link w:val="56"/>
    <w:autoRedefine/>
    <w:qFormat/>
    <w:uiPriority w:val="0"/>
    <w:pPr>
      <w:spacing w:before="100" w:beforeAutospacing="1" w:after="100" w:afterAutospacing="1"/>
      <w:outlineLvl w:val="1"/>
    </w:pPr>
    <w:rPr>
      <w:rFonts w:ascii="宋体" w:hAnsi="宋体"/>
      <w:b/>
      <w:bCs/>
      <w:kern w:val="0"/>
      <w:sz w:val="36"/>
      <w:szCs w:val="36"/>
    </w:rPr>
  </w:style>
  <w:style w:type="paragraph" w:styleId="2">
    <w:name w:val="heading 3"/>
    <w:basedOn w:val="3"/>
    <w:next w:val="1"/>
    <w:autoRedefine/>
    <w:qFormat/>
    <w:uiPriority w:val="0"/>
    <w:pPr>
      <w:keepNext/>
      <w:keepLines/>
      <w:spacing w:before="260" w:after="260" w:line="415" w:lineRule="auto"/>
      <w:outlineLvl w:val="2"/>
    </w:pPr>
    <w:rPr>
      <w:sz w:val="32"/>
      <w:szCs w:val="32"/>
    </w:rPr>
  </w:style>
  <w:style w:type="paragraph" w:styleId="5">
    <w:name w:val="heading 4"/>
    <w:basedOn w:val="1"/>
    <w:next w:val="1"/>
    <w:link w:val="190"/>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8">
    <w:name w:val="index 8"/>
    <w:basedOn w:val="1"/>
    <w:next w:val="1"/>
    <w:autoRedefine/>
    <w:qFormat/>
    <w:uiPriority w:val="0"/>
    <w:pPr>
      <w:ind w:left="1680" w:hanging="210"/>
    </w:pPr>
    <w:rPr>
      <w:rFonts w:ascii="Calibri" w:hAnsi="Calibri"/>
      <w:sz w:val="20"/>
      <w:szCs w:val="20"/>
    </w:rPr>
  </w:style>
  <w:style w:type="paragraph" w:styleId="9">
    <w:name w:val="Normal Indent"/>
    <w:basedOn w:val="1"/>
    <w:autoRedefine/>
    <w:qFormat/>
    <w:uiPriority w:val="0"/>
    <w:pPr>
      <w:widowControl w:val="0"/>
      <w:snapToGrid w:val="0"/>
      <w:spacing w:line="520" w:lineRule="atLeast"/>
      <w:ind w:firstLine="420" w:firstLineChars="200"/>
      <w:jc w:val="both"/>
    </w:pPr>
    <w:rPr>
      <w:sz w:val="28"/>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index 5"/>
    <w:basedOn w:val="1"/>
    <w:next w:val="1"/>
    <w:autoRedefine/>
    <w:qFormat/>
    <w:uiPriority w:val="0"/>
    <w:pPr>
      <w:ind w:left="1050" w:hanging="210"/>
    </w:pPr>
    <w:rPr>
      <w:rFonts w:ascii="Calibri" w:hAnsi="Calibri"/>
      <w:sz w:val="20"/>
      <w:szCs w:val="20"/>
    </w:rPr>
  </w:style>
  <w:style w:type="paragraph" w:styleId="12">
    <w:name w:val="Document Map"/>
    <w:basedOn w:val="1"/>
    <w:link w:val="175"/>
    <w:autoRedefine/>
    <w:semiHidden/>
    <w:qFormat/>
    <w:uiPriority w:val="0"/>
    <w:pPr>
      <w:shd w:val="clear" w:color="auto" w:fill="000080"/>
    </w:pPr>
    <w:rPr>
      <w:rFonts w:asciiTheme="minorHAnsi" w:hAnsiTheme="minorHAnsi" w:eastAsiaTheme="minorEastAsia" w:cstheme="minorBidi"/>
    </w:rPr>
  </w:style>
  <w:style w:type="paragraph" w:styleId="13">
    <w:name w:val="annotation text"/>
    <w:basedOn w:val="1"/>
    <w:link w:val="172"/>
    <w:autoRedefine/>
    <w:semiHidden/>
    <w:qFormat/>
    <w:uiPriority w:val="0"/>
    <w:rPr>
      <w:rFonts w:asciiTheme="minorHAnsi" w:hAnsiTheme="minorHAnsi" w:eastAsiaTheme="minorEastAsia" w:cstheme="minorBidi"/>
    </w:rPr>
  </w:style>
  <w:style w:type="paragraph" w:styleId="14">
    <w:name w:val="index 6"/>
    <w:basedOn w:val="1"/>
    <w:next w:val="1"/>
    <w:autoRedefine/>
    <w:qFormat/>
    <w:uiPriority w:val="0"/>
    <w:pPr>
      <w:ind w:left="1260" w:hanging="210"/>
    </w:pPr>
    <w:rPr>
      <w:rFonts w:ascii="Calibri" w:hAnsi="Calibri"/>
      <w:sz w:val="20"/>
      <w:szCs w:val="20"/>
    </w:rPr>
  </w:style>
  <w:style w:type="paragraph" w:styleId="15">
    <w:name w:val="Body Text 3"/>
    <w:basedOn w:val="1"/>
    <w:link w:val="183"/>
    <w:autoRedefine/>
    <w:semiHidden/>
    <w:unhideWhenUsed/>
    <w:qFormat/>
    <w:uiPriority w:val="99"/>
    <w:pPr>
      <w:spacing w:after="120"/>
    </w:pPr>
    <w:rPr>
      <w:sz w:val="16"/>
      <w:szCs w:val="16"/>
    </w:rPr>
  </w:style>
  <w:style w:type="paragraph" w:styleId="16">
    <w:name w:val="Body Text"/>
    <w:basedOn w:val="1"/>
    <w:next w:val="17"/>
    <w:link w:val="188"/>
    <w:autoRedefine/>
    <w:semiHidden/>
    <w:unhideWhenUsed/>
    <w:qFormat/>
    <w:uiPriority w:val="99"/>
    <w:pPr>
      <w:spacing w:after="120"/>
    </w:pPr>
  </w:style>
  <w:style w:type="paragraph" w:customStyle="1" w:styleId="17">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8">
    <w:name w:val="Body Text Indent"/>
    <w:basedOn w:val="1"/>
    <w:next w:val="19"/>
    <w:autoRedefine/>
    <w:unhideWhenUsed/>
    <w:qFormat/>
    <w:uiPriority w:val="99"/>
    <w:pPr>
      <w:spacing w:after="120"/>
      <w:ind w:left="420" w:leftChars="200"/>
    </w:pPr>
  </w:style>
  <w:style w:type="paragraph" w:styleId="19">
    <w:name w:val="Body Text Indent 2"/>
    <w:basedOn w:val="1"/>
    <w:next w:val="20"/>
    <w:link w:val="164"/>
    <w:autoRedefine/>
    <w:qFormat/>
    <w:uiPriority w:val="99"/>
    <w:pPr>
      <w:spacing w:after="120" w:line="480" w:lineRule="auto"/>
      <w:ind w:left="420" w:leftChars="200"/>
    </w:pPr>
    <w:rPr>
      <w:rFonts w:asciiTheme="minorHAnsi" w:hAnsiTheme="minorHAnsi" w:eastAsiaTheme="minorEastAsia" w:cstheme="minorBidi"/>
    </w:rPr>
  </w:style>
  <w:style w:type="paragraph" w:styleId="20">
    <w:name w:val="header"/>
    <w:basedOn w:val="1"/>
    <w:next w:val="21"/>
    <w:link w:val="153"/>
    <w:autoRedefine/>
    <w:qFormat/>
    <w:uiPriority w:val="99"/>
    <w:pPr>
      <w:snapToGrid w:val="0"/>
    </w:pPr>
    <w:rPr>
      <w:rFonts w:asciiTheme="minorHAnsi" w:hAnsiTheme="minorHAnsi" w:eastAsiaTheme="minorEastAsia" w:cstheme="minorBidi"/>
      <w:sz w:val="18"/>
      <w:szCs w:val="18"/>
    </w:rPr>
  </w:style>
  <w:style w:type="paragraph" w:styleId="21">
    <w:name w:val="footer"/>
    <w:basedOn w:val="1"/>
    <w:link w:val="171"/>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2">
    <w:name w:val="index 4"/>
    <w:basedOn w:val="1"/>
    <w:next w:val="1"/>
    <w:autoRedefine/>
    <w:qFormat/>
    <w:uiPriority w:val="0"/>
    <w:pPr>
      <w:ind w:left="840" w:hanging="210"/>
    </w:pPr>
    <w:rPr>
      <w:rFonts w:ascii="Calibri" w:hAnsi="Calibri"/>
      <w:sz w:val="20"/>
      <w:szCs w:val="20"/>
    </w:rPr>
  </w:style>
  <w:style w:type="paragraph" w:styleId="23">
    <w:name w:val="Plain Text"/>
    <w:basedOn w:val="1"/>
    <w:link w:val="186"/>
    <w:autoRedefine/>
    <w:unhideWhenUsed/>
    <w:qFormat/>
    <w:uiPriority w:val="99"/>
    <w:pPr>
      <w:widowControl w:val="0"/>
      <w:spacing w:line="240" w:lineRule="auto"/>
      <w:jc w:val="both"/>
    </w:pPr>
    <w:rPr>
      <w:rFonts w:ascii="宋体" w:hAnsi="Courier New" w:cs="Courier New"/>
      <w:szCs w:val="21"/>
    </w:rPr>
  </w:style>
  <w:style w:type="paragraph" w:styleId="24">
    <w:name w:val="index 3"/>
    <w:basedOn w:val="1"/>
    <w:next w:val="1"/>
    <w:autoRedefine/>
    <w:qFormat/>
    <w:uiPriority w:val="0"/>
    <w:pPr>
      <w:ind w:left="630" w:hanging="210"/>
    </w:pPr>
    <w:rPr>
      <w:rFonts w:ascii="Calibri" w:hAnsi="Calibri"/>
      <w:sz w:val="20"/>
      <w:szCs w:val="20"/>
    </w:rPr>
  </w:style>
  <w:style w:type="paragraph" w:styleId="25">
    <w:name w:val="Date"/>
    <w:basedOn w:val="1"/>
    <w:next w:val="1"/>
    <w:link w:val="174"/>
    <w:autoRedefine/>
    <w:qFormat/>
    <w:uiPriority w:val="99"/>
    <w:pPr>
      <w:ind w:left="100" w:leftChars="2500"/>
    </w:pPr>
    <w:rPr>
      <w:rFonts w:asciiTheme="minorHAnsi" w:hAnsiTheme="minorHAnsi" w:eastAsiaTheme="minorEastAsia" w:cstheme="minorBidi"/>
    </w:rPr>
  </w:style>
  <w:style w:type="paragraph" w:styleId="26">
    <w:name w:val="endnote text"/>
    <w:basedOn w:val="1"/>
    <w:link w:val="181"/>
    <w:autoRedefine/>
    <w:semiHidden/>
    <w:qFormat/>
    <w:uiPriority w:val="0"/>
    <w:pPr>
      <w:snapToGrid w:val="0"/>
    </w:pPr>
    <w:rPr>
      <w:rFonts w:asciiTheme="minorHAnsi" w:hAnsiTheme="minorHAnsi" w:eastAsiaTheme="minorEastAsia" w:cstheme="minorBidi"/>
    </w:rPr>
  </w:style>
  <w:style w:type="paragraph" w:styleId="27">
    <w:name w:val="Balloon Text"/>
    <w:basedOn w:val="1"/>
    <w:link w:val="150"/>
    <w:autoRedefine/>
    <w:qFormat/>
    <w:uiPriority w:val="99"/>
    <w:rPr>
      <w:rFonts w:asciiTheme="minorHAnsi" w:hAnsiTheme="minorHAnsi" w:eastAsiaTheme="minorEastAsia" w:cstheme="minorBidi"/>
      <w:sz w:val="18"/>
      <w:szCs w:val="18"/>
    </w:rPr>
  </w:style>
  <w:style w:type="paragraph" w:styleId="28">
    <w:name w:val="toc 1"/>
    <w:basedOn w:val="1"/>
    <w:next w:val="1"/>
    <w:autoRedefine/>
    <w:semiHidden/>
    <w:qFormat/>
    <w:uiPriority w:val="0"/>
    <w:pPr>
      <w:tabs>
        <w:tab w:val="right" w:leader="dot" w:pos="9242"/>
      </w:tabs>
      <w:spacing w:beforeLines="25" w:afterLines="25"/>
    </w:pPr>
    <w:rPr>
      <w:rFonts w:ascii="宋体"/>
      <w:szCs w:val="21"/>
    </w:rPr>
  </w:style>
  <w:style w:type="paragraph" w:styleId="29">
    <w:name w:val="index heading"/>
    <w:basedOn w:val="1"/>
    <w:next w:val="30"/>
    <w:autoRedefine/>
    <w:qFormat/>
    <w:uiPriority w:val="0"/>
    <w:pPr>
      <w:spacing w:before="120" w:after="120"/>
      <w:jc w:val="center"/>
    </w:pPr>
    <w:rPr>
      <w:rFonts w:ascii="Calibri" w:hAnsi="Calibri"/>
      <w:b/>
      <w:bCs/>
      <w:iCs/>
      <w:szCs w:val="20"/>
    </w:rPr>
  </w:style>
  <w:style w:type="paragraph" w:styleId="30">
    <w:name w:val="index 1"/>
    <w:basedOn w:val="1"/>
    <w:next w:val="1"/>
    <w:autoRedefine/>
    <w:unhideWhenUsed/>
    <w:qFormat/>
    <w:uiPriority w:val="0"/>
  </w:style>
  <w:style w:type="paragraph" w:styleId="31">
    <w:name w:val="footnote text"/>
    <w:basedOn w:val="1"/>
    <w:link w:val="160"/>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32">
    <w:name w:val="index 7"/>
    <w:basedOn w:val="1"/>
    <w:next w:val="1"/>
    <w:autoRedefine/>
    <w:qFormat/>
    <w:uiPriority w:val="0"/>
    <w:pPr>
      <w:ind w:left="1470" w:hanging="210"/>
    </w:pPr>
    <w:rPr>
      <w:rFonts w:ascii="Calibri" w:hAnsi="Calibri"/>
      <w:sz w:val="20"/>
      <w:szCs w:val="20"/>
    </w:rPr>
  </w:style>
  <w:style w:type="paragraph" w:styleId="33">
    <w:name w:val="index 9"/>
    <w:basedOn w:val="1"/>
    <w:next w:val="1"/>
    <w:autoRedefine/>
    <w:qFormat/>
    <w:uiPriority w:val="0"/>
    <w:pPr>
      <w:ind w:left="1890" w:hanging="210"/>
    </w:pPr>
    <w:rPr>
      <w:rFonts w:ascii="Calibri" w:hAnsi="Calibri"/>
      <w:sz w:val="20"/>
      <w:szCs w:val="20"/>
    </w:rPr>
  </w:style>
  <w:style w:type="paragraph" w:styleId="34">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5">
    <w:name w:val="Body Text 2"/>
    <w:basedOn w:val="1"/>
    <w:autoRedefine/>
    <w:qFormat/>
    <w:uiPriority w:val="0"/>
    <w:rPr>
      <w:bCs/>
      <w:kern w:val="0"/>
      <w:sz w:val="28"/>
      <w:szCs w:val="20"/>
    </w:rPr>
  </w:style>
  <w:style w:type="paragraph" w:styleId="36">
    <w:name w:val="HTML Preformatted"/>
    <w:basedOn w:val="1"/>
    <w:link w:val="158"/>
    <w:autoRedefine/>
    <w:qFormat/>
    <w:uiPriority w:val="0"/>
    <w:rPr>
      <w:rFonts w:ascii="Courier New" w:hAnsi="Courier New" w:cs="Courier New" w:eastAsiaTheme="minorEastAsia"/>
      <w:szCs w:val="22"/>
    </w:rPr>
  </w:style>
  <w:style w:type="paragraph" w:styleId="37">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8">
    <w:name w:val="index 2"/>
    <w:basedOn w:val="1"/>
    <w:next w:val="1"/>
    <w:autoRedefine/>
    <w:qFormat/>
    <w:uiPriority w:val="0"/>
    <w:pPr>
      <w:ind w:left="420" w:hanging="210"/>
    </w:pPr>
    <w:rPr>
      <w:rFonts w:ascii="Calibri" w:hAnsi="Calibri"/>
      <w:sz w:val="20"/>
      <w:szCs w:val="20"/>
    </w:rPr>
  </w:style>
  <w:style w:type="paragraph" w:styleId="39">
    <w:name w:val="Title"/>
    <w:basedOn w:val="1"/>
    <w:link w:val="184"/>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3"/>
    <w:next w:val="13"/>
    <w:link w:val="180"/>
    <w:autoRedefine/>
    <w:semiHidden/>
    <w:qFormat/>
    <w:uiPriority w:val="0"/>
    <w:rPr>
      <w:b/>
      <w:bCs/>
    </w:rPr>
  </w:style>
  <w:style w:type="paragraph" w:styleId="41">
    <w:name w:val="Body Text First Indent"/>
    <w:basedOn w:val="16"/>
    <w:autoRedefine/>
    <w:qFormat/>
    <w:uiPriority w:val="0"/>
    <w:pPr>
      <w:autoSpaceDE w:val="0"/>
      <w:autoSpaceDN w:val="0"/>
      <w:adjustRightInd w:val="0"/>
      <w:ind w:firstLine="420"/>
      <w:textAlignment w:val="baseline"/>
    </w:pPr>
    <w:rPr>
      <w:rFonts w:ascii="宋体"/>
      <w:sz w:val="34"/>
    </w:rPr>
  </w:style>
  <w:style w:type="paragraph" w:styleId="42">
    <w:name w:val="Body Text First Indent 2"/>
    <w:basedOn w:val="18"/>
    <w:next w:val="9"/>
    <w:autoRedefine/>
    <w:qFormat/>
    <w:uiPriority w:val="0"/>
    <w:pPr>
      <w:ind w:firstLine="420" w:firstLineChars="200"/>
    </w:pPr>
  </w:style>
  <w:style w:type="table" w:styleId="44">
    <w:name w:val="Table Grid"/>
    <w:basedOn w:val="4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autoRedefine/>
    <w:qFormat/>
    <w:uiPriority w:val="22"/>
    <w:rPr>
      <w:b/>
      <w:bCs/>
    </w:rPr>
  </w:style>
  <w:style w:type="character" w:styleId="47">
    <w:name w:val="page number"/>
    <w:autoRedefine/>
    <w:qFormat/>
    <w:uiPriority w:val="99"/>
    <w:rPr>
      <w:rFonts w:ascii="Times New Roman" w:hAnsi="Times New Roman" w:eastAsia="宋体"/>
      <w:sz w:val="18"/>
    </w:rPr>
  </w:style>
  <w:style w:type="character" w:styleId="48">
    <w:name w:val="FollowedHyperlink"/>
    <w:autoRedefine/>
    <w:qFormat/>
    <w:uiPriority w:val="0"/>
    <w:rPr>
      <w:color w:val="800080"/>
      <w:u w:val="single"/>
    </w:rPr>
  </w:style>
  <w:style w:type="character" w:styleId="49">
    <w:name w:val="Emphasis"/>
    <w:autoRedefine/>
    <w:qFormat/>
    <w:uiPriority w:val="20"/>
    <w:rPr>
      <w:color w:val="CC0000"/>
    </w:rPr>
  </w:style>
  <w:style w:type="character" w:styleId="50">
    <w:name w:val="Hyperlink"/>
    <w:autoRedefine/>
    <w:qFormat/>
    <w:uiPriority w:val="99"/>
    <w:rPr>
      <w:color w:val="0000FF"/>
      <w:spacing w:val="0"/>
      <w:w w:val="100"/>
      <w:szCs w:val="21"/>
      <w:u w:val="single"/>
      <w:lang w:val="en-US" w:eastAsia="zh-CN"/>
    </w:rPr>
  </w:style>
  <w:style w:type="character" w:styleId="51">
    <w:name w:val="annotation reference"/>
    <w:basedOn w:val="45"/>
    <w:autoRedefine/>
    <w:semiHidden/>
    <w:unhideWhenUsed/>
    <w:qFormat/>
    <w:uiPriority w:val="0"/>
    <w:rPr>
      <w:sz w:val="21"/>
      <w:szCs w:val="21"/>
    </w:rPr>
  </w:style>
  <w:style w:type="character" w:styleId="52">
    <w:name w:val="footnote reference"/>
    <w:autoRedefine/>
    <w:qFormat/>
    <w:uiPriority w:val="0"/>
    <w:rPr>
      <w:vertAlign w:val="superscript"/>
    </w:rPr>
  </w:style>
  <w:style w:type="paragraph" w:customStyle="1" w:styleId="53">
    <w:name w:val="Body Text Indent 21"/>
    <w:basedOn w:val="1"/>
    <w:next w:val="20"/>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customStyle="1" w:styleId="54">
    <w:name w:val="列出段落1"/>
    <w:basedOn w:val="1"/>
    <w:autoRedefine/>
    <w:qFormat/>
    <w:uiPriority w:val="0"/>
    <w:pPr>
      <w:widowControl w:val="0"/>
      <w:spacing w:line="240" w:lineRule="auto"/>
      <w:ind w:firstLine="420" w:firstLineChars="200"/>
      <w:jc w:val="both"/>
    </w:pPr>
    <w:rPr>
      <w:rFonts w:ascii="Calibri" w:hAnsi="Calibri"/>
      <w:szCs w:val="22"/>
    </w:rPr>
  </w:style>
  <w:style w:type="character" w:customStyle="1" w:styleId="55">
    <w:name w:val="标题 1 Char"/>
    <w:basedOn w:val="45"/>
    <w:link w:val="4"/>
    <w:autoRedefine/>
    <w:qFormat/>
    <w:uiPriority w:val="0"/>
    <w:rPr>
      <w:rFonts w:ascii="Times New Roman" w:hAnsi="Times New Roman" w:eastAsia="宋体" w:cs="Times New Roman"/>
      <w:b/>
      <w:bCs/>
      <w:kern w:val="44"/>
      <w:sz w:val="44"/>
      <w:szCs w:val="44"/>
    </w:rPr>
  </w:style>
  <w:style w:type="character" w:customStyle="1" w:styleId="56">
    <w:name w:val="标题 2 Char"/>
    <w:basedOn w:val="45"/>
    <w:link w:val="3"/>
    <w:autoRedefine/>
    <w:qFormat/>
    <w:uiPriority w:val="0"/>
    <w:rPr>
      <w:rFonts w:ascii="宋体" w:hAnsi="宋体" w:eastAsia="宋体" w:cs="Times New Roman"/>
      <w:b/>
      <w:bCs/>
      <w:kern w:val="0"/>
      <w:sz w:val="36"/>
      <w:szCs w:val="36"/>
    </w:rPr>
  </w:style>
  <w:style w:type="character" w:customStyle="1" w:styleId="57">
    <w:name w:val="批注文字 Char"/>
    <w:autoRedefine/>
    <w:semiHidden/>
    <w:qFormat/>
    <w:uiPriority w:val="0"/>
    <w:rPr>
      <w:szCs w:val="24"/>
    </w:rPr>
  </w:style>
  <w:style w:type="character" w:customStyle="1" w:styleId="58">
    <w:name w:val="批注主题 Char"/>
    <w:autoRedefine/>
    <w:semiHidden/>
    <w:qFormat/>
    <w:uiPriority w:val="0"/>
    <w:rPr>
      <w:b/>
      <w:bCs/>
      <w:szCs w:val="24"/>
    </w:rPr>
  </w:style>
  <w:style w:type="character" w:customStyle="1" w:styleId="59">
    <w:name w:val="文档结构图 Char"/>
    <w:autoRedefine/>
    <w:semiHidden/>
    <w:qFormat/>
    <w:uiPriority w:val="0"/>
    <w:rPr>
      <w:szCs w:val="24"/>
      <w:shd w:val="clear" w:color="auto" w:fill="000080"/>
    </w:rPr>
  </w:style>
  <w:style w:type="character" w:customStyle="1" w:styleId="60">
    <w:name w:val="脚注文本 Char"/>
    <w:autoRedefine/>
    <w:qFormat/>
    <w:uiPriority w:val="0"/>
    <w:rPr>
      <w:rFonts w:ascii="宋体"/>
      <w:sz w:val="18"/>
      <w:szCs w:val="18"/>
    </w:rPr>
  </w:style>
  <w:style w:type="character" w:customStyle="1" w:styleId="61">
    <w:name w:val="con"/>
    <w:autoRedefine/>
    <w:qFormat/>
    <w:uiPriority w:val="0"/>
  </w:style>
  <w:style w:type="character" w:customStyle="1" w:styleId="62">
    <w:name w:val="bar-label2"/>
    <w:autoRedefine/>
    <w:qFormat/>
    <w:uiPriority w:val="99"/>
  </w:style>
  <w:style w:type="character" w:customStyle="1" w:styleId="63">
    <w:name w:val="正文文本缩进 2 Char"/>
    <w:autoRedefine/>
    <w:qFormat/>
    <w:uiPriority w:val="99"/>
    <w:rPr>
      <w:szCs w:val="24"/>
    </w:rPr>
  </w:style>
  <w:style w:type="character" w:customStyle="1" w:styleId="64">
    <w:name w:val="日期 Char"/>
    <w:autoRedefine/>
    <w:qFormat/>
    <w:uiPriority w:val="99"/>
    <w:rPr>
      <w:szCs w:val="24"/>
    </w:rPr>
  </w:style>
  <w:style w:type="character" w:customStyle="1" w:styleId="65">
    <w:name w:val="页脚 Char"/>
    <w:autoRedefine/>
    <w:qFormat/>
    <w:locked/>
    <w:uiPriority w:val="99"/>
    <w:rPr>
      <w:sz w:val="18"/>
      <w:szCs w:val="18"/>
    </w:rPr>
  </w:style>
  <w:style w:type="character" w:customStyle="1" w:styleId="66">
    <w:name w:val="apple-converted-space"/>
    <w:basedOn w:val="45"/>
    <w:autoRedefine/>
    <w:qFormat/>
    <w:uiPriority w:val="0"/>
  </w:style>
  <w:style w:type="character" w:customStyle="1" w:styleId="67">
    <w:name w:val="批注框文本 Char"/>
    <w:autoRedefine/>
    <w:qFormat/>
    <w:uiPriority w:val="99"/>
    <w:rPr>
      <w:sz w:val="18"/>
      <w:szCs w:val="18"/>
    </w:rPr>
  </w:style>
  <w:style w:type="character" w:customStyle="1" w:styleId="68">
    <w:name w:val="页眉 Char"/>
    <w:autoRedefine/>
    <w:qFormat/>
    <w:locked/>
    <w:uiPriority w:val="99"/>
    <w:rPr>
      <w:sz w:val="18"/>
      <w:szCs w:val="18"/>
    </w:rPr>
  </w:style>
  <w:style w:type="character" w:customStyle="1" w:styleId="69">
    <w:name w:val="首示例 Char"/>
    <w:link w:val="70"/>
    <w:autoRedefine/>
    <w:qFormat/>
    <w:uiPriority w:val="0"/>
    <w:rPr>
      <w:rFonts w:ascii="宋体" w:hAnsi="宋体"/>
      <w:sz w:val="18"/>
      <w:szCs w:val="18"/>
    </w:rPr>
  </w:style>
  <w:style w:type="paragraph" w:customStyle="1" w:styleId="70">
    <w:name w:val="首示例"/>
    <w:next w:val="71"/>
    <w:link w:val="69"/>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1">
    <w:name w:val="段"/>
    <w:link w:val="72"/>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2">
    <w:name w:val="段 Char"/>
    <w:link w:val="71"/>
    <w:autoRedefine/>
    <w:qFormat/>
    <w:uiPriority w:val="0"/>
    <w:rPr>
      <w:rFonts w:ascii="宋体"/>
    </w:rPr>
  </w:style>
  <w:style w:type="character" w:customStyle="1" w:styleId="73">
    <w:name w:val="附录公式 Char"/>
    <w:basedOn w:val="72"/>
    <w:link w:val="74"/>
    <w:autoRedefine/>
    <w:qFormat/>
    <w:uiPriority w:val="0"/>
    <w:rPr>
      <w:rFonts w:ascii="宋体"/>
    </w:rPr>
  </w:style>
  <w:style w:type="paragraph" w:customStyle="1" w:styleId="74">
    <w:name w:val="附录公式"/>
    <w:basedOn w:val="71"/>
    <w:next w:val="71"/>
    <w:link w:val="73"/>
    <w:autoRedefine/>
    <w:qFormat/>
    <w:uiPriority w:val="0"/>
  </w:style>
  <w:style w:type="character" w:customStyle="1" w:styleId="75">
    <w:name w:val="发布"/>
    <w:autoRedefine/>
    <w:qFormat/>
    <w:uiPriority w:val="0"/>
    <w:rPr>
      <w:rFonts w:ascii="黑体" w:eastAsia="黑体"/>
      <w:spacing w:val="85"/>
      <w:w w:val="100"/>
      <w:position w:val="3"/>
      <w:sz w:val="28"/>
      <w:szCs w:val="28"/>
    </w:rPr>
  </w:style>
  <w:style w:type="character" w:customStyle="1" w:styleId="76">
    <w:name w:val="一级条标题 Char"/>
    <w:link w:val="77"/>
    <w:autoRedefine/>
    <w:qFormat/>
    <w:uiPriority w:val="0"/>
    <w:rPr>
      <w:rFonts w:ascii="黑体" w:eastAsia="黑体"/>
      <w:szCs w:val="21"/>
    </w:rPr>
  </w:style>
  <w:style w:type="paragraph" w:customStyle="1" w:styleId="77">
    <w:name w:val="一级条标题"/>
    <w:next w:val="71"/>
    <w:link w:val="76"/>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8">
    <w:name w:val="HTML 预设格式 Char"/>
    <w:autoRedefine/>
    <w:qFormat/>
    <w:uiPriority w:val="0"/>
    <w:rPr>
      <w:rFonts w:ascii="Courier New" w:hAnsi="Courier New" w:cs="Courier New"/>
    </w:rPr>
  </w:style>
  <w:style w:type="character" w:customStyle="1" w:styleId="79">
    <w:name w:val="尾注文本 Char"/>
    <w:autoRedefine/>
    <w:semiHidden/>
    <w:qFormat/>
    <w:uiPriority w:val="0"/>
    <w:rPr>
      <w:szCs w:val="24"/>
    </w:rPr>
  </w:style>
  <w:style w:type="paragraph" w:customStyle="1" w:styleId="80">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81">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82">
    <w:name w:val="List Paragraph"/>
    <w:basedOn w:val="1"/>
    <w:autoRedefine/>
    <w:qFormat/>
    <w:uiPriority w:val="34"/>
    <w:pPr>
      <w:ind w:firstLine="420" w:firstLineChars="200"/>
    </w:pPr>
    <w:rPr>
      <w:rFonts w:ascii="宋体" w:hAnsi="宋体" w:cs="宋体"/>
      <w:kern w:val="0"/>
      <w:sz w:val="24"/>
    </w:rPr>
  </w:style>
  <w:style w:type="paragraph" w:customStyle="1" w:styleId="83">
    <w:name w:val="封面一致性程度标识2"/>
    <w:basedOn w:val="84"/>
    <w:autoRedefine/>
    <w:qFormat/>
    <w:uiPriority w:val="0"/>
    <w:pPr>
      <w:framePr w:wrap="around" w:y="4469"/>
    </w:pPr>
  </w:style>
  <w:style w:type="paragraph" w:customStyle="1" w:styleId="84">
    <w:name w:val="封面一致性程度标识"/>
    <w:basedOn w:val="85"/>
    <w:autoRedefine/>
    <w:qFormat/>
    <w:uiPriority w:val="0"/>
    <w:pPr>
      <w:framePr w:wrap="around"/>
      <w:spacing w:before="440"/>
    </w:pPr>
    <w:rPr>
      <w:rFonts w:ascii="宋体" w:eastAsia="宋体"/>
    </w:rPr>
  </w:style>
  <w:style w:type="paragraph" w:customStyle="1" w:styleId="85">
    <w:name w:val="封面标准英文名称"/>
    <w:basedOn w:val="86"/>
    <w:autoRedefine/>
    <w:qFormat/>
    <w:uiPriority w:val="0"/>
    <w:pPr>
      <w:framePr w:wrap="around"/>
      <w:spacing w:before="370" w:line="400" w:lineRule="exact"/>
    </w:pPr>
    <w:rPr>
      <w:rFonts w:ascii="Times New Roman"/>
      <w:sz w:val="28"/>
      <w:szCs w:val="28"/>
    </w:rPr>
  </w:style>
  <w:style w:type="paragraph" w:customStyle="1" w:styleId="8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封面标准英文名称2"/>
    <w:basedOn w:val="85"/>
    <w:autoRedefine/>
    <w:qFormat/>
    <w:uiPriority w:val="0"/>
    <w:pPr>
      <w:framePr w:wrap="around" w:y="4469"/>
    </w:pPr>
  </w:style>
  <w:style w:type="paragraph" w:customStyle="1" w:styleId="88">
    <w:name w:val="其他发布日期"/>
    <w:basedOn w:val="89"/>
    <w:autoRedefine/>
    <w:qFormat/>
    <w:uiPriority w:val="0"/>
    <w:pPr>
      <w:framePr w:wrap="around" w:vAnchor="page" w:hAnchor="text" w:x="1419"/>
    </w:pPr>
  </w:style>
  <w:style w:type="paragraph" w:customStyle="1" w:styleId="89">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90">
    <w:name w:val="正文公式编号制表符"/>
    <w:basedOn w:val="71"/>
    <w:next w:val="71"/>
    <w:autoRedefine/>
    <w:qFormat/>
    <w:uiPriority w:val="0"/>
    <w:pPr>
      <w:ind w:firstLine="0" w:firstLineChars="0"/>
    </w:pPr>
  </w:style>
  <w:style w:type="paragraph" w:customStyle="1" w:styleId="91">
    <w:name w:val="正文表标题"/>
    <w:next w:val="71"/>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2">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3">
    <w:name w:val="一级无"/>
    <w:basedOn w:val="77"/>
    <w:autoRedefine/>
    <w:qFormat/>
    <w:uiPriority w:val="0"/>
  </w:style>
  <w:style w:type="paragraph" w:customStyle="1" w:styleId="94">
    <w:name w:val="图的脚注"/>
    <w:next w:val="71"/>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5">
    <w:name w:val="图标脚注说明"/>
    <w:basedOn w:val="71"/>
    <w:autoRedefine/>
    <w:qFormat/>
    <w:uiPriority w:val="0"/>
    <w:pPr>
      <w:ind w:left="840" w:hanging="420" w:firstLineChars="0"/>
    </w:pPr>
    <w:rPr>
      <w:sz w:val="18"/>
      <w:szCs w:val="18"/>
    </w:rPr>
  </w:style>
  <w:style w:type="paragraph" w:customStyle="1" w:styleId="96">
    <w:name w:val="示例后文字"/>
    <w:basedOn w:val="71"/>
    <w:next w:val="71"/>
    <w:autoRedefine/>
    <w:qFormat/>
    <w:uiPriority w:val="0"/>
    <w:pPr>
      <w:ind w:firstLine="360"/>
    </w:pPr>
    <w:rPr>
      <w:sz w:val="18"/>
    </w:rPr>
  </w:style>
  <w:style w:type="paragraph" w:customStyle="1" w:styleId="97">
    <w:name w:val="实施日期"/>
    <w:basedOn w:val="89"/>
    <w:autoRedefine/>
    <w:qFormat/>
    <w:uiPriority w:val="0"/>
    <w:pPr>
      <w:framePr w:wrap="around" w:vAnchor="page" w:hAnchor="text"/>
      <w:jc w:val="right"/>
    </w:pPr>
  </w:style>
  <w:style w:type="paragraph" w:customStyle="1" w:styleId="98">
    <w:name w:val="前言、引言标题"/>
    <w:next w:val="71"/>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9">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0">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1">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2">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3">
    <w:name w:val="条文脚注"/>
    <w:basedOn w:val="31"/>
    <w:autoRedefine/>
    <w:qFormat/>
    <w:uiPriority w:val="0"/>
    <w:pPr>
      <w:ind w:left="0" w:firstLine="0"/>
      <w:jc w:val="both"/>
    </w:pPr>
  </w:style>
  <w:style w:type="paragraph" w:customStyle="1" w:styleId="104">
    <w:name w:val="附录一级无"/>
    <w:basedOn w:val="105"/>
    <w:autoRedefine/>
    <w:qFormat/>
    <w:uiPriority w:val="0"/>
    <w:pPr>
      <w:tabs>
        <w:tab w:val="left" w:pos="360"/>
      </w:tabs>
      <w:spacing w:beforeLines="0" w:afterLines="0"/>
    </w:pPr>
    <w:rPr>
      <w:rFonts w:ascii="宋体" w:eastAsia="宋体"/>
      <w:szCs w:val="21"/>
    </w:rPr>
  </w:style>
  <w:style w:type="paragraph" w:customStyle="1" w:styleId="105">
    <w:name w:val="附录一级条标题"/>
    <w:basedOn w:val="106"/>
    <w:next w:val="71"/>
    <w:autoRedefine/>
    <w:qFormat/>
    <w:uiPriority w:val="0"/>
    <w:pPr>
      <w:tabs>
        <w:tab w:val="left" w:pos="360"/>
      </w:tabs>
      <w:autoSpaceDN w:val="0"/>
      <w:spacing w:beforeLines="50" w:afterLines="50"/>
      <w:outlineLvl w:val="2"/>
    </w:pPr>
  </w:style>
  <w:style w:type="paragraph" w:customStyle="1" w:styleId="106">
    <w:name w:val="附录章标题"/>
    <w:next w:val="71"/>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五级无"/>
    <w:basedOn w:val="108"/>
    <w:autoRedefine/>
    <w:qFormat/>
    <w:uiPriority w:val="0"/>
    <w:pPr>
      <w:tabs>
        <w:tab w:val="left" w:pos="360"/>
      </w:tabs>
      <w:spacing w:beforeLines="0" w:afterLines="0"/>
    </w:pPr>
    <w:rPr>
      <w:rFonts w:ascii="宋体" w:eastAsia="宋体"/>
      <w:szCs w:val="21"/>
    </w:rPr>
  </w:style>
  <w:style w:type="paragraph" w:customStyle="1" w:styleId="108">
    <w:name w:val="附录五级条标题"/>
    <w:basedOn w:val="109"/>
    <w:next w:val="71"/>
    <w:autoRedefine/>
    <w:qFormat/>
    <w:uiPriority w:val="0"/>
    <w:pPr>
      <w:tabs>
        <w:tab w:val="left" w:pos="360"/>
      </w:tabs>
      <w:outlineLvl w:val="6"/>
    </w:pPr>
  </w:style>
  <w:style w:type="paragraph" w:customStyle="1" w:styleId="109">
    <w:name w:val="附录四级条标题"/>
    <w:basedOn w:val="110"/>
    <w:next w:val="71"/>
    <w:autoRedefine/>
    <w:qFormat/>
    <w:uiPriority w:val="0"/>
    <w:pPr>
      <w:tabs>
        <w:tab w:val="left" w:pos="360"/>
      </w:tabs>
    </w:pPr>
  </w:style>
  <w:style w:type="paragraph" w:customStyle="1" w:styleId="110">
    <w:name w:val="附录三级条标题"/>
    <w:basedOn w:val="111"/>
    <w:next w:val="71"/>
    <w:autoRedefine/>
    <w:qFormat/>
    <w:uiPriority w:val="0"/>
    <w:pPr>
      <w:tabs>
        <w:tab w:val="left" w:pos="360"/>
      </w:tabs>
    </w:pPr>
  </w:style>
  <w:style w:type="paragraph" w:customStyle="1" w:styleId="111">
    <w:name w:val="附录二级条标题"/>
    <w:basedOn w:val="1"/>
    <w:next w:val="71"/>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2">
    <w:name w:val="附录图标题"/>
    <w:basedOn w:val="1"/>
    <w:next w:val="71"/>
    <w:autoRedefine/>
    <w:qFormat/>
    <w:uiPriority w:val="0"/>
    <w:pPr>
      <w:tabs>
        <w:tab w:val="left" w:pos="363"/>
      </w:tabs>
      <w:spacing w:beforeLines="50" w:afterLines="50"/>
      <w:jc w:val="center"/>
    </w:pPr>
    <w:rPr>
      <w:rFonts w:ascii="黑体" w:eastAsia="黑体"/>
      <w:szCs w:val="21"/>
    </w:rPr>
  </w:style>
  <w:style w:type="paragraph" w:customStyle="1" w:styleId="113">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4">
    <w:name w:val="附录四级无"/>
    <w:basedOn w:val="109"/>
    <w:autoRedefine/>
    <w:qFormat/>
    <w:uiPriority w:val="0"/>
    <w:pPr>
      <w:tabs>
        <w:tab w:val="clear" w:pos="360"/>
      </w:tabs>
      <w:spacing w:beforeLines="0" w:afterLines="0"/>
      <w:outlineLvl w:val="5"/>
    </w:pPr>
    <w:rPr>
      <w:rFonts w:ascii="宋体" w:eastAsia="宋体"/>
      <w:szCs w:val="21"/>
    </w:rPr>
  </w:style>
  <w:style w:type="paragraph" w:customStyle="1" w:styleId="115">
    <w:name w:val="附录三级无"/>
    <w:basedOn w:val="110"/>
    <w:autoRedefine/>
    <w:qFormat/>
    <w:uiPriority w:val="0"/>
  </w:style>
  <w:style w:type="paragraph" w:customStyle="1" w:styleId="116">
    <w:name w:val="注："/>
    <w:next w:val="71"/>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7">
    <w:name w:val="附录公式编号制表符"/>
    <w:basedOn w:val="1"/>
    <w:next w:val="71"/>
    <w:autoRedefine/>
    <w:qFormat/>
    <w:uiPriority w:val="0"/>
    <w:pPr>
      <w:tabs>
        <w:tab w:val="center" w:pos="4201"/>
        <w:tab w:val="right" w:leader="dot" w:pos="9298"/>
      </w:tabs>
      <w:autoSpaceDE w:val="0"/>
      <w:autoSpaceDN w:val="0"/>
    </w:pPr>
    <w:rPr>
      <w:rFonts w:ascii="宋体"/>
      <w:kern w:val="0"/>
      <w:szCs w:val="20"/>
    </w:rPr>
  </w:style>
  <w:style w:type="paragraph" w:customStyle="1" w:styleId="118">
    <w:name w:val="附录二级无"/>
    <w:basedOn w:val="111"/>
    <w:autoRedefine/>
    <w:qFormat/>
    <w:uiPriority w:val="0"/>
  </w:style>
  <w:style w:type="paragraph" w:customStyle="1" w:styleId="119">
    <w:name w:val="附录标题"/>
    <w:basedOn w:val="71"/>
    <w:next w:val="71"/>
    <w:autoRedefine/>
    <w:qFormat/>
    <w:uiPriority w:val="0"/>
    <w:pPr>
      <w:ind w:firstLine="0" w:firstLineChars="0"/>
      <w:jc w:val="center"/>
    </w:pPr>
    <w:rPr>
      <w:rFonts w:ascii="黑体" w:eastAsia="黑体"/>
    </w:rPr>
  </w:style>
  <w:style w:type="paragraph" w:customStyle="1" w:styleId="120">
    <w:name w:val="参考文献"/>
    <w:basedOn w:val="1"/>
    <w:next w:val="71"/>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1">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22">
    <w:name w:val="封面标准文稿类别"/>
    <w:basedOn w:val="84"/>
    <w:autoRedefine/>
    <w:qFormat/>
    <w:uiPriority w:val="0"/>
    <w:pPr>
      <w:framePr w:wrap="around"/>
      <w:spacing w:after="160" w:line="240" w:lineRule="auto"/>
    </w:pPr>
    <w:rPr>
      <w:sz w:val="24"/>
    </w:rPr>
  </w:style>
  <w:style w:type="paragraph" w:customStyle="1" w:styleId="123">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4">
    <w:name w:val="其他实施日期"/>
    <w:basedOn w:val="97"/>
    <w:autoRedefine/>
    <w:qFormat/>
    <w:uiPriority w:val="0"/>
    <w:pPr>
      <w:framePr w:wrap="around" w:vAnchor="margin" w:hAnchor="page"/>
    </w:pPr>
  </w:style>
  <w:style w:type="paragraph" w:customStyle="1" w:styleId="125">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6">
    <w:name w:val="发布部门"/>
    <w:next w:val="71"/>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7">
    <w:name w:val="注：（正文）"/>
    <w:basedOn w:val="116"/>
    <w:next w:val="71"/>
    <w:autoRedefine/>
    <w:qFormat/>
    <w:uiPriority w:val="0"/>
  </w:style>
  <w:style w:type="paragraph" w:customStyle="1" w:styleId="128">
    <w:name w:val="参考文献、索引标题"/>
    <w:basedOn w:val="1"/>
    <w:next w:val="71"/>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9">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0">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1">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2">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4">
    <w:name w:val="示例×："/>
    <w:basedOn w:val="135"/>
    <w:autoRedefine/>
    <w:qFormat/>
    <w:uiPriority w:val="0"/>
    <w:pPr>
      <w:spacing w:beforeLines="0" w:afterLines="0"/>
      <w:ind w:firstLine="363"/>
      <w:outlineLvl w:val="9"/>
    </w:pPr>
    <w:rPr>
      <w:rFonts w:ascii="宋体" w:eastAsia="宋体"/>
      <w:sz w:val="18"/>
      <w:szCs w:val="18"/>
    </w:rPr>
  </w:style>
  <w:style w:type="paragraph" w:customStyle="1" w:styleId="135">
    <w:name w:val="章标题"/>
    <w:next w:val="71"/>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6">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7">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8">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9">
    <w:name w:val="五级无"/>
    <w:basedOn w:val="140"/>
    <w:autoRedefine/>
    <w:qFormat/>
    <w:uiPriority w:val="0"/>
    <w:pPr>
      <w:spacing w:beforeLines="0" w:afterLines="0"/>
      <w:outlineLvl w:val="6"/>
    </w:pPr>
    <w:rPr>
      <w:rFonts w:ascii="宋体" w:eastAsia="宋体"/>
    </w:rPr>
  </w:style>
  <w:style w:type="paragraph" w:customStyle="1" w:styleId="140">
    <w:name w:val="五级条标题"/>
    <w:basedOn w:val="141"/>
    <w:next w:val="71"/>
    <w:autoRedefine/>
    <w:qFormat/>
    <w:uiPriority w:val="0"/>
  </w:style>
  <w:style w:type="paragraph" w:customStyle="1" w:styleId="141">
    <w:name w:val="四级条标题"/>
    <w:basedOn w:val="142"/>
    <w:next w:val="71"/>
    <w:autoRedefine/>
    <w:qFormat/>
    <w:uiPriority w:val="0"/>
  </w:style>
  <w:style w:type="paragraph" w:customStyle="1" w:styleId="142">
    <w:name w:val="三级条标题"/>
    <w:basedOn w:val="143"/>
    <w:next w:val="71"/>
    <w:autoRedefine/>
    <w:qFormat/>
    <w:uiPriority w:val="0"/>
  </w:style>
  <w:style w:type="paragraph" w:customStyle="1" w:styleId="143">
    <w:name w:val="二级条标题"/>
    <w:basedOn w:val="77"/>
    <w:next w:val="71"/>
    <w:autoRedefine/>
    <w:qFormat/>
    <w:uiPriority w:val="0"/>
  </w:style>
  <w:style w:type="paragraph" w:customStyle="1" w:styleId="144">
    <w:name w:val="四级无"/>
    <w:basedOn w:val="141"/>
    <w:autoRedefine/>
    <w:qFormat/>
    <w:uiPriority w:val="0"/>
  </w:style>
  <w:style w:type="paragraph" w:customStyle="1" w:styleId="145">
    <w:name w:val="三级无"/>
    <w:basedOn w:val="142"/>
    <w:autoRedefine/>
    <w:qFormat/>
    <w:uiPriority w:val="0"/>
  </w:style>
  <w:style w:type="paragraph" w:customStyle="1" w:styleId="146">
    <w:name w:val="其他标准标志"/>
    <w:basedOn w:val="130"/>
    <w:autoRedefine/>
    <w:qFormat/>
    <w:uiPriority w:val="0"/>
    <w:pPr>
      <w:framePr w:w="6101" w:wrap="around" w:vAnchor="page" w:hAnchor="page" w:x="4673" w:y="942"/>
    </w:pPr>
    <w:rPr>
      <w:w w:val="130"/>
    </w:rPr>
  </w:style>
  <w:style w:type="paragraph" w:customStyle="1" w:styleId="147">
    <w:name w:val="目次、标准名称标题"/>
    <w:basedOn w:val="1"/>
    <w:next w:val="71"/>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9">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50">
    <w:name w:val="批注框文本 Char1"/>
    <w:basedOn w:val="45"/>
    <w:link w:val="27"/>
    <w:autoRedefine/>
    <w:semiHidden/>
    <w:qFormat/>
    <w:uiPriority w:val="99"/>
    <w:rPr>
      <w:rFonts w:ascii="Times New Roman" w:hAnsi="Times New Roman" w:eastAsia="宋体" w:cs="Times New Roman"/>
      <w:sz w:val="18"/>
      <w:szCs w:val="18"/>
    </w:rPr>
  </w:style>
  <w:style w:type="paragraph" w:customStyle="1" w:styleId="151">
    <w:name w:val="列项◆（三级）"/>
    <w:basedOn w:val="1"/>
    <w:autoRedefine/>
    <w:qFormat/>
    <w:uiPriority w:val="99"/>
    <w:pPr>
      <w:tabs>
        <w:tab w:val="left" w:pos="969"/>
      </w:tabs>
      <w:ind w:left="969" w:hanging="414"/>
    </w:pPr>
    <w:rPr>
      <w:rFonts w:ascii="宋体"/>
      <w:szCs w:val="21"/>
    </w:rPr>
  </w:style>
  <w:style w:type="paragraph" w:customStyle="1" w:styleId="152">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3">
    <w:name w:val="页眉 Char1"/>
    <w:basedOn w:val="45"/>
    <w:link w:val="20"/>
    <w:autoRedefine/>
    <w:semiHidden/>
    <w:qFormat/>
    <w:uiPriority w:val="99"/>
    <w:rPr>
      <w:rFonts w:ascii="Times New Roman" w:hAnsi="Times New Roman" w:eastAsia="宋体" w:cs="Times New Roman"/>
      <w:sz w:val="18"/>
      <w:szCs w:val="18"/>
    </w:rPr>
  </w:style>
  <w:style w:type="paragraph" w:customStyle="1" w:styleId="154">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5">
    <w:name w:val="其他发布部门"/>
    <w:basedOn w:val="126"/>
    <w:autoRedefine/>
    <w:qFormat/>
    <w:uiPriority w:val="0"/>
    <w:pPr>
      <w:framePr w:wrap="around" w:y="15310"/>
      <w:spacing w:line="0" w:lineRule="atLeast"/>
    </w:pPr>
    <w:rPr>
      <w:rFonts w:ascii="黑体" w:eastAsia="黑体"/>
      <w:b w:val="0"/>
    </w:rPr>
  </w:style>
  <w:style w:type="paragraph" w:customStyle="1" w:styleId="156">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7">
    <w:name w:val="正文图标题"/>
    <w:next w:val="71"/>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8">
    <w:name w:val="HTML 预设格式 Char1"/>
    <w:basedOn w:val="45"/>
    <w:link w:val="36"/>
    <w:autoRedefine/>
    <w:semiHidden/>
    <w:qFormat/>
    <w:uiPriority w:val="99"/>
    <w:rPr>
      <w:rFonts w:ascii="Courier New" w:hAnsi="Courier New" w:eastAsia="宋体" w:cs="Courier New"/>
      <w:sz w:val="20"/>
      <w:szCs w:val="20"/>
    </w:rPr>
  </w:style>
  <w:style w:type="paragraph" w:customStyle="1" w:styleId="159">
    <w:name w:val="附录标识"/>
    <w:basedOn w:val="1"/>
    <w:next w:val="71"/>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60">
    <w:name w:val="脚注文本 Char1"/>
    <w:basedOn w:val="45"/>
    <w:link w:val="31"/>
    <w:autoRedefine/>
    <w:semiHidden/>
    <w:qFormat/>
    <w:uiPriority w:val="99"/>
    <w:rPr>
      <w:rFonts w:ascii="Times New Roman" w:hAnsi="Times New Roman" w:eastAsia="宋体" w:cs="Times New Roman"/>
      <w:sz w:val="18"/>
      <w:szCs w:val="18"/>
    </w:rPr>
  </w:style>
  <w:style w:type="paragraph" w:customStyle="1" w:styleId="161">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2">
    <w:name w:val="二级无"/>
    <w:basedOn w:val="143"/>
    <w:autoRedefine/>
    <w:qFormat/>
    <w:uiPriority w:val="0"/>
  </w:style>
  <w:style w:type="paragraph" w:customStyle="1" w:styleId="163">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4">
    <w:name w:val="正文文本缩进 2 Char1"/>
    <w:basedOn w:val="45"/>
    <w:link w:val="19"/>
    <w:autoRedefine/>
    <w:semiHidden/>
    <w:qFormat/>
    <w:uiPriority w:val="99"/>
    <w:rPr>
      <w:rFonts w:ascii="Times New Roman" w:hAnsi="Times New Roman" w:eastAsia="宋体" w:cs="Times New Roman"/>
      <w:szCs w:val="24"/>
    </w:rPr>
  </w:style>
  <w:style w:type="paragraph" w:customStyle="1" w:styleId="165">
    <w:name w:val="封面标准文稿编辑信息2"/>
    <w:basedOn w:val="166"/>
    <w:autoRedefine/>
    <w:qFormat/>
    <w:uiPriority w:val="0"/>
    <w:pPr>
      <w:framePr w:wrap="around" w:y="4469"/>
    </w:pPr>
  </w:style>
  <w:style w:type="paragraph" w:customStyle="1" w:styleId="166">
    <w:name w:val="封面标准文稿编辑信息"/>
    <w:basedOn w:val="122"/>
    <w:autoRedefine/>
    <w:qFormat/>
    <w:uiPriority w:val="0"/>
    <w:pPr>
      <w:framePr w:wrap="around"/>
      <w:spacing w:before="180" w:line="180" w:lineRule="exact"/>
    </w:pPr>
    <w:rPr>
      <w:sz w:val="21"/>
    </w:rPr>
  </w:style>
  <w:style w:type="paragraph" w:customStyle="1" w:styleId="167">
    <w:name w:val="附录表标题"/>
    <w:basedOn w:val="1"/>
    <w:next w:val="71"/>
    <w:autoRedefine/>
    <w:qFormat/>
    <w:uiPriority w:val="0"/>
    <w:pPr>
      <w:tabs>
        <w:tab w:val="left" w:pos="180"/>
      </w:tabs>
      <w:spacing w:beforeLines="50" w:afterLines="50"/>
      <w:jc w:val="center"/>
    </w:pPr>
    <w:rPr>
      <w:rFonts w:ascii="黑体" w:eastAsia="黑体"/>
      <w:szCs w:val="21"/>
    </w:rPr>
  </w:style>
  <w:style w:type="paragraph" w:customStyle="1" w:styleId="168">
    <w:name w:val="标准书眉_偶数页"/>
    <w:basedOn w:val="152"/>
    <w:next w:val="1"/>
    <w:autoRedefine/>
    <w:qFormat/>
    <w:uiPriority w:val="0"/>
    <w:pPr>
      <w:jc w:val="left"/>
    </w:pPr>
  </w:style>
  <w:style w:type="paragraph" w:customStyle="1" w:styleId="169">
    <w:name w:val="附录表标号"/>
    <w:basedOn w:val="1"/>
    <w:next w:val="71"/>
    <w:autoRedefine/>
    <w:qFormat/>
    <w:uiPriority w:val="0"/>
    <w:pPr>
      <w:spacing w:line="14" w:lineRule="exact"/>
      <w:ind w:left="811" w:hanging="448"/>
      <w:jc w:val="center"/>
      <w:outlineLvl w:val="0"/>
    </w:pPr>
    <w:rPr>
      <w:color w:val="FFFFFF"/>
    </w:rPr>
  </w:style>
  <w:style w:type="paragraph" w:customStyle="1" w:styleId="170">
    <w:name w:val="图表脚注说明"/>
    <w:basedOn w:val="1"/>
    <w:autoRedefine/>
    <w:qFormat/>
    <w:uiPriority w:val="0"/>
    <w:pPr>
      <w:ind w:left="544" w:hanging="181"/>
    </w:pPr>
    <w:rPr>
      <w:rFonts w:ascii="宋体"/>
      <w:sz w:val="18"/>
      <w:szCs w:val="18"/>
    </w:rPr>
  </w:style>
  <w:style w:type="character" w:customStyle="1" w:styleId="171">
    <w:name w:val="页脚 Char1"/>
    <w:basedOn w:val="45"/>
    <w:link w:val="21"/>
    <w:autoRedefine/>
    <w:semiHidden/>
    <w:qFormat/>
    <w:uiPriority w:val="99"/>
    <w:rPr>
      <w:rFonts w:ascii="Times New Roman" w:hAnsi="Times New Roman" w:eastAsia="宋体" w:cs="Times New Roman"/>
      <w:sz w:val="18"/>
      <w:szCs w:val="18"/>
    </w:rPr>
  </w:style>
  <w:style w:type="character" w:customStyle="1" w:styleId="172">
    <w:name w:val="批注文字 Char1"/>
    <w:basedOn w:val="45"/>
    <w:link w:val="13"/>
    <w:autoRedefine/>
    <w:semiHidden/>
    <w:qFormat/>
    <w:uiPriority w:val="99"/>
    <w:rPr>
      <w:rFonts w:ascii="Times New Roman" w:hAnsi="Times New Roman" w:eastAsia="宋体" w:cs="Times New Roman"/>
      <w:szCs w:val="24"/>
    </w:rPr>
  </w:style>
  <w:style w:type="paragraph" w:customStyle="1" w:styleId="173">
    <w:name w:val="封面标准名称2"/>
    <w:basedOn w:val="86"/>
    <w:autoRedefine/>
    <w:qFormat/>
    <w:uiPriority w:val="0"/>
    <w:pPr>
      <w:framePr w:wrap="around" w:y="4469"/>
      <w:spacing w:beforeLines="630"/>
    </w:pPr>
  </w:style>
  <w:style w:type="character" w:customStyle="1" w:styleId="174">
    <w:name w:val="日期 Char1"/>
    <w:basedOn w:val="45"/>
    <w:link w:val="25"/>
    <w:autoRedefine/>
    <w:semiHidden/>
    <w:qFormat/>
    <w:uiPriority w:val="99"/>
    <w:rPr>
      <w:rFonts w:ascii="Times New Roman" w:hAnsi="Times New Roman" w:eastAsia="宋体" w:cs="Times New Roman"/>
      <w:szCs w:val="24"/>
    </w:rPr>
  </w:style>
  <w:style w:type="character" w:customStyle="1" w:styleId="175">
    <w:name w:val="文档结构图 Char1"/>
    <w:basedOn w:val="45"/>
    <w:link w:val="12"/>
    <w:autoRedefine/>
    <w:semiHidden/>
    <w:qFormat/>
    <w:uiPriority w:val="99"/>
    <w:rPr>
      <w:rFonts w:ascii="宋体" w:hAnsi="Times New Roman" w:eastAsia="宋体" w:cs="Times New Roman"/>
      <w:sz w:val="18"/>
      <w:szCs w:val="18"/>
    </w:rPr>
  </w:style>
  <w:style w:type="paragraph" w:customStyle="1" w:styleId="176">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7">
    <w:name w:val="封面标准文稿类别2"/>
    <w:basedOn w:val="122"/>
    <w:autoRedefine/>
    <w:qFormat/>
    <w:uiPriority w:val="0"/>
    <w:pPr>
      <w:framePr w:wrap="around" w:y="4469"/>
    </w:pPr>
  </w:style>
  <w:style w:type="paragraph" w:customStyle="1" w:styleId="178">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9">
    <w:name w:val="终结线"/>
    <w:basedOn w:val="1"/>
    <w:autoRedefine/>
    <w:qFormat/>
    <w:uiPriority w:val="0"/>
    <w:pPr>
      <w:framePr w:hSpace="181" w:vSpace="181" w:wrap="around" w:vAnchor="text" w:hAnchor="margin" w:xAlign="center" w:y="285"/>
    </w:pPr>
  </w:style>
  <w:style w:type="character" w:customStyle="1" w:styleId="180">
    <w:name w:val="批注主题 Char1"/>
    <w:basedOn w:val="172"/>
    <w:link w:val="40"/>
    <w:autoRedefine/>
    <w:semiHidden/>
    <w:qFormat/>
    <w:uiPriority w:val="99"/>
    <w:rPr>
      <w:rFonts w:ascii="Times New Roman" w:hAnsi="Times New Roman" w:eastAsia="宋体" w:cs="Times New Roman"/>
      <w:b/>
      <w:bCs/>
      <w:szCs w:val="24"/>
    </w:rPr>
  </w:style>
  <w:style w:type="character" w:customStyle="1" w:styleId="181">
    <w:name w:val="尾注文本 Char1"/>
    <w:basedOn w:val="45"/>
    <w:link w:val="26"/>
    <w:autoRedefine/>
    <w:semiHidden/>
    <w:qFormat/>
    <w:uiPriority w:val="99"/>
    <w:rPr>
      <w:rFonts w:ascii="Times New Roman" w:hAnsi="Times New Roman" w:eastAsia="宋体" w:cs="Times New Roman"/>
      <w:szCs w:val="24"/>
    </w:rPr>
  </w:style>
  <w:style w:type="paragraph" w:customStyle="1" w:styleId="182">
    <w:name w:val="示例"/>
    <w:next w:val="133"/>
    <w:autoRedefine/>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3">
    <w:name w:val="正文文本 3 Char"/>
    <w:basedOn w:val="45"/>
    <w:link w:val="15"/>
    <w:autoRedefine/>
    <w:semiHidden/>
    <w:qFormat/>
    <w:uiPriority w:val="99"/>
    <w:rPr>
      <w:rFonts w:ascii="Times New Roman" w:hAnsi="Times New Roman" w:eastAsia="宋体" w:cs="Times New Roman"/>
      <w:sz w:val="16"/>
      <w:szCs w:val="16"/>
    </w:rPr>
  </w:style>
  <w:style w:type="character" w:customStyle="1" w:styleId="184">
    <w:name w:val="标题 Char"/>
    <w:basedOn w:val="45"/>
    <w:link w:val="39"/>
    <w:autoRedefine/>
    <w:qFormat/>
    <w:uiPriority w:val="0"/>
    <w:rPr>
      <w:rFonts w:ascii="Arial" w:hAnsi="Arial" w:eastAsia="宋体" w:cs="Times New Roman"/>
      <w:b/>
      <w:kern w:val="0"/>
      <w:sz w:val="32"/>
      <w:szCs w:val="20"/>
    </w:rPr>
  </w:style>
  <w:style w:type="paragraph" w:customStyle="1" w:styleId="185">
    <w:name w:val="p0"/>
    <w:basedOn w:val="1"/>
    <w:autoRedefine/>
    <w:qFormat/>
    <w:uiPriority w:val="0"/>
    <w:pPr>
      <w:spacing w:line="240" w:lineRule="auto"/>
      <w:jc w:val="both"/>
    </w:pPr>
    <w:rPr>
      <w:kern w:val="0"/>
      <w:szCs w:val="21"/>
    </w:rPr>
  </w:style>
  <w:style w:type="character" w:customStyle="1" w:styleId="186">
    <w:name w:val="纯文本 Char"/>
    <w:basedOn w:val="45"/>
    <w:link w:val="23"/>
    <w:autoRedefine/>
    <w:qFormat/>
    <w:uiPriority w:val="99"/>
    <w:rPr>
      <w:rFonts w:ascii="宋体" w:hAnsi="Courier New" w:eastAsia="宋体" w:cs="Courier New"/>
      <w:szCs w:val="21"/>
    </w:rPr>
  </w:style>
  <w:style w:type="paragraph" w:customStyle="1" w:styleId="18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8">
    <w:name w:val="正文文本 Char"/>
    <w:basedOn w:val="45"/>
    <w:link w:val="16"/>
    <w:autoRedefine/>
    <w:semiHidden/>
    <w:qFormat/>
    <w:uiPriority w:val="99"/>
    <w:rPr>
      <w:kern w:val="2"/>
      <w:sz w:val="21"/>
      <w:szCs w:val="24"/>
    </w:rPr>
  </w:style>
  <w:style w:type="paragraph" w:customStyle="1" w:styleId="189">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90">
    <w:name w:val="标题 4 Char"/>
    <w:basedOn w:val="45"/>
    <w:link w:val="5"/>
    <w:autoRedefine/>
    <w:semiHidden/>
    <w:qFormat/>
    <w:uiPriority w:val="9"/>
    <w:rPr>
      <w:rFonts w:asciiTheme="majorHAnsi" w:hAnsiTheme="majorHAnsi" w:eastAsiaTheme="majorEastAsia" w:cstheme="majorBidi"/>
      <w:b/>
      <w:bCs/>
      <w:kern w:val="2"/>
      <w:sz w:val="28"/>
      <w:szCs w:val="28"/>
    </w:rPr>
  </w:style>
  <w:style w:type="paragraph" w:customStyle="1" w:styleId="191">
    <w:name w:val="_Style 2"/>
    <w:basedOn w:val="4"/>
    <w:next w:val="1"/>
    <w:autoRedefine/>
    <w:qFormat/>
    <w:uiPriority w:val="0"/>
    <w:pPr>
      <w:spacing w:before="480" w:after="0" w:line="276" w:lineRule="auto"/>
      <w:outlineLvl w:val="9"/>
    </w:pPr>
    <w:rPr>
      <w:rFonts w:ascii="Cambria" w:hAnsi="Cambria"/>
      <w:color w:val="365F91"/>
      <w:kern w:val="0"/>
      <w:sz w:val="28"/>
      <w:szCs w:val="28"/>
    </w:rPr>
  </w:style>
  <w:style w:type="character" w:customStyle="1" w:styleId="192">
    <w:name w:val="_Style 4"/>
    <w:autoRedefine/>
    <w:qFormat/>
    <w:uiPriority w:val="31"/>
    <w:rPr>
      <w:smallCaps/>
      <w:color w:val="C0504D"/>
      <w:u w:val="single"/>
    </w:rPr>
  </w:style>
  <w:style w:type="paragraph" w:customStyle="1" w:styleId="193">
    <w:name w:val="纯文本1"/>
    <w:basedOn w:val="1"/>
    <w:autoRedefine/>
    <w:qFormat/>
    <w:uiPriority w:val="0"/>
    <w:rPr>
      <w:rFonts w:ascii="宋体" w:hAnsi="Courier New" w:cs="Courier New"/>
      <w:szCs w:val="21"/>
    </w:rPr>
  </w:style>
  <w:style w:type="paragraph" w:customStyle="1" w:styleId="194">
    <w:name w:val="CM99"/>
    <w:basedOn w:val="17"/>
    <w:next w:val="17"/>
    <w:autoRedefine/>
    <w:qFormat/>
    <w:uiPriority w:val="0"/>
    <w:pPr>
      <w:spacing w:after="443"/>
    </w:pPr>
  </w:style>
  <w:style w:type="paragraph" w:customStyle="1" w:styleId="195">
    <w:name w:val="CM80"/>
    <w:basedOn w:val="17"/>
    <w:next w:val="17"/>
    <w:autoRedefine/>
    <w:qFormat/>
    <w:uiPriority w:val="0"/>
    <w:pPr>
      <w:spacing w:line="440" w:lineRule="atLeast"/>
    </w:pPr>
  </w:style>
  <w:style w:type="paragraph" w:customStyle="1" w:styleId="196">
    <w:name w:val="BodyText"/>
    <w:basedOn w:val="1"/>
    <w:autoRedefine/>
    <w:qFormat/>
    <w:uiPriority w:val="0"/>
    <w:pPr>
      <w:jc w:val="center"/>
      <w:textAlignment w:val="baseline"/>
    </w:pPr>
    <w:rPr>
      <w:rFonts w:ascii="仿宋_GB2312" w:hAnsi="ˎ̥"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8A957-CB18-488C-A73C-1DABD520223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5033</Words>
  <Characters>28694</Characters>
  <Lines>239</Lines>
  <Paragraphs>67</Paragraphs>
  <TotalTime>10</TotalTime>
  <ScaleCrop>false</ScaleCrop>
  <LinksUpToDate>false</LinksUpToDate>
  <CharactersWithSpaces>33660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2023-07-28T01:59:00Z</dcterms:created>
  <dc:creator>lenovo</dc:creator>
  <cp:lastModifiedBy>咸鱼</cp:lastModifiedBy>
  <cp:lastPrinted>2021-11-24T02:21:00Z</cp:lastPrinted>
  <dcterms:modified xsi:type="dcterms:W3CDTF">2024-03-14T03:26:28Z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4261DD97D6034168977BDBABBB5ECE5D_13</vt:lpwstr>
  </property>
</Properties>
</file>