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numPr>
          <w:ilvl w:val="0"/>
          <w:numId w:val="0"/>
        </w:numPr>
        <w:snapToGrid w:val="0"/>
        <w:spacing w:after="0" w:line="490" w:lineRule="exact"/>
        <w:ind w:leftChars="0" w:right="0" w:rightChars="0"/>
        <w:jc w:val="center"/>
        <w:rPr>
          <w:rFonts w:cs="Times New Roman"/>
          <w:kern w:val="44"/>
          <w:sz w:val="36"/>
          <w:szCs w:val="36"/>
        </w:rPr>
      </w:pPr>
      <w:bookmarkStart w:id="0" w:name="_Toc24346"/>
      <w:bookmarkStart w:id="1" w:name="_Toc15305"/>
      <w:bookmarkStart w:id="2" w:name="_Toc17643"/>
      <w:bookmarkStart w:id="3" w:name="_Toc82676094"/>
      <w:bookmarkStart w:id="4" w:name="_Toc30807"/>
      <w:r>
        <w:rPr>
          <w:rFonts w:cs="Times New Roman"/>
          <w:kern w:val="44"/>
          <w:sz w:val="36"/>
          <w:szCs w:val="36"/>
        </w:rPr>
        <w:t>招标公告</w:t>
      </w:r>
      <w:bookmarkEnd w:id="0"/>
      <w:bookmarkEnd w:id="1"/>
      <w:bookmarkEnd w:id="2"/>
      <w:bookmarkEnd w:id="3"/>
      <w:bookmarkEnd w:id="4"/>
    </w:p>
    <w:p/>
    <w:p>
      <w:pPr>
        <w:spacing w:line="288" w:lineRule="auto"/>
        <w:jc w:val="center"/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u w:val="none"/>
        </w:rPr>
      </w:pPr>
      <w:bookmarkStart w:id="5" w:name="_Toc38287090"/>
      <w:bookmarkStart w:id="6" w:name="_Toc22569"/>
      <w:bookmarkStart w:id="7" w:name="_Toc40274966"/>
      <w:bookmarkStart w:id="8" w:name="_Toc29192"/>
      <w:r>
        <w:rPr>
          <w:rFonts w:hint="eastAsia" w:ascii="黑体" w:hAnsi="黑体" w:eastAsia="黑体" w:cs="Times New Roman"/>
          <w:b w:val="0"/>
          <w:color w:val="auto"/>
          <w:kern w:val="0"/>
          <w:sz w:val="28"/>
          <w:szCs w:val="28"/>
          <w:u w:val="none"/>
        </w:rPr>
        <w:t>岳阳城陵矶港务有限责任公司</w:t>
      </w:r>
    </w:p>
    <w:p>
      <w:pPr>
        <w:pStyle w:val="8"/>
        <w:autoSpaceDE/>
        <w:autoSpaceDN/>
        <w:snapToGrid w:val="0"/>
        <w:spacing w:line="312" w:lineRule="auto"/>
        <w:jc w:val="center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u w:val="none"/>
        </w:rPr>
        <w:t>商品车滚装整车服务</w:t>
      </w:r>
      <w:r>
        <w:rPr>
          <w:rFonts w:hint="eastAsia" w:ascii="黑体" w:hAnsi="黑体" w:eastAsia="黑体" w:cs="Times New Roman"/>
          <w:sz w:val="28"/>
          <w:szCs w:val="28"/>
          <w:u w:val="none"/>
          <w:lang w:val="en-US" w:eastAsia="zh-CN"/>
        </w:rPr>
        <w:t>公开</w:t>
      </w:r>
      <w:r>
        <w:rPr>
          <w:rFonts w:ascii="黑体" w:hAnsi="黑体" w:eastAsia="黑体"/>
          <w:sz w:val="28"/>
          <w:szCs w:val="32"/>
        </w:rPr>
        <w:t>招标公告</w:t>
      </w: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490" w:lineRule="exact"/>
        <w:ind w:left="0" w:right="0" w:firstLine="562" w:firstLineChars="200"/>
        <w:jc w:val="center"/>
        <w:outlineLvl w:val="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9" w:name="_Toc82676095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一、招标条件</w:t>
      </w:r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本招标项目（岳阳城陵矶港商品车滚装整车服务项目）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招标人为岳阳城陵矶港务有限责任公司，招标项目资金来自自筹。该项目已具备招标条件，现对岳阳城陵矶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港务有限责任公司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商品车滚装整车服务项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目采购进行公开招标。 </w:t>
      </w:r>
    </w:p>
    <w:p>
      <w:pPr>
        <w:widowControl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0" w:name="_Toc895"/>
      <w:bookmarkStart w:id="11" w:name="_Toc82676096"/>
      <w:bookmarkStart w:id="12" w:name="_Toc38287091"/>
      <w:bookmarkStart w:id="13" w:name="_Toc23341"/>
      <w:bookmarkStart w:id="14" w:name="_Toc40274967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二、项目概况与招标范围</w:t>
      </w:r>
      <w:bookmarkEnd w:id="10"/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15" w:name="_Toc32634"/>
      <w:r>
        <w:rPr>
          <w:rFonts w:hint="eastAsia" w:ascii="宋体" w:hAnsi="宋体" w:eastAsia="宋体" w:cs="宋体"/>
          <w:color w:val="auto"/>
          <w:sz w:val="24"/>
          <w:szCs w:val="24"/>
        </w:rPr>
        <w:t>（一） 项目概况：岳阳城陵矶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港务有限责任公司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商品车滚装整车服务项目有主要服务项目包括:卸船和装船，过驳和中转，场地移车，船舱移车。整车质量服务项目包括：码头与前后端客户的商品车检验、交接、质损责任判定、质损车处理。辅助服务项目包括：缺油车辆加油、亏电车辆搭电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预计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2024年至2025年未来两年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年主要服务项目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卸船和装船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万辆，过驳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0.1万辆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万辆，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舱内移车0.1万辆，舱外移车0.06万辆，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场地移车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整车质量服务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万辆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加油与搭电辅助服务0.26万辆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此数据为估计量，不作为结算依据，具体按实结算，投标人可以自行进行市场考察综合预判，风险收益自担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（二）招标范围：主要服务项目、整车质量服务项目、辅助服务项目。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（三）劳务服务期限：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2024年1月1日至2025年12月31日，期限两年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spacing w:line="312" w:lineRule="auto"/>
        <w:ind w:firstLine="480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bookmarkStart w:id="16" w:name="_Toc40274968"/>
      <w:bookmarkStart w:id="17" w:name="_Toc38287092"/>
      <w:bookmarkStart w:id="18" w:name="_Toc31128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19" w:name="_Toc82676097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三、投标人资格要求</w:t>
      </w:r>
      <w:bookmarkEnd w:id="15"/>
      <w:bookmarkEnd w:id="16"/>
      <w:bookmarkEnd w:id="17"/>
      <w:bookmarkEnd w:id="18"/>
      <w:bookmarkEnd w:id="19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投标人须具备独立的法人资格，持有效的营业执照，营业范围中包含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搬运或装卸或仓储管理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，具有足够的劳务人员和技术力量，熟悉港口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法律法规和规范操作流程，有经验、有能力完成本次招标项目所要求的服务。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（二）资质要求：无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Cs w:val="0"/>
          <w:i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（三）财务要求：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无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（四）业绩要求：投标人自20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日至投标截止时间前（以合同签订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时间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)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完成过1项</w:t>
      </w:r>
      <w:r>
        <w:rPr>
          <w:rFonts w:hint="eastAsia" w:ascii="宋体" w:hAnsi="宋体" w:eastAsia="宋体" w:cs="宋体"/>
          <w:bCs w:val="0"/>
          <w:iCs w:val="0"/>
          <w:color w:val="auto"/>
          <w:sz w:val="24"/>
          <w:szCs w:val="24"/>
        </w:rPr>
        <w:t>港站或库场商品车整车服务业绩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。提供合同复印件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甲方对供方考核评价表，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盖公司公章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并法人代表或授权代理人签名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Cs w:val="0"/>
          <w:color w:val="auto"/>
          <w:sz w:val="24"/>
          <w:szCs w:val="24"/>
        </w:rPr>
      </w:pP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（五）人员要求：拟任项目负责人有3年以上港站或库场商品车整车服务管理经验，提供项目负责人履历。其他主要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驾驶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6人须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具备C1或以上驾驶证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。提供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项目负责人和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驾驶人员驾驶证复印件。</w:t>
      </w:r>
    </w:p>
    <w:p>
      <w:pPr>
        <w:widowControl w:val="0"/>
        <w:autoSpaceDE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（六） 信誉要求：供应商不得存在招标文件第二章投标人须知1.4.3的所有情形，提供公司盖章后的承诺函，格式见第七章投标文件格式第八、其他资料（一）投标承诺书。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0" w:line="312" w:lineRule="auto"/>
        <w:ind w:firstLine="480" w:firstLineChars="200"/>
        <w:jc w:val="both"/>
        <w:rPr>
          <w:rFonts w:hint="default" w:ascii="宋体" w:hAnsi="宋体" w:eastAsia="宋体" w:cs="宋体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其他要求：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公司需承诺在中标后为员工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</w:rPr>
        <w:t>购买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工伤保险或雇主责任险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 w:val="0"/>
          <w:color w:val="auto"/>
          <w:sz w:val="24"/>
          <w:szCs w:val="24"/>
          <w:lang w:val="en-US" w:eastAsia="zh-CN"/>
        </w:rPr>
        <w:t>提供承诺函盖公章并法人代表签名或授权代理人签名。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（八）本次招标不接受联合体投标。</w:t>
      </w:r>
      <w:bookmarkStart w:id="20" w:name="_Toc40274969"/>
      <w:bookmarkStart w:id="21" w:name="_Toc38287093"/>
      <w:bookmarkStart w:id="22" w:name="_Toc31604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3" w:name="_Toc82676098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四、招标文件的获取</w:t>
      </w:r>
      <w:bookmarkEnd w:id="20"/>
      <w:bookmarkEnd w:id="21"/>
      <w:bookmarkEnd w:id="22"/>
      <w:bookmarkEnd w:id="23"/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 凡有意参加的投标人</w:t>
      </w:r>
      <w:bookmarkStart w:id="24" w:name="_Hlk51833398"/>
      <w:r>
        <w:rPr>
          <w:rFonts w:hint="eastAsia" w:ascii="宋体" w:hAnsi="宋体" w:eastAsia="宋体" w:cs="宋体"/>
          <w:color w:val="auto"/>
          <w:sz w:val="24"/>
          <w:szCs w:val="24"/>
        </w:rPr>
        <w:t>自</w:t>
      </w:r>
      <w:bookmarkEnd w:id="24"/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日～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日止，每日上午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分，下午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分，在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湖南省岳阳市新港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件杂滚装公司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101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持下述资料报名购买招标文件。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 获取招标文件时所需资料如下：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1.法人授权委托书原件；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2.企业营业执照副本；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3.被授权人身份证原件；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4.业绩证明材料；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5.提交报名资料一份：将1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原件和2、3、4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复印件（逐页加盖公章）装订成册。</w:t>
      </w:r>
    </w:p>
    <w:p>
      <w:pPr>
        <w:widowControl w:val="0"/>
        <w:spacing w:after="0" w:line="312" w:lineRule="auto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（三）招标文件每套售价人民币400元，逾期不售，售后不退。</w:t>
      </w: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25" w:name="_Toc82676099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241" w:firstLineChars="1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五、最高投标限价</w:t>
      </w:r>
      <w:bookmarkEnd w:id="25"/>
    </w:p>
    <w:p>
      <w:pPr>
        <w:autoSpaceDE/>
        <w:spacing w:line="360" w:lineRule="auto"/>
        <w:ind w:firstLine="763" w:firstLineChars="318"/>
        <w:jc w:val="left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</w:pPr>
      <w:bookmarkStart w:id="26" w:name="_Toc40274970"/>
      <w:bookmarkStart w:id="27" w:name="_Toc38287094"/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招标人为本次招标编制了最高投标限价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含6%增值税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详见下表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单价和总价都不能超过最高限价，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超过最高限价的作废。如果报价人提供其他税率的增值税专用发票，招标人按</w:t>
      </w:r>
      <w:r>
        <w:rPr>
          <w:rFonts w:hint="eastAsia" w:ascii="宋体" w:hAnsi="宋体" w:eastAsia="宋体" w:cs="宋体"/>
          <w:bCs/>
          <w:color w:val="000000"/>
          <w:kern w:val="2"/>
          <w:sz w:val="24"/>
          <w:szCs w:val="24"/>
          <w:highlight w:val="none"/>
          <w:lang w:val="en-US" w:eastAsia="zh-CN" w:bidi="ar-SA"/>
        </w:rPr>
        <w:t>6%</w:t>
      </w:r>
      <w:r>
        <w:rPr>
          <w:rFonts w:hint="eastAsia" w:ascii="宋体" w:hAnsi="宋体" w:eastAsia="宋体" w:cs="宋体"/>
          <w:bCs/>
          <w:kern w:val="2"/>
          <w:sz w:val="24"/>
          <w:szCs w:val="24"/>
          <w:highlight w:val="none"/>
          <w:lang w:val="en-US" w:eastAsia="zh-CN" w:bidi="ar-SA"/>
        </w:rPr>
        <w:t>的税率调整后计算报价参与排序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none"/>
          <w:lang w:val="en-US" w:eastAsia="zh-CN"/>
        </w:rPr>
        <w:t>。</w:t>
      </w:r>
    </w:p>
    <w:tbl>
      <w:tblPr>
        <w:tblStyle w:val="6"/>
        <w:tblW w:w="98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89"/>
        <w:gridCol w:w="1077"/>
        <w:gridCol w:w="1228"/>
        <w:gridCol w:w="1963"/>
        <w:gridCol w:w="2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项目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数量（辆/年）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单价（元/辆）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预估总价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主要服务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卸船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装船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过驳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中转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22.00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“A”船车辆卸入库场后再装“B”船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场地移车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船舱内移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船舱外移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15.00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整车质量服务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集港装船质量服务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卸船发运质量服务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辅助服务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加油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10元/升，缺油每车每次限加2升。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搭电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00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10.00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两年合计：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right"/>
              <w:textAlignment w:val="top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3141000.00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after="0" w:line="360" w:lineRule="auto"/>
        <w:ind w:firstLine="0" w:firstLineChars="0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注：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★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.表中所列项目为现行港口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整车中转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作业工艺，如出现表中未列项目将参照市场单价双方协商解决，在协商解决前双方不得以单价未协商而停止履行权利义务。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.所有单价都包含了管理费用、工资、零点班加餐费、社保、税金、工伤保险费、劳保用品费、人员工伤赔付（安全风险)、部分作业工属具添置费、一年三节加班费、水电费等所有费用。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</w:p>
    <w:bookmarkEnd w:id="26"/>
    <w:bookmarkEnd w:id="27"/>
    <w:p>
      <w:pPr>
        <w:spacing w:line="312" w:lineRule="auto"/>
        <w:ind w:firstLine="48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28" w:name="_Toc82676100"/>
      <w:bookmarkStart w:id="29" w:name="_Toc40274972"/>
      <w:bookmarkStart w:id="30" w:name="_Toc5024"/>
      <w:bookmarkStart w:id="31" w:name="_Toc38287095"/>
      <w:bookmarkStart w:id="32" w:name="_Toc15342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六、投标文件的递交</w:t>
      </w:r>
      <w:bookmarkEnd w:id="28"/>
      <w:bookmarkEnd w:id="29"/>
      <w:bookmarkEnd w:id="30"/>
      <w:bookmarkEnd w:id="31"/>
      <w:bookmarkEnd w:id="32"/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（一）投标文件递交的截止时间（投标截止时间）为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00分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投标文件递交地址为：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湖南省港航水利集团有限公司六楼开标室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，递交方式为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现场递交或邮寄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，采用邮寄方式递交的需提前1日邮寄至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湖南岳阳市新港区件杂滚装公司101室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，罗凯鸣17507300671收。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供应商须充分考虑邮寄或快递所需时间，确保在响应截止时间之前将响应文件送达指定地点，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逾期送达的、未送达指定地点的或不按照招标文件要求密封的投标文件，招标人将予以拒收。</w:t>
      </w: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3" w:name="_Toc40274973"/>
      <w:bookmarkStart w:id="34" w:name="_Toc3972"/>
      <w:bookmarkStart w:id="35" w:name="_Toc38287096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6" w:name="_Toc82676101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七、资格审查与评标办法</w:t>
      </w:r>
      <w:bookmarkEnd w:id="33"/>
      <w:bookmarkEnd w:id="34"/>
      <w:bookmarkEnd w:id="35"/>
      <w:bookmarkEnd w:id="36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（一）本次招标实行资格后审，资格审查的具体要求见招标文件。</w:t>
      </w:r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（二）本项目评标办法采用经评审的最低投标价法。</w:t>
      </w: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37" w:name="_Toc38287098"/>
      <w:bookmarkStart w:id="38" w:name="_Toc40274974"/>
      <w:bookmarkStart w:id="39" w:name="_Toc4706"/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40" w:name="_Toc82676102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八、发布公告的媒介</w:t>
      </w:r>
      <w:bookmarkEnd w:id="37"/>
      <w:bookmarkEnd w:id="38"/>
      <w:bookmarkEnd w:id="39"/>
      <w:bookmarkEnd w:id="40"/>
    </w:p>
    <w:p>
      <w:pPr>
        <w:widowControl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本次招标公告同时在中国招标投标公共服务平台（http：//www.cebpubservice.com）、湖南省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港航水利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集团有限公司网站（http：//www.hnsxsjt.com）及湖南省港务集团有限公司（http://www.hnsgwjt.com） 上发布。</w:t>
      </w:r>
    </w:p>
    <w:p>
      <w:pPr>
        <w:pStyle w:val="2"/>
        <w:rPr>
          <w:rFonts w:hint="eastAsia"/>
        </w:rPr>
      </w:pPr>
    </w:p>
    <w:p>
      <w:pPr>
        <w:pStyle w:val="5"/>
        <w:keepNext w:val="0"/>
        <w:keepLines w:val="0"/>
        <w:widowControl w:val="0"/>
        <w:adjustRightInd w:val="0"/>
        <w:snapToGrid w:val="0"/>
        <w:spacing w:after="0" w:line="312" w:lineRule="auto"/>
        <w:ind w:left="0" w:right="0" w:firstLine="482" w:firstLineChars="2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bookmarkStart w:id="41" w:name="_Toc3026"/>
      <w:bookmarkStart w:id="42" w:name="_Toc40274975"/>
      <w:bookmarkStart w:id="43" w:name="_Toc38287099"/>
      <w:bookmarkStart w:id="44" w:name="_Toc82676103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九、监督</w:t>
      </w:r>
      <w:bookmarkEnd w:id="41"/>
      <w:bookmarkEnd w:id="42"/>
      <w:bookmarkEnd w:id="43"/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部门</w:t>
      </w:r>
      <w:bookmarkEnd w:id="4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本次招标监督部门为岳阳城陵矶港务有限责任公司纪律检查委员会 ，电话：0730-3050160。</w:t>
      </w:r>
    </w:p>
    <w:p>
      <w:pPr>
        <w:pStyle w:val="3"/>
        <w:autoSpaceDE/>
        <w:autoSpaceDN/>
        <w:snapToGrid w:val="0"/>
        <w:spacing w:line="312" w:lineRule="auto"/>
        <w:ind w:firstLine="482" w:firstLineChars="200"/>
        <w:jc w:val="both"/>
        <w:outlineLvl w:val="2"/>
        <w:rPr>
          <w:rFonts w:hAnsi="宋体" w:cs="Times New Roman"/>
          <w:b/>
          <w:color w:val="auto"/>
          <w:kern w:val="2"/>
        </w:rPr>
      </w:pPr>
      <w:bookmarkStart w:id="45" w:name="_Toc82676104"/>
      <w:bookmarkStart w:id="46" w:name="_Toc77254105"/>
      <w:bookmarkStart w:id="47" w:name="_Toc76056642"/>
      <w:bookmarkStart w:id="48" w:name="_Toc76635693"/>
      <w:r>
        <w:rPr>
          <w:rFonts w:hint="eastAsia" w:hAnsi="宋体" w:cs="Times New Roman"/>
          <w:b/>
          <w:color w:val="auto"/>
          <w:kern w:val="2"/>
        </w:rPr>
        <w:t>十、</w:t>
      </w:r>
      <w:r>
        <w:rPr>
          <w:rFonts w:hAnsi="宋体" w:cs="Times New Roman"/>
          <w:b/>
          <w:color w:val="auto"/>
          <w:kern w:val="2"/>
        </w:rPr>
        <w:t>联系方式</w:t>
      </w:r>
      <w:bookmarkEnd w:id="45"/>
      <w:bookmarkEnd w:id="46"/>
      <w:bookmarkEnd w:id="47"/>
      <w:bookmarkEnd w:id="48"/>
    </w:p>
    <w:p>
      <w:pPr>
        <w:widowControl w:val="0"/>
        <w:topLinePunct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招 标 人：岳阳城陵矶港务有限责任公司  </w:t>
      </w:r>
    </w:p>
    <w:p>
      <w:pPr>
        <w:widowControl w:val="0"/>
        <w:topLinePunct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址：湖南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岳阳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新港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件杂滚装公司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室</w:t>
      </w:r>
    </w:p>
    <w:p>
      <w:pPr>
        <w:widowControl w:val="0"/>
        <w:topLinePunct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邮    编：414002                 </w:t>
      </w:r>
    </w:p>
    <w:p>
      <w:pPr>
        <w:widowControl w:val="0"/>
        <w:topLinePunct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罗先生</w:t>
      </w:r>
      <w:bookmarkStart w:id="49" w:name="_GoBack"/>
      <w:bookmarkEnd w:id="49"/>
    </w:p>
    <w:p>
      <w:pPr>
        <w:widowControl w:val="0"/>
        <w:topLinePunct w:val="0"/>
        <w:adjustRightInd w:val="0"/>
        <w:snapToGrid w:val="0"/>
        <w:spacing w:after="0" w:line="312" w:lineRule="auto"/>
        <w:ind w:firstLine="480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电    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17507300671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WNlMGY2NGI4YzZiOGZiMTFkOTgyOWY1MDA0M2MifQ=="/>
  </w:docVars>
  <w:rsids>
    <w:rsidRoot w:val="12137CB8"/>
    <w:rsid w:val="12137CB8"/>
    <w:rsid w:val="2F6A4B1C"/>
    <w:rsid w:val="3E5E705F"/>
    <w:rsid w:val="623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after="550" w:line="265" w:lineRule="auto"/>
      <w:ind w:left="10" w:right="56" w:hanging="10"/>
      <w:jc w:val="center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paragraph" w:styleId="5">
    <w:name w:val="heading 2"/>
    <w:next w:val="1"/>
    <w:qFormat/>
    <w:uiPriority w:val="9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color w:val="auto"/>
      <w:sz w:val="21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">
    <w:name w:val="CM91"/>
    <w:basedOn w:val="3"/>
    <w:next w:val="3"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宋体" w:hAnsi="Times New Roman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2017</Words>
  <Characters>2386</Characters>
  <Lines>0</Lines>
  <Paragraphs>0</Paragraphs>
  <TotalTime>18</TotalTime>
  <ScaleCrop>false</ScaleCrop>
  <LinksUpToDate>false</LinksUpToDate>
  <CharactersWithSpaces>2445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2023-12-06T09:35:00Z</dcterms:created>
  <dc:creator>周治国</dc:creator>
  <cp:lastModifiedBy>战地残阳断刃血淌</cp:lastModifiedBy>
  <dcterms:modified xsi:type="dcterms:W3CDTF">2023-12-07T03:13:08Z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AE503CC65C7D42DD9E21844269F9A568_11</vt:lpwstr>
  </property>
</Properties>
</file>