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ind w:firstLine="0" w:firstLineChars="0"/>
        <w:jc w:val="center"/>
        <w:rPr>
          <w:rFonts w:hint="eastAsia" w:ascii="黑体" w:hAnsi="黑体" w:eastAsia="黑体" w:cs="黑体"/>
          <w:b/>
          <w:bCs/>
          <w:color w:val="auto"/>
          <w:kern w:val="2"/>
          <w:sz w:val="48"/>
          <w:szCs w:val="48"/>
          <w:u w:val="none"/>
          <w:lang w:val="en-US" w:eastAsia="zh-CN" w:bidi="ar"/>
        </w:rPr>
      </w:pPr>
    </w:p>
    <w:p>
      <w:pPr>
        <w:snapToGrid w:val="0"/>
        <w:spacing w:before="0" w:beforeAutospacing="0" w:after="0" w:afterAutospacing="0" w:line="360" w:lineRule="auto"/>
        <w:ind w:firstLine="0" w:firstLineChars="0"/>
        <w:jc w:val="center"/>
        <w:rPr>
          <w:rFonts w:hint="eastAsia" w:ascii="黑体" w:hAnsi="黑体" w:eastAsia="黑体" w:cs="黑体"/>
          <w:b/>
          <w:bCs/>
          <w:kern w:val="2"/>
          <w:sz w:val="48"/>
          <w:szCs w:val="48"/>
          <w:u w:val="none"/>
          <w:lang w:val="en-US" w:eastAsia="zh-CN" w:bidi="ar"/>
        </w:rPr>
      </w:pPr>
      <w:r>
        <w:rPr>
          <w:rFonts w:hint="eastAsia" w:ascii="黑体" w:hAnsi="黑体" w:eastAsia="黑体" w:cs="黑体"/>
          <w:b/>
          <w:bCs/>
          <w:color w:val="auto"/>
          <w:kern w:val="2"/>
          <w:sz w:val="48"/>
          <w:szCs w:val="48"/>
          <w:u w:val="none"/>
          <w:lang w:val="en-US" w:eastAsia="zh-CN" w:bidi="ar"/>
        </w:rPr>
        <w:t>岳阳城陵矶新港有限公司</w:t>
      </w:r>
    </w:p>
    <w:p>
      <w:pPr>
        <w:adjustRightInd w:val="0"/>
        <w:snapToGrid/>
        <w:spacing w:line="360" w:lineRule="auto"/>
        <w:jc w:val="center"/>
        <w:rPr>
          <w:rFonts w:hint="eastAsia" w:ascii="黑体" w:hAnsi="黑体" w:eastAsia="黑体" w:cs="黑体"/>
          <w:b/>
          <w:bCs/>
          <w:color w:val="auto"/>
          <w:kern w:val="2"/>
          <w:sz w:val="48"/>
          <w:szCs w:val="48"/>
          <w:u w:val="none"/>
          <w:lang w:val="en-US" w:eastAsia="zh-CN" w:bidi="ar"/>
        </w:rPr>
      </w:pPr>
      <w:r>
        <w:rPr>
          <w:rFonts w:hint="eastAsia" w:ascii="黑体" w:hAnsi="黑体" w:eastAsia="黑体" w:cs="黑体"/>
          <w:b/>
          <w:bCs/>
          <w:sz w:val="48"/>
          <w:szCs w:val="48"/>
        </w:rPr>
        <w:t>港口</w:t>
      </w:r>
      <w:r>
        <w:rPr>
          <w:rFonts w:hint="eastAsia" w:ascii="黑体" w:hAnsi="黑体" w:eastAsia="黑体" w:cs="黑体"/>
          <w:b/>
          <w:bCs/>
          <w:sz w:val="48"/>
          <w:szCs w:val="48"/>
          <w:lang w:val="en-US" w:eastAsia="zh-CN"/>
        </w:rPr>
        <w:t>集装箱内货物熏蒸及消毒</w:t>
      </w:r>
      <w:r>
        <w:rPr>
          <w:rFonts w:hint="eastAsia" w:ascii="黑体" w:hAnsi="黑体" w:eastAsia="黑体" w:cs="黑体"/>
          <w:b/>
          <w:bCs/>
          <w:color w:val="auto"/>
          <w:sz w:val="48"/>
          <w:szCs w:val="48"/>
          <w:lang w:val="en-US" w:eastAsia="zh-CN"/>
        </w:rPr>
        <w:t>招标</w:t>
      </w:r>
      <w:r>
        <w:rPr>
          <w:rFonts w:hint="eastAsia" w:ascii="黑体" w:hAnsi="黑体" w:eastAsia="黑体" w:cs="黑体"/>
          <w:b/>
          <w:bCs/>
          <w:color w:val="auto"/>
          <w:kern w:val="2"/>
          <w:sz w:val="48"/>
          <w:szCs w:val="48"/>
          <w:u w:val="none"/>
          <w:lang w:val="en-US" w:eastAsia="zh-CN" w:bidi="ar"/>
        </w:rPr>
        <w:t>项目</w:t>
      </w:r>
    </w:p>
    <w:p>
      <w:pPr>
        <w:snapToGrid w:val="0"/>
        <w:spacing w:line="360" w:lineRule="auto"/>
        <w:jc w:val="center"/>
        <w:rPr>
          <w:rFonts w:hint="default" w:ascii="黑体" w:hAnsi="黑体" w:eastAsia="黑体"/>
          <w:b/>
          <w:bCs/>
          <w:sz w:val="48"/>
          <w:szCs w:val="48"/>
          <w:lang w:val="en-US" w:eastAsia="zh-CN"/>
        </w:rPr>
      </w:pPr>
      <w:r>
        <w:rPr>
          <w:rFonts w:hint="eastAsia" w:ascii="黑体" w:hAnsi="黑体" w:eastAsia="黑体" w:cs="Times New Roman"/>
          <w:b/>
          <w:bCs/>
          <w:color w:val="auto"/>
          <w:kern w:val="2"/>
          <w:sz w:val="48"/>
          <w:szCs w:val="48"/>
          <w:u w:val="none"/>
          <w:lang w:val="en-US" w:eastAsia="zh-CN" w:bidi="ar"/>
        </w:rPr>
        <w:t>第二次询价</w:t>
      </w:r>
      <w:r>
        <w:rPr>
          <w:rFonts w:hint="eastAsia" w:ascii="黑体" w:hAnsi="黑体" w:eastAsia="黑体"/>
          <w:b/>
          <w:bCs/>
          <w:sz w:val="48"/>
          <w:szCs w:val="48"/>
          <w:u w:val="none"/>
        </w:rPr>
        <w:t>采购</w:t>
      </w:r>
      <w:r>
        <w:rPr>
          <w:rFonts w:hint="eastAsia" w:ascii="黑体" w:hAnsi="黑体" w:eastAsia="黑体"/>
          <w:b/>
          <w:bCs/>
          <w:sz w:val="48"/>
          <w:szCs w:val="48"/>
          <w:u w:val="none"/>
          <w:lang w:val="en-US" w:eastAsia="zh-CN"/>
        </w:rPr>
        <w:t>文件</w:t>
      </w:r>
    </w:p>
    <w:p>
      <w:pPr>
        <w:spacing w:line="360" w:lineRule="auto"/>
        <w:jc w:val="center"/>
        <w:rPr>
          <w:rFonts w:ascii="宋体" w:hAnsi="宋体" w:cs="宋体"/>
          <w:b/>
          <w:color w:val="000000"/>
          <w:kern w:val="0"/>
          <w:sz w:val="28"/>
          <w:szCs w:val="28"/>
        </w:rPr>
      </w:pPr>
    </w:p>
    <w:p>
      <w:pPr>
        <w:spacing w:line="360" w:lineRule="auto"/>
        <w:jc w:val="center"/>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采购编号：省港服（2023）年询第**号【新港】</w:t>
      </w:r>
    </w:p>
    <w:p>
      <w:pPr>
        <w:spacing w:line="360" w:lineRule="auto"/>
        <w:jc w:val="center"/>
        <w:rPr>
          <w:rFonts w:ascii="宋体" w:hAnsi="宋体" w:cs="宋体"/>
          <w:b/>
          <w:color w:val="000000"/>
          <w:kern w:val="0"/>
          <w:sz w:val="28"/>
          <w:szCs w:val="28"/>
        </w:rPr>
      </w:pPr>
    </w:p>
    <w:p>
      <w:pPr>
        <w:pStyle w:val="48"/>
        <w:spacing w:line="360" w:lineRule="auto"/>
      </w:pPr>
    </w:p>
    <w:p>
      <w:pPr>
        <w:snapToGrid w:val="0"/>
        <w:spacing w:line="360" w:lineRule="auto"/>
        <w:jc w:val="center"/>
        <w:rPr>
          <w:b/>
          <w:bCs/>
          <w:sz w:val="48"/>
          <w:szCs w:val="48"/>
        </w:rPr>
      </w:pPr>
    </w:p>
    <w:p>
      <w:pPr>
        <w:spacing w:line="360" w:lineRule="auto"/>
      </w:pPr>
    </w:p>
    <w:p>
      <w:pPr>
        <w:spacing w:line="360" w:lineRule="auto"/>
      </w:pPr>
    </w:p>
    <w:p>
      <w:pPr>
        <w:pStyle w:val="3"/>
        <w:spacing w:line="360" w:lineRule="auto"/>
      </w:pPr>
    </w:p>
    <w:p>
      <w:pPr>
        <w:pStyle w:val="48"/>
        <w:spacing w:line="360" w:lineRule="auto"/>
      </w:pPr>
    </w:p>
    <w:p>
      <w:pPr>
        <w:pStyle w:val="48"/>
        <w:spacing w:line="360" w:lineRule="auto"/>
      </w:pPr>
    </w:p>
    <w:p>
      <w:pPr>
        <w:pStyle w:val="48"/>
        <w:spacing w:line="360" w:lineRule="auto"/>
      </w:pPr>
    </w:p>
    <w:p>
      <w:pPr>
        <w:pStyle w:val="8"/>
        <w:spacing w:line="360" w:lineRule="auto"/>
      </w:pPr>
    </w:p>
    <w:p>
      <w:pPr>
        <w:spacing w:line="360" w:lineRule="auto"/>
      </w:pPr>
    </w:p>
    <w:p>
      <w:pPr>
        <w:pStyle w:val="8"/>
        <w:spacing w:line="360" w:lineRule="auto"/>
      </w:pPr>
    </w:p>
    <w:p>
      <w:pPr>
        <w:spacing w:line="360" w:lineRule="auto"/>
      </w:pPr>
    </w:p>
    <w:p>
      <w:pPr>
        <w:tabs>
          <w:tab w:val="left" w:pos="0"/>
          <w:tab w:val="left" w:pos="4185"/>
        </w:tabs>
        <w:spacing w:line="360" w:lineRule="auto"/>
        <w:ind w:right="-6"/>
        <w:jc w:val="center"/>
        <w:rPr>
          <w:rFonts w:ascii="黑体" w:hAnsi="黑体" w:eastAsia="黑体"/>
          <w:bCs/>
          <w:sz w:val="44"/>
          <w:szCs w:val="44"/>
        </w:rPr>
      </w:pPr>
      <w:r>
        <w:rPr>
          <w:rFonts w:hint="eastAsia" w:ascii="黑体" w:hAnsi="黑体" w:eastAsia="黑体"/>
          <w:bCs/>
          <w:sz w:val="44"/>
          <w:szCs w:val="44"/>
        </w:rPr>
        <w:t>二О二</w:t>
      </w:r>
      <w:r>
        <w:rPr>
          <w:rFonts w:hint="eastAsia" w:ascii="黑体" w:hAnsi="黑体" w:eastAsia="黑体"/>
          <w:bCs/>
          <w:sz w:val="44"/>
          <w:szCs w:val="44"/>
          <w:lang w:val="en-US" w:eastAsia="zh-CN"/>
        </w:rPr>
        <w:t>三</w:t>
      </w:r>
      <w:r>
        <w:rPr>
          <w:rFonts w:hint="eastAsia" w:ascii="黑体" w:hAnsi="黑体" w:eastAsia="黑体"/>
          <w:bCs/>
          <w:sz w:val="44"/>
          <w:szCs w:val="44"/>
        </w:rPr>
        <w:t>年</w:t>
      </w:r>
      <w:r>
        <w:rPr>
          <w:rFonts w:hint="eastAsia" w:ascii="黑体" w:hAnsi="黑体" w:eastAsia="黑体"/>
          <w:bCs/>
          <w:sz w:val="44"/>
          <w:szCs w:val="44"/>
          <w:lang w:val="en-US" w:eastAsia="zh-CN"/>
        </w:rPr>
        <w:t>十一</w:t>
      </w:r>
      <w:r>
        <w:rPr>
          <w:rFonts w:hint="eastAsia" w:ascii="黑体" w:hAnsi="黑体" w:eastAsia="黑体"/>
          <w:bCs/>
          <w:sz w:val="44"/>
          <w:szCs w:val="44"/>
        </w:rPr>
        <w:t>月</w:t>
      </w:r>
    </w:p>
    <w:sdt>
      <w:sdtPr>
        <w:rPr>
          <w:rFonts w:ascii="宋体" w:hAnsi="宋体" w:eastAsia="宋体" w:cs="Times New Roman"/>
          <w:kern w:val="2"/>
          <w:sz w:val="21"/>
          <w:szCs w:val="24"/>
          <w:lang w:val="en-US" w:eastAsia="zh-CN" w:bidi="ar-SA"/>
        </w:rPr>
        <w:id w:val="147464504"/>
        <w15:color w:val="DBDBDB"/>
        <w:docPartObj>
          <w:docPartGallery w:val="Table of Contents"/>
          <w:docPartUnique/>
        </w:docPartObj>
      </w:sdtPr>
      <w:sdtEndPr>
        <w:rPr>
          <w:rFonts w:ascii="Times New Roman" w:hAnsi="Times New Roman" w:eastAsia="宋体" w:cs="Times New Roman"/>
          <w:kern w:val="2"/>
          <w:sz w:val="30"/>
          <w:szCs w:val="30"/>
          <w:lang w:val="en-US" w:eastAsia="zh-CN" w:bidi="ar-SA"/>
        </w:rPr>
      </w:sdtEndPr>
      <w:sdtContent>
        <w:p>
          <w:pPr>
            <w:pStyle w:val="26"/>
            <w:tabs>
              <w:tab w:val="right" w:leader="dot" w:pos="8948"/>
              <w:tab w:val="clear" w:pos="9242"/>
            </w:tabs>
            <w:adjustRightInd w:val="0"/>
            <w:snapToGrid w:val="0"/>
            <w:spacing w:before="60" w:beforeLines="0" w:after="60" w:afterLines="0" w:line="360" w:lineRule="auto"/>
            <w:ind w:left="0" w:leftChars="0" w:right="0" w:rightChars="0" w:firstLine="0" w:firstLineChars="0"/>
            <w:jc w:val="center"/>
            <w:rPr>
              <w:rFonts w:ascii="宋体" w:hAnsi="Times New Roman" w:eastAsia="宋体" w:cs="Times New Roman"/>
              <w:sz w:val="32"/>
              <w:szCs w:val="32"/>
            </w:rPr>
          </w:pPr>
          <w:r>
            <w:rPr>
              <w:rFonts w:hint="eastAsia" w:ascii="宋体" w:hAnsi="宋体" w:eastAsia="宋体" w:cs="Times New Roman"/>
              <w:kern w:val="2"/>
              <w:sz w:val="32"/>
              <w:szCs w:val="32"/>
              <w:lang w:val="en-US" w:eastAsia="zh-CN" w:bidi="ar-SA"/>
            </w:rPr>
            <w:t xml:space="preserve"> </w:t>
          </w:r>
          <w:r>
            <w:rPr>
              <w:rFonts w:ascii="宋体" w:hAnsi="Times New Roman" w:eastAsia="宋体" w:cs="Times New Roman"/>
              <w:sz w:val="32"/>
              <w:szCs w:val="32"/>
            </w:rPr>
            <w:t>目</w:t>
          </w:r>
          <w:r>
            <w:rPr>
              <w:rFonts w:hint="default" w:ascii="宋体" w:hAnsi="Times New Roman" w:eastAsia="宋体" w:cs="Times New Roman"/>
              <w:sz w:val="32"/>
              <w:szCs w:val="32"/>
              <w:lang w:val="en-US" w:eastAsia="zh-CN"/>
            </w:rPr>
            <w:t xml:space="preserve">    </w:t>
          </w:r>
          <w:r>
            <w:rPr>
              <w:rFonts w:ascii="宋体" w:hAnsi="Times New Roman" w:eastAsia="宋体" w:cs="Times New Roman"/>
              <w:sz w:val="32"/>
              <w:szCs w:val="32"/>
            </w:rPr>
            <w:t>录</w:t>
          </w:r>
        </w:p>
        <w:p>
          <w:pPr>
            <w:spacing w:before="0" w:beforeLines="0" w:after="0" w:afterLines="0" w:line="360" w:lineRule="auto"/>
            <w:ind w:left="0" w:leftChars="0" w:right="0" w:rightChars="0" w:firstLine="0" w:firstLineChars="0"/>
            <w:jc w:val="center"/>
            <w:rPr>
              <w:sz w:val="28"/>
              <w:szCs w:val="28"/>
            </w:rPr>
          </w:pPr>
        </w:p>
        <w:p>
          <w:pPr>
            <w:pStyle w:val="26"/>
            <w:tabs>
              <w:tab w:val="right" w:leader="dot" w:pos="8948"/>
              <w:tab w:val="clear" w:pos="9242"/>
            </w:tabs>
            <w:adjustRightInd w:val="0"/>
            <w:snapToGrid w:val="0"/>
            <w:spacing w:before="60" w:after="60" w:line="360" w:lineRule="auto"/>
            <w:rPr>
              <w:rFonts w:hint="eastAsia" w:ascii="宋体" w:hAnsi="Times New Roman" w:eastAsia="宋体" w:cs="Times New Roman"/>
              <w:sz w:val="24"/>
              <w:szCs w:val="24"/>
            </w:rPr>
          </w:pPr>
          <w:r>
            <w:rPr>
              <w:rFonts w:hint="eastAsia" w:ascii="宋体" w:hAnsi="Times New Roman" w:eastAsia="宋体" w:cs="Times New Roman"/>
              <w:sz w:val="28"/>
              <w:szCs w:val="28"/>
            </w:rPr>
            <w:fldChar w:fldCharType="begin"/>
          </w:r>
          <w:r>
            <w:rPr>
              <w:rFonts w:hint="eastAsia" w:ascii="宋体" w:hAnsi="Times New Roman" w:eastAsia="宋体" w:cs="Times New Roman"/>
              <w:sz w:val="28"/>
              <w:szCs w:val="28"/>
            </w:rPr>
            <w:instrText xml:space="preserve">TOC \o "1-1" \h \u </w:instrText>
          </w:r>
          <w:r>
            <w:rPr>
              <w:rFonts w:hint="eastAsia" w:ascii="宋体" w:hAnsi="Times New Roman" w:eastAsia="宋体" w:cs="Times New Roman"/>
              <w:sz w:val="28"/>
              <w:szCs w:val="28"/>
            </w:rPr>
            <w:fldChar w:fldCharType="separate"/>
          </w: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HYPERLINK \l _Toc2238 </w:instrText>
          </w:r>
          <w:r>
            <w:rPr>
              <w:rFonts w:hint="eastAsia" w:ascii="宋体" w:hAnsi="Times New Roman" w:eastAsia="宋体" w:cs="Times New Roman"/>
              <w:sz w:val="24"/>
              <w:szCs w:val="24"/>
            </w:rPr>
            <w:fldChar w:fldCharType="separate"/>
          </w:r>
          <w:r>
            <w:rPr>
              <w:rFonts w:hint="eastAsia" w:ascii="宋体" w:hAnsi="Times New Roman" w:eastAsia="宋体" w:cs="Times New Roman"/>
              <w:sz w:val="24"/>
              <w:szCs w:val="24"/>
            </w:rPr>
            <w:t xml:space="preserve">第一章 </w:t>
          </w:r>
          <w:r>
            <w:rPr>
              <w:rFonts w:hint="default" w:ascii="宋体" w:hAnsi="Times New Roman" w:eastAsia="宋体" w:cs="Times New Roman"/>
              <w:sz w:val="24"/>
              <w:szCs w:val="24"/>
            </w:rPr>
            <w:t>采购公告</w:t>
          </w:r>
          <w:r>
            <w:rPr>
              <w:rFonts w:hint="eastAsia" w:ascii="宋体" w:hAnsi="Times New Roman" w:eastAsia="宋体" w:cs="Times New Roman"/>
              <w:sz w:val="24"/>
              <w:szCs w:val="24"/>
            </w:rPr>
            <w:tab/>
          </w: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PAGEREF _Toc2238 \h </w:instrText>
          </w:r>
          <w:r>
            <w:rPr>
              <w:rFonts w:hint="eastAsia" w:ascii="宋体" w:hAnsi="Times New Roman" w:eastAsia="宋体" w:cs="Times New Roman"/>
              <w:sz w:val="24"/>
              <w:szCs w:val="24"/>
            </w:rPr>
            <w:fldChar w:fldCharType="separate"/>
          </w:r>
          <w:r>
            <w:rPr>
              <w:rFonts w:hint="eastAsia" w:ascii="宋体" w:hAnsi="Times New Roman" w:eastAsia="宋体" w:cs="Times New Roman"/>
              <w:sz w:val="24"/>
              <w:szCs w:val="24"/>
            </w:rPr>
            <w:t>3</w:t>
          </w:r>
          <w:r>
            <w:rPr>
              <w:rFonts w:hint="eastAsia" w:ascii="宋体" w:hAnsi="Times New Roman" w:eastAsia="宋体" w:cs="Times New Roman"/>
              <w:sz w:val="24"/>
              <w:szCs w:val="24"/>
            </w:rPr>
            <w:fldChar w:fldCharType="end"/>
          </w:r>
          <w:r>
            <w:rPr>
              <w:rFonts w:hint="eastAsia" w:ascii="宋体" w:hAnsi="Times New Roman" w:eastAsia="宋体" w:cs="Times New Roman"/>
              <w:sz w:val="24"/>
              <w:szCs w:val="24"/>
            </w:rPr>
            <w:fldChar w:fldCharType="end"/>
          </w:r>
        </w:p>
        <w:p>
          <w:pPr>
            <w:pStyle w:val="26"/>
            <w:tabs>
              <w:tab w:val="right" w:leader="dot" w:pos="8948"/>
              <w:tab w:val="clear" w:pos="9242"/>
            </w:tabs>
            <w:adjustRightInd w:val="0"/>
            <w:snapToGrid w:val="0"/>
            <w:spacing w:before="60" w:after="60" w:line="360" w:lineRule="auto"/>
            <w:rPr>
              <w:rFonts w:hint="eastAsia" w:ascii="宋体" w:hAnsi="Times New Roman" w:eastAsia="宋体" w:cs="Times New Roman"/>
              <w:sz w:val="24"/>
              <w:szCs w:val="24"/>
            </w:rPr>
          </w:pP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HYPERLINK \l _Toc22965 </w:instrText>
          </w:r>
          <w:r>
            <w:rPr>
              <w:rFonts w:hint="eastAsia" w:ascii="宋体" w:hAnsi="Times New Roman" w:eastAsia="宋体" w:cs="Times New Roman"/>
              <w:sz w:val="24"/>
              <w:szCs w:val="24"/>
            </w:rPr>
            <w:fldChar w:fldCharType="separate"/>
          </w:r>
          <w:r>
            <w:rPr>
              <w:rFonts w:hint="eastAsia" w:ascii="宋体" w:hAnsi="Times New Roman" w:eastAsia="宋体" w:cs="Times New Roman"/>
              <w:sz w:val="24"/>
              <w:szCs w:val="24"/>
            </w:rPr>
            <w:t xml:space="preserve">第二章 </w:t>
          </w:r>
          <w:r>
            <w:rPr>
              <w:rFonts w:hint="default" w:ascii="宋体" w:hAnsi="Times New Roman" w:eastAsia="宋体" w:cs="Times New Roman"/>
              <w:sz w:val="24"/>
              <w:szCs w:val="24"/>
            </w:rPr>
            <w:t>供应商须知</w:t>
          </w:r>
          <w:r>
            <w:rPr>
              <w:rFonts w:hint="eastAsia" w:ascii="宋体" w:hAnsi="Times New Roman" w:eastAsia="宋体" w:cs="Times New Roman"/>
              <w:sz w:val="24"/>
              <w:szCs w:val="24"/>
            </w:rPr>
            <w:tab/>
          </w: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PAGEREF _Toc22965 \h </w:instrText>
          </w:r>
          <w:r>
            <w:rPr>
              <w:rFonts w:hint="eastAsia" w:ascii="宋体" w:hAnsi="Times New Roman" w:eastAsia="宋体" w:cs="Times New Roman"/>
              <w:sz w:val="24"/>
              <w:szCs w:val="24"/>
            </w:rPr>
            <w:fldChar w:fldCharType="separate"/>
          </w:r>
          <w:r>
            <w:rPr>
              <w:rFonts w:hint="eastAsia" w:ascii="宋体" w:hAnsi="Times New Roman" w:eastAsia="宋体" w:cs="Times New Roman"/>
              <w:sz w:val="24"/>
              <w:szCs w:val="24"/>
            </w:rPr>
            <w:t>7</w:t>
          </w:r>
          <w:r>
            <w:rPr>
              <w:rFonts w:hint="eastAsia" w:ascii="宋体" w:hAnsi="Times New Roman" w:eastAsia="宋体" w:cs="Times New Roman"/>
              <w:sz w:val="24"/>
              <w:szCs w:val="24"/>
            </w:rPr>
            <w:fldChar w:fldCharType="end"/>
          </w:r>
          <w:r>
            <w:rPr>
              <w:rFonts w:hint="eastAsia" w:ascii="宋体" w:hAnsi="Times New Roman" w:eastAsia="宋体" w:cs="Times New Roman"/>
              <w:sz w:val="24"/>
              <w:szCs w:val="24"/>
            </w:rPr>
            <w:fldChar w:fldCharType="end"/>
          </w:r>
        </w:p>
        <w:p>
          <w:pPr>
            <w:pStyle w:val="26"/>
            <w:tabs>
              <w:tab w:val="right" w:leader="dot" w:pos="8948"/>
              <w:tab w:val="clear" w:pos="9242"/>
            </w:tabs>
            <w:adjustRightInd w:val="0"/>
            <w:snapToGrid w:val="0"/>
            <w:spacing w:before="60" w:after="60" w:line="360" w:lineRule="auto"/>
            <w:rPr>
              <w:rFonts w:hint="eastAsia" w:ascii="宋体" w:hAnsi="Times New Roman" w:eastAsia="宋体" w:cs="Times New Roman"/>
              <w:sz w:val="24"/>
              <w:szCs w:val="24"/>
            </w:rPr>
          </w:pP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HYPERLINK \l _Toc9373 </w:instrText>
          </w:r>
          <w:r>
            <w:rPr>
              <w:rFonts w:hint="eastAsia" w:ascii="宋体" w:hAnsi="Times New Roman" w:eastAsia="宋体" w:cs="Times New Roman"/>
              <w:sz w:val="24"/>
              <w:szCs w:val="24"/>
            </w:rPr>
            <w:fldChar w:fldCharType="separate"/>
          </w:r>
          <w:r>
            <w:rPr>
              <w:rFonts w:hint="default" w:ascii="宋体" w:hAnsi="Times New Roman" w:eastAsia="宋体" w:cs="Times New Roman"/>
              <w:bCs w:val="0"/>
              <w:sz w:val="24"/>
              <w:szCs w:val="24"/>
            </w:rPr>
            <w:t>第三章 评审办法</w:t>
          </w:r>
          <w:r>
            <w:rPr>
              <w:rFonts w:hint="eastAsia" w:ascii="宋体" w:hAnsi="Times New Roman" w:eastAsia="宋体" w:cs="Times New Roman"/>
              <w:sz w:val="24"/>
              <w:szCs w:val="24"/>
            </w:rPr>
            <w:tab/>
          </w: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PAGEREF _Toc9373 \h </w:instrText>
          </w:r>
          <w:r>
            <w:rPr>
              <w:rFonts w:hint="eastAsia" w:ascii="宋体" w:hAnsi="Times New Roman" w:eastAsia="宋体" w:cs="Times New Roman"/>
              <w:sz w:val="24"/>
              <w:szCs w:val="24"/>
            </w:rPr>
            <w:fldChar w:fldCharType="separate"/>
          </w:r>
          <w:r>
            <w:rPr>
              <w:rFonts w:hint="eastAsia" w:ascii="宋体" w:hAnsi="Times New Roman" w:eastAsia="宋体" w:cs="Times New Roman"/>
              <w:sz w:val="24"/>
              <w:szCs w:val="24"/>
            </w:rPr>
            <w:t>23</w:t>
          </w:r>
          <w:r>
            <w:rPr>
              <w:rFonts w:hint="eastAsia" w:ascii="宋体" w:hAnsi="Times New Roman" w:eastAsia="宋体" w:cs="Times New Roman"/>
              <w:sz w:val="24"/>
              <w:szCs w:val="24"/>
            </w:rPr>
            <w:fldChar w:fldCharType="end"/>
          </w:r>
          <w:r>
            <w:rPr>
              <w:rFonts w:hint="eastAsia" w:ascii="宋体" w:hAnsi="Times New Roman" w:eastAsia="宋体" w:cs="Times New Roman"/>
              <w:sz w:val="24"/>
              <w:szCs w:val="24"/>
            </w:rPr>
            <w:fldChar w:fldCharType="end"/>
          </w:r>
        </w:p>
        <w:p>
          <w:pPr>
            <w:pStyle w:val="26"/>
            <w:tabs>
              <w:tab w:val="right" w:leader="dot" w:pos="8948"/>
              <w:tab w:val="clear" w:pos="9242"/>
            </w:tabs>
            <w:adjustRightInd w:val="0"/>
            <w:snapToGrid w:val="0"/>
            <w:spacing w:before="60" w:after="60" w:line="360" w:lineRule="auto"/>
            <w:rPr>
              <w:rFonts w:hint="eastAsia" w:ascii="宋体" w:hAnsi="Times New Roman" w:eastAsia="宋体" w:cs="Times New Roman"/>
              <w:sz w:val="24"/>
              <w:szCs w:val="24"/>
            </w:rPr>
          </w:pP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HYPERLINK \l _Toc15020 </w:instrText>
          </w:r>
          <w:r>
            <w:rPr>
              <w:rFonts w:hint="eastAsia" w:ascii="宋体" w:hAnsi="Times New Roman" w:eastAsia="宋体" w:cs="Times New Roman"/>
              <w:sz w:val="24"/>
              <w:szCs w:val="24"/>
            </w:rPr>
            <w:fldChar w:fldCharType="separate"/>
          </w:r>
          <w:r>
            <w:rPr>
              <w:rFonts w:hint="default" w:ascii="宋体" w:hAnsi="Times New Roman" w:eastAsia="宋体" w:cs="Times New Roman"/>
              <w:sz w:val="24"/>
              <w:szCs w:val="24"/>
            </w:rPr>
            <w:t>第四章 合同条款及格式</w:t>
          </w:r>
          <w:r>
            <w:rPr>
              <w:rFonts w:hint="eastAsia" w:ascii="宋体" w:hAnsi="Times New Roman" w:eastAsia="宋体" w:cs="Times New Roman"/>
              <w:sz w:val="24"/>
              <w:szCs w:val="24"/>
            </w:rPr>
            <w:tab/>
          </w: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PAGEREF _Toc15020 \h </w:instrText>
          </w:r>
          <w:r>
            <w:rPr>
              <w:rFonts w:hint="eastAsia" w:ascii="宋体" w:hAnsi="Times New Roman" w:eastAsia="宋体" w:cs="Times New Roman"/>
              <w:sz w:val="24"/>
              <w:szCs w:val="24"/>
            </w:rPr>
            <w:fldChar w:fldCharType="separate"/>
          </w:r>
          <w:r>
            <w:rPr>
              <w:rFonts w:hint="eastAsia" w:ascii="宋体" w:hAnsi="Times New Roman" w:eastAsia="宋体" w:cs="Times New Roman"/>
              <w:sz w:val="24"/>
              <w:szCs w:val="24"/>
            </w:rPr>
            <w:t>26</w:t>
          </w:r>
          <w:r>
            <w:rPr>
              <w:rFonts w:hint="eastAsia" w:ascii="宋体" w:hAnsi="Times New Roman" w:eastAsia="宋体" w:cs="Times New Roman"/>
              <w:sz w:val="24"/>
              <w:szCs w:val="24"/>
            </w:rPr>
            <w:fldChar w:fldCharType="end"/>
          </w:r>
          <w:r>
            <w:rPr>
              <w:rFonts w:hint="eastAsia" w:ascii="宋体" w:hAnsi="Times New Roman" w:eastAsia="宋体" w:cs="Times New Roman"/>
              <w:sz w:val="24"/>
              <w:szCs w:val="24"/>
            </w:rPr>
            <w:fldChar w:fldCharType="end"/>
          </w:r>
        </w:p>
        <w:p>
          <w:pPr>
            <w:pStyle w:val="26"/>
            <w:tabs>
              <w:tab w:val="right" w:leader="dot" w:pos="8948"/>
              <w:tab w:val="clear" w:pos="9242"/>
            </w:tabs>
            <w:adjustRightInd w:val="0"/>
            <w:snapToGrid w:val="0"/>
            <w:spacing w:before="60" w:after="60" w:line="360" w:lineRule="auto"/>
            <w:rPr>
              <w:rFonts w:hint="eastAsia" w:ascii="宋体" w:hAnsi="Times New Roman" w:eastAsia="宋体" w:cs="Times New Roman"/>
              <w:sz w:val="24"/>
              <w:szCs w:val="24"/>
            </w:rPr>
          </w:pP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HYPERLINK \l _Toc17311 </w:instrText>
          </w:r>
          <w:r>
            <w:rPr>
              <w:rFonts w:hint="eastAsia" w:ascii="宋体" w:hAnsi="Times New Roman" w:eastAsia="宋体" w:cs="Times New Roman"/>
              <w:sz w:val="24"/>
              <w:szCs w:val="24"/>
            </w:rPr>
            <w:fldChar w:fldCharType="separate"/>
          </w:r>
          <w:r>
            <w:rPr>
              <w:rFonts w:hint="default" w:ascii="宋体" w:hAnsi="Times New Roman" w:eastAsia="宋体" w:cs="Times New Roman"/>
              <w:sz w:val="24"/>
              <w:szCs w:val="24"/>
            </w:rPr>
            <w:t>第五章 采购需求</w:t>
          </w:r>
          <w:r>
            <w:rPr>
              <w:rFonts w:hint="eastAsia" w:ascii="宋体" w:hAnsi="Times New Roman" w:eastAsia="宋体" w:cs="Times New Roman"/>
              <w:sz w:val="24"/>
              <w:szCs w:val="24"/>
            </w:rPr>
            <w:tab/>
          </w: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PAGEREF _Toc17311 \h </w:instrText>
          </w:r>
          <w:r>
            <w:rPr>
              <w:rFonts w:hint="eastAsia" w:ascii="宋体" w:hAnsi="Times New Roman" w:eastAsia="宋体" w:cs="Times New Roman"/>
              <w:sz w:val="24"/>
              <w:szCs w:val="24"/>
            </w:rPr>
            <w:fldChar w:fldCharType="separate"/>
          </w:r>
          <w:r>
            <w:rPr>
              <w:rFonts w:hint="eastAsia" w:ascii="宋体" w:hAnsi="Times New Roman" w:eastAsia="宋体" w:cs="Times New Roman"/>
              <w:sz w:val="24"/>
              <w:szCs w:val="24"/>
            </w:rPr>
            <w:t>29</w:t>
          </w:r>
          <w:r>
            <w:rPr>
              <w:rFonts w:hint="eastAsia" w:ascii="宋体" w:hAnsi="Times New Roman" w:eastAsia="宋体" w:cs="Times New Roman"/>
              <w:sz w:val="24"/>
              <w:szCs w:val="24"/>
            </w:rPr>
            <w:fldChar w:fldCharType="end"/>
          </w:r>
          <w:r>
            <w:rPr>
              <w:rFonts w:hint="eastAsia" w:ascii="宋体" w:hAnsi="Times New Roman" w:eastAsia="宋体" w:cs="Times New Roman"/>
              <w:sz w:val="24"/>
              <w:szCs w:val="24"/>
            </w:rPr>
            <w:fldChar w:fldCharType="end"/>
          </w:r>
        </w:p>
        <w:p>
          <w:pPr>
            <w:pStyle w:val="26"/>
            <w:tabs>
              <w:tab w:val="right" w:leader="dot" w:pos="8948"/>
              <w:tab w:val="clear" w:pos="9242"/>
            </w:tabs>
            <w:adjustRightInd w:val="0"/>
            <w:snapToGrid w:val="0"/>
            <w:spacing w:before="60" w:after="60" w:line="360" w:lineRule="auto"/>
            <w:rPr>
              <w:rFonts w:hint="eastAsia" w:ascii="宋体" w:hAnsi="Times New Roman" w:eastAsia="宋体" w:cs="Times New Roman"/>
              <w:sz w:val="28"/>
              <w:szCs w:val="28"/>
            </w:rPr>
          </w:pP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HYPERLINK \l _Toc30995 </w:instrText>
          </w:r>
          <w:r>
            <w:rPr>
              <w:rFonts w:hint="eastAsia" w:ascii="宋体" w:hAnsi="Times New Roman" w:eastAsia="宋体" w:cs="Times New Roman"/>
              <w:sz w:val="24"/>
              <w:szCs w:val="24"/>
            </w:rPr>
            <w:fldChar w:fldCharType="separate"/>
          </w:r>
          <w:r>
            <w:rPr>
              <w:rFonts w:hint="default" w:ascii="宋体" w:hAnsi="Times New Roman" w:eastAsia="宋体" w:cs="Times New Roman"/>
              <w:sz w:val="24"/>
              <w:szCs w:val="24"/>
            </w:rPr>
            <w:t>第六章 响应文件格式</w:t>
          </w:r>
          <w:r>
            <w:rPr>
              <w:rFonts w:hint="eastAsia" w:ascii="宋体" w:hAnsi="Times New Roman" w:eastAsia="宋体" w:cs="Times New Roman"/>
              <w:sz w:val="24"/>
              <w:szCs w:val="24"/>
            </w:rPr>
            <w:tab/>
          </w: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PAGEREF _Toc30995 \h </w:instrText>
          </w:r>
          <w:r>
            <w:rPr>
              <w:rFonts w:hint="eastAsia" w:ascii="宋体" w:hAnsi="Times New Roman" w:eastAsia="宋体" w:cs="Times New Roman"/>
              <w:sz w:val="24"/>
              <w:szCs w:val="24"/>
            </w:rPr>
            <w:fldChar w:fldCharType="separate"/>
          </w:r>
          <w:r>
            <w:rPr>
              <w:rFonts w:hint="eastAsia" w:ascii="宋体" w:hAnsi="Times New Roman" w:eastAsia="宋体" w:cs="Times New Roman"/>
              <w:sz w:val="24"/>
              <w:szCs w:val="24"/>
            </w:rPr>
            <w:t>30</w:t>
          </w:r>
          <w:r>
            <w:rPr>
              <w:rFonts w:hint="eastAsia" w:ascii="宋体" w:hAnsi="Times New Roman" w:eastAsia="宋体" w:cs="Times New Roman"/>
              <w:sz w:val="24"/>
              <w:szCs w:val="24"/>
            </w:rPr>
            <w:fldChar w:fldCharType="end"/>
          </w:r>
          <w:r>
            <w:rPr>
              <w:rFonts w:hint="eastAsia" w:ascii="宋体" w:hAnsi="Times New Roman" w:eastAsia="宋体" w:cs="Times New Roman"/>
              <w:sz w:val="24"/>
              <w:szCs w:val="24"/>
            </w:rPr>
            <w:fldChar w:fldCharType="end"/>
          </w:r>
        </w:p>
        <w:p>
          <w:pPr>
            <w:pStyle w:val="26"/>
            <w:tabs>
              <w:tab w:val="right" w:leader="dot" w:pos="8948"/>
              <w:tab w:val="clear" w:pos="9242"/>
            </w:tabs>
            <w:adjustRightInd w:val="0"/>
            <w:snapToGrid w:val="0"/>
            <w:spacing w:before="60" w:after="60" w:line="360" w:lineRule="auto"/>
            <w:rPr>
              <w:rFonts w:hint="eastAsia" w:ascii="宋体" w:hAnsi="Times New Roman" w:eastAsia="宋体" w:cs="Times New Roman"/>
              <w:sz w:val="28"/>
              <w:szCs w:val="28"/>
            </w:rPr>
          </w:pPr>
        </w:p>
        <w:p>
          <w:pPr>
            <w:pStyle w:val="26"/>
            <w:tabs>
              <w:tab w:val="right" w:leader="dot" w:pos="8948"/>
              <w:tab w:val="clear" w:pos="9242"/>
            </w:tabs>
            <w:adjustRightInd w:val="0"/>
            <w:snapToGrid w:val="0"/>
            <w:spacing w:before="60" w:after="60" w:line="360" w:lineRule="auto"/>
            <w:rPr>
              <w:rFonts w:hint="eastAsia" w:ascii="宋体" w:hAnsi="Times New Roman" w:eastAsia="宋体" w:cs="Times New Roman"/>
              <w:sz w:val="28"/>
              <w:szCs w:val="28"/>
            </w:rPr>
          </w:pPr>
        </w:p>
        <w:p>
          <w:pPr>
            <w:pStyle w:val="26"/>
            <w:widowControl w:val="0"/>
            <w:tabs>
              <w:tab w:val="right" w:leader="dot" w:pos="8948"/>
              <w:tab w:val="clear" w:pos="9242"/>
            </w:tabs>
            <w:adjustRightInd w:val="0"/>
            <w:snapToGrid w:val="0"/>
            <w:spacing w:before="60" w:after="60" w:line="360" w:lineRule="auto"/>
            <w:ind w:firstLine="560" w:firstLineChars="200"/>
            <w:rPr>
              <w:sz w:val="30"/>
              <w:szCs w:val="30"/>
            </w:rPr>
          </w:pPr>
          <w:r>
            <w:rPr>
              <w:rFonts w:hint="eastAsia" w:ascii="宋体" w:hAnsi="Times New Roman" w:eastAsia="宋体" w:cs="Times New Roman"/>
              <w:sz w:val="28"/>
              <w:szCs w:val="28"/>
            </w:rPr>
            <w:fldChar w:fldCharType="end"/>
          </w:r>
        </w:p>
      </w:sdtContent>
    </w:sdt>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pStyle w:val="3"/>
        <w:spacing w:line="360" w:lineRule="auto"/>
        <w:rPr>
          <w:szCs w:val="21"/>
        </w:rPr>
      </w:pPr>
    </w:p>
    <w:p>
      <w:pPr>
        <w:spacing w:before="0" w:beforeAutospacing="0" w:after="0" w:afterAutospacing="0" w:line="360" w:lineRule="auto"/>
        <w:ind w:firstLine="0" w:firstLineChars="0"/>
        <w:jc w:val="center"/>
        <w:rPr>
          <w:rFonts w:hint="eastAsia" w:ascii="黑体" w:hAnsi="黑体" w:eastAsia="黑体" w:cs="Times New Roman"/>
          <w:color w:val="000000"/>
          <w:kern w:val="2"/>
          <w:sz w:val="32"/>
          <w:szCs w:val="32"/>
          <w:u w:val="none"/>
          <w:lang w:val="en-US" w:eastAsia="zh-CN" w:bidi="ar"/>
        </w:rPr>
      </w:pPr>
    </w:p>
    <w:p>
      <w:pPr>
        <w:spacing w:before="0" w:beforeAutospacing="0" w:after="0" w:afterAutospacing="0" w:line="360" w:lineRule="auto"/>
        <w:ind w:firstLine="0" w:firstLineChars="0"/>
        <w:jc w:val="center"/>
        <w:rPr>
          <w:rFonts w:hint="eastAsia" w:ascii="黑体" w:hAnsi="黑体" w:eastAsia="黑体" w:cs="Times New Roman"/>
          <w:color w:val="000000"/>
          <w:kern w:val="2"/>
          <w:sz w:val="32"/>
          <w:szCs w:val="32"/>
          <w:u w:val="none"/>
          <w:lang w:val="en-US" w:eastAsia="zh-CN" w:bidi="ar"/>
        </w:rPr>
      </w:pPr>
    </w:p>
    <w:p>
      <w:pPr>
        <w:rPr>
          <w:rFonts w:hint="eastAsia" w:ascii="黑体" w:hAnsi="黑体" w:eastAsia="黑体" w:cs="仿宋"/>
          <w:b/>
          <w:color w:val="000000"/>
          <w:sz w:val="36"/>
          <w:szCs w:val="36"/>
          <w:lang w:val="en-US" w:eastAsia="zh-CN"/>
        </w:rPr>
      </w:pPr>
      <w:bookmarkStart w:id="0" w:name="_Toc2238"/>
      <w:r>
        <w:rPr>
          <w:rFonts w:hint="eastAsia" w:ascii="黑体" w:hAnsi="黑体" w:eastAsia="黑体" w:cs="仿宋"/>
          <w:b/>
          <w:color w:val="000000"/>
          <w:sz w:val="36"/>
          <w:szCs w:val="36"/>
          <w:lang w:val="en-US" w:eastAsia="zh-CN"/>
        </w:rPr>
        <w:br w:type="page"/>
      </w:r>
    </w:p>
    <w:p>
      <w:pPr>
        <w:pStyle w:val="76"/>
        <w:numPr>
          <w:ilvl w:val="-1"/>
          <w:numId w:val="0"/>
        </w:numPr>
        <w:spacing w:before="0" w:beforeAutospacing="0" w:after="0" w:afterAutospacing="0" w:line="360" w:lineRule="auto"/>
        <w:ind w:left="420" w:leftChars="200" w:firstLine="0" w:firstLineChars="0"/>
        <w:jc w:val="center"/>
        <w:outlineLvl w:val="0"/>
        <w:rPr>
          <w:rFonts w:hint="eastAsia" w:ascii="黑体" w:hAnsi="黑体" w:eastAsia="黑体" w:cs="Times New Roman"/>
          <w:color w:val="000000"/>
          <w:kern w:val="2"/>
          <w:sz w:val="32"/>
          <w:szCs w:val="32"/>
          <w:u w:val="none"/>
          <w:lang w:val="en-US" w:eastAsia="zh-CN" w:bidi="ar"/>
        </w:rPr>
      </w:pPr>
      <w:r>
        <w:rPr>
          <w:rFonts w:hint="eastAsia" w:ascii="黑体" w:hAnsi="黑体" w:eastAsia="黑体" w:cs="仿宋"/>
          <w:b/>
          <w:color w:val="000000"/>
          <w:sz w:val="36"/>
          <w:szCs w:val="36"/>
          <w:lang w:val="en-US" w:eastAsia="zh-CN"/>
        </w:rPr>
        <w:t xml:space="preserve">第一章 </w:t>
      </w:r>
      <w:r>
        <w:rPr>
          <w:rFonts w:hint="eastAsia" w:ascii="黑体" w:hAnsi="黑体" w:eastAsia="黑体" w:cs="仿宋"/>
          <w:b/>
          <w:color w:val="000000"/>
          <w:sz w:val="36"/>
          <w:szCs w:val="36"/>
        </w:rPr>
        <w:t>采购公告</w:t>
      </w:r>
      <w:bookmarkEnd w:id="0"/>
    </w:p>
    <w:p>
      <w:pPr>
        <w:spacing w:before="0" w:beforeAutospacing="0" w:after="0" w:afterAutospacing="0" w:line="360" w:lineRule="auto"/>
        <w:ind w:firstLine="0" w:firstLineChars="0"/>
        <w:jc w:val="center"/>
        <w:rPr>
          <w:rFonts w:hint="eastAsia" w:ascii="黑体" w:hAnsi="黑体" w:eastAsia="黑体" w:cs="Times New Roman"/>
          <w:color w:val="000000"/>
          <w:kern w:val="2"/>
          <w:sz w:val="32"/>
          <w:szCs w:val="32"/>
          <w:u w:val="none"/>
          <w:lang w:val="en-US" w:eastAsia="zh-CN" w:bidi="ar"/>
        </w:rPr>
      </w:pPr>
      <w:r>
        <w:rPr>
          <w:rFonts w:hint="eastAsia" w:ascii="黑体" w:hAnsi="黑体" w:eastAsia="黑体" w:cs="Times New Roman"/>
          <w:color w:val="000000"/>
          <w:kern w:val="2"/>
          <w:sz w:val="32"/>
          <w:szCs w:val="32"/>
          <w:u w:val="none"/>
          <w:lang w:val="en-US" w:eastAsia="zh-CN" w:bidi="ar"/>
        </w:rPr>
        <w:t>岳阳城陵矶新港有限公司</w:t>
      </w:r>
    </w:p>
    <w:p>
      <w:pPr>
        <w:adjustRightInd w:val="0"/>
        <w:spacing w:before="0" w:beforeAutospacing="0" w:after="0" w:afterAutospacing="0" w:line="360" w:lineRule="auto"/>
        <w:ind w:firstLine="0" w:firstLineChars="0"/>
        <w:jc w:val="center"/>
        <w:rPr>
          <w:rFonts w:ascii="黑体" w:hAnsi="黑体" w:eastAsia="黑体"/>
          <w:sz w:val="32"/>
          <w:szCs w:val="32"/>
          <w:u w:val="none"/>
        </w:rPr>
      </w:pPr>
      <w:r>
        <w:rPr>
          <w:rFonts w:hint="eastAsia" w:eastAsia="黑体"/>
          <w:bCs/>
          <w:sz w:val="32"/>
          <w:szCs w:val="32"/>
        </w:rPr>
        <w:t>港口</w:t>
      </w:r>
      <w:r>
        <w:rPr>
          <w:rFonts w:hint="eastAsia" w:eastAsia="黑体"/>
          <w:bCs/>
          <w:sz w:val="32"/>
          <w:szCs w:val="32"/>
          <w:lang w:val="en-US" w:eastAsia="zh-CN"/>
        </w:rPr>
        <w:t>集装箱内货物熏蒸</w:t>
      </w:r>
      <w:r>
        <w:rPr>
          <w:rFonts w:hint="eastAsia" w:eastAsia="黑体"/>
          <w:bCs/>
          <w:color w:val="auto"/>
          <w:sz w:val="32"/>
          <w:szCs w:val="32"/>
          <w:lang w:val="en-US" w:eastAsia="zh-CN"/>
        </w:rPr>
        <w:t>招标</w:t>
      </w:r>
      <w:r>
        <w:rPr>
          <w:rFonts w:hint="eastAsia" w:ascii="黑体" w:hAnsi="黑体" w:eastAsia="黑体" w:cs="Times New Roman"/>
          <w:color w:val="000000"/>
          <w:kern w:val="2"/>
          <w:sz w:val="32"/>
          <w:szCs w:val="32"/>
          <w:u w:val="none"/>
          <w:lang w:val="en-US" w:eastAsia="zh-CN" w:bidi="ar"/>
        </w:rPr>
        <w:t>项目询价</w:t>
      </w:r>
      <w:r>
        <w:rPr>
          <w:rFonts w:hint="eastAsia" w:ascii="黑体" w:hAnsi="黑体" w:eastAsia="黑体"/>
          <w:sz w:val="32"/>
          <w:szCs w:val="32"/>
          <w:u w:val="none"/>
        </w:rPr>
        <w:t>采购公告</w:t>
      </w:r>
    </w:p>
    <w:p>
      <w:pPr>
        <w:pStyle w:val="34"/>
        <w:spacing w:before="0" w:beforeAutospacing="0" w:after="0" w:afterAutospacing="0" w:line="360" w:lineRule="auto"/>
        <w:ind w:firstLine="480" w:firstLineChars="200"/>
        <w:jc w:val="both"/>
        <w:rPr>
          <w:rFonts w:hint="eastAsia"/>
        </w:rPr>
      </w:pPr>
    </w:p>
    <w:p>
      <w:pPr>
        <w:pStyle w:val="34"/>
        <w:autoSpaceDE/>
        <w:spacing w:before="0" w:beforeAutospacing="0" w:after="0" w:afterAutospacing="0" w:line="360" w:lineRule="auto"/>
        <w:ind w:firstLine="480" w:firstLineChars="200"/>
        <w:jc w:val="both"/>
        <w:rPr>
          <w:rFonts w:hint="eastAsia" w:ascii="宋体" w:hAnsi="宋体" w:eastAsia="宋体" w:cs="宋体"/>
          <w:sz w:val="24"/>
        </w:rPr>
      </w:pPr>
      <w:bookmarkStart w:id="35" w:name="_GoBack"/>
      <w:r>
        <w:rPr>
          <w:rFonts w:hint="eastAsia" w:ascii="宋体" w:hAnsi="宋体" w:eastAsia="宋体" w:cs="宋体"/>
          <w:color w:val="auto"/>
          <w:kern w:val="2"/>
          <w:sz w:val="24"/>
          <w:szCs w:val="24"/>
          <w:lang w:val="en-US" w:eastAsia="zh-CN" w:bidi="ar"/>
        </w:rPr>
        <w:t>岳阳城陵矶新港有限公司</w:t>
      </w:r>
      <w:r>
        <w:rPr>
          <w:rFonts w:hint="eastAsia" w:ascii="宋体" w:hAnsi="宋体" w:eastAsia="宋体" w:cs="宋体"/>
          <w:bCs/>
          <w:sz w:val="24"/>
          <w:szCs w:val="24"/>
        </w:rPr>
        <w:t>港口</w:t>
      </w:r>
      <w:r>
        <w:rPr>
          <w:rFonts w:hint="eastAsia" w:ascii="宋体" w:hAnsi="宋体" w:eastAsia="宋体" w:cs="宋体"/>
          <w:bCs/>
          <w:sz w:val="24"/>
          <w:szCs w:val="24"/>
          <w:lang w:val="en-US" w:eastAsia="zh-CN"/>
        </w:rPr>
        <w:t>集装箱内货物熏蒸</w:t>
      </w:r>
      <w:r>
        <w:rPr>
          <w:rFonts w:hint="eastAsia" w:cs="宋体"/>
          <w:bCs/>
          <w:sz w:val="24"/>
          <w:szCs w:val="24"/>
          <w:lang w:val="en-US" w:eastAsia="zh-CN"/>
        </w:rPr>
        <w:t>及消毒</w:t>
      </w:r>
      <w:r>
        <w:rPr>
          <w:rFonts w:hint="eastAsia" w:ascii="宋体" w:hAnsi="宋体" w:eastAsia="宋体" w:cs="宋体"/>
          <w:bCs/>
          <w:color w:val="auto"/>
          <w:sz w:val="24"/>
          <w:szCs w:val="24"/>
          <w:lang w:val="en-US" w:eastAsia="zh-CN"/>
        </w:rPr>
        <w:t>招标</w:t>
      </w:r>
      <w:r>
        <w:rPr>
          <w:rFonts w:hint="eastAsia" w:ascii="宋体" w:hAnsi="宋体" w:eastAsia="宋体" w:cs="宋体"/>
          <w:color w:val="auto"/>
          <w:kern w:val="2"/>
          <w:sz w:val="24"/>
          <w:szCs w:val="24"/>
          <w:lang w:val="en-US" w:eastAsia="zh-CN" w:bidi="ar"/>
        </w:rPr>
        <w:t>项目经湖南省港务集团有限公司批准</w:t>
      </w:r>
      <w:r>
        <w:rPr>
          <w:rFonts w:hint="eastAsia" w:ascii="宋体" w:hAnsi="宋体" w:eastAsia="宋体" w:cs="宋体"/>
          <w:sz w:val="24"/>
        </w:rPr>
        <w:t xml:space="preserve">已具备采购条件，现公开邀请供应商参加采购活动。 </w:t>
      </w:r>
    </w:p>
    <w:p>
      <w:pPr>
        <w:pStyle w:val="9"/>
        <w:spacing w:before="0" w:after="0" w:line="360" w:lineRule="auto"/>
        <w:ind w:firstLine="562" w:firstLineChars="200"/>
        <w:jc w:val="both"/>
        <w:rPr>
          <w:rFonts w:ascii="Arial" w:hAnsi="Arial"/>
        </w:rPr>
      </w:pPr>
      <w:r>
        <w:rPr>
          <w:rFonts w:hint="eastAsia"/>
          <w:lang w:val="en-US" w:eastAsia="zh-CN"/>
        </w:rPr>
        <w:t>一、</w:t>
      </w:r>
      <w:r>
        <w:rPr>
          <w:rFonts w:hint="eastAsia" w:ascii="黑体" w:hAnsi="黑体"/>
        </w:rPr>
        <w:t xml:space="preserve">采购项目简介 </w:t>
      </w:r>
    </w:p>
    <w:p>
      <w:pPr>
        <w:keepNext w:val="0"/>
        <w:keepLines w:val="0"/>
        <w:widowControl/>
        <w:suppressLineNumbers w:val="0"/>
        <w:spacing w:line="360" w:lineRule="auto"/>
        <w:ind w:firstLine="480" w:firstLineChars="200"/>
        <w:jc w:val="left"/>
        <w:rPr>
          <w:rFonts w:hint="eastAsia"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一</w:t>
      </w:r>
      <w:r>
        <w:rPr>
          <w:rFonts w:hint="eastAsia" w:ascii="宋体" w:hAnsi="宋体"/>
          <w:b w:val="0"/>
          <w:bCs w:val="0"/>
          <w:sz w:val="24"/>
          <w:lang w:eastAsia="zh-CN"/>
        </w:rPr>
        <w:t>）</w:t>
      </w:r>
      <w:r>
        <w:rPr>
          <w:rFonts w:hint="eastAsia" w:ascii="宋体" w:hAnsi="宋体"/>
          <w:sz w:val="24"/>
        </w:rPr>
        <w:t>采购项目名称:</w:t>
      </w:r>
      <w:r>
        <w:rPr>
          <w:rFonts w:hint="eastAsia" w:ascii="宋体" w:hAnsi="宋体" w:eastAsia="宋体" w:cs="Times New Roman"/>
          <w:color w:val="auto"/>
          <w:kern w:val="2"/>
          <w:sz w:val="24"/>
          <w:szCs w:val="24"/>
          <w:u w:val="none"/>
          <w:lang w:val="en-US" w:eastAsia="zh-CN" w:bidi="ar"/>
        </w:rPr>
        <w:t>岳阳城陵矶新港有限公司</w:t>
      </w:r>
      <w:r>
        <w:rPr>
          <w:rFonts w:hint="eastAsia" w:ascii="宋体" w:hAnsi="宋体" w:eastAsia="宋体" w:cs="宋体"/>
          <w:bCs/>
          <w:sz w:val="24"/>
          <w:szCs w:val="24"/>
        </w:rPr>
        <w:t>港口</w:t>
      </w:r>
      <w:r>
        <w:rPr>
          <w:rFonts w:hint="eastAsia" w:ascii="宋体" w:hAnsi="宋体" w:eastAsia="宋体" w:cs="宋体"/>
          <w:bCs/>
          <w:sz w:val="24"/>
          <w:szCs w:val="24"/>
          <w:lang w:val="en-US" w:eastAsia="zh-CN"/>
        </w:rPr>
        <w:t>集装箱内货物熏蒸</w:t>
      </w:r>
      <w:r>
        <w:rPr>
          <w:rFonts w:hint="eastAsia" w:ascii="宋体" w:hAnsi="宋体" w:cs="宋体"/>
          <w:bCs/>
          <w:sz w:val="24"/>
          <w:szCs w:val="24"/>
          <w:lang w:val="en-US" w:eastAsia="zh-CN"/>
        </w:rPr>
        <w:t>及消毒</w:t>
      </w:r>
      <w:r>
        <w:rPr>
          <w:rFonts w:hint="eastAsia" w:ascii="宋体" w:hAnsi="宋体" w:eastAsia="宋体" w:cs="宋体"/>
          <w:bCs/>
          <w:color w:val="auto"/>
          <w:sz w:val="24"/>
          <w:szCs w:val="24"/>
          <w:lang w:val="en-US" w:eastAsia="zh-CN"/>
        </w:rPr>
        <w:t>招标</w:t>
      </w:r>
      <w:r>
        <w:rPr>
          <w:rFonts w:hint="eastAsia" w:ascii="宋体" w:hAnsi="宋体" w:eastAsia="宋体" w:cs="宋体"/>
          <w:color w:val="auto"/>
          <w:kern w:val="2"/>
          <w:sz w:val="24"/>
          <w:szCs w:val="24"/>
          <w:lang w:val="en-US" w:eastAsia="zh-CN" w:bidi="ar"/>
        </w:rPr>
        <w:t>项目</w:t>
      </w:r>
    </w:p>
    <w:p>
      <w:pPr>
        <w:autoSpaceDE w:val="0"/>
        <w:spacing w:line="360" w:lineRule="auto"/>
        <w:ind w:firstLine="480" w:firstLineChars="200"/>
        <w:jc w:val="both"/>
        <w:rPr>
          <w:rFonts w:hint="eastAsia" w:ascii="宋体" w:hAnsi="宋体"/>
          <w:b w:val="0"/>
          <w:bCs w:val="0"/>
          <w:sz w:val="24"/>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sz w:val="24"/>
        </w:rPr>
        <w:t>采购人:</w:t>
      </w:r>
      <w:r>
        <w:rPr>
          <w:rFonts w:hint="eastAsia" w:ascii="宋体" w:hAnsi="宋体"/>
          <w:sz w:val="24"/>
          <w:u w:val="none"/>
          <w:lang w:eastAsia="zh-CN"/>
        </w:rPr>
        <w:t>岳阳城陵矶新港有限公司</w:t>
      </w:r>
    </w:p>
    <w:p>
      <w:pPr>
        <w:autoSpaceDE w:val="0"/>
        <w:spacing w:line="360" w:lineRule="auto"/>
        <w:ind w:firstLine="480" w:firstLineChars="200"/>
        <w:jc w:val="both"/>
        <w:rPr>
          <w:rFonts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三</w:t>
      </w:r>
      <w:r>
        <w:rPr>
          <w:rFonts w:hint="eastAsia" w:ascii="宋体" w:hAnsi="宋体"/>
          <w:b w:val="0"/>
          <w:bCs w:val="0"/>
          <w:sz w:val="24"/>
          <w:lang w:eastAsia="zh-CN"/>
        </w:rPr>
        <w:t>）</w:t>
      </w:r>
      <w:r>
        <w:rPr>
          <w:rFonts w:hint="eastAsia" w:ascii="宋体" w:hAnsi="宋体"/>
          <w:sz w:val="24"/>
        </w:rPr>
        <w:t>采购代理机构:</w:t>
      </w:r>
      <w:r>
        <w:rPr>
          <w:rFonts w:hint="eastAsia" w:ascii="宋体" w:hAnsi="宋体"/>
          <w:sz w:val="24"/>
          <w:u w:val="none"/>
          <w:lang w:eastAsia="zh-CN"/>
        </w:rPr>
        <w:t>无</w:t>
      </w:r>
    </w:p>
    <w:p>
      <w:pPr>
        <w:autoSpaceDE w:val="0"/>
        <w:spacing w:line="360" w:lineRule="auto"/>
        <w:ind w:firstLine="480" w:firstLineChars="200"/>
        <w:jc w:val="both"/>
        <w:rPr>
          <w:rFonts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四</w:t>
      </w:r>
      <w:r>
        <w:rPr>
          <w:rFonts w:hint="eastAsia" w:ascii="宋体" w:hAnsi="宋体"/>
          <w:b w:val="0"/>
          <w:bCs w:val="0"/>
          <w:sz w:val="24"/>
          <w:lang w:eastAsia="zh-CN"/>
        </w:rPr>
        <w:t>）</w:t>
      </w:r>
      <w:r>
        <w:rPr>
          <w:rFonts w:hint="eastAsia" w:ascii="宋体" w:hAnsi="宋体"/>
          <w:sz w:val="24"/>
        </w:rPr>
        <w:t>采购项目资金落实情况:</w:t>
      </w:r>
      <w:r>
        <w:rPr>
          <w:rFonts w:hint="eastAsia" w:ascii="宋体" w:hAnsi="宋体"/>
          <w:sz w:val="24"/>
          <w:u w:val="none"/>
          <w:lang w:eastAsia="zh-CN"/>
        </w:rPr>
        <w:t>已落实</w:t>
      </w:r>
    </w:p>
    <w:p>
      <w:pPr>
        <w:autoSpaceDE/>
        <w:adjustRightInd w:val="0"/>
        <w:snapToGrid w:val="0"/>
        <w:spacing w:line="360" w:lineRule="auto"/>
        <w:ind w:firstLine="480" w:firstLineChars="200"/>
        <w:jc w:val="both"/>
        <w:rPr>
          <w:rFonts w:ascii="宋体" w:hAnsi="宋体"/>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五</w:t>
      </w:r>
      <w:r>
        <w:rPr>
          <w:rFonts w:hint="eastAsia" w:ascii="宋体" w:hAnsi="宋体" w:eastAsia="宋体" w:cs="Times New Roman"/>
          <w:sz w:val="24"/>
          <w:lang w:eastAsia="zh-CN"/>
        </w:rPr>
        <w:t>）</w:t>
      </w:r>
      <w:r>
        <w:rPr>
          <w:rFonts w:hint="eastAsia" w:ascii="宋体" w:hAnsi="宋体" w:cs="Times New Roman"/>
          <w:sz w:val="24"/>
          <w:lang w:val="en-US" w:eastAsia="zh-CN"/>
        </w:rPr>
        <w:t xml:space="preserve"> </w:t>
      </w:r>
      <w:r>
        <w:rPr>
          <w:rFonts w:hint="eastAsia" w:ascii="宋体" w:hAnsi="宋体"/>
          <w:sz w:val="24"/>
        </w:rPr>
        <w:t xml:space="preserve">采购项目概况: </w:t>
      </w:r>
      <w:r>
        <w:rPr>
          <w:rFonts w:hint="eastAsia" w:ascii="宋体" w:hAnsi="宋体" w:eastAsia="宋体" w:cs="宋体"/>
          <w:bCs/>
          <w:sz w:val="24"/>
          <w:szCs w:val="24"/>
        </w:rPr>
        <w:t>岳阳城陵矶新港有限公司为湖南城陵矶国际港务公司的全资子公司，是湖南区位条件最好、吞吐能力最大、现代化程度最高的集装箱港，主要从事集装箱装卸、堆存、中转、冷藏以及拆装箱等业务，具有烟花爆竹、危化品等180多种危险货物作业资质，是湖南烟花重要出口基地。港口总投资14亿元，占地664.6亩，7个3000吨级（兼顾5000吨级）集装箱深水泊位，设计年吞吐能力100万标箱。配有7台岸桥、15台场桥以及正面吊、堆高机、叉车等流动机械，拥有现代化的生产管理系统、无线车载系统，以及电子闸口、H986集装箱查验系统等联检设施。</w:t>
      </w:r>
    </w:p>
    <w:p>
      <w:pPr>
        <w:pStyle w:val="9"/>
        <w:spacing w:before="0" w:after="0" w:line="360" w:lineRule="auto"/>
        <w:ind w:firstLine="562" w:firstLineChars="200"/>
        <w:jc w:val="both"/>
        <w:rPr>
          <w:rFonts w:ascii="Arial" w:hAnsi="Arial"/>
        </w:rPr>
      </w:pPr>
      <w:r>
        <w:rPr>
          <w:rFonts w:hint="eastAsia"/>
          <w:lang w:val="en-US" w:eastAsia="zh-CN"/>
        </w:rPr>
        <w:t>二、</w:t>
      </w:r>
      <w:r>
        <w:rPr>
          <w:rFonts w:hint="eastAsia" w:ascii="黑体" w:hAnsi="黑体"/>
        </w:rPr>
        <w:t xml:space="preserve">采购范围及相关要求 </w:t>
      </w:r>
    </w:p>
    <w:p>
      <w:pPr>
        <w:autoSpaceDE w:val="0"/>
        <w:spacing w:line="360" w:lineRule="auto"/>
        <w:ind w:firstLine="480" w:firstLineChars="200"/>
        <w:jc w:val="both"/>
        <w:rPr>
          <w:rFonts w:ascii="宋体" w:hAnsi="宋体"/>
          <w:b w:val="0"/>
          <w:bCs w:val="0"/>
          <w:sz w:val="24"/>
        </w:rPr>
      </w:pPr>
      <w:r>
        <w:rPr>
          <w:rFonts w:hint="eastAsia" w:ascii="宋体" w:hAnsi="宋体"/>
          <w:b w:val="0"/>
          <w:bCs w:val="0"/>
          <w:sz w:val="24"/>
          <w:lang w:eastAsia="zh-CN"/>
        </w:rPr>
        <w:t>（</w:t>
      </w:r>
      <w:r>
        <w:rPr>
          <w:rFonts w:hint="eastAsia" w:ascii="宋体" w:hAnsi="宋体"/>
          <w:b w:val="0"/>
          <w:bCs w:val="0"/>
          <w:sz w:val="24"/>
          <w:lang w:val="en-US" w:eastAsia="zh-CN"/>
        </w:rPr>
        <w:t>一</w:t>
      </w:r>
      <w:r>
        <w:rPr>
          <w:rFonts w:hint="eastAsia" w:ascii="宋体" w:hAnsi="宋体"/>
          <w:b w:val="0"/>
          <w:bCs w:val="0"/>
          <w:sz w:val="24"/>
          <w:lang w:eastAsia="zh-CN"/>
        </w:rPr>
        <w:t>）</w:t>
      </w:r>
      <w:r>
        <w:rPr>
          <w:rFonts w:hint="eastAsia" w:ascii="宋体" w:hAnsi="宋体"/>
          <w:b w:val="0"/>
          <w:bCs w:val="0"/>
          <w:sz w:val="24"/>
        </w:rPr>
        <w:t xml:space="preserve"> 采购范围: </w:t>
      </w:r>
      <w:r>
        <w:rPr>
          <w:rFonts w:hint="eastAsia" w:ascii="宋体" w:hAnsi="宋体"/>
          <w:b w:val="0"/>
          <w:bCs w:val="0"/>
          <w:sz w:val="24"/>
          <w:lang w:val="en-US" w:eastAsia="zh-CN"/>
        </w:rPr>
        <w:t>港内进出口货物的熏蒸、消毒、木质包装的熏蒸等，所有人员、熏蒸设备、仪器、消毒用品全部由供应商提供。</w:t>
      </w:r>
    </w:p>
    <w:p>
      <w:pPr>
        <w:autoSpaceDE w:val="0"/>
        <w:spacing w:line="360" w:lineRule="auto"/>
        <w:ind w:firstLine="480" w:firstLineChars="200"/>
        <w:jc w:val="both"/>
        <w:rPr>
          <w:rFonts w:hint="default" w:ascii="宋体" w:hAnsi="宋体"/>
          <w:b w:val="0"/>
          <w:bCs w:val="0"/>
          <w:sz w:val="24"/>
          <w:lang w:val="en-US"/>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b w:val="0"/>
          <w:bCs w:val="0"/>
          <w:sz w:val="24"/>
        </w:rPr>
        <w:t xml:space="preserve"> 服务期限: </w:t>
      </w:r>
      <w:r>
        <w:rPr>
          <w:rFonts w:hint="eastAsia" w:ascii="宋体" w:hAnsi="宋体"/>
          <w:b w:val="0"/>
          <w:bCs w:val="0"/>
          <w:sz w:val="24"/>
          <w:lang w:val="en-US" w:eastAsia="zh-CN"/>
        </w:rPr>
        <w:t>一年</w:t>
      </w:r>
    </w:p>
    <w:p>
      <w:pPr>
        <w:autoSpaceDE w:val="0"/>
        <w:spacing w:line="360" w:lineRule="auto"/>
        <w:ind w:firstLine="480" w:firstLineChars="200"/>
        <w:jc w:val="both"/>
        <w:rPr>
          <w:rFonts w:ascii="宋体" w:hAnsi="宋体"/>
          <w:b w:val="0"/>
          <w:bCs w:val="0"/>
          <w:sz w:val="24"/>
        </w:rPr>
      </w:pPr>
      <w:r>
        <w:rPr>
          <w:rFonts w:hint="eastAsia" w:ascii="宋体" w:hAnsi="宋体"/>
          <w:b w:val="0"/>
          <w:bCs w:val="0"/>
          <w:sz w:val="24"/>
          <w:lang w:eastAsia="zh-CN"/>
        </w:rPr>
        <w:t>（</w:t>
      </w:r>
      <w:r>
        <w:rPr>
          <w:rFonts w:hint="eastAsia" w:ascii="宋体" w:hAnsi="宋体"/>
          <w:b w:val="0"/>
          <w:bCs w:val="0"/>
          <w:sz w:val="24"/>
          <w:lang w:val="en-US" w:eastAsia="zh-CN"/>
        </w:rPr>
        <w:t>三</w:t>
      </w:r>
      <w:r>
        <w:rPr>
          <w:rFonts w:hint="eastAsia" w:ascii="宋体" w:hAnsi="宋体"/>
          <w:b w:val="0"/>
          <w:bCs w:val="0"/>
          <w:sz w:val="24"/>
          <w:lang w:eastAsia="zh-CN"/>
        </w:rPr>
        <w:t>）</w:t>
      </w:r>
      <w:r>
        <w:rPr>
          <w:rFonts w:hint="eastAsia" w:ascii="宋体" w:hAnsi="宋体"/>
          <w:b w:val="0"/>
          <w:bCs w:val="0"/>
          <w:sz w:val="24"/>
        </w:rPr>
        <w:t xml:space="preserve">服务地点: </w:t>
      </w:r>
      <w:r>
        <w:rPr>
          <w:rFonts w:hint="eastAsia" w:ascii="宋体" w:hAnsi="宋体"/>
          <w:b w:val="0"/>
          <w:bCs w:val="0"/>
          <w:sz w:val="24"/>
          <w:lang w:eastAsia="zh-CN"/>
        </w:rPr>
        <w:t>岳阳城陵矶新港有限公司</w:t>
      </w:r>
    </w:p>
    <w:p>
      <w:pPr>
        <w:autoSpaceDE w:val="0"/>
        <w:spacing w:line="360" w:lineRule="auto"/>
        <w:ind w:firstLine="480" w:firstLineChars="200"/>
        <w:jc w:val="both"/>
        <w:rPr>
          <w:rFonts w:hint="default" w:ascii="宋体" w:hAnsi="宋体"/>
          <w:sz w:val="24"/>
          <w:lang w:val="en-US" w:eastAsia="zh-CN"/>
        </w:rPr>
      </w:pPr>
      <w:r>
        <w:rPr>
          <w:rFonts w:hint="eastAsia" w:ascii="宋体" w:hAnsi="宋体"/>
          <w:b w:val="0"/>
          <w:bCs w:val="0"/>
          <w:sz w:val="24"/>
          <w:lang w:eastAsia="zh-CN"/>
        </w:rPr>
        <w:t>（</w:t>
      </w:r>
      <w:r>
        <w:rPr>
          <w:rFonts w:hint="eastAsia" w:ascii="宋体" w:hAnsi="宋体"/>
          <w:b w:val="0"/>
          <w:bCs w:val="0"/>
          <w:sz w:val="24"/>
          <w:lang w:val="en-US" w:eastAsia="zh-CN"/>
        </w:rPr>
        <w:t>四</w:t>
      </w:r>
      <w:r>
        <w:rPr>
          <w:rFonts w:hint="eastAsia" w:ascii="宋体" w:hAnsi="宋体"/>
          <w:b w:val="0"/>
          <w:bCs w:val="0"/>
          <w:sz w:val="24"/>
          <w:lang w:eastAsia="zh-CN"/>
        </w:rPr>
        <w:t>）</w:t>
      </w:r>
      <w:r>
        <w:rPr>
          <w:rFonts w:hint="eastAsia" w:ascii="宋体" w:hAnsi="宋体"/>
          <w:b w:val="0"/>
          <w:bCs w:val="0"/>
          <w:sz w:val="24"/>
        </w:rPr>
        <w:t xml:space="preserve"> 质量要</w:t>
      </w:r>
      <w:r>
        <w:rPr>
          <w:rFonts w:hint="eastAsia" w:ascii="宋体" w:hAnsi="宋体"/>
          <w:sz w:val="24"/>
        </w:rPr>
        <w:t xml:space="preserve">求或服务标准: </w:t>
      </w:r>
      <w:r>
        <w:rPr>
          <w:rFonts w:hint="eastAsia" w:ascii="宋体" w:hAnsi="宋体"/>
          <w:sz w:val="24"/>
          <w:lang w:val="en-US" w:eastAsia="zh-CN"/>
        </w:rPr>
        <w:t>达到海关进出口货物的检验检疫标准。注：港口熏蒸作业主要针对原木箱内熏蒸作业，按照海关要求确保货物在低温环境下的熏蒸作业效果，并制定详细的现场作业方案。</w:t>
      </w:r>
    </w:p>
    <w:p>
      <w:pPr>
        <w:pStyle w:val="9"/>
        <w:autoSpaceDE w:val="0"/>
        <w:spacing w:before="0" w:after="0" w:line="360" w:lineRule="auto"/>
        <w:ind w:firstLine="562" w:firstLineChars="200"/>
        <w:jc w:val="both"/>
        <w:rPr>
          <w:rFonts w:hint="eastAsia" w:asciiTheme="majorHAnsi" w:hAnsiTheme="majorHAnsi"/>
        </w:rPr>
      </w:pPr>
      <w:r>
        <w:rPr>
          <w:rFonts w:hint="eastAsia"/>
          <w:lang w:val="en-US" w:eastAsia="zh-CN"/>
        </w:rPr>
        <w:t>三、</w:t>
      </w:r>
      <w:r>
        <w:rPr>
          <w:rFonts w:hint="eastAsia" w:asciiTheme="majorHAnsi" w:hAnsiTheme="majorHAnsi"/>
        </w:rPr>
        <w:t>供应商资格要求</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投标人须具备独立的法人资格，持有效的营业执照并</w:t>
      </w:r>
      <w:r>
        <w:rPr>
          <w:rFonts w:hint="eastAsia" w:ascii="宋体" w:hAnsi="宋体" w:eastAsia="宋体"/>
          <w:sz w:val="24"/>
          <w:szCs w:val="24"/>
          <w:lang w:val="en-US" w:eastAsia="zh-CN"/>
        </w:rPr>
        <w:t>经长沙海关认可的公司</w:t>
      </w:r>
      <w:r>
        <w:rPr>
          <w:rFonts w:hint="eastAsia" w:ascii="宋体" w:hAnsi="宋体" w:eastAsia="宋体"/>
          <w:sz w:val="24"/>
          <w:szCs w:val="24"/>
        </w:rPr>
        <w:t>，具有足够的</w:t>
      </w:r>
      <w:r>
        <w:rPr>
          <w:rFonts w:hint="eastAsia" w:ascii="宋体" w:hAnsi="宋体" w:eastAsia="宋体"/>
          <w:sz w:val="24"/>
          <w:szCs w:val="24"/>
          <w:lang w:val="en-US" w:eastAsia="zh-CN"/>
        </w:rPr>
        <w:t>作业</w:t>
      </w:r>
      <w:r>
        <w:rPr>
          <w:rFonts w:hint="eastAsia" w:ascii="宋体" w:hAnsi="宋体" w:eastAsia="宋体"/>
          <w:sz w:val="24"/>
          <w:szCs w:val="24"/>
        </w:rPr>
        <w:t>人员和技术力量，有经验、有能力完成本次招标项目所要求的服务。</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cs="宋体"/>
          <w:sz w:val="24"/>
          <w:szCs w:val="24"/>
        </w:rPr>
        <w:t>（二）业绩要求：</w:t>
      </w:r>
      <w:r>
        <w:rPr>
          <w:rFonts w:ascii="宋体" w:hAnsi="宋体" w:eastAsia="宋体" w:cs="宋体"/>
          <w:sz w:val="24"/>
          <w:szCs w:val="24"/>
        </w:rPr>
        <w:t>投标人</w:t>
      </w:r>
      <w:r>
        <w:rPr>
          <w:rFonts w:hint="eastAsia" w:ascii="宋体" w:hAnsi="宋体" w:eastAsia="宋体" w:cs="宋体"/>
          <w:sz w:val="24"/>
          <w:szCs w:val="24"/>
          <w:lang w:val="en-US" w:eastAsia="zh-CN"/>
        </w:rPr>
        <w:t>自</w:t>
      </w:r>
      <w:r>
        <w:rPr>
          <w:rFonts w:ascii="宋体" w:hAnsi="宋体" w:eastAsia="宋体" w:cs="宋体"/>
          <w:sz w:val="24"/>
          <w:szCs w:val="24"/>
        </w:rPr>
        <w:t>20</w:t>
      </w:r>
      <w:r>
        <w:rPr>
          <w:rFonts w:hint="eastAsia" w:ascii="宋体" w:hAnsi="宋体" w:cs="宋体"/>
          <w:sz w:val="24"/>
          <w:szCs w:val="24"/>
          <w:lang w:val="en-US" w:eastAsia="zh-CN"/>
        </w:rPr>
        <w:t>21</w:t>
      </w:r>
      <w:r>
        <w:rPr>
          <w:rFonts w:ascii="宋体" w:hAnsi="宋体" w:eastAsia="宋体" w:cs="宋体"/>
          <w:sz w:val="24"/>
          <w:szCs w:val="24"/>
        </w:rPr>
        <w:t>年1月</w:t>
      </w:r>
      <w:r>
        <w:rPr>
          <w:rFonts w:hint="eastAsia" w:ascii="宋体" w:hAnsi="宋体" w:eastAsia="宋体" w:cs="宋体"/>
          <w:sz w:val="24"/>
          <w:szCs w:val="24"/>
          <w:lang w:val="en-US" w:eastAsia="zh-CN"/>
        </w:rPr>
        <w:t>1</w:t>
      </w:r>
      <w:r>
        <w:rPr>
          <w:rFonts w:ascii="宋体" w:hAnsi="宋体" w:eastAsia="宋体" w:cs="宋体"/>
          <w:sz w:val="24"/>
          <w:szCs w:val="24"/>
        </w:rPr>
        <w:t>日至投标截止时间前</w:t>
      </w:r>
      <w:r>
        <w:rPr>
          <w:rFonts w:hint="eastAsia" w:ascii="宋体" w:hAnsi="宋体" w:eastAsia="宋体" w:cs="宋体"/>
          <w:bCs/>
          <w:sz w:val="24"/>
          <w:szCs w:val="24"/>
        </w:rPr>
        <w:t>（以</w:t>
      </w:r>
      <w:r>
        <w:rPr>
          <w:rFonts w:hint="eastAsia" w:ascii="宋体" w:hAnsi="宋体" w:eastAsia="宋体" w:cs="宋体"/>
          <w:bCs/>
          <w:sz w:val="24"/>
          <w:szCs w:val="24"/>
          <w:lang w:val="en-US" w:eastAsia="zh-CN"/>
        </w:rPr>
        <w:t>合同签订</w:t>
      </w:r>
      <w:r>
        <w:rPr>
          <w:rFonts w:hint="eastAsia" w:ascii="宋体" w:hAnsi="宋体" w:eastAsia="宋体" w:cs="宋体"/>
          <w:bCs/>
          <w:sz w:val="24"/>
          <w:szCs w:val="24"/>
        </w:rPr>
        <w:t>时间为准）</w:t>
      </w:r>
      <w:r>
        <w:rPr>
          <w:rFonts w:hint="eastAsia" w:ascii="宋体" w:hAnsi="宋体" w:eastAsia="宋体"/>
          <w:sz w:val="24"/>
          <w:szCs w:val="24"/>
        </w:rPr>
        <w:t>，至少承担过1个同类港口</w:t>
      </w:r>
      <w:r>
        <w:rPr>
          <w:rFonts w:hint="eastAsia" w:ascii="宋体" w:hAnsi="宋体" w:eastAsia="宋体"/>
          <w:sz w:val="24"/>
          <w:szCs w:val="24"/>
          <w:lang w:val="en-US" w:eastAsia="zh-CN"/>
        </w:rPr>
        <w:t>熏蒸</w:t>
      </w:r>
      <w:r>
        <w:rPr>
          <w:rFonts w:hint="eastAsia" w:ascii="宋体" w:hAnsi="宋体" w:eastAsia="宋体"/>
          <w:sz w:val="24"/>
          <w:szCs w:val="24"/>
        </w:rPr>
        <w:t>服务业务并且</w:t>
      </w:r>
      <w:r>
        <w:rPr>
          <w:rFonts w:hint="eastAsia" w:ascii="宋体" w:hAnsi="宋体"/>
          <w:sz w:val="24"/>
          <w:szCs w:val="24"/>
          <w:lang w:val="en-US" w:eastAsia="zh-CN"/>
        </w:rPr>
        <w:t>每年熏蒸集装箱量不得低于1000TEU的</w:t>
      </w:r>
      <w:r>
        <w:rPr>
          <w:rFonts w:hint="eastAsia" w:ascii="宋体" w:hAnsi="宋体" w:eastAsia="宋体"/>
          <w:sz w:val="24"/>
          <w:szCs w:val="24"/>
        </w:rPr>
        <w:t>业绩。</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cs="宋体"/>
          <w:sz w:val="24"/>
          <w:szCs w:val="24"/>
        </w:rPr>
        <w:t>（三）人员要求：</w:t>
      </w:r>
      <w:r>
        <w:rPr>
          <w:rFonts w:hint="eastAsia" w:ascii="宋体" w:hAnsi="宋体" w:eastAsia="宋体" w:cs="宋体"/>
          <w:sz w:val="24"/>
          <w:szCs w:val="24"/>
          <w:lang w:val="en-US" w:eastAsia="zh-CN"/>
        </w:rPr>
        <w:t>作业人员</w:t>
      </w:r>
      <w:r>
        <w:rPr>
          <w:rFonts w:hint="eastAsia" w:ascii="宋体" w:hAnsi="宋体" w:eastAsia="宋体"/>
          <w:sz w:val="24"/>
          <w:szCs w:val="24"/>
        </w:rPr>
        <w:t>须年满十八周岁、身体健康、具有初中文化程度、现实表现好；管理人员</w:t>
      </w:r>
      <w:r>
        <w:rPr>
          <w:rFonts w:hint="eastAsia" w:ascii="宋体" w:hAnsi="宋体" w:eastAsia="宋体"/>
          <w:sz w:val="24"/>
          <w:szCs w:val="24"/>
          <w:lang w:val="en-US" w:eastAsia="zh-CN"/>
        </w:rPr>
        <w:t>1人</w:t>
      </w:r>
      <w:r>
        <w:rPr>
          <w:rFonts w:hint="eastAsia" w:ascii="宋体" w:hAnsi="宋体" w:eastAsia="宋体"/>
          <w:sz w:val="24"/>
          <w:szCs w:val="24"/>
        </w:rPr>
        <w:t>具有</w:t>
      </w:r>
      <w:r>
        <w:rPr>
          <w:rFonts w:hint="eastAsia" w:ascii="宋体" w:hAnsi="宋体"/>
          <w:sz w:val="24"/>
          <w:szCs w:val="24"/>
          <w:lang w:val="en-US" w:eastAsia="zh-CN"/>
        </w:rPr>
        <w:t>危险化学品安全生产管理资质及</w:t>
      </w:r>
      <w:r>
        <w:rPr>
          <w:rFonts w:hint="eastAsia" w:ascii="宋体" w:hAnsi="宋体" w:eastAsia="宋体"/>
          <w:sz w:val="24"/>
          <w:szCs w:val="24"/>
          <w:lang w:val="en-US" w:eastAsia="zh-CN"/>
        </w:rPr>
        <w:t>2</w:t>
      </w:r>
      <w:r>
        <w:rPr>
          <w:rFonts w:hint="eastAsia" w:ascii="宋体" w:hAnsi="宋体" w:eastAsia="宋体"/>
          <w:sz w:val="24"/>
          <w:szCs w:val="24"/>
        </w:rPr>
        <w:t>年以上从事港口</w:t>
      </w:r>
      <w:r>
        <w:rPr>
          <w:rFonts w:hint="eastAsia" w:ascii="宋体" w:hAnsi="宋体" w:eastAsia="宋体"/>
          <w:sz w:val="24"/>
          <w:szCs w:val="24"/>
          <w:lang w:val="en-US" w:eastAsia="zh-CN"/>
        </w:rPr>
        <w:t>熏蒸</w:t>
      </w:r>
      <w:r>
        <w:rPr>
          <w:rFonts w:hint="eastAsia" w:ascii="宋体" w:hAnsi="宋体" w:eastAsia="宋体"/>
          <w:sz w:val="24"/>
          <w:szCs w:val="24"/>
        </w:rPr>
        <w:t>工作经验。</w:t>
      </w:r>
      <w:r>
        <w:rPr>
          <w:rFonts w:hint="eastAsia" w:ascii="宋体" w:hAnsi="宋体" w:eastAsia="宋体"/>
          <w:sz w:val="24"/>
          <w:szCs w:val="24"/>
          <w:lang w:val="en-US" w:eastAsia="zh-CN"/>
        </w:rPr>
        <w:t>本次招标</w:t>
      </w:r>
      <w:r>
        <w:rPr>
          <w:rFonts w:hint="eastAsia" w:ascii="宋体" w:hAnsi="宋体" w:eastAsia="宋体"/>
          <w:sz w:val="24"/>
          <w:szCs w:val="24"/>
        </w:rPr>
        <w:t>须提供</w:t>
      </w:r>
      <w:r>
        <w:rPr>
          <w:rFonts w:hint="eastAsia" w:ascii="宋体" w:hAnsi="宋体" w:eastAsia="宋体"/>
          <w:sz w:val="24"/>
          <w:szCs w:val="24"/>
          <w:lang w:val="en-US" w:eastAsia="zh-CN"/>
        </w:rPr>
        <w:t>至少3</w:t>
      </w:r>
      <w:r>
        <w:rPr>
          <w:rFonts w:hint="eastAsia" w:ascii="宋体" w:hAnsi="宋体" w:eastAsia="宋体"/>
          <w:sz w:val="24"/>
          <w:szCs w:val="24"/>
        </w:rPr>
        <w:t>名</w:t>
      </w:r>
      <w:r>
        <w:rPr>
          <w:rFonts w:hint="eastAsia" w:ascii="宋体" w:hAnsi="宋体" w:eastAsia="宋体"/>
          <w:sz w:val="24"/>
          <w:szCs w:val="24"/>
          <w:lang w:val="en-US" w:eastAsia="zh-CN"/>
        </w:rPr>
        <w:t>作业</w:t>
      </w:r>
      <w:r>
        <w:rPr>
          <w:rFonts w:hint="eastAsia" w:ascii="宋体" w:hAnsi="宋体" w:eastAsia="宋体"/>
          <w:sz w:val="24"/>
          <w:szCs w:val="24"/>
        </w:rPr>
        <w:t>人员</w:t>
      </w:r>
      <w:r>
        <w:rPr>
          <w:rFonts w:hint="eastAsia" w:ascii="宋体" w:hAnsi="宋体" w:eastAsia="宋体"/>
          <w:sz w:val="24"/>
          <w:szCs w:val="24"/>
          <w:lang w:val="en-US" w:eastAsia="zh-CN"/>
        </w:rPr>
        <w:t>和1名管理人员</w:t>
      </w:r>
      <w:r>
        <w:rPr>
          <w:rFonts w:hint="eastAsia" w:ascii="宋体" w:hAnsi="宋体" w:eastAsia="宋体"/>
          <w:sz w:val="24"/>
          <w:szCs w:val="24"/>
        </w:rPr>
        <w:t>投标前</w:t>
      </w:r>
      <w:r>
        <w:rPr>
          <w:rFonts w:hint="eastAsia" w:ascii="宋体" w:hAnsi="宋体" w:eastAsia="宋体"/>
          <w:sz w:val="24"/>
          <w:szCs w:val="24"/>
          <w:lang w:val="en-US" w:eastAsia="zh-CN"/>
        </w:rPr>
        <w:t>一个月</w:t>
      </w:r>
      <w:r>
        <w:rPr>
          <w:rFonts w:hint="eastAsia" w:ascii="宋体" w:hAnsi="宋体" w:eastAsia="宋体"/>
          <w:sz w:val="24"/>
          <w:szCs w:val="24"/>
        </w:rPr>
        <w:t>的工伤保险证明。</w:t>
      </w:r>
    </w:p>
    <w:p>
      <w:pPr>
        <w:adjustRightInd w:val="0"/>
        <w:snapToGrid w:val="0"/>
        <w:spacing w:after="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（四） 本次招标不接受联合体投标。</w:t>
      </w:r>
    </w:p>
    <w:p>
      <w:pPr>
        <w:autoSpaceDE w:val="0"/>
        <w:spacing w:line="360" w:lineRule="auto"/>
        <w:ind w:firstLine="480" w:firstLineChars="200"/>
        <w:jc w:val="both"/>
        <w:rPr>
          <w:rFonts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五</w:t>
      </w:r>
      <w:r>
        <w:rPr>
          <w:rFonts w:hint="eastAsia" w:ascii="宋体" w:hAnsi="宋体"/>
          <w:b w:val="0"/>
          <w:bCs w:val="0"/>
          <w:sz w:val="24"/>
          <w:lang w:eastAsia="zh-CN"/>
        </w:rPr>
        <w:t>）</w:t>
      </w:r>
      <w:r>
        <w:rPr>
          <w:rFonts w:hint="eastAsia" w:ascii="宋体" w:hAnsi="宋体"/>
          <w:sz w:val="24"/>
        </w:rPr>
        <w:t>供应商不得存在下列情形之一:</w:t>
      </w:r>
    </w:p>
    <w:p>
      <w:pPr>
        <w:autoSpaceDE w:val="0"/>
        <w:spacing w:line="360" w:lineRule="auto"/>
        <w:ind w:firstLine="480" w:firstLineChars="200"/>
        <w:jc w:val="both"/>
        <w:rPr>
          <w:rFonts w:ascii="宋体" w:hAnsi="宋体"/>
          <w:sz w:val="24"/>
        </w:rPr>
      </w:pPr>
      <w:r>
        <w:rPr>
          <w:rFonts w:hint="eastAsia" w:ascii="宋体" w:hAnsi="宋体"/>
          <w:sz w:val="24"/>
          <w:lang w:val="en-US" w:eastAsia="zh-CN"/>
        </w:rPr>
        <w:t>1.</w:t>
      </w:r>
      <w:r>
        <w:rPr>
          <w:rFonts w:hint="eastAsia" w:ascii="宋体" w:hAnsi="宋体"/>
          <w:sz w:val="24"/>
        </w:rPr>
        <w:t>处于被责令停产停业、暂扣或者吊销执照、暂扣或者吊销许可证、吊销资质证书状态;</w:t>
      </w:r>
    </w:p>
    <w:p>
      <w:pPr>
        <w:autoSpaceDE w:val="0"/>
        <w:spacing w:line="360" w:lineRule="auto"/>
        <w:ind w:firstLine="480" w:firstLineChars="200"/>
        <w:jc w:val="both"/>
        <w:rPr>
          <w:rFonts w:ascii="宋体" w:hAnsi="宋体"/>
          <w:sz w:val="24"/>
        </w:rPr>
      </w:pPr>
      <w:r>
        <w:rPr>
          <w:rFonts w:hint="eastAsia" w:ascii="宋体" w:hAnsi="宋体"/>
          <w:sz w:val="24"/>
          <w:lang w:val="en-US" w:eastAsia="zh-CN"/>
        </w:rPr>
        <w:t>2.</w:t>
      </w:r>
      <w:r>
        <w:rPr>
          <w:rFonts w:hint="eastAsia" w:ascii="宋体" w:hAnsi="宋体"/>
          <w:sz w:val="24"/>
        </w:rPr>
        <w:t>进入清算程序，或被宣告破产，或其他丧失履约能力的情形;</w:t>
      </w:r>
    </w:p>
    <w:p>
      <w:pPr>
        <w:autoSpaceDE w:val="0"/>
        <w:spacing w:line="360" w:lineRule="auto"/>
        <w:ind w:firstLine="480" w:firstLineChars="200"/>
        <w:jc w:val="both"/>
        <w:rPr>
          <w:rFonts w:hint="eastAsia" w:ascii="宋体" w:hAnsi="宋体" w:eastAsia="宋体"/>
          <w:sz w:val="24"/>
          <w:lang w:eastAsia="zh-CN"/>
        </w:rPr>
      </w:pPr>
      <w:r>
        <w:rPr>
          <w:rFonts w:hint="eastAsia" w:ascii="宋体" w:hAnsi="宋体"/>
          <w:sz w:val="24"/>
          <w:lang w:val="en-US" w:eastAsia="zh-CN"/>
        </w:rPr>
        <w:t>3.</w:t>
      </w:r>
      <w:r>
        <w:rPr>
          <w:rFonts w:hint="eastAsia" w:ascii="宋体" w:hAnsi="宋体"/>
          <w:sz w:val="24"/>
        </w:rPr>
        <w:t>被采购人或采购人上级单位纳入黑名单</w:t>
      </w:r>
      <w:r>
        <w:rPr>
          <w:rFonts w:hint="eastAsia" w:ascii="宋体" w:hAnsi="宋体"/>
          <w:sz w:val="24"/>
          <w:lang w:eastAsia="zh-CN"/>
        </w:rPr>
        <w:t>；</w:t>
      </w:r>
    </w:p>
    <w:p>
      <w:pPr>
        <w:autoSpaceDE/>
        <w:spacing w:line="360" w:lineRule="auto"/>
        <w:ind w:firstLine="480" w:firstLineChars="200"/>
        <w:jc w:val="left"/>
        <w:rPr>
          <w:rFonts w:ascii="宋体" w:hAnsi="宋体"/>
          <w:sz w:val="24"/>
        </w:rPr>
      </w:pPr>
      <w:r>
        <w:rPr>
          <w:rFonts w:hint="eastAsia" w:ascii="宋体" w:hAnsi="宋体"/>
          <w:sz w:val="24"/>
          <w:lang w:val="en-US" w:eastAsia="zh-CN"/>
        </w:rPr>
        <w:t>4.</w:t>
      </w:r>
      <w:r>
        <w:rPr>
          <w:rFonts w:hint="eastAsia"/>
          <w:sz w:val="24"/>
          <w:szCs w:val="24"/>
        </w:rPr>
        <w:t>涉及正在诉讼的案件且经审查委员会认定会对承担本项目造成重大影响</w:t>
      </w:r>
      <w:r>
        <w:rPr>
          <w:rFonts w:hint="eastAsia"/>
          <w:sz w:val="24"/>
          <w:szCs w:val="24"/>
          <w:lang w:eastAsia="zh-CN"/>
        </w:rPr>
        <w:t>。</w:t>
      </w:r>
    </w:p>
    <w:p>
      <w:pPr>
        <w:autoSpaceDE w:val="0"/>
        <w:spacing w:line="360" w:lineRule="auto"/>
        <w:ind w:firstLine="480" w:firstLineChars="200"/>
        <w:jc w:val="both"/>
        <w:rPr>
          <w:rFonts w:ascii="宋体" w:hAnsi="宋体"/>
          <w:sz w:val="24"/>
        </w:rPr>
      </w:pPr>
      <w:r>
        <w:rPr>
          <w:rFonts w:hint="eastAsia" w:ascii="宋体" w:hAnsi="宋体"/>
          <w:sz w:val="24"/>
          <w:lang w:eastAsia="zh-CN"/>
        </w:rPr>
        <w:t>（</w:t>
      </w:r>
      <w:r>
        <w:rPr>
          <w:rFonts w:hint="eastAsia" w:ascii="宋体" w:hAnsi="宋体"/>
          <w:sz w:val="24"/>
          <w:lang w:val="en-US" w:eastAsia="zh-CN"/>
        </w:rPr>
        <w:t>六</w:t>
      </w:r>
      <w:r>
        <w:rPr>
          <w:rFonts w:hint="eastAsia" w:ascii="宋体" w:hAnsi="宋体"/>
          <w:sz w:val="24"/>
          <w:lang w:eastAsia="zh-CN"/>
        </w:rPr>
        <w:t>）</w:t>
      </w:r>
      <w:r>
        <w:rPr>
          <w:rFonts w:hint="eastAsia" w:ascii="宋体" w:hAnsi="宋体"/>
          <w:sz w:val="24"/>
        </w:rPr>
        <w:t>供应商应满足如下要求:</w:t>
      </w:r>
    </w:p>
    <w:tbl>
      <w:tblPr>
        <w:tblStyle w:val="4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60" w:lineRule="auto"/>
              <w:jc w:val="center"/>
              <w:rPr>
                <w:rFonts w:ascii="宋体" w:hAnsi="宋体"/>
                <w:sz w:val="24"/>
              </w:rPr>
            </w:pPr>
            <w:r>
              <w:rPr>
                <w:rFonts w:hint="eastAsia" w:ascii="宋体" w:hAnsi="宋体"/>
                <w:sz w:val="24"/>
              </w:rPr>
              <w:t>资格条件</w:t>
            </w:r>
          </w:p>
        </w:tc>
        <w:tc>
          <w:tcPr>
            <w:tcW w:w="1786" w:type="dxa"/>
          </w:tcPr>
          <w:p>
            <w:pPr>
              <w:widowControl w:val="0"/>
              <w:spacing w:line="360" w:lineRule="auto"/>
              <w:jc w:val="center"/>
              <w:rPr>
                <w:rFonts w:ascii="宋体" w:hAnsi="宋体"/>
                <w:sz w:val="24"/>
              </w:rPr>
            </w:pPr>
            <w:r>
              <w:rPr>
                <w:rFonts w:hint="eastAsia" w:ascii="宋体" w:hAnsi="宋体"/>
                <w:sz w:val="24"/>
              </w:rPr>
              <w:t>对供应商要求</w:t>
            </w:r>
          </w:p>
        </w:tc>
        <w:tc>
          <w:tcPr>
            <w:tcW w:w="5443" w:type="dxa"/>
          </w:tcPr>
          <w:p>
            <w:pPr>
              <w:widowControl w:val="0"/>
              <w:spacing w:line="360" w:lineRule="auto"/>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（1）依法设立</w:t>
            </w:r>
          </w:p>
        </w:tc>
        <w:tc>
          <w:tcPr>
            <w:tcW w:w="1786" w:type="dxa"/>
          </w:tcPr>
          <w:p>
            <w:pPr>
              <w:widowControl w:val="0"/>
              <w:spacing w:line="360" w:lineRule="auto"/>
              <w:jc w:val="both"/>
              <w:rPr>
                <w:rFonts w:ascii="宋体" w:hAnsi="宋体"/>
                <w:b w:val="0"/>
                <w:bCs w:val="0"/>
                <w:sz w:val="21"/>
                <w:szCs w:val="21"/>
              </w:rPr>
            </w:pPr>
            <w:r>
              <w:rPr>
                <w:rStyle w:val="42"/>
                <w:rFonts w:hint="eastAsia"/>
                <w:b w:val="0"/>
                <w:bCs w:val="0"/>
                <w:szCs w:val="21"/>
                <w:u w:val="single"/>
                <w:lang w:eastAsia="zh-CN"/>
              </w:rPr>
              <w:t>☑</w:t>
            </w:r>
            <w:r>
              <w:rPr>
                <w:rStyle w:val="42"/>
                <w:rFonts w:hint="eastAsia"/>
                <w:b w:val="0"/>
                <w:bCs w:val="0"/>
                <w:szCs w:val="21"/>
                <w:u w:val="single"/>
              </w:rPr>
              <w:t>适用</w:t>
            </w:r>
          </w:p>
        </w:tc>
        <w:tc>
          <w:tcPr>
            <w:tcW w:w="5443" w:type="dxa"/>
          </w:tcPr>
          <w:p>
            <w:pPr>
              <w:widowControl w:val="0"/>
              <w:spacing w:line="360" w:lineRule="auto"/>
              <w:jc w:val="both"/>
              <w:rPr>
                <w:rFonts w:ascii="宋体" w:hAnsi="宋体"/>
                <w:b w:val="0"/>
                <w:bCs w:val="0"/>
                <w:sz w:val="21"/>
                <w:szCs w:val="21"/>
              </w:rPr>
            </w:pPr>
            <w:r>
              <w:rPr>
                <w:rFonts w:hint="eastAsia" w:asciiTheme="minorEastAsia" w:hAnsiTheme="minorEastAsia" w:eastAsiaTheme="minorEastAsia"/>
                <w:b w:val="0"/>
                <w:bCs w:val="0"/>
                <w:color w:val="000000"/>
                <w:sz w:val="21"/>
                <w:szCs w:val="21"/>
              </w:rPr>
              <w:t>供应商应提供市场监管部门或其他行政机关颁发的可以合法开展业务的执照或证书</w:t>
            </w:r>
            <w:r>
              <w:rPr>
                <w:rFonts w:hint="eastAsia" w:asciiTheme="minorEastAsia" w:hAnsiTheme="minorEastAsia" w:eastAsiaTheme="minorEastAsia"/>
                <w:b w:val="0"/>
                <w:bCs w:val="0"/>
                <w:color w:val="000000"/>
                <w:sz w:val="21"/>
                <w:szCs w:val="21"/>
                <w:lang w:val="en-US" w:eastAsia="zh-CN"/>
              </w:rPr>
              <w:t>复印件并加盖单位公章</w:t>
            </w:r>
            <w:r>
              <w:rPr>
                <w:rFonts w:hint="eastAsia" w:asciiTheme="minorEastAsia" w:hAnsiTheme="minorEastAsia" w:eastAsiaTheme="minorEastAsia"/>
                <w:b w:val="0"/>
                <w:bCs w:val="0"/>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（2）资质要求</w:t>
            </w:r>
          </w:p>
        </w:tc>
        <w:tc>
          <w:tcPr>
            <w:tcW w:w="1786" w:type="dxa"/>
          </w:tcPr>
          <w:p>
            <w:pPr>
              <w:widowControl w:val="0"/>
              <w:spacing w:line="360" w:lineRule="auto"/>
              <w:jc w:val="both"/>
              <w:rPr>
                <w:rFonts w:ascii="宋体" w:hAnsi="宋体"/>
                <w:b w:val="0"/>
                <w:bCs w:val="0"/>
                <w:sz w:val="21"/>
                <w:szCs w:val="21"/>
              </w:rPr>
            </w:pPr>
            <w:r>
              <w:rPr>
                <w:rStyle w:val="42"/>
                <w:rFonts w:hint="eastAsia"/>
                <w:b w:val="0"/>
                <w:bCs w:val="0"/>
                <w:szCs w:val="21"/>
                <w:u w:val="single"/>
              </w:rPr>
              <w:sym w:font="Wingdings 2" w:char="0052"/>
            </w:r>
            <w:r>
              <w:rPr>
                <w:rStyle w:val="42"/>
                <w:rFonts w:hint="eastAsia"/>
                <w:b w:val="0"/>
                <w:bCs w:val="0"/>
                <w:szCs w:val="21"/>
                <w:u w:val="single"/>
              </w:rPr>
              <w:t xml:space="preserve">适用  </w:t>
            </w:r>
          </w:p>
        </w:tc>
        <w:tc>
          <w:tcPr>
            <w:tcW w:w="5443" w:type="dxa"/>
          </w:tcPr>
          <w:p>
            <w:pPr>
              <w:widowControl w:val="0"/>
              <w:spacing w:line="360" w:lineRule="auto"/>
              <w:jc w:val="both"/>
              <w:rPr>
                <w:rFonts w:ascii="宋体" w:hAnsi="宋体"/>
                <w:b w:val="0"/>
                <w:bCs w:val="0"/>
                <w:sz w:val="21"/>
                <w:szCs w:val="21"/>
              </w:rPr>
            </w:pPr>
            <w:r>
              <w:rPr>
                <w:rFonts w:hint="eastAsia" w:cs="宋体" w:asciiTheme="minorEastAsia" w:hAnsiTheme="minorEastAsia" w:eastAsiaTheme="minorEastAsia"/>
                <w:color w:val="000000"/>
                <w:sz w:val="24"/>
                <w:lang w:val="en-US" w:eastAsia="zh-CN"/>
              </w:rPr>
              <w:t>供应商</w:t>
            </w:r>
            <w:r>
              <w:rPr>
                <w:rFonts w:hint="eastAsia" w:cs="宋体" w:asciiTheme="minorEastAsia" w:hAnsiTheme="minorEastAsia" w:eastAsiaTheme="minorEastAsia"/>
                <w:color w:val="000000"/>
                <w:sz w:val="24"/>
                <w:lang w:eastAsia="zh-CN"/>
              </w:rPr>
              <w:t>具有</w:t>
            </w:r>
            <w:r>
              <w:rPr>
                <w:rFonts w:hint="eastAsia" w:cs="宋体" w:asciiTheme="minorEastAsia" w:hAnsiTheme="minorEastAsia" w:eastAsiaTheme="minorEastAsia"/>
                <w:color w:val="000000"/>
                <w:sz w:val="24"/>
                <w:lang w:val="en-US" w:eastAsia="zh-CN"/>
              </w:rPr>
              <w:t>海关</w:t>
            </w:r>
            <w:r>
              <w:rPr>
                <w:rFonts w:hint="eastAsia" w:cs="宋体" w:asciiTheme="minorEastAsia" w:hAnsiTheme="minorEastAsia" w:eastAsiaTheme="minorEastAsia"/>
                <w:color w:val="000000"/>
                <w:sz w:val="24"/>
                <w:lang w:eastAsia="zh-CN"/>
              </w:rPr>
              <w:t>颁发的</w:t>
            </w:r>
            <w:r>
              <w:rPr>
                <w:rFonts w:hint="eastAsia" w:cs="宋体" w:asciiTheme="minorEastAsia" w:hAnsiTheme="minorEastAsia" w:eastAsiaTheme="minorEastAsia"/>
                <w:color w:val="000000"/>
                <w:sz w:val="24"/>
                <w:lang w:val="en-US" w:eastAsia="zh-CN"/>
              </w:rPr>
              <w:t>作业资质</w:t>
            </w:r>
            <w:r>
              <w:rPr>
                <w:rFonts w:hint="eastAsia" w:cs="宋体" w:asciiTheme="minorEastAsia" w:hAnsiTheme="minorEastAsia" w:eastAsiaTheme="minorEastAsia"/>
                <w:color w:val="000000"/>
                <w:sz w:val="24"/>
                <w:lang w:eastAsia="zh-CN"/>
              </w:rPr>
              <w:t>机构证书，提供证书复印件并加盖单位公章。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（3）财务要求</w:t>
            </w:r>
          </w:p>
        </w:tc>
        <w:tc>
          <w:tcPr>
            <w:tcW w:w="1786" w:type="dxa"/>
          </w:tcPr>
          <w:p>
            <w:pPr>
              <w:widowControl w:val="0"/>
              <w:spacing w:line="360" w:lineRule="auto"/>
              <w:jc w:val="both"/>
              <w:rPr>
                <w:rFonts w:ascii="宋体" w:hAnsi="宋体"/>
                <w:b w:val="0"/>
                <w:bCs w:val="0"/>
                <w:sz w:val="21"/>
                <w:szCs w:val="21"/>
              </w:rPr>
            </w:pPr>
            <w:r>
              <w:rPr>
                <w:rStyle w:val="42"/>
                <w:rFonts w:hint="eastAsia"/>
                <w:b w:val="0"/>
                <w:bCs w:val="0"/>
                <w:szCs w:val="21"/>
                <w:u w:val="single"/>
                <w:lang w:eastAsia="zh-CN"/>
              </w:rPr>
              <w:t>☑</w:t>
            </w:r>
            <w:r>
              <w:rPr>
                <w:rStyle w:val="42"/>
                <w:rFonts w:hint="eastAsia"/>
                <w:b w:val="0"/>
                <w:bCs w:val="0"/>
                <w:szCs w:val="21"/>
                <w:u w:val="single"/>
              </w:rPr>
              <w:t>适用</w:t>
            </w:r>
          </w:p>
        </w:tc>
        <w:tc>
          <w:tcPr>
            <w:tcW w:w="5443" w:type="dxa"/>
          </w:tcPr>
          <w:p>
            <w:pPr>
              <w:widowControl/>
              <w:spacing w:line="360" w:lineRule="auto"/>
              <w:jc w:val="both"/>
              <w:rPr>
                <w:rFonts w:ascii="宋体" w:hAnsi="宋体"/>
                <w:b w:val="0"/>
                <w:bCs w:val="0"/>
                <w:sz w:val="21"/>
                <w:szCs w:val="21"/>
              </w:rPr>
            </w:pPr>
            <w:r>
              <w:rPr>
                <w:rFonts w:hint="eastAsia" w:cs="宋体" w:asciiTheme="minorEastAsia" w:hAnsiTheme="minorEastAsia" w:eastAsiaTheme="minorEastAsia"/>
                <w:b w:val="0"/>
                <w:bCs w:val="0"/>
                <w:color w:val="000000"/>
                <w:sz w:val="21"/>
                <w:szCs w:val="21"/>
              </w:rPr>
              <w:t>供应商应提供经会计师事务所或审计机构审计的近年财务会计报表复印件</w:t>
            </w:r>
            <w:r>
              <w:rPr>
                <w:rFonts w:hint="eastAsia" w:cs="宋体" w:asciiTheme="minorEastAsia" w:hAnsiTheme="minorEastAsia" w:eastAsiaTheme="minorEastAsia"/>
                <w:b w:val="0"/>
                <w:bCs w:val="0"/>
                <w:color w:val="000000"/>
                <w:sz w:val="21"/>
                <w:szCs w:val="21"/>
                <w:lang w:val="en-US" w:eastAsia="zh-CN"/>
              </w:rPr>
              <w:t>并加盖单位公章</w:t>
            </w:r>
            <w:r>
              <w:rPr>
                <w:rFonts w:hint="eastAsia" w:cs="宋体" w:asciiTheme="minorEastAsia" w:hAnsiTheme="minorEastAsia" w:eastAsiaTheme="minorEastAsia"/>
                <w:b w:val="0"/>
                <w:bCs w:val="0"/>
                <w:color w:val="000000"/>
                <w:sz w:val="21"/>
                <w:szCs w:val="21"/>
              </w:rPr>
              <w:t>，包括资产负债表，现金流量表、利润表等。近年财务会计报表年份是指：</w:t>
            </w:r>
            <w:r>
              <w:rPr>
                <w:rFonts w:hint="eastAsia" w:cs="宋体" w:asciiTheme="minorEastAsia" w:hAnsiTheme="minorEastAsia" w:eastAsiaTheme="minorEastAsia"/>
                <w:b w:val="0"/>
                <w:bCs w:val="0"/>
                <w:color w:val="000000"/>
                <w:sz w:val="21"/>
                <w:szCs w:val="21"/>
                <w:u w:val="single"/>
              </w:rPr>
              <w:t xml:space="preserve"> </w:t>
            </w:r>
            <w:r>
              <w:rPr>
                <w:rFonts w:hint="eastAsia" w:cs="宋体" w:asciiTheme="minorEastAsia" w:hAnsiTheme="minorEastAsia" w:eastAsiaTheme="minorEastAsia"/>
                <w:b w:val="0"/>
                <w:bCs w:val="0"/>
                <w:color w:val="000000"/>
                <w:sz w:val="21"/>
                <w:szCs w:val="21"/>
                <w:u w:val="single"/>
                <w:lang w:val="en-US" w:eastAsia="zh-CN"/>
              </w:rPr>
              <w:t>2020</w:t>
            </w:r>
            <w:r>
              <w:rPr>
                <w:rFonts w:hint="eastAsia" w:cs="宋体" w:asciiTheme="minorEastAsia" w:hAnsiTheme="minorEastAsia" w:eastAsiaTheme="minorEastAsia"/>
                <w:b w:val="0"/>
                <w:bCs w:val="0"/>
                <w:color w:val="000000"/>
                <w:sz w:val="21"/>
                <w:szCs w:val="21"/>
                <w:u w:val="single"/>
              </w:rPr>
              <w:t xml:space="preserve"> </w:t>
            </w:r>
            <w:r>
              <w:rPr>
                <w:rFonts w:hint="eastAsia" w:cs="宋体" w:asciiTheme="minorEastAsia" w:hAnsiTheme="minorEastAsia" w:eastAsiaTheme="minorEastAsia"/>
                <w:b w:val="0"/>
                <w:bCs w:val="0"/>
                <w:color w:val="000000"/>
                <w:sz w:val="21"/>
                <w:szCs w:val="21"/>
              </w:rPr>
              <w:t>至</w:t>
            </w:r>
            <w:r>
              <w:rPr>
                <w:rFonts w:hint="eastAsia" w:cs="宋体" w:asciiTheme="minorEastAsia" w:hAnsiTheme="minorEastAsia" w:eastAsiaTheme="minorEastAsia"/>
                <w:b w:val="0"/>
                <w:bCs w:val="0"/>
                <w:color w:val="000000"/>
                <w:sz w:val="21"/>
                <w:szCs w:val="21"/>
                <w:u w:val="single"/>
              </w:rPr>
              <w:t xml:space="preserve"> </w:t>
            </w:r>
            <w:r>
              <w:rPr>
                <w:rFonts w:hint="eastAsia" w:cs="宋体" w:asciiTheme="minorEastAsia" w:hAnsiTheme="minorEastAsia" w:eastAsiaTheme="minorEastAsia"/>
                <w:b w:val="0"/>
                <w:bCs w:val="0"/>
                <w:color w:val="000000"/>
                <w:sz w:val="21"/>
                <w:szCs w:val="21"/>
                <w:u w:val="single"/>
                <w:lang w:val="en-US" w:eastAsia="zh-CN"/>
              </w:rPr>
              <w:t>2022</w:t>
            </w:r>
            <w:r>
              <w:rPr>
                <w:rFonts w:hint="eastAsia" w:cs="宋体" w:asciiTheme="minorEastAsia" w:hAnsiTheme="minorEastAsia" w:eastAsiaTheme="minorEastAsia"/>
                <w:b w:val="0"/>
                <w:bCs w:val="0"/>
                <w:color w:val="000000"/>
                <w:sz w:val="21"/>
                <w:szCs w:val="21"/>
                <w:u w:val="single"/>
              </w:rPr>
              <w:t xml:space="preserve"> </w:t>
            </w:r>
            <w:r>
              <w:rPr>
                <w:rFonts w:hint="eastAsia" w:cs="宋体" w:asciiTheme="minorEastAsia" w:hAnsiTheme="minorEastAsia" w:eastAsiaTheme="minorEastAsia"/>
                <w:b w:val="0"/>
                <w:bCs w:val="0"/>
                <w:color w:val="000000"/>
                <w:sz w:val="21"/>
                <w:szCs w:val="21"/>
              </w:rPr>
              <w:t>年（供应商的成立时间少于该规定年份的，应提供成立以来的财务会计报表）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（4）业绩要求</w:t>
            </w:r>
          </w:p>
        </w:tc>
        <w:tc>
          <w:tcPr>
            <w:tcW w:w="1786" w:type="dxa"/>
          </w:tcPr>
          <w:p>
            <w:pPr>
              <w:widowControl w:val="0"/>
              <w:spacing w:line="360" w:lineRule="auto"/>
              <w:jc w:val="both"/>
              <w:rPr>
                <w:rFonts w:ascii="宋体" w:hAnsi="宋体"/>
                <w:b w:val="0"/>
                <w:bCs w:val="0"/>
                <w:sz w:val="21"/>
                <w:szCs w:val="21"/>
              </w:rPr>
            </w:pPr>
            <w:r>
              <w:rPr>
                <w:rStyle w:val="42"/>
                <w:rFonts w:hint="eastAsia"/>
                <w:b w:val="0"/>
                <w:bCs w:val="0"/>
                <w:szCs w:val="21"/>
                <w:u w:val="single"/>
                <w:lang w:eastAsia="zh-CN"/>
              </w:rPr>
              <w:t>☑</w:t>
            </w:r>
            <w:r>
              <w:rPr>
                <w:rStyle w:val="42"/>
                <w:rFonts w:hint="eastAsia"/>
                <w:b w:val="0"/>
                <w:bCs w:val="0"/>
                <w:szCs w:val="21"/>
                <w:u w:val="single"/>
              </w:rPr>
              <w:t>适用</w:t>
            </w:r>
          </w:p>
        </w:tc>
        <w:tc>
          <w:tcPr>
            <w:tcW w:w="5443" w:type="dxa"/>
          </w:tcPr>
          <w:p>
            <w:pPr>
              <w:widowControl w:val="0"/>
              <w:spacing w:line="360" w:lineRule="auto"/>
              <w:jc w:val="both"/>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提供2021年到2023年期间1个业绩资料，提供合同和业务量的佐证材料（海关检疫通知书或委托书）评价报告复印件并加盖单位公章。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（5）信誉要求</w:t>
            </w:r>
          </w:p>
        </w:tc>
        <w:tc>
          <w:tcPr>
            <w:tcW w:w="1786" w:type="dxa"/>
          </w:tcPr>
          <w:p>
            <w:pPr>
              <w:widowControl w:val="0"/>
              <w:spacing w:line="360" w:lineRule="auto"/>
              <w:jc w:val="both"/>
              <w:rPr>
                <w:rFonts w:ascii="宋体" w:hAnsi="宋体"/>
                <w:b w:val="0"/>
                <w:bCs w:val="0"/>
                <w:sz w:val="21"/>
                <w:szCs w:val="21"/>
              </w:rPr>
            </w:pPr>
            <w:r>
              <w:rPr>
                <w:rStyle w:val="42"/>
                <w:rFonts w:hint="eastAsia"/>
                <w:b w:val="0"/>
                <w:bCs w:val="0"/>
                <w:szCs w:val="21"/>
                <w:u w:val="single"/>
                <w:lang w:eastAsia="zh-CN"/>
              </w:rPr>
              <w:t>☑</w:t>
            </w:r>
            <w:r>
              <w:rPr>
                <w:rStyle w:val="42"/>
                <w:rFonts w:hint="eastAsia"/>
                <w:b w:val="0"/>
                <w:bCs w:val="0"/>
                <w:szCs w:val="21"/>
                <w:u w:val="single"/>
              </w:rPr>
              <w:t xml:space="preserve">不适用  </w:t>
            </w:r>
          </w:p>
        </w:tc>
        <w:tc>
          <w:tcPr>
            <w:tcW w:w="5443" w:type="dxa"/>
          </w:tcPr>
          <w:p>
            <w:pPr>
              <w:widowControl w:val="0"/>
              <w:spacing w:line="360" w:lineRule="auto"/>
              <w:jc w:val="both"/>
              <w:rPr>
                <w:rFonts w:ascii="宋体" w:hAnsi="宋体"/>
                <w:b w:val="0"/>
                <w:bCs w:val="0"/>
                <w:sz w:val="21"/>
                <w:szCs w:val="21"/>
              </w:rPr>
            </w:pPr>
            <w:r>
              <w:rPr>
                <w:rStyle w:val="42"/>
                <w:rFonts w:hint="eastAsia"/>
                <w:b w:val="0"/>
                <w:bCs w:val="0"/>
                <w:szCs w:val="21"/>
                <w:u w:val="single"/>
                <w:lang w:eastAsia="zh-CN"/>
              </w:rPr>
              <w:t>☑</w:t>
            </w:r>
            <w:r>
              <w:rPr>
                <w:rStyle w:val="42"/>
                <w:rFonts w:hint="eastAsia"/>
                <w:b w:val="0"/>
                <w:bCs w:val="0"/>
                <w:szCs w:val="21"/>
                <w:u w:val="singl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（6）承担本项目的主要人员要求</w:t>
            </w:r>
          </w:p>
        </w:tc>
        <w:tc>
          <w:tcPr>
            <w:tcW w:w="1786" w:type="dxa"/>
          </w:tcPr>
          <w:p>
            <w:pPr>
              <w:widowControl w:val="0"/>
              <w:spacing w:line="360" w:lineRule="auto"/>
              <w:jc w:val="both"/>
              <w:rPr>
                <w:rFonts w:ascii="宋体" w:hAnsi="宋体"/>
                <w:b w:val="0"/>
                <w:bCs w:val="0"/>
                <w:sz w:val="21"/>
                <w:szCs w:val="21"/>
              </w:rPr>
            </w:pPr>
            <w:r>
              <w:rPr>
                <w:rStyle w:val="42"/>
                <w:rFonts w:hint="eastAsia"/>
                <w:b w:val="0"/>
                <w:bCs w:val="0"/>
                <w:szCs w:val="21"/>
                <w:u w:val="single"/>
                <w:lang w:eastAsia="zh-CN"/>
              </w:rPr>
              <w:t>☑</w:t>
            </w:r>
            <w:r>
              <w:rPr>
                <w:rStyle w:val="42"/>
                <w:rFonts w:hint="eastAsia"/>
                <w:b w:val="0"/>
                <w:bCs w:val="0"/>
                <w:szCs w:val="21"/>
                <w:u w:val="single"/>
              </w:rPr>
              <w:t>适用</w:t>
            </w:r>
          </w:p>
        </w:tc>
        <w:tc>
          <w:tcPr>
            <w:tcW w:w="5443" w:type="dxa"/>
          </w:tcPr>
          <w:p>
            <w:pPr>
              <w:widowControl w:val="0"/>
              <w:numPr>
                <w:ilvl w:val="0"/>
                <w:numId w:val="0"/>
              </w:numPr>
              <w:spacing w:line="360" w:lineRule="auto"/>
              <w:jc w:val="both"/>
              <w:rPr>
                <w:rFonts w:ascii="宋体" w:hAnsi="宋体"/>
                <w:b w:val="0"/>
                <w:bCs w:val="0"/>
                <w:color w:val="auto"/>
                <w:sz w:val="21"/>
                <w:szCs w:val="21"/>
              </w:rPr>
            </w:pPr>
            <w:r>
              <w:rPr>
                <w:rFonts w:ascii="Times New Roman" w:hAnsi="Times New Roman" w:cs="Times New Roman"/>
                <w:b w:val="0"/>
                <w:bCs w:val="0"/>
                <w:color w:val="auto"/>
                <w:sz w:val="21"/>
                <w:szCs w:val="21"/>
              </w:rPr>
              <w:t>提供</w:t>
            </w:r>
            <w:r>
              <w:rPr>
                <w:rFonts w:hint="eastAsia" w:cs="Times New Roman"/>
                <w:b w:val="0"/>
                <w:bCs w:val="0"/>
                <w:color w:val="auto"/>
                <w:sz w:val="21"/>
                <w:szCs w:val="21"/>
                <w:lang w:eastAsia="zh-CN"/>
              </w:rPr>
              <w:t>项目负责人</w:t>
            </w:r>
            <w:r>
              <w:rPr>
                <w:rFonts w:hint="eastAsia" w:cs="Times New Roman"/>
                <w:b w:val="0"/>
                <w:bCs w:val="0"/>
                <w:color w:val="auto"/>
                <w:sz w:val="21"/>
                <w:szCs w:val="21"/>
                <w:lang w:val="en-US" w:eastAsia="zh-CN"/>
              </w:rPr>
              <w:t>响应</w:t>
            </w:r>
            <w:r>
              <w:rPr>
                <w:rFonts w:ascii="Times New Roman" w:hAnsi="Times New Roman" w:cs="Times New Roman"/>
                <w:b w:val="0"/>
                <w:bCs w:val="0"/>
                <w:color w:val="auto"/>
                <w:sz w:val="21"/>
                <w:szCs w:val="21"/>
              </w:rPr>
              <w:t>截止日前</w:t>
            </w:r>
            <w:r>
              <w:rPr>
                <w:rFonts w:hint="eastAsia" w:cs="Times New Roman"/>
                <w:b w:val="0"/>
                <w:bCs w:val="0"/>
                <w:color w:val="auto"/>
                <w:sz w:val="21"/>
                <w:szCs w:val="21"/>
                <w:lang w:eastAsia="zh-CN"/>
              </w:rPr>
              <w:t>三个月</w:t>
            </w:r>
            <w:r>
              <w:rPr>
                <w:rFonts w:ascii="Times New Roman" w:hAnsi="Times New Roman" w:cs="Times New Roman"/>
                <w:b w:val="0"/>
                <w:bCs w:val="0"/>
                <w:color w:val="auto"/>
                <w:sz w:val="21"/>
                <w:szCs w:val="21"/>
              </w:rPr>
              <w:t>的社保缴费证明或其它能够证明参加社保的有效证明材料</w:t>
            </w:r>
            <w:r>
              <w:rPr>
                <w:rFonts w:hint="eastAsia" w:cs="Times New Roman"/>
                <w:b w:val="0"/>
                <w:bCs w:val="0"/>
                <w:color w:val="auto"/>
                <w:sz w:val="21"/>
                <w:szCs w:val="21"/>
                <w:lang w:val="en-US" w:eastAsia="zh-CN"/>
              </w:rPr>
              <w:t>加盖缴费单位公章。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（7）其他要求</w:t>
            </w:r>
          </w:p>
        </w:tc>
        <w:tc>
          <w:tcPr>
            <w:tcW w:w="1786" w:type="dxa"/>
          </w:tcPr>
          <w:p>
            <w:pPr>
              <w:widowControl w:val="0"/>
              <w:spacing w:line="360" w:lineRule="auto"/>
              <w:jc w:val="both"/>
              <w:rPr>
                <w:rFonts w:ascii="宋体" w:hAnsi="宋体"/>
                <w:b w:val="0"/>
                <w:bCs w:val="0"/>
                <w:sz w:val="21"/>
                <w:szCs w:val="21"/>
              </w:rPr>
            </w:pPr>
            <w:r>
              <w:rPr>
                <w:rStyle w:val="42"/>
                <w:rFonts w:hint="eastAsia"/>
                <w:b w:val="0"/>
                <w:bCs w:val="0"/>
                <w:szCs w:val="21"/>
                <w:u w:val="single"/>
                <w:lang w:eastAsia="zh-CN"/>
              </w:rPr>
              <w:t>☑</w:t>
            </w:r>
            <w:r>
              <w:rPr>
                <w:rStyle w:val="42"/>
                <w:rFonts w:hint="eastAsia"/>
                <w:b w:val="0"/>
                <w:bCs w:val="0"/>
                <w:szCs w:val="21"/>
                <w:u w:val="single"/>
              </w:rPr>
              <w:t xml:space="preserve">不适用  </w:t>
            </w:r>
          </w:p>
        </w:tc>
        <w:tc>
          <w:tcPr>
            <w:tcW w:w="5443" w:type="dxa"/>
          </w:tcPr>
          <w:p>
            <w:pPr>
              <w:widowControl w:val="0"/>
              <w:spacing w:line="360" w:lineRule="auto"/>
              <w:jc w:val="both"/>
              <w:rPr>
                <w:rFonts w:ascii="宋体" w:hAnsi="宋体"/>
                <w:b w:val="0"/>
                <w:bCs w:val="0"/>
                <w:sz w:val="21"/>
                <w:szCs w:val="21"/>
              </w:rPr>
            </w:pPr>
            <w:r>
              <w:rPr>
                <w:rStyle w:val="42"/>
                <w:rFonts w:hint="eastAsia"/>
                <w:b w:val="0"/>
                <w:bCs w:val="0"/>
                <w:szCs w:val="21"/>
                <w:u w:val="single"/>
                <w:lang w:eastAsia="zh-CN"/>
              </w:rPr>
              <w:t>☑</w:t>
            </w:r>
            <w:r>
              <w:rPr>
                <w:rStyle w:val="42"/>
                <w:rFonts w:hint="eastAsia"/>
                <w:b w:val="0"/>
                <w:bCs w:val="0"/>
                <w:szCs w:val="21"/>
                <w:u w:val="singl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（8）供应商不存在第一章3.1款情形的证明材料</w:t>
            </w:r>
          </w:p>
        </w:tc>
        <w:tc>
          <w:tcPr>
            <w:tcW w:w="1786" w:type="dxa"/>
          </w:tcPr>
          <w:p>
            <w:pPr>
              <w:widowControl w:val="0"/>
              <w:spacing w:line="360" w:lineRule="auto"/>
              <w:jc w:val="both"/>
              <w:rPr>
                <w:rFonts w:ascii="宋体" w:hAnsi="宋体"/>
                <w:b w:val="0"/>
                <w:bCs w:val="0"/>
                <w:sz w:val="21"/>
                <w:szCs w:val="21"/>
              </w:rPr>
            </w:pPr>
            <w:r>
              <w:rPr>
                <w:rStyle w:val="42"/>
                <w:rFonts w:hint="eastAsia"/>
                <w:b w:val="0"/>
                <w:bCs w:val="0"/>
                <w:szCs w:val="21"/>
                <w:u w:val="single"/>
                <w:lang w:eastAsia="zh-CN"/>
              </w:rPr>
              <w:t>☑</w:t>
            </w:r>
            <w:r>
              <w:rPr>
                <w:rStyle w:val="42"/>
                <w:rFonts w:hint="eastAsia"/>
                <w:b w:val="0"/>
                <w:bCs w:val="0"/>
                <w:szCs w:val="21"/>
                <w:u w:val="single"/>
              </w:rPr>
              <w:t>适用</w:t>
            </w:r>
          </w:p>
        </w:tc>
        <w:tc>
          <w:tcPr>
            <w:tcW w:w="5443" w:type="dxa"/>
          </w:tcPr>
          <w:p>
            <w:pPr>
              <w:widowControl w:val="0"/>
              <w:spacing w:line="360" w:lineRule="auto"/>
              <w:jc w:val="both"/>
              <w:rPr>
                <w:rFonts w:ascii="宋体" w:hAnsi="宋体"/>
                <w:b w:val="0"/>
                <w:bCs w:val="0"/>
                <w:sz w:val="21"/>
                <w:szCs w:val="21"/>
              </w:rPr>
            </w:pPr>
            <w:r>
              <w:rPr>
                <w:rFonts w:hint="eastAsia" w:cs="宋体" w:asciiTheme="minorEastAsia" w:hAnsiTheme="minorEastAsia" w:eastAsiaTheme="minorEastAsia"/>
                <w:b w:val="0"/>
                <w:bCs w:val="0"/>
                <w:color w:val="000000"/>
                <w:sz w:val="21"/>
                <w:szCs w:val="21"/>
                <w:lang w:val="en-US" w:eastAsia="zh-CN"/>
              </w:rPr>
              <w:t>1.提供承诺函2.</w:t>
            </w:r>
            <w:r>
              <w:rPr>
                <w:rFonts w:hint="eastAsia" w:cs="宋体" w:asciiTheme="minorEastAsia" w:hAnsiTheme="minorEastAsia" w:eastAsiaTheme="minorEastAsia"/>
                <w:b w:val="0"/>
                <w:bCs w:val="0"/>
                <w:color w:val="000000"/>
                <w:sz w:val="21"/>
                <w:szCs w:val="21"/>
                <w:u w:val="none"/>
                <w:lang w:eastAsia="zh-CN"/>
              </w:rPr>
              <w:t>提供信用中国（</w:t>
            </w:r>
            <w:r>
              <w:rPr>
                <w:rFonts w:hint="eastAsia" w:cs="宋体" w:asciiTheme="minorEastAsia" w:hAnsiTheme="minorEastAsia" w:eastAsiaTheme="minorEastAsia"/>
                <w:b w:val="0"/>
                <w:bCs w:val="0"/>
                <w:color w:val="000000"/>
                <w:sz w:val="21"/>
                <w:szCs w:val="21"/>
                <w:u w:val="none"/>
                <w:lang w:val="en-US" w:eastAsia="zh-CN"/>
              </w:rPr>
              <w:t>www.creditchina.com</w:t>
            </w:r>
            <w:r>
              <w:rPr>
                <w:rFonts w:hint="eastAsia" w:cs="宋体" w:asciiTheme="minorEastAsia" w:hAnsiTheme="minorEastAsia" w:eastAsiaTheme="minorEastAsia"/>
                <w:b w:val="0"/>
                <w:bCs w:val="0"/>
                <w:color w:val="000000"/>
                <w:sz w:val="21"/>
                <w:szCs w:val="21"/>
                <w:u w:val="none"/>
                <w:lang w:eastAsia="zh-CN"/>
              </w:rPr>
              <w:t>）网站查询，投标人未被列入信用记录失信被执行人、重大税收违法案件当事人名单、政府采购严重违法失信行为记录名单的网页截图</w:t>
            </w:r>
            <w:r>
              <w:rPr>
                <w:rFonts w:hint="eastAsia" w:cs="宋体" w:asciiTheme="minorEastAsia" w:hAnsiTheme="minorEastAsia" w:eastAsiaTheme="minorEastAsia"/>
                <w:b w:val="0"/>
                <w:bCs w:val="0"/>
                <w:color w:val="000000"/>
                <w:sz w:val="21"/>
                <w:szCs w:val="21"/>
                <w:u w:val="none"/>
                <w:lang w:val="en-US" w:eastAsia="zh-CN"/>
              </w:rPr>
              <w:t>并加盖单位公章</w:t>
            </w:r>
            <w:r>
              <w:rPr>
                <w:rFonts w:hint="eastAsia" w:cs="宋体" w:asciiTheme="minorEastAsia" w:hAnsiTheme="minorEastAsia" w:eastAsiaTheme="minorEastAsia"/>
                <w:b w:val="0"/>
                <w:bCs w:val="0"/>
                <w:color w:val="000000"/>
                <w:sz w:val="21"/>
                <w:szCs w:val="21"/>
                <w:u w:val="none"/>
                <w:lang w:eastAsia="zh-CN"/>
              </w:rPr>
              <w:t>。</w:t>
            </w:r>
          </w:p>
        </w:tc>
      </w:tr>
    </w:tbl>
    <w:p>
      <w:pPr>
        <w:pStyle w:val="9"/>
        <w:spacing w:before="0" w:after="0" w:line="360" w:lineRule="auto"/>
        <w:ind w:firstLine="562" w:firstLineChars="200"/>
        <w:jc w:val="both"/>
        <w:rPr>
          <w:rFonts w:ascii="Arial" w:hAnsi="Arial"/>
        </w:rPr>
      </w:pPr>
      <w:r>
        <w:rPr>
          <w:rFonts w:hint="eastAsia"/>
          <w:sz w:val="28"/>
          <w:szCs w:val="28"/>
          <w:lang w:val="en-US" w:eastAsia="zh-CN"/>
        </w:rPr>
        <w:t>四、</w:t>
      </w:r>
      <w:r>
        <w:rPr>
          <w:rFonts w:hint="eastAsia" w:ascii="黑体" w:hAnsi="黑体"/>
          <w:sz w:val="28"/>
          <w:szCs w:val="28"/>
        </w:rPr>
        <w:t>响应保证金</w:t>
      </w:r>
    </w:p>
    <w:p>
      <w:pPr>
        <w:pStyle w:val="9"/>
        <w:spacing w:before="0" w:after="0" w:line="360" w:lineRule="auto"/>
        <w:ind w:firstLine="480" w:firstLineChars="200"/>
        <w:jc w:val="both"/>
        <w:rPr>
          <w:rFonts w:hint="default"/>
          <w:b w:val="0"/>
          <w:bCs w:val="0"/>
          <w:sz w:val="24"/>
          <w:szCs w:val="24"/>
          <w:lang w:val="en-US" w:eastAsia="zh-CN"/>
        </w:rPr>
      </w:pPr>
      <w:r>
        <w:rPr>
          <w:rFonts w:hint="eastAsia"/>
          <w:b w:val="0"/>
          <w:bCs w:val="0"/>
          <w:sz w:val="24"/>
          <w:szCs w:val="24"/>
          <w:lang w:val="en-US" w:eastAsia="zh-CN"/>
        </w:rPr>
        <w:t>无</w:t>
      </w:r>
    </w:p>
    <w:p>
      <w:pPr>
        <w:pStyle w:val="9"/>
        <w:spacing w:before="0" w:after="0" w:line="360" w:lineRule="auto"/>
        <w:ind w:firstLine="562" w:firstLineChars="200"/>
        <w:jc w:val="both"/>
        <w:rPr>
          <w:rFonts w:ascii="Arial" w:hAnsi="Arial"/>
        </w:rPr>
      </w:pPr>
      <w:r>
        <w:rPr>
          <w:rFonts w:hint="eastAsia"/>
          <w:lang w:val="en-US" w:eastAsia="zh-CN"/>
        </w:rPr>
        <w:t>五、</w:t>
      </w:r>
      <w:r>
        <w:rPr>
          <w:rFonts w:hint="eastAsia" w:ascii="黑体" w:hAnsi="黑体"/>
        </w:rPr>
        <w:t>确定成交供应商的方法</w:t>
      </w:r>
    </w:p>
    <w:p>
      <w:pPr>
        <w:autoSpaceDE w:val="0"/>
        <w:spacing w:line="360" w:lineRule="auto"/>
        <w:ind w:firstLine="480" w:firstLineChars="200"/>
        <w:jc w:val="both"/>
        <w:rPr>
          <w:rFonts w:hint="default" w:ascii="宋体" w:hAnsi="宋体" w:eastAsia="宋体"/>
          <w:b w:val="0"/>
          <w:bCs w:val="0"/>
          <w:sz w:val="24"/>
          <w:lang w:val="en-US" w:eastAsia="zh-CN"/>
        </w:rPr>
      </w:pPr>
      <w:r>
        <w:rPr>
          <w:rFonts w:hint="eastAsia" w:ascii="宋体" w:hAnsi="宋体"/>
          <w:b w:val="0"/>
          <w:bCs w:val="0"/>
          <w:sz w:val="24"/>
          <w:lang w:eastAsia="zh-CN"/>
        </w:rPr>
        <w:t>（</w:t>
      </w:r>
      <w:r>
        <w:rPr>
          <w:rFonts w:hint="eastAsia" w:ascii="宋体" w:hAnsi="宋体"/>
          <w:b w:val="0"/>
          <w:bCs w:val="0"/>
          <w:sz w:val="24"/>
          <w:lang w:val="en-US" w:eastAsia="zh-CN"/>
        </w:rPr>
        <w:t>一</w:t>
      </w:r>
      <w:r>
        <w:rPr>
          <w:rFonts w:hint="eastAsia" w:ascii="宋体" w:hAnsi="宋体"/>
          <w:b w:val="0"/>
          <w:bCs w:val="0"/>
          <w:sz w:val="24"/>
          <w:lang w:eastAsia="zh-CN"/>
        </w:rPr>
        <w:t>）</w:t>
      </w:r>
      <w:r>
        <w:rPr>
          <w:rStyle w:val="41"/>
          <w:rFonts w:hint="eastAsia" w:ascii="宋体" w:hAnsi="宋体"/>
          <w:sz w:val="24"/>
          <w:lang w:val="en-US" w:eastAsia="zh-CN"/>
        </w:rPr>
        <w:t>综合评分法</w:t>
      </w:r>
    </w:p>
    <w:p>
      <w:pPr>
        <w:autoSpaceDE w:val="0"/>
        <w:spacing w:line="360" w:lineRule="auto"/>
        <w:ind w:firstLine="480" w:firstLineChars="200"/>
        <w:jc w:val="both"/>
        <w:rPr>
          <w:rFonts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sz w:val="24"/>
        </w:rPr>
        <w:t xml:space="preserve">采购人应当确定排名第一的成交候选供应商为成交供应商。若排名第一的成交候选供应商未通过履约能力和报价核查，采购人应按推荐的名单排序依次确定其他成交候选供应商为成交供应商。 </w:t>
      </w:r>
    </w:p>
    <w:p>
      <w:pPr>
        <w:pStyle w:val="9"/>
        <w:spacing w:before="0" w:after="0" w:line="360" w:lineRule="auto"/>
        <w:ind w:firstLine="562" w:firstLineChars="200"/>
        <w:jc w:val="both"/>
        <w:rPr>
          <w:rFonts w:ascii="Arial" w:hAnsi="Arial"/>
        </w:rPr>
      </w:pPr>
      <w:r>
        <w:rPr>
          <w:rFonts w:hint="eastAsia" w:ascii="黑体" w:hAnsi="黑体"/>
          <w:lang w:val="en-US" w:eastAsia="zh-CN"/>
        </w:rPr>
        <w:t>六、</w:t>
      </w:r>
      <w:r>
        <w:rPr>
          <w:rFonts w:hint="eastAsia" w:ascii="黑体" w:hAnsi="黑体"/>
        </w:rPr>
        <w:t>采购文件获取</w:t>
      </w:r>
    </w:p>
    <w:p>
      <w:pPr>
        <w:autoSpaceDE w:val="0"/>
        <w:spacing w:line="360" w:lineRule="auto"/>
        <w:ind w:firstLine="480" w:firstLineChars="200"/>
        <w:jc w:val="both"/>
        <w:rPr>
          <w:rFonts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一</w:t>
      </w:r>
      <w:r>
        <w:rPr>
          <w:rFonts w:hint="eastAsia" w:ascii="宋体" w:hAnsi="宋体"/>
          <w:b w:val="0"/>
          <w:bCs w:val="0"/>
          <w:sz w:val="24"/>
          <w:lang w:eastAsia="zh-CN"/>
        </w:rPr>
        <w:t>）</w:t>
      </w:r>
      <w:r>
        <w:rPr>
          <w:rFonts w:hint="eastAsia" w:ascii="宋体" w:hAnsi="宋体"/>
          <w:b w:val="0"/>
          <w:bCs w:val="0"/>
          <w:sz w:val="24"/>
        </w:rPr>
        <w:t xml:space="preserve"> </w:t>
      </w:r>
      <w:r>
        <w:rPr>
          <w:rFonts w:hint="eastAsia" w:ascii="宋体" w:hAnsi="宋体"/>
          <w:sz w:val="24"/>
        </w:rPr>
        <w:t>供应商应当于</w:t>
      </w:r>
      <w:r>
        <w:rPr>
          <w:rFonts w:hint="eastAsia" w:ascii="宋体" w:hAnsi="宋体"/>
          <w:sz w:val="24"/>
          <w:lang w:val="en-US" w:eastAsia="zh-CN"/>
        </w:rPr>
        <w:t>2023</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u w:val="single"/>
          <w:lang w:val="en-US" w:eastAsia="zh-CN"/>
        </w:rPr>
        <w:t xml:space="preserve"> 11 </w:t>
      </w:r>
      <w:r>
        <w:rPr>
          <w:rFonts w:hint="eastAsia" w:ascii="宋体" w:hAnsi="宋体"/>
          <w:sz w:val="24"/>
        </w:rPr>
        <w:t>月</w:t>
      </w:r>
      <w:r>
        <w:rPr>
          <w:rFonts w:hint="eastAsia" w:ascii="宋体" w:hAnsi="宋体"/>
          <w:sz w:val="24"/>
          <w:lang w:val="en-US" w:eastAsia="zh-CN"/>
        </w:rPr>
        <w:t>10</w:t>
      </w:r>
      <w:r>
        <w:rPr>
          <w:rFonts w:hint="eastAsia" w:ascii="宋体" w:hAnsi="宋体"/>
          <w:sz w:val="24"/>
        </w:rPr>
        <w:t>日至</w:t>
      </w:r>
      <w:r>
        <w:rPr>
          <w:rFonts w:hint="eastAsia" w:ascii="宋体" w:hAnsi="宋体"/>
          <w:sz w:val="24"/>
          <w:u w:val="single"/>
          <w:lang w:val="en-US" w:eastAsia="zh-CN"/>
        </w:rPr>
        <w:t xml:space="preserve"> 2023 </w:t>
      </w:r>
      <w:r>
        <w:rPr>
          <w:rFonts w:hint="eastAsia" w:ascii="宋体" w:hAnsi="宋体"/>
          <w:sz w:val="24"/>
        </w:rPr>
        <w:t>年</w:t>
      </w:r>
      <w:r>
        <w:rPr>
          <w:rFonts w:hint="eastAsia" w:ascii="宋体" w:hAnsi="宋体"/>
          <w:sz w:val="24"/>
          <w:u w:val="single"/>
          <w:lang w:val="en-US" w:eastAsia="zh-CN"/>
        </w:rPr>
        <w:t xml:space="preserve"> 11</w:t>
      </w:r>
      <w:r>
        <w:rPr>
          <w:rFonts w:hint="eastAsia" w:ascii="宋体" w:hAnsi="宋体"/>
          <w:sz w:val="24"/>
        </w:rPr>
        <w:t>月</w:t>
      </w:r>
      <w:r>
        <w:rPr>
          <w:rFonts w:hint="eastAsia" w:ascii="宋体" w:hAnsi="宋体"/>
          <w:sz w:val="24"/>
          <w:u w:val="single"/>
          <w:lang w:val="en-US" w:eastAsia="zh-CN"/>
        </w:rPr>
        <w:t>14</w:t>
      </w:r>
      <w:r>
        <w:rPr>
          <w:rFonts w:hint="eastAsia" w:ascii="宋体" w:hAnsi="宋体"/>
          <w:sz w:val="24"/>
        </w:rPr>
        <w:t>日，</w:t>
      </w:r>
      <w:r>
        <w:rPr>
          <w:rFonts w:hint="eastAsia" w:ascii="宋体" w:hAnsi="宋体"/>
          <w:sz w:val="24"/>
          <w:lang w:val="en-US" w:eastAsia="zh-CN"/>
        </w:rPr>
        <w:t>在</w:t>
      </w:r>
      <w:r>
        <w:rPr>
          <w:rFonts w:hint="eastAsia" w:ascii="宋体" w:hAnsi="宋体" w:eastAsia="宋体" w:cs="Times New Roman"/>
          <w:b w:val="0"/>
          <w:bCs w:val="0"/>
          <w:i w:val="0"/>
          <w:caps w:val="0"/>
          <w:spacing w:val="0"/>
          <w:kern w:val="2"/>
          <w:sz w:val="24"/>
          <w:szCs w:val="24"/>
          <w:lang w:val="en-US" w:eastAsia="zh-CN" w:bidi="ar-SA"/>
        </w:rPr>
        <w:t>湖南省港务集团有限公司（http://www.hnsgwjt.com）</w:t>
      </w:r>
      <w:r>
        <w:rPr>
          <w:rFonts w:hint="eastAsia" w:ascii="宋体" w:hAnsi="宋体" w:eastAsia="宋体" w:cs="Times New Roman"/>
          <w:b w:val="0"/>
          <w:bCs w:val="0"/>
          <w:sz w:val="24"/>
          <w:szCs w:val="24"/>
        </w:rPr>
        <w:t>上</w:t>
      </w:r>
      <w:r>
        <w:rPr>
          <w:rFonts w:hint="eastAsia" w:ascii="宋体" w:hAnsi="宋体"/>
          <w:sz w:val="24"/>
        </w:rPr>
        <w:t>获取采购文件:</w:t>
      </w:r>
    </w:p>
    <w:p>
      <w:pPr>
        <w:autoSpaceDE w:val="0"/>
        <w:spacing w:line="360" w:lineRule="auto"/>
        <w:ind w:left="0" w:leftChars="0" w:firstLine="480" w:firstLineChars="200"/>
        <w:jc w:val="both"/>
        <w:rPr>
          <w:rFonts w:hint="eastAsia"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b w:val="0"/>
          <w:bCs w:val="0"/>
          <w:sz w:val="24"/>
        </w:rPr>
        <w:t xml:space="preserve"> </w:t>
      </w:r>
      <w:r>
        <w:rPr>
          <w:rFonts w:hint="eastAsia" w:ascii="宋体" w:hAnsi="宋体"/>
          <w:sz w:val="24"/>
        </w:rPr>
        <w:t>供应商若对本项目采购需求、资格要求等有疑问的，应当于</w:t>
      </w:r>
      <w:r>
        <w:rPr>
          <w:rFonts w:hint="eastAsia" w:ascii="宋体" w:hAnsi="宋体"/>
          <w:sz w:val="24"/>
          <w:u w:val="single"/>
          <w:lang w:val="en-US" w:eastAsia="zh-CN"/>
        </w:rPr>
        <w:t xml:space="preserve"> 2023</w:t>
      </w:r>
      <w:r>
        <w:rPr>
          <w:rFonts w:hint="eastAsia" w:ascii="宋体" w:hAnsi="宋体"/>
          <w:sz w:val="24"/>
        </w:rPr>
        <w:t>年</w:t>
      </w:r>
      <w:r>
        <w:rPr>
          <w:rFonts w:hint="eastAsia" w:ascii="宋体" w:hAnsi="宋体"/>
          <w:sz w:val="24"/>
          <w:u w:val="single"/>
          <w:lang w:val="en-US" w:eastAsia="zh-CN"/>
        </w:rPr>
        <w:t>11</w:t>
      </w:r>
      <w:r>
        <w:rPr>
          <w:rFonts w:hint="eastAsia" w:ascii="宋体" w:hAnsi="宋体"/>
          <w:sz w:val="24"/>
        </w:rPr>
        <w:t>月</w:t>
      </w:r>
      <w:r>
        <w:rPr>
          <w:rFonts w:hint="eastAsia" w:ascii="宋体" w:hAnsi="宋体"/>
          <w:sz w:val="24"/>
          <w:u w:val="single"/>
          <w:lang w:val="en-US" w:eastAsia="zh-CN"/>
        </w:rPr>
        <w:t>14</w:t>
      </w:r>
      <w:r>
        <w:rPr>
          <w:rFonts w:hint="eastAsia" w:ascii="宋体" w:hAnsi="宋体"/>
          <w:sz w:val="24"/>
        </w:rPr>
        <w:t>日</w:t>
      </w:r>
      <w:r>
        <w:rPr>
          <w:rFonts w:hint="eastAsia" w:ascii="宋体" w:hAnsi="宋体"/>
          <w:sz w:val="24"/>
          <w:u w:val="single"/>
          <w:lang w:val="en-US" w:eastAsia="zh-CN"/>
        </w:rPr>
        <w:t xml:space="preserve"> 17</w:t>
      </w:r>
      <w:r>
        <w:rPr>
          <w:rFonts w:hint="eastAsia" w:ascii="宋体" w:hAnsi="宋体"/>
          <w:sz w:val="24"/>
        </w:rPr>
        <w:t>时</w:t>
      </w:r>
      <w:r>
        <w:rPr>
          <w:rFonts w:hint="eastAsia" w:ascii="宋体" w:hAnsi="宋体"/>
          <w:sz w:val="24"/>
          <w:u w:val="single"/>
          <w:lang w:val="en-US" w:eastAsia="zh-CN"/>
        </w:rPr>
        <w:t xml:space="preserve"> 30 </w:t>
      </w:r>
      <w:r>
        <w:rPr>
          <w:rFonts w:hint="eastAsia" w:ascii="宋体" w:hAnsi="宋体"/>
          <w:sz w:val="24"/>
        </w:rPr>
        <w:t>分前向采购人提出澄清要求。</w:t>
      </w:r>
    </w:p>
    <w:p>
      <w:pPr>
        <w:pStyle w:val="9"/>
        <w:ind w:firstLine="562" w:firstLineChars="200"/>
        <w:jc w:val="both"/>
      </w:pPr>
      <w:r>
        <w:rPr>
          <w:rFonts w:hint="eastAsia"/>
          <w:lang w:val="en-US" w:eastAsia="zh-CN"/>
        </w:rPr>
        <w:t>七、</w:t>
      </w:r>
      <w:r>
        <w:rPr>
          <w:rFonts w:hint="eastAsia"/>
        </w:rPr>
        <w:t>发布</w:t>
      </w:r>
      <w:r>
        <w:rPr>
          <w:rFonts w:hint="eastAsia" w:ascii="黑体" w:hAnsi="黑体"/>
        </w:rPr>
        <w:t>公告的</w:t>
      </w:r>
      <w:r>
        <w:rPr>
          <w:rFonts w:hint="eastAsia"/>
        </w:rPr>
        <w:t>媒介</w:t>
      </w:r>
    </w:p>
    <w:p>
      <w:pPr>
        <w:autoSpaceDE w:val="0"/>
        <w:spacing w:line="400" w:lineRule="exact"/>
        <w:ind w:firstLine="480" w:firstLineChars="200"/>
        <w:jc w:val="both"/>
        <w:rPr>
          <w:rFonts w:ascii="宋体" w:hAnsi="宋体"/>
          <w:sz w:val="24"/>
        </w:rPr>
      </w:pPr>
      <w:r>
        <w:rPr>
          <w:rFonts w:hint="eastAsia" w:ascii="宋体" w:hAnsi="宋体"/>
          <w:sz w:val="24"/>
        </w:rPr>
        <w:t>本次采购公告发布的媒介: 中国招标投标公共服务平台（http：//www.cebpubservice.com）、湖南省湘水集团有限公司网站（http：//www.hnsxsjt.com）、                                   湖南省港务集团有限公司（http://www.hnsgwjt.com）上发布。</w:t>
      </w:r>
    </w:p>
    <w:p>
      <w:pPr>
        <w:pStyle w:val="2"/>
        <w:rPr>
          <w:rFonts w:hint="eastAsia"/>
        </w:rPr>
      </w:pPr>
    </w:p>
    <w:p>
      <w:pPr>
        <w:pStyle w:val="9"/>
        <w:spacing w:before="0" w:after="0" w:line="360" w:lineRule="auto"/>
        <w:ind w:firstLine="562" w:firstLineChars="200"/>
        <w:jc w:val="both"/>
        <w:rPr>
          <w:rFonts w:hint="eastAsia" w:ascii="黑体" w:hAnsi="黑体"/>
          <w:lang w:val="en-US" w:eastAsia="zh-CN"/>
        </w:rPr>
      </w:pPr>
      <w:r>
        <w:rPr>
          <w:rFonts w:hint="eastAsia" w:ascii="黑体" w:hAnsi="黑体"/>
          <w:lang w:val="en-US" w:eastAsia="zh-CN"/>
        </w:rPr>
        <w:t>八、最高限价</w:t>
      </w:r>
    </w:p>
    <w:p>
      <w:pPr>
        <w:spacing w:line="360" w:lineRule="auto"/>
        <w:rPr>
          <w:rFonts w:hint="default"/>
          <w:lang w:val="en-US"/>
        </w:rPr>
      </w:pPr>
      <w:r>
        <w:rPr>
          <w:rFonts w:hint="eastAsia" w:ascii="黑体" w:hAnsi="黑体"/>
          <w:lang w:val="en-US" w:eastAsia="zh-CN"/>
        </w:rPr>
        <w:t xml:space="preserve">    本次采购人已设定此采购项目执行全年包干价，包干价为400000.00元（大写：人民币肆拾万元整）</w:t>
      </w:r>
    </w:p>
    <w:p>
      <w:pPr>
        <w:autoSpaceDE w:val="0"/>
        <w:spacing w:line="360" w:lineRule="auto"/>
        <w:ind w:left="0" w:leftChars="0" w:firstLine="0" w:firstLineChars="0"/>
        <w:jc w:val="both"/>
        <w:rPr>
          <w:rFonts w:hint="eastAsia" w:ascii="宋体" w:hAnsi="宋体"/>
          <w:sz w:val="24"/>
        </w:rPr>
      </w:pPr>
    </w:p>
    <w:p>
      <w:pPr>
        <w:pStyle w:val="9"/>
        <w:spacing w:before="0" w:after="0" w:line="360" w:lineRule="auto"/>
        <w:ind w:firstLine="562" w:firstLineChars="200"/>
        <w:jc w:val="both"/>
      </w:pPr>
      <w:r>
        <w:rPr>
          <w:rFonts w:hint="eastAsia"/>
          <w:lang w:val="en-US" w:eastAsia="zh-CN"/>
        </w:rPr>
        <w:t>九、</w:t>
      </w:r>
      <w:r>
        <w:t>监督</w:t>
      </w:r>
      <w:r>
        <w:rPr>
          <w:rFonts w:hint="eastAsia"/>
        </w:rPr>
        <w:t>部门</w:t>
      </w:r>
    </w:p>
    <w:p>
      <w:pPr>
        <w:pStyle w:val="34"/>
        <w:widowControl w:val="0"/>
        <w:adjustRightInd w:val="0"/>
        <w:snapToGrid w:val="0"/>
        <w:spacing w:before="0" w:beforeAutospacing="0" w:after="0" w:afterAutospacing="0" w:line="360" w:lineRule="auto"/>
        <w:ind w:firstLine="480" w:firstLineChars="200"/>
        <w:jc w:val="both"/>
        <w:rPr>
          <w:rFonts w:cs="Times New Roman"/>
        </w:rPr>
      </w:pPr>
      <w:r>
        <w:rPr>
          <w:rFonts w:cs="Times New Roman"/>
        </w:rPr>
        <w:t>本次</w:t>
      </w:r>
      <w:r>
        <w:rPr>
          <w:rFonts w:hint="eastAsia" w:cs="Times New Roman"/>
        </w:rPr>
        <w:t>采购</w:t>
      </w:r>
      <w:r>
        <w:rPr>
          <w:rFonts w:cs="Times New Roman"/>
        </w:rPr>
        <w:t>监督部门为</w:t>
      </w:r>
      <w:r>
        <w:rPr>
          <w:rFonts w:cs="Times New Roman"/>
          <w:u w:val="single"/>
        </w:rPr>
        <w:t xml:space="preserve"> </w:t>
      </w:r>
      <w:r>
        <w:rPr>
          <w:rFonts w:hint="eastAsia" w:cs="Times New Roman"/>
          <w:u w:val="single"/>
          <w:lang w:eastAsia="zh-CN"/>
        </w:rPr>
        <w:t>岳阳城陵矶新港有限公司综合管理部</w:t>
      </w:r>
      <w:r>
        <w:rPr>
          <w:rFonts w:cs="Times New Roman"/>
          <w:u w:val="single"/>
        </w:rPr>
        <w:t xml:space="preserve"> </w:t>
      </w:r>
      <w:r>
        <w:rPr>
          <w:rFonts w:cs="Times New Roman"/>
        </w:rPr>
        <w:t>，电话：</w:t>
      </w:r>
      <w:r>
        <w:rPr>
          <w:rFonts w:hint="eastAsia"/>
          <w:color w:val="auto"/>
          <w:sz w:val="24"/>
          <w:szCs w:val="24"/>
          <w:u w:val="single"/>
          <w:lang w:val="en-US" w:eastAsia="zh-CN"/>
        </w:rPr>
        <w:t>13975080729</w:t>
      </w:r>
      <w:r>
        <w:rPr>
          <w:rFonts w:cs="Times New Roman"/>
        </w:rPr>
        <w:t>。</w:t>
      </w:r>
    </w:p>
    <w:p>
      <w:pPr>
        <w:pStyle w:val="9"/>
        <w:spacing w:before="0" w:after="0" w:line="360" w:lineRule="auto"/>
        <w:ind w:firstLine="562" w:firstLineChars="200"/>
        <w:jc w:val="both"/>
        <w:rPr>
          <w:rFonts w:ascii="Arial" w:hAnsi="Arial"/>
        </w:rPr>
      </w:pPr>
      <w:r>
        <w:rPr>
          <w:rFonts w:hint="eastAsia"/>
          <w:lang w:val="en-US" w:eastAsia="zh-CN"/>
        </w:rPr>
        <w:t>十、</w:t>
      </w:r>
      <w:r>
        <w:rPr>
          <w:rFonts w:hint="eastAsia" w:ascii="黑体" w:hAnsi="黑体"/>
        </w:rPr>
        <w:t>联系方式</w:t>
      </w:r>
    </w:p>
    <w:p>
      <w:pPr>
        <w:autoSpaceDE w:val="0"/>
        <w:spacing w:line="360" w:lineRule="auto"/>
        <w:ind w:firstLine="480" w:firstLineChars="200"/>
        <w:jc w:val="both"/>
        <w:rPr>
          <w:rFonts w:hint="eastAsia" w:ascii="宋体" w:hAnsi="宋体"/>
          <w:sz w:val="24"/>
        </w:rPr>
      </w:pPr>
      <w:r>
        <w:rPr>
          <w:rFonts w:hint="eastAsia" w:ascii="宋体" w:hAnsi="宋体"/>
          <w:sz w:val="24"/>
        </w:rPr>
        <w:t xml:space="preserve">采 购 人: </w:t>
      </w:r>
      <w:r>
        <w:rPr>
          <w:rFonts w:hint="eastAsia" w:ascii="宋体" w:hAnsi="宋体"/>
          <w:sz w:val="24"/>
          <w:u w:val="single"/>
        </w:rPr>
        <w:t xml:space="preserve"> </w:t>
      </w:r>
      <w:r>
        <w:rPr>
          <w:rFonts w:hint="eastAsia" w:ascii="宋体" w:hAnsi="宋体"/>
          <w:sz w:val="24"/>
          <w:u w:val="single"/>
          <w:lang w:eastAsia="zh-CN"/>
        </w:rPr>
        <w:t>岳阳城陵矶新港有限公司</w:t>
      </w:r>
      <w:r>
        <w:rPr>
          <w:rFonts w:hint="eastAsia" w:ascii="宋体" w:hAnsi="宋体"/>
          <w:sz w:val="24"/>
        </w:rPr>
        <w:t xml:space="preserve">     </w:t>
      </w:r>
    </w:p>
    <w:p>
      <w:pPr>
        <w:autoSpaceDE w:val="0"/>
        <w:spacing w:line="360" w:lineRule="auto"/>
        <w:ind w:firstLine="480" w:firstLineChars="200"/>
        <w:jc w:val="both"/>
        <w:rPr>
          <w:rFonts w:hint="default" w:ascii="宋体" w:hAnsi="宋体" w:eastAsia="宋体"/>
          <w:sz w:val="24"/>
          <w:lang w:val="en-US" w:eastAsia="zh-CN"/>
        </w:rPr>
      </w:pPr>
      <w:r>
        <w:rPr>
          <w:rFonts w:hint="eastAsia" w:ascii="宋体" w:hAnsi="宋体"/>
          <w:sz w:val="24"/>
        </w:rPr>
        <w:t xml:space="preserve">地    址: </w:t>
      </w:r>
      <w:r>
        <w:rPr>
          <w:rFonts w:hint="eastAsia" w:ascii="宋体" w:hAnsi="宋体"/>
          <w:sz w:val="24"/>
          <w:u w:val="single"/>
        </w:rPr>
        <w:t xml:space="preserve"> </w:t>
      </w:r>
      <w:r>
        <w:rPr>
          <w:rFonts w:hint="eastAsia" w:ascii="宋体" w:hAnsi="宋体"/>
          <w:sz w:val="24"/>
          <w:u w:val="single"/>
          <w:lang w:val="en-US" w:eastAsia="zh-CN"/>
        </w:rPr>
        <w:t>湖南城陵矶新港区岳阳城陵矶新港有限公司</w:t>
      </w:r>
      <w:r>
        <w:rPr>
          <w:rFonts w:hint="eastAsia" w:ascii="宋体" w:hAnsi="宋体"/>
          <w:sz w:val="24"/>
          <w:lang w:val="en-US" w:eastAsia="zh-CN"/>
        </w:rPr>
        <w:t xml:space="preserve"> </w:t>
      </w:r>
    </w:p>
    <w:p>
      <w:pPr>
        <w:autoSpaceDE w:val="0"/>
        <w:spacing w:line="360" w:lineRule="auto"/>
        <w:ind w:firstLine="480" w:firstLineChars="200"/>
        <w:jc w:val="both"/>
        <w:rPr>
          <w:rFonts w:ascii="宋体" w:hAnsi="宋体"/>
          <w:sz w:val="24"/>
        </w:rPr>
      </w:pPr>
      <w:r>
        <w:rPr>
          <w:rFonts w:hint="eastAsia" w:ascii="宋体" w:hAnsi="宋体"/>
          <w:sz w:val="24"/>
        </w:rPr>
        <w:t xml:space="preserve">邮政编码: </w:t>
      </w:r>
      <w:r>
        <w:rPr>
          <w:rFonts w:hint="eastAsia" w:ascii="宋体" w:hAnsi="宋体"/>
          <w:sz w:val="24"/>
          <w:u w:val="single"/>
        </w:rPr>
        <w:t xml:space="preserve"> </w:t>
      </w:r>
      <w:r>
        <w:rPr>
          <w:rFonts w:hint="eastAsia" w:ascii="宋体" w:hAnsi="宋体"/>
          <w:sz w:val="24"/>
          <w:u w:val="single"/>
          <w:lang w:val="en-US" w:eastAsia="zh-CN"/>
        </w:rPr>
        <w:t>414000</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w:t>
      </w:r>
    </w:p>
    <w:p>
      <w:pPr>
        <w:autoSpaceDE w:val="0"/>
        <w:spacing w:line="360" w:lineRule="auto"/>
        <w:ind w:firstLine="480" w:firstLineChars="200"/>
        <w:jc w:val="both"/>
        <w:rPr>
          <w:rFonts w:hint="eastAsia" w:ascii="宋体" w:hAnsi="宋体"/>
          <w:sz w:val="24"/>
          <w:lang w:val="en-US" w:eastAsia="zh-CN"/>
        </w:rPr>
      </w:pPr>
      <w:r>
        <w:rPr>
          <w:rFonts w:hint="eastAsia" w:ascii="宋体" w:hAnsi="宋体"/>
          <w:sz w:val="24"/>
        </w:rPr>
        <w:t xml:space="preserve">联 系 人: </w:t>
      </w:r>
      <w:r>
        <w:rPr>
          <w:rFonts w:hint="eastAsia" w:ascii="宋体" w:hAnsi="宋体"/>
          <w:sz w:val="24"/>
          <w:u w:val="single"/>
          <w:lang w:val="en-US" w:eastAsia="zh-CN"/>
        </w:rPr>
        <w:t xml:space="preserve">詹  彦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 xml:space="preserve">  </w:t>
      </w:r>
    </w:p>
    <w:p>
      <w:pPr>
        <w:autoSpaceDE w:val="0"/>
        <w:spacing w:line="360" w:lineRule="auto"/>
        <w:ind w:firstLine="480" w:firstLineChars="200"/>
        <w:jc w:val="both"/>
        <w:rPr>
          <w:rFonts w:hint="eastAsia" w:ascii="宋体" w:hAnsi="宋体"/>
          <w:sz w:val="24"/>
        </w:rPr>
      </w:pPr>
      <w:r>
        <w:rPr>
          <w:rFonts w:hint="eastAsia" w:ascii="宋体" w:hAnsi="宋体"/>
          <w:sz w:val="24"/>
        </w:rPr>
        <w:t xml:space="preserve">电    话: </w:t>
      </w:r>
      <w:r>
        <w:rPr>
          <w:rFonts w:hint="eastAsia" w:ascii="宋体" w:hAnsi="宋体"/>
          <w:sz w:val="24"/>
          <w:u w:val="single"/>
        </w:rPr>
        <w:t xml:space="preserve"> </w:t>
      </w:r>
      <w:r>
        <w:rPr>
          <w:rFonts w:hint="eastAsia" w:ascii="宋体" w:hAnsi="宋体"/>
          <w:sz w:val="24"/>
          <w:u w:val="single"/>
          <w:lang w:val="en-US" w:eastAsia="zh-CN"/>
        </w:rPr>
        <w:t>17378285070</w:t>
      </w:r>
      <w:r>
        <w:rPr>
          <w:rFonts w:hint="eastAsia" w:ascii="宋体" w:hAnsi="宋体"/>
          <w:sz w:val="24"/>
          <w:u w:val="single"/>
        </w:rPr>
        <w:t xml:space="preserve">          </w:t>
      </w:r>
      <w:r>
        <w:rPr>
          <w:rFonts w:hint="eastAsia" w:ascii="宋体" w:hAnsi="宋体"/>
          <w:sz w:val="24"/>
        </w:rPr>
        <w:t xml:space="preserve">     </w:t>
      </w:r>
    </w:p>
    <w:p>
      <w:pPr>
        <w:autoSpaceDE w:val="0"/>
        <w:spacing w:line="360" w:lineRule="auto"/>
        <w:ind w:firstLine="480" w:firstLineChars="200"/>
        <w:jc w:val="both"/>
        <w:rPr>
          <w:rFonts w:ascii="宋体" w:hAnsi="宋体"/>
          <w:sz w:val="24"/>
        </w:rPr>
      </w:pPr>
      <w:r>
        <w:rPr>
          <w:rFonts w:hint="eastAsia" w:ascii="宋体" w:hAnsi="宋体"/>
          <w:sz w:val="24"/>
        </w:rPr>
        <w:t xml:space="preserve">传    真: </w:t>
      </w:r>
      <w:r>
        <w:rPr>
          <w:rFonts w:hint="eastAsia" w:ascii="宋体" w:hAnsi="宋体"/>
          <w:sz w:val="24"/>
          <w:lang w:val="en-US" w:eastAsia="zh-CN"/>
        </w:rPr>
        <w:t xml:space="preserve"> </w:t>
      </w:r>
      <w:r>
        <w:rPr>
          <w:rFonts w:hint="eastAsia" w:ascii="宋体" w:hAnsi="宋体"/>
          <w:sz w:val="24"/>
          <w:u w:val="single"/>
          <w:lang w:val="en-US" w:eastAsia="zh-CN"/>
        </w:rPr>
        <w:t>0730-8422000</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 xml:space="preserve">    </w:t>
      </w:r>
    </w:p>
    <w:p>
      <w:pPr>
        <w:autoSpaceDE w:val="0"/>
        <w:spacing w:line="360" w:lineRule="auto"/>
        <w:ind w:firstLine="480" w:firstLineChars="200"/>
        <w:jc w:val="both"/>
        <w:rPr>
          <w:rFonts w:hint="eastAsia" w:ascii="宋体" w:hAnsi="宋体"/>
          <w:sz w:val="24"/>
        </w:rPr>
      </w:pPr>
      <w:r>
        <w:rPr>
          <w:rFonts w:hint="eastAsia" w:ascii="宋体" w:hAnsi="宋体"/>
          <w:sz w:val="24"/>
        </w:rPr>
        <w:t xml:space="preserve">电子邮箱: </w:t>
      </w:r>
      <w:r>
        <w:rPr>
          <w:rFonts w:hint="eastAsia" w:ascii="宋体" w:hAnsi="宋体"/>
          <w:sz w:val="24"/>
          <w:u w:val="single"/>
        </w:rPr>
        <w:t xml:space="preserve"> </w:t>
      </w:r>
      <w:r>
        <w:rPr>
          <w:rFonts w:hint="eastAsia" w:ascii="宋体" w:hAnsi="宋体"/>
          <w:sz w:val="24"/>
          <w:u w:val="single"/>
          <w:lang w:val="en-US" w:eastAsia="zh-CN"/>
        </w:rPr>
        <w:t>799025411@qq.com</w:t>
      </w:r>
      <w:r>
        <w:rPr>
          <w:rFonts w:hint="eastAsia" w:ascii="宋体" w:hAnsi="宋体"/>
          <w:sz w:val="24"/>
          <w:u w:val="single"/>
        </w:rPr>
        <w:t xml:space="preserve">      </w:t>
      </w:r>
      <w:r>
        <w:rPr>
          <w:rFonts w:hint="eastAsia" w:ascii="宋体" w:hAnsi="宋体"/>
          <w:sz w:val="24"/>
        </w:rPr>
        <w:t xml:space="preserve">     </w:t>
      </w:r>
    </w:p>
    <w:p>
      <w:pPr>
        <w:autoSpaceDE w:val="0"/>
        <w:spacing w:line="360" w:lineRule="auto"/>
        <w:ind w:firstLine="480" w:firstLineChars="200"/>
        <w:jc w:val="both"/>
        <w:rPr>
          <w:rFonts w:hint="eastAsia" w:ascii="宋体" w:hAnsi="宋体"/>
          <w:sz w:val="24"/>
          <w:u w:val="none"/>
          <w:lang w:val="en-US" w:eastAsia="zh-CN"/>
        </w:rPr>
      </w:pPr>
      <w:r>
        <w:rPr>
          <w:rFonts w:hint="eastAsia" w:ascii="宋体" w:hAnsi="宋体"/>
          <w:sz w:val="24"/>
        </w:rPr>
        <w:t>网    址:</w:t>
      </w:r>
      <w:r>
        <w:rPr>
          <w:rFonts w:hint="eastAsia" w:ascii="宋体" w:hAnsi="宋体"/>
          <w:sz w:val="24"/>
          <w:u w:val="single"/>
        </w:rPr>
        <w:t xml:space="preserve"> </w:t>
      </w:r>
      <w:r>
        <w:rPr>
          <w:rFonts w:hint="eastAsia" w:ascii="宋体" w:hAnsi="宋体"/>
          <w:color w:val="auto"/>
          <w:sz w:val="24"/>
          <w:u w:val="single"/>
        </w:rPr>
        <w:fldChar w:fldCharType="begin"/>
      </w:r>
      <w:r>
        <w:rPr>
          <w:rFonts w:hint="eastAsia" w:ascii="宋体" w:hAnsi="宋体"/>
          <w:color w:val="auto"/>
          <w:sz w:val="24"/>
          <w:u w:val="single"/>
        </w:rPr>
        <w:instrText xml:space="preserve"> HYPERLINK "http://www.hnsgwjt.com/" </w:instrText>
      </w:r>
      <w:r>
        <w:rPr>
          <w:rFonts w:hint="eastAsia" w:ascii="宋体" w:hAnsi="宋体"/>
          <w:color w:val="auto"/>
          <w:sz w:val="24"/>
          <w:u w:val="single"/>
        </w:rPr>
        <w:fldChar w:fldCharType="separate"/>
      </w:r>
      <w:r>
        <w:rPr>
          <w:rStyle w:val="46"/>
          <w:rFonts w:hint="eastAsia" w:ascii="宋体" w:hAnsi="宋体"/>
          <w:color w:val="auto"/>
          <w:sz w:val="24"/>
        </w:rPr>
        <w:t>http://www.hnsgwjt.com/</w:t>
      </w:r>
      <w:r>
        <w:rPr>
          <w:rFonts w:hint="eastAsia" w:ascii="宋体" w:hAnsi="宋体"/>
          <w:color w:val="auto"/>
          <w:sz w:val="24"/>
          <w:u w:val="single"/>
        </w:rPr>
        <w:fldChar w:fldCharType="end"/>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 xml:space="preserve"> </w:t>
      </w:r>
      <w:r>
        <w:rPr>
          <w:rFonts w:hint="eastAsia" w:ascii="宋体" w:hAnsi="宋体"/>
          <w:sz w:val="24"/>
          <w:u w:val="none"/>
          <w:lang w:val="en-US" w:eastAsia="zh-CN"/>
        </w:rPr>
        <w:t xml:space="preserve">  </w:t>
      </w:r>
    </w:p>
    <w:p>
      <w:pPr>
        <w:autoSpaceDE w:val="0"/>
        <w:spacing w:line="360" w:lineRule="auto"/>
        <w:ind w:firstLine="480" w:firstLineChars="200"/>
        <w:jc w:val="both"/>
        <w:rPr>
          <w:rFonts w:hint="eastAsia" w:ascii="宋体" w:hAnsi="宋体"/>
          <w:sz w:val="24"/>
        </w:rPr>
      </w:pPr>
      <w:r>
        <w:rPr>
          <w:rFonts w:hint="eastAsia" w:ascii="宋体" w:hAnsi="宋体"/>
          <w:sz w:val="24"/>
        </w:rPr>
        <w:t xml:space="preserve">开户银行: </w:t>
      </w:r>
      <w:r>
        <w:rPr>
          <w:rFonts w:hint="eastAsia" w:ascii="宋体" w:hAnsi="宋体"/>
          <w:sz w:val="24"/>
          <w:lang w:val="en-US" w:eastAsia="zh-CN"/>
        </w:rPr>
        <w:t xml:space="preserve"> </w:t>
      </w:r>
      <w:r>
        <w:rPr>
          <w:rFonts w:hint="eastAsia" w:ascii="宋体" w:hAnsi="宋体"/>
          <w:sz w:val="24"/>
          <w:u w:val="single"/>
          <w:lang w:eastAsia="zh-CN"/>
        </w:rPr>
        <w:t>交通银行云溪支行</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p>
    <w:p>
      <w:pPr>
        <w:autoSpaceDE w:val="0"/>
        <w:spacing w:line="360" w:lineRule="auto"/>
        <w:ind w:firstLine="480" w:firstLineChars="200"/>
        <w:jc w:val="both"/>
        <w:rPr>
          <w:rFonts w:ascii="宋体" w:hAnsi="宋体"/>
          <w:sz w:val="24"/>
        </w:rPr>
      </w:pPr>
      <w:r>
        <w:rPr>
          <w:rFonts w:hint="eastAsia" w:ascii="宋体" w:hAnsi="宋体"/>
          <w:sz w:val="24"/>
        </w:rPr>
        <w:t xml:space="preserve">账    号: </w:t>
      </w:r>
      <w:r>
        <w:rPr>
          <w:rFonts w:hint="eastAsia" w:ascii="宋体" w:hAnsi="宋体"/>
          <w:sz w:val="24"/>
          <w:u w:val="single"/>
        </w:rPr>
        <w:t xml:space="preserve"> </w:t>
      </w:r>
      <w:r>
        <w:rPr>
          <w:rFonts w:hint="eastAsia" w:ascii="宋体" w:hAnsi="宋体"/>
          <w:sz w:val="24"/>
          <w:u w:val="single"/>
          <w:lang w:val="en-US" w:eastAsia="zh-CN"/>
        </w:rPr>
        <w:t xml:space="preserve">436600720018010006451  </w:t>
      </w:r>
      <w:r>
        <w:rPr>
          <w:rFonts w:hint="eastAsia" w:ascii="宋体" w:hAnsi="宋体"/>
          <w:sz w:val="24"/>
        </w:rPr>
        <w:t xml:space="preserve">     </w:t>
      </w:r>
    </w:p>
    <w:p>
      <w:pPr>
        <w:spacing w:line="360" w:lineRule="auto"/>
        <w:jc w:val="center"/>
        <w:rPr>
          <w:rFonts w:ascii="宋体" w:hAnsi="宋体"/>
          <w:sz w:val="36"/>
          <w:szCs w:val="36"/>
        </w:rPr>
      </w:pPr>
      <w:r>
        <w:rPr>
          <w:rFonts w:ascii="宋体" w:hAnsi="宋体"/>
          <w:sz w:val="36"/>
          <w:szCs w:val="36"/>
        </w:rPr>
        <w:t xml:space="preserve"> </w:t>
      </w:r>
    </w:p>
    <w:bookmarkEnd w:id="35"/>
    <w:p>
      <w:pPr>
        <w:spacing w:line="360" w:lineRule="auto"/>
        <w:jc w:val="center"/>
        <w:rPr>
          <w:rFonts w:ascii="宋体" w:hAnsi="宋体"/>
          <w:sz w:val="36"/>
          <w:szCs w:val="36"/>
        </w:rPr>
      </w:pPr>
    </w:p>
    <w:p>
      <w:pPr>
        <w:pStyle w:val="8"/>
        <w:spacing w:line="360" w:lineRule="auto"/>
      </w:pPr>
    </w:p>
    <w:p>
      <w:pPr>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numPr>
          <w:ilvl w:val="-1"/>
          <w:numId w:val="0"/>
        </w:numPr>
        <w:spacing w:line="360" w:lineRule="auto"/>
        <w:ind w:left="0" w:firstLine="3240" w:firstLineChars="900"/>
        <w:jc w:val="both"/>
        <w:outlineLvl w:val="0"/>
        <w:rPr>
          <w:rFonts w:hint="eastAsia" w:ascii="黑体" w:hAnsi="黑体" w:eastAsia="黑体"/>
          <w:sz w:val="36"/>
          <w:szCs w:val="36"/>
        </w:rPr>
      </w:pPr>
      <w:bookmarkStart w:id="1" w:name="_Toc22965"/>
      <w:r>
        <w:rPr>
          <w:rFonts w:hint="eastAsia" w:ascii="黑体" w:hAnsi="黑体" w:eastAsia="黑体"/>
          <w:sz w:val="36"/>
          <w:szCs w:val="36"/>
          <w:lang w:val="en-US" w:eastAsia="zh-CN"/>
        </w:rPr>
        <w:t xml:space="preserve">第二章 </w:t>
      </w:r>
      <w:r>
        <w:rPr>
          <w:rFonts w:hint="eastAsia" w:ascii="黑体" w:hAnsi="黑体" w:eastAsia="黑体"/>
          <w:sz w:val="36"/>
          <w:szCs w:val="36"/>
        </w:rPr>
        <w:t>供应商须知</w:t>
      </w:r>
      <w:bookmarkEnd w:id="1"/>
    </w:p>
    <w:p>
      <w:pPr>
        <w:spacing w:before="240" w:after="240" w:line="360" w:lineRule="auto"/>
        <w:jc w:val="center"/>
        <w:rPr>
          <w:rFonts w:hint="eastAsia" w:ascii="华文中宋" w:hAnsi="华文中宋" w:eastAsia="华文中宋" w:cs="仿宋"/>
          <w:b w:val="0"/>
          <w:bCs w:val="0"/>
          <w:sz w:val="30"/>
          <w:szCs w:val="30"/>
        </w:rPr>
      </w:pPr>
      <w:r>
        <w:rPr>
          <w:rFonts w:hint="eastAsia" w:ascii="华文中宋" w:hAnsi="华文中宋" w:eastAsia="华文中宋" w:cs="仿宋"/>
          <w:b w:val="0"/>
          <w:bCs w:val="0"/>
          <w:kern w:val="2"/>
          <w:sz w:val="30"/>
          <w:szCs w:val="30"/>
          <w:lang w:val="en-US" w:eastAsia="zh-CN"/>
        </w:rPr>
        <w:t xml:space="preserve">第一节  </w:t>
      </w:r>
      <w:r>
        <w:rPr>
          <w:rFonts w:hint="eastAsia" w:ascii="华文中宋" w:hAnsi="华文中宋" w:eastAsia="华文中宋" w:cs="仿宋"/>
          <w:b w:val="0"/>
          <w:bCs w:val="0"/>
          <w:sz w:val="30"/>
          <w:szCs w:val="30"/>
        </w:rPr>
        <w:t>供应商须知前附表</w:t>
      </w:r>
    </w:p>
    <w:tbl>
      <w:tblPr>
        <w:tblStyle w:val="39"/>
        <w:tblW w:w="9854" w:type="dxa"/>
        <w:tblInd w:w="58" w:type="dxa"/>
        <w:tblLayout w:type="fixed"/>
        <w:tblCellMar>
          <w:top w:w="0" w:type="dxa"/>
          <w:left w:w="108" w:type="dxa"/>
          <w:bottom w:w="0" w:type="dxa"/>
          <w:right w:w="108" w:type="dxa"/>
        </w:tblCellMar>
      </w:tblPr>
      <w:tblGrid>
        <w:gridCol w:w="1357"/>
        <w:gridCol w:w="3090"/>
        <w:gridCol w:w="5349"/>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综合计分法</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性价</w:t>
            </w:r>
            <w:r>
              <w:rPr>
                <w:rFonts w:hint="eastAsia" w:cs="仿宋" w:asciiTheme="minorEastAsia" w:hAnsiTheme="minorEastAsia" w:eastAsiaTheme="minorEastAsia"/>
                <w:sz w:val="24"/>
              </w:rPr>
              <w:t>比价法）</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不得分包的内容：</w:t>
            </w:r>
            <w:r>
              <w:rPr>
                <w:rFonts w:hint="eastAsia" w:ascii="宋体" w:hAnsi="宋体" w:cs="仿宋"/>
                <w:sz w:val="24"/>
                <w:u w:val="none"/>
                <w:lang w:eastAsia="zh-CN"/>
              </w:rPr>
              <w:t>不允许分包</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eastAsia="宋体" w:cs="仿宋" w:asciiTheme="minorEastAsia" w:hAnsiTheme="minorEastAsia"/>
                <w:sz w:val="24"/>
                <w:lang w:val="en-US" w:eastAsia="zh-CN"/>
              </w:rPr>
            </w:pPr>
            <w:r>
              <w:rPr>
                <w:rFonts w:hint="eastAsia" w:cs="仿宋" w:asciiTheme="minorEastAsia" w:hAnsiTheme="minorEastAsia" w:eastAsiaTheme="minorEastAsia"/>
                <w:sz w:val="24"/>
              </w:rPr>
              <w:t>允许偏差的范围：</w:t>
            </w:r>
            <w:r>
              <w:rPr>
                <w:rFonts w:hint="eastAsia" w:ascii="宋体" w:hAnsi="宋体" w:cs="宋体"/>
                <w:sz w:val="24"/>
                <w:szCs w:val="24"/>
                <w:lang w:eastAsia="zh-CN"/>
              </w:rPr>
              <w:t>响应</w:t>
            </w:r>
            <w:r>
              <w:rPr>
                <w:rFonts w:hint="eastAsia" w:ascii="宋体" w:hAnsi="宋体" w:eastAsia="宋体" w:cs="宋体"/>
                <w:sz w:val="24"/>
                <w:szCs w:val="24"/>
              </w:rPr>
              <w:t>文件在实质上响应</w:t>
            </w:r>
            <w:r>
              <w:rPr>
                <w:rFonts w:hint="eastAsia" w:ascii="宋体" w:hAnsi="宋体" w:cs="宋体"/>
                <w:sz w:val="24"/>
                <w:szCs w:val="24"/>
                <w:lang w:eastAsia="zh-CN"/>
              </w:rPr>
              <w:t>采购</w:t>
            </w:r>
            <w:r>
              <w:rPr>
                <w:rFonts w:hint="eastAsia" w:ascii="宋体" w:hAnsi="宋体" w:eastAsia="宋体" w:cs="宋体"/>
                <w:sz w:val="24"/>
                <w:szCs w:val="24"/>
              </w:rPr>
              <w:t>文件要求，但存在含义不明确的内容、明显文字或计算错误等情况，并且澄清、说明和补正这些情况不会对其他</w:t>
            </w:r>
            <w:r>
              <w:rPr>
                <w:rFonts w:hint="eastAsia" w:ascii="宋体" w:hAnsi="宋体" w:cs="宋体"/>
                <w:sz w:val="24"/>
                <w:szCs w:val="24"/>
                <w:lang w:eastAsia="zh-CN"/>
              </w:rPr>
              <w:t>响应</w:t>
            </w:r>
            <w:r>
              <w:rPr>
                <w:rFonts w:hint="eastAsia" w:ascii="宋体" w:hAnsi="宋体" w:eastAsia="宋体" w:cs="宋体"/>
                <w:sz w:val="24"/>
                <w:szCs w:val="24"/>
              </w:rPr>
              <w:t>人造成不公平的结果</w:t>
            </w:r>
            <w:r>
              <w:rPr>
                <w:rFonts w:hint="eastAsia" w:ascii="宋体" w:hAnsi="宋体" w:cs="宋体"/>
                <w:sz w:val="24"/>
                <w:szCs w:val="24"/>
                <w:lang w:eastAsia="zh-CN"/>
              </w:rPr>
              <w:t>。</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允许偏差的项数：</w:t>
            </w:r>
            <w:r>
              <w:rPr>
                <w:rFonts w:hint="eastAsia" w:cs="仿宋" w:asciiTheme="minorEastAsia" w:hAnsiTheme="minorEastAsia" w:eastAsiaTheme="minorEastAsia"/>
                <w:sz w:val="24"/>
                <w:lang w:val="en-US" w:eastAsia="zh-CN"/>
              </w:rPr>
              <w:t>3项</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552"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 </w:t>
            </w:r>
            <w:r>
              <w:rPr>
                <w:rFonts w:hint="eastAsia" w:cs="仿宋" w:asciiTheme="minorEastAsia" w:hAnsiTheme="minorEastAsia" w:eastAsiaTheme="minorEastAsia"/>
                <w:sz w:val="24"/>
                <w:lang w:eastAsia="zh-CN"/>
              </w:rPr>
              <w:t>无</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截</w:t>
            </w:r>
            <w:r>
              <w:rPr>
                <w:rFonts w:hint="eastAsia" w:cs="仿宋" w:asciiTheme="minorEastAsia" w:hAnsiTheme="minorEastAsia" w:eastAsiaTheme="minorEastAsia"/>
                <w:sz w:val="24"/>
                <w:highlight w:val="none"/>
              </w:rPr>
              <w:t xml:space="preserve">止时间： </w:t>
            </w:r>
            <w:r>
              <w:rPr>
                <w:rFonts w:hint="eastAsia" w:cs="仿宋" w:asciiTheme="minorEastAsia" w:hAnsiTheme="minorEastAsia" w:eastAsiaTheme="minorEastAsia"/>
                <w:sz w:val="24"/>
                <w:highlight w:val="none"/>
                <w:lang w:val="en-US" w:eastAsia="zh-CN"/>
              </w:rPr>
              <w:t>2023年11月14日17时30分</w:t>
            </w:r>
            <w:r>
              <w:rPr>
                <w:rFonts w:hint="eastAsia"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sz w:val="24"/>
                <w:highlight w:val="yellow"/>
                <w:lang w:val="en-US" w:eastAsia="zh-CN"/>
              </w:rPr>
            </w:pPr>
            <w:r>
              <w:rPr>
                <w:rFonts w:hint="eastAsia" w:cs="仿宋" w:asciiTheme="minorEastAsia" w:hAnsiTheme="minorEastAsia" w:eastAsiaTheme="minorEastAsia"/>
                <w:sz w:val="24"/>
              </w:rPr>
              <w:t>确认的最晚时间：</w:t>
            </w:r>
            <w:r>
              <w:rPr>
                <w:rFonts w:hint="eastAsia" w:cs="仿宋" w:asciiTheme="minorEastAsia" w:hAnsiTheme="minorEastAsia" w:eastAsiaTheme="minorEastAsia"/>
                <w:sz w:val="24"/>
                <w:lang w:val="en-US" w:eastAsia="zh-CN"/>
              </w:rPr>
              <w:t>补充文件发出后24小时</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确定的方式：</w:t>
            </w:r>
            <w:r>
              <w:rPr>
                <w:rFonts w:hint="eastAsia" w:cs="仿宋" w:asciiTheme="minorEastAsia" w:hAnsiTheme="minorEastAsia" w:eastAsiaTheme="minorEastAsia"/>
                <w:sz w:val="24"/>
                <w:lang w:val="en-US" w:eastAsia="zh-CN"/>
              </w:rPr>
              <w:t>补充文件接收确认函</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color w:val="auto"/>
                <w:sz w:val="24"/>
              </w:rPr>
              <w:t>采购标的数量增减幅度</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采购标的数量增减幅度：</w:t>
            </w:r>
            <w:r>
              <w:rPr>
                <w:rFonts w:hint="eastAsia" w:cs="仿宋" w:asciiTheme="minorEastAsia" w:hAnsiTheme="minorEastAsia" w:eastAsiaTheme="minorEastAsia"/>
                <w:sz w:val="24"/>
                <w:lang w:eastAsia="zh-CN"/>
              </w:rPr>
              <w:t>无</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A3"/>
            </w:r>
            <w:r>
              <w:rPr>
                <w:rFonts w:hint="eastAsia" w:cs="仿宋" w:asciiTheme="minorEastAsia" w:hAnsiTheme="minorEastAsia" w:eastAsiaTheme="minorEastAsia"/>
                <w:sz w:val="24"/>
              </w:rPr>
              <w:t>无</w:t>
            </w:r>
          </w:p>
          <w:p>
            <w:pPr>
              <w:adjustRightInd w:val="0"/>
              <w:snapToGrid w:val="0"/>
              <w:spacing w:line="360" w:lineRule="auto"/>
              <w:ind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有，</w:t>
            </w:r>
            <w:r>
              <w:rPr>
                <w:rFonts w:hint="eastAsia" w:ascii="宋体" w:hAnsi="宋体" w:eastAsiaTheme="minorEastAsia"/>
                <w:sz w:val="24"/>
              </w:rPr>
              <w:t>贰拾肆万</w:t>
            </w:r>
            <w:r>
              <w:rPr>
                <w:rFonts w:hint="eastAsia" w:ascii="宋体" w:hAnsi="宋体"/>
                <w:sz w:val="24"/>
              </w:rPr>
              <w:t>元（￥</w:t>
            </w:r>
            <w:r>
              <w:rPr>
                <w:rFonts w:hint="eastAsia" w:ascii="宋体" w:hAnsi="宋体"/>
                <w:sz w:val="24"/>
                <w:lang w:val="en-US" w:eastAsia="zh-CN"/>
              </w:rPr>
              <w:t>40</w:t>
            </w:r>
            <w:r>
              <w:rPr>
                <w:rFonts w:hint="eastAsia" w:ascii="宋体" w:hAnsi="宋体"/>
                <w:sz w:val="24"/>
              </w:rPr>
              <w:t>0，000.00）含6%增值税，如供应商提供其他税率，采购人将按6%税率调整报价后参与排序。</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sz w:val="24"/>
                <w:lang w:val="en-US" w:eastAsia="zh-CN"/>
              </w:rPr>
              <w:t>报价唯一</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递交响应文件截止之日起</w:t>
            </w:r>
            <w:r>
              <w:rPr>
                <w:rFonts w:hint="eastAsia" w:cs="仿宋" w:asciiTheme="minorEastAsia" w:hAnsiTheme="minorEastAsia" w:eastAsiaTheme="minorEastAsia"/>
                <w:sz w:val="24"/>
                <w:lang w:val="en-US" w:eastAsia="zh-CN"/>
              </w:rPr>
              <w:t>90</w:t>
            </w:r>
            <w:r>
              <w:rPr>
                <w:rFonts w:hint="eastAsia" w:cs="仿宋" w:asciiTheme="minorEastAsia" w:hAnsiTheme="minorEastAsia" w:eastAsiaTheme="minorEastAsia"/>
                <w:sz w:val="24"/>
              </w:rPr>
              <w:t xml:space="preserve">日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Style w:val="42"/>
                <w:rFonts w:asciiTheme="minorEastAsia" w:hAnsiTheme="minorEastAsia" w:eastAsiaTheme="minorEastAsia"/>
                <w:b w:val="0"/>
                <w:color w:val="000000"/>
                <w:sz w:val="24"/>
              </w:rPr>
            </w:pPr>
            <w:r>
              <w:rPr>
                <w:rStyle w:val="42"/>
                <w:rFonts w:hint="eastAsia" w:asciiTheme="minorEastAsia" w:hAnsiTheme="minorEastAsia" w:eastAsiaTheme="minorEastAsia"/>
                <w:b w:val="0"/>
                <w:color w:val="00000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□不适用。</w:t>
            </w:r>
          </w:p>
          <w:p>
            <w:pPr>
              <w:spacing w:line="360" w:lineRule="auto"/>
              <w:jc w:val="both"/>
              <w:rPr>
                <w:rFonts w:asciiTheme="minorEastAsia" w:hAnsiTheme="minorEastAsia" w:eastAsiaTheme="minorEastAsia"/>
                <w:color w:val="000000"/>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适用。</w:t>
            </w:r>
            <w:r>
              <w:rPr>
                <w:rFonts w:hint="eastAsia" w:asciiTheme="minorEastAsia" w:hAnsiTheme="minorEastAsia" w:eastAsiaTheme="minorEastAsia"/>
                <w:color w:val="000000"/>
                <w:sz w:val="24"/>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Style w:val="42"/>
                <w:rFonts w:hint="eastAsia" w:asciiTheme="minorEastAsia" w:hAnsiTheme="minorEastAsia" w:eastAsiaTheme="minorEastAsia"/>
                <w:b w:val="0"/>
                <w:color w:val="00000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不适用</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适用。供应商应提供相关资质证书副本的复印件，以证明供应商具有承担本项目要求的资质。</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资质证书包括：</w:t>
            </w:r>
            <w:r>
              <w:rPr>
                <w:rFonts w:hint="eastAsia" w:cs="宋体" w:asciiTheme="minorEastAsia" w:hAnsiTheme="minorEastAsia" w:eastAsiaTheme="minorEastAsia"/>
                <w:color w:val="000000"/>
                <w:sz w:val="24"/>
                <w:lang w:val="en-US" w:eastAsia="zh-CN"/>
              </w:rPr>
              <w:t>供应商</w:t>
            </w:r>
            <w:r>
              <w:rPr>
                <w:rFonts w:hint="eastAsia" w:cs="宋体" w:asciiTheme="minorEastAsia" w:hAnsiTheme="minorEastAsia" w:eastAsiaTheme="minorEastAsia"/>
                <w:color w:val="000000"/>
                <w:sz w:val="24"/>
                <w:lang w:eastAsia="zh-CN"/>
              </w:rPr>
              <w:t>具有</w:t>
            </w:r>
            <w:r>
              <w:rPr>
                <w:rFonts w:hint="eastAsia" w:cs="宋体" w:asciiTheme="minorEastAsia" w:hAnsiTheme="minorEastAsia" w:eastAsiaTheme="minorEastAsia"/>
                <w:color w:val="000000"/>
                <w:sz w:val="24"/>
                <w:lang w:val="en-US" w:eastAsia="zh-CN"/>
              </w:rPr>
              <w:t>海关</w:t>
            </w:r>
            <w:r>
              <w:rPr>
                <w:rFonts w:hint="eastAsia" w:cs="宋体" w:asciiTheme="minorEastAsia" w:hAnsiTheme="minorEastAsia" w:eastAsiaTheme="minorEastAsia"/>
                <w:color w:val="000000"/>
                <w:sz w:val="24"/>
                <w:lang w:eastAsia="zh-CN"/>
              </w:rPr>
              <w:t>颁发的</w:t>
            </w:r>
            <w:r>
              <w:rPr>
                <w:rFonts w:hint="eastAsia" w:cs="宋体" w:asciiTheme="minorEastAsia" w:hAnsiTheme="minorEastAsia" w:eastAsiaTheme="minorEastAsia"/>
                <w:color w:val="000000"/>
                <w:sz w:val="24"/>
                <w:lang w:val="en-US" w:eastAsia="zh-CN"/>
              </w:rPr>
              <w:t>作业资质</w:t>
            </w:r>
            <w:r>
              <w:rPr>
                <w:rFonts w:hint="eastAsia" w:cs="宋体" w:asciiTheme="minorEastAsia" w:hAnsiTheme="minorEastAsia" w:eastAsiaTheme="minorEastAsia"/>
                <w:color w:val="000000"/>
                <w:sz w:val="24"/>
                <w:lang w:eastAsia="zh-CN"/>
              </w:rPr>
              <w:t>机构证书，提供证书复印件并加盖单位公章。</w:t>
            </w:r>
          </w:p>
        </w:tc>
      </w:tr>
      <w:tr>
        <w:tblPrEx>
          <w:tblCellMar>
            <w:top w:w="0" w:type="dxa"/>
            <w:left w:w="108" w:type="dxa"/>
            <w:bottom w:w="0" w:type="dxa"/>
            <w:right w:w="108" w:type="dxa"/>
          </w:tblCellMar>
        </w:tblPrEx>
        <w:trPr>
          <w:trHeight w:val="9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Style w:val="42"/>
                <w:rFonts w:asciiTheme="minorEastAsia" w:hAnsiTheme="minorEastAsia" w:eastAsiaTheme="minorEastAsia"/>
                <w:b w:val="0"/>
                <w:color w:val="000000"/>
                <w:sz w:val="24"/>
              </w:rPr>
            </w:pPr>
            <w:r>
              <w:rPr>
                <w:rStyle w:val="42"/>
                <w:rFonts w:hint="eastAsia" w:asciiTheme="minorEastAsia" w:hAnsiTheme="minorEastAsia" w:eastAsiaTheme="minorEastAsia"/>
                <w:b w:val="0"/>
                <w:color w:val="00000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不适用</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en-US" w:eastAsia="zh-CN"/>
              </w:rPr>
              <w:t>2020</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en-US" w:eastAsia="zh-CN"/>
              </w:rPr>
              <w:t>2022</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p>
            <w:pPr>
              <w:spacing w:line="360" w:lineRule="auto"/>
              <w:jc w:val="both"/>
              <w:rPr>
                <w:rFonts w:asciiTheme="minorEastAsia" w:hAnsiTheme="minorEastAsia" w:eastAsiaTheme="minorEastAsia"/>
                <w:color w:val="000000"/>
                <w:sz w:val="24"/>
              </w:rPr>
            </w:pP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360"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适用。供应商应提供近年的类似项目情况表（格式见第六章“响应文件格式”</w:t>
            </w:r>
            <w:r>
              <w:rPr>
                <w:rFonts w:hint="eastAsia" w:cs="宋体" w:asciiTheme="minorEastAsia" w:hAnsiTheme="minorEastAsia" w:eastAsiaTheme="minorEastAsia"/>
                <w:color w:val="000000"/>
                <w:sz w:val="24"/>
                <w:lang w:val="en-US" w:eastAsia="zh-CN"/>
              </w:rPr>
              <w:t>五</w:t>
            </w:r>
            <w:r>
              <w:rPr>
                <w:rFonts w:hint="eastAsia" w:cs="宋体" w:asciiTheme="minorEastAsia" w:hAnsiTheme="minorEastAsia" w:eastAsiaTheme="minorEastAsia"/>
                <w:color w:val="000000"/>
                <w:sz w:val="24"/>
              </w:rPr>
              <w:t>、资格审查资料（三）近年的类似项目情况表），以证明供应商具有承担本项目要求的业绩。近年是指</w:t>
            </w:r>
            <w:r>
              <w:rPr>
                <w:rFonts w:hint="eastAsia" w:cs="宋体" w:asciiTheme="minorEastAsia" w:hAnsiTheme="minorEastAsia" w:eastAsiaTheme="minorEastAsia"/>
                <w:color w:val="000000"/>
                <w:sz w:val="24"/>
                <w:u w:val="single"/>
                <w:lang w:val="en-US" w:eastAsia="zh-CN"/>
              </w:rPr>
              <w:t>2021</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en-US" w:eastAsia="zh-CN"/>
              </w:rPr>
              <w:t>2023</w:t>
            </w:r>
            <w:r>
              <w:rPr>
                <w:rFonts w:hint="eastAsia" w:cs="宋体" w:asciiTheme="minorEastAsia" w:hAnsiTheme="minorEastAsia" w:eastAsiaTheme="minorEastAsia"/>
                <w:color w:val="000000"/>
                <w:sz w:val="24"/>
                <w:u w:val="single"/>
              </w:rPr>
              <w:t>年</w:t>
            </w:r>
          </w:p>
          <w:p>
            <w:pPr>
              <w:spacing w:line="360" w:lineRule="auto"/>
              <w:jc w:val="both"/>
              <w:rPr>
                <w:rFonts w:cs="宋体" w:asciiTheme="minorEastAsia" w:hAnsiTheme="minorEastAsia" w:eastAsiaTheme="minorEastAsia"/>
                <w:color w:val="000000"/>
                <w:sz w:val="24"/>
                <w:highlight w:val="yellow"/>
              </w:rPr>
            </w:pPr>
            <w:r>
              <w:rPr>
                <w:rFonts w:hint="eastAsia" w:cs="宋体" w:asciiTheme="minorEastAsia" w:hAnsiTheme="minorEastAsia" w:eastAsiaTheme="minorEastAsia"/>
                <w:color w:val="000000"/>
                <w:sz w:val="24"/>
                <w:highlight w:val="none"/>
              </w:rPr>
              <w:t>业绩证明材料：</w:t>
            </w:r>
            <w:r>
              <w:rPr>
                <w:rFonts w:hint="eastAsia" w:ascii="宋体" w:hAnsi="宋体" w:eastAsia="宋体"/>
                <w:sz w:val="24"/>
                <w:szCs w:val="24"/>
                <w:highlight w:val="none"/>
              </w:rPr>
              <w:t>至少承担过1个同类港口</w:t>
            </w:r>
            <w:r>
              <w:rPr>
                <w:rFonts w:hint="eastAsia" w:ascii="宋体" w:hAnsi="宋体" w:eastAsia="宋体"/>
                <w:sz w:val="24"/>
                <w:szCs w:val="24"/>
                <w:highlight w:val="none"/>
                <w:lang w:val="en-US" w:eastAsia="zh-CN"/>
              </w:rPr>
              <w:t>熏蒸</w:t>
            </w:r>
            <w:r>
              <w:rPr>
                <w:rFonts w:hint="eastAsia" w:ascii="宋体" w:hAnsi="宋体" w:eastAsia="宋体"/>
                <w:sz w:val="24"/>
                <w:szCs w:val="24"/>
                <w:highlight w:val="none"/>
              </w:rPr>
              <w:t>服务业务并且</w:t>
            </w:r>
            <w:r>
              <w:rPr>
                <w:rFonts w:hint="eastAsia" w:ascii="宋体" w:hAnsi="宋体"/>
                <w:sz w:val="24"/>
                <w:szCs w:val="24"/>
                <w:highlight w:val="none"/>
                <w:lang w:val="en-US" w:eastAsia="zh-CN"/>
              </w:rPr>
              <w:t>每年熏蒸集装箱量不得低于1000TEU</w:t>
            </w:r>
            <w:r>
              <w:rPr>
                <w:rFonts w:hint="eastAsia" w:ascii="宋体" w:hAnsi="宋体"/>
                <w:sz w:val="24"/>
                <w:szCs w:val="24"/>
                <w:lang w:val="en-US" w:eastAsia="zh-CN"/>
              </w:rPr>
              <w:t>的</w:t>
            </w:r>
            <w:r>
              <w:rPr>
                <w:rFonts w:hint="eastAsia" w:ascii="宋体" w:hAnsi="宋体" w:eastAsia="宋体"/>
                <w:sz w:val="24"/>
                <w:szCs w:val="24"/>
              </w:rPr>
              <w:t>业绩</w:t>
            </w:r>
          </w:p>
          <w:p>
            <w:pPr>
              <w:spacing w:line="360" w:lineRule="auto"/>
              <w:jc w:val="both"/>
              <w:rPr>
                <w:rFonts w:cs="宋体" w:asciiTheme="minorEastAsia" w:hAnsiTheme="minorEastAsia" w:eastAsiaTheme="minorEastAsia"/>
                <w:color w:val="000000"/>
                <w:sz w:val="24"/>
                <w:highlight w:val="yellow"/>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000000"/>
                <w:sz w:val="24"/>
                <w:highlight w:val="none"/>
              </w:rPr>
              <w:t>合同/订单</w:t>
            </w:r>
            <w:r>
              <w:rPr>
                <w:rFonts w:hint="eastAsia"/>
                <w:sz w:val="24"/>
              </w:rPr>
              <w:t>（提供合同首页及盖章页）复印件并加盖公章</w:t>
            </w:r>
            <w:r>
              <w:rPr>
                <w:rFonts w:hint="eastAsia" w:cs="宋体" w:asciiTheme="minorEastAsia" w:hAnsiTheme="minorEastAsia" w:eastAsiaTheme="minorEastAsia"/>
                <w:sz w:val="24"/>
              </w:rPr>
              <w:t xml:space="preserve">             </w:t>
            </w:r>
          </w:p>
          <w:p>
            <w:pPr>
              <w:spacing w:line="360"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其他材料：</w:t>
            </w:r>
            <w:r>
              <w:rPr>
                <w:rFonts w:hint="eastAsia" w:cs="宋体" w:asciiTheme="minorEastAsia" w:hAnsiTheme="minorEastAsia" w:eastAsiaTheme="minorEastAsia"/>
                <w:color w:val="000000"/>
                <w:sz w:val="24"/>
                <w:u w:val="none"/>
                <w:lang w:val="en-US" w:eastAsia="zh-CN"/>
              </w:rPr>
              <w:t>评价报告复印件需加盖单位公章</w:t>
            </w:r>
            <w:r>
              <w:rPr>
                <w:rFonts w:hint="eastAsia" w:cs="宋体" w:asciiTheme="minorEastAsia" w:hAnsiTheme="minorEastAsia" w:eastAsiaTheme="minorEastAsia"/>
                <w:color w:val="000000"/>
                <w:sz w:val="24"/>
                <w:u w:val="none"/>
              </w:rPr>
              <w:t xml:space="preserve">                   </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业绩证明材料种类要求：</w:t>
            </w:r>
            <w:r>
              <w:rPr>
                <w:rFonts w:hint="eastAsia" w:ascii="宋体" w:hAnsi="宋体"/>
                <w:b w:val="0"/>
                <w:bCs w:val="0"/>
                <w:sz w:val="21"/>
                <w:szCs w:val="21"/>
                <w:lang w:val="en-US" w:eastAsia="zh-CN"/>
              </w:rPr>
              <w:t>提供合同和业务量的佐证材料（海关检疫通知书或委托书）</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需同时提供上述勾选的所有证明材料</w:t>
            </w:r>
          </w:p>
          <w:p>
            <w:pPr>
              <w:spacing w:line="360"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其他要求：</w:t>
            </w:r>
            <w:r>
              <w:rPr>
                <w:rFonts w:hint="eastAsia" w:cs="宋体" w:asciiTheme="minorEastAsia" w:hAnsiTheme="minorEastAsia" w:eastAsiaTheme="minorEastAsia"/>
                <w:color w:val="000000"/>
                <w:sz w:val="24"/>
                <w:u w:val="none"/>
                <w:lang w:eastAsia="zh-CN"/>
              </w:rPr>
              <w:t>提供</w:t>
            </w:r>
            <w:r>
              <w:rPr>
                <w:rFonts w:hint="eastAsia" w:cs="宋体" w:asciiTheme="minorEastAsia" w:hAnsiTheme="minorEastAsia" w:eastAsiaTheme="minorEastAsia"/>
                <w:color w:val="000000"/>
                <w:sz w:val="24"/>
                <w:u w:val="none"/>
                <w:lang w:val="en-US" w:eastAsia="zh-CN"/>
              </w:rPr>
              <w:t>1个业绩证明材料复印件需加</w:t>
            </w:r>
            <w:r>
              <w:rPr>
                <w:rFonts w:hint="eastAsia" w:cs="宋体" w:asciiTheme="minorEastAsia" w:hAnsiTheme="minorEastAsia" w:eastAsiaTheme="minorEastAsia"/>
                <w:color w:val="000000"/>
                <w:sz w:val="24"/>
                <w:u w:val="single"/>
                <w:lang w:val="en-US" w:eastAsia="zh-CN"/>
              </w:rPr>
              <w:t>盖单位公章。</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pStyle w:val="17"/>
              <w:spacing w:after="0" w:line="312" w:lineRule="auto"/>
              <w:ind w:left="0" w:leftChars="0"/>
              <w:rPr>
                <w:rFonts w:cs="宋体" w:asciiTheme="minorEastAsia" w:hAnsiTheme="minorEastAsia" w:eastAsiaTheme="minorEastAsia"/>
                <w:sz w:val="24"/>
              </w:rPr>
            </w:pPr>
            <w:r>
              <w:rPr>
                <w:rFonts w:hint="eastAsia" w:cs="宋体" w:asciiTheme="minorEastAsia" w:hAnsiTheme="minorEastAsia" w:eastAsiaTheme="minorEastAsia"/>
                <w:sz w:val="24"/>
              </w:rPr>
              <w:t>☑适用。供应商应提供相关信誉情况的证明材料，  包括：</w:t>
            </w:r>
          </w:p>
          <w:p>
            <w:pPr>
              <w:pStyle w:val="17"/>
              <w:spacing w:after="0" w:line="312" w:lineRule="auto"/>
              <w:ind w:left="0" w:leftChars="0"/>
              <w:rPr>
                <w:rFonts w:cs="宋体" w:asciiTheme="minorEastAsia" w:hAnsiTheme="minorEastAsia" w:eastAsiaTheme="minorEastAsia"/>
                <w:sz w:val="24"/>
              </w:rPr>
            </w:pPr>
            <w:r>
              <w:rPr>
                <w:rFonts w:hint="eastAsia" w:cs="宋体" w:asciiTheme="minorEastAsia" w:hAnsiTheme="minorEastAsia" w:eastAsiaTheme="minorEastAsia"/>
                <w:sz w:val="24"/>
              </w:rPr>
              <w:t>1．全国企业信用信息公示系统中未列入严重违法失信企业名单的网页截图，加盖公章。</w:t>
            </w:r>
          </w:p>
          <w:p>
            <w:pPr>
              <w:spacing w:line="360" w:lineRule="auto"/>
              <w:jc w:val="both"/>
              <w:rPr>
                <w:rFonts w:cs="仿宋" w:asciiTheme="minorEastAsia" w:hAnsiTheme="minorEastAsia" w:eastAsiaTheme="minorEastAsia"/>
                <w:sz w:val="24"/>
              </w:rPr>
            </w:pPr>
            <w:r>
              <w:rPr>
                <w:rFonts w:hint="eastAsia" w:cs="宋体" w:asciiTheme="minorEastAsia" w:hAnsiTheme="minorEastAsia" w:eastAsiaTheme="minorEastAsia"/>
                <w:sz w:val="24"/>
              </w:rPr>
              <w:t>2．被最高人民法院在“信用中国”网站（www.creditchina.gov.cn）中未列入失信被执行人名单的网页截图或报告，加盖公章。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numPr>
                <w:ilvl w:val="0"/>
                <w:numId w:val="1"/>
              </w:numPr>
              <w:spacing w:line="360" w:lineRule="auto"/>
              <w:ind w:firstLine="0" w:firstLineChars="0"/>
              <w:jc w:val="both"/>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适用。供应商应提供拟委任的主要人员汇总表和主要人员简历表（格式见第六章“响应文件格式”</w:t>
            </w:r>
            <w:r>
              <w:rPr>
                <w:rFonts w:hint="eastAsia" w:cs="宋体" w:asciiTheme="minorEastAsia" w:hAnsiTheme="minorEastAsia" w:eastAsiaTheme="minorEastAsia"/>
                <w:color w:val="000000"/>
                <w:sz w:val="24"/>
                <w:lang w:val="en-US" w:eastAsia="zh-CN"/>
              </w:rPr>
              <w:t>五</w:t>
            </w:r>
            <w:r>
              <w:rPr>
                <w:rFonts w:hint="eastAsia" w:cs="宋体" w:asciiTheme="minorEastAsia" w:hAnsiTheme="minorEastAsia" w:eastAsiaTheme="minorEastAsia"/>
                <w:color w:val="000000"/>
                <w:sz w:val="24"/>
              </w:rPr>
              <w:t>、资格审查资料（四）拟委任的主要人员汇总表和（五）主要人员简历表）。供应商应填报满足第一章“采购公告”规定的项目负责人和其他主要人员的相关信息，并按如下要求提供相关证明文件：</w:t>
            </w:r>
          </w:p>
          <w:p>
            <w:pPr>
              <w:numPr>
                <w:ilvl w:val="-1"/>
                <w:numId w:val="0"/>
              </w:num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szCs w:val="24"/>
                <w:lang w:val="en-US" w:eastAsia="zh-CN"/>
              </w:rPr>
              <w:t>3、</w:t>
            </w:r>
            <w:r>
              <w:rPr>
                <w:rFonts w:hint="eastAsia" w:cs="宋体" w:asciiTheme="minorEastAsia" w:hAnsiTheme="minorEastAsia" w:eastAsiaTheme="minorEastAsia"/>
                <w:color w:val="000000"/>
                <w:sz w:val="24"/>
                <w:szCs w:val="24"/>
              </w:rPr>
              <w:t>提供</w:t>
            </w:r>
            <w:r>
              <w:rPr>
                <w:rFonts w:hint="eastAsia" w:cs="宋体" w:asciiTheme="minorEastAsia" w:hAnsiTheme="minorEastAsia" w:eastAsiaTheme="minorEastAsia"/>
                <w:color w:val="000000"/>
                <w:sz w:val="24"/>
                <w:szCs w:val="24"/>
                <w:lang w:eastAsia="zh-CN"/>
              </w:rPr>
              <w:t>项目负责人</w:t>
            </w:r>
            <w:r>
              <w:rPr>
                <w:rFonts w:hint="eastAsia" w:cs="宋体" w:asciiTheme="minorEastAsia" w:hAnsiTheme="minorEastAsia" w:eastAsiaTheme="minorEastAsia"/>
                <w:color w:val="000000"/>
                <w:sz w:val="24"/>
                <w:szCs w:val="24"/>
              </w:rPr>
              <w:t>投标截止日前</w:t>
            </w:r>
            <w:r>
              <w:rPr>
                <w:rFonts w:hint="eastAsia" w:cs="宋体" w:asciiTheme="minorEastAsia" w:hAnsiTheme="minorEastAsia" w:eastAsiaTheme="minorEastAsia"/>
                <w:color w:val="000000"/>
                <w:sz w:val="24"/>
                <w:szCs w:val="24"/>
                <w:lang w:eastAsia="zh-CN"/>
              </w:rPr>
              <w:t>三个月</w:t>
            </w:r>
            <w:r>
              <w:rPr>
                <w:rFonts w:hint="eastAsia" w:cs="宋体" w:asciiTheme="minorEastAsia" w:hAnsiTheme="minorEastAsia" w:eastAsiaTheme="minorEastAsia"/>
                <w:color w:val="000000"/>
                <w:sz w:val="24"/>
                <w:szCs w:val="24"/>
              </w:rPr>
              <w:t>的社保缴费证明或其它能够证明参加社保的有效证明材料</w:t>
            </w:r>
            <w:r>
              <w:rPr>
                <w:rFonts w:hint="eastAsia" w:cs="宋体" w:asciiTheme="minorEastAsia" w:hAnsiTheme="minorEastAsia" w:eastAsiaTheme="minorEastAsia"/>
                <w:color w:val="000000"/>
                <w:sz w:val="24"/>
                <w:szCs w:val="24"/>
                <w:lang w:val="en-US" w:eastAsia="zh-CN"/>
              </w:rPr>
              <w:t>加盖缴费单位公章。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不需要提供证明材料</w:t>
            </w:r>
            <w:r>
              <w:rPr>
                <w:rFonts w:hint="eastAsia" w:cs="宋体" w:asciiTheme="minorEastAsia" w:hAnsiTheme="minorEastAsia" w:eastAsiaTheme="minorEastAsia"/>
                <w:color w:val="000000"/>
                <w:sz w:val="24"/>
                <w:lang w:val="en-US" w:eastAsia="zh-CN"/>
              </w:rPr>
              <w:t>仅提供承诺函</w:t>
            </w:r>
          </w:p>
          <w:p>
            <w:pPr>
              <w:spacing w:line="360" w:lineRule="auto"/>
              <w:jc w:val="both"/>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供应商只能提出唯一响应方案</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提供纸质版响应文件三份：一正两副、</w:t>
            </w:r>
            <w:r>
              <w:rPr>
                <w:rFonts w:hint="eastAsia" w:cs="宋体" w:asciiTheme="minorEastAsia" w:hAnsiTheme="minorEastAsia" w:eastAsiaTheme="minorEastAsia"/>
                <w:sz w:val="24"/>
                <w:lang w:val="en-US" w:eastAsia="zh-CN"/>
              </w:rPr>
              <w:t>密封</w:t>
            </w:r>
            <w:r>
              <w:rPr>
                <w:rFonts w:hint="eastAsia" w:cs="宋体" w:asciiTheme="minorEastAsia" w:hAnsiTheme="minorEastAsia" w:eastAsiaTheme="minorEastAsia"/>
                <w:sz w:val="24"/>
              </w:rPr>
              <w:t xml:space="preserve">胶装         </w:t>
            </w:r>
          </w:p>
          <w:p>
            <w:pPr>
              <w:pStyle w:val="2"/>
              <w:rPr>
                <w:rFonts w:hint="default" w:eastAsiaTheme="minorEastAsia"/>
                <w:lang w:val="en-US" w:eastAsia="zh-CN"/>
              </w:rPr>
            </w:pPr>
            <w:r>
              <w:rPr>
                <w:rFonts w:hint="eastAsia" w:cs="宋体" w:asciiTheme="minorEastAsia" w:hAnsiTheme="minorEastAsia" w:eastAsiaTheme="minorEastAsia"/>
                <w:sz w:val="24"/>
              </w:rPr>
              <w:t>不要求提供电子版。</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响应文件须密封包装，并在封套的封口处加盖单位</w:t>
            </w:r>
            <w:r>
              <w:rPr>
                <w:rFonts w:hint="eastAsia" w:cs="宋体" w:asciiTheme="minorEastAsia" w:hAnsiTheme="minorEastAsia" w:eastAsiaTheme="minorEastAsia"/>
                <w:color w:val="000000"/>
                <w:sz w:val="24"/>
                <w:lang w:val="en-US" w:eastAsia="zh-CN"/>
              </w:rPr>
              <w:t>公</w:t>
            </w:r>
            <w:r>
              <w:rPr>
                <w:rFonts w:hint="eastAsia" w:cs="宋体" w:asciiTheme="minorEastAsia" w:hAnsiTheme="minorEastAsia" w:eastAsiaTheme="minorEastAsia"/>
                <w:color w:val="000000"/>
                <w:sz w:val="24"/>
              </w:rPr>
              <w:t>章。</w:t>
            </w:r>
          </w:p>
        </w:tc>
      </w:tr>
      <w:tr>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sym w:font="Wingdings 2" w:char="0052"/>
            </w:r>
            <w:r>
              <w:rPr>
                <w:rFonts w:hint="eastAsia" w:cs="宋体" w:asciiTheme="minorEastAsia" w:hAnsiTheme="minorEastAsia" w:eastAsiaTheme="minorEastAsia"/>
                <w:color w:val="000000"/>
                <w:sz w:val="24"/>
              </w:rPr>
              <w:t>适用，供应商名称</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u w:val="none"/>
                <w:lang w:eastAsia="zh-CN"/>
              </w:rPr>
              <w:t>岳阳城陵矶新港有限公司</w:t>
            </w:r>
            <w:r>
              <w:rPr>
                <w:rFonts w:hint="eastAsia" w:ascii="宋体" w:hAnsi="宋体" w:eastAsia="宋体" w:cs="宋体"/>
                <w:bCs/>
                <w:sz w:val="24"/>
                <w:szCs w:val="24"/>
              </w:rPr>
              <w:t>港口</w:t>
            </w:r>
            <w:r>
              <w:rPr>
                <w:rFonts w:hint="eastAsia" w:ascii="宋体" w:hAnsi="宋体" w:eastAsia="宋体" w:cs="宋体"/>
                <w:bCs/>
                <w:sz w:val="24"/>
                <w:szCs w:val="24"/>
                <w:lang w:val="en-US" w:eastAsia="zh-CN"/>
              </w:rPr>
              <w:t>集装箱内货物熏蒸</w:t>
            </w:r>
            <w:r>
              <w:rPr>
                <w:rFonts w:hint="eastAsia" w:ascii="宋体" w:hAnsi="宋体" w:cs="宋体"/>
                <w:bCs/>
                <w:sz w:val="24"/>
                <w:szCs w:val="24"/>
                <w:lang w:val="en-US" w:eastAsia="zh-CN"/>
              </w:rPr>
              <w:t>及消毒</w:t>
            </w:r>
            <w:r>
              <w:rPr>
                <w:rFonts w:hint="eastAsia" w:ascii="宋体" w:hAnsi="宋体" w:eastAsia="宋体" w:cs="宋体"/>
                <w:bCs/>
                <w:color w:val="auto"/>
                <w:sz w:val="24"/>
                <w:szCs w:val="24"/>
                <w:lang w:val="en-US" w:eastAsia="zh-CN"/>
              </w:rPr>
              <w:t>招标</w:t>
            </w:r>
            <w:r>
              <w:rPr>
                <w:rFonts w:hint="eastAsia" w:ascii="宋体" w:hAnsi="宋体" w:eastAsia="宋体" w:cs="宋体"/>
                <w:color w:val="auto"/>
                <w:kern w:val="2"/>
                <w:sz w:val="24"/>
                <w:szCs w:val="24"/>
                <w:lang w:val="en-US" w:eastAsia="zh-CN" w:bidi="ar"/>
              </w:rPr>
              <w:t>项目</w:t>
            </w:r>
            <w:r>
              <w:rPr>
                <w:rFonts w:hint="eastAsia" w:ascii="宋体" w:hAnsi="宋体" w:cs="宋体"/>
                <w:color w:val="auto"/>
                <w:kern w:val="2"/>
                <w:sz w:val="24"/>
                <w:szCs w:val="24"/>
                <w:lang w:val="en-US" w:eastAsia="zh-CN" w:bidi="ar"/>
              </w:rPr>
              <w:t>招标响应</w:t>
            </w:r>
            <w:r>
              <w:rPr>
                <w:rFonts w:hint="eastAsia" w:cs="宋体" w:asciiTheme="minorEastAsia" w:hAnsiTheme="minorEastAsia" w:eastAsiaTheme="minorEastAsia"/>
                <w:color w:val="000000"/>
                <w:sz w:val="24"/>
                <w:u w:val="none"/>
              </w:rPr>
              <w:t>文件</w:t>
            </w:r>
          </w:p>
        </w:tc>
      </w:tr>
      <w:tr>
        <w:tblPrEx>
          <w:tblCellMar>
            <w:top w:w="0" w:type="dxa"/>
            <w:left w:w="108" w:type="dxa"/>
            <w:bottom w:w="0" w:type="dxa"/>
            <w:right w:w="108" w:type="dxa"/>
          </w:tblCellMar>
        </w:tblPrEx>
        <w:trPr>
          <w:trHeight w:val="663"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宋体" w:asciiTheme="minorEastAsia" w:hAnsiTheme="minorEastAsia" w:eastAsiaTheme="minorEastAsia"/>
                <w:color w:val="000000"/>
                <w:sz w:val="24"/>
                <w:highlight w:val="none"/>
                <w:u w:val="single"/>
                <w:lang w:val="en-US"/>
              </w:rPr>
            </w:pPr>
            <w:r>
              <w:rPr>
                <w:rFonts w:hint="eastAsia" w:cs="宋体" w:asciiTheme="minorEastAsia" w:hAnsiTheme="minorEastAsia" w:eastAsiaTheme="minorEastAsia"/>
                <w:color w:val="000000"/>
                <w:sz w:val="24"/>
              </w:rPr>
              <w:t>截止时间</w:t>
            </w:r>
            <w:r>
              <w:rPr>
                <w:rFonts w:hint="eastAsia" w:cs="宋体" w:asciiTheme="minorEastAsia" w:hAnsiTheme="minorEastAsia" w:eastAsiaTheme="minorEastAsia"/>
                <w:color w:val="000000"/>
                <w:sz w:val="24"/>
                <w:highlight w:val="none"/>
              </w:rPr>
              <w:t>：</w:t>
            </w:r>
            <w:r>
              <w:rPr>
                <w:rFonts w:hint="eastAsia" w:cs="宋体" w:asciiTheme="minorEastAsia" w:hAnsiTheme="minorEastAsia" w:eastAsiaTheme="minorEastAsia"/>
                <w:color w:val="000000"/>
                <w:sz w:val="24"/>
                <w:highlight w:val="none"/>
                <w:lang w:val="en-US" w:eastAsia="zh-CN"/>
              </w:rPr>
              <w:t>2023年11月16日12时00分</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递交响应文件的地点：</w:t>
            </w:r>
            <w:r>
              <w:rPr>
                <w:rFonts w:hint="eastAsia" w:cs="宋体" w:asciiTheme="minorEastAsia" w:hAnsiTheme="minorEastAsia" w:eastAsiaTheme="minorEastAsia"/>
                <w:color w:val="000000"/>
                <w:sz w:val="24"/>
                <w:u w:val="single"/>
                <w:lang w:eastAsia="zh-CN"/>
              </w:rPr>
              <w:t>岳阳城陵矶新港有限公司办公楼</w:t>
            </w:r>
            <w:r>
              <w:rPr>
                <w:rFonts w:hint="eastAsia" w:cs="宋体" w:asciiTheme="minorEastAsia" w:hAnsiTheme="minorEastAsia" w:eastAsiaTheme="minorEastAsia"/>
                <w:color w:val="000000"/>
                <w:sz w:val="24"/>
                <w:u w:val="single"/>
                <w:lang w:val="en-US" w:eastAsia="zh-CN"/>
              </w:rPr>
              <w:t>106室</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4.3.3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供应商撤回响应文件情况下退还响应保证金的时间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否</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是</w:t>
            </w:r>
          </w:p>
        </w:tc>
      </w:tr>
      <w:tr>
        <w:tblPrEx>
          <w:tblCellMar>
            <w:top w:w="0" w:type="dxa"/>
            <w:left w:w="108" w:type="dxa"/>
            <w:bottom w:w="0" w:type="dxa"/>
            <w:right w:w="108" w:type="dxa"/>
          </w:tblCellMar>
        </w:tblPrEx>
        <w:trPr>
          <w:trHeight w:val="9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i w:val="0"/>
                <w:caps w:val="0"/>
                <w:color w:val="000000"/>
                <w:spacing w:val="0"/>
                <w:kern w:val="2"/>
                <w:sz w:val="24"/>
                <w:szCs w:val="24"/>
                <w:lang w:val="en-US" w:eastAsia="zh-CN" w:bidi="ar"/>
              </w:rPr>
              <w:t>湖南省港务集团有限公司六楼602开标室</w:t>
            </w:r>
          </w:p>
        </w:tc>
      </w:tr>
      <w:tr>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w:t>
            </w:r>
            <w:r>
              <w:rPr>
                <w:rFonts w:hint="eastAsia" w:cs="宋体" w:asciiTheme="minorEastAsia" w:hAnsiTheme="minorEastAsia" w:eastAsiaTheme="minorEastAsia"/>
                <w:color w:val="000000"/>
                <w:sz w:val="24"/>
                <w:lang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评审小组的组建</w:t>
            </w:r>
            <w:r>
              <w:rPr>
                <w:rStyle w:val="47"/>
                <w:rFonts w:cs="宋体" w:asciiTheme="minorEastAsia" w:hAnsiTheme="minorEastAsia" w:eastAsiaTheme="minorEastAsia"/>
                <w:color w:val="000000"/>
                <w:sz w:val="24"/>
              </w:rPr>
              <w:footnoteReference w:id="0"/>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评标小组构成</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u w:val="single"/>
                <w:lang w:val="en-US" w:eastAsia="zh-CN"/>
              </w:rPr>
              <w:t>3</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人。</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sz w:val="24"/>
              </w:rPr>
              <w:t>评审（谈判）专家确定方式：采购代表1人，在湖南省湘水集团有限公司综合评标专家库中随机抽取2人。</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b w:val="0"/>
                <w:bCs w:val="0"/>
                <w:color w:val="000000"/>
                <w:sz w:val="24"/>
              </w:rPr>
              <w:t xml:space="preserve"> </w:t>
            </w:r>
            <w:r>
              <w:rPr>
                <w:rFonts w:hint="eastAsia" w:cs="宋体" w:asciiTheme="minorEastAsia" w:hAnsiTheme="minorEastAsia" w:eastAsiaTheme="minorEastAsia"/>
                <w:b w:val="0"/>
                <w:bCs w:val="0"/>
                <w:color w:val="000000"/>
                <w:sz w:val="24"/>
                <w:lang w:val="en-US" w:eastAsia="zh-CN"/>
              </w:rPr>
              <w:t>2-3个</w:t>
            </w:r>
            <w:r>
              <w:rPr>
                <w:rFonts w:hint="eastAsia" w:cs="宋体" w:asciiTheme="minorEastAsia" w:hAnsiTheme="minorEastAsia" w:eastAsiaTheme="minorEastAsia"/>
                <w:color w:val="000000"/>
                <w:sz w:val="24"/>
              </w:rPr>
              <w:t>，并标明推荐顺序。</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是否排序：</w:t>
            </w:r>
          </w:p>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排序</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公示媒介：</w:t>
            </w:r>
            <w:r>
              <w:rPr>
                <w:rFonts w:hint="eastAsia" w:ascii="宋体" w:hAnsi="宋体" w:cs="宋体"/>
                <w:sz w:val="24"/>
              </w:rPr>
              <w:t>中国招标投标公共服务平台（http：//www.cebpubservice.com）、湖南省湘水集团有限公司网站（http：//www.hnsxsjt.com）、                                   湖南省港务集团有限公司（http://www.hnsgwjt.com）上发布。</w:t>
            </w:r>
            <w:r>
              <w:rPr>
                <w:rFonts w:hint="eastAsia" w:cs="宋体" w:asciiTheme="minorEastAsia" w:hAnsiTheme="minorEastAsia" w:eastAsiaTheme="minorEastAsia"/>
                <w:sz w:val="24"/>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公示期限： 3个工作日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不要求提交</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联系人岳阳城陵矶港务有限责任公司纪委</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联系电话：0730-3050153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通信地址：湖南省岳阳市岳阳楼区长江路2号城陵矶港办公楼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其他：无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8.2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其他</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响应文件一式三份，正本一份，副本两份。</w:t>
            </w:r>
          </w:p>
        </w:tc>
      </w:tr>
    </w:tbl>
    <w:p>
      <w:pPr>
        <w:spacing w:line="360" w:lineRule="auto"/>
        <w:jc w:val="both"/>
        <w:rPr>
          <w:rFonts w:ascii="仿宋" w:hAnsi="仿宋" w:eastAsia="仿宋" w:cs="仿宋"/>
          <w:b/>
          <w:bCs/>
          <w:sz w:val="30"/>
          <w:szCs w:val="30"/>
        </w:rPr>
      </w:pPr>
      <w:r>
        <w:rPr>
          <w:rFonts w:ascii="仿宋" w:hAnsi="仿宋" w:eastAsia="仿宋" w:cs="仿宋"/>
          <w:b/>
          <w:bCs/>
          <w:sz w:val="30"/>
          <w:szCs w:val="30"/>
        </w:rPr>
        <w:br w:type="page"/>
      </w:r>
    </w:p>
    <w:p>
      <w:pPr>
        <w:spacing w:line="360" w:lineRule="auto"/>
        <w:jc w:val="center"/>
        <w:rPr>
          <w:rFonts w:hint="eastAsia" w:ascii="华文中宋" w:hAnsi="华文中宋" w:eastAsia="华文中宋" w:cs="仿宋"/>
          <w:b/>
          <w:bCs/>
          <w:sz w:val="30"/>
          <w:szCs w:val="30"/>
        </w:rPr>
      </w:pPr>
    </w:p>
    <w:p>
      <w:pPr>
        <w:spacing w:line="360" w:lineRule="auto"/>
        <w:jc w:val="center"/>
        <w:rPr>
          <w:rFonts w:ascii="仿宋" w:hAnsi="仿宋" w:eastAsia="仿宋" w:cs="仿宋"/>
          <w:sz w:val="30"/>
          <w:szCs w:val="30"/>
        </w:rPr>
      </w:pPr>
      <w:r>
        <w:rPr>
          <w:rFonts w:hint="eastAsia" w:ascii="华文中宋" w:hAnsi="华文中宋" w:eastAsia="华文中宋" w:cs="仿宋"/>
          <w:b/>
          <w:bCs/>
          <w:sz w:val="30"/>
          <w:szCs w:val="30"/>
        </w:rPr>
        <w:t>第二</w:t>
      </w:r>
      <w:r>
        <w:rPr>
          <w:rFonts w:hint="eastAsia" w:ascii="华文中宋" w:hAnsi="华文中宋" w:eastAsia="华文中宋" w:cs="仿宋"/>
          <w:b/>
          <w:bCs/>
          <w:sz w:val="30"/>
          <w:szCs w:val="30"/>
          <w:lang w:val="en-US" w:eastAsia="zh-CN"/>
        </w:rPr>
        <w:t>节</w:t>
      </w:r>
      <w:r>
        <w:rPr>
          <w:rFonts w:hint="eastAsia" w:ascii="华文中宋" w:hAnsi="华文中宋" w:eastAsia="华文中宋" w:cs="仿宋"/>
          <w:b/>
          <w:bCs/>
          <w:sz w:val="30"/>
          <w:szCs w:val="30"/>
        </w:rPr>
        <w:t xml:space="preserve"> 供应商须知正文</w:t>
      </w:r>
    </w:p>
    <w:p>
      <w:pPr>
        <w:adjustRightInd w:val="0"/>
        <w:snapToGrid w:val="0"/>
        <w:spacing w:before="120" w:beforeLines="50" w:after="120" w:afterLines="50" w:line="360" w:lineRule="auto"/>
        <w:ind w:firstLine="482" w:firstLineChars="200"/>
        <w:jc w:val="both"/>
        <w:rPr>
          <w:rFonts w:ascii="宋体" w:hAnsi="宋体" w:cs="仿宋"/>
          <w:b/>
          <w:bCs/>
          <w:sz w:val="24"/>
        </w:rPr>
      </w:pPr>
      <w:r>
        <w:rPr>
          <w:rFonts w:hint="eastAsia" w:ascii="宋体" w:hAnsi="宋体" w:cs="仿宋"/>
          <w:b/>
          <w:bCs/>
          <w:sz w:val="24"/>
        </w:rPr>
        <w:t>1 总则</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1.1采购方法和评审办法</w:t>
      </w:r>
    </w:p>
    <w:p>
      <w:pPr>
        <w:pStyle w:val="71"/>
        <w:spacing w:before="120" w:after="120" w:line="360"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5"/>
        <w:spacing w:line="360" w:lineRule="auto"/>
        <w:ind w:firstLine="480" w:firstLineChars="200"/>
        <w:rPr>
          <w:rFonts w:hAnsi="宋体" w:eastAsia="宋体" w:cs="仿宋"/>
          <w:sz w:val="24"/>
          <w:szCs w:val="24"/>
        </w:rPr>
      </w:pPr>
      <w:r>
        <w:rPr>
          <w:rFonts w:hint="eastAsia" w:hAnsi="宋体" w:eastAsia="宋体" w:cs="仿宋"/>
          <w:sz w:val="24"/>
          <w:szCs w:val="24"/>
        </w:rPr>
        <w:t>1.1.1采购方法</w:t>
      </w:r>
    </w:p>
    <w:p>
      <w:pPr>
        <w:pStyle w:val="65"/>
        <w:spacing w:line="360"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5"/>
        <w:spacing w:line="360" w:lineRule="auto"/>
        <w:ind w:firstLine="480" w:firstLineChars="200"/>
        <w:rPr>
          <w:rFonts w:hAnsi="宋体" w:eastAsia="宋体" w:cs="仿宋"/>
          <w:sz w:val="24"/>
          <w:szCs w:val="24"/>
        </w:rPr>
      </w:pPr>
      <w:r>
        <w:rPr>
          <w:rFonts w:hint="eastAsia" w:hAnsi="宋体" w:eastAsia="宋体" w:cs="仿宋"/>
          <w:sz w:val="24"/>
          <w:szCs w:val="24"/>
        </w:rPr>
        <w:t>1.1.2评审办法</w:t>
      </w:r>
    </w:p>
    <w:p>
      <w:pPr>
        <w:adjustRightInd w:val="0"/>
        <w:snapToGrid w:val="0"/>
        <w:spacing w:line="312" w:lineRule="auto"/>
        <w:ind w:firstLine="480" w:firstLineChars="200"/>
        <w:jc w:val="both"/>
        <w:rPr>
          <w:rFonts w:ascii="宋体" w:hAnsi="宋体"/>
          <w:color w:val="auto"/>
          <w:sz w:val="24"/>
          <w:shd w:val="clear" w:color="FFFFFF" w:fill="D9D9D9"/>
        </w:rPr>
      </w:pPr>
      <w:r>
        <w:rPr>
          <w:rFonts w:hint="eastAsia" w:ascii="宋体" w:hAnsi="宋体"/>
          <w:color w:val="auto"/>
          <w:sz w:val="24"/>
        </w:rPr>
        <w:t>本次评标采用综合评分法。</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1.3 费用承担</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1.4保密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1.5语言文字</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1.6计量单位</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1.7踏勘现场</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1.8采购预备会</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1.9分包(</w:t>
      </w:r>
      <w:r>
        <w:rPr>
          <w:rFonts w:hint="eastAsia" w:ascii="宋体" w:hAnsi="宋体" w:cs="仿宋"/>
          <w:b/>
          <w:bCs/>
          <w:sz w:val="24"/>
          <w:lang w:eastAsia="zh-CN"/>
        </w:rPr>
        <w:t>本项目不允许分包</w:t>
      </w:r>
      <w:r>
        <w:rPr>
          <w:rFonts w:hint="eastAsia" w:ascii="宋体" w:hAnsi="宋体" w:cs="仿宋"/>
          <w:b/>
          <w:bCs/>
          <w:sz w:val="24"/>
        </w:rPr>
        <w:t>)</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1.10响应和偏差</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2采购文件</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2.1采购文件的组成</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60" w:lineRule="auto"/>
        <w:ind w:left="105" w:leftChars="50" w:firstLine="480" w:firstLineChars="20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left="105" w:leftChars="50" w:firstLine="480" w:firstLineChars="20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left="105" w:leftChars="50" w:firstLine="480" w:firstLineChars="20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60" w:lineRule="auto"/>
        <w:ind w:left="105" w:leftChars="50" w:firstLine="480" w:firstLineChars="20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3响应文件</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3.1响应文件的组成</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3.1.1响应文件应包括下列内容:</w:t>
      </w:r>
    </w:p>
    <w:p>
      <w:pPr>
        <w:adjustRightInd w:val="0"/>
        <w:snapToGrid w:val="0"/>
        <w:spacing w:line="360" w:lineRule="auto"/>
        <w:ind w:firstLine="453" w:firstLineChars="189"/>
        <w:jc w:val="both"/>
        <w:rPr>
          <w:rFonts w:ascii="宋体" w:hAnsi="宋体" w:cs="仿宋"/>
          <w:color w:val="auto"/>
          <w:sz w:val="24"/>
        </w:rPr>
      </w:pPr>
      <w:r>
        <w:rPr>
          <w:rFonts w:hint="eastAsia" w:ascii="宋体" w:hAnsi="宋体" w:cs="仿宋"/>
          <w:sz w:val="24"/>
        </w:rPr>
        <w:t xml:space="preserve"> </w:t>
      </w:r>
      <w:r>
        <w:rPr>
          <w:rFonts w:hint="eastAsia" w:ascii="宋体" w:hAnsi="宋体" w:cs="仿宋"/>
          <w:color w:val="auto"/>
          <w:sz w:val="24"/>
        </w:rPr>
        <w:t>(1)响应函;</w:t>
      </w:r>
    </w:p>
    <w:p>
      <w:pPr>
        <w:adjustRightInd w:val="0"/>
        <w:snapToGrid w:val="0"/>
        <w:spacing w:line="360" w:lineRule="auto"/>
        <w:ind w:firstLine="453" w:firstLineChars="189"/>
        <w:jc w:val="both"/>
        <w:rPr>
          <w:rFonts w:ascii="宋体" w:hAnsi="宋体" w:cs="仿宋"/>
          <w:color w:val="auto"/>
          <w:sz w:val="24"/>
        </w:rPr>
      </w:pPr>
      <w:r>
        <w:rPr>
          <w:rFonts w:hint="eastAsia" w:ascii="宋体" w:hAnsi="宋体" w:cs="仿宋"/>
          <w:color w:val="auto"/>
          <w:sz w:val="24"/>
        </w:rPr>
        <w:t xml:space="preserve"> (2)授权委托书(如有);</w:t>
      </w:r>
    </w:p>
    <w:p>
      <w:pPr>
        <w:adjustRightInd w:val="0"/>
        <w:snapToGrid w:val="0"/>
        <w:spacing w:line="360" w:lineRule="auto"/>
        <w:ind w:firstLine="453" w:firstLineChars="189"/>
        <w:jc w:val="both"/>
        <w:rPr>
          <w:rFonts w:hint="eastAsia"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3</w:t>
      </w:r>
      <w:r>
        <w:rPr>
          <w:rFonts w:hint="eastAsia" w:ascii="宋体" w:hAnsi="宋体" w:cs="仿宋"/>
          <w:color w:val="auto"/>
          <w:sz w:val="24"/>
        </w:rPr>
        <w:t>)商务和技术偏差表;</w:t>
      </w:r>
    </w:p>
    <w:p>
      <w:pPr>
        <w:adjustRightInd w:val="0"/>
        <w:snapToGrid w:val="0"/>
        <w:spacing w:line="360" w:lineRule="auto"/>
        <w:ind w:firstLine="453" w:firstLineChars="189"/>
        <w:jc w:val="both"/>
        <w:rPr>
          <w:rFonts w:hint="default" w:ascii="宋体" w:hAnsi="宋体" w:cs="仿宋"/>
          <w:color w:val="auto"/>
          <w:sz w:val="24"/>
        </w:rPr>
      </w:pPr>
      <w:r>
        <w:rPr>
          <w:rFonts w:hint="eastAsia" w:ascii="宋体" w:hAnsi="宋体" w:cs="仿宋"/>
          <w:color w:val="auto"/>
          <w:sz w:val="24"/>
          <w:lang w:val="en-US" w:eastAsia="zh-CN"/>
        </w:rPr>
        <w:t xml:space="preserve"> </w:t>
      </w:r>
      <w:r>
        <w:rPr>
          <w:rFonts w:hint="eastAsia" w:ascii="宋体" w:hAnsi="宋体" w:cs="仿宋"/>
          <w:color w:val="auto"/>
          <w:sz w:val="24"/>
        </w:rPr>
        <w:t>(</w:t>
      </w:r>
      <w:r>
        <w:rPr>
          <w:rFonts w:hint="eastAsia" w:ascii="宋体" w:hAnsi="宋体" w:cs="仿宋"/>
          <w:color w:val="auto"/>
          <w:sz w:val="24"/>
          <w:lang w:val="en-US" w:eastAsia="zh-CN"/>
        </w:rPr>
        <w:t>4</w:t>
      </w:r>
      <w:r>
        <w:rPr>
          <w:rFonts w:hint="eastAsia" w:ascii="宋体" w:hAnsi="宋体" w:cs="仿宋"/>
          <w:color w:val="auto"/>
          <w:sz w:val="24"/>
        </w:rPr>
        <w:t>)</w:t>
      </w:r>
      <w:r>
        <w:rPr>
          <w:rFonts w:hint="eastAsia" w:ascii="宋体" w:hAnsi="宋体" w:cs="仿宋"/>
          <w:color w:val="auto"/>
          <w:sz w:val="24"/>
          <w:lang w:val="en-US" w:eastAsia="zh-CN"/>
        </w:rPr>
        <w:t>报价</w:t>
      </w:r>
      <w:r>
        <w:rPr>
          <w:rFonts w:hint="eastAsia" w:ascii="宋体" w:hAnsi="宋体" w:cs="仿宋"/>
          <w:color w:val="auto"/>
          <w:sz w:val="24"/>
        </w:rPr>
        <w:t>表;</w:t>
      </w:r>
    </w:p>
    <w:p>
      <w:pPr>
        <w:adjustRightInd w:val="0"/>
        <w:snapToGrid w:val="0"/>
        <w:spacing w:line="360" w:lineRule="auto"/>
        <w:ind w:firstLine="453" w:firstLineChars="189"/>
        <w:jc w:val="both"/>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5</w:t>
      </w:r>
      <w:r>
        <w:rPr>
          <w:rFonts w:hint="eastAsia" w:ascii="宋体" w:hAnsi="宋体" w:cs="仿宋"/>
          <w:color w:val="auto"/>
          <w:sz w:val="24"/>
        </w:rPr>
        <w:t>)资格审查资料;</w:t>
      </w:r>
    </w:p>
    <w:p>
      <w:pPr>
        <w:adjustRightInd w:val="0"/>
        <w:snapToGrid w:val="0"/>
        <w:spacing w:line="360" w:lineRule="auto"/>
        <w:ind w:firstLine="453" w:firstLineChars="189"/>
        <w:jc w:val="both"/>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6</w:t>
      </w:r>
      <w:r>
        <w:rPr>
          <w:rFonts w:hint="eastAsia" w:ascii="宋体" w:hAnsi="宋体" w:cs="仿宋"/>
          <w:color w:val="auto"/>
          <w:sz w:val="24"/>
        </w:rPr>
        <w:t>)响应方案;</w:t>
      </w:r>
    </w:p>
    <w:p>
      <w:pPr>
        <w:adjustRightInd w:val="0"/>
        <w:snapToGrid w:val="0"/>
        <w:spacing w:line="360" w:lineRule="auto"/>
        <w:ind w:firstLine="453" w:firstLineChars="189"/>
        <w:jc w:val="both"/>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7</w:t>
      </w:r>
      <w:r>
        <w:rPr>
          <w:rFonts w:hint="eastAsia" w:ascii="宋体" w:hAnsi="宋体" w:cs="仿宋"/>
          <w:color w:val="auto"/>
          <w:sz w:val="24"/>
        </w:rPr>
        <w:t>)供应商须知前附表规定的其他资料。</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firstLine="482" w:firstLineChars="200"/>
        <w:jc w:val="both"/>
        <w:rPr>
          <w:rFonts w:ascii="宋体" w:hAnsi="宋体" w:cs="仿宋"/>
          <w:b/>
          <w:bCs/>
          <w:color w:val="auto"/>
          <w:sz w:val="24"/>
        </w:rPr>
      </w:pPr>
      <w:r>
        <w:rPr>
          <w:rFonts w:hint="eastAsia" w:ascii="宋体" w:hAnsi="宋体" w:cs="仿宋"/>
          <w:b/>
          <w:bCs/>
          <w:sz w:val="24"/>
        </w:rPr>
        <w:t>3.2报价</w:t>
      </w:r>
    </w:p>
    <w:p>
      <w:pPr>
        <w:adjustRightInd w:val="0"/>
        <w:snapToGrid w:val="0"/>
        <w:spacing w:line="360" w:lineRule="auto"/>
        <w:ind w:firstLine="480" w:firstLineChars="200"/>
        <w:jc w:val="both"/>
        <w:rPr>
          <w:rFonts w:ascii="宋体" w:hAnsi="宋体" w:cs="仿宋"/>
          <w:color w:val="auto"/>
          <w:sz w:val="24"/>
        </w:rPr>
      </w:pPr>
      <w:r>
        <w:rPr>
          <w:rFonts w:hint="eastAsia" w:ascii="宋体" w:hAnsi="宋体" w:cs="仿宋"/>
          <w:color w:val="auto"/>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3.3响应文件有效期</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60" w:lineRule="auto"/>
        <w:ind w:firstLine="482" w:firstLineChars="200"/>
        <w:jc w:val="both"/>
        <w:rPr>
          <w:rFonts w:hint="eastAsia" w:ascii="宋体" w:hAnsi="宋体" w:eastAsia="宋体" w:cs="仿宋"/>
          <w:b/>
          <w:bCs/>
          <w:sz w:val="24"/>
          <w:lang w:eastAsia="zh-CN"/>
        </w:rPr>
      </w:pPr>
      <w:r>
        <w:rPr>
          <w:rFonts w:hint="eastAsia" w:ascii="宋体" w:hAnsi="宋体" w:cs="仿宋"/>
          <w:b/>
          <w:bCs/>
          <w:sz w:val="24"/>
        </w:rPr>
        <w:t>3.4响应保证金</w:t>
      </w:r>
      <w:r>
        <w:rPr>
          <w:rFonts w:hint="eastAsia" w:ascii="宋体" w:hAnsi="宋体" w:cs="仿宋"/>
          <w:b/>
          <w:bCs/>
          <w:sz w:val="24"/>
          <w:lang w:eastAsia="zh-CN"/>
        </w:rPr>
        <w:t>（本项目不提交响应保证金）</w:t>
      </w:r>
    </w:p>
    <w:p>
      <w:pPr>
        <w:adjustRightInd w:val="0"/>
        <w:snapToGrid w:val="0"/>
        <w:spacing w:line="360" w:lineRule="auto"/>
        <w:ind w:left="239" w:leftChars="114" w:firstLine="361" w:firstLineChars="150"/>
        <w:jc w:val="both"/>
        <w:rPr>
          <w:rFonts w:ascii="宋体" w:hAnsi="宋体" w:cs="仿宋"/>
          <w:b/>
          <w:bCs/>
          <w:sz w:val="24"/>
        </w:rPr>
      </w:pPr>
      <w:r>
        <w:rPr>
          <w:rFonts w:hint="eastAsia" w:ascii="宋体" w:hAnsi="宋体" w:cs="仿宋"/>
          <w:b/>
          <w:bCs/>
          <w:sz w:val="24"/>
        </w:rPr>
        <w:t>3.5资格审查资料</w:t>
      </w:r>
    </w:p>
    <w:p>
      <w:pPr>
        <w:adjustRightInd w:val="0"/>
        <w:snapToGrid w:val="0"/>
        <w:spacing w:line="360"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w:t>
      </w:r>
      <w:r>
        <w:rPr>
          <w:rFonts w:hint="eastAsia" w:ascii="宋体" w:hAnsi="宋体" w:cs="仿宋"/>
          <w:sz w:val="24"/>
          <w:lang w:val="en-US" w:eastAsia="zh-CN"/>
        </w:rPr>
        <w:t>8</w:t>
      </w:r>
      <w:r>
        <w:rPr>
          <w:rFonts w:hint="eastAsia" w:ascii="宋体" w:hAnsi="宋体" w:cs="仿宋"/>
          <w:sz w:val="24"/>
        </w:rPr>
        <w:t>)中规定的资格审查资料，以证明其满足第一章“采购公告”对供应商的各项资格要求。</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3.6响应方案</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3.7响应文件的编制</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60" w:lineRule="auto"/>
        <w:ind w:firstLine="480" w:firstLineChars="200"/>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60" w:lineRule="auto"/>
        <w:ind w:firstLine="480" w:firstLineChars="200"/>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4响应文件的递交</w:t>
      </w:r>
    </w:p>
    <w:p>
      <w:pPr>
        <w:adjustRightInd w:val="0"/>
        <w:snapToGrid w:val="0"/>
        <w:spacing w:line="360" w:lineRule="auto"/>
        <w:ind w:firstLine="482" w:firstLineChars="200"/>
        <w:jc w:val="both"/>
        <w:rPr>
          <w:rFonts w:ascii="宋体" w:hAnsi="宋体" w:cs="仿宋"/>
          <w:b/>
          <w:bCs/>
          <w:sz w:val="24"/>
        </w:rPr>
      </w:pPr>
      <w:r>
        <w:rPr>
          <w:rFonts w:ascii="宋体" w:hAnsi="宋体" w:cs="仿宋"/>
          <w:b/>
          <w:bCs/>
          <w:sz w:val="24"/>
        </w:rPr>
        <w:t>4.1响应文件的包装与标记</w:t>
      </w:r>
    </w:p>
    <w:p>
      <w:pPr>
        <w:adjustRightInd w:val="0"/>
        <w:snapToGrid w:val="0"/>
        <w:spacing w:line="360" w:lineRule="auto"/>
        <w:ind w:firstLine="480" w:firstLineChars="200"/>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60" w:lineRule="auto"/>
        <w:ind w:firstLine="480" w:firstLineChars="200"/>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4.2响应文件的递交</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5开启响应文件</w:t>
      </w:r>
    </w:p>
    <w:p>
      <w:pPr>
        <w:adjustRightInd w:val="0"/>
        <w:snapToGrid w:val="0"/>
        <w:spacing w:line="360" w:lineRule="auto"/>
        <w:ind w:firstLine="455" w:firstLineChars="189"/>
        <w:jc w:val="both"/>
        <w:rPr>
          <w:rFonts w:ascii="宋体" w:hAnsi="宋体" w:cs="仿宋"/>
          <w:color w:val="auto"/>
          <w:sz w:val="24"/>
        </w:rPr>
      </w:pPr>
      <w:r>
        <w:rPr>
          <w:rFonts w:hint="eastAsia" w:ascii="宋体" w:hAnsi="宋体" w:cs="仿宋"/>
          <w:b/>
          <w:sz w:val="24"/>
        </w:rPr>
        <w:t>采购人一般不公开开启响应文件。</w:t>
      </w:r>
      <w:r>
        <w:rPr>
          <w:rFonts w:hint="eastAsia" w:ascii="宋体" w:hAnsi="宋体" w:cs="仿宋"/>
          <w:b w:val="0"/>
          <w:bCs/>
          <w:sz w:val="24"/>
        </w:rPr>
        <w:t>如</w:t>
      </w:r>
      <w:r>
        <w:rPr>
          <w:rFonts w:hint="eastAsia" w:ascii="宋体" w:hAnsi="宋体" w:cs="仿宋"/>
          <w:bCs/>
          <w:sz w:val="24"/>
        </w:rPr>
        <w:t>供</w:t>
      </w:r>
      <w:r>
        <w:rPr>
          <w:rFonts w:hint="eastAsia" w:ascii="宋体" w:hAnsi="宋体" w:cs="仿宋"/>
          <w:sz w:val="24"/>
        </w:rPr>
        <w:t>应商须知前附表规定公开开启响应文件的，开启活动应按</w:t>
      </w:r>
      <w:r>
        <w:rPr>
          <w:rFonts w:hint="eastAsia" w:ascii="宋体" w:hAnsi="宋体" w:cs="仿宋"/>
          <w:color w:val="auto"/>
          <w:sz w:val="24"/>
        </w:rPr>
        <w:t>本条规定执行。</w:t>
      </w:r>
    </w:p>
    <w:p>
      <w:pPr>
        <w:adjustRightInd w:val="0"/>
        <w:snapToGrid w:val="0"/>
        <w:spacing w:line="360" w:lineRule="auto"/>
        <w:ind w:firstLine="482" w:firstLineChars="200"/>
        <w:jc w:val="both"/>
        <w:rPr>
          <w:rFonts w:ascii="宋体" w:hAnsi="宋体" w:cs="仿宋"/>
          <w:b/>
          <w:bCs/>
          <w:color w:val="auto"/>
          <w:sz w:val="24"/>
        </w:rPr>
      </w:pPr>
      <w:r>
        <w:rPr>
          <w:rFonts w:hint="eastAsia" w:ascii="宋体" w:hAnsi="宋体" w:cs="仿宋"/>
          <w:b/>
          <w:bCs/>
          <w:color w:val="auto"/>
          <w:sz w:val="24"/>
        </w:rPr>
        <w:t>5.1开启响应文件的时间和地点</w:t>
      </w:r>
    </w:p>
    <w:p>
      <w:pPr>
        <w:adjustRightInd w:val="0"/>
        <w:snapToGrid w:val="0"/>
        <w:spacing w:line="360" w:lineRule="auto"/>
        <w:ind w:firstLine="453" w:firstLineChars="189"/>
        <w:jc w:val="both"/>
        <w:rPr>
          <w:rFonts w:ascii="宋体" w:hAnsi="宋体" w:cs="仿宋"/>
          <w:color w:val="auto"/>
          <w:sz w:val="24"/>
        </w:rPr>
      </w:pPr>
      <w:r>
        <w:rPr>
          <w:rFonts w:hint="eastAsia" w:ascii="宋体" w:hAnsi="宋体" w:cs="仿宋"/>
          <w:color w:val="auto"/>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5.2开启程序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60" w:lineRule="auto"/>
        <w:ind w:firstLine="453" w:firstLineChars="189"/>
        <w:jc w:val="both"/>
        <w:rPr>
          <w:rFonts w:hint="eastAsia" w:ascii="宋体" w:hAnsi="宋体" w:eastAsia="宋体" w:cs="仿宋"/>
          <w:sz w:val="24"/>
          <w:lang w:eastAsia="zh-CN"/>
        </w:rPr>
      </w:pPr>
      <w:r>
        <w:rPr>
          <w:rFonts w:hint="eastAsia" w:ascii="宋体" w:hAnsi="宋体" w:cs="仿宋"/>
          <w:sz w:val="24"/>
        </w:rPr>
        <w:t>(2)开启会议结束。</w:t>
      </w:r>
    </w:p>
    <w:p>
      <w:pPr>
        <w:adjustRightInd w:val="0"/>
        <w:snapToGrid w:val="0"/>
        <w:spacing w:line="360"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6评审</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6.1评审小组</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60" w:lineRule="auto"/>
        <w:ind w:left="0" w:leftChars="0" w:firstLine="480" w:firstLineChars="200"/>
        <w:jc w:val="both"/>
        <w:rPr>
          <w:rFonts w:hint="eastAsia" w:ascii="宋体" w:hAnsi="宋体" w:eastAsia="宋体" w:cs="仿宋"/>
          <w:sz w:val="24"/>
          <w:lang w:eastAsia="zh-CN"/>
        </w:rPr>
      </w:pPr>
      <w:r>
        <w:rPr>
          <w:rFonts w:hint="eastAsia" w:ascii="宋体" w:hAnsi="宋体" w:cs="仿宋"/>
          <w:sz w:val="24"/>
        </w:rPr>
        <w:t>（1）供应商主要负责人或供应商主要负责人的近亲属;</w:t>
      </w:r>
    </w:p>
    <w:p>
      <w:pPr>
        <w:adjustRightInd w:val="0"/>
        <w:snapToGrid w:val="0"/>
        <w:spacing w:line="360"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6.2评审</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60" w:lineRule="auto"/>
        <w:ind w:firstLine="480" w:firstLineChars="200"/>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7合同授予</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60"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60" w:lineRule="auto"/>
        <w:ind w:firstLine="482" w:firstLineChars="200"/>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60"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60" w:lineRule="auto"/>
        <w:ind w:firstLine="482" w:firstLineChars="200"/>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60"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7.4成交候选供应商履约能力核查</w:t>
      </w:r>
    </w:p>
    <w:p>
      <w:pPr>
        <w:spacing w:line="360"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7.5发出成交通知书</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7.6履约保证金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hint="eastAsia" w:ascii="宋体" w:hAnsi="宋体" w:cs="仿宋"/>
          <w:sz w:val="24"/>
          <w:lang w:val="en-US" w:eastAsia="zh-CN"/>
        </w:rPr>
        <w:t>5</w:t>
      </w:r>
      <w:r>
        <w:rPr>
          <w:rFonts w:hint="eastAsia" w:ascii="宋体" w:hAnsi="宋体" w:cs="仿宋"/>
          <w:sz w:val="24"/>
        </w:rPr>
        <w:t>%。</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7.7签订合同</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80" w:firstLineChars="200"/>
        <w:jc w:val="both"/>
        <w:rPr>
          <w:rFonts w:ascii="宋体" w:hAnsi="宋体" w:cs="仿宋"/>
          <w:color w:val="auto"/>
          <w:sz w:val="24"/>
        </w:rPr>
      </w:pPr>
      <w:r>
        <w:rPr>
          <w:rFonts w:hint="eastAsia" w:ascii="宋体" w:hAnsi="宋体" w:cs="仿宋"/>
          <w:sz w:val="24"/>
        </w:rPr>
        <w:t>7.7.2发出成交通知书后，采购人无正当理由拒绝签订合同，或者在签订合同时向成交供应商提出附加条件的</w:t>
      </w:r>
      <w:r>
        <w:rPr>
          <w:rFonts w:hint="eastAsia" w:ascii="宋体" w:hAnsi="宋体" w:cs="仿宋"/>
          <w:color w:val="auto"/>
          <w:sz w:val="24"/>
        </w:rPr>
        <w:t>，采购人向成交供应商退还响应保证金；给成交供应商造成损失的，还应当赔偿损失。</w:t>
      </w:r>
    </w:p>
    <w:p>
      <w:pPr>
        <w:adjustRightInd w:val="0"/>
        <w:snapToGrid w:val="0"/>
        <w:spacing w:line="360" w:lineRule="auto"/>
        <w:ind w:firstLine="480" w:firstLineChars="200"/>
        <w:jc w:val="both"/>
        <w:rPr>
          <w:rFonts w:ascii="宋体" w:hAnsi="宋体" w:cs="仿宋"/>
          <w:color w:val="auto"/>
          <w:sz w:val="24"/>
        </w:rPr>
      </w:pPr>
      <w:r>
        <w:rPr>
          <w:rFonts w:hint="eastAsia" w:ascii="宋体" w:hAnsi="宋体" w:cs="仿宋"/>
          <w:color w:val="auto"/>
          <w:sz w:val="24"/>
        </w:rPr>
        <w:t>7.7.</w:t>
      </w:r>
      <w:r>
        <w:rPr>
          <w:rFonts w:hint="eastAsia" w:ascii="宋体" w:hAnsi="宋体" w:cs="仿宋"/>
          <w:color w:val="auto"/>
          <w:sz w:val="24"/>
          <w:lang w:val="en-US" w:eastAsia="zh-CN"/>
        </w:rPr>
        <w:t>3</w:t>
      </w:r>
      <w:r>
        <w:rPr>
          <w:rFonts w:hint="eastAsia" w:ascii="宋体" w:hAnsi="宋体" w:cs="仿宋"/>
          <w:color w:val="auto"/>
          <w:sz w:val="24"/>
        </w:rPr>
        <w:t>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60" w:lineRule="auto"/>
        <w:ind w:firstLine="482" w:firstLineChars="200"/>
        <w:jc w:val="both"/>
        <w:rPr>
          <w:rFonts w:ascii="宋体" w:hAnsi="宋体" w:cs="仿宋"/>
          <w:b/>
          <w:bCs/>
          <w:color w:val="auto"/>
          <w:sz w:val="24"/>
        </w:rPr>
      </w:pPr>
      <w:r>
        <w:rPr>
          <w:rFonts w:hint="eastAsia" w:ascii="宋体" w:hAnsi="宋体" w:cs="仿宋"/>
          <w:b/>
          <w:bCs/>
          <w:color w:val="auto"/>
          <w:sz w:val="24"/>
        </w:rPr>
        <w:t>7.</w:t>
      </w:r>
      <w:r>
        <w:rPr>
          <w:rFonts w:ascii="宋体" w:hAnsi="宋体" w:cs="仿宋"/>
          <w:b/>
          <w:bCs/>
          <w:color w:val="auto"/>
          <w:sz w:val="24"/>
        </w:rPr>
        <w:t>8</w:t>
      </w:r>
      <w:r>
        <w:rPr>
          <w:rFonts w:hint="eastAsia" w:ascii="宋体" w:hAnsi="宋体" w:cs="仿宋"/>
          <w:b/>
          <w:bCs/>
          <w:color w:val="auto"/>
          <w:sz w:val="24"/>
        </w:rPr>
        <w:t>特殊情形处理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color w:val="auto"/>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w:t>
      </w:r>
      <w:r>
        <w:rPr>
          <w:rFonts w:hint="eastAsia" w:ascii="宋体" w:hAnsi="宋体" w:cs="仿宋"/>
          <w:sz w:val="24"/>
        </w:rPr>
        <w:t>的程序重新选择成交供应商、进行公示并公告。</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8异议</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8.1提出异议</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8.2异议处理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9纪律要求</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10.2其他</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60" w:lineRule="auto"/>
        <w:jc w:val="both"/>
        <w:rPr>
          <w:rFonts w:ascii="宋体" w:hAnsi="宋体" w:cs="仿宋"/>
          <w:sz w:val="24"/>
        </w:rPr>
      </w:pPr>
    </w:p>
    <w:p>
      <w:pPr>
        <w:adjustRightInd w:val="0"/>
        <w:snapToGrid w:val="0"/>
        <w:spacing w:line="360" w:lineRule="auto"/>
        <w:ind w:firstLine="453" w:firstLineChars="189"/>
        <w:jc w:val="both"/>
        <w:rPr>
          <w:rFonts w:ascii="宋体" w:hAnsi="宋体" w:cs="仿宋"/>
          <w:sz w:val="24"/>
        </w:rPr>
      </w:pPr>
    </w:p>
    <w:p>
      <w:pPr>
        <w:spacing w:line="360" w:lineRule="auto"/>
        <w:jc w:val="both"/>
        <w:rPr>
          <w:rFonts w:ascii="宋体" w:hAnsi="宋体" w:cs="仿宋"/>
          <w:sz w:val="24"/>
        </w:rPr>
      </w:pPr>
      <w:r>
        <w:rPr>
          <w:rFonts w:hint="eastAsia" w:ascii="宋体" w:hAnsi="宋体" w:cs="仿宋"/>
          <w:sz w:val="24"/>
        </w:rPr>
        <w:br w:type="page"/>
      </w:r>
    </w:p>
    <w:p>
      <w:pPr>
        <w:adjustRightInd w:val="0"/>
        <w:snapToGrid w:val="0"/>
        <w:spacing w:line="360" w:lineRule="auto"/>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360" w:lineRule="auto"/>
        <w:ind w:firstLine="721" w:firstLineChars="200"/>
        <w:jc w:val="center"/>
        <w:rPr>
          <w:rFonts w:ascii="华文中宋" w:hAnsi="华文中宋" w:eastAsia="华文中宋" w:cs="仿宋"/>
          <w:b/>
          <w:bCs/>
          <w:sz w:val="36"/>
          <w:szCs w:val="36"/>
        </w:rPr>
      </w:pPr>
    </w:p>
    <w:p>
      <w:pPr>
        <w:adjustRightInd w:val="0"/>
        <w:snapToGrid w:val="0"/>
        <w:spacing w:line="360" w:lineRule="auto"/>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360" w:lineRule="auto"/>
        <w:ind w:firstLine="721" w:firstLineChars="200"/>
        <w:jc w:val="center"/>
        <w:rPr>
          <w:rFonts w:ascii="华文中宋" w:hAnsi="华文中宋" w:eastAsia="华文中宋" w:cs="仿宋"/>
          <w:b/>
          <w:bCs/>
          <w:sz w:val="36"/>
          <w:szCs w:val="36"/>
        </w:rPr>
      </w:pPr>
    </w:p>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0"/>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p>
    <w:p>
      <w:pPr>
        <w:spacing w:line="36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360" w:lineRule="auto"/>
        <w:jc w:val="both"/>
        <w:rPr>
          <w:rFonts w:cs="仿宋" w:asciiTheme="minorEastAsia" w:hAnsiTheme="minorEastAsia" w:eastAsiaTheme="minorEastAsia"/>
          <w:sz w:val="24"/>
        </w:rPr>
      </w:pPr>
    </w:p>
    <w:p>
      <w:pPr>
        <w:spacing w:line="360" w:lineRule="auto"/>
        <w:jc w:val="both"/>
        <w:rPr>
          <w:rFonts w:ascii="仿宋" w:hAnsi="仿宋" w:eastAsia="仿宋" w:cs="仿宋"/>
          <w:sz w:val="30"/>
          <w:szCs w:val="30"/>
        </w:rPr>
      </w:pPr>
    </w:p>
    <w:p>
      <w:pPr>
        <w:spacing w:line="360" w:lineRule="auto"/>
        <w:jc w:val="both"/>
        <w:rPr>
          <w:rFonts w:ascii="仿宋" w:hAnsi="仿宋" w:eastAsia="仿宋" w:cs="仿宋"/>
          <w:sz w:val="30"/>
          <w:szCs w:val="30"/>
        </w:rPr>
      </w:pPr>
      <w:r>
        <w:rPr>
          <w:rFonts w:ascii="仿宋" w:hAnsi="仿宋" w:eastAsia="仿宋" w:cs="仿宋"/>
          <w:sz w:val="30"/>
          <w:szCs w:val="30"/>
        </w:rPr>
        <w:br w:type="page"/>
      </w:r>
    </w:p>
    <w:p>
      <w:pPr>
        <w:spacing w:line="360" w:lineRule="auto"/>
        <w:ind w:firstLine="8100" w:firstLineChars="2700"/>
        <w:jc w:val="both"/>
        <w:rPr>
          <w:rFonts w:ascii="仿宋" w:hAnsi="仿宋" w:eastAsia="仿宋" w:cs="仿宋"/>
          <w:sz w:val="30"/>
          <w:szCs w:val="30"/>
        </w:rPr>
      </w:pP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w:t>
      </w:r>
      <w:r>
        <w:rPr>
          <w:rFonts w:hint="eastAsia" w:ascii="宋体" w:hAnsi="宋体" w:cs="仿宋"/>
          <w:sz w:val="30"/>
          <w:szCs w:val="30"/>
          <w:lang w:val="en-US" w:eastAsia="zh-CN"/>
        </w:rPr>
        <w:t>2</w:t>
      </w:r>
      <w:r>
        <w:rPr>
          <w:rFonts w:hint="eastAsia" w:ascii="宋体" w:hAnsi="宋体" w:cs="仿宋"/>
          <w:sz w:val="30"/>
          <w:szCs w:val="30"/>
        </w:rPr>
        <w:t xml:space="preserve">  问题的澄清</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jc w:val="both"/>
        <w:rPr>
          <w:rFonts w:ascii="宋体" w:hAnsi="宋体" w:cs="仿宋"/>
          <w:sz w:val="24"/>
        </w:rPr>
      </w:pPr>
      <w:r>
        <w:rPr>
          <w:rFonts w:hint="eastAsia" w:ascii="宋体" w:hAnsi="宋体" w:cs="仿宋"/>
          <w:sz w:val="24"/>
        </w:rPr>
        <w:t>评审小组:</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1.</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2.</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360" w:lineRule="auto"/>
        <w:ind w:firstLine="530" w:firstLineChars="221"/>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adjustRightInd/>
        <w:snapToGrid/>
        <w:spacing w:line="360" w:lineRule="auto"/>
        <w:ind w:firstLine="5570" w:firstLineChars="2321"/>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w:t>
      </w:r>
      <w:r>
        <w:rPr>
          <w:rFonts w:hint="eastAsia" w:ascii="宋体" w:hAnsi="宋体" w:cs="仿宋"/>
          <w:sz w:val="30"/>
          <w:szCs w:val="30"/>
          <w:lang w:val="en-US" w:eastAsia="zh-CN"/>
        </w:rPr>
        <w:t>3</w:t>
      </w:r>
      <w:r>
        <w:rPr>
          <w:rFonts w:hint="eastAsia" w:ascii="宋体" w:hAnsi="宋体" w:cs="仿宋"/>
          <w:sz w:val="30"/>
          <w:szCs w:val="30"/>
        </w:rPr>
        <w:t xml:space="preserve">  确认通知</w:t>
      </w:r>
    </w:p>
    <w:p>
      <w:pPr>
        <w:adjustRightInd w:val="0"/>
        <w:snapToGrid w:val="0"/>
        <w:spacing w:line="360" w:lineRule="auto"/>
        <w:ind w:firstLine="721" w:firstLineChars="200"/>
        <w:jc w:val="both"/>
        <w:rPr>
          <w:rFonts w:ascii="华文中宋" w:hAnsi="华文中宋" w:eastAsia="华文中宋" w:cs="仿宋"/>
          <w:b/>
          <w:bCs/>
          <w:sz w:val="36"/>
          <w:szCs w:val="36"/>
        </w:rPr>
      </w:pPr>
    </w:p>
    <w:p>
      <w:pPr>
        <w:adjustRightInd w:val="0"/>
        <w:snapToGrid w:val="0"/>
        <w:spacing w:line="360" w:lineRule="auto"/>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360" w:lineRule="auto"/>
        <w:ind w:firstLine="721"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6"/>
        <w:spacing w:line="360" w:lineRule="auto"/>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36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360" w:lineRule="auto"/>
        <w:jc w:val="center"/>
        <w:outlineLvl w:val="0"/>
        <w:rPr>
          <w:rFonts w:ascii="黑体" w:hAnsi="黑体" w:eastAsia="黑体" w:cs="仿宋"/>
          <w:bCs/>
          <w:sz w:val="36"/>
          <w:szCs w:val="36"/>
        </w:rPr>
      </w:pPr>
      <w:bookmarkStart w:id="2" w:name="_Toc9373"/>
      <w:r>
        <w:rPr>
          <w:rFonts w:hint="eastAsia" w:ascii="黑体" w:hAnsi="黑体" w:eastAsia="黑体" w:cs="仿宋"/>
          <w:bCs/>
          <w:sz w:val="36"/>
          <w:szCs w:val="36"/>
        </w:rPr>
        <w:t>第三章 评审办法</w:t>
      </w:r>
      <w:bookmarkEnd w:id="2"/>
    </w:p>
    <w:p>
      <w:pPr>
        <w:adjustRightInd w:val="0"/>
        <w:snapToGrid w:val="0"/>
        <w:spacing w:before="120" w:beforeLines="50" w:after="120" w:afterLines="50" w:line="360"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40"/>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trPr>
        <w:tc>
          <w:tcPr>
            <w:tcW w:w="1270" w:type="dxa"/>
            <w:vMerge w:val="restart"/>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val="0"/>
              <w:adjustRightInd w:val="0"/>
              <w:spacing w:line="360" w:lineRule="auto"/>
              <w:jc w:val="left"/>
              <w:textAlignment w:val="center"/>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与营业执照、资质证书一致；</w:t>
            </w:r>
          </w:p>
          <w:p>
            <w:pPr>
              <w:widowControl/>
              <w:adjustRightInd w:val="0"/>
              <w:snapToGrid w:val="0"/>
              <w:spacing w:line="360" w:lineRule="auto"/>
              <w:jc w:val="both"/>
              <w:rPr>
                <w:rFonts w:cs="仿宋" w:asciiTheme="minorEastAsia" w:hAnsiTheme="minorEastAsia" w:eastAsiaTheme="minorEastAsia"/>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w:t>
            </w:r>
            <w:r>
              <w:rPr>
                <w:rFonts w:hint="eastAsia" w:cs="仿宋" w:asciiTheme="minorEastAsia" w:hAnsiTheme="minorEastAsia" w:eastAsiaTheme="minorEastAsia"/>
                <w:szCs w:val="21"/>
                <w:lang w:val="en-US" w:eastAsia="zh-CN"/>
              </w:rPr>
              <w:t>1</w:t>
            </w:r>
            <w:r>
              <w:rPr>
                <w:rFonts w:hint="eastAsia" w:cs="仿宋" w:asciiTheme="minorEastAsia" w:hAnsiTheme="minorEastAsia" w:eastAsiaTheme="minorEastAsia"/>
                <w:szCs w:val="21"/>
              </w:rPr>
              <w:t>款情形</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服务</w:t>
            </w:r>
            <w:r>
              <w:rPr>
                <w:rFonts w:hint="eastAsia" w:cs="仿宋" w:asciiTheme="minorEastAsia" w:hAnsiTheme="minorEastAsia" w:eastAsiaTheme="minorEastAsia"/>
                <w:szCs w:val="21"/>
              </w:rPr>
              <w:t>标准</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w:t>
            </w:r>
            <w:r>
              <w:rPr>
                <w:rFonts w:hint="eastAsia" w:cs="仿宋" w:asciiTheme="minorEastAsia" w:hAnsiTheme="minorEastAsia" w:eastAsiaTheme="minorEastAsia"/>
                <w:szCs w:val="21"/>
                <w:lang w:val="en-US" w:eastAsia="zh-CN"/>
              </w:rPr>
              <w:t>综合评分法</w:t>
            </w: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2" w:type="dxa"/>
            <w:gridSpan w:val="2"/>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360" w:lineRule="auto"/>
              <w:jc w:val="center"/>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rPr>
              <w:t>3</w:t>
            </w:r>
            <w:r>
              <w:rPr>
                <w:rFonts w:hint="eastAsia" w:cs="仿宋" w:asciiTheme="minorEastAsia" w:hAnsiTheme="minorEastAsia" w:eastAsiaTheme="minorEastAsia"/>
                <w:szCs w:val="21"/>
                <w:lang w:val="en-US" w:eastAsia="zh-CN"/>
              </w:rPr>
              <w:t>.1</w:t>
            </w:r>
          </w:p>
        </w:tc>
        <w:tc>
          <w:tcPr>
            <w:tcW w:w="1573"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分值构成</w:t>
            </w:r>
          </w:p>
          <w:p>
            <w:pPr>
              <w:widowControl w:val="0"/>
              <w:spacing w:line="360" w:lineRule="auto"/>
              <w:jc w:val="center"/>
              <w:rPr>
                <w:rFonts w:asciiTheme="minorEastAsia" w:hAnsiTheme="minorEastAsia" w:eastAsiaTheme="minorEastAsia"/>
                <w:szCs w:val="21"/>
              </w:rPr>
            </w:pPr>
            <w:r>
              <w:rPr>
                <w:rFonts w:hint="eastAsia" w:cs="仿宋" w:asciiTheme="minorEastAsia" w:hAnsiTheme="minorEastAsia" w:eastAsiaTheme="minorEastAsia"/>
                <w:szCs w:val="21"/>
              </w:rPr>
              <w:t>（总分100分）</w:t>
            </w:r>
          </w:p>
        </w:tc>
        <w:tc>
          <w:tcPr>
            <w:tcW w:w="5676" w:type="dxa"/>
          </w:tcPr>
          <w:p>
            <w:pPr>
              <w:widowControl/>
              <w:numPr>
                <w:ilvl w:val="0"/>
                <w:numId w:val="2"/>
              </w:numPr>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商务部分：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u w:val="single"/>
                <w:lang w:val="en-US" w:eastAsia="zh-CN"/>
              </w:rPr>
              <w:t>40</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分</w:t>
            </w:r>
          </w:p>
          <w:p>
            <w:pPr>
              <w:widowControl/>
              <w:numPr>
                <w:ilvl w:val="0"/>
                <w:numId w:val="2"/>
              </w:numPr>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技术部分：</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u w:val="single"/>
                <w:lang w:val="en-US" w:eastAsia="zh-CN"/>
              </w:rPr>
              <w:t>30</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分</w:t>
            </w:r>
          </w:p>
          <w:p>
            <w:pPr>
              <w:widowControl w:val="0"/>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lang w:val="en-US" w:eastAsia="zh-CN"/>
              </w:rPr>
              <w:t>3</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报价部分：</w:t>
            </w:r>
            <w:r>
              <w:rPr>
                <w:rFonts w:hint="eastAsia" w:cs="仿宋" w:asciiTheme="minorEastAsia" w:hAnsiTheme="minorEastAsia" w:eastAsiaTheme="minorEastAsia"/>
                <w:szCs w:val="21"/>
                <w:lang w:val="en-US" w:eastAsia="zh-CN"/>
              </w:rPr>
              <w:t xml:space="preserve"> </w:t>
            </w:r>
            <w:r>
              <w:rPr>
                <w:rFonts w:hint="eastAsia" w:cs="仿宋" w:asciiTheme="minorEastAsia" w:hAnsiTheme="minorEastAsia" w:eastAsiaTheme="minorEastAsia"/>
                <w:szCs w:val="21"/>
                <w:u w:val="single"/>
                <w:lang w:val="en-US" w:eastAsia="zh-CN"/>
              </w:rPr>
              <w:t>30</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3.2（2）</w:t>
            </w:r>
          </w:p>
        </w:tc>
        <w:tc>
          <w:tcPr>
            <w:tcW w:w="1573" w:type="dxa"/>
            <w:vAlign w:val="center"/>
          </w:tcPr>
          <w:p>
            <w:pPr>
              <w:widowControl/>
              <w:adjustRightInd w:val="0"/>
              <w:snapToGrid w:val="0"/>
              <w:spacing w:line="360" w:lineRule="auto"/>
              <w:jc w:val="center"/>
              <w:textAlignment w:val="cente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评审基准价计算方法</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color w:val="auto"/>
                <w:szCs w:val="21"/>
              </w:rPr>
            </w:pPr>
            <w:r>
              <w:rPr>
                <w:rFonts w:hint="eastAsia" w:asciiTheme="minorEastAsia" w:hAnsiTheme="minorEastAsia" w:eastAsiaTheme="minorEastAsia"/>
                <w:color w:val="auto"/>
                <w:szCs w:val="21"/>
              </w:rPr>
              <w:t>按本询价文件评审办法正文3.2报价评分标准附表3《投标报价评分表》执行。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573"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评分因素</w:t>
            </w:r>
          </w:p>
        </w:tc>
        <w:tc>
          <w:tcPr>
            <w:tcW w:w="567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3.3（1）</w:t>
            </w:r>
          </w:p>
        </w:tc>
        <w:tc>
          <w:tcPr>
            <w:tcW w:w="1573" w:type="dxa"/>
            <w:vAlign w:val="center"/>
          </w:tcPr>
          <w:p>
            <w:pPr>
              <w:widowControl w:val="0"/>
              <w:adjustRightInd w:val="0"/>
              <w:snapToGrid w:val="0"/>
              <w:spacing w:line="360" w:lineRule="auto"/>
              <w:jc w:val="center"/>
              <w:textAlignment w:val="center"/>
              <w:rPr>
                <w:rFonts w:ascii="宋体" w:hAnsi="宋体"/>
                <w:szCs w:val="21"/>
              </w:rPr>
            </w:pPr>
            <w:r>
              <w:rPr>
                <w:rFonts w:hint="eastAsia" w:ascii="宋体" w:hAnsi="宋体"/>
                <w:szCs w:val="21"/>
              </w:rPr>
              <w:t>商务部分评分标准</w:t>
            </w:r>
          </w:p>
        </w:tc>
        <w:tc>
          <w:tcPr>
            <w:tcW w:w="5676" w:type="dxa"/>
            <w:vAlign w:val="center"/>
          </w:tcPr>
          <w:p>
            <w:pPr>
              <w:widowControl w:val="0"/>
              <w:adjustRightInd w:val="0"/>
              <w:snapToGrid w:val="0"/>
              <w:spacing w:line="360" w:lineRule="auto"/>
              <w:jc w:val="center"/>
              <w:textAlignment w:val="center"/>
              <w:rPr>
                <w:rFonts w:ascii="宋体" w:hAnsi="宋体"/>
                <w:szCs w:val="21"/>
              </w:rPr>
            </w:pPr>
            <w:r>
              <w:rPr>
                <w:rFonts w:hint="eastAsia" w:ascii="宋体" w:hAnsi="宋体"/>
                <w:szCs w:val="21"/>
              </w:rPr>
              <w:t>详见本章</w:t>
            </w:r>
            <w:r>
              <w:rPr>
                <w:rFonts w:hint="eastAsia" w:ascii="宋体" w:hAnsi="宋体"/>
                <w:b/>
                <w:szCs w:val="21"/>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2522"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3.3（2）</w:t>
            </w:r>
          </w:p>
        </w:tc>
        <w:tc>
          <w:tcPr>
            <w:tcW w:w="1573" w:type="dxa"/>
            <w:vAlign w:val="center"/>
          </w:tcPr>
          <w:p>
            <w:pPr>
              <w:widowControl w:val="0"/>
              <w:adjustRightInd w:val="0"/>
              <w:snapToGrid w:val="0"/>
              <w:spacing w:line="360" w:lineRule="auto"/>
              <w:jc w:val="center"/>
              <w:textAlignment w:val="center"/>
              <w:rPr>
                <w:rFonts w:ascii="宋体" w:hAnsi="宋体"/>
                <w:szCs w:val="21"/>
              </w:rPr>
            </w:pPr>
            <w:r>
              <w:rPr>
                <w:rFonts w:hint="eastAsia" w:ascii="宋体" w:hAnsi="宋体"/>
                <w:szCs w:val="21"/>
              </w:rPr>
              <w:t>技术部分评分标准</w:t>
            </w:r>
          </w:p>
        </w:tc>
        <w:tc>
          <w:tcPr>
            <w:tcW w:w="5676" w:type="dxa"/>
            <w:vAlign w:val="center"/>
          </w:tcPr>
          <w:p>
            <w:pPr>
              <w:widowControl w:val="0"/>
              <w:adjustRightInd w:val="0"/>
              <w:snapToGrid w:val="0"/>
              <w:spacing w:line="360" w:lineRule="auto"/>
              <w:jc w:val="center"/>
              <w:textAlignment w:val="center"/>
              <w:rPr>
                <w:rFonts w:ascii="宋体" w:hAnsi="宋体"/>
                <w:szCs w:val="21"/>
              </w:rPr>
            </w:pPr>
            <w:r>
              <w:rPr>
                <w:rFonts w:hint="eastAsia" w:ascii="宋体" w:hAnsi="宋体"/>
                <w:szCs w:val="21"/>
              </w:rPr>
              <w:t>详见本章</w:t>
            </w:r>
            <w:r>
              <w:rPr>
                <w:rFonts w:hint="eastAsia" w:ascii="宋体" w:hAnsi="宋体"/>
                <w:b/>
                <w:szCs w:val="21"/>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522"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3.3（3）</w:t>
            </w:r>
          </w:p>
        </w:tc>
        <w:tc>
          <w:tcPr>
            <w:tcW w:w="1573"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ascii="宋体" w:hAnsi="宋体"/>
                <w:szCs w:val="21"/>
              </w:rPr>
              <w:t>报价评分标准</w:t>
            </w:r>
          </w:p>
        </w:tc>
        <w:tc>
          <w:tcPr>
            <w:tcW w:w="5676" w:type="dxa"/>
            <w:vAlign w:val="center"/>
          </w:tcPr>
          <w:p>
            <w:pPr>
              <w:widowControl/>
              <w:adjustRightInd w:val="0"/>
              <w:snapToGrid w:val="0"/>
              <w:spacing w:line="360" w:lineRule="auto"/>
              <w:jc w:val="center"/>
              <w:textAlignment w:val="center"/>
              <w:rPr>
                <w:rFonts w:cs="仿宋" w:asciiTheme="minorEastAsia" w:hAnsiTheme="minorEastAsia"/>
                <w:szCs w:val="21"/>
              </w:rPr>
            </w:pPr>
            <w:r>
              <w:rPr>
                <w:rFonts w:hint="eastAsia" w:ascii="宋体" w:hAnsi="宋体"/>
                <w:szCs w:val="21"/>
              </w:rPr>
              <w:t>详见本章</w:t>
            </w:r>
            <w:r>
              <w:rPr>
                <w:rFonts w:hint="eastAsia" w:ascii="宋体" w:hAnsi="宋体"/>
                <w:b/>
                <w:szCs w:val="21"/>
              </w:rPr>
              <w:t>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522" w:type="dxa"/>
            <w:gridSpan w:val="2"/>
            <w:vAlign w:val="center"/>
          </w:tcPr>
          <w:p>
            <w:pPr>
              <w:widowControl w:val="0"/>
              <w:adjustRightInd w:val="0"/>
              <w:snapToGrid w:val="0"/>
              <w:spacing w:line="360" w:lineRule="auto"/>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3.4.1</w:t>
            </w:r>
          </w:p>
        </w:tc>
        <w:tc>
          <w:tcPr>
            <w:tcW w:w="1573" w:type="dxa"/>
            <w:vAlign w:val="center"/>
          </w:tcPr>
          <w:p>
            <w:pPr>
              <w:widowControl w:val="0"/>
              <w:adjustRightInd w:val="0"/>
              <w:snapToGrid w:val="0"/>
              <w:spacing w:line="360" w:lineRule="auto"/>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供应商最终得分的计算方法</w:t>
            </w:r>
          </w:p>
        </w:tc>
        <w:tc>
          <w:tcPr>
            <w:tcW w:w="5676" w:type="dxa"/>
            <w:vAlign w:val="center"/>
          </w:tcPr>
          <w:p>
            <w:pPr>
              <w:widowControl w:val="0"/>
              <w:adjustRightInd w:val="0"/>
              <w:snapToGrid w:val="0"/>
              <w:spacing w:line="360" w:lineRule="auto"/>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供应商最终得分为商务部分、技术部分、投标报价3个方面评价得分之和。</w:t>
            </w:r>
          </w:p>
        </w:tc>
      </w:tr>
    </w:tbl>
    <w:p>
      <w:pPr>
        <w:spacing w:line="360" w:lineRule="auto"/>
        <w:jc w:val="both"/>
        <w:rPr>
          <w:rFonts w:ascii="宋体" w:hAnsi="宋体" w:cs="仿宋"/>
          <w:sz w:val="24"/>
        </w:rPr>
      </w:pPr>
      <w:r>
        <w:rPr>
          <w:rFonts w:hint="eastAsia" w:ascii="宋体" w:hAnsi="宋体" w:cs="仿宋"/>
          <w:sz w:val="24"/>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sz w:val="24"/>
        </w:rPr>
        <w:t>本次评审</w:t>
      </w:r>
      <w:r>
        <w:rPr>
          <w:rFonts w:hint="eastAsia" w:ascii="宋体" w:hAnsi="宋体" w:cs="仿宋"/>
          <w:color w:val="auto"/>
          <w:sz w:val="24"/>
        </w:rPr>
        <w:t>采用</w:t>
      </w:r>
      <w:r>
        <w:rPr>
          <w:rFonts w:hint="eastAsia" w:ascii="宋体" w:hAnsi="宋体" w:cs="仿宋"/>
          <w:b/>
          <w:bCs/>
          <w:color w:val="auto"/>
          <w:sz w:val="24"/>
        </w:rPr>
        <w:t>综合评分法</w:t>
      </w:r>
      <w:r>
        <w:rPr>
          <w:rFonts w:hint="eastAsia" w:ascii="宋体" w:hAnsi="宋体" w:cs="仿宋"/>
          <w:color w:val="auto"/>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60" w:lineRule="auto"/>
        <w:jc w:val="both"/>
        <w:rPr>
          <w:rFonts w:ascii="宋体" w:hAnsi="宋体" w:cs="仿宋"/>
          <w:sz w:val="24"/>
        </w:rPr>
      </w:pPr>
      <w:r>
        <w:rPr>
          <w:rFonts w:hint="eastAsia" w:ascii="宋体" w:hAnsi="宋体" w:cs="仿宋"/>
          <w:b/>
          <w:bCs/>
          <w:sz w:val="24"/>
        </w:rPr>
        <w:t>3详细评审标准和程序(综合评分法)</w:t>
      </w:r>
    </w:p>
    <w:p>
      <w:pPr>
        <w:adjustRightInd w:val="0"/>
        <w:snapToGrid w:val="0"/>
        <w:spacing w:line="360" w:lineRule="auto"/>
        <w:jc w:val="both"/>
        <w:rPr>
          <w:rFonts w:ascii="宋体" w:hAnsi="宋体" w:cs="仿宋"/>
          <w:b/>
          <w:bCs/>
          <w:sz w:val="24"/>
        </w:rPr>
      </w:pPr>
      <w:r>
        <w:rPr>
          <w:rFonts w:hint="eastAsia" w:ascii="宋体" w:hAnsi="宋体" w:cs="仿宋"/>
          <w:b/>
          <w:bCs/>
          <w:sz w:val="24"/>
        </w:rPr>
        <w:t>3.1分值构成</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(1)商务部分:见评审办法前附表;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(2)技术部分:见评审办法前附表;</w:t>
      </w:r>
    </w:p>
    <w:p>
      <w:pPr>
        <w:adjustRightInd w:val="0"/>
        <w:snapToGrid w:val="0"/>
        <w:spacing w:line="360" w:lineRule="auto"/>
        <w:ind w:firstLine="321" w:firstLineChars="134"/>
        <w:jc w:val="both"/>
        <w:rPr>
          <w:rFonts w:ascii="宋体" w:hAnsi="宋体" w:cs="仿宋"/>
          <w:sz w:val="24"/>
        </w:rPr>
      </w:pPr>
      <w:r>
        <w:rPr>
          <w:rFonts w:hint="eastAsia" w:ascii="宋体" w:hAnsi="宋体" w:cs="仿宋"/>
          <w:sz w:val="24"/>
        </w:rPr>
        <w:t xml:space="preserve"> (3)报价:见评审办法前附表;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3.2评分标准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(1)商务评分标准:见评审办法前附表;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(2)技术评分标准:见评审办法前附表;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(3)报价评分标准: 见评审办法前附表;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3.3评分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60" w:lineRule="auto"/>
        <w:jc w:val="both"/>
        <w:rPr>
          <w:rFonts w:ascii="宋体" w:hAnsi="宋体" w:cs="仿宋"/>
          <w:sz w:val="24"/>
        </w:rPr>
      </w:pPr>
      <w:r>
        <w:rPr>
          <w:rFonts w:hint="eastAsia" w:ascii="宋体" w:hAnsi="宋体" w:cs="仿宋"/>
          <w:b/>
          <w:bCs/>
          <w:sz w:val="24"/>
        </w:rPr>
        <w:t>3.4汇总</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评审小组汇总每个成员对供应商的评分总分，每个供应商的评分总分的算术平均值为供应商最终得分。</w:t>
      </w:r>
    </w:p>
    <w:p>
      <w:pPr>
        <w:adjustRightInd w:val="0"/>
        <w:snapToGrid w:val="0"/>
        <w:spacing w:line="360" w:lineRule="auto"/>
        <w:jc w:val="both"/>
        <w:rPr>
          <w:rFonts w:ascii="宋体" w:hAnsi="宋体" w:cs="仿宋"/>
          <w:b/>
          <w:bCs/>
          <w:sz w:val="24"/>
        </w:rPr>
      </w:pPr>
      <w:r>
        <w:rPr>
          <w:rFonts w:hint="eastAsia" w:ascii="宋体" w:hAnsi="宋体" w:cs="仿宋"/>
          <w:b/>
          <w:bCs/>
          <w:sz w:val="24"/>
        </w:rPr>
        <w:t>3.5排序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360" w:lineRule="auto"/>
        <w:jc w:val="both"/>
        <w:outlineLvl w:val="0"/>
        <w:rPr>
          <w:rFonts w:ascii="黑体" w:hAnsi="黑体" w:eastAsia="黑体" w:cs="宋体"/>
          <w:kern w:val="44"/>
          <w:sz w:val="32"/>
          <w:szCs w:val="32"/>
        </w:rPr>
      </w:pPr>
      <w:r>
        <w:rPr>
          <w:rFonts w:hint="eastAsia" w:ascii="黑体" w:hAnsi="黑体" w:eastAsia="黑体" w:cs="宋体"/>
          <w:kern w:val="44"/>
          <w:sz w:val="32"/>
          <w:szCs w:val="32"/>
        </w:rPr>
        <w:t xml:space="preserve">附表1  </w:t>
      </w:r>
    </w:p>
    <w:p>
      <w:pPr>
        <w:widowControl w:val="0"/>
        <w:snapToGrid w:val="0"/>
        <w:spacing w:line="360" w:lineRule="auto"/>
        <w:jc w:val="center"/>
        <w:outlineLvl w:val="0"/>
        <w:rPr>
          <w:rFonts w:ascii="黑体" w:hAnsi="黑体" w:eastAsia="黑体" w:cs="宋体"/>
          <w:kern w:val="44"/>
          <w:sz w:val="32"/>
          <w:szCs w:val="32"/>
        </w:rPr>
      </w:pPr>
      <w:r>
        <w:rPr>
          <w:rFonts w:hint="eastAsia" w:ascii="黑体" w:hAnsi="黑体" w:eastAsia="黑体" w:cs="宋体"/>
          <w:kern w:val="44"/>
          <w:sz w:val="32"/>
          <w:szCs w:val="32"/>
        </w:rPr>
        <w:t>商务部分评分表</w:t>
      </w:r>
    </w:p>
    <w:p>
      <w:pPr>
        <w:snapToGrid w:val="0"/>
        <w:spacing w:line="360" w:lineRule="auto"/>
        <w:jc w:val="both"/>
        <w:rPr>
          <w:rFonts w:ascii="宋体" w:hAnsi="宋体"/>
          <w:sz w:val="24"/>
          <w:u w:val="single"/>
        </w:rPr>
      </w:pPr>
      <w:r>
        <w:rPr>
          <w:rFonts w:hint="eastAsia" w:ascii="宋体" w:hAnsi="宋体"/>
          <w:sz w:val="24"/>
        </w:rPr>
        <w:t>项目名称：</w:t>
      </w:r>
      <w:r>
        <w:rPr>
          <w:rFonts w:hint="eastAsia" w:ascii="宋体" w:hAnsi="宋体" w:cs="宋体"/>
          <w:bCs/>
          <w:sz w:val="24"/>
          <w:u w:val="single"/>
          <w:lang w:val="en-US" w:eastAsia="zh-CN"/>
        </w:rPr>
        <w:t>岳阳城陵矶新港集装箱内货物熏蒸及消毒</w:t>
      </w:r>
      <w:r>
        <w:rPr>
          <w:rFonts w:hint="eastAsia" w:ascii="宋体" w:hAnsi="宋体" w:cs="宋体"/>
          <w:bCs/>
          <w:sz w:val="24"/>
          <w:u w:val="single"/>
        </w:rPr>
        <w:t>服务采购</w:t>
      </w:r>
    </w:p>
    <w:tbl>
      <w:tblPr>
        <w:tblStyle w:val="39"/>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233"/>
        <w:gridCol w:w="6247"/>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452" w:type="dxa"/>
            <w:tcBorders>
              <w:top w:val="single" w:color="auto" w:sz="4" w:space="0"/>
              <w:left w:val="single" w:color="auto" w:sz="4" w:space="0"/>
              <w:right w:val="single" w:color="auto" w:sz="4" w:space="0"/>
            </w:tcBorders>
            <w:vAlign w:val="center"/>
          </w:tcPr>
          <w:p>
            <w:pPr>
              <w:widowControl w:val="0"/>
              <w:spacing w:line="360" w:lineRule="auto"/>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序号</w:t>
            </w:r>
          </w:p>
        </w:tc>
        <w:tc>
          <w:tcPr>
            <w:tcW w:w="1233" w:type="dxa"/>
            <w:tcBorders>
              <w:top w:val="single" w:color="auto" w:sz="4" w:space="0"/>
              <w:left w:val="single" w:color="auto" w:sz="4" w:space="0"/>
              <w:right w:val="single" w:color="auto" w:sz="4" w:space="0"/>
            </w:tcBorders>
            <w:vAlign w:val="center"/>
          </w:tcPr>
          <w:p>
            <w:pPr>
              <w:widowControl w:val="0"/>
              <w:spacing w:line="360" w:lineRule="auto"/>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评分因素</w:t>
            </w:r>
          </w:p>
        </w:tc>
        <w:tc>
          <w:tcPr>
            <w:tcW w:w="6247" w:type="dxa"/>
            <w:tcBorders>
              <w:top w:val="single" w:color="auto" w:sz="4" w:space="0"/>
              <w:left w:val="single" w:color="auto" w:sz="4" w:space="0"/>
              <w:right w:val="single" w:color="auto" w:sz="4" w:space="0"/>
            </w:tcBorders>
            <w:vAlign w:val="center"/>
          </w:tcPr>
          <w:p>
            <w:pPr>
              <w:widowControl w:val="0"/>
              <w:spacing w:line="360" w:lineRule="auto"/>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评价内容/分值</w:t>
            </w:r>
          </w:p>
        </w:tc>
        <w:tc>
          <w:tcPr>
            <w:tcW w:w="1406" w:type="dxa"/>
            <w:tcBorders>
              <w:top w:val="single" w:color="auto" w:sz="4" w:space="0"/>
              <w:left w:val="single" w:color="auto" w:sz="4" w:space="0"/>
              <w:right w:val="single" w:color="auto" w:sz="4" w:space="0"/>
            </w:tcBorders>
            <w:vAlign w:val="center"/>
          </w:tcPr>
          <w:p>
            <w:pPr>
              <w:widowControl w:val="0"/>
              <w:spacing w:line="360" w:lineRule="auto"/>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供应商名称/得分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52"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w:t>
            </w:r>
          </w:p>
        </w:tc>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企业类似项目业绩</w:t>
            </w:r>
          </w:p>
          <w:p>
            <w:pPr>
              <w:spacing w:line="360" w:lineRule="auto"/>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w:t>
            </w:r>
            <w:r>
              <w:rPr>
                <w:rFonts w:hint="eastAsia" w:asciiTheme="minorEastAsia" w:hAnsiTheme="minorEastAsia" w:eastAsiaTheme="minorEastAsia" w:cstheme="minorEastAsia"/>
                <w:color w:val="000000"/>
                <w:sz w:val="22"/>
                <w:szCs w:val="22"/>
                <w:lang w:val="en-US" w:eastAsia="zh-CN"/>
              </w:rPr>
              <w:t>10</w:t>
            </w:r>
            <w:r>
              <w:rPr>
                <w:rFonts w:hint="eastAsia" w:asciiTheme="minorEastAsia" w:hAnsiTheme="minorEastAsia" w:eastAsiaTheme="minorEastAsia" w:cstheme="minorEastAsia"/>
                <w:color w:val="000000"/>
                <w:sz w:val="22"/>
                <w:szCs w:val="22"/>
              </w:rPr>
              <w:t>分）</w:t>
            </w:r>
          </w:p>
        </w:tc>
        <w:tc>
          <w:tcPr>
            <w:tcW w:w="6247" w:type="dxa"/>
            <w:tcBorders>
              <w:top w:val="single" w:color="auto" w:sz="4" w:space="0"/>
              <w:left w:val="single" w:color="auto" w:sz="4" w:space="0"/>
              <w:bottom w:val="single" w:color="auto" w:sz="4" w:space="0"/>
              <w:right w:val="single" w:color="auto" w:sz="4" w:space="0"/>
            </w:tcBorders>
            <w:vAlign w:val="center"/>
          </w:tcPr>
          <w:p>
            <w:pPr>
              <w:tabs>
                <w:tab w:val="left" w:pos="3423"/>
              </w:tabs>
              <w:spacing w:line="400" w:lineRule="exact"/>
              <w:rPr>
                <w:highlight w:val="none"/>
              </w:rPr>
            </w:pPr>
            <w:r>
              <w:rPr>
                <w:rFonts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自</w:t>
            </w:r>
            <w:r>
              <w:rPr>
                <w:rFonts w:ascii="宋体" w:hAnsi="宋体" w:eastAsia="宋体" w:cs="宋体"/>
                <w:sz w:val="24"/>
                <w:szCs w:val="24"/>
                <w:highlight w:val="none"/>
              </w:rPr>
              <w:t>20</w:t>
            </w:r>
            <w:r>
              <w:rPr>
                <w:rFonts w:hint="eastAsia" w:ascii="宋体" w:hAnsi="宋体" w:cs="宋体"/>
                <w:sz w:val="24"/>
                <w:szCs w:val="24"/>
                <w:highlight w:val="none"/>
                <w:lang w:val="en-US" w:eastAsia="zh-CN"/>
              </w:rPr>
              <w:t>21</w:t>
            </w:r>
            <w:r>
              <w:rPr>
                <w:rFonts w:ascii="宋体" w:hAnsi="宋体" w:eastAsia="宋体" w:cs="宋体"/>
                <w:sz w:val="24"/>
                <w:szCs w:val="24"/>
                <w:highlight w:val="none"/>
              </w:rPr>
              <w:t>年1月</w:t>
            </w: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rPr>
              <w:t>日至投标截止时间前</w:t>
            </w:r>
            <w:r>
              <w:rPr>
                <w:rFonts w:hint="eastAsia" w:ascii="宋体" w:hAnsi="宋体" w:eastAsia="宋体" w:cs="宋体"/>
                <w:bCs/>
                <w:sz w:val="24"/>
                <w:szCs w:val="24"/>
                <w:highlight w:val="none"/>
              </w:rPr>
              <w:t>（以</w:t>
            </w:r>
            <w:r>
              <w:rPr>
                <w:rFonts w:hint="eastAsia" w:ascii="宋体" w:hAnsi="宋体" w:eastAsia="宋体" w:cs="宋体"/>
                <w:bCs/>
                <w:sz w:val="24"/>
                <w:szCs w:val="24"/>
                <w:highlight w:val="none"/>
                <w:lang w:val="en-US" w:eastAsia="zh-CN"/>
              </w:rPr>
              <w:t>合同签订</w:t>
            </w:r>
            <w:r>
              <w:rPr>
                <w:rFonts w:hint="eastAsia" w:ascii="宋体" w:hAnsi="宋体" w:eastAsia="宋体" w:cs="宋体"/>
                <w:bCs/>
                <w:sz w:val="24"/>
                <w:szCs w:val="24"/>
                <w:highlight w:val="none"/>
              </w:rPr>
              <w:t>时间为准）</w:t>
            </w:r>
            <w:r>
              <w:rPr>
                <w:rFonts w:hint="eastAsia" w:ascii="宋体" w:hAnsi="宋体" w:eastAsia="宋体"/>
                <w:sz w:val="24"/>
                <w:szCs w:val="24"/>
                <w:highlight w:val="none"/>
              </w:rPr>
              <w:t>，至少承担过1个同类港口</w:t>
            </w:r>
            <w:r>
              <w:rPr>
                <w:rFonts w:hint="eastAsia" w:ascii="宋体" w:hAnsi="宋体" w:eastAsia="宋体"/>
                <w:sz w:val="24"/>
                <w:szCs w:val="24"/>
                <w:highlight w:val="none"/>
                <w:lang w:val="en-US" w:eastAsia="zh-CN"/>
              </w:rPr>
              <w:t>熏蒸</w:t>
            </w:r>
            <w:r>
              <w:rPr>
                <w:rFonts w:hint="eastAsia" w:ascii="宋体" w:hAnsi="宋体" w:eastAsia="宋体"/>
                <w:sz w:val="24"/>
                <w:szCs w:val="24"/>
                <w:highlight w:val="none"/>
              </w:rPr>
              <w:t>服务业务并且</w:t>
            </w:r>
            <w:r>
              <w:rPr>
                <w:rFonts w:hint="eastAsia" w:ascii="宋体" w:hAnsi="宋体"/>
                <w:sz w:val="24"/>
                <w:szCs w:val="24"/>
                <w:highlight w:val="none"/>
                <w:lang w:val="en-US" w:eastAsia="zh-CN"/>
              </w:rPr>
              <w:t>每年熏蒸集装箱量不得低于1000TEU的</w:t>
            </w:r>
            <w:r>
              <w:rPr>
                <w:rFonts w:hint="eastAsia" w:ascii="宋体" w:hAnsi="宋体" w:eastAsia="宋体"/>
                <w:sz w:val="24"/>
                <w:szCs w:val="24"/>
                <w:highlight w:val="none"/>
              </w:rPr>
              <w:t>业绩</w:t>
            </w:r>
            <w:r>
              <w:rPr>
                <w:rFonts w:hint="eastAsia" w:ascii="宋体" w:hAnsi="宋体"/>
                <w:b w:val="0"/>
                <w:bCs w:val="0"/>
                <w:sz w:val="21"/>
                <w:szCs w:val="21"/>
                <w:highlight w:val="none"/>
                <w:lang w:val="en-US" w:eastAsia="zh-CN"/>
              </w:rPr>
              <w:t>（海关检疫通知书或委托书）</w:t>
            </w:r>
            <w:r>
              <w:rPr>
                <w:rFonts w:hint="eastAsia" w:ascii="宋体" w:hAnsi="宋体"/>
                <w:szCs w:val="21"/>
                <w:highlight w:val="none"/>
              </w:rPr>
              <w:t>得</w:t>
            </w:r>
            <w:r>
              <w:rPr>
                <w:rFonts w:hint="eastAsia" w:ascii="宋体" w:hAnsi="宋体"/>
                <w:szCs w:val="21"/>
                <w:highlight w:val="none"/>
                <w:lang w:val="en-US" w:eastAsia="zh-CN"/>
              </w:rPr>
              <w:t>2</w:t>
            </w:r>
            <w:r>
              <w:rPr>
                <w:rFonts w:hint="eastAsia" w:ascii="宋体" w:hAnsi="宋体"/>
                <w:szCs w:val="21"/>
                <w:highlight w:val="none"/>
              </w:rPr>
              <w:t>分，</w:t>
            </w:r>
            <w:r>
              <w:rPr>
                <w:rFonts w:hint="eastAsia" w:ascii="宋体" w:hAnsi="宋体"/>
                <w:szCs w:val="21"/>
                <w:highlight w:val="none"/>
                <w:lang w:val="en-US" w:eastAsia="zh-CN"/>
              </w:rPr>
              <w:t>每超过200TEU得2分，</w:t>
            </w:r>
            <w:r>
              <w:rPr>
                <w:rFonts w:hint="eastAsia" w:ascii="宋体" w:hAnsi="宋体"/>
                <w:szCs w:val="21"/>
                <w:highlight w:val="none"/>
              </w:rPr>
              <w:t>本项最多计</w:t>
            </w:r>
            <w:r>
              <w:rPr>
                <w:rFonts w:hint="eastAsia" w:ascii="宋体" w:hAnsi="宋体"/>
                <w:szCs w:val="21"/>
                <w:highlight w:val="none"/>
                <w:lang w:val="en-US" w:eastAsia="zh-CN"/>
              </w:rPr>
              <w:t>10</w:t>
            </w:r>
            <w:r>
              <w:rPr>
                <w:rFonts w:hint="eastAsia" w:ascii="宋体" w:hAnsi="宋体"/>
                <w:szCs w:val="21"/>
                <w:highlight w:val="none"/>
              </w:rPr>
              <w:t>分；</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Theme="minorEastAsia" w:hAnsiTheme="minorEastAsia" w:eastAsiaTheme="minorEastAsia" w:cstheme="minorEastAsia"/>
                <w:sz w:val="22"/>
                <w:szCs w:val="22"/>
              </w:rPr>
            </w:pPr>
          </w:p>
          <w:p>
            <w:pPr>
              <w:pStyle w:val="3"/>
              <w:rPr>
                <w:rFonts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452" w:type="dxa"/>
            <w:tcBorders>
              <w:top w:val="single" w:color="auto" w:sz="4" w:space="0"/>
              <w:left w:val="single" w:color="auto" w:sz="4" w:space="0"/>
              <w:right w:val="single" w:color="auto" w:sz="4" w:space="0"/>
            </w:tcBorders>
            <w:vAlign w:val="center"/>
          </w:tcPr>
          <w:p>
            <w:pPr>
              <w:widowControl w:val="0"/>
              <w:spacing w:line="360" w:lineRule="auto"/>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c>
          <w:tcPr>
            <w:tcW w:w="1233" w:type="dxa"/>
            <w:tcBorders>
              <w:top w:val="single" w:color="auto" w:sz="4" w:space="0"/>
              <w:left w:val="single" w:color="auto" w:sz="4" w:space="0"/>
              <w:right w:val="single" w:color="auto" w:sz="4" w:space="0"/>
            </w:tcBorders>
            <w:vAlign w:val="center"/>
          </w:tcPr>
          <w:p>
            <w:pPr>
              <w:widowControl w:val="0"/>
              <w:spacing w:line="360" w:lineRule="auto"/>
              <w:jc w:val="center"/>
              <w:rPr>
                <w:rFonts w:asciiTheme="minorEastAsia" w:hAnsiTheme="minorEastAsia" w:eastAsiaTheme="minorEastAsia" w:cstheme="minorEastAsia"/>
                <w:color w:val="000000"/>
                <w:kern w:val="0"/>
                <w:sz w:val="22"/>
                <w:szCs w:val="22"/>
              </w:rPr>
            </w:pPr>
            <w:r>
              <w:rPr>
                <w:rFonts w:hint="eastAsia" w:ascii="宋体" w:hAnsi="宋体"/>
                <w:szCs w:val="21"/>
              </w:rPr>
              <w:t>拟派的项目团队实力（</w:t>
            </w:r>
            <w:r>
              <w:rPr>
                <w:rFonts w:hint="eastAsia" w:ascii="宋体" w:hAnsi="宋体"/>
                <w:szCs w:val="21"/>
                <w:lang w:val="en-US" w:eastAsia="zh-CN"/>
              </w:rPr>
              <w:t>10</w:t>
            </w:r>
            <w:r>
              <w:rPr>
                <w:rFonts w:hint="eastAsia" w:ascii="宋体" w:hAnsi="宋体"/>
                <w:szCs w:val="21"/>
              </w:rPr>
              <w:t>分）</w:t>
            </w:r>
          </w:p>
        </w:tc>
        <w:tc>
          <w:tcPr>
            <w:tcW w:w="62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（1）项目负责人</w:t>
            </w:r>
            <w:r>
              <w:rPr>
                <w:rFonts w:hint="eastAsia" w:ascii="宋体" w:hAnsi="宋体"/>
                <w:szCs w:val="21"/>
                <w:highlight w:val="none"/>
                <w:lang w:val="en-US" w:eastAsia="zh-CN"/>
              </w:rPr>
              <w:t>应具备</w:t>
            </w:r>
            <w:r>
              <w:rPr>
                <w:rFonts w:hint="eastAsia" w:ascii="宋体" w:hAnsi="宋体"/>
                <w:sz w:val="24"/>
                <w:szCs w:val="24"/>
                <w:highlight w:val="none"/>
                <w:lang w:val="en-US" w:eastAsia="zh-CN"/>
              </w:rPr>
              <w:t>危险化学品安全生产管理资质</w:t>
            </w:r>
            <w:r>
              <w:rPr>
                <w:rFonts w:hint="eastAsia" w:ascii="宋体" w:hAnsi="宋体"/>
                <w:szCs w:val="21"/>
                <w:highlight w:val="none"/>
              </w:rPr>
              <w:t>，得</w:t>
            </w:r>
            <w:r>
              <w:rPr>
                <w:rFonts w:hint="eastAsia" w:ascii="宋体" w:hAnsi="宋体"/>
                <w:szCs w:val="21"/>
                <w:highlight w:val="none"/>
                <w:lang w:val="en-US" w:eastAsia="zh-CN"/>
              </w:rPr>
              <w:t>5</w:t>
            </w:r>
            <w:r>
              <w:rPr>
                <w:rFonts w:hint="eastAsia" w:ascii="宋体" w:hAnsi="宋体"/>
                <w:szCs w:val="21"/>
                <w:highlight w:val="none"/>
              </w:rPr>
              <w:t>分；</w:t>
            </w:r>
          </w:p>
          <w:p>
            <w:pPr>
              <w:rPr>
                <w:rFonts w:ascii="宋体" w:hAnsi="宋体"/>
                <w:szCs w:val="21"/>
                <w:highlight w:val="none"/>
              </w:rPr>
            </w:pPr>
            <w:r>
              <w:rPr>
                <w:rFonts w:hint="eastAsia" w:ascii="宋体" w:hAnsi="宋体"/>
                <w:szCs w:val="21"/>
                <w:highlight w:val="none"/>
              </w:rPr>
              <w:t>（3）项目负责人持有</w:t>
            </w:r>
            <w:r>
              <w:rPr>
                <w:rFonts w:hint="eastAsia" w:ascii="宋体" w:hAnsi="宋体"/>
                <w:szCs w:val="21"/>
                <w:highlight w:val="none"/>
                <w:lang w:val="en-US" w:eastAsia="zh-CN"/>
              </w:rPr>
              <w:t>熏蒸现场作业操作资质</w:t>
            </w:r>
            <w:r>
              <w:rPr>
                <w:rFonts w:hint="eastAsia" w:ascii="宋体" w:hAnsi="宋体"/>
                <w:szCs w:val="21"/>
                <w:highlight w:val="none"/>
              </w:rPr>
              <w:t>，得</w:t>
            </w:r>
            <w:r>
              <w:rPr>
                <w:rFonts w:hint="eastAsia" w:ascii="宋体" w:hAnsi="宋体"/>
                <w:szCs w:val="21"/>
                <w:highlight w:val="none"/>
                <w:lang w:val="en-US" w:eastAsia="zh-CN"/>
              </w:rPr>
              <w:t>5</w:t>
            </w:r>
            <w:r>
              <w:rPr>
                <w:rFonts w:hint="eastAsia" w:ascii="宋体" w:hAnsi="宋体"/>
                <w:szCs w:val="21"/>
                <w:highlight w:val="none"/>
              </w:rPr>
              <w:t>分。</w:t>
            </w:r>
          </w:p>
          <w:p>
            <w:pPr>
              <w:tabs>
                <w:tab w:val="left" w:pos="3423"/>
              </w:tabs>
              <w:spacing w:line="400" w:lineRule="exact"/>
              <w:rPr>
                <w:rFonts w:asciiTheme="minorEastAsia" w:hAnsiTheme="minorEastAsia" w:eastAsiaTheme="minorEastAsia" w:cstheme="minorEastAsia"/>
                <w:sz w:val="22"/>
                <w:szCs w:val="22"/>
                <w:highlight w:val="none"/>
              </w:rPr>
            </w:pPr>
            <w:r>
              <w:rPr>
                <w:rFonts w:hint="eastAsia" w:ascii="宋体" w:hAnsi="宋体"/>
                <w:b/>
                <w:szCs w:val="21"/>
                <w:highlight w:val="none"/>
              </w:rPr>
              <w:t>注：需提供项目负责人的资格证书、缴纳社会保险证明</w:t>
            </w:r>
            <w:r>
              <w:rPr>
                <w:rFonts w:hint="eastAsia" w:ascii="宋体" w:hAnsi="宋体" w:cs="宋体"/>
                <w:b/>
                <w:szCs w:val="21"/>
                <w:highlight w:val="none"/>
              </w:rPr>
              <w:t>（2022年10月1日至今任意三个月）</w:t>
            </w:r>
            <w:r>
              <w:rPr>
                <w:rFonts w:hint="eastAsia" w:ascii="宋体" w:hAnsi="宋体"/>
                <w:b/>
                <w:szCs w:val="21"/>
                <w:highlight w:val="none"/>
              </w:rPr>
              <w:t>复印件并加盖公章，否则不得分。</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452" w:type="dxa"/>
            <w:tcBorders>
              <w:top w:val="single" w:color="auto" w:sz="4" w:space="0"/>
              <w:left w:val="single" w:color="auto" w:sz="4" w:space="0"/>
              <w:right w:val="single" w:color="auto" w:sz="4" w:space="0"/>
            </w:tcBorders>
            <w:vAlign w:val="center"/>
          </w:tcPr>
          <w:p>
            <w:pPr>
              <w:widowControl w:val="0"/>
              <w:spacing w:line="360" w:lineRule="auto"/>
              <w:jc w:val="center"/>
              <w:rPr>
                <w:rFonts w:asciiTheme="minorEastAsia" w:hAnsiTheme="minorEastAsia" w:eastAsiaTheme="minorEastAsia" w:cstheme="minorEastAsia"/>
                <w:color w:val="000000"/>
                <w:kern w:val="0"/>
                <w:sz w:val="22"/>
                <w:szCs w:val="22"/>
              </w:rPr>
            </w:pPr>
          </w:p>
        </w:tc>
        <w:tc>
          <w:tcPr>
            <w:tcW w:w="1233" w:type="dxa"/>
            <w:tcBorders>
              <w:top w:val="single" w:color="auto" w:sz="4" w:space="0"/>
              <w:left w:val="single" w:color="auto" w:sz="4" w:space="0"/>
              <w:right w:val="single" w:color="auto" w:sz="4" w:space="0"/>
            </w:tcBorders>
            <w:vAlign w:val="center"/>
          </w:tcPr>
          <w:p>
            <w:pPr>
              <w:widowControl w:val="0"/>
              <w:spacing w:line="360" w:lineRule="auto"/>
              <w:jc w:val="center"/>
              <w:rPr>
                <w:rFonts w:asciiTheme="minorEastAsia" w:hAnsiTheme="minorEastAsia" w:eastAsiaTheme="minorEastAsia" w:cstheme="minorEastAsia"/>
                <w:color w:val="000000"/>
                <w:sz w:val="22"/>
                <w:szCs w:val="22"/>
              </w:rPr>
            </w:pPr>
            <w:r>
              <w:rPr>
                <w:rFonts w:hint="eastAsia" w:ascii="宋体" w:hAnsi="宋体"/>
                <w:szCs w:val="21"/>
              </w:rPr>
              <w:t>企业实力（</w:t>
            </w:r>
            <w:r>
              <w:rPr>
                <w:rFonts w:hint="eastAsia" w:ascii="宋体" w:hAnsi="宋体"/>
                <w:szCs w:val="21"/>
                <w:lang w:val="en-US" w:eastAsia="zh-CN"/>
              </w:rPr>
              <w:t>12</w:t>
            </w:r>
            <w:r>
              <w:rPr>
                <w:rFonts w:hint="eastAsia" w:ascii="宋体" w:hAnsi="宋体"/>
                <w:szCs w:val="21"/>
              </w:rPr>
              <w:t xml:space="preserve"> 分）</w:t>
            </w:r>
          </w:p>
        </w:tc>
        <w:tc>
          <w:tcPr>
            <w:tcW w:w="6247" w:type="dxa"/>
            <w:tcBorders>
              <w:top w:val="single" w:color="auto" w:sz="4" w:space="0"/>
              <w:left w:val="single" w:color="auto" w:sz="4" w:space="0"/>
              <w:bottom w:val="single" w:color="auto" w:sz="4" w:space="0"/>
              <w:right w:val="single" w:color="auto" w:sz="4" w:space="0"/>
            </w:tcBorders>
            <w:vAlign w:val="center"/>
          </w:tcPr>
          <w:p>
            <w:pPr>
              <w:tabs>
                <w:tab w:val="left" w:pos="3423"/>
              </w:tabs>
              <w:spacing w:line="400" w:lineRule="exact"/>
              <w:rPr>
                <w:rFonts w:asciiTheme="minorEastAsia" w:hAnsiTheme="minorEastAsia" w:eastAsiaTheme="minorEastAsia" w:cstheme="minorEastAsia"/>
                <w:b/>
                <w:szCs w:val="21"/>
                <w:highlight w:val="none"/>
              </w:rPr>
            </w:pPr>
            <w:r>
              <w:rPr>
                <w:rFonts w:hint="eastAsia" w:ascii="宋体" w:hAnsi="宋体"/>
                <w:szCs w:val="21"/>
                <w:highlight w:val="none"/>
              </w:rPr>
              <w:t>报价人</w:t>
            </w:r>
            <w:r>
              <w:rPr>
                <w:rFonts w:hint="eastAsia" w:ascii="宋体" w:hAnsi="宋体"/>
                <w:szCs w:val="21"/>
                <w:highlight w:val="none"/>
                <w:lang w:val="en-US" w:eastAsia="zh-CN"/>
              </w:rPr>
              <w:t>必须持有海关颁发的检疫除害资质、环境部门颁发的污染治理资质、危险化学品使用资质、</w:t>
            </w:r>
            <w:r>
              <w:rPr>
                <w:rFonts w:hint="eastAsia" w:ascii="宋体" w:hAnsi="宋体"/>
                <w:szCs w:val="21"/>
                <w:highlight w:val="none"/>
              </w:rPr>
              <w:t>，每项得</w:t>
            </w:r>
            <w:r>
              <w:rPr>
                <w:rFonts w:hint="eastAsia" w:ascii="宋体" w:hAnsi="宋体"/>
                <w:szCs w:val="21"/>
                <w:highlight w:val="none"/>
                <w:lang w:val="en-US" w:eastAsia="zh-CN"/>
              </w:rPr>
              <w:t>4</w:t>
            </w:r>
            <w:r>
              <w:rPr>
                <w:rFonts w:hint="eastAsia" w:ascii="宋体" w:hAnsi="宋体"/>
                <w:szCs w:val="21"/>
                <w:highlight w:val="none"/>
              </w:rPr>
              <w:t>分，最多得</w:t>
            </w:r>
            <w:r>
              <w:rPr>
                <w:rFonts w:hint="eastAsia" w:ascii="宋体" w:hAnsi="宋体"/>
                <w:szCs w:val="21"/>
                <w:highlight w:val="none"/>
                <w:lang w:val="en-US" w:eastAsia="zh-CN"/>
              </w:rPr>
              <w:t>12</w:t>
            </w:r>
            <w:r>
              <w:rPr>
                <w:rFonts w:hint="eastAsia" w:ascii="宋体" w:hAnsi="宋体"/>
                <w:szCs w:val="21"/>
                <w:highlight w:val="none"/>
              </w:rPr>
              <w:t>分。</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452" w:type="dxa"/>
            <w:tcBorders>
              <w:top w:val="single" w:color="auto" w:sz="4" w:space="0"/>
              <w:left w:val="single" w:color="auto" w:sz="4" w:space="0"/>
              <w:right w:val="single" w:color="auto" w:sz="4" w:space="0"/>
            </w:tcBorders>
            <w:vAlign w:val="center"/>
          </w:tcPr>
          <w:p>
            <w:pPr>
              <w:widowControl w:val="0"/>
              <w:spacing w:line="360" w:lineRule="auto"/>
              <w:jc w:val="center"/>
              <w:rPr>
                <w:rFonts w:asciiTheme="minorEastAsia" w:hAnsiTheme="minorEastAsia" w:eastAsiaTheme="minorEastAsia" w:cstheme="minorEastAsia"/>
                <w:color w:val="000000"/>
                <w:kern w:val="0"/>
                <w:sz w:val="22"/>
                <w:szCs w:val="22"/>
              </w:rPr>
            </w:pPr>
          </w:p>
        </w:tc>
        <w:tc>
          <w:tcPr>
            <w:tcW w:w="1233" w:type="dxa"/>
            <w:tcBorders>
              <w:top w:val="single" w:color="auto" w:sz="4" w:space="0"/>
              <w:left w:val="single" w:color="auto" w:sz="4" w:space="0"/>
              <w:right w:val="single" w:color="auto" w:sz="4" w:space="0"/>
            </w:tcBorders>
            <w:vAlign w:val="center"/>
          </w:tcPr>
          <w:p>
            <w:pPr>
              <w:widowControl w:val="0"/>
              <w:spacing w:line="360" w:lineRule="auto"/>
              <w:jc w:val="center"/>
              <w:rPr>
                <w:rFonts w:ascii="宋体" w:hAnsi="宋体"/>
                <w:szCs w:val="21"/>
              </w:rPr>
            </w:pPr>
            <w:r>
              <w:rPr>
                <w:rFonts w:hint="eastAsia" w:ascii="宋体" w:hAnsi="宋体"/>
                <w:szCs w:val="21"/>
              </w:rPr>
              <w:t>信誉（</w:t>
            </w:r>
            <w:r>
              <w:rPr>
                <w:rFonts w:hint="eastAsia" w:ascii="宋体" w:hAnsi="宋体"/>
                <w:szCs w:val="21"/>
                <w:lang w:val="en-US" w:eastAsia="zh-CN"/>
              </w:rPr>
              <w:t>8</w:t>
            </w:r>
            <w:r>
              <w:rPr>
                <w:rFonts w:hint="eastAsia" w:ascii="宋体" w:hAnsi="宋体"/>
                <w:szCs w:val="21"/>
              </w:rPr>
              <w:t xml:space="preserve"> 分）</w:t>
            </w:r>
          </w:p>
        </w:tc>
        <w:tc>
          <w:tcPr>
            <w:tcW w:w="6247" w:type="dxa"/>
            <w:tcBorders>
              <w:top w:val="single" w:color="auto" w:sz="4" w:space="0"/>
              <w:left w:val="single" w:color="auto" w:sz="4" w:space="0"/>
              <w:bottom w:val="single" w:color="auto" w:sz="4" w:space="0"/>
              <w:right w:val="single" w:color="auto" w:sz="4" w:space="0"/>
            </w:tcBorders>
            <w:vAlign w:val="center"/>
          </w:tcPr>
          <w:p>
            <w:pPr>
              <w:tabs>
                <w:tab w:val="left" w:pos="3423"/>
              </w:tabs>
              <w:spacing w:line="400" w:lineRule="exact"/>
              <w:rPr>
                <w:rFonts w:ascii="宋体" w:hAnsi="宋体"/>
                <w:szCs w:val="21"/>
                <w:highlight w:val="none"/>
              </w:rPr>
            </w:pPr>
            <w:r>
              <w:rPr>
                <w:rFonts w:hint="eastAsia" w:ascii="宋体" w:hAnsi="宋体"/>
                <w:szCs w:val="21"/>
                <w:highlight w:val="none"/>
              </w:rPr>
              <w:t>在</w:t>
            </w:r>
            <w:r>
              <w:rPr>
                <w:rFonts w:hint="eastAsia" w:ascii="宋体" w:hAnsi="宋体"/>
                <w:szCs w:val="21"/>
                <w:highlight w:val="none"/>
                <w:lang w:val="en-US" w:eastAsia="zh-CN"/>
              </w:rPr>
              <w:t>湖南省企业评价</w:t>
            </w:r>
            <w:r>
              <w:rPr>
                <w:rFonts w:hint="eastAsia" w:ascii="宋体" w:hAnsi="宋体"/>
                <w:szCs w:val="21"/>
                <w:highlight w:val="none"/>
              </w:rPr>
              <w:t>管理信息系统最新公布的信用评价中，近</w:t>
            </w:r>
            <w:r>
              <w:rPr>
                <w:rFonts w:hint="eastAsia" w:ascii="宋体" w:hAnsi="宋体"/>
                <w:szCs w:val="21"/>
                <w:highlight w:val="none"/>
                <w:lang w:val="en-US" w:eastAsia="zh-CN"/>
              </w:rPr>
              <w:t>三</w:t>
            </w:r>
            <w:r>
              <w:rPr>
                <w:rFonts w:hint="eastAsia" w:ascii="宋体" w:hAnsi="宋体"/>
                <w:szCs w:val="21"/>
                <w:highlight w:val="none"/>
              </w:rPr>
              <w:t>年信用评价结果均为AA</w:t>
            </w:r>
            <w:r>
              <w:rPr>
                <w:rFonts w:hint="eastAsia" w:ascii="宋体" w:hAnsi="宋体"/>
                <w:szCs w:val="21"/>
                <w:highlight w:val="none"/>
                <w:lang w:val="en-US" w:eastAsia="zh-CN"/>
              </w:rPr>
              <w:t>A</w:t>
            </w:r>
            <w:r>
              <w:rPr>
                <w:rFonts w:hint="eastAsia" w:ascii="宋体" w:hAnsi="宋体"/>
                <w:szCs w:val="21"/>
                <w:highlight w:val="none"/>
              </w:rPr>
              <w:t>级，得</w:t>
            </w:r>
            <w:r>
              <w:rPr>
                <w:rFonts w:hint="eastAsia" w:ascii="宋体" w:hAnsi="宋体"/>
                <w:szCs w:val="21"/>
                <w:highlight w:val="none"/>
                <w:lang w:val="en-US" w:eastAsia="zh-CN"/>
              </w:rPr>
              <w:t>8</w:t>
            </w:r>
            <w:r>
              <w:rPr>
                <w:rFonts w:hint="eastAsia" w:ascii="宋体" w:hAnsi="宋体"/>
                <w:szCs w:val="21"/>
                <w:highlight w:val="none"/>
              </w:rPr>
              <w:t>分；近三年信用评价结果有</w:t>
            </w:r>
            <w:r>
              <w:rPr>
                <w:rFonts w:hint="eastAsia" w:ascii="宋体" w:hAnsi="宋体"/>
                <w:szCs w:val="21"/>
                <w:highlight w:val="none"/>
                <w:lang w:val="en-US" w:eastAsia="zh-CN"/>
              </w:rPr>
              <w:t>二</w:t>
            </w:r>
            <w:r>
              <w:rPr>
                <w:rFonts w:hint="eastAsia" w:ascii="宋体" w:hAnsi="宋体"/>
                <w:szCs w:val="21"/>
                <w:highlight w:val="none"/>
              </w:rPr>
              <w:t>年及以上为AA</w:t>
            </w:r>
            <w:r>
              <w:rPr>
                <w:rFonts w:hint="eastAsia" w:ascii="宋体" w:hAnsi="宋体"/>
                <w:szCs w:val="21"/>
                <w:highlight w:val="none"/>
                <w:lang w:val="en-US" w:eastAsia="zh-CN"/>
              </w:rPr>
              <w:t>A</w:t>
            </w:r>
            <w:r>
              <w:rPr>
                <w:rFonts w:hint="eastAsia" w:ascii="宋体" w:hAnsi="宋体"/>
                <w:szCs w:val="21"/>
                <w:highlight w:val="none"/>
              </w:rPr>
              <w:t>级，得</w:t>
            </w:r>
            <w:r>
              <w:rPr>
                <w:rFonts w:hint="eastAsia" w:ascii="宋体" w:hAnsi="宋体"/>
                <w:szCs w:val="21"/>
                <w:highlight w:val="none"/>
                <w:lang w:val="en-US" w:eastAsia="zh-CN"/>
              </w:rPr>
              <w:t>6</w:t>
            </w:r>
            <w:r>
              <w:rPr>
                <w:rFonts w:hint="eastAsia" w:ascii="宋体" w:hAnsi="宋体"/>
                <w:szCs w:val="21"/>
                <w:highlight w:val="none"/>
              </w:rPr>
              <w:t>分；近三年信用评价结果只有一年及以上为AA</w:t>
            </w:r>
            <w:r>
              <w:rPr>
                <w:rFonts w:hint="eastAsia" w:ascii="宋体" w:hAnsi="宋体"/>
                <w:szCs w:val="21"/>
                <w:highlight w:val="none"/>
                <w:lang w:val="en-US" w:eastAsia="zh-CN"/>
              </w:rPr>
              <w:t>A</w:t>
            </w:r>
            <w:r>
              <w:rPr>
                <w:rFonts w:hint="eastAsia" w:ascii="宋体" w:hAnsi="宋体"/>
                <w:szCs w:val="21"/>
                <w:highlight w:val="none"/>
              </w:rPr>
              <w:t>级，得</w:t>
            </w:r>
            <w:r>
              <w:rPr>
                <w:rFonts w:hint="eastAsia" w:ascii="宋体" w:hAnsi="宋体"/>
                <w:szCs w:val="21"/>
                <w:highlight w:val="none"/>
                <w:lang w:val="en-US" w:eastAsia="zh-CN"/>
              </w:rPr>
              <w:t>4</w:t>
            </w:r>
            <w:r>
              <w:rPr>
                <w:rFonts w:hint="eastAsia" w:ascii="宋体" w:hAnsi="宋体"/>
                <w:szCs w:val="21"/>
                <w:highlight w:val="none"/>
              </w:rPr>
              <w:t>分；其他不得分。</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85"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spacing w:line="360" w:lineRule="auto"/>
              <w:jc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b/>
                <w:color w:val="000000"/>
                <w:kern w:val="0"/>
                <w:sz w:val="22"/>
                <w:szCs w:val="22"/>
              </w:rPr>
              <w:t>合    计</w:t>
            </w:r>
          </w:p>
        </w:tc>
        <w:tc>
          <w:tcPr>
            <w:tcW w:w="6247"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val="en-US" w:eastAsia="zh-CN"/>
              </w:rPr>
              <w:t>40</w:t>
            </w:r>
            <w:r>
              <w:rPr>
                <w:rFonts w:hint="eastAsia" w:asciiTheme="minorEastAsia" w:hAnsiTheme="minorEastAsia" w:eastAsiaTheme="minorEastAsia" w:cstheme="minorEastAsia"/>
                <w:color w:val="000000"/>
                <w:sz w:val="22"/>
                <w:szCs w:val="22"/>
              </w:rPr>
              <w:t>分</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Theme="minorEastAsia" w:hAnsiTheme="minorEastAsia" w:eastAsiaTheme="minorEastAsia" w:cstheme="minorEastAsia"/>
                <w:color w:val="000000"/>
                <w:kern w:val="0"/>
                <w:sz w:val="22"/>
                <w:szCs w:val="22"/>
              </w:rPr>
            </w:pPr>
          </w:p>
        </w:tc>
      </w:tr>
    </w:tbl>
    <w:p>
      <w:pPr>
        <w:pStyle w:val="3"/>
        <w:spacing w:line="360" w:lineRule="auto"/>
        <w:rPr>
          <w:rFonts w:ascii="宋体" w:hAnsi="宋体"/>
          <w:sz w:val="24"/>
          <w:u w:val="single"/>
        </w:rPr>
      </w:pPr>
    </w:p>
    <w:p>
      <w:pPr>
        <w:widowControl w:val="0"/>
        <w:adjustRightInd w:val="0"/>
        <w:snapToGrid w:val="0"/>
        <w:spacing w:line="360" w:lineRule="auto"/>
        <w:jc w:val="both"/>
        <w:rPr>
          <w:rFonts w:ascii="宋体" w:hAnsi="宋体"/>
          <w:szCs w:val="21"/>
        </w:rPr>
      </w:pPr>
      <w:r>
        <w:rPr>
          <w:rFonts w:hint="eastAsia" w:ascii="宋体" w:hAnsi="宋体"/>
          <w:b/>
          <w:kern w:val="0"/>
          <w:szCs w:val="21"/>
        </w:rPr>
        <w:t>注：</w:t>
      </w:r>
      <w:r>
        <w:rPr>
          <w:rFonts w:hint="eastAsia" w:ascii="宋体" w:hAnsi="宋体"/>
          <w:kern w:val="0"/>
          <w:szCs w:val="21"/>
        </w:rPr>
        <w:t xml:space="preserve"> 1、</w:t>
      </w:r>
      <w:r>
        <w:rPr>
          <w:rFonts w:hint="eastAsia" w:ascii="宋体" w:hAnsi="宋体"/>
          <w:szCs w:val="21"/>
        </w:rPr>
        <w:t>本表由评审小组集体评议，统一计分。评审小组成员中对结论有不同意见时，按少数服从多数的原则，确定得分。</w:t>
      </w:r>
    </w:p>
    <w:p>
      <w:pPr>
        <w:widowControl w:val="0"/>
        <w:spacing w:line="360" w:lineRule="auto"/>
        <w:jc w:val="both"/>
        <w:rPr>
          <w:rFonts w:ascii="宋体" w:hAnsi="宋体"/>
          <w:sz w:val="24"/>
        </w:rPr>
      </w:pPr>
    </w:p>
    <w:p>
      <w:pPr>
        <w:widowControl w:val="0"/>
        <w:spacing w:line="360" w:lineRule="auto"/>
        <w:jc w:val="both"/>
        <w:rPr>
          <w:rFonts w:ascii="宋体" w:hAnsi="宋体"/>
          <w:bCs/>
          <w:sz w:val="24"/>
        </w:rPr>
      </w:pPr>
      <w:r>
        <w:rPr>
          <w:rFonts w:hint="eastAsia" w:ascii="宋体" w:hAnsi="宋体"/>
          <w:sz w:val="24"/>
        </w:rPr>
        <w:t>评审小组</w:t>
      </w:r>
      <w:r>
        <w:rPr>
          <w:rFonts w:ascii="宋体" w:hAnsi="宋体"/>
          <w:sz w:val="24"/>
        </w:rPr>
        <w:t>全体成员签字：</w:t>
      </w:r>
      <w:r>
        <w:rPr>
          <w:rFonts w:hint="eastAsia" w:ascii="宋体" w:hAnsi="宋体"/>
          <w:sz w:val="24"/>
        </w:rPr>
        <w:t xml:space="preserve">                                监督人员签字：</w:t>
      </w:r>
    </w:p>
    <w:p>
      <w:pPr>
        <w:rPr>
          <w:rFonts w:ascii="黑体" w:hAnsi="黑体" w:eastAsia="黑体"/>
          <w:sz w:val="32"/>
          <w:szCs w:val="32"/>
        </w:rPr>
      </w:pP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 xml:space="preserve">附表2 </w:t>
      </w:r>
    </w:p>
    <w:p>
      <w:pPr>
        <w:widowControl w:val="0"/>
        <w:snapToGrid w:val="0"/>
        <w:spacing w:line="360" w:lineRule="auto"/>
        <w:jc w:val="center"/>
        <w:outlineLvl w:val="2"/>
        <w:rPr>
          <w:rFonts w:ascii="宋体" w:hAnsi="宋体"/>
          <w:kern w:val="0"/>
          <w:sz w:val="24"/>
        </w:rPr>
      </w:pPr>
      <w:r>
        <w:rPr>
          <w:rFonts w:hint="eastAsia" w:ascii="黑体" w:hAnsi="黑体" w:eastAsia="黑体"/>
          <w:sz w:val="32"/>
          <w:szCs w:val="32"/>
        </w:rPr>
        <w:t>技术部分评分表</w:t>
      </w:r>
    </w:p>
    <w:p>
      <w:pPr>
        <w:widowControl w:val="0"/>
        <w:adjustRightInd w:val="0"/>
        <w:snapToGrid w:val="0"/>
        <w:spacing w:line="360" w:lineRule="auto"/>
        <w:jc w:val="both"/>
        <w:rPr>
          <w:rFonts w:ascii="宋体" w:hAnsi="宋体" w:cs="宋体"/>
          <w:bCs/>
          <w:kern w:val="0"/>
          <w:sz w:val="24"/>
          <w:u w:val="single"/>
        </w:rPr>
      </w:pPr>
      <w:r>
        <w:rPr>
          <w:rFonts w:hint="eastAsia" w:ascii="宋体" w:hAnsi="宋体"/>
          <w:kern w:val="0"/>
          <w:sz w:val="24"/>
        </w:rPr>
        <w:t>项目名称：</w:t>
      </w:r>
      <w:r>
        <w:rPr>
          <w:rFonts w:hint="eastAsia" w:ascii="宋体" w:hAnsi="宋体"/>
          <w:kern w:val="0"/>
          <w:sz w:val="24"/>
          <w:u w:val="single"/>
          <w:lang w:val="en-US" w:eastAsia="zh-CN"/>
        </w:rPr>
        <w:t>岳阳城陵矶新港集装箱内货物熏蒸及消毒</w:t>
      </w:r>
      <w:r>
        <w:rPr>
          <w:rFonts w:hint="eastAsia" w:ascii="宋体" w:hAnsi="宋体" w:cs="宋体"/>
          <w:bCs/>
          <w:sz w:val="24"/>
          <w:u w:val="single"/>
        </w:rPr>
        <w:t>服务采购</w:t>
      </w:r>
    </w:p>
    <w:tbl>
      <w:tblPr>
        <w:tblStyle w:val="39"/>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85"/>
        <w:gridCol w:w="5161"/>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exact"/>
          <w:tblHeader/>
          <w:jc w:val="center"/>
        </w:trPr>
        <w:tc>
          <w:tcPr>
            <w:tcW w:w="766"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序号</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评分因素</w:t>
            </w:r>
          </w:p>
        </w:tc>
        <w:tc>
          <w:tcPr>
            <w:tcW w:w="5161" w:type="dxa"/>
            <w:vMerge w:val="restart"/>
            <w:tcBorders>
              <w:top w:val="single" w:color="auto" w:sz="4" w:space="0"/>
              <w:left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bCs/>
                <w:color w:val="000000"/>
                <w:kern w:val="0"/>
                <w:sz w:val="22"/>
                <w:szCs w:val="22"/>
              </w:rPr>
              <w:t>评价内容/分值</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exact"/>
          <w:tblHeader/>
          <w:jc w:val="center"/>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cstheme="minorEastAsia"/>
                <w:b/>
                <w:sz w:val="22"/>
                <w:szCs w:val="22"/>
              </w:rPr>
            </w:pP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cstheme="minorEastAsia"/>
                <w:b/>
                <w:sz w:val="22"/>
                <w:szCs w:val="22"/>
              </w:rPr>
            </w:pPr>
          </w:p>
        </w:tc>
        <w:tc>
          <w:tcPr>
            <w:tcW w:w="5161" w:type="dxa"/>
            <w:vMerge w:val="continue"/>
            <w:tcBorders>
              <w:left w:val="single" w:color="auto" w:sz="4" w:space="0"/>
              <w:bottom w:val="single" w:color="auto" w:sz="4" w:space="0"/>
              <w:right w:val="single" w:color="auto" w:sz="4" w:space="0"/>
            </w:tcBorders>
            <w:vAlign w:val="center"/>
          </w:tcPr>
          <w:p>
            <w:pPr>
              <w:spacing w:line="240" w:lineRule="auto"/>
              <w:jc w:val="both"/>
              <w:rPr>
                <w:rFonts w:asciiTheme="minorEastAsia" w:hAnsiTheme="minorEastAsia" w:eastAsiaTheme="minorEastAsia" w:cstheme="minorEastAsia"/>
                <w:b/>
                <w:sz w:val="22"/>
                <w:szCs w:val="22"/>
              </w:rPr>
            </w:pPr>
          </w:p>
        </w:tc>
        <w:tc>
          <w:tcPr>
            <w:tcW w:w="16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1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lang w:val="en-US" w:eastAsia="zh-CN"/>
              </w:rPr>
              <w:t>熏蒸</w:t>
            </w:r>
            <w:r>
              <w:rPr>
                <w:rFonts w:hint="eastAsia" w:ascii="宋体" w:hAnsi="宋体"/>
                <w:szCs w:val="21"/>
                <w:highlight w:val="none"/>
              </w:rPr>
              <w:t>方案的完整性（5分）</w:t>
            </w:r>
          </w:p>
        </w:tc>
        <w:tc>
          <w:tcPr>
            <w:tcW w:w="51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r>
              <w:rPr>
                <w:rFonts w:hint="eastAsia" w:ascii="宋体" w:hAnsi="宋体"/>
                <w:szCs w:val="21"/>
                <w:highlight w:val="none"/>
                <w:lang w:val="en-US" w:eastAsia="zh-CN"/>
              </w:rPr>
              <w:t>熏蒸</w:t>
            </w:r>
            <w:r>
              <w:rPr>
                <w:rFonts w:hint="eastAsia" w:ascii="宋体" w:hAnsi="宋体"/>
                <w:szCs w:val="21"/>
                <w:highlight w:val="none"/>
              </w:rPr>
              <w:t>方案内容完整性，各投标人横向比较；内容全面周详完整得5分，基本完整得3-4分。</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6" w:type="dxa"/>
            <w:tcBorders>
              <w:top w:val="single" w:color="auto" w:sz="4" w:space="0"/>
              <w:left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1585" w:type="dxa"/>
            <w:tcBorders>
              <w:top w:val="single" w:color="auto" w:sz="4" w:space="0"/>
              <w:left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lang w:val="en-US" w:eastAsia="zh-CN"/>
              </w:rPr>
              <w:t>熏蒸</w:t>
            </w:r>
            <w:r>
              <w:rPr>
                <w:rFonts w:hint="eastAsia" w:ascii="宋体" w:hAnsi="宋体"/>
                <w:szCs w:val="21"/>
                <w:highlight w:val="none"/>
              </w:rPr>
              <w:t>过程中产生的污染防治的安全环保方案（5分）</w:t>
            </w:r>
          </w:p>
        </w:tc>
        <w:tc>
          <w:tcPr>
            <w:tcW w:w="516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b/>
                <w:bCs/>
                <w:sz w:val="24"/>
                <w:highlight w:val="none"/>
              </w:rPr>
            </w:pPr>
            <w:r>
              <w:rPr>
                <w:rFonts w:hint="eastAsia" w:ascii="宋体" w:hAnsi="宋体"/>
                <w:szCs w:val="21"/>
                <w:highlight w:val="none"/>
              </w:rPr>
              <w:t>安全环保方案内容完整性，各投标人横向比较；内容全面周详完整得5分，基本完整得3-4分。</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766" w:type="dxa"/>
            <w:tcBorders>
              <w:top w:val="single" w:color="auto" w:sz="4" w:space="0"/>
              <w:left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1585" w:type="dxa"/>
            <w:tcBorders>
              <w:top w:val="single" w:color="auto" w:sz="4" w:space="0"/>
              <w:left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lang w:val="en-US" w:eastAsia="zh-CN"/>
              </w:rPr>
              <w:t>熏蒸</w:t>
            </w:r>
            <w:r>
              <w:rPr>
                <w:rFonts w:hint="eastAsia" w:ascii="宋体" w:hAnsi="宋体"/>
                <w:szCs w:val="21"/>
                <w:highlight w:val="none"/>
              </w:rPr>
              <w:t>方案中的安全保证措施（</w:t>
            </w:r>
            <w:r>
              <w:rPr>
                <w:rFonts w:hint="eastAsia" w:ascii="宋体" w:hAnsi="宋体"/>
                <w:szCs w:val="21"/>
                <w:highlight w:val="none"/>
                <w:lang w:val="en-US" w:eastAsia="zh-CN"/>
              </w:rPr>
              <w:t>10</w:t>
            </w:r>
            <w:r>
              <w:rPr>
                <w:rFonts w:hint="eastAsia" w:ascii="宋体" w:hAnsi="宋体"/>
                <w:szCs w:val="21"/>
                <w:highlight w:val="none"/>
              </w:rPr>
              <w:t>分）</w:t>
            </w:r>
          </w:p>
        </w:tc>
        <w:tc>
          <w:tcPr>
            <w:tcW w:w="516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b/>
                <w:bCs/>
                <w:sz w:val="24"/>
                <w:highlight w:val="none"/>
              </w:rPr>
            </w:pPr>
            <w:r>
              <w:rPr>
                <w:rFonts w:hint="eastAsia" w:ascii="宋体" w:hAnsi="宋体"/>
                <w:szCs w:val="21"/>
                <w:highlight w:val="none"/>
              </w:rPr>
              <w:t>安全保证措施，各投标人横向比较；内容全面周详完整得5分，基本完整得3-4分。</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66" w:type="dxa"/>
            <w:tcBorders>
              <w:top w:val="single" w:color="auto" w:sz="4" w:space="0"/>
              <w:left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1585" w:type="dxa"/>
            <w:tcBorders>
              <w:top w:val="single" w:color="auto" w:sz="4" w:space="0"/>
              <w:left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lang w:val="en-US" w:eastAsia="zh-CN"/>
              </w:rPr>
              <w:t>熏蒸</w:t>
            </w:r>
            <w:r>
              <w:rPr>
                <w:rFonts w:hint="eastAsia" w:ascii="宋体" w:hAnsi="宋体"/>
                <w:szCs w:val="21"/>
                <w:highlight w:val="none"/>
              </w:rPr>
              <w:t>方案的质量保证措施</w:t>
            </w:r>
          </w:p>
          <w:p>
            <w:pPr>
              <w:jc w:val="center"/>
              <w:rPr>
                <w:rFonts w:ascii="宋体" w:hAnsi="宋体"/>
                <w:szCs w:val="21"/>
                <w:highlight w:val="none"/>
              </w:rPr>
            </w:pPr>
            <w:r>
              <w:rPr>
                <w:rFonts w:hint="eastAsia" w:ascii="宋体" w:hAnsi="宋体"/>
                <w:szCs w:val="21"/>
                <w:highlight w:val="none"/>
              </w:rPr>
              <w:t>（10分）</w:t>
            </w:r>
          </w:p>
        </w:tc>
        <w:tc>
          <w:tcPr>
            <w:tcW w:w="5161" w:type="dxa"/>
            <w:tcBorders>
              <w:top w:val="single" w:color="auto" w:sz="4" w:space="0"/>
              <w:left w:val="single" w:color="auto" w:sz="4" w:space="0"/>
              <w:bottom w:val="single" w:color="auto" w:sz="4" w:space="0"/>
              <w:right w:val="single" w:color="auto" w:sz="4" w:space="0"/>
            </w:tcBorders>
            <w:vAlign w:val="center"/>
          </w:tcPr>
          <w:p>
            <w:pPr>
              <w:rPr>
                <w:rFonts w:ascii="宋体"/>
                <w:sz w:val="24"/>
                <w:highlight w:val="none"/>
              </w:rPr>
            </w:pPr>
            <w:r>
              <w:rPr>
                <w:rFonts w:hint="eastAsia" w:ascii="宋体" w:hAnsi="宋体"/>
                <w:szCs w:val="21"/>
                <w:highlight w:val="none"/>
              </w:rPr>
              <w:t>质量保证措施，各投标人横向比较；质量保证措施完善、可行得9-10分，较完善、可行得6－8分，基本完善、可行得4-6分。</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2351"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b/>
                <w:sz w:val="22"/>
                <w:szCs w:val="22"/>
              </w:rPr>
              <w:t>合计</w:t>
            </w:r>
          </w:p>
        </w:tc>
        <w:tc>
          <w:tcPr>
            <w:tcW w:w="516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30</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b/>
                <w:sz w:val="22"/>
                <w:szCs w:val="22"/>
              </w:rPr>
            </w:pPr>
          </w:p>
        </w:tc>
      </w:tr>
    </w:tbl>
    <w:p>
      <w:pPr>
        <w:pStyle w:val="48"/>
        <w:spacing w:line="360" w:lineRule="auto"/>
        <w:rPr>
          <w:rFonts w:ascii="宋体" w:hAnsi="宋体"/>
          <w:u w:val="single"/>
        </w:rPr>
      </w:pPr>
    </w:p>
    <w:p>
      <w:pPr>
        <w:widowControl w:val="0"/>
        <w:adjustRightInd w:val="0"/>
        <w:snapToGrid w:val="0"/>
        <w:spacing w:line="360" w:lineRule="auto"/>
        <w:ind w:firstLine="315" w:firstLineChars="150"/>
        <w:rPr>
          <w:rFonts w:ascii="宋体" w:hAnsi="宋体"/>
          <w:kern w:val="0"/>
          <w:szCs w:val="21"/>
        </w:rPr>
      </w:pPr>
      <w:r>
        <w:rPr>
          <w:rFonts w:hint="eastAsia" w:ascii="宋体" w:hAnsi="宋体"/>
          <w:kern w:val="0"/>
          <w:szCs w:val="21"/>
        </w:rPr>
        <w:t>注：1、本表小计总分为</w:t>
      </w:r>
      <w:r>
        <w:rPr>
          <w:rFonts w:hint="eastAsia" w:ascii="宋体" w:hAnsi="宋体"/>
          <w:szCs w:val="21"/>
          <w:u w:val="single"/>
        </w:rPr>
        <w:t>30</w:t>
      </w:r>
      <w:r>
        <w:rPr>
          <w:rFonts w:hint="eastAsia" w:ascii="宋体" w:hAnsi="宋体"/>
          <w:kern w:val="0"/>
          <w:szCs w:val="21"/>
        </w:rPr>
        <w:t>分。</w:t>
      </w:r>
    </w:p>
    <w:p>
      <w:pPr>
        <w:widowControl w:val="0"/>
        <w:adjustRightInd w:val="0"/>
        <w:snapToGrid w:val="0"/>
        <w:spacing w:line="360" w:lineRule="auto"/>
        <w:ind w:firstLine="735" w:firstLineChars="350"/>
        <w:rPr>
          <w:rFonts w:ascii="宋体" w:hAnsi="宋体"/>
          <w:kern w:val="0"/>
          <w:szCs w:val="21"/>
        </w:rPr>
      </w:pPr>
      <w:r>
        <w:rPr>
          <w:rFonts w:hint="eastAsia" w:ascii="宋体" w:hAnsi="宋体"/>
          <w:kern w:val="0"/>
          <w:szCs w:val="21"/>
        </w:rPr>
        <w:t>2、技术文件中缺失某项评分因素的，该项评分因素计0分。</w:t>
      </w:r>
    </w:p>
    <w:p>
      <w:pPr>
        <w:widowControl w:val="0"/>
        <w:adjustRightInd w:val="0"/>
        <w:snapToGrid w:val="0"/>
        <w:spacing w:line="360" w:lineRule="auto"/>
        <w:ind w:firstLine="735" w:firstLineChars="350"/>
        <w:rPr>
          <w:rFonts w:ascii="宋体" w:hAnsi="宋体"/>
          <w:b/>
          <w:kern w:val="0"/>
          <w:szCs w:val="21"/>
        </w:rPr>
      </w:pPr>
      <w:r>
        <w:rPr>
          <w:rFonts w:hint="eastAsia" w:ascii="宋体" w:hAnsi="宋体"/>
          <w:kern w:val="0"/>
          <w:szCs w:val="21"/>
        </w:rPr>
        <w:t>3、该项评分内容计分，由</w:t>
      </w:r>
      <w:r>
        <w:rPr>
          <w:rFonts w:hint="eastAsia" w:ascii="宋体" w:hAnsi="宋体"/>
          <w:szCs w:val="21"/>
        </w:rPr>
        <w:t>评审小组</w:t>
      </w:r>
      <w:r>
        <w:rPr>
          <w:rFonts w:hint="eastAsia" w:ascii="宋体" w:hAnsi="宋体"/>
          <w:kern w:val="0"/>
          <w:szCs w:val="21"/>
        </w:rPr>
        <w:t>集体评议，评委根据集体评议意见，自主评分。</w:t>
      </w:r>
      <w:r>
        <w:rPr>
          <w:rFonts w:hint="eastAsia" w:ascii="宋体" w:hAnsi="宋体"/>
          <w:b/>
          <w:kern w:val="0"/>
          <w:szCs w:val="21"/>
        </w:rPr>
        <w:t>技术文件得分为评委个人评审计分的算术平均值。</w:t>
      </w:r>
    </w:p>
    <w:p>
      <w:pPr>
        <w:widowControl w:val="0"/>
        <w:adjustRightInd w:val="0"/>
        <w:snapToGrid w:val="0"/>
        <w:spacing w:line="360" w:lineRule="auto"/>
        <w:ind w:firstLine="735" w:firstLineChars="350"/>
      </w:pPr>
      <w:r>
        <w:rPr>
          <w:rFonts w:hint="eastAsia" w:ascii="宋体" w:hAnsi="宋体" w:cs="宋体"/>
          <w:szCs w:val="21"/>
        </w:rPr>
        <w:t>4、</w:t>
      </w:r>
      <w:r>
        <w:rPr>
          <w:rFonts w:hint="eastAsia" w:ascii="宋体" w:hAnsi="宋体" w:cs="宋体"/>
          <w:b/>
          <w:bCs/>
          <w:szCs w:val="21"/>
        </w:rPr>
        <w:t>供应商需提供相关检测报告或其他证明文件作为得分依据</w:t>
      </w:r>
      <w:r>
        <w:rPr>
          <w:rFonts w:hint="eastAsia" w:ascii="宋体" w:hAnsi="宋体" w:cs="宋体"/>
          <w:szCs w:val="21"/>
        </w:rPr>
        <w:t>。</w:t>
      </w:r>
    </w:p>
    <w:p>
      <w:pPr>
        <w:widowControl w:val="0"/>
        <w:adjustRightInd w:val="0"/>
        <w:snapToGrid w:val="0"/>
        <w:spacing w:line="360" w:lineRule="auto"/>
        <w:ind w:firstLine="0" w:firstLineChars="0"/>
        <w:rPr>
          <w:rFonts w:ascii="宋体" w:hAnsi="宋体"/>
          <w:b/>
          <w:kern w:val="0"/>
          <w:szCs w:val="21"/>
        </w:rPr>
      </w:pPr>
    </w:p>
    <w:p>
      <w:pPr>
        <w:widowControl w:val="0"/>
        <w:spacing w:line="360" w:lineRule="auto"/>
        <w:jc w:val="both"/>
      </w:pPr>
      <w:r>
        <w:rPr>
          <w:rFonts w:hint="eastAsia" w:ascii="宋体" w:hAnsi="宋体"/>
          <w:sz w:val="24"/>
        </w:rPr>
        <w:t>评审小组</w:t>
      </w:r>
      <w:r>
        <w:rPr>
          <w:rFonts w:ascii="宋体" w:hAnsi="宋体"/>
          <w:sz w:val="24"/>
        </w:rPr>
        <w:t>全体成员签字：</w:t>
      </w:r>
      <w:r>
        <w:rPr>
          <w:rFonts w:hint="eastAsia" w:ascii="宋体" w:hAnsi="宋体"/>
          <w:sz w:val="24"/>
        </w:rPr>
        <w:t xml:space="preserve">                                监督人员签字</w:t>
      </w:r>
      <w:r>
        <w:rPr>
          <w:rFonts w:hint="eastAsia" w:ascii="宋体" w:hAnsi="宋体"/>
          <w:sz w:val="24"/>
          <w:lang w:val="en-US" w:eastAsia="zh-CN"/>
        </w:rPr>
        <w:t>:</w:t>
      </w: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附表3</w:t>
      </w:r>
    </w:p>
    <w:p>
      <w:pPr>
        <w:widowControl w:val="0"/>
        <w:snapToGrid w:val="0"/>
        <w:spacing w:line="360" w:lineRule="auto"/>
        <w:jc w:val="center"/>
        <w:outlineLvl w:val="2"/>
        <w:rPr>
          <w:rFonts w:ascii="黑体" w:hAnsi="黑体" w:eastAsia="黑体"/>
          <w:sz w:val="32"/>
          <w:szCs w:val="32"/>
        </w:rPr>
      </w:pPr>
      <w:r>
        <w:rPr>
          <w:rFonts w:hint="eastAsia" w:ascii="黑体" w:hAnsi="黑体" w:eastAsia="黑体"/>
          <w:sz w:val="32"/>
          <w:szCs w:val="32"/>
        </w:rPr>
        <w:t>投标报价评分表</w:t>
      </w:r>
    </w:p>
    <w:p>
      <w:pPr>
        <w:widowControl w:val="0"/>
        <w:adjustRightInd w:val="0"/>
        <w:snapToGrid w:val="0"/>
        <w:spacing w:line="360" w:lineRule="auto"/>
        <w:jc w:val="both"/>
        <w:rPr>
          <w:rFonts w:ascii="宋体" w:hAnsi="宋体" w:cs="宋体"/>
          <w:bCs/>
          <w:kern w:val="0"/>
          <w:sz w:val="24"/>
          <w:u w:val="single"/>
        </w:rPr>
      </w:pPr>
      <w:r>
        <w:rPr>
          <w:rFonts w:hint="eastAsia" w:ascii="宋体" w:hAnsi="宋体"/>
          <w:sz w:val="24"/>
        </w:rPr>
        <w:t>项目名称：</w:t>
      </w:r>
      <w:r>
        <w:rPr>
          <w:rFonts w:hint="eastAsia" w:ascii="宋体" w:hAnsi="宋体"/>
          <w:kern w:val="0"/>
          <w:sz w:val="24"/>
          <w:u w:val="single"/>
          <w:lang w:val="en-US" w:eastAsia="zh-CN"/>
        </w:rPr>
        <w:t>岳阳城陵矶新港集装箱内货物熏蒸及消毒</w:t>
      </w:r>
      <w:r>
        <w:rPr>
          <w:rFonts w:hint="eastAsia" w:ascii="宋体" w:hAnsi="宋体" w:cs="宋体"/>
          <w:bCs/>
          <w:sz w:val="24"/>
          <w:u w:val="single"/>
        </w:rPr>
        <w:t>服务采购</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819"/>
        <w:gridCol w:w="4578"/>
        <w:gridCol w:w="114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blHeader/>
          <w:jc w:val="center"/>
        </w:trPr>
        <w:tc>
          <w:tcPr>
            <w:tcW w:w="441"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序号</w:t>
            </w:r>
          </w:p>
        </w:tc>
        <w:tc>
          <w:tcPr>
            <w:tcW w:w="91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评分因素</w:t>
            </w:r>
          </w:p>
        </w:tc>
        <w:tc>
          <w:tcPr>
            <w:tcW w:w="2871" w:type="pct"/>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kern w:val="0"/>
                <w:sz w:val="22"/>
                <w:szCs w:val="22"/>
              </w:rPr>
              <w:t>评分标准</w:t>
            </w:r>
            <w:r>
              <w:rPr>
                <w:rFonts w:hint="eastAsia" w:asciiTheme="minorEastAsia" w:hAnsiTheme="minorEastAsia" w:eastAsiaTheme="minorEastAsia" w:cstheme="minorEastAsia"/>
                <w:b/>
                <w:sz w:val="22"/>
                <w:szCs w:val="22"/>
              </w:rPr>
              <w:t>/分值</w:t>
            </w:r>
          </w:p>
        </w:tc>
        <w:tc>
          <w:tcPr>
            <w:tcW w:w="773" w:type="pct"/>
            <w:tcBorders>
              <w:top w:val="single" w:color="auto" w:sz="4" w:space="0"/>
              <w:left w:val="single" w:color="auto" w:sz="4" w:space="0"/>
              <w:right w:val="single" w:color="auto" w:sz="4" w:space="0"/>
            </w:tcBorders>
            <w:vAlign w:val="center"/>
          </w:tcPr>
          <w:p>
            <w:pPr>
              <w:widowControl w:val="0"/>
              <w:adjustRightInd w:val="0"/>
              <w:snapToGrid w:val="0"/>
              <w:spacing w:line="240" w:lineRule="auto"/>
              <w:jc w:val="center"/>
            </w:pPr>
            <w:r>
              <w:rPr>
                <w:rFonts w:hint="eastAsia"/>
                <w:b/>
                <w:bCs/>
                <w:sz w:val="22"/>
                <w:szCs w:val="22"/>
              </w:rPr>
              <w:t>投标人</w:t>
            </w:r>
            <w:r>
              <w:rPr>
                <w:rFonts w:hint="eastAsia" w:asciiTheme="minorEastAsia" w:hAnsiTheme="minorEastAsia" w:eastAsiaTheme="minorEastAsia" w:cstheme="minorEastAsia"/>
                <w:b/>
                <w:kern w:val="0"/>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441"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91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投标报价</w:t>
            </w:r>
          </w:p>
        </w:tc>
        <w:tc>
          <w:tcPr>
            <w:tcW w:w="2297" w:type="pct"/>
            <w:tcBorders>
              <w:top w:val="single" w:color="auto" w:sz="4" w:space="0"/>
              <w:left w:val="single" w:color="auto" w:sz="4" w:space="0"/>
              <w:bottom w:val="single" w:color="auto" w:sz="4" w:space="0"/>
              <w:right w:val="single" w:color="auto" w:sz="4" w:space="0"/>
            </w:tcBorders>
            <w:vAlign w:val="center"/>
          </w:tcPr>
          <w:p>
            <w:pPr>
              <w:spacing w:line="312" w:lineRule="auto"/>
              <w:ind w:firstLine="539" w:firstLineChars="245"/>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A、当有效投标报价为</w:t>
            </w:r>
            <w:r>
              <w:rPr>
                <w:rFonts w:hint="eastAsia" w:asciiTheme="minorEastAsia" w:hAnsiTheme="minorEastAsia" w:eastAsiaTheme="minorEastAsia" w:cstheme="minorEastAsia"/>
                <w:bCs/>
                <w:sz w:val="22"/>
                <w:szCs w:val="22"/>
                <w:lang w:val="en-US" w:eastAsia="zh-CN"/>
              </w:rPr>
              <w:t>3</w:t>
            </w:r>
            <w:r>
              <w:rPr>
                <w:rFonts w:hint="eastAsia" w:asciiTheme="minorEastAsia" w:hAnsiTheme="minorEastAsia" w:eastAsiaTheme="minorEastAsia" w:cstheme="minorEastAsia"/>
                <w:bCs/>
                <w:sz w:val="22"/>
                <w:szCs w:val="22"/>
              </w:rPr>
              <w:t>家以上时，评标基准价计算方法为：评标基准价=[有效投标人同等条件下的报价之和-最高价-最低价]/（有效投标单位数-2）</w:t>
            </w:r>
          </w:p>
          <w:p>
            <w:pPr>
              <w:spacing w:line="312" w:lineRule="auto"/>
              <w:ind w:firstLine="539" w:firstLineChars="245"/>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B、当有效投标报价为</w:t>
            </w:r>
            <w:r>
              <w:rPr>
                <w:rFonts w:hint="eastAsia" w:asciiTheme="minorEastAsia" w:hAnsiTheme="minorEastAsia" w:eastAsiaTheme="minorEastAsia" w:cstheme="minorEastAsia"/>
                <w:bCs/>
                <w:sz w:val="22"/>
                <w:szCs w:val="22"/>
                <w:lang w:val="en-US" w:eastAsia="zh-CN"/>
              </w:rPr>
              <w:t>3</w:t>
            </w:r>
            <w:r>
              <w:rPr>
                <w:rFonts w:hint="eastAsia" w:asciiTheme="minorEastAsia" w:hAnsiTheme="minorEastAsia" w:eastAsiaTheme="minorEastAsia" w:cstheme="minorEastAsia"/>
                <w:bCs/>
                <w:sz w:val="22"/>
                <w:szCs w:val="22"/>
              </w:rPr>
              <w:t>家或以下时，评标基准价计算方法为：评标基准价=有效投标人报价之和/有效投标单位数</w:t>
            </w:r>
          </w:p>
          <w:p>
            <w:pPr>
              <w:spacing w:line="312" w:lineRule="auto"/>
              <w:ind w:firstLine="539" w:firstLineChars="245"/>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C、计算投标人评标价格的偏差率δ</w:t>
            </w:r>
          </w:p>
          <w:p>
            <w:pPr>
              <w:spacing w:line="312" w:lineRule="auto"/>
              <w:ind w:firstLine="539" w:firstLineChars="245"/>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δ=（投标人评标价格-评标基准价）/评标基准价×100%</w:t>
            </w:r>
          </w:p>
          <w:p>
            <w:pPr>
              <w:spacing w:line="312" w:lineRule="auto"/>
              <w:ind w:firstLine="539" w:firstLineChars="245"/>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依据投标人评标价格的偏差率δ，确定投标人报价得分如下：当δ=0时，得50分；当δ＞0时，则投标报价得分在50分的基础上，δ每增加1个百分点，则扣减0.6分，最低扣至0分为止；(保留两位小数)；当δ＜0时，则投标报价得分在50分的基础上，δ每减少1个百分点，则扣减0.3分，最低扣至0分为止。(保留两位小数)</w:t>
            </w:r>
          </w:p>
          <w:p>
            <w:pPr>
              <w:spacing w:line="312" w:lineRule="auto"/>
              <w:ind w:firstLine="539" w:firstLineChars="245"/>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其他情形，按中间插入法计算投标报价得分，保留2位小数。</w:t>
            </w:r>
          </w:p>
          <w:p>
            <w:pPr>
              <w:widowControl w:val="0"/>
              <w:adjustRightInd w:val="0"/>
              <w:snapToGrid w:val="0"/>
              <w:spacing w:line="360" w:lineRule="auto"/>
              <w:ind w:firstLine="220" w:firstLineChars="100"/>
              <w:rPr>
                <w:rFonts w:asciiTheme="minorEastAsia" w:hAnsiTheme="minorEastAsia" w:eastAsiaTheme="minorEastAsia" w:cstheme="minorEastAsia"/>
                <w:sz w:val="22"/>
                <w:szCs w:val="22"/>
              </w:rPr>
            </w:pPr>
          </w:p>
        </w:tc>
        <w:tc>
          <w:tcPr>
            <w:tcW w:w="574"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30</w:t>
            </w:r>
            <w:r>
              <w:rPr>
                <w:rFonts w:hint="eastAsia" w:asciiTheme="minorEastAsia" w:hAnsiTheme="minorEastAsia" w:eastAsiaTheme="minorEastAsia" w:cstheme="minorEastAsia"/>
                <w:sz w:val="22"/>
                <w:szCs w:val="22"/>
              </w:rPr>
              <w:t>分</w:t>
            </w:r>
          </w:p>
        </w:tc>
        <w:tc>
          <w:tcPr>
            <w:tcW w:w="77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3652" w:type="pct"/>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b/>
                <w:sz w:val="22"/>
                <w:szCs w:val="22"/>
              </w:rPr>
              <w:t>合计</w:t>
            </w:r>
          </w:p>
        </w:tc>
        <w:tc>
          <w:tcPr>
            <w:tcW w:w="574"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b/>
                <w:sz w:val="22"/>
                <w:szCs w:val="22"/>
                <w:lang w:val="en-US" w:eastAsia="zh-CN"/>
              </w:rPr>
              <w:t>30</w:t>
            </w:r>
            <w:r>
              <w:rPr>
                <w:rFonts w:hint="eastAsia" w:asciiTheme="minorEastAsia" w:hAnsiTheme="minorEastAsia" w:eastAsiaTheme="minorEastAsia" w:cstheme="minorEastAsia"/>
                <w:b/>
                <w:sz w:val="22"/>
                <w:szCs w:val="22"/>
              </w:rPr>
              <w:t>分</w:t>
            </w:r>
          </w:p>
        </w:tc>
        <w:tc>
          <w:tcPr>
            <w:tcW w:w="77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Theme="minorEastAsia" w:hAnsiTheme="minorEastAsia" w:eastAsiaTheme="minorEastAsia" w:cstheme="minorEastAsia"/>
                <w:b/>
                <w:sz w:val="22"/>
                <w:szCs w:val="22"/>
              </w:rPr>
            </w:pPr>
          </w:p>
        </w:tc>
      </w:tr>
    </w:tbl>
    <w:p>
      <w:pPr>
        <w:rPr>
          <w:rFonts w:ascii="黑体" w:hAnsi="黑体" w:eastAsia="黑体" w:cs="仿宋"/>
          <w:b/>
          <w:color w:val="000000"/>
          <w:sz w:val="36"/>
          <w:szCs w:val="36"/>
        </w:rPr>
      </w:pPr>
    </w:p>
    <w:p>
      <w:pPr>
        <w:rPr>
          <w:rFonts w:ascii="黑体" w:hAnsi="黑体" w:eastAsia="黑体" w:cs="仿宋"/>
          <w:b/>
          <w:color w:val="000000"/>
          <w:sz w:val="36"/>
          <w:szCs w:val="36"/>
        </w:rPr>
      </w:pPr>
    </w:p>
    <w:p>
      <w:pPr>
        <w:widowControl w:val="0"/>
        <w:spacing w:line="360" w:lineRule="auto"/>
        <w:jc w:val="both"/>
        <w:rPr>
          <w:rFonts w:ascii="宋体" w:hAnsi="宋体"/>
          <w:bCs/>
          <w:sz w:val="24"/>
        </w:rPr>
      </w:pPr>
      <w:r>
        <w:rPr>
          <w:rFonts w:hint="eastAsia" w:ascii="宋体" w:hAnsi="宋体"/>
          <w:sz w:val="24"/>
        </w:rPr>
        <w:t>评审小组</w:t>
      </w:r>
      <w:r>
        <w:rPr>
          <w:rFonts w:ascii="宋体" w:hAnsi="宋体"/>
          <w:sz w:val="24"/>
        </w:rPr>
        <w:t>全体成员签字：</w:t>
      </w:r>
      <w:r>
        <w:rPr>
          <w:rFonts w:hint="eastAsia" w:ascii="宋体" w:hAnsi="宋体"/>
          <w:sz w:val="24"/>
        </w:rPr>
        <w:t xml:space="preserve">                                监督人员签字：</w:t>
      </w:r>
    </w:p>
    <w:p>
      <w:pPr>
        <w:rPr>
          <w:rFonts w:ascii="黑体" w:hAnsi="黑体" w:eastAsia="黑体" w:cs="宋体"/>
          <w:kern w:val="44"/>
          <w:sz w:val="32"/>
          <w:szCs w:val="32"/>
        </w:rPr>
      </w:pPr>
      <w:r>
        <w:rPr>
          <w:rFonts w:hint="eastAsia" w:ascii="黑体" w:hAnsi="黑体" w:eastAsia="黑体" w:cs="仿宋"/>
          <w:b/>
          <w:color w:val="000000"/>
          <w:sz w:val="36"/>
          <w:szCs w:val="36"/>
        </w:rPr>
        <w:br w:type="page"/>
      </w:r>
    </w:p>
    <w:p>
      <w:pPr>
        <w:widowControl w:val="0"/>
        <w:snapToGrid w:val="0"/>
        <w:spacing w:line="360" w:lineRule="auto"/>
        <w:jc w:val="left"/>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spacing w:line="360" w:lineRule="auto"/>
        <w:rPr>
          <w:rFonts w:hint="eastAsia" w:ascii="黑体" w:hAnsi="黑体" w:eastAsia="黑体" w:cs="仿宋"/>
          <w:b/>
          <w:color w:val="000000"/>
          <w:sz w:val="36"/>
          <w:szCs w:val="36"/>
        </w:rPr>
      </w:pPr>
      <w:r>
        <w:rPr>
          <w:rFonts w:hint="eastAsia" w:ascii="黑体" w:hAnsi="黑体" w:eastAsia="黑体" w:cs="仿宋"/>
          <w:b/>
          <w:color w:val="000000"/>
          <w:sz w:val="36"/>
          <w:szCs w:val="36"/>
        </w:rPr>
        <w:br w:type="page"/>
      </w:r>
    </w:p>
    <w:p>
      <w:pPr>
        <w:pStyle w:val="76"/>
        <w:spacing w:line="360" w:lineRule="auto"/>
        <w:ind w:left="0" w:firstLine="0" w:firstLineChars="0"/>
        <w:jc w:val="center"/>
        <w:outlineLvl w:val="0"/>
        <w:rPr>
          <w:rFonts w:ascii="黑体" w:hAnsi="黑体" w:eastAsia="黑体" w:cs="仿宋"/>
          <w:b/>
          <w:color w:val="000000"/>
          <w:sz w:val="36"/>
          <w:szCs w:val="36"/>
        </w:rPr>
      </w:pPr>
      <w:bookmarkStart w:id="3" w:name="_Toc15020"/>
      <w:r>
        <w:rPr>
          <w:rFonts w:hint="eastAsia" w:ascii="黑体" w:hAnsi="黑体" w:eastAsia="黑体" w:cs="仿宋"/>
          <w:b/>
          <w:color w:val="000000"/>
          <w:sz w:val="36"/>
          <w:szCs w:val="36"/>
        </w:rPr>
        <w:t>第四章  合同条款及格式</w:t>
      </w:r>
      <w:bookmarkEnd w:id="3"/>
    </w:p>
    <w:p>
      <w:pPr>
        <w:spacing w:line="360" w:lineRule="auto"/>
        <w:ind w:firstLine="544" w:firstLineChars="227"/>
        <w:jc w:val="both"/>
        <w:rPr>
          <w:rFonts w:cs="仿宋" w:asciiTheme="minorEastAsia" w:hAnsiTheme="minorEastAsia" w:eastAsiaTheme="minorEastAsia"/>
          <w:sz w:val="24"/>
        </w:rPr>
      </w:pPr>
    </w:p>
    <w:p>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rPr>
      </w:pPr>
      <w:bookmarkStart w:id="4" w:name="_Toc131134472"/>
      <w:r>
        <w:rPr>
          <w:rFonts w:hint="eastAsia" w:ascii="宋体" w:hAnsi="宋体" w:cs="仿宋"/>
          <w:b w:val="0"/>
          <w:sz w:val="36"/>
          <w:szCs w:val="36"/>
          <w:u w:val="none"/>
          <w:lang w:val="en-US" w:eastAsia="zh-CN"/>
        </w:rPr>
        <w:t>集装箱</w:t>
      </w:r>
      <w:r>
        <w:rPr>
          <w:rFonts w:hint="eastAsia" w:ascii="宋体" w:hAnsi="宋体" w:eastAsia="宋体" w:cs="仿宋"/>
          <w:b w:val="0"/>
          <w:sz w:val="36"/>
          <w:szCs w:val="36"/>
          <w:u w:val="none"/>
        </w:rPr>
        <w:t>服务合同</w:t>
      </w:r>
      <w:r>
        <w:rPr>
          <w:rFonts w:hint="eastAsia" w:ascii="宋体" w:hAnsi="宋体" w:eastAsia="宋体" w:cs="仿宋"/>
          <w:sz w:val="36"/>
          <w:szCs w:val="36"/>
          <w:u w:val="none"/>
        </w:rPr>
        <w:t xml:space="preserve"> </w:t>
      </w:r>
      <w:r>
        <w:rPr>
          <w:rFonts w:hint="eastAsia" w:ascii="黑体" w:hAnsi="黑体" w:eastAsia="黑体" w:cs="黑体"/>
          <w:b/>
          <w:sz w:val="44"/>
          <w:szCs w:val="44"/>
        </w:rPr>
        <w:t xml:space="preserve"> </w:t>
      </w:r>
      <w:r>
        <w:rPr>
          <w:rFonts w:hint="eastAsia" w:ascii="仿宋" w:hAnsi="仿宋" w:eastAsia="仿宋" w:cs="仿宋"/>
          <w:b/>
          <w:sz w:val="24"/>
          <w:szCs w:val="24"/>
        </w:rPr>
        <w:t xml:space="preserve"> </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Cs/>
          <w:sz w:val="24"/>
          <w:szCs w:val="24"/>
        </w:rPr>
      </w:pP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u w:val="none"/>
        </w:rPr>
      </w:pPr>
      <w:r>
        <w:rPr>
          <w:rFonts w:hint="eastAsia" w:ascii="宋体" w:hAnsi="宋体" w:eastAsia="宋体" w:cs="仿宋"/>
          <w:sz w:val="24"/>
          <w:szCs w:val="24"/>
        </w:rPr>
        <w:t xml:space="preserve">委托方（甲方）：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lang w:eastAsia="zh-CN"/>
        </w:rPr>
        <w:t>岳阳城陵矶新港有限公司</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u w:val="none"/>
        </w:rPr>
      </w:pPr>
      <w:r>
        <w:rPr>
          <w:rFonts w:hint="eastAsia" w:ascii="宋体" w:hAnsi="宋体" w:eastAsia="宋体" w:cs="仿宋"/>
          <w:sz w:val="24"/>
          <w:szCs w:val="24"/>
        </w:rPr>
        <w:t>受委托方（乙方）：</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
          <w:sz w:val="24"/>
          <w:szCs w:val="24"/>
        </w:rPr>
      </w:pPr>
      <w:r>
        <w:rPr>
          <w:rFonts w:hint="eastAsia" w:ascii="宋体" w:hAnsi="宋体" w:eastAsia="宋体" w:cs="仿宋"/>
          <w:sz w:val="24"/>
          <w:szCs w:val="24"/>
        </w:rPr>
        <w:t>本合同甲方委托乙方就</w:t>
      </w:r>
      <w:r>
        <w:rPr>
          <w:rFonts w:hint="eastAsia" w:ascii="宋体" w:hAnsi="宋体" w:eastAsia="宋体" w:cs="宋体"/>
          <w:bCs/>
          <w:sz w:val="24"/>
          <w:szCs w:val="24"/>
        </w:rPr>
        <w:t>港口</w:t>
      </w:r>
      <w:r>
        <w:rPr>
          <w:rFonts w:hint="eastAsia" w:ascii="宋体" w:hAnsi="宋体" w:eastAsia="宋体" w:cs="宋体"/>
          <w:bCs/>
          <w:sz w:val="24"/>
          <w:szCs w:val="24"/>
          <w:lang w:val="en-US" w:eastAsia="zh-CN"/>
        </w:rPr>
        <w:t>集装箱内货物熏蒸</w:t>
      </w:r>
      <w:r>
        <w:rPr>
          <w:rFonts w:hint="eastAsia" w:ascii="宋体" w:hAnsi="宋体" w:cs="宋体"/>
          <w:bCs/>
          <w:sz w:val="24"/>
          <w:szCs w:val="24"/>
          <w:lang w:val="en-US" w:eastAsia="zh-CN"/>
        </w:rPr>
        <w:t>及消毒</w:t>
      </w:r>
      <w:r>
        <w:rPr>
          <w:rFonts w:hint="eastAsia" w:ascii="宋体" w:hAnsi="宋体" w:eastAsia="宋体" w:cs="仿宋"/>
          <w:sz w:val="24"/>
          <w:szCs w:val="24"/>
        </w:rPr>
        <w:t>服务，并支付相应的服务报酬。双方经过平等协商，根据《中华人民共和国</w:t>
      </w:r>
      <w:r>
        <w:rPr>
          <w:rFonts w:hint="eastAsia" w:ascii="宋体" w:hAnsi="宋体" w:eastAsia="宋体" w:cs="仿宋"/>
          <w:sz w:val="24"/>
          <w:szCs w:val="24"/>
          <w:lang w:eastAsia="zh-CN"/>
        </w:rPr>
        <w:t>民法典</w:t>
      </w:r>
      <w:r>
        <w:rPr>
          <w:rFonts w:hint="eastAsia" w:ascii="宋体" w:hAnsi="宋体" w:eastAsia="宋体" w:cs="仿宋"/>
          <w:sz w:val="24"/>
          <w:szCs w:val="24"/>
        </w:rPr>
        <w:t>》的规定，达成如下协议，并由双方共同恪守。</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rPr>
        <w:t>第一条 甲方委托乙方进行服务的内容如下：</w:t>
      </w:r>
    </w:p>
    <w:p>
      <w:pPr>
        <w:keepNext w:val="0"/>
        <w:keepLines w:val="0"/>
        <w:pageBreakBefore w:val="0"/>
        <w:widowControl/>
        <w:kinsoku/>
        <w:wordWrap/>
        <w:overflowPunct/>
        <w:topLinePunct w:val="0"/>
        <w:autoSpaceDE w:val="0"/>
        <w:autoSpaceDN/>
        <w:bidi w:val="0"/>
        <w:adjustRightInd/>
        <w:snapToGrid/>
        <w:spacing w:line="360" w:lineRule="auto"/>
        <w:ind w:firstLine="480" w:firstLineChars="200"/>
        <w:jc w:val="both"/>
        <w:textAlignment w:val="auto"/>
        <w:rPr>
          <w:rFonts w:hint="eastAsia" w:ascii="宋体" w:hAnsi="宋体" w:eastAsia="宋体" w:cs="仿宋"/>
          <w:sz w:val="24"/>
          <w:szCs w:val="24"/>
          <w:u w:val="none"/>
        </w:rPr>
      </w:pPr>
      <w:r>
        <w:rPr>
          <w:rFonts w:hint="eastAsia" w:ascii="宋体" w:hAnsi="宋体"/>
          <w:b w:val="0"/>
          <w:bCs w:val="0"/>
          <w:sz w:val="24"/>
          <w:lang w:val="en-US" w:eastAsia="zh-CN"/>
        </w:rPr>
        <w:t>港内进出口货物的熏蒸、消毒、木质包装的熏蒸等，所有人员、熏蒸设备、仪器、消毒用品全部由供应商提供。</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rPr>
        <w:t>第二条  乙方应按下列要求完成服务工作：</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rPr>
      </w:pPr>
      <w:r>
        <w:rPr>
          <w:rFonts w:hint="eastAsia" w:ascii="宋体" w:hAnsi="宋体" w:eastAsia="宋体" w:cs="仿宋"/>
          <w:sz w:val="24"/>
          <w:szCs w:val="24"/>
        </w:rPr>
        <w:t>1．技术服务地点</w:t>
      </w:r>
      <w:r>
        <w:rPr>
          <w:rFonts w:hint="eastAsia" w:ascii="宋体" w:hAnsi="宋体" w:cs="仿宋"/>
          <w:sz w:val="24"/>
          <w:szCs w:val="24"/>
          <w:lang w:eastAsia="zh-CN"/>
        </w:rPr>
        <w:t>：</w:t>
      </w:r>
      <w:r>
        <w:rPr>
          <w:rFonts w:hint="eastAsia" w:ascii="宋体" w:hAnsi="宋体" w:eastAsia="宋体" w:cs="仿宋"/>
          <w:sz w:val="24"/>
          <w:szCs w:val="24"/>
          <w:u w:val="none"/>
          <w:lang w:eastAsia="zh-CN"/>
        </w:rPr>
        <w:t>岳阳城陵矶新港有限公司</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u w:val="none"/>
          <w:lang w:eastAsia="zh-CN"/>
        </w:rPr>
      </w:pPr>
      <w:r>
        <w:rPr>
          <w:rFonts w:hint="eastAsia" w:ascii="宋体" w:hAnsi="宋体" w:eastAsia="宋体" w:cs="仿宋"/>
          <w:sz w:val="24"/>
          <w:szCs w:val="24"/>
        </w:rPr>
        <w:t>2．技术服务期限：</w:t>
      </w:r>
      <w:r>
        <w:rPr>
          <w:rFonts w:hint="eastAsia" w:ascii="宋体" w:hAnsi="宋体" w:cs="仿宋"/>
          <w:sz w:val="24"/>
          <w:szCs w:val="24"/>
          <w:u w:val="none"/>
          <w:lang w:val="en-US" w:eastAsia="zh-CN"/>
        </w:rPr>
        <w:t>一年</w:t>
      </w:r>
      <w:r>
        <w:rPr>
          <w:rFonts w:hint="eastAsia" w:ascii="宋体" w:hAnsi="宋体" w:eastAsia="宋体" w:cs="仿宋"/>
          <w:sz w:val="24"/>
          <w:szCs w:val="24"/>
          <w:u w:val="none"/>
          <w:lang w:eastAsia="zh-CN"/>
        </w:rPr>
        <w:t>。</w:t>
      </w:r>
    </w:p>
    <w:p>
      <w:pPr>
        <w:keepNext w:val="0"/>
        <w:keepLines w:val="0"/>
        <w:pageBreakBefore w:val="0"/>
        <w:widowControl/>
        <w:kinsoku/>
        <w:wordWrap/>
        <w:overflowPunct/>
        <w:topLinePunct w:val="0"/>
        <w:autoSpaceDE w:val="0"/>
        <w:autoSpaceDN/>
        <w:bidi w:val="0"/>
        <w:adjustRightInd/>
        <w:snapToGrid/>
        <w:spacing w:line="360" w:lineRule="auto"/>
        <w:ind w:firstLine="480" w:firstLineChars="200"/>
        <w:jc w:val="left"/>
        <w:textAlignment w:val="auto"/>
        <w:rPr>
          <w:rFonts w:hint="eastAsia" w:ascii="宋体" w:hAnsi="宋体" w:eastAsia="宋体" w:cs="Times New Roman"/>
          <w:spacing w:val="0"/>
          <w:w w:val="100"/>
          <w:position w:val="0"/>
          <w:sz w:val="24"/>
          <w:szCs w:val="24"/>
        </w:rPr>
      </w:pPr>
      <w:r>
        <w:rPr>
          <w:rFonts w:hint="eastAsia" w:ascii="宋体" w:hAnsi="宋体" w:eastAsia="宋体" w:cs="Times New Roman"/>
          <w:spacing w:val="0"/>
          <w:w w:val="100"/>
          <w:position w:val="0"/>
          <w:sz w:val="24"/>
          <w:szCs w:val="24"/>
          <w:lang w:val="en-US" w:eastAsia="zh-CN"/>
        </w:rPr>
        <w:t>3.</w:t>
      </w:r>
      <w:r>
        <w:rPr>
          <w:rFonts w:hint="eastAsia" w:ascii="宋体" w:hAnsi="宋体" w:eastAsia="宋体" w:cs="Times New Roman"/>
          <w:spacing w:val="0"/>
          <w:w w:val="100"/>
          <w:position w:val="0"/>
          <w:sz w:val="24"/>
          <w:szCs w:val="24"/>
        </w:rPr>
        <w:t>履行方式：根据海关下达的检疫处理通知书，对</w:t>
      </w:r>
      <w:r>
        <w:rPr>
          <w:rFonts w:hint="eastAsia" w:ascii="宋体" w:hAnsi="宋体" w:cs="Times New Roman"/>
          <w:spacing w:val="0"/>
          <w:w w:val="100"/>
          <w:position w:val="0"/>
          <w:sz w:val="24"/>
          <w:szCs w:val="24"/>
          <w:lang w:val="en-US" w:eastAsia="zh-CN"/>
        </w:rPr>
        <w:t>岳阳新</w:t>
      </w:r>
      <w:r>
        <w:rPr>
          <w:rFonts w:hint="eastAsia" w:ascii="宋体" w:hAnsi="宋体" w:eastAsia="宋体" w:cs="Times New Roman"/>
          <w:spacing w:val="0"/>
          <w:w w:val="100"/>
          <w:position w:val="0"/>
          <w:sz w:val="24"/>
          <w:szCs w:val="24"/>
        </w:rPr>
        <w:t>港进出境集装箱及货物进行日常检疫处理工作，主要包括集装箱及货物的熏蒸杀虫及消毒工作。</w:t>
      </w:r>
    </w:p>
    <w:p>
      <w:pPr>
        <w:keepNext w:val="0"/>
        <w:keepLines w:val="0"/>
        <w:pageBreakBefore w:val="0"/>
        <w:widowControl/>
        <w:kinsoku/>
        <w:wordWrap/>
        <w:overflowPunct/>
        <w:topLinePunct w:val="0"/>
        <w:autoSpaceDE w:val="0"/>
        <w:autoSpaceDN/>
        <w:bidi w:val="0"/>
        <w:adjustRightInd/>
        <w:snapToGrid/>
        <w:spacing w:line="360" w:lineRule="auto"/>
        <w:ind w:firstLine="480" w:firstLineChars="200"/>
        <w:jc w:val="left"/>
        <w:textAlignment w:val="auto"/>
        <w:rPr>
          <w:rFonts w:hint="eastAsia" w:ascii="宋体" w:hAnsi="宋体" w:eastAsia="宋体" w:cs="Times New Roman"/>
          <w:sz w:val="24"/>
          <w:szCs w:val="24"/>
          <w:u w:val="none"/>
          <w:lang w:eastAsia="zh-CN"/>
        </w:rPr>
      </w:pPr>
      <w:r>
        <w:rPr>
          <w:rFonts w:hint="eastAsia" w:ascii="宋体" w:hAnsi="宋体" w:cs="Times New Roman"/>
          <w:spacing w:val="0"/>
          <w:w w:val="100"/>
          <w:position w:val="0"/>
          <w:sz w:val="24"/>
          <w:szCs w:val="24"/>
          <w:lang w:val="en-US" w:eastAsia="zh-CN"/>
        </w:rPr>
        <w:t>4.</w:t>
      </w:r>
      <w:r>
        <w:rPr>
          <w:rFonts w:hint="eastAsia" w:ascii="宋体" w:hAnsi="宋体" w:eastAsia="宋体" w:cs="Times New Roman"/>
          <w:spacing w:val="0"/>
          <w:w w:val="100"/>
          <w:position w:val="0"/>
          <w:sz w:val="24"/>
          <w:szCs w:val="24"/>
        </w:rPr>
        <w:t>验收要求和验收标准：依据《出入境检疫处理管理工作规定》，消除出入境货物、交通工具、集装箱及其他检疫对象消除疫情疫病或者潜在危害，防止人类传染病传播流行、动植物病虫害传入</w:t>
      </w:r>
      <w:r>
        <w:rPr>
          <w:rFonts w:hint="eastAsia" w:ascii="宋体" w:hAnsi="宋体" w:cs="Times New Roman"/>
          <w:spacing w:val="0"/>
          <w:w w:val="100"/>
          <w:position w:val="0"/>
          <w:sz w:val="24"/>
          <w:szCs w:val="24"/>
          <w:lang w:eastAsia="zh-CN"/>
        </w:rPr>
        <w:t>、</w:t>
      </w:r>
      <w:r>
        <w:rPr>
          <w:rFonts w:hint="eastAsia" w:ascii="宋体" w:hAnsi="宋体" w:eastAsia="宋体" w:cs="Times New Roman"/>
          <w:spacing w:val="0"/>
          <w:w w:val="100"/>
          <w:position w:val="0"/>
          <w:sz w:val="24"/>
          <w:szCs w:val="24"/>
        </w:rPr>
        <w:t>传出。</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rPr>
        <w:t>第三条 为保证乙方有效进行服务工作，甲方应向乙方提供下列工作条件和协作事宜：</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default" w:ascii="宋体" w:hAnsi="宋体" w:eastAsia="宋体" w:cs="仿宋"/>
          <w:sz w:val="24"/>
          <w:szCs w:val="24"/>
          <w:lang w:val="en-US" w:eastAsia="zh-CN"/>
        </w:rPr>
      </w:pPr>
      <w:r>
        <w:rPr>
          <w:rFonts w:hint="eastAsia" w:ascii="宋体" w:hAnsi="宋体" w:eastAsia="宋体" w:cs="仿宋"/>
          <w:sz w:val="24"/>
          <w:szCs w:val="24"/>
          <w:u w:val="none"/>
        </w:rPr>
        <w:t xml:space="preserve"> 甲方为乙方</w:t>
      </w:r>
      <w:r>
        <w:rPr>
          <w:rFonts w:hint="eastAsia" w:ascii="宋体" w:hAnsi="宋体" w:cs="仿宋"/>
          <w:sz w:val="24"/>
          <w:szCs w:val="24"/>
          <w:u w:val="none"/>
          <w:lang w:val="en-US" w:eastAsia="zh-CN"/>
        </w:rPr>
        <w:t>服务</w:t>
      </w:r>
      <w:r>
        <w:rPr>
          <w:rFonts w:hint="eastAsia" w:ascii="宋体" w:hAnsi="宋体" w:eastAsia="宋体" w:cs="仿宋"/>
          <w:sz w:val="24"/>
          <w:szCs w:val="24"/>
          <w:u w:val="none"/>
        </w:rPr>
        <w:t>人员在现场工作期间提供工作</w:t>
      </w:r>
      <w:r>
        <w:rPr>
          <w:rFonts w:hint="eastAsia" w:ascii="宋体" w:hAnsi="宋体" w:cs="仿宋"/>
          <w:sz w:val="24"/>
          <w:szCs w:val="24"/>
          <w:u w:val="none"/>
          <w:lang w:val="en-US" w:eastAsia="zh-CN"/>
        </w:rPr>
        <w:t>用房、用水、用电，</w:t>
      </w:r>
      <w:r>
        <w:rPr>
          <w:rFonts w:hint="eastAsia" w:ascii="宋体" w:hAnsi="宋体" w:eastAsia="宋体" w:cs="仿宋"/>
          <w:sz w:val="24"/>
          <w:szCs w:val="24"/>
          <w:u w:val="none"/>
          <w:lang w:eastAsia="zh-CN"/>
        </w:rPr>
        <w:t>但乙方</w:t>
      </w:r>
      <w:r>
        <w:rPr>
          <w:rFonts w:hint="eastAsia" w:ascii="宋体" w:hAnsi="宋体" w:cs="仿宋"/>
          <w:sz w:val="24"/>
          <w:szCs w:val="24"/>
          <w:u w:val="none"/>
          <w:lang w:val="en-US" w:eastAsia="zh-CN"/>
        </w:rPr>
        <w:t>服务</w:t>
      </w:r>
      <w:r>
        <w:rPr>
          <w:rFonts w:hint="eastAsia" w:ascii="宋体" w:hAnsi="宋体" w:eastAsia="宋体" w:cs="仿宋"/>
          <w:sz w:val="24"/>
          <w:szCs w:val="24"/>
          <w:u w:val="none"/>
          <w:lang w:eastAsia="zh-CN"/>
        </w:rPr>
        <w:t>人员的工作</w:t>
      </w:r>
      <w:r>
        <w:rPr>
          <w:rFonts w:hint="eastAsia" w:ascii="宋体" w:hAnsi="宋体" w:cs="仿宋"/>
          <w:sz w:val="24"/>
          <w:szCs w:val="24"/>
          <w:u w:val="none"/>
          <w:lang w:val="en-US" w:eastAsia="zh-CN"/>
        </w:rPr>
        <w:t>设备</w:t>
      </w:r>
      <w:r>
        <w:rPr>
          <w:rFonts w:hint="eastAsia" w:ascii="宋体" w:hAnsi="宋体" w:eastAsia="宋体" w:cs="仿宋"/>
          <w:sz w:val="24"/>
          <w:szCs w:val="24"/>
          <w:u w:val="none"/>
          <w:lang w:eastAsia="zh-CN"/>
        </w:rPr>
        <w:t>、生活、交通费用由乙方自行承担</w:t>
      </w:r>
      <w:r>
        <w:rPr>
          <w:rFonts w:hint="eastAsia" w:ascii="宋体" w:hAnsi="宋体" w:eastAsia="宋体" w:cs="仿宋"/>
          <w:sz w:val="24"/>
          <w:szCs w:val="24"/>
        </w:rPr>
        <w:t>。</w:t>
      </w:r>
      <w:r>
        <w:rPr>
          <w:rFonts w:hint="eastAsia" w:ascii="宋体" w:hAnsi="宋体" w:cs="仿宋"/>
          <w:sz w:val="24"/>
          <w:szCs w:val="24"/>
          <w:lang w:val="en-US" w:eastAsia="zh-CN"/>
        </w:rPr>
        <w:t>乙方在使用甲方用房、设备时造成的损坏由乙方负责维修。</w:t>
      </w:r>
    </w:p>
    <w:p>
      <w:pPr>
        <w:keepNext w:val="0"/>
        <w:keepLines w:val="0"/>
        <w:pageBreakBefore w:val="0"/>
        <w:widowControl/>
        <w:numPr>
          <w:ilvl w:val="-1"/>
          <w:numId w:val="0"/>
        </w:numPr>
        <w:shd w:val="clear" w:color="auto" w:fill="auto"/>
        <w:tabs>
          <w:tab w:val="left" w:pos="312"/>
        </w:tabs>
        <w:kinsoku/>
        <w:wordWrap/>
        <w:overflowPunct/>
        <w:topLinePunct w:val="0"/>
        <w:autoSpaceDE/>
        <w:autoSpaceDN/>
        <w:bidi w:val="0"/>
        <w:adjustRightInd w:val="0"/>
        <w:snapToGrid w:val="0"/>
        <w:spacing w:before="0" w:after="0" w:line="360" w:lineRule="auto"/>
        <w:ind w:left="0" w:leftChars="0" w:right="0" w:firstLine="480" w:firstLineChars="200"/>
        <w:jc w:val="both"/>
        <w:textAlignment w:val="auto"/>
        <w:rPr>
          <w:rFonts w:hint="eastAsia" w:ascii="宋体" w:hAnsi="宋体" w:eastAsia="宋体" w:cs="仿宋"/>
          <w:sz w:val="24"/>
          <w:szCs w:val="24"/>
          <w:u w:val="none"/>
        </w:rPr>
      </w:pPr>
      <w:r>
        <w:rPr>
          <w:rFonts w:hint="eastAsia" w:ascii="宋体" w:hAnsi="宋体" w:cs="仿宋"/>
          <w:spacing w:val="0"/>
          <w:w w:val="100"/>
          <w:position w:val="0"/>
          <w:sz w:val="24"/>
          <w:szCs w:val="24"/>
          <w:u w:val="none"/>
          <w:lang w:val="en-US" w:eastAsia="zh-CN"/>
        </w:rPr>
        <w:t xml:space="preserve">第四条 </w:t>
      </w:r>
      <w:r>
        <w:rPr>
          <w:rFonts w:hint="eastAsia" w:ascii="宋体" w:hAnsi="宋体" w:eastAsia="宋体" w:cs="仿宋"/>
          <w:spacing w:val="0"/>
          <w:w w:val="100"/>
          <w:position w:val="0"/>
          <w:sz w:val="24"/>
          <w:szCs w:val="24"/>
          <w:u w:val="none"/>
        </w:rPr>
        <w:t>双方权利、义务</w:t>
      </w:r>
    </w:p>
    <w:p>
      <w:pPr>
        <w:keepNext w:val="0"/>
        <w:keepLines w:val="0"/>
        <w:pageBreakBefore w:val="0"/>
        <w:widowControl/>
        <w:shd w:val="clear" w:color="auto" w:fill="auto"/>
        <w:tabs>
          <w:tab w:val="left" w:pos="312"/>
        </w:tabs>
        <w:kinsoku/>
        <w:wordWrap/>
        <w:overflowPunct/>
        <w:topLinePunct w:val="0"/>
        <w:autoSpaceDE/>
        <w:autoSpaceDN/>
        <w:bidi w:val="0"/>
        <w:adjustRightInd w:val="0"/>
        <w:snapToGrid w:val="0"/>
        <w:spacing w:before="0" w:after="0" w:line="360" w:lineRule="auto"/>
        <w:ind w:left="0" w:right="0" w:firstLine="453" w:firstLineChars="189"/>
        <w:jc w:val="both"/>
        <w:textAlignment w:val="auto"/>
        <w:rPr>
          <w:rFonts w:hint="eastAsia" w:ascii="宋体" w:hAnsi="宋体" w:eastAsia="宋体" w:cs="仿宋"/>
          <w:sz w:val="24"/>
          <w:szCs w:val="24"/>
          <w:u w:val="none"/>
        </w:rPr>
      </w:pPr>
      <w:r>
        <w:rPr>
          <w:rFonts w:hint="eastAsia" w:ascii="宋体" w:hAnsi="宋体" w:cs="仿宋"/>
          <w:spacing w:val="0"/>
          <w:w w:val="100"/>
          <w:position w:val="0"/>
          <w:sz w:val="24"/>
          <w:szCs w:val="24"/>
          <w:u w:val="none"/>
          <w:lang w:val="en-US" w:eastAsia="zh-CN"/>
        </w:rPr>
        <w:t>1.</w:t>
      </w:r>
      <w:r>
        <w:rPr>
          <w:rFonts w:hint="eastAsia" w:ascii="宋体" w:hAnsi="宋体" w:eastAsia="宋体" w:cs="仿宋"/>
          <w:spacing w:val="0"/>
          <w:w w:val="100"/>
          <w:position w:val="0"/>
          <w:sz w:val="24"/>
          <w:szCs w:val="24"/>
          <w:u w:val="none"/>
        </w:rPr>
        <w:t>甲方权利、义务</w:t>
      </w:r>
    </w:p>
    <w:p>
      <w:pPr>
        <w:keepNext w:val="0"/>
        <w:keepLines w:val="0"/>
        <w:pageBreakBefore w:val="0"/>
        <w:widowControl/>
        <w:numPr>
          <w:ilvl w:val="-1"/>
          <w:numId w:val="0"/>
        </w:numPr>
        <w:shd w:val="clear" w:color="auto" w:fill="auto"/>
        <w:tabs>
          <w:tab w:val="left" w:pos="312"/>
        </w:tabs>
        <w:kinsoku/>
        <w:wordWrap/>
        <w:overflowPunct/>
        <w:topLinePunct w:val="0"/>
        <w:autoSpaceDE/>
        <w:autoSpaceDN/>
        <w:bidi w:val="0"/>
        <w:adjustRightInd w:val="0"/>
        <w:snapToGrid w:val="0"/>
        <w:spacing w:before="0" w:after="0" w:line="360" w:lineRule="auto"/>
        <w:ind w:left="0" w:leftChars="0" w:right="0" w:firstLine="480" w:firstLineChars="200"/>
        <w:jc w:val="both"/>
        <w:textAlignment w:val="auto"/>
        <w:rPr>
          <w:rFonts w:hint="eastAsia" w:ascii="宋体" w:hAnsi="宋体" w:eastAsia="宋体" w:cs="仿宋"/>
          <w:sz w:val="24"/>
          <w:szCs w:val="24"/>
          <w:u w:val="none"/>
        </w:rPr>
      </w:pPr>
      <w:r>
        <w:rPr>
          <w:rFonts w:hint="eastAsia" w:ascii="宋体" w:hAnsi="宋体" w:eastAsia="宋体" w:cs="仿宋"/>
          <w:spacing w:val="0"/>
          <w:w w:val="100"/>
          <w:position w:val="0"/>
          <w:sz w:val="24"/>
          <w:szCs w:val="24"/>
          <w:u w:val="none"/>
        </w:rPr>
        <w:t>项目为合同期内实施，甲方了解掌握项目工作进度及作业实施运作情况，对乙方为进出境集装箱及货物提供熏蒸消毒服务的情况进行审核。</w:t>
      </w:r>
    </w:p>
    <w:p>
      <w:pPr>
        <w:keepNext w:val="0"/>
        <w:keepLines w:val="0"/>
        <w:pageBreakBefore w:val="0"/>
        <w:widowControl/>
        <w:shd w:val="clear" w:color="auto" w:fill="auto"/>
        <w:tabs>
          <w:tab w:val="left" w:pos="312"/>
        </w:tabs>
        <w:kinsoku/>
        <w:wordWrap/>
        <w:overflowPunct/>
        <w:topLinePunct w:val="0"/>
        <w:autoSpaceDE/>
        <w:autoSpaceDN/>
        <w:bidi w:val="0"/>
        <w:adjustRightInd w:val="0"/>
        <w:snapToGrid w:val="0"/>
        <w:spacing w:before="0" w:after="0" w:line="360" w:lineRule="auto"/>
        <w:ind w:left="0" w:right="0" w:firstLine="453" w:firstLineChars="189"/>
        <w:jc w:val="both"/>
        <w:textAlignment w:val="auto"/>
        <w:rPr>
          <w:rFonts w:hint="eastAsia" w:ascii="宋体" w:hAnsi="宋体" w:eastAsia="宋体" w:cs="仿宋"/>
          <w:sz w:val="24"/>
          <w:szCs w:val="24"/>
          <w:u w:val="none"/>
        </w:rPr>
      </w:pPr>
      <w:r>
        <w:rPr>
          <w:rFonts w:hint="eastAsia" w:ascii="宋体" w:hAnsi="宋体" w:cs="仿宋"/>
          <w:spacing w:val="0"/>
          <w:w w:val="100"/>
          <w:position w:val="0"/>
          <w:sz w:val="24"/>
          <w:szCs w:val="24"/>
          <w:u w:val="none"/>
          <w:lang w:val="en-US" w:eastAsia="zh-CN"/>
        </w:rPr>
        <w:t>2.</w:t>
      </w:r>
      <w:r>
        <w:rPr>
          <w:rFonts w:hint="eastAsia" w:ascii="宋体" w:hAnsi="宋体" w:eastAsia="宋体" w:cs="仿宋"/>
          <w:spacing w:val="0"/>
          <w:w w:val="100"/>
          <w:position w:val="0"/>
          <w:sz w:val="24"/>
          <w:szCs w:val="24"/>
          <w:u w:val="none"/>
        </w:rPr>
        <w:t>乙方权利、义务</w:t>
      </w:r>
    </w:p>
    <w:p>
      <w:pPr>
        <w:keepNext w:val="0"/>
        <w:keepLines w:val="0"/>
        <w:pageBreakBefore w:val="0"/>
        <w:widowControl/>
        <w:shd w:val="clear" w:color="auto" w:fill="auto"/>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rPr>
      </w:pPr>
      <w:r>
        <w:rPr>
          <w:rFonts w:hint="eastAsia" w:ascii="宋体" w:hAnsi="宋体" w:eastAsia="宋体" w:cs="仿宋"/>
          <w:spacing w:val="0"/>
          <w:w w:val="100"/>
          <w:position w:val="0"/>
          <w:sz w:val="24"/>
          <w:szCs w:val="24"/>
          <w:u w:val="none"/>
        </w:rPr>
        <w:t>乙方在履行合同过程中，应根据甲方要求及本合同约定如实报告熏蒸消毒进展情况，按时、按标准完成相关进出境集装箱及货物熏蒸消毒作业任务，并确保提供的服务符合《出入境检疫处理管理工作规定》的要求。</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eastAsia" w:ascii="宋体" w:hAnsi="宋体" w:eastAsia="宋体" w:cs="仿宋"/>
          <w:sz w:val="24"/>
          <w:szCs w:val="24"/>
          <w:u w:val="none"/>
        </w:rPr>
      </w:pPr>
      <w:r>
        <w:rPr>
          <w:rFonts w:hint="eastAsia" w:ascii="宋体" w:hAnsi="宋体" w:eastAsia="宋体" w:cs="仿宋"/>
          <w:sz w:val="24"/>
          <w:szCs w:val="24"/>
        </w:rPr>
        <w:t>第</w:t>
      </w:r>
      <w:r>
        <w:rPr>
          <w:rFonts w:hint="eastAsia" w:ascii="宋体" w:hAnsi="宋体" w:cs="仿宋"/>
          <w:sz w:val="24"/>
          <w:szCs w:val="24"/>
          <w:lang w:val="en-US" w:eastAsia="zh-CN"/>
        </w:rPr>
        <w:t>五</w:t>
      </w:r>
      <w:r>
        <w:rPr>
          <w:rFonts w:hint="eastAsia" w:ascii="宋体" w:hAnsi="宋体" w:eastAsia="宋体" w:cs="仿宋"/>
          <w:sz w:val="24"/>
          <w:szCs w:val="24"/>
        </w:rPr>
        <w:t>条  甲方向乙方支付服务报酬及支付方式为：</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仿宋"/>
          <w:sz w:val="24"/>
          <w:szCs w:val="24"/>
          <w:u w:val="none"/>
        </w:rPr>
      </w:pPr>
      <w:r>
        <w:rPr>
          <w:rFonts w:hint="eastAsia" w:ascii="宋体" w:hAnsi="宋体" w:eastAsia="宋体" w:cs="仿宋"/>
          <w:sz w:val="24"/>
          <w:szCs w:val="24"/>
        </w:rPr>
        <w:t xml:space="preserve">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 xml:space="preserve"> </w:t>
      </w:r>
      <w:r>
        <w:rPr>
          <w:rFonts w:hint="eastAsia" w:ascii="宋体" w:hAnsi="宋体" w:cs="仿宋"/>
          <w:sz w:val="24"/>
          <w:szCs w:val="24"/>
          <w:lang w:val="en-US" w:eastAsia="zh-CN"/>
        </w:rPr>
        <w:t xml:space="preserve"> </w:t>
      </w:r>
      <w:r>
        <w:rPr>
          <w:rFonts w:hint="eastAsia" w:ascii="宋体" w:hAnsi="宋体" w:eastAsia="宋体" w:cs="仿宋"/>
          <w:sz w:val="24"/>
          <w:szCs w:val="24"/>
        </w:rPr>
        <w:t>1．服务费为：</w:t>
      </w:r>
      <w:r>
        <w:rPr>
          <w:rFonts w:hint="eastAsia" w:ascii="宋体" w:hAnsi="宋体" w:eastAsia="宋体" w:cs="仿宋"/>
          <w:sz w:val="24"/>
          <w:szCs w:val="24"/>
          <w:u w:val="none"/>
        </w:rPr>
        <w:t xml:space="preserve"> </w:t>
      </w:r>
      <w:r>
        <w:rPr>
          <w:rFonts w:hint="eastAsia" w:ascii="黑体" w:hAnsi="黑体"/>
          <w:lang w:val="en-US" w:eastAsia="zh-CN"/>
        </w:rPr>
        <w:t>执行全年包干价，包干价为400000（大写：人民币肆拾万元整）</w:t>
      </w:r>
      <w:r>
        <w:rPr>
          <w:rFonts w:hint="eastAsia" w:ascii="宋体" w:hAnsi="宋体" w:eastAsia="宋体" w:cs="仿宋"/>
          <w:sz w:val="24"/>
          <w:szCs w:val="24"/>
          <w:u w:val="none"/>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仿宋"/>
          <w:sz w:val="24"/>
          <w:szCs w:val="24"/>
          <w:u w:val="none"/>
          <w:lang w:val="en-US" w:eastAsia="zh-CN"/>
        </w:rPr>
      </w:pPr>
      <w:r>
        <w:rPr>
          <w:rFonts w:hint="eastAsia" w:ascii="宋体" w:hAnsi="宋体" w:cs="仿宋"/>
          <w:sz w:val="24"/>
          <w:szCs w:val="24"/>
          <w:u w:val="none"/>
          <w:lang w:val="en-US" w:eastAsia="zh-CN"/>
        </w:rPr>
        <w:t xml:space="preserve">    2</w:t>
      </w:r>
      <w:r>
        <w:rPr>
          <w:rFonts w:hint="eastAsia" w:ascii="宋体" w:hAnsi="宋体" w:eastAsia="宋体" w:cs="仿宋"/>
          <w:sz w:val="24"/>
          <w:szCs w:val="24"/>
        </w:rPr>
        <w:t>．服务费由甲方</w:t>
      </w:r>
      <w:r>
        <w:rPr>
          <w:rFonts w:hint="eastAsia" w:ascii="宋体" w:hAnsi="宋体" w:cs="仿宋"/>
          <w:sz w:val="24"/>
          <w:szCs w:val="24"/>
          <w:u w:val="none"/>
          <w:lang w:val="en-US" w:eastAsia="zh-CN"/>
        </w:rPr>
        <w:t xml:space="preserve">向港区进行申请，甲方收到港区九项服务费用后，30个工作日内，支付给乙方    </w:t>
      </w:r>
      <w:r>
        <w:rPr>
          <w:rFonts w:hint="eastAsia" w:ascii="宋体" w:hAnsi="宋体" w:cs="仿宋"/>
          <w:sz w:val="24"/>
          <w:szCs w:val="24"/>
          <w:lang w:val="en-US" w:eastAsia="zh-CN"/>
        </w:rPr>
        <w:t xml:space="preserve"> </w:t>
      </w:r>
      <w:r>
        <w:rPr>
          <w:rFonts w:hint="eastAsia" w:ascii="宋体" w:hAnsi="宋体" w:eastAsia="宋体" w:cs="仿宋"/>
          <w:sz w:val="24"/>
          <w:szCs w:val="24"/>
        </w:rPr>
        <w:t>。具体支付</w:t>
      </w:r>
      <w:r>
        <w:rPr>
          <w:rFonts w:hint="eastAsia" w:ascii="宋体" w:hAnsi="宋体" w:cs="仿宋"/>
          <w:sz w:val="24"/>
          <w:szCs w:val="24"/>
          <w:lang w:val="en-US" w:eastAsia="zh-CN"/>
        </w:rPr>
        <w:t>账号</w:t>
      </w:r>
      <w:r>
        <w:rPr>
          <w:rFonts w:hint="eastAsia" w:ascii="宋体" w:hAnsi="宋体" w:eastAsia="宋体" w:cs="仿宋"/>
          <w:sz w:val="24"/>
          <w:szCs w:val="24"/>
        </w:rPr>
        <w:t>如下：</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rPr>
      </w:pPr>
      <w:r>
        <w:rPr>
          <w:rFonts w:hint="eastAsia" w:ascii="宋体" w:hAnsi="宋体" w:eastAsia="宋体" w:cs="仿宋"/>
          <w:sz w:val="24"/>
          <w:szCs w:val="24"/>
        </w:rPr>
        <w:t>乙方户名、开户银行名称、地址和帐号为：</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u w:val="none"/>
          <w:lang w:val="en-US" w:eastAsia="zh-CN"/>
        </w:rPr>
      </w:pPr>
      <w:r>
        <w:rPr>
          <w:rFonts w:hint="eastAsia" w:ascii="宋体" w:hAnsi="宋体" w:eastAsia="宋体" w:cs="仿宋"/>
          <w:sz w:val="24"/>
          <w:szCs w:val="24"/>
        </w:rPr>
        <w:t>户</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名：</w:t>
      </w:r>
      <w:r>
        <w:rPr>
          <w:rFonts w:hint="eastAsia" w:ascii="宋体" w:hAnsi="宋体" w:eastAsia="宋体" w:cs="仿宋"/>
          <w:sz w:val="24"/>
          <w:szCs w:val="24"/>
          <w:u w:val="none"/>
          <w:lang w:val="en-US" w:eastAsia="zh-CN"/>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u w:val="none"/>
          <w:lang w:val="en-US" w:eastAsia="zh-CN"/>
        </w:rPr>
      </w:pPr>
      <w:r>
        <w:rPr>
          <w:rFonts w:hint="eastAsia" w:ascii="宋体" w:hAnsi="宋体" w:eastAsia="宋体" w:cs="仿宋"/>
          <w:sz w:val="24"/>
          <w:szCs w:val="24"/>
          <w:u w:val="none"/>
        </w:rPr>
        <w:t>开户银行</w:t>
      </w:r>
      <w:r>
        <w:rPr>
          <w:rFonts w:hint="eastAsia" w:ascii="宋体" w:hAnsi="宋体" w:eastAsia="宋体" w:cs="仿宋"/>
          <w:sz w:val="24"/>
          <w:szCs w:val="24"/>
          <w:u w:val="none"/>
          <w:lang w:eastAsia="zh-CN"/>
        </w:rPr>
        <w:t>：</w:t>
      </w:r>
      <w:r>
        <w:rPr>
          <w:rFonts w:hint="eastAsia" w:ascii="宋体" w:hAnsi="宋体" w:eastAsia="宋体" w:cs="仿宋"/>
          <w:sz w:val="24"/>
          <w:szCs w:val="24"/>
          <w:u w:val="none"/>
          <w:lang w:val="en-US" w:eastAsia="zh-CN"/>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u w:val="none"/>
        </w:rPr>
        <w:t>账</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号</w:t>
      </w:r>
      <w:r>
        <w:rPr>
          <w:rFonts w:hint="eastAsia" w:ascii="宋体" w:hAnsi="宋体" w:eastAsia="宋体" w:cs="仿宋"/>
          <w:sz w:val="24"/>
          <w:szCs w:val="24"/>
          <w:u w:val="none"/>
          <w:lang w:eastAsia="zh-CN"/>
        </w:rPr>
        <w:t>：</w:t>
      </w:r>
      <w:r>
        <w:rPr>
          <w:rFonts w:hint="eastAsia" w:ascii="宋体" w:hAnsi="宋体" w:eastAsia="宋体" w:cs="仿宋"/>
          <w:sz w:val="24"/>
          <w:szCs w:val="24"/>
          <w:u w:val="none"/>
          <w:lang w:val="en-US" w:eastAsia="zh-CN"/>
        </w:rPr>
        <w:t xml:space="preserve">                                         </w:t>
      </w:r>
      <w:bookmarkStart w:id="5" w:name="bookmark13"/>
      <w:bookmarkEnd w:id="5"/>
      <w:bookmarkStart w:id="6" w:name="bookmark14"/>
      <w:bookmarkEnd w:id="6"/>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rPr>
        <w:t>第</w:t>
      </w:r>
      <w:r>
        <w:rPr>
          <w:rFonts w:hint="eastAsia" w:ascii="宋体" w:hAnsi="宋体" w:cs="仿宋"/>
          <w:sz w:val="24"/>
          <w:szCs w:val="24"/>
          <w:lang w:val="en-US" w:eastAsia="zh-CN"/>
        </w:rPr>
        <w:t>六</w:t>
      </w:r>
      <w:r>
        <w:rPr>
          <w:rFonts w:hint="eastAsia" w:ascii="宋体" w:hAnsi="宋体" w:eastAsia="宋体" w:cs="仿宋"/>
          <w:sz w:val="24"/>
          <w:szCs w:val="24"/>
        </w:rPr>
        <w:t>条  保密原则：</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仿宋"/>
          <w:sz w:val="24"/>
          <w:szCs w:val="24"/>
          <w:lang w:val="en-US" w:eastAsia="zh-CN"/>
        </w:rPr>
      </w:pPr>
      <w:r>
        <w:rPr>
          <w:rFonts w:hint="eastAsia" w:ascii="宋体" w:hAnsi="宋体" w:eastAsia="宋体" w:cs="仿宋"/>
          <w:sz w:val="24"/>
          <w:szCs w:val="24"/>
        </w:rPr>
        <w:t>甲乙双方有责任与义务相互为对方所提供的所有文件、技术资料、商业机密等保守秘密</w:t>
      </w:r>
      <w:r>
        <w:rPr>
          <w:rFonts w:hint="eastAsia" w:ascii="宋体" w:hAnsi="宋体" w:eastAsia="宋体" w:cs="仿宋"/>
          <w:sz w:val="24"/>
          <w:szCs w:val="24"/>
          <w:lang w:eastAsia="zh-CN"/>
        </w:rPr>
        <w:t>，双方保密义务不因本合同终止而终止。</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eastAsia" w:ascii="宋体" w:hAnsi="宋体" w:eastAsia="宋体" w:cs="仿宋"/>
          <w:sz w:val="24"/>
          <w:szCs w:val="24"/>
          <w:u w:val="none"/>
          <w:lang w:eastAsia="zh-CN"/>
        </w:rPr>
      </w:pPr>
      <w:r>
        <w:rPr>
          <w:rFonts w:hint="eastAsia" w:ascii="宋体" w:hAnsi="宋体" w:eastAsia="宋体" w:cs="仿宋"/>
          <w:sz w:val="24"/>
          <w:szCs w:val="24"/>
        </w:rPr>
        <w:t>第</w:t>
      </w:r>
      <w:r>
        <w:rPr>
          <w:rFonts w:hint="eastAsia" w:ascii="宋体" w:hAnsi="宋体" w:cs="仿宋"/>
          <w:sz w:val="24"/>
          <w:szCs w:val="24"/>
          <w:lang w:val="en-US" w:eastAsia="zh-CN"/>
        </w:rPr>
        <w:t>七</w:t>
      </w:r>
      <w:r>
        <w:rPr>
          <w:rFonts w:hint="eastAsia" w:ascii="宋体" w:hAnsi="宋体" w:eastAsia="宋体" w:cs="仿宋"/>
          <w:sz w:val="24"/>
          <w:szCs w:val="24"/>
        </w:rPr>
        <w:t>条 双方确定，按以下约定承担各自的违约责任：</w:t>
      </w:r>
    </w:p>
    <w:p>
      <w:pPr>
        <w:keepNext w:val="0"/>
        <w:keepLines w:val="0"/>
        <w:pageBreakBefore w:val="0"/>
        <w:widowControl/>
        <w:numPr>
          <w:ilvl w:val="-1"/>
          <w:numId w:val="0"/>
        </w:numPr>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eastAsia" w:ascii="宋体" w:hAnsi="宋体" w:eastAsia="宋体" w:cs="仿宋"/>
          <w:sz w:val="24"/>
          <w:szCs w:val="24"/>
        </w:rPr>
      </w:pPr>
      <w:r>
        <w:rPr>
          <w:rFonts w:hint="eastAsia" w:ascii="宋体" w:hAnsi="宋体" w:cs="仿宋"/>
          <w:sz w:val="24"/>
          <w:szCs w:val="24"/>
          <w:lang w:val="en-US" w:eastAsia="zh-CN"/>
        </w:rPr>
        <w:t>1.</w:t>
      </w:r>
      <w:r>
        <w:rPr>
          <w:rFonts w:hint="eastAsia" w:ascii="宋体" w:hAnsi="宋体" w:eastAsia="宋体" w:cs="仿宋"/>
          <w:sz w:val="24"/>
          <w:szCs w:val="24"/>
        </w:rPr>
        <w:t>双方确定，在本合同有效期内，甲方指定</w:t>
      </w:r>
      <w:r>
        <w:rPr>
          <w:rFonts w:hint="eastAsia" w:ascii="宋体" w:hAnsi="宋体" w:eastAsia="宋体" w:cs="仿宋"/>
          <w:sz w:val="24"/>
          <w:szCs w:val="24"/>
          <w:u w:val="none"/>
        </w:rPr>
        <w:t xml:space="preserve"> </w:t>
      </w:r>
      <w:r>
        <w:rPr>
          <w:rFonts w:hint="eastAsia" w:ascii="宋体" w:hAnsi="宋体" w:cs="仿宋"/>
          <w:sz w:val="24"/>
          <w:szCs w:val="24"/>
          <w:u w:val="none"/>
          <w:lang w:val="en-US" w:eastAsia="zh-CN"/>
        </w:rPr>
        <w:t>詹彦</w:t>
      </w:r>
      <w:r>
        <w:rPr>
          <w:rFonts w:hint="eastAsia" w:ascii="宋体" w:hAnsi="宋体" w:eastAsia="宋体" w:cs="仿宋"/>
          <w:sz w:val="24"/>
          <w:szCs w:val="24"/>
          <w:u w:val="none"/>
          <w:lang w:val="en-US" w:eastAsia="zh-CN"/>
        </w:rPr>
        <w:t>（联系方式：</w:t>
      </w:r>
      <w:r>
        <w:rPr>
          <w:rFonts w:hint="eastAsia" w:ascii="宋体" w:hAnsi="宋体" w:cs="仿宋"/>
          <w:sz w:val="24"/>
          <w:szCs w:val="24"/>
          <w:u w:val="none"/>
          <w:lang w:val="en-US" w:eastAsia="zh-CN"/>
        </w:rPr>
        <w:t>17378285070</w:t>
      </w:r>
      <w:r>
        <w:rPr>
          <w:rFonts w:hint="eastAsia" w:ascii="宋体" w:hAnsi="宋体" w:eastAsia="宋体" w:cs="仿宋"/>
          <w:sz w:val="24"/>
          <w:szCs w:val="24"/>
          <w:u w:val="none"/>
          <w:lang w:val="en-US" w:eastAsia="zh-CN"/>
        </w:rPr>
        <w:t>）</w:t>
      </w:r>
      <w:r>
        <w:rPr>
          <w:rFonts w:hint="eastAsia" w:ascii="宋体" w:hAnsi="宋体" w:eastAsia="宋体" w:cs="仿宋"/>
          <w:sz w:val="24"/>
          <w:szCs w:val="24"/>
        </w:rPr>
        <w:t>为甲方项目联系人，乙方指定</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eastAsia="zh-CN"/>
        </w:rPr>
        <w:t>（联系方式：</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eastAsia="zh-CN"/>
        </w:rPr>
        <w:t>）</w:t>
      </w:r>
      <w:r>
        <w:rPr>
          <w:rFonts w:hint="eastAsia" w:ascii="宋体" w:hAnsi="宋体" w:eastAsia="宋体" w:cs="仿宋"/>
          <w:sz w:val="24"/>
          <w:szCs w:val="24"/>
          <w:u w:val="none"/>
        </w:rPr>
        <w:t xml:space="preserve"> </w:t>
      </w:r>
      <w:r>
        <w:rPr>
          <w:rFonts w:hint="eastAsia" w:ascii="宋体" w:hAnsi="宋体" w:eastAsia="宋体" w:cs="仿宋"/>
          <w:sz w:val="24"/>
          <w:szCs w:val="24"/>
        </w:rPr>
        <w:t>为乙方项目联系人。一方变更项目联系人的，应当</w:t>
      </w:r>
      <w:r>
        <w:rPr>
          <w:rFonts w:hint="eastAsia" w:ascii="宋体" w:hAnsi="宋体" w:eastAsia="宋体" w:cs="仿宋"/>
          <w:sz w:val="24"/>
          <w:szCs w:val="24"/>
          <w:lang w:eastAsia="zh-CN"/>
        </w:rPr>
        <w:t>提前</w:t>
      </w:r>
      <w:r>
        <w:rPr>
          <w:rFonts w:hint="eastAsia" w:ascii="宋体" w:hAnsi="宋体" w:eastAsia="宋体" w:cs="仿宋"/>
          <w:sz w:val="24"/>
          <w:szCs w:val="24"/>
          <w:lang w:val="en-US" w:eastAsia="zh-CN"/>
        </w:rPr>
        <w:t>3日</w:t>
      </w:r>
      <w:r>
        <w:rPr>
          <w:rFonts w:hint="eastAsia" w:ascii="宋体" w:hAnsi="宋体" w:eastAsia="宋体" w:cs="仿宋"/>
          <w:sz w:val="24"/>
          <w:szCs w:val="24"/>
        </w:rPr>
        <w:t>通知另一方，未及时通知并影响本合同履行或造成损失的，应承担相应的责任。</w:t>
      </w:r>
    </w:p>
    <w:p>
      <w:pPr>
        <w:keepNext w:val="0"/>
        <w:keepLines w:val="0"/>
        <w:pageBreakBefore w:val="0"/>
        <w:widowControl/>
        <w:numPr>
          <w:ilvl w:val="-1"/>
          <w:numId w:val="0"/>
        </w:numPr>
        <w:shd w:val="clear" w:color="auto" w:fill="auto"/>
        <w:tabs>
          <w:tab w:val="left" w:pos="312"/>
        </w:tabs>
        <w:kinsoku/>
        <w:wordWrap/>
        <w:overflowPunct/>
        <w:topLinePunct w:val="0"/>
        <w:autoSpaceDE/>
        <w:autoSpaceDN/>
        <w:bidi w:val="0"/>
        <w:adjustRightInd w:val="0"/>
        <w:snapToGrid w:val="0"/>
        <w:spacing w:before="0" w:after="0" w:line="360" w:lineRule="auto"/>
        <w:ind w:left="0" w:right="0" w:firstLine="453" w:firstLineChars="189"/>
        <w:jc w:val="both"/>
        <w:textAlignment w:val="auto"/>
        <w:outlineLvl w:val="9"/>
        <w:rPr>
          <w:rFonts w:hint="eastAsia" w:ascii="宋体" w:hAnsi="宋体" w:eastAsia="宋体" w:cs="仿宋"/>
          <w:sz w:val="24"/>
          <w:szCs w:val="24"/>
        </w:rPr>
      </w:pPr>
      <w:r>
        <w:rPr>
          <w:rFonts w:hint="eastAsia" w:ascii="宋体" w:hAnsi="宋体" w:cs="仿宋"/>
          <w:sz w:val="24"/>
          <w:szCs w:val="24"/>
          <w:lang w:val="en-US" w:eastAsia="zh-CN"/>
        </w:rPr>
        <w:t>2.</w:t>
      </w:r>
      <w:r>
        <w:rPr>
          <w:rFonts w:hint="eastAsia" w:ascii="宋体" w:hAnsi="宋体" w:eastAsia="宋体" w:cs="仿宋"/>
          <w:color w:val="000000"/>
          <w:spacing w:val="0"/>
          <w:w w:val="100"/>
          <w:position w:val="0"/>
          <w:sz w:val="24"/>
          <w:szCs w:val="24"/>
        </w:rPr>
        <w:t>任何一方遇有不可抗力而全部或部分不能履行本合同或迟延履行本合同，导致甲乙双方或一方不能履行或不能完全履行本合同的有关义务时，甲乙双方互相不承担违约责任。但主张出现不可抗力事由的一方应自不可抗力事件发生之日起五日内，将事件情况以书面形式通知另一方，并于事件发生之日起二十日内，向另一方提交导致其全部或部分不能履行或迟延履行的有效证明。</w:t>
      </w:r>
    </w:p>
    <w:p>
      <w:pPr>
        <w:keepNext w:val="0"/>
        <w:keepLines w:val="0"/>
        <w:pageBreakBefore w:val="0"/>
        <w:widowControl/>
        <w:numPr>
          <w:ilvl w:val="-1"/>
          <w:numId w:val="0"/>
        </w:numPr>
        <w:shd w:val="clear" w:color="auto" w:fill="auto"/>
        <w:tabs>
          <w:tab w:val="left" w:pos="312"/>
        </w:tabs>
        <w:kinsoku/>
        <w:wordWrap/>
        <w:overflowPunct/>
        <w:topLinePunct w:val="0"/>
        <w:autoSpaceDE/>
        <w:autoSpaceDN/>
        <w:bidi w:val="0"/>
        <w:adjustRightInd w:val="0"/>
        <w:snapToGrid w:val="0"/>
        <w:spacing w:before="0" w:after="0" w:line="360" w:lineRule="auto"/>
        <w:ind w:left="0" w:right="0" w:firstLine="453" w:firstLineChars="189"/>
        <w:jc w:val="both"/>
        <w:textAlignment w:val="auto"/>
        <w:outlineLvl w:val="9"/>
        <w:rPr>
          <w:rFonts w:hint="eastAsia" w:ascii="宋体" w:hAnsi="宋体" w:eastAsia="宋体" w:cs="仿宋"/>
          <w:sz w:val="24"/>
          <w:szCs w:val="24"/>
        </w:rPr>
      </w:pPr>
      <w:bookmarkStart w:id="7" w:name="bookmark35"/>
      <w:bookmarkEnd w:id="7"/>
      <w:r>
        <w:rPr>
          <w:rFonts w:hint="eastAsia" w:ascii="宋体" w:hAnsi="宋体" w:eastAsia="宋体" w:cs="仿宋"/>
          <w:color w:val="000000"/>
          <w:spacing w:val="0"/>
          <w:w w:val="100"/>
          <w:position w:val="0"/>
          <w:sz w:val="24"/>
          <w:szCs w:val="24"/>
        </w:rPr>
        <w:t>本条所称</w:t>
      </w:r>
      <w:r>
        <w:rPr>
          <w:rFonts w:hint="eastAsia" w:ascii="宋体" w:hAnsi="宋体" w:eastAsia="宋体" w:cs="仿宋"/>
          <w:color w:val="000000"/>
          <w:spacing w:val="0"/>
          <w:w w:val="100"/>
          <w:position w:val="0"/>
          <w:sz w:val="24"/>
          <w:szCs w:val="24"/>
          <w:lang w:val="en-US" w:eastAsia="en-US" w:bidi="en-US"/>
        </w:rPr>
        <w:t>"</w:t>
      </w:r>
      <w:r>
        <w:rPr>
          <w:rFonts w:hint="eastAsia" w:ascii="宋体" w:hAnsi="宋体" w:eastAsia="宋体" w:cs="仿宋"/>
          <w:color w:val="000000"/>
          <w:spacing w:val="0"/>
          <w:w w:val="100"/>
          <w:position w:val="0"/>
          <w:sz w:val="24"/>
          <w:szCs w:val="24"/>
        </w:rPr>
        <w:t>不可抗力"系指不能预见、不能避免且不能克服的客观事件，包括但不限于自然 灾害如洪水、水灾、爆炸、雷电、地震和风暴等以及社会事件如战争、动乱、政府管制、国家政策 的突然变动和罢工等。</w:t>
      </w:r>
    </w:p>
    <w:p>
      <w:pPr>
        <w:keepNext w:val="0"/>
        <w:keepLines w:val="0"/>
        <w:pageBreakBefore w:val="0"/>
        <w:widowControl/>
        <w:numPr>
          <w:ilvl w:val="-1"/>
          <w:numId w:val="0"/>
        </w:numPr>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default" w:ascii="宋体" w:hAnsi="宋体" w:eastAsia="宋体" w:cs="仿宋"/>
          <w:sz w:val="24"/>
          <w:szCs w:val="24"/>
          <w:lang w:val="en-US" w:eastAsia="zh-CN"/>
        </w:rPr>
      </w:pP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rPr>
        <w:t>第</w:t>
      </w:r>
      <w:r>
        <w:rPr>
          <w:rFonts w:hint="eastAsia" w:ascii="宋体" w:hAnsi="宋体" w:cs="仿宋"/>
          <w:sz w:val="24"/>
          <w:szCs w:val="24"/>
          <w:lang w:val="en-US" w:eastAsia="zh-CN"/>
        </w:rPr>
        <w:t>八</w:t>
      </w:r>
      <w:r>
        <w:rPr>
          <w:rFonts w:hint="eastAsia" w:ascii="宋体" w:hAnsi="宋体" w:eastAsia="宋体" w:cs="仿宋"/>
          <w:sz w:val="24"/>
          <w:szCs w:val="24"/>
        </w:rPr>
        <w:t>条  双方因履行本合同而发生的争议，应协商、调</w:t>
      </w:r>
      <w:r>
        <w:rPr>
          <w:rFonts w:hint="eastAsia" w:ascii="宋体" w:hAnsi="宋体" w:eastAsia="宋体" w:cs="仿宋"/>
          <w:sz w:val="24"/>
          <w:szCs w:val="24"/>
          <w:lang w:eastAsia="zh-CN"/>
        </w:rPr>
        <w:t>解</w:t>
      </w:r>
      <w:r>
        <w:rPr>
          <w:rFonts w:hint="eastAsia" w:ascii="宋体" w:hAnsi="宋体" w:eastAsia="宋体" w:cs="仿宋"/>
          <w:sz w:val="24"/>
          <w:szCs w:val="24"/>
        </w:rPr>
        <w:t>解决。协商、调</w:t>
      </w:r>
      <w:r>
        <w:rPr>
          <w:rFonts w:hint="eastAsia" w:ascii="宋体" w:hAnsi="宋体" w:eastAsia="宋体" w:cs="仿宋"/>
          <w:sz w:val="24"/>
          <w:szCs w:val="24"/>
          <w:lang w:eastAsia="zh-CN"/>
        </w:rPr>
        <w:t>解</w:t>
      </w:r>
      <w:r>
        <w:rPr>
          <w:rFonts w:hint="eastAsia" w:ascii="宋体" w:hAnsi="宋体" w:eastAsia="宋体" w:cs="仿宋"/>
          <w:sz w:val="24"/>
          <w:szCs w:val="24"/>
        </w:rPr>
        <w:t>不成的，确定按以下第</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1</w:t>
      </w:r>
      <w:r>
        <w:rPr>
          <w:rFonts w:hint="eastAsia" w:ascii="宋体" w:hAnsi="宋体" w:eastAsia="宋体" w:cs="仿宋"/>
          <w:sz w:val="24"/>
          <w:szCs w:val="24"/>
          <w:u w:val="none"/>
        </w:rPr>
        <w:t xml:space="preserve"> </w:t>
      </w:r>
      <w:r>
        <w:rPr>
          <w:rFonts w:hint="eastAsia" w:ascii="宋体" w:hAnsi="宋体" w:eastAsia="宋体" w:cs="仿宋"/>
          <w:sz w:val="24"/>
          <w:szCs w:val="24"/>
        </w:rPr>
        <w:t>种方式处理：</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rPr>
      </w:pPr>
      <w:r>
        <w:rPr>
          <w:rFonts w:hint="eastAsia" w:ascii="宋体" w:hAnsi="宋体" w:eastAsia="宋体" w:cs="仿宋"/>
          <w:sz w:val="24"/>
          <w:szCs w:val="24"/>
        </w:rPr>
        <w:t xml:space="preserve">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1．提交</w:t>
      </w:r>
      <w:r>
        <w:rPr>
          <w:rFonts w:hint="eastAsia" w:ascii="宋体" w:hAnsi="宋体" w:eastAsia="宋体" w:cs="仿宋"/>
          <w:sz w:val="24"/>
          <w:szCs w:val="24"/>
          <w:u w:val="none"/>
          <w:lang w:eastAsia="zh-CN"/>
        </w:rPr>
        <w:t>岳阳市</w:t>
      </w:r>
      <w:r>
        <w:rPr>
          <w:rFonts w:hint="eastAsia" w:ascii="宋体" w:hAnsi="宋体" w:eastAsia="宋体" w:cs="仿宋"/>
          <w:sz w:val="24"/>
          <w:szCs w:val="24"/>
        </w:rPr>
        <w:t>仲裁委员会仲裁；</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rPr>
      </w:pPr>
      <w:r>
        <w:rPr>
          <w:rFonts w:hint="eastAsia" w:ascii="宋体" w:hAnsi="宋体" w:eastAsia="宋体" w:cs="仿宋"/>
          <w:sz w:val="24"/>
          <w:szCs w:val="24"/>
        </w:rPr>
        <w:t xml:space="preserve"> </w:t>
      </w:r>
      <w:r>
        <w:rPr>
          <w:rFonts w:hint="eastAsia" w:ascii="宋体" w:hAnsi="宋体" w:cs="仿宋"/>
          <w:sz w:val="24"/>
          <w:szCs w:val="24"/>
          <w:lang w:val="en-US" w:eastAsia="zh-CN"/>
        </w:rPr>
        <w:t xml:space="preserve">  </w:t>
      </w:r>
      <w:r>
        <w:rPr>
          <w:rFonts w:hint="eastAsia" w:ascii="宋体" w:hAnsi="宋体" w:eastAsia="宋体" w:cs="仿宋"/>
          <w:sz w:val="24"/>
          <w:szCs w:val="24"/>
        </w:rPr>
        <w:t>2．依法向人民法院起诉。</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黑体" w:hAnsi="黑体" w:eastAsia="黑体" w:cs="黑体"/>
          <w:sz w:val="28"/>
          <w:szCs w:val="28"/>
          <w:lang w:val="en-US"/>
        </w:rPr>
      </w:pPr>
      <w:r>
        <w:rPr>
          <w:rFonts w:hint="eastAsia" w:ascii="黑体" w:hAnsi="黑体" w:eastAsia="黑体" w:cs="黑体"/>
          <w:sz w:val="28"/>
          <w:szCs w:val="28"/>
          <w:lang w:eastAsia="zh-CN"/>
        </w:rPr>
        <w:t>九、安全</w:t>
      </w:r>
      <w:r>
        <w:rPr>
          <w:rFonts w:hint="eastAsia" w:ascii="黑体" w:hAnsi="黑体" w:eastAsia="黑体" w:cs="黑体"/>
          <w:sz w:val="28"/>
          <w:szCs w:val="28"/>
          <w:lang w:val="en-US" w:eastAsia="zh-CN"/>
        </w:rPr>
        <w:t>条款</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甲方的权利</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1.</w:t>
      </w:r>
      <w:r>
        <w:rPr>
          <w:rFonts w:hint="eastAsia"/>
          <w:sz w:val="28"/>
          <w:szCs w:val="28"/>
        </w:rPr>
        <w:t>有权要求乙方建立安全组织机构或指定专人负责</w:t>
      </w:r>
      <w:r>
        <w:rPr>
          <w:rFonts w:hint="eastAsia"/>
          <w:sz w:val="28"/>
          <w:szCs w:val="28"/>
          <w:lang w:eastAsia="zh-CN"/>
        </w:rPr>
        <w:t>作业</w:t>
      </w:r>
      <w:r>
        <w:rPr>
          <w:rFonts w:hint="eastAsia"/>
          <w:sz w:val="28"/>
          <w:szCs w:val="28"/>
        </w:rPr>
        <w:t>现场安全</w:t>
      </w:r>
      <w:r>
        <w:rPr>
          <w:rFonts w:hint="eastAsia"/>
          <w:sz w:val="28"/>
          <w:szCs w:val="28"/>
          <w:lang w:eastAsia="zh-CN"/>
        </w:rPr>
        <w:t>监督检查</w:t>
      </w:r>
      <w:r>
        <w:rPr>
          <w:rFonts w:hint="eastAsia"/>
          <w:sz w:val="28"/>
          <w:szCs w:val="28"/>
        </w:rPr>
        <w:t>。严格执行安全生产法律、法规、条例、标准，遵守甲方的安全生产规章制度等。</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2.</w:t>
      </w:r>
      <w:r>
        <w:rPr>
          <w:rFonts w:hint="eastAsia"/>
          <w:sz w:val="28"/>
          <w:szCs w:val="28"/>
        </w:rPr>
        <w:t>有权按规定对乙方安全业绩、资质进行审查，对乙方针对作业项目制定的职业健康安全、环境项目进行审查并备案。</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3.</w:t>
      </w:r>
      <w:r>
        <w:rPr>
          <w:rFonts w:hint="eastAsia"/>
          <w:sz w:val="28"/>
          <w:szCs w:val="28"/>
        </w:rPr>
        <w:t>有权要求乙方维护好相关甲方的安全生产设施、设备和器材。</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4.</w:t>
      </w:r>
      <w:r>
        <w:rPr>
          <w:rFonts w:hint="eastAsia"/>
          <w:sz w:val="28"/>
          <w:szCs w:val="28"/>
        </w:rPr>
        <w:t>有权要求乙方在进入甲方现场作业前所有作业人员接受甲方的安全培训与教育。</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5.</w:t>
      </w:r>
      <w:r>
        <w:rPr>
          <w:rFonts w:hint="eastAsia"/>
          <w:sz w:val="28"/>
          <w:szCs w:val="28"/>
        </w:rPr>
        <w:t>有权对乙方的作业现场的安全作业情况进行监督检查，有权对乙方不符合安全生产要求的行为进行制止、纠正、处罚、停止作业、直至清退出场。</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6.</w:t>
      </w:r>
      <w:r>
        <w:rPr>
          <w:rFonts w:hint="eastAsia"/>
          <w:sz w:val="28"/>
          <w:szCs w:val="28"/>
        </w:rPr>
        <w:t>有权要求乙方所有作业人员必须</w:t>
      </w:r>
      <w:r>
        <w:rPr>
          <w:rFonts w:hint="eastAsia"/>
          <w:sz w:val="28"/>
          <w:szCs w:val="28"/>
          <w:lang w:eastAsia="zh-CN"/>
        </w:rPr>
        <w:t>交纳</w:t>
      </w:r>
      <w:r>
        <w:rPr>
          <w:rFonts w:hint="eastAsia"/>
          <w:sz w:val="28"/>
          <w:szCs w:val="28"/>
        </w:rPr>
        <w:t>工伤保险和意外伤害保险。</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7.</w:t>
      </w:r>
      <w:r>
        <w:rPr>
          <w:rFonts w:hint="eastAsia"/>
          <w:sz w:val="28"/>
          <w:szCs w:val="28"/>
        </w:rPr>
        <w:t>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二</w:t>
      </w:r>
      <w:r>
        <w:rPr>
          <w:rFonts w:hint="eastAsia"/>
          <w:sz w:val="28"/>
          <w:szCs w:val="28"/>
          <w:lang w:eastAsia="zh-CN"/>
        </w:rPr>
        <w:t>）</w:t>
      </w:r>
      <w:r>
        <w:rPr>
          <w:rFonts w:hint="eastAsia"/>
          <w:sz w:val="28"/>
          <w:szCs w:val="28"/>
        </w:rPr>
        <w:t>甲方的责任</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1.</w:t>
      </w:r>
      <w:r>
        <w:rPr>
          <w:rFonts w:hint="eastAsia"/>
          <w:sz w:val="28"/>
          <w:szCs w:val="28"/>
        </w:rPr>
        <w:t>认真贯彻落实国家有关法律、法规、标准及甲方公司安全生产规章制度。</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2.</w:t>
      </w:r>
      <w:r>
        <w:rPr>
          <w:rFonts w:hint="eastAsia"/>
          <w:sz w:val="28"/>
          <w:szCs w:val="28"/>
        </w:rPr>
        <w:t>向乙方明确作业区</w:t>
      </w:r>
      <w:r>
        <w:rPr>
          <w:rFonts w:hint="eastAsia"/>
          <w:sz w:val="28"/>
          <w:szCs w:val="28"/>
          <w:lang w:eastAsia="zh-CN"/>
        </w:rPr>
        <w:t>（甲方港内）</w:t>
      </w:r>
      <w:r>
        <w:rPr>
          <w:rFonts w:hint="eastAsia"/>
          <w:sz w:val="28"/>
          <w:szCs w:val="28"/>
        </w:rPr>
        <w:t>的范围、危险源及安全技术交底，并要有书面记录。</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3.</w:t>
      </w:r>
      <w:r>
        <w:rPr>
          <w:rFonts w:hint="eastAsia"/>
          <w:sz w:val="28"/>
          <w:szCs w:val="28"/>
          <w:lang w:eastAsia="zh-CN"/>
        </w:rPr>
        <w:t>在甲方港内</w:t>
      </w:r>
      <w:r>
        <w:rPr>
          <w:rFonts w:hint="eastAsia"/>
          <w:sz w:val="28"/>
          <w:szCs w:val="28"/>
        </w:rPr>
        <w:t>为乙方提供项目合同中规定的安全作业条件。</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三</w:t>
      </w:r>
      <w:r>
        <w:rPr>
          <w:rFonts w:hint="eastAsia"/>
          <w:sz w:val="28"/>
          <w:szCs w:val="28"/>
          <w:lang w:eastAsia="zh-CN"/>
        </w:rPr>
        <w:t>）</w:t>
      </w:r>
      <w:r>
        <w:rPr>
          <w:rFonts w:hint="eastAsia"/>
          <w:sz w:val="28"/>
          <w:szCs w:val="28"/>
        </w:rPr>
        <w:t>乙方的权利</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1.</w:t>
      </w:r>
      <w:r>
        <w:rPr>
          <w:rFonts w:hint="eastAsia"/>
          <w:sz w:val="28"/>
          <w:szCs w:val="28"/>
        </w:rPr>
        <w:t>有权对甲方的安全工作提出合理化建议和改进意见。</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2.</w:t>
      </w:r>
      <w:r>
        <w:rPr>
          <w:rFonts w:hint="eastAsia"/>
          <w:sz w:val="28"/>
          <w:szCs w:val="28"/>
        </w:rPr>
        <w:t>日常作业中，若甲方违章指挥、强令乙方冒险作业，有权拒绝执行。</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3.</w:t>
      </w:r>
      <w:r>
        <w:rPr>
          <w:rFonts w:hint="eastAsia"/>
          <w:sz w:val="28"/>
          <w:szCs w:val="28"/>
        </w:rPr>
        <w:t>有权要求</w:t>
      </w:r>
      <w:r>
        <w:rPr>
          <w:rFonts w:hint="eastAsia"/>
          <w:sz w:val="28"/>
          <w:szCs w:val="28"/>
          <w:lang w:eastAsia="zh-CN"/>
        </w:rPr>
        <w:t>在</w:t>
      </w:r>
      <w:r>
        <w:rPr>
          <w:rFonts w:hint="eastAsia"/>
          <w:sz w:val="28"/>
          <w:szCs w:val="28"/>
        </w:rPr>
        <w:t>甲方</w:t>
      </w:r>
      <w:r>
        <w:rPr>
          <w:rFonts w:hint="eastAsia"/>
          <w:sz w:val="28"/>
          <w:szCs w:val="28"/>
          <w:lang w:eastAsia="zh-CN"/>
        </w:rPr>
        <w:t>港内</w:t>
      </w:r>
      <w:r>
        <w:rPr>
          <w:rFonts w:hint="eastAsia"/>
          <w:sz w:val="28"/>
          <w:szCs w:val="28"/>
        </w:rPr>
        <w:t>提供符合安全作业的工艺条件和环境。</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4.</w:t>
      </w:r>
      <w:r>
        <w:rPr>
          <w:rFonts w:hint="eastAsia"/>
          <w:sz w:val="28"/>
          <w:szCs w:val="28"/>
        </w:rPr>
        <w:t>发生严重危及乙方生命安全的紧急情况时，乙方有权采取必要的避险措施。</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四</w:t>
      </w:r>
      <w:r>
        <w:rPr>
          <w:rFonts w:hint="eastAsia"/>
          <w:sz w:val="28"/>
          <w:szCs w:val="28"/>
          <w:lang w:eastAsia="zh-CN"/>
        </w:rPr>
        <w:t>）</w:t>
      </w:r>
      <w:r>
        <w:rPr>
          <w:rFonts w:hint="eastAsia"/>
          <w:sz w:val="28"/>
          <w:szCs w:val="28"/>
        </w:rPr>
        <w:t>乙方的责任</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1.</w:t>
      </w:r>
      <w:r>
        <w:rPr>
          <w:rFonts w:hint="eastAsia"/>
          <w:sz w:val="28"/>
          <w:szCs w:val="28"/>
        </w:rPr>
        <w:t>乙方是本项目的安全生产责任主体，对本项目的安全生产工作全面负责。</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2.</w:t>
      </w:r>
      <w:r>
        <w:rPr>
          <w:rFonts w:hint="eastAsia"/>
          <w:sz w:val="28"/>
          <w:szCs w:val="28"/>
        </w:rPr>
        <w:t>健全安全组织机构，建立安全生产责任制，制定健全的安全生产规章制度，制定生产安全事故应急求援预案，配备必要的安全生产管理人员和劳动保护用品，严格执行甲方相关的规章制度。</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3.</w:t>
      </w:r>
      <w:r>
        <w:rPr>
          <w:rFonts w:hint="eastAsia"/>
          <w:sz w:val="28"/>
          <w:szCs w:val="28"/>
        </w:rPr>
        <w:t>应对作业人员进行作业前安全教育培训，使其具备相应的安全意识和安全技能；特种作业人员应具有相应的资格证书。</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4.</w:t>
      </w:r>
      <w:r>
        <w:rPr>
          <w:rFonts w:hint="eastAsia"/>
          <w:sz w:val="28"/>
          <w:szCs w:val="28"/>
        </w:rPr>
        <w:t>不得使用不符合国家、行业标准和甲方规定的原材料、设备、装置、防护用品、器材、安全检测仪器等。所使用的特种设备，必须经具有专业资质的检验检测机构检测。经检测不合格的，不得继续使用。</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5.</w:t>
      </w:r>
      <w:r>
        <w:rPr>
          <w:rFonts w:hint="eastAsia"/>
          <w:sz w:val="28"/>
          <w:szCs w:val="28"/>
        </w:rPr>
        <w:t>指定专人负责现场安全监督检查工作，认真开展安全检查，发现作业过程中</w:t>
      </w:r>
      <w:r>
        <w:rPr>
          <w:rFonts w:hint="eastAsia"/>
          <w:sz w:val="28"/>
          <w:szCs w:val="28"/>
          <w:lang w:eastAsia="zh-CN"/>
        </w:rPr>
        <w:t>人的</w:t>
      </w:r>
      <w:r>
        <w:rPr>
          <w:rFonts w:hint="eastAsia"/>
          <w:sz w:val="28"/>
          <w:szCs w:val="28"/>
        </w:rPr>
        <w:t>不安全行为</w:t>
      </w:r>
      <w:r>
        <w:rPr>
          <w:rFonts w:hint="eastAsia"/>
          <w:sz w:val="28"/>
          <w:szCs w:val="28"/>
          <w:lang w:eastAsia="zh-CN"/>
        </w:rPr>
        <w:t>及事故安全</w:t>
      </w:r>
      <w:r>
        <w:rPr>
          <w:rFonts w:hint="eastAsia"/>
          <w:sz w:val="28"/>
          <w:szCs w:val="28"/>
        </w:rPr>
        <w:t>隐患</w:t>
      </w:r>
      <w:r>
        <w:rPr>
          <w:rFonts w:hint="eastAsia"/>
          <w:sz w:val="28"/>
          <w:szCs w:val="28"/>
          <w:lang w:eastAsia="zh-CN"/>
        </w:rPr>
        <w:t>，</w:t>
      </w:r>
      <w:r>
        <w:rPr>
          <w:rFonts w:hint="eastAsia"/>
          <w:sz w:val="28"/>
          <w:szCs w:val="28"/>
        </w:rPr>
        <w:t>应采取有效措施积极处理。</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6.</w:t>
      </w:r>
      <w:r>
        <w:rPr>
          <w:rFonts w:hint="eastAsia"/>
          <w:sz w:val="28"/>
          <w:szCs w:val="28"/>
        </w:rPr>
        <w:t>乙方有责任对作业区域的安全生产条件进行详细了解。</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7.</w:t>
      </w:r>
      <w:r>
        <w:rPr>
          <w:rFonts w:hint="eastAsia"/>
          <w:sz w:val="28"/>
          <w:szCs w:val="28"/>
        </w:rPr>
        <w:t>乙方在作业过程中有属于危及安全生产的关键作业时，应提出切实可行的方案，经甲方同意后，方可实施。</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8.</w:t>
      </w:r>
      <w:r>
        <w:rPr>
          <w:rFonts w:hint="eastAsia"/>
          <w:sz w:val="28"/>
          <w:szCs w:val="28"/>
        </w:rPr>
        <w:t>乙方不能将项目转包给第三方。</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9.</w:t>
      </w:r>
      <w:r>
        <w:rPr>
          <w:rFonts w:hint="eastAsia"/>
          <w:sz w:val="28"/>
          <w:szCs w:val="28"/>
        </w:rPr>
        <w:t>乙方在</w:t>
      </w:r>
      <w:r>
        <w:rPr>
          <w:rFonts w:hint="eastAsia"/>
          <w:sz w:val="28"/>
          <w:szCs w:val="28"/>
          <w:lang w:eastAsia="zh-CN"/>
        </w:rPr>
        <w:t>甲方港内作业</w:t>
      </w:r>
      <w:r>
        <w:rPr>
          <w:rFonts w:hint="eastAsia"/>
          <w:sz w:val="28"/>
          <w:szCs w:val="28"/>
        </w:rPr>
        <w:t>期间只能在甲方规定的路线进出公司，只能在规定的区域内作业，禁止私自进入甲方其它生产区域。</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10.</w:t>
      </w:r>
      <w:r>
        <w:rPr>
          <w:rFonts w:hint="eastAsia"/>
          <w:sz w:val="28"/>
          <w:szCs w:val="28"/>
        </w:rPr>
        <w:t>乙方应服从甲方单位的安全管理。</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11.</w:t>
      </w:r>
      <w:r>
        <w:rPr>
          <w:rFonts w:hint="eastAsia"/>
          <w:sz w:val="28"/>
          <w:szCs w:val="28"/>
        </w:rPr>
        <w:t>发生事故时，</w:t>
      </w:r>
      <w:r>
        <w:rPr>
          <w:rFonts w:hint="eastAsia"/>
          <w:sz w:val="28"/>
          <w:szCs w:val="28"/>
          <w:lang w:eastAsia="zh-CN"/>
        </w:rPr>
        <w:t>乙方</w:t>
      </w:r>
      <w:r>
        <w:rPr>
          <w:rFonts w:hint="eastAsia"/>
          <w:sz w:val="28"/>
          <w:szCs w:val="28"/>
        </w:rPr>
        <w:t>应积极抢险，避免事故的进一步扩大，并按照国家相关要求报告事故。</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12.</w:t>
      </w:r>
      <w:r>
        <w:rPr>
          <w:rFonts w:hint="eastAsia"/>
          <w:sz w:val="28"/>
          <w:szCs w:val="28"/>
        </w:rPr>
        <w:t>当乙方在</w:t>
      </w:r>
      <w:r>
        <w:rPr>
          <w:rFonts w:hint="eastAsia"/>
          <w:sz w:val="28"/>
          <w:szCs w:val="28"/>
          <w:lang w:eastAsia="zh-CN"/>
        </w:rPr>
        <w:t>甲方港内作业</w:t>
      </w:r>
      <w:r>
        <w:rPr>
          <w:rFonts w:hint="eastAsia"/>
          <w:sz w:val="28"/>
          <w:szCs w:val="28"/>
        </w:rPr>
        <w:t>过程中发生</w:t>
      </w:r>
      <w:r>
        <w:rPr>
          <w:rFonts w:hint="eastAsia"/>
          <w:sz w:val="28"/>
          <w:szCs w:val="28"/>
          <w:lang w:eastAsia="zh-CN"/>
        </w:rPr>
        <w:t>安全责任</w:t>
      </w:r>
      <w:r>
        <w:rPr>
          <w:rFonts w:hint="eastAsia"/>
          <w:sz w:val="28"/>
          <w:szCs w:val="28"/>
        </w:rPr>
        <w:t>事故时，乙方作为项目的承包单位，对发生的人身伤害、设备损坏</w:t>
      </w:r>
      <w:r>
        <w:rPr>
          <w:rFonts w:hint="eastAsia"/>
          <w:sz w:val="28"/>
          <w:szCs w:val="28"/>
          <w:lang w:eastAsia="zh-CN"/>
        </w:rPr>
        <w:t>等</w:t>
      </w:r>
      <w:r>
        <w:rPr>
          <w:rFonts w:hint="eastAsia"/>
          <w:sz w:val="28"/>
          <w:szCs w:val="28"/>
        </w:rPr>
        <w:t>事故承担相应安全责任。由乙方向自己的主管上级部门及当地政府的安全生产监督管理部门、公安部门报告，并自行承担相应的责任。</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五</w:t>
      </w:r>
      <w:r>
        <w:rPr>
          <w:rFonts w:hint="eastAsia"/>
          <w:sz w:val="28"/>
          <w:szCs w:val="28"/>
          <w:lang w:eastAsia="zh-CN"/>
        </w:rPr>
        <w:t>）</w:t>
      </w:r>
      <w:r>
        <w:rPr>
          <w:rFonts w:hint="eastAsia"/>
          <w:sz w:val="28"/>
          <w:szCs w:val="28"/>
        </w:rPr>
        <w:t>违约责任及处理</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1.</w:t>
      </w:r>
      <w:r>
        <w:rPr>
          <w:rFonts w:hint="eastAsia"/>
          <w:sz w:val="28"/>
          <w:szCs w:val="28"/>
        </w:rPr>
        <w:t>甲乙双方违反本合同要求，未造成事故时，依据相关合同对违约者进行处理（包括但不限于支付违约金、赔偿损失等）。</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2.</w:t>
      </w:r>
      <w:r>
        <w:rPr>
          <w:rFonts w:hint="eastAsia"/>
          <w:sz w:val="28"/>
          <w:szCs w:val="28"/>
          <w:lang w:eastAsia="zh-CN"/>
        </w:rPr>
        <w:t>在甲方港内</w:t>
      </w:r>
      <w:r>
        <w:rPr>
          <w:rFonts w:hint="eastAsia"/>
          <w:sz w:val="28"/>
          <w:szCs w:val="28"/>
        </w:rPr>
        <w:t>发生事故时，甲、乙双方有抢险、救灾的责任，所发生的费用由责任方承担。</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3.</w:t>
      </w:r>
      <w:r>
        <w:rPr>
          <w:rFonts w:hint="eastAsia"/>
          <w:sz w:val="28"/>
          <w:szCs w:val="28"/>
        </w:rPr>
        <w:t xml:space="preserve">发生的事故，应经事故调查确认责任；事故报告和调查应按照国家和甲方有关规定进行。           </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4.</w:t>
      </w:r>
      <w:r>
        <w:rPr>
          <w:rFonts w:hint="eastAsia"/>
          <w:sz w:val="28"/>
          <w:szCs w:val="28"/>
        </w:rPr>
        <w:t>甲方违约造成的事故，甲方承担全部责任，并按规定追究有关人员责任及上报。</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5.</w:t>
      </w:r>
      <w:r>
        <w:rPr>
          <w:rFonts w:hint="eastAsia"/>
          <w:sz w:val="28"/>
          <w:szCs w:val="28"/>
        </w:rPr>
        <w:t>乙方违约造成的事故，乙方承担全部责任，并按规定追究有关人员责任并报告甲方。</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6.</w:t>
      </w:r>
      <w:r>
        <w:rPr>
          <w:rFonts w:hint="eastAsia"/>
          <w:sz w:val="28"/>
          <w:szCs w:val="28"/>
        </w:rPr>
        <w:t>甲、乙双方共同造成的事故，按双方责任大小承担相应责任，并按规定追究有关人员责任。</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7.</w:t>
      </w:r>
      <w:r>
        <w:rPr>
          <w:rFonts w:hint="eastAsia"/>
          <w:sz w:val="28"/>
          <w:szCs w:val="28"/>
        </w:rPr>
        <w:t>对乙方发生事故后弄虚作假、隐瞒不报、迟报或谎报，一经查出，按有关规定从重处罚，情节严重的，甲方有权向当地政府安全生产监督管理部门报告，并取消其进入甲方市场资格。</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val="en-US" w:eastAsia="zh-CN"/>
        </w:rPr>
        <w:t>8.</w:t>
      </w:r>
      <w:r>
        <w:rPr>
          <w:rFonts w:hint="eastAsia"/>
          <w:sz w:val="28"/>
          <w:szCs w:val="28"/>
          <w:lang w:eastAsia="zh-CN"/>
        </w:rPr>
        <w:t>作业</w:t>
      </w:r>
      <w:r>
        <w:rPr>
          <w:rFonts w:hint="eastAsia"/>
          <w:sz w:val="28"/>
          <w:szCs w:val="28"/>
        </w:rPr>
        <w:t>期间，需要办理的有关安全的批文或其它手续，乙方必须办理齐全，否则发生安全事故由乙方承担全部责任。</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六</w:t>
      </w:r>
      <w:r>
        <w:rPr>
          <w:rFonts w:hint="eastAsia"/>
          <w:sz w:val="28"/>
          <w:szCs w:val="28"/>
          <w:lang w:eastAsia="zh-CN"/>
        </w:rPr>
        <w:t>）</w:t>
      </w:r>
      <w:r>
        <w:rPr>
          <w:rFonts w:hint="eastAsia"/>
          <w:sz w:val="28"/>
          <w:szCs w:val="28"/>
        </w:rPr>
        <w:t>由于不可抗力造成合同项目作业事故及生产的损失，当事人双方各自承担相应的损失。</w:t>
      </w:r>
    </w:p>
    <w:p>
      <w:pPr>
        <w:pStyle w:val="189"/>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七</w:t>
      </w:r>
      <w:r>
        <w:rPr>
          <w:rFonts w:hint="eastAsia"/>
          <w:sz w:val="28"/>
          <w:szCs w:val="28"/>
          <w:lang w:eastAsia="zh-CN"/>
        </w:rPr>
        <w:t>）</w:t>
      </w:r>
      <w:r>
        <w:rPr>
          <w:rFonts w:hint="eastAsia"/>
          <w:sz w:val="28"/>
          <w:szCs w:val="28"/>
        </w:rPr>
        <w:t>甲乙双方的作业人员和机具设备的保险，由甲乙双方依据国家相关规定或约定各自承担。</w:t>
      </w:r>
    </w:p>
    <w:p>
      <w:pPr>
        <w:pStyle w:val="189"/>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十、廉洁</w:t>
      </w:r>
      <w:r>
        <w:rPr>
          <w:rFonts w:hint="eastAsia" w:ascii="黑体" w:hAnsi="黑体" w:eastAsia="黑体" w:cs="黑体"/>
          <w:sz w:val="28"/>
          <w:szCs w:val="28"/>
          <w:lang w:val="en-US" w:eastAsia="zh-CN"/>
        </w:rPr>
        <w:t>条款</w:t>
      </w:r>
      <w:r>
        <w:rPr>
          <w:rFonts w:hint="eastAsia" w:ascii="黑体" w:hAnsi="黑体" w:eastAsia="黑体" w:cs="黑体"/>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cs="仿宋"/>
          <w:sz w:val="28"/>
          <w:szCs w:val="28"/>
          <w:lang w:eastAsia="zh-CN"/>
        </w:rPr>
        <w:t>（</w:t>
      </w:r>
      <w:r>
        <w:rPr>
          <w:rFonts w:hint="eastAsia" w:ascii="仿宋" w:hAnsi="仿宋" w:cs="仿宋"/>
          <w:sz w:val="28"/>
          <w:szCs w:val="28"/>
          <w:lang w:val="en-US" w:eastAsia="zh-CN"/>
        </w:rPr>
        <w:t>一</w:t>
      </w:r>
      <w:r>
        <w:rPr>
          <w:rFonts w:hint="eastAsia" w:ascii="仿宋" w:hAnsi="仿宋" w:cs="仿宋"/>
          <w:sz w:val="28"/>
          <w:szCs w:val="28"/>
          <w:lang w:eastAsia="zh-CN"/>
        </w:rPr>
        <w:t>）</w:t>
      </w:r>
      <w:r>
        <w:rPr>
          <w:rFonts w:hint="eastAsia" w:ascii="仿宋" w:hAnsi="仿宋" w:eastAsia="仿宋" w:cs="仿宋"/>
          <w:sz w:val="28"/>
          <w:szCs w:val="28"/>
        </w:rPr>
        <w:t>甲方廉洁义务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甲方有权了解乙方有关廉洁从业方面的各项制度和规定，并自觉配合乙方遵守执行。甲方人员不得以任何形式向乙方索取贿赂，收受回扣及好处费等。不得接受乙方钱、物，有价证券。不得让乙方报销任何费用。不得参与乙方组织对执行业务有关的私人会馆等娱乐场所活动和宴请。不得接受乙方介绍给予家庭成员或亲友从事与业务有关联的商务业务、材料、设备供应或项目分包等经济活动。不得借婚丧嫁娶之机收受乙方钱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cs="仿宋"/>
          <w:sz w:val="28"/>
          <w:szCs w:val="28"/>
          <w:lang w:eastAsia="zh-CN"/>
        </w:rPr>
        <w:t>（</w:t>
      </w:r>
      <w:r>
        <w:rPr>
          <w:rFonts w:hint="eastAsia" w:ascii="仿宋" w:hAnsi="仿宋" w:cs="仿宋"/>
          <w:sz w:val="28"/>
          <w:szCs w:val="28"/>
          <w:lang w:val="en-US" w:eastAsia="zh-CN"/>
        </w:rPr>
        <w:t>二</w:t>
      </w:r>
      <w:r>
        <w:rPr>
          <w:rFonts w:hint="eastAsia" w:ascii="仿宋" w:hAnsi="仿宋" w:cs="仿宋"/>
          <w:sz w:val="28"/>
          <w:szCs w:val="28"/>
          <w:lang w:eastAsia="zh-CN"/>
        </w:rPr>
        <w:t>）</w:t>
      </w:r>
      <w:r>
        <w:rPr>
          <w:rFonts w:hint="eastAsia" w:ascii="仿宋" w:hAnsi="仿宋" w:eastAsia="仿宋" w:cs="仿宋"/>
          <w:sz w:val="28"/>
          <w:szCs w:val="28"/>
        </w:rPr>
        <w:t>乙方廉洁义务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cs="仿宋"/>
          <w:sz w:val="28"/>
          <w:szCs w:val="28"/>
          <w:lang w:val="en-US" w:eastAsia="zh-CN"/>
        </w:rPr>
        <w:t>1.</w:t>
      </w:r>
      <w:r>
        <w:rPr>
          <w:rFonts w:hint="eastAsia" w:ascii="仿宋" w:hAnsi="仿宋" w:eastAsia="仿宋" w:cs="仿宋"/>
          <w:sz w:val="28"/>
          <w:szCs w:val="28"/>
        </w:rPr>
        <w:t>乙方承诺遵守甲方在廉洁从业方面的各项制度和规定，包括但不限于新港公司相关管理制度，并自觉配合甲方执行。不得为甲方人员购置或长期无偿提供交通、通信、办公和家庭生活用品</w:t>
      </w:r>
      <w:r>
        <w:rPr>
          <w:rFonts w:hint="eastAsia" w:ascii="仿宋" w:hAnsi="仿宋" w:cs="仿宋"/>
          <w:sz w:val="28"/>
          <w:szCs w:val="28"/>
          <w:lang w:eastAsia="zh-CN"/>
        </w:rPr>
        <w:t>。</w:t>
      </w:r>
      <w:r>
        <w:rPr>
          <w:rFonts w:hint="eastAsia" w:ascii="仿宋" w:hAnsi="仿宋" w:eastAsia="仿宋" w:cs="仿宋"/>
          <w:sz w:val="28"/>
          <w:szCs w:val="28"/>
        </w:rPr>
        <w:t>不得接收甲方人员介绍的家属或亲友从事与业务合作有关的商务业务、材料、设备供应或项目分包经济活动等。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cs="仿宋"/>
          <w:sz w:val="28"/>
          <w:szCs w:val="28"/>
          <w:lang w:val="en-US" w:eastAsia="zh-CN"/>
        </w:rPr>
        <w:t>2.</w:t>
      </w:r>
      <w:r>
        <w:rPr>
          <w:rFonts w:hint="eastAsia" w:ascii="仿宋" w:hAnsi="仿宋" w:eastAsia="仿宋" w:cs="仿宋"/>
          <w:sz w:val="28"/>
          <w:szCs w:val="28"/>
        </w:rPr>
        <w:t>乙方在与甲方商务合作中，严禁以下行为：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cs="仿宋"/>
          <w:sz w:val="28"/>
          <w:szCs w:val="28"/>
          <w:lang w:eastAsia="zh-CN"/>
        </w:rPr>
        <w:t>（</w:t>
      </w:r>
      <w:r>
        <w:rPr>
          <w:rFonts w:hint="eastAsia" w:ascii="仿宋" w:hAnsi="仿宋" w:cs="仿宋"/>
          <w:sz w:val="28"/>
          <w:szCs w:val="28"/>
          <w:lang w:val="en-US" w:eastAsia="zh-CN"/>
        </w:rPr>
        <w:t>1</w:t>
      </w:r>
      <w:r>
        <w:rPr>
          <w:rFonts w:hint="eastAsia" w:ascii="仿宋" w:hAnsi="仿宋" w:cs="仿宋"/>
          <w:sz w:val="28"/>
          <w:szCs w:val="28"/>
          <w:lang w:eastAsia="zh-CN"/>
        </w:rPr>
        <w:t>）</w:t>
      </w:r>
      <w:r>
        <w:rPr>
          <w:rFonts w:hint="eastAsia" w:ascii="仿宋" w:hAnsi="仿宋" w:eastAsia="仿宋" w:cs="仿宋"/>
          <w:sz w:val="28"/>
          <w:szCs w:val="28"/>
        </w:rPr>
        <w:t>向甲方人员及其特定关系人员送礼品、礼金，赠有价证券或干股，给予“好处”或安排工作等。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cs="仿宋"/>
          <w:sz w:val="28"/>
          <w:szCs w:val="28"/>
          <w:lang w:eastAsia="zh-CN"/>
        </w:rPr>
        <w:t>（</w:t>
      </w:r>
      <w:r>
        <w:rPr>
          <w:rFonts w:hint="eastAsia" w:ascii="仿宋" w:hAnsi="仿宋" w:cs="仿宋"/>
          <w:sz w:val="28"/>
          <w:szCs w:val="28"/>
          <w:lang w:val="en-US" w:eastAsia="zh-CN"/>
        </w:rPr>
        <w:t>2</w:t>
      </w:r>
      <w:r>
        <w:rPr>
          <w:rFonts w:hint="eastAsia" w:ascii="仿宋" w:hAnsi="仿宋" w:cs="仿宋"/>
          <w:sz w:val="28"/>
          <w:szCs w:val="28"/>
          <w:lang w:eastAsia="zh-CN"/>
        </w:rPr>
        <w:t>）</w:t>
      </w:r>
      <w:r>
        <w:rPr>
          <w:rFonts w:hint="eastAsia" w:ascii="仿宋" w:hAnsi="仿宋" w:eastAsia="仿宋" w:cs="仿宋"/>
          <w:sz w:val="28"/>
          <w:szCs w:val="28"/>
        </w:rPr>
        <w:t>支付应由甲方相关人员承担的费用或支付甲方相关人员父母、配偶、子女及其他亲属、特定关系人费用。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cs="仿宋"/>
          <w:sz w:val="28"/>
          <w:szCs w:val="28"/>
          <w:lang w:eastAsia="zh-CN"/>
        </w:rPr>
        <w:t>（</w:t>
      </w:r>
      <w:r>
        <w:rPr>
          <w:rFonts w:hint="eastAsia" w:ascii="仿宋" w:hAnsi="仿宋" w:cs="仿宋"/>
          <w:sz w:val="28"/>
          <w:szCs w:val="28"/>
          <w:lang w:val="en-US" w:eastAsia="zh-CN"/>
        </w:rPr>
        <w:t>3</w:t>
      </w:r>
      <w:r>
        <w:rPr>
          <w:rFonts w:hint="eastAsia" w:ascii="仿宋" w:hAnsi="仿宋" w:cs="仿宋"/>
          <w:sz w:val="28"/>
          <w:szCs w:val="28"/>
          <w:lang w:eastAsia="zh-CN"/>
        </w:rPr>
        <w:t>）</w:t>
      </w:r>
      <w:r>
        <w:rPr>
          <w:rFonts w:hint="eastAsia" w:ascii="仿宋" w:hAnsi="仿宋" w:eastAsia="仿宋" w:cs="仿宋"/>
          <w:sz w:val="28"/>
          <w:szCs w:val="28"/>
        </w:rPr>
        <w:t>超标准接待、宴请甲方或其父母、配偶、子女及其他亲属、特定关系人，安排观光旅游、度假，到私人会馆等娱乐场所消费。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cs="仿宋"/>
          <w:sz w:val="28"/>
          <w:szCs w:val="28"/>
          <w:lang w:eastAsia="zh-CN"/>
        </w:rPr>
        <w:t>（</w:t>
      </w:r>
      <w:r>
        <w:rPr>
          <w:rFonts w:hint="eastAsia" w:ascii="仿宋" w:hAnsi="仿宋" w:cs="仿宋"/>
          <w:sz w:val="28"/>
          <w:szCs w:val="28"/>
          <w:lang w:val="en-US" w:eastAsia="zh-CN"/>
        </w:rPr>
        <w:t>4</w:t>
      </w:r>
      <w:r>
        <w:rPr>
          <w:rFonts w:hint="eastAsia" w:ascii="仿宋" w:hAnsi="仿宋" w:cs="仿宋"/>
          <w:sz w:val="28"/>
          <w:szCs w:val="28"/>
          <w:lang w:eastAsia="zh-CN"/>
        </w:rPr>
        <w:t>）</w:t>
      </w:r>
      <w:r>
        <w:rPr>
          <w:rFonts w:hint="eastAsia" w:ascii="仿宋" w:hAnsi="仿宋" w:eastAsia="仿宋" w:cs="仿宋"/>
          <w:sz w:val="28"/>
          <w:szCs w:val="28"/>
        </w:rPr>
        <w:t>以虚假资质、资信及证明材料骗取甲方商务合作。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cs="仿宋"/>
          <w:sz w:val="28"/>
          <w:szCs w:val="28"/>
          <w:lang w:eastAsia="zh-CN"/>
        </w:rPr>
        <w:t>（</w:t>
      </w:r>
      <w:r>
        <w:rPr>
          <w:rFonts w:hint="eastAsia" w:ascii="仿宋" w:hAnsi="仿宋" w:cs="仿宋"/>
          <w:sz w:val="28"/>
          <w:szCs w:val="28"/>
          <w:lang w:val="en-US" w:eastAsia="zh-CN"/>
        </w:rPr>
        <w:t>5</w:t>
      </w:r>
      <w:r>
        <w:rPr>
          <w:rFonts w:hint="eastAsia" w:ascii="仿宋" w:hAnsi="仿宋" w:cs="仿宋"/>
          <w:sz w:val="28"/>
          <w:szCs w:val="28"/>
          <w:lang w:eastAsia="zh-CN"/>
        </w:rPr>
        <w:t>）</w:t>
      </w:r>
      <w:r>
        <w:rPr>
          <w:rFonts w:hint="eastAsia" w:ascii="仿宋" w:hAnsi="仿宋" w:eastAsia="仿宋" w:cs="仿宋"/>
          <w:sz w:val="28"/>
          <w:szCs w:val="28"/>
        </w:rPr>
        <w:t>以利诱、敲诈、威胁或诬告等手段，引诱或逼迫甲方人员违法违纪，提供资源或实施合作。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cs="仿宋"/>
          <w:sz w:val="28"/>
          <w:szCs w:val="28"/>
          <w:lang w:eastAsia="zh-CN"/>
        </w:rPr>
        <w:t>（</w:t>
      </w:r>
      <w:r>
        <w:rPr>
          <w:rFonts w:hint="eastAsia" w:ascii="仿宋" w:hAnsi="仿宋" w:cs="仿宋"/>
          <w:sz w:val="28"/>
          <w:szCs w:val="28"/>
          <w:lang w:val="en-US" w:eastAsia="zh-CN"/>
        </w:rPr>
        <w:t>6</w:t>
      </w:r>
      <w:r>
        <w:rPr>
          <w:rFonts w:hint="eastAsia" w:ascii="仿宋" w:hAnsi="仿宋" w:cs="仿宋"/>
          <w:sz w:val="28"/>
          <w:szCs w:val="28"/>
          <w:lang w:eastAsia="zh-CN"/>
        </w:rPr>
        <w:t>）</w:t>
      </w:r>
      <w:r>
        <w:rPr>
          <w:rFonts w:hint="eastAsia" w:ascii="仿宋" w:hAnsi="仿宋" w:eastAsia="仿宋" w:cs="仿宋"/>
          <w:sz w:val="28"/>
          <w:szCs w:val="28"/>
        </w:rPr>
        <w:t>涉及或关联案件，但以伪证信息或材料，拖延、阻碍案件调查工作。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cs="仿宋"/>
          <w:sz w:val="28"/>
          <w:szCs w:val="28"/>
          <w:lang w:eastAsia="zh-CN"/>
        </w:rPr>
        <w:t>（</w:t>
      </w:r>
      <w:r>
        <w:rPr>
          <w:rFonts w:hint="eastAsia" w:ascii="仿宋" w:hAnsi="仿宋" w:cs="仿宋"/>
          <w:sz w:val="28"/>
          <w:szCs w:val="28"/>
          <w:lang w:val="en-US" w:eastAsia="zh-CN"/>
        </w:rPr>
        <w:t>7</w:t>
      </w:r>
      <w:r>
        <w:rPr>
          <w:rFonts w:hint="eastAsia" w:ascii="仿宋" w:hAnsi="仿宋" w:cs="仿宋"/>
          <w:sz w:val="28"/>
          <w:szCs w:val="28"/>
          <w:lang w:eastAsia="zh-CN"/>
        </w:rPr>
        <w:t>）</w:t>
      </w:r>
      <w:r>
        <w:rPr>
          <w:rFonts w:hint="eastAsia" w:ascii="仿宋" w:hAnsi="仿宋" w:eastAsia="仿宋" w:cs="仿宋"/>
          <w:sz w:val="28"/>
          <w:szCs w:val="28"/>
        </w:rPr>
        <w:t>违反国家法律法规或其他不廉洁诚信行为。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cs="仿宋"/>
          <w:sz w:val="28"/>
          <w:szCs w:val="28"/>
          <w:lang w:val="en-US" w:eastAsia="zh-CN"/>
        </w:rPr>
        <w:t>3.</w:t>
      </w:r>
      <w:r>
        <w:rPr>
          <w:rFonts w:hint="eastAsia" w:ascii="仿宋" w:hAnsi="仿宋" w:eastAsia="仿宋" w:cs="仿宋"/>
          <w:sz w:val="28"/>
          <w:szCs w:val="28"/>
        </w:rPr>
        <w:t>乙方发现甲方人员有不廉洁行为，须在48小时内署名报告甲方相关监察部门。联系方式：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举报电话：13873049118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邮箱：445698002@q</w:t>
      </w:r>
      <w:r>
        <w:rPr>
          <w:rFonts w:hint="eastAsia" w:ascii="仿宋" w:hAnsi="仿宋" w:eastAsia="仿宋" w:cs="仿宋"/>
          <w:sz w:val="28"/>
          <w:szCs w:val="28"/>
          <w:lang w:val="en-US" w:eastAsia="zh-CN"/>
        </w:rPr>
        <w:t>q</w:t>
      </w:r>
      <w:r>
        <w:rPr>
          <w:rFonts w:hint="eastAsia" w:ascii="仿宋" w:hAnsi="仿宋" w:eastAsia="仿宋" w:cs="仿宋"/>
          <w:sz w:val="28"/>
          <w:szCs w:val="28"/>
        </w:rPr>
        <w:t>.com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信箱：岳阳城陵矶新港有限公司大厅东侧角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（三）</w:t>
      </w:r>
      <w:r>
        <w:rPr>
          <w:rFonts w:hint="eastAsia" w:ascii="仿宋" w:hAnsi="仿宋" w:eastAsia="仿宋" w:cs="仿宋"/>
          <w:sz w:val="28"/>
          <w:szCs w:val="28"/>
          <w:lang w:val="en-US" w:eastAsia="zh-CN"/>
        </w:rPr>
        <w:t>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cs="仿宋"/>
          <w:sz w:val="28"/>
          <w:szCs w:val="28"/>
          <w:lang w:val="en-US" w:eastAsia="zh-CN"/>
        </w:rPr>
        <w:t>1.</w:t>
      </w:r>
      <w:r>
        <w:rPr>
          <w:rFonts w:hint="eastAsia" w:ascii="仿宋" w:hAnsi="仿宋" w:eastAsia="仿宋" w:cs="仿宋"/>
          <w:sz w:val="28"/>
          <w:szCs w:val="28"/>
        </w:rPr>
        <w:t>甲方人员违反廉洁义务，经调查属实的，甲方依据管理规定对当事人进行严肃处理，对涉嫌犯罪的人员移送司法机关处理。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lang w:val="en-US" w:eastAsia="zh-CN"/>
        </w:rPr>
      </w:pPr>
      <w:r>
        <w:rPr>
          <w:rFonts w:hint="eastAsia" w:ascii="仿宋" w:hAnsi="仿宋" w:cs="仿宋"/>
          <w:sz w:val="28"/>
          <w:szCs w:val="28"/>
          <w:lang w:val="en-US" w:eastAsia="zh-CN"/>
        </w:rPr>
        <w:t>2.</w:t>
      </w:r>
      <w:r>
        <w:rPr>
          <w:rFonts w:hint="eastAsia" w:ascii="仿宋" w:hAnsi="仿宋" w:eastAsia="仿宋" w:cs="仿宋"/>
          <w:sz w:val="28"/>
          <w:szCs w:val="28"/>
        </w:rPr>
        <w:t>乙方及其人员违反廉洁义务或违反管理规定，经调查属实，甲方将乙方列入“黑名单”，并保留登报报道涉及腐败事项的权利。甲方有权书面通知乙方解除甲方与乙方已签订但尚未履行完毕的全部或部分商务合同。此外，乙方应赔偿由此给甲方造成的经济损失。</w:t>
      </w:r>
      <w:r>
        <w:rPr>
          <w:rFonts w:hint="eastAsia" w:ascii="黑体" w:hAnsi="黑体" w:eastAsia="黑体" w:cs="黑体"/>
          <w:sz w:val="28"/>
          <w:szCs w:val="28"/>
        </w:rPr>
        <w:t>　　　　</w:t>
      </w:r>
    </w:p>
    <w:p>
      <w:pPr>
        <w:pStyle w:val="189"/>
        <w:keepNext w:val="0"/>
        <w:keepLines w:val="0"/>
        <w:pageBreakBefore w:val="0"/>
        <w:widowControl w:val="0"/>
        <w:tabs>
          <w:tab w:val="left" w:pos="804"/>
        </w:tabs>
        <w:kinsoku/>
        <w:wordWrap/>
        <w:overflowPunct/>
        <w:topLinePunct w:val="0"/>
        <w:autoSpaceDE/>
        <w:autoSpaceDN/>
        <w:bidi w:val="0"/>
        <w:adjustRightInd/>
        <w:snapToGrid/>
        <w:spacing w:line="560" w:lineRule="exact"/>
        <w:ind w:left="0" w:leftChars="0" w:firstLine="0" w:firstLineChars="0"/>
        <w:textAlignment w:val="auto"/>
        <w:rPr>
          <w:rFonts w:hint="eastAsia"/>
          <w:sz w:val="28"/>
          <w:szCs w:val="28"/>
          <w:lang w:eastAsia="zh-CN"/>
        </w:rPr>
      </w:pPr>
      <w:r>
        <w:rPr>
          <w:rFonts w:hint="eastAsia"/>
          <w:sz w:val="28"/>
          <w:szCs w:val="28"/>
          <w:lang w:eastAsia="zh-CN"/>
        </w:rPr>
        <w:tab/>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lang w:eastAsia="zh-CN"/>
        </w:rPr>
      </w:pP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rPr>
        <w:t>甲</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 xml:space="preserve">方：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rPr>
        <w:t>（盖章）   乙</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 xml:space="preserve">方：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rPr>
        <w:t>（盖章）</w:t>
      </w: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rPr>
      </w:pP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rPr>
        <w:t>负责人（签约代表）：</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lang w:eastAsia="zh-CN"/>
        </w:rPr>
        <w:t>任一兵</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rPr>
        <w:t>签名）</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负责人（签约代表）：</w:t>
      </w:r>
      <w:r>
        <w:rPr>
          <w:rFonts w:hint="eastAsia" w:ascii="宋体" w:hAnsi="宋体" w:eastAsia="宋体" w:cs="仿宋"/>
          <w:sz w:val="24"/>
          <w:szCs w:val="24"/>
          <w:u w:val="none"/>
        </w:rPr>
        <w:t xml:space="preserve">        </w:t>
      </w:r>
      <w:r>
        <w:rPr>
          <w:rFonts w:hint="eastAsia" w:ascii="宋体" w:hAnsi="宋体" w:eastAsia="宋体" w:cs="仿宋"/>
          <w:sz w:val="24"/>
          <w:szCs w:val="24"/>
        </w:rPr>
        <w:t>（签名）</w:t>
      </w: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u w:val="none"/>
        </w:rPr>
      </w:pPr>
      <w:r>
        <w:rPr>
          <w:rFonts w:hint="eastAsia" w:ascii="宋体" w:hAnsi="宋体" w:eastAsia="宋体" w:cs="仿宋"/>
          <w:sz w:val="24"/>
          <w:szCs w:val="24"/>
        </w:rPr>
        <w:t>联系电话：</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13575089458        </w:t>
      </w:r>
      <w:r>
        <w:rPr>
          <w:rFonts w:hint="eastAsia" w:ascii="宋体" w:hAnsi="宋体" w:eastAsia="宋体" w:cs="仿宋"/>
          <w:sz w:val="24"/>
          <w:szCs w:val="24"/>
          <w:u w:val="none"/>
        </w:rPr>
        <w:t xml:space="preserve">  </w:t>
      </w:r>
      <w:r>
        <w:rPr>
          <w:rFonts w:hint="eastAsia" w:ascii="宋体" w:hAnsi="宋体" w:eastAsia="宋体" w:cs="仿宋"/>
          <w:sz w:val="24"/>
          <w:szCs w:val="24"/>
        </w:rPr>
        <w:t xml:space="preserve">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 xml:space="preserve"> 联系电话：</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u w:val="none"/>
        </w:rPr>
      </w:pPr>
      <w:r>
        <w:rPr>
          <w:rFonts w:hint="eastAsia" w:ascii="宋体" w:hAnsi="宋体" w:eastAsia="宋体" w:cs="仿宋"/>
          <w:sz w:val="24"/>
          <w:szCs w:val="24"/>
        </w:rPr>
        <w:t xml:space="preserve">传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 xml:space="preserve"> 真：</w:t>
      </w:r>
      <w:r>
        <w:rPr>
          <w:rFonts w:hint="eastAsia" w:ascii="宋体" w:hAnsi="宋体" w:eastAsia="宋体" w:cs="仿宋"/>
          <w:sz w:val="24"/>
          <w:szCs w:val="24"/>
          <w:u w:val="none"/>
        </w:rPr>
        <w:t xml:space="preserve">    0730—8422000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rPr>
        <w:t xml:space="preserve">     传</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真：</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rPr>
        <w:t>通讯地址：</w:t>
      </w:r>
      <w:r>
        <w:rPr>
          <w:rFonts w:hint="eastAsia" w:ascii="宋体" w:hAnsi="宋体" w:cs="仿宋"/>
          <w:sz w:val="24"/>
          <w:szCs w:val="24"/>
          <w:lang w:val="en-US" w:eastAsia="zh-CN"/>
        </w:rPr>
        <w:t>湖南城陵矶新港区</w:t>
      </w:r>
      <w:r>
        <w:rPr>
          <w:rFonts w:hint="eastAsia" w:ascii="宋体" w:hAnsi="宋体" w:eastAsia="宋体" w:cs="仿宋"/>
          <w:sz w:val="24"/>
          <w:szCs w:val="24"/>
          <w:u w:val="none"/>
          <w:lang w:val="en-US" w:eastAsia="zh-CN"/>
        </w:rPr>
        <w:t>岳</w:t>
      </w:r>
      <w:r>
        <w:rPr>
          <w:rFonts w:hint="eastAsia" w:ascii="宋体" w:hAnsi="宋体" w:eastAsia="宋体" w:cs="仿宋"/>
          <w:sz w:val="24"/>
          <w:szCs w:val="24"/>
          <w:u w:val="none"/>
          <w:lang w:eastAsia="zh-CN"/>
        </w:rPr>
        <w:t>阳</w:t>
      </w:r>
      <w:r>
        <w:rPr>
          <w:rFonts w:hint="eastAsia" w:ascii="宋体" w:hAnsi="宋体" w:eastAsia="宋体" w:cs="仿宋"/>
          <w:sz w:val="24"/>
          <w:szCs w:val="24"/>
          <w:u w:val="none"/>
          <w:lang w:val="en-US" w:eastAsia="zh-CN"/>
        </w:rPr>
        <w:t xml:space="preserve">  </w:t>
      </w:r>
      <w:r>
        <w:rPr>
          <w:rFonts w:hint="eastAsia" w:ascii="宋体" w:hAnsi="宋体" w:cs="仿宋"/>
          <w:sz w:val="24"/>
          <w:szCs w:val="24"/>
          <w:u w:val="none"/>
          <w:lang w:val="en-US" w:eastAsia="zh-CN"/>
        </w:rPr>
        <w:t xml:space="preserve">         </w:t>
      </w:r>
      <w:r>
        <w:rPr>
          <w:rFonts w:hint="eastAsia" w:ascii="宋体" w:hAnsi="宋体" w:eastAsia="宋体" w:cs="仿宋"/>
          <w:sz w:val="24"/>
          <w:szCs w:val="24"/>
        </w:rPr>
        <w:t>通讯地址：</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u w:val="none"/>
          <w:lang w:eastAsia="zh-CN"/>
        </w:rPr>
        <w:t>城陵矶新港有限公司办公楼</w:t>
      </w:r>
      <w:r>
        <w:rPr>
          <w:rFonts w:hint="eastAsia" w:ascii="宋体" w:hAnsi="宋体" w:eastAsia="宋体" w:cs="仿宋"/>
          <w:sz w:val="24"/>
          <w:szCs w:val="24"/>
          <w:u w:val="none"/>
          <w:lang w:val="en-US" w:eastAsia="zh-CN"/>
        </w:rPr>
        <w:t>10</w:t>
      </w:r>
      <w:r>
        <w:rPr>
          <w:rFonts w:hint="eastAsia" w:ascii="宋体" w:hAnsi="宋体" w:cs="仿宋"/>
          <w:sz w:val="24"/>
          <w:szCs w:val="24"/>
          <w:u w:val="none"/>
          <w:lang w:val="en-US" w:eastAsia="zh-CN"/>
        </w:rPr>
        <w:t>6</w:t>
      </w:r>
      <w:r>
        <w:rPr>
          <w:rFonts w:hint="eastAsia" w:ascii="宋体" w:hAnsi="宋体" w:eastAsia="宋体" w:cs="仿宋"/>
          <w:sz w:val="24"/>
          <w:szCs w:val="24"/>
          <w:u w:val="none"/>
          <w:lang w:val="en-US" w:eastAsia="zh-CN"/>
        </w:rPr>
        <w:t>室</w:t>
      </w:r>
      <w:r>
        <w:rPr>
          <w:rFonts w:hint="eastAsia" w:ascii="宋体" w:hAnsi="宋体" w:eastAsia="宋体" w:cs="仿宋"/>
          <w:sz w:val="24"/>
          <w:szCs w:val="24"/>
        </w:rPr>
        <w:t xml:space="preserve">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u w:val="none"/>
        </w:rPr>
      </w:pPr>
      <w:r>
        <w:rPr>
          <w:rFonts w:hint="eastAsia" w:ascii="宋体" w:hAnsi="宋体" w:eastAsia="宋体" w:cs="仿宋"/>
          <w:sz w:val="24"/>
          <w:szCs w:val="24"/>
        </w:rPr>
        <w:t>邮</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编：</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414000         </w:t>
      </w:r>
      <w:r>
        <w:rPr>
          <w:rFonts w:hint="eastAsia" w:ascii="宋体" w:hAnsi="宋体" w:eastAsia="宋体" w:cs="仿宋"/>
          <w:sz w:val="24"/>
          <w:szCs w:val="24"/>
          <w:u w:val="none"/>
        </w:rPr>
        <w:t xml:space="preserve">     </w:t>
      </w:r>
      <w:r>
        <w:rPr>
          <w:rFonts w:hint="eastAsia" w:ascii="宋体" w:hAnsi="宋体" w:eastAsia="宋体" w:cs="仿宋"/>
          <w:sz w:val="24"/>
          <w:szCs w:val="24"/>
        </w:rPr>
        <w:t xml:space="preserve">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 xml:space="preserve"> 邮</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编：</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u w:val="none"/>
        </w:rPr>
      </w:pPr>
      <w:r>
        <w:rPr>
          <w:rFonts w:hint="eastAsia" w:ascii="宋体" w:hAnsi="宋体" w:eastAsia="宋体" w:cs="仿宋"/>
          <w:sz w:val="24"/>
          <w:szCs w:val="24"/>
        </w:rPr>
        <w:t>电子</w:t>
      </w:r>
      <w:r>
        <w:rPr>
          <w:rFonts w:hint="eastAsia" w:ascii="宋体" w:hAnsi="宋体" w:eastAsia="宋体" w:cs="仿宋"/>
          <w:sz w:val="24"/>
          <w:szCs w:val="24"/>
          <w:lang w:eastAsia="zh-CN"/>
        </w:rPr>
        <w:t>邮</w:t>
      </w:r>
      <w:r>
        <w:rPr>
          <w:rFonts w:hint="eastAsia" w:ascii="宋体" w:hAnsi="宋体" w:eastAsia="宋体" w:cs="仿宋"/>
          <w:sz w:val="24"/>
          <w:szCs w:val="24"/>
        </w:rPr>
        <w:t>箱：</w:t>
      </w:r>
      <w:r>
        <w:rPr>
          <w:rFonts w:hint="eastAsia" w:ascii="宋体" w:hAnsi="宋体" w:eastAsia="宋体" w:cs="仿宋"/>
          <w:sz w:val="24"/>
          <w:szCs w:val="24"/>
          <w:u w:val="none"/>
        </w:rPr>
        <w:t xml:space="preserve">   </w:t>
      </w:r>
      <w:r>
        <w:rPr>
          <w:rFonts w:hint="eastAsia" w:ascii="宋体" w:hAnsi="宋体" w:cs="仿宋"/>
          <w:sz w:val="24"/>
          <w:szCs w:val="24"/>
          <w:u w:val="none"/>
          <w:lang w:val="en-US" w:eastAsia="zh-CN"/>
        </w:rPr>
        <w:t>278283112</w:t>
      </w:r>
      <w:r>
        <w:rPr>
          <w:rFonts w:hint="eastAsia" w:ascii="宋体" w:hAnsi="宋体" w:eastAsia="宋体" w:cs="仿宋"/>
          <w:sz w:val="24"/>
          <w:szCs w:val="24"/>
          <w:u w:val="none"/>
          <w:lang w:val="en-US" w:eastAsia="zh-CN"/>
        </w:rPr>
        <w:t>@qq.com</w:t>
      </w:r>
      <w:r>
        <w:rPr>
          <w:rFonts w:hint="eastAsia" w:ascii="宋体" w:hAnsi="宋体" w:eastAsia="宋体" w:cs="仿宋"/>
          <w:sz w:val="24"/>
          <w:szCs w:val="24"/>
          <w:u w:val="none"/>
        </w:rPr>
        <w:t xml:space="preserve">       </w:t>
      </w:r>
      <w:r>
        <w:rPr>
          <w:rFonts w:hint="eastAsia" w:ascii="宋体" w:hAnsi="宋体" w:eastAsia="宋体" w:cs="仿宋"/>
          <w:sz w:val="24"/>
          <w:szCs w:val="24"/>
        </w:rPr>
        <w:t xml:space="preserve">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 xml:space="preserve">  电子</w:t>
      </w:r>
      <w:r>
        <w:rPr>
          <w:rFonts w:hint="eastAsia" w:ascii="宋体" w:hAnsi="宋体" w:eastAsia="宋体" w:cs="仿宋"/>
          <w:sz w:val="24"/>
          <w:szCs w:val="24"/>
          <w:lang w:eastAsia="zh-CN"/>
        </w:rPr>
        <w:t>邮</w:t>
      </w:r>
      <w:r>
        <w:rPr>
          <w:rFonts w:hint="eastAsia" w:ascii="宋体" w:hAnsi="宋体" w:eastAsia="宋体" w:cs="仿宋"/>
          <w:sz w:val="24"/>
          <w:szCs w:val="24"/>
        </w:rPr>
        <w:t>箱：</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u w:val="none"/>
          <w:lang w:val="en-US" w:eastAsia="zh-CN"/>
        </w:rPr>
      </w:pPr>
      <w:r>
        <w:rPr>
          <w:rFonts w:hint="eastAsia" w:ascii="宋体" w:hAnsi="宋体" w:eastAsia="宋体" w:cs="仿宋"/>
          <w:sz w:val="24"/>
          <w:szCs w:val="24"/>
          <w:u w:val="none"/>
          <w:lang w:eastAsia="zh-CN"/>
        </w:rPr>
        <w:t>签约时间：</w:t>
      </w:r>
      <w:r>
        <w:rPr>
          <w:rFonts w:hint="eastAsia" w:ascii="宋体" w:hAnsi="宋体" w:eastAsia="宋体" w:cs="仿宋"/>
          <w:sz w:val="24"/>
          <w:szCs w:val="24"/>
          <w:u w:val="none"/>
          <w:lang w:val="en-US" w:eastAsia="zh-CN"/>
        </w:rPr>
        <w:t xml:space="preserve">      年    月    日           签约时间：                                </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u w:val="none"/>
          <w:lang w:val="en-US" w:eastAsia="zh-CN"/>
        </w:rPr>
      </w:pPr>
    </w:p>
    <w:bookmarkEnd w:id="4"/>
    <w:p>
      <w:pPr>
        <w:tabs>
          <w:tab w:val="left" w:pos="312"/>
        </w:tabs>
        <w:adjustRightInd w:val="0"/>
        <w:snapToGrid w:val="0"/>
        <w:spacing w:line="360" w:lineRule="auto"/>
        <w:ind w:left="0" w:firstLine="453" w:firstLineChars="189"/>
        <w:jc w:val="both"/>
        <w:rPr>
          <w:rFonts w:hint="eastAsia" w:ascii="宋体" w:hAnsi="宋体" w:eastAsia="宋体" w:cs="仿宋"/>
          <w:b w:val="0"/>
          <w:color w:val="000000"/>
          <w:sz w:val="24"/>
          <w:szCs w:val="24"/>
        </w:rPr>
      </w:pPr>
      <w:r>
        <w:rPr>
          <w:rFonts w:hint="eastAsia" w:ascii="宋体" w:hAnsi="宋体" w:eastAsia="宋体" w:cs="仿宋"/>
          <w:color w:val="0000FF"/>
          <w:sz w:val="24"/>
          <w:szCs w:val="24"/>
          <w:u w:val="none"/>
          <w:lang w:val="en-US" w:eastAsia="zh-CN"/>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color="auto"/>
          <w:lang w:val="en-US" w:eastAsia="zh-CN"/>
        </w:rPr>
        <w:t xml:space="preserve">  </w:t>
      </w:r>
    </w:p>
    <w:p>
      <w:pPr>
        <w:tabs>
          <w:tab w:val="left" w:pos="312"/>
        </w:tabs>
        <w:adjustRightInd w:val="0"/>
        <w:snapToGrid w:val="0"/>
        <w:spacing w:line="360" w:lineRule="auto"/>
        <w:ind w:firstLine="453" w:firstLineChars="189"/>
        <w:jc w:val="both"/>
        <w:rPr>
          <w:rFonts w:hint="eastAsia" w:ascii="宋体" w:hAnsi="宋体" w:eastAsia="宋体" w:cs="仿宋"/>
          <w:b w:val="0"/>
          <w:color w:val="auto"/>
          <w:sz w:val="24"/>
          <w:szCs w:val="24"/>
        </w:rPr>
      </w:pPr>
    </w:p>
    <w:p>
      <w:pPr>
        <w:pStyle w:val="2"/>
        <w:spacing w:line="360" w:lineRule="auto"/>
        <w:ind w:firstLine="0" w:firstLineChars="0"/>
        <w:rPr>
          <w:rFonts w:hint="eastAsia" w:ascii="黑体" w:hAnsi="黑体" w:eastAsia="黑体" w:cs="仿宋"/>
          <w:b/>
          <w:color w:val="000000"/>
          <w:sz w:val="36"/>
          <w:szCs w:val="36"/>
        </w:rPr>
      </w:pPr>
      <w:bookmarkStart w:id="8" w:name="_Toc17311"/>
    </w:p>
    <w:p>
      <w:pPr>
        <w:adjustRightInd/>
        <w:snapToGrid/>
        <w:spacing w:line="360" w:lineRule="auto"/>
        <w:jc w:val="both"/>
        <w:outlineLvl w:val="0"/>
        <w:rPr>
          <w:rFonts w:hint="eastAsia" w:ascii="黑体" w:hAnsi="黑体" w:eastAsia="黑体" w:cs="仿宋"/>
          <w:b/>
          <w:color w:val="000000"/>
          <w:sz w:val="36"/>
          <w:szCs w:val="36"/>
        </w:rPr>
      </w:pPr>
    </w:p>
    <w:p>
      <w:pPr>
        <w:adjustRightInd/>
        <w:snapToGrid/>
        <w:spacing w:line="360" w:lineRule="auto"/>
        <w:jc w:val="both"/>
        <w:outlineLvl w:val="0"/>
        <w:rPr>
          <w:rFonts w:hint="eastAsia" w:ascii="黑体" w:hAnsi="黑体" w:eastAsia="黑体" w:cs="仿宋"/>
          <w:b/>
          <w:color w:val="000000"/>
          <w:sz w:val="36"/>
          <w:szCs w:val="36"/>
        </w:rPr>
      </w:pPr>
    </w:p>
    <w:p>
      <w:pPr>
        <w:adjustRightInd/>
        <w:snapToGrid/>
        <w:spacing w:line="360" w:lineRule="auto"/>
        <w:jc w:val="both"/>
        <w:outlineLvl w:val="0"/>
        <w:rPr>
          <w:rFonts w:hint="eastAsia" w:ascii="黑体" w:hAnsi="黑体" w:eastAsia="黑体" w:cs="仿宋"/>
          <w:b/>
          <w:color w:val="000000"/>
          <w:sz w:val="36"/>
          <w:szCs w:val="36"/>
        </w:rPr>
      </w:pPr>
    </w:p>
    <w:p>
      <w:pPr>
        <w:adjustRightInd/>
        <w:snapToGrid/>
        <w:spacing w:line="360" w:lineRule="auto"/>
        <w:jc w:val="both"/>
        <w:outlineLvl w:val="0"/>
        <w:rPr>
          <w:rFonts w:hint="eastAsia" w:ascii="黑体" w:hAnsi="黑体" w:eastAsia="黑体" w:cs="仿宋"/>
          <w:b/>
          <w:color w:val="000000"/>
          <w:sz w:val="36"/>
          <w:szCs w:val="36"/>
        </w:rPr>
      </w:pPr>
    </w:p>
    <w:p>
      <w:pPr>
        <w:adjustRightInd/>
        <w:snapToGrid/>
        <w:spacing w:line="360" w:lineRule="auto"/>
        <w:jc w:val="both"/>
        <w:outlineLvl w:val="0"/>
        <w:rPr>
          <w:rFonts w:hint="eastAsia" w:ascii="黑体" w:hAnsi="黑体" w:eastAsia="黑体" w:cs="仿宋"/>
          <w:b/>
          <w:color w:val="000000"/>
          <w:sz w:val="36"/>
          <w:szCs w:val="36"/>
        </w:rPr>
      </w:pPr>
    </w:p>
    <w:p>
      <w:pPr>
        <w:adjustRightInd/>
        <w:snapToGrid/>
        <w:spacing w:line="360" w:lineRule="auto"/>
        <w:jc w:val="both"/>
        <w:outlineLvl w:val="0"/>
        <w:rPr>
          <w:rFonts w:hint="eastAsia" w:ascii="黑体" w:hAnsi="黑体" w:eastAsia="黑体" w:cs="仿宋"/>
          <w:b/>
          <w:color w:val="000000"/>
          <w:sz w:val="36"/>
          <w:szCs w:val="36"/>
        </w:rPr>
      </w:pPr>
    </w:p>
    <w:p>
      <w:pPr>
        <w:adjustRightInd/>
        <w:snapToGrid/>
        <w:spacing w:line="360" w:lineRule="auto"/>
        <w:jc w:val="center"/>
        <w:outlineLvl w:val="0"/>
        <w:rPr>
          <w:rFonts w:hint="eastAsia" w:ascii="黑体" w:hAnsi="黑体" w:eastAsia="黑体" w:cs="仿宋"/>
          <w:b/>
          <w:color w:val="000000"/>
          <w:sz w:val="36"/>
          <w:szCs w:val="36"/>
        </w:rPr>
      </w:pPr>
    </w:p>
    <w:p>
      <w:pPr>
        <w:adjustRightInd/>
        <w:snapToGrid/>
        <w:spacing w:line="360" w:lineRule="auto"/>
        <w:jc w:val="center"/>
        <w:outlineLvl w:val="0"/>
        <w:rPr>
          <w:rFonts w:hint="eastAsia" w:ascii="宋体" w:hAnsi="宋体"/>
          <w:b/>
          <w:sz w:val="24"/>
        </w:rPr>
      </w:pPr>
      <w:r>
        <w:rPr>
          <w:rFonts w:hint="eastAsia" w:ascii="黑体" w:hAnsi="黑体" w:eastAsia="黑体" w:cs="仿宋"/>
          <w:b/>
          <w:color w:val="000000"/>
          <w:sz w:val="36"/>
          <w:szCs w:val="36"/>
        </w:rPr>
        <w:t>第五章  采购需求</w:t>
      </w:r>
      <w:r>
        <w:rPr>
          <w:rFonts w:hint="eastAsia" w:ascii="宋体" w:hAnsi="宋体"/>
          <w:b/>
          <w:sz w:val="24"/>
        </w:rPr>
        <w:t xml:space="preserve"> </w:t>
      </w:r>
    </w:p>
    <w:p>
      <w:pPr>
        <w:adjustRightInd w:val="0"/>
        <w:snapToGrid w:val="0"/>
        <w:spacing w:line="360" w:lineRule="auto"/>
        <w:ind w:firstLine="0" w:firstLineChars="0"/>
        <w:rPr>
          <w:rFonts w:hint="eastAsia" w:ascii="宋体" w:hAnsi="宋体" w:eastAsia="宋体"/>
          <w:sz w:val="24"/>
          <w:lang w:eastAsia="zh-CN"/>
        </w:rPr>
      </w:pPr>
      <w:r>
        <w:rPr>
          <w:rFonts w:hint="eastAsia" w:ascii="宋体" w:hAnsi="宋体"/>
          <w:sz w:val="24"/>
        </w:rPr>
        <w:t>（一</w:t>
      </w:r>
      <w:r>
        <w:rPr>
          <w:rFonts w:ascii="宋体" w:hAnsi="宋体"/>
          <w:sz w:val="24"/>
        </w:rPr>
        <w:t>）</w:t>
      </w:r>
      <w:r>
        <w:rPr>
          <w:rFonts w:hint="eastAsia" w:ascii="宋体" w:hAnsi="宋体"/>
          <w:sz w:val="24"/>
        </w:rPr>
        <w:t>采购项目名称</w:t>
      </w:r>
      <w:r>
        <w:rPr>
          <w:rFonts w:hint="eastAsia" w:ascii="宋体" w:hAnsi="宋体"/>
          <w:sz w:val="24"/>
          <w:lang w:eastAsia="zh-CN"/>
        </w:rPr>
        <w:t>：</w:t>
      </w:r>
      <w:r>
        <w:rPr>
          <w:rFonts w:hint="eastAsia" w:ascii="宋体" w:hAnsi="宋体" w:eastAsia="宋体" w:cs="Times New Roman"/>
          <w:color w:val="auto"/>
          <w:kern w:val="2"/>
          <w:sz w:val="24"/>
          <w:szCs w:val="24"/>
          <w:u w:val="none"/>
          <w:lang w:val="en-US" w:eastAsia="zh-CN" w:bidi="ar"/>
        </w:rPr>
        <w:t>岳阳城陵矶新港有限公司</w:t>
      </w:r>
      <w:r>
        <w:rPr>
          <w:rFonts w:hint="eastAsia" w:ascii="宋体" w:hAnsi="宋体" w:eastAsia="宋体" w:cs="宋体"/>
          <w:bCs/>
          <w:sz w:val="24"/>
          <w:szCs w:val="24"/>
        </w:rPr>
        <w:t>港口</w:t>
      </w:r>
      <w:r>
        <w:rPr>
          <w:rFonts w:hint="eastAsia" w:ascii="宋体" w:hAnsi="宋体" w:eastAsia="宋体" w:cs="宋体"/>
          <w:bCs/>
          <w:sz w:val="24"/>
          <w:szCs w:val="24"/>
          <w:lang w:val="en-US" w:eastAsia="zh-CN"/>
        </w:rPr>
        <w:t>集装箱内货物熏蒸</w:t>
      </w:r>
      <w:r>
        <w:rPr>
          <w:rFonts w:hint="eastAsia" w:ascii="宋体" w:hAnsi="宋体" w:cs="宋体"/>
          <w:bCs/>
          <w:sz w:val="24"/>
          <w:szCs w:val="24"/>
          <w:lang w:val="en-US" w:eastAsia="zh-CN"/>
        </w:rPr>
        <w:t>及消毒</w:t>
      </w:r>
      <w:r>
        <w:rPr>
          <w:rFonts w:hint="eastAsia" w:ascii="宋体" w:hAnsi="宋体" w:eastAsia="宋体" w:cs="宋体"/>
          <w:bCs/>
          <w:color w:val="auto"/>
          <w:sz w:val="24"/>
          <w:szCs w:val="24"/>
          <w:lang w:val="en-US" w:eastAsia="zh-CN"/>
        </w:rPr>
        <w:t>招标</w:t>
      </w:r>
    </w:p>
    <w:p>
      <w:pPr>
        <w:adjustRightInd w:val="0"/>
        <w:snapToGrid w:val="0"/>
        <w:spacing w:line="360" w:lineRule="auto"/>
        <w:ind w:firstLine="0" w:firstLineChars="0"/>
        <w:rPr>
          <w:rFonts w:hint="eastAsia" w:ascii="宋体" w:hAnsi="宋体" w:eastAsia="宋体" w:cs="宋体"/>
          <w:bCs/>
          <w:color w:val="auto"/>
          <w:sz w:val="24"/>
          <w:szCs w:val="24"/>
          <w:lang w:val="en-US" w:eastAsia="zh-CN"/>
        </w:rPr>
      </w:pPr>
      <w:r>
        <w:rPr>
          <w:rFonts w:hint="eastAsia" w:ascii="宋体" w:hAnsi="宋体"/>
          <w:sz w:val="24"/>
        </w:rPr>
        <w:t>（二</w:t>
      </w:r>
      <w:r>
        <w:rPr>
          <w:rFonts w:ascii="宋体" w:hAnsi="宋体"/>
          <w:sz w:val="24"/>
        </w:rPr>
        <w:t>）</w:t>
      </w:r>
      <w:r>
        <w:rPr>
          <w:rFonts w:hint="eastAsia" w:ascii="宋体" w:hAnsi="宋体"/>
          <w:sz w:val="24"/>
        </w:rPr>
        <w:t>项目概况</w:t>
      </w:r>
      <w:r>
        <w:rPr>
          <w:rFonts w:hint="eastAsia" w:ascii="宋体" w:hAnsi="宋体"/>
          <w:sz w:val="24"/>
          <w:lang w:eastAsia="zh-CN"/>
        </w:rPr>
        <w:t>：</w:t>
      </w:r>
      <w:r>
        <w:rPr>
          <w:rFonts w:hint="eastAsia" w:ascii="宋体" w:hAnsi="宋体"/>
          <w:sz w:val="24"/>
          <w:u w:val="none"/>
          <w:lang w:eastAsia="zh-CN"/>
        </w:rPr>
        <w:t>湖南省港务集团有限公司下属子公司岳阳城陵矶新港有限公司</w:t>
      </w:r>
      <w:r>
        <w:rPr>
          <w:rFonts w:hint="eastAsia" w:ascii="宋体" w:hAnsi="宋体" w:eastAsia="宋体" w:cs="宋体"/>
          <w:bCs/>
          <w:sz w:val="24"/>
          <w:szCs w:val="24"/>
        </w:rPr>
        <w:t>港口</w:t>
      </w:r>
      <w:r>
        <w:rPr>
          <w:rFonts w:hint="eastAsia" w:ascii="宋体" w:hAnsi="宋体" w:eastAsia="宋体" w:cs="宋体"/>
          <w:bCs/>
          <w:sz w:val="24"/>
          <w:szCs w:val="24"/>
          <w:lang w:val="en-US" w:eastAsia="zh-CN"/>
        </w:rPr>
        <w:t>集装箱内货物熏蒸</w:t>
      </w:r>
      <w:r>
        <w:rPr>
          <w:rFonts w:hint="eastAsia" w:ascii="宋体" w:hAnsi="宋体" w:cs="宋体"/>
          <w:bCs/>
          <w:sz w:val="24"/>
          <w:szCs w:val="24"/>
          <w:lang w:val="en-US" w:eastAsia="zh-CN"/>
        </w:rPr>
        <w:t>、消毒等</w:t>
      </w:r>
      <w:r>
        <w:rPr>
          <w:rFonts w:hint="eastAsia" w:ascii="宋体" w:hAnsi="宋体" w:cs="宋体"/>
          <w:bCs/>
          <w:color w:val="auto"/>
          <w:sz w:val="24"/>
          <w:szCs w:val="24"/>
          <w:lang w:val="en-US" w:eastAsia="zh-CN"/>
        </w:rPr>
        <w:t>。</w:t>
      </w:r>
    </w:p>
    <w:p>
      <w:pPr>
        <w:autoSpaceDE w:val="0"/>
        <w:adjustRightInd/>
        <w:snapToGrid/>
        <w:spacing w:line="360" w:lineRule="auto"/>
        <w:ind w:firstLine="0" w:firstLineChars="0"/>
        <w:jc w:val="both"/>
        <w:rPr>
          <w:rFonts w:hint="eastAsia" w:ascii="宋体" w:hAnsi="宋体"/>
          <w:sz w:val="24"/>
          <w:lang w:val="en-US" w:eastAsia="zh-CN"/>
        </w:rPr>
      </w:pPr>
      <w:r>
        <w:rPr>
          <w:rFonts w:hint="eastAsia" w:ascii="宋体" w:hAnsi="宋体"/>
          <w:sz w:val="24"/>
        </w:rPr>
        <w:t>（三</w:t>
      </w:r>
      <w:r>
        <w:rPr>
          <w:rFonts w:ascii="宋体" w:hAnsi="宋体"/>
          <w:sz w:val="24"/>
        </w:rPr>
        <w:t>）</w:t>
      </w:r>
      <w:r>
        <w:rPr>
          <w:rFonts w:hint="eastAsia" w:ascii="宋体" w:hAnsi="宋体"/>
          <w:sz w:val="24"/>
        </w:rPr>
        <w:t>服务承包范围</w:t>
      </w:r>
      <w:r>
        <w:rPr>
          <w:rFonts w:hint="eastAsia" w:ascii="宋体" w:hAnsi="宋体"/>
          <w:sz w:val="24"/>
          <w:lang w:eastAsia="zh-CN"/>
        </w:rPr>
        <w:t>：由投标人根据</w:t>
      </w:r>
      <w:r>
        <w:rPr>
          <w:rFonts w:hint="eastAsia" w:ascii="宋体" w:hAnsi="宋体"/>
          <w:sz w:val="24"/>
          <w:lang w:val="en-US" w:eastAsia="zh-CN"/>
        </w:rPr>
        <w:t>海关检验检疫法律法规，负责对岳阳新港进出境集装箱箱内货物进行熏蒸处理，并得到海关检验检疫部门的认可，</w:t>
      </w:r>
      <w:r>
        <w:rPr>
          <w:rFonts w:hint="eastAsia" w:ascii="宋体" w:hAnsi="宋体"/>
          <w:b w:val="0"/>
          <w:bCs w:val="0"/>
          <w:sz w:val="24"/>
          <w:lang w:val="en-US" w:eastAsia="zh-CN"/>
        </w:rPr>
        <w:t>港内进出口货物的熏蒸、消毒、木质包装的熏蒸等，所有人员、熏蒸设备、仪器、消毒用品全部由供应商提供。</w:t>
      </w:r>
    </w:p>
    <w:p>
      <w:pPr>
        <w:autoSpaceDE w:val="0"/>
        <w:spacing w:line="360" w:lineRule="auto"/>
        <w:ind w:firstLine="480" w:firstLineChars="200"/>
        <w:jc w:val="both"/>
        <w:rPr>
          <w:rFonts w:hint="default" w:ascii="宋体" w:hAnsi="宋体"/>
          <w:sz w:val="24"/>
          <w:lang w:val="en-US" w:eastAsia="zh-CN"/>
        </w:rPr>
      </w:pPr>
      <w:r>
        <w:rPr>
          <w:rFonts w:hint="eastAsia" w:ascii="宋体" w:hAnsi="宋体"/>
          <w:sz w:val="24"/>
        </w:rPr>
        <w:t>（四</w:t>
      </w:r>
      <w:r>
        <w:rPr>
          <w:rFonts w:ascii="宋体" w:hAnsi="宋体"/>
          <w:sz w:val="24"/>
        </w:rPr>
        <w:t>）</w:t>
      </w:r>
      <w:r>
        <w:rPr>
          <w:rFonts w:hint="eastAsia" w:ascii="宋体" w:hAnsi="宋体"/>
          <w:sz w:val="24"/>
        </w:rPr>
        <w:t>服务要求、质量和标准</w:t>
      </w:r>
      <w:r>
        <w:rPr>
          <w:rFonts w:hint="eastAsia" w:ascii="宋体" w:hAnsi="宋体"/>
          <w:sz w:val="24"/>
          <w:lang w:eastAsia="zh-CN"/>
        </w:rPr>
        <w:t>：</w:t>
      </w:r>
      <w:r>
        <w:rPr>
          <w:rFonts w:hint="eastAsia" w:ascii="宋体" w:hAnsi="宋体"/>
          <w:sz w:val="24"/>
          <w:lang w:val="en-US" w:eastAsia="zh-CN"/>
        </w:rPr>
        <w:t>熏蒸处理货物及木质包装达到海关检验检疫出口标准，进口集装箱箱体外表检测阴性。注：港口熏蒸作业主要针对原木箱内熏蒸作业，按照海关要求确保货物在低温环境下的熏蒸作业效果，并制定详细的现场作业方案。</w:t>
      </w:r>
    </w:p>
    <w:p>
      <w:pPr>
        <w:adjustRightInd w:val="0"/>
        <w:snapToGrid w:val="0"/>
        <w:spacing w:line="360" w:lineRule="auto"/>
        <w:ind w:firstLine="0" w:firstLineChars="0"/>
        <w:rPr>
          <w:rFonts w:hint="eastAsia" w:ascii="宋体" w:hAnsi="宋体" w:eastAsia="宋体"/>
          <w:sz w:val="24"/>
          <w:lang w:eastAsia="zh-CN"/>
        </w:rPr>
      </w:pPr>
    </w:p>
    <w:p>
      <w:pPr>
        <w:adjustRightInd w:val="0"/>
        <w:snapToGrid w:val="0"/>
        <w:spacing w:line="360" w:lineRule="auto"/>
        <w:ind w:firstLine="0" w:firstLineChars="0"/>
        <w:rPr>
          <w:rFonts w:hint="eastAsia" w:ascii="宋体" w:hAnsi="宋体" w:eastAsia="宋体"/>
          <w:sz w:val="24"/>
          <w:lang w:eastAsia="zh-CN"/>
        </w:rPr>
      </w:pPr>
      <w:r>
        <w:rPr>
          <w:rFonts w:hint="eastAsia" w:ascii="宋体" w:hAnsi="宋体"/>
          <w:sz w:val="24"/>
        </w:rPr>
        <w:t>（五</w:t>
      </w:r>
      <w:r>
        <w:rPr>
          <w:rFonts w:ascii="宋体" w:hAnsi="宋体"/>
          <w:sz w:val="24"/>
        </w:rPr>
        <w:t>）</w:t>
      </w:r>
      <w:r>
        <w:rPr>
          <w:rFonts w:hint="eastAsia" w:ascii="宋体" w:hAnsi="宋体"/>
          <w:sz w:val="24"/>
        </w:rPr>
        <w:t>工期及验收</w:t>
      </w:r>
      <w:r>
        <w:rPr>
          <w:rFonts w:hint="eastAsia" w:ascii="宋体" w:hAnsi="宋体"/>
          <w:sz w:val="24"/>
          <w:lang w:eastAsia="zh-CN"/>
        </w:rPr>
        <w:t>：</w:t>
      </w:r>
      <w:r>
        <w:rPr>
          <w:rFonts w:hint="eastAsia" w:ascii="宋体" w:hAnsi="宋体"/>
          <w:sz w:val="24"/>
          <w:lang w:val="en-US" w:eastAsia="zh-CN"/>
        </w:rPr>
        <w:t>一年</w:t>
      </w:r>
      <w:r>
        <w:rPr>
          <w:rFonts w:hint="eastAsia" w:ascii="宋体" w:hAnsi="宋体"/>
          <w:color w:val="auto"/>
          <w:sz w:val="24"/>
          <w:u w:val="none"/>
          <w:lang w:val="en-US" w:eastAsia="zh-CN"/>
        </w:rPr>
        <w:t>。</w:t>
      </w:r>
    </w:p>
    <w:p>
      <w:pPr>
        <w:adjustRightInd w:val="0"/>
        <w:snapToGrid w:val="0"/>
        <w:spacing w:line="360" w:lineRule="auto"/>
        <w:ind w:firstLine="0" w:firstLineChars="0"/>
        <w:rPr>
          <w:rFonts w:ascii="宋体" w:hAnsi="宋体"/>
          <w:sz w:val="24"/>
        </w:rPr>
      </w:pPr>
      <w:r>
        <w:rPr>
          <w:rFonts w:hint="eastAsia" w:ascii="宋体" w:hAnsi="宋体"/>
          <w:sz w:val="24"/>
        </w:rPr>
        <w:t>（</w:t>
      </w:r>
      <w:r>
        <w:rPr>
          <w:rFonts w:hint="eastAsia" w:ascii="宋体" w:hAnsi="宋体"/>
          <w:sz w:val="24"/>
          <w:lang w:eastAsia="zh-CN"/>
        </w:rPr>
        <w:t>六</w:t>
      </w:r>
      <w:r>
        <w:rPr>
          <w:rFonts w:ascii="宋体" w:hAnsi="宋体"/>
          <w:sz w:val="24"/>
        </w:rPr>
        <w:t>）</w:t>
      </w:r>
      <w:r>
        <w:rPr>
          <w:rFonts w:hint="eastAsia" w:ascii="宋体" w:hAnsi="宋体"/>
          <w:sz w:val="24"/>
        </w:rPr>
        <w:t>其它需要说明的事项</w:t>
      </w:r>
    </w:p>
    <w:p>
      <w:pPr>
        <w:adjustRightInd/>
        <w:snapToGrid/>
        <w:spacing w:line="360" w:lineRule="auto"/>
        <w:jc w:val="both"/>
        <w:outlineLvl w:val="0"/>
        <w:rPr>
          <w:rFonts w:hint="eastAsia" w:ascii="黑体" w:hAnsi="黑体" w:eastAsia="黑体" w:cs="仿宋"/>
          <w:b/>
          <w:color w:val="000000"/>
          <w:sz w:val="36"/>
          <w:szCs w:val="36"/>
        </w:rPr>
      </w:pPr>
      <w:r>
        <w:rPr>
          <w:rFonts w:ascii="仿宋" w:hAnsi="仿宋" w:eastAsia="仿宋" w:cs="仿宋"/>
          <w:sz w:val="30"/>
          <w:szCs w:val="30"/>
        </w:rPr>
        <w:br w:type="page"/>
      </w:r>
    </w:p>
    <w:bookmarkEnd w:id="8"/>
    <w:p>
      <w:pPr>
        <w:spacing w:line="360" w:lineRule="auto"/>
        <w:jc w:val="center"/>
        <w:outlineLvl w:val="0"/>
        <w:rPr>
          <w:rFonts w:ascii="黑体" w:hAnsi="黑体" w:eastAsia="黑体" w:cs="仿宋"/>
          <w:b/>
          <w:color w:val="000000"/>
          <w:sz w:val="36"/>
          <w:szCs w:val="36"/>
        </w:rPr>
      </w:pPr>
      <w:bookmarkStart w:id="9" w:name="_Toc30995"/>
      <w:r>
        <w:rPr>
          <w:rFonts w:hint="eastAsia" w:ascii="黑体" w:hAnsi="黑体" w:eastAsia="黑体" w:cs="仿宋"/>
          <w:b/>
          <w:color w:val="000000"/>
          <w:sz w:val="36"/>
          <w:szCs w:val="36"/>
        </w:rPr>
        <w:t>第</w:t>
      </w:r>
      <w:r>
        <w:rPr>
          <w:rFonts w:hint="eastAsia" w:ascii="黑体" w:hAnsi="黑体" w:eastAsia="黑体" w:cs="仿宋"/>
          <w:b/>
          <w:color w:val="000000"/>
          <w:sz w:val="36"/>
          <w:szCs w:val="36"/>
          <w:lang w:val="en-US" w:eastAsia="zh-CN"/>
        </w:rPr>
        <w:t>六</w:t>
      </w:r>
      <w:r>
        <w:rPr>
          <w:rFonts w:hint="eastAsia" w:ascii="黑体" w:hAnsi="黑体" w:eastAsia="黑体" w:cs="仿宋"/>
          <w:b/>
          <w:color w:val="000000"/>
          <w:sz w:val="36"/>
          <w:szCs w:val="36"/>
        </w:rPr>
        <w:t>章  响应文件格式</w:t>
      </w:r>
      <w:bookmarkEnd w:id="9"/>
    </w:p>
    <w:p>
      <w:pPr>
        <w:pStyle w:val="2"/>
        <w:spacing w:line="360" w:lineRule="auto"/>
        <w:ind w:firstLine="0" w:firstLineChars="0"/>
        <w:rPr>
          <w:rFonts w:ascii="仿宋" w:hAnsi="仿宋" w:eastAsia="仿宋" w:cs="仿宋"/>
          <w:sz w:val="30"/>
          <w:szCs w:val="30"/>
        </w:rPr>
      </w:pPr>
    </w:p>
    <w:p>
      <w:pPr>
        <w:spacing w:line="360" w:lineRule="auto"/>
        <w:jc w:val="center"/>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bookmarkStart w:id="10" w:name="_Toc4798"/>
      <w:r>
        <w:rPr>
          <w:rFonts w:hint="eastAsia" w:eastAsia="方正小标宋_GBK"/>
          <w:b/>
          <w:bCs/>
          <w:sz w:val="40"/>
          <w:szCs w:val="36"/>
        </w:rPr>
        <w:t>项目</w:t>
      </w:r>
      <w:bookmarkEnd w:id="10"/>
    </w:p>
    <w:p>
      <w:pPr>
        <w:widowControl w:val="0"/>
        <w:spacing w:before="240" w:beforeLines="100" w:after="240" w:afterLines="100" w:line="360" w:lineRule="auto"/>
        <w:jc w:val="center"/>
        <w:outlineLvl w:val="0"/>
        <w:rPr>
          <w:rFonts w:eastAsia="楷体_GB2312"/>
          <w:b/>
          <w:bCs/>
          <w:sz w:val="28"/>
          <w:szCs w:val="28"/>
        </w:rPr>
      </w:pPr>
      <w:bookmarkStart w:id="11" w:name="_Toc22236"/>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11"/>
    </w:p>
    <w:p>
      <w:pPr>
        <w:widowControl w:val="0"/>
        <w:adjustRightInd w:val="0"/>
        <w:snapToGrid w:val="0"/>
        <w:spacing w:line="360" w:lineRule="auto"/>
        <w:rPr>
          <w:b/>
        </w:rPr>
      </w:pPr>
    </w:p>
    <w:p>
      <w:pPr>
        <w:spacing w:line="360" w:lineRule="auto"/>
        <w:jc w:val="both"/>
        <w:rPr>
          <w:rFonts w:eastAsia="方正小标宋_GBK"/>
          <w:b/>
          <w:bCs/>
          <w:spacing w:val="160"/>
          <w:sz w:val="72"/>
          <w:szCs w:val="72"/>
        </w:rPr>
      </w:pPr>
    </w:p>
    <w:p>
      <w:pPr>
        <w:spacing w:line="360" w:lineRule="auto"/>
        <w:jc w:val="center"/>
        <w:rPr>
          <w:rFonts w:eastAsia="方正小标宋_GBK"/>
          <w:b/>
          <w:bCs/>
          <w:spacing w:val="160"/>
          <w:sz w:val="72"/>
          <w:szCs w:val="72"/>
        </w:rPr>
      </w:pPr>
    </w:p>
    <w:p>
      <w:pPr>
        <w:spacing w:line="360" w:lineRule="auto"/>
        <w:jc w:val="center"/>
        <w:outlineLvl w:val="0"/>
        <w:rPr>
          <w:sz w:val="26"/>
          <w:szCs w:val="26"/>
        </w:rPr>
      </w:pPr>
      <w:bookmarkStart w:id="12" w:name="_Toc22936"/>
      <w:r>
        <w:rPr>
          <w:rFonts w:hint="eastAsia" w:eastAsia="方正小标宋_GBK"/>
          <w:b/>
          <w:bCs/>
          <w:spacing w:val="160"/>
          <w:sz w:val="72"/>
          <w:szCs w:val="72"/>
        </w:rPr>
        <w:t>响应</w:t>
      </w:r>
      <w:r>
        <w:rPr>
          <w:rFonts w:eastAsia="方正小标宋_GBK"/>
          <w:b/>
          <w:bCs/>
          <w:spacing w:val="160"/>
          <w:sz w:val="72"/>
          <w:szCs w:val="72"/>
        </w:rPr>
        <w:t>文件</w:t>
      </w:r>
      <w:bookmarkEnd w:id="12"/>
    </w:p>
    <w:p>
      <w:pPr>
        <w:spacing w:line="360" w:lineRule="auto"/>
        <w:rPr>
          <w:sz w:val="26"/>
          <w:szCs w:val="26"/>
        </w:rPr>
      </w:pPr>
    </w:p>
    <w:p>
      <w:pPr>
        <w:spacing w:line="360" w:lineRule="auto"/>
        <w:rPr>
          <w:sz w:val="26"/>
          <w:szCs w:val="26"/>
        </w:rPr>
      </w:pPr>
    </w:p>
    <w:p>
      <w:pPr>
        <w:spacing w:line="360" w:lineRule="auto"/>
        <w:rPr>
          <w:sz w:val="26"/>
          <w:szCs w:val="26"/>
        </w:rPr>
      </w:pPr>
    </w:p>
    <w:p>
      <w:pPr>
        <w:pStyle w:val="2"/>
        <w:spacing w:line="360" w:lineRule="auto"/>
      </w:pPr>
    </w:p>
    <w:p>
      <w:pPr>
        <w:spacing w:line="360" w:lineRule="auto"/>
        <w:rPr>
          <w:sz w:val="26"/>
          <w:szCs w:val="26"/>
        </w:rPr>
      </w:pPr>
    </w:p>
    <w:p>
      <w:pPr>
        <w:spacing w:line="360" w:lineRule="auto"/>
        <w:jc w:val="center"/>
        <w:outlineLvl w:val="0"/>
        <w:rPr>
          <w:rFonts w:eastAsia="黑体"/>
          <w:bCs/>
          <w:sz w:val="30"/>
          <w:szCs w:val="30"/>
        </w:rPr>
      </w:pPr>
      <w:bookmarkStart w:id="13" w:name="_Toc7376"/>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13"/>
      <w:r>
        <w:rPr>
          <w:rFonts w:eastAsia="黑体"/>
          <w:bCs/>
          <w:sz w:val="30"/>
          <w:szCs w:val="30"/>
          <w:u w:val="single"/>
        </w:rPr>
        <w:t xml:space="preserve"> </w:t>
      </w:r>
    </w:p>
    <w:p>
      <w:pPr>
        <w:spacing w:line="360" w:lineRule="auto"/>
        <w:jc w:val="center"/>
        <w:outlineLvl w:val="0"/>
        <w:rPr>
          <w:rFonts w:eastAsia="黑体"/>
          <w:sz w:val="30"/>
          <w:szCs w:val="30"/>
        </w:rPr>
      </w:pPr>
      <w:bookmarkStart w:id="14" w:name="_Toc1745"/>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14"/>
    </w:p>
    <w:p>
      <w:pPr>
        <w:adjustRightInd/>
        <w:snapToGrid/>
        <w:spacing w:line="240" w:lineRule="auto"/>
        <w:jc w:val="left"/>
        <w:outlineLvl w:val="9"/>
        <w:rPr>
          <w:rFonts w:hint="eastAsia" w:ascii="黑体" w:hAnsi="黑体" w:eastAsia="黑体" w:cs="仿宋"/>
          <w:sz w:val="36"/>
          <w:szCs w:val="36"/>
        </w:rPr>
      </w:pPr>
      <w:bookmarkStart w:id="15" w:name="_Toc11266"/>
      <w:r>
        <w:rPr>
          <w:rFonts w:hint="eastAsia" w:ascii="黑体" w:hAnsi="黑体" w:eastAsia="黑体" w:cs="仿宋"/>
          <w:sz w:val="36"/>
          <w:szCs w:val="36"/>
        </w:rPr>
        <w:br w:type="page"/>
      </w: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15"/>
    </w:p>
    <w:p>
      <w:pPr>
        <w:adjustRightInd w:val="0"/>
        <w:snapToGrid w:val="0"/>
        <w:spacing w:line="360" w:lineRule="auto"/>
        <w:jc w:val="both"/>
        <w:rPr>
          <w:rFonts w:ascii="宋体" w:hAnsi="宋体" w:cs="仿宋"/>
          <w:sz w:val="36"/>
          <w:szCs w:val="36"/>
        </w:rPr>
      </w:pPr>
    </w:p>
    <w:p>
      <w:pPr>
        <w:adjustRightInd w:val="0"/>
        <w:snapToGrid w:val="0"/>
        <w:spacing w:line="360" w:lineRule="auto"/>
        <w:jc w:val="both"/>
        <w:outlineLvl w:val="0"/>
        <w:rPr>
          <w:rFonts w:hint="eastAsia" w:ascii="宋体" w:hAnsi="宋体" w:eastAsia="宋体" w:cs="仿宋"/>
          <w:sz w:val="24"/>
          <w:lang w:eastAsia="zh-CN"/>
        </w:rPr>
      </w:pPr>
      <w:bookmarkStart w:id="16" w:name="_Toc22599"/>
      <w:r>
        <w:rPr>
          <w:rFonts w:hint="eastAsia" w:ascii="宋体" w:hAnsi="宋体" w:cs="仿宋"/>
          <w:sz w:val="24"/>
        </w:rPr>
        <w:t>一、响应函</w:t>
      </w:r>
      <w:bookmarkEnd w:id="16"/>
    </w:p>
    <w:p>
      <w:pPr>
        <w:adjustRightInd w:val="0"/>
        <w:snapToGrid w:val="0"/>
        <w:spacing w:line="360" w:lineRule="auto"/>
        <w:jc w:val="both"/>
        <w:outlineLvl w:val="0"/>
        <w:rPr>
          <w:rFonts w:hint="eastAsia" w:ascii="宋体" w:hAnsi="宋体" w:eastAsia="宋体" w:cs="仿宋"/>
          <w:sz w:val="24"/>
          <w:lang w:eastAsia="zh-CN"/>
        </w:rPr>
      </w:pPr>
      <w:bookmarkStart w:id="17" w:name="_Toc28574"/>
      <w:r>
        <w:rPr>
          <w:rFonts w:hint="eastAsia" w:ascii="宋体" w:hAnsi="宋体" w:cs="仿宋"/>
          <w:sz w:val="24"/>
        </w:rPr>
        <w:t>二、授权委托书(适用于有委托代理人的情况)</w:t>
      </w:r>
      <w:bookmarkEnd w:id="17"/>
    </w:p>
    <w:p>
      <w:pPr>
        <w:adjustRightInd w:val="0"/>
        <w:snapToGrid w:val="0"/>
        <w:spacing w:line="360" w:lineRule="auto"/>
        <w:jc w:val="both"/>
        <w:outlineLvl w:val="0"/>
        <w:rPr>
          <w:rFonts w:hint="eastAsia" w:ascii="宋体" w:hAnsi="宋体" w:eastAsia="宋体" w:cs="仿宋"/>
          <w:sz w:val="24"/>
          <w:lang w:eastAsia="zh-CN"/>
        </w:rPr>
      </w:pPr>
      <w:bookmarkStart w:id="18" w:name="_Toc17939"/>
      <w:r>
        <w:rPr>
          <w:rFonts w:hint="eastAsia" w:ascii="宋体" w:hAnsi="宋体" w:cs="仿宋"/>
          <w:sz w:val="24"/>
          <w:lang w:eastAsia="zh-CN"/>
        </w:rPr>
        <w:t>三</w:t>
      </w:r>
      <w:r>
        <w:rPr>
          <w:rFonts w:hint="eastAsia" w:ascii="宋体" w:hAnsi="宋体" w:cs="仿宋"/>
          <w:sz w:val="24"/>
        </w:rPr>
        <w:t>、商务和技术偏差表</w:t>
      </w:r>
      <w:bookmarkEnd w:id="18"/>
    </w:p>
    <w:p>
      <w:pPr>
        <w:adjustRightInd w:val="0"/>
        <w:snapToGrid w:val="0"/>
        <w:spacing w:line="360" w:lineRule="auto"/>
        <w:jc w:val="both"/>
        <w:outlineLvl w:val="0"/>
        <w:rPr>
          <w:rFonts w:hint="eastAsia" w:ascii="宋体" w:hAnsi="宋体" w:eastAsia="宋体" w:cs="仿宋"/>
          <w:sz w:val="24"/>
          <w:lang w:eastAsia="zh-CN"/>
        </w:rPr>
      </w:pPr>
      <w:bookmarkStart w:id="19" w:name="_Toc23159"/>
      <w:r>
        <w:rPr>
          <w:rFonts w:hint="eastAsia" w:ascii="宋体" w:hAnsi="宋体" w:cs="仿宋"/>
          <w:sz w:val="24"/>
          <w:lang w:eastAsia="zh-CN"/>
        </w:rPr>
        <w:t>四</w:t>
      </w:r>
      <w:r>
        <w:rPr>
          <w:rFonts w:hint="eastAsia" w:ascii="宋体" w:hAnsi="宋体" w:cs="仿宋"/>
          <w:sz w:val="24"/>
        </w:rPr>
        <w:t>、报价表</w:t>
      </w:r>
      <w:bookmarkEnd w:id="19"/>
    </w:p>
    <w:p>
      <w:pPr>
        <w:adjustRightInd w:val="0"/>
        <w:snapToGrid w:val="0"/>
        <w:spacing w:line="360" w:lineRule="auto"/>
        <w:jc w:val="both"/>
        <w:outlineLvl w:val="0"/>
        <w:rPr>
          <w:rFonts w:hint="eastAsia" w:ascii="宋体" w:hAnsi="宋体" w:eastAsia="宋体" w:cs="仿宋"/>
          <w:sz w:val="24"/>
          <w:lang w:eastAsia="zh-CN"/>
        </w:rPr>
      </w:pPr>
      <w:bookmarkStart w:id="20" w:name="_Toc20080"/>
      <w:r>
        <w:rPr>
          <w:rFonts w:hint="eastAsia" w:ascii="宋体" w:hAnsi="宋体" w:cs="仿宋"/>
          <w:sz w:val="24"/>
          <w:lang w:eastAsia="zh-CN"/>
        </w:rPr>
        <w:t>五</w:t>
      </w:r>
      <w:r>
        <w:rPr>
          <w:rFonts w:hint="eastAsia" w:ascii="宋体" w:hAnsi="宋体" w:cs="仿宋"/>
          <w:sz w:val="24"/>
        </w:rPr>
        <w:t>、资格审查资料</w:t>
      </w:r>
      <w:bookmarkEnd w:id="20"/>
    </w:p>
    <w:p>
      <w:pPr>
        <w:adjustRightInd w:val="0"/>
        <w:snapToGrid w:val="0"/>
        <w:spacing w:line="360" w:lineRule="auto"/>
        <w:jc w:val="both"/>
        <w:outlineLvl w:val="0"/>
        <w:rPr>
          <w:rFonts w:hint="eastAsia" w:ascii="宋体" w:hAnsi="宋体" w:eastAsia="宋体" w:cs="仿宋"/>
          <w:sz w:val="24"/>
          <w:lang w:eastAsia="zh-CN"/>
        </w:rPr>
      </w:pPr>
      <w:bookmarkStart w:id="21" w:name="_Toc13764"/>
      <w:r>
        <w:rPr>
          <w:rFonts w:hint="eastAsia" w:ascii="宋体" w:hAnsi="宋体" w:cs="仿宋"/>
          <w:sz w:val="24"/>
          <w:lang w:eastAsia="zh-CN"/>
        </w:rPr>
        <w:t>六</w:t>
      </w:r>
      <w:r>
        <w:rPr>
          <w:rFonts w:hint="eastAsia" w:ascii="宋体" w:hAnsi="宋体" w:cs="仿宋"/>
          <w:sz w:val="24"/>
        </w:rPr>
        <w:t>、响应方案</w:t>
      </w:r>
      <w:bookmarkEnd w:id="21"/>
    </w:p>
    <w:p>
      <w:pPr>
        <w:adjustRightInd w:val="0"/>
        <w:snapToGrid w:val="0"/>
        <w:spacing w:line="360" w:lineRule="auto"/>
        <w:jc w:val="both"/>
        <w:outlineLvl w:val="0"/>
        <w:rPr>
          <w:rFonts w:ascii="宋体" w:hAnsi="宋体" w:cs="仿宋"/>
          <w:sz w:val="24"/>
        </w:rPr>
      </w:pPr>
      <w:bookmarkStart w:id="22" w:name="_Toc29182"/>
      <w:r>
        <w:rPr>
          <w:rFonts w:hint="eastAsia" w:ascii="宋体" w:hAnsi="宋体" w:cs="仿宋"/>
          <w:sz w:val="24"/>
          <w:lang w:eastAsia="zh-CN"/>
        </w:rPr>
        <w:t>七</w:t>
      </w:r>
      <w:r>
        <w:rPr>
          <w:rFonts w:hint="eastAsia" w:ascii="宋体" w:hAnsi="宋体" w:cs="仿宋"/>
          <w:sz w:val="24"/>
        </w:rPr>
        <w:t>、其他资料</w:t>
      </w:r>
      <w:bookmarkEnd w:id="22"/>
    </w:p>
    <w:p>
      <w:pPr>
        <w:spacing w:line="360" w:lineRule="auto"/>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3"/>
        </w:numPr>
        <w:adjustRightInd w:val="0"/>
        <w:snapToGrid w:val="0"/>
        <w:spacing w:line="360" w:lineRule="auto"/>
        <w:jc w:val="center"/>
        <w:outlineLvl w:val="0"/>
        <w:rPr>
          <w:rFonts w:ascii="黑体" w:hAnsi="黑体" w:eastAsia="黑体" w:cs="仿宋"/>
          <w:sz w:val="36"/>
          <w:szCs w:val="36"/>
        </w:rPr>
      </w:pPr>
      <w:bookmarkStart w:id="23" w:name="_Toc29407"/>
      <w:r>
        <w:rPr>
          <w:rFonts w:hint="eastAsia" w:ascii="黑体" w:hAnsi="黑体" w:eastAsia="黑体" w:cs="仿宋"/>
          <w:sz w:val="36"/>
          <w:szCs w:val="36"/>
        </w:rPr>
        <w:t>响应函</w:t>
      </w:r>
      <w:bookmarkEnd w:id="23"/>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hint="eastAsia" w:ascii="宋体" w:hAnsi="宋体" w:cs="Times New Roman"/>
          <w:sz w:val="24"/>
          <w:lang w:val="en-US" w:eastAsia="zh-CN"/>
        </w:rPr>
      </w:pPr>
    </w:p>
    <w:p>
      <w:pPr>
        <w:adjustRightInd/>
        <w:snapToGrid/>
        <w:spacing w:line="360" w:lineRule="auto"/>
        <w:ind w:firstLine="480" w:firstLineChars="200"/>
        <w:rPr>
          <w:rFonts w:hint="eastAsia" w:ascii="宋体" w:hAnsi="宋体" w:eastAsia="宋体" w:cs="Times New Roman"/>
          <w:sz w:val="24"/>
        </w:rPr>
      </w:pPr>
      <w:r>
        <w:rPr>
          <w:rFonts w:hint="eastAsia" w:ascii="宋体" w:hAnsi="宋体" w:cs="Times New Roman"/>
          <w:sz w:val="24"/>
          <w:lang w:val="en-US" w:eastAsia="zh-CN"/>
        </w:rPr>
        <w:t>1.</w:t>
      </w:r>
      <w:r>
        <w:rPr>
          <w:rFonts w:hint="eastAsia" w:ascii="宋体" w:hAnsi="宋体" w:eastAsia="宋体" w:cs="Times New Roman"/>
          <w:sz w:val="24"/>
        </w:rPr>
        <w:t>我方已仔细研究了</w:t>
      </w:r>
      <w:r>
        <w:rPr>
          <w:rFonts w:hint="eastAsia" w:ascii="宋体" w:hAnsi="宋体" w:cs="Times New Roman"/>
          <w:sz w:val="24"/>
          <w:lang w:val="en-US" w:eastAsia="zh-CN"/>
        </w:rPr>
        <w:t>贵公司《</w:t>
      </w:r>
      <w:r>
        <w:rPr>
          <w:rFonts w:hint="eastAsia" w:ascii="宋体" w:hAnsi="宋体" w:eastAsia="宋体" w:cs="宋体"/>
          <w:bCs/>
          <w:sz w:val="24"/>
          <w:szCs w:val="24"/>
        </w:rPr>
        <w:t>港口</w:t>
      </w:r>
      <w:r>
        <w:rPr>
          <w:rFonts w:hint="eastAsia" w:ascii="宋体" w:hAnsi="宋体" w:eastAsia="宋体" w:cs="宋体"/>
          <w:bCs/>
          <w:sz w:val="24"/>
          <w:szCs w:val="24"/>
          <w:lang w:val="en-US" w:eastAsia="zh-CN"/>
        </w:rPr>
        <w:t>集装箱内货物熏蒸</w:t>
      </w:r>
      <w:r>
        <w:rPr>
          <w:rFonts w:hint="eastAsia" w:ascii="宋体" w:hAnsi="宋体" w:cs="宋体"/>
          <w:bCs/>
          <w:sz w:val="24"/>
          <w:szCs w:val="24"/>
          <w:lang w:val="en-US" w:eastAsia="zh-CN"/>
        </w:rPr>
        <w:t>及消毒</w:t>
      </w:r>
      <w:r>
        <w:rPr>
          <w:rFonts w:hint="eastAsia" w:ascii="宋体" w:hAnsi="宋体" w:eastAsia="宋体" w:cs="宋体"/>
          <w:bCs/>
          <w:color w:val="auto"/>
          <w:sz w:val="24"/>
          <w:szCs w:val="24"/>
          <w:lang w:val="en-US" w:eastAsia="zh-CN"/>
        </w:rPr>
        <w:t>招标</w:t>
      </w:r>
      <w:r>
        <w:rPr>
          <w:rFonts w:hint="eastAsia" w:ascii="宋体" w:hAnsi="宋体" w:eastAsia="宋体" w:cs="宋体"/>
          <w:color w:val="auto"/>
          <w:kern w:val="2"/>
          <w:sz w:val="24"/>
          <w:szCs w:val="24"/>
          <w:lang w:val="en-US" w:eastAsia="zh-CN" w:bidi="ar"/>
        </w:rPr>
        <w:t>项目</w:t>
      </w:r>
      <w:r>
        <w:rPr>
          <w:rFonts w:hint="eastAsia" w:ascii="宋体" w:hAnsi="宋体" w:cs="Times New Roman"/>
          <w:b w:val="0"/>
          <w:bCs w:val="0"/>
          <w:kern w:val="2"/>
          <w:sz w:val="24"/>
          <w:szCs w:val="24"/>
          <w:u w:val="none"/>
          <w:lang w:val="en-US" w:eastAsia="zh-CN" w:bidi="ar"/>
        </w:rPr>
        <w:t>》</w:t>
      </w:r>
      <w:r>
        <w:rPr>
          <w:rFonts w:hint="eastAsia" w:ascii="宋体" w:hAnsi="宋体" w:eastAsia="宋体" w:cs="Times New Roman"/>
          <w:sz w:val="24"/>
        </w:rPr>
        <w:t>采购文件的全部内容，愿意以含税价人民币(大写)</w:t>
      </w:r>
      <w:r>
        <w:rPr>
          <w:rFonts w:hint="eastAsia" w:ascii="宋体" w:hAnsi="宋体" w:eastAsia="宋体" w:cs="Times New Roman"/>
          <w:sz w:val="24"/>
          <w:lang w:val="en-US" w:eastAsia="zh-CN"/>
        </w:rPr>
        <w:t xml:space="preserve">         </w:t>
      </w:r>
      <w:r>
        <w:rPr>
          <w:rFonts w:hint="eastAsia" w:ascii="宋体" w:hAnsi="宋体" w:eastAsia="宋体" w:cs="Times New Roman"/>
          <w:sz w:val="24"/>
        </w:rPr>
        <w:t>(￥</w:t>
      </w:r>
      <w:r>
        <w:rPr>
          <w:rFonts w:hint="eastAsia" w:ascii="宋体" w:hAnsi="宋体" w:eastAsia="宋体" w:cs="Times New Roman"/>
          <w:sz w:val="24"/>
          <w:u w:val="none"/>
        </w:rPr>
        <w:t xml:space="preserve">         </w:t>
      </w:r>
      <w:r>
        <w:rPr>
          <w:rFonts w:hint="eastAsia" w:ascii="宋体" w:hAnsi="宋体" w:eastAsia="宋体" w:cs="Times New Roman"/>
          <w:sz w:val="24"/>
        </w:rPr>
        <w:t>)的报价</w:t>
      </w:r>
      <w:r>
        <w:rPr>
          <w:rFonts w:hint="eastAsia" w:ascii="宋体" w:hAnsi="宋体" w:eastAsia="宋体" w:cs="Times New Roman"/>
          <w:sz w:val="24"/>
          <w:lang w:val="en-US" w:eastAsia="zh-CN"/>
        </w:rPr>
        <w:t>，</w:t>
      </w:r>
      <w:r>
        <w:rPr>
          <w:rFonts w:hint="eastAsia" w:ascii="宋体" w:hAnsi="宋体" w:eastAsia="宋体" w:cs="Times New Roman"/>
          <w:sz w:val="24"/>
        </w:rPr>
        <w:t>（其中：不含税价为:</w:t>
      </w:r>
      <w:r>
        <w:rPr>
          <w:rFonts w:hint="eastAsia" w:ascii="宋体" w:hAnsi="宋体" w:eastAsia="宋体" w:cs="Times New Roman"/>
          <w:sz w:val="24"/>
          <w:u w:val="none"/>
        </w:rPr>
        <w:t xml:space="preserve">       </w:t>
      </w:r>
      <w:r>
        <w:rPr>
          <w:rFonts w:hint="eastAsia" w:ascii="宋体" w:hAnsi="宋体" w:eastAsia="宋体" w:cs="Times New Roman"/>
          <w:sz w:val="24"/>
        </w:rPr>
        <w:t>;增值税税额为:</w:t>
      </w:r>
      <w:r>
        <w:rPr>
          <w:rFonts w:hint="eastAsia" w:ascii="宋体" w:hAnsi="宋体" w:eastAsia="宋体" w:cs="Times New Roman"/>
          <w:sz w:val="24"/>
          <w:u w:val="none"/>
        </w:rPr>
        <w:t xml:space="preserve">            </w:t>
      </w:r>
      <w:r>
        <w:rPr>
          <w:rFonts w:hint="eastAsia" w:ascii="宋体" w:hAnsi="宋体" w:eastAsia="宋体" w:cs="Times New Roman"/>
          <w:sz w:val="24"/>
          <w:lang w:val="en-US" w:eastAsia="zh-CN"/>
        </w:rPr>
        <w:t>提供增值税专用发票</w:t>
      </w:r>
      <w:r>
        <w:rPr>
          <w:rFonts w:hint="eastAsia" w:ascii="宋体" w:hAnsi="宋体" w:eastAsia="宋体" w:cs="Times New Roman"/>
          <w:sz w:val="24"/>
        </w:rPr>
        <w:t>)完成本项目服务，并按合同约定履行义务。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)商务和技术偏差表;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)报价表;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5</w:t>
      </w:r>
      <w:r>
        <w:rPr>
          <w:rFonts w:hint="eastAsia" w:cs="仿宋" w:asciiTheme="minorEastAsia" w:hAnsiTheme="minorEastAsia" w:eastAsiaTheme="minorEastAsia"/>
          <w:sz w:val="24"/>
        </w:rPr>
        <w:t>)资格审查资料;</w:t>
      </w:r>
    </w:p>
    <w:p>
      <w:pPr>
        <w:adjustRightInd w:val="0"/>
        <w:snapToGrid w:val="0"/>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)响应方案;</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其他</w:t>
      </w:r>
      <w:r>
        <w:rPr>
          <w:rFonts w:hint="eastAsia" w:cs="仿宋" w:asciiTheme="minorEastAsia" w:hAnsiTheme="minorEastAsia" w:eastAsiaTheme="minorEastAsia"/>
          <w:sz w:val="24"/>
          <w:lang w:val="en-US" w:eastAsia="zh-CN"/>
        </w:rPr>
        <w:t>资料</w:t>
      </w:r>
      <w:r>
        <w:rPr>
          <w:rFonts w:hint="eastAsia" w:cs="仿宋" w:asciiTheme="minorEastAsia" w:hAnsiTheme="minorEastAsia" w:eastAsiaTheme="minorEastAsia"/>
          <w:sz w:val="24"/>
          <w:lang w:eastAsia="zh-CN"/>
        </w:rPr>
        <w:t>（如有））</w:t>
      </w:r>
      <w:r>
        <w:rPr>
          <w:rFonts w:hint="eastAsia" w:cs="仿宋" w:asciiTheme="minorEastAsia" w:hAnsiTheme="minorEastAsia" w:eastAsiaTheme="minorEastAsia"/>
          <w:sz w:val="24"/>
        </w:rPr>
        <w:t>;</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4"/>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4"/>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)在合同约定的期限内完成合同规定的全部义务。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w:t>
      </w:r>
      <w:r>
        <w:rPr>
          <w:rFonts w:hint="eastAsia" w:cs="仿宋" w:asciiTheme="minorEastAsia" w:hAnsiTheme="minorEastAsia" w:eastAsiaTheme="minorEastAsia"/>
          <w:sz w:val="24"/>
          <w:lang w:val="en-US" w:eastAsia="zh-CN"/>
        </w:rPr>
        <w:t>存</w:t>
      </w:r>
      <w:r>
        <w:rPr>
          <w:rFonts w:hint="eastAsia" w:cs="仿宋" w:asciiTheme="minorEastAsia" w:hAnsiTheme="minorEastAsia" w:eastAsiaTheme="minorEastAsia"/>
          <w:sz w:val="24"/>
        </w:rPr>
        <w:t>在第一章“采购公告”中规定的供应商不得存在的情形。</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360" w:lineRule="auto"/>
        <w:jc w:val="both"/>
        <w:rPr>
          <w:rFonts w:cs="仿宋" w:asciiTheme="minorEastAsia" w:hAnsiTheme="minorEastAsia" w:eastAsiaTheme="minorEastAsia"/>
          <w:sz w:val="24"/>
        </w:rPr>
      </w:pPr>
    </w:p>
    <w:p>
      <w:pPr>
        <w:spacing w:line="360" w:lineRule="auto"/>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36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360" w:lineRule="auto"/>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360" w:lineRule="auto"/>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24" w:name="_Toc27389"/>
      <w:r>
        <w:rPr>
          <w:rFonts w:hint="eastAsia" w:ascii="黑体" w:hAnsi="黑体" w:eastAsia="黑体" w:cs="仿宋"/>
          <w:sz w:val="36"/>
          <w:szCs w:val="36"/>
        </w:rPr>
        <w:t>二、授权委托书</w:t>
      </w:r>
      <w:bookmarkEnd w:id="24"/>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bookmarkStart w:id="25" w:name="_Toc19"/>
      <w:r>
        <w:rPr>
          <w:rFonts w:hint="eastAsia" w:ascii="黑体" w:hAnsi="黑体" w:eastAsia="黑体" w:cs="仿宋"/>
          <w:sz w:val="36"/>
          <w:szCs w:val="36"/>
          <w:lang w:eastAsia="zh-CN"/>
        </w:rPr>
        <w:t>三</w:t>
      </w:r>
      <w:r>
        <w:rPr>
          <w:rFonts w:hint="eastAsia" w:ascii="黑体" w:hAnsi="黑体" w:eastAsia="黑体" w:cs="仿宋"/>
          <w:sz w:val="36"/>
          <w:szCs w:val="36"/>
        </w:rPr>
        <w:t>、商务和技术偏差表</w:t>
      </w:r>
      <w:bookmarkEnd w:id="25"/>
    </w:p>
    <w:p>
      <w:pPr>
        <w:spacing w:line="360" w:lineRule="auto"/>
        <w:jc w:val="center"/>
        <w:rPr>
          <w:rFonts w:cs="仿宋" w:asciiTheme="minorEastAsia" w:hAnsiTheme="minorEastAsia" w:eastAsiaTheme="minorEastAsia"/>
          <w:sz w:val="24"/>
        </w:rPr>
      </w:pPr>
    </w:p>
    <w:tbl>
      <w:tblPr>
        <w:tblStyle w:val="4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982"/>
        <w:gridCol w:w="262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982"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21"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307"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360" w:lineRule="auto"/>
              <w:jc w:val="both"/>
              <w:rPr>
                <w:rFonts w:cs="仿宋" w:asciiTheme="minorEastAsia" w:hAnsiTheme="minorEastAsia" w:eastAsiaTheme="minorEastAsia"/>
                <w:sz w:val="24"/>
              </w:rPr>
            </w:pPr>
          </w:p>
        </w:tc>
        <w:tc>
          <w:tcPr>
            <w:tcW w:w="2982" w:type="dxa"/>
          </w:tcPr>
          <w:p>
            <w:pPr>
              <w:widowControl/>
              <w:spacing w:line="360" w:lineRule="auto"/>
              <w:jc w:val="both"/>
              <w:rPr>
                <w:rFonts w:cs="仿宋" w:asciiTheme="minorEastAsia" w:hAnsiTheme="minorEastAsia" w:eastAsiaTheme="minorEastAsia"/>
                <w:sz w:val="24"/>
              </w:rPr>
            </w:pPr>
          </w:p>
        </w:tc>
        <w:tc>
          <w:tcPr>
            <w:tcW w:w="2621" w:type="dxa"/>
          </w:tcPr>
          <w:p>
            <w:pPr>
              <w:widowControl/>
              <w:spacing w:line="360" w:lineRule="auto"/>
              <w:jc w:val="both"/>
              <w:rPr>
                <w:rFonts w:cs="仿宋" w:asciiTheme="minorEastAsia" w:hAnsiTheme="minorEastAsia" w:eastAsiaTheme="minorEastAsia"/>
                <w:sz w:val="24"/>
              </w:rPr>
            </w:pPr>
          </w:p>
        </w:tc>
        <w:tc>
          <w:tcPr>
            <w:tcW w:w="2307"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360" w:lineRule="auto"/>
              <w:jc w:val="both"/>
              <w:rPr>
                <w:rFonts w:cs="仿宋" w:asciiTheme="minorEastAsia" w:hAnsiTheme="minorEastAsia" w:eastAsiaTheme="minorEastAsia"/>
                <w:sz w:val="24"/>
              </w:rPr>
            </w:pPr>
          </w:p>
        </w:tc>
        <w:tc>
          <w:tcPr>
            <w:tcW w:w="2982" w:type="dxa"/>
          </w:tcPr>
          <w:p>
            <w:pPr>
              <w:widowControl/>
              <w:spacing w:line="360" w:lineRule="auto"/>
              <w:jc w:val="both"/>
              <w:rPr>
                <w:rFonts w:cs="仿宋" w:asciiTheme="minorEastAsia" w:hAnsiTheme="minorEastAsia" w:eastAsiaTheme="minorEastAsia"/>
                <w:sz w:val="24"/>
              </w:rPr>
            </w:pPr>
          </w:p>
        </w:tc>
        <w:tc>
          <w:tcPr>
            <w:tcW w:w="2621" w:type="dxa"/>
          </w:tcPr>
          <w:p>
            <w:pPr>
              <w:widowControl/>
              <w:spacing w:line="360" w:lineRule="auto"/>
              <w:jc w:val="both"/>
              <w:rPr>
                <w:rFonts w:cs="仿宋" w:asciiTheme="minorEastAsia" w:hAnsiTheme="minorEastAsia" w:eastAsiaTheme="minorEastAsia"/>
                <w:sz w:val="24"/>
              </w:rPr>
            </w:pPr>
          </w:p>
        </w:tc>
        <w:tc>
          <w:tcPr>
            <w:tcW w:w="2307"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360" w:lineRule="auto"/>
              <w:jc w:val="both"/>
              <w:rPr>
                <w:rFonts w:cs="仿宋" w:asciiTheme="minorEastAsia" w:hAnsiTheme="minorEastAsia" w:eastAsiaTheme="minorEastAsia"/>
                <w:sz w:val="24"/>
              </w:rPr>
            </w:pPr>
          </w:p>
        </w:tc>
        <w:tc>
          <w:tcPr>
            <w:tcW w:w="2982" w:type="dxa"/>
          </w:tcPr>
          <w:p>
            <w:pPr>
              <w:widowControl/>
              <w:spacing w:line="360" w:lineRule="auto"/>
              <w:jc w:val="both"/>
              <w:rPr>
                <w:rFonts w:cs="仿宋" w:asciiTheme="minorEastAsia" w:hAnsiTheme="minorEastAsia" w:eastAsiaTheme="minorEastAsia"/>
                <w:sz w:val="24"/>
              </w:rPr>
            </w:pPr>
          </w:p>
        </w:tc>
        <w:tc>
          <w:tcPr>
            <w:tcW w:w="2621" w:type="dxa"/>
          </w:tcPr>
          <w:p>
            <w:pPr>
              <w:widowControl/>
              <w:spacing w:line="360" w:lineRule="auto"/>
              <w:jc w:val="both"/>
              <w:rPr>
                <w:rFonts w:cs="仿宋" w:asciiTheme="minorEastAsia" w:hAnsiTheme="minorEastAsia" w:eastAsiaTheme="minorEastAsia"/>
                <w:sz w:val="24"/>
              </w:rPr>
            </w:pPr>
          </w:p>
        </w:tc>
        <w:tc>
          <w:tcPr>
            <w:tcW w:w="2307"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360" w:lineRule="auto"/>
              <w:jc w:val="both"/>
              <w:rPr>
                <w:rFonts w:cs="仿宋" w:asciiTheme="minorEastAsia" w:hAnsiTheme="minorEastAsia" w:eastAsiaTheme="minorEastAsia"/>
                <w:sz w:val="24"/>
              </w:rPr>
            </w:pPr>
          </w:p>
        </w:tc>
        <w:tc>
          <w:tcPr>
            <w:tcW w:w="2982" w:type="dxa"/>
          </w:tcPr>
          <w:p>
            <w:pPr>
              <w:widowControl/>
              <w:spacing w:line="360" w:lineRule="auto"/>
              <w:jc w:val="both"/>
              <w:rPr>
                <w:rFonts w:cs="仿宋" w:asciiTheme="minorEastAsia" w:hAnsiTheme="minorEastAsia" w:eastAsiaTheme="minorEastAsia"/>
                <w:sz w:val="24"/>
              </w:rPr>
            </w:pPr>
          </w:p>
        </w:tc>
        <w:tc>
          <w:tcPr>
            <w:tcW w:w="2621" w:type="dxa"/>
          </w:tcPr>
          <w:p>
            <w:pPr>
              <w:widowControl/>
              <w:spacing w:line="360" w:lineRule="auto"/>
              <w:jc w:val="both"/>
              <w:rPr>
                <w:rFonts w:cs="仿宋" w:asciiTheme="minorEastAsia" w:hAnsiTheme="minorEastAsia" w:eastAsiaTheme="minorEastAsia"/>
                <w:sz w:val="24"/>
              </w:rPr>
            </w:pPr>
          </w:p>
        </w:tc>
        <w:tc>
          <w:tcPr>
            <w:tcW w:w="2307" w:type="dxa"/>
          </w:tcPr>
          <w:p>
            <w:pPr>
              <w:widowControl/>
              <w:spacing w:line="360" w:lineRule="auto"/>
              <w:jc w:val="both"/>
              <w:rPr>
                <w:rFonts w:cs="仿宋" w:asciiTheme="minorEastAsia" w:hAnsiTheme="minorEastAsia" w:eastAsiaTheme="minorEastAsia"/>
                <w:sz w:val="24"/>
              </w:rPr>
            </w:pPr>
          </w:p>
        </w:tc>
      </w:tr>
    </w:tbl>
    <w:p>
      <w:p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ind w:left="0"/>
        <w:jc w:val="center"/>
        <w:outlineLvl w:val="0"/>
        <w:rPr>
          <w:rFonts w:ascii="黑体" w:hAnsi="黑体" w:eastAsia="黑体" w:cs="仿宋"/>
          <w:sz w:val="36"/>
          <w:szCs w:val="36"/>
        </w:rPr>
      </w:pPr>
      <w:bookmarkStart w:id="26" w:name="_Toc16238"/>
      <w:r>
        <w:rPr>
          <w:rFonts w:hint="eastAsia" w:ascii="黑体" w:hAnsi="黑体" w:eastAsia="黑体" w:cs="仿宋"/>
          <w:sz w:val="36"/>
          <w:szCs w:val="36"/>
          <w:lang w:eastAsia="zh-CN"/>
        </w:rPr>
        <w:t>四</w:t>
      </w:r>
      <w:r>
        <w:rPr>
          <w:rFonts w:hint="eastAsia" w:ascii="黑体" w:hAnsi="黑体" w:eastAsia="黑体" w:cs="仿宋"/>
          <w:sz w:val="36"/>
          <w:szCs w:val="36"/>
        </w:rPr>
        <w:t>、报价表</w:t>
      </w:r>
      <w:bookmarkEnd w:id="26"/>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1.报价表说明</w:t>
      </w:r>
    </w:p>
    <w:p>
      <w:p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2.报价表</w:t>
      </w:r>
    </w:p>
    <w:p>
      <w:pPr>
        <w:pStyle w:val="2"/>
        <w:jc w:val="right"/>
        <w:rPr>
          <w:rFonts w:hint="default" w:eastAsiaTheme="minorEastAsia"/>
          <w:lang w:val="en-US" w:eastAsia="zh-CN"/>
        </w:rPr>
      </w:pPr>
      <w:r>
        <w:rPr>
          <w:rFonts w:hint="eastAsia" w:cs="仿宋" w:asciiTheme="minorEastAsia" w:hAnsiTheme="minorEastAsia" w:eastAsiaTheme="minorEastAsia"/>
          <w:sz w:val="24"/>
          <w:lang w:val="en-US" w:eastAsia="zh-CN"/>
        </w:rPr>
        <w:t>单位：元</w:t>
      </w:r>
    </w:p>
    <w:tbl>
      <w:tblPr>
        <w:tblStyle w:val="40"/>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519"/>
        <w:gridCol w:w="1307"/>
        <w:gridCol w:w="1443"/>
        <w:gridCol w:w="886"/>
        <w:gridCol w:w="1399"/>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26" w:type="dxa"/>
            <w:vMerge w:val="restart"/>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519" w:type="dxa"/>
            <w:vMerge w:val="restart"/>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服务费用名称</w:t>
            </w:r>
          </w:p>
        </w:tc>
        <w:tc>
          <w:tcPr>
            <w:tcW w:w="1307" w:type="dxa"/>
            <w:vMerge w:val="restart"/>
            <w:vAlign w:val="center"/>
          </w:tcPr>
          <w:p>
            <w:pPr>
              <w:widowControl/>
              <w:spacing w:line="360" w:lineRule="auto"/>
              <w:jc w:val="center"/>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lang w:val="en-US" w:eastAsia="zh-CN"/>
              </w:rPr>
              <w:t>服务期限</w:t>
            </w:r>
          </w:p>
        </w:tc>
        <w:tc>
          <w:tcPr>
            <w:tcW w:w="3728" w:type="dxa"/>
            <w:gridSpan w:val="3"/>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总价</w:t>
            </w:r>
          </w:p>
        </w:tc>
        <w:tc>
          <w:tcPr>
            <w:tcW w:w="1878" w:type="dxa"/>
            <w:vAlign w:val="center"/>
          </w:tcPr>
          <w:p>
            <w:pPr>
              <w:widowControl/>
              <w:spacing w:line="360" w:lineRule="auto"/>
              <w:jc w:val="center"/>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626" w:type="dxa"/>
            <w:vMerge w:val="continue"/>
            <w:vAlign w:val="center"/>
          </w:tcPr>
          <w:p>
            <w:pPr>
              <w:widowControl/>
              <w:spacing w:line="360" w:lineRule="auto"/>
              <w:jc w:val="center"/>
              <w:rPr>
                <w:rFonts w:cs="仿宋" w:asciiTheme="minorEastAsia" w:hAnsiTheme="minorEastAsia" w:eastAsiaTheme="minorEastAsia"/>
                <w:sz w:val="24"/>
              </w:rPr>
            </w:pPr>
          </w:p>
        </w:tc>
        <w:tc>
          <w:tcPr>
            <w:tcW w:w="2519" w:type="dxa"/>
            <w:vMerge w:val="continue"/>
            <w:vAlign w:val="center"/>
          </w:tcPr>
          <w:p>
            <w:pPr>
              <w:widowControl/>
              <w:spacing w:line="360" w:lineRule="auto"/>
              <w:jc w:val="center"/>
              <w:rPr>
                <w:rFonts w:cs="仿宋" w:asciiTheme="minorEastAsia" w:hAnsiTheme="minorEastAsia" w:eastAsiaTheme="minorEastAsia"/>
                <w:sz w:val="24"/>
              </w:rPr>
            </w:pPr>
          </w:p>
        </w:tc>
        <w:tc>
          <w:tcPr>
            <w:tcW w:w="1307" w:type="dxa"/>
            <w:vMerge w:val="continue"/>
            <w:vAlign w:val="center"/>
          </w:tcPr>
          <w:p>
            <w:pPr>
              <w:widowControl/>
              <w:spacing w:line="360" w:lineRule="auto"/>
              <w:jc w:val="center"/>
              <w:rPr>
                <w:rFonts w:cs="仿宋" w:asciiTheme="minorEastAsia" w:hAnsiTheme="minorEastAsia" w:eastAsiaTheme="minorEastAsia"/>
                <w:sz w:val="24"/>
              </w:rPr>
            </w:pPr>
          </w:p>
        </w:tc>
        <w:tc>
          <w:tcPr>
            <w:tcW w:w="1443"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不含税金额</w:t>
            </w:r>
          </w:p>
        </w:tc>
        <w:tc>
          <w:tcPr>
            <w:tcW w:w="886"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税额</w:t>
            </w:r>
          </w:p>
        </w:tc>
        <w:tc>
          <w:tcPr>
            <w:tcW w:w="1399"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价税合计</w:t>
            </w:r>
          </w:p>
        </w:tc>
        <w:tc>
          <w:tcPr>
            <w:tcW w:w="1878" w:type="dxa"/>
            <w:vAlign w:val="center"/>
          </w:tcPr>
          <w:p>
            <w:pPr>
              <w:widowControl/>
              <w:spacing w:line="360" w:lineRule="auto"/>
              <w:jc w:val="center"/>
              <w:rPr>
                <w:rFonts w:hint="default" w:cs="仿宋" w:asciiTheme="minorEastAsia" w:hAnsiTheme="minorEastAsia"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626"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2519" w:type="dxa"/>
            <w:vAlign w:val="center"/>
          </w:tcPr>
          <w:p>
            <w:pPr>
              <w:widowControl/>
              <w:spacing w:line="360" w:lineRule="auto"/>
              <w:jc w:val="center"/>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bCs w:val="0"/>
                <w:sz w:val="24"/>
                <w:szCs w:val="24"/>
                <w:lang w:val="en-US" w:eastAsia="zh-CN"/>
              </w:rPr>
              <w:t>货物熏蒸、消毒服务</w:t>
            </w:r>
          </w:p>
        </w:tc>
        <w:tc>
          <w:tcPr>
            <w:tcW w:w="1307" w:type="dxa"/>
            <w:vAlign w:val="center"/>
          </w:tcPr>
          <w:p>
            <w:pPr>
              <w:widowControl/>
              <w:spacing w:line="360" w:lineRule="auto"/>
              <w:jc w:val="center"/>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1年</w:t>
            </w:r>
          </w:p>
        </w:tc>
        <w:tc>
          <w:tcPr>
            <w:tcW w:w="1443" w:type="dxa"/>
            <w:vAlign w:val="center"/>
          </w:tcPr>
          <w:p>
            <w:pPr>
              <w:widowControl/>
              <w:spacing w:line="360" w:lineRule="auto"/>
              <w:jc w:val="center"/>
              <w:rPr>
                <w:rFonts w:cs="仿宋" w:asciiTheme="minorEastAsia" w:hAnsiTheme="minorEastAsia" w:eastAsiaTheme="minorEastAsia"/>
                <w:sz w:val="24"/>
              </w:rPr>
            </w:pPr>
          </w:p>
        </w:tc>
        <w:tc>
          <w:tcPr>
            <w:tcW w:w="886" w:type="dxa"/>
            <w:vAlign w:val="center"/>
          </w:tcPr>
          <w:p>
            <w:pPr>
              <w:widowControl/>
              <w:spacing w:line="360" w:lineRule="auto"/>
              <w:jc w:val="center"/>
              <w:rPr>
                <w:rFonts w:cs="仿宋" w:asciiTheme="minorEastAsia" w:hAnsiTheme="minorEastAsia" w:eastAsiaTheme="minorEastAsia"/>
                <w:sz w:val="24"/>
              </w:rPr>
            </w:pPr>
          </w:p>
        </w:tc>
        <w:tc>
          <w:tcPr>
            <w:tcW w:w="1399" w:type="dxa"/>
            <w:vAlign w:val="center"/>
          </w:tcPr>
          <w:p>
            <w:pPr>
              <w:widowControl/>
              <w:spacing w:line="360" w:lineRule="auto"/>
              <w:jc w:val="center"/>
              <w:rPr>
                <w:rFonts w:cs="仿宋" w:asciiTheme="minorEastAsia" w:hAnsiTheme="minorEastAsia" w:eastAsiaTheme="minorEastAsia"/>
                <w:sz w:val="24"/>
              </w:rPr>
            </w:pPr>
          </w:p>
        </w:tc>
        <w:tc>
          <w:tcPr>
            <w:tcW w:w="1878" w:type="dxa"/>
            <w:vAlign w:val="center"/>
          </w:tcPr>
          <w:p>
            <w:pPr>
              <w:widowControl/>
              <w:spacing w:line="360"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6781" w:type="dxa"/>
            <w:gridSpan w:val="5"/>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lang w:val="en-US" w:eastAsia="zh-CN"/>
              </w:rPr>
              <w:t>总报价</w:t>
            </w:r>
          </w:p>
        </w:tc>
        <w:tc>
          <w:tcPr>
            <w:tcW w:w="3277" w:type="dxa"/>
            <w:gridSpan w:val="2"/>
            <w:vAlign w:val="center"/>
          </w:tcPr>
          <w:p>
            <w:pPr>
              <w:widowControl/>
              <w:spacing w:line="360" w:lineRule="auto"/>
              <w:jc w:val="center"/>
              <w:rPr>
                <w:rFonts w:hint="eastAsia" w:cs="仿宋" w:asciiTheme="minorEastAsia" w:hAnsiTheme="minorEastAsia" w:eastAsiaTheme="minorEastAsia"/>
                <w:sz w:val="24"/>
                <w:lang w:val="en-US" w:eastAsia="zh-CN"/>
              </w:rPr>
            </w:pPr>
            <w:r>
              <w:rPr>
                <w:rFonts w:hint="default" w:ascii="Arial" w:hAnsi="Arial" w:cs="Arial" w:eastAsiaTheme="minorEastAsia"/>
                <w:sz w:val="24"/>
                <w:lang w:val="en-US" w:eastAsia="zh-CN"/>
              </w:rPr>
              <w:t>¥</w:t>
            </w:r>
            <w:r>
              <w:rPr>
                <w:rFonts w:hint="eastAsia" w:cs="仿宋" w:asciiTheme="minorEastAsia" w:hAnsiTheme="minorEastAsia" w:eastAsiaTheme="minorEastAsia"/>
                <w:sz w:val="24"/>
                <w:lang w:val="en-US" w:eastAsia="zh-CN"/>
              </w:rPr>
              <w:t>：</w:t>
            </w:r>
          </w:p>
        </w:tc>
      </w:tr>
    </w:tbl>
    <w:p>
      <w:pPr>
        <w:spacing w:line="360" w:lineRule="auto"/>
        <w:ind w:left="0" w:leftChars="0"/>
        <w:jc w:val="both"/>
        <w:rPr>
          <w:rFonts w:cs="仿宋" w:asciiTheme="minorEastAsia" w:hAnsiTheme="minorEastAsia" w:eastAsiaTheme="minorEastAsia"/>
          <w:sz w:val="24"/>
        </w:rPr>
      </w:pPr>
      <w:r>
        <w:rPr>
          <w:rFonts w:hint="eastAsia" w:cs="仿宋" w:asciiTheme="minorEastAsia" w:hAnsiTheme="minorEastAsia" w:eastAsiaTheme="minorEastAsia"/>
          <w:sz w:val="24"/>
        </w:rPr>
        <w:t>注：</w:t>
      </w:r>
      <w:r>
        <w:rPr>
          <w:rFonts w:hint="eastAsia" w:cs="仿宋" w:asciiTheme="minorEastAsia" w:hAnsiTheme="minorEastAsia" w:eastAsiaTheme="minorEastAsia"/>
          <w:sz w:val="24"/>
          <w:lang w:val="en-US" w:eastAsia="zh-CN"/>
        </w:rPr>
        <w:t>本报价为包干价，</w:t>
      </w:r>
      <w:r>
        <w:rPr>
          <w:rFonts w:hint="eastAsia" w:ascii="宋体" w:hAnsi="宋体"/>
          <w:b w:val="0"/>
          <w:bCs w:val="0"/>
          <w:sz w:val="24"/>
          <w:lang w:val="en-US" w:eastAsia="zh-CN"/>
        </w:rPr>
        <w:t>港内进出口货物的熏蒸、消毒、木质包装的熏蒸等，所有人员、熏蒸设备、仪器、消毒用品全部由供应商提供。</w:t>
      </w:r>
    </w:p>
    <w:p>
      <w:pPr>
        <w:rPr>
          <w:rFonts w:hint="eastAsia" w:cs="仿宋" w:asciiTheme="minorEastAsia" w:hAnsiTheme="minorEastAsia" w:eastAsiaTheme="minorEastAsia"/>
          <w:sz w:val="24"/>
          <w:lang w:val="en-US" w:eastAsia="zh-CN"/>
        </w:rPr>
      </w:pPr>
    </w:p>
    <w:p>
      <w:pPr>
        <w:spacing w:line="360" w:lineRule="auto"/>
        <w:ind w:firstLine="3120" w:firstLineChars="1300"/>
        <w:jc w:val="center"/>
        <w:outlineLvl w:val="9"/>
        <w:rPr>
          <w:rFonts w:hint="default" w:cs="仿宋" w:asciiTheme="minorEastAsia" w:hAnsiTheme="minorEastAsia" w:eastAsiaTheme="minorEastAsia"/>
          <w:sz w:val="24"/>
          <w:szCs w:val="24"/>
          <w:u w:val="single"/>
          <w:lang w:val="en-US" w:eastAsia="zh-CN"/>
        </w:rPr>
      </w:pPr>
      <w:bookmarkStart w:id="27" w:name="_Toc24758"/>
      <w:r>
        <w:rPr>
          <w:rFonts w:hint="eastAsia" w:cs="仿宋" w:asciiTheme="minorEastAsia" w:hAnsiTheme="minorEastAsia" w:eastAsiaTheme="minorEastAsia"/>
          <w:sz w:val="24"/>
          <w:szCs w:val="24"/>
          <w:lang w:val="en-US" w:eastAsia="zh-CN"/>
        </w:rPr>
        <w:t>供应商名称（盖章）：</w:t>
      </w:r>
      <w:r>
        <w:rPr>
          <w:rFonts w:hint="eastAsia" w:cs="仿宋" w:asciiTheme="minorEastAsia" w:hAnsiTheme="minorEastAsia" w:eastAsiaTheme="minorEastAsia"/>
          <w:sz w:val="24"/>
          <w:szCs w:val="24"/>
          <w:u w:val="single"/>
          <w:lang w:val="en-US" w:eastAsia="zh-CN"/>
        </w:rPr>
        <w:t xml:space="preserve">                  </w:t>
      </w:r>
    </w:p>
    <w:p>
      <w:pPr>
        <w:spacing w:line="360" w:lineRule="auto"/>
        <w:jc w:val="right"/>
        <w:outlineLvl w:val="9"/>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年    月    日</w:t>
      </w:r>
    </w:p>
    <w:p>
      <w:pPr>
        <w:spacing w:line="240" w:lineRule="auto"/>
        <w:jc w:val="left"/>
        <w:outlineLvl w:val="9"/>
        <w:rPr>
          <w:rFonts w:hint="eastAsia" w:ascii="黑体" w:hAnsi="黑体" w:eastAsia="黑体" w:cs="仿宋"/>
          <w:sz w:val="36"/>
          <w:szCs w:val="36"/>
          <w:lang w:val="en-US" w:eastAsia="zh-CN"/>
        </w:rPr>
      </w:pPr>
      <w:r>
        <w:rPr>
          <w:rFonts w:hint="eastAsia" w:ascii="黑体" w:hAnsi="黑体" w:eastAsia="黑体" w:cs="仿宋"/>
          <w:sz w:val="36"/>
          <w:szCs w:val="36"/>
          <w:lang w:val="en-US" w:eastAsia="zh-CN"/>
        </w:rPr>
        <w:br w:type="page"/>
      </w:r>
    </w:p>
    <w:p>
      <w:pPr>
        <w:spacing w:line="360" w:lineRule="auto"/>
        <w:jc w:val="both"/>
        <w:outlineLvl w:val="9"/>
        <w:rPr>
          <w:rFonts w:ascii="黑体" w:hAnsi="黑体" w:eastAsia="黑体" w:cs="仿宋"/>
          <w:sz w:val="36"/>
          <w:szCs w:val="36"/>
        </w:rPr>
      </w:pPr>
      <w:r>
        <w:rPr>
          <w:rFonts w:hint="eastAsia" w:ascii="黑体" w:hAnsi="黑体" w:eastAsia="黑体" w:cs="仿宋"/>
          <w:sz w:val="36"/>
          <w:szCs w:val="36"/>
          <w:lang w:eastAsia="zh-CN"/>
        </w:rPr>
        <w:t>五</w:t>
      </w:r>
      <w:r>
        <w:rPr>
          <w:rFonts w:hint="eastAsia" w:ascii="黑体" w:hAnsi="黑体" w:eastAsia="黑体" w:cs="仿宋"/>
          <w:sz w:val="36"/>
          <w:szCs w:val="36"/>
        </w:rPr>
        <w:t>、资格审查资料</w:t>
      </w:r>
      <w:bookmarkEnd w:id="27"/>
    </w:p>
    <w:p>
      <w:pPr>
        <w:spacing w:line="360" w:lineRule="auto"/>
        <w:jc w:val="center"/>
        <w:rPr>
          <w:rFonts w:ascii="黑体" w:hAnsi="黑体" w:eastAsia="黑体" w:cs="仿宋"/>
          <w:sz w:val="36"/>
          <w:szCs w:val="36"/>
        </w:rPr>
      </w:pP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供应商还应根据供应商须知前地表第3.5（5）项和第3.5（8）项的要求提供其他相关证明材料。</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w:t>
      </w:r>
    </w:p>
    <w:p>
      <w:pPr>
        <w:spacing w:line="360" w:lineRule="auto"/>
        <w:jc w:val="both"/>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（三）近年的类似项目情况表</w:t>
      </w:r>
      <w:r>
        <w:rPr>
          <w:rFonts w:hint="eastAsia" w:cs="仿宋" w:asciiTheme="minorEastAsia" w:hAnsiTheme="minorEastAsia" w:eastAsiaTheme="minorEastAsia"/>
          <w:sz w:val="24"/>
          <w:lang w:val="en-US" w:eastAsia="zh-CN"/>
        </w:rPr>
        <w:t>(需提供1个）</w:t>
      </w:r>
    </w:p>
    <w:tbl>
      <w:tblPr>
        <w:tblStyle w:val="4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1585"/>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585"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585"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585"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585"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585"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585"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585"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585"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585"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4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360" w:lineRule="auto"/>
              <w:jc w:val="both"/>
              <w:rPr>
                <w:rFonts w:cs="仿宋" w:asciiTheme="minorEastAsia" w:hAnsiTheme="minorEastAsia" w:eastAsiaTheme="minorEastAsia"/>
                <w:sz w:val="24"/>
              </w:rPr>
            </w:pPr>
          </w:p>
        </w:tc>
        <w:tc>
          <w:tcPr>
            <w:tcW w:w="1095" w:type="dxa"/>
            <w:vMerge w:val="continue"/>
          </w:tcPr>
          <w:p>
            <w:pPr>
              <w:widowControl/>
              <w:spacing w:line="360" w:lineRule="auto"/>
              <w:jc w:val="both"/>
              <w:rPr>
                <w:rFonts w:cs="仿宋" w:asciiTheme="minorEastAsia" w:hAnsiTheme="minorEastAsia" w:eastAsiaTheme="minorEastAsia"/>
                <w:sz w:val="24"/>
              </w:rPr>
            </w:pPr>
          </w:p>
        </w:tc>
        <w:tc>
          <w:tcPr>
            <w:tcW w:w="1095" w:type="dxa"/>
            <w:vMerge w:val="continue"/>
          </w:tcPr>
          <w:p>
            <w:pPr>
              <w:widowControl/>
              <w:spacing w:line="360" w:lineRule="auto"/>
              <w:jc w:val="both"/>
              <w:rPr>
                <w:rFonts w:cs="仿宋" w:asciiTheme="minorEastAsia" w:hAnsiTheme="minorEastAsia" w:eastAsiaTheme="minorEastAsia"/>
                <w:sz w:val="24"/>
              </w:rPr>
            </w:pPr>
          </w:p>
        </w:tc>
        <w:tc>
          <w:tcPr>
            <w:tcW w:w="1095" w:type="dxa"/>
            <w:vMerge w:val="continue"/>
          </w:tcPr>
          <w:p>
            <w:pPr>
              <w:widowControl/>
              <w:spacing w:line="360" w:lineRule="auto"/>
              <w:jc w:val="both"/>
              <w:rPr>
                <w:rFonts w:cs="仿宋" w:asciiTheme="minorEastAsia" w:hAnsiTheme="minorEastAsia" w:eastAsiaTheme="minorEastAsia"/>
                <w:sz w:val="24"/>
              </w:rPr>
            </w:pPr>
          </w:p>
        </w:tc>
        <w:tc>
          <w:tcPr>
            <w:tcW w:w="1095" w:type="dxa"/>
            <w:vMerge w:val="continue"/>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asciiTheme="minorEastAsia" w:hAnsiTheme="minorEastAsia" w:eastAsiaTheme="minorEastAsia"/>
          <w:sz w:val="24"/>
        </w:rPr>
      </w:pPr>
      <w:r>
        <w:rPr>
          <w:rFonts w:asciiTheme="minorEastAsia" w:hAnsiTheme="minorEastAsia" w:eastAsiaTheme="minorEastAsia"/>
          <w:sz w:val="24"/>
        </w:rPr>
        <w:br w:type="page"/>
      </w:r>
    </w:p>
    <w:p>
      <w:pPr>
        <w:pStyle w:val="6"/>
        <w:spacing w:before="0" w:after="0" w:line="360" w:lineRule="auto"/>
        <w:jc w:val="both"/>
        <w:rPr>
          <w:rFonts w:asciiTheme="minorEastAsia" w:hAnsiTheme="minorEastAsia" w:eastAsiaTheme="minorEastAsia"/>
          <w:b w:val="0"/>
          <w:sz w:val="24"/>
          <w:szCs w:val="24"/>
        </w:rPr>
      </w:pPr>
      <w:bookmarkStart w:id="28" w:name="_Toc3395"/>
      <w:bookmarkStart w:id="29" w:name="_Toc9243"/>
      <w:bookmarkStart w:id="30" w:name="_Toc2331"/>
      <w:bookmarkStart w:id="31" w:name="_Toc24250"/>
      <w:bookmarkStart w:id="32" w:name="_Toc29608"/>
      <w:r>
        <w:rPr>
          <w:rFonts w:hint="eastAsia" w:asciiTheme="minorEastAsia" w:hAnsiTheme="minorEastAsia" w:eastAsiaTheme="minorEastAsia"/>
          <w:b w:val="0"/>
          <w:sz w:val="24"/>
          <w:szCs w:val="24"/>
        </w:rPr>
        <w:t>（五）主要人员简</w:t>
      </w:r>
      <w:r>
        <w:rPr>
          <w:rFonts w:asciiTheme="minorEastAsia" w:hAnsiTheme="minorEastAsia" w:eastAsiaTheme="minorEastAsia"/>
          <w:b w:val="0"/>
          <w:sz w:val="24"/>
          <w:szCs w:val="24"/>
        </w:rPr>
        <w:t>历表</w:t>
      </w:r>
      <w:bookmarkEnd w:id="28"/>
      <w:bookmarkEnd w:id="29"/>
      <w:bookmarkEnd w:id="30"/>
      <w:bookmarkEnd w:id="31"/>
      <w:bookmarkEnd w:id="32"/>
    </w:p>
    <w:p>
      <w:pPr>
        <w:autoSpaceDE w:val="0"/>
        <w:autoSpaceDN w:val="0"/>
        <w:spacing w:line="360" w:lineRule="auto"/>
        <w:jc w:val="both"/>
        <w:textAlignment w:val="bottom"/>
        <w:rPr>
          <w:rFonts w:asciiTheme="minorEastAsia" w:hAnsiTheme="minorEastAsia" w:eastAsiaTheme="minorEastAsia"/>
          <w:sz w:val="24"/>
        </w:rPr>
      </w:pPr>
    </w:p>
    <w:tbl>
      <w:tblPr>
        <w:tblStyle w:val="39"/>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71" w:type="dxa"/>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671" w:type="dxa"/>
            <w:gridSpan w:val="2"/>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671" w:type="dxa"/>
            <w:gridSpan w:val="2"/>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382" w:type="dxa"/>
            <w:gridSpan w:val="4"/>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323" w:type="dxa"/>
            <w:gridSpan w:val="8"/>
            <w:vAlign w:val="center"/>
          </w:tcPr>
          <w:p>
            <w:pPr>
              <w:autoSpaceDE w:val="0"/>
              <w:autoSpaceDN w:val="0"/>
              <w:spacing w:before="60" w:beforeLines="25" w:after="60" w:afterLines="25" w:line="360" w:lineRule="auto"/>
              <w:ind w:left="53" w:leftChars="-89" w:hanging="240" w:hangingChars="100"/>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2"/>
              <w:adjustRightInd/>
              <w:snapToGrid/>
              <w:spacing w:before="60" w:beforeLines="25" w:after="60" w:afterLines="25" w:line="360" w:lineRule="auto"/>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2"/>
              <w:adjustRightInd/>
              <w:snapToGrid/>
              <w:spacing w:before="60" w:beforeLines="25" w:after="60" w:afterLines="25" w:line="360" w:lineRule="auto"/>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360" w:lineRule="auto"/>
        <w:jc w:val="center"/>
        <w:outlineLvl w:val="0"/>
        <w:rPr>
          <w:rFonts w:hint="eastAsia" w:ascii="黑体" w:hAnsi="黑体" w:eastAsia="黑体" w:cs="仿宋"/>
          <w:sz w:val="36"/>
          <w:szCs w:val="36"/>
          <w:lang w:eastAsia="zh-CN"/>
        </w:rPr>
      </w:pPr>
      <w:bookmarkStart w:id="33" w:name="_Toc2844"/>
      <w:r>
        <w:rPr>
          <w:rFonts w:hint="eastAsia" w:ascii="黑体" w:hAnsi="黑体" w:eastAsia="黑体" w:cs="仿宋"/>
          <w:sz w:val="36"/>
          <w:szCs w:val="36"/>
          <w:lang w:eastAsia="zh-CN"/>
        </w:rPr>
        <w:t>六</w:t>
      </w:r>
      <w:r>
        <w:rPr>
          <w:rFonts w:hint="eastAsia" w:ascii="黑体" w:hAnsi="黑体" w:eastAsia="黑体" w:cs="仿宋"/>
          <w:sz w:val="36"/>
          <w:szCs w:val="36"/>
        </w:rPr>
        <w:t>、响应方案</w:t>
      </w:r>
      <w:bookmarkEnd w:id="33"/>
    </w:p>
    <w:p>
      <w:pPr>
        <w:pStyle w:val="3"/>
        <w:spacing w:line="360" w:lineRule="auto"/>
        <w:rPr>
          <w:rFonts w:hint="eastAsia"/>
          <w:lang w:eastAsia="zh-CN"/>
        </w:rPr>
      </w:pPr>
    </w:p>
    <w:p>
      <w:pPr>
        <w:adjustRightInd w:val="0"/>
        <w:snapToGrid w:val="0"/>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360" w:lineRule="auto"/>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360" w:lineRule="auto"/>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360" w:lineRule="auto"/>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360" w:lineRule="auto"/>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360" w:lineRule="auto"/>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360" w:lineRule="auto"/>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)服务质量、进度、保密等保证措施;</w:t>
      </w:r>
    </w:p>
    <w:p>
      <w:pPr>
        <w:adjustRightInd w:val="0"/>
        <w:snapToGrid w:val="0"/>
        <w:spacing w:line="360" w:lineRule="auto"/>
        <w:ind w:leftChars="200" w:firstLine="0" w:firstLineChars="0"/>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)服务工作重点、难点分析;</w:t>
      </w:r>
    </w:p>
    <w:p>
      <w:pPr>
        <w:adjustRightInd w:val="0"/>
        <w:snapToGrid w:val="0"/>
        <w:spacing w:line="360" w:lineRule="auto"/>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8</w:t>
      </w:r>
      <w:r>
        <w:rPr>
          <w:rFonts w:hint="eastAsia" w:cs="仿宋" w:asciiTheme="minorEastAsia" w:hAnsiTheme="minorEastAsia" w:eastAsiaTheme="minorEastAsia"/>
          <w:sz w:val="24"/>
        </w:rPr>
        <w:t>)对本项目的合理化建议。</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360" w:lineRule="auto"/>
        <w:jc w:val="center"/>
        <w:outlineLvl w:val="0"/>
        <w:rPr>
          <w:rFonts w:ascii="黑体" w:hAnsi="黑体" w:eastAsia="黑体" w:cs="仿宋"/>
          <w:sz w:val="36"/>
          <w:szCs w:val="36"/>
        </w:rPr>
      </w:pPr>
      <w:bookmarkStart w:id="34" w:name="_Toc10499"/>
      <w:r>
        <w:rPr>
          <w:rFonts w:hint="eastAsia" w:ascii="黑体" w:hAnsi="黑体" w:eastAsia="黑体" w:cs="仿宋"/>
          <w:sz w:val="36"/>
          <w:szCs w:val="36"/>
          <w:lang w:eastAsia="zh-CN"/>
        </w:rPr>
        <w:t>七</w:t>
      </w:r>
      <w:r>
        <w:rPr>
          <w:rFonts w:hint="eastAsia" w:ascii="黑体" w:hAnsi="黑体" w:eastAsia="黑体" w:cs="仿宋"/>
          <w:sz w:val="36"/>
          <w:szCs w:val="36"/>
        </w:rPr>
        <w:t>、其他资料</w:t>
      </w:r>
      <w:bookmarkEnd w:id="34"/>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360" w:lineRule="auto"/>
        <w:jc w:val="both"/>
        <w:rPr>
          <w:rFonts w:asciiTheme="minorEastAsia" w:hAnsiTheme="minorEastAsia" w:eastAsiaTheme="minorEastAsia"/>
          <w:sz w:val="24"/>
        </w:rPr>
      </w:pPr>
    </w:p>
    <w:sectPr>
      <w:footerReference r:id="rId5" w:type="default"/>
      <w:pgSz w:w="11906" w:h="16838"/>
      <w:pgMar w:top="1440" w:right="1080" w:bottom="1440" w:left="1080" w:header="851" w:footer="1344" w:gutter="0"/>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9E58A7-9C34-4ECA-BB34-107A41982548}"/>
  </w:font>
  <w:font w:name="黑体">
    <w:panose1 w:val="02010609060101010101"/>
    <w:charset w:val="86"/>
    <w:family w:val="auto"/>
    <w:pitch w:val="default"/>
    <w:sig w:usb0="800002BF" w:usb1="38CF7CFA" w:usb2="00000016" w:usb3="00000000" w:csb0="00040001" w:csb1="00000000"/>
    <w:embedRegular r:id="rId2" w:fontKey="{9979F28C-21A1-4B34-AF29-4F3CD3C565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3" w:fontKey="{E825EF30-1BA2-40DE-8D7B-2D9303353554}"/>
  </w:font>
  <w:font w:name="仿宋">
    <w:panose1 w:val="02010609060101010101"/>
    <w:charset w:val="86"/>
    <w:family w:val="modern"/>
    <w:pitch w:val="default"/>
    <w:sig w:usb0="800002BF" w:usb1="38CF7CFA" w:usb2="00000016" w:usb3="00000000" w:csb0="00040001" w:csb1="00000000"/>
    <w:embedRegular r:id="rId4" w:fontKey="{6354D8A9-BE60-493C-A60A-D057A9EEFEC6}"/>
  </w:font>
  <w:font w:name="Wingdings 2">
    <w:panose1 w:val="05020102010507070707"/>
    <w:charset w:val="00"/>
    <w:family w:val="auto"/>
    <w:pitch w:val="default"/>
    <w:sig w:usb0="00000000" w:usb1="00000000" w:usb2="00000000" w:usb3="00000000" w:csb0="80000000" w:csb1="00000000"/>
    <w:embedRegular r:id="rId5" w:fontKey="{17B3E7CA-4093-41BB-9D00-E8D8B5334008}"/>
  </w:font>
  <w:font w:name="华文中宋">
    <w:panose1 w:val="02010600040101010101"/>
    <w:charset w:val="86"/>
    <w:family w:val="auto"/>
    <w:pitch w:val="default"/>
    <w:sig w:usb0="00000287" w:usb1="080F0000" w:usb2="00000000" w:usb3="00000000" w:csb0="0004009F" w:csb1="DFD70000"/>
    <w:embedRegular r:id="rId6" w:fontKey="{9074335A-E479-4048-BB9A-6736FCA075DA}"/>
  </w:font>
  <w:font w:name="方正小标宋_GBK">
    <w:panose1 w:val="02000000000000000000"/>
    <w:charset w:val="86"/>
    <w:family w:val="script"/>
    <w:pitch w:val="default"/>
    <w:sig w:usb0="A00002BF" w:usb1="38CF7CFA" w:usb2="00082016" w:usb3="00000000" w:csb0="00040001" w:csb1="00000000"/>
    <w:embedRegular r:id="rId7" w:fontKey="{FB7633EF-AD1B-4837-AF70-243C696B430A}"/>
  </w:font>
  <w:font w:name="楷体_GB2312">
    <w:panose1 w:val="02010609030101010101"/>
    <w:charset w:val="86"/>
    <w:family w:val="auto"/>
    <w:pitch w:val="default"/>
    <w:sig w:usb0="00000001" w:usb1="080E0000" w:usb2="00000000" w:usb3="00000000" w:csb0="00040000" w:csb1="00000000"/>
    <w:embedRegular r:id="rId8" w:fontKey="{1E1161A7-4B1B-40DA-B00B-E6BFAE29095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after="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29"/>
        <w:spacing w:line="240" w:lineRule="auto"/>
        <w:ind w:left="0" w:firstLine="0"/>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F26E"/>
    <w:multiLevelType w:val="singleLevel"/>
    <w:tmpl w:val="DBA4F26E"/>
    <w:lvl w:ilvl="0" w:tentative="0">
      <w:start w:val="1"/>
      <w:numFmt w:val="decimal"/>
      <w:suff w:val="nothing"/>
      <w:lvlText w:val="（%1）"/>
      <w:lvlJc w:val="left"/>
    </w:lvl>
  </w:abstractNum>
  <w:abstractNum w:abstractNumId="1">
    <w:nsid w:val="E7D002EB"/>
    <w:multiLevelType w:val="singleLevel"/>
    <w:tmpl w:val="E7D002EB"/>
    <w:lvl w:ilvl="0" w:tentative="0">
      <w:start w:val="1"/>
      <w:numFmt w:val="decimal"/>
      <w:suff w:val="nothing"/>
      <w:lvlText w:val="%1、"/>
      <w:lvlJc w:val="left"/>
    </w:lvl>
  </w:abstractNum>
  <w:abstractNum w:abstractNumId="2">
    <w:nsid w:val="03ECED67"/>
    <w:multiLevelType w:val="singleLevel"/>
    <w:tmpl w:val="03ECED67"/>
    <w:lvl w:ilvl="0" w:tentative="0">
      <w:start w:val="4"/>
      <w:numFmt w:val="decimal"/>
      <w:lvlText w:val="%1."/>
      <w:lvlJc w:val="left"/>
      <w:pPr>
        <w:tabs>
          <w:tab w:val="left" w:pos="312"/>
        </w:tabs>
      </w:pPr>
    </w:lvl>
  </w:abstractNum>
  <w:abstractNum w:abstractNumId="3">
    <w:nsid w:val="3601A173"/>
    <w:multiLevelType w:val="singleLevel"/>
    <w:tmpl w:val="3601A173"/>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lYWNlMGY2NGI4YzZiOGZiMTFkOTgyOWY1MDA0M2MifQ=="/>
  </w:docVars>
  <w:rsids>
    <w:rsidRoot w:val="00124EA9"/>
    <w:rsid w:val="000021E0"/>
    <w:rsid w:val="00002637"/>
    <w:rsid w:val="00004047"/>
    <w:rsid w:val="00010F56"/>
    <w:rsid w:val="00024612"/>
    <w:rsid w:val="00044051"/>
    <w:rsid w:val="00045372"/>
    <w:rsid w:val="00045996"/>
    <w:rsid w:val="00053E1B"/>
    <w:rsid w:val="00077817"/>
    <w:rsid w:val="00080B47"/>
    <w:rsid w:val="000A0047"/>
    <w:rsid w:val="000A7926"/>
    <w:rsid w:val="000B4936"/>
    <w:rsid w:val="000C4E44"/>
    <w:rsid w:val="000C5689"/>
    <w:rsid w:val="000D3A07"/>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40105"/>
    <w:rsid w:val="00244E9B"/>
    <w:rsid w:val="0026094B"/>
    <w:rsid w:val="00281C9C"/>
    <w:rsid w:val="002832EF"/>
    <w:rsid w:val="0028390B"/>
    <w:rsid w:val="00291E30"/>
    <w:rsid w:val="00292A27"/>
    <w:rsid w:val="002A13A6"/>
    <w:rsid w:val="002A3646"/>
    <w:rsid w:val="002A69B8"/>
    <w:rsid w:val="002B225E"/>
    <w:rsid w:val="002B7B11"/>
    <w:rsid w:val="002D3DCC"/>
    <w:rsid w:val="002D460A"/>
    <w:rsid w:val="002E1D5F"/>
    <w:rsid w:val="002F4C12"/>
    <w:rsid w:val="0031048F"/>
    <w:rsid w:val="003220EE"/>
    <w:rsid w:val="003276E9"/>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70E0"/>
    <w:rsid w:val="005B251E"/>
    <w:rsid w:val="005C4BCE"/>
    <w:rsid w:val="005E5529"/>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2014"/>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F3D4A"/>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D5814"/>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75AA"/>
    <w:rsid w:val="00F014DF"/>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2655AD"/>
    <w:rsid w:val="01AC7279"/>
    <w:rsid w:val="01EB3062"/>
    <w:rsid w:val="020866C9"/>
    <w:rsid w:val="030A603B"/>
    <w:rsid w:val="05BE7259"/>
    <w:rsid w:val="05EF1FFE"/>
    <w:rsid w:val="06B00949"/>
    <w:rsid w:val="071C2DD7"/>
    <w:rsid w:val="075521B6"/>
    <w:rsid w:val="08282949"/>
    <w:rsid w:val="089E6C08"/>
    <w:rsid w:val="09C6304D"/>
    <w:rsid w:val="0AED2D32"/>
    <w:rsid w:val="0B49740D"/>
    <w:rsid w:val="0BD57D80"/>
    <w:rsid w:val="0C905B62"/>
    <w:rsid w:val="0D5126FD"/>
    <w:rsid w:val="0DB759FC"/>
    <w:rsid w:val="0DF7539C"/>
    <w:rsid w:val="0E891CDE"/>
    <w:rsid w:val="0EE82EF2"/>
    <w:rsid w:val="0F4A4F73"/>
    <w:rsid w:val="11611BA8"/>
    <w:rsid w:val="119E5E08"/>
    <w:rsid w:val="148860BD"/>
    <w:rsid w:val="16314BAD"/>
    <w:rsid w:val="17594306"/>
    <w:rsid w:val="17D539F2"/>
    <w:rsid w:val="18D76CBF"/>
    <w:rsid w:val="19097045"/>
    <w:rsid w:val="1B4B6E03"/>
    <w:rsid w:val="1C333FF8"/>
    <w:rsid w:val="1CBA3D90"/>
    <w:rsid w:val="1DB17B97"/>
    <w:rsid w:val="1E1F3B60"/>
    <w:rsid w:val="1E72662C"/>
    <w:rsid w:val="1F2E0BFF"/>
    <w:rsid w:val="1FBF76D7"/>
    <w:rsid w:val="20672A87"/>
    <w:rsid w:val="212E078A"/>
    <w:rsid w:val="21D548C2"/>
    <w:rsid w:val="21E52EAF"/>
    <w:rsid w:val="22374804"/>
    <w:rsid w:val="228803D3"/>
    <w:rsid w:val="23332D33"/>
    <w:rsid w:val="264E6DB9"/>
    <w:rsid w:val="26A05072"/>
    <w:rsid w:val="27497EE1"/>
    <w:rsid w:val="283C161E"/>
    <w:rsid w:val="28584B5F"/>
    <w:rsid w:val="2872440F"/>
    <w:rsid w:val="2BF10955"/>
    <w:rsid w:val="2E41641E"/>
    <w:rsid w:val="2E944985"/>
    <w:rsid w:val="2FD26F55"/>
    <w:rsid w:val="30096558"/>
    <w:rsid w:val="30746DBB"/>
    <w:rsid w:val="30DE2DAE"/>
    <w:rsid w:val="316703FC"/>
    <w:rsid w:val="322F4600"/>
    <w:rsid w:val="32756EB2"/>
    <w:rsid w:val="33170500"/>
    <w:rsid w:val="339248A7"/>
    <w:rsid w:val="34874156"/>
    <w:rsid w:val="34A1724E"/>
    <w:rsid w:val="35032B89"/>
    <w:rsid w:val="35A417F6"/>
    <w:rsid w:val="35C420C2"/>
    <w:rsid w:val="361C7B45"/>
    <w:rsid w:val="379B30ED"/>
    <w:rsid w:val="37E36BED"/>
    <w:rsid w:val="382E6E13"/>
    <w:rsid w:val="3A4C1E8C"/>
    <w:rsid w:val="3A6B7785"/>
    <w:rsid w:val="3A6F4B32"/>
    <w:rsid w:val="3B2B40CB"/>
    <w:rsid w:val="3C556793"/>
    <w:rsid w:val="3FB93C81"/>
    <w:rsid w:val="40C9397A"/>
    <w:rsid w:val="41342EE8"/>
    <w:rsid w:val="42E62D18"/>
    <w:rsid w:val="434657F0"/>
    <w:rsid w:val="43C87697"/>
    <w:rsid w:val="43EE0B12"/>
    <w:rsid w:val="449117A5"/>
    <w:rsid w:val="44D14A1F"/>
    <w:rsid w:val="4503099B"/>
    <w:rsid w:val="45162DD6"/>
    <w:rsid w:val="453D7EFA"/>
    <w:rsid w:val="46480423"/>
    <w:rsid w:val="46C44BD5"/>
    <w:rsid w:val="46FD0ED7"/>
    <w:rsid w:val="47D44A52"/>
    <w:rsid w:val="48077812"/>
    <w:rsid w:val="4A323681"/>
    <w:rsid w:val="4A59562C"/>
    <w:rsid w:val="4B2F4D45"/>
    <w:rsid w:val="4B8B5A90"/>
    <w:rsid w:val="4BB73BE9"/>
    <w:rsid w:val="4BEB2031"/>
    <w:rsid w:val="4CB61D2B"/>
    <w:rsid w:val="4CC00FCF"/>
    <w:rsid w:val="4D68004E"/>
    <w:rsid w:val="4E5F0909"/>
    <w:rsid w:val="4E6200BB"/>
    <w:rsid w:val="50203001"/>
    <w:rsid w:val="50E6046F"/>
    <w:rsid w:val="51340172"/>
    <w:rsid w:val="51A839C5"/>
    <w:rsid w:val="538B25AF"/>
    <w:rsid w:val="53FA5EAE"/>
    <w:rsid w:val="546659C5"/>
    <w:rsid w:val="56820D5B"/>
    <w:rsid w:val="57096D7C"/>
    <w:rsid w:val="57AC43C7"/>
    <w:rsid w:val="57CE2BAB"/>
    <w:rsid w:val="57EF0C54"/>
    <w:rsid w:val="58E945C9"/>
    <w:rsid w:val="5B2B6D40"/>
    <w:rsid w:val="5B554F2C"/>
    <w:rsid w:val="5E007081"/>
    <w:rsid w:val="5FA76870"/>
    <w:rsid w:val="5FC5301A"/>
    <w:rsid w:val="60FB1329"/>
    <w:rsid w:val="610D50A3"/>
    <w:rsid w:val="61C51E1D"/>
    <w:rsid w:val="61F73883"/>
    <w:rsid w:val="62525166"/>
    <w:rsid w:val="63310F09"/>
    <w:rsid w:val="63B84F56"/>
    <w:rsid w:val="64EB5EBD"/>
    <w:rsid w:val="663E10C6"/>
    <w:rsid w:val="67DB2C51"/>
    <w:rsid w:val="68562B5B"/>
    <w:rsid w:val="686B311E"/>
    <w:rsid w:val="68FA39A1"/>
    <w:rsid w:val="69F77328"/>
    <w:rsid w:val="6B533C17"/>
    <w:rsid w:val="6D2A2FBF"/>
    <w:rsid w:val="6D2E6B9C"/>
    <w:rsid w:val="6DE456BF"/>
    <w:rsid w:val="6FD45398"/>
    <w:rsid w:val="72B42A5F"/>
    <w:rsid w:val="73965B0B"/>
    <w:rsid w:val="73B6338F"/>
    <w:rsid w:val="73BC5AD9"/>
    <w:rsid w:val="75215CF5"/>
    <w:rsid w:val="760A0DB1"/>
    <w:rsid w:val="764D1C01"/>
    <w:rsid w:val="77C475BB"/>
    <w:rsid w:val="78F3607B"/>
    <w:rsid w:val="7B2974D7"/>
    <w:rsid w:val="7DB135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6">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7">
    <w:name w:val="heading 2"/>
    <w:basedOn w:val="1"/>
    <w:next w:val="8"/>
    <w:link w:val="50"/>
    <w:qFormat/>
    <w:uiPriority w:val="0"/>
    <w:pPr>
      <w:spacing w:before="100" w:beforeAutospacing="1" w:after="100" w:afterAutospacing="1"/>
      <w:outlineLvl w:val="1"/>
    </w:pPr>
    <w:rPr>
      <w:rFonts w:ascii="宋体" w:hAnsi="宋体"/>
      <w:b/>
      <w:bCs/>
      <w:kern w:val="0"/>
      <w:sz w:val="36"/>
      <w:szCs w:val="36"/>
    </w:rPr>
  </w:style>
  <w:style w:type="paragraph" w:styleId="8">
    <w:name w:val="heading 3"/>
    <w:basedOn w:val="7"/>
    <w:next w:val="1"/>
    <w:qFormat/>
    <w:uiPriority w:val="0"/>
    <w:pPr>
      <w:outlineLvl w:val="2"/>
    </w:pPr>
    <w:rPr>
      <w:b w:val="0"/>
      <w:bCs w:val="0"/>
    </w:rPr>
  </w:style>
  <w:style w:type="paragraph" w:styleId="9">
    <w:name w:val="heading 4"/>
    <w:basedOn w:val="1"/>
    <w:next w:val="1"/>
    <w:link w:val="185"/>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link w:val="183"/>
    <w:semiHidden/>
    <w:unhideWhenUsed/>
    <w:qFormat/>
    <w:uiPriority w:val="99"/>
    <w:pPr>
      <w:spacing w:after="120"/>
    </w:pPr>
  </w:style>
  <w:style w:type="paragraph" w:customStyle="1" w:styleId="4">
    <w:name w:val="Body Text Indent 21"/>
    <w:basedOn w:val="1"/>
    <w:next w:val="5"/>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paragraph" w:styleId="5">
    <w:name w:val="header"/>
    <w:basedOn w:val="1"/>
    <w:link w:val="148"/>
    <w:qFormat/>
    <w:uiPriority w:val="99"/>
    <w:pPr>
      <w:snapToGrid w:val="0"/>
    </w:pPr>
    <w:rPr>
      <w:rFonts w:asciiTheme="minorHAnsi" w:hAnsiTheme="minorHAnsi" w:eastAsiaTheme="minorEastAsia" w:cstheme="minorBidi"/>
      <w:sz w:val="18"/>
      <w:szCs w:val="18"/>
    </w:rPr>
  </w:style>
  <w:style w:type="paragraph" w:styleId="10">
    <w:name w:val="index 8"/>
    <w:basedOn w:val="1"/>
    <w:next w:val="1"/>
    <w:qFormat/>
    <w:uiPriority w:val="0"/>
    <w:pPr>
      <w:ind w:left="1680" w:hanging="210"/>
    </w:pPr>
    <w:rPr>
      <w:rFonts w:ascii="Calibri" w:hAnsi="Calibri"/>
      <w:sz w:val="20"/>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index 5"/>
    <w:basedOn w:val="1"/>
    <w:next w:val="1"/>
    <w:qFormat/>
    <w:uiPriority w:val="0"/>
    <w:pPr>
      <w:ind w:left="1050" w:hanging="210"/>
    </w:pPr>
    <w:rPr>
      <w:rFonts w:ascii="Calibri" w:hAnsi="Calibri"/>
      <w:sz w:val="20"/>
      <w:szCs w:val="20"/>
    </w:rPr>
  </w:style>
  <w:style w:type="paragraph" w:styleId="13">
    <w:name w:val="Document Map"/>
    <w:basedOn w:val="1"/>
    <w:link w:val="170"/>
    <w:semiHidden/>
    <w:qFormat/>
    <w:uiPriority w:val="0"/>
    <w:pPr>
      <w:shd w:val="clear" w:color="auto" w:fill="000080"/>
    </w:pPr>
    <w:rPr>
      <w:rFonts w:asciiTheme="minorHAnsi" w:hAnsiTheme="minorHAnsi" w:eastAsiaTheme="minorEastAsia" w:cstheme="minorBidi"/>
    </w:rPr>
  </w:style>
  <w:style w:type="paragraph" w:styleId="14">
    <w:name w:val="annotation text"/>
    <w:basedOn w:val="1"/>
    <w:link w:val="167"/>
    <w:semiHidden/>
    <w:qFormat/>
    <w:uiPriority w:val="0"/>
    <w:rPr>
      <w:rFonts w:asciiTheme="minorHAnsi" w:hAnsiTheme="minorHAnsi" w:eastAsiaTheme="minorEastAsia" w:cstheme="minorBidi"/>
    </w:rPr>
  </w:style>
  <w:style w:type="paragraph" w:styleId="15">
    <w:name w:val="index 6"/>
    <w:basedOn w:val="1"/>
    <w:next w:val="1"/>
    <w:qFormat/>
    <w:uiPriority w:val="0"/>
    <w:pPr>
      <w:ind w:left="1260" w:hanging="210"/>
    </w:pPr>
    <w:rPr>
      <w:rFonts w:ascii="Calibri" w:hAnsi="Calibri"/>
      <w:sz w:val="20"/>
      <w:szCs w:val="20"/>
    </w:rPr>
  </w:style>
  <w:style w:type="paragraph" w:styleId="16">
    <w:name w:val="Body Text 3"/>
    <w:basedOn w:val="1"/>
    <w:link w:val="178"/>
    <w:semiHidden/>
    <w:unhideWhenUsed/>
    <w:qFormat/>
    <w:uiPriority w:val="99"/>
    <w:pPr>
      <w:spacing w:after="120"/>
    </w:pPr>
    <w:rPr>
      <w:sz w:val="16"/>
      <w:szCs w:val="16"/>
    </w:rPr>
  </w:style>
  <w:style w:type="paragraph" w:styleId="17">
    <w:name w:val="Body Text Indent"/>
    <w:basedOn w:val="1"/>
    <w:unhideWhenUsed/>
    <w:qFormat/>
    <w:uiPriority w:val="99"/>
    <w:pPr>
      <w:spacing w:after="120"/>
      <w:ind w:left="420" w:leftChars="200"/>
    </w:pPr>
  </w:style>
  <w:style w:type="paragraph" w:styleId="18">
    <w:name w:val="index 4"/>
    <w:basedOn w:val="1"/>
    <w:next w:val="1"/>
    <w:qFormat/>
    <w:uiPriority w:val="0"/>
    <w:pPr>
      <w:ind w:left="840" w:hanging="210"/>
    </w:pPr>
    <w:rPr>
      <w:rFonts w:ascii="Calibri" w:hAnsi="Calibri"/>
      <w:sz w:val="20"/>
      <w:szCs w:val="20"/>
    </w:rPr>
  </w:style>
  <w:style w:type="paragraph" w:styleId="19">
    <w:name w:val="Plain Text"/>
    <w:basedOn w:val="1"/>
    <w:link w:val="181"/>
    <w:unhideWhenUsed/>
    <w:qFormat/>
    <w:uiPriority w:val="99"/>
    <w:pPr>
      <w:widowControl w:val="0"/>
      <w:spacing w:line="240" w:lineRule="auto"/>
      <w:jc w:val="both"/>
    </w:pPr>
    <w:rPr>
      <w:rFonts w:ascii="宋体" w:hAnsi="Courier New" w:cs="Courier New"/>
      <w:szCs w:val="21"/>
    </w:rPr>
  </w:style>
  <w:style w:type="paragraph" w:styleId="20">
    <w:name w:val="index 3"/>
    <w:basedOn w:val="1"/>
    <w:next w:val="1"/>
    <w:qFormat/>
    <w:uiPriority w:val="0"/>
    <w:pPr>
      <w:ind w:left="630" w:hanging="210"/>
    </w:pPr>
    <w:rPr>
      <w:rFonts w:ascii="Calibri" w:hAnsi="Calibri"/>
      <w:sz w:val="20"/>
      <w:szCs w:val="20"/>
    </w:rPr>
  </w:style>
  <w:style w:type="paragraph" w:styleId="21">
    <w:name w:val="Date"/>
    <w:basedOn w:val="1"/>
    <w:next w:val="1"/>
    <w:link w:val="169"/>
    <w:qFormat/>
    <w:uiPriority w:val="99"/>
    <w:pPr>
      <w:ind w:left="100" w:leftChars="2500"/>
    </w:pPr>
    <w:rPr>
      <w:rFonts w:asciiTheme="minorHAnsi" w:hAnsiTheme="minorHAnsi" w:eastAsiaTheme="minorEastAsia" w:cstheme="minorBidi"/>
    </w:rPr>
  </w:style>
  <w:style w:type="paragraph" w:styleId="22">
    <w:name w:val="Body Text Indent 2"/>
    <w:basedOn w:val="1"/>
    <w:link w:val="159"/>
    <w:qFormat/>
    <w:uiPriority w:val="99"/>
    <w:pPr>
      <w:spacing w:after="120" w:line="480" w:lineRule="auto"/>
      <w:ind w:left="420" w:leftChars="200"/>
    </w:pPr>
    <w:rPr>
      <w:rFonts w:asciiTheme="minorHAnsi" w:hAnsiTheme="minorHAnsi" w:eastAsiaTheme="minorEastAsia" w:cstheme="minorBidi"/>
    </w:rPr>
  </w:style>
  <w:style w:type="paragraph" w:styleId="23">
    <w:name w:val="endnote text"/>
    <w:basedOn w:val="1"/>
    <w:link w:val="176"/>
    <w:semiHidden/>
    <w:qFormat/>
    <w:uiPriority w:val="0"/>
    <w:pPr>
      <w:snapToGrid w:val="0"/>
    </w:pPr>
    <w:rPr>
      <w:rFonts w:asciiTheme="minorHAnsi" w:hAnsiTheme="minorHAnsi" w:eastAsiaTheme="minorEastAsia" w:cstheme="minorBidi"/>
    </w:rPr>
  </w:style>
  <w:style w:type="paragraph" w:styleId="24">
    <w:name w:val="Balloon Text"/>
    <w:basedOn w:val="1"/>
    <w:link w:val="145"/>
    <w:qFormat/>
    <w:uiPriority w:val="99"/>
    <w:rPr>
      <w:rFonts w:asciiTheme="minorHAnsi" w:hAnsiTheme="minorHAnsi" w:eastAsiaTheme="minorEastAsia" w:cstheme="minorBidi"/>
      <w:sz w:val="18"/>
      <w:szCs w:val="18"/>
    </w:rPr>
  </w:style>
  <w:style w:type="paragraph" w:styleId="25">
    <w:name w:val="footer"/>
    <w:basedOn w:val="1"/>
    <w:link w:val="166"/>
    <w:qFormat/>
    <w:uiPriority w:val="99"/>
    <w:pPr>
      <w:snapToGrid w:val="0"/>
      <w:ind w:right="210" w:rightChars="100"/>
      <w:jc w:val="right"/>
    </w:pPr>
    <w:rPr>
      <w:rFonts w:asciiTheme="minorHAnsi" w:hAnsiTheme="minorHAnsi" w:eastAsiaTheme="minorEastAsia" w:cstheme="minorBidi"/>
      <w:sz w:val="18"/>
      <w:szCs w:val="18"/>
    </w:rPr>
  </w:style>
  <w:style w:type="paragraph" w:styleId="26">
    <w:name w:val="toc 1"/>
    <w:basedOn w:val="1"/>
    <w:next w:val="1"/>
    <w:semiHidden/>
    <w:qFormat/>
    <w:uiPriority w:val="0"/>
    <w:pPr>
      <w:tabs>
        <w:tab w:val="right" w:leader="dot" w:pos="9242"/>
      </w:tabs>
      <w:spacing w:beforeLines="25" w:afterLines="25"/>
    </w:pPr>
    <w:rPr>
      <w:rFonts w:ascii="宋体"/>
      <w:szCs w:val="21"/>
    </w:rPr>
  </w:style>
  <w:style w:type="paragraph" w:styleId="27">
    <w:name w:val="index heading"/>
    <w:basedOn w:val="1"/>
    <w:next w:val="28"/>
    <w:qFormat/>
    <w:uiPriority w:val="0"/>
    <w:pPr>
      <w:spacing w:before="120" w:after="120"/>
      <w:jc w:val="center"/>
    </w:pPr>
    <w:rPr>
      <w:rFonts w:ascii="Calibri" w:hAnsi="Calibri"/>
      <w:b/>
      <w:bCs/>
      <w:iCs/>
      <w:szCs w:val="20"/>
    </w:rPr>
  </w:style>
  <w:style w:type="paragraph" w:styleId="28">
    <w:name w:val="index 1"/>
    <w:basedOn w:val="1"/>
    <w:next w:val="1"/>
    <w:unhideWhenUsed/>
    <w:qFormat/>
    <w:uiPriority w:val="0"/>
  </w:style>
  <w:style w:type="paragraph" w:styleId="29">
    <w:name w:val="footnote text"/>
    <w:basedOn w:val="1"/>
    <w:link w:val="155"/>
    <w:qFormat/>
    <w:uiPriority w:val="0"/>
    <w:pPr>
      <w:tabs>
        <w:tab w:val="left" w:pos="0"/>
      </w:tabs>
      <w:snapToGrid w:val="0"/>
      <w:ind w:left="720" w:hanging="357"/>
    </w:pPr>
    <w:rPr>
      <w:rFonts w:ascii="宋体" w:hAnsiTheme="minorHAnsi" w:eastAsiaTheme="minorEastAsia" w:cstheme="minorBidi"/>
      <w:sz w:val="18"/>
      <w:szCs w:val="18"/>
    </w:rPr>
  </w:style>
  <w:style w:type="paragraph" w:styleId="30">
    <w:name w:val="index 7"/>
    <w:basedOn w:val="1"/>
    <w:next w:val="1"/>
    <w:qFormat/>
    <w:uiPriority w:val="0"/>
    <w:pPr>
      <w:ind w:left="1470" w:hanging="210"/>
    </w:pPr>
    <w:rPr>
      <w:rFonts w:ascii="Calibri" w:hAnsi="Calibri"/>
      <w:sz w:val="20"/>
      <w:szCs w:val="20"/>
    </w:rPr>
  </w:style>
  <w:style w:type="paragraph" w:styleId="31">
    <w:name w:val="index 9"/>
    <w:basedOn w:val="1"/>
    <w:next w:val="1"/>
    <w:qFormat/>
    <w:uiPriority w:val="0"/>
    <w:pPr>
      <w:ind w:left="1890" w:hanging="210"/>
    </w:pPr>
    <w:rPr>
      <w:rFonts w:ascii="Calibri" w:hAnsi="Calibri"/>
      <w:sz w:val="20"/>
      <w:szCs w:val="20"/>
    </w:rPr>
  </w:style>
  <w:style w:type="paragraph" w:styleId="32">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3">
    <w:name w:val="HTML Preformatted"/>
    <w:basedOn w:val="1"/>
    <w:link w:val="153"/>
    <w:qFormat/>
    <w:uiPriority w:val="0"/>
    <w:rPr>
      <w:rFonts w:ascii="Courier New" w:hAnsi="Courier New" w:cs="Courier New" w:eastAsiaTheme="minorEastAsia"/>
      <w:szCs w:val="22"/>
    </w:rPr>
  </w:style>
  <w:style w:type="paragraph" w:styleId="34">
    <w:name w:val="Normal (Web)"/>
    <w:basedOn w:val="1"/>
    <w:unhideWhenUsed/>
    <w:qFormat/>
    <w:uiPriority w:val="99"/>
    <w:pPr>
      <w:spacing w:before="100" w:beforeAutospacing="1" w:after="100" w:afterAutospacing="1"/>
    </w:pPr>
    <w:rPr>
      <w:rFonts w:ascii="宋体" w:hAnsi="宋体" w:cs="宋体"/>
      <w:kern w:val="0"/>
      <w:sz w:val="24"/>
    </w:rPr>
  </w:style>
  <w:style w:type="paragraph" w:styleId="35">
    <w:name w:val="index 2"/>
    <w:basedOn w:val="1"/>
    <w:next w:val="1"/>
    <w:qFormat/>
    <w:uiPriority w:val="0"/>
    <w:pPr>
      <w:ind w:left="420" w:hanging="210"/>
    </w:pPr>
    <w:rPr>
      <w:rFonts w:ascii="Calibri" w:hAnsi="Calibri"/>
      <w:sz w:val="20"/>
      <w:szCs w:val="20"/>
    </w:rPr>
  </w:style>
  <w:style w:type="paragraph" w:styleId="36">
    <w:name w:val="Title"/>
    <w:basedOn w:val="1"/>
    <w:link w:val="179"/>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175"/>
    <w:semiHidden/>
    <w:qFormat/>
    <w:uiPriority w:val="0"/>
    <w:rPr>
      <w:b/>
      <w:bCs/>
    </w:rPr>
  </w:style>
  <w:style w:type="paragraph" w:styleId="38">
    <w:name w:val="Body Text First Indent 2"/>
    <w:basedOn w:val="17"/>
    <w:semiHidden/>
    <w:unhideWhenUsed/>
    <w:qFormat/>
    <w:uiPriority w:val="99"/>
    <w:pPr>
      <w:ind w:firstLine="420" w:firstLineChars="200"/>
    </w:pPr>
  </w:style>
  <w:style w:type="table" w:styleId="40">
    <w:name w:val="Table Grid"/>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bCs/>
    </w:rPr>
  </w:style>
  <w:style w:type="character" w:styleId="43">
    <w:name w:val="page number"/>
    <w:qFormat/>
    <w:uiPriority w:val="99"/>
    <w:rPr>
      <w:rFonts w:ascii="Times New Roman" w:hAnsi="Times New Roman" w:eastAsia="宋体"/>
      <w:sz w:val="18"/>
    </w:rPr>
  </w:style>
  <w:style w:type="character" w:styleId="44">
    <w:name w:val="FollowedHyperlink"/>
    <w:qFormat/>
    <w:uiPriority w:val="0"/>
    <w:rPr>
      <w:color w:val="800080"/>
      <w:u w:val="single"/>
    </w:rPr>
  </w:style>
  <w:style w:type="character" w:styleId="45">
    <w:name w:val="Emphasis"/>
    <w:qFormat/>
    <w:uiPriority w:val="20"/>
    <w:rPr>
      <w:color w:val="CC0000"/>
    </w:rPr>
  </w:style>
  <w:style w:type="character" w:styleId="46">
    <w:name w:val="Hyperlink"/>
    <w:qFormat/>
    <w:uiPriority w:val="99"/>
    <w:rPr>
      <w:color w:val="0000FF"/>
      <w:spacing w:val="0"/>
      <w:w w:val="100"/>
      <w:szCs w:val="21"/>
      <w:u w:val="single"/>
      <w:lang w:val="en-US" w:eastAsia="zh-CN"/>
    </w:rPr>
  </w:style>
  <w:style w:type="character" w:styleId="47">
    <w:name w:val="footnote reference"/>
    <w:qFormat/>
    <w:uiPriority w:val="0"/>
    <w:rPr>
      <w:vertAlign w:val="superscript"/>
    </w:rPr>
  </w:style>
  <w:style w:type="paragraph" w:customStyle="1" w:styleId="48">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49">
    <w:name w:val="标题 1 字符"/>
    <w:basedOn w:val="41"/>
    <w:link w:val="6"/>
    <w:qFormat/>
    <w:uiPriority w:val="0"/>
    <w:rPr>
      <w:rFonts w:ascii="Times New Roman" w:hAnsi="Times New Roman" w:eastAsia="宋体" w:cs="Times New Roman"/>
      <w:b/>
      <w:bCs/>
      <w:kern w:val="44"/>
      <w:sz w:val="44"/>
      <w:szCs w:val="44"/>
    </w:rPr>
  </w:style>
  <w:style w:type="character" w:customStyle="1" w:styleId="50">
    <w:name w:val="标题 2 字符"/>
    <w:basedOn w:val="41"/>
    <w:link w:val="7"/>
    <w:qFormat/>
    <w:uiPriority w:val="0"/>
    <w:rPr>
      <w:rFonts w:ascii="宋体" w:hAnsi="宋体" w:eastAsia="宋体" w:cs="Times New Roman"/>
      <w:b/>
      <w:bCs/>
      <w:kern w:val="0"/>
      <w:sz w:val="36"/>
      <w:szCs w:val="36"/>
    </w:rPr>
  </w:style>
  <w:style w:type="character" w:customStyle="1" w:styleId="51">
    <w:name w:val="批注文字 Char"/>
    <w:semiHidden/>
    <w:qFormat/>
    <w:uiPriority w:val="0"/>
    <w:rPr>
      <w:szCs w:val="24"/>
    </w:rPr>
  </w:style>
  <w:style w:type="character" w:customStyle="1" w:styleId="52">
    <w:name w:val="批注主题 Char"/>
    <w:semiHidden/>
    <w:qFormat/>
    <w:uiPriority w:val="0"/>
    <w:rPr>
      <w:b/>
      <w:bCs/>
      <w:szCs w:val="24"/>
    </w:rPr>
  </w:style>
  <w:style w:type="character" w:customStyle="1" w:styleId="53">
    <w:name w:val="文档结构图 Char"/>
    <w:semiHidden/>
    <w:qFormat/>
    <w:uiPriority w:val="0"/>
    <w:rPr>
      <w:szCs w:val="24"/>
      <w:shd w:val="clear" w:color="auto" w:fill="000080"/>
    </w:rPr>
  </w:style>
  <w:style w:type="character" w:customStyle="1" w:styleId="54">
    <w:name w:val="脚注文本 Char"/>
    <w:qFormat/>
    <w:uiPriority w:val="0"/>
    <w:rPr>
      <w:rFonts w:ascii="宋体"/>
      <w:sz w:val="18"/>
      <w:szCs w:val="18"/>
    </w:rPr>
  </w:style>
  <w:style w:type="character" w:customStyle="1" w:styleId="55">
    <w:name w:val="con"/>
    <w:qFormat/>
    <w:uiPriority w:val="0"/>
  </w:style>
  <w:style w:type="character" w:customStyle="1" w:styleId="56">
    <w:name w:val="bar-label2"/>
    <w:qFormat/>
    <w:uiPriority w:val="99"/>
  </w:style>
  <w:style w:type="character" w:customStyle="1" w:styleId="57">
    <w:name w:val="正文文本缩进 2 Char"/>
    <w:qFormat/>
    <w:uiPriority w:val="99"/>
    <w:rPr>
      <w:szCs w:val="24"/>
    </w:rPr>
  </w:style>
  <w:style w:type="character" w:customStyle="1" w:styleId="58">
    <w:name w:val="日期 Char"/>
    <w:qFormat/>
    <w:uiPriority w:val="99"/>
    <w:rPr>
      <w:szCs w:val="24"/>
    </w:rPr>
  </w:style>
  <w:style w:type="character" w:customStyle="1" w:styleId="59">
    <w:name w:val="页脚 Char"/>
    <w:qFormat/>
    <w:locked/>
    <w:uiPriority w:val="99"/>
    <w:rPr>
      <w:sz w:val="18"/>
      <w:szCs w:val="18"/>
    </w:rPr>
  </w:style>
  <w:style w:type="character" w:customStyle="1" w:styleId="60">
    <w:name w:val="apple-converted-space"/>
    <w:basedOn w:val="41"/>
    <w:qFormat/>
    <w:uiPriority w:val="0"/>
  </w:style>
  <w:style w:type="character" w:customStyle="1" w:styleId="61">
    <w:name w:val="批注框文本 Char"/>
    <w:qFormat/>
    <w:uiPriority w:val="99"/>
    <w:rPr>
      <w:sz w:val="18"/>
      <w:szCs w:val="18"/>
    </w:rPr>
  </w:style>
  <w:style w:type="character" w:customStyle="1" w:styleId="62">
    <w:name w:val="页眉 Char"/>
    <w:qFormat/>
    <w:locked/>
    <w:uiPriority w:val="99"/>
    <w:rPr>
      <w:sz w:val="18"/>
      <w:szCs w:val="18"/>
    </w:rPr>
  </w:style>
  <w:style w:type="character" w:customStyle="1" w:styleId="63">
    <w:name w:val="首示例 Char"/>
    <w:link w:val="64"/>
    <w:qFormat/>
    <w:uiPriority w:val="0"/>
    <w:rPr>
      <w:rFonts w:ascii="宋体" w:hAnsi="宋体"/>
      <w:sz w:val="18"/>
      <w:szCs w:val="18"/>
    </w:rPr>
  </w:style>
  <w:style w:type="paragraph" w:customStyle="1" w:styleId="64">
    <w:name w:val="首示例"/>
    <w:next w:val="65"/>
    <w:link w:val="63"/>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5">
    <w:name w:val="段"/>
    <w:link w:val="66"/>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6">
    <w:name w:val="段 Char"/>
    <w:link w:val="65"/>
    <w:qFormat/>
    <w:uiPriority w:val="0"/>
    <w:rPr>
      <w:rFonts w:ascii="宋体"/>
    </w:rPr>
  </w:style>
  <w:style w:type="character" w:customStyle="1" w:styleId="67">
    <w:name w:val="附录公式 Char"/>
    <w:basedOn w:val="66"/>
    <w:link w:val="68"/>
    <w:qFormat/>
    <w:uiPriority w:val="0"/>
    <w:rPr>
      <w:rFonts w:ascii="宋体"/>
    </w:rPr>
  </w:style>
  <w:style w:type="paragraph" w:customStyle="1" w:styleId="68">
    <w:name w:val="附录公式"/>
    <w:basedOn w:val="65"/>
    <w:next w:val="65"/>
    <w:link w:val="67"/>
    <w:qFormat/>
    <w:uiPriority w:val="0"/>
  </w:style>
  <w:style w:type="character" w:customStyle="1" w:styleId="69">
    <w:name w:val="发布"/>
    <w:qFormat/>
    <w:uiPriority w:val="0"/>
    <w:rPr>
      <w:rFonts w:ascii="黑体" w:eastAsia="黑体"/>
      <w:spacing w:val="85"/>
      <w:w w:val="100"/>
      <w:position w:val="3"/>
      <w:sz w:val="28"/>
      <w:szCs w:val="28"/>
    </w:rPr>
  </w:style>
  <w:style w:type="character" w:customStyle="1" w:styleId="70">
    <w:name w:val="一级条标题 Char"/>
    <w:link w:val="71"/>
    <w:qFormat/>
    <w:uiPriority w:val="0"/>
    <w:rPr>
      <w:rFonts w:ascii="黑体" w:eastAsia="黑体"/>
      <w:szCs w:val="21"/>
    </w:rPr>
  </w:style>
  <w:style w:type="paragraph" w:customStyle="1" w:styleId="71">
    <w:name w:val="一级条标题"/>
    <w:next w:val="65"/>
    <w:link w:val="70"/>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2">
    <w:name w:val="HTML 预设格式 Char"/>
    <w:qFormat/>
    <w:uiPriority w:val="0"/>
    <w:rPr>
      <w:rFonts w:ascii="Courier New" w:hAnsi="Courier New" w:cs="Courier New"/>
    </w:rPr>
  </w:style>
  <w:style w:type="character" w:customStyle="1" w:styleId="73">
    <w:name w:val="尾注文本 Char"/>
    <w:semiHidden/>
    <w:qFormat/>
    <w:uiPriority w:val="0"/>
    <w:rPr>
      <w:szCs w:val="24"/>
    </w:rPr>
  </w:style>
  <w:style w:type="paragraph" w:customStyle="1" w:styleId="74">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5">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6">
    <w:name w:val="List Paragraph"/>
    <w:basedOn w:val="1"/>
    <w:qFormat/>
    <w:uiPriority w:val="34"/>
    <w:pPr>
      <w:ind w:firstLine="420" w:firstLineChars="200"/>
    </w:pPr>
    <w:rPr>
      <w:rFonts w:ascii="宋体" w:hAnsi="宋体" w:cs="宋体"/>
      <w:kern w:val="0"/>
      <w:sz w:val="24"/>
    </w:rPr>
  </w:style>
  <w:style w:type="paragraph" w:customStyle="1" w:styleId="77">
    <w:name w:val="封面一致性程度标识2"/>
    <w:basedOn w:val="78"/>
    <w:qFormat/>
    <w:uiPriority w:val="0"/>
    <w:pPr>
      <w:framePr w:wrap="around" w:y="4469"/>
    </w:pPr>
  </w:style>
  <w:style w:type="paragraph" w:customStyle="1" w:styleId="78">
    <w:name w:val="封面一致性程度标识"/>
    <w:basedOn w:val="79"/>
    <w:qFormat/>
    <w:uiPriority w:val="0"/>
    <w:pPr>
      <w:framePr w:wrap="around"/>
      <w:spacing w:before="440"/>
    </w:pPr>
    <w:rPr>
      <w:rFonts w:ascii="宋体" w:eastAsia="宋体"/>
    </w:rPr>
  </w:style>
  <w:style w:type="paragraph" w:customStyle="1" w:styleId="79">
    <w:name w:val="封面标准英文名称"/>
    <w:basedOn w:val="80"/>
    <w:qFormat/>
    <w:uiPriority w:val="0"/>
    <w:pPr>
      <w:framePr w:wrap="around"/>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2"/>
    <w:basedOn w:val="79"/>
    <w:qFormat/>
    <w:uiPriority w:val="0"/>
    <w:pPr>
      <w:framePr w:wrap="around" w:y="4469"/>
    </w:pPr>
  </w:style>
  <w:style w:type="paragraph" w:customStyle="1" w:styleId="82">
    <w:name w:val="其他发布日期"/>
    <w:basedOn w:val="83"/>
    <w:qFormat/>
    <w:uiPriority w:val="0"/>
    <w:pPr>
      <w:framePr w:wrap="around" w:vAnchor="page" w:hAnchor="text" w:x="1419"/>
    </w:pPr>
  </w:style>
  <w:style w:type="paragraph" w:customStyle="1" w:styleId="83">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4">
    <w:name w:val="正文公式编号制表符"/>
    <w:basedOn w:val="65"/>
    <w:next w:val="65"/>
    <w:qFormat/>
    <w:uiPriority w:val="0"/>
    <w:pPr>
      <w:ind w:firstLine="0" w:firstLineChars="0"/>
    </w:pPr>
  </w:style>
  <w:style w:type="paragraph" w:customStyle="1" w:styleId="85">
    <w:name w:val="正文表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6">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7">
    <w:name w:val="一级无"/>
    <w:basedOn w:val="71"/>
    <w:qFormat/>
    <w:uiPriority w:val="0"/>
  </w:style>
  <w:style w:type="paragraph" w:customStyle="1" w:styleId="88">
    <w:name w:val="图的脚注"/>
    <w:next w:val="65"/>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9">
    <w:name w:val="图标脚注说明"/>
    <w:basedOn w:val="65"/>
    <w:qFormat/>
    <w:uiPriority w:val="0"/>
    <w:pPr>
      <w:ind w:left="840" w:hanging="420" w:firstLineChars="0"/>
    </w:pPr>
    <w:rPr>
      <w:sz w:val="18"/>
      <w:szCs w:val="18"/>
    </w:rPr>
  </w:style>
  <w:style w:type="paragraph" w:customStyle="1" w:styleId="90">
    <w:name w:val="示例后文字"/>
    <w:basedOn w:val="65"/>
    <w:next w:val="65"/>
    <w:qFormat/>
    <w:uiPriority w:val="0"/>
    <w:pPr>
      <w:ind w:firstLine="360"/>
    </w:pPr>
    <w:rPr>
      <w:sz w:val="18"/>
    </w:rPr>
  </w:style>
  <w:style w:type="paragraph" w:customStyle="1" w:styleId="91">
    <w:name w:val="实施日期"/>
    <w:basedOn w:val="83"/>
    <w:qFormat/>
    <w:uiPriority w:val="0"/>
    <w:pPr>
      <w:framePr w:wrap="around" w:vAnchor="page" w:hAnchor="text"/>
      <w:jc w:val="right"/>
    </w:pPr>
  </w:style>
  <w:style w:type="paragraph" w:customStyle="1" w:styleId="92">
    <w:name w:val="前言、引言标题"/>
    <w:next w:val="65"/>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6">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7">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8">
    <w:name w:val="条文脚注"/>
    <w:basedOn w:val="29"/>
    <w:qFormat/>
    <w:uiPriority w:val="0"/>
    <w:pPr>
      <w:ind w:left="0" w:firstLine="0"/>
      <w:jc w:val="both"/>
    </w:pPr>
  </w:style>
  <w:style w:type="paragraph" w:customStyle="1" w:styleId="99">
    <w:name w:val="附录一级无"/>
    <w:basedOn w:val="100"/>
    <w:qFormat/>
    <w:uiPriority w:val="0"/>
    <w:pPr>
      <w:tabs>
        <w:tab w:val="left" w:pos="360"/>
      </w:tabs>
      <w:spacing w:beforeLines="0" w:afterLines="0"/>
    </w:pPr>
    <w:rPr>
      <w:rFonts w:ascii="宋体" w:eastAsia="宋体"/>
      <w:szCs w:val="21"/>
    </w:rPr>
  </w:style>
  <w:style w:type="paragraph" w:customStyle="1" w:styleId="100">
    <w:name w:val="附录一级条标题"/>
    <w:basedOn w:val="101"/>
    <w:next w:val="65"/>
    <w:qFormat/>
    <w:uiPriority w:val="0"/>
    <w:pPr>
      <w:tabs>
        <w:tab w:val="left" w:pos="360"/>
      </w:tabs>
      <w:autoSpaceDN w:val="0"/>
      <w:spacing w:beforeLines="50" w:afterLines="50"/>
      <w:outlineLvl w:val="2"/>
    </w:pPr>
  </w:style>
  <w:style w:type="paragraph" w:customStyle="1" w:styleId="101">
    <w:name w:val="附录章标题"/>
    <w:next w:val="65"/>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五级无"/>
    <w:basedOn w:val="103"/>
    <w:qFormat/>
    <w:uiPriority w:val="0"/>
    <w:pPr>
      <w:tabs>
        <w:tab w:val="left" w:pos="360"/>
      </w:tabs>
      <w:spacing w:beforeLines="0" w:afterLines="0"/>
    </w:pPr>
    <w:rPr>
      <w:rFonts w:ascii="宋体" w:eastAsia="宋体"/>
      <w:szCs w:val="21"/>
    </w:rPr>
  </w:style>
  <w:style w:type="paragraph" w:customStyle="1" w:styleId="103">
    <w:name w:val="附录五级条标题"/>
    <w:basedOn w:val="104"/>
    <w:next w:val="65"/>
    <w:qFormat/>
    <w:uiPriority w:val="0"/>
    <w:pPr>
      <w:tabs>
        <w:tab w:val="left" w:pos="360"/>
      </w:tabs>
      <w:outlineLvl w:val="6"/>
    </w:pPr>
  </w:style>
  <w:style w:type="paragraph" w:customStyle="1" w:styleId="104">
    <w:name w:val="附录四级条标题"/>
    <w:basedOn w:val="105"/>
    <w:next w:val="65"/>
    <w:qFormat/>
    <w:uiPriority w:val="0"/>
    <w:pPr>
      <w:tabs>
        <w:tab w:val="left" w:pos="360"/>
      </w:tabs>
    </w:pPr>
  </w:style>
  <w:style w:type="paragraph" w:customStyle="1" w:styleId="105">
    <w:name w:val="附录三级条标题"/>
    <w:basedOn w:val="106"/>
    <w:next w:val="65"/>
    <w:qFormat/>
    <w:uiPriority w:val="0"/>
    <w:pPr>
      <w:tabs>
        <w:tab w:val="left" w:pos="360"/>
      </w:tabs>
    </w:pPr>
  </w:style>
  <w:style w:type="paragraph" w:customStyle="1" w:styleId="106">
    <w:name w:val="附录二级条标题"/>
    <w:basedOn w:val="1"/>
    <w:next w:val="65"/>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图标题"/>
    <w:basedOn w:val="1"/>
    <w:next w:val="65"/>
    <w:qFormat/>
    <w:uiPriority w:val="0"/>
    <w:pPr>
      <w:tabs>
        <w:tab w:val="left" w:pos="363"/>
      </w:tabs>
      <w:spacing w:beforeLines="50" w:afterLines="50"/>
      <w:jc w:val="center"/>
    </w:pPr>
    <w:rPr>
      <w:rFonts w:ascii="黑体" w:eastAsia="黑体"/>
      <w:szCs w:val="21"/>
    </w:rPr>
  </w:style>
  <w:style w:type="paragraph" w:customStyle="1" w:styleId="108">
    <w:name w:val="附录图标号"/>
    <w:basedOn w:val="1"/>
    <w:qFormat/>
    <w:uiPriority w:val="0"/>
    <w:pPr>
      <w:keepNext/>
      <w:pageBreakBefore/>
      <w:spacing w:line="14" w:lineRule="exact"/>
      <w:ind w:firstLine="363"/>
      <w:jc w:val="center"/>
      <w:outlineLvl w:val="0"/>
    </w:pPr>
    <w:rPr>
      <w:color w:val="FFFFFF"/>
    </w:rPr>
  </w:style>
  <w:style w:type="paragraph" w:customStyle="1" w:styleId="109">
    <w:name w:val="附录四级无"/>
    <w:basedOn w:val="104"/>
    <w:qFormat/>
    <w:uiPriority w:val="0"/>
    <w:pPr>
      <w:tabs>
        <w:tab w:val="clear" w:pos="360"/>
      </w:tabs>
      <w:spacing w:beforeLines="0" w:afterLines="0"/>
      <w:outlineLvl w:val="5"/>
    </w:pPr>
    <w:rPr>
      <w:rFonts w:ascii="宋体" w:eastAsia="宋体"/>
      <w:szCs w:val="21"/>
    </w:rPr>
  </w:style>
  <w:style w:type="paragraph" w:customStyle="1" w:styleId="110">
    <w:name w:val="附录三级无"/>
    <w:basedOn w:val="105"/>
    <w:qFormat/>
    <w:uiPriority w:val="0"/>
  </w:style>
  <w:style w:type="paragraph" w:customStyle="1" w:styleId="111">
    <w:name w:val="注："/>
    <w:next w:val="65"/>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2">
    <w:name w:val="附录公式编号制表符"/>
    <w:basedOn w:val="1"/>
    <w:next w:val="65"/>
    <w:qFormat/>
    <w:uiPriority w:val="0"/>
    <w:pPr>
      <w:tabs>
        <w:tab w:val="center" w:pos="4201"/>
        <w:tab w:val="right" w:leader="dot" w:pos="9298"/>
      </w:tabs>
      <w:autoSpaceDE w:val="0"/>
      <w:autoSpaceDN w:val="0"/>
    </w:pPr>
    <w:rPr>
      <w:rFonts w:ascii="宋体"/>
      <w:kern w:val="0"/>
      <w:szCs w:val="20"/>
    </w:rPr>
  </w:style>
  <w:style w:type="paragraph" w:customStyle="1" w:styleId="113">
    <w:name w:val="附录二级无"/>
    <w:basedOn w:val="106"/>
    <w:qFormat/>
    <w:uiPriority w:val="0"/>
  </w:style>
  <w:style w:type="paragraph" w:customStyle="1" w:styleId="114">
    <w:name w:val="附录标题"/>
    <w:basedOn w:val="65"/>
    <w:next w:val="65"/>
    <w:qFormat/>
    <w:uiPriority w:val="0"/>
    <w:pPr>
      <w:ind w:firstLine="0" w:firstLineChars="0"/>
      <w:jc w:val="center"/>
    </w:pPr>
    <w:rPr>
      <w:rFonts w:ascii="黑体" w:eastAsia="黑体"/>
    </w:rPr>
  </w:style>
  <w:style w:type="paragraph" w:customStyle="1" w:styleId="115">
    <w:name w:val="参考文献"/>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6">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7">
    <w:name w:val="封面标准文稿类别"/>
    <w:basedOn w:val="78"/>
    <w:qFormat/>
    <w:uiPriority w:val="0"/>
    <w:pPr>
      <w:framePr w:wrap="around"/>
      <w:spacing w:after="160" w:line="240" w:lineRule="auto"/>
    </w:pPr>
    <w:rPr>
      <w:sz w:val="24"/>
    </w:rPr>
  </w:style>
  <w:style w:type="paragraph" w:customStyle="1" w:styleId="118">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9">
    <w:name w:val="其他实施日期"/>
    <w:basedOn w:val="91"/>
    <w:qFormat/>
    <w:uiPriority w:val="0"/>
    <w:pPr>
      <w:framePr w:wrap="around" w:vAnchor="margin" w:hAnchor="page"/>
    </w:pPr>
  </w:style>
  <w:style w:type="paragraph" w:customStyle="1" w:styleId="1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1">
    <w:name w:val="发布部门"/>
    <w:next w:val="65"/>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2">
    <w:name w:val="注：（正文）"/>
    <w:basedOn w:val="111"/>
    <w:next w:val="65"/>
    <w:qFormat/>
    <w:uiPriority w:val="0"/>
  </w:style>
  <w:style w:type="paragraph" w:customStyle="1" w:styleId="123">
    <w:name w:val="参考文献、索引标题"/>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6">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7">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8">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9">
    <w:name w:val="示例×："/>
    <w:basedOn w:val="130"/>
    <w:qFormat/>
    <w:uiPriority w:val="0"/>
    <w:pPr>
      <w:spacing w:beforeLines="0" w:afterLines="0"/>
      <w:ind w:firstLine="363"/>
      <w:outlineLvl w:val="9"/>
    </w:pPr>
    <w:rPr>
      <w:rFonts w:ascii="宋体" w:eastAsia="宋体"/>
      <w:sz w:val="18"/>
      <w:szCs w:val="18"/>
    </w:rPr>
  </w:style>
  <w:style w:type="paragraph" w:customStyle="1" w:styleId="130">
    <w:name w:val="章标题"/>
    <w:next w:val="65"/>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1">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2">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4">
    <w:name w:val="五级无"/>
    <w:basedOn w:val="135"/>
    <w:qFormat/>
    <w:uiPriority w:val="0"/>
    <w:pPr>
      <w:spacing w:beforeLines="0" w:afterLines="0"/>
      <w:outlineLvl w:val="6"/>
    </w:pPr>
    <w:rPr>
      <w:rFonts w:ascii="宋体" w:eastAsia="宋体"/>
    </w:rPr>
  </w:style>
  <w:style w:type="paragraph" w:customStyle="1" w:styleId="135">
    <w:name w:val="五级条标题"/>
    <w:basedOn w:val="136"/>
    <w:next w:val="65"/>
    <w:qFormat/>
    <w:uiPriority w:val="0"/>
  </w:style>
  <w:style w:type="paragraph" w:customStyle="1" w:styleId="136">
    <w:name w:val="四级条标题"/>
    <w:basedOn w:val="137"/>
    <w:next w:val="65"/>
    <w:qFormat/>
    <w:uiPriority w:val="0"/>
  </w:style>
  <w:style w:type="paragraph" w:customStyle="1" w:styleId="137">
    <w:name w:val="三级条标题"/>
    <w:basedOn w:val="138"/>
    <w:next w:val="65"/>
    <w:qFormat/>
    <w:uiPriority w:val="0"/>
  </w:style>
  <w:style w:type="paragraph" w:customStyle="1" w:styleId="138">
    <w:name w:val="二级条标题"/>
    <w:basedOn w:val="71"/>
    <w:next w:val="65"/>
    <w:qFormat/>
    <w:uiPriority w:val="0"/>
  </w:style>
  <w:style w:type="paragraph" w:customStyle="1" w:styleId="139">
    <w:name w:val="四级无"/>
    <w:basedOn w:val="136"/>
    <w:qFormat/>
    <w:uiPriority w:val="0"/>
  </w:style>
  <w:style w:type="paragraph" w:customStyle="1" w:styleId="140">
    <w:name w:val="三级无"/>
    <w:basedOn w:val="137"/>
    <w:qFormat/>
    <w:uiPriority w:val="0"/>
  </w:style>
  <w:style w:type="paragraph" w:customStyle="1" w:styleId="141">
    <w:name w:val="其他标准标志"/>
    <w:basedOn w:val="125"/>
    <w:qFormat/>
    <w:uiPriority w:val="0"/>
    <w:pPr>
      <w:framePr w:w="6101" w:wrap="around" w:vAnchor="page" w:hAnchor="page" w:x="4673" w:y="942"/>
    </w:pPr>
    <w:rPr>
      <w:w w:val="130"/>
    </w:rPr>
  </w:style>
  <w:style w:type="paragraph" w:customStyle="1" w:styleId="142">
    <w:name w:val="目次、标准名称标题"/>
    <w:basedOn w:val="1"/>
    <w:next w:val="65"/>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4">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5">
    <w:name w:val="批注框文本 字符"/>
    <w:basedOn w:val="41"/>
    <w:link w:val="24"/>
    <w:semiHidden/>
    <w:qFormat/>
    <w:uiPriority w:val="99"/>
    <w:rPr>
      <w:rFonts w:ascii="Times New Roman" w:hAnsi="Times New Roman" w:eastAsia="宋体" w:cs="Times New Roman"/>
      <w:sz w:val="18"/>
      <w:szCs w:val="18"/>
    </w:rPr>
  </w:style>
  <w:style w:type="paragraph" w:customStyle="1" w:styleId="146">
    <w:name w:val="列项◆（三级）"/>
    <w:basedOn w:val="1"/>
    <w:qFormat/>
    <w:uiPriority w:val="99"/>
    <w:pPr>
      <w:tabs>
        <w:tab w:val="left" w:pos="969"/>
      </w:tabs>
      <w:ind w:left="969" w:hanging="414"/>
    </w:pPr>
    <w:rPr>
      <w:rFonts w:ascii="宋体"/>
      <w:szCs w:val="21"/>
    </w:rPr>
  </w:style>
  <w:style w:type="paragraph" w:customStyle="1" w:styleId="147">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8">
    <w:name w:val="页眉 字符"/>
    <w:basedOn w:val="41"/>
    <w:link w:val="5"/>
    <w:semiHidden/>
    <w:qFormat/>
    <w:uiPriority w:val="99"/>
    <w:rPr>
      <w:rFonts w:ascii="Times New Roman" w:hAnsi="Times New Roman" w:eastAsia="宋体" w:cs="Times New Roman"/>
      <w:sz w:val="18"/>
      <w:szCs w:val="18"/>
    </w:rPr>
  </w:style>
  <w:style w:type="paragraph" w:customStyle="1" w:styleId="149">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0">
    <w:name w:val="其他发布部门"/>
    <w:basedOn w:val="121"/>
    <w:qFormat/>
    <w:uiPriority w:val="0"/>
    <w:pPr>
      <w:framePr w:wrap="around" w:y="15310"/>
      <w:spacing w:line="0" w:lineRule="atLeast"/>
    </w:pPr>
    <w:rPr>
      <w:rFonts w:ascii="黑体" w:eastAsia="黑体"/>
      <w:b w:val="0"/>
    </w:rPr>
  </w:style>
  <w:style w:type="paragraph" w:customStyle="1" w:styleId="151">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2">
    <w:name w:val="正文图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3">
    <w:name w:val="HTML 预设格式 字符"/>
    <w:basedOn w:val="41"/>
    <w:link w:val="33"/>
    <w:semiHidden/>
    <w:qFormat/>
    <w:uiPriority w:val="99"/>
    <w:rPr>
      <w:rFonts w:ascii="Courier New" w:hAnsi="Courier New" w:eastAsia="宋体" w:cs="Courier New"/>
      <w:sz w:val="20"/>
      <w:szCs w:val="20"/>
    </w:rPr>
  </w:style>
  <w:style w:type="paragraph" w:customStyle="1" w:styleId="154">
    <w:name w:val="附录标识"/>
    <w:basedOn w:val="1"/>
    <w:next w:val="65"/>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5">
    <w:name w:val="脚注文本 字符"/>
    <w:basedOn w:val="41"/>
    <w:link w:val="29"/>
    <w:semiHidden/>
    <w:qFormat/>
    <w:uiPriority w:val="99"/>
    <w:rPr>
      <w:rFonts w:ascii="Times New Roman" w:hAnsi="Times New Roman" w:eastAsia="宋体" w:cs="Times New Roman"/>
      <w:sz w:val="18"/>
      <w:szCs w:val="18"/>
    </w:rPr>
  </w:style>
  <w:style w:type="paragraph" w:customStyle="1" w:styleId="156">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7">
    <w:name w:val="二级无"/>
    <w:basedOn w:val="138"/>
    <w:qFormat/>
    <w:uiPriority w:val="0"/>
  </w:style>
  <w:style w:type="paragraph" w:customStyle="1" w:styleId="158">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9">
    <w:name w:val="正文文本缩进 2 字符"/>
    <w:basedOn w:val="41"/>
    <w:link w:val="22"/>
    <w:semiHidden/>
    <w:qFormat/>
    <w:uiPriority w:val="99"/>
    <w:rPr>
      <w:rFonts w:ascii="Times New Roman" w:hAnsi="Times New Roman" w:eastAsia="宋体" w:cs="Times New Roman"/>
      <w:szCs w:val="24"/>
    </w:rPr>
  </w:style>
  <w:style w:type="paragraph" w:customStyle="1" w:styleId="160">
    <w:name w:val="封面标准文稿编辑信息2"/>
    <w:basedOn w:val="161"/>
    <w:qFormat/>
    <w:uiPriority w:val="0"/>
    <w:pPr>
      <w:framePr w:wrap="around" w:y="4469"/>
    </w:pPr>
  </w:style>
  <w:style w:type="paragraph" w:customStyle="1" w:styleId="161">
    <w:name w:val="封面标准文稿编辑信息"/>
    <w:basedOn w:val="117"/>
    <w:qFormat/>
    <w:uiPriority w:val="0"/>
    <w:pPr>
      <w:framePr w:wrap="around"/>
      <w:spacing w:before="180" w:line="180" w:lineRule="exact"/>
    </w:pPr>
    <w:rPr>
      <w:sz w:val="21"/>
    </w:rPr>
  </w:style>
  <w:style w:type="paragraph" w:customStyle="1" w:styleId="162">
    <w:name w:val="附录表标题"/>
    <w:basedOn w:val="1"/>
    <w:next w:val="65"/>
    <w:qFormat/>
    <w:uiPriority w:val="0"/>
    <w:pPr>
      <w:tabs>
        <w:tab w:val="left" w:pos="180"/>
      </w:tabs>
      <w:spacing w:beforeLines="50" w:afterLines="50"/>
      <w:jc w:val="center"/>
    </w:pPr>
    <w:rPr>
      <w:rFonts w:ascii="黑体" w:eastAsia="黑体"/>
      <w:szCs w:val="21"/>
    </w:rPr>
  </w:style>
  <w:style w:type="paragraph" w:customStyle="1" w:styleId="163">
    <w:name w:val="标准书眉_偶数页"/>
    <w:basedOn w:val="147"/>
    <w:next w:val="1"/>
    <w:qFormat/>
    <w:uiPriority w:val="0"/>
    <w:pPr>
      <w:jc w:val="left"/>
    </w:pPr>
  </w:style>
  <w:style w:type="paragraph" w:customStyle="1" w:styleId="164">
    <w:name w:val="附录表标号"/>
    <w:basedOn w:val="1"/>
    <w:next w:val="65"/>
    <w:qFormat/>
    <w:uiPriority w:val="0"/>
    <w:pPr>
      <w:spacing w:line="14" w:lineRule="exact"/>
      <w:ind w:left="811" w:hanging="448"/>
      <w:jc w:val="center"/>
      <w:outlineLvl w:val="0"/>
    </w:pPr>
    <w:rPr>
      <w:color w:val="FFFFFF"/>
    </w:rPr>
  </w:style>
  <w:style w:type="paragraph" w:customStyle="1" w:styleId="165">
    <w:name w:val="图表脚注说明"/>
    <w:basedOn w:val="1"/>
    <w:qFormat/>
    <w:uiPriority w:val="0"/>
    <w:pPr>
      <w:ind w:left="544" w:hanging="181"/>
    </w:pPr>
    <w:rPr>
      <w:rFonts w:ascii="宋体"/>
      <w:sz w:val="18"/>
      <w:szCs w:val="18"/>
    </w:rPr>
  </w:style>
  <w:style w:type="character" w:customStyle="1" w:styleId="166">
    <w:name w:val="页脚 字符"/>
    <w:basedOn w:val="41"/>
    <w:link w:val="25"/>
    <w:semiHidden/>
    <w:qFormat/>
    <w:uiPriority w:val="99"/>
    <w:rPr>
      <w:rFonts w:ascii="Times New Roman" w:hAnsi="Times New Roman" w:eastAsia="宋体" w:cs="Times New Roman"/>
      <w:sz w:val="18"/>
      <w:szCs w:val="18"/>
    </w:rPr>
  </w:style>
  <w:style w:type="character" w:customStyle="1" w:styleId="167">
    <w:name w:val="批注文字 字符"/>
    <w:basedOn w:val="41"/>
    <w:link w:val="14"/>
    <w:semiHidden/>
    <w:qFormat/>
    <w:uiPriority w:val="99"/>
    <w:rPr>
      <w:rFonts w:ascii="Times New Roman" w:hAnsi="Times New Roman" w:eastAsia="宋体" w:cs="Times New Roman"/>
      <w:szCs w:val="24"/>
    </w:rPr>
  </w:style>
  <w:style w:type="paragraph" w:customStyle="1" w:styleId="168">
    <w:name w:val="封面标准名称2"/>
    <w:basedOn w:val="80"/>
    <w:qFormat/>
    <w:uiPriority w:val="0"/>
    <w:pPr>
      <w:framePr w:wrap="around" w:y="4469"/>
      <w:spacing w:beforeLines="630"/>
    </w:pPr>
  </w:style>
  <w:style w:type="character" w:customStyle="1" w:styleId="169">
    <w:name w:val="日期 字符"/>
    <w:basedOn w:val="41"/>
    <w:link w:val="21"/>
    <w:semiHidden/>
    <w:qFormat/>
    <w:uiPriority w:val="99"/>
    <w:rPr>
      <w:rFonts w:ascii="Times New Roman" w:hAnsi="Times New Roman" w:eastAsia="宋体" w:cs="Times New Roman"/>
      <w:szCs w:val="24"/>
    </w:rPr>
  </w:style>
  <w:style w:type="character" w:customStyle="1" w:styleId="170">
    <w:name w:val="文档结构图 字符"/>
    <w:basedOn w:val="41"/>
    <w:link w:val="13"/>
    <w:semiHidden/>
    <w:qFormat/>
    <w:uiPriority w:val="99"/>
    <w:rPr>
      <w:rFonts w:ascii="宋体" w:hAnsi="Times New Roman" w:eastAsia="宋体" w:cs="Times New Roman"/>
      <w:sz w:val="18"/>
      <w:szCs w:val="18"/>
    </w:rPr>
  </w:style>
  <w:style w:type="paragraph" w:customStyle="1" w:styleId="171">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2">
    <w:name w:val="封面标准文稿类别2"/>
    <w:basedOn w:val="117"/>
    <w:qFormat/>
    <w:uiPriority w:val="0"/>
    <w:pPr>
      <w:framePr w:wrap="around" w:y="4469"/>
    </w:pPr>
  </w:style>
  <w:style w:type="paragraph" w:customStyle="1" w:styleId="173">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4">
    <w:name w:val="终结线"/>
    <w:basedOn w:val="1"/>
    <w:qFormat/>
    <w:uiPriority w:val="0"/>
    <w:pPr>
      <w:framePr w:hSpace="181" w:vSpace="181" w:wrap="around" w:vAnchor="text" w:hAnchor="margin" w:xAlign="center" w:y="285"/>
    </w:pPr>
  </w:style>
  <w:style w:type="character" w:customStyle="1" w:styleId="175">
    <w:name w:val="批注主题 字符"/>
    <w:basedOn w:val="167"/>
    <w:link w:val="37"/>
    <w:semiHidden/>
    <w:qFormat/>
    <w:uiPriority w:val="99"/>
    <w:rPr>
      <w:rFonts w:ascii="Times New Roman" w:hAnsi="Times New Roman" w:eastAsia="宋体" w:cs="Times New Roman"/>
      <w:b/>
      <w:bCs/>
      <w:szCs w:val="24"/>
    </w:rPr>
  </w:style>
  <w:style w:type="character" w:customStyle="1" w:styleId="176">
    <w:name w:val="尾注文本 字符"/>
    <w:basedOn w:val="41"/>
    <w:link w:val="23"/>
    <w:semiHidden/>
    <w:qFormat/>
    <w:uiPriority w:val="99"/>
    <w:rPr>
      <w:rFonts w:ascii="Times New Roman" w:hAnsi="Times New Roman" w:eastAsia="宋体" w:cs="Times New Roman"/>
      <w:szCs w:val="24"/>
    </w:rPr>
  </w:style>
  <w:style w:type="paragraph" w:customStyle="1" w:styleId="177">
    <w:name w:val="示例"/>
    <w:next w:val="128"/>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8">
    <w:name w:val="正文文本 3 字符"/>
    <w:basedOn w:val="41"/>
    <w:link w:val="16"/>
    <w:semiHidden/>
    <w:qFormat/>
    <w:uiPriority w:val="99"/>
    <w:rPr>
      <w:rFonts w:ascii="Times New Roman" w:hAnsi="Times New Roman" w:eastAsia="宋体" w:cs="Times New Roman"/>
      <w:sz w:val="16"/>
      <w:szCs w:val="16"/>
    </w:rPr>
  </w:style>
  <w:style w:type="character" w:customStyle="1" w:styleId="179">
    <w:name w:val="标题 字符"/>
    <w:basedOn w:val="41"/>
    <w:link w:val="36"/>
    <w:qFormat/>
    <w:uiPriority w:val="0"/>
    <w:rPr>
      <w:rFonts w:ascii="Arial" w:hAnsi="Arial" w:eastAsia="宋体" w:cs="Times New Roman"/>
      <w:b/>
      <w:kern w:val="0"/>
      <w:sz w:val="32"/>
      <w:szCs w:val="20"/>
    </w:rPr>
  </w:style>
  <w:style w:type="paragraph" w:customStyle="1" w:styleId="180">
    <w:name w:val="p0"/>
    <w:basedOn w:val="1"/>
    <w:qFormat/>
    <w:uiPriority w:val="0"/>
    <w:pPr>
      <w:spacing w:line="240" w:lineRule="auto"/>
      <w:jc w:val="both"/>
    </w:pPr>
    <w:rPr>
      <w:kern w:val="0"/>
      <w:szCs w:val="21"/>
    </w:rPr>
  </w:style>
  <w:style w:type="character" w:customStyle="1" w:styleId="181">
    <w:name w:val="纯文本 字符"/>
    <w:basedOn w:val="41"/>
    <w:link w:val="19"/>
    <w:qFormat/>
    <w:uiPriority w:val="99"/>
    <w:rPr>
      <w:rFonts w:ascii="宋体" w:hAnsi="Courier New" w:eastAsia="宋体" w:cs="Courier New"/>
      <w:szCs w:val="21"/>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3">
    <w:name w:val="正文文本 字符"/>
    <w:basedOn w:val="41"/>
    <w:link w:val="3"/>
    <w:semiHidden/>
    <w:qFormat/>
    <w:uiPriority w:val="99"/>
    <w:rPr>
      <w:kern w:val="2"/>
      <w:sz w:val="21"/>
      <w:szCs w:val="24"/>
    </w:rPr>
  </w:style>
  <w:style w:type="paragraph" w:customStyle="1" w:styleId="18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5">
    <w:name w:val="标题 4 字符"/>
    <w:basedOn w:val="41"/>
    <w:link w:val="9"/>
    <w:semiHidden/>
    <w:qFormat/>
    <w:uiPriority w:val="9"/>
    <w:rPr>
      <w:rFonts w:asciiTheme="majorHAnsi" w:hAnsiTheme="majorHAnsi" w:eastAsiaTheme="majorEastAsia" w:cstheme="majorBidi"/>
      <w:b/>
      <w:bCs/>
      <w:kern w:val="2"/>
      <w:sz w:val="28"/>
      <w:szCs w:val="28"/>
    </w:rPr>
  </w:style>
  <w:style w:type="paragraph" w:customStyle="1" w:styleId="186">
    <w:name w:val="_Style 2"/>
    <w:basedOn w:val="6"/>
    <w:next w:val="1"/>
    <w:qFormat/>
    <w:uiPriority w:val="0"/>
    <w:pPr>
      <w:spacing w:before="480" w:after="0" w:line="276" w:lineRule="auto"/>
      <w:outlineLvl w:val="9"/>
    </w:pPr>
    <w:rPr>
      <w:rFonts w:ascii="Cambria" w:hAnsi="Cambria"/>
      <w:color w:val="365F91"/>
      <w:kern w:val="0"/>
      <w:sz w:val="28"/>
      <w:szCs w:val="28"/>
    </w:rPr>
  </w:style>
  <w:style w:type="paragraph" w:customStyle="1" w:styleId="187">
    <w:name w:val="WPSOffice手动目录 1"/>
    <w:qFormat/>
    <w:uiPriority w:val="0"/>
    <w:pPr>
      <w:ind w:leftChars="0"/>
    </w:pPr>
    <w:rPr>
      <w:rFonts w:ascii="Times New Roman" w:hAnsi="Times New Roman" w:eastAsia="宋体" w:cs="Times New Roman"/>
      <w:sz w:val="20"/>
      <w:szCs w:val="20"/>
    </w:rPr>
  </w:style>
  <w:style w:type="paragraph" w:customStyle="1" w:styleId="188">
    <w:name w:val="Body text|1"/>
    <w:basedOn w:val="1"/>
    <w:qFormat/>
    <w:uiPriority w:val="0"/>
    <w:pPr>
      <w:widowControl w:val="0"/>
      <w:shd w:val="clear" w:color="auto" w:fill="auto"/>
      <w:spacing w:line="449" w:lineRule="auto"/>
      <w:ind w:firstLine="400"/>
    </w:pPr>
    <w:rPr>
      <w:rFonts w:ascii="宋体" w:hAnsi="宋体" w:eastAsia="宋体" w:cs="宋体"/>
      <w:color w:val="181212"/>
      <w:sz w:val="18"/>
      <w:szCs w:val="18"/>
      <w:u w:val="none"/>
      <w:shd w:val="clear" w:color="auto" w:fill="auto"/>
      <w:lang w:val="zh-TW" w:eastAsia="zh-TW" w:bidi="zh-TW"/>
    </w:rPr>
  </w:style>
  <w:style w:type="paragraph" w:customStyle="1" w:styleId="189">
    <w:name w:val="5正文"/>
    <w:basedOn w:val="1"/>
    <w:qFormat/>
    <w:uiPriority w:val="0"/>
    <w:pPr>
      <w:spacing w:line="578" w:lineRule="exact"/>
      <w:ind w:firstLine="640" w:firstLineChars="200"/>
    </w:pPr>
    <w:rPr>
      <w:rFonts w:ascii="仿宋" w:hAnsi="仿宋"/>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CCD6C-217F-40B0-82C1-42DA7BA2403D}">
  <ds:schemaRefs/>
</ds:datastoreItem>
</file>

<file path=docProps/app.xml><?xml version="1.0" encoding="utf-8"?>
<Properties xmlns="http://schemas.openxmlformats.org/officeDocument/2006/extended-properties" xmlns:vt="http://schemas.openxmlformats.org/officeDocument/2006/docPropsVTypes">
  <Template>738F129A</Template>
  <Company>china</Company>
  <Pages>55</Pages>
  <Words>20654</Words>
  <Characters>22284</Characters>
  <Lines>74</Lines>
  <Paragraphs>62</Paragraphs>
  <TotalTime>57</TotalTime>
  <ScaleCrop>false</ScaleCrop>
  <LinksUpToDate>false</LinksUpToDate>
  <CharactersWithSpaces>24660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战地残阳断刃血淌</cp:lastModifiedBy>
  <cp:lastPrinted>2021-11-15T00:49:00Z</cp:lastPrinted>
  <dcterms:modified xsi:type="dcterms:W3CDTF">2023-11-09T08:15:25Z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20187E4216284010B8E0511CEEBBDBFD</vt:lpwstr>
  </property>
</Properties>
</file>