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color w:val="000000" w:themeColor="text1"/>
          <w:sz w:val="36"/>
          <w:szCs w:val="36"/>
          <w:highlight w:val="none"/>
          <w14:textFill>
            <w14:solidFill>
              <w14:schemeClr w14:val="tx1"/>
            </w14:solidFill>
          </w14:textFill>
        </w:rPr>
      </w:pPr>
    </w:p>
    <w:p>
      <w:pPr>
        <w:snapToGrid w:val="0"/>
        <w:spacing w:line="900" w:lineRule="exact"/>
        <w:jc w:val="center"/>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岳阳港道仁矶码头工程</w:t>
      </w:r>
    </w:p>
    <w:p>
      <w:pPr>
        <w:snapToGrid w:val="0"/>
        <w:spacing w:line="900" w:lineRule="exact"/>
        <w:jc w:val="center"/>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航道调整及航标配布方案编制服务询价</w:t>
      </w:r>
    </w:p>
    <w:p>
      <w:pPr>
        <w:snapToGrid w:val="0"/>
        <w:spacing w:line="900" w:lineRule="exact"/>
        <w:jc w:val="both"/>
        <w:rPr>
          <w:rFonts w:ascii="黑体" w:hAnsi="黑体" w:eastAsia="黑体"/>
          <w:color w:val="000000" w:themeColor="text1"/>
          <w:sz w:val="36"/>
          <w:szCs w:val="36"/>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询</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价</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 xml:space="preserve">文 </w:t>
      </w:r>
    </w:p>
    <w:p>
      <w:pPr>
        <w:snapToGrid w:val="0"/>
        <w:spacing w:line="900" w:lineRule="exact"/>
        <w:jc w:val="center"/>
        <w:rPr>
          <w:rFonts w:ascii="黑体" w:hAnsi="黑体" w:eastAsia="黑体" w:cs="宋体"/>
          <w:b/>
          <w:color w:val="000000" w:themeColor="text1"/>
          <w:kern w:val="0"/>
          <w:sz w:val="72"/>
          <w:szCs w:val="72"/>
          <w:highlight w:val="none"/>
          <w14:textFill>
            <w14:solidFill>
              <w14:schemeClr w14:val="tx1"/>
            </w14:solidFill>
          </w14:textFill>
        </w:rPr>
      </w:pPr>
    </w:p>
    <w:p>
      <w:pPr>
        <w:spacing w:line="480" w:lineRule="auto"/>
        <w:jc w:val="center"/>
        <w:rPr>
          <w:rFonts w:ascii="黑体" w:hAnsi="黑体" w:eastAsia="黑体" w:cs="宋体"/>
          <w:b/>
          <w:color w:val="000000" w:themeColor="text1"/>
          <w:kern w:val="0"/>
          <w:sz w:val="72"/>
          <w:szCs w:val="72"/>
          <w:highlight w:val="none"/>
          <w14:textFill>
            <w14:solidFill>
              <w14:schemeClr w14:val="tx1"/>
            </w14:solidFill>
          </w14:textFill>
        </w:rPr>
      </w:pPr>
      <w:r>
        <w:rPr>
          <w:rFonts w:hint="eastAsia" w:ascii="黑体" w:hAnsi="黑体" w:eastAsia="黑体" w:cs="宋体"/>
          <w:b/>
          <w:color w:val="000000" w:themeColor="text1"/>
          <w:kern w:val="0"/>
          <w:sz w:val="72"/>
          <w:szCs w:val="72"/>
          <w:highlight w:val="none"/>
          <w14:textFill>
            <w14:solidFill>
              <w14:schemeClr w14:val="tx1"/>
            </w14:solidFill>
          </w14:textFill>
        </w:rPr>
        <w:t>件</w:t>
      </w:r>
      <w:permStart w:id="0" w:edGrp="everyone"/>
    </w:p>
    <w:p>
      <w:pPr>
        <w:spacing w:line="480" w:lineRule="auto"/>
        <w:jc w:val="center"/>
        <w:rPr>
          <w:color w:val="000000" w:themeColor="text1"/>
          <w:highlight w:val="none"/>
          <w14:textFill>
            <w14:solidFill>
              <w14:schemeClr w14:val="tx1"/>
            </w14:solidFill>
          </w14:textFill>
        </w:rPr>
      </w:pPr>
    </w:p>
    <w:p>
      <w:pPr>
        <w:snapToGrid w:val="0"/>
        <w:spacing w:line="900" w:lineRule="exact"/>
        <w:jc w:val="center"/>
        <w:rPr>
          <w:rFonts w:ascii="黑体" w:hAnsi="黑体" w:eastAsia="黑体"/>
          <w:bCs/>
          <w:color w:val="000000" w:themeColor="text1"/>
          <w:sz w:val="48"/>
          <w:szCs w:val="48"/>
          <w:highlight w:val="none"/>
          <w14:textFill>
            <w14:solidFill>
              <w14:schemeClr w14:val="tx1"/>
            </w14:solidFill>
          </w14:textFill>
        </w:rPr>
      </w:pPr>
      <w:r>
        <w:rPr>
          <w:rFonts w:hint="eastAsia" w:ascii="黑体" w:hAnsi="黑体" w:eastAsia="黑体"/>
          <w:bCs/>
          <w:color w:val="000000" w:themeColor="text1"/>
          <w:sz w:val="48"/>
          <w:szCs w:val="48"/>
          <w:highlight w:val="none"/>
          <w14:textFill>
            <w14:solidFill>
              <w14:schemeClr w14:val="tx1"/>
            </w14:solidFill>
          </w14:textFill>
        </w:rPr>
        <w:t>湖南省港务集团有限公司</w:t>
      </w:r>
    </w:p>
    <w:p>
      <w:pPr>
        <w:tabs>
          <w:tab w:val="left" w:pos="0"/>
          <w:tab w:val="left" w:pos="4185"/>
        </w:tabs>
        <w:spacing w:line="288" w:lineRule="auto"/>
        <w:ind w:right="-6"/>
        <w:jc w:val="center"/>
        <w:rPr>
          <w:rFonts w:eastAsia="楷体_GB2312"/>
          <w:b/>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48"/>
          <w:szCs w:val="48"/>
          <w:highlight w:val="none"/>
          <w14:textFill>
            <w14:solidFill>
              <w14:schemeClr w14:val="tx1"/>
            </w14:solidFill>
          </w14:textFill>
        </w:rPr>
        <w:t>二О二三年十月</w:t>
      </w:r>
      <w:permEnd w:id="0"/>
    </w:p>
    <w:p>
      <w:pPr>
        <w:pStyle w:val="191"/>
        <w:keepNext w:val="0"/>
        <w:keepLines w:val="0"/>
        <w:widowControl w:val="0"/>
        <w:spacing w:before="0" w:line="600" w:lineRule="exact"/>
        <w:ind w:left="440"/>
        <w:jc w:val="center"/>
        <w:rPr>
          <w:rFonts w:ascii="黑体" w:hAnsi="黑体" w:eastAsia="黑体"/>
          <w:b w:val="0"/>
          <w:color w:val="000000" w:themeColor="text1"/>
          <w:sz w:val="44"/>
          <w:szCs w:val="44"/>
          <w:highlight w:val="none"/>
          <w:lang w:val="zh-CN"/>
          <w14:textFill>
            <w14:solidFill>
              <w14:schemeClr w14:val="tx1"/>
            </w14:solidFill>
          </w14:textFill>
        </w:rPr>
      </w:pPr>
      <w:r>
        <w:rPr>
          <w:rFonts w:ascii="黑体" w:hAnsi="黑体" w:eastAsia="黑体"/>
          <w:b w:val="0"/>
          <w:color w:val="000000" w:themeColor="text1"/>
          <w:sz w:val="44"/>
          <w:szCs w:val="44"/>
          <w:highlight w:val="none"/>
          <w:lang w:val="zh-CN"/>
          <w14:textFill>
            <w14:solidFill>
              <w14:schemeClr w14:val="tx1"/>
            </w14:solidFill>
          </w14:textFill>
        </w:rPr>
        <w:t>目    录</w:t>
      </w:r>
    </w:p>
    <w:p>
      <w:pPr>
        <w:jc w:val="center"/>
        <w:rPr>
          <w:rFonts w:eastAsia="华文楷体"/>
          <w:color w:val="000000" w:themeColor="text1"/>
          <w:sz w:val="28"/>
          <w:szCs w:val="28"/>
          <w:highlight w:val="none"/>
          <w:lang w:val="zh-CN"/>
          <w14:textFill>
            <w14:solidFill>
              <w14:schemeClr w14:val="tx1"/>
            </w14:solidFill>
          </w14:textFill>
        </w:rPr>
      </w:pPr>
    </w:p>
    <w:p>
      <w:pPr>
        <w:pStyle w:val="29"/>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rFonts w:ascii="微软雅黑" w:hAnsi="微软雅黑" w:eastAsia="微软雅黑"/>
          <w:color w:val="000000" w:themeColor="text1"/>
          <w:sz w:val="24"/>
          <w:szCs w:val="24"/>
          <w:highlight w:val="none"/>
          <w14:textFill>
            <w14:solidFill>
              <w14:schemeClr w14:val="tx1"/>
            </w14:solidFill>
          </w14:textFill>
        </w:rPr>
        <w:fldChar w:fldCharType="begin"/>
      </w:r>
      <w:r>
        <w:rPr>
          <w:rFonts w:ascii="微软雅黑" w:hAnsi="微软雅黑" w:eastAsia="微软雅黑"/>
          <w:color w:val="000000" w:themeColor="text1"/>
          <w:sz w:val="24"/>
          <w:szCs w:val="24"/>
          <w:highlight w:val="none"/>
          <w14:textFill>
            <w14:solidFill>
              <w14:schemeClr w14:val="tx1"/>
            </w14:solidFill>
          </w14:textFill>
        </w:rPr>
        <w:instrText xml:space="preserve"> TOC \o "1-3" \h \z \u </w:instrText>
      </w:r>
      <w:r>
        <w:rPr>
          <w:rFonts w:ascii="微软雅黑" w:hAnsi="微软雅黑" w:eastAsia="微软雅黑"/>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"_Toc77254096"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第一章采购公告</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t>4</w:t>
      </w:r>
      <w:r>
        <w:rPr>
          <w:rFonts w:ascii="微软雅黑" w:hAnsi="微软雅黑" w:eastAsia="微软雅黑"/>
          <w:color w:val="000000" w:themeColor="text1"/>
          <w:sz w:val="24"/>
          <w:szCs w:val="24"/>
          <w:highlight w:val="none"/>
          <w14:textFill>
            <w14:solidFill>
              <w14:schemeClr w14:val="tx1"/>
            </w14:solidFill>
          </w14:textFill>
        </w:rPr>
        <w:fldChar w:fldCharType="end"/>
      </w:r>
    </w:p>
    <w:p>
      <w:pPr>
        <w:pStyle w:val="29"/>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"_Toc77254106"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第二章供应商须知</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9"/>
        <w:tabs>
          <w:tab w:val="right" w:leader="dot" w:pos="8948"/>
          <w:tab w:val="clear" w:pos="9242"/>
        </w:tabs>
        <w:adjustRightInd w:val="0"/>
        <w:snapToGrid w:val="0"/>
        <w:spacing w:before="60" w:after="60"/>
        <w:rPr>
          <w:rFonts w:ascii="微软雅黑" w:hAnsi="微软雅黑" w:eastAsia="微软雅黑"/>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"_Toc77254124"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第三章评标办</w:t>
      </w:r>
      <w:bookmarkStart w:id="0" w:name="_Hlt79481238"/>
      <w:bookmarkStart w:id="1" w:name="_Hlt79481237"/>
      <w:r>
        <w:rPr>
          <w:rStyle w:val="50"/>
          <w:rFonts w:hint="eastAsia" w:ascii="微软雅黑" w:hAnsi="微软雅黑" w:eastAsia="微软雅黑"/>
          <w:color w:val="000000" w:themeColor="text1"/>
          <w:sz w:val="24"/>
          <w:szCs w:val="24"/>
          <w:highlight w:val="none"/>
          <w14:textFill>
            <w14:solidFill>
              <w14:schemeClr w14:val="tx1"/>
            </w14:solidFill>
          </w14:textFill>
        </w:rPr>
        <w:t>法</w:t>
      </w:r>
      <w:bookmarkEnd w:id="0"/>
      <w:bookmarkEnd w:id="1"/>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1</w:t>
      </w:r>
    </w:p>
    <w:p>
      <w:pPr>
        <w:pStyle w:val="29"/>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"_Toc77254138"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第四章合同条款及格式</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7</w:t>
      </w:r>
    </w:p>
    <w:p>
      <w:pPr>
        <w:pStyle w:val="29"/>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"_Toc77254286"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第五章采购需求</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9"/>
        <w:tabs>
          <w:tab w:val="right" w:leader="dot" w:pos="8948"/>
          <w:tab w:val="clear" w:pos="9242"/>
        </w:tabs>
        <w:adjustRightInd w:val="0"/>
        <w:snapToGrid w:val="0"/>
        <w:spacing w:before="60" w:after="60"/>
        <w:rPr>
          <w:rFonts w:ascii="微软雅黑" w:hAnsi="微软雅黑" w:eastAsia="微软雅黑"/>
          <w:bCs/>
          <w: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"_Toc77254297"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第六章响应文件格式</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39</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一、响应函</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42</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"_Toc77254299"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二、授权委托书</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5</w:t>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"_Toc77254300"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三、响应保证金</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14:textFill>
            <w14:solidFill>
              <w14:schemeClr w14:val="tx1"/>
            </w14:solidFill>
          </w14:textFill>
        </w:rPr>
        <w:t>6</w:t>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"_Toc77254302"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四、商务和技术偏差表</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47</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"_Toc77254304"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五、报价表</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48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"_Toc77254308"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六、资格审查资料</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51</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"_Toc77254309"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七、响应方案</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58</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35"/>
        <w:tabs>
          <w:tab w:val="right" w:leader="dot" w:pos="8948"/>
        </w:tabs>
        <w:adjustRightInd w:val="0"/>
        <w:snapToGrid w:val="0"/>
        <w:rPr>
          <w:rFonts w:ascii="微软雅黑" w:hAnsi="微软雅黑" w:eastAsia="微软雅黑"/>
          <w:smallCap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"_Toc77254310" </w:instrText>
      </w:r>
      <w:r>
        <w:rPr>
          <w:color w:val="000000" w:themeColor="text1"/>
          <w:highlight w:val="none"/>
          <w14:textFill>
            <w14:solidFill>
              <w14:schemeClr w14:val="tx1"/>
            </w14:solidFill>
          </w14:textFill>
        </w:rPr>
        <w:fldChar w:fldCharType="separate"/>
      </w:r>
      <w:r>
        <w:rPr>
          <w:rStyle w:val="50"/>
          <w:rFonts w:hint="eastAsia" w:ascii="微软雅黑" w:hAnsi="微软雅黑" w:eastAsia="微软雅黑"/>
          <w:color w:val="000000" w:themeColor="text1"/>
          <w:sz w:val="24"/>
          <w:szCs w:val="24"/>
          <w:highlight w:val="none"/>
          <w14:textFill>
            <w14:solidFill>
              <w14:schemeClr w14:val="tx1"/>
            </w14:solidFill>
          </w14:textFill>
        </w:rPr>
        <w:t>八、其他资料</w:t>
      </w:r>
      <w:r>
        <w:rPr>
          <w:rFonts w:ascii="微软雅黑" w:hAnsi="微软雅黑" w:eastAsia="微软雅黑"/>
          <w:color w:val="000000" w:themeColor="text1"/>
          <w:sz w:val="24"/>
          <w:szCs w:val="24"/>
          <w:highlight w:val="none"/>
          <w14:textFill>
            <w14:solidFill>
              <w14:schemeClr w14:val="tx1"/>
            </w14:solidFill>
          </w14:textFill>
        </w:rPr>
        <w:tab/>
      </w:r>
      <w:r>
        <w:rPr>
          <w:rFonts w:hint="eastAsia" w:ascii="微软雅黑" w:hAnsi="微软雅黑" w:eastAsia="微软雅黑"/>
          <w:color w:val="000000" w:themeColor="text1"/>
          <w:sz w:val="24"/>
          <w:szCs w:val="24"/>
          <w:highlight w:val="none"/>
          <w14:textFill>
            <w14:solidFill>
              <w14:schemeClr w14:val="tx1"/>
            </w14:solidFill>
          </w14:textFill>
        </w:rPr>
        <w:t>61</w:t>
      </w:r>
      <w:r>
        <w:rPr>
          <w:rFonts w:hint="eastAsia" w:ascii="微软雅黑" w:hAnsi="微软雅黑" w:eastAsia="微软雅黑"/>
          <w:color w:val="000000" w:themeColor="text1"/>
          <w:sz w:val="24"/>
          <w:szCs w:val="24"/>
          <w:highlight w:val="none"/>
          <w14:textFill>
            <w14:solidFill>
              <w14:schemeClr w14:val="tx1"/>
            </w14:solidFill>
          </w14:textFill>
        </w:rPr>
        <w:fldChar w:fldCharType="end"/>
      </w:r>
    </w:p>
    <w:p>
      <w:pPr>
        <w:pStyle w:val="29"/>
        <w:widowControl w:val="0"/>
        <w:tabs>
          <w:tab w:val="right" w:leader="dot" w:pos="8948"/>
          <w:tab w:val="clear" w:pos="9242"/>
        </w:tabs>
        <w:adjustRightInd w:val="0"/>
        <w:snapToGrid w:val="0"/>
        <w:spacing w:before="60" w:after="60" w:line="312" w:lineRule="auto"/>
        <w:rPr>
          <w:rFonts w:ascii="Times New Roman"/>
          <w:color w:val="000000" w:themeColor="text1"/>
          <w:sz w:val="24"/>
          <w:szCs w:val="24"/>
          <w:highlight w:val="none"/>
          <w14:textFill>
            <w14:solidFill>
              <w14:schemeClr w14:val="tx1"/>
            </w14:solidFill>
          </w14:textFill>
        </w:rPr>
      </w:pPr>
      <w:r>
        <w:rPr>
          <w:rFonts w:ascii="微软雅黑" w:hAnsi="微软雅黑" w:eastAsia="微软雅黑"/>
          <w:color w:val="000000" w:themeColor="text1"/>
          <w:sz w:val="24"/>
          <w:szCs w:val="24"/>
          <w:highlight w:val="none"/>
          <w:lang w:val="zh-CN"/>
          <w14:textFill>
            <w14:solidFill>
              <w14:schemeClr w14:val="tx1"/>
            </w14:solidFill>
          </w14:textFill>
        </w:rPr>
        <w:fldChar w:fldCharType="end"/>
      </w: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widowControl w:val="0"/>
        <w:adjustRightInd w:val="0"/>
        <w:snapToGrid w:val="0"/>
        <w:spacing w:line="240" w:lineRule="auto"/>
        <w:ind w:firstLine="420" w:firstLineChars="200"/>
        <w:rPr>
          <w:color w:val="000000" w:themeColor="text1"/>
          <w:szCs w:val="21"/>
          <w:highlight w:val="none"/>
          <w14:textFill>
            <w14:solidFill>
              <w14:schemeClr w14:val="tx1"/>
            </w14:solidFill>
          </w14:textFill>
        </w:rPr>
      </w:pPr>
    </w:p>
    <w:p>
      <w:pPr>
        <w:pStyle w:val="82"/>
        <w:numPr>
          <w:ilvl w:val="0"/>
          <w:numId w:val="1"/>
        </w:numPr>
        <w:spacing w:line="600" w:lineRule="exact"/>
        <w:ind w:left="0" w:firstLine="0" w:firstLineChars="0"/>
        <w:jc w:val="center"/>
        <w:rPr>
          <w:rFonts w:ascii="黑体" w:hAnsi="黑体" w:eastAsia="黑体" w:cs="仿宋"/>
          <w:b/>
          <w:color w:val="000000" w:themeColor="text1"/>
          <w:sz w:val="44"/>
          <w:szCs w:val="44"/>
          <w:highlight w:val="none"/>
          <w14:textFill>
            <w14:solidFill>
              <w14:schemeClr w14:val="tx1"/>
            </w14:solidFill>
          </w14:textFill>
        </w:rPr>
      </w:pPr>
      <w:r>
        <w:rPr>
          <w:rFonts w:hint="eastAsia" w:ascii="黑体" w:hAnsi="黑体" w:eastAsia="黑体" w:cs="仿宋"/>
          <w:b/>
          <w:color w:val="000000" w:themeColor="text1"/>
          <w:sz w:val="44"/>
          <w:szCs w:val="44"/>
          <w:highlight w:val="none"/>
          <w14:textFill>
            <w14:solidFill>
              <w14:schemeClr w14:val="tx1"/>
            </w14:solidFill>
          </w14:textFill>
        </w:rPr>
        <w:t>采购公告</w:t>
      </w:r>
    </w:p>
    <w:p>
      <w:pPr>
        <w:pStyle w:val="38"/>
        <w:jc w:val="center"/>
        <w:rPr>
          <w:rFonts w:hint="eastAsia" w:ascii="黑体" w:hAnsi="黑体" w:eastAsia="黑体"/>
          <w:color w:val="000000" w:themeColor="text1"/>
          <w:sz w:val="32"/>
          <w:szCs w:val="32"/>
          <w:highlight w:val="none"/>
          <w14:textFill>
            <w14:solidFill>
              <w14:schemeClr w14:val="tx1"/>
            </w14:solidFill>
          </w14:textFill>
        </w:rPr>
      </w:pPr>
      <w:permStart w:id="1" w:edGrp="everyone"/>
      <w:r>
        <w:rPr>
          <w:rFonts w:hint="eastAsia" w:ascii="黑体" w:hAnsi="黑体" w:eastAsia="黑体"/>
          <w:color w:val="000000" w:themeColor="text1"/>
          <w:sz w:val="32"/>
          <w:szCs w:val="32"/>
          <w:highlight w:val="none"/>
          <w14:textFill>
            <w14:solidFill>
              <w14:schemeClr w14:val="tx1"/>
            </w14:solidFill>
          </w14:textFill>
        </w:rPr>
        <w:t>岳阳港道仁矶码头工程航道调整及航标配布方案编制服务</w:t>
      </w:r>
    </w:p>
    <w:p>
      <w:pPr>
        <w:pStyle w:val="38"/>
        <w:jc w:val="center"/>
        <w:rPr>
          <w:rFonts w:cs="Times New Roman"/>
          <w:color w:val="000000" w:themeColor="text1"/>
          <w:kern w:val="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询价采购公告</w:t>
      </w:r>
      <w:permEnd w:id="1"/>
    </w:p>
    <w:p>
      <w:pPr>
        <w:autoSpaceDE w:val="0"/>
        <w:spacing w:line="400" w:lineRule="exact"/>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岳阳港道仁矶码头工程航道调整及航标配布方案编制服务询价已具备采购条件，现公开邀请供应商参加采购活动。 </w:t>
      </w:r>
    </w:p>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采购项目简介</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 xml:space="preserve"> 采购项目名称:岳阳港道仁矶码头工程航道调整及航标配布方案编制服务</w:t>
      </w:r>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 xml:space="preserve"> 采购人: </w:t>
      </w:r>
      <w:permStart w:id="2" w:edGrp="everyone"/>
      <w:r>
        <w:rPr>
          <w:rFonts w:hint="eastAsia" w:ascii="宋体" w:hAnsi="宋体"/>
          <w:color w:val="000000" w:themeColor="text1"/>
          <w:sz w:val="24"/>
          <w:highlight w:val="none"/>
          <w14:textFill>
            <w14:solidFill>
              <w14:schemeClr w14:val="tx1"/>
            </w14:solidFill>
          </w14:textFill>
        </w:rPr>
        <w:t>湖南省港务集团有限公司</w:t>
      </w:r>
      <w:permEnd w:id="2"/>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xml:space="preserve"> 采购代理机构:</w:t>
      </w:r>
      <w:permStart w:id="3" w:edGrp="everyone"/>
      <w:r>
        <w:rPr>
          <w:rFonts w:hint="eastAsia" w:ascii="宋体" w:hAnsi="宋体"/>
          <w:color w:val="000000" w:themeColor="text1"/>
          <w:sz w:val="24"/>
          <w:highlight w:val="none"/>
          <w14:textFill>
            <w14:solidFill>
              <w14:schemeClr w14:val="tx1"/>
            </w14:solidFill>
          </w14:textFill>
        </w:rPr>
        <w:t>_无____</w:t>
      </w:r>
      <w:permEnd w:id="3"/>
    </w:p>
    <w:p>
      <w:pPr>
        <w:autoSpaceDE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1.4 </w:t>
      </w:r>
      <w:r>
        <w:rPr>
          <w:rFonts w:hint="eastAsia" w:ascii="宋体" w:hAnsi="宋体"/>
          <w:color w:val="000000" w:themeColor="text1"/>
          <w:sz w:val="24"/>
          <w:highlight w:val="none"/>
          <w14:textFill>
            <w14:solidFill>
              <w14:schemeClr w14:val="tx1"/>
            </w14:solidFill>
          </w14:textFill>
        </w:rPr>
        <w:t>采购项目资金落实情况:</w:t>
      </w:r>
      <w:permStart w:id="4" w:edGrp="everyone"/>
      <w:r>
        <w:rPr>
          <w:rFonts w:hint="eastAsia" w:ascii="宋体" w:hAnsi="宋体"/>
          <w:color w:val="000000" w:themeColor="text1"/>
          <w:sz w:val="24"/>
          <w:highlight w:val="none"/>
          <w14:textFill>
            <w14:solidFill>
              <w14:schemeClr w14:val="tx1"/>
            </w14:solidFill>
          </w14:textFill>
        </w:rPr>
        <w:t>_已落实_</w:t>
      </w:r>
      <w:permEnd w:id="4"/>
    </w:p>
    <w:p>
      <w:pPr>
        <w:pStyle w:val="14"/>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1.5 </w:t>
      </w:r>
      <w:r>
        <w:rPr>
          <w:rFonts w:hint="eastAsia" w:ascii="宋体" w:hAnsi="宋体"/>
          <w:color w:val="000000" w:themeColor="text1"/>
          <w:sz w:val="24"/>
          <w:highlight w:val="none"/>
          <w14:textFill>
            <w14:solidFill>
              <w14:schemeClr w14:val="tx1"/>
            </w14:solidFill>
          </w14:textFill>
        </w:rPr>
        <w:t>采购项目概况:</w:t>
      </w:r>
      <w:permStart w:id="5" w:edGrp="everyone"/>
      <w:r>
        <w:rPr>
          <w:rFonts w:hint="eastAsia" w:ascii="宋体" w:hAnsi="宋体"/>
          <w:color w:val="000000" w:themeColor="text1"/>
          <w:sz w:val="24"/>
          <w:highlight w:val="none"/>
          <w14:textFill>
            <w14:solidFill>
              <w14:schemeClr w14:val="tx1"/>
            </w14:solidFill>
          </w14:textFill>
        </w:rPr>
        <w:t>拟建工程位于湖南省岳阳市云溪区道仁矶镇，荆岳长江大桥上游约1.5km 的长江右岸，工程距城陵矶约 12km，工程河段为长江中游杨林岩水道中段，港址处中游航道里程约为 219.3~220.1km。本工程拟建 6 个 5000 吨级散货泊位（其中水工结构按 10000 吨级船舶靠泊能力设计），其中一个泊位兼顾装卸防汛物资功能。货物年吞吐量为 1660 万吨，其中散货进口 1050 万吨/年，散货出口 600 万吨/年，防汛物资 10 万吨/年，码头设计通过能力 1881.4 万吨/年。</w:t>
      </w:r>
    </w:p>
    <w:p>
      <w:pPr>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本次技术服务为 1 个标段，即：</w:t>
      </w:r>
    </w:p>
    <w:permEnd w:id="5"/>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标段1：岳阳港道仁矶码头工程航道调整及航标配布方案编制服务；</w:t>
      </w:r>
    </w:p>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permStart w:id="6" w:edGrp="everyone"/>
      <w:r>
        <w:rPr>
          <w:rFonts w:hint="eastAsia"/>
          <w:color w:val="000000" w:themeColor="text1"/>
          <w:highlight w:val="none"/>
          <w14:textFill>
            <w14:solidFill>
              <w14:schemeClr w14:val="tx1"/>
            </w14:solidFill>
          </w14:textFill>
        </w:rPr>
        <w:t>2．采购范围及相关要求</w:t>
      </w:r>
    </w:p>
    <w:p>
      <w:pPr>
        <w:pStyle w:val="14"/>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 xml:space="preserve"> 采购范围: 岳阳港道仁矶码头工程航道调整及航标配布方案编制服务，编制报告并通过行业主管部门组织的专家评审会评审，交付甲方。</w:t>
      </w:r>
    </w:p>
    <w:p>
      <w:pPr>
        <w:pStyle w:val="14"/>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2.2 </w:t>
      </w:r>
      <w:r>
        <w:rPr>
          <w:rFonts w:hint="eastAsia" w:ascii="宋体" w:hAnsi="宋体"/>
          <w:color w:val="000000" w:themeColor="text1"/>
          <w:sz w:val="24"/>
          <w:highlight w:val="none"/>
          <w14:textFill>
            <w14:solidFill>
              <w14:schemeClr w14:val="tx1"/>
            </w14:solidFill>
          </w14:textFill>
        </w:rPr>
        <w:t>服务期限: 合同签订后60个工作日内向采购人提交报告。</w:t>
      </w:r>
    </w:p>
    <w:p>
      <w:pPr>
        <w:pStyle w:val="14"/>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 xml:space="preserve"> 服务地点: 湖南省岳阳市云溪区道仁矶镇</w:t>
      </w:r>
    </w:p>
    <w:p>
      <w:pPr>
        <w:pStyle w:val="14"/>
        <w:spacing w:line="40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 xml:space="preserve"> 服务要求: 详见“第五章 采购要求”。</w:t>
      </w:r>
    </w:p>
    <w:permEnd w:id="6"/>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供应商资格要求</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供应商不得存在下列情形之一:</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permStart w:id="7" w:edGrp="everyone"/>
      <w:r>
        <w:rPr>
          <w:rFonts w:hint="eastAsia" w:ascii="宋体" w:hAnsi="宋体"/>
          <w:color w:val="000000" w:themeColor="text1"/>
          <w:sz w:val="24"/>
          <w:highlight w:val="none"/>
          <w14:textFill>
            <w14:solidFill>
              <w14:schemeClr w14:val="tx1"/>
            </w14:solidFill>
          </w14:textFill>
        </w:rPr>
        <w:t>（1）处于被责令停产停业、暂扣或者吊销执照、暂扣或者吊销许可证、吊销资质证书状态;</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（2）进入清算程序，或被宣告破产，或其他丧失履约能力的情形;</w:t>
      </w:r>
    </w:p>
    <w:p>
      <w:pPr>
        <w:autoSpaceDE w:val="0"/>
        <w:spacing w:line="400" w:lineRule="exact"/>
        <w:ind w:firstLine="240" w:firstLineChars="1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（3）被采购人或采购人上级单位纳入黑名单</w:t>
      </w:r>
    </w:p>
    <w:p>
      <w:pPr>
        <w:spacing w:line="44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为投资参股本项目的法人单位；</w:t>
      </w:r>
    </w:p>
    <w:permEnd w:id="7"/>
    <w:p>
      <w:pPr>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3.2供应商应满足如下要求: </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permStart w:id="8" w:edGrp="everyone"/>
            <w:r>
              <w:rPr>
                <w:rFonts w:hint="eastAsia" w:ascii="宋体" w:hAnsi="宋体"/>
                <w:color w:val="000000" w:themeColor="text1"/>
                <w:sz w:val="24"/>
                <w:highlight w:val="none"/>
                <w14:textFill>
                  <w14:solidFill>
                    <w14:schemeClr w14:val="tx1"/>
                  </w14:solidFill>
                </w14:textFill>
              </w:rPr>
              <w:t>资格条件</w:t>
            </w:r>
          </w:p>
        </w:tc>
        <w:tc>
          <w:tcPr>
            <w:tcW w:w="1786"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对供应商要求</w:t>
            </w:r>
          </w:p>
        </w:tc>
        <w:tc>
          <w:tcPr>
            <w:tcW w:w="5443" w:type="dxa"/>
          </w:tcPr>
          <w:p>
            <w:pPr>
              <w:widowControl w:val="0"/>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（1）依法设立</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（2）资质要求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（3）财务要求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（4）业绩要求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（5）信誉要求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（6）承担本项目的主要人员要求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A3"/>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（7）其他要求</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（8）供应商不存在第一章3.1款情形的证明材料</w:t>
            </w:r>
          </w:p>
        </w:tc>
        <w:tc>
          <w:tcPr>
            <w:tcW w:w="1786"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w:t>
            </w:r>
          </w:p>
        </w:tc>
        <w:tc>
          <w:tcPr>
            <w:tcW w:w="5443" w:type="dxa"/>
          </w:tcPr>
          <w:p>
            <w:pPr>
              <w:widowControl w:val="0"/>
              <w:spacing w:line="320" w:lineRule="exact"/>
              <w:jc w:val="both"/>
              <w:rPr>
                <w:rStyle w:val="46"/>
                <w:color w:val="000000" w:themeColor="text1"/>
                <w:highlight w:val="none"/>
                <w:u w:val="single"/>
                <w14:textFill>
                  <w14:solidFill>
                    <w14:schemeClr w14:val="tx1"/>
                  </w14:solidFill>
                </w14:textFill>
              </w:rPr>
            </w:pPr>
            <w:r>
              <w:rPr>
                <w:rStyle w:val="46"/>
                <w:rFonts w:hint="eastAsia"/>
                <w:color w:val="000000" w:themeColor="text1"/>
                <w:highlight w:val="none"/>
                <w:u w:val="single"/>
                <w14:textFill>
                  <w14:solidFill>
                    <w14:schemeClr w14:val="tx1"/>
                  </w14:solidFill>
                </w14:textFill>
              </w:rPr>
              <w:t>□不适用</w:t>
            </w:r>
          </w:p>
          <w:p>
            <w:pPr>
              <w:widowControl w:val="0"/>
              <w:spacing w:line="32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u w:val="single"/>
                <w14:textFill>
                  <w14:solidFill>
                    <w14:schemeClr w14:val="tx1"/>
                  </w14:solidFill>
                </w14:textFill>
              </w:rPr>
              <w:sym w:font="Wingdings 2" w:char="0052"/>
            </w:r>
            <w:r>
              <w:rPr>
                <w:rStyle w:val="46"/>
                <w:rFonts w:hint="eastAsia"/>
                <w:color w:val="000000" w:themeColor="text1"/>
                <w:highlight w:val="none"/>
                <w:u w:val="single"/>
                <w14:textFill>
                  <w14:solidFill>
                    <w14:schemeClr w14:val="tx1"/>
                  </w14:solidFill>
                </w14:textFill>
              </w:rPr>
              <w:t>适用,见采购文件供应商须知前附表3.5（8）。</w:t>
            </w:r>
          </w:p>
        </w:tc>
      </w:tr>
      <w:permEnd w:id="8"/>
    </w:tbl>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响应保证金</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黑体" w:hAnsi="黑体"/>
                <w:color w:val="000000" w:themeColor="text1"/>
                <w:highlight w:val="none"/>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保证金的递交</w:t>
            </w:r>
          </w:p>
        </w:tc>
        <w:tc>
          <w:tcPr>
            <w:tcW w:w="3597"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不退还响应保证金的其他情形</w:t>
            </w:r>
          </w:p>
        </w:tc>
        <w:tc>
          <w:tcPr>
            <w:tcW w:w="3285" w:type="dxa"/>
          </w:tcPr>
          <w:p>
            <w:pPr>
              <w:widowControl w:val="0"/>
              <w:autoSpaceDE w:val="0"/>
              <w:spacing w:line="400" w:lineRule="exact"/>
              <w:jc w:val="both"/>
              <w:rPr>
                <w:rFonts w:ascii="黑体" w:hAnsi="黑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permStart w:id="9" w:edGrp="everyone" w:colFirst="0" w:colLast="0"/>
            <w:permStart w:id="10" w:edGrp="everyone" w:colFirst="1" w:colLast="1"/>
            <w:permStart w:id="11" w:edGrp="everyone" w:colFirst="2" w:colLast="2"/>
            <w:r>
              <w:rPr>
                <w:rStyle w:val="46"/>
                <w:rFonts w:hint="eastAsia"/>
                <w:color w:val="000000" w:themeColor="text1"/>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不要求递交</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要求递交</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保证金金额：_________；</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保证金形式：________；</w:t>
            </w:r>
          </w:p>
        </w:tc>
        <w:tc>
          <w:tcPr>
            <w:tcW w:w="3597"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sym w:font="Wingdings 2" w:char="0052"/>
            </w:r>
            <w:r>
              <w:rPr>
                <w:rStyle w:val="46"/>
                <w:rFonts w:hint="eastAsia"/>
                <w:b w:val="0"/>
                <w:bCs w:val="0"/>
                <w:color w:val="000000" w:themeColor="text1"/>
                <w:highlight w:val="none"/>
                <w14:textFill>
                  <w14:solidFill>
                    <w14:schemeClr w14:val="tx1"/>
                  </w14:solidFill>
                </w14:textFill>
              </w:rPr>
              <w:t>不</w:t>
            </w:r>
            <w:r>
              <w:rPr>
                <w:rFonts w:hint="eastAsia" w:ascii="宋体" w:hAnsi="宋体"/>
                <w:color w:val="000000" w:themeColor="text1"/>
                <w:sz w:val="24"/>
                <w:highlight w:val="none"/>
                <w14:textFill>
                  <w14:solidFill>
                    <w14:schemeClr w14:val="tx1"/>
                  </w14:solidFill>
                </w14:textFill>
              </w:rPr>
              <w:t>适用</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适用，具体如下：</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p>
          <w:p>
            <w:pPr>
              <w:widowControl w:val="0"/>
              <w:autoSpaceDE w:val="0"/>
              <w:spacing w:line="400" w:lineRule="exact"/>
              <w:jc w:val="both"/>
              <w:rPr>
                <w:rFonts w:ascii="黑体" w:hAnsi="黑体"/>
                <w:color w:val="000000" w:themeColor="text1"/>
                <w:highlight w:val="none"/>
                <w14:textFill>
                  <w14:solidFill>
                    <w14:schemeClr w14:val="tx1"/>
                  </w14:solidFill>
                </w14:textFill>
              </w:rPr>
            </w:pPr>
          </w:p>
        </w:tc>
        <w:tc>
          <w:tcPr>
            <w:tcW w:w="3285" w:type="dxa"/>
          </w:tcPr>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不适用</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r>
              <w:rPr>
                <w:rStyle w:val="46"/>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适用，具体如下：</w:t>
            </w:r>
          </w:p>
          <w:p>
            <w:pPr>
              <w:widowControl w:val="0"/>
              <w:autoSpaceDE w:val="0"/>
              <w:spacing w:line="400" w:lineRule="exact"/>
              <w:jc w:val="both"/>
              <w:rPr>
                <w:rFonts w:ascii="宋体" w:hAnsi="宋体"/>
                <w:color w:val="000000" w:themeColor="text1"/>
                <w:sz w:val="24"/>
                <w:highlight w:val="none"/>
                <w14:textFill>
                  <w14:solidFill>
                    <w14:schemeClr w14:val="tx1"/>
                  </w14:solidFill>
                </w14:textFill>
              </w:rPr>
            </w:pPr>
          </w:p>
          <w:p>
            <w:pPr>
              <w:widowControl w:val="0"/>
              <w:autoSpaceDE w:val="0"/>
              <w:spacing w:line="400" w:lineRule="exact"/>
              <w:jc w:val="both"/>
              <w:rPr>
                <w:rFonts w:ascii="黑体" w:hAnsi="黑体"/>
                <w:color w:val="000000" w:themeColor="text1"/>
                <w:highlight w:val="none"/>
                <w14:textFill>
                  <w14:solidFill>
                    <w14:schemeClr w14:val="tx1"/>
                  </w14:solidFill>
                </w14:textFill>
              </w:rPr>
            </w:pPr>
          </w:p>
        </w:tc>
      </w:tr>
      <w:permEnd w:id="9"/>
      <w:permEnd w:id="10"/>
      <w:permEnd w:id="11"/>
    </w:tbl>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5.确定成交供应商的方法</w:t>
      </w:r>
    </w:p>
    <w:p>
      <w:pPr>
        <w:autoSpaceDE w:val="0"/>
        <w:spacing w:line="240" w:lineRule="auto"/>
        <w:ind w:firstLine="482" w:firstLineChars="200"/>
        <w:jc w:val="both"/>
        <w:rPr>
          <w:rStyle w:val="46"/>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5.1</w:t>
      </w:r>
      <w:permStart w:id="12" w:edGrp="everyone"/>
      <w:r>
        <w:rPr>
          <w:rStyle w:val="46"/>
          <w:rFonts w:hint="eastAsia"/>
          <w:color w:val="000000" w:themeColor="text1"/>
          <w:highlight w:val="none"/>
          <w14:textFill>
            <w14:solidFill>
              <w14:schemeClr w14:val="tx1"/>
            </w14:solidFill>
          </w14:textFill>
        </w:rPr>
        <w:t>综合评分法</w:t>
      </w:r>
    </w:p>
    <w:permEnd w:id="12"/>
    <w:p>
      <w:pPr>
        <w:autoSpaceDE w:val="0"/>
        <w:spacing w:line="240" w:lineRule="auto"/>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w:t>
      </w:r>
      <w:r>
        <w:rPr>
          <w:rFonts w:hint="eastAsia" w:ascii="宋体" w:hAnsi="宋体"/>
          <w:color w:val="000000" w:themeColor="text1"/>
          <w:sz w:val="24"/>
          <w:highlight w:val="none"/>
          <w14:textFill>
            <w14:solidFill>
              <w14:schemeClr w14:val="tx1"/>
            </w14:solidFill>
          </w14:textFill>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6．最高投标限价</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bookmarkStart w:id="2" w:name="_Toc38287094"/>
      <w:bookmarkStart w:id="3" w:name="_Toc40274970"/>
      <w:r>
        <w:rPr>
          <w:rFonts w:hint="eastAsia" w:ascii="宋体" w:hAnsi="宋体"/>
          <w:b/>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询价人为本次招标编制了最高投标限价，最高限价：标段1：人民币叁拾陆万元整 （小写：￥360000元）。</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w:t>
      </w:r>
      <w:r>
        <w:rPr>
          <w:rFonts w:hint="eastAsia" w:ascii="宋体" w:hAnsi="宋体"/>
          <w:color w:val="000000" w:themeColor="text1"/>
          <w:sz w:val="24"/>
          <w:highlight w:val="none"/>
          <w14:textFill>
            <w14:solidFill>
              <w14:schemeClr w14:val="tx1"/>
            </w14:solidFill>
          </w14:textFill>
        </w:rPr>
        <w:t>报价人投标报价应不高于最高投标限价，否则其投标将被否决。</w:t>
      </w:r>
      <w:bookmarkEnd w:id="2"/>
      <w:bookmarkEnd w:id="3"/>
    </w:p>
    <w:p>
      <w:pPr>
        <w:autoSpaceDE w:val="0"/>
        <w:spacing w:line="400" w:lineRule="exact"/>
        <w:ind w:firstLine="482" w:firstLineChars="200"/>
        <w:jc w:val="both"/>
        <w:rPr>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w:t>
      </w:r>
      <w:r>
        <w:rPr>
          <w:rFonts w:hint="eastAsia" w:ascii="宋体" w:hAnsi="宋体"/>
          <w:color w:val="000000" w:themeColor="text1"/>
          <w:sz w:val="24"/>
          <w:highlight w:val="none"/>
          <w14:textFill>
            <w14:solidFill>
              <w14:schemeClr w14:val="tx1"/>
            </w14:solidFill>
          </w14:textFill>
        </w:rPr>
        <w:t>本次询价不接受联合体报价。</w:t>
      </w:r>
    </w:p>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7.采购文件获取</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7.1 </w:t>
      </w:r>
      <w:r>
        <w:rPr>
          <w:rFonts w:hint="eastAsia" w:ascii="宋体" w:hAnsi="宋体"/>
          <w:color w:val="000000" w:themeColor="text1"/>
          <w:sz w:val="24"/>
          <w:highlight w:val="none"/>
          <w14:textFill>
            <w14:solidFill>
              <w14:schemeClr w14:val="tx1"/>
            </w14:solidFill>
          </w14:textFill>
        </w:rPr>
        <w:t>供应商应当于</w:t>
      </w:r>
      <w:r>
        <w:rPr>
          <w:rFonts w:hint="eastAsia" w:ascii="宋体" w:hAnsi="宋体"/>
          <w:color w:val="000000" w:themeColor="text1"/>
          <w:sz w:val="24"/>
          <w:highlight w:val="none"/>
          <w:u w:val="single"/>
          <w14:textFill>
            <w14:solidFill>
              <w14:schemeClr w14:val="tx1"/>
            </w14:solidFill>
          </w14:textFill>
        </w:rPr>
        <w:t>2023</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10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lang w:val="en-US" w:eastAsia="zh-CN"/>
          <w14:textFill>
            <w14:solidFill>
              <w14:schemeClr w14:val="tx1"/>
            </w14:solidFill>
          </w14:textFill>
        </w:rPr>
        <w:t>4</w:t>
      </w:r>
      <w:bookmarkStart w:id="73" w:name="_GoBack"/>
      <w:bookmarkEnd w:id="73"/>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分至</w:t>
      </w:r>
      <w:r>
        <w:rPr>
          <w:rFonts w:hint="eastAsia" w:ascii="宋体" w:hAnsi="宋体"/>
          <w:color w:val="000000" w:themeColor="text1"/>
          <w:sz w:val="24"/>
          <w:highlight w:val="none"/>
          <w:u w:val="single"/>
          <w14:textFill>
            <w14:solidFill>
              <w14:schemeClr w14:val="tx1"/>
            </w14:solidFill>
          </w14:textFill>
        </w:rPr>
        <w:t>2023</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10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u w:val="single"/>
          <w14:textFill>
            <w14:solidFill>
              <w14:schemeClr w14:val="tx1"/>
            </w14:solidFill>
          </w14:textFill>
        </w:rPr>
        <w:t>网上直接下载</w:t>
      </w:r>
      <w:r>
        <w:rPr>
          <w:rFonts w:hint="eastAsia" w:ascii="宋体" w:hAnsi="宋体"/>
          <w:color w:val="000000" w:themeColor="text1"/>
          <w:sz w:val="24"/>
          <w:highlight w:val="none"/>
          <w14:textFill>
            <w14:solidFill>
              <w14:schemeClr w14:val="tx1"/>
            </w14:solidFill>
          </w14:textFill>
        </w:rPr>
        <w:t>获取采购文件，报价文件最迟应于</w:t>
      </w:r>
      <w:r>
        <w:rPr>
          <w:rFonts w:hint="eastAsia" w:ascii="宋体" w:hAnsi="宋体"/>
          <w:color w:val="000000" w:themeColor="text1"/>
          <w:sz w:val="24"/>
          <w:highlight w:val="none"/>
          <w:u w:val="single"/>
          <w14:textFill>
            <w14:solidFill>
              <w14:schemeClr w14:val="tx1"/>
            </w14:solidFill>
          </w14:textFill>
        </w:rPr>
        <w:t>2023</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分送达</w:t>
      </w:r>
      <w:r>
        <w:rPr>
          <w:rFonts w:hint="eastAsia" w:ascii="宋体" w:hAnsi="宋体"/>
          <w:color w:val="000000" w:themeColor="text1"/>
          <w:sz w:val="24"/>
          <w:highlight w:val="none"/>
          <w:u w:val="single"/>
          <w14:textFill>
            <w14:solidFill>
              <w14:schemeClr w14:val="tx1"/>
            </w14:solidFill>
          </w14:textFill>
        </w:rPr>
        <w:t>湖南省港务集团有限公司工程管理部（岳阳市城陵矶新港信息大楼307室）</w:t>
      </w:r>
      <w:r>
        <w:rPr>
          <w:rFonts w:hint="eastAsia" w:ascii="宋体" w:hAnsi="宋体"/>
          <w:color w:val="000000" w:themeColor="text1"/>
          <w:sz w:val="24"/>
          <w:highlight w:val="none"/>
          <w14:textFill>
            <w14:solidFill>
              <w14:schemeClr w14:val="tx1"/>
            </w14:solidFill>
          </w14:textFill>
        </w:rPr>
        <w:t>，逾期送达的或者未送达指定地点的文件，不予受理。</w:t>
      </w:r>
    </w:p>
    <w:p>
      <w:pPr>
        <w:autoSpaceDE w:val="0"/>
        <w:spacing w:line="400" w:lineRule="exact"/>
        <w:ind w:firstLine="482" w:firstLineChars="20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7.2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color w:val="000000" w:themeColor="text1"/>
          <w:sz w:val="24"/>
          <w:highlight w:val="none"/>
          <w:u w:val="single"/>
          <w14:textFill>
            <w14:solidFill>
              <w14:schemeClr w14:val="tx1"/>
            </w14:solidFill>
          </w14:textFill>
        </w:rPr>
        <w:t>2023</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27</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u w:val="singl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分前向采购人提出澄清要求。</w:t>
      </w:r>
    </w:p>
    <w:p>
      <w:pPr>
        <w:pStyle w:val="10"/>
        <w:keepNext w:val="0"/>
        <w:keepLines w:val="0"/>
        <w:widowControl w:val="0"/>
        <w:adjustRightInd w:val="0"/>
        <w:snapToGrid w:val="0"/>
        <w:spacing w:after="0" w:line="312"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8.发布公告的媒介</w:t>
      </w:r>
    </w:p>
    <w:p>
      <w:pPr>
        <w:widowControl w:val="0"/>
        <w:spacing w:line="312" w:lineRule="auto"/>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本次采购公告</w:t>
      </w:r>
      <w:r>
        <w:rPr>
          <w:rFonts w:hint="eastAsia" w:ascii="宋体" w:hAnsi="宋体"/>
          <w:color w:val="000000" w:themeColor="text1"/>
          <w:sz w:val="24"/>
          <w:highlight w:val="none"/>
          <w14:textFill>
            <w14:solidFill>
              <w14:schemeClr w14:val="tx1"/>
            </w14:solidFill>
          </w14:textFill>
        </w:rPr>
        <w:t>发布的媒介:</w:t>
      </w:r>
      <w:permStart w:id="13" w:edGrp="everyone"/>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中国招标投标公共服务平台（http：//www.cebpubservice.com）、湖南省港航水利集团有限公司网站（http：//www.hnsxsjt.com）、</w:t>
      </w:r>
      <w:r>
        <w:rPr>
          <w:rFonts w:hint="eastAsia" w:ascii="宋体" w:hAnsi="宋体" w:cs="宋体"/>
          <w:color w:val="000000" w:themeColor="text1"/>
          <w:sz w:val="24"/>
          <w:highlight w:val="none"/>
          <w:u w:val="single"/>
          <w14:textFill>
            <w14:solidFill>
              <w14:schemeClr w14:val="tx1"/>
            </w14:solidFill>
          </w14:textFill>
        </w:rPr>
        <w:t xml:space="preserve">                                   湖南省港务集团有限公司</w:t>
      </w:r>
      <w:r>
        <w:rPr>
          <w:rFonts w:hint="eastAsia" w:ascii="宋体" w:hAnsi="宋体" w:cs="宋体"/>
          <w:color w:val="000000" w:themeColor="text1"/>
          <w:sz w:val="24"/>
          <w:highlight w:val="none"/>
          <w14:textFill>
            <w14:solidFill>
              <w14:schemeClr w14:val="tx1"/>
            </w14:solidFill>
          </w14:textFill>
        </w:rPr>
        <w:t>（http://www.hnsgwjt.com）上发布。</w:t>
      </w:r>
    </w:p>
    <w:p>
      <w:pPr>
        <w:pStyle w:val="10"/>
        <w:jc w:val="both"/>
        <w:rPr>
          <w:color w:val="000000" w:themeColor="text1"/>
          <w:highlight w:val="none"/>
          <w14:textFill>
            <w14:solidFill>
              <w14:schemeClr w14:val="tx1"/>
            </w14:solidFill>
          </w14:textFill>
        </w:rPr>
      </w:pPr>
      <w:bookmarkStart w:id="4" w:name="_Toc76635692"/>
      <w:bookmarkStart w:id="5" w:name="_Toc77254104"/>
      <w:bookmarkStart w:id="6" w:name="_Toc512257471"/>
      <w:bookmarkStart w:id="7" w:name="_Toc79596547"/>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监督</w:t>
      </w:r>
      <w:bookmarkEnd w:id="4"/>
      <w:bookmarkEnd w:id="5"/>
      <w:bookmarkEnd w:id="6"/>
      <w:r>
        <w:rPr>
          <w:rFonts w:hint="eastAsia"/>
          <w:color w:val="000000" w:themeColor="text1"/>
          <w:highlight w:val="none"/>
          <w14:textFill>
            <w14:solidFill>
              <w14:schemeClr w14:val="tx1"/>
            </w14:solidFill>
          </w14:textFill>
        </w:rPr>
        <w:t>部门</w:t>
      </w:r>
      <w:bookmarkEnd w:id="7"/>
    </w:p>
    <w:p>
      <w:pPr>
        <w:widowControl w:val="0"/>
        <w:spacing w:line="312" w:lineRule="auto"/>
        <w:ind w:firstLine="480" w:firstLineChars="200"/>
        <w:jc w:val="both"/>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本次采购监督部门为湖南省港务集团纪检监察部 ，电话： </w:t>
      </w:r>
      <w:r>
        <w:rPr>
          <w:rFonts w:hint="eastAsia" w:ascii="宋体" w:hAnsi="宋体"/>
          <w:bCs/>
          <w:color w:val="000000" w:themeColor="text1"/>
          <w:sz w:val="24"/>
          <w:highlight w:val="none"/>
          <w:lang w:val="zh-CN"/>
          <w14:textFill>
            <w14:solidFill>
              <w14:schemeClr w14:val="tx1"/>
            </w14:solidFill>
          </w14:textFill>
        </w:rPr>
        <w:t>0730-8426255</w:t>
      </w:r>
      <w:r>
        <w:rPr>
          <w:rFonts w:hint="eastAsia" w:ascii="宋体" w:hAnsi="宋体"/>
          <w:bCs/>
          <w:color w:val="000000" w:themeColor="text1"/>
          <w:sz w:val="24"/>
          <w:highlight w:val="none"/>
          <w14:textFill>
            <w14:solidFill>
              <w14:schemeClr w14:val="tx1"/>
            </w14:solidFill>
          </w14:textFill>
        </w:rPr>
        <w:t xml:space="preserve"> 。</w:t>
      </w:r>
    </w:p>
    <w:permEnd w:id="13"/>
    <w:p>
      <w:pPr>
        <w:pStyle w:val="10"/>
        <w:jc w:val="both"/>
        <w:rPr>
          <w:rFonts w:ascii="Arial" w:hAnsi="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ascii="黑体" w:hAnsi="黑体"/>
          <w:color w:val="000000" w:themeColor="text1"/>
          <w:highlight w:val="none"/>
          <w14:textFill>
            <w14:solidFill>
              <w14:schemeClr w14:val="tx1"/>
            </w14:solidFill>
          </w14:textFill>
        </w:rPr>
        <w:t>联系方式</w:t>
      </w:r>
    </w:p>
    <w:p>
      <w:pPr>
        <w:autoSpaceDE w:val="0"/>
        <w:spacing w:line="400" w:lineRule="exact"/>
        <w:ind w:firstLine="240" w:firstLineChars="100"/>
        <w:rPr>
          <w:rFonts w:ascii="宋体" w:hAnsi="宋体"/>
          <w:color w:val="000000" w:themeColor="text1"/>
          <w:sz w:val="24"/>
          <w:highlight w:val="none"/>
          <w:u w:val="single"/>
          <w14:textFill>
            <w14:solidFill>
              <w14:schemeClr w14:val="tx1"/>
            </w14:solidFill>
          </w14:textFill>
        </w:rPr>
      </w:pPr>
      <w:permStart w:id="14" w:edGrp="everyone"/>
      <w:r>
        <w:rPr>
          <w:rFonts w:hint="eastAsia" w:ascii="宋体" w:hAnsi="宋体"/>
          <w:color w:val="000000" w:themeColor="text1"/>
          <w:sz w:val="24"/>
          <w:highlight w:val="none"/>
          <w14:textFill>
            <w14:solidFill>
              <w14:schemeClr w14:val="tx1"/>
            </w14:solidFill>
          </w14:textFill>
        </w:rPr>
        <w:t>采 购 人:</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湖南省港务集团</w:t>
      </w:r>
      <w:r>
        <w:rPr>
          <w:rFonts w:hint="eastAsia" w:ascii="宋体" w:hAnsi="宋体"/>
          <w:color w:val="000000" w:themeColor="text1"/>
          <w:sz w:val="24"/>
          <w:highlight w:val="none"/>
          <w:u w:val="single"/>
          <w14:textFill>
            <w14:solidFill>
              <w14:schemeClr w14:val="tx1"/>
            </w14:solidFill>
          </w14:textFill>
        </w:rPr>
        <w:t>有限公司</w:t>
      </w:r>
    </w:p>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湖南省岳阳市城陵矶新港有限公司办公楼307室</w:t>
      </w:r>
    </w:p>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 系 人:</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刘女士                     </w:t>
      </w:r>
    </w:p>
    <w:p>
      <w:pPr>
        <w:autoSpaceDE w:val="0"/>
        <w:spacing w:line="400" w:lineRule="exact"/>
        <w:ind w:firstLine="240" w:firstLineChars="100"/>
        <w:rPr>
          <w:rFonts w:eastAsiaTheme="minorEastAsia"/>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r>
        <w:rPr>
          <w:rFonts w:hint="eastAsia"/>
          <w:color w:val="000000" w:themeColor="text1"/>
          <w:sz w:val="24"/>
          <w:highlight w:val="none"/>
          <w:u w:val="single"/>
          <w14:textFill>
            <w14:solidFill>
              <w14:schemeClr w14:val="tx1"/>
            </w14:solidFill>
          </w14:textFill>
        </w:rPr>
        <w:t>0730-8426237</w:t>
      </w:r>
    </w:p>
    <w:permEnd w:id="14"/>
    <w:p>
      <w:pPr>
        <w:spacing w:line="240" w:lineRule="auto"/>
        <w:jc w:val="both"/>
        <w:rPr>
          <w:rFonts w:ascii="黑体" w:hAnsi="黑体" w:eastAsia="黑体"/>
          <w:color w:val="000000" w:themeColor="text1"/>
          <w:sz w:val="32"/>
          <w:szCs w:val="32"/>
          <w:highlight w:val="none"/>
          <w14:textFill>
            <w14:solidFill>
              <w14:schemeClr w14:val="tx1"/>
            </w14:solidFill>
          </w14:textFill>
        </w:rPr>
      </w:pPr>
      <w:bookmarkStart w:id="8" w:name="_Toc517787494"/>
      <w:bookmarkStart w:id="9" w:name="_Toc234832861"/>
    </w:p>
    <w:p>
      <w:pPr>
        <w:spacing w:line="240" w:lineRule="auto"/>
        <w:jc w:val="center"/>
        <w:rPr>
          <w:rFonts w:ascii="黑体" w:hAnsi="黑体" w:eastAsia="黑体"/>
          <w:color w:val="000000" w:themeColor="text1"/>
          <w:sz w:val="32"/>
          <w:szCs w:val="32"/>
          <w:highlight w:val="none"/>
          <w14:textFill>
            <w14:solidFill>
              <w14:schemeClr w14:val="tx1"/>
            </w14:solidFill>
          </w14:textFill>
        </w:rPr>
      </w:pPr>
    </w:p>
    <w:p>
      <w:pPr>
        <w:spacing w:line="240" w:lineRule="auto"/>
        <w:jc w:val="center"/>
        <w:rPr>
          <w:rFonts w:ascii="黑体" w:hAnsi="黑体" w:eastAsia="黑体"/>
          <w:color w:val="000000" w:themeColor="text1"/>
          <w:sz w:val="32"/>
          <w:szCs w:val="32"/>
          <w:highlight w:val="none"/>
          <w14:textFill>
            <w14:solidFill>
              <w14:schemeClr w14:val="tx1"/>
            </w14:solidFill>
          </w14:textFill>
        </w:rPr>
      </w:pPr>
    </w:p>
    <w:p>
      <w:pPr>
        <w:spacing w:line="240" w:lineRule="auto"/>
        <w:jc w:val="both"/>
        <w:rPr>
          <w:rFonts w:ascii="黑体" w:hAnsi="黑体" w:eastAsia="黑体"/>
          <w:color w:val="000000" w:themeColor="text1"/>
          <w:sz w:val="32"/>
          <w:szCs w:val="32"/>
          <w:highlight w:val="none"/>
          <w14:textFill>
            <w14:solidFill>
              <w14:schemeClr w14:val="tx1"/>
            </w14:solidFill>
          </w14:textFill>
        </w:rPr>
      </w:pPr>
    </w:p>
    <w:p>
      <w:pPr>
        <w:spacing w:line="24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第二章  供应商须知</w:t>
      </w:r>
      <w:bookmarkEnd w:id="8"/>
      <w:bookmarkEnd w:id="9"/>
    </w:p>
    <w:p>
      <w:pPr>
        <w:pStyle w:val="7"/>
        <w:spacing w:before="240" w:after="240" w:line="600" w:lineRule="exact"/>
        <w:jc w:val="both"/>
        <w:rPr>
          <w:rFonts w:ascii="仿宋" w:hAnsi="仿宋" w:eastAsia="仿宋" w:cs="仿宋"/>
          <w:color w:val="000000" w:themeColor="text1"/>
          <w:sz w:val="30"/>
          <w:szCs w:val="30"/>
          <w:highlight w:val="none"/>
          <w14:textFill>
            <w14:solidFill>
              <w14:schemeClr w14:val="tx1"/>
            </w14:solidFill>
          </w14:textFill>
        </w:rPr>
      </w:pPr>
      <w:bookmarkStart w:id="10" w:name="_Toc517787495"/>
      <w:bookmarkStart w:id="11" w:name="_Toc234832862"/>
      <w:r>
        <w:rPr>
          <w:rFonts w:hint="eastAsia" w:ascii="仿宋" w:hAnsi="仿宋" w:eastAsia="仿宋" w:cs="仿宋"/>
          <w:color w:val="000000" w:themeColor="text1"/>
          <w:sz w:val="30"/>
          <w:szCs w:val="30"/>
          <w:highlight w:val="none"/>
          <w14:textFill>
            <w14:solidFill>
              <w14:schemeClr w14:val="tx1"/>
            </w14:solidFill>
          </w14:textFill>
        </w:rPr>
        <w:t>供应商须知前附表</w:t>
      </w:r>
      <w:bookmarkEnd w:id="10"/>
      <w:bookmarkEnd w:id="11"/>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15" w:edGrp="everyone"/>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询价</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□竞争性谈判</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□单一来源</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□直接采购</w:t>
            </w:r>
            <w:permEnd w:id="1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16" w:edGrp="everyone"/>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仿宋" w:asciiTheme="minorEastAsia" w:hAnsiTheme="minorEastAsia" w:eastAsiaTheme="minorEastAsia"/>
                <w:color w:val="000000" w:themeColor="text1"/>
                <w:sz w:val="24"/>
                <w:highlight w:val="none"/>
                <w14:textFill>
                  <w14:solidFill>
                    <w14:schemeClr w14:val="tx1"/>
                  </w14:solidFill>
                </w14:textFill>
              </w:rPr>
              <w:t>最低价法（同质比价法和同价比质法）</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综合评分法（性价比法）</w:t>
            </w:r>
            <w:permEnd w:id="16"/>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17" w:edGrp="everyone"/>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不组织</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□组织，踏勘时间：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踏勘集中地点：             </w:t>
            </w:r>
            <w:permEnd w:id="17"/>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18" w:edGrp="everyone"/>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不召开</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□召开，召开时间：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召开地点：                 </w:t>
            </w:r>
            <w:permEnd w:id="1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19"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不得分包的内容：不允许分包</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对分包供应商的要求：               </w:t>
            </w:r>
            <w:permEnd w:id="19"/>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0"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允许偏差的范围：不允许重大偏差，允许细微偏差</w:t>
            </w:r>
            <w:permEnd w:id="20"/>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1"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无 </w:t>
            </w:r>
            <w:permEnd w:id="21"/>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2"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截止时间：2023年10月27日                         </w:t>
            </w:r>
            <w:permEnd w:id="22"/>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3"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确认的最晚时间：2023年10 月27日17时30分。</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确定的方式：收到纸质版文件为准                       </w:t>
            </w:r>
            <w:permEnd w:id="23"/>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4"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资料名称：无                         </w:t>
            </w:r>
            <w:permEnd w:id="24"/>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□无</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有，最高限价标段1：36万元</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5"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递交响应文件截止之日起90日        </w:t>
            </w:r>
            <w:permEnd w:id="2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6" w:edGrp="everyone"/>
            <w:r>
              <w:rPr>
                <w:rFonts w:hint="eastAsia" w:cs="仿宋"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4"/>
                <w:highlight w:val="none"/>
                <w14:textFill>
                  <w14:solidFill>
                    <w14:schemeClr w14:val="tx1"/>
                  </w14:solidFill>
                </w14:textFill>
              </w:rPr>
              <w:t>不要求递交</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□要求递交，</w:t>
            </w:r>
          </w:p>
          <w:p>
            <w:pPr>
              <w:spacing w:line="288" w:lineRule="auto"/>
              <w:ind w:firstLine="360" w:firstLineChars="15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保证金的金额：              </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保证金的形式：           </w:t>
            </w:r>
            <w:permEnd w:id="26"/>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7"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无                           </w:t>
            </w:r>
            <w:permEnd w:id="27"/>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28" w:edGrp="everyone"/>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无                            </w:t>
            </w:r>
            <w:permEnd w:id="2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29" w:edGrp="everyone"/>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适用。供应商在中华人民共和国境内注册。持有有效的营业执照（或事业单位法人证书），并具有独立法人资格。需提供法人营业执照(或事业单位法人证书)复印件（并加盖单位章）。</w:t>
            </w:r>
            <w:permEnd w:id="29"/>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color w:val="000000" w:themeColor="text1"/>
                <w:sz w:val="24"/>
                <w:highlight w:val="none"/>
                <w14:textFill>
                  <w14:solidFill>
                    <w14:schemeClr w14:val="tx1"/>
                  </w14:solidFill>
                </w14:textFill>
              </w:rPr>
            </w:pPr>
            <w:permStart w:id="30" w:edGrp="everyone"/>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4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适用。供应商应在人员、设备、资金等方面具有相应的承揽能力；（提供资质证书复印件）。</w:t>
            </w:r>
            <w:permEnd w:id="30"/>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ermStart w:id="31" w:edGrp="everyone" w:colFirst="2" w:colLast="2"/>
            <w:r>
              <w:rPr>
                <w:rFonts w:hint="eastAsia" w:cs="仿宋" w:asciiTheme="minorEastAsia" w:hAnsiTheme="minorEastAsia" w:eastAsiaTheme="minorEastAsia"/>
                <w:color w:val="000000" w:themeColor="text1"/>
                <w:sz w:val="24"/>
                <w:highlight w:val="none"/>
                <w14:textFill>
                  <w14:solidFill>
                    <w14:schemeClr w14:val="tx1"/>
                  </w14:solidFill>
                </w14:textFill>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themeColor="text1"/>
                <w:sz w:val="24"/>
                <w:highlight w:val="none"/>
                <w14:textFill>
                  <w14:solidFill>
                    <w14:schemeClr w14:val="tx1"/>
                  </w14:solidFill>
                </w14:textFill>
              </w:rPr>
            </w:pPr>
            <w:r>
              <w:rPr>
                <w:rStyle w:val="46"/>
                <w:rFonts w:hint="eastAsia" w:asciiTheme="minorEastAsia" w:hAnsiTheme="minorEastAsia" w:eastAsiaTheme="minorEastAsia"/>
                <w:b w:val="0"/>
                <w:color w:val="000000" w:themeColor="text1"/>
                <w:sz w:val="24"/>
                <w:highlight w:val="none"/>
                <w14:textFill>
                  <w14:solidFill>
                    <w14:schemeClr w14:val="tx1"/>
                  </w14:solidFill>
                </w14:textFill>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经会计师事务所或审计机构审计的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□适用。供应商应提供近年财务会计报表复印件，包括资产负债表，现金流量表、利润表等。近年财务会计报表年份是指：至年（供应商的成立时间少于该规定年份的，应提供成立以来的财务会计报表）</w:t>
            </w:r>
          </w:p>
          <w:p>
            <w:pPr>
              <w:spacing w:line="288" w:lineRule="auto"/>
              <w:jc w:val="both"/>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（注：有财务要求的，应选择两种财务会计报表中的一种作为财务证明资料。）</w:t>
            </w:r>
          </w:p>
        </w:tc>
      </w:tr>
      <w:permEnd w:id="3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2"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适用。供应商近3年内完成过1个或以上航道调整或航标配布方案编制服务业绩</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业绩时间以合同签订日期为准。</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供应商应提供近年的类似项目情况表（格式见第六章“响应文件格式”</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五</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、资格审查资料（三）近年的类似项目情况表），以证明供应商具有承担本项目要求的业绩。近</w:t>
            </w:r>
            <w:r>
              <w:rPr>
                <w:rFonts w:hint="eastAsia" w:cs="宋体" w:asciiTheme="minorEastAsia" w:hAnsiTheme="minorEastAsia" w:eastAsiaTheme="minorEastAsia"/>
                <w:color w:val="000000" w:themeColor="text1"/>
                <w:sz w:val="24"/>
                <w:highlight w:val="none"/>
                <w:shd w:val="clear" w:color="auto" w:fill="00B0F0"/>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年是指</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 202</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月 </w:t>
            </w:r>
            <w:r>
              <w:rPr>
                <w:rFonts w:hint="eastAsia" w:cs="宋体" w:asciiTheme="minorEastAsia" w:hAnsiTheme="minorEastAsia" w:eastAsiaTheme="minorEastAsia"/>
                <w:color w:val="000000" w:themeColor="text1"/>
                <w:sz w:val="24"/>
                <w:highlight w:val="none"/>
                <w:shd w:val="clear" w:color="auto" w:fill="00B0F0"/>
                <w14:textFill>
                  <w14:solidFill>
                    <w14:schemeClr w14:val="tx1"/>
                  </w14:solidFill>
                </w14:textFill>
              </w:rPr>
              <w:t>至</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 xml:space="preserve"> 2023年</w:t>
            </w:r>
            <w:r>
              <w:rPr>
                <w:rFonts w:hint="eastAsia" w:cs="宋体" w:asciiTheme="minorEastAsia" w:hAnsiTheme="minorEastAsia" w:eastAsiaTheme="minorEastAsia"/>
                <w:color w:val="000000" w:themeColor="text1"/>
                <w:sz w:val="24"/>
                <w:highlight w:val="none"/>
                <w:u w:val="single"/>
                <w:shd w:val="clear" w:color="auto" w:fill="00B0F0"/>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u w:val="single"/>
                <w:shd w:val="clear" w:color="auto" w:fill="00B0F0"/>
                <w14:textFill>
                  <w14:solidFill>
                    <w14:schemeClr w14:val="tx1"/>
                  </w14:solidFill>
                </w14:textFill>
              </w:rPr>
              <w:t>月</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业绩证明材料：</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合同/订单</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中标通知书/成交通知书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竣工验收报告/验收证明</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□业主证明。</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业绩证明材料种类要求：</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需同时提供上述勾选的所有证明材料</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其他要求：</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3"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2.被最高人民法院在“信用中国”网站（www.creditchina.gov.cn）中未列入失信被执行人名单的网页截图。</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4"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适用。供应商应提供拟委任的主要人员汇总表和主要人员简历表（格式见第六章“响应文件格式”七、资格审查资料（四）拟委任的主要人员汇总表和（五）主要人员简历表）。</w:t>
            </w:r>
          </w:p>
          <w:p>
            <w:pPr>
              <w:wordWrap w:val="0"/>
              <w:spacing w:line="240"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项目负责人：具有港航工程类中级或以上工程师职称。</w:t>
            </w:r>
          </w:p>
          <w:p>
            <w:pPr>
              <w:pStyle w:val="42"/>
              <w:ind w:left="0" w:leftChars="0" w:firstLine="0" w:firstLineChars="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技术负责人：具有港航工程类中级或以上工程师职称。</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供应商应按如下要求提供相关证明文件：</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1.供应商必须在《主要人员简历表》后附上身份证、毕业证、职称证、资格证书（如有）等。</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2.供应商拟投入的人员年龄不得超过60周岁（按投标文件截止之日计算年龄）。</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5"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无 </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6"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□不需要提供证明材料</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需要提供证明材料，包括：</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提供承诺函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7"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无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8"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供应商只能提出唯一响应方案</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□供应商可提出多个响应方案</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39"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提供纸质版响应文件三份：一正两副          是否要求提供电子版响应文件：</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w:t>
            </w:r>
          </w:p>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A3"/>
            </w:r>
            <w:r>
              <w:rPr>
                <w:rFonts w:hint="eastAsia" w:cs="宋体" w:asciiTheme="minorEastAsia" w:hAnsiTheme="minorEastAsia" w:eastAsiaTheme="minorEastAsia"/>
                <w:color w:val="000000" w:themeColor="text1"/>
                <w:sz w:val="24"/>
                <w:highlight w:val="none"/>
                <w14:textFill>
                  <w14:solidFill>
                    <w14:schemeClr w14:val="tx1"/>
                  </w14:solidFill>
                </w14:textFill>
              </w:rPr>
              <w:t>要求，提供电子版响应文件的形式</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0"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响应文件须密封包装，并在封套的封口处加盖供应商单位章。</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1"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□不适用</w:t>
            </w:r>
          </w:p>
          <w:p>
            <w:pPr>
              <w:spacing w:line="288"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适用，供应商名称、（项目名称）响应文件 、联系方式                                    </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2"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截止时间：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2023年10月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日17时30分                  </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递交响应文件的地点：</w:t>
            </w:r>
            <w:r>
              <w:rPr>
                <w:rFonts w:hint="eastAsia"/>
                <w:color w:val="000000" w:themeColor="text1"/>
                <w:sz w:val="24"/>
                <w:highlight w:val="none"/>
                <w:u w:val="single"/>
                <w14:textFill>
                  <w14:solidFill>
                    <w14:schemeClr w14:val="tx1"/>
                  </w14:solidFill>
                </w14:textFill>
              </w:rPr>
              <w:t>湖南省岳阳市城陵矶新港有限公司办公楼307室</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3"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□是，退还时间：</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4"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否</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5"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湖南省港务集团有限公司602开标室</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6"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开启顺序：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随机 </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其他应公布的信息：</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评标（谈判）小组构成：3人。</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7"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是否排序：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□不排序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数量：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1-3 家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8"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公示媒介：</w:t>
            </w:r>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中国招标投标公共服务平台（http：//www.cebpubservice.com）、湖南省港航水利集团有限公司网站（http：//www.hnsxsjt.com）、</w:t>
            </w:r>
            <w:r>
              <w:rPr>
                <w:rFonts w:hint="eastAsia" w:ascii="宋体" w:hAnsi="宋体" w:cs="宋体"/>
                <w:color w:val="000000" w:themeColor="text1"/>
                <w:sz w:val="24"/>
                <w:highlight w:val="none"/>
                <w:u w:val="single"/>
                <w14:textFill>
                  <w14:solidFill>
                    <w14:schemeClr w14:val="tx1"/>
                  </w14:solidFill>
                </w14:textFill>
              </w:rPr>
              <w:t xml:space="preserve">                                   湖南省港务集团有限公司</w:t>
            </w:r>
            <w:r>
              <w:rPr>
                <w:rFonts w:hint="eastAsia" w:ascii="宋体" w:hAnsi="宋体" w:cs="宋体"/>
                <w:color w:val="000000" w:themeColor="text1"/>
                <w:sz w:val="24"/>
                <w:highlight w:val="none"/>
                <w14:textFill>
                  <w14:solidFill>
                    <w14:schemeClr w14:val="tx1"/>
                  </w14:solidFill>
                </w14:textFill>
              </w:rPr>
              <w:t>（http://www.hnsgwjt.com）上发布。</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公示期限：</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3个工作日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49"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不要求提交</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□要求递交</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履约保证金金额：</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履约保证金形式：</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履约保证金有效期限：</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递交时间：</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其他要求：</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50"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湖南省港务集团纪检监察部                 </w:t>
            </w:r>
          </w:p>
          <w:p>
            <w:pPr>
              <w:spacing w:line="288" w:lineRule="auto"/>
              <w:jc w:val="both"/>
              <w:rPr>
                <w:color w:val="000000" w:themeColor="text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zh-CN"/>
                <w14:textFill>
                  <w14:solidFill>
                    <w14:schemeClr w14:val="tx1"/>
                  </w14:solidFill>
                </w14:textFill>
              </w:rPr>
              <w:t>0730-8426255</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通信地址：</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湖南省岳阳市云溪区沿江西路50米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permStart w:id="51" w:edGrp="everyone" w:colFirst="2" w:colLast="2"/>
            <w:r>
              <w:rPr>
                <w:rFonts w:hint="eastAsia" w:cs="宋体" w:asciiTheme="minorEastAsia" w:hAnsiTheme="minorEastAsia" w:eastAsiaTheme="minorEastAsia"/>
                <w:color w:val="000000" w:themeColor="text1"/>
                <w:sz w:val="24"/>
                <w:highlight w:val="none"/>
                <w14:textFill>
                  <w14:solidFill>
                    <w14:schemeClr w14:val="tx1"/>
                  </w14:solidFill>
                </w14:textFill>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4"/>
                <w:highlight w:val="none"/>
                <w14:textFill>
                  <w14:solidFill>
                    <w14:schemeClr w14:val="tx1"/>
                  </w14:solidFill>
                </w14:textFill>
              </w:rPr>
              <w:t>不要求承担</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□要求承担</w:t>
            </w:r>
          </w:p>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费用标准或金额：</w:t>
            </w:r>
          </w:p>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交费时间：</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交费方式：</w:t>
            </w:r>
          </w:p>
        </w:tc>
      </w:tr>
      <w:permEnd w:id="51"/>
    </w:tbl>
    <w:p>
      <w:pPr>
        <w:spacing w:line="240" w:lineRule="auto"/>
        <w:jc w:val="center"/>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b/>
          <w:bCs/>
          <w:color w:val="000000" w:themeColor="text1"/>
          <w:sz w:val="30"/>
          <w:szCs w:val="30"/>
          <w:highlight w:val="none"/>
          <w14:textFill>
            <w14:solidFill>
              <w14:schemeClr w14:val="tx1"/>
            </w14:solidFill>
          </w14:textFill>
        </w:rPr>
        <w:br w:type="page"/>
      </w:r>
      <w:permStart w:id="52" w:edGrp="everyone"/>
      <w:r>
        <w:rPr>
          <w:rFonts w:hint="eastAsia" w:ascii="华文中宋" w:hAnsi="华文中宋" w:eastAsia="华文中宋" w:cs="仿宋"/>
          <w:b/>
          <w:bCs/>
          <w:color w:val="000000" w:themeColor="text1"/>
          <w:sz w:val="30"/>
          <w:szCs w:val="30"/>
          <w:highlight w:val="none"/>
          <w14:textFill>
            <w14:solidFill>
              <w14:schemeClr w14:val="tx1"/>
            </w14:solidFill>
          </w14:textFill>
        </w:rPr>
        <w:t>第二章 供应商须知正文</w:t>
      </w:r>
    </w:p>
    <w:p>
      <w:pPr>
        <w:adjustRightInd w:val="0"/>
        <w:snapToGrid w:val="0"/>
        <w:spacing w:before="120" w:beforeLines="50" w:after="120" w:afterLines="50"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 总则</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1.1采购方法和评审办法</w:t>
      </w:r>
    </w:p>
    <w:p>
      <w:pPr>
        <w:pStyle w:val="77"/>
        <w:spacing w:before="120" w:after="120" w:line="312" w:lineRule="auto"/>
        <w:ind w:left="426" w:firstLine="48" w:firstLineChars="20"/>
        <w:jc w:val="both"/>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本项目采用供应商须知前附表规定的采购方式和评审办法。</w:t>
      </w:r>
    </w:p>
    <w:p>
      <w:pPr>
        <w:pStyle w:val="71"/>
        <w:spacing w:line="312"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1.1.1采购方法</w:t>
      </w:r>
    </w:p>
    <w:p>
      <w:pPr>
        <w:pStyle w:val="71"/>
        <w:spacing w:line="312" w:lineRule="auto"/>
        <w:ind w:firstLine="453" w:firstLineChars="189"/>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1.1.2评审办法</w:t>
      </w:r>
    </w:p>
    <w:p>
      <w:pPr>
        <w:pStyle w:val="71"/>
        <w:spacing w:line="312" w:lineRule="auto"/>
        <w:ind w:firstLine="48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1.2采购项目概况和供应商资格要求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采购项目概况和供应商资格要求见第一章“采购公告”。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1.3 费用承担</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供应商准备和参加采购活动所发生的各种费用由供应商自行承担。</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1.4保密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1.5语言文字</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1.7踏勘现场</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1.8采购预备会</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1.9分包(A、C)</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1.10响应和偏差</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2采购文件</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2.1采购文件的组成</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本采购文件包括:</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(1)采购公告:</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(2)供应商须知;</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(3)评审办法;</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(4)合同条款及格式;</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(5)采购需求;</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(6)响应文件格式;</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(7)供应商须知前附表规定的其他资料。</w:t>
      </w:r>
    </w:p>
    <w:p>
      <w:pPr>
        <w:adjustRightInd w:val="0"/>
        <w:snapToGrid w:val="0"/>
        <w:spacing w:line="312"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采购人依照本章规定，对采购文件所作的澄清、修改，构成采购文件的组成部分。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2.2采购文件的澄清和修改</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3响应文件</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3.1响应文件的组成</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3.1.1响应文件应包括下列内容:</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(1)响应函;</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(2)授权委托书(如有);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(3)联合体协议书(如有);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(4)响应保证金(如有);</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(5)商务和技术偏差表;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(6)报价表;</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(7)资格审查资料;</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(8)响应方案;</w:t>
      </w:r>
    </w:p>
    <w:p>
      <w:pPr>
        <w:adjustRightInd w:val="0"/>
        <w:snapToGrid w:val="0"/>
        <w:spacing w:line="312"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(9)供应商须知前附表规定的其他资料。</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3.2报价</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3.2.4报价的其他要求见供应商须知前附表。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3.3响应文件有效期</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3.4响应保证金</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3.4.3有下列情形之一的，响应保证金将不予退还:</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(1)供应商在响应文件有效期内撤销响应文件；</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3.5资格审查资料</w:t>
      </w:r>
    </w:p>
    <w:p>
      <w:pPr>
        <w:adjustRightInd w:val="0"/>
        <w:snapToGrid w:val="0"/>
        <w:spacing w:line="312" w:lineRule="auto"/>
        <w:ind w:left="149" w:leftChars="71" w:firstLine="360" w:firstLineChars="1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3.6响应方案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3.7响应文件的编制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3.7.2响应文件应用不褪色的的材料书写或打印。</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4响应文件的递交</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ascii="宋体" w:hAnsi="宋体" w:cs="仿宋"/>
          <w:b/>
          <w:bCs/>
          <w:color w:val="000000" w:themeColor="text1"/>
          <w:sz w:val="24"/>
          <w:highlight w:val="none"/>
          <w14:textFill>
            <w14:solidFill>
              <w14:schemeClr w14:val="tx1"/>
            </w14:solidFill>
          </w14:textFill>
        </w:rPr>
        <w:t>4.1响应文件的包装与标记</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4.1.2响应文件封套上应载明的内容见供应商须知前附表。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4.2响应文件的递交</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4.2.2除供应商须知前附表另有规定外，供应商所提交的响应文件不于退还。</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4.3响应文件的修改与撤回</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4.3.2</w:t>
      </w:r>
      <w:r>
        <w:rPr>
          <w:rFonts w:ascii="宋体" w:hAnsi="宋体" w:cs="仿宋"/>
          <w:color w:val="000000" w:themeColor="text1"/>
          <w:sz w:val="24"/>
          <w:highlight w:val="none"/>
          <w14:textFill>
            <w14:solidFill>
              <w14:schemeClr w14:val="tx1"/>
            </w14:solidFill>
          </w14:textFill>
        </w:rPr>
        <w:t>响应文件的修改文件或供应商</w:t>
      </w:r>
      <w:r>
        <w:rPr>
          <w:rFonts w:hint="eastAsia" w:ascii="宋体" w:hAnsi="宋体" w:cs="仿宋"/>
          <w:color w:val="000000" w:themeColor="text1"/>
          <w:sz w:val="24"/>
          <w:highlight w:val="none"/>
          <w14:textFill>
            <w14:solidFill>
              <w14:schemeClr w14:val="tx1"/>
            </w14:solidFill>
          </w14:textFill>
        </w:rPr>
        <w:t>撤</w:t>
      </w:r>
      <w:r>
        <w:rPr>
          <w:rFonts w:ascii="宋体" w:hAnsi="宋体" w:cs="仿宋"/>
          <w:color w:val="000000" w:themeColor="text1"/>
          <w:sz w:val="24"/>
          <w:highlight w:val="none"/>
          <w14:textFill>
            <w14:solidFill>
              <w14:schemeClr w14:val="tx1"/>
            </w14:solidFill>
          </w14:textFill>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5开启响应文件</w:t>
      </w:r>
    </w:p>
    <w:p>
      <w:pPr>
        <w:adjustRightInd w:val="0"/>
        <w:snapToGrid w:val="0"/>
        <w:spacing w:line="312" w:lineRule="auto"/>
        <w:ind w:firstLine="455"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采购人一般不公开开启响应文件。</w:t>
      </w:r>
      <w:r>
        <w:rPr>
          <w:rFonts w:hint="eastAsia" w:ascii="宋体" w:hAnsi="宋体" w:cs="仿宋"/>
          <w:bCs/>
          <w:color w:val="000000" w:themeColor="text1"/>
          <w:sz w:val="24"/>
          <w:highlight w:val="none"/>
          <w14:textFill>
            <w14:solidFill>
              <w14:schemeClr w14:val="tx1"/>
            </w14:solidFill>
          </w14:textFill>
        </w:rPr>
        <w:t>如</w:t>
      </w:r>
      <w:r>
        <w:rPr>
          <w:rFonts w:hint="eastAsia" w:ascii="宋体" w:hAnsi="宋体" w:cs="仿宋"/>
          <w:color w:val="000000" w:themeColor="text1"/>
          <w:sz w:val="24"/>
          <w:highlight w:val="none"/>
          <w14:textFill>
            <w14:solidFill>
              <w14:schemeClr w14:val="tx1"/>
            </w14:solidFill>
          </w14:textFill>
        </w:rPr>
        <w:t>供应商须知前附表规定公开开启响应文件的，开启活动应按本条规定执行。</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5.1开启响应文件的时间和地点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5.2开启程序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主持人按下列程序公开开启响应文件:</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(2)开启会议结束。</w:t>
      </w:r>
    </w:p>
    <w:p>
      <w:pPr>
        <w:adjustRightInd w:val="0"/>
        <w:snapToGrid w:val="0"/>
        <w:spacing w:line="312" w:lineRule="auto"/>
        <w:ind w:firstLine="455"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5.3递交响应文件的供应商不足的情形</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6评审（适用于询价采购）</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6.1评审小组</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6.1.1评审由采购人组建的评审小组负责。</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6.1.2评审小组成员有下列情形之的，应当回避:</w:t>
      </w:r>
    </w:p>
    <w:p>
      <w:pPr>
        <w:adjustRightInd w:val="0"/>
        <w:snapToGrid w:val="0"/>
        <w:spacing w:line="312" w:lineRule="auto"/>
        <w:ind w:left="716" w:leftChars="284" w:hanging="120" w:hanging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(2)与供应商有经济利益关系或其他利害关系，可能影响公正评审的。</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6.2评审</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7合同授予</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7.1成交候选供应商报价核查(B)</w:t>
      </w:r>
    </w:p>
    <w:p>
      <w:pPr>
        <w:widowControl w:val="0"/>
        <w:adjustRightInd w:val="0"/>
        <w:snapToGrid w:val="0"/>
        <w:spacing w:line="312" w:lineRule="auto"/>
        <w:ind w:firstLine="475" w:firstLineChars="198"/>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7.2</w:t>
      </w:r>
      <w:r>
        <w:rPr>
          <w:rFonts w:hint="eastAsia" w:ascii="宋体" w:hAnsi="宋体" w:cs="宋体"/>
          <w:b/>
          <w:bCs/>
          <w:color w:val="000000" w:themeColor="text1"/>
          <w:sz w:val="24"/>
          <w:highlight w:val="none"/>
          <w14:textFill>
            <w14:solidFill>
              <w14:schemeClr w14:val="tx1"/>
            </w14:solidFill>
          </w14:textFill>
        </w:rPr>
        <w:t>成交候选</w:t>
      </w:r>
      <w:r>
        <w:rPr>
          <w:rFonts w:hint="eastAsia" w:ascii="宋体" w:hAnsi="宋体" w:cs="仿宋"/>
          <w:b/>
          <w:bCs/>
          <w:color w:val="000000" w:themeColor="text1"/>
          <w:sz w:val="24"/>
          <w:highlight w:val="none"/>
          <w14:textFill>
            <w14:solidFill>
              <w14:schemeClr w14:val="tx1"/>
            </w14:solidFill>
          </w14:textFill>
        </w:rPr>
        <w:t>供应商</w:t>
      </w:r>
      <w:r>
        <w:rPr>
          <w:rFonts w:hint="eastAsia" w:ascii="宋体" w:hAnsi="宋体" w:cs="宋体"/>
          <w:b/>
          <w:bCs/>
          <w:color w:val="000000" w:themeColor="text1"/>
          <w:sz w:val="24"/>
          <w:highlight w:val="none"/>
          <w14:textFill>
            <w14:solidFill>
              <w14:schemeClr w14:val="tx1"/>
            </w14:solidFill>
          </w14:textFill>
        </w:rPr>
        <w:t xml:space="preserve">公示 </w:t>
      </w:r>
    </w:p>
    <w:p>
      <w:pPr>
        <w:widowControl w:val="0"/>
        <w:adjustRightInd w:val="0"/>
        <w:snapToGrid w:val="0"/>
        <w:spacing w:line="312" w:lineRule="auto"/>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7.3成交结果异议 </w:t>
      </w:r>
    </w:p>
    <w:p>
      <w:pPr>
        <w:adjustRightInd w:val="0"/>
        <w:snapToGrid w:val="0"/>
        <w:spacing w:line="312" w:lineRule="auto"/>
        <w:ind w:firstLine="424" w:firstLineChars="177"/>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7.4成交候选供应商履约能力核查</w:t>
      </w:r>
    </w:p>
    <w:p>
      <w:pPr>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7.5发出成交通知书</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7.6履约保证金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000000" w:themeColor="text1"/>
          <w:sz w:val="24"/>
          <w:highlight w:val="none"/>
          <w14:textFill>
            <w14:solidFill>
              <w14:schemeClr w14:val="tx1"/>
            </w14:solidFill>
          </w14:textFill>
        </w:rPr>
        <w:t>10</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7.7签订合同</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w:t>
      </w:r>
      <w:r>
        <w:rPr>
          <w:rFonts w:ascii="宋体" w:hAnsi="宋体" w:cs="仿宋"/>
          <w:b/>
          <w:bCs/>
          <w:color w:val="000000" w:themeColor="text1"/>
          <w:sz w:val="24"/>
          <w:highlight w:val="none"/>
          <w14:textFill>
            <w14:solidFill>
              <w14:schemeClr w14:val="tx1"/>
            </w14:solidFill>
          </w14:textFill>
        </w:rPr>
        <w:t>8</w:t>
      </w:r>
      <w:r>
        <w:rPr>
          <w:rFonts w:hint="eastAsia" w:ascii="宋体" w:hAnsi="宋体" w:cs="仿宋"/>
          <w:b/>
          <w:bCs/>
          <w:color w:val="000000" w:themeColor="text1"/>
          <w:sz w:val="24"/>
          <w:highlight w:val="none"/>
          <w14:textFill>
            <w14:solidFill>
              <w14:schemeClr w14:val="tx1"/>
            </w14:solidFill>
          </w14:textFill>
        </w:rPr>
        <w:t>特殊情形处理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8异议</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8.1提出异议</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8.2异议处理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采购人认为异议不成立或不影响采购结果的，可以继续进行采购活动。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9纪律要求</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9.1对采购人的纪律要求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9.2对供应商的纪律要求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9.3对评审小组成员的纪律要求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9.4对与采购活动有关的工作人员的纪律要求</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10需要补充的其他内容</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10.1采购代理服务费</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10.2其他</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需更补充的其他内容:见供应商须知前附表。</w:t>
      </w:r>
    </w:p>
    <w:permEnd w:id="52"/>
    <w:p>
      <w:pPr>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600" w:lineRule="exact"/>
        <w:ind w:firstLine="600" w:firstLineChars="20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附件1  开启记录表</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开启记录表</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开启时间：年月日时分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 号</w:t>
            </w:r>
          </w:p>
        </w:tc>
        <w:tc>
          <w:tcPr>
            <w:tcW w:w="1238"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密封情况</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w:t>
            </w:r>
          </w:p>
        </w:tc>
        <w:tc>
          <w:tcPr>
            <w:tcW w:w="1029" w:type="pct"/>
            <w:vAlign w:val="center"/>
          </w:tcPr>
          <w:p>
            <w:pPr>
              <w:widowControl w:val="0"/>
              <w:spacing w:line="24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240" w:lineRule="auto"/>
        <w:ind w:firstLine="1200" w:firstLineChars="500"/>
        <w:jc w:val="both"/>
        <w:rPr>
          <w:rFonts w:cs="仿宋"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采购人代表：      记录人：监督人：</w:t>
      </w:r>
    </w:p>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240" w:lineRule="auto"/>
        <w:jc w:val="both"/>
        <w:rPr>
          <w:rFonts w:ascii="仿宋" w:hAnsi="仿宋" w:eastAsia="仿宋" w:cs="仿宋"/>
          <w:color w:val="000000" w:themeColor="text1"/>
          <w:sz w:val="30"/>
          <w:szCs w:val="30"/>
          <w:highlight w:val="none"/>
          <w14:textFill>
            <w14:solidFill>
              <w14:schemeClr w14:val="tx1"/>
            </w14:solidFill>
          </w14:textFill>
        </w:rPr>
      </w:pPr>
    </w:p>
    <w:p>
      <w:pPr>
        <w:spacing w:line="240" w:lineRule="auto"/>
        <w:jc w:val="both"/>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600" w:firstLineChars="20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附件2  问题澄清通知</w:t>
      </w: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问题澄清通知</w:t>
      </w:r>
    </w:p>
    <w:p>
      <w:pPr>
        <w:adjustRightInd w:val="0"/>
        <w:snapToGrid w:val="0"/>
        <w:spacing w:line="600" w:lineRule="exact"/>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p>
    <w:p>
      <w:pPr>
        <w:adjustRightInd w:val="0"/>
        <w:snapToGrid w:val="0"/>
        <w:spacing w:line="600" w:lineRule="exact"/>
        <w:ind w:left="210" w:leftChars="100" w:firstLine="240" w:firstLineChars="1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(供应商名称):</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600" w:lineRule="exact"/>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600" w:lineRule="exact"/>
        <w:ind w:left="508" w:leftChars="242"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left="141" w:leftChars="67" w:firstLine="566" w:firstLineChars="236"/>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请将上述问题的澄清、说明和补正于年月日时前递交至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或发电子邮件至</w:t>
      </w:r>
      <w:r>
        <w:rPr>
          <w:rFonts w:hint="eastAsia" w:ascii="宋体" w:hAnsi="宋体" w:cs="仿宋"/>
          <w:color w:val="000000" w:themeColor="text1"/>
          <w:sz w:val="24"/>
          <w:highlight w:val="none"/>
          <w:u w:val="single"/>
          <w14:textFill>
            <w14:solidFill>
              <w14:schemeClr w14:val="tx1"/>
            </w14:solidFill>
          </w14:textFill>
        </w:rPr>
        <w:t>(电子邮箱地址)</w:t>
      </w:r>
      <w:r>
        <w:rPr>
          <w:rFonts w:hint="eastAsia" w:ascii="宋体" w:hAnsi="宋体" w:cs="仿宋"/>
          <w:color w:val="000000" w:themeColor="text1"/>
          <w:sz w:val="24"/>
          <w:highlight w:val="none"/>
          <w14:textFill>
            <w14:solidFill>
              <w14:schemeClr w14:val="tx1"/>
            </w14:solidFill>
          </w14:textFill>
        </w:rPr>
        <w:t>。采用电子邮件方式的，应在年月日_时前将原件递交至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left="141" w:leftChars="67" w:firstLine="566" w:firstLineChars="236"/>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left="210" w:leftChars="100" w:firstLine="4560" w:firstLineChars="19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采购人(或采购代理机构):</w:t>
      </w:r>
      <w:r>
        <w:rPr>
          <w:rFonts w:hint="eastAsia" w:ascii="宋体" w:hAnsi="宋体" w:cs="仿宋"/>
          <w:color w:val="000000" w:themeColor="text1"/>
          <w:sz w:val="24"/>
          <w:highlight w:val="none"/>
          <w:u w:val="single"/>
          <w14:textFill>
            <w14:solidFill>
              <w14:schemeClr w14:val="tx1"/>
            </w14:solidFill>
          </w14:textFill>
        </w:rPr>
        <w:t>(签字或盖单位章)</w:t>
      </w:r>
    </w:p>
    <w:p>
      <w:pPr>
        <w:spacing w:line="600" w:lineRule="exact"/>
        <w:ind w:firstLine="6480" w:firstLineChars="2700"/>
        <w:jc w:val="both"/>
        <w:rPr>
          <w:rFonts w:ascii="仿宋" w:hAnsi="仿宋" w:eastAsia="仿宋"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附件3  问题的澄清</w:t>
      </w: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问题的澄清</w:t>
      </w:r>
    </w:p>
    <w:p>
      <w:pPr>
        <w:adjustRightInd w:val="0"/>
        <w:snapToGrid w:val="0"/>
        <w:spacing w:line="600" w:lineRule="exact"/>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问题澄清通知(编号:)已收悉，现澄清、说明和补正如下：</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上述问题澄清、说明和补正，构成我方响应文件的组成部分。</w:t>
      </w:r>
    </w:p>
    <w:p>
      <w:pPr>
        <w:adjustRightInd w:val="0"/>
        <w:snapToGrid w:val="0"/>
        <w:spacing w:line="600" w:lineRule="exact"/>
        <w:ind w:firstLine="530" w:firstLineChars="221"/>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hint="eastAsia" w:ascii="宋体" w:hAnsi="宋体" w:cs="仿宋"/>
          <w:color w:val="000000" w:themeColor="text1"/>
          <w:sz w:val="24"/>
          <w:highlight w:val="none"/>
          <w:u w:val="single"/>
          <w14:textFill>
            <w14:solidFill>
              <w14:schemeClr w14:val="tx1"/>
            </w14:solidFill>
          </w14:textFill>
        </w:rPr>
        <w:t>(盖单位章)</w:t>
      </w:r>
    </w:p>
    <w:p>
      <w:pPr>
        <w:adjustRightInd w:val="0"/>
        <w:snapToGrid w:val="0"/>
        <w:spacing w:line="600" w:lineRule="exact"/>
        <w:ind w:firstLine="3410" w:firstLineChars="14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法定代表人(单位负责人)或其授权的代理人:</w:t>
      </w:r>
      <w:r>
        <w:rPr>
          <w:rFonts w:hint="eastAsia" w:ascii="宋体" w:hAnsi="宋体" w:cs="仿宋"/>
          <w:color w:val="000000" w:themeColor="text1"/>
          <w:sz w:val="24"/>
          <w:highlight w:val="none"/>
          <w:u w:val="single"/>
          <w14:textFill>
            <w14:solidFill>
              <w14:schemeClr w14:val="tx1"/>
            </w14:solidFill>
          </w14:textFill>
        </w:rPr>
        <w:t>(签字)</w:t>
      </w:r>
    </w:p>
    <w:p>
      <w:pPr>
        <w:spacing w:line="600" w:lineRule="exact"/>
        <w:ind w:firstLine="5570" w:firstLineChars="23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附件4  成交通知书</w:t>
      </w: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成交通知书</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(成交供应商名称)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你方所递交的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的响应文件已被我方接受，被确定为成交供应商。</w:t>
      </w:r>
    </w:p>
    <w:p>
      <w:pPr>
        <w:adjustRightInd w:val="0"/>
        <w:snapToGrid w:val="0"/>
        <w:spacing w:line="600" w:lineRule="exact"/>
        <w:ind w:firstLine="480" w:firstLineChars="2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成交价: 。</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请你方在接到本通知书后的日内到</w:t>
      </w:r>
      <w:r>
        <w:rPr>
          <w:rFonts w:hint="eastAsia" w:ascii="宋体" w:hAnsi="宋体" w:cs="仿宋"/>
          <w:color w:val="000000" w:themeColor="text1"/>
          <w:sz w:val="24"/>
          <w:highlight w:val="none"/>
          <w:u w:val="single"/>
          <w14:textFill>
            <w14:solidFill>
              <w14:schemeClr w14:val="tx1"/>
            </w14:solidFill>
          </w14:textFill>
        </w:rPr>
        <w:t>(指定地点)</w:t>
      </w:r>
      <w:r>
        <w:rPr>
          <w:rFonts w:hint="eastAsia" w:ascii="宋体" w:hAnsi="宋体" w:cs="仿宋"/>
          <w:color w:val="000000" w:themeColor="text1"/>
          <w:sz w:val="24"/>
          <w:highlight w:val="none"/>
          <w14:textFill>
            <w14:solidFill>
              <w14:schemeClr w14:val="tx1"/>
            </w14:solidFill>
          </w14:textFill>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特此通知。</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采购人(或采购代理机构):</w:t>
      </w:r>
      <w:r>
        <w:rPr>
          <w:rFonts w:hint="eastAsia" w:ascii="宋体" w:hAnsi="宋体" w:cs="仿宋"/>
          <w:color w:val="000000" w:themeColor="text1"/>
          <w:sz w:val="24"/>
          <w:highlight w:val="none"/>
          <w:u w:val="single"/>
          <w14:textFill>
            <w14:solidFill>
              <w14:schemeClr w14:val="tx1"/>
            </w14:solidFill>
          </w14:textFill>
        </w:rPr>
        <w:t>(盖单位章)</w:t>
      </w:r>
    </w:p>
    <w:p>
      <w:pPr>
        <w:adjustRightInd w:val="0"/>
        <w:snapToGrid w:val="0"/>
        <w:spacing w:line="600" w:lineRule="exact"/>
        <w:ind w:firstLine="6240" w:firstLineChars="2600"/>
        <w:jc w:val="both"/>
        <w:rPr>
          <w:rFonts w:ascii="仿宋" w:hAnsi="仿宋" w:eastAsia="仿宋"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年月日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600" w:lineRule="exact"/>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附件5  确认通知</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723"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确认通知</w:t>
      </w:r>
    </w:p>
    <w:p>
      <w:pPr>
        <w:adjustRightInd w:val="0"/>
        <w:snapToGrid w:val="0"/>
        <w:spacing w:line="600" w:lineRule="exact"/>
        <w:ind w:firstLine="723"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 xml:space="preserve">           （采购人或采购代理机构名称)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你方于年月日发出的的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采购文件的澄清/修改的通知，我方已于年月日收到。</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特此确认。</w:t>
      </w: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600" w:lineRule="exact"/>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hint="eastAsia" w:ascii="宋体" w:hAnsi="宋体" w:cs="仿宋"/>
          <w:color w:val="000000" w:themeColor="text1"/>
          <w:sz w:val="24"/>
          <w:highlight w:val="none"/>
          <w:u w:val="single"/>
          <w14:textFill>
            <w14:solidFill>
              <w14:schemeClr w14:val="tx1"/>
            </w14:solidFill>
          </w14:textFill>
        </w:rPr>
        <w:t>(盖单位章)</w:t>
      </w:r>
    </w:p>
    <w:p>
      <w:pPr>
        <w:pStyle w:val="82"/>
        <w:spacing w:line="600" w:lineRule="exact"/>
        <w:ind w:left="420" w:firstLine="5280" w:firstLineChars="2200"/>
        <w:jc w:val="both"/>
        <w:rPr>
          <w:rFonts w:cs="仿宋"/>
          <w:b/>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年月日</w:t>
      </w:r>
    </w:p>
    <w:p>
      <w:pPr>
        <w:spacing w:line="240" w:lineRule="auto"/>
        <w:jc w:val="both"/>
        <w:rPr>
          <w:rFonts w:ascii="宋体" w:hAnsi="宋体" w:cs="仿宋"/>
          <w:b/>
          <w:color w:val="000000" w:themeColor="text1"/>
          <w:kern w:val="0"/>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bCs/>
          <w:color w:val="000000" w:themeColor="text1"/>
          <w:sz w:val="36"/>
          <w:szCs w:val="36"/>
          <w:highlight w:val="none"/>
          <w14:textFill>
            <w14:solidFill>
              <w14:schemeClr w14:val="tx1"/>
            </w14:solidFill>
          </w14:textFill>
        </w:rPr>
      </w:pPr>
      <w:r>
        <w:rPr>
          <w:rFonts w:hint="eastAsia" w:ascii="黑体" w:hAnsi="黑体" w:eastAsia="黑体" w:cs="仿宋"/>
          <w:bCs/>
          <w:color w:val="000000" w:themeColor="text1"/>
          <w:sz w:val="36"/>
          <w:szCs w:val="36"/>
          <w:highlight w:val="none"/>
          <w14:textFill>
            <w14:solidFill>
              <w14:schemeClr w14:val="tx1"/>
            </w14:solidFill>
          </w14:textFill>
        </w:rPr>
        <w:t>第三章 评审办法</w:t>
      </w:r>
    </w:p>
    <w:p>
      <w:pPr>
        <w:adjustRightInd w:val="0"/>
        <w:snapToGrid w:val="0"/>
        <w:spacing w:before="120" w:beforeLines="50" w:after="120" w:afterLines="50" w:line="312" w:lineRule="auto"/>
        <w:jc w:val="center"/>
        <w:rPr>
          <w:rFonts w:ascii="黑体" w:hAnsi="黑体" w:eastAsia="黑体" w:cs="仿宋"/>
          <w:bCs/>
          <w:color w:val="000000" w:themeColor="text1"/>
          <w:sz w:val="32"/>
          <w:szCs w:val="32"/>
          <w:highlight w:val="none"/>
          <w14:textFill>
            <w14:solidFill>
              <w14:schemeClr w14:val="tx1"/>
            </w14:solidFill>
          </w14:textFill>
        </w:rPr>
      </w:pPr>
      <w:r>
        <w:rPr>
          <w:rFonts w:hint="eastAsia" w:ascii="黑体" w:hAnsi="黑体" w:eastAsia="黑体" w:cs="仿宋"/>
          <w:bCs/>
          <w:color w:val="000000" w:themeColor="text1"/>
          <w:sz w:val="32"/>
          <w:szCs w:val="32"/>
          <w:highlight w:val="none"/>
          <w14:textFill>
            <w14:solidFill>
              <w14:schemeClr w14:val="tx1"/>
            </w14:solidFill>
          </w14:textFill>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w:t>
            </w:r>
            <w:r>
              <w:rPr>
                <w:rFonts w:ascii="宋体" w:hAnsi="宋体"/>
                <w:color w:val="000000" w:themeColor="text1"/>
                <w:szCs w:val="21"/>
                <w:highlight w:val="none"/>
                <w14:textFill>
                  <w14:solidFill>
                    <w14:schemeClr w14:val="tx1"/>
                  </w14:solidFill>
                </w14:textFill>
              </w:rPr>
              <w:t>营业执照</w:t>
            </w:r>
            <w:r>
              <w:rPr>
                <w:rFonts w:hint="eastAsia" w:ascii="宋体" w:hAnsi="宋体"/>
                <w:color w:val="000000" w:themeColor="text1"/>
                <w:szCs w:val="21"/>
                <w:highlight w:val="none"/>
                <w14:textFill>
                  <w14:solidFill>
                    <w14:schemeClr w14:val="tx1"/>
                  </w14:solidFill>
                </w14:textFill>
              </w:rPr>
              <w:t>或事业单位法人证书</w:t>
            </w:r>
            <w:r>
              <w:rPr>
                <w:rFonts w:ascii="宋体" w:hAnsi="宋体"/>
                <w:color w:val="000000" w:themeColor="text1"/>
                <w:szCs w:val="21"/>
                <w:highlight w:val="none"/>
                <w14:textFill>
                  <w14:solidFill>
                    <w14:schemeClr w14:val="tx1"/>
                  </w14:solidFill>
                </w14:textFill>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报价唯一</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服务要求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完成期限</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3.1</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商务部分：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40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技术部分：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评审基准价计算方法</w:t>
            </w:r>
          </w:p>
        </w:tc>
        <w:tc>
          <w:tcPr>
            <w:tcW w:w="5676" w:type="dxa"/>
          </w:tcPr>
          <w:p>
            <w:pPr>
              <w:widowControl/>
              <w:spacing w:line="24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通过初步评审的最低评审价格为评审基准价，其供应商报价分为满分。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3.3（1）</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3.3（2）</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3.3（3）</w:t>
            </w: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评标基准价计算办法</w:t>
            </w:r>
          </w:p>
        </w:tc>
        <w:tc>
          <w:tcPr>
            <w:tcW w:w="5676" w:type="dxa"/>
          </w:tcPr>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评标基准价的确定：</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理论成本价</w:t>
            </w:r>
            <w:r>
              <w:rPr>
                <w:rFonts w:hint="eastAsia" w:ascii="宋体" w:hAnsi="宋体"/>
                <w:color w:val="000000" w:themeColor="text1"/>
                <w:szCs w:val="21"/>
                <w:highlight w:val="none"/>
                <w14:textFill>
                  <w14:solidFill>
                    <w14:schemeClr w14:val="tx1"/>
                  </w14:solidFill>
                </w14:textFill>
              </w:rPr>
              <w:t>的确定:</w:t>
            </w:r>
          </w:p>
          <w:p>
            <w:pPr>
              <w:widowControl w:val="0"/>
              <w:adjustRightInd w:val="0"/>
              <w:snapToGrid w:val="0"/>
              <w:ind w:firstLine="151" w:firstLineChars="72"/>
              <w:jc w:val="both"/>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理论成本价</w:t>
            </w:r>
            <w:r>
              <w:rPr>
                <w:rFonts w:hint="eastAsia" w:ascii="宋体" w:hAnsi="宋体"/>
                <w:color w:val="000000" w:themeColor="text1"/>
                <w:szCs w:val="21"/>
                <w:highlight w:val="none"/>
                <w14:textFill>
                  <w14:solidFill>
                    <w14:schemeClr w14:val="tx1"/>
                  </w14:solidFill>
                </w14:textFill>
              </w:rPr>
              <w:t>＝（招标人最高投标限价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通过初步评审的所有投标人投标报价</w:t>
            </w:r>
            <w:r>
              <w:rPr>
                <w:rFonts w:ascii="宋体" w:hAnsi="宋体"/>
                <w:color w:val="000000" w:themeColor="text1"/>
                <w:szCs w:val="21"/>
                <w:highlight w:val="none"/>
                <w14:textFill>
                  <w14:solidFill>
                    <w14:schemeClr w14:val="tx1"/>
                  </w14:solidFill>
                </w14:textFill>
              </w:rPr>
              <w:t>的算术平均值×</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88。</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满足招标文件要求且投标价格最低的投标报价（低于理论成本价的除外）为评标基准价，其报价分为满分。</w:t>
            </w:r>
          </w:p>
          <w:p>
            <w:pPr>
              <w:widowControl/>
              <w:tabs>
                <w:tab w:val="left" w:pos="2108"/>
              </w:tabs>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）投标人投标报价低于理论成本价的，其投标将被否决，作废标处理。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w:t>
            </w:r>
            <w:r>
              <w:rPr>
                <w:rFonts w:hint="eastAsia" w:ascii="宋体" w:hAnsi="宋体"/>
                <w:color w:val="000000" w:themeColor="text1"/>
                <w:szCs w:val="21"/>
                <w:highlight w:val="none"/>
                <w14:textFill>
                  <w14:solidFill>
                    <w14:schemeClr w14:val="tx1"/>
                  </w14:solidFill>
                </w14:textFill>
              </w:rPr>
              <w:t>（低于理论成本价的除外）</w:t>
            </w:r>
            <w:r>
              <w:rPr>
                <w:rFonts w:hint="eastAsia" w:asciiTheme="minorEastAsia" w:hAnsiTheme="minorEastAsia" w:eastAsiaTheme="minorEastAsia"/>
                <w:color w:val="000000" w:themeColor="text1"/>
                <w:szCs w:val="21"/>
                <w:highlight w:val="none"/>
                <w14:textFill>
                  <w14:solidFill>
                    <w14:schemeClr w14:val="tx1"/>
                  </w14:solidFill>
                </w14:textFill>
              </w:rPr>
              <w:t>为评审基准价，其供应商报价分为满分。其他供应商的报价分统一按照下列公式计算：报价得分＝（评审基准价／评审价格）</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Cs w:val="21"/>
                <w:highlight w:val="none"/>
                <w14:textFill>
                  <w14:solidFill>
                    <w14:schemeClr w14:val="tx1"/>
                  </w14:solidFill>
                </w14:textFill>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供应商最终得分为商务部分、技术部分、投标报价3个方面评价得分之和。</w:t>
            </w:r>
          </w:p>
        </w:tc>
      </w:tr>
    </w:tbl>
    <w:p>
      <w:pPr>
        <w:spacing w:line="288"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312" w:lineRule="auto"/>
        <w:jc w:val="center"/>
        <w:rPr>
          <w:rFonts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评审办法正文</w:t>
      </w:r>
    </w:p>
    <w:p>
      <w:pPr>
        <w:adjustRightInd w:val="0"/>
        <w:snapToGrid w:val="0"/>
        <w:spacing w:line="312" w:lineRule="auto"/>
        <w:jc w:val="both"/>
        <w:rPr>
          <w:rFonts w:ascii="宋体" w:hAnsi="宋体" w:cs="仿宋"/>
          <w:b/>
          <w:bCs/>
          <w:color w:val="000000" w:themeColor="text1"/>
          <w:sz w:val="36"/>
          <w:szCs w:val="36"/>
          <w:highlight w:val="none"/>
          <w14:textFill>
            <w14:solidFill>
              <w14:schemeClr w14:val="tx1"/>
            </w14:solidFill>
          </w14:textFill>
        </w:rPr>
      </w:pP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1评审方法(综合评分法)</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2初步评审标准和程序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2.1初步评审标准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2.1.1形式评审标准:见评审办法前附表。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2.1.2资格评审标准:见评审办法前附表。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2.1.3响应性评审标准:见评审办法前附表。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2.2初步评审程序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2.2.4供应商有串通，弄虚作假、行贿等违法行为的，其响应文件将被视为无效。</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3详细评审标准和程序(综合评分法)</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3.1分值构成</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(1)商务部分:见评审办法前附表;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(2)技术部分:见评审办法前附表;</w:t>
      </w:r>
    </w:p>
    <w:p>
      <w:pPr>
        <w:adjustRightInd w:val="0"/>
        <w:snapToGrid w:val="0"/>
        <w:spacing w:line="312" w:lineRule="auto"/>
        <w:ind w:firstLine="321" w:firstLineChars="134"/>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(3)报价:见评审办法前附表;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3.2评分标准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(1)商务评分标准:见评审办法前附表;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(2)技术评分标准:见评审办法前附表;</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(3)报价评分标准: 见评审办法前附表;</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3.3评分</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3.4汇总</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3.5排序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4评审结果</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4.1提交书面评审报告</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评审小组完成评审后，应当向采购人提交书面评审报告。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4.2推荐成交候选供应商排序要求及数量</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color w:val="000000" w:themeColor="text1"/>
          <w:kern w:val="44"/>
          <w:sz w:val="32"/>
          <w:szCs w:val="32"/>
          <w:highlight w:val="none"/>
          <w14:textFill>
            <w14:solidFill>
              <w14:schemeClr w14:val="tx1"/>
            </w14:solidFill>
          </w14:textFill>
        </w:rPr>
      </w:pPr>
    </w:p>
    <w:p>
      <w:pPr>
        <w:widowControl w:val="0"/>
        <w:snapToGrid w:val="0"/>
        <w:spacing w:line="490" w:lineRule="exact"/>
        <w:jc w:val="both"/>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 xml:space="preserve">附表1  </w:t>
      </w:r>
    </w:p>
    <w:p>
      <w:pPr>
        <w:widowControl w:val="0"/>
        <w:snapToGrid w:val="0"/>
        <w:spacing w:line="490" w:lineRule="exact"/>
        <w:jc w:val="center"/>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商务部分评分表</w:t>
      </w:r>
    </w:p>
    <w:p>
      <w:pPr>
        <w:snapToGrid w:val="0"/>
        <w:spacing w:line="400" w:lineRule="exact"/>
        <w:jc w:val="both"/>
        <w:rPr>
          <w:rFonts w:ascii="宋体" w:hAnsi="宋体"/>
          <w:color w:val="000000" w:themeColor="text1"/>
          <w:sz w:val="24"/>
          <w:highlight w:val="none"/>
          <w14:textFill>
            <w14:solidFill>
              <w14:schemeClr w14:val="tx1"/>
            </w14:solidFill>
          </w14:textFill>
        </w:rPr>
      </w:pPr>
    </w:p>
    <w:tbl>
      <w:tblPr>
        <w:tblStyle w:val="43"/>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投标人与项目类似的具体业绩（24分）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类似项目业绩满足资格审查条件的计15分。</w:t>
            </w:r>
          </w:p>
          <w:p>
            <w:pPr>
              <w:adjustRightInd w:val="0"/>
              <w:snapToGrid w:val="0"/>
              <w:spacing w:line="276"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近3年每额外增加1个航道调整或航标配布方案工作业绩，加3分，本项加分项最高加9分。（提供合同复印件）</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拟投入本项目的人员资格和能力（16分）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主要人员满足资格审查条件的计10分。</w:t>
            </w:r>
          </w:p>
          <w:p>
            <w:pPr>
              <w:adjustRightInd w:val="0"/>
              <w:snapToGrid w:val="0"/>
              <w:spacing w:line="276" w:lineRule="auto"/>
              <w:jc w:val="both"/>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拟派的主要人员具有港航工程类高级职称加3分</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，本项加分项最高加6分。（提供证书复印件并加盖公章，否则不计分）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 xml:space="preserve">合    计     </w:t>
            </w:r>
            <w:r>
              <w:rPr>
                <w:rFonts w:ascii="宋体" w:hAnsi="宋体"/>
                <w:b/>
                <w:color w:val="000000" w:themeColor="text1"/>
                <w:kern w:val="0"/>
                <w:szCs w:val="21"/>
                <w:highlight w:val="none"/>
                <w14:textFill>
                  <w14:solidFill>
                    <w14:schemeClr w14:val="tx1"/>
                  </w14:solidFill>
                </w14:textFill>
              </w:rPr>
              <w:t>4</w:t>
            </w:r>
            <w:r>
              <w:rPr>
                <w:rFonts w:hint="eastAsia" w:ascii="宋体" w:hAnsi="宋体"/>
                <w:b/>
                <w:color w:val="000000" w:themeColor="text1"/>
                <w:kern w:val="0"/>
                <w:szCs w:val="21"/>
                <w:highlight w:val="none"/>
                <w14:textFill>
                  <w14:solidFill>
                    <w14:schemeClr w14:val="tx1"/>
                  </w14:solidFill>
                </w14:textFill>
              </w:rPr>
              <w:t>0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bl>
    <w:p>
      <w:pPr>
        <w:widowControl w:val="0"/>
        <w:adjustRightInd w:val="0"/>
        <w:snapToGrid w:val="0"/>
        <w:spacing w:line="312" w:lineRule="auto"/>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注：</w:t>
      </w:r>
      <w:r>
        <w:rPr>
          <w:rFonts w:hint="eastAsia" w:ascii="宋体" w:hAnsi="宋体"/>
          <w:color w:val="000000" w:themeColor="text1"/>
          <w:kern w:val="0"/>
          <w:szCs w:val="21"/>
          <w:highlight w:val="none"/>
          <w14:textFill>
            <w14:solidFill>
              <w14:schemeClr w14:val="tx1"/>
            </w14:solidFill>
          </w14:textFill>
        </w:rPr>
        <w:t xml:space="preserve"> 1、</w:t>
      </w:r>
      <w:r>
        <w:rPr>
          <w:rFonts w:hint="eastAsia" w:ascii="宋体" w:hAnsi="宋体"/>
          <w:color w:val="000000" w:themeColor="text1"/>
          <w:szCs w:val="21"/>
          <w:highlight w:val="none"/>
          <w14:textFill>
            <w14:solidFill>
              <w14:schemeClr w14:val="tx1"/>
            </w14:solidFill>
          </w14:textFill>
        </w:rPr>
        <w:t>本表由评审（谈判）小组集体评议，统一计分。评审（谈判）小组成员中对结论有不同意见时，按少数服从多数的原则，确定得分。</w:t>
      </w:r>
    </w:p>
    <w:p>
      <w:pPr>
        <w:widowControl w:val="0"/>
        <w:adjustRightInd w:val="0"/>
        <w:snapToGrid w:val="0"/>
        <w:spacing w:line="312" w:lineRule="auto"/>
        <w:ind w:firstLine="420" w:firstLineChars="200"/>
        <w:jc w:val="both"/>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2、各评分因素中基本合理项的最低分值不得低于该评分因素和评分标准最高分值的60%。</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对某评分因素评审计分低于该评分因素和评分标准最高分值的60%的，评委应说明原因。</w:t>
      </w: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p>
    <w:p>
      <w:pPr>
        <w:widowControl w:val="0"/>
        <w:snapToGrid w:val="0"/>
        <w:spacing w:line="240" w:lineRule="auto"/>
        <w:jc w:val="both"/>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jc w:val="both"/>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pStyle w:val="14"/>
        <w:ind w:firstLine="0" w:firstLineChars="0"/>
        <w:rPr>
          <w:rFonts w:ascii="黑体" w:hAnsi="黑体" w:eastAsia="黑体"/>
          <w:color w:val="000000" w:themeColor="text1"/>
          <w:sz w:val="32"/>
          <w:szCs w:val="32"/>
          <w:highlight w:val="none"/>
          <w14:textFill>
            <w14:solidFill>
              <w14:schemeClr w14:val="tx1"/>
            </w14:solidFill>
          </w14:textFill>
        </w:rPr>
      </w:pPr>
    </w:p>
    <w:p>
      <w:pPr>
        <w:pStyle w:val="14"/>
        <w:ind w:firstLine="0" w:firstLineChars="0"/>
        <w:rPr>
          <w:rFonts w:ascii="黑体" w:hAnsi="黑体" w:eastAsia="黑体"/>
          <w:color w:val="000000" w:themeColor="text1"/>
          <w:sz w:val="32"/>
          <w:szCs w:val="32"/>
          <w:highlight w:val="none"/>
          <w14:textFill>
            <w14:solidFill>
              <w14:schemeClr w14:val="tx1"/>
            </w14:solidFill>
          </w14:textFill>
        </w:rPr>
      </w:pPr>
    </w:p>
    <w:p>
      <w:pPr>
        <w:pStyle w:val="14"/>
        <w:ind w:firstLine="0" w:firstLineChars="0"/>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附表2 </w:t>
      </w:r>
    </w:p>
    <w:p>
      <w:pPr>
        <w:widowControl w:val="0"/>
        <w:snapToGrid w:val="0"/>
        <w:spacing w:line="240" w:lineRule="auto"/>
        <w:jc w:val="center"/>
        <w:outlineLvl w:val="2"/>
        <w:rPr>
          <w:rFonts w:ascii="宋体" w:hAnsi="宋体"/>
          <w:color w:val="000000" w:themeColor="text1"/>
          <w:kern w:val="0"/>
          <w:sz w:val="24"/>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技术部分评分表</w:t>
      </w:r>
    </w:p>
    <w:tbl>
      <w:tblPr>
        <w:tblStyle w:val="4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25"/>
        <w:gridCol w:w="4185"/>
        <w:gridCol w:w="540"/>
        <w:gridCol w:w="825"/>
        <w:gridCol w:w="78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评分因素</w:t>
            </w:r>
          </w:p>
        </w:tc>
        <w:tc>
          <w:tcPr>
            <w:tcW w:w="472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评分标准</w:t>
            </w:r>
            <w:r>
              <w:rPr>
                <w:rFonts w:hint="eastAsia" w:ascii="宋体" w:hAnsi="宋体"/>
                <w:b/>
                <w:color w:val="000000" w:themeColor="text1"/>
                <w:szCs w:val="21"/>
                <w:highlight w:val="none"/>
                <w14:textFill>
                  <w14:solidFill>
                    <w14:schemeClr w14:val="tx1"/>
                  </w14:solidFill>
                </w14:textFill>
              </w:rPr>
              <w:t>/分值</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47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w:t>
            </w:r>
          </w:p>
        </w:tc>
        <w:tc>
          <w:tcPr>
            <w:tcW w:w="4185" w:type="dxa"/>
            <w:tcBorders>
              <w:top w:val="single" w:color="auto" w:sz="4" w:space="0"/>
              <w:left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要评审供应商对项目的理解程度，对工作的特点、难点分析是否准确，对重点难点问题拟采取的措施的有效性和针对性。</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对项目的理解透彻，对工程重点、难点理解准确、清晰，措施有针对性，且有效。得8-10分；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对工程的理解比较透彻，对工程的理解比较准确，措施有针对性，措施基本有效。得4-7分；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对工程有一定的理解，对工程的重点、难点有一定的理解，能提出针对本工程的措施。得1-3分；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基础资料丰富程度</w:t>
            </w:r>
          </w:p>
          <w:p>
            <w:pPr>
              <w:overflowPunct w:val="0"/>
              <w:autoSpaceDE w:val="0"/>
              <w:autoSpaceDN w:val="0"/>
              <w:adjustRightInd w:val="0"/>
              <w:ind w:left="212" w:leftChars="100" w:hanging="2" w:hangingChars="1"/>
              <w:jc w:val="center"/>
              <w:textAlignment w:val="baseline"/>
              <w:rPr>
                <w:rFonts w:ascii="宋体" w:hAnsi="宋体" w:cs="宋体"/>
                <w:color w:val="000000" w:themeColor="text1"/>
                <w:sz w:val="24"/>
                <w:highlight w:val="none"/>
                <w14:textFill>
                  <w14:solidFill>
                    <w14:schemeClr w14:val="tx1"/>
                  </w14:solidFill>
                </w14:textFill>
              </w:rPr>
            </w:pP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根据供应商已具备的为本项目服务的项目区域基础资料丰富程度（投标文件中提供的基础资料清单，须附证明材料）打分，好的得6-10分，较好的得3-5分，一般的得1-2分，差的得0分。</w:t>
            </w:r>
          </w:p>
        </w:tc>
        <w:tc>
          <w:tcPr>
            <w:tcW w:w="54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服务保障措施可行、具体、有针对性，便于操作，得4-5分；服务保障基本可行、有结合项目的特点，得1-3分；服务保障可行性差、针对性差得0分。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进度计划和保证措施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主要评审针对本工程制定的工作进度计划和保证措施的合理性。进度计划和保证措施科学合理，满足工程建设需要，得5分；进度计划和保证措施较为合理，基本满足工程建设需要，得3分；否则得0分。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bl>
    <w:p>
      <w:pPr>
        <w:widowControl w:val="0"/>
        <w:adjustRightInd w:val="0"/>
        <w:snapToGrid w:val="0"/>
        <w:spacing w:line="312" w:lineRule="auto"/>
        <w:ind w:firstLine="315" w:firstLineChars="1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注：1、本表小计总分为</w:t>
      </w:r>
      <w:r>
        <w:rPr>
          <w:rFonts w:hint="eastAsia" w:ascii="宋体" w:hAnsi="宋体"/>
          <w:color w:val="000000" w:themeColor="text1"/>
          <w:szCs w:val="21"/>
          <w:highlight w:val="none"/>
          <w:u w:val="singl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2、技术文件中缺失某项评分因素的，该项评分因素计0分。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3、该项评分内容计分，由</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集体评议，评委根据集体评议意见，自主评分。</w:t>
      </w:r>
      <w:r>
        <w:rPr>
          <w:rFonts w:hint="eastAsia" w:ascii="宋体" w:hAnsi="宋体"/>
          <w:b/>
          <w:color w:val="000000" w:themeColor="text1"/>
          <w:kern w:val="0"/>
          <w:szCs w:val="21"/>
          <w:highlight w:val="none"/>
          <w14:textFill>
            <w14:solidFill>
              <w14:schemeClr w14:val="tx1"/>
            </w14:solidFill>
          </w14:textFill>
        </w:rPr>
        <w:t>技术文件得分为评委个人评审计分的算术平均值。</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p>
    <w:p>
      <w:pPr>
        <w:widowControl w:val="0"/>
        <w:adjustRightInd w:val="0"/>
        <w:snapToGrid w:val="0"/>
        <w:spacing w:line="312"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p>
    <w:p>
      <w:pPr>
        <w:pStyle w:val="42"/>
        <w:rPr>
          <w:rFonts w:hint="eastAsia" w:ascii="黑体" w:hAnsi="黑体" w:eastAsia="黑体" w:cs="仿宋"/>
          <w:b/>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2"/>
        <w:spacing w:line="600" w:lineRule="exact"/>
        <w:ind w:firstLine="0" w:firstLineChars="0"/>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第四章  合同条款及格式</w:t>
      </w:r>
    </w:p>
    <w:p>
      <w:pPr>
        <w:pStyle w:val="8"/>
        <w:jc w:val="center"/>
        <w:rPr>
          <w:color w:val="000000" w:themeColor="text1"/>
          <w:highlight w:val="none"/>
          <w14:textFill>
            <w14:solidFill>
              <w14:schemeClr w14:val="tx1"/>
            </w14:solidFill>
          </w14:textFill>
        </w:rPr>
      </w:pPr>
      <w:bookmarkStart w:id="12" w:name="_Toc18312188"/>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节 通用</w:t>
      </w:r>
      <w:r>
        <w:rPr>
          <w:color w:val="000000" w:themeColor="text1"/>
          <w:highlight w:val="none"/>
          <w14:textFill>
            <w14:solidFill>
              <w14:schemeClr w14:val="tx1"/>
            </w14:solidFill>
          </w14:textFill>
        </w:rPr>
        <w:t>合同条款</w:t>
      </w:r>
      <w:bookmarkEnd w:id="12"/>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定义与解释</w:t>
      </w:r>
    </w:p>
    <w:p>
      <w:pPr>
        <w:pStyle w:val="12"/>
        <w:ind w:left="1008" w:hanging="1008"/>
        <w:rPr>
          <w:color w:val="000000" w:themeColor="text1"/>
          <w:highlight w:val="none"/>
          <w14:textFill>
            <w14:solidFill>
              <w14:schemeClr w14:val="tx1"/>
            </w14:solidFill>
          </w14:textFill>
        </w:rPr>
      </w:pPr>
      <w:bookmarkStart w:id="13" w:name="_Toc493143918"/>
      <w:r>
        <w:rPr>
          <w:color w:val="000000" w:themeColor="text1"/>
          <w:highlight w:val="none"/>
          <w14:textFill>
            <w14:solidFill>
              <w14:schemeClr w14:val="tx1"/>
            </w14:solidFill>
          </w14:textFill>
        </w:rPr>
        <w:t>1.1 定义</w:t>
      </w:r>
      <w:bookmarkEnd w:id="13"/>
    </w:p>
    <w:p>
      <w:pPr>
        <w:ind w:firstLine="360" w:firstLineChars="1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下列词句或用语，除根据上下文另有其意义外，一般应具有如下含义：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 项目</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发包人委托技术服务人提供技术服务的对象。</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 服务</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技术服务人根据技术服务合同所承担的工作，包括正常的服务、附加的服务、额外的服务，亦称技术服务。</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1.1.3发包人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委托技术服务人提供技术服务的法人或其合法继承人或其合法受让人。</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1.1.4技术服务人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具有法人资格和相应资质并与发包人签订了合同协议书承担技术服务的法人或其合法继承人或其受让人（经发包人同意），如为联合体，则包括联合体所有成员，根据上下文的内容，也指由其派驻到现场履行技术服务的机构。</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1.1.5 一方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发包人或技术服务人。</w:t>
      </w:r>
    </w:p>
    <w:p>
      <w:pPr>
        <w:ind w:firstLine="960" w:firstLineChars="4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双方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发包人和技术服务人。</w:t>
      </w:r>
    </w:p>
    <w:p>
      <w:pPr>
        <w:ind w:firstLine="960" w:firstLineChars="4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第三方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本合同双方以外的任何中国境内外的自然人、法人或其他经济组织。</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1.1.6技术服务合同</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发包人和技术服务人双方签署的，与本项目相关的合同协议书及附件、附录等一切文件，还包括招标文件、投标文件中的相关内容及双方签认的补充或修正文件。</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1.1.7 附件</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与本合同的订立、履行有关的，经双方认可的，对本合同约定的内容进行细化、补充、</w:t>
      </w:r>
      <w:r>
        <w:rPr>
          <w:rFonts w:hint="eastAsia" w:ascii="宋体" w:hAnsi="宋体"/>
          <w:color w:val="000000" w:themeColor="text1"/>
          <w:sz w:val="24"/>
          <w:highlight w:val="none"/>
          <w14:textFill>
            <w14:solidFill>
              <w14:schemeClr w14:val="tx1"/>
            </w14:solidFill>
          </w14:textFill>
        </w:rPr>
        <w:t>修</w:t>
      </w:r>
      <w:r>
        <w:rPr>
          <w:rFonts w:ascii="宋体" w:hAnsi="宋体"/>
          <w:color w:val="000000" w:themeColor="text1"/>
          <w:sz w:val="24"/>
          <w:highlight w:val="none"/>
          <w14:textFill>
            <w14:solidFill>
              <w14:schemeClr w14:val="tx1"/>
            </w14:solidFill>
          </w14:textFill>
        </w:rPr>
        <w:t>改、变更的文件、图纸、音像制品等资料。</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1.1.8 法律法规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由中国有关部门制定的法律、行政法规、地方性法规、规章及其他规范性文件以及经全国人民代表大会常务委员会批准的中国缔结、参加的国际条公约的有关规定。</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1.1.9 书面形式</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指任何手写、打字、印刷或电子文档等用文字表达的方式。</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1.1.10 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即日历日。</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1.1.11月</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根据公历从某一个月份中的任何一日开始至下一个月份相应日期的前一日截止的时间段。</w:t>
      </w:r>
    </w:p>
    <w:p>
      <w:pPr>
        <w:pStyle w:val="12"/>
        <w:ind w:left="1008" w:hanging="1008"/>
        <w:rPr>
          <w:color w:val="000000" w:themeColor="text1"/>
          <w:highlight w:val="none"/>
          <w14:textFill>
            <w14:solidFill>
              <w14:schemeClr w14:val="tx1"/>
            </w14:solidFill>
          </w14:textFill>
        </w:rPr>
      </w:pPr>
      <w:bookmarkStart w:id="14" w:name="_Toc493143919"/>
      <w:r>
        <w:rPr>
          <w:color w:val="000000" w:themeColor="text1"/>
          <w:highlight w:val="none"/>
          <w14:textFill>
            <w14:solidFill>
              <w14:schemeClr w14:val="tx1"/>
            </w14:solidFill>
          </w14:textFill>
        </w:rPr>
        <w:t>1.2 解释</w:t>
      </w:r>
      <w:bookmarkEnd w:id="14"/>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1.2.1技术服务合同中的标题只是为了方便查阅，不应作为技术服务合同本身的内容予以理解，也不应将其用于对技术服务合同进行解释。</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1.2.2为了简练文字，技术服务合同中有些词句或用语可能会有多种含义，阅读时应视上下文的实际需要而定义。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1.2.3组成技术服务合同的各个文件应该认为是一个整体，彼此相互解释，相互补充，如出现相互矛盾的情况，</w:t>
      </w:r>
      <w:bookmarkStart w:id="15" w:name="_Toc493143920"/>
      <w:r>
        <w:rPr>
          <w:rFonts w:ascii="宋体" w:hAnsi="宋体"/>
          <w:color w:val="000000" w:themeColor="text1"/>
          <w:sz w:val="24"/>
          <w:highlight w:val="none"/>
          <w14:textFill>
            <w14:solidFill>
              <w14:schemeClr w14:val="tx1"/>
            </w14:solidFill>
          </w14:textFill>
        </w:rPr>
        <w:t>应按时间顺序以最新文件为准。</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技术服务人的义务</w:t>
      </w:r>
      <w:bookmarkEnd w:id="15"/>
    </w:p>
    <w:p>
      <w:pPr>
        <w:pStyle w:val="12"/>
        <w:ind w:left="1008" w:hanging="1008"/>
        <w:rPr>
          <w:color w:val="000000" w:themeColor="text1"/>
          <w:highlight w:val="none"/>
          <w14:textFill>
            <w14:solidFill>
              <w14:schemeClr w14:val="tx1"/>
            </w14:solidFill>
          </w14:textFill>
        </w:rPr>
      </w:pPr>
      <w:bookmarkStart w:id="16" w:name="_Toc493143921"/>
      <w:r>
        <w:rPr>
          <w:color w:val="000000" w:themeColor="text1"/>
          <w:highlight w:val="none"/>
          <w14:textFill>
            <w14:solidFill>
              <w14:schemeClr w14:val="tx1"/>
            </w14:solidFill>
          </w14:textFill>
        </w:rPr>
        <w:t>2.1技术服务的范围、目标、内容</w:t>
      </w:r>
      <w:bookmarkEnd w:id="16"/>
    </w:p>
    <w:p>
      <w:pPr>
        <w:ind w:firstLine="480" w:firstLineChars="200"/>
        <w:rPr>
          <w:rFonts w:ascii="宋体" w:hAnsi="宋体"/>
          <w:color w:val="000000" w:themeColor="text1"/>
          <w:sz w:val="24"/>
          <w:highlight w:val="none"/>
          <w14:textFill>
            <w14:solidFill>
              <w14:schemeClr w14:val="tx1"/>
            </w14:solidFill>
          </w14:textFill>
        </w:rPr>
      </w:pPr>
      <w:bookmarkStart w:id="17" w:name="_Toc493143922"/>
      <w:r>
        <w:rPr>
          <w:rFonts w:ascii="宋体" w:hAnsi="宋体"/>
          <w:color w:val="000000" w:themeColor="text1"/>
          <w:sz w:val="24"/>
          <w:highlight w:val="none"/>
          <w14:textFill>
            <w14:solidFill>
              <w14:schemeClr w14:val="tx1"/>
            </w14:solidFill>
          </w14:textFill>
        </w:rPr>
        <w:t>2.1.1服务范围</w:t>
      </w:r>
    </w:p>
    <w:p>
      <w:pPr>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（1）技术服务的工程范围：在合同专用条款中约定。</w:t>
      </w:r>
    </w:p>
    <w:p>
      <w:pPr>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（2）技术服务的工作范围：技术服务人应当按照合同要求和发包人的授权范围进行下述技术服务：</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i.正常技术服务的范围：指在合同约定的期限内的技术服务范围和技术服务范围内的技术服务工作。</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ii.附加技术服务的范围：为完成正常技术服务工作所必须进行的相关技术服务工作。</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iii.额外技术服务的范围：是指技术服务范围（包括正常技术服务和附加技术服务）以外的不影响技术服务内容执行但与技术服务内容紧密相关的并经发包人同意增加的技术服务工作。</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2.1.2技术服务的目标</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在合同专用条款中约定。</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2.1.3技术服务的内容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在合同专用条款中约定。</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2.2技术服务的依据</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2.2.1适用的法律、法规、规章；</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2.2.2国家和行业有关标准、规范、规程；</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2.2.3技术服务合同（包括招投标相关文件及附录）；</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2.2.4技术服务实施过程中有关的函件；</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2.2.5 补充规定</w:t>
      </w:r>
      <w:r>
        <w:rPr>
          <w:rFonts w:hint="eastAsia" w:ascii="宋体" w:hAnsi="宋体"/>
          <w:color w:val="000000" w:themeColor="text1"/>
          <w:sz w:val="24"/>
          <w:highlight w:val="none"/>
          <w14:textFill>
            <w14:solidFill>
              <w14:schemeClr w14:val="tx1"/>
            </w14:solidFill>
          </w14:textFill>
        </w:rPr>
        <w:t>。</w:t>
      </w:r>
    </w:p>
    <w:bookmarkEnd w:id="17"/>
    <w:p>
      <w:pPr>
        <w:pStyle w:val="12"/>
        <w:ind w:left="1008" w:hanging="1008"/>
        <w:rPr>
          <w:color w:val="000000" w:themeColor="text1"/>
          <w:highlight w:val="none"/>
          <w14:textFill>
            <w14:solidFill>
              <w14:schemeClr w14:val="tx1"/>
            </w14:solidFill>
          </w14:textFill>
        </w:rPr>
      </w:pPr>
      <w:bookmarkStart w:id="18" w:name="_Toc493143923"/>
      <w:r>
        <w:rPr>
          <w:color w:val="000000" w:themeColor="text1"/>
          <w:highlight w:val="none"/>
          <w14:textFill>
            <w14:solidFill>
              <w14:schemeClr w14:val="tx1"/>
            </w14:solidFill>
          </w14:textFill>
        </w:rPr>
        <w:t>2.3技术服务人</w:t>
      </w:r>
      <w:bookmarkEnd w:id="18"/>
      <w:r>
        <w:rPr>
          <w:color w:val="000000" w:themeColor="text1"/>
          <w:highlight w:val="none"/>
          <w14:textFill>
            <w14:solidFill>
              <w14:schemeClr w14:val="tx1"/>
            </w14:solidFill>
          </w14:textFill>
        </w:rPr>
        <w:t>的一般义务</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2.3.1应按照技术服务合同及相关法律、法规的要求，严格、严密、科学、公正地完成技术服务工作。</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2.3.2应妥善保护发包人提供的相关文件与资料，未经发包人同意不得复制给任何第三者。其技术服务成果、报告未经发包人同意不得告知、复制给任何第三者。</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2.3.3应对自己及其雇员的生命财产全权负责，并避免对发包人及相关第三者的财产造成损坏。</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2.3.4应对发包人提交中间执行情况报告，并接受发包人的指令做出必要的调整、变更。</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2.3.5 提供的技术服务不得擅自涉及他人的知识产权保护。</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2.3.6 未经发包人同意，不得将服务工作的部分或全部工作发包给第三者。</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2.3.7 应对所有现场作业的完备性、稳定性和安全性负责。其各项工作应按正式颁布的国家标准及部颁行业标准进行。</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2.3.8 负责为技术服务成果的确认，完成必要的评审、鉴定等，负责向发包人解读技术服务成果的应用及提交相关建议。</w:t>
      </w:r>
    </w:p>
    <w:p>
      <w:pPr>
        <w:pStyle w:val="12"/>
        <w:ind w:left="1008" w:hanging="1008"/>
        <w:rPr>
          <w:color w:val="000000" w:themeColor="text1"/>
          <w:highlight w:val="none"/>
          <w14:textFill>
            <w14:solidFill>
              <w14:schemeClr w14:val="tx1"/>
            </w14:solidFill>
          </w14:textFill>
        </w:rPr>
      </w:pPr>
      <w:bookmarkStart w:id="19" w:name="_Toc493143924"/>
      <w:r>
        <w:rPr>
          <w:color w:val="000000" w:themeColor="text1"/>
          <w:highlight w:val="none"/>
          <w14:textFill>
            <w14:solidFill>
              <w14:schemeClr w14:val="tx1"/>
            </w14:solidFill>
          </w14:textFill>
        </w:rPr>
        <w:t>2.4技术服务人的服务人员</w:t>
      </w:r>
      <w:bookmarkEnd w:id="19"/>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 技术服务人应按合同约定指派项目负责人，并负责组织合同的实施。技术服务人为履行合同发出的一切函件均应盖有服务人的管理机构章，并由技术服务人项目负责人签字。</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2.4.2技术服务人派驻到项目服务的其他人员，必须持有相关的资格证书，并得到发包人的认可。</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2.4.3技术服务人因工作安排或其它原因，需要更换项目的服务人员时，应事先得到发包人的同意。发包人有权同意或拒绝。</w:t>
      </w:r>
    </w:p>
    <w:p>
      <w:pPr>
        <w:pStyle w:val="11"/>
        <w:rPr>
          <w:color w:val="000000" w:themeColor="text1"/>
          <w:highlight w:val="none"/>
          <w14:textFill>
            <w14:solidFill>
              <w14:schemeClr w14:val="tx1"/>
            </w14:solidFill>
          </w14:textFill>
        </w:rPr>
      </w:pPr>
      <w:bookmarkStart w:id="20" w:name="_Toc493143927"/>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发包人的一般义务</w:t>
      </w:r>
      <w:bookmarkEnd w:id="20"/>
    </w:p>
    <w:p>
      <w:pPr>
        <w:ind w:firstLine="480" w:firstLineChars="200"/>
        <w:rPr>
          <w:rFonts w:ascii="宋体" w:hAnsi="宋体"/>
          <w:color w:val="000000" w:themeColor="text1"/>
          <w:sz w:val="24"/>
          <w:highlight w:val="none"/>
          <w14:textFill>
            <w14:solidFill>
              <w14:schemeClr w14:val="tx1"/>
            </w14:solidFill>
          </w14:textFill>
        </w:rPr>
      </w:pPr>
      <w:bookmarkStart w:id="21" w:name="_Toc493143930"/>
      <w:r>
        <w:rPr>
          <w:rFonts w:ascii="宋体" w:hAnsi="宋体"/>
          <w:color w:val="000000" w:themeColor="text1"/>
          <w:sz w:val="24"/>
          <w:highlight w:val="none"/>
          <w14:textFill>
            <w14:solidFill>
              <w14:schemeClr w14:val="tx1"/>
            </w14:solidFill>
          </w14:textFill>
        </w:rPr>
        <w:t>3.</w:t>
      </w:r>
      <w:bookmarkEnd w:id="21"/>
      <w:r>
        <w:rPr>
          <w:rFonts w:ascii="宋体" w:hAnsi="宋体"/>
          <w:color w:val="000000" w:themeColor="text1"/>
          <w:sz w:val="24"/>
          <w:highlight w:val="none"/>
          <w14:textFill>
            <w14:solidFill>
              <w14:schemeClr w14:val="tx1"/>
            </w14:solidFill>
          </w14:textFill>
        </w:rPr>
        <w:t>1应按合同约定为技术服务人及时提供其履行合同所必须的有关文件和资料。</w:t>
      </w:r>
    </w:p>
    <w:p>
      <w:pPr>
        <w:ind w:firstLine="480" w:firstLineChars="200"/>
        <w:rPr>
          <w:rFonts w:ascii="宋体" w:hAnsi="宋体"/>
          <w:color w:val="000000" w:themeColor="text1"/>
          <w:sz w:val="24"/>
          <w:highlight w:val="none"/>
          <w14:textFill>
            <w14:solidFill>
              <w14:schemeClr w14:val="tx1"/>
            </w14:solidFill>
          </w14:textFill>
        </w:rPr>
      </w:pPr>
      <w:bookmarkStart w:id="22" w:name="_Toc493143931"/>
      <w:r>
        <w:rPr>
          <w:rFonts w:ascii="宋体" w:hAnsi="宋体"/>
          <w:color w:val="000000" w:themeColor="text1"/>
          <w:sz w:val="24"/>
          <w:highlight w:val="none"/>
          <w14:textFill>
            <w14:solidFill>
              <w14:schemeClr w14:val="tx1"/>
            </w14:solidFill>
          </w14:textFill>
        </w:rPr>
        <w:t>3.</w:t>
      </w:r>
      <w:bookmarkEnd w:id="22"/>
      <w:r>
        <w:rPr>
          <w:rFonts w:ascii="宋体" w:hAnsi="宋体"/>
          <w:color w:val="000000" w:themeColor="text1"/>
          <w:sz w:val="24"/>
          <w:highlight w:val="none"/>
          <w14:textFill>
            <w14:solidFill>
              <w14:schemeClr w14:val="tx1"/>
            </w14:solidFill>
          </w14:textFill>
        </w:rPr>
        <w:t>2应指定专人负责相关技术服务管理工作，就有关发包人的关于技术服务的调整、变更的决定及时以书面指令形式发至技术服务人，有必要时签订相关补充协议、合同。负责人更换必须及时通知技术服务人。</w:t>
      </w:r>
    </w:p>
    <w:p>
      <w:pPr>
        <w:ind w:firstLine="480" w:firstLineChars="200"/>
        <w:rPr>
          <w:rFonts w:ascii="宋体" w:hAnsi="宋体"/>
          <w:color w:val="000000" w:themeColor="text1"/>
          <w:sz w:val="24"/>
          <w:highlight w:val="none"/>
          <w14:textFill>
            <w14:solidFill>
              <w14:schemeClr w14:val="tx1"/>
            </w14:solidFill>
          </w14:textFill>
        </w:rPr>
      </w:pPr>
      <w:bookmarkStart w:id="23" w:name="_Toc493143932"/>
      <w:r>
        <w:rPr>
          <w:rFonts w:ascii="宋体" w:hAnsi="宋体"/>
          <w:color w:val="000000" w:themeColor="text1"/>
          <w:sz w:val="24"/>
          <w:highlight w:val="none"/>
          <w14:textFill>
            <w14:solidFill>
              <w14:schemeClr w14:val="tx1"/>
            </w14:solidFill>
          </w14:textFill>
        </w:rPr>
        <w:t>3.</w:t>
      </w:r>
      <w:bookmarkEnd w:id="23"/>
      <w:r>
        <w:rPr>
          <w:rFonts w:ascii="宋体" w:hAnsi="宋体"/>
          <w:color w:val="000000" w:themeColor="text1"/>
          <w:sz w:val="24"/>
          <w:highlight w:val="none"/>
          <w14:textFill>
            <w14:solidFill>
              <w14:schemeClr w14:val="tx1"/>
            </w14:solidFill>
          </w14:textFill>
        </w:rPr>
        <w:t>3按合同约定为技术服务人做好必要的联络协调工作，方便技术服务人开展技术服务工作。</w:t>
      </w:r>
    </w:p>
    <w:p>
      <w:pPr>
        <w:ind w:firstLine="480" w:firstLineChars="200"/>
        <w:rPr>
          <w:rFonts w:ascii="宋体" w:hAnsi="宋体"/>
          <w:color w:val="000000" w:themeColor="text1"/>
          <w:sz w:val="24"/>
          <w:highlight w:val="none"/>
          <w14:textFill>
            <w14:solidFill>
              <w14:schemeClr w14:val="tx1"/>
            </w14:solidFill>
          </w14:textFill>
        </w:rPr>
      </w:pPr>
      <w:bookmarkStart w:id="24" w:name="_Toc493143935"/>
      <w:r>
        <w:rPr>
          <w:rFonts w:ascii="宋体" w:hAnsi="宋体"/>
          <w:color w:val="000000" w:themeColor="text1"/>
          <w:sz w:val="24"/>
          <w:highlight w:val="none"/>
          <w14:textFill>
            <w14:solidFill>
              <w14:schemeClr w14:val="tx1"/>
            </w14:solidFill>
          </w14:textFill>
        </w:rPr>
        <w:t>3.4应按合同规定向技术服务人书面提交并要求答复的重大问题，做出书面决定。</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3.5应按合同约定及时支付技术服务的费用。</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3.6未经技术服务人同意不得泄密涉及其知识产权的资料。</w:t>
      </w:r>
    </w:p>
    <w:p>
      <w:pPr>
        <w:pStyle w:val="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责任和保障</w:t>
      </w:r>
      <w:bookmarkEnd w:id="24"/>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4.1技术服务人的违约及赔偿责任</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4.1.1 </w:t>
      </w:r>
      <w:r>
        <w:rPr>
          <w:rFonts w:ascii="宋体" w:hAnsi="宋体"/>
          <w:color w:val="000000" w:themeColor="text1"/>
          <w:sz w:val="24"/>
          <w:highlight w:val="none"/>
          <w14:textFill>
            <w14:solidFill>
              <w14:schemeClr w14:val="tx1"/>
            </w14:solidFill>
          </w14:textFill>
        </w:rPr>
        <w:t>技术服务人违反技术服务合同的规定，将技术服务的任何部分违法转让或非法分包；</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4.1.2 </w:t>
      </w:r>
      <w:r>
        <w:rPr>
          <w:rFonts w:ascii="宋体" w:hAnsi="宋体"/>
          <w:color w:val="000000" w:themeColor="text1"/>
          <w:sz w:val="24"/>
          <w:highlight w:val="none"/>
          <w14:textFill>
            <w14:solidFill>
              <w14:schemeClr w14:val="tx1"/>
            </w14:solidFill>
          </w14:textFill>
        </w:rPr>
        <w:t>技术服务人未能按照投标文件的承诺配备满足技术服务要求的人员或设备；</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4.1.3 </w:t>
      </w:r>
      <w:r>
        <w:rPr>
          <w:rFonts w:ascii="宋体" w:hAnsi="宋体"/>
          <w:color w:val="000000" w:themeColor="text1"/>
          <w:sz w:val="24"/>
          <w:highlight w:val="none"/>
          <w14:textFill>
            <w14:solidFill>
              <w14:schemeClr w14:val="tx1"/>
            </w14:solidFill>
          </w14:textFill>
        </w:rPr>
        <w:t>技术服务人不履行职责，造成质量、安全事故或向相关人索贿、谋取私利，或与相关人串通损害发包人利益，给发包人造成损失；</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4.1.4</w:t>
      </w:r>
      <w:r>
        <w:rPr>
          <w:rFonts w:ascii="宋体" w:hAnsi="宋体"/>
          <w:color w:val="000000" w:themeColor="text1"/>
          <w:sz w:val="24"/>
          <w:highlight w:val="none"/>
          <w14:textFill>
            <w14:solidFill>
              <w14:schemeClr w14:val="tx1"/>
            </w14:solidFill>
          </w14:textFill>
        </w:rPr>
        <w:t>技术服务人拒绝或未能遵守发包人的指示，或未能按合同进度计划及时完成合同约定的工作，造成工期延误；</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4.1.5 </w:t>
      </w:r>
      <w:r>
        <w:rPr>
          <w:rFonts w:ascii="宋体" w:hAnsi="宋体"/>
          <w:color w:val="000000" w:themeColor="text1"/>
          <w:sz w:val="24"/>
          <w:highlight w:val="none"/>
          <w14:textFill>
            <w14:solidFill>
              <w14:schemeClr w14:val="tx1"/>
            </w14:solidFill>
          </w14:textFill>
        </w:rPr>
        <w:t>技术服务人未按投标文件中承诺的服务人员履行合同，擅自缺岗或变更；</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4.1.6 </w:t>
      </w:r>
      <w:r>
        <w:rPr>
          <w:rFonts w:ascii="宋体" w:hAnsi="宋体"/>
          <w:color w:val="000000" w:themeColor="text1"/>
          <w:sz w:val="24"/>
          <w:highlight w:val="none"/>
          <w14:textFill>
            <w14:solidFill>
              <w14:schemeClr w14:val="tx1"/>
            </w14:solidFill>
          </w14:textFill>
        </w:rPr>
        <w:t>尽管技术服务人已按承诺派遣了各类技术服务人员，但若这些人员仍不能满足合同进度计划和(或)质量要求时，发包人有权要求技术服务人继续增派或雇用这类人员，技术服务人应立即执行，由此增加的费用和(或)工期延误由技术服务人承担。</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4.1.7 </w:t>
      </w:r>
      <w:r>
        <w:rPr>
          <w:rFonts w:ascii="宋体" w:hAnsi="宋体"/>
          <w:color w:val="000000" w:themeColor="text1"/>
          <w:sz w:val="24"/>
          <w:highlight w:val="none"/>
          <w14:textFill>
            <w14:solidFill>
              <w14:schemeClr w14:val="tx1"/>
            </w14:solidFill>
          </w14:textFill>
        </w:rPr>
        <w:t>尽管技术服务人己经提供了合同附件要求的仪器设备，但若这些仪器设备仍不能满足技术服务要求时，发包人有权要求技术服务人增加或更换仪器设备，技术服务人应及时增加或更换仪器设备由此增加的费用和(或)工期延误由技术服务人承担。发包人有权在应付给技术服务人的费用中扣除新购仪器设备的费用以满足技术服务要求。</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4.1.8 </w:t>
      </w:r>
      <w:r>
        <w:rPr>
          <w:rFonts w:ascii="宋体" w:hAnsi="宋体"/>
          <w:color w:val="000000" w:themeColor="text1"/>
          <w:sz w:val="24"/>
          <w:highlight w:val="none"/>
          <w14:textFill>
            <w14:solidFill>
              <w14:schemeClr w14:val="tx1"/>
            </w14:solidFill>
          </w14:textFill>
        </w:rPr>
        <w:t>若因服务人员不负责任、失职读职，使给服务对象造成质量安全事故并造成一定经济损失或被上级通报批评的，技术服务人向发包人支付违约金及赔偿金，同时发包人将上报有关部门追究相应责任人的责任。</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4.1.9 </w:t>
      </w:r>
      <w:r>
        <w:rPr>
          <w:rFonts w:ascii="宋体" w:hAnsi="宋体"/>
          <w:color w:val="000000" w:themeColor="text1"/>
          <w:sz w:val="24"/>
          <w:highlight w:val="none"/>
          <w14:textFill>
            <w14:solidFill>
              <w14:schemeClr w14:val="tx1"/>
            </w14:solidFill>
          </w14:textFill>
        </w:rPr>
        <w:t>在合同履行期间，如技术服务人提供虚假成果，技术服务人应更换主要负责人，并向发包人支付违约金，并应重新完成相关服务工作。因虚假服务造成发包人损失的，依法追究相关责任和赔偿。</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4.1.10 </w:t>
      </w:r>
      <w:r>
        <w:rPr>
          <w:rFonts w:ascii="宋体" w:hAnsi="宋体"/>
          <w:color w:val="000000" w:themeColor="text1"/>
          <w:sz w:val="24"/>
          <w:highlight w:val="none"/>
          <w14:textFill>
            <w14:solidFill>
              <w14:schemeClr w14:val="tx1"/>
            </w14:solidFill>
          </w14:textFill>
        </w:rPr>
        <w:t>对执行发包人的工作指令不力，工作责任心不强、职业道德差而造成严重影响的服务人员，发包人有权作出调整或更换，技术服务人必须服从，技术服务人应向发包人支付违约金。</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4.1.11 </w:t>
      </w:r>
      <w:r>
        <w:rPr>
          <w:rFonts w:ascii="宋体" w:hAnsi="宋体"/>
          <w:color w:val="000000" w:themeColor="text1"/>
          <w:sz w:val="24"/>
          <w:highlight w:val="none"/>
          <w14:textFill>
            <w14:solidFill>
              <w14:schemeClr w14:val="tx1"/>
            </w14:solidFill>
          </w14:textFill>
        </w:rPr>
        <w:t>发包人在向技术服务人发出书面指令的7天内未见执行的，可以向技术服务人课以违约金，在14天以上还不执行的发包人有权终止合同。</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4.1.12 </w:t>
      </w:r>
      <w:r>
        <w:rPr>
          <w:rFonts w:ascii="宋体" w:hAnsi="宋体"/>
          <w:color w:val="000000" w:themeColor="text1"/>
          <w:sz w:val="24"/>
          <w:highlight w:val="none"/>
          <w14:textFill>
            <w14:solidFill>
              <w14:schemeClr w14:val="tx1"/>
            </w14:solidFill>
          </w14:textFill>
        </w:rPr>
        <w:t>技术服务人违反技术服务合同的规定并造成发包人的经济损失，应向发包人赔偿。技术服务人对因第三方责任造成的任何经济损失，不承担责任。如果技术服务人与发包人或第三方对有关经济损失共责任时，应按责任比例计算赔偿。技术服务人的上述责任赔偿。均应按照本合同条欺第4.4款的规定办理。</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4.1.14 </w:t>
      </w:r>
      <w:r>
        <w:rPr>
          <w:rFonts w:ascii="宋体" w:hAnsi="宋体"/>
          <w:color w:val="000000" w:themeColor="text1"/>
          <w:sz w:val="24"/>
          <w:highlight w:val="none"/>
          <w14:textFill>
            <w14:solidFill>
              <w14:schemeClr w14:val="tx1"/>
            </w14:solidFill>
          </w14:textFill>
        </w:rPr>
        <w:t>技术服务人发生上述的违约情况时，均以项目专用合同条款中规定的违约金的规定办理。</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4.2发包人的违约及赔偿责任</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发包人违反技术服务合同规定的应当及时予以改正，并造成技术服务人的经济损失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应向技术服务人赔偿。</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 3赔偿责任的期限</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或技术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技术服务人均有权对上述索赔不予受理。</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w:t>
      </w:r>
      <w:bookmarkStart w:id="25" w:name="_Toc493143939"/>
      <w:r>
        <w:rPr>
          <w:color w:val="000000" w:themeColor="text1"/>
          <w:highlight w:val="none"/>
          <w14:textFill>
            <w14:solidFill>
              <w14:schemeClr w14:val="tx1"/>
            </w14:solidFill>
          </w14:textFill>
        </w:rPr>
        <w:t xml:space="preserve"> 4赔偿的限额</w:t>
      </w:r>
      <w:bookmarkEnd w:id="25"/>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除非发包人、技术服务人相互或给相关第三方造成重大损失需提交司法或仲裁外，违约处罚或责任赔偿累计一般不超过合同额的10%</w:t>
      </w:r>
      <w:r>
        <w:rPr>
          <w:rFonts w:hint="eastAsia" w:ascii="宋体" w:hAnsi="宋体"/>
          <w:color w:val="000000" w:themeColor="text1"/>
          <w:sz w:val="24"/>
          <w:highlight w:val="none"/>
          <w14:textFill>
            <w14:solidFill>
              <w14:schemeClr w14:val="tx1"/>
            </w14:solidFill>
          </w14:textFill>
        </w:rPr>
        <w:t>，具体在合同专用条款中约定</w:t>
      </w:r>
      <w:r>
        <w:rPr>
          <w:rFonts w:ascii="宋体" w:hAnsi="宋体"/>
          <w:color w:val="000000" w:themeColor="text1"/>
          <w:sz w:val="24"/>
          <w:highlight w:val="none"/>
          <w14:textFill>
            <w14:solidFill>
              <w14:schemeClr w14:val="tx1"/>
            </w14:solidFill>
          </w14:textFill>
        </w:rPr>
        <w:t>（鉴于双方在合同条款中，约定了任何一方向另一方依据本合同条款第4.1款和第4. 2款支付赔偿的最高限额，双方在此一致同意放弃超过该限额的剩余赔偿要求。但本合同条款其它条款规定的补偿和由于任何一方故意违约而引起的索赔，不受该限额的限制）</w:t>
      </w:r>
      <w:r>
        <w:rPr>
          <w:rFonts w:hint="eastAsia" w:ascii="宋体" w:hAnsi="宋体"/>
          <w:color w:val="000000" w:themeColor="text1"/>
          <w:sz w:val="24"/>
          <w:highlight w:val="none"/>
          <w14:textFill>
            <w14:solidFill>
              <w14:schemeClr w14:val="tx1"/>
            </w14:solidFill>
          </w14:textFill>
        </w:rPr>
        <w:t>。</w:t>
      </w:r>
    </w:p>
    <w:p>
      <w:pPr>
        <w:pStyle w:val="12"/>
        <w:ind w:left="1008" w:hanging="1008"/>
        <w:rPr>
          <w:color w:val="000000" w:themeColor="text1"/>
          <w:highlight w:val="none"/>
          <w14:textFill>
            <w14:solidFill>
              <w14:schemeClr w14:val="tx1"/>
            </w14:solidFill>
          </w14:textFill>
        </w:rPr>
      </w:pPr>
      <w:bookmarkStart w:id="26" w:name="_Toc493143940"/>
      <w:r>
        <w:rPr>
          <w:color w:val="000000" w:themeColor="text1"/>
          <w:highlight w:val="none"/>
          <w14:textFill>
            <w14:solidFill>
              <w14:schemeClr w14:val="tx1"/>
            </w14:solidFill>
          </w14:textFill>
        </w:rPr>
        <w:t>4.5保障</w:t>
      </w:r>
      <w:bookmarkEnd w:id="26"/>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4.5.1在技术服务人不违反有关法律、法规的前提下，发包人应保障技术服务人免受因履行本技术服务合同而引起的外界索赔或干扰。</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4.5.2技术服务人在签订技术服务合同协议前应按照发包人认可的形式向发包人递交履约保函或履约保证金。如果技术服务人无正当理由全部或部分不履行本技术服务合同时，发包人有权根据具体情况没收全部或部分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4.5.3在签发合同工程交工证书后，发包人向技术服务人返还履约保证金。</w:t>
      </w:r>
    </w:p>
    <w:p>
      <w:pPr>
        <w:pStyle w:val="12"/>
        <w:ind w:left="1008" w:hanging="1008"/>
        <w:rPr>
          <w:color w:val="000000" w:themeColor="text1"/>
          <w:highlight w:val="none"/>
          <w14:textFill>
            <w14:solidFill>
              <w14:schemeClr w14:val="tx1"/>
            </w14:solidFill>
          </w14:textFill>
        </w:rPr>
      </w:pPr>
      <w:bookmarkStart w:id="27" w:name="_Toc493143941"/>
      <w:r>
        <w:rPr>
          <w:color w:val="000000" w:themeColor="text1"/>
          <w:highlight w:val="none"/>
          <w14:textFill>
            <w14:solidFill>
              <w14:schemeClr w14:val="tx1"/>
            </w14:solidFill>
          </w14:textFill>
        </w:rPr>
        <w:t>4.6保险</w:t>
      </w:r>
      <w:bookmarkEnd w:id="27"/>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技术服务人应在技术服务期内、自费办理派驻到项目所在地的人员人身和自备财产的有关保险，保险时间应随服务时间的延长而顺延，井在出险后自行办理索赔。如果技术服务人不办理上述保险，则应对有关风险及后果自负其责。</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技术服务合同的生效、终止、暂停与解除</w:t>
      </w:r>
    </w:p>
    <w:p>
      <w:pPr>
        <w:pStyle w:val="12"/>
        <w:ind w:left="1008" w:hanging="1008"/>
        <w:rPr>
          <w:color w:val="000000" w:themeColor="text1"/>
          <w:highlight w:val="none"/>
          <w14:textFill>
            <w14:solidFill>
              <w14:schemeClr w14:val="tx1"/>
            </w14:solidFill>
          </w14:textFill>
        </w:rPr>
      </w:pPr>
      <w:bookmarkStart w:id="28" w:name="_Toc493143943"/>
      <w:r>
        <w:rPr>
          <w:color w:val="000000" w:themeColor="text1"/>
          <w:highlight w:val="none"/>
          <w14:textFill>
            <w14:solidFill>
              <w14:schemeClr w14:val="tx1"/>
            </w14:solidFill>
          </w14:textFill>
        </w:rPr>
        <w:t>5. 1技术服务合同协议书的生效</w:t>
      </w:r>
      <w:bookmarkEnd w:id="28"/>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技术服务合同协议书生效的时间，以双方签署的协议书上约定的时间为准。</w:t>
      </w:r>
    </w:p>
    <w:p>
      <w:pPr>
        <w:pStyle w:val="12"/>
        <w:ind w:left="1008" w:hanging="1008"/>
        <w:rPr>
          <w:color w:val="000000" w:themeColor="text1"/>
          <w:highlight w:val="none"/>
          <w14:textFill>
            <w14:solidFill>
              <w14:schemeClr w14:val="tx1"/>
            </w14:solidFill>
          </w14:textFill>
        </w:rPr>
      </w:pPr>
      <w:bookmarkStart w:id="29" w:name="_Toc493143944"/>
      <w:r>
        <w:rPr>
          <w:color w:val="000000" w:themeColor="text1"/>
          <w:highlight w:val="none"/>
          <w14:textFill>
            <w14:solidFill>
              <w14:schemeClr w14:val="tx1"/>
            </w14:solidFill>
          </w14:textFill>
        </w:rPr>
        <w:t>5. 2技术服务的时间和期限</w:t>
      </w:r>
      <w:bookmarkEnd w:id="29"/>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技术服务人必须按照合同条款中规定的时间和有关期限履行和完成技术服务。如果非技术服务人的原因。致使技术服务时向需要延长，双方应通过协商，另行签订补充协议。</w:t>
      </w:r>
    </w:p>
    <w:p>
      <w:pPr>
        <w:pStyle w:val="12"/>
        <w:ind w:left="1008" w:hanging="1008"/>
        <w:rPr>
          <w:color w:val="000000" w:themeColor="text1"/>
          <w:highlight w:val="none"/>
          <w14:textFill>
            <w14:solidFill>
              <w14:schemeClr w14:val="tx1"/>
            </w14:solidFill>
          </w14:textFill>
        </w:rPr>
      </w:pPr>
      <w:bookmarkStart w:id="30" w:name="_Toc493143945"/>
      <w:r>
        <w:rPr>
          <w:color w:val="000000" w:themeColor="text1"/>
          <w:highlight w:val="none"/>
          <w14:textFill>
            <w14:solidFill>
              <w14:schemeClr w14:val="tx1"/>
            </w14:solidFill>
          </w14:textFill>
        </w:rPr>
        <w:t>5.3技术服务合同的终止</w:t>
      </w:r>
      <w:bookmarkEnd w:id="30"/>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5.3.1根据技术服务的内容要求，技术服务人应提交最终服务执行情况报告或服务成果总结报告并得到发包人的认可后方可终止合同；</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5.3.2技术服务合同终止和失效的时间，按双方签署的协议书上注明的方式确定。技术服务合同失效后，双方均不再受本技术服务合同的约束。</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 技术服务费用</w:t>
      </w:r>
      <w:r>
        <w:rPr>
          <w:rFonts w:hint="eastAsia"/>
          <w:color w:val="000000" w:themeColor="text1"/>
          <w:highlight w:val="none"/>
          <w14:textFill>
            <w14:solidFill>
              <w14:schemeClr w14:val="tx1"/>
            </w14:solidFill>
          </w14:textFill>
        </w:rPr>
        <w:t>的调整</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在签订本技术服务合同后，因物价变动等因素或因国家或地方政府的法律、法规变动而引起技术服务费用的增加或服务时间的延长，而引起技术服务费用的变化，不予调整。</w:t>
      </w:r>
    </w:p>
    <w:p>
      <w:pPr>
        <w:pStyle w:val="12"/>
        <w:ind w:left="1008" w:hanging="1008"/>
        <w:rPr>
          <w:color w:val="000000" w:themeColor="text1"/>
          <w:highlight w:val="none"/>
          <w14:textFill>
            <w14:solidFill>
              <w14:schemeClr w14:val="tx1"/>
            </w14:solidFill>
          </w14:textFill>
        </w:rPr>
      </w:pPr>
      <w:bookmarkStart w:id="31" w:name="_Toc493143947"/>
      <w:r>
        <w:rPr>
          <w:color w:val="000000" w:themeColor="text1"/>
          <w:highlight w:val="none"/>
          <w14:textFill>
            <w14:solidFill>
              <w14:schemeClr w14:val="tx1"/>
            </w14:solidFill>
          </w14:textFill>
        </w:rPr>
        <w:t>5.5 技术服务合同的暂停与</w:t>
      </w:r>
      <w:bookmarkEnd w:id="31"/>
      <w:r>
        <w:rPr>
          <w:color w:val="000000" w:themeColor="text1"/>
          <w:highlight w:val="none"/>
          <w14:textFill>
            <w14:solidFill>
              <w14:schemeClr w14:val="tx1"/>
            </w14:solidFill>
          </w14:textFill>
        </w:rPr>
        <w:t>解除</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5.5.1 出现根据本技术服务合同的规定不应由技术服务人负责的情况，且该情况已使技术服务人不能继续履行全部或部分技术服务时，技术服务人应立即书面通知发包人。并且不得不暂停或减缓某些技术服务时，则上述服务的完成期限应予以延长；因此而增加的技术服务工作量或延长的服务时间应作为技术服务人附加的服务；</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5.5.2 全部技术服务已无法继续履行时，技术服务人在书面通知发包人7日之后，有权单方面解除本技术服务合同，因此而增加的技术服务工作量应作为技术服务人额外的服务。发包人应及时向技术服务人返还全部或剩余部分的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5.5.3因不可抗力致使本技术服务合同不能履行或只能部分履行时，一方应立即书面通知另一方，暂停或解除技术服务合同。双方应对由此而产生的任何损失、损害或延误各负其责。不可抗力是指服务人和发包人在订立合同时不可预见，在履行合同过程中不可避免发生并不能克服的自然灾害和社会性突发事件，如地震、海啸、瘟疫、水灾、骚乱、暴动、战争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5.5.4发包人要求技术服务人全部或部分暂停技术服务或解除本技术服务合同时，必须在7日之前发出书面通知。技术服务人在接到通知后，应立即安排停止全部或该部分技术服务并将相关费用开支减至最小。因此而增加的技术服务工作量应作为技术服务人额外的服务，发包人应及时向技术服务人返还全部或剩余部分的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5.5.5技术服务人无正当的理由，未根据技术服务合同的规定履行全部或部分技术服务，发包人可书面要求技术服务人予以解释。若技术服务人在28日内未能根据本技术服务合同给予合理的答复，发包人可在进一步发出书面通知14日后，单方面解除本技术服务合同，并视情况没收技术服务人的全部或部分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5.5.6发包人拖延支付技术服务费用，并已超过规定支付期限后28日，或暂停技术服务己超过6个月时，技术服务人可书面要求发包人予以解释。若发包人在28日内未能根据本技术服务合同给予合理的答复，技术服务人可在进一步发出书面通知14日后，单方面解除本技术服务合同或自行暂停全部或部分技术服务。因此而增加的技术服务工作量应作为技术服务人附加的服务，发包人应及时向技术服务人返还全部或剩余部分的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5.5.7技术服务合同的解除，不得损害或影响双方根据本技术服务合同应有的义务、责任、权力和利益。</w:t>
      </w:r>
      <w:bookmarkStart w:id="32" w:name="_Toc493143949"/>
    </w:p>
    <w:p>
      <w:pPr>
        <w:pStyle w:val="42"/>
        <w:rPr>
          <w:color w:val="000000" w:themeColor="text1"/>
          <w:highlight w:val="none"/>
          <w14:textFill>
            <w14:solidFill>
              <w14:schemeClr w14:val="tx1"/>
            </w14:solidFill>
          </w14:textFill>
        </w:rPr>
      </w:pPr>
    </w:p>
    <w:p>
      <w:pP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6. 技术服务的费用与支付</w:t>
      </w:r>
      <w:bookmarkEnd w:id="32"/>
    </w:p>
    <w:p>
      <w:pPr>
        <w:pStyle w:val="12"/>
        <w:ind w:left="1008" w:hanging="1008"/>
        <w:rPr>
          <w:color w:val="000000" w:themeColor="text1"/>
          <w:highlight w:val="none"/>
          <w14:textFill>
            <w14:solidFill>
              <w14:schemeClr w14:val="tx1"/>
            </w14:solidFill>
          </w14:textFill>
        </w:rPr>
      </w:pPr>
      <w:bookmarkStart w:id="33" w:name="_Toc493143950"/>
      <w:r>
        <w:rPr>
          <w:color w:val="000000" w:themeColor="text1"/>
          <w:highlight w:val="none"/>
          <w14:textFill>
            <w14:solidFill>
              <w14:schemeClr w14:val="tx1"/>
            </w14:solidFill>
          </w14:textFill>
        </w:rPr>
        <w:t>6.1技术服务费用内容</w:t>
      </w: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技术服务人服务费用应包括如下内容：</w:t>
      </w:r>
    </w:p>
    <w:p>
      <w:pPr>
        <w:ind w:firstLine="422"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6.1.1人员费用</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6.1.1.1基本工资</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6.1.1.2工资性津贴</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6.1.1.3职工福利费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6.1.1.4劳动保护费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6.1.1.5加班费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6.1.1.6其它</w:t>
      </w:r>
    </w:p>
    <w:p>
      <w:pPr>
        <w:ind w:firstLine="422"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6.1.2现场费用</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6.1.2.1临时设施费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6.1.2.2办公费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6.1.2.3会议费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6.1.2.4差旅交通费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6.1.2.5固定资产使用费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6.1.2.6通讯设备购置、使用费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6.1.2.7</w:t>
      </w:r>
      <w:r>
        <w:rPr>
          <w:rFonts w:hint="eastAsia" w:ascii="宋体" w:hAnsi="宋体"/>
          <w:color w:val="000000" w:themeColor="text1"/>
          <w:sz w:val="24"/>
          <w:highlight w:val="none"/>
          <w14:textFill>
            <w14:solidFill>
              <w14:schemeClr w14:val="tx1"/>
            </w14:solidFill>
          </w14:textFill>
        </w:rPr>
        <w:t>投标人提供的</w:t>
      </w:r>
      <w:r>
        <w:rPr>
          <w:rFonts w:ascii="宋体" w:hAnsi="宋体"/>
          <w:color w:val="000000" w:themeColor="text1"/>
          <w:sz w:val="24"/>
          <w:highlight w:val="none"/>
          <w14:textFill>
            <w14:solidFill>
              <w14:schemeClr w14:val="tx1"/>
            </w14:solidFill>
          </w14:textFill>
        </w:rPr>
        <w:t>测量、试验、检测设备仪器折旧、维修或租赁费，其他设备折旧、维修或租赁费等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6.1.2.8</w:t>
      </w:r>
      <w:r>
        <w:rPr>
          <w:rFonts w:hint="eastAsia" w:ascii="宋体" w:hAnsi="宋体"/>
          <w:color w:val="000000" w:themeColor="text1"/>
          <w:sz w:val="24"/>
          <w:highlight w:val="none"/>
          <w14:textFill>
            <w14:solidFill>
              <w14:schemeClr w14:val="tx1"/>
            </w14:solidFill>
          </w14:textFill>
        </w:rPr>
        <w:t>招标人提供的试验设备、办公用品及办公用房的维护维修费等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w:t>
      </w: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零星固定资产购置费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6.1.2.</w:t>
      </w:r>
      <w:r>
        <w:rPr>
          <w:rFonts w:hint="eastAsia" w:ascii="宋体" w:hAnsi="宋体"/>
          <w:color w:val="000000" w:themeColor="text1"/>
          <w:sz w:val="24"/>
          <w:highlight w:val="none"/>
          <w14:textFill>
            <w14:solidFill>
              <w14:schemeClr w14:val="tx1"/>
            </w14:solidFill>
          </w14:textFill>
        </w:rPr>
        <w:t>10 投标人在技术服务期间试验检测发生的易耗品或损耗仪器的购置</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6.1.2.11</w:t>
      </w:r>
      <w:r>
        <w:rPr>
          <w:rFonts w:ascii="宋体" w:hAnsi="宋体"/>
          <w:color w:val="000000" w:themeColor="text1"/>
          <w:sz w:val="24"/>
          <w:highlight w:val="none"/>
          <w14:textFill>
            <w14:solidFill>
              <w14:schemeClr w14:val="tx1"/>
            </w14:solidFill>
          </w14:textFill>
        </w:rPr>
        <w:t>其它</w:t>
      </w:r>
    </w:p>
    <w:p>
      <w:pPr>
        <w:ind w:firstLine="422"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6.1.3企业管理费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6.1.3.1工会经费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6.1.3.2职工教育经费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6.1.3.3业务招待费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6.1.3.4财务费用</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6.1.3.5社会保险费用（基本养老、基本医疗、失业、工伤保险）</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6.1.3.6住房公积金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6.1.3.7其它</w:t>
      </w:r>
    </w:p>
    <w:p>
      <w:pPr>
        <w:ind w:firstLine="422" w:firstLineChars="200"/>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6.1.4利润和税金</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6.2技术服务费计费方法</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技术服务费用由正常的技术服务、附加技术服务和额外技术服务三个方面的费用组成。</w:t>
      </w:r>
    </w:p>
    <w:bookmarkEnd w:id="33"/>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6.2.1（正常技术服务+附加技术服务）的费用</w:t>
      </w:r>
    </w:p>
    <w:p>
      <w:pPr>
        <w:ind w:firstLine="480" w:firstLineChars="200"/>
        <w:rPr>
          <w:rFonts w:ascii="宋体" w:hAnsi="宋体"/>
          <w:color w:val="000000" w:themeColor="text1"/>
          <w:sz w:val="24"/>
          <w:highlight w:val="none"/>
          <w14:textFill>
            <w14:solidFill>
              <w14:schemeClr w14:val="tx1"/>
            </w14:solidFill>
          </w14:textFill>
        </w:rPr>
      </w:pPr>
      <w:bookmarkStart w:id="34" w:name="_Toc493143951"/>
      <w:r>
        <w:rPr>
          <w:rFonts w:ascii="宋体" w:hAnsi="宋体"/>
          <w:color w:val="000000" w:themeColor="text1"/>
          <w:sz w:val="24"/>
          <w:highlight w:val="none"/>
          <w14:textFill>
            <w14:solidFill>
              <w14:schemeClr w14:val="tx1"/>
            </w14:solidFill>
          </w14:textFill>
        </w:rPr>
        <w:t>（正常服务+附加服务）的费用是技术服务人为完成合同所确定的技术服务范围内的全部服务所发生的一切费用。包括但不限于：人员费用、现场费用、企业管理费用、保险、利润和税金等。</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6.2.2额外技术服务的费用</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额外服务费用的计算方法，由双方协商确定，另行制定；</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6.2.3技术服务费的调整</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除非合同专用条款中另有规定，本合同为固定总价合同，技术服务费用不随国家政策或法规、标准及市场因素的变化而进行调整，也不因实际服务周期的延长或缩短而调整。</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6.3支付</w:t>
      </w:r>
      <w:bookmarkEnd w:id="34"/>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支付方式与支付内容</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6.3.1发包人采用的支付方式与支付内容在合同专用条款中约定。</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6.3.2履约保证金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6.3.2.1履约保证金的提交和返还按照投标人须知第7.3条和技术服务合同条款第4.5.2款、第4.5.3款执行。</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6.3.2.2发包人没收技术服务人的全部或部分履约保证金时，不影响技术服务人根据技术服务合同应当得到的其它款项的支付。</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6.3.3违约赔偿金</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6.3.3.1根据技术服务合同条款第4.1款确定的技术服务人对发包人的赔偿，由发包人从对技术服务人的日常支付中扣回。</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6.3.3.2根据技术服务合同条款第4.2款确定的发包人对技术服务人的赔偿，应由发包人在日常支付中向技术服务人支付。</w:t>
      </w:r>
    </w:p>
    <w:p>
      <w:pPr>
        <w:pStyle w:val="12"/>
        <w:ind w:left="1008" w:hanging="1008"/>
        <w:rPr>
          <w:color w:val="000000" w:themeColor="text1"/>
          <w:highlight w:val="none"/>
          <w14:textFill>
            <w14:solidFill>
              <w14:schemeClr w14:val="tx1"/>
            </w14:solidFill>
          </w14:textFill>
        </w:rPr>
      </w:pPr>
      <w:bookmarkStart w:id="35" w:name="_Toc493143952"/>
      <w:r>
        <w:rPr>
          <w:color w:val="000000" w:themeColor="text1"/>
          <w:highlight w:val="none"/>
          <w14:textFill>
            <w14:solidFill>
              <w14:schemeClr w14:val="tx1"/>
            </w14:solidFill>
          </w14:textFill>
        </w:rPr>
        <w:t>6.4货币</w:t>
      </w:r>
      <w:bookmarkEnd w:id="35"/>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发包人支付技术服务人履行技术服务的费用，其货币为人民币。</w:t>
      </w:r>
    </w:p>
    <w:p>
      <w:pPr>
        <w:pStyle w:val="11"/>
        <w:rPr>
          <w:color w:val="000000" w:themeColor="text1"/>
          <w:highlight w:val="none"/>
          <w14:textFill>
            <w14:solidFill>
              <w14:schemeClr w14:val="tx1"/>
            </w14:solidFill>
          </w14:textFill>
        </w:rPr>
      </w:pPr>
      <w:bookmarkStart w:id="36" w:name="_Toc493143953"/>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其它</w:t>
      </w:r>
      <w:bookmarkEnd w:id="36"/>
    </w:p>
    <w:p>
      <w:pPr>
        <w:pStyle w:val="12"/>
        <w:ind w:left="1008" w:hanging="1008"/>
        <w:rPr>
          <w:color w:val="000000" w:themeColor="text1"/>
          <w:highlight w:val="none"/>
          <w14:textFill>
            <w14:solidFill>
              <w14:schemeClr w14:val="tx1"/>
            </w14:solidFill>
          </w14:textFill>
        </w:rPr>
      </w:pPr>
      <w:bookmarkStart w:id="37" w:name="_Toc493143954"/>
      <w:r>
        <w:rPr>
          <w:color w:val="000000" w:themeColor="text1"/>
          <w:highlight w:val="none"/>
          <w14:textFill>
            <w14:solidFill>
              <w14:schemeClr w14:val="tx1"/>
            </w14:solidFill>
          </w14:textFill>
        </w:rPr>
        <w:t>7.1合同双方的关系</w:t>
      </w:r>
      <w:bookmarkEnd w:id="37"/>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合同双方互为权利和义务主体，双方应遵循平等互利、协商一致的原则履行本技术服务合同。发包人和技术服务人均应按照技术服务合同公正的行使权力和全面履行自己的职责。</w:t>
      </w:r>
    </w:p>
    <w:p>
      <w:pPr>
        <w:pStyle w:val="12"/>
        <w:ind w:left="1008" w:hanging="1008"/>
        <w:rPr>
          <w:color w:val="000000" w:themeColor="text1"/>
          <w:highlight w:val="none"/>
          <w14:textFill>
            <w14:solidFill>
              <w14:schemeClr w14:val="tx1"/>
            </w14:solidFill>
          </w14:textFill>
        </w:rPr>
      </w:pPr>
      <w:bookmarkStart w:id="38" w:name="_Toc493143955"/>
      <w:r>
        <w:rPr>
          <w:color w:val="000000" w:themeColor="text1"/>
          <w:highlight w:val="none"/>
          <w14:textFill>
            <w14:solidFill>
              <w14:schemeClr w14:val="tx1"/>
            </w14:solidFill>
          </w14:textFill>
        </w:rPr>
        <w:t>7.2语言和法律</w:t>
      </w:r>
      <w:bookmarkEnd w:id="38"/>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本技术服务合同使用中文，遵循中华人民共和国的相关法律。</w:t>
      </w:r>
    </w:p>
    <w:p>
      <w:pPr>
        <w:pStyle w:val="12"/>
        <w:ind w:left="1008" w:hanging="1008"/>
        <w:rPr>
          <w:color w:val="000000" w:themeColor="text1"/>
          <w:highlight w:val="none"/>
          <w14:textFill>
            <w14:solidFill>
              <w14:schemeClr w14:val="tx1"/>
            </w14:solidFill>
          </w14:textFill>
        </w:rPr>
      </w:pPr>
      <w:bookmarkStart w:id="39" w:name="_Toc493143957"/>
      <w:r>
        <w:rPr>
          <w:color w:val="000000" w:themeColor="text1"/>
          <w:highlight w:val="none"/>
          <w14:textFill>
            <w14:solidFill>
              <w14:schemeClr w14:val="tx1"/>
            </w14:solidFill>
          </w14:textFill>
        </w:rPr>
        <w:t>7.3利益矛盾</w:t>
      </w:r>
      <w:bookmarkEnd w:id="39"/>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未经发包人书面同意，技术服务人不得获取本技术服务合同规定以外的与本项目有关的任何利益，不得参与与本技术服务合同规定的发包人利益相冲突的任何活动。</w:t>
      </w:r>
    </w:p>
    <w:p>
      <w:pPr>
        <w:pStyle w:val="12"/>
        <w:ind w:left="1008" w:hanging="1008"/>
        <w:rPr>
          <w:color w:val="000000" w:themeColor="text1"/>
          <w:highlight w:val="none"/>
          <w14:textFill>
            <w14:solidFill>
              <w14:schemeClr w14:val="tx1"/>
            </w14:solidFill>
          </w14:textFill>
        </w:rPr>
      </w:pPr>
      <w:bookmarkStart w:id="40" w:name="_Toc493143958"/>
      <w:r>
        <w:rPr>
          <w:color w:val="000000" w:themeColor="text1"/>
          <w:highlight w:val="none"/>
          <w14:textFill>
            <w14:solidFill>
              <w14:schemeClr w14:val="tx1"/>
            </w14:solidFill>
          </w14:textFill>
        </w:rPr>
        <w:t>7.4版权</w:t>
      </w:r>
      <w:bookmarkEnd w:id="40"/>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7.4.1对技术服务人拥有版权并已用于本技术服务中的所有文件，发包人有权在本合同项目中使用或复制。但未经技术服务人的同意，发包人不得将上述文件直接或间接用于其它项目或服务之中。</w:t>
      </w:r>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7.4.2如果在合同条款中没有另外规定，则技术服务人有权出版与本项目技术服务有关的资料。但未经发包人同意，上述出版物中不得涉及发包人的专利、专有技术以及经济情报。</w:t>
      </w:r>
    </w:p>
    <w:p>
      <w:pPr>
        <w:pStyle w:val="12"/>
        <w:ind w:left="1008" w:hanging="1008"/>
        <w:rPr>
          <w:color w:val="000000" w:themeColor="text1"/>
          <w:highlight w:val="none"/>
          <w14:textFill>
            <w14:solidFill>
              <w14:schemeClr w14:val="tx1"/>
            </w14:solidFill>
          </w14:textFill>
        </w:rPr>
      </w:pPr>
      <w:bookmarkStart w:id="41" w:name="_Toc493143959"/>
      <w:r>
        <w:rPr>
          <w:color w:val="000000" w:themeColor="text1"/>
          <w:highlight w:val="none"/>
          <w14:textFill>
            <w14:solidFill>
              <w14:schemeClr w14:val="tx1"/>
            </w14:solidFill>
          </w14:textFill>
        </w:rPr>
        <w:t>7. 5通知</w:t>
      </w:r>
      <w:bookmarkEnd w:id="41"/>
    </w:p>
    <w:p>
      <w:pPr>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本技术服务合同涉及的通知均为书面形式，在送达协议书中注明的地址并由收受方签收后生效。无论发送方采用何种方式递送通知，收受方都应用书面回执确认。</w:t>
      </w:r>
    </w:p>
    <w:p>
      <w:pPr>
        <w:pStyle w:val="11"/>
        <w:rPr>
          <w:color w:val="000000" w:themeColor="text1"/>
          <w:highlight w:val="none"/>
          <w14:textFill>
            <w14:solidFill>
              <w14:schemeClr w14:val="tx1"/>
            </w14:solidFill>
          </w14:textFill>
        </w:rPr>
      </w:pPr>
      <w:bookmarkStart w:id="42" w:name="_Toc493143960"/>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争端的解决</w:t>
      </w:r>
      <w:bookmarkEnd w:id="42"/>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本合同在执行过程中，如发生争议，双方协商解决；协商不成按下列中的一种方式解决：</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（1）向约定的仲裁委员会申请仲裁；</w:t>
      </w:r>
    </w:p>
    <w:p>
      <w:pPr>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（2）向约定的人民法院提起诉讼。</w:t>
      </w:r>
    </w:p>
    <w:p>
      <w:pPr>
        <w:spacing w:line="400" w:lineRule="exact"/>
        <w:ind w:left="480"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
        <w:jc w:val="center"/>
        <w:rPr>
          <w:color w:val="000000" w:themeColor="text1"/>
          <w:highlight w:val="none"/>
          <w14:textFill>
            <w14:solidFill>
              <w14:schemeClr w14:val="tx1"/>
            </w14:solidFill>
          </w14:textFill>
        </w:rPr>
      </w:pPr>
      <w:bookmarkStart w:id="43" w:name="_Toc18312189"/>
      <w:r>
        <w:rPr>
          <w:rFonts w:hint="eastAsia"/>
          <w:color w:val="000000" w:themeColor="text1"/>
          <w:highlight w:val="none"/>
          <w14:textFill>
            <w14:solidFill>
              <w14:schemeClr w14:val="tx1"/>
            </w14:solidFill>
          </w14:textFill>
        </w:rPr>
        <w:t xml:space="preserve">第二节 </w:t>
      </w:r>
      <w:r>
        <w:rPr>
          <w:color w:val="000000" w:themeColor="text1"/>
          <w:highlight w:val="none"/>
          <w14:textFill>
            <w14:solidFill>
              <w14:schemeClr w14:val="tx1"/>
            </w14:solidFill>
          </w14:textFill>
        </w:rPr>
        <w:t>合同</w:t>
      </w:r>
      <w:r>
        <w:rPr>
          <w:rFonts w:hint="eastAsia"/>
          <w:color w:val="000000" w:themeColor="text1"/>
          <w:highlight w:val="none"/>
          <w14:textFill>
            <w14:solidFill>
              <w14:schemeClr w14:val="tx1"/>
            </w14:solidFill>
          </w14:textFill>
        </w:rPr>
        <w:t>专用</w:t>
      </w:r>
      <w:r>
        <w:rPr>
          <w:color w:val="000000" w:themeColor="text1"/>
          <w:highlight w:val="none"/>
          <w14:textFill>
            <w14:solidFill>
              <w14:schemeClr w14:val="tx1"/>
            </w14:solidFill>
          </w14:textFill>
        </w:rPr>
        <w:t>条款</w:t>
      </w:r>
      <w:bookmarkEnd w:id="43"/>
    </w:p>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专用条款是根据本项目的具体情况和特点，对本章“通用合同条款”的内容进行补充、细化或修改，且不得违反国家有关法律、法规的规定，遵循平等、自愿、公平、诚信的原则。专用合同条款的编号应与通用合同条款的编号相一致，根据本项目的具体情况对“通用合同条款”的内容作如下补充、细化。</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定义与解释</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 定义</w:t>
      </w:r>
    </w:p>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本合同的项目名称、建设规模：</w:t>
      </w:r>
    </w:p>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项目名称：岳阳港道仁矶码头工程航道调整及航标配布方案编制服务</w:t>
      </w:r>
    </w:p>
    <w:p>
      <w:pPr>
        <w:pStyle w:val="14"/>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1.1.2建设规模：</w:t>
      </w:r>
      <w:permStart w:id="53" w:edGrp="everyone"/>
      <w:r>
        <w:rPr>
          <w:rFonts w:hint="eastAsia" w:ascii="宋体" w:hAnsi="宋体"/>
          <w:color w:val="000000" w:themeColor="text1"/>
          <w:sz w:val="24"/>
          <w:highlight w:val="none"/>
          <w14:textFill>
            <w14:solidFill>
              <w14:schemeClr w14:val="tx1"/>
            </w14:solidFill>
          </w14:textFill>
        </w:rPr>
        <w:t xml:space="preserve"> 拟建工程位于湖南省岳阳市云溪区道仁矶镇，荆岳长江大桥上游约1.5km 的长江右岸，工程距城陵矶约 12km，工程河段为长江中游杨林岩水道中段，港址处中游航道里程约为 219.3~220.1km。本工程拟建 6 个 5000 吨级散货泊位（其中水工结构按 10000 吨级船舶靠泊能力设计），其中一个泊位兼顾装卸防汛物资功能。货物年吞吐量为 1660 万吨，其中散货进口 1050 万吨/年，散货出口 600 万吨/年，防汛物资 10 万吨/年，码头设计通过能力 1881.4 万吨/年。</w:t>
      </w:r>
    </w:p>
    <w:permEnd w:id="53"/>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发包人：，即本项目招标人。</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1.1.4技术服务人：，即本项目中标人。</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技术服务人的义务</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2.1技术服务的范围、目标、内容</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服务范围</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标段1：岳阳港道仁矶码头工程航道调整及航标配布方案编制服务。</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技术服务的目标：完成岳阳港道仁矶码头工程航道调整及航标配布方案编制，并通过行业主管部门组织的专家评审会评审，交付甲方。</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技术服务的内容：</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航道调整及航标配布方案编制报告：报价人应按国家、地方以及相关主管部门有关规定、技术规范和要求进行编制工作。并需承担深化报告及因特邀专家审查而出现的修改工作；根据招标人、特邀专家、行业主管部门的评审意见修改、补充和完善相关报告。</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技术服务的技术要求：</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按国家、地方以及相关主管部门有关规定、技术规范和要求进行编制工作；报告编制的技术和深度必须满足行业主管部门组织的专家评审会评审的要求，确保通过评审。在报告编制过程中，应严格执行国家的各项法律法规和政策，如果国家或者有关部门颁发了新的技术标准或规范，则编制单位应采用新的标准或规范。</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2.3技术服务人的一般义务</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补充以下内容：</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做好质量管理工作，建立健全质量保证体系，加强工作全过程的质量控制，建立完整的报告的编制、复核、审核、会签和批准制度，明确各阶段的责任人，应按期、按质、按量地完成双方商定的各项工作内容，并对报告及专项设计的质量负责。报告质量应达到国内领先水平。</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2、应自行承担报告编制及专项设计工作的一切有关费用，包括专家评审会相关费用、食宿、交通、差旅费等。</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3、本项目评估所需的水文、地形、航迹线等资料由乙方自行协调解决</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4、在报告及专项设计编制过程中，应主动和甲方保持密切联系。</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5、未经甲方同意，不能将研究报告转让给第三方。</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6、人员保证与变更</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（1）乙方应按投标文件中承诺的人员投入工作，在报告编制过程应保持人员的相对稳定。确需调整，应报经甲方批准。</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（2）如果乙方的人员渎职或不能胜任工作或从事其他违法活动，甲方有权书面要求更换，乙方应立即派出具有同等或以上资历的人员替换；若非因上述原因，乙方有权拒绝。</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（3）若乙方的进度没有达到乙方投标文件中承诺的进度计划，甲方有权提出要求增加工作人员，乙方应立即安排，其费用被认为已包含在合同价格之中。</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7、若乙方在合同履行期间发生人员伤亡或财产的损失，或者造成第三方的人员伤亡或财产损失，乙方应承担全部责任，并保障甲方免于承担由此造成的一切损害和损失。</w:t>
      </w:r>
    </w:p>
    <w:p>
      <w:pPr>
        <w:ind w:firstLine="482"/>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8、乙方负责定期向甲方报告工作进展情况。</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 发包人的一般义务</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补充以下内容：</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1、应严格履行基本建设程序，根据本项目的具体情况和技术要求确定合理的工作量及合理的工作周期。</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2、指定专人负责与乙方的工作联系，协调各方面工作，以满足报告编制进度要求。</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3、为乙方进行资料收集、现场踏勘、调查等工作提供便利条件。</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4、甲方对乙方在工作过程中提出的有关问题应及时认真解答，对关键性的阶段成果应及时组织相关专家评议，按基建程序及时做好文件的审查报批工作。</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5、对乙方的成果予以维护，不得擅自修改和转让。</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6、按合同规定及时支付报告编制费用。</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责任和保障</w:t>
      </w:r>
    </w:p>
    <w:p>
      <w:pPr>
        <w:pStyle w:val="12"/>
        <w:ind w:left="1008" w:hanging="10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 技术服务人的违约及赔偿责任</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补充以下内容：</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1、如果乙方未经甲方同意将项目转包或非法分包，除由有关部门给予处罚外，甲方将按合同价的10%～20%扣除乙方的违约金，同时乙方仍需在规定时间内完成合同全部义务。</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未按照国家现行的标准或规范开展工作、编制相应报告，或未根据甲方的指令进行变更，给甲方造成损失等，如发生上述任何行为，除由有关部门给予处罚外，甲方将按合同价的5%～10%扣除乙方的违约金，同时乙方仍需在规定时间内完成合同全部义务。</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3、因编制报告深度不够、质量低劣、不符合国家文件规定或报告未获审查通过、引起返工而造成的问题除由乙方负责继续完善报告编制外，应视造成的工期延误，按下款执行。</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4、如果乙方未能按期提交文件（甲方同意延长期限的情况除外），则每延期7天（不足7天按7天计），甲方将分别按相应阶段合同费用总金额的5%扣除乙方的违约金。</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5、合同生效后，如乙方提出终止合同，应双倍向甲方返还定金，并承担由此产生的一切损失。</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6、技术服务人发生上述的违约情况时，发包人将视违约的严重程度采取下列措施：</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（1）甲方有权扣除乙方违约金，乙方无条件接受；</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（2）甲方有权收回已委托乙方的全部或部分工作，乙方无条件接受。</w:t>
      </w:r>
    </w:p>
    <w:p>
      <w:pPr>
        <w:pStyle w:val="12"/>
        <w:ind w:left="1008" w:hanging="100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 赔偿的限额</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违约处罚或责任赔偿累计额度：不超过合同额的</w:t>
      </w:r>
      <w:r>
        <w:rPr>
          <w:rFonts w:hint="eastAsia" w:ascii="宋体" w:hAnsi="宋体"/>
          <w:color w:val="000000" w:themeColor="text1"/>
          <w:sz w:val="24"/>
          <w:highlight w:val="none"/>
          <w:u w:val="single"/>
          <w14:textFill>
            <w14:solidFill>
              <w14:schemeClr w14:val="tx1"/>
            </w14:solidFill>
          </w14:textFill>
        </w:rPr>
        <w:t xml:space="preserve"> 20% </w:t>
      </w:r>
      <w:r>
        <w:rPr>
          <w:rFonts w:hint="eastAsia" w:ascii="宋体" w:hAnsi="宋体"/>
          <w:color w:val="000000" w:themeColor="text1"/>
          <w:sz w:val="24"/>
          <w:highlight w:val="none"/>
          <w14:textFill>
            <w14:solidFill>
              <w14:schemeClr w14:val="tx1"/>
            </w14:solidFill>
          </w14:textFill>
        </w:rPr>
        <w:t>。</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技术服务的费用与支付</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6.1技术服务费用内容：本合同为总价合同。合同总价包括完成所投标段所有工作内容和提供完整的报告、获取相关资料的费用、专家评审会相关费用、后续服务及税金的全部费用，由乙方包干使用。</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本项目实施过程中因政策原因或甲方变更，对泊位数量、规模、等级、功能形式等进行调整，对工程总投资额进行调整等，技术服务费用不进行调整。</w:t>
      </w:r>
    </w:p>
    <w:p>
      <w:pPr>
        <w:ind w:firstLine="482"/>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如根据相关政策或主管部门要求，报告不需要编制，甲方不予补偿。</w:t>
      </w:r>
    </w:p>
    <w:p>
      <w:pPr>
        <w:pStyle w:val="1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6.3 支付</w:t>
      </w:r>
    </w:p>
    <w:p>
      <w:pPr>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6.3.1 技术服务费用的支付方式：</w:t>
      </w:r>
      <w:r>
        <w:rPr>
          <w:rFonts w:hint="eastAsia" w:ascii="宋体" w:hAnsi="宋体"/>
          <w:color w:val="000000" w:themeColor="text1"/>
          <w:sz w:val="24"/>
          <w:highlight w:val="none"/>
          <w:u w:val="single"/>
          <w14:textFill>
            <w14:solidFill>
              <w14:schemeClr w14:val="tx1"/>
            </w14:solidFill>
          </w14:textFill>
        </w:rPr>
        <w:t>甲方分阶段按进度分期支付。</w:t>
      </w:r>
    </w:p>
    <w:p>
      <w:pPr>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a、完成报告送审稿并组织专家评审通过后15日内，甲方支付乙方合同总费用的60%。</w:t>
      </w:r>
    </w:p>
    <w:p>
      <w:pPr>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b</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依照主管部门及专家意见修改并完善形成报批稿后，甲方取得主管部门批复后，甲方支付乙方合同总费用的40%。</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支付前，承包人需向发包人提供等额增值税（专用）发票，税率6%，否则发包人有权拒绝支付。</w:t>
      </w:r>
    </w:p>
    <w:p>
      <w:pPr>
        <w:ind w:firstLine="480" w:firstLineChars="200"/>
        <w:rPr>
          <w:rFonts w:ascii="宋体" w:hAnsi="宋体"/>
          <w:color w:val="000000" w:themeColor="text1"/>
          <w:sz w:val="24"/>
          <w:highlight w:val="none"/>
          <w:u w:val="single"/>
          <w14:textFill>
            <w14:solidFill>
              <w14:schemeClr w14:val="tx1"/>
            </w14:solidFill>
          </w14:textFill>
        </w:rPr>
      </w:pPr>
    </w:p>
    <w:p>
      <w:pPr>
        <w:pStyle w:val="1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 争议的解决</w:t>
      </w:r>
    </w:p>
    <w:p>
      <w:pPr>
        <w:ind w:firstLine="480" w:firstLineChars="200"/>
        <w:rPr>
          <w:rFonts w:ascii="宋体" w:hAnsi="宋体"/>
          <w:color w:val="000000" w:themeColor="text1"/>
          <w:sz w:val="24"/>
          <w:highlight w:val="none"/>
          <w14:textFill>
            <w14:solidFill>
              <w14:schemeClr w14:val="tx1"/>
            </w14:solidFill>
          </w14:textFill>
        </w:rPr>
      </w:pPr>
      <w:bookmarkStart w:id="44" w:name="_Toc18312190"/>
      <w:r>
        <w:rPr>
          <w:rFonts w:hint="eastAsia" w:ascii="宋体" w:hAnsi="宋体"/>
          <w:color w:val="000000" w:themeColor="text1"/>
          <w:sz w:val="24"/>
          <w:highlight w:val="none"/>
          <w14:textFill>
            <w14:solidFill>
              <w14:schemeClr w14:val="tx1"/>
            </w14:solidFill>
          </w14:textFill>
        </w:rPr>
        <w:t>本款约定为：争议的最终解决方式：</w:t>
      </w:r>
      <w:r>
        <w:rPr>
          <w:rFonts w:hint="eastAsia" w:ascii="MS Mincho" w:hAnsi="MS Mincho" w:cs="MS Mincho"/>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仲裁/</w:t>
      </w:r>
      <w:r>
        <w:rPr>
          <w:rFonts w:hint="eastAsia" w:ascii="宋体" w:hAnsi="宋体"/>
          <w:color w:val="000000" w:themeColor="text1"/>
          <w:sz w:val="24"/>
          <w:highlight w:val="none"/>
          <w:u w:val="single"/>
          <w14:textFill>
            <w14:solidFill>
              <w14:schemeClr w14:val="tx1"/>
            </w14:solidFill>
          </w14:textFill>
        </w:rPr>
        <w:sym w:font="Wingdings 2" w:char="0052"/>
      </w:r>
      <w:r>
        <w:rPr>
          <w:rFonts w:hint="eastAsia" w:ascii="宋体" w:hAnsi="宋体"/>
          <w:color w:val="000000" w:themeColor="text1"/>
          <w:sz w:val="24"/>
          <w:highlight w:val="none"/>
          <w:u w:val="single"/>
          <w14:textFill>
            <w14:solidFill>
              <w14:schemeClr w14:val="tx1"/>
            </w14:solidFill>
          </w14:textFill>
        </w:rPr>
        <w:t>诉讼</w:t>
      </w:r>
      <w:r>
        <w:rPr>
          <w:rFonts w:hint="eastAsia" w:ascii="宋体" w:hAnsi="宋体"/>
          <w:color w:val="000000" w:themeColor="text1"/>
          <w:sz w:val="24"/>
          <w:highlight w:val="none"/>
          <w14:textFill>
            <w14:solidFill>
              <w14:schemeClr w14:val="tx1"/>
            </w14:solidFill>
          </w14:textFill>
        </w:rPr>
        <w:t>。</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如采用仲裁，仲裁机构名称：</w:t>
      </w:r>
      <w:r>
        <w:rPr>
          <w:rFonts w:hint="eastAsia" w:ascii="宋体" w:hAnsi="宋体"/>
          <w:color w:val="000000" w:themeColor="text1"/>
          <w:sz w:val="24"/>
          <w:highlight w:val="none"/>
          <w:u w:val="single"/>
          <w14:textFill>
            <w14:solidFill>
              <w14:schemeClr w14:val="tx1"/>
            </w14:solidFill>
          </w14:textFill>
        </w:rPr>
        <w:t>岳阳仲裁委员会</w:t>
      </w:r>
      <w:r>
        <w:rPr>
          <w:rFonts w:hint="eastAsia" w:ascii="宋体" w:hAnsi="宋体"/>
          <w:color w:val="000000" w:themeColor="text1"/>
          <w:sz w:val="24"/>
          <w:highlight w:val="none"/>
          <w14:textFill>
            <w14:solidFill>
              <w14:schemeClr w14:val="tx1"/>
            </w14:solidFill>
          </w14:textFill>
        </w:rPr>
        <w:t>。</w:t>
      </w:r>
    </w:p>
    <w:p>
      <w:pPr>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如果用诉讼，诉讼机构名称：</w:t>
      </w:r>
      <w:r>
        <w:rPr>
          <w:rFonts w:hint="eastAsia" w:ascii="宋体" w:hAnsi="宋体"/>
          <w:color w:val="000000" w:themeColor="text1"/>
          <w:sz w:val="24"/>
          <w:highlight w:val="none"/>
          <w:u w:val="single"/>
          <w14:textFill>
            <w14:solidFill>
              <w14:schemeClr w14:val="tx1"/>
            </w14:solidFill>
          </w14:textFill>
        </w:rPr>
        <w:t xml:space="preserve"> 岳阳市云溪区 </w:t>
      </w:r>
      <w:r>
        <w:rPr>
          <w:rFonts w:hint="eastAsia" w:ascii="宋体" w:hAnsi="宋体"/>
          <w:color w:val="000000" w:themeColor="text1"/>
          <w:sz w:val="24"/>
          <w:highlight w:val="none"/>
          <w14:textFill>
            <w14:solidFill>
              <w14:schemeClr w14:val="tx1"/>
            </w14:solidFill>
          </w14:textFill>
        </w:rPr>
        <w:t>人民法院。</w:t>
      </w:r>
    </w:p>
    <w:p>
      <w:pPr>
        <w:rPr>
          <w:color w:val="000000" w:themeColor="text1"/>
          <w:highlight w:val="none"/>
          <w14:textFill>
            <w14:solidFill>
              <w14:schemeClr w14:val="tx1"/>
            </w14:solidFill>
          </w14:textFill>
        </w:rPr>
      </w:pPr>
    </w:p>
    <w:bookmarkEnd w:id="44"/>
    <w:p>
      <w:pPr>
        <w:pStyle w:val="8"/>
        <w:jc w:val="center"/>
        <w:rPr>
          <w:color w:val="000000" w:themeColor="text1"/>
          <w:highlight w:val="none"/>
          <w14:textFill>
            <w14:solidFill>
              <w14:schemeClr w14:val="tx1"/>
            </w14:solidFill>
          </w14:textFill>
        </w:rPr>
      </w:pPr>
      <w:bookmarkStart w:id="45" w:name="_Toc32056"/>
      <w:bookmarkStart w:id="46" w:name="_Toc152042547"/>
      <w:bookmarkStart w:id="47" w:name="_Toc246997080"/>
      <w:bookmarkStart w:id="48" w:name="_Toc152045768"/>
      <w:bookmarkStart w:id="49" w:name="_Toc246996337"/>
      <w:bookmarkStart w:id="50" w:name="_Toc144974827"/>
      <w:bookmarkStart w:id="51" w:name="_Toc247085852"/>
      <w:bookmarkStart w:id="52" w:name="_Toc179632786"/>
    </w:p>
    <w:p>
      <w:pPr>
        <w:pStyle w:val="8"/>
        <w:jc w:val="center"/>
        <w:rPr>
          <w:color w:val="000000" w:themeColor="text1"/>
          <w:highlight w:val="none"/>
          <w14:textFill>
            <w14:solidFill>
              <w14:schemeClr w14:val="tx1"/>
            </w14:solidFill>
          </w14:textFill>
        </w:rPr>
      </w:pPr>
    </w:p>
    <w:p>
      <w:pPr>
        <w:pStyle w:val="8"/>
        <w:jc w:val="center"/>
        <w:rPr>
          <w:color w:val="000000" w:themeColor="text1"/>
          <w:highlight w:val="none"/>
          <w14:textFill>
            <w14:solidFill>
              <w14:schemeClr w14:val="tx1"/>
            </w14:solidFill>
          </w14:textFill>
        </w:rPr>
      </w:pPr>
    </w:p>
    <w:p>
      <w:pPr>
        <w:pStyle w:val="8"/>
        <w:jc w:val="center"/>
        <w:rPr>
          <w:color w:val="000000" w:themeColor="text1"/>
          <w:highlight w:val="none"/>
          <w14:textFill>
            <w14:solidFill>
              <w14:schemeClr w14:val="tx1"/>
            </w14:solidFill>
          </w14:textFill>
        </w:rPr>
      </w:pPr>
    </w:p>
    <w:p>
      <w:pPr>
        <w:pStyle w:val="8"/>
        <w:jc w:val="center"/>
        <w:rPr>
          <w:color w:val="000000" w:themeColor="text1"/>
          <w:highlight w:val="none"/>
          <w14:textFill>
            <w14:solidFill>
              <w14:schemeClr w14:val="tx1"/>
            </w14:solidFill>
          </w14:textFill>
        </w:rPr>
      </w:pPr>
    </w:p>
    <w:p>
      <w:pPr>
        <w:pStyle w:val="8"/>
        <w:jc w:val="center"/>
        <w:rPr>
          <w:color w:val="000000" w:themeColor="text1"/>
          <w:highlight w:val="none"/>
          <w14:textFill>
            <w14:solidFill>
              <w14:schemeClr w14:val="tx1"/>
            </w14:solidFill>
          </w14:textFill>
        </w:rPr>
      </w:pPr>
    </w:p>
    <w:p>
      <w:pPr>
        <w:pStyle w:val="8"/>
        <w:jc w:val="center"/>
        <w:rPr>
          <w:color w:val="000000" w:themeColor="text1"/>
          <w:highlight w:val="none"/>
          <w14:textFill>
            <w14:solidFill>
              <w14:schemeClr w14:val="tx1"/>
            </w14:solidFill>
          </w14:textFill>
        </w:rPr>
      </w:pPr>
    </w:p>
    <w:p>
      <w:pPr>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三、附件（中标后填写）</w:t>
      </w:r>
      <w:bookmarkEnd w:id="45"/>
    </w:p>
    <w:p>
      <w:pPr>
        <w:pStyle w:val="9"/>
        <w:rPr>
          <w:color w:val="000000" w:themeColor="text1"/>
          <w:highlight w:val="none"/>
          <w14:textFill>
            <w14:solidFill>
              <w14:schemeClr w14:val="tx1"/>
            </w14:solidFill>
          </w14:textFill>
        </w:rPr>
      </w:pPr>
      <w:bookmarkStart w:id="53" w:name="_Toc4098"/>
      <w:r>
        <w:rPr>
          <w:rFonts w:hint="eastAsia"/>
          <w:color w:val="000000" w:themeColor="text1"/>
          <w:highlight w:val="none"/>
          <w14:textFill>
            <w14:solidFill>
              <w14:schemeClr w14:val="tx1"/>
            </w14:solidFill>
          </w14:textFill>
        </w:rPr>
        <w:t>附件一：合同协议书</w:t>
      </w:r>
      <w:bookmarkEnd w:id="46"/>
      <w:bookmarkEnd w:id="47"/>
      <w:bookmarkEnd w:id="48"/>
      <w:bookmarkEnd w:id="49"/>
      <w:bookmarkEnd w:id="50"/>
      <w:bookmarkEnd w:id="51"/>
      <w:bookmarkEnd w:id="52"/>
      <w:bookmarkEnd w:id="53"/>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（委托人名称，以下简称“委托人”）为实施（项目</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名称），已接受（服务人名称，以下简称“服务人”）对该项目监理投标。委托人和监理人共同达成如下协议。</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1．本协议书与下列文件一起构成合同文件：</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（1）本协议书</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（2）成交通知书；</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（3）询价文件；</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（4）报价文件；</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（5）其他相关合同文件。</w:t>
      </w:r>
    </w:p>
    <w:p>
      <w:pPr>
        <w:tabs>
          <w:tab w:val="left" w:pos="684"/>
        </w:tabs>
        <w:spacing w:line="440" w:lineRule="exact"/>
        <w:ind w:left="420" w:right="-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2.上述合同文件互相补充和解释。如果合同文件之间存在矛盾或不一致之处，以上述文件的排列顺序在先者为准。</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2．签约合同价：人民币（大写）（   ¥）。</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3．服务人在此立约：保证在所有方面按合同文件的规定，承担本合同项目的实施和完成工作。</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4．计划服务期：合同签订后60个工作日内向采购人提交报告。</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5．发包人承诺按合同条款规定的时间和方式向服务人支付合同价款。</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6．违约金或赔偿损失的方式</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6.1违反本合同约定，违约方应当承担违约责任。</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6.2尽管服务人已按承诺派遣了各类服务人员，但若这些人员仍不能满足合同进度计划和（或）相关服务要求时，发包人有权要求服务人继续增派或雇用这类人员，服务人应立即执行，由此增加的费用和（或）工期延误由服务人承担。</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r>
        <w:rPr>
          <w:color w:val="000000" w:themeColor="text1"/>
          <w:sz w:val="24"/>
          <w:highlight w:val="none"/>
          <w14:textFill>
            <w14:solidFill>
              <w14:schemeClr w14:val="tx1"/>
            </w14:solidFill>
          </w14:textFill>
        </w:rPr>
        <w:t>.本协议书一式</w:t>
      </w:r>
      <w:r>
        <w:rPr>
          <w:rFonts w:hint="eastAsia"/>
          <w:color w:val="000000" w:themeColor="text1"/>
          <w:sz w:val="24"/>
          <w:highlight w:val="none"/>
          <w:u w:val="single"/>
          <w14:textFill>
            <w14:solidFill>
              <w14:schemeClr w14:val="tx1"/>
            </w14:solidFill>
          </w14:textFill>
        </w:rPr>
        <w:t>陆</w:t>
      </w:r>
      <w:r>
        <w:rPr>
          <w:color w:val="000000" w:themeColor="text1"/>
          <w:sz w:val="24"/>
          <w:highlight w:val="none"/>
          <w14:textFill>
            <w14:solidFill>
              <w14:schemeClr w14:val="tx1"/>
            </w14:solidFill>
          </w14:textFill>
        </w:rPr>
        <w:t>份，合同双方各执</w:t>
      </w:r>
      <w:r>
        <w:rPr>
          <w:rFonts w:hint="eastAsia"/>
          <w:color w:val="000000" w:themeColor="text1"/>
          <w:sz w:val="24"/>
          <w:highlight w:val="none"/>
          <w:u w:val="single"/>
          <w14:textFill>
            <w14:solidFill>
              <w14:schemeClr w14:val="tx1"/>
            </w14:solidFill>
          </w14:textFill>
        </w:rPr>
        <w:t>叁</w:t>
      </w:r>
      <w:r>
        <w:rPr>
          <w:color w:val="000000" w:themeColor="text1"/>
          <w:sz w:val="24"/>
          <w:highlight w:val="none"/>
          <w14:textFill>
            <w14:solidFill>
              <w14:schemeClr w14:val="tx1"/>
            </w14:solidFill>
          </w14:textFill>
        </w:rPr>
        <w:t>份。</w:t>
      </w:r>
    </w:p>
    <w:p>
      <w:pPr>
        <w:spacing w:line="440" w:lineRule="exact"/>
        <w:ind w:firstLine="480" w:firstLineChars="200"/>
        <w:rPr>
          <w:color w:val="000000" w:themeColor="text1"/>
          <w:sz w:val="24"/>
          <w:highlight w:val="none"/>
          <w14:textFill>
            <w14:solidFill>
              <w14:schemeClr w14:val="tx1"/>
            </w14:solidFill>
          </w14:textFill>
        </w:rPr>
      </w:pPr>
      <w:bookmarkStart w:id="54" w:name="_Toc144974830"/>
      <w:bookmarkStart w:id="55" w:name="_Toc152042550"/>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 合同未尽事宜，双方另行签订补充协议。补充协议是合同的组成部分。</w:t>
      </w:r>
      <w:bookmarkEnd w:id="54"/>
      <w:bookmarkEnd w:id="55"/>
    </w:p>
    <w:p>
      <w:pPr>
        <w:spacing w:line="440" w:lineRule="exact"/>
        <w:ind w:firstLine="480" w:firstLineChars="200"/>
        <w:rPr>
          <w:color w:val="000000" w:themeColor="text1"/>
          <w:sz w:val="24"/>
          <w:highlight w:val="none"/>
          <w14:textFill>
            <w14:solidFill>
              <w14:schemeClr w14:val="tx1"/>
            </w14:solidFill>
          </w14:textFill>
        </w:rPr>
      </w:pPr>
    </w:p>
    <w:p>
      <w:pPr>
        <w:spacing w:line="440" w:lineRule="exact"/>
        <w:ind w:firstLine="480" w:firstLineChars="200"/>
        <w:rPr>
          <w:color w:val="000000" w:themeColor="text1"/>
          <w:sz w:val="24"/>
          <w:highlight w:val="none"/>
          <w14:textFill>
            <w14:solidFill>
              <w14:schemeClr w14:val="tx1"/>
            </w14:solidFill>
          </w14:textFill>
        </w:rPr>
      </w:pPr>
    </w:p>
    <w:p>
      <w:pPr>
        <w:pStyle w:val="42"/>
        <w:rPr>
          <w:color w:val="000000" w:themeColor="text1"/>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发包人：（盖单位章）</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服务人：（盖单位章）</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法定代表人或其委托代理人：（签字</w:t>
      </w:r>
      <w:r>
        <w:rPr>
          <w:rFonts w:hint="eastAsia"/>
          <w:color w:val="000000" w:themeColor="text1"/>
          <w:sz w:val="24"/>
          <w:highlight w:val="none"/>
          <w14:textFill>
            <w14:solidFill>
              <w14:schemeClr w14:val="tx1"/>
            </w14:solidFill>
          </w14:textFill>
        </w:rPr>
        <w:t>或签章</w:t>
      </w:r>
      <w:r>
        <w:rPr>
          <w:color w:val="000000" w:themeColor="text1"/>
          <w:sz w:val="24"/>
          <w:highlight w:val="none"/>
          <w14:textFill>
            <w14:solidFill>
              <w14:schemeClr w14:val="tx1"/>
            </w14:solidFill>
          </w14:textFill>
        </w:rPr>
        <w:t>）法定代表人或其委托代理人：（签字</w:t>
      </w:r>
      <w:r>
        <w:rPr>
          <w:rFonts w:hint="eastAsia"/>
          <w:color w:val="000000" w:themeColor="text1"/>
          <w:sz w:val="24"/>
          <w:highlight w:val="none"/>
          <w14:textFill>
            <w14:solidFill>
              <w14:schemeClr w14:val="tx1"/>
            </w14:solidFill>
          </w14:textFill>
        </w:rPr>
        <w:t>或签章</w:t>
      </w:r>
      <w:r>
        <w:rPr>
          <w:color w:val="000000" w:themeColor="text1"/>
          <w:sz w:val="24"/>
          <w:highlight w:val="none"/>
          <w14:textFill>
            <w14:solidFill>
              <w14:schemeClr w14:val="tx1"/>
            </w14:solidFill>
          </w14:textFill>
        </w:rPr>
        <w:t>）</w:t>
      </w:r>
    </w:p>
    <w:p>
      <w:pPr>
        <w:spacing w:line="360" w:lineRule="auto"/>
        <w:ind w:firstLine="720" w:firstLineChars="300"/>
        <w:rPr>
          <w:color w:val="000000" w:themeColor="text1"/>
          <w:sz w:val="24"/>
          <w:highlight w:val="none"/>
          <w14:textFill>
            <w14:solidFill>
              <w14:schemeClr w14:val="tx1"/>
            </w14:solidFill>
          </w14:textFill>
        </w:rPr>
      </w:pPr>
    </w:p>
    <w:p>
      <w:pPr>
        <w:spacing w:line="360" w:lineRule="auto"/>
        <w:ind w:firstLine="1200" w:firstLineChars="5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9"/>
        <w:rPr>
          <w:color w:val="000000" w:themeColor="text1"/>
          <w:highlight w:val="none"/>
          <w14:textFill>
            <w14:solidFill>
              <w14:schemeClr w14:val="tx1"/>
            </w14:solidFill>
          </w14:textFill>
        </w:rPr>
      </w:pPr>
      <w:bookmarkStart w:id="56" w:name="_Hlk79957878"/>
      <w:r>
        <w:rPr>
          <w:rFonts w:hint="eastAsia"/>
          <w:color w:val="000000" w:themeColor="text1"/>
          <w:highlight w:val="none"/>
          <w14:textFill>
            <w14:solidFill>
              <w14:schemeClr w14:val="tx1"/>
            </w14:solidFill>
          </w14:textFill>
        </w:rPr>
        <w:t>附件二：廉政责任书</w:t>
      </w:r>
    </w:p>
    <w:p>
      <w:pPr>
        <w:pStyle w:val="194"/>
        <w:autoSpaceDE/>
        <w:autoSpaceDN/>
        <w:adjustRightInd/>
        <w:spacing w:before="240" w:after="240" w:line="490" w:lineRule="exact"/>
        <w:jc w:val="center"/>
        <w:rPr>
          <w:rFonts w:cs="Times New Roman"/>
          <w:b/>
          <w:color w:val="000000" w:themeColor="text1"/>
          <w:sz w:val="32"/>
          <w:szCs w:val="32"/>
          <w:highlight w:val="none"/>
          <w14:textFill>
            <w14:solidFill>
              <w14:schemeClr w14:val="tx1"/>
            </w14:solidFill>
          </w14:textFill>
        </w:rPr>
      </w:pPr>
      <w:r>
        <w:rPr>
          <w:rFonts w:cs="Times New Roman"/>
          <w:b/>
          <w:color w:val="000000" w:themeColor="text1"/>
          <w:sz w:val="32"/>
          <w:szCs w:val="32"/>
          <w:highlight w:val="none"/>
          <w14:textFill>
            <w14:solidFill>
              <w14:schemeClr w14:val="tx1"/>
            </w14:solidFill>
          </w14:textFill>
        </w:rPr>
        <w:t>廉政责任书（格式）</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项目名称：</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项目地址：</w:t>
      </w:r>
    </w:p>
    <w:p>
      <w:pPr>
        <w:spacing w:line="312"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发包人（甲方）：</w:t>
      </w:r>
    </w:p>
    <w:p>
      <w:pPr>
        <w:spacing w:line="312"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人（乙方）：</w:t>
      </w:r>
    </w:p>
    <w:p>
      <w:pPr>
        <w:spacing w:line="312" w:lineRule="auto"/>
        <w:ind w:firstLine="480" w:firstLineChars="200"/>
        <w:rPr>
          <w:rFonts w:ascii="宋体" w:hAnsi="宋体"/>
          <w:color w:val="000000" w:themeColor="text1"/>
          <w:sz w:val="24"/>
          <w:highlight w:val="none"/>
          <w14:textFill>
            <w14:solidFill>
              <w14:schemeClr w14:val="tx1"/>
            </w14:solidFill>
          </w14:textFill>
        </w:rPr>
      </w:pP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  甲乙双方的责任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  甲方的责任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  乙方的责任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第四条  违约责任</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themeColor="text1"/>
          <w:sz w:val="24"/>
          <w:highlight w:val="none"/>
          <w14:textFill>
            <w14:solidFill>
              <w14:schemeClr w14:val="tx1"/>
            </w14:solidFill>
          </w14:textFill>
        </w:rPr>
      </w:pP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r>
        <w:rPr>
          <w:rFonts w:hint="eastAsia" w:hAnsi="宋体" w:cs="Times New Roman"/>
          <w:color w:val="000000" w:themeColor="text1"/>
          <w:highlight w:val="none"/>
          <w14:textFill>
            <w14:solidFill>
              <w14:schemeClr w14:val="tx1"/>
            </w14:solidFill>
          </w14:textFill>
        </w:rPr>
        <w:t>委托人</w:t>
      </w:r>
      <w:r>
        <w:rPr>
          <w:rFonts w:hAnsi="宋体" w:cs="Times New Roman"/>
          <w:color w:val="000000" w:themeColor="text1"/>
          <w:highlight w:val="none"/>
          <w14:textFill>
            <w14:solidFill>
              <w14:schemeClr w14:val="tx1"/>
            </w14:solidFill>
          </w14:textFill>
        </w:rPr>
        <w:t>：</w:t>
      </w:r>
      <w:r>
        <w:rPr>
          <w:rFonts w:hAnsi="宋体" w:cs="Times New Roman"/>
          <w:color w:val="000000" w:themeColor="text1"/>
          <w:highlight w:val="none"/>
          <w:u w:val="single"/>
          <w14:textFill>
            <w14:solidFill>
              <w14:schemeClr w14:val="tx1"/>
            </w14:solidFill>
          </w14:textFill>
        </w:rPr>
        <w:t xml:space="preserve">      （盖单位公章）  </w:t>
      </w:r>
      <w:r>
        <w:rPr>
          <w:rFonts w:hint="eastAsia" w:hAnsi="宋体" w:cs="Times New Roman"/>
          <w:color w:val="000000" w:themeColor="text1"/>
          <w:highlight w:val="none"/>
          <w14:textFill>
            <w14:solidFill>
              <w14:schemeClr w14:val="tx1"/>
            </w14:solidFill>
          </w14:textFill>
        </w:rPr>
        <w:t>服务</w:t>
      </w:r>
      <w:r>
        <w:rPr>
          <w:rFonts w:hAnsi="宋体" w:cs="Times New Roman"/>
          <w:color w:val="000000" w:themeColor="text1"/>
          <w:highlight w:val="none"/>
          <w14:textFill>
            <w14:solidFill>
              <w14:schemeClr w14:val="tx1"/>
            </w14:solidFill>
          </w14:textFill>
        </w:rPr>
        <w:t>人：</w:t>
      </w:r>
      <w:r>
        <w:rPr>
          <w:rFonts w:hAnsi="宋体" w:cs="Times New Roman"/>
          <w:color w:val="000000" w:themeColor="text1"/>
          <w:highlight w:val="none"/>
          <w:u w:val="single"/>
          <w14:textFill>
            <w14:solidFill>
              <w14:schemeClr w14:val="tx1"/>
            </w14:solidFill>
          </w14:textFill>
        </w:rPr>
        <w:t xml:space="preserve">    （盖单位公章）   </w:t>
      </w: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p>
    <w:p>
      <w:pPr>
        <w:pStyle w:val="195"/>
        <w:autoSpaceDE/>
        <w:autoSpaceDN/>
        <w:adjustRightInd/>
        <w:spacing w:line="312" w:lineRule="auto"/>
        <w:jc w:val="both"/>
        <w:rPr>
          <w:rFonts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法定代表人或其委托代理人</w:t>
      </w:r>
      <w:r>
        <w:rPr>
          <w:rFonts w:hint="eastAsia" w:hAnsi="宋体" w:cs="Times New Roman"/>
          <w:color w:val="000000" w:themeColor="text1"/>
          <w:highlight w:val="none"/>
          <w14:textFill>
            <w14:solidFill>
              <w14:schemeClr w14:val="tx1"/>
            </w14:solidFill>
          </w14:textFill>
        </w:rPr>
        <w:t>:</w:t>
      </w:r>
      <w:r>
        <w:rPr>
          <w:rFonts w:hAnsi="宋体" w:cs="Times New Roman"/>
          <w:color w:val="000000" w:themeColor="text1"/>
          <w:highlight w:val="none"/>
          <w:u w:val="single"/>
          <w14:textFill>
            <w14:solidFill>
              <w14:schemeClr w14:val="tx1"/>
            </w14:solidFill>
          </w14:textFill>
        </w:rPr>
        <w:t>（签字</w:t>
      </w:r>
      <w:r>
        <w:rPr>
          <w:rFonts w:hint="eastAsia" w:hAnsi="宋体" w:cs="Times New Roman"/>
          <w:color w:val="000000" w:themeColor="text1"/>
          <w:highlight w:val="none"/>
          <w:u w:val="single"/>
          <w14:textFill>
            <w14:solidFill>
              <w14:schemeClr w14:val="tx1"/>
            </w14:solidFill>
          </w14:textFill>
        </w:rPr>
        <w:t>或签章</w:t>
      </w:r>
      <w:r>
        <w:rPr>
          <w:rFonts w:hAnsi="宋体" w:cs="Times New Roman"/>
          <w:color w:val="000000" w:themeColor="text1"/>
          <w:highlight w:val="none"/>
          <w:u w:val="single"/>
          <w14:textFill>
            <w14:solidFill>
              <w14:schemeClr w14:val="tx1"/>
            </w14:solidFill>
          </w14:textFill>
        </w:rPr>
        <w:t>）</w:t>
      </w:r>
      <w:r>
        <w:rPr>
          <w:rFonts w:hint="eastAsia" w:hAnsi="宋体" w:cs="Times New Roman"/>
          <w:color w:val="000000" w:themeColor="text1"/>
          <w:highlight w:val="none"/>
          <w14:textFill>
            <w14:solidFill>
              <w14:schemeClr w14:val="tx1"/>
            </w14:solidFill>
          </w14:textFill>
        </w:rPr>
        <w:t>法</w:t>
      </w:r>
      <w:r>
        <w:rPr>
          <w:rFonts w:hAnsi="宋体" w:cs="Times New Roman"/>
          <w:color w:val="000000" w:themeColor="text1"/>
          <w:highlight w:val="none"/>
          <w14:textFill>
            <w14:solidFill>
              <w14:schemeClr w14:val="tx1"/>
            </w14:solidFill>
          </w14:textFill>
        </w:rPr>
        <w:t>定代表人或其委托代理人：</w:t>
      </w:r>
      <w:r>
        <w:rPr>
          <w:rFonts w:hAnsi="宋体" w:cs="Times New Roman"/>
          <w:color w:val="000000" w:themeColor="text1"/>
          <w:highlight w:val="none"/>
          <w:u w:val="single"/>
          <w14:textFill>
            <w14:solidFill>
              <w14:schemeClr w14:val="tx1"/>
            </w14:solidFill>
          </w14:textFill>
        </w:rPr>
        <w:t xml:space="preserve">  （签字</w:t>
      </w:r>
      <w:r>
        <w:rPr>
          <w:rFonts w:hint="eastAsia" w:hAnsi="宋体" w:cs="Times New Roman"/>
          <w:color w:val="000000" w:themeColor="text1"/>
          <w:highlight w:val="none"/>
          <w:u w:val="single"/>
          <w14:textFill>
            <w14:solidFill>
              <w14:schemeClr w14:val="tx1"/>
            </w14:solidFill>
          </w14:textFill>
        </w:rPr>
        <w:t>或签章</w:t>
      </w:r>
      <w:r>
        <w:rPr>
          <w:rFonts w:hAnsi="宋体" w:cs="Times New Roman"/>
          <w:color w:val="000000" w:themeColor="text1"/>
          <w:highlight w:val="none"/>
          <w:u w:val="single"/>
          <w14:textFill>
            <w14:solidFill>
              <w14:schemeClr w14:val="tx1"/>
            </w14:solidFill>
          </w14:textFill>
        </w:rPr>
        <w:t xml:space="preserve">）  </w:t>
      </w:r>
      <w:bookmarkEnd w:id="56"/>
    </w:p>
    <w:p>
      <w:pPr>
        <w:spacing w:line="600" w:lineRule="exact"/>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第五章  采购需求</w:t>
      </w:r>
    </w:p>
    <w:p>
      <w:pPr>
        <w:adjustRightInd w:val="0"/>
        <w:snapToGrid w:val="0"/>
        <w:spacing w:line="312" w:lineRule="auto"/>
        <w:rPr>
          <w:rFonts w:ascii="宋体" w:hAnsi="宋体"/>
          <w:b/>
          <w:color w:val="000000" w:themeColor="text1"/>
          <w:sz w:val="24"/>
          <w:highlight w:val="none"/>
          <w14:textFill>
            <w14:solidFill>
              <w14:schemeClr w14:val="tx1"/>
            </w14:solidFill>
          </w14:textFill>
        </w:rPr>
      </w:pPr>
    </w:p>
    <w:p>
      <w:pPr>
        <w:spacing w:line="400" w:lineRule="exact"/>
        <w:ind w:firstLine="482" w:firstLineChars="200"/>
        <w:jc w:val="both"/>
        <w:rPr>
          <w:rFonts w:ascii="宋体" w:hAnsi="宋体" w:cs="宋体"/>
          <w:b/>
          <w:color w:val="000000" w:themeColor="text1"/>
          <w:sz w:val="24"/>
          <w:highlight w:val="none"/>
          <w14:textFill>
            <w14:solidFill>
              <w14:schemeClr w14:val="tx1"/>
            </w14:solidFill>
          </w14:textFill>
        </w:rPr>
      </w:pPr>
      <w:bookmarkStart w:id="57" w:name="_Toc505337986"/>
      <w:r>
        <w:rPr>
          <w:rFonts w:hint="eastAsia" w:ascii="宋体" w:hAnsi="宋体" w:cs="宋体"/>
          <w:b/>
          <w:color w:val="000000" w:themeColor="text1"/>
          <w:sz w:val="24"/>
          <w:highlight w:val="none"/>
          <w14:textFill>
            <w14:solidFill>
              <w14:schemeClr w14:val="tx1"/>
            </w14:solidFill>
          </w14:textFill>
        </w:rPr>
        <w:t>1. 项目概况</w:t>
      </w:r>
    </w:p>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（1）项目名称：</w:t>
      </w:r>
      <w:r>
        <w:rPr>
          <w:rFonts w:hint="eastAsia" w:ascii="宋体" w:hAnsi="宋体" w:cs="宋体"/>
          <w:color w:val="000000" w:themeColor="text1"/>
          <w:sz w:val="24"/>
          <w:highlight w:val="none"/>
          <w14:textFill>
            <w14:solidFill>
              <w14:schemeClr w14:val="tx1"/>
            </w14:solidFill>
          </w14:textFill>
        </w:rPr>
        <w:t>岳阳港道仁矶码头工程航道调整及航标配布方案编制服务</w:t>
      </w:r>
    </w:p>
    <w:p>
      <w:pPr>
        <w:spacing w:line="400" w:lineRule="exact"/>
        <w:ind w:firstLine="480" w:firstLineChars="200"/>
        <w:jc w:val="both"/>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（2）建设单位：</w:t>
      </w:r>
      <w:r>
        <w:rPr>
          <w:rFonts w:hint="eastAsia" w:ascii="宋体" w:hAnsi="宋体"/>
          <w:color w:val="000000" w:themeColor="text1"/>
          <w:sz w:val="24"/>
          <w:highlight w:val="none"/>
          <w14:textFill>
            <w14:solidFill>
              <w14:schemeClr w14:val="tx1"/>
            </w14:solidFill>
          </w14:textFill>
        </w:rPr>
        <w:t>岳阳塔市驿港物流有限公司</w:t>
      </w:r>
    </w:p>
    <w:p>
      <w:pPr>
        <w:pStyle w:val="14"/>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（3）建设规模：</w:t>
      </w:r>
      <w:permStart w:id="54" w:edGrp="everyone"/>
      <w:r>
        <w:rPr>
          <w:rFonts w:hint="eastAsia" w:ascii="宋体" w:hAnsi="宋体"/>
          <w:color w:val="000000" w:themeColor="text1"/>
          <w:sz w:val="24"/>
          <w:highlight w:val="none"/>
          <w14:textFill>
            <w14:solidFill>
              <w14:schemeClr w14:val="tx1"/>
            </w14:solidFill>
          </w14:textFill>
        </w:rPr>
        <w:t>拟建工程位于湖南省岳阳市云溪区道仁矶镇，荆岳长江大桥上游约1.5km 的长江右岸，工程距城陵矶约 12km，工程河段为长江中游杨林岩水道中段，港址处中游航道里程约为 219.3~220.1km。本工程拟建 6 个 5000 吨级散货泊位（其中水工结构按 10000 吨级船舶靠泊能力设计），其中一个泊位兼顾装卸防汛物资功能。货物年吞吐量为 1660 万吨，其中散货进口 1050 万吨/年，散货出口 600 万吨/年，防汛物资 10 万吨/年，码头设计通过能力 1881.4 万吨/年。</w:t>
      </w:r>
    </w:p>
    <w:permEnd w:id="54"/>
    <w:p>
      <w:pPr>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（4）项目地理位置：华容</w:t>
      </w:r>
    </w:p>
    <w:bookmarkEnd w:id="57"/>
    <w:p>
      <w:pPr>
        <w:adjustRightInd w:val="0"/>
        <w:snapToGrid w:val="0"/>
        <w:spacing w:line="312" w:lineRule="auto"/>
        <w:ind w:firstLine="482" w:firstLineChars="200"/>
        <w:rPr>
          <w:rFonts w:ascii="宋体" w:hAnsi="宋体"/>
          <w:b/>
          <w:color w:val="000000" w:themeColor="text1"/>
          <w:sz w:val="24"/>
          <w:highlight w:val="none"/>
          <w14:textFill>
            <w14:solidFill>
              <w14:schemeClr w14:val="tx1"/>
            </w14:solidFill>
          </w14:textFill>
        </w:rPr>
      </w:pPr>
      <w:bookmarkStart w:id="58" w:name="_Toc505337988"/>
    </w:p>
    <w:p>
      <w:pPr>
        <w:adjustRightInd w:val="0"/>
        <w:snapToGrid w:val="0"/>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bookmarkEnd w:id="58"/>
      <w:bookmarkStart w:id="59" w:name="_Toc505337995"/>
      <w:r>
        <w:rPr>
          <w:rFonts w:hint="eastAsia" w:ascii="宋体" w:hAnsi="宋体"/>
          <w:b/>
          <w:color w:val="000000" w:themeColor="text1"/>
          <w:sz w:val="24"/>
          <w:highlight w:val="none"/>
          <w14:textFill>
            <w14:solidFill>
              <w14:schemeClr w14:val="tx1"/>
            </w14:solidFill>
          </w14:textFill>
        </w:rPr>
        <w:t>服务</w:t>
      </w:r>
      <w:bookmarkEnd w:id="59"/>
      <w:r>
        <w:rPr>
          <w:rFonts w:hint="eastAsia" w:ascii="宋体" w:hAnsi="宋体"/>
          <w:b/>
          <w:color w:val="000000" w:themeColor="text1"/>
          <w:sz w:val="24"/>
          <w:highlight w:val="none"/>
          <w14:textFill>
            <w14:solidFill>
              <w14:schemeClr w14:val="tx1"/>
            </w14:solidFill>
          </w14:textFill>
        </w:rPr>
        <w:t>内容及要求</w:t>
      </w:r>
    </w:p>
    <w:p>
      <w:pPr>
        <w:spacing w:line="400" w:lineRule="exact"/>
        <w:ind w:firstLine="480"/>
        <w:rPr>
          <w:rFonts w:ascii="宋体" w:hAnsi="宋体" w:cs="宋体"/>
          <w:bCs/>
          <w:color w:val="000000" w:themeColor="text1"/>
          <w:sz w:val="24"/>
          <w:highlight w:val="none"/>
          <w14:textFill>
            <w14:solidFill>
              <w14:schemeClr w14:val="tx1"/>
            </w14:solidFill>
          </w14:textFill>
        </w:rPr>
      </w:pPr>
      <w:bookmarkStart w:id="60" w:name="_Toc341805317"/>
      <w:bookmarkStart w:id="61" w:name="_Toc286759124"/>
      <w:bookmarkStart w:id="62" w:name="_Toc336172266"/>
      <w:bookmarkStart w:id="63" w:name="_Toc330384480"/>
      <w:bookmarkStart w:id="64" w:name="_Toc356567995"/>
      <w:bookmarkStart w:id="65" w:name="_Toc386203977"/>
      <w:bookmarkStart w:id="66" w:name="_Toc341015692"/>
      <w:bookmarkStart w:id="67" w:name="_Toc370943574"/>
      <w:bookmarkStart w:id="68" w:name="_Toc307991221"/>
      <w:bookmarkStart w:id="69" w:name="_Toc283558782"/>
      <w:bookmarkStart w:id="70" w:name="_Toc283559279"/>
      <w:bookmarkStart w:id="71" w:name="_Toc413275028"/>
      <w:bookmarkStart w:id="72" w:name="_Toc413275457"/>
      <w:r>
        <w:rPr>
          <w:rFonts w:hint="eastAsia" w:ascii="宋体" w:hAnsi="宋体" w:cs="宋体"/>
          <w:bCs/>
          <w:color w:val="000000" w:themeColor="text1"/>
          <w:sz w:val="24"/>
          <w:highlight w:val="none"/>
          <w14:textFill>
            <w14:solidFill>
              <w14:schemeClr w14:val="tx1"/>
            </w14:solidFill>
          </w14:textFill>
        </w:rPr>
        <w:t>（1）内容：报价人应按国家、地方以及相关主管部门有关规定、技术规范和要求进行编制工作。并需承担深化报告及因特邀专家审查而出现的修改工作；根据招标人、特邀专家、行业主管部门的评审意见修改、补充和完善相关报告。</w:t>
      </w:r>
    </w:p>
    <w:p>
      <w:pPr>
        <w:spacing w:line="400" w:lineRule="exact"/>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要求：本项目按国家、地方以及相关主管部门有关规定、技术规范和要求进行编制工作；报告编制的技术和深度必须满足行业主管部门组织的专家评审会评审的要求，确保通过评审。在报告编制过程中，应严格执行国家的各项法律法规和政策，如果国家或者有关部门颁发了新的技术标准或规范，则编制单位应采用新的标准或规范。</w:t>
      </w:r>
      <w:bookmarkEnd w:id="60"/>
      <w:bookmarkEnd w:id="61"/>
      <w:bookmarkEnd w:id="62"/>
      <w:bookmarkEnd w:id="63"/>
      <w:bookmarkEnd w:id="64"/>
      <w:bookmarkEnd w:id="65"/>
      <w:bookmarkEnd w:id="66"/>
      <w:bookmarkEnd w:id="67"/>
      <w:bookmarkEnd w:id="68"/>
      <w:bookmarkEnd w:id="69"/>
      <w:bookmarkEnd w:id="70"/>
      <w:bookmarkEnd w:id="71"/>
      <w:bookmarkEnd w:id="72"/>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12" w:lineRule="auto"/>
        <w:jc w:val="center"/>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第六章  响应文件格式</w:t>
      </w: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ascii="仿宋" w:hAnsi="仿宋" w:eastAsia="仿宋" w:cs="仿宋"/>
          <w:color w:val="000000" w:themeColor="text1"/>
          <w:sz w:val="30"/>
          <w:szCs w:val="30"/>
          <w:highlight w:val="none"/>
          <w14:textFill>
            <w14:solidFill>
              <w14:schemeClr w14:val="tx1"/>
            </w14:solidFill>
          </w14:textFill>
        </w:rPr>
      </w:pPr>
    </w:p>
    <w:p>
      <w:pPr>
        <w:jc w:val="center"/>
        <w:rPr>
          <w:rFonts w:eastAsia="方正小标宋_GBK"/>
          <w:b/>
          <w:bCs/>
          <w:color w:val="000000" w:themeColor="text1"/>
          <w:sz w:val="40"/>
          <w:szCs w:val="36"/>
          <w:highlight w:val="none"/>
          <w14:textFill>
            <w14:solidFill>
              <w14:schemeClr w14:val="tx1"/>
            </w14:solidFill>
          </w14:textFill>
        </w:rPr>
      </w:pPr>
      <w:r>
        <w:rPr>
          <w:rFonts w:hint="eastAsia" w:eastAsia="方正小标宋_GBK"/>
          <w:bCs/>
          <w:color w:val="000000" w:themeColor="text1"/>
          <w:sz w:val="48"/>
          <w:szCs w:val="44"/>
          <w:highlight w:val="none"/>
          <w:u w:val="single"/>
          <w14:textFill>
            <w14:solidFill>
              <w14:schemeClr w14:val="tx1"/>
            </w14:solidFill>
          </w14:textFill>
        </w:rPr>
        <w:t xml:space="preserve">       </w:t>
      </w:r>
      <w:r>
        <w:rPr>
          <w:rFonts w:eastAsia="方正小标宋_GBK"/>
          <w:bCs/>
          <w:color w:val="000000" w:themeColor="text1"/>
          <w:sz w:val="48"/>
          <w:szCs w:val="44"/>
          <w:highlight w:val="none"/>
          <w:u w:val="single"/>
          <w14:textFill>
            <w14:solidFill>
              <w14:schemeClr w14:val="tx1"/>
            </w14:solidFill>
          </w14:textFill>
        </w:rPr>
        <w:t xml:space="preserve">            </w:t>
      </w:r>
      <w:r>
        <w:rPr>
          <w:rFonts w:hint="eastAsia" w:eastAsia="方正小标宋_GBK"/>
          <w:b/>
          <w:bCs/>
          <w:color w:val="000000" w:themeColor="text1"/>
          <w:sz w:val="40"/>
          <w:szCs w:val="36"/>
          <w:highlight w:val="none"/>
          <w14:textFill>
            <w14:solidFill>
              <w14:schemeClr w14:val="tx1"/>
            </w14:solidFill>
          </w14:textFill>
        </w:rPr>
        <w:t>项目</w:t>
      </w:r>
    </w:p>
    <w:p>
      <w:pPr>
        <w:widowControl w:val="0"/>
        <w:spacing w:before="240" w:beforeLines="100" w:after="240" w:afterLines="100" w:line="240" w:lineRule="auto"/>
        <w:jc w:val="center"/>
        <w:rPr>
          <w:rFonts w:eastAsia="楷体_GB2312"/>
          <w:b/>
          <w:bCs/>
          <w:color w:val="000000" w:themeColor="text1"/>
          <w:sz w:val="28"/>
          <w:szCs w:val="28"/>
          <w:highlight w:val="none"/>
          <w14:textFill>
            <w14:solidFill>
              <w14:schemeClr w14:val="tx1"/>
            </w14:solidFill>
          </w14:textFill>
        </w:rPr>
      </w:pPr>
      <w:r>
        <w:rPr>
          <w:rFonts w:eastAsia="楷体_GB2312"/>
          <w:b/>
          <w:bCs/>
          <w:color w:val="000000" w:themeColor="text1"/>
          <w:sz w:val="28"/>
          <w:szCs w:val="28"/>
          <w:highlight w:val="none"/>
          <w14:textFill>
            <w14:solidFill>
              <w14:schemeClr w14:val="tx1"/>
            </w14:solidFill>
          </w14:textFill>
        </w:rPr>
        <w:t>（项目</w:t>
      </w:r>
      <w:r>
        <w:rPr>
          <w:rFonts w:hint="eastAsia" w:eastAsia="楷体_GB2312"/>
          <w:b/>
          <w:bCs/>
          <w:color w:val="000000" w:themeColor="text1"/>
          <w:sz w:val="28"/>
          <w:szCs w:val="28"/>
          <w:highlight w:val="none"/>
          <w14:textFill>
            <w14:solidFill>
              <w14:schemeClr w14:val="tx1"/>
            </w14:solidFill>
          </w14:textFill>
        </w:rPr>
        <w:t>采购</w:t>
      </w:r>
      <w:r>
        <w:rPr>
          <w:rFonts w:eastAsia="楷体_GB2312"/>
          <w:b/>
          <w:bCs/>
          <w:color w:val="000000" w:themeColor="text1"/>
          <w:sz w:val="28"/>
          <w:szCs w:val="28"/>
          <w:highlight w:val="none"/>
          <w14:textFill>
            <w14:solidFill>
              <w14:schemeClr w14:val="tx1"/>
            </w14:solidFill>
          </w14:textFill>
        </w:rPr>
        <w:t>编号：</w:t>
      </w:r>
      <w:r>
        <w:rPr>
          <w:rFonts w:eastAsia="楷体_GB2312"/>
          <w:b/>
          <w:bCs/>
          <w:color w:val="000000" w:themeColor="text1"/>
          <w:sz w:val="28"/>
          <w:szCs w:val="28"/>
          <w:highlight w:val="none"/>
          <w:u w:val="single"/>
          <w14:textFill>
            <w14:solidFill>
              <w14:schemeClr w14:val="tx1"/>
            </w14:solidFill>
          </w14:textFill>
        </w:rPr>
        <w:t xml:space="preserve">   </w:t>
      </w:r>
      <w:r>
        <w:rPr>
          <w:rFonts w:hint="eastAsia" w:eastAsia="楷体_GB2312"/>
          <w:b/>
          <w:bCs/>
          <w:color w:val="000000" w:themeColor="text1"/>
          <w:sz w:val="28"/>
          <w:szCs w:val="28"/>
          <w:highlight w:val="none"/>
          <w:u w:val="single"/>
          <w14:textFill>
            <w14:solidFill>
              <w14:schemeClr w14:val="tx1"/>
            </w14:solidFill>
          </w14:textFill>
        </w:rPr>
        <w:t>填入项目采购编号</w:t>
      </w:r>
      <w:r>
        <w:rPr>
          <w:rFonts w:eastAsia="楷体_GB2312"/>
          <w:b/>
          <w:bCs/>
          <w:color w:val="000000" w:themeColor="text1"/>
          <w:sz w:val="28"/>
          <w:szCs w:val="28"/>
          <w:highlight w:val="none"/>
          <w:u w:val="single"/>
          <w14:textFill>
            <w14:solidFill>
              <w14:schemeClr w14:val="tx1"/>
            </w14:solidFill>
          </w14:textFill>
        </w:rPr>
        <w:t xml:space="preserve">     </w:t>
      </w:r>
      <w:r>
        <w:rPr>
          <w:rFonts w:eastAsia="楷体_GB2312"/>
          <w:b/>
          <w:bCs/>
          <w:color w:val="000000" w:themeColor="text1"/>
          <w:sz w:val="28"/>
          <w:szCs w:val="28"/>
          <w:highlight w:val="none"/>
          <w14:textFill>
            <w14:solidFill>
              <w14:schemeClr w14:val="tx1"/>
            </w14:solidFill>
          </w14:textFill>
        </w:rPr>
        <w:t>）</w:t>
      </w:r>
    </w:p>
    <w:p>
      <w:pPr>
        <w:widowControl w:val="0"/>
        <w:adjustRightInd w:val="0"/>
        <w:snapToGrid w:val="0"/>
        <w:rPr>
          <w:b/>
          <w:color w:val="000000" w:themeColor="text1"/>
          <w:highlight w:val="none"/>
          <w14:textFill>
            <w14:solidFill>
              <w14:schemeClr w14:val="tx1"/>
            </w14:solidFill>
          </w14:textFill>
        </w:rPr>
      </w:pPr>
    </w:p>
    <w:p>
      <w:pPr>
        <w:spacing w:line="288" w:lineRule="auto"/>
        <w:jc w:val="both"/>
        <w:rPr>
          <w:rFonts w:eastAsia="方正小标宋_GBK"/>
          <w:b/>
          <w:bCs/>
          <w:color w:val="000000" w:themeColor="text1"/>
          <w:spacing w:val="160"/>
          <w:sz w:val="72"/>
          <w:szCs w:val="72"/>
          <w:highlight w:val="none"/>
          <w14:textFill>
            <w14:solidFill>
              <w14:schemeClr w14:val="tx1"/>
            </w14:solidFill>
          </w14:textFill>
        </w:rPr>
      </w:pPr>
    </w:p>
    <w:p>
      <w:pPr>
        <w:spacing w:line="288" w:lineRule="auto"/>
        <w:jc w:val="center"/>
        <w:rPr>
          <w:rFonts w:eastAsia="方正小标宋_GBK"/>
          <w:b/>
          <w:bCs/>
          <w:color w:val="000000" w:themeColor="text1"/>
          <w:spacing w:val="160"/>
          <w:sz w:val="72"/>
          <w:szCs w:val="72"/>
          <w:highlight w:val="none"/>
          <w14:textFill>
            <w14:solidFill>
              <w14:schemeClr w14:val="tx1"/>
            </w14:solidFill>
          </w14:textFill>
        </w:rPr>
      </w:pPr>
    </w:p>
    <w:p>
      <w:pPr>
        <w:spacing w:line="288" w:lineRule="auto"/>
        <w:jc w:val="center"/>
        <w:rPr>
          <w:rFonts w:eastAsia="方正小标宋_GBK"/>
          <w:b/>
          <w:bCs/>
          <w:color w:val="000000" w:themeColor="text1"/>
          <w:spacing w:val="160"/>
          <w:sz w:val="72"/>
          <w:szCs w:val="72"/>
          <w:highlight w:val="none"/>
          <w14:textFill>
            <w14:solidFill>
              <w14:schemeClr w14:val="tx1"/>
            </w14:solidFill>
          </w14:textFill>
        </w:rPr>
      </w:pPr>
      <w:r>
        <w:rPr>
          <w:rFonts w:hint="eastAsia" w:eastAsia="方正小标宋_GBK"/>
          <w:b/>
          <w:bCs/>
          <w:color w:val="000000" w:themeColor="text1"/>
          <w:spacing w:val="160"/>
          <w:sz w:val="72"/>
          <w:szCs w:val="72"/>
          <w:highlight w:val="none"/>
          <w14:textFill>
            <w14:solidFill>
              <w14:schemeClr w14:val="tx1"/>
            </w14:solidFill>
          </w14:textFill>
        </w:rPr>
        <w:t>响应</w:t>
      </w:r>
      <w:r>
        <w:rPr>
          <w:rFonts w:eastAsia="方正小标宋_GBK"/>
          <w:b/>
          <w:bCs/>
          <w:color w:val="000000" w:themeColor="text1"/>
          <w:spacing w:val="160"/>
          <w:sz w:val="72"/>
          <w:szCs w:val="72"/>
          <w:highlight w:val="none"/>
          <w14:textFill>
            <w14:solidFill>
              <w14:schemeClr w14:val="tx1"/>
            </w14:solidFill>
          </w14:textFill>
        </w:rPr>
        <w:t>文件</w:t>
      </w:r>
    </w:p>
    <w:p>
      <w:pPr>
        <w:widowControl w:val="0"/>
        <w:spacing w:before="240" w:beforeLines="100" w:after="240" w:afterLines="100" w:line="240" w:lineRule="auto"/>
        <w:jc w:val="center"/>
        <w:rPr>
          <w:rFonts w:eastAsia="楷体_GB2312"/>
          <w:b/>
          <w:bCs/>
          <w:color w:val="000000" w:themeColor="text1"/>
          <w:sz w:val="28"/>
          <w:szCs w:val="28"/>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288" w:lineRule="auto"/>
        <w:rPr>
          <w:color w:val="000000" w:themeColor="text1"/>
          <w:sz w:val="26"/>
          <w:szCs w:val="26"/>
          <w:highlight w:val="none"/>
          <w14:textFill>
            <w14:solidFill>
              <w14:schemeClr w14:val="tx1"/>
            </w14:solidFill>
          </w14:textFill>
        </w:rPr>
      </w:pPr>
    </w:p>
    <w:p>
      <w:pPr>
        <w:spacing w:line="900" w:lineRule="exact"/>
        <w:jc w:val="center"/>
        <w:rPr>
          <w:rFonts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供应商</w:t>
      </w:r>
      <w:r>
        <w:rPr>
          <w:rFonts w:eastAsia="黑体"/>
          <w:bCs/>
          <w:color w:val="000000" w:themeColor="text1"/>
          <w:sz w:val="30"/>
          <w:szCs w:val="30"/>
          <w:highlight w:val="none"/>
          <w14:textFill>
            <w14:solidFill>
              <w14:schemeClr w14:val="tx1"/>
            </w14:solidFill>
          </w14:textFill>
        </w:rPr>
        <w:t>：</w:t>
      </w:r>
      <w:r>
        <w:rPr>
          <w:rFonts w:hint="eastAsia" w:eastAsia="黑体"/>
          <w:bCs/>
          <w:color w:val="000000" w:themeColor="text1"/>
          <w:sz w:val="30"/>
          <w:szCs w:val="30"/>
          <w:highlight w:val="none"/>
          <w:u w:val="single"/>
          <w14:textFill>
            <w14:solidFill>
              <w14:schemeClr w14:val="tx1"/>
            </w14:solidFill>
          </w14:textFill>
        </w:rPr>
        <w:t>供应商</w:t>
      </w:r>
      <w:r>
        <w:rPr>
          <w:rFonts w:eastAsia="黑体"/>
          <w:bCs/>
          <w:color w:val="000000" w:themeColor="text1"/>
          <w:sz w:val="30"/>
          <w:szCs w:val="30"/>
          <w:highlight w:val="none"/>
          <w:u w:val="single"/>
          <w14:textFill>
            <w14:solidFill>
              <w14:schemeClr w14:val="tx1"/>
            </w14:solidFill>
          </w14:textFill>
        </w:rPr>
        <w:t>全称并盖单位公章</w:t>
      </w:r>
    </w:p>
    <w:p>
      <w:pPr>
        <w:spacing w:line="900" w:lineRule="exa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日期：</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年</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月</w:t>
      </w:r>
      <w:r>
        <w:rPr>
          <w:rFonts w:hint="eastAsia" w:eastAsia="黑体"/>
          <w:color w:val="000000" w:themeColor="text1"/>
          <w:sz w:val="30"/>
          <w:szCs w:val="30"/>
          <w:highlight w:val="none"/>
          <w:lang w:val="en-US" w:eastAsia="zh-CN"/>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日</w:t>
      </w:r>
    </w:p>
    <w:p>
      <w:pPr>
        <w:adjustRightInd w:val="0"/>
        <w:snapToGrid w:val="0"/>
        <w:spacing w:line="600" w:lineRule="exact"/>
        <w:jc w:val="center"/>
        <w:rPr>
          <w:rFonts w:hint="eastAsia" w:ascii="黑体" w:hAnsi="黑体" w:eastAsia="黑体" w:cs="仿宋"/>
          <w:color w:val="000000" w:themeColor="text1"/>
          <w:sz w:val="36"/>
          <w:szCs w:val="36"/>
          <w:highlight w:val="none"/>
          <w14:textFill>
            <w14:solidFill>
              <w14:schemeClr w14:val="tx1"/>
            </w14:solidFill>
          </w14:textFill>
        </w:rPr>
      </w:pPr>
      <w:permStart w:id="55" w:edGrp="everyone"/>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目 录</w:t>
      </w:r>
    </w:p>
    <w:p>
      <w:pPr>
        <w:adjustRightInd w:val="0"/>
        <w:snapToGrid w:val="0"/>
        <w:spacing w:line="600" w:lineRule="exact"/>
        <w:jc w:val="both"/>
        <w:rPr>
          <w:rFonts w:ascii="宋体" w:hAnsi="宋体" w:cs="仿宋"/>
          <w:color w:val="000000" w:themeColor="text1"/>
          <w:sz w:val="36"/>
          <w:szCs w:val="36"/>
          <w:highlight w:val="none"/>
          <w14:textFill>
            <w14:solidFill>
              <w14:schemeClr w14:val="tx1"/>
            </w14:solidFill>
          </w14:textFill>
        </w:rPr>
      </w:pP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一、响应函</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二、授权委托书(适用于有委托代理人的情况)</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三</w:t>
      </w:r>
      <w:r>
        <w:rPr>
          <w:rFonts w:hint="eastAsia" w:ascii="宋体" w:hAnsi="宋体" w:cs="仿宋"/>
          <w:color w:val="000000" w:themeColor="text1"/>
          <w:sz w:val="24"/>
          <w:highlight w:val="none"/>
          <w14:textFill>
            <w14:solidFill>
              <w14:schemeClr w14:val="tx1"/>
            </w14:solidFill>
          </w14:textFill>
        </w:rPr>
        <w:t>、商务和技术偏差表</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四</w:t>
      </w:r>
      <w:r>
        <w:rPr>
          <w:rFonts w:hint="eastAsia" w:ascii="宋体" w:hAnsi="宋体" w:cs="仿宋"/>
          <w:color w:val="000000" w:themeColor="text1"/>
          <w:sz w:val="24"/>
          <w:highlight w:val="none"/>
          <w14:textFill>
            <w14:solidFill>
              <w14:schemeClr w14:val="tx1"/>
            </w14:solidFill>
          </w14:textFill>
        </w:rPr>
        <w:t>、报价表</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五</w:t>
      </w:r>
      <w:r>
        <w:rPr>
          <w:rFonts w:hint="eastAsia" w:ascii="宋体" w:hAnsi="宋体" w:cs="仿宋"/>
          <w:color w:val="000000" w:themeColor="text1"/>
          <w:sz w:val="24"/>
          <w:highlight w:val="none"/>
          <w14:textFill>
            <w14:solidFill>
              <w14:schemeClr w14:val="tx1"/>
            </w14:solidFill>
          </w14:textFill>
        </w:rPr>
        <w:t>、资格审查资料</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六</w:t>
      </w:r>
      <w:r>
        <w:rPr>
          <w:rFonts w:hint="eastAsia" w:ascii="宋体" w:hAnsi="宋体" w:cs="仿宋"/>
          <w:color w:val="000000" w:themeColor="text1"/>
          <w:sz w:val="24"/>
          <w:highlight w:val="none"/>
          <w14:textFill>
            <w14:solidFill>
              <w14:schemeClr w14:val="tx1"/>
            </w14:solidFill>
          </w14:textFill>
        </w:rPr>
        <w:t>、响应方案</w:t>
      </w:r>
    </w:p>
    <w:p>
      <w:pPr>
        <w:adjustRightInd w:val="0"/>
        <w:snapToGrid w:val="0"/>
        <w:spacing w:line="600" w:lineRule="exact"/>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七</w:t>
      </w:r>
      <w:r>
        <w:rPr>
          <w:rFonts w:hint="eastAsia" w:ascii="宋体" w:hAnsi="宋体" w:cs="仿宋"/>
          <w:color w:val="000000" w:themeColor="text1"/>
          <w:sz w:val="24"/>
          <w:highlight w:val="none"/>
          <w14:textFill>
            <w14:solidFill>
              <w14:schemeClr w14:val="tx1"/>
            </w14:solidFill>
          </w14:textFill>
        </w:rPr>
        <w:t>、其他资料</w:t>
      </w:r>
    </w:p>
    <w:p>
      <w:pPr>
        <w:spacing w:line="600" w:lineRule="exact"/>
        <w:jc w:val="both"/>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pPr>
        <w:numPr>
          <w:ilvl w:val="0"/>
          <w:numId w:val="3"/>
        </w:num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响应函</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(采购人名称):</w:t>
      </w:r>
    </w:p>
    <w:p>
      <w:pPr>
        <w:adjustRightInd w:val="0"/>
        <w:snapToGrid w:val="0"/>
        <w:spacing w:line="600" w:lineRule="exac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1.我方已仔细研究了__(项目名称)采购文件的全部内容，愿意以含税价人民币(大写)(￥)的报价（其中：不含税价为:;增值税税额为:)完成/提供本项目工程/货物/服务，并按合同约定履行义务。</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2.我方的响应文件包括下列内容:</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(1)响应函;</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(2)授权委托书(如有);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(3)联合体协议书(如有);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(4)响应保证金(如有);</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(5)报价表;</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(6)资格审查资料;</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(7)响应方案;</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如我方成交，我方承诺:</w:t>
      </w:r>
    </w:p>
    <w:p>
      <w:pPr>
        <w:tabs>
          <w:tab w:val="left" w:pos="312"/>
        </w:tabs>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(2)在签订合同时不向你方提出附加条件;</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(3)在合同约定的期限内完成合同规定的全部义务。</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7.(其他补充说明)。</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供应商:________________________(盖单位章)</w:t>
      </w:r>
    </w:p>
    <w:p>
      <w:pPr>
        <w:adjustRightInd w:val="0"/>
        <w:snapToGrid w:val="0"/>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法定代表人(单位负责人)或其授权的代理人:(签字) </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地址:____________________________________________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电子邮箱：_______________________________________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电话：____________________________________________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传真：____________________________________________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邮政编码：_______________________________________</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600" w:lineRule="exact"/>
        <w:ind w:firstLine="7200" w:firstLineChars="30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 月 日</w:t>
      </w:r>
    </w:p>
    <w:p>
      <w:pPr>
        <w:spacing w:line="24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br w:type="page"/>
      </w:r>
    </w:p>
    <w:p>
      <w:pPr>
        <w:spacing w:line="400" w:lineRule="exact"/>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附：守法诚信承诺书</w:t>
      </w:r>
    </w:p>
    <w:p>
      <w:pPr>
        <w:spacing w:line="360" w:lineRule="auto"/>
        <w:ind w:firstLine="480" w:firstLineChars="200"/>
        <w:jc w:val="both"/>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××公司：</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1、我司已仔细阅读《××单位××文件》（以下</w:t>
      </w:r>
      <w:r>
        <w:rPr>
          <w:rFonts w:cs="仿宋" w:asciiTheme="minorEastAsia" w:hAnsiTheme="minorEastAsia" w:eastAsiaTheme="minorEastAsia"/>
          <w:color w:val="000000" w:themeColor="text1"/>
          <w:sz w:val="24"/>
          <w:highlight w:val="none"/>
          <w14:textFill>
            <w14:solidFill>
              <w14:schemeClr w14:val="tx1"/>
            </w14:solidFill>
          </w14:textFill>
        </w:rPr>
        <w:t>简称</w:t>
      </w:r>
      <w:r>
        <w:rPr>
          <w:rFonts w:hint="eastAsia" w:cs="仿宋" w:asciiTheme="minorEastAsia" w:hAnsiTheme="minorEastAsia" w:eastAsiaTheme="minorEastAsia"/>
          <w:color w:val="000000" w:themeColor="text1"/>
          <w:sz w:val="24"/>
          <w:highlight w:val="none"/>
          <w14:textFill>
            <w14:solidFill>
              <w14:schemeClr w14:val="tx1"/>
            </w14:solidFill>
          </w14:textFill>
        </w:rPr>
        <w:t>采购</w:t>
      </w:r>
      <w:r>
        <w:rPr>
          <w:rFonts w:cs="仿宋" w:asciiTheme="minorEastAsia" w:hAnsiTheme="minorEastAsia" w:eastAsiaTheme="minorEastAsia"/>
          <w:color w:val="000000" w:themeColor="text1"/>
          <w:sz w:val="24"/>
          <w:highlight w:val="none"/>
          <w14:textFill>
            <w14:solidFill>
              <w14:schemeClr w14:val="tx1"/>
            </w14:solidFill>
          </w14:textFill>
        </w:rPr>
        <w:t>文件）</w:t>
      </w:r>
      <w:r>
        <w:rPr>
          <w:rFonts w:hint="eastAsia" w:cs="仿宋" w:asciiTheme="minorEastAsia" w:hAnsiTheme="minorEastAsia" w:eastAsiaTheme="minorEastAsia"/>
          <w:color w:val="000000" w:themeColor="text1"/>
          <w:sz w:val="24"/>
          <w:highlight w:val="none"/>
          <w14:textFill>
            <w14:solidFill>
              <w14:schemeClr w14:val="tx1"/>
            </w14:solidFill>
          </w14:textFill>
        </w:rPr>
        <w:t>，包括采</w:t>
      </w:r>
      <w:r>
        <w:rPr>
          <w:rFonts w:cs="仿宋" w:asciiTheme="minorEastAsia" w:hAnsiTheme="minorEastAsia" w:eastAsiaTheme="minorEastAsia"/>
          <w:color w:val="000000" w:themeColor="text1"/>
          <w:sz w:val="24"/>
          <w:highlight w:val="none"/>
          <w14:textFill>
            <w14:solidFill>
              <w14:schemeClr w14:val="tx1"/>
            </w14:solidFill>
          </w14:textFill>
        </w:rPr>
        <w:t>购</w:t>
      </w:r>
      <w:r>
        <w:rPr>
          <w:rFonts w:hint="eastAsia" w:cs="仿宋" w:asciiTheme="minorEastAsia" w:hAnsiTheme="minorEastAsia" w:eastAsiaTheme="minorEastAsia"/>
          <w:color w:val="000000" w:themeColor="text1"/>
          <w:sz w:val="24"/>
          <w:highlight w:val="none"/>
          <w14:textFill>
            <w14:solidFill>
              <w14:schemeClr w14:val="tx1"/>
            </w14:solidFill>
          </w14:textFill>
        </w:rPr>
        <w:t>文件的澄清或修改说明</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完全支持并响应，不存在误解或不明。</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3、响应期间没有因质量或</w:t>
      </w:r>
      <w:r>
        <w:rPr>
          <w:rFonts w:cs="仿宋" w:asciiTheme="minorEastAsia" w:hAnsiTheme="minorEastAsia" w:eastAsiaTheme="minorEastAsia"/>
          <w:color w:val="000000" w:themeColor="text1"/>
          <w:sz w:val="24"/>
          <w:highlight w:val="none"/>
          <w14:textFill>
            <w14:solidFill>
              <w14:schemeClr w14:val="tx1"/>
            </w14:solidFill>
          </w14:textFill>
        </w:rPr>
        <w:t>服务</w:t>
      </w:r>
      <w:r>
        <w:rPr>
          <w:rFonts w:hint="eastAsia" w:cs="仿宋" w:asciiTheme="minorEastAsia" w:hAnsiTheme="minorEastAsia" w:eastAsiaTheme="minorEastAsia"/>
          <w:color w:val="000000" w:themeColor="text1"/>
          <w:sz w:val="24"/>
          <w:highlight w:val="none"/>
          <w14:textFill>
            <w14:solidFill>
              <w14:schemeClr w14:val="tx1"/>
            </w14:solidFill>
          </w14:textFill>
        </w:rPr>
        <w:t>问题被采购人或采购人上级</w:t>
      </w:r>
      <w:r>
        <w:rPr>
          <w:rFonts w:cs="仿宋" w:asciiTheme="minorEastAsia" w:hAnsiTheme="minorEastAsia" w:eastAsiaTheme="minorEastAsia"/>
          <w:color w:val="000000" w:themeColor="text1"/>
          <w:sz w:val="24"/>
          <w:highlight w:val="none"/>
          <w14:textFill>
            <w14:solidFill>
              <w14:schemeClr w14:val="tx1"/>
            </w14:solidFill>
          </w14:textFill>
        </w:rPr>
        <w:t>机构</w:t>
      </w:r>
      <w:r>
        <w:rPr>
          <w:rFonts w:hint="eastAsia" w:cs="仿宋" w:asciiTheme="minorEastAsia" w:hAnsiTheme="minorEastAsia" w:eastAsiaTheme="minorEastAsia"/>
          <w:color w:val="000000" w:themeColor="text1"/>
          <w:sz w:val="24"/>
          <w:highlight w:val="none"/>
          <w14:textFill>
            <w14:solidFill>
              <w14:schemeClr w14:val="tx1"/>
            </w14:solidFill>
          </w14:textFill>
        </w:rPr>
        <w:t>通报且在整改期内。</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5、无联合体另外报价。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7</w:t>
      </w:r>
      <w:r>
        <w:rPr>
          <w:rFonts w:hint="eastAsia" w:cs="仿宋" w:asciiTheme="minorEastAsia" w:hAnsiTheme="minorEastAsia" w:eastAsiaTheme="minorEastAsia"/>
          <w:color w:val="000000" w:themeColor="text1"/>
          <w:sz w:val="24"/>
          <w:highlight w:val="none"/>
          <w14:textFill>
            <w14:solidFill>
              <w14:schemeClr w14:val="tx1"/>
            </w14:solidFill>
          </w14:textFill>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8</w:t>
      </w:r>
      <w:r>
        <w:rPr>
          <w:rFonts w:hint="eastAsia" w:cs="仿宋" w:asciiTheme="minorEastAsia" w:hAnsiTheme="minorEastAsia" w:eastAsiaTheme="minorEastAsia"/>
          <w:color w:val="000000" w:themeColor="text1"/>
          <w:sz w:val="24"/>
          <w:highlight w:val="none"/>
          <w14:textFill>
            <w14:solidFill>
              <w14:schemeClr w14:val="tx1"/>
            </w14:solidFill>
          </w14:textFill>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9</w:t>
      </w:r>
      <w:r>
        <w:rPr>
          <w:rFonts w:hint="eastAsia" w:cs="仿宋" w:asciiTheme="minorEastAsia" w:hAnsiTheme="minorEastAsia" w:eastAsiaTheme="minorEastAsia"/>
          <w:color w:val="000000" w:themeColor="text1"/>
          <w:sz w:val="24"/>
          <w:highlight w:val="none"/>
          <w14:textFill>
            <w14:solidFill>
              <w14:schemeClr w14:val="tx1"/>
            </w14:solidFill>
          </w14:textFill>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专此承诺。</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320" w:firstLineChars="18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承诺单位</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印刷体全称</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单位公章</w:t>
      </w:r>
      <w:r>
        <w:rPr>
          <w:rFonts w:cs="仿宋"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3600" w:firstLineChars="15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承诺单位法定代表人或其委托代理人（印刷体+</w:t>
      </w:r>
      <w:r>
        <w:rPr>
          <w:rFonts w:cs="仿宋" w:asciiTheme="minorEastAsia" w:hAnsiTheme="minorEastAsia" w:eastAsiaTheme="minorEastAsia"/>
          <w:color w:val="000000" w:themeColor="text1"/>
          <w:sz w:val="24"/>
          <w:highlight w:val="none"/>
          <w14:textFill>
            <w14:solidFill>
              <w14:schemeClr w14:val="tx1"/>
            </w14:solidFill>
          </w14:textFill>
        </w:rPr>
        <w:t>签字）：</w:t>
      </w:r>
    </w:p>
    <w:p>
      <w:pPr>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年月日</w:t>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r>
        <w:rPr>
          <w:rFonts w:hint="eastAsia" w:ascii="黑体" w:hAnsi="黑体" w:eastAsia="黑体" w:cs="仿宋"/>
          <w:color w:val="000000" w:themeColor="text1"/>
          <w:sz w:val="36"/>
          <w:szCs w:val="36"/>
          <w:highlight w:val="none"/>
          <w14:textFill>
            <w14:solidFill>
              <w14:schemeClr w14:val="tx1"/>
            </w14:solidFill>
          </w14:textFill>
        </w:rPr>
        <w:t>二、授权委托书</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委托期限:自本委托书签署之日起至采购项目签订采购合同之日止。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年_月日</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三</w:t>
      </w:r>
      <w:r>
        <w:rPr>
          <w:rFonts w:hint="eastAsia" w:ascii="黑体" w:hAnsi="黑体" w:eastAsia="黑体" w:cs="仿宋"/>
          <w:color w:val="000000" w:themeColor="text1"/>
          <w:sz w:val="36"/>
          <w:szCs w:val="36"/>
          <w:highlight w:val="none"/>
          <w14:textFill>
            <w14:solidFill>
              <w14:schemeClr w14:val="tx1"/>
            </w14:solidFill>
          </w14:textFill>
        </w:rPr>
        <w:t>、商务和技术偏差表</w:t>
      </w:r>
    </w:p>
    <w:p>
      <w:pPr>
        <w:spacing w:line="600" w:lineRule="exact"/>
        <w:jc w:val="center"/>
        <w:rPr>
          <w:rFonts w:cs="仿宋" w:asciiTheme="minorEastAsia" w:hAnsiTheme="minorEastAsia" w:eastAsiaTheme="minorEastAsia"/>
          <w:color w:val="000000" w:themeColor="text1"/>
          <w:sz w:val="24"/>
          <w:highlight w:val="none"/>
          <w14:textFill>
            <w14:solidFill>
              <w14:schemeClr w14:val="tx1"/>
            </w14:solidFill>
          </w14:textFill>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序号</w:t>
            </w: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采购文件章节及条款号</w:t>
            </w: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响应文件章节及条款号</w:t>
            </w:r>
          </w:p>
        </w:tc>
        <w:tc>
          <w:tcPr>
            <w:tcW w:w="2464" w:type="dxa"/>
          </w:tcPr>
          <w:p>
            <w:pPr>
              <w:widowControl/>
              <w:spacing w:line="600" w:lineRule="exact"/>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3"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46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供应商保证：除商务和技术偏差表列出的偏差外，供应商响应采购文件的全部要求。</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numPr>
          <w:ilvl w:val="0"/>
          <w:numId w:val="0"/>
        </w:num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四、</w:t>
      </w:r>
      <w:r>
        <w:rPr>
          <w:rFonts w:hint="eastAsia" w:ascii="黑体" w:hAnsi="黑体" w:eastAsia="黑体" w:cs="仿宋"/>
          <w:color w:val="000000" w:themeColor="text1"/>
          <w:sz w:val="36"/>
          <w:szCs w:val="36"/>
          <w:highlight w:val="none"/>
          <w14:textFill>
            <w14:solidFill>
              <w14:schemeClr w14:val="tx1"/>
            </w14:solidFill>
          </w14:textFill>
        </w:rPr>
        <w:t>报价表</w:t>
      </w:r>
    </w:p>
    <w:p>
      <w:pPr>
        <w:pStyle w:val="14"/>
        <w:ind w:firstLine="0" w:firstLineChars="0"/>
        <w:jc w:val="center"/>
        <w:rPr>
          <w:color w:val="000000" w:themeColor="text1"/>
          <w:highlight w:val="none"/>
          <w14:textFill>
            <w14:solidFill>
              <w14:schemeClr w14:val="tx1"/>
            </w14:solidFill>
          </w14:textFill>
        </w:rPr>
      </w:pPr>
    </w:p>
    <w:p>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标段1:岳阳港道仁矶码头工程航道调整及航标配布方案编制服务</w:t>
      </w:r>
    </w:p>
    <w:p>
      <w:pPr>
        <w:pStyle w:val="42"/>
        <w:ind w:left="0" w:leftChars="0" w:firstLine="0" w:firstLineChars="0"/>
        <w:jc w:val="center"/>
        <w:rPr>
          <w:rFonts w:ascii="宋体" w:hAnsi="宋体"/>
          <w:color w:val="000000" w:themeColor="text1"/>
          <w:sz w:val="24"/>
          <w:highlight w:val="none"/>
          <w14:textFill>
            <w14:solidFill>
              <w14:schemeClr w14:val="tx1"/>
            </w14:solidFill>
          </w14:textFill>
        </w:rPr>
      </w:pPr>
    </w:p>
    <w:tbl>
      <w:tblPr>
        <w:tblStyle w:val="4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55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3555"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金额（元）</w:t>
            </w:r>
          </w:p>
        </w:tc>
        <w:tc>
          <w:tcPr>
            <w:tcW w:w="3391"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vAlign w:val="center"/>
          </w:tcPr>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岳阳港道仁矶码头工程航道调整及航标配布方案编制服务</w:t>
            </w:r>
          </w:p>
        </w:tc>
        <w:tc>
          <w:tcPr>
            <w:tcW w:w="3555" w:type="dxa"/>
            <w:vAlign w:val="center"/>
          </w:tcPr>
          <w:p>
            <w:pPr>
              <w:rPr>
                <w:rFonts w:ascii="宋体" w:hAnsi="宋体"/>
                <w:color w:val="000000" w:themeColor="text1"/>
                <w:szCs w:val="21"/>
                <w:highlight w:val="none"/>
                <w14:textFill>
                  <w14:solidFill>
                    <w14:schemeClr w14:val="tx1"/>
                  </w14:solidFill>
                </w14:textFill>
              </w:rPr>
            </w:pPr>
          </w:p>
        </w:tc>
        <w:tc>
          <w:tcPr>
            <w:tcW w:w="3391"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包括完成所投标段所有工作内容和提供资料成果、后续服务、会务费、专家评审费、税金相关的全部费用，由乙方包干使用。</w:t>
            </w:r>
          </w:p>
        </w:tc>
      </w:tr>
    </w:tbl>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           应             商：</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（名称）        </w:t>
      </w:r>
    </w:p>
    <w:p>
      <w:pPr>
        <w:widowControl w:val="0"/>
        <w:spacing w:line="500" w:lineRule="exact"/>
        <w:jc w:val="center"/>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（盖单位章）</w:t>
      </w: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供应商法定代表人（或授权代理人）：</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（姓名）        </w:t>
      </w:r>
    </w:p>
    <w:p>
      <w:pPr>
        <w:widowControl w:val="0"/>
        <w:spacing w:line="500" w:lineRule="exact"/>
        <w:jc w:val="both"/>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（签名）</w:t>
      </w:r>
    </w:p>
    <w:p>
      <w:pPr>
        <w:widowControl w:val="0"/>
        <w:spacing w:line="500" w:lineRule="exact"/>
        <w:ind w:firstLine="5040" w:firstLineChars="2100"/>
        <w:jc w:val="both"/>
        <w:rPr>
          <w:rFonts w:ascii="新宋体" w:hAnsi="新宋体" w:eastAsia="新宋体" w:cs="宋体"/>
          <w:b/>
          <w:bCs/>
          <w:color w:val="000000" w:themeColor="text1"/>
          <w:sz w:val="24"/>
          <w:szCs w:val="21"/>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w:t>
      </w:r>
      <w:r>
        <w:rPr>
          <w:rFonts w:ascii="新宋体" w:hAnsi="新宋体" w:eastAsia="新宋体" w:cs="宋体"/>
          <w:b/>
          <w:bCs/>
          <w:color w:val="000000" w:themeColor="text1"/>
          <w:sz w:val="24"/>
          <w:szCs w:val="21"/>
          <w:highlight w:val="none"/>
          <w14:textFill>
            <w14:solidFill>
              <w14:schemeClr w14:val="tx1"/>
            </w14:solidFill>
          </w14:textFill>
        </w:rPr>
        <w:br w:type="page"/>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五</w:t>
      </w:r>
      <w:r>
        <w:rPr>
          <w:rFonts w:hint="eastAsia" w:ascii="黑体" w:hAnsi="黑体" w:eastAsia="黑体" w:cs="仿宋"/>
          <w:color w:val="000000" w:themeColor="text1"/>
          <w:sz w:val="36"/>
          <w:szCs w:val="36"/>
          <w:highlight w:val="none"/>
          <w14:textFill>
            <w14:solidFill>
              <w14:schemeClr w14:val="tx1"/>
            </w14:solidFill>
          </w14:textFill>
        </w:rPr>
        <w:t>、资格审查资料</w:t>
      </w:r>
    </w:p>
    <w:p>
      <w:pPr>
        <w:spacing w:line="600" w:lineRule="exact"/>
        <w:jc w:val="center"/>
        <w:rPr>
          <w:rFonts w:ascii="黑体" w:hAnsi="黑体" w:eastAsia="黑体" w:cs="仿宋"/>
          <w:color w:val="000000" w:themeColor="text1"/>
          <w:sz w:val="36"/>
          <w:szCs w:val="36"/>
          <w:highlight w:val="none"/>
          <w14:textFill>
            <w14:solidFill>
              <w14:schemeClr w14:val="tx1"/>
            </w14:solidFill>
          </w14:textFill>
        </w:rPr>
      </w:pP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（一）基本情况</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（二）近年财务状况</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项目名称</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服务内容</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委托人/发包人名称</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委托人/发包人联系人及电话</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合同价格</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服务是否完成</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项目负责人（如有）</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项目概况及供应商履约情况</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971"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注：供应商应根据供应商须知前附表第3.5（4）项的要求在本表后附相关证明材料。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序号</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本项目任职</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姓名</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职称</w:t>
            </w:r>
          </w:p>
        </w:tc>
        <w:tc>
          <w:tcPr>
            <w:tcW w:w="1095" w:type="dxa"/>
            <w:vMerge w:val="restart"/>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专业</w:t>
            </w:r>
          </w:p>
        </w:tc>
        <w:tc>
          <w:tcPr>
            <w:tcW w:w="3285" w:type="dxa"/>
            <w:gridSpan w:val="3"/>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执业或职业资格证明</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vMerge w:val="continue"/>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证书名称</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级别</w:t>
            </w:r>
          </w:p>
        </w:tc>
        <w:tc>
          <w:tcPr>
            <w:tcW w:w="1095" w:type="dxa"/>
          </w:tcPr>
          <w:p>
            <w:pPr>
              <w:widowControl/>
              <w:spacing w:line="288"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证号</w:t>
            </w:r>
          </w:p>
        </w:tc>
        <w:tc>
          <w:tcPr>
            <w:tcW w:w="1095" w:type="dxa"/>
          </w:tcPr>
          <w:p>
            <w:pPr>
              <w:widowControl/>
              <w:spacing w:line="288"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95" w:type="dxa"/>
          </w:tcPr>
          <w:p>
            <w:pPr>
              <w:widowControl/>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p>
    <w:p>
      <w:pPr>
        <w:pStyle w:val="7"/>
        <w:spacing w:before="0" w:after="0" w:line="380" w:lineRule="atLeast"/>
        <w:jc w:val="both"/>
        <w:rPr>
          <w:rFonts w:asciiTheme="minorEastAsia" w:hAnsiTheme="minorEastAsia" w:eastAsia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（五）主要人员简</w:t>
      </w:r>
      <w:r>
        <w:rPr>
          <w:rFonts w:asciiTheme="minorEastAsia" w:hAnsiTheme="minorEastAsia" w:eastAsiaTheme="minorEastAsia"/>
          <w:b w:val="0"/>
          <w:color w:val="000000" w:themeColor="text1"/>
          <w:sz w:val="24"/>
          <w:szCs w:val="24"/>
          <w:highlight w:val="none"/>
          <w14:textFill>
            <w14:solidFill>
              <w14:schemeClr w14:val="tx1"/>
            </w14:solidFill>
          </w14:textFill>
        </w:rPr>
        <w:t>历表</w:t>
      </w:r>
    </w:p>
    <w:p>
      <w:pPr>
        <w:autoSpaceDE w:val="0"/>
        <w:autoSpaceDN w:val="0"/>
        <w:spacing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拟在本</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从事</w:t>
            </w:r>
            <w:r>
              <w:rPr>
                <w:rFonts w:asciiTheme="minorEastAsia" w:hAnsiTheme="minorEastAsia" w:eastAsiaTheme="minorEastAsia"/>
                <w:color w:val="000000" w:themeColor="text1"/>
                <w:sz w:val="24"/>
                <w:highlight w:val="none"/>
                <w14:textFill>
                  <w14:solidFill>
                    <w14:schemeClr w14:val="tx1"/>
                  </w14:solidFill>
                </w14:textFill>
              </w:rPr>
              <w:t>类似</w:t>
            </w:r>
            <w:r>
              <w:rPr>
                <w:rFonts w:hint="eastAsia" w:asciiTheme="minorEastAsia" w:hAnsiTheme="minorEastAsia" w:eastAsiaTheme="minorEastAsia"/>
                <w:color w:val="000000" w:themeColor="text1"/>
                <w:sz w:val="24"/>
                <w:highlight w:val="none"/>
                <w14:textFill>
                  <w14:solidFill>
                    <w14:schemeClr w14:val="tx1"/>
                  </w14:solidFill>
                </w14:textFill>
              </w:rPr>
              <w:t>工作</w:t>
            </w:r>
            <w:r>
              <w:rPr>
                <w:rFonts w:asciiTheme="minorEastAsia" w:hAnsiTheme="minorEastAsia" w:eastAsiaTheme="minorEastAsia"/>
                <w:color w:val="000000" w:themeColor="text1"/>
                <w:sz w:val="24"/>
                <w:highlight w:val="none"/>
                <w14:textFill>
                  <w14:solidFill>
                    <w14:schemeClr w14:val="tx1"/>
                  </w14:solidFill>
                </w14:textFill>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主要工作</w:t>
            </w:r>
            <w:r>
              <w:rPr>
                <w:rFonts w:asciiTheme="minorEastAsia" w:hAnsiTheme="minorEastAsia" w:eastAsiaTheme="minorEastAsia"/>
                <w:color w:val="000000" w:themeColor="text1"/>
                <w:sz w:val="24"/>
                <w:highlight w:val="none"/>
                <w14:textFill>
                  <w14:solidFill>
                    <w14:schemeClr w14:val="tx1"/>
                  </w14:solidFill>
                </w14:textFill>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color w:val="000000" w:themeColor="text1"/>
                <w:spacing w:val="0"/>
                <w:kern w:val="2"/>
                <w:sz w:val="24"/>
                <w:szCs w:val="24"/>
                <w:highlight w:val="none"/>
                <w14:textFill>
                  <w14:solidFill>
                    <w14:schemeClr w14:val="tx1"/>
                  </w14:solidFill>
                </w14:textFill>
              </w:rPr>
            </w:pPr>
            <w:r>
              <w:rPr>
                <w:rFonts w:asciiTheme="minorEastAsia" w:hAnsiTheme="minorEastAsia" w:eastAsiaTheme="minorEastAsia"/>
                <w:color w:val="000000" w:themeColor="text1"/>
                <w:spacing w:val="0"/>
                <w:kern w:val="2"/>
                <w:sz w:val="24"/>
                <w:szCs w:val="24"/>
                <w:highlight w:val="none"/>
                <w14:textFill>
                  <w14:solidFill>
                    <w14:schemeClr w14:val="tx1"/>
                  </w14:solidFill>
                </w14:textFill>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color w:val="000000" w:themeColor="text1"/>
                <w:spacing w:val="0"/>
                <w:kern w:val="2"/>
                <w:sz w:val="24"/>
                <w:szCs w:val="24"/>
                <w:highlight w:val="none"/>
                <w14:textFill>
                  <w14:solidFill>
                    <w14:schemeClr w14:val="tx1"/>
                  </w14:solidFill>
                </w14:textFill>
              </w:rPr>
            </w:pPr>
            <w:r>
              <w:rPr>
                <w:rFonts w:asciiTheme="minorEastAsia" w:hAnsiTheme="minorEastAsia" w:eastAsiaTheme="minorEastAsia"/>
                <w:color w:val="000000" w:themeColor="text1"/>
                <w:spacing w:val="0"/>
                <w:kern w:val="2"/>
                <w:sz w:val="24"/>
                <w:szCs w:val="24"/>
                <w:highlight w:val="none"/>
                <w14:textFill>
                  <w14:solidFill>
                    <w14:schemeClr w14:val="tx1"/>
                  </w14:solidFill>
                </w14:textFill>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color w:val="000000" w:themeColor="text1"/>
                <w:sz w:val="24"/>
                <w:highlight w:val="none"/>
                <w14:textFill>
                  <w14:solidFill>
                    <w14:schemeClr w14:val="tx1"/>
                  </w14:solidFill>
                </w14:textFill>
              </w:rPr>
            </w:pPr>
          </w:p>
        </w:tc>
      </w:tr>
    </w:tbl>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注：供应商应根据供应商须知前附表第3.5（6）项的要求在本表后附相关证明材料。</w:t>
      </w:r>
    </w:p>
    <w:p>
      <w:pPr>
        <w:spacing w:line="600" w:lineRule="exact"/>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六</w:t>
      </w:r>
      <w:r>
        <w:rPr>
          <w:rFonts w:hint="eastAsia" w:ascii="黑体" w:hAnsi="黑体" w:eastAsia="黑体" w:cs="仿宋"/>
          <w:color w:val="000000" w:themeColor="text1"/>
          <w:sz w:val="36"/>
          <w:szCs w:val="36"/>
          <w:highlight w:val="none"/>
          <w14:textFill>
            <w14:solidFill>
              <w14:schemeClr w14:val="tx1"/>
            </w14:solidFill>
          </w14:textFill>
        </w:rPr>
        <w:t>、响应方案</w:t>
      </w:r>
    </w:p>
    <w:p>
      <w:pPr>
        <w:pStyle w:val="2"/>
        <w:rPr>
          <w:color w:val="000000" w:themeColor="text1"/>
          <w:highlight w:val="none"/>
          <w14:textFill>
            <w14:solidFill>
              <w14:schemeClr w14:val="tx1"/>
            </w14:solidFill>
          </w14:textFill>
        </w:rPr>
      </w:pPr>
    </w:p>
    <w:p>
      <w:pPr>
        <w:adjustRightInd w:val="0"/>
        <w:snapToGrid w:val="0"/>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(1)对项目的理解;</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(2)服务范围及内容;</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(3)服务工作的依据、工作目标;</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(4)服务机构设置(框图)、岗位职责;</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(7)服务工作重点、难点分析;</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(8)对本项目的合理化建议。</w:t>
      </w:r>
    </w:p>
    <w:p>
      <w:pPr>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adjustRightInd w:val="0"/>
        <w:snapToGrid w:val="0"/>
        <w:spacing w:line="600" w:lineRule="exact"/>
        <w:jc w:val="center"/>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七</w:t>
      </w:r>
      <w:r>
        <w:rPr>
          <w:rFonts w:hint="eastAsia" w:ascii="黑体" w:hAnsi="黑体" w:eastAsia="黑体" w:cs="仿宋"/>
          <w:color w:val="000000" w:themeColor="text1"/>
          <w:sz w:val="36"/>
          <w:szCs w:val="36"/>
          <w:highlight w:val="none"/>
          <w14:textFill>
            <w14:solidFill>
              <w14:schemeClr w14:val="tx1"/>
            </w14:solidFill>
          </w14:textFill>
        </w:rPr>
        <w:t>、其他资料</w:t>
      </w: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600" w:lineRule="exact"/>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供应商需提交的其他资料。</w:t>
      </w:r>
    </w:p>
    <w:permEnd w:id="55"/>
    <w:p>
      <w:pPr>
        <w:spacing w:line="240" w:lineRule="auto"/>
        <w:jc w:val="both"/>
        <w:rPr>
          <w:rFonts w:asciiTheme="minorEastAsia" w:hAnsiTheme="minorEastAsia" w:eastAsiaTheme="minorEastAsia"/>
          <w:color w:val="000000" w:themeColor="text1"/>
          <w:sz w:val="24"/>
          <w:highlight w:val="none"/>
          <w14:textFill>
            <w14:solidFill>
              <w14:schemeClr w14:val="tx1"/>
            </w14:solidFill>
          </w14:textFill>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43</w:t>
        </w:r>
        <w:r>
          <w:rPr>
            <w:sz w:val="20"/>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6009C"/>
    <w:rsid w:val="00064FF7"/>
    <w:rsid w:val="00077817"/>
    <w:rsid w:val="00080B47"/>
    <w:rsid w:val="000A0047"/>
    <w:rsid w:val="000A4856"/>
    <w:rsid w:val="000A7926"/>
    <w:rsid w:val="000B4936"/>
    <w:rsid w:val="000C4E44"/>
    <w:rsid w:val="000C5689"/>
    <w:rsid w:val="000D0FD0"/>
    <w:rsid w:val="000D3A07"/>
    <w:rsid w:val="000E5829"/>
    <w:rsid w:val="000F2F60"/>
    <w:rsid w:val="000F3281"/>
    <w:rsid w:val="000F3D59"/>
    <w:rsid w:val="000F572C"/>
    <w:rsid w:val="000F65C5"/>
    <w:rsid w:val="00101210"/>
    <w:rsid w:val="00124EA9"/>
    <w:rsid w:val="00133753"/>
    <w:rsid w:val="00140710"/>
    <w:rsid w:val="00141200"/>
    <w:rsid w:val="001421A1"/>
    <w:rsid w:val="0014231F"/>
    <w:rsid w:val="001429F5"/>
    <w:rsid w:val="00143EE9"/>
    <w:rsid w:val="00144A0B"/>
    <w:rsid w:val="00155F5F"/>
    <w:rsid w:val="0016577A"/>
    <w:rsid w:val="00172E5F"/>
    <w:rsid w:val="00175066"/>
    <w:rsid w:val="00186D78"/>
    <w:rsid w:val="001A1831"/>
    <w:rsid w:val="001A77A4"/>
    <w:rsid w:val="001B2635"/>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D3DCC"/>
    <w:rsid w:val="002D460A"/>
    <w:rsid w:val="002E1D5F"/>
    <w:rsid w:val="002E503D"/>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0EA3"/>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001C"/>
    <w:rsid w:val="00686532"/>
    <w:rsid w:val="00690B7C"/>
    <w:rsid w:val="006A12CE"/>
    <w:rsid w:val="006A499F"/>
    <w:rsid w:val="006A4B76"/>
    <w:rsid w:val="006B1EC2"/>
    <w:rsid w:val="006B3F31"/>
    <w:rsid w:val="006C735F"/>
    <w:rsid w:val="006D3E72"/>
    <w:rsid w:val="006E037A"/>
    <w:rsid w:val="006E0909"/>
    <w:rsid w:val="006E37CB"/>
    <w:rsid w:val="006E4993"/>
    <w:rsid w:val="006E5C39"/>
    <w:rsid w:val="00702A69"/>
    <w:rsid w:val="007265BE"/>
    <w:rsid w:val="007312AC"/>
    <w:rsid w:val="00734D60"/>
    <w:rsid w:val="007555FC"/>
    <w:rsid w:val="007623DE"/>
    <w:rsid w:val="00767FCD"/>
    <w:rsid w:val="00770FF3"/>
    <w:rsid w:val="00771629"/>
    <w:rsid w:val="00773441"/>
    <w:rsid w:val="00773E3D"/>
    <w:rsid w:val="007809BE"/>
    <w:rsid w:val="0078437B"/>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69CD"/>
    <w:rsid w:val="00867D79"/>
    <w:rsid w:val="008705DF"/>
    <w:rsid w:val="008762E6"/>
    <w:rsid w:val="00883782"/>
    <w:rsid w:val="00892349"/>
    <w:rsid w:val="00892DCC"/>
    <w:rsid w:val="008933B7"/>
    <w:rsid w:val="00896688"/>
    <w:rsid w:val="008A4531"/>
    <w:rsid w:val="008A6664"/>
    <w:rsid w:val="008B1E7E"/>
    <w:rsid w:val="008B2D72"/>
    <w:rsid w:val="008C623B"/>
    <w:rsid w:val="008F6B51"/>
    <w:rsid w:val="00904EFD"/>
    <w:rsid w:val="0090589A"/>
    <w:rsid w:val="0093128C"/>
    <w:rsid w:val="009315C2"/>
    <w:rsid w:val="00935E41"/>
    <w:rsid w:val="00935ED2"/>
    <w:rsid w:val="009413B0"/>
    <w:rsid w:val="00954F74"/>
    <w:rsid w:val="00955643"/>
    <w:rsid w:val="009573B9"/>
    <w:rsid w:val="00965E94"/>
    <w:rsid w:val="00983877"/>
    <w:rsid w:val="00983F1D"/>
    <w:rsid w:val="00986B6E"/>
    <w:rsid w:val="009A1BD2"/>
    <w:rsid w:val="009A24B1"/>
    <w:rsid w:val="009B084E"/>
    <w:rsid w:val="009B5405"/>
    <w:rsid w:val="009B626F"/>
    <w:rsid w:val="009B66AE"/>
    <w:rsid w:val="009E6CEC"/>
    <w:rsid w:val="009F0696"/>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C1D79"/>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0978"/>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4CFE"/>
    <w:rsid w:val="00DC758D"/>
    <w:rsid w:val="00DD03AC"/>
    <w:rsid w:val="00DD081E"/>
    <w:rsid w:val="00DD63AD"/>
    <w:rsid w:val="00DD7197"/>
    <w:rsid w:val="00DF2B35"/>
    <w:rsid w:val="00E002E7"/>
    <w:rsid w:val="00E006FA"/>
    <w:rsid w:val="00E07092"/>
    <w:rsid w:val="00E10A95"/>
    <w:rsid w:val="00E25112"/>
    <w:rsid w:val="00E263FD"/>
    <w:rsid w:val="00E30201"/>
    <w:rsid w:val="00E44E6A"/>
    <w:rsid w:val="00E5145F"/>
    <w:rsid w:val="00E5459C"/>
    <w:rsid w:val="00E5461B"/>
    <w:rsid w:val="00E55052"/>
    <w:rsid w:val="00E61B4A"/>
    <w:rsid w:val="00E65DCA"/>
    <w:rsid w:val="00E828A3"/>
    <w:rsid w:val="00E839E1"/>
    <w:rsid w:val="00E8703F"/>
    <w:rsid w:val="00EA3253"/>
    <w:rsid w:val="00EB3032"/>
    <w:rsid w:val="00EB36F8"/>
    <w:rsid w:val="00EB3D32"/>
    <w:rsid w:val="00EB45C5"/>
    <w:rsid w:val="00EC1A38"/>
    <w:rsid w:val="00EC1C0F"/>
    <w:rsid w:val="00EC394D"/>
    <w:rsid w:val="00EC4B84"/>
    <w:rsid w:val="00EC5AF3"/>
    <w:rsid w:val="00ED0C16"/>
    <w:rsid w:val="00EE75AA"/>
    <w:rsid w:val="00F014DF"/>
    <w:rsid w:val="00F0428D"/>
    <w:rsid w:val="00F067FF"/>
    <w:rsid w:val="00F138CF"/>
    <w:rsid w:val="00F17C9D"/>
    <w:rsid w:val="00F31726"/>
    <w:rsid w:val="00F366D3"/>
    <w:rsid w:val="00F40991"/>
    <w:rsid w:val="00F449A4"/>
    <w:rsid w:val="00F51761"/>
    <w:rsid w:val="00F51B37"/>
    <w:rsid w:val="00F552F8"/>
    <w:rsid w:val="00F725CC"/>
    <w:rsid w:val="00F76C2C"/>
    <w:rsid w:val="00F86C0E"/>
    <w:rsid w:val="00FA688E"/>
    <w:rsid w:val="00FA7AF8"/>
    <w:rsid w:val="00FB7FEC"/>
    <w:rsid w:val="00FC0CDA"/>
    <w:rsid w:val="00FC2557"/>
    <w:rsid w:val="00FC3155"/>
    <w:rsid w:val="00FD0360"/>
    <w:rsid w:val="00FD4D0F"/>
    <w:rsid w:val="00FD78D6"/>
    <w:rsid w:val="00FE3439"/>
    <w:rsid w:val="00FE5003"/>
    <w:rsid w:val="00FF43B1"/>
    <w:rsid w:val="00FF670A"/>
    <w:rsid w:val="016110F4"/>
    <w:rsid w:val="019B53E2"/>
    <w:rsid w:val="01AC7279"/>
    <w:rsid w:val="01B372CB"/>
    <w:rsid w:val="02190755"/>
    <w:rsid w:val="023043CB"/>
    <w:rsid w:val="02C82FD8"/>
    <w:rsid w:val="03D90B92"/>
    <w:rsid w:val="04427745"/>
    <w:rsid w:val="04A65DBC"/>
    <w:rsid w:val="04F73278"/>
    <w:rsid w:val="05C8377A"/>
    <w:rsid w:val="05CD3A4B"/>
    <w:rsid w:val="05EF1FFE"/>
    <w:rsid w:val="05EF42D9"/>
    <w:rsid w:val="067E2B27"/>
    <w:rsid w:val="06A27A94"/>
    <w:rsid w:val="06B55198"/>
    <w:rsid w:val="06FC0882"/>
    <w:rsid w:val="071C2DD7"/>
    <w:rsid w:val="08026E2C"/>
    <w:rsid w:val="08826D5B"/>
    <w:rsid w:val="08F024B8"/>
    <w:rsid w:val="08F17FDE"/>
    <w:rsid w:val="09262AB2"/>
    <w:rsid w:val="09343645"/>
    <w:rsid w:val="09B41187"/>
    <w:rsid w:val="09C53944"/>
    <w:rsid w:val="09C6304D"/>
    <w:rsid w:val="09E7100A"/>
    <w:rsid w:val="0AED2D32"/>
    <w:rsid w:val="0AF00027"/>
    <w:rsid w:val="0B0D605F"/>
    <w:rsid w:val="0B2E76B3"/>
    <w:rsid w:val="0B300652"/>
    <w:rsid w:val="0BA37CB5"/>
    <w:rsid w:val="0C223104"/>
    <w:rsid w:val="0C5E65EE"/>
    <w:rsid w:val="0C905B62"/>
    <w:rsid w:val="0C9413AC"/>
    <w:rsid w:val="0CCC561D"/>
    <w:rsid w:val="0CE02BCB"/>
    <w:rsid w:val="0D002EE5"/>
    <w:rsid w:val="0D414932"/>
    <w:rsid w:val="0D8B5F9E"/>
    <w:rsid w:val="0DB21D98"/>
    <w:rsid w:val="0DB759FC"/>
    <w:rsid w:val="0DF91E0E"/>
    <w:rsid w:val="0E891CDE"/>
    <w:rsid w:val="0F250657"/>
    <w:rsid w:val="0F2C1D70"/>
    <w:rsid w:val="0F470918"/>
    <w:rsid w:val="0F5372FC"/>
    <w:rsid w:val="0F72584C"/>
    <w:rsid w:val="0FE216C6"/>
    <w:rsid w:val="10576B90"/>
    <w:rsid w:val="10A157BC"/>
    <w:rsid w:val="10CB7D53"/>
    <w:rsid w:val="10D715D2"/>
    <w:rsid w:val="110C64BE"/>
    <w:rsid w:val="113B3D20"/>
    <w:rsid w:val="11553800"/>
    <w:rsid w:val="11603F53"/>
    <w:rsid w:val="118A1C40"/>
    <w:rsid w:val="119E5E08"/>
    <w:rsid w:val="120174E4"/>
    <w:rsid w:val="1209283C"/>
    <w:rsid w:val="123F24AA"/>
    <w:rsid w:val="12AF2E1E"/>
    <w:rsid w:val="13024F2E"/>
    <w:rsid w:val="136C60D7"/>
    <w:rsid w:val="13D33102"/>
    <w:rsid w:val="145076DA"/>
    <w:rsid w:val="149C34F4"/>
    <w:rsid w:val="14B70C0B"/>
    <w:rsid w:val="150E3D50"/>
    <w:rsid w:val="15355BAF"/>
    <w:rsid w:val="158C3BDB"/>
    <w:rsid w:val="15952B11"/>
    <w:rsid w:val="16314BAD"/>
    <w:rsid w:val="1704667E"/>
    <w:rsid w:val="17100B20"/>
    <w:rsid w:val="17594306"/>
    <w:rsid w:val="17D539F2"/>
    <w:rsid w:val="17DD7BFF"/>
    <w:rsid w:val="188B7B07"/>
    <w:rsid w:val="18961368"/>
    <w:rsid w:val="18E4741C"/>
    <w:rsid w:val="19097045"/>
    <w:rsid w:val="192D5062"/>
    <w:rsid w:val="196A4431"/>
    <w:rsid w:val="19D11E91"/>
    <w:rsid w:val="1A104EBC"/>
    <w:rsid w:val="1A491A28"/>
    <w:rsid w:val="1ABA20D4"/>
    <w:rsid w:val="1C2276D5"/>
    <w:rsid w:val="1C3B6EE0"/>
    <w:rsid w:val="1C796955"/>
    <w:rsid w:val="1CB151AD"/>
    <w:rsid w:val="1CCD60E9"/>
    <w:rsid w:val="1D0936F0"/>
    <w:rsid w:val="1D2422D8"/>
    <w:rsid w:val="1D2B3667"/>
    <w:rsid w:val="1D5D05DC"/>
    <w:rsid w:val="1D94745E"/>
    <w:rsid w:val="1DA769B6"/>
    <w:rsid w:val="1DAB68D7"/>
    <w:rsid w:val="1DB06D6D"/>
    <w:rsid w:val="1DBB01B3"/>
    <w:rsid w:val="1DC15D79"/>
    <w:rsid w:val="1DC7279C"/>
    <w:rsid w:val="1DEC3661"/>
    <w:rsid w:val="1E1F3B60"/>
    <w:rsid w:val="1E231977"/>
    <w:rsid w:val="1E5310C7"/>
    <w:rsid w:val="1E5803E7"/>
    <w:rsid w:val="1E650058"/>
    <w:rsid w:val="1E901304"/>
    <w:rsid w:val="1F031D0C"/>
    <w:rsid w:val="1F2148F2"/>
    <w:rsid w:val="1F2E0BFF"/>
    <w:rsid w:val="1F5E681A"/>
    <w:rsid w:val="1F62545B"/>
    <w:rsid w:val="1F833B5F"/>
    <w:rsid w:val="1F9D58D9"/>
    <w:rsid w:val="1FB37BD1"/>
    <w:rsid w:val="1FBF76D7"/>
    <w:rsid w:val="20320A13"/>
    <w:rsid w:val="20505AC4"/>
    <w:rsid w:val="2063580D"/>
    <w:rsid w:val="208F03B0"/>
    <w:rsid w:val="210E5B18"/>
    <w:rsid w:val="21211A72"/>
    <w:rsid w:val="212E078A"/>
    <w:rsid w:val="22CD0ADC"/>
    <w:rsid w:val="22E46A43"/>
    <w:rsid w:val="23144B9D"/>
    <w:rsid w:val="23292344"/>
    <w:rsid w:val="23331D17"/>
    <w:rsid w:val="23445482"/>
    <w:rsid w:val="235B5479"/>
    <w:rsid w:val="23713256"/>
    <w:rsid w:val="23B73EA6"/>
    <w:rsid w:val="23C9261C"/>
    <w:rsid w:val="23D7486A"/>
    <w:rsid w:val="23E80503"/>
    <w:rsid w:val="241C3B45"/>
    <w:rsid w:val="2423791C"/>
    <w:rsid w:val="242742BA"/>
    <w:rsid w:val="242B4894"/>
    <w:rsid w:val="243D276B"/>
    <w:rsid w:val="244514B2"/>
    <w:rsid w:val="247B1377"/>
    <w:rsid w:val="247E6772"/>
    <w:rsid w:val="24C25045"/>
    <w:rsid w:val="24CF2408"/>
    <w:rsid w:val="24ED6496"/>
    <w:rsid w:val="25313DAC"/>
    <w:rsid w:val="25670F4C"/>
    <w:rsid w:val="264E6DB9"/>
    <w:rsid w:val="266A16A4"/>
    <w:rsid w:val="26A05072"/>
    <w:rsid w:val="26A050C5"/>
    <w:rsid w:val="27B73E41"/>
    <w:rsid w:val="2872440F"/>
    <w:rsid w:val="289856E6"/>
    <w:rsid w:val="28AF339E"/>
    <w:rsid w:val="28EE7628"/>
    <w:rsid w:val="290336EA"/>
    <w:rsid w:val="2907571B"/>
    <w:rsid w:val="291E6775"/>
    <w:rsid w:val="295E13D6"/>
    <w:rsid w:val="295F1BEE"/>
    <w:rsid w:val="29A94291"/>
    <w:rsid w:val="29D137E8"/>
    <w:rsid w:val="29FE7C6D"/>
    <w:rsid w:val="2A7757C9"/>
    <w:rsid w:val="2A810C26"/>
    <w:rsid w:val="2ABD7C6A"/>
    <w:rsid w:val="2AE509BC"/>
    <w:rsid w:val="2AEB642C"/>
    <w:rsid w:val="2BA222B6"/>
    <w:rsid w:val="2BAE4200"/>
    <w:rsid w:val="2BB311E2"/>
    <w:rsid w:val="2BD74C8B"/>
    <w:rsid w:val="2BF10955"/>
    <w:rsid w:val="2C5946EF"/>
    <w:rsid w:val="2C771289"/>
    <w:rsid w:val="2C7C7A3B"/>
    <w:rsid w:val="2C9F197B"/>
    <w:rsid w:val="2CD62C3A"/>
    <w:rsid w:val="2CDD61E8"/>
    <w:rsid w:val="2D101F87"/>
    <w:rsid w:val="2D933C05"/>
    <w:rsid w:val="2E41641E"/>
    <w:rsid w:val="2E944985"/>
    <w:rsid w:val="2F0B483D"/>
    <w:rsid w:val="2F794705"/>
    <w:rsid w:val="2FB9638B"/>
    <w:rsid w:val="2FBF7A81"/>
    <w:rsid w:val="2FD26F55"/>
    <w:rsid w:val="2FEA115F"/>
    <w:rsid w:val="30096558"/>
    <w:rsid w:val="309F77D5"/>
    <w:rsid w:val="30A734F4"/>
    <w:rsid w:val="30AA2AA4"/>
    <w:rsid w:val="30DE2DAE"/>
    <w:rsid w:val="31564A68"/>
    <w:rsid w:val="317374AD"/>
    <w:rsid w:val="31B71515"/>
    <w:rsid w:val="31D75713"/>
    <w:rsid w:val="3247469D"/>
    <w:rsid w:val="32756EB2"/>
    <w:rsid w:val="328A0351"/>
    <w:rsid w:val="32947966"/>
    <w:rsid w:val="329D4C70"/>
    <w:rsid w:val="339248A7"/>
    <w:rsid w:val="33DC1707"/>
    <w:rsid w:val="347E184F"/>
    <w:rsid w:val="34874156"/>
    <w:rsid w:val="34DC45DC"/>
    <w:rsid w:val="35032B89"/>
    <w:rsid w:val="351E6AD6"/>
    <w:rsid w:val="353A4937"/>
    <w:rsid w:val="359B5468"/>
    <w:rsid w:val="35E068D3"/>
    <w:rsid w:val="35F76384"/>
    <w:rsid w:val="36237A11"/>
    <w:rsid w:val="369E5F5A"/>
    <w:rsid w:val="36BD4AD5"/>
    <w:rsid w:val="36D57A86"/>
    <w:rsid w:val="370C2303"/>
    <w:rsid w:val="37141A05"/>
    <w:rsid w:val="379B30ED"/>
    <w:rsid w:val="37E36BED"/>
    <w:rsid w:val="3806709E"/>
    <w:rsid w:val="38302D1E"/>
    <w:rsid w:val="3844766B"/>
    <w:rsid w:val="386A115C"/>
    <w:rsid w:val="38F117B0"/>
    <w:rsid w:val="39423DBA"/>
    <w:rsid w:val="395D7391"/>
    <w:rsid w:val="39C96499"/>
    <w:rsid w:val="39F51A7B"/>
    <w:rsid w:val="3A1D0739"/>
    <w:rsid w:val="3AF93B99"/>
    <w:rsid w:val="3B0C28D2"/>
    <w:rsid w:val="3B1D42F5"/>
    <w:rsid w:val="3B2B40CB"/>
    <w:rsid w:val="3B3A0951"/>
    <w:rsid w:val="3B786F8B"/>
    <w:rsid w:val="3BA174BE"/>
    <w:rsid w:val="3BD45629"/>
    <w:rsid w:val="3C2E7A0D"/>
    <w:rsid w:val="3C56520F"/>
    <w:rsid w:val="3D461FBA"/>
    <w:rsid w:val="3D5B45EF"/>
    <w:rsid w:val="3D5B544A"/>
    <w:rsid w:val="3E090511"/>
    <w:rsid w:val="3E8F1850"/>
    <w:rsid w:val="3EC01B26"/>
    <w:rsid w:val="3F0013D8"/>
    <w:rsid w:val="3F747742"/>
    <w:rsid w:val="3FA24D3D"/>
    <w:rsid w:val="3FB93C81"/>
    <w:rsid w:val="3FE61943"/>
    <w:rsid w:val="40096B18"/>
    <w:rsid w:val="4037008C"/>
    <w:rsid w:val="407A02DD"/>
    <w:rsid w:val="40BE77DA"/>
    <w:rsid w:val="40F7682E"/>
    <w:rsid w:val="41AA4BF2"/>
    <w:rsid w:val="41CE0EB7"/>
    <w:rsid w:val="41D45583"/>
    <w:rsid w:val="4202005B"/>
    <w:rsid w:val="422E6094"/>
    <w:rsid w:val="4273261E"/>
    <w:rsid w:val="42B9360E"/>
    <w:rsid w:val="43055142"/>
    <w:rsid w:val="43632443"/>
    <w:rsid w:val="43B07126"/>
    <w:rsid w:val="43BC1982"/>
    <w:rsid w:val="43C6273F"/>
    <w:rsid w:val="44D14A1F"/>
    <w:rsid w:val="4503099B"/>
    <w:rsid w:val="453D7EFA"/>
    <w:rsid w:val="45DE02F0"/>
    <w:rsid w:val="45E343D9"/>
    <w:rsid w:val="463D1554"/>
    <w:rsid w:val="46480423"/>
    <w:rsid w:val="469F0A9E"/>
    <w:rsid w:val="46C44BD5"/>
    <w:rsid w:val="46E42955"/>
    <w:rsid w:val="46FD0ED7"/>
    <w:rsid w:val="473A1C92"/>
    <w:rsid w:val="47592E4A"/>
    <w:rsid w:val="4773581B"/>
    <w:rsid w:val="47D44A52"/>
    <w:rsid w:val="48133EF7"/>
    <w:rsid w:val="49061DFF"/>
    <w:rsid w:val="492D450B"/>
    <w:rsid w:val="49E352A4"/>
    <w:rsid w:val="4A625DAC"/>
    <w:rsid w:val="4AA95536"/>
    <w:rsid w:val="4AF56EDE"/>
    <w:rsid w:val="4B9F509C"/>
    <w:rsid w:val="4BA044F9"/>
    <w:rsid w:val="4BB73BE9"/>
    <w:rsid w:val="4BEB2031"/>
    <w:rsid w:val="4C0E711F"/>
    <w:rsid w:val="4C2C5768"/>
    <w:rsid w:val="4C3C28EB"/>
    <w:rsid w:val="4C7327B1"/>
    <w:rsid w:val="4C8D7FB6"/>
    <w:rsid w:val="4CFB75B5"/>
    <w:rsid w:val="4D106AD6"/>
    <w:rsid w:val="4D7D047C"/>
    <w:rsid w:val="4E5F0909"/>
    <w:rsid w:val="4E6200BB"/>
    <w:rsid w:val="4EC8736A"/>
    <w:rsid w:val="4EF83441"/>
    <w:rsid w:val="4F085C07"/>
    <w:rsid w:val="4F7855EA"/>
    <w:rsid w:val="4F940716"/>
    <w:rsid w:val="4F9C77F0"/>
    <w:rsid w:val="4FF45606"/>
    <w:rsid w:val="50025BF9"/>
    <w:rsid w:val="50203001"/>
    <w:rsid w:val="50613214"/>
    <w:rsid w:val="511F2F07"/>
    <w:rsid w:val="520004CA"/>
    <w:rsid w:val="526D7CA2"/>
    <w:rsid w:val="532627CA"/>
    <w:rsid w:val="532F2F36"/>
    <w:rsid w:val="5415414D"/>
    <w:rsid w:val="5422279F"/>
    <w:rsid w:val="54C32B11"/>
    <w:rsid w:val="54DC56F8"/>
    <w:rsid w:val="55A35789"/>
    <w:rsid w:val="562C577E"/>
    <w:rsid w:val="56367C5B"/>
    <w:rsid w:val="5641747C"/>
    <w:rsid w:val="56677807"/>
    <w:rsid w:val="56702A03"/>
    <w:rsid w:val="56820D5B"/>
    <w:rsid w:val="56BF0FCF"/>
    <w:rsid w:val="56CA17BA"/>
    <w:rsid w:val="57096D7C"/>
    <w:rsid w:val="574E78C6"/>
    <w:rsid w:val="574F5BC8"/>
    <w:rsid w:val="57526CA3"/>
    <w:rsid w:val="57547BA2"/>
    <w:rsid w:val="579B0911"/>
    <w:rsid w:val="579E08FE"/>
    <w:rsid w:val="57B40121"/>
    <w:rsid w:val="58054589"/>
    <w:rsid w:val="58134E48"/>
    <w:rsid w:val="58726012"/>
    <w:rsid w:val="58B91018"/>
    <w:rsid w:val="58D06D06"/>
    <w:rsid w:val="590429E2"/>
    <w:rsid w:val="59D5260B"/>
    <w:rsid w:val="59F510C8"/>
    <w:rsid w:val="5A190D99"/>
    <w:rsid w:val="5A465B9D"/>
    <w:rsid w:val="5A631C3C"/>
    <w:rsid w:val="5AAE2ACB"/>
    <w:rsid w:val="5AF71073"/>
    <w:rsid w:val="5B353327"/>
    <w:rsid w:val="5B6270CB"/>
    <w:rsid w:val="5BAD0267"/>
    <w:rsid w:val="5BB24FC7"/>
    <w:rsid w:val="5C245875"/>
    <w:rsid w:val="5D1E4A62"/>
    <w:rsid w:val="5D5A5542"/>
    <w:rsid w:val="5DBD75BE"/>
    <w:rsid w:val="5DDB3A67"/>
    <w:rsid w:val="5E007081"/>
    <w:rsid w:val="5E0168D8"/>
    <w:rsid w:val="5E2979F3"/>
    <w:rsid w:val="5E646A2E"/>
    <w:rsid w:val="5E975EED"/>
    <w:rsid w:val="5EFD0600"/>
    <w:rsid w:val="5F5A7169"/>
    <w:rsid w:val="5FA558FD"/>
    <w:rsid w:val="5FC52CF8"/>
    <w:rsid w:val="5FC5301A"/>
    <w:rsid w:val="5FC5541A"/>
    <w:rsid w:val="603C7D37"/>
    <w:rsid w:val="60714E01"/>
    <w:rsid w:val="60C05441"/>
    <w:rsid w:val="60E14966"/>
    <w:rsid w:val="60FF494F"/>
    <w:rsid w:val="612018B0"/>
    <w:rsid w:val="618741B1"/>
    <w:rsid w:val="62013F63"/>
    <w:rsid w:val="622A196A"/>
    <w:rsid w:val="62525166"/>
    <w:rsid w:val="63310F09"/>
    <w:rsid w:val="634B193A"/>
    <w:rsid w:val="6367429A"/>
    <w:rsid w:val="63A421DF"/>
    <w:rsid w:val="63B84F56"/>
    <w:rsid w:val="63ED139D"/>
    <w:rsid w:val="64515AE1"/>
    <w:rsid w:val="64557A48"/>
    <w:rsid w:val="64824840"/>
    <w:rsid w:val="65571836"/>
    <w:rsid w:val="657B69CF"/>
    <w:rsid w:val="65A373BB"/>
    <w:rsid w:val="65E54EB0"/>
    <w:rsid w:val="663E10C6"/>
    <w:rsid w:val="664A1D65"/>
    <w:rsid w:val="664D59C9"/>
    <w:rsid w:val="666552E6"/>
    <w:rsid w:val="668B7395"/>
    <w:rsid w:val="66A80014"/>
    <w:rsid w:val="66EA796E"/>
    <w:rsid w:val="677406C7"/>
    <w:rsid w:val="677A2413"/>
    <w:rsid w:val="679C0569"/>
    <w:rsid w:val="67B945ED"/>
    <w:rsid w:val="67BA708E"/>
    <w:rsid w:val="67CD5453"/>
    <w:rsid w:val="67DB2C51"/>
    <w:rsid w:val="67E244F8"/>
    <w:rsid w:val="68012F0F"/>
    <w:rsid w:val="68562B5B"/>
    <w:rsid w:val="686B311E"/>
    <w:rsid w:val="689E250C"/>
    <w:rsid w:val="69362744"/>
    <w:rsid w:val="69934DBD"/>
    <w:rsid w:val="69E77EB0"/>
    <w:rsid w:val="6AAA1AFA"/>
    <w:rsid w:val="6AD00976"/>
    <w:rsid w:val="6B2F5A5F"/>
    <w:rsid w:val="6B3F724F"/>
    <w:rsid w:val="6B533C17"/>
    <w:rsid w:val="6B7C0E15"/>
    <w:rsid w:val="6B855C05"/>
    <w:rsid w:val="6C046B2A"/>
    <w:rsid w:val="6C5C2368"/>
    <w:rsid w:val="6C9974B0"/>
    <w:rsid w:val="6D06067F"/>
    <w:rsid w:val="6D396CA7"/>
    <w:rsid w:val="6D3A5127"/>
    <w:rsid w:val="6E0F5663"/>
    <w:rsid w:val="6EBD7FFE"/>
    <w:rsid w:val="6EBF1B48"/>
    <w:rsid w:val="6EC13E25"/>
    <w:rsid w:val="6EC1476E"/>
    <w:rsid w:val="6ED554AF"/>
    <w:rsid w:val="6EFE2BE8"/>
    <w:rsid w:val="6F321C00"/>
    <w:rsid w:val="6F96218E"/>
    <w:rsid w:val="6FD45398"/>
    <w:rsid w:val="702E686B"/>
    <w:rsid w:val="70932120"/>
    <w:rsid w:val="70CD5F26"/>
    <w:rsid w:val="715C2F1C"/>
    <w:rsid w:val="71A30B93"/>
    <w:rsid w:val="71C31377"/>
    <w:rsid w:val="71E74047"/>
    <w:rsid w:val="71FB452B"/>
    <w:rsid w:val="71FC02A3"/>
    <w:rsid w:val="7205398F"/>
    <w:rsid w:val="72623B06"/>
    <w:rsid w:val="72AE792D"/>
    <w:rsid w:val="72CD33C4"/>
    <w:rsid w:val="733E54EC"/>
    <w:rsid w:val="736C43E3"/>
    <w:rsid w:val="73AA3571"/>
    <w:rsid w:val="73BC5AD9"/>
    <w:rsid w:val="73D85E91"/>
    <w:rsid w:val="73E53D74"/>
    <w:rsid w:val="74033B6B"/>
    <w:rsid w:val="742F0E63"/>
    <w:rsid w:val="7453751A"/>
    <w:rsid w:val="746453A7"/>
    <w:rsid w:val="74C0380A"/>
    <w:rsid w:val="74D55507"/>
    <w:rsid w:val="75DF4873"/>
    <w:rsid w:val="76013066"/>
    <w:rsid w:val="76013836"/>
    <w:rsid w:val="764D1C01"/>
    <w:rsid w:val="76813BAB"/>
    <w:rsid w:val="76AF0FAF"/>
    <w:rsid w:val="76EE0B02"/>
    <w:rsid w:val="77400CB2"/>
    <w:rsid w:val="77401EC1"/>
    <w:rsid w:val="77455630"/>
    <w:rsid w:val="77686F5C"/>
    <w:rsid w:val="77A40E96"/>
    <w:rsid w:val="77D870BC"/>
    <w:rsid w:val="786A5B72"/>
    <w:rsid w:val="78803BC5"/>
    <w:rsid w:val="78CA23D8"/>
    <w:rsid w:val="78DC2BF2"/>
    <w:rsid w:val="793B59A2"/>
    <w:rsid w:val="7A0C4A94"/>
    <w:rsid w:val="7AB61937"/>
    <w:rsid w:val="7B99300E"/>
    <w:rsid w:val="7BCF57C7"/>
    <w:rsid w:val="7BE401C5"/>
    <w:rsid w:val="7BF3506E"/>
    <w:rsid w:val="7C336426"/>
    <w:rsid w:val="7C6155D7"/>
    <w:rsid w:val="7D046393"/>
    <w:rsid w:val="7DB1356C"/>
    <w:rsid w:val="7E146EA1"/>
    <w:rsid w:val="7E5A0480"/>
    <w:rsid w:val="7F190573"/>
    <w:rsid w:val="7F384243"/>
    <w:rsid w:val="7F870749"/>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7">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56"/>
    <w:qFormat/>
    <w:uiPriority w:val="0"/>
    <w:pPr>
      <w:spacing w:before="100" w:beforeAutospacing="1" w:after="100" w:afterAutospacing="1"/>
      <w:outlineLvl w:val="1"/>
    </w:pPr>
    <w:rPr>
      <w:rFonts w:ascii="宋体" w:hAnsi="宋体"/>
      <w:b/>
      <w:bCs/>
      <w:kern w:val="0"/>
      <w:sz w:val="36"/>
      <w:szCs w:val="36"/>
    </w:rPr>
  </w:style>
  <w:style w:type="paragraph" w:styleId="9">
    <w:name w:val="heading 3"/>
    <w:basedOn w:val="1"/>
    <w:next w:val="1"/>
    <w:qFormat/>
    <w:uiPriority w:val="0"/>
    <w:pPr>
      <w:keepNext/>
      <w:keepLines/>
      <w:spacing w:before="260" w:after="260" w:line="415" w:lineRule="auto"/>
      <w:outlineLvl w:val="2"/>
    </w:pPr>
    <w:rPr>
      <w:sz w:val="32"/>
      <w:szCs w:val="32"/>
    </w:rPr>
  </w:style>
  <w:style w:type="paragraph" w:styleId="10">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1">
    <w:name w:val="heading 5"/>
    <w:basedOn w:val="1"/>
    <w:next w:val="1"/>
    <w:qFormat/>
    <w:uiPriority w:val="0"/>
    <w:pPr>
      <w:keepNext/>
      <w:keepLines/>
      <w:spacing w:before="280" w:after="290" w:line="376" w:lineRule="auto"/>
      <w:outlineLvl w:val="4"/>
    </w:pPr>
    <w:rPr>
      <w:b/>
      <w:bCs/>
      <w:sz w:val="28"/>
      <w:szCs w:val="28"/>
    </w:rPr>
  </w:style>
  <w:style w:type="paragraph" w:styleId="12">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textAlignment w:val="baseline"/>
    </w:pPr>
    <w:rPr>
      <w:rFonts w:ascii="宋体"/>
      <w:sz w:val="34"/>
    </w:rPr>
  </w:style>
  <w:style w:type="paragraph" w:styleId="3">
    <w:name w:val="Body Text"/>
    <w:basedOn w:val="1"/>
    <w:next w:val="4"/>
    <w:link w:val="188"/>
    <w:semiHidden/>
    <w:unhideWhenUsed/>
    <w:qFormat/>
    <w:uiPriority w:val="99"/>
    <w:pPr>
      <w:spacing w:after="120"/>
    </w:pPr>
  </w:style>
  <w:style w:type="paragraph" w:customStyle="1" w:styleId="4">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next w:val="6"/>
    <w:link w:val="153"/>
    <w:qFormat/>
    <w:uiPriority w:val="99"/>
    <w:pPr>
      <w:snapToGrid w:val="0"/>
    </w:pPr>
    <w:rPr>
      <w:rFonts w:asciiTheme="minorHAnsi" w:hAnsiTheme="minorHAnsi" w:eastAsiaTheme="minorEastAsia" w:cstheme="minorBidi"/>
      <w:sz w:val="18"/>
      <w:szCs w:val="18"/>
    </w:rPr>
  </w:style>
  <w:style w:type="paragraph" w:styleId="6">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13">
    <w:name w:val="index 8"/>
    <w:basedOn w:val="1"/>
    <w:next w:val="1"/>
    <w:qFormat/>
    <w:uiPriority w:val="0"/>
    <w:pPr>
      <w:ind w:left="1680" w:hanging="210"/>
    </w:pPr>
    <w:rPr>
      <w:rFonts w:ascii="Calibri" w:hAnsi="Calibri"/>
      <w:sz w:val="20"/>
      <w:szCs w:val="20"/>
    </w:rPr>
  </w:style>
  <w:style w:type="paragraph" w:styleId="14">
    <w:name w:val="Normal Indent"/>
    <w:basedOn w:val="1"/>
    <w:qFormat/>
    <w:uiPriority w:val="0"/>
    <w:pPr>
      <w:widowControl w:val="0"/>
      <w:snapToGrid w:val="0"/>
      <w:spacing w:line="520" w:lineRule="atLeast"/>
      <w:ind w:firstLine="420" w:firstLineChars="200"/>
      <w:jc w:val="both"/>
    </w:pPr>
    <w:rPr>
      <w:sz w:val="2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pPr>
    <w:rPr>
      <w:rFonts w:ascii="Calibri" w:hAnsi="Calibri"/>
      <w:sz w:val="20"/>
      <w:szCs w:val="20"/>
    </w:rPr>
  </w:style>
  <w:style w:type="paragraph" w:styleId="17">
    <w:name w:val="Document Map"/>
    <w:basedOn w:val="1"/>
    <w:link w:val="175"/>
    <w:semiHidden/>
    <w:qFormat/>
    <w:uiPriority w:val="0"/>
    <w:pPr>
      <w:shd w:val="clear" w:color="auto" w:fill="000080"/>
    </w:pPr>
    <w:rPr>
      <w:rFonts w:asciiTheme="minorHAnsi" w:hAnsiTheme="minorHAnsi" w:eastAsiaTheme="minorEastAsia" w:cstheme="minorBidi"/>
    </w:rPr>
  </w:style>
  <w:style w:type="paragraph" w:styleId="18">
    <w:name w:val="annotation text"/>
    <w:basedOn w:val="1"/>
    <w:link w:val="172"/>
    <w:semiHidden/>
    <w:qFormat/>
    <w:uiPriority w:val="0"/>
    <w:rPr>
      <w:rFonts w:asciiTheme="minorHAnsi" w:hAnsiTheme="minorHAnsi" w:eastAsiaTheme="minorEastAsia" w:cstheme="minorBidi"/>
    </w:rPr>
  </w:style>
  <w:style w:type="paragraph" w:styleId="19">
    <w:name w:val="index 6"/>
    <w:basedOn w:val="1"/>
    <w:next w:val="1"/>
    <w:qFormat/>
    <w:uiPriority w:val="0"/>
    <w:pPr>
      <w:ind w:left="1260" w:hanging="210"/>
    </w:pPr>
    <w:rPr>
      <w:rFonts w:ascii="Calibri" w:hAnsi="Calibri"/>
      <w:sz w:val="20"/>
      <w:szCs w:val="20"/>
    </w:rPr>
  </w:style>
  <w:style w:type="paragraph" w:styleId="20">
    <w:name w:val="Body Text 3"/>
    <w:basedOn w:val="1"/>
    <w:link w:val="183"/>
    <w:semiHidden/>
    <w:unhideWhenUsed/>
    <w:qFormat/>
    <w:uiPriority w:val="99"/>
    <w:pPr>
      <w:spacing w:after="120"/>
    </w:pPr>
    <w:rPr>
      <w:sz w:val="16"/>
      <w:szCs w:val="16"/>
    </w:rPr>
  </w:style>
  <w:style w:type="paragraph" w:styleId="21">
    <w:name w:val="Body Text Indent"/>
    <w:basedOn w:val="1"/>
    <w:next w:val="22"/>
    <w:unhideWhenUsed/>
    <w:qFormat/>
    <w:uiPriority w:val="99"/>
    <w:pPr>
      <w:spacing w:after="120"/>
      <w:ind w:left="420" w:leftChars="200"/>
    </w:pPr>
  </w:style>
  <w:style w:type="paragraph" w:styleId="22">
    <w:name w:val="Body Text Indent 2"/>
    <w:basedOn w:val="1"/>
    <w:next w:val="5"/>
    <w:link w:val="164"/>
    <w:qFormat/>
    <w:uiPriority w:val="99"/>
    <w:pPr>
      <w:spacing w:after="120" w:line="480" w:lineRule="auto"/>
      <w:ind w:left="420" w:leftChars="200"/>
    </w:pPr>
    <w:rPr>
      <w:rFonts w:asciiTheme="minorHAnsi" w:hAnsiTheme="minorHAnsi" w:eastAsiaTheme="minorEastAsia" w:cstheme="minorBidi"/>
    </w:rPr>
  </w:style>
  <w:style w:type="paragraph" w:styleId="23">
    <w:name w:val="index 4"/>
    <w:basedOn w:val="1"/>
    <w:next w:val="1"/>
    <w:qFormat/>
    <w:uiPriority w:val="0"/>
    <w:pPr>
      <w:ind w:left="840" w:hanging="210"/>
    </w:pPr>
    <w:rPr>
      <w:rFonts w:ascii="Calibri" w:hAnsi="Calibri"/>
      <w:sz w:val="20"/>
      <w:szCs w:val="20"/>
    </w:rPr>
  </w:style>
  <w:style w:type="paragraph" w:styleId="24">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5">
    <w:name w:val="index 3"/>
    <w:basedOn w:val="1"/>
    <w:next w:val="1"/>
    <w:qFormat/>
    <w:uiPriority w:val="0"/>
    <w:pPr>
      <w:ind w:left="630" w:hanging="210"/>
    </w:pPr>
    <w:rPr>
      <w:rFonts w:ascii="Calibri" w:hAnsi="Calibri"/>
      <w:sz w:val="20"/>
      <w:szCs w:val="20"/>
    </w:rPr>
  </w:style>
  <w:style w:type="paragraph" w:styleId="26">
    <w:name w:val="Date"/>
    <w:basedOn w:val="1"/>
    <w:next w:val="1"/>
    <w:link w:val="174"/>
    <w:qFormat/>
    <w:uiPriority w:val="99"/>
    <w:pPr>
      <w:ind w:left="100" w:leftChars="2500"/>
    </w:pPr>
    <w:rPr>
      <w:rFonts w:asciiTheme="minorHAnsi" w:hAnsiTheme="minorHAnsi" w:eastAsiaTheme="minorEastAsia" w:cstheme="minorBidi"/>
    </w:rPr>
  </w:style>
  <w:style w:type="paragraph" w:styleId="27">
    <w:name w:val="endnote text"/>
    <w:basedOn w:val="1"/>
    <w:link w:val="181"/>
    <w:semiHidden/>
    <w:qFormat/>
    <w:uiPriority w:val="0"/>
    <w:pPr>
      <w:snapToGrid w:val="0"/>
    </w:pPr>
    <w:rPr>
      <w:rFonts w:asciiTheme="minorHAnsi" w:hAnsiTheme="minorHAnsi" w:eastAsiaTheme="minorEastAsia" w:cstheme="minorBidi"/>
    </w:rPr>
  </w:style>
  <w:style w:type="paragraph" w:styleId="28">
    <w:name w:val="Balloon Text"/>
    <w:basedOn w:val="1"/>
    <w:link w:val="150"/>
    <w:qFormat/>
    <w:uiPriority w:val="99"/>
    <w:rPr>
      <w:rFonts w:asciiTheme="minorHAnsi" w:hAnsiTheme="minorHAnsi" w:eastAsiaTheme="minorEastAsia" w:cstheme="minorBidi"/>
      <w:sz w:val="18"/>
      <w:szCs w:val="18"/>
    </w:rPr>
  </w:style>
  <w:style w:type="paragraph" w:styleId="29">
    <w:name w:val="toc 1"/>
    <w:basedOn w:val="1"/>
    <w:next w:val="1"/>
    <w:semiHidden/>
    <w:qFormat/>
    <w:uiPriority w:val="0"/>
    <w:pPr>
      <w:tabs>
        <w:tab w:val="right" w:leader="dot" w:pos="9242"/>
      </w:tabs>
      <w:spacing w:beforeLines="25" w:afterLines="25"/>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1"/>
    <w:unhideWhenUsed/>
    <w:qFormat/>
    <w:uiPriority w:val="0"/>
  </w:style>
  <w:style w:type="paragraph" w:styleId="32">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3">
    <w:name w:val="index 7"/>
    <w:basedOn w:val="1"/>
    <w:next w:val="1"/>
    <w:qFormat/>
    <w:uiPriority w:val="0"/>
    <w:pPr>
      <w:ind w:left="1470" w:hanging="210"/>
    </w:pPr>
    <w:rPr>
      <w:rFonts w:ascii="Calibri" w:hAnsi="Calibri"/>
      <w:sz w:val="20"/>
      <w:szCs w:val="20"/>
    </w:rPr>
  </w:style>
  <w:style w:type="paragraph" w:styleId="34">
    <w:name w:val="index 9"/>
    <w:basedOn w:val="1"/>
    <w:next w:val="1"/>
    <w:qFormat/>
    <w:uiPriority w:val="0"/>
    <w:pPr>
      <w:ind w:left="1890" w:hanging="210"/>
    </w:pPr>
    <w:rPr>
      <w:rFonts w:ascii="Calibri" w:hAnsi="Calibri"/>
      <w:sz w:val="20"/>
      <w:szCs w:val="20"/>
    </w:rPr>
  </w:style>
  <w:style w:type="paragraph" w:styleId="35">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6">
    <w:name w:val="Body Text 2"/>
    <w:basedOn w:val="1"/>
    <w:qFormat/>
    <w:uiPriority w:val="0"/>
    <w:rPr>
      <w:bCs/>
      <w:kern w:val="0"/>
      <w:sz w:val="28"/>
      <w:szCs w:val="20"/>
    </w:rPr>
  </w:style>
  <w:style w:type="paragraph" w:styleId="37">
    <w:name w:val="HTML Preformatted"/>
    <w:basedOn w:val="1"/>
    <w:link w:val="158"/>
    <w:qFormat/>
    <w:uiPriority w:val="0"/>
    <w:rPr>
      <w:rFonts w:ascii="Courier New" w:hAnsi="Courier New" w:cs="Courier New" w:eastAsiaTheme="minorEastAsia"/>
      <w:szCs w:val="22"/>
    </w:rPr>
  </w:style>
  <w:style w:type="paragraph" w:styleId="38">
    <w:name w:val="Normal (Web)"/>
    <w:basedOn w:val="1"/>
    <w:unhideWhenUsed/>
    <w:qFormat/>
    <w:uiPriority w:val="99"/>
    <w:pPr>
      <w:spacing w:before="100" w:beforeAutospacing="1" w:after="100" w:afterAutospacing="1"/>
    </w:pPr>
    <w:rPr>
      <w:rFonts w:ascii="宋体" w:hAnsi="宋体" w:cs="宋体"/>
      <w:kern w:val="0"/>
      <w:sz w:val="24"/>
    </w:rPr>
  </w:style>
  <w:style w:type="paragraph" w:styleId="39">
    <w:name w:val="index 2"/>
    <w:basedOn w:val="1"/>
    <w:next w:val="1"/>
    <w:qFormat/>
    <w:uiPriority w:val="0"/>
    <w:pPr>
      <w:ind w:left="420" w:hanging="210"/>
    </w:pPr>
    <w:rPr>
      <w:rFonts w:ascii="Calibri" w:hAnsi="Calibri"/>
      <w:sz w:val="20"/>
      <w:szCs w:val="20"/>
    </w:rPr>
  </w:style>
  <w:style w:type="paragraph" w:styleId="40">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180"/>
    <w:semiHidden/>
    <w:qFormat/>
    <w:uiPriority w:val="0"/>
    <w:rPr>
      <w:b/>
      <w:bCs/>
    </w:rPr>
  </w:style>
  <w:style w:type="paragraph" w:styleId="42">
    <w:name w:val="Body Text First Indent 2"/>
    <w:basedOn w:val="21"/>
    <w:next w:val="14"/>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paragraph" w:customStyle="1" w:styleId="5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5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5">
    <w:name w:val="标题 1 Char"/>
    <w:basedOn w:val="45"/>
    <w:link w:val="7"/>
    <w:qFormat/>
    <w:uiPriority w:val="0"/>
    <w:rPr>
      <w:rFonts w:ascii="Times New Roman" w:hAnsi="Times New Roman" w:eastAsia="宋体" w:cs="Times New Roman"/>
      <w:b/>
      <w:bCs/>
      <w:kern w:val="44"/>
      <w:sz w:val="44"/>
      <w:szCs w:val="44"/>
    </w:rPr>
  </w:style>
  <w:style w:type="character" w:customStyle="1" w:styleId="56">
    <w:name w:val="标题 2 Char"/>
    <w:basedOn w:val="45"/>
    <w:link w:val="8"/>
    <w:qFormat/>
    <w:uiPriority w:val="0"/>
    <w:rPr>
      <w:rFonts w:ascii="宋体" w:hAnsi="宋体" w:eastAsia="宋体" w:cs="Times New Roman"/>
      <w:b/>
      <w:bCs/>
      <w:kern w:val="0"/>
      <w:sz w:val="36"/>
      <w:szCs w:val="36"/>
    </w:rPr>
  </w:style>
  <w:style w:type="character" w:customStyle="1" w:styleId="57">
    <w:name w:val="批注文字 Char"/>
    <w:semiHidden/>
    <w:qFormat/>
    <w:uiPriority w:val="0"/>
    <w:rPr>
      <w:szCs w:val="24"/>
    </w:rPr>
  </w:style>
  <w:style w:type="character" w:customStyle="1" w:styleId="58">
    <w:name w:val="批注主题 Char"/>
    <w:semiHidden/>
    <w:qFormat/>
    <w:uiPriority w:val="0"/>
    <w:rPr>
      <w:b/>
      <w:bCs/>
      <w:szCs w:val="24"/>
    </w:rPr>
  </w:style>
  <w:style w:type="character" w:customStyle="1" w:styleId="59">
    <w:name w:val="文档结构图 Char"/>
    <w:semiHidden/>
    <w:qFormat/>
    <w:uiPriority w:val="0"/>
    <w:rPr>
      <w:szCs w:val="24"/>
      <w:shd w:val="clear" w:color="auto" w:fill="000080"/>
    </w:rPr>
  </w:style>
  <w:style w:type="character" w:customStyle="1" w:styleId="60">
    <w:name w:val="脚注文本 Char"/>
    <w:qFormat/>
    <w:uiPriority w:val="0"/>
    <w:rPr>
      <w:rFonts w:ascii="宋体"/>
      <w:sz w:val="18"/>
      <w:szCs w:val="18"/>
    </w:rPr>
  </w:style>
  <w:style w:type="character" w:customStyle="1" w:styleId="61">
    <w:name w:val="con"/>
    <w:qFormat/>
    <w:uiPriority w:val="0"/>
  </w:style>
  <w:style w:type="character" w:customStyle="1" w:styleId="62">
    <w:name w:val="bar-label2"/>
    <w:qFormat/>
    <w:uiPriority w:val="99"/>
  </w:style>
  <w:style w:type="character" w:customStyle="1" w:styleId="63">
    <w:name w:val="正文文本缩进 2 Char"/>
    <w:qFormat/>
    <w:uiPriority w:val="99"/>
    <w:rPr>
      <w:szCs w:val="24"/>
    </w:rPr>
  </w:style>
  <w:style w:type="character" w:customStyle="1" w:styleId="64">
    <w:name w:val="日期 Char"/>
    <w:qFormat/>
    <w:uiPriority w:val="99"/>
    <w:rPr>
      <w:szCs w:val="24"/>
    </w:rPr>
  </w:style>
  <w:style w:type="character" w:customStyle="1" w:styleId="65">
    <w:name w:val="页脚 Char"/>
    <w:qFormat/>
    <w:locked/>
    <w:uiPriority w:val="99"/>
    <w:rPr>
      <w:sz w:val="18"/>
      <w:szCs w:val="18"/>
    </w:rPr>
  </w:style>
  <w:style w:type="character" w:customStyle="1" w:styleId="66">
    <w:name w:val="apple-converted-space"/>
    <w:basedOn w:val="45"/>
    <w:qFormat/>
    <w:uiPriority w:val="0"/>
  </w:style>
  <w:style w:type="character" w:customStyle="1" w:styleId="67">
    <w:name w:val="批注框文本 Char"/>
    <w:qFormat/>
    <w:uiPriority w:val="99"/>
    <w:rPr>
      <w:sz w:val="18"/>
      <w:szCs w:val="18"/>
    </w:rPr>
  </w:style>
  <w:style w:type="character" w:customStyle="1" w:styleId="68">
    <w:name w:val="页眉 Char"/>
    <w:qFormat/>
    <w:locked/>
    <w:uiPriority w:val="99"/>
    <w:rPr>
      <w:sz w:val="18"/>
      <w:szCs w:val="18"/>
    </w:rPr>
  </w:style>
  <w:style w:type="character" w:customStyle="1" w:styleId="69">
    <w:name w:val="首示例 Char"/>
    <w:link w:val="70"/>
    <w:qFormat/>
    <w:uiPriority w:val="0"/>
    <w:rPr>
      <w:rFonts w:ascii="宋体" w:hAnsi="宋体"/>
      <w:sz w:val="18"/>
      <w:szCs w:val="18"/>
    </w:rPr>
  </w:style>
  <w:style w:type="paragraph" w:customStyle="1" w:styleId="70">
    <w:name w:val="首示例"/>
    <w:next w:val="71"/>
    <w:link w:val="69"/>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qFormat/>
    <w:uiPriority w:val="0"/>
    <w:rPr>
      <w:rFonts w:ascii="宋体"/>
    </w:rPr>
  </w:style>
  <w:style w:type="character" w:customStyle="1" w:styleId="73">
    <w:name w:val="附录公式 Char"/>
    <w:basedOn w:val="72"/>
    <w:link w:val="74"/>
    <w:qFormat/>
    <w:uiPriority w:val="0"/>
    <w:rPr>
      <w:rFonts w:ascii="宋体"/>
    </w:rPr>
  </w:style>
  <w:style w:type="paragraph" w:customStyle="1" w:styleId="74">
    <w:name w:val="附录公式"/>
    <w:basedOn w:val="71"/>
    <w:next w:val="71"/>
    <w:link w:val="73"/>
    <w:qFormat/>
    <w:uiPriority w:val="0"/>
  </w:style>
  <w:style w:type="character" w:customStyle="1" w:styleId="75">
    <w:name w:val="发布"/>
    <w:qFormat/>
    <w:uiPriority w:val="0"/>
    <w:rPr>
      <w:rFonts w:ascii="黑体" w:eastAsia="黑体"/>
      <w:spacing w:val="85"/>
      <w:w w:val="100"/>
      <w:position w:val="3"/>
      <w:sz w:val="28"/>
      <w:szCs w:val="28"/>
    </w:rPr>
  </w:style>
  <w:style w:type="character" w:customStyle="1" w:styleId="76">
    <w:name w:val="一级条标题 Char"/>
    <w:link w:val="77"/>
    <w:qFormat/>
    <w:uiPriority w:val="0"/>
    <w:rPr>
      <w:rFonts w:ascii="黑体" w:eastAsia="黑体"/>
      <w:szCs w:val="21"/>
    </w:rPr>
  </w:style>
  <w:style w:type="paragraph" w:customStyle="1" w:styleId="77">
    <w:name w:val="一级条标题"/>
    <w:next w:val="71"/>
    <w:link w:val="7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qFormat/>
    <w:uiPriority w:val="0"/>
    <w:rPr>
      <w:rFonts w:ascii="Courier New" w:hAnsi="Courier New" w:cs="Courier New"/>
    </w:rPr>
  </w:style>
  <w:style w:type="character" w:customStyle="1" w:styleId="79">
    <w:name w:val="尾注文本 Char"/>
    <w:semiHidden/>
    <w:qFormat/>
    <w:uiPriority w:val="0"/>
    <w:rPr>
      <w:szCs w:val="24"/>
    </w:rPr>
  </w:style>
  <w:style w:type="paragraph" w:customStyle="1" w:styleId="80">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qFormat/>
    <w:uiPriority w:val="34"/>
    <w:pPr>
      <w:ind w:firstLine="420" w:firstLineChars="200"/>
    </w:pPr>
    <w:rPr>
      <w:rFonts w:ascii="宋体" w:hAnsi="宋体" w:cs="宋体"/>
      <w:kern w:val="0"/>
      <w:sz w:val="24"/>
    </w:rPr>
  </w:style>
  <w:style w:type="paragraph" w:customStyle="1" w:styleId="83">
    <w:name w:val="封面一致性程度标识2"/>
    <w:basedOn w:val="84"/>
    <w:qFormat/>
    <w:uiPriority w:val="0"/>
    <w:pPr>
      <w:framePr w:wrap="around" w:y="4469"/>
    </w:pPr>
  </w:style>
  <w:style w:type="paragraph" w:customStyle="1" w:styleId="84">
    <w:name w:val="封面一致性程度标识"/>
    <w:basedOn w:val="85"/>
    <w:qFormat/>
    <w:uiPriority w:val="0"/>
    <w:pPr>
      <w:framePr w:wrap="around"/>
      <w:spacing w:before="440"/>
    </w:pPr>
    <w:rPr>
      <w:rFonts w:ascii="宋体" w:eastAsia="宋体"/>
    </w:rPr>
  </w:style>
  <w:style w:type="paragraph" w:customStyle="1" w:styleId="85">
    <w:name w:val="封面标准英文名称"/>
    <w:basedOn w:val="86"/>
    <w:qFormat/>
    <w:uiPriority w:val="0"/>
    <w:pPr>
      <w:framePr w:wrap="around"/>
      <w:spacing w:before="370" w:line="400" w:lineRule="exact"/>
    </w:pPr>
    <w:rPr>
      <w:rFonts w:ascii="Times New Roman"/>
      <w:sz w:val="28"/>
      <w:szCs w:val="28"/>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qFormat/>
    <w:uiPriority w:val="0"/>
    <w:pPr>
      <w:framePr w:wrap="around" w:y="4469"/>
    </w:pPr>
  </w:style>
  <w:style w:type="paragraph" w:customStyle="1" w:styleId="88">
    <w:name w:val="其他发布日期"/>
    <w:basedOn w:val="89"/>
    <w:qFormat/>
    <w:uiPriority w:val="0"/>
    <w:pPr>
      <w:framePr w:wrap="around" w:vAnchor="page" w:hAnchor="text" w:x="1419"/>
    </w:pPr>
  </w:style>
  <w:style w:type="paragraph" w:customStyle="1" w:styleId="89">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qFormat/>
    <w:uiPriority w:val="0"/>
    <w:pPr>
      <w:ind w:firstLine="0" w:firstLineChars="0"/>
    </w:pPr>
  </w:style>
  <w:style w:type="paragraph" w:customStyle="1" w:styleId="91">
    <w:name w:val="正文表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qFormat/>
    <w:uiPriority w:val="0"/>
  </w:style>
  <w:style w:type="paragraph" w:customStyle="1" w:styleId="94">
    <w:name w:val="图的脚注"/>
    <w:next w:val="71"/>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qFormat/>
    <w:uiPriority w:val="0"/>
    <w:pPr>
      <w:ind w:left="840" w:hanging="420" w:firstLineChars="0"/>
    </w:pPr>
    <w:rPr>
      <w:sz w:val="18"/>
      <w:szCs w:val="18"/>
    </w:rPr>
  </w:style>
  <w:style w:type="paragraph" w:customStyle="1" w:styleId="96">
    <w:name w:val="示例后文字"/>
    <w:basedOn w:val="71"/>
    <w:next w:val="71"/>
    <w:qFormat/>
    <w:uiPriority w:val="0"/>
    <w:pPr>
      <w:ind w:firstLine="360"/>
    </w:pPr>
    <w:rPr>
      <w:sz w:val="18"/>
    </w:rPr>
  </w:style>
  <w:style w:type="paragraph" w:customStyle="1" w:styleId="97">
    <w:name w:val="实施日期"/>
    <w:basedOn w:val="89"/>
    <w:qFormat/>
    <w:uiPriority w:val="0"/>
    <w:pPr>
      <w:framePr w:wrap="around" w:vAnchor="page" w:hAnchor="text"/>
      <w:jc w:val="right"/>
    </w:pPr>
  </w:style>
  <w:style w:type="paragraph" w:customStyle="1" w:styleId="98">
    <w:name w:val="前言、引言标题"/>
    <w:next w:val="71"/>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2"/>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1"/>
    <w:qFormat/>
    <w:uiPriority w:val="0"/>
    <w:pPr>
      <w:tabs>
        <w:tab w:val="left" w:pos="360"/>
      </w:tabs>
      <w:autoSpaceDN w:val="0"/>
      <w:spacing w:beforeLines="50" w:afterLines="50"/>
      <w:outlineLvl w:val="2"/>
    </w:pPr>
  </w:style>
  <w:style w:type="paragraph" w:customStyle="1" w:styleId="106">
    <w:name w:val="附录章标题"/>
    <w:next w:val="71"/>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1"/>
    <w:qFormat/>
    <w:uiPriority w:val="0"/>
    <w:pPr>
      <w:tabs>
        <w:tab w:val="left" w:pos="360"/>
      </w:tabs>
      <w:outlineLvl w:val="6"/>
    </w:pPr>
  </w:style>
  <w:style w:type="paragraph" w:customStyle="1" w:styleId="109">
    <w:name w:val="附录四级条标题"/>
    <w:basedOn w:val="110"/>
    <w:next w:val="71"/>
    <w:qFormat/>
    <w:uiPriority w:val="0"/>
    <w:pPr>
      <w:tabs>
        <w:tab w:val="left" w:pos="360"/>
      </w:tabs>
    </w:pPr>
  </w:style>
  <w:style w:type="paragraph" w:customStyle="1" w:styleId="110">
    <w:name w:val="附录三级条标题"/>
    <w:basedOn w:val="111"/>
    <w:next w:val="71"/>
    <w:qFormat/>
    <w:uiPriority w:val="0"/>
    <w:pPr>
      <w:tabs>
        <w:tab w:val="left" w:pos="360"/>
      </w:tabs>
    </w:pPr>
  </w:style>
  <w:style w:type="paragraph" w:customStyle="1" w:styleId="111">
    <w:name w:val="附录二级条标题"/>
    <w:basedOn w:val="1"/>
    <w:next w:val="71"/>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1"/>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qFormat/>
    <w:uiPriority w:val="0"/>
  </w:style>
  <w:style w:type="paragraph" w:customStyle="1" w:styleId="116">
    <w:name w:val="注："/>
    <w:next w:val="71"/>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1"/>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1"/>
    <w:next w:val="71"/>
    <w:qFormat/>
    <w:uiPriority w:val="0"/>
    <w:pPr>
      <w:ind w:firstLine="0" w:firstLineChars="0"/>
      <w:jc w:val="center"/>
    </w:pPr>
    <w:rPr>
      <w:rFonts w:ascii="黑体" w:eastAsia="黑体"/>
    </w:rPr>
  </w:style>
  <w:style w:type="paragraph" w:customStyle="1" w:styleId="120">
    <w:name w:val="参考文献"/>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4"/>
    <w:qFormat/>
    <w:uiPriority w:val="0"/>
    <w:pPr>
      <w:framePr w:wrap="around"/>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7"/>
    <w:qFormat/>
    <w:uiPriority w:val="0"/>
    <w:pPr>
      <w:framePr w:wrap="around" w:vAnchor="margin" w:hAnchor="page"/>
    </w:p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1"/>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1"/>
    <w:qFormat/>
    <w:uiPriority w:val="0"/>
  </w:style>
  <w:style w:type="paragraph" w:customStyle="1" w:styleId="128">
    <w:name w:val="参考文献、索引标题"/>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1"/>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1"/>
    <w:qFormat/>
    <w:uiPriority w:val="0"/>
  </w:style>
  <w:style w:type="paragraph" w:customStyle="1" w:styleId="141">
    <w:name w:val="四级条标题"/>
    <w:basedOn w:val="142"/>
    <w:next w:val="71"/>
    <w:qFormat/>
    <w:uiPriority w:val="0"/>
  </w:style>
  <w:style w:type="paragraph" w:customStyle="1" w:styleId="142">
    <w:name w:val="三级条标题"/>
    <w:basedOn w:val="143"/>
    <w:next w:val="71"/>
    <w:qFormat/>
    <w:uiPriority w:val="0"/>
  </w:style>
  <w:style w:type="paragraph" w:customStyle="1" w:styleId="143">
    <w:name w:val="二级条标题"/>
    <w:basedOn w:val="77"/>
    <w:next w:val="71"/>
    <w:qFormat/>
    <w:uiPriority w:val="0"/>
  </w:style>
  <w:style w:type="paragraph" w:customStyle="1" w:styleId="144">
    <w:name w:val="四级无"/>
    <w:basedOn w:val="141"/>
    <w:qFormat/>
    <w:uiPriority w:val="0"/>
  </w:style>
  <w:style w:type="paragraph" w:customStyle="1" w:styleId="145">
    <w:name w:val="三级无"/>
    <w:basedOn w:val="142"/>
    <w:qFormat/>
    <w:uiPriority w:val="0"/>
  </w:style>
  <w:style w:type="paragraph" w:customStyle="1" w:styleId="146">
    <w:name w:val="其他标准标志"/>
    <w:basedOn w:val="130"/>
    <w:qFormat/>
    <w:uiPriority w:val="0"/>
    <w:pPr>
      <w:framePr w:w="6101" w:wrap="around" w:vAnchor="page" w:hAnchor="page" w:x="4673" w:y="942"/>
    </w:pPr>
    <w:rPr>
      <w:w w:val="130"/>
    </w:rPr>
  </w:style>
  <w:style w:type="paragraph" w:customStyle="1" w:styleId="147">
    <w:name w:val="目次、标准名称标题"/>
    <w:basedOn w:val="1"/>
    <w:next w:val="71"/>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Char1"/>
    <w:basedOn w:val="45"/>
    <w:link w:val="28"/>
    <w:semiHidden/>
    <w:qFormat/>
    <w:uiPriority w:val="99"/>
    <w:rPr>
      <w:rFonts w:ascii="Times New Roman" w:hAnsi="Times New Roman" w:eastAsia="宋体" w:cs="Times New Roman"/>
      <w:sz w:val="18"/>
      <w:szCs w:val="18"/>
    </w:rPr>
  </w:style>
  <w:style w:type="paragraph" w:customStyle="1" w:styleId="151">
    <w:name w:val="列项◆（三级）"/>
    <w:basedOn w:val="1"/>
    <w:qFormat/>
    <w:uiPriority w:val="99"/>
    <w:pPr>
      <w:tabs>
        <w:tab w:val="left" w:pos="969"/>
      </w:tabs>
      <w:ind w:left="969" w:hanging="414"/>
    </w:pPr>
    <w:rPr>
      <w:rFonts w:ascii="宋体"/>
      <w:szCs w:val="21"/>
    </w:rPr>
  </w:style>
  <w:style w:type="paragraph" w:customStyle="1" w:styleId="152">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Char1"/>
    <w:basedOn w:val="45"/>
    <w:link w:val="5"/>
    <w:semiHidden/>
    <w:qFormat/>
    <w:uiPriority w:val="99"/>
    <w:rPr>
      <w:rFonts w:ascii="Times New Roman" w:hAnsi="Times New Roman" w:eastAsia="宋体" w:cs="Times New Roman"/>
      <w:sz w:val="18"/>
      <w:szCs w:val="18"/>
    </w:rPr>
  </w:style>
  <w:style w:type="paragraph" w:customStyle="1" w:styleId="154">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qFormat/>
    <w:uiPriority w:val="0"/>
    <w:pPr>
      <w:framePr w:wrap="around" w:y="15310"/>
      <w:spacing w:line="0" w:lineRule="atLeast"/>
    </w:pPr>
    <w:rPr>
      <w:rFonts w:ascii="黑体" w:eastAsia="黑体"/>
      <w:b w:val="0"/>
    </w:rPr>
  </w:style>
  <w:style w:type="paragraph" w:customStyle="1" w:styleId="156">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Char1"/>
    <w:basedOn w:val="45"/>
    <w:link w:val="37"/>
    <w:semiHidden/>
    <w:qFormat/>
    <w:uiPriority w:val="99"/>
    <w:rPr>
      <w:rFonts w:ascii="Courier New" w:hAnsi="Courier New" w:eastAsia="宋体" w:cs="Courier New"/>
      <w:sz w:val="20"/>
      <w:szCs w:val="20"/>
    </w:rPr>
  </w:style>
  <w:style w:type="paragraph" w:customStyle="1" w:styleId="159">
    <w:name w:val="附录标识"/>
    <w:basedOn w:val="1"/>
    <w:next w:val="71"/>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Char1"/>
    <w:basedOn w:val="45"/>
    <w:link w:val="32"/>
    <w:semiHidden/>
    <w:qFormat/>
    <w:uiPriority w:val="99"/>
    <w:rPr>
      <w:rFonts w:ascii="Times New Roman" w:hAnsi="Times New Roman" w:eastAsia="宋体" w:cs="Times New Roman"/>
      <w:sz w:val="18"/>
      <w:szCs w:val="18"/>
    </w:rPr>
  </w:style>
  <w:style w:type="paragraph" w:customStyle="1" w:styleId="161">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qFormat/>
    <w:uiPriority w:val="0"/>
  </w:style>
  <w:style w:type="paragraph" w:customStyle="1" w:styleId="163">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Char1"/>
    <w:basedOn w:val="45"/>
    <w:link w:val="22"/>
    <w:semiHidden/>
    <w:qFormat/>
    <w:uiPriority w:val="99"/>
    <w:rPr>
      <w:rFonts w:ascii="Times New Roman" w:hAnsi="Times New Roman" w:eastAsia="宋体" w:cs="Times New Roman"/>
      <w:szCs w:val="24"/>
    </w:rPr>
  </w:style>
  <w:style w:type="paragraph" w:customStyle="1" w:styleId="165">
    <w:name w:val="封面标准文稿编辑信息2"/>
    <w:basedOn w:val="166"/>
    <w:qFormat/>
    <w:uiPriority w:val="0"/>
    <w:pPr>
      <w:framePr w:wrap="around" w:y="4469"/>
    </w:pPr>
  </w:style>
  <w:style w:type="paragraph" w:customStyle="1" w:styleId="166">
    <w:name w:val="封面标准文稿编辑信息"/>
    <w:basedOn w:val="122"/>
    <w:qFormat/>
    <w:uiPriority w:val="0"/>
    <w:pPr>
      <w:framePr w:wrap="around"/>
      <w:spacing w:before="180" w:line="180" w:lineRule="exact"/>
    </w:pPr>
    <w:rPr>
      <w:sz w:val="21"/>
    </w:rPr>
  </w:style>
  <w:style w:type="paragraph" w:customStyle="1" w:styleId="167">
    <w:name w:val="附录表标题"/>
    <w:basedOn w:val="1"/>
    <w:next w:val="71"/>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qFormat/>
    <w:uiPriority w:val="0"/>
    <w:pPr>
      <w:jc w:val="left"/>
    </w:pPr>
  </w:style>
  <w:style w:type="paragraph" w:customStyle="1" w:styleId="169">
    <w:name w:val="附录表标号"/>
    <w:basedOn w:val="1"/>
    <w:next w:val="71"/>
    <w:qFormat/>
    <w:uiPriority w:val="0"/>
    <w:pPr>
      <w:spacing w:line="14" w:lineRule="exact"/>
      <w:ind w:left="811" w:hanging="448"/>
      <w:jc w:val="center"/>
      <w:outlineLvl w:val="0"/>
    </w:pPr>
    <w:rPr>
      <w:color w:val="FFFFFF"/>
    </w:rPr>
  </w:style>
  <w:style w:type="paragraph" w:customStyle="1" w:styleId="170">
    <w:name w:val="图表脚注说明"/>
    <w:basedOn w:val="1"/>
    <w:qFormat/>
    <w:uiPriority w:val="0"/>
    <w:pPr>
      <w:ind w:left="544" w:hanging="181"/>
    </w:pPr>
    <w:rPr>
      <w:rFonts w:ascii="宋体"/>
      <w:sz w:val="18"/>
      <w:szCs w:val="18"/>
    </w:rPr>
  </w:style>
  <w:style w:type="character" w:customStyle="1" w:styleId="171">
    <w:name w:val="页脚 Char1"/>
    <w:basedOn w:val="45"/>
    <w:link w:val="6"/>
    <w:semiHidden/>
    <w:qFormat/>
    <w:uiPriority w:val="99"/>
    <w:rPr>
      <w:rFonts w:ascii="Times New Roman" w:hAnsi="Times New Roman" w:eastAsia="宋体" w:cs="Times New Roman"/>
      <w:sz w:val="18"/>
      <w:szCs w:val="18"/>
    </w:rPr>
  </w:style>
  <w:style w:type="character" w:customStyle="1" w:styleId="172">
    <w:name w:val="批注文字 Char1"/>
    <w:basedOn w:val="45"/>
    <w:link w:val="18"/>
    <w:semiHidden/>
    <w:qFormat/>
    <w:uiPriority w:val="99"/>
    <w:rPr>
      <w:rFonts w:ascii="Times New Roman" w:hAnsi="Times New Roman" w:eastAsia="宋体" w:cs="Times New Roman"/>
      <w:szCs w:val="24"/>
    </w:rPr>
  </w:style>
  <w:style w:type="paragraph" w:customStyle="1" w:styleId="173">
    <w:name w:val="封面标准名称2"/>
    <w:basedOn w:val="86"/>
    <w:qFormat/>
    <w:uiPriority w:val="0"/>
    <w:pPr>
      <w:framePr w:wrap="around" w:y="4469"/>
      <w:spacing w:beforeLines="630"/>
    </w:pPr>
  </w:style>
  <w:style w:type="character" w:customStyle="1" w:styleId="174">
    <w:name w:val="日期 Char1"/>
    <w:basedOn w:val="45"/>
    <w:link w:val="26"/>
    <w:semiHidden/>
    <w:qFormat/>
    <w:uiPriority w:val="99"/>
    <w:rPr>
      <w:rFonts w:ascii="Times New Roman" w:hAnsi="Times New Roman" w:eastAsia="宋体" w:cs="Times New Roman"/>
      <w:szCs w:val="24"/>
    </w:rPr>
  </w:style>
  <w:style w:type="character" w:customStyle="1" w:styleId="175">
    <w:name w:val="文档结构图 Char1"/>
    <w:basedOn w:val="45"/>
    <w:link w:val="17"/>
    <w:semiHidden/>
    <w:qFormat/>
    <w:uiPriority w:val="99"/>
    <w:rPr>
      <w:rFonts w:ascii="宋体" w:hAnsi="Times New Roman" w:eastAsia="宋体" w:cs="Times New Roman"/>
      <w:sz w:val="18"/>
      <w:szCs w:val="18"/>
    </w:rPr>
  </w:style>
  <w:style w:type="paragraph" w:customStyle="1" w:styleId="176">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wrap="around" w:y="4469"/>
    </w:pPr>
  </w:style>
  <w:style w:type="paragraph" w:customStyle="1" w:styleId="178">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Char1"/>
    <w:basedOn w:val="172"/>
    <w:link w:val="41"/>
    <w:semiHidden/>
    <w:qFormat/>
    <w:uiPriority w:val="99"/>
    <w:rPr>
      <w:rFonts w:ascii="Times New Roman" w:hAnsi="Times New Roman" w:eastAsia="宋体" w:cs="Times New Roman"/>
      <w:b/>
      <w:bCs/>
      <w:szCs w:val="24"/>
    </w:rPr>
  </w:style>
  <w:style w:type="character" w:customStyle="1" w:styleId="181">
    <w:name w:val="尾注文本 Char1"/>
    <w:basedOn w:val="45"/>
    <w:link w:val="27"/>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Char"/>
    <w:basedOn w:val="45"/>
    <w:link w:val="20"/>
    <w:semiHidden/>
    <w:qFormat/>
    <w:uiPriority w:val="99"/>
    <w:rPr>
      <w:rFonts w:ascii="Times New Roman" w:hAnsi="Times New Roman" w:eastAsia="宋体" w:cs="Times New Roman"/>
      <w:sz w:val="16"/>
      <w:szCs w:val="16"/>
    </w:rPr>
  </w:style>
  <w:style w:type="character" w:customStyle="1" w:styleId="184">
    <w:name w:val="标题 Char"/>
    <w:basedOn w:val="45"/>
    <w:link w:val="40"/>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Char"/>
    <w:basedOn w:val="45"/>
    <w:link w:val="24"/>
    <w:qFormat/>
    <w:uiPriority w:val="99"/>
    <w:rPr>
      <w:rFonts w:ascii="宋体" w:hAnsi="Courier New" w:eastAsia="宋体" w:cs="Courier New"/>
      <w:szCs w:val="21"/>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Char"/>
    <w:basedOn w:val="45"/>
    <w:link w:val="3"/>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Char"/>
    <w:basedOn w:val="45"/>
    <w:link w:val="10"/>
    <w:semiHidden/>
    <w:qFormat/>
    <w:uiPriority w:val="9"/>
    <w:rPr>
      <w:rFonts w:asciiTheme="majorHAnsi" w:hAnsiTheme="majorHAnsi" w:eastAsiaTheme="majorEastAsia" w:cstheme="majorBidi"/>
      <w:b/>
      <w:bCs/>
      <w:kern w:val="2"/>
      <w:sz w:val="28"/>
      <w:szCs w:val="28"/>
    </w:rPr>
  </w:style>
  <w:style w:type="paragraph" w:customStyle="1" w:styleId="191">
    <w:name w:val="_Style 2"/>
    <w:basedOn w:val="7"/>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qFormat/>
    <w:uiPriority w:val="31"/>
    <w:rPr>
      <w:smallCaps/>
      <w:color w:val="C0504D"/>
      <w:u w:val="single"/>
    </w:rPr>
  </w:style>
  <w:style w:type="paragraph" w:customStyle="1" w:styleId="193">
    <w:name w:val="纯文本1"/>
    <w:basedOn w:val="1"/>
    <w:qFormat/>
    <w:uiPriority w:val="0"/>
    <w:rPr>
      <w:rFonts w:ascii="宋体" w:hAnsi="Courier New" w:cs="Courier New"/>
      <w:szCs w:val="21"/>
    </w:rPr>
  </w:style>
  <w:style w:type="paragraph" w:customStyle="1" w:styleId="194">
    <w:name w:val="CM99"/>
    <w:basedOn w:val="54"/>
    <w:next w:val="54"/>
    <w:qFormat/>
    <w:uiPriority w:val="0"/>
    <w:pPr>
      <w:spacing w:after="443"/>
    </w:pPr>
  </w:style>
  <w:style w:type="paragraph" w:customStyle="1" w:styleId="195">
    <w:name w:val="CM80"/>
    <w:basedOn w:val="54"/>
    <w:next w:val="54"/>
    <w:qFormat/>
    <w:uiPriority w:val="0"/>
    <w:pPr>
      <w:spacing w:line="440" w:lineRule="atLeast"/>
    </w:pPr>
  </w:style>
  <w:style w:type="paragraph" w:customStyle="1" w:styleId="196">
    <w:name w:val="BodyText"/>
    <w:basedOn w:val="1"/>
    <w:qFormat/>
    <w:uiPriority w:val="0"/>
    <w:pPr>
      <w:jc w:val="center"/>
      <w:textAlignment w:val="baseline"/>
    </w:pPr>
    <w:rPr>
      <w:rFonts w:ascii="仿宋_GB2312" w:hAnsi="ˎ̥"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A957-CB18-488C-A73C-1DABD520223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60</Pages>
  <Words>28290</Words>
  <Characters>30525</Characters>
  <Lines>239</Lines>
  <Paragraphs>67</Paragraphs>
  <TotalTime>5</TotalTime>
  <ScaleCrop>false</ScaleCrop>
  <LinksUpToDate>false</LinksUpToDate>
  <CharactersWithSpaces>31700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2023-07-28T01:59:00Z</dcterms:created>
  <dc:creator>lenovo</dc:creator>
  <cp:lastModifiedBy>战地残阳断刃血淌</cp:lastModifiedBy>
  <cp:lastPrinted>2021-11-24T02:21:00Z</cp:lastPrinted>
  <dcterms:modified xsi:type="dcterms:W3CDTF">2023-10-23T03:28:53Z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4261DD97D6034168977BDBABBB5ECE5D_13</vt:lpwstr>
  </property>
</Properties>
</file>