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rPr>
          <w:rFonts w:hint="eastAsia" w:ascii="宋体" w:hAnsi="宋体" w:eastAsia="宋体" w:cs="宋体"/>
          <w:b/>
          <w:bCs/>
          <w:color w:val="auto"/>
          <w:sz w:val="44"/>
          <w:szCs w:val="44"/>
          <w:u w:val="none"/>
          <w:lang w:val="en-US" w:eastAsia="zh-CN"/>
        </w:rPr>
      </w:pPr>
    </w:p>
    <w:p>
      <w:pPr>
        <w:snapToGrid w:val="0"/>
        <w:spacing w:line="900" w:lineRule="exact"/>
        <w:jc w:val="center"/>
        <w:rPr>
          <w:rFonts w:hint="eastAsia" w:ascii="宋体" w:hAnsi="宋体" w:eastAsia="宋体" w:cs="宋体"/>
          <w:b/>
          <w:bCs/>
          <w:color w:val="auto"/>
          <w:sz w:val="44"/>
          <w:szCs w:val="44"/>
          <w:u w:val="none"/>
          <w:lang w:val="en-US" w:eastAsia="zh-CN"/>
        </w:rPr>
      </w:pPr>
    </w:p>
    <w:p>
      <w:pPr>
        <w:snapToGrid w:val="0"/>
        <w:spacing w:line="900" w:lineRule="exact"/>
        <w:jc w:val="center"/>
        <w:rPr>
          <w:rFonts w:hint="eastAsia" w:ascii="宋体" w:hAnsi="宋体" w:eastAsia="宋体" w:cs="宋体"/>
          <w:b/>
          <w:bCs/>
          <w:color w:val="auto"/>
          <w:sz w:val="44"/>
          <w:szCs w:val="44"/>
          <w:u w:val="none"/>
          <w:lang w:val="en-US" w:eastAsia="zh-CN"/>
        </w:rPr>
      </w:pPr>
      <w:r>
        <w:rPr>
          <w:rFonts w:hint="eastAsia" w:ascii="宋体" w:hAnsi="宋体" w:eastAsia="宋体" w:cs="宋体"/>
          <w:b/>
          <w:bCs/>
          <w:color w:val="auto"/>
          <w:sz w:val="44"/>
          <w:szCs w:val="44"/>
          <w:u w:val="none"/>
          <w:lang w:val="en-US" w:eastAsia="zh-CN"/>
        </w:rPr>
        <w:t>岳阳城陵矶港务有限责任公司</w:t>
      </w:r>
    </w:p>
    <w:p>
      <w:pPr>
        <w:snapToGrid w:val="0"/>
        <w:spacing w:line="900" w:lineRule="exact"/>
        <w:jc w:val="center"/>
        <w:rPr>
          <w:rFonts w:hint="eastAsia" w:ascii="宋体" w:hAnsi="宋体" w:eastAsia="宋体" w:cs="宋体"/>
          <w:b/>
          <w:bCs/>
          <w:color w:val="auto"/>
          <w:sz w:val="52"/>
          <w:szCs w:val="52"/>
          <w:highlight w:val="none"/>
          <w:u w:val="none"/>
          <w:lang w:val="en-US" w:eastAsia="zh-CN"/>
        </w:rPr>
      </w:pPr>
      <w:r>
        <w:rPr>
          <w:rFonts w:hint="eastAsia" w:ascii="宋体" w:hAnsi="宋体" w:cs="宋体"/>
          <w:b/>
          <w:bCs/>
          <w:color w:val="auto"/>
          <w:sz w:val="44"/>
          <w:szCs w:val="44"/>
          <w:u w:val="none"/>
          <w:lang w:val="en-US" w:eastAsia="zh-CN"/>
        </w:rPr>
        <w:t>撬装式加油装置</w:t>
      </w:r>
      <w:r>
        <w:rPr>
          <w:rFonts w:hint="eastAsia" w:ascii="宋体" w:hAnsi="宋体" w:eastAsia="宋体" w:cs="宋体"/>
          <w:b/>
          <w:bCs/>
          <w:color w:val="auto"/>
          <w:sz w:val="44"/>
          <w:szCs w:val="44"/>
          <w:u w:val="none"/>
          <w:lang w:val="en-US" w:eastAsia="zh-CN"/>
        </w:rPr>
        <w:t>询价采购文件</w:t>
      </w:r>
    </w:p>
    <w:p>
      <w:pPr>
        <w:pStyle w:val="38"/>
        <w:rPr>
          <w:rFonts w:hint="eastAsia" w:ascii="宋体" w:hAnsi="宋体" w:eastAsia="宋体" w:cs="宋体"/>
          <w:b w:val="0"/>
          <w:bCs w:val="0"/>
          <w:color w:val="auto"/>
          <w:sz w:val="24"/>
          <w:szCs w:val="20"/>
          <w:u w:val="none"/>
          <w:lang w:val="en-US" w:eastAsia="zh-CN"/>
        </w:rPr>
      </w:pPr>
    </w:p>
    <w:p>
      <w:pPr>
        <w:jc w:val="center"/>
        <w:rPr>
          <w:rFonts w:hint="eastAsia" w:ascii="宋体" w:hAnsi="宋体" w:eastAsia="宋体" w:cs="宋体"/>
          <w:b/>
          <w:color w:val="auto"/>
          <w:kern w:val="0"/>
          <w:sz w:val="28"/>
          <w:szCs w:val="28"/>
          <w:highlight w:val="none"/>
        </w:rPr>
      </w:pPr>
    </w:p>
    <w:p>
      <w:pPr>
        <w:snapToGrid w:val="0"/>
        <w:spacing w:line="480" w:lineRule="auto"/>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 xml:space="preserve">采购编号：城港货（2023）年询第 </w:t>
      </w:r>
      <w:r>
        <w:rPr>
          <w:rFonts w:hint="eastAsia" w:ascii="宋体" w:hAnsi="宋体" w:cs="宋体"/>
          <w:b/>
          <w:bCs/>
          <w:color w:val="auto"/>
          <w:sz w:val="30"/>
          <w:szCs w:val="30"/>
          <w:highlight w:val="none"/>
          <w:lang w:val="en-US" w:eastAsia="zh-CN"/>
        </w:rPr>
        <w:t>28</w:t>
      </w:r>
      <w:r>
        <w:rPr>
          <w:rFonts w:hint="eastAsia" w:ascii="宋体" w:hAnsi="宋体" w:eastAsia="宋体" w:cs="宋体"/>
          <w:b/>
          <w:bCs/>
          <w:color w:val="auto"/>
          <w:sz w:val="30"/>
          <w:szCs w:val="30"/>
          <w:highlight w:val="none"/>
          <w:lang w:val="en-US" w:eastAsia="zh-CN"/>
        </w:rPr>
        <w:t>号</w:t>
      </w:r>
    </w:p>
    <w:p>
      <w:pPr>
        <w:spacing w:line="600" w:lineRule="exact"/>
        <w:rPr>
          <w:rFonts w:hint="eastAsia" w:ascii="宋体" w:hAnsi="宋体" w:eastAsia="宋体" w:cs="宋体"/>
          <w:color w:val="auto"/>
          <w:highlight w:val="none"/>
        </w:rPr>
      </w:pPr>
    </w:p>
    <w:p>
      <w:pPr>
        <w:spacing w:line="600" w:lineRule="exact"/>
        <w:rPr>
          <w:rFonts w:hint="eastAsia" w:ascii="宋体" w:hAnsi="宋体" w:eastAsia="宋体" w:cs="宋体"/>
          <w:color w:val="auto"/>
          <w:highlight w:val="none"/>
        </w:rPr>
      </w:pPr>
    </w:p>
    <w:p>
      <w:pPr>
        <w:spacing w:line="600" w:lineRule="exact"/>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ind w:left="0" w:firstLine="0"/>
        <w:rPr>
          <w:rFonts w:hint="eastAsia" w:ascii="宋体" w:hAnsi="宋体" w:eastAsia="宋体" w:cs="宋体"/>
          <w:color w:val="auto"/>
          <w:highlight w:val="none"/>
        </w:rPr>
      </w:pPr>
    </w:p>
    <w:p>
      <w:pPr>
        <w:spacing w:line="600" w:lineRule="exact"/>
        <w:rPr>
          <w:rFonts w:hint="eastAsia" w:ascii="宋体" w:hAnsi="宋体" w:eastAsia="宋体" w:cs="宋体"/>
          <w:color w:val="auto"/>
          <w:highlight w:val="none"/>
        </w:rPr>
      </w:pPr>
    </w:p>
    <w:p>
      <w:pPr>
        <w:snapToGrid w:val="0"/>
        <w:spacing w:line="900" w:lineRule="exact"/>
        <w:jc w:val="center"/>
        <w:rPr>
          <w:rFonts w:hint="eastAsia" w:ascii="宋体" w:hAnsi="宋体" w:eastAsia="宋体" w:cs="宋体"/>
          <w:b/>
          <w:bCs/>
          <w:color w:val="auto"/>
          <w:sz w:val="44"/>
          <w:szCs w:val="44"/>
          <w:u w:val="none"/>
          <w:lang w:val="en-US" w:eastAsia="zh-CN"/>
        </w:rPr>
      </w:pPr>
    </w:p>
    <w:p>
      <w:pPr>
        <w:snapToGrid w:val="0"/>
        <w:spacing w:line="900" w:lineRule="exact"/>
        <w:jc w:val="center"/>
        <w:rPr>
          <w:rFonts w:hint="eastAsia" w:ascii="宋体" w:hAnsi="宋体" w:eastAsia="宋体" w:cs="宋体"/>
          <w:bCs/>
          <w:color w:val="auto"/>
          <w:sz w:val="32"/>
          <w:szCs w:val="32"/>
          <w:highlight w:val="none"/>
        </w:rPr>
      </w:pPr>
      <w:r>
        <w:rPr>
          <w:rFonts w:hint="eastAsia" w:ascii="宋体" w:hAnsi="宋体" w:eastAsia="宋体" w:cs="宋体"/>
          <w:b/>
          <w:bCs/>
          <w:color w:val="auto"/>
          <w:sz w:val="32"/>
          <w:szCs w:val="32"/>
          <w:u w:val="none"/>
          <w:lang w:val="en-US" w:eastAsia="zh-CN"/>
        </w:rPr>
        <w:t>岳阳城陵矶港务有限责任公司</w:t>
      </w:r>
    </w:p>
    <w:p>
      <w:pPr>
        <w:tabs>
          <w:tab w:val="left" w:pos="0"/>
          <w:tab w:val="left" w:pos="4185"/>
        </w:tabs>
        <w:spacing w:line="288" w:lineRule="auto"/>
        <w:ind w:right="-6"/>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w:t>
      </w:r>
      <w:r>
        <w:rPr>
          <w:rFonts w:hint="eastAsia" w:ascii="宋体" w:hAnsi="宋体" w:eastAsia="宋体" w:cs="宋体"/>
          <w:bCs/>
          <w:color w:val="auto"/>
          <w:sz w:val="32"/>
          <w:szCs w:val="32"/>
          <w:highlight w:val="none"/>
          <w:lang w:val="en-US" w:eastAsia="zh-CN"/>
        </w:rPr>
        <w:t>0</w:t>
      </w:r>
      <w:r>
        <w:rPr>
          <w:rFonts w:hint="eastAsia" w:ascii="宋体" w:hAnsi="宋体" w:eastAsia="宋体" w:cs="宋体"/>
          <w:bCs/>
          <w:color w:val="auto"/>
          <w:sz w:val="32"/>
          <w:szCs w:val="32"/>
          <w:highlight w:val="none"/>
        </w:rPr>
        <w:t>二</w:t>
      </w:r>
      <w:r>
        <w:rPr>
          <w:rFonts w:hint="eastAsia" w:ascii="宋体" w:hAnsi="宋体" w:eastAsia="宋体" w:cs="宋体"/>
          <w:bCs/>
          <w:color w:val="auto"/>
          <w:sz w:val="32"/>
          <w:szCs w:val="32"/>
          <w:highlight w:val="none"/>
          <w:lang w:val="en-US" w:eastAsia="zh-CN"/>
        </w:rPr>
        <w:t>三</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十</w:t>
      </w:r>
      <w:r>
        <w:rPr>
          <w:rFonts w:hint="eastAsia" w:ascii="宋体" w:hAnsi="宋体" w:eastAsia="宋体" w:cs="宋体"/>
          <w:bCs/>
          <w:color w:val="auto"/>
          <w:sz w:val="32"/>
          <w:szCs w:val="32"/>
          <w:highlight w:val="none"/>
        </w:rPr>
        <w:t>月</w:t>
      </w:r>
    </w:p>
    <w:sdt>
      <w:sdtPr>
        <w:rPr>
          <w:rFonts w:hint="eastAsia" w:ascii="宋体" w:hAnsi="宋体" w:eastAsia="宋体" w:cs="宋体"/>
          <w:color w:val="auto"/>
          <w:kern w:val="2"/>
          <w:sz w:val="21"/>
          <w:szCs w:val="24"/>
          <w:lang w:val="en-US" w:eastAsia="zh-CN" w:bidi="ar-SA"/>
        </w:rPr>
        <w:id w:val="147480426"/>
        <w15:color w:val="DBDBDB"/>
        <w:docPartObj>
          <w:docPartGallery w:val="Table of Contents"/>
          <w:docPartUnique/>
        </w:docPartObj>
      </w:sdtPr>
      <w:sdtEndPr>
        <w:rPr>
          <w:rFonts w:hint="eastAsia" w:ascii="宋体" w:hAnsi="宋体" w:eastAsia="宋体" w:cs="宋体"/>
          <w:color w:val="auto"/>
          <w:kern w:val="2"/>
          <w:sz w:val="30"/>
          <w:szCs w:val="30"/>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color w:val="auto"/>
              <w:sz w:val="44"/>
              <w:szCs w:val="44"/>
            </w:rPr>
          </w:pPr>
          <w:r>
            <w:rPr>
              <w:rFonts w:hint="eastAsia" w:ascii="宋体" w:hAnsi="宋体" w:eastAsia="宋体" w:cs="宋体"/>
              <w:color w:val="auto"/>
              <w:sz w:val="44"/>
              <w:szCs w:val="44"/>
            </w:rPr>
            <w:t>目</w:t>
          </w:r>
          <w:r>
            <w:rPr>
              <w:rFonts w:hint="eastAsia" w:ascii="宋体" w:hAnsi="宋体" w:eastAsia="宋体" w:cs="宋体"/>
              <w:color w:val="auto"/>
              <w:sz w:val="44"/>
              <w:szCs w:val="44"/>
              <w:lang w:val="en-US" w:eastAsia="zh-CN"/>
            </w:rPr>
            <w:t xml:space="preserve">  </w:t>
          </w:r>
          <w:r>
            <w:rPr>
              <w:rFonts w:hint="eastAsia" w:ascii="宋体" w:hAnsi="宋体" w:eastAsia="宋体" w:cs="宋体"/>
              <w:color w:val="auto"/>
              <w:sz w:val="44"/>
              <w:szCs w:val="44"/>
            </w:rPr>
            <w:t>录</w:t>
          </w:r>
        </w:p>
        <w:p>
          <w:pPr>
            <w:pStyle w:val="190"/>
            <w:tabs>
              <w:tab w:val="right" w:leader="dot" w:pos="8300"/>
            </w:tabs>
            <w:rPr>
              <w:rFonts w:hint="eastAsia" w:ascii="宋体" w:hAnsi="宋体" w:eastAsia="宋体" w:cs="宋体"/>
              <w:color w:val="auto"/>
              <w:sz w:val="24"/>
              <w:szCs w:val="24"/>
              <w:lang w:val="zh-CN"/>
            </w:rPr>
          </w:pPr>
        </w:p>
        <w:p>
          <w:pPr>
            <w:pStyle w:val="190"/>
            <w:tabs>
              <w:tab w:val="right" w:leader="dot" w:pos="8300"/>
            </w:tabs>
            <w:rPr>
              <w:rFonts w:hint="eastAsia" w:ascii="宋体" w:hAnsi="宋体" w:eastAsia="宋体" w:cs="宋体"/>
              <w:color w:val="auto"/>
              <w:sz w:val="30"/>
              <w:szCs w:val="30"/>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TOC \o "1-1" \h \u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_Toc28648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rPr>
            <w:t xml:space="preserve">第一章 </w:t>
          </w:r>
          <w:r>
            <w:rPr>
              <w:rFonts w:hint="eastAsia" w:ascii="宋体" w:hAnsi="宋体" w:eastAsia="宋体" w:cs="宋体"/>
              <w:color w:val="auto"/>
              <w:sz w:val="30"/>
              <w:szCs w:val="30"/>
              <w:highlight w:val="none"/>
            </w:rPr>
            <w:t>采购公告</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_Toc28648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2</w:t>
          </w:r>
          <w:r>
            <w:rPr>
              <w:rFonts w:hint="eastAsia" w:ascii="宋体" w:hAnsi="宋体" w:eastAsia="宋体" w:cs="宋体"/>
              <w:color w:val="auto"/>
              <w:sz w:val="30"/>
              <w:szCs w:val="30"/>
            </w:rPr>
            <w:fldChar w:fldCharType="end"/>
          </w:r>
          <w:r>
            <w:rPr>
              <w:rFonts w:hint="eastAsia" w:ascii="宋体" w:hAnsi="宋体" w:eastAsia="宋体" w:cs="宋体"/>
              <w:color w:val="auto"/>
              <w:sz w:val="30"/>
              <w:szCs w:val="30"/>
              <w:lang w:val="zh-CN"/>
            </w:rPr>
            <w:fldChar w:fldCharType="end"/>
          </w:r>
        </w:p>
        <w:p>
          <w:pPr>
            <w:pStyle w:val="190"/>
            <w:tabs>
              <w:tab w:val="right" w:leader="dot" w:pos="8300"/>
            </w:tabs>
            <w:rPr>
              <w:rFonts w:hint="eastAsia" w:ascii="宋体" w:hAnsi="宋体" w:eastAsia="宋体" w:cs="宋体"/>
              <w:color w:val="auto"/>
              <w:sz w:val="30"/>
              <w:szCs w:val="30"/>
              <w:lang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_Toc13560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第二章 供应商须知</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9</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_Toc27443 </w:instrText>
          </w:r>
          <w:r>
            <w:rPr>
              <w:rFonts w:hint="eastAsia" w:ascii="宋体" w:hAnsi="宋体" w:eastAsia="宋体" w:cs="宋体"/>
              <w:color w:val="auto"/>
              <w:sz w:val="30"/>
              <w:szCs w:val="30"/>
              <w:lang w:val="zh-CN"/>
            </w:rPr>
            <w:fldChar w:fldCharType="separate"/>
          </w:r>
          <w:r>
            <w:rPr>
              <w:rFonts w:hint="eastAsia" w:ascii="宋体" w:hAnsi="宋体" w:eastAsia="宋体" w:cs="宋体"/>
              <w:bCs/>
              <w:color w:val="auto"/>
              <w:sz w:val="30"/>
              <w:szCs w:val="30"/>
              <w:highlight w:val="none"/>
            </w:rPr>
            <w:t>第三章 评审办法</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27</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_Toc9628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第四章 合同条款及格式</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32</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_Toc31503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rPr>
            <w:t xml:space="preserve">第五章 </w:t>
          </w:r>
          <w:r>
            <w:rPr>
              <w:rFonts w:hint="eastAsia" w:ascii="宋体" w:hAnsi="宋体" w:eastAsia="宋体" w:cs="宋体"/>
              <w:color w:val="auto"/>
              <w:sz w:val="30"/>
              <w:szCs w:val="30"/>
              <w:highlight w:val="none"/>
            </w:rPr>
            <w:t>采购需求</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50</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_Toc13840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第六章 响应文件格式</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54</w:t>
          </w:r>
        </w:p>
        <w:p>
          <w:pPr>
            <w:pStyle w:val="190"/>
            <w:tabs>
              <w:tab w:val="right" w:leader="dot" w:pos="8300"/>
            </w:tabs>
            <w:rPr>
              <w:rFonts w:hint="eastAsia" w:ascii="宋体" w:hAnsi="宋体" w:eastAsia="宋体" w:cs="宋体"/>
              <w:color w:val="auto"/>
              <w:sz w:val="30"/>
              <w:szCs w:val="30"/>
              <w:lang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_Toc23650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rPr>
            <w:t>一、</w:t>
          </w:r>
          <w:r>
            <w:rPr>
              <w:rFonts w:hint="eastAsia" w:ascii="宋体" w:hAnsi="宋体" w:eastAsia="宋体" w:cs="宋体"/>
              <w:color w:val="auto"/>
              <w:sz w:val="30"/>
              <w:szCs w:val="30"/>
              <w:highlight w:val="none"/>
            </w:rPr>
            <w:t>响应函</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56</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_Toc747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二、授权委托书</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59</w:t>
          </w:r>
        </w:p>
        <w:p>
          <w:pPr>
            <w:pStyle w:val="190"/>
            <w:tabs>
              <w:tab w:val="right" w:leader="dot" w:pos="8300"/>
            </w:tabs>
            <w:rPr>
              <w:rFonts w:hint="eastAsia" w:ascii="宋体" w:hAnsi="宋体" w:eastAsia="宋体" w:cs="宋体"/>
              <w:color w:val="auto"/>
              <w:sz w:val="30"/>
              <w:szCs w:val="30"/>
              <w:lang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_Toc6895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三、商务和技术偏差表</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60</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_Toc26297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四、报价表</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61</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_Toc25545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五、资格审查资料</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63</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_Toc22288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六、响应方案</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66</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_Toc30187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七、其他资料</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67</w:t>
          </w:r>
        </w:p>
        <w:p>
          <w:pPr>
            <w:pStyle w:val="25"/>
            <w:widowControl w:val="0"/>
            <w:tabs>
              <w:tab w:val="right" w:leader="dot" w:pos="8948"/>
              <w:tab w:val="clear" w:pos="9242"/>
            </w:tabs>
            <w:adjustRightInd w:val="0"/>
            <w:snapToGrid w:val="0"/>
            <w:spacing w:before="60" w:after="60" w:line="312" w:lineRule="auto"/>
            <w:rPr>
              <w:rFonts w:hint="eastAsia" w:ascii="宋体" w:hAnsi="宋体" w:eastAsia="宋体" w:cs="宋体"/>
              <w:color w:val="auto"/>
              <w:sz w:val="30"/>
              <w:szCs w:val="30"/>
              <w:highlight w:val="none"/>
            </w:rPr>
          </w:pPr>
          <w:r>
            <w:rPr>
              <w:rFonts w:hint="eastAsia" w:ascii="宋体" w:hAnsi="宋体" w:eastAsia="宋体" w:cs="宋体"/>
              <w:color w:val="auto"/>
              <w:sz w:val="30"/>
              <w:szCs w:val="30"/>
              <w:lang w:val="zh-CN"/>
            </w:rPr>
            <w:fldChar w:fldCharType="end"/>
          </w:r>
        </w:p>
      </w:sdtContent>
    </w:sdt>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pStyle w:val="38"/>
        <w:rPr>
          <w:rFonts w:hint="eastAsia" w:ascii="宋体" w:hAnsi="宋体" w:eastAsia="宋体" w:cs="宋体"/>
          <w:color w:val="auto"/>
          <w:szCs w:val="21"/>
          <w:highlight w:val="none"/>
        </w:rPr>
      </w:pPr>
    </w:p>
    <w:p>
      <w:pPr>
        <w:pStyle w:val="38"/>
        <w:rPr>
          <w:rFonts w:hint="eastAsia" w:ascii="宋体" w:hAnsi="宋体" w:eastAsia="宋体" w:cs="宋体"/>
          <w:color w:val="auto"/>
          <w:szCs w:val="21"/>
          <w:highlight w:val="none"/>
        </w:rPr>
      </w:pPr>
    </w:p>
    <w:p>
      <w:pPr>
        <w:pStyle w:val="38"/>
        <w:ind w:firstLine="0"/>
        <w:rPr>
          <w:rFonts w:hint="eastAsia" w:ascii="宋体" w:hAnsi="宋体" w:eastAsia="宋体" w:cs="宋体"/>
          <w:color w:val="auto"/>
          <w:szCs w:val="21"/>
          <w:highlight w:val="none"/>
        </w:rPr>
      </w:pPr>
    </w:p>
    <w:p>
      <w:pPr>
        <w:pStyle w:val="38"/>
        <w:ind w:firstLine="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pStyle w:val="77"/>
        <w:numPr>
          <w:ilvl w:val="0"/>
          <w:numId w:val="1"/>
        </w:numPr>
        <w:spacing w:line="600" w:lineRule="exact"/>
        <w:ind w:firstLineChars="0"/>
        <w:jc w:val="center"/>
        <w:outlineLvl w:val="0"/>
        <w:rPr>
          <w:rFonts w:hint="eastAsia" w:ascii="宋体" w:hAnsi="宋体" w:eastAsia="宋体" w:cs="宋体"/>
          <w:b/>
          <w:color w:val="auto"/>
          <w:sz w:val="44"/>
          <w:szCs w:val="44"/>
          <w:highlight w:val="none"/>
        </w:rPr>
      </w:pPr>
      <w:bookmarkStart w:id="0" w:name="_Toc28648"/>
      <w:r>
        <w:rPr>
          <w:rFonts w:hint="eastAsia" w:ascii="宋体" w:hAnsi="宋体" w:eastAsia="宋体" w:cs="宋体"/>
          <w:b/>
          <w:color w:val="auto"/>
          <w:sz w:val="44"/>
          <w:szCs w:val="44"/>
          <w:highlight w:val="none"/>
        </w:rPr>
        <w:t>采购公告</w:t>
      </w:r>
      <w:bookmarkEnd w:id="0"/>
    </w:p>
    <w:p>
      <w:pPr>
        <w:rPr>
          <w:rFonts w:hint="eastAsia" w:ascii="宋体" w:hAnsi="宋体" w:eastAsia="宋体" w:cs="宋体"/>
          <w:color w:val="auto"/>
          <w:sz w:val="32"/>
          <w:szCs w:val="32"/>
          <w:highlight w:val="none"/>
        </w:rPr>
      </w:pPr>
    </w:p>
    <w:p>
      <w:pPr>
        <w:widowControl/>
        <w:autoSpaceDE w:val="0"/>
        <w:adjustRightInd/>
        <w:snapToGrid/>
        <w:spacing w:line="600" w:lineRule="exact"/>
        <w:jc w:val="center"/>
        <w:rPr>
          <w:rFonts w:hint="eastAsia" w:ascii="宋体" w:hAnsi="宋体" w:eastAsia="宋体" w:cs="宋体"/>
          <w:b/>
          <w:bCs/>
          <w:color w:val="auto"/>
          <w:sz w:val="32"/>
          <w:szCs w:val="32"/>
          <w:highlight w:val="none"/>
          <w:u w:val="none"/>
          <w:lang w:val="en-US" w:eastAsia="zh-CN"/>
        </w:rPr>
      </w:pPr>
      <w:r>
        <w:rPr>
          <w:rFonts w:hint="eastAsia" w:ascii="宋体" w:hAnsi="宋体" w:eastAsia="宋体" w:cs="宋体"/>
          <w:b/>
          <w:bCs/>
          <w:color w:val="auto"/>
          <w:sz w:val="32"/>
          <w:szCs w:val="32"/>
          <w:highlight w:val="none"/>
          <w:u w:val="none"/>
          <w:lang w:eastAsia="zh-CN"/>
        </w:rPr>
        <w:t>岳阳城陵矶港务有限责任公司</w:t>
      </w:r>
      <w:r>
        <w:rPr>
          <w:rFonts w:hint="eastAsia" w:ascii="宋体" w:hAnsi="宋体" w:cs="宋体"/>
          <w:b/>
          <w:bCs/>
          <w:color w:val="auto"/>
          <w:sz w:val="32"/>
          <w:szCs w:val="32"/>
          <w:highlight w:val="none"/>
          <w:u w:val="none"/>
          <w:lang w:eastAsia="zh-CN"/>
        </w:rPr>
        <w:t>撬装式加油装置</w:t>
      </w:r>
    </w:p>
    <w:p>
      <w:pPr>
        <w:widowControl/>
        <w:autoSpaceDE w:val="0"/>
        <w:adjustRightInd/>
        <w:snapToGrid/>
        <w:spacing w:line="600" w:lineRule="exact"/>
        <w:jc w:val="center"/>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u w:val="none"/>
          <w:lang w:val="en-US" w:eastAsia="zh-CN"/>
        </w:rPr>
        <w:t>询价</w:t>
      </w:r>
      <w:r>
        <w:rPr>
          <w:rFonts w:hint="eastAsia" w:ascii="宋体" w:hAnsi="宋体" w:eastAsia="宋体" w:cs="宋体"/>
          <w:b/>
          <w:bCs/>
          <w:color w:val="auto"/>
          <w:sz w:val="32"/>
          <w:szCs w:val="32"/>
          <w:highlight w:val="none"/>
          <w:u w:val="none"/>
        </w:rPr>
        <w:t>公告</w:t>
      </w:r>
    </w:p>
    <w:p>
      <w:pPr>
        <w:widowControl/>
        <w:autoSpaceDE w:val="0"/>
        <w:adjustRightInd/>
        <w:snapToGrid/>
        <w:spacing w:line="600" w:lineRule="exact"/>
        <w:ind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val="0"/>
          <w:color w:val="auto"/>
          <w:sz w:val="24"/>
          <w:szCs w:val="24"/>
          <w:highlight w:val="none"/>
          <w:u w:val="none"/>
          <w:lang w:eastAsia="zh-CN"/>
        </w:rPr>
        <w:t>岳阳城陵矶港务有限责任公司</w:t>
      </w:r>
      <w:r>
        <w:rPr>
          <w:rFonts w:hint="eastAsia" w:ascii="宋体" w:hAnsi="宋体" w:cs="宋体"/>
          <w:b w:val="0"/>
          <w:bCs w:val="0"/>
          <w:color w:val="auto"/>
          <w:sz w:val="24"/>
          <w:szCs w:val="24"/>
          <w:highlight w:val="none"/>
          <w:u w:val="none"/>
          <w:lang w:val="en-US" w:eastAsia="zh-CN"/>
        </w:rPr>
        <w:t>一套</w:t>
      </w:r>
      <w:r>
        <w:rPr>
          <w:rFonts w:hint="eastAsia" w:ascii="宋体" w:hAnsi="宋体" w:cs="宋体"/>
          <w:b w:val="0"/>
          <w:bCs w:val="0"/>
          <w:color w:val="auto"/>
          <w:sz w:val="24"/>
          <w:szCs w:val="24"/>
          <w:highlight w:val="none"/>
          <w:u w:val="none"/>
          <w:lang w:eastAsia="zh-CN"/>
        </w:rPr>
        <w:t>撬装式加油装置</w:t>
      </w:r>
      <w:r>
        <w:rPr>
          <w:rFonts w:hint="eastAsia" w:ascii="宋体" w:hAnsi="宋体" w:cs="宋体"/>
          <w:b w:val="0"/>
          <w:bCs w:val="0"/>
          <w:color w:val="auto"/>
          <w:sz w:val="24"/>
          <w:szCs w:val="24"/>
          <w:highlight w:val="none"/>
          <w:u w:val="none"/>
          <w:lang w:val="en-US" w:eastAsia="zh-CN"/>
        </w:rPr>
        <w:t>采购申请</w:t>
      </w:r>
      <w:r>
        <w:rPr>
          <w:rFonts w:hint="eastAsia" w:ascii="宋体" w:hAnsi="宋体" w:eastAsia="宋体" w:cs="宋体"/>
          <w:b w:val="0"/>
          <w:bCs w:val="0"/>
          <w:color w:val="auto"/>
          <w:sz w:val="24"/>
          <w:szCs w:val="24"/>
          <w:highlight w:val="none"/>
        </w:rPr>
        <w:t>经</w:t>
      </w:r>
      <w:r>
        <w:rPr>
          <w:rFonts w:hint="eastAsia" w:ascii="宋体" w:hAnsi="宋体" w:eastAsia="宋体" w:cs="宋体"/>
          <w:b w:val="0"/>
          <w:bCs w:val="0"/>
          <w:color w:val="auto"/>
          <w:sz w:val="24"/>
          <w:szCs w:val="24"/>
          <w:highlight w:val="none"/>
          <w:lang w:val="en-US" w:eastAsia="zh-CN"/>
        </w:rPr>
        <w:t>湖南省</w:t>
      </w:r>
      <w:r>
        <w:rPr>
          <w:rFonts w:hint="eastAsia" w:ascii="宋体" w:hAnsi="宋体" w:cs="宋体"/>
          <w:b w:val="0"/>
          <w:bCs w:val="0"/>
          <w:color w:val="auto"/>
          <w:sz w:val="24"/>
          <w:szCs w:val="24"/>
          <w:highlight w:val="none"/>
          <w:lang w:val="en-US" w:eastAsia="zh-CN"/>
        </w:rPr>
        <w:t>城陵矶</w:t>
      </w:r>
      <w:r>
        <w:rPr>
          <w:rFonts w:hint="eastAsia" w:ascii="宋体" w:hAnsi="宋体" w:eastAsia="宋体" w:cs="宋体"/>
          <w:b w:val="0"/>
          <w:bCs w:val="0"/>
          <w:color w:val="auto"/>
          <w:sz w:val="24"/>
          <w:szCs w:val="24"/>
          <w:highlight w:val="none"/>
          <w:lang w:val="en-US" w:eastAsia="zh-CN"/>
        </w:rPr>
        <w:t>港务集团</w:t>
      </w:r>
      <w:r>
        <w:rPr>
          <w:rFonts w:hint="eastAsia" w:ascii="宋体" w:hAnsi="宋体" w:eastAsia="宋体" w:cs="宋体"/>
          <w:b w:val="0"/>
          <w:bCs w:val="0"/>
          <w:color w:val="auto"/>
          <w:sz w:val="24"/>
          <w:szCs w:val="24"/>
          <w:highlight w:val="none"/>
        </w:rPr>
        <w:t>批准，现公开</w:t>
      </w:r>
      <w:r>
        <w:rPr>
          <w:rFonts w:hint="eastAsia" w:ascii="宋体" w:hAnsi="宋体" w:eastAsia="宋体" w:cs="宋体"/>
          <w:b w:val="0"/>
          <w:bCs w:val="0"/>
          <w:color w:val="auto"/>
          <w:sz w:val="24"/>
          <w:szCs w:val="24"/>
          <w:highlight w:val="none"/>
          <w:lang w:val="en-US" w:eastAsia="zh-CN"/>
        </w:rPr>
        <w:t>询价，</w:t>
      </w:r>
      <w:r>
        <w:rPr>
          <w:rFonts w:hint="eastAsia" w:ascii="宋体" w:hAnsi="宋体" w:eastAsia="宋体" w:cs="宋体"/>
          <w:b w:val="0"/>
          <w:bCs w:val="0"/>
          <w:color w:val="auto"/>
          <w:sz w:val="24"/>
          <w:szCs w:val="24"/>
          <w:highlight w:val="none"/>
        </w:rPr>
        <w:t>邀请具备</w:t>
      </w:r>
      <w:r>
        <w:rPr>
          <w:rFonts w:hint="eastAsia" w:ascii="宋体" w:hAnsi="宋体" w:eastAsia="宋体" w:cs="宋体"/>
          <w:b w:val="0"/>
          <w:bCs w:val="0"/>
          <w:color w:val="auto"/>
          <w:sz w:val="24"/>
          <w:szCs w:val="24"/>
          <w:highlight w:val="none"/>
          <w:lang w:val="en-US" w:eastAsia="zh-CN"/>
        </w:rPr>
        <w:t>该项目实施能力</w:t>
      </w:r>
      <w:r>
        <w:rPr>
          <w:rFonts w:hint="eastAsia" w:ascii="宋体" w:hAnsi="宋体" w:eastAsia="宋体" w:cs="宋体"/>
          <w:b w:val="0"/>
          <w:bCs w:val="0"/>
          <w:color w:val="auto"/>
          <w:sz w:val="24"/>
          <w:szCs w:val="24"/>
          <w:highlight w:val="none"/>
        </w:rPr>
        <w:t>的供应商参</w:t>
      </w:r>
      <w:r>
        <w:rPr>
          <w:rFonts w:hint="eastAsia" w:ascii="宋体" w:hAnsi="宋体" w:cs="宋体"/>
          <w:b w:val="0"/>
          <w:bCs w:val="0"/>
          <w:color w:val="auto"/>
          <w:sz w:val="24"/>
          <w:szCs w:val="24"/>
          <w:highlight w:val="none"/>
          <w:lang w:val="en-US" w:eastAsia="zh-CN"/>
        </w:rPr>
        <w:t>与响应</w:t>
      </w:r>
      <w:r>
        <w:rPr>
          <w:rFonts w:hint="eastAsia" w:ascii="宋体" w:hAnsi="宋体" w:eastAsia="宋体" w:cs="宋体"/>
          <w:b w:val="0"/>
          <w:bCs w:val="0"/>
          <w:color w:val="auto"/>
          <w:sz w:val="24"/>
          <w:szCs w:val="24"/>
          <w:highlight w:val="none"/>
        </w:rPr>
        <w:t xml:space="preserve">。 </w:t>
      </w: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rPr>
        <w:t xml:space="preserve"> 采购项目简介 </w:t>
      </w:r>
    </w:p>
    <w:p>
      <w:pPr>
        <w:autoSpaceDE w:val="0"/>
        <w:spacing w:line="400" w:lineRule="exact"/>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一</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rPr>
        <w:t>采购项目名称:</w:t>
      </w:r>
      <w:r>
        <w:rPr>
          <w:rFonts w:hint="eastAsia" w:ascii="宋体" w:hAnsi="宋体" w:eastAsia="宋体" w:cs="宋体"/>
          <w:b w:val="0"/>
          <w:bCs w:val="0"/>
          <w:color w:val="auto"/>
          <w:sz w:val="24"/>
          <w:szCs w:val="24"/>
          <w:highlight w:val="none"/>
          <w:u w:val="none"/>
          <w:lang w:eastAsia="zh-CN"/>
        </w:rPr>
        <w:t>岳阳城陵矶港务有限责任公司</w:t>
      </w:r>
      <w:r>
        <w:rPr>
          <w:rFonts w:hint="eastAsia" w:ascii="宋体" w:hAnsi="宋体" w:cs="宋体"/>
          <w:b w:val="0"/>
          <w:bCs w:val="0"/>
          <w:color w:val="auto"/>
          <w:sz w:val="24"/>
          <w:szCs w:val="24"/>
          <w:highlight w:val="none"/>
          <w:u w:val="none"/>
          <w:lang w:val="en-US" w:eastAsia="zh-CN"/>
        </w:rPr>
        <w:t>一套</w:t>
      </w:r>
      <w:r>
        <w:rPr>
          <w:rFonts w:hint="eastAsia" w:ascii="宋体" w:hAnsi="宋体" w:cs="宋体"/>
          <w:b w:val="0"/>
          <w:bCs w:val="0"/>
          <w:color w:val="auto"/>
          <w:sz w:val="24"/>
          <w:szCs w:val="24"/>
          <w:highlight w:val="none"/>
          <w:u w:val="none"/>
          <w:lang w:eastAsia="zh-CN"/>
        </w:rPr>
        <w:t>撬装式加油装置</w:t>
      </w:r>
    </w:p>
    <w:p>
      <w:pPr>
        <w:autoSpaceDE w:val="0"/>
        <w:spacing w:line="400" w:lineRule="exact"/>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采购人: </w:t>
      </w:r>
      <w:r>
        <w:rPr>
          <w:rFonts w:hint="eastAsia" w:ascii="宋体" w:hAnsi="宋体" w:eastAsia="宋体" w:cs="宋体"/>
          <w:b w:val="0"/>
          <w:bCs w:val="0"/>
          <w:color w:val="auto"/>
          <w:sz w:val="24"/>
          <w:szCs w:val="24"/>
          <w:highlight w:val="none"/>
          <w:u w:val="none"/>
          <w:lang w:eastAsia="zh-CN"/>
        </w:rPr>
        <w:t>岳阳城陵矶港务有限责任公司</w:t>
      </w:r>
    </w:p>
    <w:p>
      <w:pPr>
        <w:autoSpaceDE w:val="0"/>
        <w:spacing w:line="400" w:lineRule="exact"/>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采购代理机构:无</w:t>
      </w:r>
    </w:p>
    <w:p>
      <w:pPr>
        <w:autoSpaceDE w:val="0"/>
        <w:spacing w:line="400" w:lineRule="exact"/>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四</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采购项目资金落实情况:自筹资金，已落实</w:t>
      </w:r>
    </w:p>
    <w:p>
      <w:pPr>
        <w:keepNext w:val="0"/>
        <w:keepLines w:val="0"/>
        <w:pageBreakBefore w:val="0"/>
        <w:widowControl/>
        <w:kinsoku/>
        <w:wordWrap/>
        <w:overflowPunct/>
        <w:topLinePunct w:val="0"/>
        <w:autoSpaceDE/>
        <w:autoSpaceDN/>
        <w:bidi w:val="0"/>
        <w:adjustRightInd/>
        <w:snapToGrid/>
        <w:spacing w:line="540" w:lineRule="exact"/>
        <w:ind w:firstLine="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五</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采购项目概况:</w:t>
      </w:r>
    </w:p>
    <w:p>
      <w:pPr>
        <w:keepNext w:val="0"/>
        <w:keepLines w:val="0"/>
        <w:pageBreakBefore w:val="0"/>
        <w:widowControl/>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b w:val="0"/>
          <w:bCs w:val="0"/>
          <w:color w:val="auto"/>
          <w:sz w:val="24"/>
          <w:szCs w:val="24"/>
          <w:highlight w:val="none"/>
          <w:u w:val="none"/>
          <w:lang w:eastAsia="zh-CN"/>
        </w:rPr>
        <w:t>岳阳城陵矶港务有限责任公司</w:t>
      </w:r>
      <w:r>
        <w:rPr>
          <w:rFonts w:hint="eastAsia" w:ascii="宋体" w:hAnsi="宋体" w:eastAsia="宋体" w:cs="宋体"/>
          <w:b w:val="0"/>
          <w:bCs w:val="0"/>
          <w:color w:val="auto"/>
          <w:sz w:val="24"/>
          <w:szCs w:val="24"/>
          <w:highlight w:val="none"/>
          <w:u w:val="none"/>
          <w:lang w:val="en-US" w:eastAsia="zh-CN"/>
        </w:rPr>
        <w:t>因生产经营需要，拟采购一套撬装式加油装置，供公司内部使用，现</w:t>
      </w:r>
      <w:r>
        <w:rPr>
          <w:rFonts w:hint="eastAsia" w:ascii="宋体" w:hAnsi="宋体" w:cs="宋体"/>
          <w:b w:val="0"/>
          <w:bCs w:val="0"/>
          <w:color w:val="auto"/>
          <w:sz w:val="24"/>
          <w:szCs w:val="24"/>
          <w:highlight w:val="none"/>
          <w:u w:val="none"/>
          <w:lang w:val="en-US" w:eastAsia="zh-CN"/>
        </w:rPr>
        <w:t>已</w:t>
      </w:r>
      <w:r>
        <w:rPr>
          <w:rFonts w:hint="eastAsia" w:ascii="宋体" w:hAnsi="宋体" w:eastAsia="宋体" w:cs="宋体"/>
          <w:b w:val="0"/>
          <w:bCs w:val="0"/>
          <w:color w:val="auto"/>
          <w:sz w:val="24"/>
          <w:szCs w:val="24"/>
          <w:highlight w:val="none"/>
          <w:u w:val="none"/>
          <w:lang w:val="en-US" w:eastAsia="zh-CN"/>
        </w:rPr>
        <w:t>具备条件进行</w:t>
      </w:r>
      <w:r>
        <w:rPr>
          <w:rFonts w:hint="eastAsia" w:ascii="宋体" w:hAnsi="宋体" w:cs="宋体"/>
          <w:b w:val="0"/>
          <w:bCs w:val="0"/>
          <w:color w:val="auto"/>
          <w:sz w:val="24"/>
          <w:szCs w:val="24"/>
          <w:highlight w:val="none"/>
          <w:u w:val="none"/>
          <w:lang w:val="en-US" w:eastAsia="zh-CN"/>
        </w:rPr>
        <w:t>公开询价</w:t>
      </w:r>
      <w:r>
        <w:rPr>
          <w:rFonts w:hint="eastAsia" w:ascii="宋体" w:hAnsi="宋体" w:eastAsia="宋体" w:cs="宋体"/>
          <w:b w:val="0"/>
          <w:bCs w:val="0"/>
          <w:color w:val="auto"/>
          <w:sz w:val="24"/>
          <w:szCs w:val="24"/>
          <w:highlight w:val="none"/>
          <w:u w:val="none"/>
          <w:lang w:val="en-US" w:eastAsia="zh-CN"/>
        </w:rPr>
        <w:t>采购。</w:t>
      </w:r>
    </w:p>
    <w:p>
      <w:pPr>
        <w:pStyle w:val="6"/>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二、采购范围及相关要求</w:t>
      </w:r>
    </w:p>
    <w:p>
      <w:pPr>
        <w:pStyle w:val="6"/>
        <w:numPr>
          <w:ilvl w:val="0"/>
          <w:numId w:val="2"/>
        </w:numPr>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采购范围:</w:t>
      </w:r>
    </w:p>
    <w:tbl>
      <w:tblPr>
        <w:tblStyle w:val="39"/>
        <w:tblW w:w="827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0"/>
        <w:gridCol w:w="1705"/>
        <w:gridCol w:w="3171"/>
        <w:gridCol w:w="840"/>
        <w:gridCol w:w="975"/>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名称</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单位</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3"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
              <w:jc w:val="center"/>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橇装式</w:t>
            </w:r>
          </w:p>
          <w:p>
            <w:pPr>
              <w:widowControl/>
              <w:spacing w:after="20"/>
              <w:jc w:val="center"/>
              <w:rPr>
                <w:rFonts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加油装置</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
              <w:jc w:val="both"/>
              <w:rPr>
                <w:rFonts w:hint="eastAsia" w:cs="宋体"/>
                <w:color w:val="auto"/>
                <w:kern w:val="0"/>
                <w:sz w:val="24"/>
                <w:szCs w:val="24"/>
              </w:rPr>
            </w:pPr>
            <w:r>
              <w:rPr>
                <w:rFonts w:hint="eastAsia" w:cs="宋体"/>
                <w:color w:val="auto"/>
                <w:kern w:val="0"/>
                <w:sz w:val="24"/>
                <w:szCs w:val="24"/>
                <w:lang w:val="en-US" w:eastAsia="zh-CN"/>
              </w:rPr>
              <w:t>容积：4</w:t>
            </w:r>
            <w:r>
              <w:rPr>
                <w:rFonts w:cs="宋体"/>
                <w:color w:val="auto"/>
                <w:kern w:val="0"/>
                <w:sz w:val="24"/>
                <w:szCs w:val="24"/>
              </w:rPr>
              <w:t>0</w:t>
            </w:r>
            <w:r>
              <w:rPr>
                <w:rFonts w:hint="eastAsia" w:ascii="Times New Roman" w:hAnsi="Times New Roman" w:eastAsia="宋体" w:cs="宋体"/>
                <w:color w:val="auto"/>
                <w:kern w:val="0"/>
                <w:sz w:val="24"/>
                <w:szCs w:val="24"/>
              </w:rPr>
              <w:t>m³</w:t>
            </w:r>
            <w:r>
              <w:rPr>
                <w:rFonts w:hint="eastAsia" w:cs="宋体"/>
                <w:color w:val="auto"/>
                <w:kern w:val="0"/>
                <w:sz w:val="24"/>
                <w:szCs w:val="24"/>
              </w:rPr>
              <w:t xml:space="preserve">  </w:t>
            </w:r>
          </w:p>
          <w:p>
            <w:pPr>
              <w:widowControl/>
              <w:spacing w:after="20"/>
              <w:jc w:val="left"/>
              <w:rPr>
                <w:rFonts w:hint="eastAsia" w:ascii="Times New Roman" w:hAnsi="Times New Roman" w:eastAsia="宋体" w:cs="宋体"/>
                <w:color w:val="auto"/>
                <w:kern w:val="0"/>
                <w:sz w:val="24"/>
                <w:szCs w:val="24"/>
              </w:rPr>
            </w:pPr>
            <w:r>
              <w:rPr>
                <w:rFonts w:hint="eastAsia" w:cs="宋体"/>
                <w:color w:val="auto"/>
                <w:kern w:val="0"/>
                <w:sz w:val="24"/>
                <w:szCs w:val="24"/>
                <w:lang w:val="en-US" w:eastAsia="zh-CN"/>
              </w:rPr>
              <w:t>货种：</w:t>
            </w:r>
            <w:r>
              <w:rPr>
                <w:rFonts w:hint="eastAsia" w:cs="宋体"/>
                <w:color w:val="auto"/>
                <w:kern w:val="0"/>
                <w:sz w:val="24"/>
                <w:szCs w:val="24"/>
              </w:rPr>
              <w:t>柴</w:t>
            </w:r>
            <w:r>
              <w:rPr>
                <w:rFonts w:hint="eastAsia" w:ascii="Times New Roman" w:hAnsi="Times New Roman" w:eastAsia="宋体" w:cs="宋体"/>
                <w:color w:val="auto"/>
                <w:kern w:val="0"/>
                <w:sz w:val="24"/>
                <w:szCs w:val="24"/>
              </w:rPr>
              <w:t>油</w:t>
            </w:r>
          </w:p>
          <w:p>
            <w:pPr>
              <w:widowControl/>
              <w:spacing w:after="20"/>
              <w:jc w:val="left"/>
              <w:rPr>
                <w:rFonts w:hint="eastAsia" w:eastAsia="宋体"/>
                <w:color w:val="auto"/>
                <w:sz w:val="24"/>
                <w:szCs w:val="24"/>
                <w:lang w:val="en-US" w:eastAsia="zh-CN" w:bidi="ar"/>
              </w:rPr>
            </w:pPr>
            <w:r>
              <w:rPr>
                <w:rFonts w:hint="eastAsia"/>
                <w:color w:val="auto"/>
                <w:sz w:val="24"/>
                <w:szCs w:val="24"/>
                <w:lang w:val="en-US" w:eastAsia="zh-CN" w:bidi="ar"/>
              </w:rPr>
              <w:t>不少于单岛单枪</w:t>
            </w:r>
          </w:p>
          <w:p>
            <w:pPr>
              <w:widowControl/>
              <w:spacing w:after="20"/>
              <w:jc w:val="left"/>
              <w:rPr>
                <w:rFonts w:hint="eastAsia"/>
                <w:color w:val="auto"/>
                <w:sz w:val="24"/>
                <w:szCs w:val="24"/>
                <w:lang w:val="en-US" w:eastAsia="zh-CN" w:bidi="ar"/>
              </w:rPr>
            </w:pPr>
            <w:r>
              <w:rPr>
                <w:rFonts w:hint="eastAsia"/>
                <w:color w:val="auto"/>
                <w:sz w:val="24"/>
                <w:szCs w:val="24"/>
                <w:lang w:val="en-US" w:eastAsia="zh-CN" w:bidi="ar"/>
              </w:rPr>
              <w:t>加设专用卸油泵一台（一小型齿轮供火车头使用，流量200-300L/min）</w:t>
            </w:r>
          </w:p>
          <w:p>
            <w:pPr>
              <w:widowControl/>
              <w:spacing w:after="20"/>
              <w:jc w:val="left"/>
              <w:rPr>
                <w:rFonts w:hint="eastAsia" w:ascii="宋体" w:hAnsi="宋体" w:eastAsia="宋体" w:cs="宋体"/>
                <w:i w:val="0"/>
                <w:iCs w:val="0"/>
                <w:color w:val="auto"/>
                <w:sz w:val="22"/>
                <w:szCs w:val="22"/>
                <w:u w:val="none"/>
              </w:rPr>
            </w:pPr>
            <w:r>
              <w:rPr>
                <w:rFonts w:hint="eastAsia" w:cs="宋体"/>
                <w:color w:val="auto"/>
                <w:kern w:val="0"/>
                <w:sz w:val="24"/>
                <w:szCs w:val="24"/>
                <w:lang w:val="en-US" w:eastAsia="zh-CN"/>
              </w:rPr>
              <w:t>配出油管</w:t>
            </w:r>
            <w:r>
              <w:rPr>
                <w:rFonts w:hint="eastAsia" w:cs="宋体"/>
                <w:color w:val="auto"/>
                <w:kern w:val="0"/>
                <w:sz w:val="24"/>
                <w:szCs w:val="24"/>
              </w:rPr>
              <w:t xml:space="preserve">  </w:t>
            </w:r>
            <w:r>
              <w:rPr>
                <w:rFonts w:hint="eastAsia" w:cs="宋体"/>
                <w:color w:val="auto"/>
                <w:kern w:val="0"/>
                <w:sz w:val="24"/>
                <w:szCs w:val="24"/>
                <w:lang w:val="en-US" w:eastAsia="zh-CN"/>
              </w:rPr>
              <w:t>30米</w:t>
            </w:r>
            <w:r>
              <w:rPr>
                <w:rFonts w:hint="eastAsia" w:cs="宋体"/>
                <w:color w:val="auto"/>
                <w:kern w:val="0"/>
                <w:sz w:val="24"/>
                <w:szCs w:val="24"/>
              </w:rPr>
              <w:t xml:space="preserve">  </w:t>
            </w:r>
            <w:r>
              <w:rPr>
                <w:rFonts w:hint="eastAsia" w:ascii="宋体" w:hAnsi="宋体" w:eastAsia="宋体" w:cs="宋体"/>
                <w:i w:val="0"/>
                <w:iCs w:val="0"/>
                <w:color w:val="auto"/>
                <w:kern w:val="0"/>
                <w:sz w:val="22"/>
                <w:szCs w:val="22"/>
                <w:u w:val="none"/>
                <w:lang w:val="en-US" w:eastAsia="zh-CN" w:bidi="ar"/>
              </w:rPr>
              <w:t xml:space="preserve">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套</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混凝土围堰基础</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长15米*宽7米*高0.5米</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处</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做法参考图纸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二次安装</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第一次：到货后接临时电源、接地处置，对机车供油。时间约20天；</w:t>
            </w:r>
          </w:p>
          <w:p>
            <w:pPr>
              <w:pStyle w:val="2"/>
              <w:ind w:left="0" w:leftChars="0" w:firstLine="0" w:firstLineChars="0"/>
              <w:jc w:val="left"/>
              <w:rPr>
                <w:rFonts w:hint="default" w:ascii="Times New Roman" w:hAnsi="Times New Roman" w:eastAsia="宋体" w:cs="Times New Roman"/>
                <w:kern w:val="2"/>
                <w:sz w:val="21"/>
                <w:szCs w:val="20"/>
                <w:lang w:val="en-US" w:eastAsia="zh-CN" w:bidi="ar-SA"/>
              </w:rPr>
            </w:pPr>
            <w:r>
              <w:rPr>
                <w:rFonts w:hint="eastAsia" w:ascii="宋体" w:hAnsi="宋体" w:cs="宋体"/>
                <w:i w:val="0"/>
                <w:iCs w:val="0"/>
                <w:color w:val="auto"/>
                <w:kern w:val="0"/>
                <w:sz w:val="22"/>
                <w:szCs w:val="22"/>
                <w:u w:val="none"/>
                <w:lang w:val="en-US" w:eastAsia="zh-CN" w:bidi="ar"/>
              </w:rPr>
              <w:t>第二次：基础制作完毕，移到预定位置正式安装（该次安装不应重复取费）。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p>
        </w:tc>
      </w:tr>
    </w:tbl>
    <w:p>
      <w:pPr>
        <w:spacing w:line="540" w:lineRule="exact"/>
        <w:ind w:firstLine="600"/>
        <w:rPr>
          <w:rFonts w:hint="default" w:ascii="宋体" w:hAnsi="宋体" w:eastAsia="宋体" w:cs="宋体"/>
          <w:color w:val="auto"/>
          <w:sz w:val="24"/>
          <w:highlight w:val="none"/>
          <w:lang w:val="en-US" w:eastAsia="zh-CN"/>
        </w:rPr>
      </w:pP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二</w:t>
      </w:r>
      <w:r>
        <w:rPr>
          <w:rFonts w:hint="eastAsia" w:ascii="宋体" w:hAnsi="宋体" w:eastAsia="宋体" w:cs="宋体"/>
          <w:b w:val="0"/>
          <w:bCs w:val="0"/>
          <w:color w:val="auto"/>
          <w:sz w:val="24"/>
          <w:highlight w:val="none"/>
          <w:lang w:eastAsia="zh-CN"/>
        </w:rPr>
        <w:t>）</w:t>
      </w:r>
      <w:r>
        <w:rPr>
          <w:rFonts w:hint="eastAsia" w:ascii="宋体" w:hAnsi="宋体" w:cs="宋体"/>
          <w:color w:val="auto"/>
          <w:sz w:val="24"/>
          <w:highlight w:val="none"/>
          <w:lang w:val="en-US" w:eastAsia="zh-CN"/>
        </w:rPr>
        <w:t>供货</w:t>
      </w:r>
      <w:r>
        <w:rPr>
          <w:rFonts w:hint="eastAsia" w:ascii="宋体" w:hAnsi="宋体" w:eastAsia="宋体" w:cs="宋体"/>
          <w:color w:val="auto"/>
          <w:sz w:val="24"/>
          <w:highlight w:val="none"/>
        </w:rPr>
        <w:t>期限:</w:t>
      </w:r>
      <w:r>
        <w:rPr>
          <w:rFonts w:hint="eastAsia" w:ascii="宋体" w:hAnsi="宋体" w:eastAsia="宋体" w:cs="宋体"/>
          <w:color w:val="auto"/>
          <w:sz w:val="24"/>
          <w:highlight w:val="none"/>
          <w:lang w:val="en-US" w:eastAsia="zh-CN"/>
        </w:rPr>
        <w:t>合同签订后，</w:t>
      </w:r>
      <w:r>
        <w:rPr>
          <w:rFonts w:hint="eastAsia" w:ascii="宋体" w:hAnsi="宋体" w:cs="宋体"/>
          <w:color w:val="auto"/>
          <w:sz w:val="24"/>
          <w:highlight w:val="none"/>
          <w:lang w:val="en-US" w:eastAsia="zh-CN"/>
        </w:rPr>
        <w:t>30个日历日内到货，</w:t>
      </w:r>
      <w:r>
        <w:rPr>
          <w:rFonts w:hint="eastAsia" w:ascii="宋体" w:hAnsi="宋体" w:eastAsia="宋体" w:cs="宋体"/>
          <w:color w:val="auto"/>
          <w:sz w:val="24"/>
          <w:highlight w:val="none"/>
        </w:rPr>
        <w:t>供应商应</w:t>
      </w:r>
      <w:r>
        <w:rPr>
          <w:rFonts w:hint="eastAsia" w:ascii="宋体" w:hAnsi="宋体" w:cs="宋体"/>
          <w:color w:val="auto"/>
          <w:sz w:val="24"/>
          <w:highlight w:val="none"/>
          <w:lang w:val="en-US" w:eastAsia="zh-CN"/>
        </w:rPr>
        <w:t>于到货后30个日历日内完成安装调试。</w:t>
      </w:r>
    </w:p>
    <w:p>
      <w:pPr>
        <w:spacing w:line="540" w:lineRule="exact"/>
        <w:ind w:firstLine="6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供货</w:t>
      </w:r>
      <w:r>
        <w:rPr>
          <w:rFonts w:hint="eastAsia" w:ascii="宋体" w:hAnsi="宋体" w:eastAsia="宋体" w:cs="宋体"/>
          <w:color w:val="auto"/>
          <w:sz w:val="24"/>
          <w:highlight w:val="none"/>
        </w:rPr>
        <w:t xml:space="preserve">地点: </w:t>
      </w:r>
      <w:r>
        <w:rPr>
          <w:rFonts w:hint="eastAsia" w:ascii="宋体" w:hAnsi="宋体" w:eastAsia="宋体" w:cs="宋体"/>
          <w:color w:val="auto"/>
          <w:sz w:val="24"/>
          <w:highlight w:val="none"/>
          <w:lang w:val="en-US" w:eastAsia="zh-CN"/>
        </w:rPr>
        <w:t>岳阳城陵矶港务有限责任公司</w:t>
      </w:r>
      <w:r>
        <w:rPr>
          <w:rFonts w:hint="eastAsia" w:ascii="宋体" w:hAnsi="宋体" w:cs="宋体"/>
          <w:color w:val="auto"/>
          <w:sz w:val="24"/>
          <w:highlight w:val="none"/>
          <w:lang w:val="en-US" w:eastAsia="zh-CN"/>
        </w:rPr>
        <w:t>铁运公司</w:t>
      </w:r>
    </w:p>
    <w:p>
      <w:pPr>
        <w:spacing w:line="540" w:lineRule="exact"/>
        <w:ind w:firstLine="6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 质量要求或服务标准:</w:t>
      </w:r>
      <w:r>
        <w:rPr>
          <w:rFonts w:hint="eastAsia" w:ascii="宋体" w:hAnsi="宋体" w:cs="宋体"/>
          <w:color w:val="auto"/>
          <w:sz w:val="24"/>
          <w:highlight w:val="none"/>
          <w:lang w:val="en-US" w:eastAsia="zh-CN"/>
        </w:rPr>
        <w:t>详见第五章采购需求</w:t>
      </w: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 xml:space="preserve"> 供应商资格要求</w:t>
      </w:r>
    </w:p>
    <w:p>
      <w:pPr>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一</w:t>
      </w:r>
      <w:r>
        <w:rPr>
          <w:rFonts w:hint="eastAsia" w:ascii="宋体" w:hAnsi="宋体" w:eastAsia="宋体" w:cs="宋体"/>
          <w:b w:val="0"/>
          <w:bCs w:val="0"/>
          <w:color w:val="auto"/>
          <w:sz w:val="24"/>
          <w:highlight w:val="none"/>
          <w:lang w:eastAsia="zh-CN"/>
        </w:rPr>
        <w:t>）</w:t>
      </w:r>
      <w:r>
        <w:rPr>
          <w:rFonts w:hint="eastAsia" w:ascii="宋体" w:hAnsi="宋体" w:eastAsia="宋体" w:cs="宋体"/>
          <w:color w:val="auto"/>
          <w:sz w:val="24"/>
          <w:highlight w:val="none"/>
        </w:rPr>
        <w:t>供应商不得存在下列情形之一:</w:t>
      </w:r>
    </w:p>
    <w:p>
      <w:pPr>
        <w:autoSpaceDE w:val="0"/>
        <w:spacing w:line="400" w:lineRule="exact"/>
        <w:ind w:firstLine="720" w:firstLineChars="3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处于被责令停产停业、暂扣或者吊销执照、暂扣或者吊销许可证、吊销资质证书状态;</w:t>
      </w:r>
    </w:p>
    <w:p>
      <w:pPr>
        <w:autoSpaceDE w:val="0"/>
        <w:spacing w:line="400" w:lineRule="exact"/>
        <w:ind w:firstLine="720" w:firstLineChars="3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进入清算程序，或被宣告破产，或其他丧失履约能力的情形;</w:t>
      </w:r>
    </w:p>
    <w:p>
      <w:pPr>
        <w:autoSpaceDE w:val="0"/>
        <w:spacing w:line="400" w:lineRule="exact"/>
        <w:ind w:firstLine="720" w:firstLineChars="300"/>
        <w:jc w:val="both"/>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被采购人或采购人上级单位纳入黑名单</w:t>
      </w:r>
      <w:r>
        <w:rPr>
          <w:rFonts w:hint="eastAsia" w:ascii="宋体" w:hAnsi="宋体" w:eastAsia="宋体" w:cs="宋体"/>
          <w:color w:val="auto"/>
          <w:sz w:val="24"/>
          <w:highlight w:val="none"/>
          <w:lang w:eastAsia="zh-CN"/>
        </w:rPr>
        <w:t>。</w:t>
      </w:r>
    </w:p>
    <w:p>
      <w:pPr>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供应商应满足如下要求:</w:t>
      </w:r>
    </w:p>
    <w:tbl>
      <w:tblPr>
        <w:tblStyle w:val="40"/>
        <w:tblpPr w:leftFromText="180" w:rightFromText="180" w:vertAnchor="text" w:horzAnchor="margin" w:tblpY="216"/>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643"/>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47" w:type="dxa"/>
          </w:tcPr>
          <w:p>
            <w:pPr>
              <w:widowControl w:val="0"/>
              <w:spacing w:line="3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资格条件</w:t>
            </w:r>
          </w:p>
        </w:tc>
        <w:tc>
          <w:tcPr>
            <w:tcW w:w="1643" w:type="dxa"/>
          </w:tcPr>
          <w:p>
            <w:pPr>
              <w:widowControl w:val="0"/>
              <w:spacing w:line="3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对供应商要求</w:t>
            </w:r>
          </w:p>
        </w:tc>
        <w:tc>
          <w:tcPr>
            <w:tcW w:w="4783" w:type="dxa"/>
          </w:tcPr>
          <w:p>
            <w:pPr>
              <w:widowControl w:val="0"/>
              <w:spacing w:line="3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（1）依法设立</w:t>
            </w:r>
          </w:p>
        </w:tc>
        <w:tc>
          <w:tcPr>
            <w:tcW w:w="1643" w:type="dxa"/>
          </w:tcPr>
          <w:p>
            <w:pPr>
              <w:widowControl w:val="0"/>
              <w:spacing w:line="320" w:lineRule="exact"/>
              <w:jc w:val="both"/>
              <w:rPr>
                <w:rFonts w:hint="eastAsia" w:ascii="宋体" w:hAnsi="宋体" w:eastAsia="宋体" w:cs="宋体"/>
                <w:color w:val="auto"/>
                <w:sz w:val="24"/>
                <w:highlight w:val="non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适用</w:t>
            </w:r>
          </w:p>
        </w:tc>
        <w:tc>
          <w:tcPr>
            <w:tcW w:w="4783" w:type="dxa"/>
          </w:tcPr>
          <w:p>
            <w:pPr>
              <w:widowControl w:val="0"/>
              <w:spacing w:line="320" w:lineRule="exact"/>
              <w:jc w:val="both"/>
              <w:rPr>
                <w:rFonts w:hint="eastAsia" w:ascii="宋体" w:hAnsi="宋体" w:eastAsia="宋体" w:cs="宋体"/>
                <w:color w:val="auto"/>
                <w:sz w:val="24"/>
                <w:highlight w:val="non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（2）资质要求</w:t>
            </w:r>
          </w:p>
        </w:tc>
        <w:tc>
          <w:tcPr>
            <w:tcW w:w="164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适用  </w:t>
            </w:r>
          </w:p>
          <w:p>
            <w:pPr>
              <w:widowControl w:val="0"/>
              <w:spacing w:line="320" w:lineRule="exact"/>
              <w:jc w:val="both"/>
              <w:rPr>
                <w:rFonts w:hint="eastAsia" w:ascii="宋体" w:hAnsi="宋体" w:eastAsia="宋体" w:cs="宋体"/>
                <w:color w:val="auto"/>
                <w:sz w:val="24"/>
                <w:highlight w:val="none"/>
              </w:rPr>
            </w:pPr>
          </w:p>
        </w:tc>
        <w:tc>
          <w:tcPr>
            <w:tcW w:w="4783" w:type="dxa"/>
          </w:tcPr>
          <w:p>
            <w:pPr>
              <w:widowControl w:val="0"/>
              <w:spacing w:line="320" w:lineRule="exact"/>
              <w:jc w:val="both"/>
              <w:rPr>
                <w:rFonts w:hint="eastAsia" w:ascii="宋体" w:hAnsi="宋体" w:eastAsia="宋体" w:cs="宋体"/>
                <w:color w:val="auto"/>
                <w:sz w:val="24"/>
                <w:highlight w:val="non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适用,见采购文件供应商须知前附表3.5（</w:t>
            </w:r>
            <w:r>
              <w:rPr>
                <w:rStyle w:val="42"/>
                <w:rFonts w:hint="eastAsia" w:ascii="宋体" w:hAnsi="宋体" w:eastAsia="宋体" w:cs="宋体"/>
                <w:color w:val="auto"/>
                <w:highlight w:val="none"/>
                <w:u w:val="single"/>
                <w:lang w:val="en-US" w:eastAsia="zh-CN"/>
              </w:rPr>
              <w:t>2</w:t>
            </w:r>
            <w:r>
              <w:rPr>
                <w:rStyle w:val="42"/>
                <w:rFonts w:hint="eastAsia" w:ascii="宋体" w:hAnsi="宋体" w:eastAsia="宋体" w:cs="宋体"/>
                <w:color w:val="auto"/>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（3）财务要求</w:t>
            </w:r>
          </w:p>
        </w:tc>
        <w:tc>
          <w:tcPr>
            <w:tcW w:w="164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不适用  </w:t>
            </w:r>
          </w:p>
          <w:p>
            <w:pPr>
              <w:widowControl w:val="0"/>
              <w:spacing w:line="320" w:lineRule="exact"/>
              <w:jc w:val="both"/>
              <w:rPr>
                <w:rFonts w:hint="eastAsia" w:ascii="宋体" w:hAnsi="宋体" w:eastAsia="宋体" w:cs="宋体"/>
                <w:color w:val="auto"/>
                <w:sz w:val="24"/>
                <w:highlight w:val="none"/>
              </w:rPr>
            </w:pPr>
          </w:p>
        </w:tc>
        <w:tc>
          <w:tcPr>
            <w:tcW w:w="478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不适用  </w:t>
            </w:r>
          </w:p>
          <w:p>
            <w:pPr>
              <w:widowControl w:val="0"/>
              <w:spacing w:line="32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（4）业绩要求</w:t>
            </w:r>
          </w:p>
        </w:tc>
        <w:tc>
          <w:tcPr>
            <w:tcW w:w="1643" w:type="dxa"/>
          </w:tcPr>
          <w:p>
            <w:pPr>
              <w:widowControl w:val="0"/>
              <w:spacing w:line="320" w:lineRule="exact"/>
              <w:jc w:val="both"/>
              <w:rPr>
                <w:rFonts w:hint="eastAsia" w:ascii="宋体" w:hAnsi="宋体" w:eastAsia="宋体" w:cs="宋体"/>
                <w:color w:val="auto"/>
                <w:sz w:val="24"/>
                <w:highlight w:val="non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适用</w:t>
            </w:r>
          </w:p>
        </w:tc>
        <w:tc>
          <w:tcPr>
            <w:tcW w:w="4783" w:type="dxa"/>
          </w:tcPr>
          <w:p>
            <w:pPr>
              <w:widowControl w:val="0"/>
              <w:spacing w:line="320" w:lineRule="exact"/>
              <w:jc w:val="both"/>
              <w:rPr>
                <w:rFonts w:hint="eastAsia" w:ascii="宋体" w:hAnsi="宋体" w:eastAsia="宋体" w:cs="宋体"/>
                <w:color w:val="auto"/>
                <w:sz w:val="24"/>
                <w:highlight w:val="non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（5）信誉要求</w:t>
            </w:r>
          </w:p>
        </w:tc>
        <w:tc>
          <w:tcPr>
            <w:tcW w:w="164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适用  </w:t>
            </w:r>
          </w:p>
          <w:p>
            <w:pPr>
              <w:widowControl w:val="0"/>
              <w:spacing w:line="320" w:lineRule="exact"/>
              <w:jc w:val="both"/>
              <w:rPr>
                <w:rFonts w:hint="eastAsia" w:ascii="宋体" w:hAnsi="宋体" w:eastAsia="宋体" w:cs="宋体"/>
                <w:color w:val="auto"/>
                <w:sz w:val="24"/>
                <w:highlight w:val="none"/>
              </w:rPr>
            </w:pPr>
          </w:p>
        </w:tc>
        <w:tc>
          <w:tcPr>
            <w:tcW w:w="478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适用 </w:t>
            </w:r>
            <w:r>
              <w:rPr>
                <w:rStyle w:val="42"/>
                <w:rFonts w:hint="eastAsia" w:ascii="宋体" w:hAnsi="宋体" w:eastAsia="宋体" w:cs="宋体"/>
                <w:b/>
                <w:bCs/>
                <w:color w:val="auto"/>
                <w:highlight w:val="none"/>
                <w:u w:val="none"/>
              </w:rPr>
              <w:t>见采购文件供应商须知前附表3.5（</w:t>
            </w:r>
            <w:r>
              <w:rPr>
                <w:rStyle w:val="42"/>
                <w:rFonts w:hint="eastAsia" w:ascii="宋体" w:hAnsi="宋体" w:eastAsia="宋体" w:cs="宋体"/>
                <w:b/>
                <w:bCs/>
                <w:color w:val="auto"/>
                <w:highlight w:val="none"/>
                <w:u w:val="none"/>
                <w:lang w:val="en-US" w:eastAsia="zh-CN"/>
              </w:rPr>
              <w:t>5</w:t>
            </w:r>
            <w:r>
              <w:rPr>
                <w:rStyle w:val="42"/>
                <w:rFonts w:hint="eastAsia" w:ascii="宋体" w:hAnsi="宋体" w:eastAsia="宋体" w:cs="宋体"/>
                <w:b/>
                <w:bCs/>
                <w:color w:val="auto"/>
                <w:highlight w:val="none"/>
                <w:u w:val="none"/>
              </w:rPr>
              <w:t>）。</w:t>
            </w:r>
          </w:p>
          <w:p>
            <w:pPr>
              <w:widowControl w:val="0"/>
              <w:spacing w:line="32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47" w:type="dxa"/>
          </w:tcPr>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（6）承担本项目的主要人员要求</w:t>
            </w:r>
          </w:p>
        </w:tc>
        <w:tc>
          <w:tcPr>
            <w:tcW w:w="164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不适用  </w:t>
            </w:r>
          </w:p>
          <w:p>
            <w:pPr>
              <w:widowControl w:val="0"/>
              <w:spacing w:line="320" w:lineRule="exact"/>
              <w:jc w:val="both"/>
              <w:rPr>
                <w:rFonts w:hint="eastAsia" w:ascii="宋体" w:hAnsi="宋体" w:eastAsia="宋体" w:cs="宋体"/>
                <w:color w:val="auto"/>
                <w:sz w:val="24"/>
                <w:highlight w:val="none"/>
              </w:rPr>
            </w:pPr>
          </w:p>
        </w:tc>
        <w:tc>
          <w:tcPr>
            <w:tcW w:w="478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不适用  </w:t>
            </w:r>
          </w:p>
          <w:p>
            <w:pPr>
              <w:widowControl w:val="0"/>
              <w:spacing w:line="32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（7）其他要求</w:t>
            </w:r>
          </w:p>
        </w:tc>
        <w:tc>
          <w:tcPr>
            <w:tcW w:w="164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不适用  </w:t>
            </w:r>
          </w:p>
          <w:p>
            <w:pPr>
              <w:widowControl w:val="0"/>
              <w:spacing w:line="320" w:lineRule="exact"/>
              <w:jc w:val="both"/>
              <w:rPr>
                <w:rFonts w:hint="eastAsia" w:ascii="宋体" w:hAnsi="宋体" w:eastAsia="宋体" w:cs="宋体"/>
                <w:color w:val="auto"/>
                <w:sz w:val="24"/>
                <w:highlight w:val="none"/>
              </w:rPr>
            </w:pPr>
          </w:p>
        </w:tc>
        <w:tc>
          <w:tcPr>
            <w:tcW w:w="478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不适用  </w:t>
            </w:r>
          </w:p>
          <w:p>
            <w:pPr>
              <w:widowControl w:val="0"/>
              <w:spacing w:line="32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47" w:type="dxa"/>
          </w:tcPr>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（8）供应商不存在第一章3.1款情形的证明材料</w:t>
            </w:r>
          </w:p>
        </w:tc>
        <w:tc>
          <w:tcPr>
            <w:tcW w:w="164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cs="宋体"/>
                <w:color w:val="auto"/>
                <w:highlight w:val="none"/>
                <w:u w:val="single"/>
                <w:lang w:eastAsia="zh-CN"/>
              </w:rPr>
              <w:t>不</w:t>
            </w:r>
            <w:r>
              <w:rPr>
                <w:rStyle w:val="42"/>
                <w:rFonts w:hint="eastAsia" w:ascii="宋体" w:hAnsi="宋体" w:eastAsia="宋体" w:cs="宋体"/>
                <w:color w:val="auto"/>
                <w:highlight w:val="none"/>
                <w:u w:val="single"/>
              </w:rPr>
              <w:t xml:space="preserve">适用  </w:t>
            </w:r>
          </w:p>
          <w:p>
            <w:pPr>
              <w:widowControl w:val="0"/>
              <w:spacing w:line="320" w:lineRule="exact"/>
              <w:jc w:val="both"/>
              <w:rPr>
                <w:rFonts w:hint="eastAsia" w:ascii="宋体" w:hAnsi="宋体" w:eastAsia="宋体" w:cs="宋体"/>
                <w:color w:val="auto"/>
                <w:sz w:val="24"/>
                <w:highlight w:val="none"/>
              </w:rPr>
            </w:pPr>
          </w:p>
        </w:tc>
        <w:tc>
          <w:tcPr>
            <w:tcW w:w="4783"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b/>
                <w:bCs/>
                <w:color w:val="auto"/>
                <w:sz w:val="24"/>
                <w:highlight w:val="none"/>
                <w:u w:val="single"/>
              </w:rPr>
              <w:sym w:font="Wingdings 2" w:char="0052"/>
            </w:r>
            <w:r>
              <w:rPr>
                <w:rFonts w:hint="eastAsia" w:ascii="宋体" w:hAnsi="宋体" w:cs="宋体"/>
                <w:b/>
                <w:bCs/>
                <w:color w:val="auto"/>
                <w:sz w:val="24"/>
                <w:highlight w:val="none"/>
                <w:u w:val="single"/>
                <w:lang w:val="en-US" w:eastAsia="zh-CN"/>
              </w:rPr>
              <w:t>不</w:t>
            </w:r>
            <w:r>
              <w:rPr>
                <w:rFonts w:hint="eastAsia" w:ascii="宋体" w:hAnsi="宋体" w:eastAsia="宋体" w:cs="宋体"/>
                <w:b/>
                <w:bCs/>
                <w:color w:val="auto"/>
                <w:sz w:val="24"/>
                <w:highlight w:val="none"/>
                <w:u w:val="single"/>
                <w:lang w:val="en-US" w:eastAsia="zh-CN"/>
              </w:rPr>
              <w:t>适用</w:t>
            </w:r>
          </w:p>
        </w:tc>
      </w:tr>
    </w:tbl>
    <w:p>
      <w:pPr>
        <w:autoSpaceDE w:val="0"/>
        <w:spacing w:line="400" w:lineRule="exact"/>
        <w:ind w:firstLine="240" w:firstLineChars="100"/>
        <w:rPr>
          <w:rFonts w:hint="eastAsia" w:ascii="宋体" w:hAnsi="宋体" w:eastAsia="宋体" w:cs="宋体"/>
          <w:color w:val="auto"/>
          <w:sz w:val="24"/>
          <w:highlight w:val="none"/>
        </w:rPr>
      </w:pPr>
    </w:p>
    <w:p>
      <w:pPr>
        <w:pStyle w:val="6"/>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rPr>
        <w:t xml:space="preserve"> 响应保证金</w:t>
      </w:r>
      <w:r>
        <w:rPr>
          <w:rFonts w:hint="eastAsia" w:ascii="宋体" w:hAnsi="宋体" w:eastAsia="宋体" w:cs="宋体"/>
          <w:color w:val="auto"/>
          <w:highlight w:val="none"/>
          <w:lang w:val="en-US" w:eastAsia="zh-CN"/>
        </w:rPr>
        <w:tab/>
      </w:r>
    </w:p>
    <w:tbl>
      <w:tblPr>
        <w:tblStyle w:val="40"/>
        <w:tblW w:w="8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331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738" w:type="dxa"/>
          </w:tcPr>
          <w:p>
            <w:pPr>
              <w:widowControl w:val="0"/>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响应保证金的递交</w:t>
            </w:r>
          </w:p>
        </w:tc>
        <w:tc>
          <w:tcPr>
            <w:tcW w:w="3314" w:type="dxa"/>
          </w:tcPr>
          <w:p>
            <w:pPr>
              <w:widowControl w:val="0"/>
              <w:autoSpaceDE w:val="0"/>
              <w:spacing w:line="400" w:lineRule="exact"/>
              <w:jc w:val="both"/>
              <w:rPr>
                <w:rFonts w:hint="eastAsia" w:ascii="宋体" w:hAnsi="宋体" w:eastAsia="宋体" w:cs="宋体"/>
                <w:color w:val="auto"/>
                <w:highlight w:val="none"/>
              </w:rPr>
            </w:pPr>
            <w:r>
              <w:rPr>
                <w:rFonts w:hint="eastAsia" w:ascii="宋体" w:hAnsi="宋体" w:eastAsia="宋体" w:cs="宋体"/>
                <w:color w:val="auto"/>
                <w:sz w:val="24"/>
                <w:highlight w:val="none"/>
              </w:rPr>
              <w:t>不退还响应保证金的其他情形</w:t>
            </w:r>
          </w:p>
        </w:tc>
        <w:tc>
          <w:tcPr>
            <w:tcW w:w="2701" w:type="dxa"/>
          </w:tcPr>
          <w:p>
            <w:pPr>
              <w:widowControl w:val="0"/>
              <w:autoSpaceDE w:val="0"/>
              <w:spacing w:line="400" w:lineRule="exact"/>
              <w:jc w:val="both"/>
              <w:rPr>
                <w:rFonts w:hint="eastAsia" w:ascii="宋体" w:hAnsi="宋体" w:eastAsia="宋体" w:cs="宋体"/>
                <w:color w:val="auto"/>
                <w:highlight w:val="none"/>
              </w:rPr>
            </w:pPr>
            <w:r>
              <w:rPr>
                <w:rFonts w:hint="eastAsia" w:ascii="宋体" w:hAnsi="宋体" w:eastAsia="宋体" w:cs="宋体"/>
                <w:color w:val="auto"/>
                <w:sz w:val="24"/>
                <w:highlight w:val="none"/>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738" w:type="dxa"/>
          </w:tcPr>
          <w:p>
            <w:pPr>
              <w:widowControl w:val="0"/>
              <w:autoSpaceDE w:val="0"/>
              <w:spacing w:line="400" w:lineRule="exact"/>
              <w:jc w:val="both"/>
              <w:rPr>
                <w:rFonts w:hint="eastAsia" w:ascii="宋体" w:hAnsi="宋体" w:eastAsia="宋体" w:cs="宋体"/>
                <w:color w:val="auto"/>
                <w:sz w:val="24"/>
                <w:highlight w:val="none"/>
              </w:rPr>
            </w:pPr>
            <w:r>
              <w:rPr>
                <w:rStyle w:val="42"/>
                <w:rFonts w:hint="eastAsia" w:ascii="宋体" w:hAnsi="宋体" w:eastAsia="宋体" w:cs="宋体"/>
                <w:color w:val="auto"/>
                <w:highlight w:val="none"/>
              </w:rPr>
              <w:t>☑</w:t>
            </w:r>
            <w:r>
              <w:rPr>
                <w:rFonts w:hint="eastAsia" w:ascii="宋体" w:hAnsi="宋体" w:eastAsia="宋体" w:cs="宋体"/>
                <w:color w:val="auto"/>
                <w:sz w:val="24"/>
                <w:highlight w:val="none"/>
              </w:rPr>
              <w:t>不要求递交</w:t>
            </w:r>
          </w:p>
        </w:tc>
        <w:tc>
          <w:tcPr>
            <w:tcW w:w="3314" w:type="dxa"/>
          </w:tcPr>
          <w:p>
            <w:pPr>
              <w:widowControl w:val="0"/>
              <w:autoSpaceDE w:val="0"/>
              <w:spacing w:line="400" w:lineRule="exact"/>
              <w:jc w:val="both"/>
              <w:rPr>
                <w:rFonts w:hint="eastAsia" w:ascii="宋体" w:hAnsi="宋体" w:eastAsia="宋体" w:cs="宋体"/>
                <w:color w:val="auto"/>
                <w:highlight w:val="none"/>
              </w:rPr>
            </w:pPr>
            <w:r>
              <w:rPr>
                <w:rStyle w:val="42"/>
                <w:rFonts w:hint="eastAsia" w:ascii="宋体" w:hAnsi="宋体" w:eastAsia="宋体" w:cs="宋体"/>
                <w:color w:val="auto"/>
                <w:highlight w:val="none"/>
              </w:rPr>
              <w:t>☑不</w:t>
            </w:r>
            <w:r>
              <w:rPr>
                <w:rFonts w:hint="eastAsia" w:ascii="宋体" w:hAnsi="宋体" w:eastAsia="宋体" w:cs="宋体"/>
                <w:color w:val="auto"/>
                <w:sz w:val="24"/>
                <w:highlight w:val="none"/>
              </w:rPr>
              <w:t>适用</w:t>
            </w:r>
          </w:p>
        </w:tc>
        <w:tc>
          <w:tcPr>
            <w:tcW w:w="2701" w:type="dxa"/>
          </w:tcPr>
          <w:p>
            <w:pPr>
              <w:widowControl w:val="0"/>
              <w:autoSpaceDE w:val="0"/>
              <w:spacing w:line="400" w:lineRule="exact"/>
              <w:jc w:val="both"/>
              <w:rPr>
                <w:rFonts w:hint="eastAsia" w:ascii="宋体" w:hAnsi="宋体" w:eastAsia="宋体" w:cs="宋体"/>
                <w:color w:val="auto"/>
                <w:highlight w:val="none"/>
              </w:rPr>
            </w:pPr>
            <w:r>
              <w:rPr>
                <w:rStyle w:val="42"/>
                <w:rFonts w:hint="eastAsia" w:ascii="宋体" w:hAnsi="宋体" w:eastAsia="宋体" w:cs="宋体"/>
                <w:color w:val="auto"/>
                <w:highlight w:val="none"/>
              </w:rPr>
              <w:t>☑</w:t>
            </w:r>
            <w:r>
              <w:rPr>
                <w:rFonts w:hint="eastAsia" w:ascii="宋体" w:hAnsi="宋体" w:eastAsia="宋体" w:cs="宋体"/>
                <w:color w:val="auto"/>
                <w:sz w:val="24"/>
                <w:highlight w:val="none"/>
              </w:rPr>
              <w:t>不适用</w:t>
            </w:r>
          </w:p>
        </w:tc>
      </w:tr>
    </w:tbl>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五、</w:t>
      </w:r>
      <w:r>
        <w:rPr>
          <w:rFonts w:hint="eastAsia" w:ascii="宋体" w:hAnsi="宋体" w:eastAsia="宋体" w:cs="宋体"/>
          <w:color w:val="auto"/>
          <w:highlight w:val="none"/>
        </w:rPr>
        <w:t>确定成交供应商的方法</w:t>
      </w:r>
    </w:p>
    <w:p>
      <w:pPr>
        <w:autoSpaceDE w:val="0"/>
        <w:spacing w:line="400" w:lineRule="exact"/>
        <w:jc w:val="both"/>
        <w:rPr>
          <w:rStyle w:val="42"/>
          <w:rFonts w:hint="eastAsia" w:ascii="宋体" w:hAnsi="宋体" w:eastAsia="宋体" w:cs="宋体"/>
          <w:color w:val="auto"/>
          <w:highlight w:val="none"/>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一</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 xml:space="preserve"> 最低价法</w:t>
      </w:r>
    </w:p>
    <w:p>
      <w:pPr>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lang w:eastAsia="zh-CN"/>
        </w:rPr>
        <w:t>）</w:t>
      </w:r>
      <w:r>
        <w:rPr>
          <w:rFonts w:hint="eastAsia" w:ascii="宋体" w:hAnsi="宋体" w:eastAsia="宋体" w:cs="宋体"/>
          <w:color w:val="auto"/>
          <w:sz w:val="24"/>
          <w:highlight w:val="none"/>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六、</w:t>
      </w:r>
      <w:r>
        <w:rPr>
          <w:rFonts w:hint="eastAsia" w:ascii="宋体" w:hAnsi="宋体" w:eastAsia="宋体" w:cs="宋体"/>
          <w:color w:val="auto"/>
          <w:highlight w:val="none"/>
        </w:rPr>
        <w:t>采购文件获取</w:t>
      </w:r>
    </w:p>
    <w:p>
      <w:pPr>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一</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 xml:space="preserve"> </w:t>
      </w:r>
      <w:r>
        <w:rPr>
          <w:rFonts w:hint="eastAsia" w:ascii="宋体" w:hAnsi="宋体" w:eastAsia="宋体" w:cs="宋体"/>
          <w:color w:val="auto"/>
          <w:sz w:val="24"/>
          <w:highlight w:val="none"/>
        </w:rPr>
        <w:t>供应商应当于</w:t>
      </w:r>
      <w:r>
        <w:rPr>
          <w:rFonts w:hint="eastAsia" w:ascii="宋体" w:hAnsi="宋体" w:eastAsia="宋体" w:cs="宋体"/>
          <w:color w:val="auto"/>
          <w:sz w:val="24"/>
          <w:highlight w:val="none"/>
          <w:lang w:val="en-US" w:eastAsia="zh-CN"/>
        </w:rPr>
        <w:t>2023</w:t>
      </w:r>
      <w:r>
        <w:rPr>
          <w:rFonts w:hint="eastAsia" w:ascii="宋体" w:hAnsi="宋体" w:eastAsia="宋体" w:cs="宋体"/>
          <w:color w:val="auto"/>
          <w:sz w:val="24"/>
          <w:highlight w:val="none"/>
        </w:rPr>
        <w:t>_年</w:t>
      </w:r>
      <w:r>
        <w:rPr>
          <w:rFonts w:hint="eastAsia" w:ascii="宋体" w:hAnsi="宋体" w:cs="宋体"/>
          <w:color w:val="auto"/>
          <w:sz w:val="24"/>
          <w:highlight w:val="none"/>
          <w:lang w:val="en-US" w:eastAsia="zh-CN"/>
        </w:rPr>
        <w:t>10月13</w:t>
      </w:r>
      <w:bookmarkStart w:id="53" w:name="_GoBack"/>
      <w:bookmarkEnd w:id="53"/>
      <w:r>
        <w:rPr>
          <w:rFonts w:hint="eastAsia" w:ascii="宋体" w:hAnsi="宋体" w:eastAsia="宋体" w:cs="宋体"/>
          <w:color w:val="auto"/>
          <w:sz w:val="24"/>
          <w:highlight w:val="none"/>
        </w:rPr>
        <w:t>日至</w:t>
      </w:r>
      <w:r>
        <w:rPr>
          <w:rFonts w:hint="eastAsia" w:ascii="宋体" w:hAnsi="宋体" w:eastAsia="宋体" w:cs="宋体"/>
          <w:color w:val="auto"/>
          <w:sz w:val="24"/>
          <w:highlight w:val="none"/>
          <w:lang w:val="en-US" w:eastAsia="zh-CN"/>
        </w:rPr>
        <w:t>2023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10月17</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lang w:val="en-US" w:eastAsia="zh-CN"/>
        </w:rPr>
        <w:t>在</w:t>
      </w:r>
      <w:r>
        <w:rPr>
          <w:rFonts w:hint="eastAsia" w:ascii="宋体" w:hAnsi="宋体" w:eastAsia="宋体" w:cs="宋体"/>
          <w:bCs/>
          <w:color w:val="auto"/>
          <w:sz w:val="24"/>
          <w:highlight w:val="none"/>
          <w:u w:val="single"/>
        </w:rPr>
        <w:t>采购公告</w:t>
      </w:r>
      <w:r>
        <w:rPr>
          <w:rFonts w:hint="eastAsia" w:ascii="宋体" w:hAnsi="宋体" w:eastAsia="宋体" w:cs="宋体"/>
          <w:color w:val="auto"/>
          <w:sz w:val="24"/>
          <w:highlight w:val="none"/>
          <w:u w:val="single"/>
        </w:rPr>
        <w:t>发布的媒介</w:t>
      </w:r>
      <w:r>
        <w:rPr>
          <w:rFonts w:hint="eastAsia" w:ascii="宋体" w:hAnsi="宋体" w:eastAsia="宋体" w:cs="宋体"/>
          <w:color w:val="auto"/>
          <w:sz w:val="24"/>
          <w:highlight w:val="none"/>
          <w:u w:val="single"/>
          <w:lang w:val="en-US" w:eastAsia="zh-CN"/>
        </w:rPr>
        <w:t>免费</w:t>
      </w:r>
      <w:r>
        <w:rPr>
          <w:rFonts w:hint="eastAsia" w:ascii="宋体" w:hAnsi="宋体" w:eastAsia="宋体" w:cs="宋体"/>
          <w:color w:val="auto"/>
          <w:sz w:val="24"/>
          <w:highlight w:val="none"/>
        </w:rPr>
        <w:t>获取采购文件:</w:t>
      </w:r>
    </w:p>
    <w:p>
      <w:pPr>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 xml:space="preserve"> </w:t>
      </w:r>
      <w:r>
        <w:rPr>
          <w:rFonts w:hint="eastAsia" w:ascii="宋体" w:hAnsi="宋体" w:eastAsia="宋体" w:cs="宋体"/>
          <w:color w:val="auto"/>
          <w:sz w:val="24"/>
          <w:highlight w:val="none"/>
        </w:rPr>
        <w:t>供应商若对本项目采购需求、资格要求等有疑问的，应当于</w:t>
      </w:r>
      <w:r>
        <w:rPr>
          <w:rFonts w:hint="eastAsia" w:ascii="宋体" w:hAnsi="宋体" w:eastAsia="宋体" w:cs="宋体"/>
          <w:color w:val="auto"/>
          <w:sz w:val="24"/>
          <w:highlight w:val="none"/>
          <w:lang w:val="en-US" w:eastAsia="zh-CN"/>
        </w:rPr>
        <w:t>2023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10月20</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lang w:val="en-US" w:eastAsia="zh-CN"/>
        </w:rPr>
        <w:t>17</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分前向采购人提出澄清要求</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lang w:val="en-US" w:eastAsia="zh-CN"/>
        </w:rPr>
        <w:t>2023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10月23</w:t>
      </w:r>
      <w:r>
        <w:rPr>
          <w:rFonts w:hint="eastAsia" w:ascii="宋体" w:hAnsi="宋体" w:eastAsia="宋体" w:cs="宋体"/>
          <w:color w:val="auto"/>
          <w:sz w:val="24"/>
          <w:highlight w:val="none"/>
        </w:rPr>
        <w:t>日</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分前向采购人提</w:t>
      </w:r>
      <w:r>
        <w:rPr>
          <w:rFonts w:hint="eastAsia" w:ascii="宋体" w:hAnsi="宋体" w:cs="宋体"/>
          <w:color w:val="auto"/>
          <w:sz w:val="24"/>
          <w:highlight w:val="none"/>
          <w:lang w:val="en-US" w:eastAsia="zh-CN"/>
        </w:rPr>
        <w:t>交响应文件</w:t>
      </w:r>
      <w:r>
        <w:rPr>
          <w:rFonts w:hint="eastAsia" w:ascii="宋体" w:hAnsi="宋体" w:eastAsia="宋体" w:cs="宋体"/>
          <w:color w:val="auto"/>
          <w:sz w:val="24"/>
          <w:highlight w:val="none"/>
        </w:rPr>
        <w:t>。</w:t>
      </w:r>
    </w:p>
    <w:p>
      <w:pPr>
        <w:rPr>
          <w:rFonts w:hint="eastAsia" w:ascii="宋体" w:hAnsi="宋体" w:eastAsia="宋体" w:cs="宋体"/>
          <w:color w:val="auto"/>
          <w:highlight w:val="none"/>
        </w:rPr>
      </w:pP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七、</w:t>
      </w:r>
      <w:r>
        <w:rPr>
          <w:rFonts w:hint="eastAsia" w:ascii="宋体" w:hAnsi="宋体" w:eastAsia="宋体" w:cs="宋体"/>
          <w:color w:val="auto"/>
          <w:highlight w:val="none"/>
        </w:rPr>
        <w:t>发布公告的媒介</w:t>
      </w:r>
    </w:p>
    <w:p>
      <w:pPr>
        <w:widowControl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bCs/>
          <w:color w:val="auto"/>
          <w:sz w:val="24"/>
          <w:highlight w:val="none"/>
        </w:rPr>
        <w:t>本次采购公告</w:t>
      </w:r>
      <w:r>
        <w:rPr>
          <w:rFonts w:hint="eastAsia" w:ascii="宋体" w:hAnsi="宋体" w:eastAsia="宋体" w:cs="宋体"/>
          <w:color w:val="auto"/>
          <w:sz w:val="24"/>
          <w:highlight w:val="none"/>
        </w:rPr>
        <w:t xml:space="preserve">发布的媒介: </w:t>
      </w:r>
    </w:p>
    <w:p>
      <w:pPr>
        <w:widowControl w:val="0"/>
        <w:spacing w:line="312" w:lineRule="auto"/>
        <w:ind w:firstLine="480" w:firstLineChars="200"/>
        <w:jc w:val="both"/>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中国招标投标公共服务平台（http：//www.cebpubservice.com）</w:t>
      </w:r>
      <w:r>
        <w:rPr>
          <w:rFonts w:hint="eastAsia" w:ascii="宋体" w:hAnsi="宋体" w:eastAsia="宋体" w:cs="宋体"/>
          <w:color w:val="auto"/>
          <w:sz w:val="24"/>
          <w:highlight w:val="none"/>
          <w:lang w:val="en-US" w:eastAsia="zh-CN"/>
        </w:rPr>
        <w:t>；</w:t>
      </w:r>
    </w:p>
    <w:p>
      <w:pPr>
        <w:widowControl w:val="0"/>
        <w:spacing w:line="312" w:lineRule="auto"/>
        <w:ind w:firstLine="480" w:firstLineChars="200"/>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湖南省</w:t>
      </w:r>
      <w:r>
        <w:rPr>
          <w:rFonts w:hint="eastAsia" w:ascii="宋体" w:hAnsi="宋体" w:cs="宋体"/>
          <w:color w:val="auto"/>
          <w:sz w:val="24"/>
          <w:highlight w:val="none"/>
          <w:lang w:eastAsia="zh-CN"/>
        </w:rPr>
        <w:t>港航水利</w:t>
      </w:r>
      <w:r>
        <w:rPr>
          <w:rFonts w:hint="eastAsia" w:ascii="宋体" w:hAnsi="宋体" w:eastAsia="宋体" w:cs="宋体"/>
          <w:color w:val="auto"/>
          <w:sz w:val="24"/>
          <w:highlight w:val="none"/>
        </w:rPr>
        <w:t>集团有限公司网站（http：//www.hnsxsjt.com）</w:t>
      </w:r>
      <w:r>
        <w:rPr>
          <w:rFonts w:hint="eastAsia" w:ascii="宋体" w:hAnsi="宋体" w:eastAsia="宋体" w:cs="宋体"/>
          <w:color w:val="auto"/>
          <w:sz w:val="24"/>
          <w:highlight w:val="none"/>
          <w:lang w:val="en-US" w:eastAsia="zh-CN"/>
        </w:rPr>
        <w:t>；</w:t>
      </w:r>
    </w:p>
    <w:p>
      <w:pPr>
        <w:widowControl w:val="0"/>
        <w:spacing w:line="312" w:lineRule="auto"/>
        <w:ind w:firstLine="480" w:firstLineChars="200"/>
        <w:jc w:val="both"/>
        <w:rPr>
          <w:rFonts w:hint="eastAsia" w:ascii="宋体" w:hAnsi="宋体" w:eastAsia="宋体" w:cs="宋体"/>
          <w:color w:val="auto"/>
          <w:lang w:val="en-US" w:eastAsia="zh-CN"/>
        </w:rPr>
      </w:pPr>
      <w:r>
        <w:rPr>
          <w:rFonts w:hint="eastAsia" w:ascii="宋体" w:hAnsi="宋体" w:eastAsia="宋体" w:cs="宋体"/>
          <w:color w:val="auto"/>
          <w:sz w:val="24"/>
          <w:highlight w:val="none"/>
        </w:rPr>
        <w:t>湖南省</w:t>
      </w:r>
      <w:r>
        <w:rPr>
          <w:rFonts w:hint="eastAsia" w:ascii="宋体" w:hAnsi="宋体" w:cs="宋体"/>
          <w:color w:val="auto"/>
          <w:sz w:val="24"/>
          <w:highlight w:val="none"/>
          <w:lang w:val="en-US" w:eastAsia="zh-CN"/>
        </w:rPr>
        <w:t>城陵矶</w:t>
      </w:r>
      <w:r>
        <w:rPr>
          <w:rFonts w:hint="eastAsia" w:ascii="宋体" w:hAnsi="宋体" w:eastAsia="宋体" w:cs="宋体"/>
          <w:color w:val="auto"/>
          <w:sz w:val="24"/>
          <w:highlight w:val="none"/>
        </w:rPr>
        <w:t>港务集团有限公司门户网站（http://www.hnsgwjt.com/）。</w:t>
      </w:r>
    </w:p>
    <w:p>
      <w:pPr>
        <w:pStyle w:val="5"/>
        <w:keepNext w:val="0"/>
        <w:keepLines w:val="0"/>
        <w:widowControl w:val="0"/>
        <w:numPr>
          <w:ilvl w:val="0"/>
          <w:numId w:val="3"/>
        </w:numPr>
        <w:adjustRightInd w:val="0"/>
        <w:snapToGrid w:val="0"/>
        <w:spacing w:after="0" w:line="312" w:lineRule="auto"/>
        <w:ind w:left="0" w:right="0" w:firstLine="0" w:firstLineChars="0"/>
        <w:jc w:val="both"/>
        <w:rPr>
          <w:rFonts w:hint="eastAsia" w:ascii="宋体" w:hAnsi="宋体" w:eastAsia="宋体" w:cs="宋体"/>
          <w:b/>
          <w:color w:val="auto"/>
          <w:sz w:val="24"/>
          <w:szCs w:val="24"/>
        </w:rPr>
      </w:pPr>
      <w:r>
        <w:rPr>
          <w:rFonts w:hint="eastAsia" w:ascii="宋体" w:hAnsi="宋体" w:eastAsia="宋体" w:cs="宋体"/>
          <w:b/>
          <w:color w:val="auto"/>
          <w:sz w:val="24"/>
          <w:szCs w:val="24"/>
        </w:rPr>
        <w:t>最高限价</w:t>
      </w:r>
    </w:p>
    <w:p>
      <w:pPr>
        <w:pStyle w:val="5"/>
        <w:widowControl w:val="0"/>
        <w:adjustRightInd w:val="0"/>
        <w:snapToGrid w:val="0"/>
        <w:spacing w:line="312" w:lineRule="auto"/>
        <w:ind w:firstLine="480" w:firstLineChars="200"/>
        <w:jc w:val="both"/>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采购人对本次询价项目设置了最高限价为：</w:t>
      </w:r>
      <w:r>
        <w:rPr>
          <w:rFonts w:hint="eastAsia" w:cs="宋体"/>
          <w:color w:val="auto"/>
          <w:sz w:val="24"/>
          <w:highlight w:val="none"/>
          <w:lang w:val="en-US" w:eastAsia="zh-CN"/>
        </w:rPr>
        <w:t>叁</w:t>
      </w:r>
      <w:r>
        <w:rPr>
          <w:rFonts w:hint="eastAsia" w:ascii="宋体" w:hAnsi="宋体" w:eastAsia="宋体" w:cs="宋体"/>
          <w:b w:val="0"/>
          <w:bCs w:val="0"/>
          <w:color w:val="auto"/>
          <w:sz w:val="24"/>
          <w:szCs w:val="24"/>
          <w:highlight w:val="none"/>
          <w:lang w:val="en-US" w:eastAsia="zh-CN"/>
        </w:rPr>
        <w:t>拾</w:t>
      </w:r>
      <w:r>
        <w:rPr>
          <w:rFonts w:hint="eastAsia" w:cs="宋体"/>
          <w:b w:val="0"/>
          <w:bCs w:val="0"/>
          <w:color w:val="auto"/>
          <w:sz w:val="24"/>
          <w:szCs w:val="24"/>
          <w:highlight w:val="none"/>
          <w:lang w:val="en-US" w:eastAsia="zh-CN"/>
        </w:rPr>
        <w:t>肆</w:t>
      </w:r>
      <w:r>
        <w:rPr>
          <w:rFonts w:hint="eastAsia" w:ascii="宋体" w:hAnsi="宋体" w:eastAsia="宋体" w:cs="宋体"/>
          <w:b w:val="0"/>
          <w:bCs w:val="0"/>
          <w:color w:val="auto"/>
          <w:sz w:val="24"/>
          <w:szCs w:val="24"/>
          <w:highlight w:val="none"/>
          <w:lang w:val="en-US" w:eastAsia="zh-CN"/>
        </w:rPr>
        <w:t>万圆整（¥：</w:t>
      </w:r>
      <w:r>
        <w:rPr>
          <w:rFonts w:hint="eastAsia" w:cs="宋体"/>
          <w:b w:val="0"/>
          <w:bCs w:val="0"/>
          <w:color w:val="auto"/>
          <w:sz w:val="24"/>
          <w:szCs w:val="24"/>
          <w:highlight w:val="none"/>
          <w:lang w:val="en-US" w:eastAsia="zh-CN"/>
        </w:rPr>
        <w:t>340</w:t>
      </w:r>
      <w:r>
        <w:rPr>
          <w:rFonts w:hint="eastAsia" w:ascii="宋体" w:hAnsi="宋体" w:eastAsia="宋体" w:cs="宋体"/>
          <w:b w:val="0"/>
          <w:bCs w:val="0"/>
          <w:color w:val="auto"/>
          <w:sz w:val="24"/>
          <w:szCs w:val="24"/>
          <w:highlight w:val="none"/>
          <w:lang w:val="en-US" w:eastAsia="zh-CN"/>
        </w:rPr>
        <w:t>000.00）（含</w:t>
      </w:r>
      <w:r>
        <w:rPr>
          <w:rFonts w:hint="eastAsia" w:cs="宋体"/>
          <w:b w:val="0"/>
          <w:bCs w:val="0"/>
          <w:color w:val="auto"/>
          <w:sz w:val="24"/>
          <w:szCs w:val="24"/>
          <w:highlight w:val="none"/>
          <w:lang w:val="en-US" w:eastAsia="zh-CN"/>
        </w:rPr>
        <w:t>13%</w:t>
      </w:r>
      <w:r>
        <w:rPr>
          <w:rFonts w:hint="eastAsia" w:ascii="宋体" w:hAnsi="宋体" w:eastAsia="宋体" w:cs="宋体"/>
          <w:b w:val="0"/>
          <w:bCs w:val="0"/>
          <w:color w:val="auto"/>
          <w:sz w:val="24"/>
          <w:szCs w:val="24"/>
          <w:highlight w:val="none"/>
          <w:lang w:val="en-US" w:eastAsia="zh-CN"/>
        </w:rPr>
        <w:t>增值税</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超过最高限价的作废。如果报价人提供其他税率的增值税专用发票，</w:t>
      </w:r>
      <w:r>
        <w:rPr>
          <w:rFonts w:hint="eastAsia" w:cs="宋体"/>
          <w:b w:val="0"/>
          <w:bCs w:val="0"/>
          <w:color w:val="auto"/>
          <w:kern w:val="2"/>
          <w:sz w:val="24"/>
          <w:szCs w:val="24"/>
          <w:highlight w:val="none"/>
          <w:lang w:val="en-US" w:eastAsia="zh-CN" w:bidi="ar-SA"/>
        </w:rPr>
        <w:t>采购</w:t>
      </w:r>
      <w:r>
        <w:rPr>
          <w:rFonts w:hint="eastAsia" w:ascii="宋体" w:hAnsi="宋体" w:eastAsia="宋体" w:cs="宋体"/>
          <w:b w:val="0"/>
          <w:bCs w:val="0"/>
          <w:color w:val="auto"/>
          <w:kern w:val="2"/>
          <w:sz w:val="24"/>
          <w:szCs w:val="24"/>
          <w:highlight w:val="none"/>
          <w:lang w:val="en-US" w:eastAsia="zh-CN" w:bidi="ar-SA"/>
        </w:rPr>
        <w:t>人按</w:t>
      </w:r>
      <w:r>
        <w:rPr>
          <w:rFonts w:hint="eastAsia" w:cs="宋体"/>
          <w:b w:val="0"/>
          <w:bCs w:val="0"/>
          <w:color w:val="auto"/>
          <w:kern w:val="2"/>
          <w:sz w:val="24"/>
          <w:szCs w:val="24"/>
          <w:highlight w:val="none"/>
          <w:lang w:val="en-US" w:eastAsia="zh-CN" w:bidi="ar-SA"/>
        </w:rPr>
        <w:t>13%</w:t>
      </w:r>
      <w:r>
        <w:rPr>
          <w:rFonts w:hint="eastAsia" w:ascii="宋体" w:hAnsi="宋体" w:eastAsia="宋体" w:cs="宋体"/>
          <w:b w:val="0"/>
          <w:bCs w:val="0"/>
          <w:color w:val="auto"/>
          <w:kern w:val="2"/>
          <w:sz w:val="24"/>
          <w:szCs w:val="24"/>
          <w:highlight w:val="none"/>
          <w:lang w:val="en-US" w:eastAsia="zh-CN" w:bidi="ar-SA"/>
        </w:rPr>
        <w:t>的税率调整后计算报价参与排序</w:t>
      </w:r>
      <w:r>
        <w:rPr>
          <w:rFonts w:hint="eastAsia" w:ascii="宋体" w:hAnsi="宋体" w:eastAsia="宋体" w:cs="宋体"/>
          <w:b w:val="0"/>
          <w:bCs w:val="0"/>
          <w:color w:val="auto"/>
          <w:sz w:val="24"/>
          <w:szCs w:val="24"/>
          <w:highlight w:val="none"/>
          <w:lang w:val="en-US" w:eastAsia="zh-CN"/>
        </w:rPr>
        <w:t>。</w:t>
      </w:r>
    </w:p>
    <w:p>
      <w:pPr>
        <w:pStyle w:val="5"/>
        <w:widowControl w:val="0"/>
        <w:adjustRightInd w:val="0"/>
        <w:snapToGrid w:val="0"/>
        <w:spacing w:line="312" w:lineRule="auto"/>
        <w:ind w:firstLine="480" w:firstLineChars="200"/>
        <w:jc w:val="both"/>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本项目的报价采用包工、包质量、包安全生产和安全保卫、包文明施工，综合单价包干的方式进行承包。综合单价包括：相应所有直接费、各种技术措施费用、管理费、利润、安全文明施工费、冬雨季施工增加费、社会保险费、规费、税金、从指定的水电接驳点接水接电费用及夜间施工照明费用、合同工期内的赶工费、狭小空间或高空作业费、各种施工风险因素后的综合单价。最终结算金额以实际发生量为准。</w:t>
      </w:r>
    </w:p>
    <w:p>
      <w:pPr>
        <w:pStyle w:val="6"/>
        <w:jc w:val="both"/>
        <w:rPr>
          <w:rFonts w:hint="eastAsia" w:ascii="宋体" w:hAnsi="宋体" w:eastAsia="宋体" w:cs="宋体"/>
          <w:color w:val="auto"/>
          <w:highlight w:val="none"/>
        </w:rPr>
      </w:pPr>
      <w:bookmarkStart w:id="1" w:name="_Toc77254104"/>
      <w:bookmarkStart w:id="2" w:name="_Toc76635692"/>
      <w:bookmarkStart w:id="3" w:name="_Toc512257471"/>
      <w:bookmarkStart w:id="4" w:name="_Toc79596547"/>
      <w:r>
        <w:rPr>
          <w:rFonts w:hint="eastAsia" w:ascii="宋体" w:hAnsi="宋体" w:eastAsia="宋体" w:cs="宋体"/>
          <w:color w:val="auto"/>
          <w:highlight w:val="none"/>
          <w:lang w:val="en-US" w:eastAsia="zh-CN"/>
        </w:rPr>
        <w:t>九、</w:t>
      </w:r>
      <w:r>
        <w:rPr>
          <w:rFonts w:hint="eastAsia" w:ascii="宋体" w:hAnsi="宋体" w:eastAsia="宋体" w:cs="宋体"/>
          <w:color w:val="auto"/>
          <w:highlight w:val="none"/>
        </w:rPr>
        <w:t>监督</w:t>
      </w:r>
      <w:bookmarkEnd w:id="1"/>
      <w:bookmarkEnd w:id="2"/>
      <w:bookmarkEnd w:id="3"/>
      <w:r>
        <w:rPr>
          <w:rFonts w:hint="eastAsia" w:ascii="宋体" w:hAnsi="宋体" w:eastAsia="宋体" w:cs="宋体"/>
          <w:color w:val="auto"/>
          <w:highlight w:val="none"/>
        </w:rPr>
        <w:t>部门</w:t>
      </w:r>
      <w:bookmarkEnd w:id="4"/>
    </w:p>
    <w:p>
      <w:pPr>
        <w:pStyle w:val="34"/>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本次</w:t>
      </w:r>
      <w:r>
        <w:rPr>
          <w:rFonts w:hint="eastAsia" w:cs="宋体"/>
          <w:color w:val="auto"/>
          <w:lang w:val="en-US" w:eastAsia="zh-CN"/>
        </w:rPr>
        <w:t>采购</w:t>
      </w:r>
      <w:r>
        <w:rPr>
          <w:rFonts w:hint="eastAsia" w:ascii="宋体" w:hAnsi="宋体" w:eastAsia="宋体" w:cs="宋体"/>
          <w:color w:val="auto"/>
        </w:rPr>
        <w:t>监督部门为</w:t>
      </w:r>
      <w:r>
        <w:rPr>
          <w:rFonts w:hint="eastAsia" w:ascii="宋体" w:hAnsi="宋体" w:eastAsia="宋体" w:cs="宋体"/>
          <w:color w:val="auto"/>
          <w:u w:val="single"/>
        </w:rPr>
        <w:t>岳阳城陵矶港务有限责任公司纪委</w:t>
      </w:r>
      <w:r>
        <w:rPr>
          <w:rFonts w:hint="eastAsia" w:ascii="宋体" w:hAnsi="宋体" w:eastAsia="宋体" w:cs="宋体"/>
          <w:color w:val="auto"/>
        </w:rPr>
        <w:t>，电话：0730－3050153。</w:t>
      </w: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十、</w:t>
      </w:r>
      <w:r>
        <w:rPr>
          <w:rFonts w:hint="eastAsia" w:ascii="宋体" w:hAnsi="宋体" w:eastAsia="宋体" w:cs="宋体"/>
          <w:color w:val="auto"/>
          <w:highlight w:val="none"/>
        </w:rPr>
        <w:t>其他</w:t>
      </w:r>
    </w:p>
    <w:p>
      <w:pPr>
        <w:autoSpaceDE w:val="0"/>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采购人在签署采购合同时及合同履行过程中，有权对采购标的的数量进行增加或减少的幅度: </w:t>
      </w:r>
      <w:r>
        <w:rPr>
          <w:rFonts w:hint="eastAsia" w:ascii="宋体" w:hAnsi="宋体" w:eastAsia="宋体" w:cs="宋体"/>
          <w:color w:val="auto"/>
          <w:sz w:val="24"/>
          <w:highlight w:val="none"/>
          <w:u w:val="single"/>
        </w:rPr>
        <w:t>10</w:t>
      </w:r>
      <w:r>
        <w:rPr>
          <w:rFonts w:hint="eastAsia" w:ascii="宋体" w:hAnsi="宋体" w:eastAsia="宋体" w:cs="宋体"/>
          <w:color w:val="auto"/>
          <w:sz w:val="24"/>
          <w:highlight w:val="none"/>
        </w:rPr>
        <w:t>%。</w:t>
      </w: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十一、</w:t>
      </w:r>
      <w:r>
        <w:rPr>
          <w:rFonts w:hint="eastAsia" w:ascii="宋体" w:hAnsi="宋体" w:eastAsia="宋体" w:cs="宋体"/>
          <w:color w:val="auto"/>
          <w:highlight w:val="none"/>
        </w:rPr>
        <w:t>联系方式</w:t>
      </w:r>
    </w:p>
    <w:p>
      <w:pPr>
        <w:topLinePunct/>
        <w:adjustRightInd w:val="0"/>
        <w:snapToGrid w:val="0"/>
        <w:spacing w:after="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招 标 人：岳阳城陵矶港务有限责任公司</w:t>
      </w:r>
    </w:p>
    <w:p>
      <w:pPr>
        <w:topLinePunct/>
        <w:adjustRightInd w:val="0"/>
        <w:snapToGrid w:val="0"/>
        <w:spacing w:after="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    址：湖南省岳阳市城陵矶长江路2号</w:t>
      </w:r>
    </w:p>
    <w:p>
      <w:pPr>
        <w:topLinePunct/>
        <w:adjustRightInd w:val="0"/>
        <w:snapToGrid w:val="0"/>
        <w:spacing w:after="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邮    编：414000</w:t>
      </w:r>
    </w:p>
    <w:p>
      <w:pPr>
        <w:topLinePunct/>
        <w:adjustRightInd w:val="0"/>
        <w:snapToGrid w:val="0"/>
        <w:spacing w:after="0"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 系 人：</w:t>
      </w:r>
      <w:r>
        <w:rPr>
          <w:rFonts w:hint="eastAsia" w:ascii="宋体" w:hAnsi="宋体" w:eastAsia="宋体" w:cs="宋体"/>
          <w:color w:val="auto"/>
          <w:sz w:val="24"/>
          <w:szCs w:val="24"/>
          <w:lang w:eastAsia="zh-CN"/>
        </w:rPr>
        <w:t>蔡艳</w:t>
      </w:r>
    </w:p>
    <w:p>
      <w:pPr>
        <w:topLinePunct/>
        <w:adjustRightInd w:val="0"/>
        <w:snapToGrid w:val="0"/>
        <w:spacing w:after="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电    话：</w:t>
      </w:r>
      <w:r>
        <w:rPr>
          <w:rFonts w:hint="eastAsia" w:ascii="宋体" w:hAnsi="宋体" w:eastAsia="宋体" w:cs="宋体"/>
          <w:color w:val="auto"/>
          <w:sz w:val="24"/>
          <w:szCs w:val="24"/>
          <w:lang w:val="en-US" w:eastAsia="zh-CN"/>
        </w:rPr>
        <w:t>13873035629</w:t>
      </w:r>
    </w:p>
    <w:p>
      <w:pPr>
        <w:spacing w:line="600" w:lineRule="exact"/>
        <w:jc w:val="center"/>
        <w:outlineLvl w:val="0"/>
        <w:rPr>
          <w:rFonts w:hint="eastAsia" w:ascii="宋体" w:hAnsi="宋体" w:eastAsia="宋体" w:cs="宋体"/>
          <w:color w:val="auto"/>
          <w:sz w:val="32"/>
          <w:szCs w:val="32"/>
          <w:highlight w:val="none"/>
        </w:rPr>
      </w:pPr>
      <w:bookmarkStart w:id="5" w:name="_Toc13560"/>
      <w:bookmarkStart w:id="6" w:name="_Toc517787494"/>
      <w:bookmarkStart w:id="7" w:name="_Toc234832861"/>
      <w:r>
        <w:rPr>
          <w:rFonts w:hint="eastAsia" w:ascii="宋体" w:hAnsi="宋体" w:eastAsia="宋体" w:cs="宋体"/>
          <w:color w:val="auto"/>
          <w:sz w:val="32"/>
          <w:szCs w:val="32"/>
          <w:highlight w:val="none"/>
        </w:rPr>
        <w:t>第二章  供应商须知</w:t>
      </w:r>
      <w:bookmarkEnd w:id="5"/>
      <w:bookmarkEnd w:id="6"/>
      <w:bookmarkEnd w:id="7"/>
    </w:p>
    <w:p>
      <w:pPr>
        <w:pStyle w:val="4"/>
        <w:spacing w:before="240" w:after="240" w:line="600" w:lineRule="exact"/>
        <w:jc w:val="both"/>
        <w:rPr>
          <w:rFonts w:hint="eastAsia" w:ascii="宋体" w:hAnsi="宋体" w:eastAsia="宋体" w:cs="宋体"/>
          <w:color w:val="auto"/>
          <w:sz w:val="30"/>
          <w:szCs w:val="30"/>
          <w:highlight w:val="none"/>
        </w:rPr>
      </w:pPr>
      <w:bookmarkStart w:id="8" w:name="_Toc18749"/>
      <w:bookmarkStart w:id="9" w:name="_Toc234832862"/>
      <w:bookmarkStart w:id="10" w:name="_Toc517787495"/>
      <w:r>
        <w:rPr>
          <w:rFonts w:hint="eastAsia" w:ascii="宋体" w:hAnsi="宋体" w:eastAsia="宋体" w:cs="宋体"/>
          <w:color w:val="auto"/>
          <w:sz w:val="30"/>
          <w:szCs w:val="30"/>
          <w:highlight w:val="none"/>
        </w:rPr>
        <w:t>供应商须知前附表</w:t>
      </w:r>
      <w:r>
        <w:rPr>
          <w:rStyle w:val="48"/>
          <w:rFonts w:hint="eastAsia" w:ascii="宋体" w:hAnsi="宋体" w:eastAsia="宋体" w:cs="宋体"/>
          <w:color w:val="auto"/>
          <w:sz w:val="30"/>
          <w:szCs w:val="30"/>
          <w:highlight w:val="none"/>
        </w:rPr>
        <w:footnoteReference w:id="0"/>
      </w:r>
      <w:bookmarkEnd w:id="8"/>
      <w:bookmarkEnd w:id="9"/>
      <w:bookmarkEnd w:id="10"/>
    </w:p>
    <w:tbl>
      <w:tblPr>
        <w:tblStyle w:val="39"/>
        <w:tblW w:w="9018" w:type="dxa"/>
        <w:tblInd w:w="-278" w:type="dxa"/>
        <w:tblLayout w:type="fixed"/>
        <w:tblCellMar>
          <w:top w:w="0" w:type="dxa"/>
          <w:left w:w="108" w:type="dxa"/>
          <w:bottom w:w="0" w:type="dxa"/>
          <w:right w:w="108" w:type="dxa"/>
        </w:tblCellMar>
      </w:tblPr>
      <w:tblGrid>
        <w:gridCol w:w="1526"/>
        <w:gridCol w:w="2743"/>
        <w:gridCol w:w="4749"/>
      </w:tblGrid>
      <w:tr>
        <w:tblPrEx>
          <w:tblCellMar>
            <w:top w:w="0" w:type="dxa"/>
            <w:left w:w="108" w:type="dxa"/>
            <w:bottom w:w="0" w:type="dxa"/>
            <w:right w:w="108" w:type="dxa"/>
          </w:tblCellMar>
        </w:tblPrEx>
        <w:trPr>
          <w:trHeight w:val="387" w:hRule="atLeast"/>
          <w:tblHeader/>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条款号</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条  款  名  称</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编  列  内  容</w:t>
            </w:r>
          </w:p>
        </w:tc>
      </w:tr>
      <w:tr>
        <w:tblPrEx>
          <w:tblCellMar>
            <w:top w:w="0" w:type="dxa"/>
            <w:left w:w="108" w:type="dxa"/>
            <w:bottom w:w="0" w:type="dxa"/>
            <w:right w:w="108" w:type="dxa"/>
          </w:tblCellMar>
        </w:tblPrEx>
        <w:trPr>
          <w:trHeight w:val="45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询价</w:t>
            </w:r>
          </w:p>
        </w:tc>
      </w:tr>
      <w:tr>
        <w:tblPrEx>
          <w:tblCellMar>
            <w:top w:w="0" w:type="dxa"/>
            <w:left w:w="108" w:type="dxa"/>
            <w:bottom w:w="0" w:type="dxa"/>
            <w:right w:w="108" w:type="dxa"/>
          </w:tblCellMar>
        </w:tblPrEx>
        <w:trPr>
          <w:trHeight w:val="56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评审办法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最低价法</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踏勘现场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 xml:space="preserve">不组织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采购预备会</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 xml:space="preserve">不召开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1.9</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（A、C）</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分包</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不得分包的内容：</w:t>
            </w:r>
            <w:r>
              <w:rPr>
                <w:rFonts w:hint="eastAsia" w:ascii="宋体" w:hAnsi="宋体" w:eastAsia="宋体" w:cs="宋体"/>
                <w:color w:val="auto"/>
                <w:sz w:val="24"/>
                <w:highlight w:val="none"/>
                <w:u w:val="single"/>
              </w:rPr>
              <w:t>不允许分包</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对分包供应商的要求：</w:t>
            </w:r>
            <w:r>
              <w:rPr>
                <w:rFonts w:hint="eastAsia" w:ascii="宋体" w:hAnsi="宋体" w:eastAsia="宋体" w:cs="宋体"/>
                <w:color w:val="auto"/>
                <w:sz w:val="24"/>
                <w:highlight w:val="none"/>
                <w:u w:val="single"/>
              </w:rPr>
              <w:t>不允许分包</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对非关键条款的偏差</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允许偏差的范围：细微偏差</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允许偏差的项数：</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项</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构成采购文件的其他资料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资料名称：无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3.1.1（9）</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构成响应文件的其他资料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资料名称：无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采购标的数量增减幅度</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采购标的数量增减幅度：10%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最高限价或其计算方法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有，最高限价：</w:t>
            </w:r>
            <w:r>
              <w:rPr>
                <w:rFonts w:hint="eastAsia" w:cs="宋体"/>
                <w:color w:val="auto"/>
                <w:sz w:val="24"/>
                <w:highlight w:val="none"/>
                <w:lang w:val="en-US" w:eastAsia="zh-CN"/>
              </w:rPr>
              <w:t>叁</w:t>
            </w:r>
            <w:r>
              <w:rPr>
                <w:rFonts w:hint="eastAsia" w:ascii="宋体" w:hAnsi="宋体" w:eastAsia="宋体" w:cs="宋体"/>
                <w:b w:val="0"/>
                <w:bCs w:val="0"/>
                <w:color w:val="auto"/>
                <w:sz w:val="24"/>
                <w:szCs w:val="24"/>
                <w:highlight w:val="none"/>
                <w:lang w:val="en-US" w:eastAsia="zh-CN"/>
              </w:rPr>
              <w:t>拾</w:t>
            </w:r>
            <w:r>
              <w:rPr>
                <w:rFonts w:hint="eastAsia" w:cs="宋体"/>
                <w:b w:val="0"/>
                <w:bCs w:val="0"/>
                <w:color w:val="auto"/>
                <w:sz w:val="24"/>
                <w:szCs w:val="24"/>
                <w:highlight w:val="none"/>
                <w:lang w:val="en-US" w:eastAsia="zh-CN"/>
              </w:rPr>
              <w:t>肆</w:t>
            </w:r>
            <w:r>
              <w:rPr>
                <w:rFonts w:hint="eastAsia" w:ascii="宋体" w:hAnsi="宋体" w:eastAsia="宋体" w:cs="宋体"/>
                <w:b w:val="0"/>
                <w:bCs w:val="0"/>
                <w:color w:val="auto"/>
                <w:sz w:val="24"/>
                <w:szCs w:val="24"/>
                <w:highlight w:val="none"/>
                <w:lang w:val="en-US" w:eastAsia="zh-CN"/>
              </w:rPr>
              <w:t>万圆整（¥：</w:t>
            </w:r>
            <w:r>
              <w:rPr>
                <w:rFonts w:hint="eastAsia" w:cs="宋体"/>
                <w:b w:val="0"/>
                <w:bCs w:val="0"/>
                <w:color w:val="auto"/>
                <w:sz w:val="24"/>
                <w:szCs w:val="24"/>
                <w:highlight w:val="none"/>
                <w:lang w:val="en-US" w:eastAsia="zh-CN"/>
              </w:rPr>
              <w:t>340</w:t>
            </w:r>
            <w:r>
              <w:rPr>
                <w:rFonts w:hint="eastAsia" w:ascii="宋体" w:hAnsi="宋体" w:eastAsia="宋体" w:cs="宋体"/>
                <w:b w:val="0"/>
                <w:bCs w:val="0"/>
                <w:color w:val="auto"/>
                <w:sz w:val="24"/>
                <w:szCs w:val="24"/>
                <w:highlight w:val="none"/>
                <w:lang w:val="en-US" w:eastAsia="zh-CN"/>
              </w:rPr>
              <w:t>000.00）</w:t>
            </w:r>
            <w:r>
              <w:rPr>
                <w:rFonts w:hint="eastAsia" w:ascii="宋体" w:hAnsi="宋体" w:eastAsia="宋体" w:cs="宋体"/>
                <w:color w:val="auto"/>
                <w:sz w:val="24"/>
                <w:szCs w:val="24"/>
                <w:highlight w:val="none"/>
                <w:lang w:val="en-US" w:eastAsia="zh-CN"/>
              </w:rPr>
              <w:t>本项要求</w:t>
            </w: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cs="宋体"/>
                <w:b w:val="0"/>
                <w:bCs w:val="0"/>
                <w:color w:val="auto"/>
                <w:sz w:val="24"/>
                <w:szCs w:val="24"/>
                <w:highlight w:val="none"/>
                <w:u w:val="none"/>
                <w:lang w:val="en-US" w:eastAsia="zh-CN"/>
              </w:rPr>
              <w:t>13%</w:t>
            </w:r>
            <w:r>
              <w:rPr>
                <w:rFonts w:hint="eastAsia" w:ascii="宋体" w:hAnsi="宋体" w:eastAsia="宋体" w:cs="宋体"/>
                <w:b w:val="0"/>
                <w:bCs w:val="0"/>
                <w:color w:val="auto"/>
                <w:sz w:val="24"/>
                <w:szCs w:val="24"/>
                <w:highlight w:val="none"/>
                <w:u w:val="none"/>
                <w:lang w:val="en-US" w:eastAsia="zh-CN"/>
              </w:rPr>
              <w:t>的增值税专用发票，超过最高限价的作废。如果报价人提供其他税率的增值税专用发票，</w:t>
            </w:r>
            <w:r>
              <w:rPr>
                <w:rFonts w:hint="eastAsia" w:ascii="宋体" w:hAnsi="宋体" w:cs="宋体"/>
                <w:b w:val="0"/>
                <w:bCs w:val="0"/>
                <w:color w:val="auto"/>
                <w:sz w:val="24"/>
                <w:szCs w:val="24"/>
                <w:highlight w:val="none"/>
                <w:u w:val="none"/>
                <w:lang w:val="en-US" w:eastAsia="zh-CN"/>
              </w:rPr>
              <w:t>采购</w:t>
            </w:r>
            <w:r>
              <w:rPr>
                <w:rFonts w:hint="eastAsia" w:ascii="宋体" w:hAnsi="宋体" w:eastAsia="宋体" w:cs="宋体"/>
                <w:b w:val="0"/>
                <w:bCs w:val="0"/>
                <w:color w:val="auto"/>
                <w:sz w:val="24"/>
                <w:szCs w:val="24"/>
                <w:highlight w:val="none"/>
                <w:u w:val="none"/>
                <w:lang w:val="en-US" w:eastAsia="zh-CN"/>
              </w:rPr>
              <w:t>人按</w:t>
            </w:r>
            <w:r>
              <w:rPr>
                <w:rFonts w:hint="eastAsia" w:ascii="宋体" w:hAnsi="宋体" w:cs="宋体"/>
                <w:b w:val="0"/>
                <w:bCs w:val="0"/>
                <w:color w:val="auto"/>
                <w:sz w:val="24"/>
                <w:szCs w:val="24"/>
                <w:highlight w:val="none"/>
                <w:u w:val="none"/>
                <w:lang w:val="en-US" w:eastAsia="zh-CN"/>
              </w:rPr>
              <w:t>13%</w:t>
            </w:r>
            <w:r>
              <w:rPr>
                <w:rFonts w:hint="eastAsia" w:ascii="宋体" w:hAnsi="宋体" w:eastAsia="宋体" w:cs="宋体"/>
                <w:b w:val="0"/>
                <w:bCs w:val="0"/>
                <w:color w:val="auto"/>
                <w:sz w:val="24"/>
                <w:szCs w:val="24"/>
                <w:highlight w:val="none"/>
                <w:u w:val="none"/>
                <w:lang w:val="en-US" w:eastAsia="zh-CN"/>
              </w:rPr>
              <w:t>的增值税税率调整报价后参与排序。</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报价的其他要求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本项目采取清单报价</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按实结算。</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3.3.1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响应文件有效期</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递交响应文件截止之日起90日                                        </w:t>
            </w:r>
          </w:p>
        </w:tc>
      </w:tr>
      <w:tr>
        <w:tblPrEx>
          <w:tblCellMar>
            <w:top w:w="0" w:type="dxa"/>
            <w:left w:w="108" w:type="dxa"/>
            <w:bottom w:w="0" w:type="dxa"/>
            <w:right w:w="108" w:type="dxa"/>
          </w:tblCellMar>
        </w:tblPrEx>
        <w:trPr>
          <w:trHeight w:val="88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3.4.1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 xml:space="preserve">不要求递交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3.4.2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3.4.3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不退还响应保证金的其他情形</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无                                                             </w:t>
            </w:r>
          </w:p>
        </w:tc>
      </w:tr>
      <w:tr>
        <w:tblPrEx>
          <w:tblCellMar>
            <w:top w:w="0" w:type="dxa"/>
            <w:left w:w="108" w:type="dxa"/>
            <w:bottom w:w="0" w:type="dxa"/>
            <w:right w:w="108" w:type="dxa"/>
          </w:tblCellMar>
        </w:tblPrEx>
        <w:trPr>
          <w:trHeight w:val="8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2"/>
                <w:rFonts w:hint="eastAsia" w:ascii="宋体" w:hAnsi="宋体" w:eastAsia="宋体" w:cs="宋体"/>
                <w:b w:val="0"/>
                <w:color w:val="auto"/>
                <w:sz w:val="24"/>
                <w:highlight w:val="none"/>
              </w:rPr>
            </w:pPr>
            <w:r>
              <w:rPr>
                <w:rStyle w:val="42"/>
                <w:rFonts w:hint="eastAsia" w:ascii="宋体" w:hAnsi="宋体" w:eastAsia="宋体" w:cs="宋体"/>
                <w:b w:val="0"/>
                <w:color w:val="auto"/>
                <w:sz w:val="24"/>
                <w:highlight w:val="none"/>
              </w:rPr>
              <w:t>依法设立的证明材料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适用。供应商应提供市场监管部门或其他行政机关颁发的</w:t>
            </w:r>
            <w:r>
              <w:rPr>
                <w:rFonts w:hint="eastAsia" w:ascii="宋体" w:hAnsi="宋体" w:eastAsia="宋体" w:cs="宋体"/>
                <w:color w:val="auto"/>
                <w:sz w:val="24"/>
                <w:highlight w:val="none"/>
                <w:lang w:val="en-US" w:eastAsia="zh-CN"/>
              </w:rPr>
              <w:t>有效营业</w:t>
            </w:r>
            <w:r>
              <w:rPr>
                <w:rFonts w:hint="eastAsia" w:ascii="宋体" w:hAnsi="宋体" w:eastAsia="宋体" w:cs="宋体"/>
                <w:color w:val="auto"/>
                <w:sz w:val="24"/>
                <w:highlight w:val="none"/>
              </w:rPr>
              <w:t>执照或证书。</w:t>
            </w:r>
          </w:p>
        </w:tc>
      </w:tr>
      <w:tr>
        <w:tblPrEx>
          <w:tblCellMar>
            <w:top w:w="0" w:type="dxa"/>
            <w:left w:w="108" w:type="dxa"/>
            <w:bottom w:w="0" w:type="dxa"/>
            <w:right w:w="108" w:type="dxa"/>
          </w:tblCellMar>
        </w:tblPrEx>
        <w:trPr>
          <w:trHeight w:val="44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Style w:val="42"/>
                <w:rFonts w:hint="eastAsia" w:ascii="宋体" w:hAnsi="宋体" w:eastAsia="宋体" w:cs="宋体"/>
                <w:b w:val="0"/>
                <w:color w:val="auto"/>
                <w:sz w:val="24"/>
                <w:highlight w:val="none"/>
              </w:rPr>
              <w:t>资质要求证明材料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color w:val="auto"/>
                <w:lang w:eastAsia="zh-CN"/>
              </w:rPr>
            </w:pPr>
            <w:r>
              <w:rPr>
                <w:rFonts w:hint="eastAsia"/>
                <w:color w:val="auto"/>
                <w:sz w:val="24"/>
                <w:szCs w:val="24"/>
                <w:lang w:val="en-US" w:eastAsia="zh-CN"/>
              </w:rPr>
              <w:sym w:font="Wingdings 2" w:char="0052"/>
            </w:r>
            <w:r>
              <w:rPr>
                <w:rFonts w:hint="eastAsia"/>
                <w:color w:val="auto"/>
                <w:sz w:val="24"/>
                <w:szCs w:val="24"/>
                <w:lang w:val="en-US" w:eastAsia="zh-CN"/>
              </w:rPr>
              <w:t>适用。设备生产厂家（供应商应提供其产品生产厂家的）应具备有效的：</w:t>
            </w:r>
          </w:p>
          <w:p>
            <w:pPr>
              <w:numPr>
                <w:ilvl w:val="0"/>
                <w:numId w:val="4"/>
              </w:numPr>
              <w:spacing w:line="288" w:lineRule="auto"/>
              <w:jc w:val="both"/>
              <w:rPr>
                <w:rFonts w:hint="eastAsia"/>
                <w:color w:val="auto"/>
                <w:sz w:val="24"/>
                <w:szCs w:val="24"/>
                <w:lang w:val="en-US" w:eastAsia="zh-CN"/>
              </w:rPr>
            </w:pPr>
            <w:r>
              <w:rPr>
                <w:rFonts w:hint="eastAsia"/>
                <w:color w:val="auto"/>
                <w:sz w:val="24"/>
                <w:szCs w:val="24"/>
                <w:lang w:val="en-US" w:eastAsia="zh-CN"/>
              </w:rPr>
              <w:t>《中华人民共和国特种设备生产许可证》许可子项目（低压容器）</w:t>
            </w:r>
          </w:p>
          <w:p>
            <w:pPr>
              <w:pStyle w:val="2"/>
              <w:ind w:left="0" w:leftChars="0" w:firstLine="0" w:firstLineChars="0"/>
              <w:rPr>
                <w:rFonts w:hint="default"/>
                <w:color w:val="auto"/>
                <w:lang w:val="en-US" w:eastAsia="zh-CN"/>
              </w:rPr>
            </w:pPr>
            <w:r>
              <w:rPr>
                <w:rFonts w:hint="eastAsia" w:ascii="宋体" w:hAnsi="宋体" w:cs="宋体"/>
                <w:color w:val="auto"/>
                <w:sz w:val="24"/>
                <w:szCs w:val="24"/>
                <w:highlight w:val="none"/>
                <w:lang w:val="en-US" w:eastAsia="zh-CN"/>
              </w:rPr>
              <w:t>2、《中华人民共和国特种设备生产许可证》许可子项目（工业管道安装）</w:t>
            </w:r>
          </w:p>
        </w:tc>
      </w:tr>
      <w:tr>
        <w:tblPrEx>
          <w:tblCellMar>
            <w:top w:w="0" w:type="dxa"/>
            <w:left w:w="108" w:type="dxa"/>
            <w:bottom w:w="0" w:type="dxa"/>
            <w:right w:w="108" w:type="dxa"/>
          </w:tblCellMar>
        </w:tblPrEx>
        <w:trPr>
          <w:trHeight w:val="46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2"/>
                <w:rFonts w:hint="eastAsia" w:ascii="宋体" w:hAnsi="宋体" w:eastAsia="宋体" w:cs="宋体"/>
                <w:b w:val="0"/>
                <w:color w:val="auto"/>
                <w:sz w:val="24"/>
                <w:highlight w:val="none"/>
              </w:rPr>
            </w:pPr>
            <w:r>
              <w:rPr>
                <w:rStyle w:val="42"/>
                <w:rFonts w:hint="eastAsia" w:ascii="宋体" w:hAnsi="宋体" w:eastAsia="宋体" w:cs="宋体"/>
                <w:b w:val="0"/>
                <w:color w:val="auto"/>
                <w:sz w:val="24"/>
                <w:highlight w:val="none"/>
              </w:rPr>
              <w:t>财务要求证明材料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不适用</w:t>
            </w:r>
          </w:p>
        </w:tc>
      </w:tr>
      <w:tr>
        <w:tblPrEx>
          <w:tblCellMar>
            <w:top w:w="0" w:type="dxa"/>
            <w:left w:w="108" w:type="dxa"/>
            <w:bottom w:w="0" w:type="dxa"/>
            <w:right w:w="108" w:type="dxa"/>
          </w:tblCellMar>
        </w:tblPrEx>
        <w:trPr>
          <w:trHeight w:val="5133"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widowControl w:val="0"/>
              <w:spacing w:line="288" w:lineRule="auto"/>
              <w:jc w:val="both"/>
              <w:rPr>
                <w:rFonts w:hint="default"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适用。供应商应提供近年的</w:t>
            </w:r>
            <w:r>
              <w:rPr>
                <w:rFonts w:hint="eastAsia" w:ascii="宋体" w:hAnsi="宋体" w:cs="宋体"/>
                <w:color w:val="auto"/>
                <w:sz w:val="24"/>
                <w:highlight w:val="none"/>
                <w:lang w:val="en-US" w:eastAsia="zh-CN"/>
              </w:rPr>
              <w:t>撬装式加油装置</w:t>
            </w:r>
            <w:r>
              <w:rPr>
                <w:rFonts w:hint="eastAsia" w:ascii="宋体" w:hAnsi="宋体" w:eastAsia="宋体" w:cs="宋体"/>
                <w:color w:val="auto"/>
                <w:sz w:val="24"/>
                <w:highlight w:val="none"/>
              </w:rPr>
              <w:t>项目情况表（格式见第六章“响应文件格式”七、资格审查资料（三）近年的类似项目情况表），以证明供应商具有承担本项目要求的业绩。近年是指</w:t>
            </w:r>
            <w:r>
              <w:rPr>
                <w:rFonts w:hint="eastAsia" w:ascii="宋体" w:hAnsi="宋体" w:eastAsia="宋体" w:cs="宋体"/>
                <w:color w:val="auto"/>
                <w:sz w:val="24"/>
                <w:highlight w:val="none"/>
                <w:u w:val="single"/>
              </w:rPr>
              <w:t>20</w:t>
            </w:r>
            <w:r>
              <w:rPr>
                <w:rFonts w:hint="eastAsia" w:ascii="宋体" w:hAnsi="宋体" w:eastAsia="宋体" w:cs="宋体"/>
                <w:color w:val="auto"/>
                <w:sz w:val="24"/>
                <w:highlight w:val="none"/>
                <w:u w:val="single"/>
                <w:lang w:val="en-US" w:eastAsia="zh-CN"/>
              </w:rPr>
              <w:t>20</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24日</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24日</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业绩证明材料：</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合同/订单</w:t>
            </w:r>
          </w:p>
          <w:p>
            <w:pPr>
              <w:widowControl w:val="0"/>
              <w:spacing w:line="288" w:lineRule="auto"/>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sym w:font="Wingdings 2" w:char="00A3"/>
            </w:r>
            <w:r>
              <w:rPr>
                <w:rFonts w:hint="eastAsia" w:ascii="宋体" w:hAnsi="宋体" w:eastAsia="宋体" w:cs="宋体"/>
                <w:color w:val="auto"/>
                <w:sz w:val="24"/>
                <w:highlight w:val="none"/>
                <w:lang w:val="en-US" w:eastAsia="zh-CN"/>
              </w:rPr>
              <w:t>结算发票/付款证明</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业绩证明材料种类要求：</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sym w:font="Wingdings 2" w:char="00A3"/>
            </w:r>
            <w:r>
              <w:rPr>
                <w:rFonts w:hint="eastAsia" w:ascii="宋体" w:hAnsi="宋体" w:eastAsia="宋体" w:cs="宋体"/>
                <w:color w:val="auto"/>
                <w:sz w:val="24"/>
                <w:highlight w:val="none"/>
              </w:rPr>
              <w:t>需同时提供上述勾选的所有证明材料</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☑其他要求：</w:t>
            </w:r>
            <w:r>
              <w:rPr>
                <w:rFonts w:hint="eastAsia" w:ascii="宋体" w:hAnsi="宋体" w:eastAsia="宋体" w:cs="宋体"/>
                <w:color w:val="auto"/>
                <w:sz w:val="24"/>
                <w:highlight w:val="none"/>
                <w:u w:val="single"/>
              </w:rPr>
              <w:t>至少提供</w:t>
            </w:r>
            <w:r>
              <w:rPr>
                <w:rFonts w:hint="eastAsia" w:ascii="宋体" w:hAnsi="宋体" w:cs="宋体"/>
                <w:color w:val="auto"/>
                <w:sz w:val="24"/>
                <w:highlight w:val="none"/>
                <w:u w:val="single"/>
                <w:lang w:val="en-US" w:eastAsia="zh-CN"/>
              </w:rPr>
              <w:t>1</w:t>
            </w:r>
            <w:r>
              <w:rPr>
                <w:rFonts w:hint="eastAsia" w:ascii="宋体" w:hAnsi="宋体" w:eastAsia="宋体" w:cs="宋体"/>
                <w:color w:val="auto"/>
                <w:sz w:val="24"/>
                <w:highlight w:val="none"/>
                <w:u w:val="single"/>
              </w:rPr>
              <w:t>份业绩证明材料，提供复印件并加盖单位公章。</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47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信誉要求证明材料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pStyle w:val="3"/>
              <w:spacing w:after="0" w:line="312" w:lineRule="auto"/>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适用</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供应商应提供相关信誉情况的证明材料，包括：</w:t>
            </w:r>
          </w:p>
          <w:p>
            <w:pPr>
              <w:pStyle w:val="3"/>
              <w:spacing w:after="0" w:line="312" w:lineRule="auto"/>
              <w:ind w:left="0" w:leftChars="0" w:firstLine="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1）在</w:t>
            </w:r>
            <w:r>
              <w:rPr>
                <w:rFonts w:hint="eastAsia" w:ascii="宋体" w:hAnsi="宋体" w:eastAsia="宋体" w:cs="宋体"/>
                <w:color w:val="auto"/>
                <w:sz w:val="21"/>
                <w:szCs w:val="21"/>
              </w:rPr>
              <w:t>国</w:t>
            </w:r>
            <w:r>
              <w:rPr>
                <w:rFonts w:hint="eastAsia" w:ascii="宋体" w:hAnsi="宋体" w:eastAsia="宋体" w:cs="宋体"/>
                <w:color w:val="auto"/>
                <w:sz w:val="21"/>
                <w:szCs w:val="21"/>
                <w:lang w:val="en-US" w:eastAsia="zh-CN"/>
              </w:rPr>
              <w:t>家</w:t>
            </w:r>
            <w:r>
              <w:rPr>
                <w:rFonts w:hint="eastAsia" w:ascii="宋体" w:hAnsi="宋体" w:eastAsia="宋体" w:cs="宋体"/>
                <w:color w:val="auto"/>
                <w:sz w:val="21"/>
                <w:szCs w:val="21"/>
              </w:rPr>
              <w:t>企业信用信息公示系统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https://www.gsxt.gov.cn</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中未列入严重违法失信企业名单的网页截图</w:t>
            </w:r>
            <w:r>
              <w:rPr>
                <w:rFonts w:hint="eastAsia" w:ascii="宋体" w:hAnsi="宋体" w:eastAsia="宋体" w:cs="宋体"/>
                <w:color w:val="auto"/>
                <w:sz w:val="21"/>
                <w:szCs w:val="21"/>
                <w:lang w:eastAsia="zh-CN"/>
              </w:rPr>
              <w:t>。</w:t>
            </w:r>
            <w:r>
              <w:rPr>
                <w:rFonts w:hint="eastAsia" w:ascii="宋体" w:hAnsi="宋体" w:eastAsia="宋体" w:cs="宋体"/>
                <w:color w:val="auto"/>
                <w:sz w:val="24"/>
                <w:highlight w:val="none"/>
              </w:rPr>
              <w:t>加盖公章。</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被最高人民法院在“信用中国”网站（www.creditchina.gov.cn）中未列入失信被执行人名单的网页截图</w:t>
            </w:r>
            <w:r>
              <w:rPr>
                <w:rFonts w:hint="eastAsia" w:ascii="宋体" w:hAnsi="宋体" w:eastAsia="宋体" w:cs="宋体"/>
                <w:color w:val="auto"/>
                <w:sz w:val="21"/>
                <w:szCs w:val="21"/>
                <w:lang w:eastAsia="zh-CN"/>
              </w:rPr>
              <w:t>。</w:t>
            </w:r>
            <w:r>
              <w:rPr>
                <w:rFonts w:hint="eastAsia" w:ascii="宋体" w:hAnsi="宋体" w:eastAsia="宋体" w:cs="宋体"/>
                <w:color w:val="auto"/>
                <w:sz w:val="24"/>
                <w:highlight w:val="none"/>
              </w:rPr>
              <w:t>加盖公章。</w:t>
            </w:r>
          </w:p>
        </w:tc>
      </w:tr>
      <w:tr>
        <w:tblPrEx>
          <w:tblCellMar>
            <w:top w:w="0" w:type="dxa"/>
            <w:left w:w="108" w:type="dxa"/>
            <w:bottom w:w="0" w:type="dxa"/>
            <w:right w:w="108" w:type="dxa"/>
          </w:tblCellMar>
        </w:tblPrEx>
        <w:trPr>
          <w:trHeight w:val="35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3.5（6）</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承担本项目的主要人员要求证明材料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sym w:font="Wingdings 2" w:char="0052"/>
            </w:r>
            <w:r>
              <w:rPr>
                <w:rFonts w:hint="eastAsia" w:ascii="宋体" w:hAnsi="宋体" w:eastAsia="宋体" w:cs="宋体"/>
                <w:color w:val="auto"/>
                <w:sz w:val="24"/>
                <w:highlight w:val="none"/>
                <w:u w:val="none"/>
                <w:lang w:val="en-US" w:eastAsia="zh-CN"/>
              </w:rPr>
              <w:t>不</w:t>
            </w:r>
            <w:r>
              <w:rPr>
                <w:rFonts w:hint="eastAsia" w:ascii="宋体" w:hAnsi="宋体" w:eastAsia="宋体" w:cs="宋体"/>
                <w:color w:val="auto"/>
                <w:sz w:val="24"/>
                <w:highlight w:val="none"/>
                <w:u w:val="none"/>
              </w:rPr>
              <w:t>适用。</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其他要求的证明材料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CellMar>
            <w:top w:w="0" w:type="dxa"/>
            <w:left w:w="108" w:type="dxa"/>
            <w:bottom w:w="0" w:type="dxa"/>
            <w:right w:w="108" w:type="dxa"/>
          </w:tblCellMar>
        </w:tblPrEx>
        <w:trPr>
          <w:trHeight w:val="118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供应商不存在第一章3.1款情形的证明材料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cs="宋体"/>
                <w:color w:val="auto"/>
                <w:sz w:val="24"/>
                <w:highlight w:val="none"/>
                <w:lang w:val="en-US" w:eastAsia="zh-CN"/>
              </w:rPr>
              <w:t>不</w:t>
            </w:r>
            <w:r>
              <w:rPr>
                <w:rFonts w:hint="eastAsia" w:ascii="宋体" w:hAnsi="宋体" w:eastAsia="宋体" w:cs="宋体"/>
                <w:color w:val="auto"/>
                <w:sz w:val="24"/>
                <w:highlight w:val="none"/>
                <w:lang w:val="en-US" w:eastAsia="zh-CN"/>
              </w:rPr>
              <w:t>适用。</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3.6.1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对关键条款进行响应的证据或证明材料要求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提供证据或证明材料复印件，并加盖单位公章。</w:t>
            </w:r>
          </w:p>
        </w:tc>
      </w:tr>
      <w:tr>
        <w:tblPrEx>
          <w:tblCellMar>
            <w:top w:w="0" w:type="dxa"/>
            <w:left w:w="108" w:type="dxa"/>
            <w:bottom w:w="0" w:type="dxa"/>
            <w:right w:w="108" w:type="dxa"/>
          </w:tblCellMar>
        </w:tblPrEx>
        <w:trPr>
          <w:trHeight w:val="69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3.6.2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响应方案数量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供应商只能提出唯一响应方案</w:t>
            </w:r>
          </w:p>
        </w:tc>
      </w:tr>
      <w:tr>
        <w:tblPrEx>
          <w:tblCellMar>
            <w:top w:w="0" w:type="dxa"/>
            <w:left w:w="108" w:type="dxa"/>
            <w:bottom w:w="0" w:type="dxa"/>
            <w:right w:w="108" w:type="dxa"/>
          </w:tblCellMar>
        </w:tblPrEx>
        <w:trPr>
          <w:trHeight w:val="8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响应文件及电子版要求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是否要求提供电子版响应文件：</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lang w:val="en-US" w:eastAsia="zh-CN"/>
              </w:rPr>
              <w:t>不</w:t>
            </w:r>
            <w:r>
              <w:rPr>
                <w:rFonts w:hint="eastAsia" w:ascii="宋体" w:hAnsi="宋体" w:eastAsia="宋体" w:cs="宋体"/>
                <w:color w:val="auto"/>
                <w:sz w:val="24"/>
                <w:highlight w:val="none"/>
              </w:rPr>
              <w:t>要求</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响应文件的密封</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响应文件须密封包装，并在封套的封口处加盖供应商单位章。</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封套上应载明的信息</w:t>
            </w:r>
          </w:p>
        </w:tc>
        <w:tc>
          <w:tcPr>
            <w:tcW w:w="474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适用：</w:t>
            </w:r>
            <w:r>
              <w:rPr>
                <w:rFonts w:hint="eastAsia" w:ascii="宋体" w:hAnsi="宋体" w:eastAsia="宋体" w:cs="宋体"/>
                <w:b w:val="0"/>
                <w:bCs/>
                <w:color w:val="auto"/>
                <w:sz w:val="24"/>
                <w:szCs w:val="24"/>
                <w:highlight w:val="none"/>
                <w:u w:val="single"/>
                <w:lang w:eastAsia="zh-CN"/>
              </w:rPr>
              <w:t>岳阳城陵矶港务有限责任公司</w:t>
            </w:r>
            <w:r>
              <w:rPr>
                <w:rFonts w:hint="eastAsia" w:ascii="宋体" w:hAnsi="宋体" w:cs="宋体"/>
                <w:b w:val="0"/>
                <w:bCs/>
                <w:color w:val="auto"/>
                <w:sz w:val="24"/>
                <w:szCs w:val="24"/>
                <w:highlight w:val="none"/>
                <w:u w:val="single"/>
                <w:lang w:eastAsia="zh-CN"/>
              </w:rPr>
              <w:t>撬装式加油装置</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4.2.1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递交响应文件截止时间和地点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截止时间：</w:t>
            </w:r>
            <w:r>
              <w:rPr>
                <w:rFonts w:hint="eastAsia" w:ascii="宋体" w:hAnsi="宋体" w:eastAsia="宋体" w:cs="宋体"/>
                <w:color w:val="auto"/>
                <w:sz w:val="24"/>
                <w:highlight w:val="none"/>
                <w:lang w:val="en-US" w:eastAsia="zh-CN"/>
              </w:rPr>
              <w:t>2023年</w:t>
            </w:r>
            <w:r>
              <w:rPr>
                <w:rFonts w:hint="eastAsia" w:ascii="宋体" w:hAnsi="宋体" w:cs="宋体"/>
                <w:color w:val="auto"/>
                <w:sz w:val="24"/>
                <w:highlight w:val="none"/>
                <w:lang w:val="en-US" w:eastAsia="zh-CN"/>
              </w:rPr>
              <w:t>10月23</w:t>
            </w:r>
            <w:r>
              <w:rPr>
                <w:rFonts w:hint="eastAsia" w:ascii="宋体" w:hAnsi="宋体" w:eastAsia="宋体" w:cs="宋体"/>
                <w:color w:val="auto"/>
                <w:sz w:val="24"/>
                <w:highlight w:val="none"/>
                <w:lang w:val="en-US" w:eastAsia="zh-CN"/>
              </w:rPr>
              <w:t>日9时</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0分</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递交响应文件的地点：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岳阳市</w:t>
            </w:r>
            <w:r>
              <w:rPr>
                <w:rFonts w:hint="eastAsia" w:ascii="宋体" w:hAnsi="宋体" w:cs="宋体"/>
                <w:color w:val="auto"/>
                <w:sz w:val="24"/>
                <w:highlight w:val="none"/>
                <w:u w:val="single"/>
                <w:lang w:val="en-US" w:eastAsia="zh-CN"/>
              </w:rPr>
              <w:t>城陵矶港务有限责任</w:t>
            </w:r>
            <w:r>
              <w:rPr>
                <w:rFonts w:hint="eastAsia" w:ascii="宋体" w:hAnsi="宋体" w:eastAsia="宋体" w:cs="宋体"/>
                <w:color w:val="auto"/>
                <w:sz w:val="24"/>
                <w:highlight w:val="none"/>
                <w:u w:val="single"/>
                <w:lang w:val="en-US" w:eastAsia="zh-CN"/>
              </w:rPr>
              <w:t>公司</w:t>
            </w:r>
            <w:r>
              <w:rPr>
                <w:rFonts w:hint="eastAsia" w:ascii="宋体" w:hAnsi="宋体" w:cs="宋体"/>
                <w:color w:val="auto"/>
                <w:sz w:val="24"/>
                <w:highlight w:val="none"/>
                <w:u w:val="single"/>
                <w:lang w:val="en-US" w:eastAsia="zh-CN"/>
              </w:rPr>
              <w:t>办公楼420</w:t>
            </w:r>
            <w:r>
              <w:rPr>
                <w:rFonts w:hint="eastAsia" w:ascii="宋体" w:hAnsi="宋体" w:eastAsia="宋体" w:cs="宋体"/>
                <w:color w:val="auto"/>
                <w:sz w:val="24"/>
                <w:highlight w:val="none"/>
                <w:u w:val="single"/>
                <w:lang w:val="en-US" w:eastAsia="zh-CN"/>
              </w:rPr>
              <w:t>室</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是否退还响应文件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否</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4.3.3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供应商撤回响应文件情况下退还响应保证金的时间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CellMar>
            <w:top w:w="0" w:type="dxa"/>
            <w:left w:w="108" w:type="dxa"/>
            <w:bottom w:w="0" w:type="dxa"/>
            <w:right w:w="108" w:type="dxa"/>
          </w:tblCellMar>
        </w:tblPrEx>
        <w:trPr>
          <w:trHeight w:val="6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是否公开开启响应文件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否</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开启地点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en-US" w:eastAsia="zh-CN"/>
              </w:rPr>
              <w:t>湖南省</w:t>
            </w:r>
            <w:r>
              <w:rPr>
                <w:rFonts w:hint="eastAsia" w:ascii="宋体" w:hAnsi="宋体" w:cs="宋体"/>
                <w:color w:val="auto"/>
                <w:sz w:val="24"/>
                <w:highlight w:val="none"/>
                <w:u w:val="single"/>
                <w:lang w:val="en-US" w:eastAsia="zh-CN"/>
              </w:rPr>
              <w:t>城陵矶</w:t>
            </w:r>
            <w:r>
              <w:rPr>
                <w:rFonts w:hint="eastAsia" w:ascii="宋体" w:hAnsi="宋体" w:eastAsia="宋体" w:cs="宋体"/>
                <w:color w:val="auto"/>
                <w:sz w:val="24"/>
                <w:highlight w:val="none"/>
                <w:u w:val="single"/>
                <w:lang w:val="en-US" w:eastAsia="zh-CN"/>
              </w:rPr>
              <w:t>港务集团有限公司602室</w:t>
            </w:r>
            <w:r>
              <w:rPr>
                <w:rFonts w:hint="eastAsia" w:ascii="宋体" w:hAnsi="宋体" w:eastAsia="宋体" w:cs="宋体"/>
                <w:color w:val="auto"/>
                <w:sz w:val="24"/>
                <w:highlight w:val="none"/>
                <w:u w:val="singl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开启程序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开启顺序：</w:t>
            </w:r>
            <w:r>
              <w:rPr>
                <w:rFonts w:hint="eastAsia" w:ascii="宋体" w:hAnsi="宋体" w:eastAsia="宋体" w:cs="宋体"/>
                <w:color w:val="auto"/>
                <w:sz w:val="24"/>
                <w:highlight w:val="none"/>
                <w:u w:val="single"/>
              </w:rPr>
              <w:t xml:space="preserve"> 随机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评审小组的组建</w:t>
            </w:r>
            <w:r>
              <w:rPr>
                <w:rStyle w:val="48"/>
                <w:rFonts w:hint="eastAsia" w:ascii="宋体" w:hAnsi="宋体" w:eastAsia="宋体" w:cs="宋体"/>
                <w:color w:val="auto"/>
                <w:sz w:val="24"/>
                <w:highlight w:val="none"/>
              </w:rPr>
              <w:footnoteReference w:id="1"/>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评标小组构成：</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人。</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评审专家确定方式：在湖南省</w:t>
            </w:r>
            <w:r>
              <w:rPr>
                <w:rFonts w:hint="eastAsia" w:ascii="宋体" w:hAnsi="宋体" w:cs="宋体"/>
                <w:color w:val="auto"/>
                <w:sz w:val="24"/>
                <w:highlight w:val="none"/>
                <w:lang w:eastAsia="zh-CN"/>
              </w:rPr>
              <w:t>港航水利</w:t>
            </w:r>
            <w:r>
              <w:rPr>
                <w:rFonts w:hint="eastAsia" w:ascii="宋体" w:hAnsi="宋体" w:eastAsia="宋体" w:cs="宋体"/>
                <w:color w:val="auto"/>
                <w:sz w:val="24"/>
                <w:highlight w:val="none"/>
              </w:rPr>
              <w:t>集团有限公司综合评标专家库中随机抽取</w:t>
            </w:r>
            <w:r>
              <w:rPr>
                <w:rFonts w:hint="eastAsia" w:ascii="宋体" w:hAnsi="宋体" w:eastAsia="宋体" w:cs="宋体"/>
                <w:color w:val="auto"/>
                <w:sz w:val="24"/>
                <w:highlight w:val="none"/>
                <w:u w:val="none"/>
                <w:lang w:val="en-US" w:eastAsia="zh-CN"/>
              </w:rPr>
              <w:t>2人，业主代表1人</w:t>
            </w:r>
            <w:r>
              <w:rPr>
                <w:rFonts w:hint="eastAsia" w:ascii="宋体" w:hAnsi="宋体" w:eastAsia="宋体" w:cs="宋体"/>
                <w:color w:val="auto"/>
                <w:sz w:val="24"/>
                <w:highlight w:val="none"/>
              </w:rPr>
              <w:t>。</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评审小组推荐成交候选供应商的数量</w:t>
            </w:r>
            <w:r>
              <w:rPr>
                <w:rStyle w:val="48"/>
                <w:rFonts w:hint="eastAsia" w:ascii="宋体" w:hAnsi="宋体" w:eastAsia="宋体" w:cs="宋体"/>
                <w:color w:val="auto"/>
                <w:sz w:val="24"/>
                <w:highlight w:val="none"/>
              </w:rPr>
              <w:footnoteReference w:id="2"/>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lang w:eastAsia="zh-CN"/>
              </w:rPr>
            </w:pPr>
            <w:r>
              <w:rPr>
                <w:rFonts w:hint="eastAsia" w:ascii="宋体" w:hAnsi="宋体" w:eastAsia="宋体" w:cs="宋体"/>
                <w:b/>
                <w:bCs/>
                <w:color w:val="auto"/>
                <w:sz w:val="24"/>
                <w:highlight w:val="none"/>
              </w:rPr>
              <w:t xml:space="preserve"> </w:t>
            </w:r>
            <w:r>
              <w:rPr>
                <w:rFonts w:hint="eastAsia" w:ascii="宋体" w:hAnsi="宋体" w:eastAsia="宋体" w:cs="宋体"/>
                <w:b w:val="0"/>
                <w:bCs w:val="0"/>
                <w:color w:val="auto"/>
                <w:sz w:val="24"/>
                <w:highlight w:val="none"/>
              </w:rPr>
              <w:t>1-</w:t>
            </w:r>
            <w:r>
              <w:rPr>
                <w:rFonts w:hint="eastAsia" w:ascii="宋体" w:hAnsi="宋体" w:eastAsia="宋体" w:cs="宋体"/>
                <w:b w:val="0"/>
                <w:bCs w:val="0"/>
                <w:color w:val="auto"/>
                <w:sz w:val="24"/>
                <w:highlight w:val="none"/>
                <w:lang w:val="en-US" w:eastAsia="zh-CN"/>
              </w:rPr>
              <w:t>3人</w:t>
            </w:r>
          </w:p>
        </w:tc>
      </w:tr>
      <w:tr>
        <w:tblPrEx>
          <w:tblCellMar>
            <w:top w:w="0" w:type="dxa"/>
            <w:left w:w="108" w:type="dxa"/>
            <w:bottom w:w="0" w:type="dxa"/>
            <w:right w:w="108" w:type="dxa"/>
          </w:tblCellMar>
        </w:tblPrEx>
        <w:trPr>
          <w:trHeight w:val="94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推荐成交候选供应商的排序及数量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是否排序：</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☑排序</w:t>
            </w:r>
          </w:p>
        </w:tc>
      </w:tr>
      <w:tr>
        <w:tblPrEx>
          <w:tblCellMar>
            <w:top w:w="0" w:type="dxa"/>
            <w:left w:w="108" w:type="dxa"/>
            <w:bottom w:w="0" w:type="dxa"/>
            <w:right w:w="108" w:type="dxa"/>
          </w:tblCellMar>
        </w:tblPrEx>
        <w:trPr>
          <w:trHeight w:val="316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成交候选供应商公示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公示媒介：中国招标投标公共服务平台（http：//www.cebpubservice.com）、湖南省</w:t>
            </w:r>
            <w:r>
              <w:rPr>
                <w:rFonts w:hint="eastAsia" w:ascii="宋体" w:hAnsi="宋体" w:cs="宋体"/>
                <w:color w:val="auto"/>
                <w:sz w:val="24"/>
                <w:highlight w:val="none"/>
                <w:lang w:eastAsia="zh-CN"/>
              </w:rPr>
              <w:t>港航水利</w:t>
            </w:r>
            <w:r>
              <w:rPr>
                <w:rFonts w:hint="eastAsia" w:ascii="宋体" w:hAnsi="宋体" w:eastAsia="宋体" w:cs="宋体"/>
                <w:color w:val="auto"/>
                <w:sz w:val="24"/>
                <w:highlight w:val="none"/>
              </w:rPr>
              <w:t>集团有限公司网站（http：//www.hnsxsjt.co</w:t>
            </w:r>
            <w:r>
              <w:rPr>
                <w:rFonts w:hint="eastAsia" w:ascii="宋体" w:hAnsi="宋体" w:eastAsia="宋体" w:cs="宋体"/>
                <w:color w:val="auto"/>
                <w:sz w:val="24"/>
                <w:highlight w:val="none"/>
                <w:lang w:val="en-US" w:eastAsia="zh-CN"/>
              </w:rPr>
              <w:t>m</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湖南省</w:t>
            </w:r>
            <w:r>
              <w:rPr>
                <w:rFonts w:hint="eastAsia" w:ascii="宋体" w:hAnsi="宋体" w:cs="宋体"/>
                <w:color w:val="auto"/>
                <w:sz w:val="24"/>
                <w:highlight w:val="none"/>
                <w:lang w:val="en-US" w:eastAsia="zh-CN"/>
              </w:rPr>
              <w:t>城陵矶</w:t>
            </w:r>
            <w:r>
              <w:rPr>
                <w:rFonts w:hint="eastAsia" w:ascii="宋体" w:hAnsi="宋体" w:eastAsia="宋体" w:cs="宋体"/>
                <w:color w:val="auto"/>
                <w:sz w:val="24"/>
                <w:highlight w:val="none"/>
              </w:rPr>
              <w:t>港务集团有限公司门户网站（http://www.hnsgwjt.com/）上发布。</w:t>
            </w:r>
          </w:p>
          <w:p>
            <w:pPr>
              <w:spacing w:line="288" w:lineRule="auto"/>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公示期限：</w:t>
            </w:r>
            <w:r>
              <w:rPr>
                <w:rFonts w:hint="eastAsia" w:ascii="宋体" w:hAnsi="宋体" w:eastAsia="宋体" w:cs="宋体"/>
                <w:color w:val="auto"/>
                <w:sz w:val="24"/>
                <w:highlight w:val="none"/>
                <w:u w:val="single"/>
              </w:rPr>
              <w:t xml:space="preserve">   3日  </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其他应公示的内容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不要求提交</w:t>
            </w:r>
          </w:p>
        </w:tc>
      </w:tr>
      <w:tr>
        <w:tblPrEx>
          <w:tblCellMar>
            <w:top w:w="0" w:type="dxa"/>
            <w:left w:w="108" w:type="dxa"/>
            <w:bottom w:w="0" w:type="dxa"/>
            <w:right w:w="108" w:type="dxa"/>
          </w:tblCellMar>
        </w:tblPrEx>
        <w:trPr>
          <w:trHeight w:val="13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8.1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异议渠道</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lang w:val="en-US" w:eastAsia="zh-CN"/>
              </w:rPr>
              <w:t>李女士</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lang w:val="en-US" w:eastAsia="zh-CN"/>
              </w:rPr>
              <w:t>0730-3050153</w:t>
            </w:r>
            <w:r>
              <w:rPr>
                <w:rFonts w:hint="eastAsia" w:ascii="宋体" w:hAnsi="宋体" w:eastAsia="宋体" w:cs="宋体"/>
                <w:color w:val="auto"/>
                <w:sz w:val="24"/>
                <w:highlight w:val="none"/>
              </w:rPr>
              <w:t xml:space="preserve">                 </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通信地址：</w:t>
            </w:r>
            <w:r>
              <w:rPr>
                <w:rFonts w:hint="eastAsia" w:ascii="宋体" w:hAnsi="宋体" w:eastAsia="宋体" w:cs="宋体"/>
                <w:color w:val="auto"/>
                <w:sz w:val="24"/>
                <w:highlight w:val="none"/>
                <w:lang w:val="en-US" w:eastAsia="zh-CN"/>
              </w:rPr>
              <w:t>湖南岳阳城陵矶长江路2号</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10.1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采购代理服务费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不要求承担</w:t>
            </w:r>
          </w:p>
        </w:tc>
      </w:tr>
      <w:tr>
        <w:tblPrEx>
          <w:tblCellMar>
            <w:top w:w="0" w:type="dxa"/>
            <w:left w:w="108" w:type="dxa"/>
            <w:bottom w:w="0" w:type="dxa"/>
            <w:right w:w="108" w:type="dxa"/>
          </w:tblCellMar>
        </w:tblPrEx>
        <w:trPr>
          <w:trHeight w:val="40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需要补充的其他内容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bl>
    <w:p>
      <w:pPr>
        <w:spacing w:line="240" w:lineRule="auto"/>
        <w:jc w:val="center"/>
        <w:outlineLvl w:val="0"/>
        <w:rPr>
          <w:rFonts w:hint="eastAsia" w:ascii="宋体" w:hAnsi="宋体" w:eastAsia="宋体" w:cs="宋体"/>
          <w:color w:val="auto"/>
          <w:sz w:val="30"/>
          <w:szCs w:val="30"/>
          <w:highlight w:val="none"/>
          <w:u w:val="single"/>
        </w:rPr>
      </w:pPr>
      <w:r>
        <w:rPr>
          <w:rFonts w:hint="eastAsia" w:ascii="宋体" w:hAnsi="宋体" w:eastAsia="宋体" w:cs="宋体"/>
          <w:b/>
          <w:bCs/>
          <w:color w:val="auto"/>
          <w:sz w:val="30"/>
          <w:szCs w:val="30"/>
          <w:highlight w:val="none"/>
        </w:rPr>
        <w:br w:type="page"/>
      </w:r>
      <w:bookmarkStart w:id="11" w:name="_Toc12159"/>
      <w:r>
        <w:rPr>
          <w:rFonts w:hint="eastAsia" w:ascii="宋体" w:hAnsi="宋体" w:eastAsia="宋体" w:cs="宋体"/>
          <w:b/>
          <w:bCs/>
          <w:color w:val="auto"/>
          <w:sz w:val="30"/>
          <w:szCs w:val="30"/>
          <w:highlight w:val="none"/>
          <w:u w:val="single"/>
        </w:rPr>
        <w:t>第二章 供应商须知正文</w:t>
      </w:r>
      <w:bookmarkEnd w:id="11"/>
    </w:p>
    <w:p>
      <w:pPr>
        <w:adjustRightInd w:val="0"/>
        <w:snapToGrid w:val="0"/>
        <w:spacing w:before="120" w:beforeLines="50" w:after="120" w:afterLines="50"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 总则</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1.1采购方法和评审办法</w:t>
      </w:r>
    </w:p>
    <w:p>
      <w:pPr>
        <w:pStyle w:val="72"/>
        <w:spacing w:before="120" w:after="120" w:line="312" w:lineRule="auto"/>
        <w:ind w:left="426" w:firstLine="48" w:firstLineChars="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本项目采用供应商须知前附表规定的采购方式和评审办法。</w:t>
      </w:r>
    </w:p>
    <w:p>
      <w:pPr>
        <w:pStyle w:val="66"/>
        <w:spacing w:line="312"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1.1.1采购方法</w:t>
      </w:r>
    </w:p>
    <w:p>
      <w:pPr>
        <w:pStyle w:val="66"/>
        <w:spacing w:line="312" w:lineRule="auto"/>
        <w:ind w:firstLine="453" w:firstLineChars="18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询价采购，是指按照规定程序就采购项目向符合资格要求的供应商进行询价，通过评审、比较确定成交供应商的采购方式。</w:t>
      </w:r>
    </w:p>
    <w:p>
      <w:pPr>
        <w:pStyle w:val="66"/>
        <w:spacing w:line="312"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1.1.2评审办法</w:t>
      </w:r>
    </w:p>
    <w:p>
      <w:pPr>
        <w:pStyle w:val="66"/>
        <w:spacing w:line="312" w:lineRule="auto"/>
        <w:ind w:firstLine="453" w:firstLineChars="18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1.2采购项目概况和供应商资格要求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采购项目概况和供应商资格要求见第一章“采购公告”。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1.3 费用承担</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供应商准备和参加采购活动所发生的各种费用由供应商自行承担。</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1.4保密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参加采购活动的各方应对采购文件和响应文件中的商业和技术等秘密保密，否则应承担相应的法律责任。</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1.5语言文字</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采购文件和响应文件使用的语言文字为中文。专用术语使用外文的，应附有中文注释。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1.6计量单位</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所有计量均采用中华人民共和国法定计量单位。</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1.7踏勘现场（本项目不组织踏勘现场）</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1.8采购预备会（本项目不组织采购预备会）</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1.9主要材料和关键部件外购</w:t>
      </w:r>
    </w:p>
    <w:p>
      <w:pPr>
        <w:spacing w:line="312" w:lineRule="auto"/>
        <w:ind w:firstLine="453" w:firstLineChars="189"/>
        <w:jc w:val="both"/>
        <w:rPr>
          <w:rFonts w:hint="eastAsia" w:ascii="宋体" w:hAnsi="宋体" w:eastAsia="宋体" w:cs="宋体"/>
          <w:color w:val="auto"/>
          <w:highlight w:val="none"/>
        </w:rPr>
      </w:pPr>
      <w:r>
        <w:rPr>
          <w:rFonts w:hint="eastAsia" w:ascii="宋体" w:hAnsi="宋体" w:eastAsia="宋体" w:cs="宋体"/>
          <w:color w:val="auto"/>
          <w:sz w:val="24"/>
          <w:highlight w:val="none"/>
        </w:rPr>
        <w:t>供应商拟对主要材料和关键部件进行外购的，应符合第五章“采购需求”中提出的或允许外购的相关规定，并在响应文件中作出说明。</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1.10响应和偏差</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2采购文件</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2.1采购文件的组成</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本采购文件包括:</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(1)采购公告:</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(2)供应商须知;</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(3)评审办法;</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(4)合同条款及格式;</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(5)采购需求;</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(6)响应文件格式;</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(7)供应商须知前附表规定的其他资料。</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采购人依照本章规定，对采购文件所作的澄清、修改，构成采购文件的组成部分。</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2.2采购文件的澄清和修改</w:t>
      </w:r>
    </w:p>
    <w:p>
      <w:pPr>
        <w:adjustRightInd w:val="0"/>
        <w:snapToGrid w:val="0"/>
        <w:spacing w:line="312" w:lineRule="auto"/>
        <w:ind w:left="105" w:left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2.2.4除非确有必要，采购人有权拒绝回复供应商在本章第2.2.1项规定的时间后提出的任何澄清要求。</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3响应文件</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3.1响应文件的组成</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3.1.1响应文件应包括下列内容:</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(1)响应函;</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(2)授权委托书(如有);</w:t>
      </w:r>
    </w:p>
    <w:p>
      <w:pPr>
        <w:adjustRightInd w:val="0"/>
        <w:snapToGrid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(3)商务和技术偏差表;</w:t>
      </w:r>
    </w:p>
    <w:p>
      <w:pPr>
        <w:adjustRightInd w:val="0"/>
        <w:snapToGrid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(4)报价表;</w:t>
      </w:r>
    </w:p>
    <w:p>
      <w:pPr>
        <w:adjustRightInd w:val="0"/>
        <w:snapToGrid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(5)资格审查资料;</w:t>
      </w:r>
    </w:p>
    <w:p>
      <w:pPr>
        <w:adjustRightInd w:val="0"/>
        <w:snapToGrid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(6)响应方案;</w:t>
      </w:r>
    </w:p>
    <w:p>
      <w:pPr>
        <w:adjustRightInd w:val="0"/>
        <w:snapToGrid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(7)供应商须知前附表规定的其他资料。</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供应商在评审过程中作出的符合采购文件要求的澄清、说明和补正，构成响应文件的组成部分。</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3.1.2供应商的法定代表人(单位负责人)亲自签署响应文件、亲自参加采购的，响应文件不包括第3.1.1(2)目所指的授权委托书。</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3.2报价</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3.2.3采购人设有最高限价的，供应商的报价不得超过最高限价。最高限价或最高限价计算方法在供应商须知前附表中载明。</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3.2.4报价的其他要求见供应商须知前附表。</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3.3响应文件有效期</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3.3.1除供应商须知前附表另有规定外，响应文件有效期应为90日，从采购文件规定的递交响应文件的截止时间开始计算。</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3.4响应保证金（本项目不提交响应保证金）</w:t>
      </w:r>
    </w:p>
    <w:p>
      <w:pPr>
        <w:adjustRightInd w:val="0"/>
        <w:snapToGrid w:val="0"/>
        <w:spacing w:line="312" w:lineRule="auto"/>
        <w:ind w:left="120" w:hanging="120" w:hangingChars="50"/>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3.5资格审查资料</w:t>
      </w:r>
    </w:p>
    <w:p>
      <w:pPr>
        <w:adjustRightInd w:val="0"/>
        <w:snapToGrid w:val="0"/>
        <w:spacing w:line="312" w:lineRule="auto"/>
        <w:ind w:left="149" w:leftChars="71" w:firstLine="360" w:firstLineChars="1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供应商应提供供应商须知前附表3.5(1)-3.5(9)中规定的资格审查资料，以证明其满足第一章“采购公告”对供应商的各项资格要求。</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3.6响应方案</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3.6.2供应商只能提出唯一的响应方案。供应商在响应文件中提出多个响应方案的，其响应文件将被视为无效。</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3.7响应文件的编制</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3.7.1响应文件应按第六章“响应文件格式”进行编写，如有必要，可以增加附件作为响应文件的组成部分。</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3.7.2响应文件应用不褪色的的材料书写或打印。</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3.7.6响应文件的正本与副本应分别装订，并编制目录。响应文件需分册装订的，具体分册装订要求见供应商须知前附表规定。</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4响应文件的递交</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4.1响应文件的包装与标记</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4.1.1响应文件应安善包装。供应商须知前附表规定响应文件应密封的，响应文件应按要求密封。</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4.1.2响应文件封套上应载明的内容见供应商须知前附表。</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4.2响应文件的递交</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4.2.2除供应商须知前附表另有规定外，供应商所提交的响应文件不于退还。</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4.3响应文件的修改与撤回</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4.3.1在本章第4.2.1项规定的递交响应文件的截止时间前，供应商可以修改或撤回已递交的响应文件。</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4.3.2响应文件的修改文件或供应商撤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4.3.3除供应商须知前附表另有规定外，供应商撤回响应文件的，采购人应在5日内退还已收取的响应保证金。</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5开启响应文件</w:t>
      </w:r>
    </w:p>
    <w:p>
      <w:pPr>
        <w:adjustRightInd w:val="0"/>
        <w:snapToGrid w:val="0"/>
        <w:spacing w:line="312" w:lineRule="auto"/>
        <w:ind w:firstLine="455" w:firstLineChars="189"/>
        <w:jc w:val="both"/>
        <w:rPr>
          <w:rFonts w:hint="eastAsia" w:ascii="宋体" w:hAnsi="宋体" w:eastAsia="宋体" w:cs="宋体"/>
          <w:color w:val="auto"/>
          <w:sz w:val="24"/>
          <w:highlight w:val="none"/>
        </w:rPr>
      </w:pPr>
      <w:r>
        <w:rPr>
          <w:rFonts w:hint="eastAsia" w:ascii="宋体" w:hAnsi="宋体" w:eastAsia="宋体" w:cs="宋体"/>
          <w:b/>
          <w:color w:val="auto"/>
          <w:sz w:val="24"/>
          <w:highlight w:val="none"/>
        </w:rPr>
        <w:t>采购人一般不公开开启响应文件。如</w:t>
      </w:r>
      <w:r>
        <w:rPr>
          <w:rFonts w:hint="eastAsia" w:ascii="宋体" w:hAnsi="宋体" w:eastAsia="宋体" w:cs="宋体"/>
          <w:color w:val="auto"/>
          <w:sz w:val="24"/>
          <w:highlight w:val="none"/>
        </w:rPr>
        <w:t>供应商须知前附表规定公开开启响应文件的，开启活动应按本条规定执行。</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5.1开启响应文件的时间和地点</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5.2开启程序</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主持人按下列程序公开开启响应文件:</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(1)按照供应商须知前附表规定的开启顺序开启响应文件，公布递交响应文件的供应商名称、响应报价及供应商须知前附表规定的其他应公布的信息，并记录在案;</w:t>
      </w:r>
    </w:p>
    <w:p>
      <w:pPr>
        <w:spacing w:line="312" w:lineRule="auto"/>
        <w:ind w:firstLine="453" w:firstLineChars="189"/>
        <w:jc w:val="both"/>
        <w:rPr>
          <w:rFonts w:hint="eastAsia" w:ascii="宋体" w:hAnsi="宋体" w:eastAsia="宋体" w:cs="宋体"/>
          <w:color w:val="auto"/>
          <w:highlight w:val="none"/>
        </w:rPr>
      </w:pPr>
      <w:r>
        <w:rPr>
          <w:rFonts w:hint="eastAsia" w:ascii="宋体" w:hAnsi="宋体" w:eastAsia="宋体" w:cs="宋体"/>
          <w:color w:val="auto"/>
          <w:sz w:val="24"/>
          <w:highlight w:val="none"/>
        </w:rPr>
        <w:t>(2)开启会议结束。</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5.3递交响应文件的供应商不足的情形</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6评审</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6.1评审小组</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6.1.1评审由采购人组建的评审小组负责。</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6.1.2评审小组成员有下列情形之的，应当回避:</w:t>
      </w:r>
    </w:p>
    <w:p>
      <w:pPr>
        <w:spacing w:line="312" w:lineRule="auto"/>
        <w:ind w:left="716" w:leftChars="284" w:hanging="120" w:hangingChars="50"/>
        <w:jc w:val="both"/>
        <w:rPr>
          <w:rFonts w:hint="eastAsia" w:ascii="宋体" w:hAnsi="宋体" w:eastAsia="宋体" w:cs="宋体"/>
          <w:color w:val="auto"/>
          <w:lang w:eastAsia="zh-CN"/>
        </w:rPr>
      </w:pPr>
      <w:r>
        <w:rPr>
          <w:rFonts w:hint="eastAsia" w:ascii="宋体" w:hAnsi="宋体" w:eastAsia="宋体" w:cs="宋体"/>
          <w:color w:val="auto"/>
          <w:sz w:val="24"/>
          <w:highlight w:val="none"/>
        </w:rPr>
        <w:t>（1）供应商主要负责人或供应商主要负责人的近亲属;</w:t>
      </w:r>
    </w:p>
    <w:p>
      <w:pPr>
        <w:adjustRightInd w:val="0"/>
        <w:snapToGrid w:val="0"/>
        <w:spacing w:line="312" w:lineRule="auto"/>
        <w:ind w:left="716" w:leftChars="284" w:hanging="120" w:hanging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(2)与供应商有经济利益关系或其他利害关系，可能影响公正评审的。</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6.1.3评审小组组建后，评审小组成员共同推选或或由采购人指定评审小组组长，评审小组组长负责组织评审工作。</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6.2评审</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6.2.1评审小组按照第三章“评审办法”规定的评审标准和程序对响应文件进行评审和比较。</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7合同授予</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7.1成交候选供应商报价核查</w:t>
      </w:r>
    </w:p>
    <w:p>
      <w:pPr>
        <w:widowControl w:val="0"/>
        <w:adjustRightInd w:val="0"/>
        <w:snapToGrid w:val="0"/>
        <w:spacing w:line="312" w:lineRule="auto"/>
        <w:ind w:firstLine="475" w:firstLineChars="198"/>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7.2成交候选供应商公示</w:t>
      </w:r>
    </w:p>
    <w:p>
      <w:pPr>
        <w:pStyle w:val="38"/>
        <w:rPr>
          <w:rFonts w:hint="eastAsia" w:ascii="宋体" w:hAnsi="宋体" w:eastAsia="宋体" w:cs="宋体"/>
          <w:color w:val="auto"/>
          <w:highlight w:val="none"/>
        </w:rPr>
      </w:pPr>
      <w:r>
        <w:rPr>
          <w:rFonts w:hint="eastAsia" w:ascii="宋体" w:hAnsi="宋体" w:eastAsia="宋体" w:cs="宋体"/>
          <w:color w:val="auto"/>
          <w:highlight w:val="none"/>
        </w:rPr>
        <w:t>采购人按照供应商须知前附表规定的公示媒介和期限公示成交候选供应商。</w:t>
      </w:r>
    </w:p>
    <w:p>
      <w:pPr>
        <w:widowControl w:val="0"/>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7.3成交结果异议 </w:t>
      </w:r>
    </w:p>
    <w:p>
      <w:pPr>
        <w:adjustRightInd w:val="0"/>
        <w:snapToGrid w:val="0"/>
        <w:spacing w:line="312" w:lineRule="auto"/>
        <w:ind w:firstLine="424" w:firstLineChars="177"/>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供应商或者其他利害关系人对采购结果有异议的，应当在成交候选供应商公示期间提出。</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7.4成交候选供应商履约能力核查</w:t>
      </w:r>
    </w:p>
    <w:p>
      <w:pPr>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7.5发出成交通知书</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7.6履约保证金（本项目不要求递交履约保证金）</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7.7签订合同</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7.7.3联合体成交的，联合体各方应当共同与采购人签订合同，就成交项目向采购人承担连带责任。</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7.8特殊情形处理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8异议</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8.1提出异议</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(1)异议人名称、地址、邮政编码、联系人及联系电话;</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(2)具体、明确的异议事项、事实依据及与异议事项相关的请求。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异议函应由异议人的法定代表人(单位负责人)或其授权的代理人签字并加盖单位章。</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8.2异议处理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采购人认为异议不成立或不影响采购结果的，可以继续进行采购活动。</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9纪律要求</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9.1对采购人的纪律要求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采购人不得泄露采购活动中应当保密的情况和资料，不得与供应商串通损害国家利益、社会公共利益或者他人合法权益。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9.2对供应商的纪律要求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9.3对评审小组成员的纪律要求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9.4对与采购活动有关的工作人员的纪律要求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 需要补充的其他内容</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10.1其他</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需更补充的其他内容:见供应商须知前附表。</w:t>
      </w: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pStyle w:val="38"/>
        <w:rPr>
          <w:rFonts w:hint="eastAsia" w:ascii="宋体" w:hAnsi="宋体" w:eastAsia="宋体" w:cs="宋体"/>
          <w:b/>
          <w:bCs/>
          <w:color w:val="auto"/>
          <w:highlight w:val="none"/>
          <w:u w:val="single"/>
        </w:rPr>
      </w:pPr>
    </w:p>
    <w:p>
      <w:pPr>
        <w:pStyle w:val="38"/>
        <w:rPr>
          <w:rFonts w:hint="eastAsia" w:ascii="宋体" w:hAnsi="宋体" w:eastAsia="宋体" w:cs="宋体"/>
          <w:b/>
          <w:bCs/>
          <w:color w:val="auto"/>
          <w:highlight w:val="none"/>
          <w:u w:val="single"/>
        </w:rPr>
      </w:pPr>
    </w:p>
    <w:p>
      <w:pPr>
        <w:pStyle w:val="38"/>
        <w:rPr>
          <w:rFonts w:hint="eastAsia" w:ascii="宋体" w:hAnsi="宋体" w:eastAsia="宋体" w:cs="宋体"/>
          <w:b/>
          <w:bCs/>
          <w:color w:val="auto"/>
          <w:highlight w:val="none"/>
          <w:u w:val="single"/>
        </w:rPr>
      </w:pPr>
    </w:p>
    <w:p>
      <w:pPr>
        <w:pStyle w:val="38"/>
        <w:rPr>
          <w:rFonts w:hint="eastAsia" w:ascii="宋体" w:hAnsi="宋体" w:eastAsia="宋体" w:cs="宋体"/>
          <w:b/>
          <w:bCs/>
          <w:color w:val="auto"/>
          <w:highlight w:val="none"/>
          <w:u w:val="single"/>
        </w:rPr>
      </w:pPr>
    </w:p>
    <w:p>
      <w:pPr>
        <w:spacing w:line="312" w:lineRule="auto"/>
        <w:jc w:val="both"/>
        <w:rPr>
          <w:rFonts w:hint="eastAsia" w:ascii="宋体" w:hAnsi="宋体" w:eastAsia="宋体" w:cs="宋体"/>
          <w:b/>
          <w:bCs/>
          <w:color w:val="auto"/>
          <w:sz w:val="36"/>
          <w:szCs w:val="36"/>
          <w:highlight w:val="none"/>
        </w:rPr>
      </w:pPr>
      <w:r>
        <w:rPr>
          <w:rFonts w:hint="eastAsia" w:ascii="宋体" w:hAnsi="宋体" w:eastAsia="宋体" w:cs="宋体"/>
          <w:color w:val="auto"/>
          <w:sz w:val="30"/>
          <w:szCs w:val="30"/>
          <w:highlight w:val="none"/>
        </w:rPr>
        <w:t>附件1  开启记录表</w:t>
      </w:r>
    </w:p>
    <w:p>
      <w:pPr>
        <w:adjustRightInd w:val="0"/>
        <w:snapToGrid w:val="0"/>
        <w:spacing w:line="600" w:lineRule="exact"/>
        <w:ind w:firstLine="723" w:firstLineChars="20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开启记录表</w:t>
      </w:r>
    </w:p>
    <w:p>
      <w:pPr>
        <w:adjustRightInd w:val="0"/>
        <w:snapToGrid w:val="0"/>
        <w:spacing w:line="600" w:lineRule="exact"/>
        <w:ind w:firstLine="723" w:firstLineChars="200"/>
        <w:jc w:val="center"/>
        <w:rPr>
          <w:rFonts w:hint="eastAsia" w:ascii="宋体" w:hAnsi="宋体" w:eastAsia="宋体" w:cs="宋体"/>
          <w:b/>
          <w:bCs/>
          <w:color w:val="auto"/>
          <w:sz w:val="36"/>
          <w:szCs w:val="36"/>
          <w:highlight w:val="none"/>
        </w:rPr>
      </w:pPr>
    </w:p>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开启时间：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分</w:t>
      </w:r>
    </w:p>
    <w:tbl>
      <w:tblPr>
        <w:tblStyle w:val="4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9"/>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 号</w:t>
            </w:r>
          </w:p>
        </w:tc>
        <w:tc>
          <w:tcPr>
            <w:tcW w:w="1238" w:type="pct"/>
            <w:vAlign w:val="center"/>
          </w:tcPr>
          <w:p>
            <w:pPr>
              <w:widowControl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w:t>
            </w:r>
          </w:p>
        </w:tc>
        <w:tc>
          <w:tcPr>
            <w:tcW w:w="1029" w:type="pct"/>
            <w:vAlign w:val="center"/>
          </w:tcPr>
          <w:p>
            <w:pPr>
              <w:widowControl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（供应商须知前附表规定的其他应公布的信息）</w:t>
            </w:r>
          </w:p>
        </w:tc>
        <w:tc>
          <w:tcPr>
            <w:tcW w:w="1029" w:type="pct"/>
            <w:vAlign w:val="center"/>
          </w:tcPr>
          <w:p>
            <w:pPr>
              <w:widowControl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报价</w:t>
            </w:r>
          </w:p>
        </w:tc>
        <w:tc>
          <w:tcPr>
            <w:tcW w:w="1029" w:type="pct"/>
            <w:vAlign w:val="center"/>
          </w:tcPr>
          <w:p>
            <w:pPr>
              <w:widowControl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hint="eastAsia" w:ascii="宋体" w:hAnsi="宋体" w:eastAsia="宋体" w:cs="宋体"/>
                <w:color w:val="auto"/>
                <w:sz w:val="24"/>
                <w:highlight w:val="none"/>
              </w:rPr>
            </w:pPr>
          </w:p>
        </w:tc>
        <w:tc>
          <w:tcPr>
            <w:tcW w:w="1238"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hint="eastAsia" w:ascii="宋体" w:hAnsi="宋体" w:eastAsia="宋体" w:cs="宋体"/>
                <w:color w:val="auto"/>
                <w:sz w:val="24"/>
                <w:highlight w:val="none"/>
              </w:rPr>
            </w:pPr>
          </w:p>
        </w:tc>
        <w:tc>
          <w:tcPr>
            <w:tcW w:w="1238"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hint="eastAsia" w:ascii="宋体" w:hAnsi="宋体" w:eastAsia="宋体" w:cs="宋体"/>
                <w:color w:val="auto"/>
                <w:sz w:val="24"/>
                <w:highlight w:val="none"/>
              </w:rPr>
            </w:pPr>
          </w:p>
        </w:tc>
        <w:tc>
          <w:tcPr>
            <w:tcW w:w="1238"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hint="eastAsia" w:ascii="宋体" w:hAnsi="宋体" w:eastAsia="宋体" w:cs="宋体"/>
                <w:color w:val="auto"/>
                <w:sz w:val="24"/>
                <w:highlight w:val="none"/>
              </w:rPr>
            </w:pPr>
          </w:p>
        </w:tc>
        <w:tc>
          <w:tcPr>
            <w:tcW w:w="1238"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hint="eastAsia" w:ascii="宋体" w:hAnsi="宋体" w:eastAsia="宋体" w:cs="宋体"/>
                <w:color w:val="auto"/>
                <w:sz w:val="24"/>
                <w:highlight w:val="none"/>
              </w:rPr>
            </w:pPr>
          </w:p>
        </w:tc>
        <w:tc>
          <w:tcPr>
            <w:tcW w:w="1238"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r>
    </w:tbl>
    <w:p>
      <w:pPr>
        <w:spacing w:line="240" w:lineRule="auto"/>
        <w:jc w:val="both"/>
        <w:rPr>
          <w:rFonts w:hint="eastAsia" w:ascii="宋体" w:hAnsi="宋体" w:eastAsia="宋体" w:cs="宋体"/>
          <w:color w:val="auto"/>
          <w:sz w:val="24"/>
          <w:highlight w:val="none"/>
        </w:rPr>
      </w:pPr>
    </w:p>
    <w:p>
      <w:pPr>
        <w:spacing w:line="240" w:lineRule="auto"/>
        <w:ind w:firstLine="0" w:firstLineChars="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采购人代表：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记录人：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监督人：</w:t>
      </w:r>
      <w:r>
        <w:rPr>
          <w:rFonts w:hint="eastAsia" w:ascii="宋体" w:hAnsi="宋体" w:eastAsia="宋体" w:cs="宋体"/>
          <w:color w:val="auto"/>
          <w:sz w:val="24"/>
          <w:highlight w:val="none"/>
          <w:u w:val="single"/>
        </w:rPr>
        <w:t xml:space="preserve">        </w:t>
      </w:r>
    </w:p>
    <w:p>
      <w:pPr>
        <w:spacing w:line="240" w:lineRule="auto"/>
        <w:ind w:firstLine="0" w:firstLineChars="0"/>
        <w:jc w:val="both"/>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附件2  问题澄清通知</w:t>
      </w:r>
    </w:p>
    <w:p>
      <w:pPr>
        <w:adjustRightInd w:val="0"/>
        <w:snapToGrid w:val="0"/>
        <w:spacing w:line="600" w:lineRule="exact"/>
        <w:ind w:firstLine="723" w:firstLineChars="200"/>
        <w:jc w:val="center"/>
        <w:rPr>
          <w:rFonts w:hint="eastAsia" w:ascii="宋体" w:hAnsi="宋体" w:eastAsia="宋体" w:cs="宋体"/>
          <w:b/>
          <w:bCs/>
          <w:color w:val="auto"/>
          <w:sz w:val="36"/>
          <w:szCs w:val="36"/>
          <w:highlight w:val="none"/>
        </w:rPr>
      </w:pPr>
    </w:p>
    <w:p>
      <w:pPr>
        <w:adjustRightInd w:val="0"/>
        <w:snapToGrid w:val="0"/>
        <w:spacing w:line="600" w:lineRule="exact"/>
        <w:ind w:firstLine="723" w:firstLineChars="20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问题澄清通知</w:t>
      </w:r>
    </w:p>
    <w:p>
      <w:pPr>
        <w:adjustRightInd w:val="0"/>
        <w:snapToGrid w:val="0"/>
        <w:spacing w:line="600" w:lineRule="exact"/>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adjustRightInd w:val="0"/>
        <w:snapToGrid w:val="0"/>
        <w:spacing w:line="600" w:lineRule="exact"/>
        <w:ind w:left="210" w:leftChars="100" w:firstLine="240" w:firstLineChars="10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(供应商名称):</w:t>
      </w:r>
    </w:p>
    <w:p>
      <w:pPr>
        <w:adjustRightInd w:val="0"/>
        <w:snapToGrid w:val="0"/>
        <w:spacing w:line="600" w:lineRule="exact"/>
        <w:ind w:left="210" w:leftChars="100" w:firstLine="496" w:firstLineChars="207"/>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p>
      <w:pPr>
        <w:adjustRightInd w:val="0"/>
        <w:snapToGrid w:val="0"/>
        <w:spacing w:line="600" w:lineRule="exact"/>
        <w:ind w:left="210" w:leftChars="100" w:firstLine="496" w:firstLineChars="207"/>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p>
      <w:pPr>
        <w:adjustRightInd w:val="0"/>
        <w:snapToGrid w:val="0"/>
        <w:spacing w:line="600" w:lineRule="exact"/>
        <w:ind w:left="508" w:leftChars="242" w:firstLine="496" w:firstLineChars="207"/>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adjustRightInd w:val="0"/>
        <w:snapToGrid w:val="0"/>
        <w:spacing w:line="600" w:lineRule="exact"/>
        <w:ind w:left="141" w:leftChars="67" w:firstLine="566" w:firstLineChars="236"/>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请将上述问题的澄清、说明和补正于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时前递交至</w:t>
      </w:r>
      <w:r>
        <w:rPr>
          <w:rFonts w:hint="eastAsia" w:ascii="宋体" w:hAnsi="宋体" w:eastAsia="宋体" w:cs="宋体"/>
          <w:color w:val="auto"/>
          <w:sz w:val="24"/>
          <w:highlight w:val="none"/>
          <w:u w:val="single"/>
        </w:rPr>
        <w:t>(详细地址)</w:t>
      </w:r>
      <w:r>
        <w:rPr>
          <w:rFonts w:hint="eastAsia" w:ascii="宋体" w:hAnsi="宋体" w:eastAsia="宋体" w:cs="宋体"/>
          <w:color w:val="auto"/>
          <w:sz w:val="24"/>
          <w:highlight w:val="none"/>
        </w:rPr>
        <w:t>或发电子邮件至</w:t>
      </w:r>
      <w:r>
        <w:rPr>
          <w:rFonts w:hint="eastAsia" w:ascii="宋体" w:hAnsi="宋体" w:eastAsia="宋体" w:cs="宋体"/>
          <w:color w:val="auto"/>
          <w:sz w:val="24"/>
          <w:highlight w:val="none"/>
          <w:u w:val="single"/>
        </w:rPr>
        <w:t>(电子邮箱地址)</w:t>
      </w:r>
      <w:r>
        <w:rPr>
          <w:rFonts w:hint="eastAsia" w:ascii="宋体" w:hAnsi="宋体" w:eastAsia="宋体" w:cs="宋体"/>
          <w:color w:val="auto"/>
          <w:sz w:val="24"/>
          <w:highlight w:val="none"/>
        </w:rPr>
        <w:t>。采用电子邮件方式的，应在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日_时前将原件递交至</w:t>
      </w:r>
      <w:r>
        <w:rPr>
          <w:rFonts w:hint="eastAsia" w:ascii="宋体" w:hAnsi="宋体" w:eastAsia="宋体" w:cs="宋体"/>
          <w:color w:val="auto"/>
          <w:sz w:val="24"/>
          <w:highlight w:val="none"/>
          <w:u w:val="single"/>
        </w:rPr>
        <w:t>(详细地址)</w:t>
      </w:r>
      <w:r>
        <w:rPr>
          <w:rFonts w:hint="eastAsia" w:ascii="宋体" w:hAnsi="宋体" w:eastAsia="宋体" w:cs="宋体"/>
          <w:color w:val="auto"/>
          <w:sz w:val="24"/>
          <w:highlight w:val="none"/>
        </w:rPr>
        <w:t>。</w:t>
      </w:r>
    </w:p>
    <w:p>
      <w:pPr>
        <w:adjustRightInd w:val="0"/>
        <w:snapToGrid w:val="0"/>
        <w:spacing w:line="600" w:lineRule="exact"/>
        <w:ind w:left="141" w:leftChars="67" w:firstLine="566" w:firstLineChars="236"/>
        <w:jc w:val="both"/>
        <w:rPr>
          <w:rFonts w:hint="eastAsia" w:ascii="宋体" w:hAnsi="宋体" w:eastAsia="宋体" w:cs="宋体"/>
          <w:color w:val="auto"/>
          <w:sz w:val="24"/>
          <w:highlight w:val="none"/>
        </w:rPr>
      </w:pPr>
    </w:p>
    <w:p>
      <w:pPr>
        <w:adjustRightInd w:val="0"/>
        <w:snapToGrid w:val="0"/>
        <w:spacing w:line="600" w:lineRule="exact"/>
        <w:ind w:left="210" w:leftChars="100" w:firstLine="240" w:firstLineChars="100"/>
        <w:jc w:val="both"/>
        <w:rPr>
          <w:rFonts w:hint="eastAsia" w:ascii="宋体" w:hAnsi="宋体" w:eastAsia="宋体" w:cs="宋体"/>
          <w:color w:val="auto"/>
          <w:sz w:val="24"/>
          <w:highlight w:val="none"/>
        </w:rPr>
      </w:pPr>
    </w:p>
    <w:p>
      <w:pPr>
        <w:adjustRightInd w:val="0"/>
        <w:snapToGrid w:val="0"/>
        <w:spacing w:line="600" w:lineRule="exact"/>
        <w:ind w:left="210" w:leftChars="100" w:firstLine="240" w:firstLineChars="100"/>
        <w:jc w:val="both"/>
        <w:rPr>
          <w:rFonts w:hint="eastAsia" w:ascii="宋体" w:hAnsi="宋体" w:eastAsia="宋体" w:cs="宋体"/>
          <w:color w:val="auto"/>
          <w:sz w:val="24"/>
          <w:highlight w:val="none"/>
        </w:rPr>
      </w:pPr>
    </w:p>
    <w:p>
      <w:pPr>
        <w:adjustRightInd w:val="0"/>
        <w:snapToGrid w:val="0"/>
        <w:spacing w:line="600" w:lineRule="exact"/>
        <w:ind w:left="0" w:leftChars="0" w:firstLine="3120" w:firstLineChars="130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采购人(或采购代理机构):</w:t>
      </w:r>
      <w:r>
        <w:rPr>
          <w:rFonts w:hint="eastAsia" w:ascii="宋体" w:hAnsi="宋体" w:eastAsia="宋体" w:cs="宋体"/>
          <w:color w:val="auto"/>
          <w:sz w:val="24"/>
          <w:highlight w:val="none"/>
          <w:u w:val="single"/>
        </w:rPr>
        <w:t>(签字或盖单位章)</w:t>
      </w:r>
    </w:p>
    <w:p>
      <w:pPr>
        <w:spacing w:line="600" w:lineRule="exact"/>
        <w:ind w:firstLine="4320" w:firstLineChars="18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30"/>
          <w:szCs w:val="30"/>
          <w:highlight w:val="none"/>
        </w:rPr>
        <w:br w:type="page"/>
      </w:r>
    </w:p>
    <w:p>
      <w:pPr>
        <w:adjustRightInd w:val="0"/>
        <w:snapToGrid w:val="0"/>
        <w:spacing w:line="600" w:lineRule="exact"/>
        <w:ind w:firstLine="0" w:firstLineChars="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附件3  问题的澄清</w:t>
      </w:r>
    </w:p>
    <w:p>
      <w:pPr>
        <w:adjustRightInd w:val="0"/>
        <w:snapToGrid w:val="0"/>
        <w:spacing w:line="600" w:lineRule="exact"/>
        <w:jc w:val="center"/>
        <w:rPr>
          <w:rFonts w:hint="eastAsia" w:ascii="宋体" w:hAnsi="宋体" w:eastAsia="宋体" w:cs="宋体"/>
          <w:b/>
          <w:bCs/>
          <w:color w:val="auto"/>
          <w:sz w:val="36"/>
          <w:szCs w:val="36"/>
          <w:highlight w:val="none"/>
        </w:rPr>
      </w:pPr>
    </w:p>
    <w:p>
      <w:pPr>
        <w:adjustRightInd w:val="0"/>
        <w:snapToGrid w:val="0"/>
        <w:spacing w:line="60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问题的澄清</w:t>
      </w:r>
    </w:p>
    <w:p>
      <w:pPr>
        <w:adjustRightInd w:val="0"/>
        <w:snapToGrid w:val="0"/>
        <w:spacing w:line="600" w:lineRule="exact"/>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w:t>
      </w:r>
    </w:p>
    <w:p>
      <w:pPr>
        <w:adjustRightInd w:val="0"/>
        <w:snapToGrid w:val="0"/>
        <w:spacing w:line="600" w:lineRule="exact"/>
        <w:ind w:firstLine="530" w:firstLineChars="221"/>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问题澄清通知(编号: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)已收悉，现澄清、说明和补正如下：</w:t>
      </w:r>
    </w:p>
    <w:p>
      <w:pPr>
        <w:adjustRightInd w:val="0"/>
        <w:snapToGrid w:val="0"/>
        <w:spacing w:line="600" w:lineRule="exact"/>
        <w:ind w:firstLine="530" w:firstLineChars="221"/>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p>
      <w:pPr>
        <w:adjustRightInd w:val="0"/>
        <w:snapToGrid w:val="0"/>
        <w:spacing w:line="600" w:lineRule="exact"/>
        <w:ind w:firstLine="530" w:firstLineChars="221"/>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p>
      <w:pPr>
        <w:adjustRightInd w:val="0"/>
        <w:snapToGrid w:val="0"/>
        <w:spacing w:line="600" w:lineRule="exact"/>
        <w:ind w:firstLine="530" w:firstLineChars="221"/>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adjustRightInd w:val="0"/>
        <w:snapToGrid w:val="0"/>
        <w:spacing w:line="600" w:lineRule="exact"/>
        <w:ind w:firstLine="530" w:firstLineChars="221"/>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上述问题澄清、说明和补正，构成我方响应文件的组成部分。</w:t>
      </w:r>
    </w:p>
    <w:p>
      <w:pPr>
        <w:adjustRightInd w:val="0"/>
        <w:snapToGrid w:val="0"/>
        <w:spacing w:line="600" w:lineRule="exact"/>
        <w:ind w:firstLine="530" w:firstLineChars="221"/>
        <w:jc w:val="both"/>
        <w:rPr>
          <w:rFonts w:hint="eastAsia" w:ascii="宋体" w:hAnsi="宋体" w:eastAsia="宋体" w:cs="宋体"/>
          <w:color w:val="auto"/>
          <w:sz w:val="24"/>
          <w:highlight w:val="none"/>
        </w:rPr>
      </w:pPr>
    </w:p>
    <w:p>
      <w:pPr>
        <w:adjustRightInd w:val="0"/>
        <w:snapToGrid w:val="0"/>
        <w:spacing w:line="600" w:lineRule="exact"/>
        <w:ind w:firstLine="4320" w:firstLineChars="180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供应商: </w:t>
      </w:r>
      <w:r>
        <w:rPr>
          <w:rFonts w:hint="eastAsia" w:ascii="宋体" w:hAnsi="宋体" w:eastAsia="宋体" w:cs="宋体"/>
          <w:color w:val="auto"/>
          <w:sz w:val="24"/>
          <w:highlight w:val="none"/>
          <w:u w:val="single"/>
        </w:rPr>
        <w:t xml:space="preserve">        (盖单位章)      </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法定代表人(单位负责人)或其授权的代理人:</w:t>
      </w:r>
      <w:r>
        <w:rPr>
          <w:rFonts w:hint="eastAsia" w:ascii="宋体" w:hAnsi="宋体" w:eastAsia="宋体" w:cs="宋体"/>
          <w:color w:val="auto"/>
          <w:sz w:val="24"/>
          <w:highlight w:val="none"/>
          <w:u w:val="single"/>
        </w:rPr>
        <w:t xml:space="preserve">  (签字)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rPr>
        <w:br w:type="page"/>
      </w:r>
    </w:p>
    <w:p>
      <w:pPr>
        <w:adjustRightInd w:val="0"/>
        <w:snapToGrid w:val="0"/>
        <w:spacing w:line="600" w:lineRule="exact"/>
        <w:ind w:firstLine="567" w:firstLineChars="18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附件4  成交通知书</w:t>
      </w:r>
    </w:p>
    <w:p>
      <w:pPr>
        <w:adjustRightInd w:val="0"/>
        <w:snapToGrid w:val="0"/>
        <w:spacing w:line="600" w:lineRule="exact"/>
        <w:jc w:val="center"/>
        <w:rPr>
          <w:rFonts w:hint="eastAsia" w:ascii="宋体" w:hAnsi="宋体" w:eastAsia="宋体" w:cs="宋体"/>
          <w:b/>
          <w:bCs/>
          <w:color w:val="auto"/>
          <w:sz w:val="36"/>
          <w:szCs w:val="36"/>
          <w:highlight w:val="none"/>
        </w:rPr>
      </w:pPr>
    </w:p>
    <w:p>
      <w:pPr>
        <w:adjustRightInd w:val="0"/>
        <w:snapToGrid w:val="0"/>
        <w:spacing w:line="60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成交通知书</w:t>
      </w:r>
    </w:p>
    <w:p>
      <w:pPr>
        <w:adjustRightInd w:val="0"/>
        <w:snapToGrid w:val="0"/>
        <w:spacing w:line="600" w:lineRule="exact"/>
        <w:ind w:firstLine="723" w:firstLineChars="200"/>
        <w:jc w:val="both"/>
        <w:rPr>
          <w:rFonts w:hint="eastAsia" w:ascii="宋体" w:hAnsi="宋体" w:eastAsia="宋体" w:cs="宋体"/>
          <w:b/>
          <w:bCs/>
          <w:color w:val="auto"/>
          <w:sz w:val="36"/>
          <w:szCs w:val="36"/>
          <w:highlight w:val="none"/>
        </w:rPr>
      </w:pP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(成交供应商名称)</w:t>
      </w:r>
      <w:r>
        <w:rPr>
          <w:rFonts w:hint="eastAsia" w:ascii="宋体" w:hAnsi="宋体" w:eastAsia="宋体" w:cs="宋体"/>
          <w:color w:val="auto"/>
          <w:sz w:val="24"/>
          <w:highlight w:val="none"/>
        </w:rPr>
        <w:t>:</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你方所递交的</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的响应文件已被我方接受，被确定为成交供应商。</w:t>
      </w:r>
    </w:p>
    <w:p>
      <w:pPr>
        <w:adjustRightInd w:val="0"/>
        <w:snapToGrid w:val="0"/>
        <w:spacing w:line="600" w:lineRule="exact"/>
        <w:ind w:firstLine="480" w:firstLineChars="20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成交价: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请你方在接到本通知书后的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日内到</w:t>
      </w:r>
      <w:r>
        <w:rPr>
          <w:rFonts w:hint="eastAsia" w:ascii="宋体" w:hAnsi="宋体" w:eastAsia="宋体" w:cs="宋体"/>
          <w:color w:val="auto"/>
          <w:sz w:val="24"/>
          <w:highlight w:val="none"/>
          <w:u w:val="single"/>
        </w:rPr>
        <w:t>(指定地点)</w:t>
      </w:r>
      <w:r>
        <w:rPr>
          <w:rFonts w:hint="eastAsia" w:ascii="宋体" w:hAnsi="宋体" w:eastAsia="宋体" w:cs="宋体"/>
          <w:color w:val="auto"/>
          <w:sz w:val="24"/>
          <w:highlight w:val="none"/>
        </w:rPr>
        <w:t>与我方签订采购合同，并按采购文件第二章“供应商须知”第7.6款规定向我方递交履约保证金。</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特此通知。</w:t>
      </w:r>
    </w:p>
    <w:p>
      <w:pPr>
        <w:adjustRightInd w:val="0"/>
        <w:snapToGrid w:val="0"/>
        <w:spacing w:line="600" w:lineRule="exact"/>
        <w:ind w:firstLine="480" w:firstLineChars="200"/>
        <w:jc w:val="both"/>
        <w:rPr>
          <w:rFonts w:hint="eastAsia" w:ascii="宋体" w:hAnsi="宋体" w:eastAsia="宋体" w:cs="宋体"/>
          <w:color w:val="auto"/>
          <w:sz w:val="24"/>
          <w:highlight w:val="none"/>
        </w:rPr>
      </w:pPr>
    </w:p>
    <w:p>
      <w:pPr>
        <w:adjustRightInd w:val="0"/>
        <w:snapToGrid w:val="0"/>
        <w:spacing w:line="600" w:lineRule="exact"/>
        <w:ind w:firstLine="480" w:firstLineChars="200"/>
        <w:jc w:val="both"/>
        <w:rPr>
          <w:rFonts w:hint="eastAsia" w:ascii="宋体" w:hAnsi="宋体" w:eastAsia="宋体" w:cs="宋体"/>
          <w:color w:val="auto"/>
          <w:sz w:val="24"/>
          <w:highlight w:val="none"/>
        </w:rPr>
      </w:pPr>
    </w:p>
    <w:p>
      <w:pPr>
        <w:adjustRightInd w:val="0"/>
        <w:snapToGrid w:val="0"/>
        <w:spacing w:line="600" w:lineRule="exact"/>
        <w:ind w:firstLine="3360" w:firstLineChars="140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采购人(或采购代理机构):</w:t>
      </w:r>
      <w:r>
        <w:rPr>
          <w:rFonts w:hint="eastAsia" w:ascii="宋体" w:hAnsi="宋体" w:eastAsia="宋体" w:cs="宋体"/>
          <w:color w:val="auto"/>
          <w:sz w:val="24"/>
          <w:highlight w:val="none"/>
          <w:u w:val="single"/>
        </w:rPr>
        <w:t xml:space="preserve">   (盖单位章)      </w:t>
      </w:r>
    </w:p>
    <w:p>
      <w:pPr>
        <w:adjustRightInd w:val="0"/>
        <w:snapToGrid w:val="0"/>
        <w:spacing w:line="600" w:lineRule="exact"/>
        <w:ind w:firstLine="4800" w:firstLineChars="2000"/>
        <w:jc w:val="both"/>
        <w:rPr>
          <w:rFonts w:hint="eastAsia" w:ascii="宋体" w:hAnsi="宋体" w:eastAsia="宋体" w:cs="宋体"/>
          <w:color w:val="auto"/>
          <w:sz w:val="30"/>
          <w:szCs w:val="30"/>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30"/>
          <w:szCs w:val="30"/>
          <w:highlight w:val="none"/>
        </w:rPr>
        <w:br w:type="page"/>
      </w:r>
    </w:p>
    <w:p>
      <w:pPr>
        <w:pStyle w:val="38"/>
        <w:ind w:firstLine="0"/>
        <w:rPr>
          <w:rFonts w:hint="eastAsia" w:ascii="宋体" w:hAnsi="宋体" w:eastAsia="宋体" w:cs="宋体"/>
          <w:color w:val="auto"/>
          <w:highlight w:val="none"/>
        </w:rPr>
      </w:pPr>
    </w:p>
    <w:p>
      <w:pPr>
        <w:adjustRightInd w:val="0"/>
        <w:snapToGrid w:val="0"/>
        <w:spacing w:line="600" w:lineRule="exact"/>
        <w:ind w:firstLine="567" w:firstLineChars="18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附件5  确认通知</w:t>
      </w:r>
    </w:p>
    <w:p>
      <w:pPr>
        <w:adjustRightInd w:val="0"/>
        <w:snapToGrid w:val="0"/>
        <w:spacing w:line="600" w:lineRule="exact"/>
        <w:ind w:firstLine="723" w:firstLineChars="200"/>
        <w:jc w:val="both"/>
        <w:rPr>
          <w:rFonts w:hint="eastAsia" w:ascii="宋体" w:hAnsi="宋体" w:eastAsia="宋体" w:cs="宋体"/>
          <w:b/>
          <w:bCs/>
          <w:color w:val="auto"/>
          <w:sz w:val="36"/>
          <w:szCs w:val="36"/>
          <w:highlight w:val="none"/>
        </w:rPr>
      </w:pPr>
    </w:p>
    <w:p>
      <w:pPr>
        <w:adjustRightInd w:val="0"/>
        <w:snapToGrid w:val="0"/>
        <w:spacing w:line="600" w:lineRule="exact"/>
        <w:ind w:firstLine="723" w:firstLineChars="20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确认通知</w:t>
      </w:r>
    </w:p>
    <w:p>
      <w:pPr>
        <w:adjustRightInd w:val="0"/>
        <w:snapToGrid w:val="0"/>
        <w:spacing w:line="600" w:lineRule="exact"/>
        <w:ind w:firstLine="723" w:firstLineChars="200"/>
        <w:jc w:val="both"/>
        <w:rPr>
          <w:rFonts w:hint="eastAsia" w:ascii="宋体" w:hAnsi="宋体" w:eastAsia="宋体" w:cs="宋体"/>
          <w:b/>
          <w:bCs/>
          <w:color w:val="auto"/>
          <w:sz w:val="36"/>
          <w:szCs w:val="36"/>
          <w:highlight w:val="none"/>
        </w:rPr>
      </w:pPr>
    </w:p>
    <w:p>
      <w:pPr>
        <w:adjustRightInd w:val="0"/>
        <w:snapToGrid w:val="0"/>
        <w:spacing w:line="600" w:lineRule="exact"/>
        <w:ind w:firstLine="480" w:firstLineChars="200"/>
        <w:jc w:val="both"/>
        <w:rPr>
          <w:rFonts w:hint="eastAsia" w:ascii="宋体" w:hAnsi="宋体" w:eastAsia="宋体" w:cs="宋体"/>
          <w:b/>
          <w:bCs/>
          <w:color w:val="auto"/>
          <w:sz w:val="24"/>
          <w:highlight w:val="none"/>
        </w:rPr>
      </w:pPr>
      <w:r>
        <w:rPr>
          <w:rFonts w:hint="eastAsia" w:ascii="宋体" w:hAnsi="宋体" w:eastAsia="宋体" w:cs="宋体"/>
          <w:color w:val="auto"/>
          <w:sz w:val="24"/>
          <w:highlight w:val="none"/>
          <w:u w:val="single"/>
        </w:rPr>
        <w:t>（采购人或采购代理机构名称)</w:t>
      </w:r>
      <w:r>
        <w:rPr>
          <w:rFonts w:hint="eastAsia" w:ascii="宋体" w:hAnsi="宋体" w:eastAsia="宋体" w:cs="宋体"/>
          <w:color w:val="auto"/>
          <w:sz w:val="24"/>
          <w:highlight w:val="none"/>
        </w:rPr>
        <w:t>:</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你方于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日发出的的</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采购文件的澄清/修改的通知，我方已于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日收到。</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特此确认。</w:t>
      </w:r>
    </w:p>
    <w:p>
      <w:pPr>
        <w:adjustRightInd w:val="0"/>
        <w:snapToGrid w:val="0"/>
        <w:spacing w:line="600" w:lineRule="exact"/>
        <w:ind w:firstLine="480" w:firstLineChars="200"/>
        <w:jc w:val="both"/>
        <w:rPr>
          <w:rFonts w:hint="eastAsia" w:ascii="宋体" w:hAnsi="宋体" w:eastAsia="宋体" w:cs="宋体"/>
          <w:color w:val="auto"/>
          <w:sz w:val="24"/>
          <w:highlight w:val="none"/>
        </w:rPr>
      </w:pPr>
    </w:p>
    <w:p>
      <w:pPr>
        <w:adjustRightInd w:val="0"/>
        <w:snapToGrid w:val="0"/>
        <w:spacing w:line="600" w:lineRule="exact"/>
        <w:ind w:firstLine="480" w:firstLineChars="200"/>
        <w:jc w:val="both"/>
        <w:rPr>
          <w:rFonts w:hint="eastAsia" w:ascii="宋体" w:hAnsi="宋体" w:eastAsia="宋体" w:cs="宋体"/>
          <w:color w:val="auto"/>
          <w:sz w:val="24"/>
          <w:highlight w:val="none"/>
        </w:rPr>
      </w:pPr>
    </w:p>
    <w:p>
      <w:pPr>
        <w:adjustRightInd w:val="0"/>
        <w:snapToGrid w:val="0"/>
        <w:spacing w:line="600" w:lineRule="exact"/>
        <w:ind w:firstLine="5090" w:firstLineChars="2121"/>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供应商: </w:t>
      </w:r>
      <w:r>
        <w:rPr>
          <w:rFonts w:hint="eastAsia" w:ascii="宋体" w:hAnsi="宋体" w:eastAsia="宋体" w:cs="宋体"/>
          <w:color w:val="auto"/>
          <w:sz w:val="24"/>
          <w:highlight w:val="none"/>
          <w:u w:val="single"/>
        </w:rPr>
        <w:t xml:space="preserve">     (盖单位章)      </w:t>
      </w:r>
    </w:p>
    <w:p>
      <w:pPr>
        <w:pStyle w:val="77"/>
        <w:adjustRightInd w:val="0"/>
        <w:snapToGrid w:val="0"/>
        <w:spacing w:line="600" w:lineRule="exact"/>
        <w:ind w:firstLine="6240" w:firstLineChars="2600"/>
        <w:jc w:val="center"/>
        <w:rPr>
          <w:rFonts w:hint="eastAsia" w:ascii="宋体" w:hAnsi="宋体" w:eastAsia="宋体" w:cs="宋体"/>
          <w:color w:val="auto"/>
          <w:highlight w:val="none"/>
        </w:rPr>
      </w:pP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r>
        <w:rPr>
          <w:rFonts w:hint="eastAsia" w:ascii="宋体" w:hAnsi="宋体" w:eastAsia="宋体" w:cs="宋体"/>
          <w:color w:val="auto"/>
          <w:highlight w:val="none"/>
        </w:rPr>
        <w:br w:type="page"/>
      </w:r>
    </w:p>
    <w:p>
      <w:pPr>
        <w:adjustRightInd w:val="0"/>
        <w:snapToGrid w:val="0"/>
        <w:spacing w:line="600" w:lineRule="exact"/>
        <w:jc w:val="center"/>
        <w:outlineLvl w:val="0"/>
        <w:rPr>
          <w:rFonts w:hint="eastAsia" w:ascii="宋体" w:hAnsi="宋体" w:eastAsia="宋体" w:cs="宋体"/>
          <w:bCs/>
          <w:color w:val="auto"/>
          <w:sz w:val="36"/>
          <w:szCs w:val="36"/>
          <w:highlight w:val="none"/>
        </w:rPr>
      </w:pPr>
      <w:bookmarkStart w:id="12" w:name="_Toc27443"/>
      <w:r>
        <w:rPr>
          <w:rFonts w:hint="eastAsia" w:ascii="宋体" w:hAnsi="宋体" w:eastAsia="宋体" w:cs="宋体"/>
          <w:bCs/>
          <w:color w:val="auto"/>
          <w:sz w:val="36"/>
          <w:szCs w:val="36"/>
          <w:highlight w:val="none"/>
        </w:rPr>
        <w:t>第三章 评审办法</w:t>
      </w:r>
      <w:bookmarkEnd w:id="12"/>
    </w:p>
    <w:p>
      <w:pPr>
        <w:adjustRightInd w:val="0"/>
        <w:snapToGrid w:val="0"/>
        <w:spacing w:before="120" w:beforeLines="50" w:after="120" w:afterLines="50" w:line="312"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评审办法前附表</w:t>
      </w:r>
    </w:p>
    <w:tbl>
      <w:tblPr>
        <w:tblStyle w:val="40"/>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55"/>
        <w:gridCol w:w="145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327" w:type="dxa"/>
            <w:gridSpan w:val="2"/>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条款号及名称</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评审因素</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7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155"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评审方法</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评审方法</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172"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2.1.1</w:t>
            </w:r>
          </w:p>
        </w:tc>
        <w:tc>
          <w:tcPr>
            <w:tcW w:w="1155"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形式评审标准</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证章实相符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响应文件签字盖章</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响应函中实质性内容</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Cs w:val="21"/>
                <w:highlight w:val="none"/>
                <w:lang w:eastAsia="zh-CN"/>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172"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p>
        </w:tc>
        <w:tc>
          <w:tcPr>
            <w:tcW w:w="1155"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资格评审标准</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依法设立</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exac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资质要求</w:t>
            </w:r>
          </w:p>
        </w:tc>
        <w:tc>
          <w:tcPr>
            <w:tcW w:w="4983" w:type="dxa"/>
            <w:vAlign w:val="center"/>
          </w:tcPr>
          <w:p>
            <w:pPr>
              <w:widowControl w:val="0"/>
              <w:spacing w:line="288" w:lineRule="auto"/>
              <w:jc w:val="both"/>
              <w:rPr>
                <w:rFonts w:hint="eastAsia"/>
                <w:color w:val="auto"/>
                <w:lang w:eastAsia="zh-CN"/>
              </w:rPr>
            </w:pPr>
            <w:r>
              <w:rPr>
                <w:rFonts w:hint="eastAsia"/>
                <w:color w:val="auto"/>
                <w:sz w:val="24"/>
                <w:szCs w:val="24"/>
                <w:lang w:val="en-US" w:eastAsia="zh-CN"/>
              </w:rPr>
              <w:sym w:font="Wingdings 2" w:char="0052"/>
            </w:r>
            <w:r>
              <w:rPr>
                <w:rFonts w:hint="eastAsia"/>
                <w:color w:val="auto"/>
                <w:sz w:val="24"/>
                <w:szCs w:val="24"/>
                <w:lang w:val="en-US" w:eastAsia="zh-CN"/>
              </w:rPr>
              <w:t>适用。供应商应具备有效的：</w:t>
            </w:r>
          </w:p>
          <w:p>
            <w:pPr>
              <w:widowControl w:val="0"/>
              <w:numPr>
                <w:ilvl w:val="0"/>
                <w:numId w:val="0"/>
              </w:numPr>
              <w:spacing w:line="288" w:lineRule="auto"/>
              <w:jc w:val="left"/>
              <w:rPr>
                <w:rFonts w:hint="eastAsia"/>
                <w:color w:val="auto"/>
                <w:sz w:val="24"/>
                <w:szCs w:val="24"/>
                <w:lang w:val="en-US" w:eastAsia="zh-CN"/>
              </w:rPr>
            </w:pPr>
            <w:r>
              <w:rPr>
                <w:rFonts w:hint="eastAsia"/>
                <w:color w:val="auto"/>
                <w:sz w:val="24"/>
                <w:szCs w:val="24"/>
                <w:lang w:val="en-US" w:eastAsia="zh-CN"/>
              </w:rPr>
              <w:t>1、《中华人民共和国特种设备生产许可证》许可子项目（低压容器）</w:t>
            </w:r>
          </w:p>
          <w:p>
            <w:pPr>
              <w:widowControl/>
              <w:adjustRightInd w:val="0"/>
              <w:snapToGrid w:val="0"/>
              <w:spacing w:line="288" w:lineRule="auto"/>
              <w:jc w:val="left"/>
              <w:rPr>
                <w:rFonts w:hint="eastAsia"/>
                <w:color w:val="auto"/>
              </w:rPr>
            </w:pPr>
            <w:r>
              <w:rPr>
                <w:rFonts w:hint="eastAsia" w:ascii="宋体" w:hAnsi="宋体" w:cs="宋体"/>
                <w:color w:val="auto"/>
                <w:sz w:val="24"/>
                <w:szCs w:val="24"/>
                <w:highlight w:val="none"/>
                <w:lang w:val="en-US" w:eastAsia="zh-CN"/>
              </w:rPr>
              <w:t>2、《中华人民共和国特种设备生产许可证》许可子项目（工业管道安装）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财务要求</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exac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业绩要求</w:t>
            </w:r>
          </w:p>
        </w:tc>
        <w:tc>
          <w:tcPr>
            <w:tcW w:w="4983" w:type="dxa"/>
            <w:vAlign w:val="center"/>
          </w:tcPr>
          <w:p>
            <w:pPr>
              <w:widowControl w:val="0"/>
              <w:spacing w:line="288" w:lineRule="auto"/>
              <w:jc w:val="both"/>
              <w:rPr>
                <w:rFonts w:hint="default"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供应商应提供近年的</w:t>
            </w:r>
            <w:r>
              <w:rPr>
                <w:rFonts w:hint="eastAsia" w:ascii="宋体" w:hAnsi="宋体" w:cs="宋体"/>
                <w:color w:val="auto"/>
                <w:sz w:val="24"/>
                <w:highlight w:val="none"/>
                <w:lang w:val="en-US" w:eastAsia="zh-CN"/>
              </w:rPr>
              <w:t>撬装式加油装置</w:t>
            </w:r>
            <w:r>
              <w:rPr>
                <w:rFonts w:hint="eastAsia" w:ascii="宋体" w:hAnsi="宋体" w:eastAsia="宋体" w:cs="宋体"/>
                <w:color w:val="auto"/>
                <w:sz w:val="24"/>
                <w:highlight w:val="none"/>
              </w:rPr>
              <w:t>项目情况表（格式见第六章“响应文件格式”七、资格审查资料（三）近年的类似项目情况表），以证明供应商具有承担本项目要求的业绩。近年是指</w:t>
            </w:r>
            <w:r>
              <w:rPr>
                <w:rFonts w:hint="eastAsia" w:ascii="宋体" w:hAnsi="宋体" w:eastAsia="宋体" w:cs="宋体"/>
                <w:color w:val="auto"/>
                <w:sz w:val="24"/>
                <w:highlight w:val="none"/>
                <w:u w:val="single"/>
              </w:rPr>
              <w:t>20</w:t>
            </w:r>
            <w:r>
              <w:rPr>
                <w:rFonts w:hint="eastAsia" w:ascii="宋体" w:hAnsi="宋体" w:eastAsia="宋体" w:cs="宋体"/>
                <w:color w:val="auto"/>
                <w:sz w:val="24"/>
                <w:highlight w:val="none"/>
                <w:u w:val="single"/>
                <w:lang w:val="en-US" w:eastAsia="zh-CN"/>
              </w:rPr>
              <w:t>20</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24日</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24日</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业绩证明材料：</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合同/订单</w:t>
            </w:r>
          </w:p>
          <w:p>
            <w:pPr>
              <w:widowControl w:val="0"/>
              <w:spacing w:line="288" w:lineRule="auto"/>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sym w:font="Wingdings 2" w:char="00A3"/>
            </w:r>
            <w:r>
              <w:rPr>
                <w:rFonts w:hint="eastAsia" w:ascii="宋体" w:hAnsi="宋体" w:eastAsia="宋体" w:cs="宋体"/>
                <w:color w:val="auto"/>
                <w:sz w:val="24"/>
                <w:highlight w:val="none"/>
                <w:lang w:val="en-US" w:eastAsia="zh-CN"/>
              </w:rPr>
              <w:t>结算发票/付款证明</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业绩证明材料种类要求：</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sym w:font="Wingdings 2" w:char="00A3"/>
            </w:r>
            <w:r>
              <w:rPr>
                <w:rFonts w:hint="eastAsia" w:ascii="宋体" w:hAnsi="宋体" w:eastAsia="宋体" w:cs="宋体"/>
                <w:color w:val="auto"/>
                <w:sz w:val="24"/>
                <w:highlight w:val="none"/>
              </w:rPr>
              <w:t>需同时提供上述勾选的所有证明材料</w:t>
            </w:r>
          </w:p>
          <w:p>
            <w:pPr>
              <w:widowControl/>
              <w:adjustRightInd w:val="0"/>
              <w:snapToGrid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☑其他要求：</w:t>
            </w:r>
            <w:r>
              <w:rPr>
                <w:rFonts w:hint="eastAsia" w:ascii="宋体" w:hAnsi="宋体" w:eastAsia="宋体" w:cs="宋体"/>
                <w:color w:val="auto"/>
                <w:sz w:val="24"/>
                <w:highlight w:val="none"/>
                <w:u w:val="single"/>
              </w:rPr>
              <w:t>至少提供</w:t>
            </w:r>
            <w:r>
              <w:rPr>
                <w:rFonts w:hint="eastAsia" w:ascii="宋体" w:hAnsi="宋体" w:cs="宋体"/>
                <w:color w:val="auto"/>
                <w:sz w:val="24"/>
                <w:highlight w:val="none"/>
                <w:u w:val="single"/>
                <w:lang w:val="en-US" w:eastAsia="zh-CN"/>
              </w:rPr>
              <w:t>1</w:t>
            </w:r>
            <w:r>
              <w:rPr>
                <w:rFonts w:hint="eastAsia" w:ascii="宋体" w:hAnsi="宋体" w:eastAsia="宋体" w:cs="宋体"/>
                <w:color w:val="auto"/>
                <w:sz w:val="24"/>
                <w:highlight w:val="none"/>
                <w:u w:val="single"/>
              </w:rPr>
              <w:t>份业绩证明材料，提供复印件并加盖单位公章。</w:t>
            </w: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人员要求</w:t>
            </w:r>
          </w:p>
        </w:tc>
        <w:tc>
          <w:tcPr>
            <w:tcW w:w="4983" w:type="dxa"/>
            <w:vAlign w:val="center"/>
          </w:tcPr>
          <w:p>
            <w:pPr>
              <w:widowControl/>
              <w:adjustRightInd w:val="0"/>
              <w:snapToGrid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sym w:font="Wingdings 2" w:char="0052"/>
            </w:r>
            <w:r>
              <w:rPr>
                <w:rFonts w:hint="eastAsia" w:ascii="宋体" w:hAnsi="宋体" w:eastAsia="宋体" w:cs="宋体"/>
                <w:color w:val="auto"/>
                <w:sz w:val="24"/>
                <w:highlight w:val="none"/>
                <w:u w:val="none"/>
                <w:lang w:val="en-US" w:eastAsia="zh-CN"/>
              </w:rPr>
              <w:t>不</w:t>
            </w:r>
            <w:r>
              <w:rPr>
                <w:rFonts w:hint="eastAsia" w:ascii="宋体" w:hAnsi="宋体" w:eastAsia="宋体" w:cs="宋体"/>
                <w:color w:val="auto"/>
                <w:sz w:val="24"/>
                <w:highlight w:val="none"/>
                <w:u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信誉要求</w:t>
            </w:r>
          </w:p>
        </w:tc>
        <w:tc>
          <w:tcPr>
            <w:tcW w:w="4983" w:type="dxa"/>
            <w:vAlign w:val="center"/>
          </w:tcPr>
          <w:p>
            <w:pPr>
              <w:pStyle w:val="3"/>
              <w:widowControl w:val="0"/>
              <w:spacing w:after="0" w:line="312" w:lineRule="auto"/>
              <w:ind w:left="0" w:leftChars="0" w:firstLine="0" w:firstLineChars="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1）在</w:t>
            </w:r>
            <w:r>
              <w:rPr>
                <w:rFonts w:hint="eastAsia" w:ascii="宋体" w:hAnsi="宋体" w:eastAsia="宋体" w:cs="宋体"/>
                <w:color w:val="auto"/>
                <w:sz w:val="21"/>
                <w:szCs w:val="21"/>
              </w:rPr>
              <w:t>国</w:t>
            </w:r>
            <w:r>
              <w:rPr>
                <w:rFonts w:hint="eastAsia" w:ascii="宋体" w:hAnsi="宋体" w:eastAsia="宋体" w:cs="宋体"/>
                <w:color w:val="auto"/>
                <w:sz w:val="21"/>
                <w:szCs w:val="21"/>
                <w:lang w:val="en-US" w:eastAsia="zh-CN"/>
              </w:rPr>
              <w:t>家</w:t>
            </w:r>
            <w:r>
              <w:rPr>
                <w:rFonts w:hint="eastAsia" w:ascii="宋体" w:hAnsi="宋体" w:eastAsia="宋体" w:cs="宋体"/>
                <w:color w:val="auto"/>
                <w:sz w:val="21"/>
                <w:szCs w:val="21"/>
              </w:rPr>
              <w:t>企业信用信息公示系统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https://www.gsxt.gov.cn</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中未列入严重违法失信企业名单的网页截图</w:t>
            </w:r>
            <w:r>
              <w:rPr>
                <w:rFonts w:hint="eastAsia" w:ascii="宋体" w:hAnsi="宋体" w:eastAsia="宋体" w:cs="宋体"/>
                <w:color w:val="auto"/>
                <w:sz w:val="21"/>
                <w:szCs w:val="21"/>
                <w:lang w:eastAsia="zh-CN"/>
              </w:rPr>
              <w:t>。</w:t>
            </w:r>
            <w:r>
              <w:rPr>
                <w:rFonts w:hint="eastAsia" w:ascii="宋体" w:hAnsi="宋体" w:eastAsia="宋体" w:cs="宋体"/>
                <w:color w:val="auto"/>
                <w:sz w:val="24"/>
                <w:highlight w:val="none"/>
              </w:rPr>
              <w:t>加盖公章。</w:t>
            </w:r>
          </w:p>
          <w:p>
            <w:pPr>
              <w:widowControl/>
              <w:adjustRightInd w:val="0"/>
              <w:snapToGrid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被最高人民法院在“信用中国”网站（www.creditchina.gov.cn）中未列入失信被执行人名单的网页截图</w:t>
            </w:r>
            <w:r>
              <w:rPr>
                <w:rFonts w:hint="eastAsia" w:ascii="宋体" w:hAnsi="宋体" w:eastAsia="宋体" w:cs="宋体"/>
                <w:color w:val="auto"/>
                <w:sz w:val="21"/>
                <w:szCs w:val="21"/>
                <w:lang w:eastAsia="zh-CN"/>
              </w:rPr>
              <w:t>。</w:t>
            </w:r>
            <w:r>
              <w:rPr>
                <w:rFonts w:hint="eastAsia" w:ascii="宋体" w:hAnsi="宋体" w:eastAsia="宋体" w:cs="宋体"/>
                <w:color w:val="auto"/>
                <w:sz w:val="24"/>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2.1.3</w:t>
            </w:r>
          </w:p>
        </w:tc>
        <w:tc>
          <w:tcPr>
            <w:tcW w:w="1155"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响应性评审标准</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报价</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响应文件有效期</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响应方案</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质量标准</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完成期限</w:t>
            </w:r>
          </w:p>
        </w:tc>
        <w:tc>
          <w:tcPr>
            <w:tcW w:w="4983" w:type="dxa"/>
            <w:vAlign w:val="center"/>
          </w:tcPr>
          <w:p>
            <w:pPr>
              <w:widowControl/>
              <w:adjustRightInd w:val="0"/>
              <w:snapToGrid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合同签订后，</w:t>
            </w:r>
            <w:r>
              <w:rPr>
                <w:rFonts w:hint="eastAsia" w:ascii="宋体" w:hAnsi="宋体" w:cs="宋体"/>
                <w:color w:val="auto"/>
                <w:sz w:val="24"/>
                <w:highlight w:val="none"/>
                <w:lang w:val="en-US" w:eastAsia="zh-CN"/>
              </w:rPr>
              <w:t>30个日历日内到货，</w:t>
            </w:r>
            <w:r>
              <w:rPr>
                <w:rFonts w:hint="eastAsia" w:ascii="宋体" w:hAnsi="宋体" w:eastAsia="宋体" w:cs="宋体"/>
                <w:color w:val="auto"/>
                <w:sz w:val="24"/>
                <w:highlight w:val="none"/>
              </w:rPr>
              <w:t>供应商应</w:t>
            </w:r>
            <w:r>
              <w:rPr>
                <w:rFonts w:hint="eastAsia" w:ascii="宋体" w:hAnsi="宋体" w:cs="宋体"/>
                <w:color w:val="auto"/>
                <w:sz w:val="24"/>
                <w:highlight w:val="none"/>
                <w:lang w:val="en-US" w:eastAsia="zh-CN"/>
              </w:rPr>
              <w:t>于到货后30个日历日内完成安装调试。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合同条款</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对非关键条款的偏差</w:t>
            </w:r>
          </w:p>
        </w:tc>
        <w:tc>
          <w:tcPr>
            <w:tcW w:w="4983" w:type="dxa"/>
            <w:vAlign w:val="center"/>
          </w:tcPr>
          <w:p>
            <w:pPr>
              <w:widowControl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允许偏差的范围：细微偏差</w:t>
            </w:r>
          </w:p>
          <w:p>
            <w:pPr>
              <w:widowControl/>
              <w:adjustRightInd w:val="0"/>
              <w:snapToGrid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允许偏差的项数：</w:t>
            </w:r>
            <w:r>
              <w:rPr>
                <w:rFonts w:hint="eastAsia" w:ascii="宋体" w:hAnsi="宋体" w:cs="宋体"/>
                <w:color w:val="auto"/>
                <w:sz w:val="24"/>
                <w:highlight w:val="none"/>
                <w:u w:val="single"/>
                <w:lang w:val="en-US" w:eastAsia="zh-CN"/>
              </w:rPr>
              <w:t>3</w:t>
            </w:r>
            <w:r>
              <w:rPr>
                <w:rFonts w:hint="eastAsia" w:ascii="宋体" w:hAnsi="宋体" w:eastAsia="宋体" w:cs="宋体"/>
                <w:color w:val="auto"/>
                <w:sz w:val="24"/>
                <w:highlight w:val="none"/>
                <w:u w:val="single"/>
              </w:rPr>
              <w:t>项</w:t>
            </w: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2.2.2</w:t>
            </w:r>
          </w:p>
        </w:tc>
        <w:tc>
          <w:tcPr>
            <w:tcW w:w="1155"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评审价格</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62" w:type="dxa"/>
            <w:gridSpan w:val="4"/>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27" w:type="dxa"/>
            <w:gridSpan w:val="2"/>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条款号</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条款内容</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327" w:type="dxa"/>
            <w:gridSpan w:val="2"/>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452" w:type="dxa"/>
            <w:vAlign w:val="center"/>
          </w:tcPr>
          <w:p>
            <w:pPr>
              <w:widowControl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报价</w:t>
            </w:r>
          </w:p>
        </w:tc>
        <w:tc>
          <w:tcPr>
            <w:tcW w:w="4983" w:type="dxa"/>
            <w:vAlign w:val="center"/>
          </w:tcPr>
          <w:p>
            <w:pPr>
              <w:widowControl w:val="0"/>
              <w:adjustRightInd w:val="0"/>
              <w:snapToGrid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根据2.2.2条规定，</w:t>
            </w:r>
            <w:r>
              <w:rPr>
                <w:rFonts w:hint="eastAsia" w:ascii="宋体" w:hAnsi="宋体" w:eastAsia="宋体" w:cs="宋体"/>
                <w:color w:val="auto"/>
                <w:sz w:val="24"/>
                <w:szCs w:val="24"/>
                <w:highlight w:val="none"/>
                <w:lang w:val="en-US" w:eastAsia="zh-CN"/>
              </w:rPr>
              <w:t>本项要求</w:t>
            </w: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cs="宋体"/>
                <w:b w:val="0"/>
                <w:bCs w:val="0"/>
                <w:color w:val="auto"/>
                <w:sz w:val="24"/>
                <w:szCs w:val="24"/>
                <w:highlight w:val="none"/>
                <w:u w:val="none"/>
                <w:lang w:val="en-US" w:eastAsia="zh-CN"/>
              </w:rPr>
              <w:t>13%</w:t>
            </w:r>
            <w:r>
              <w:rPr>
                <w:rFonts w:hint="eastAsia" w:ascii="宋体" w:hAnsi="宋体" w:eastAsia="宋体" w:cs="宋体"/>
                <w:b w:val="0"/>
                <w:bCs w:val="0"/>
                <w:color w:val="auto"/>
                <w:sz w:val="24"/>
                <w:szCs w:val="24"/>
                <w:highlight w:val="none"/>
                <w:u w:val="none"/>
                <w:lang w:val="en-US" w:eastAsia="zh-CN"/>
              </w:rPr>
              <w:t>的增值税专用发票，超过最高限价的作废。如果报价人提供其他税率的增值税专用发票，</w:t>
            </w:r>
            <w:r>
              <w:rPr>
                <w:rFonts w:hint="eastAsia" w:ascii="宋体" w:hAnsi="宋体" w:cs="宋体"/>
                <w:b w:val="0"/>
                <w:bCs w:val="0"/>
                <w:color w:val="auto"/>
                <w:sz w:val="24"/>
                <w:szCs w:val="24"/>
                <w:highlight w:val="none"/>
                <w:u w:val="none"/>
                <w:lang w:val="en-US" w:eastAsia="zh-CN"/>
              </w:rPr>
              <w:t>采购</w:t>
            </w:r>
            <w:r>
              <w:rPr>
                <w:rFonts w:hint="eastAsia" w:ascii="宋体" w:hAnsi="宋体" w:eastAsia="宋体" w:cs="宋体"/>
                <w:b w:val="0"/>
                <w:bCs w:val="0"/>
                <w:color w:val="auto"/>
                <w:sz w:val="24"/>
                <w:szCs w:val="24"/>
                <w:highlight w:val="none"/>
                <w:u w:val="none"/>
                <w:lang w:val="en-US" w:eastAsia="zh-CN"/>
              </w:rPr>
              <w:t>人按</w:t>
            </w:r>
            <w:r>
              <w:rPr>
                <w:rFonts w:hint="eastAsia" w:ascii="宋体" w:hAnsi="宋体" w:cs="宋体"/>
                <w:b w:val="0"/>
                <w:bCs w:val="0"/>
                <w:color w:val="auto"/>
                <w:sz w:val="24"/>
                <w:szCs w:val="24"/>
                <w:highlight w:val="none"/>
                <w:u w:val="none"/>
                <w:lang w:val="en-US" w:eastAsia="zh-CN"/>
              </w:rPr>
              <w:t>13%</w:t>
            </w:r>
            <w:r>
              <w:rPr>
                <w:rFonts w:hint="eastAsia" w:ascii="宋体" w:hAnsi="宋体" w:eastAsia="宋体" w:cs="宋体"/>
                <w:b w:val="0"/>
                <w:bCs w:val="0"/>
                <w:color w:val="auto"/>
                <w:sz w:val="24"/>
                <w:szCs w:val="24"/>
                <w:highlight w:val="none"/>
                <w:u w:val="none"/>
                <w:lang w:val="en-US" w:eastAsia="zh-CN"/>
              </w:rPr>
              <w:t>的增值税税率调整报价后参与排序。</w:t>
            </w:r>
          </w:p>
        </w:tc>
      </w:tr>
    </w:tbl>
    <w:p>
      <w:pPr>
        <w:spacing w:line="288" w:lineRule="auto"/>
        <w:jc w:val="both"/>
        <w:rPr>
          <w:rFonts w:hint="eastAsia" w:ascii="宋体" w:hAnsi="宋体" w:eastAsia="宋体" w:cs="宋体"/>
          <w:color w:val="auto"/>
          <w:sz w:val="24"/>
          <w:highlight w:val="none"/>
        </w:rPr>
      </w:pPr>
    </w:p>
    <w:p>
      <w:pPr>
        <w:adjustRightInd w:val="0"/>
        <w:snapToGrid w:val="0"/>
        <w:spacing w:line="312"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评审办法正文</w:t>
      </w:r>
    </w:p>
    <w:p>
      <w:pPr>
        <w:adjustRightInd w:val="0"/>
        <w:snapToGrid w:val="0"/>
        <w:spacing w:line="312" w:lineRule="auto"/>
        <w:jc w:val="both"/>
        <w:rPr>
          <w:rFonts w:hint="eastAsia" w:ascii="宋体" w:hAnsi="宋体" w:eastAsia="宋体" w:cs="宋体"/>
          <w:b/>
          <w:bCs/>
          <w:color w:val="auto"/>
          <w:sz w:val="36"/>
          <w:szCs w:val="36"/>
          <w:highlight w:val="none"/>
        </w:rPr>
      </w:pP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1评审方法(最低价法)</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2初步评审标准和程序</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2.1初步评审标准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2.1.1形式评审标准:见评审办法前附表。</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2.1.2资格评审标准:见评审办法前附表。</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2.1.3响应性评审标准:见评审办法前附表。</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2.2初步评审程序</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2.2.2除评审办法前附表另有规定外，评审价格为供应商在响应函中填报的大写含税价格，</w:t>
      </w:r>
      <w:r>
        <w:rPr>
          <w:rFonts w:hint="eastAsia" w:ascii="宋体" w:hAnsi="宋体" w:eastAsia="宋体" w:cs="宋体"/>
          <w:color w:val="auto"/>
          <w:sz w:val="24"/>
          <w:szCs w:val="24"/>
          <w:highlight w:val="none"/>
          <w:lang w:val="en-US" w:eastAsia="zh-CN"/>
        </w:rPr>
        <w:t>本项要求</w:t>
      </w: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cs="宋体"/>
          <w:b w:val="0"/>
          <w:bCs w:val="0"/>
          <w:color w:val="auto"/>
          <w:sz w:val="24"/>
          <w:szCs w:val="24"/>
          <w:highlight w:val="none"/>
          <w:u w:val="none"/>
          <w:lang w:val="en-US" w:eastAsia="zh-CN"/>
        </w:rPr>
        <w:t>13%</w:t>
      </w:r>
      <w:r>
        <w:rPr>
          <w:rFonts w:hint="eastAsia" w:ascii="宋体" w:hAnsi="宋体" w:eastAsia="宋体" w:cs="宋体"/>
          <w:b w:val="0"/>
          <w:bCs w:val="0"/>
          <w:color w:val="auto"/>
          <w:sz w:val="24"/>
          <w:szCs w:val="24"/>
          <w:highlight w:val="none"/>
          <w:u w:val="none"/>
          <w:lang w:val="en-US" w:eastAsia="zh-CN"/>
        </w:rPr>
        <w:t>的增值税专用发票，超过最高限价的作废。如果报价人提供其他税率的增值税专用发票，</w:t>
      </w:r>
      <w:r>
        <w:rPr>
          <w:rFonts w:hint="eastAsia" w:ascii="宋体" w:hAnsi="宋体" w:cs="宋体"/>
          <w:b w:val="0"/>
          <w:bCs w:val="0"/>
          <w:color w:val="auto"/>
          <w:sz w:val="24"/>
          <w:szCs w:val="24"/>
          <w:highlight w:val="none"/>
          <w:u w:val="none"/>
          <w:lang w:val="en-US" w:eastAsia="zh-CN"/>
        </w:rPr>
        <w:t>采购</w:t>
      </w:r>
      <w:r>
        <w:rPr>
          <w:rFonts w:hint="eastAsia" w:ascii="宋体" w:hAnsi="宋体" w:eastAsia="宋体" w:cs="宋体"/>
          <w:b w:val="0"/>
          <w:bCs w:val="0"/>
          <w:color w:val="auto"/>
          <w:sz w:val="24"/>
          <w:szCs w:val="24"/>
          <w:highlight w:val="none"/>
          <w:u w:val="none"/>
          <w:lang w:val="en-US" w:eastAsia="zh-CN"/>
        </w:rPr>
        <w:t>人按</w:t>
      </w:r>
      <w:r>
        <w:rPr>
          <w:rFonts w:hint="eastAsia" w:ascii="宋体" w:hAnsi="宋体" w:cs="宋体"/>
          <w:b w:val="0"/>
          <w:bCs w:val="0"/>
          <w:color w:val="auto"/>
          <w:sz w:val="24"/>
          <w:szCs w:val="24"/>
          <w:highlight w:val="none"/>
          <w:u w:val="none"/>
          <w:lang w:val="en-US" w:eastAsia="zh-CN"/>
        </w:rPr>
        <w:t>13%</w:t>
      </w:r>
      <w:r>
        <w:rPr>
          <w:rFonts w:hint="eastAsia" w:ascii="宋体" w:hAnsi="宋体" w:eastAsia="宋体" w:cs="宋体"/>
          <w:b w:val="0"/>
          <w:bCs w:val="0"/>
          <w:color w:val="auto"/>
          <w:sz w:val="24"/>
          <w:szCs w:val="24"/>
          <w:highlight w:val="none"/>
          <w:u w:val="none"/>
          <w:lang w:val="en-US" w:eastAsia="zh-CN"/>
        </w:rPr>
        <w:t>的增值税税率调整报价后参与排序</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调整后的</w:t>
      </w:r>
      <w:r>
        <w:rPr>
          <w:rFonts w:hint="eastAsia" w:ascii="宋体" w:hAnsi="宋体" w:eastAsia="宋体" w:cs="宋体"/>
          <w:color w:val="auto"/>
          <w:sz w:val="24"/>
          <w:highlight w:val="none"/>
        </w:rPr>
        <w:t>评审价格若超过最高限价(如有)，其响应文件将被视为无效。</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(1)大写金额与小写金额不一致的，以大写金额为准;</w:t>
      </w:r>
    </w:p>
    <w:p>
      <w:pPr>
        <w:tabs>
          <w:tab w:val="left" w:pos="312"/>
        </w:tabs>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2.2.4供应商有串通，弄虚作假、行贿等违法行为的，其响应文件将被视为无效。</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3详细评审标准和程序(最低价法)</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4评审结果</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4.1提交书面评审报告</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评审小组完成评审后，应当向采购人提交书面评审报告。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4.2推荐成交候选供应商排序要求及数量</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评审小组应在书面评审报告中按照供应商排列的优先顺序向采购人推荐成交候选供应商(排序或不排序)。成交候选供应商的排序要求及数量见第二章“供应商须知”。</w:t>
      </w:r>
    </w:p>
    <w:p>
      <w:pPr>
        <w:widowControl w:val="0"/>
        <w:adjustRightInd w:val="0"/>
        <w:snapToGrid w:val="0"/>
        <w:spacing w:line="312" w:lineRule="auto"/>
        <w:rPr>
          <w:rFonts w:hint="eastAsia" w:ascii="宋体" w:hAnsi="宋体" w:eastAsia="宋体" w:cs="宋体"/>
          <w:b/>
          <w:color w:val="auto"/>
          <w:kern w:val="0"/>
          <w:szCs w:val="21"/>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firstLine="0" w:firstLineChars="0"/>
        <w:jc w:val="both"/>
        <w:outlineLvl w:val="0"/>
        <w:rPr>
          <w:rFonts w:hint="eastAsia" w:ascii="宋体" w:hAnsi="宋体" w:eastAsia="宋体" w:cs="宋体"/>
          <w:b/>
          <w:color w:val="auto"/>
          <w:sz w:val="36"/>
          <w:szCs w:val="36"/>
          <w:highlight w:val="none"/>
        </w:rPr>
      </w:pPr>
      <w:bookmarkStart w:id="13" w:name="_Toc9628"/>
    </w:p>
    <w:p>
      <w:pPr>
        <w:pStyle w:val="77"/>
        <w:numPr>
          <w:ilvl w:val="0"/>
          <w:numId w:val="5"/>
        </w:numPr>
        <w:spacing w:line="600" w:lineRule="exact"/>
        <w:ind w:firstLine="0" w:firstLineChars="0"/>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合同条款及格式</w:t>
      </w:r>
      <w:bookmarkEnd w:id="13"/>
    </w:p>
    <w:p>
      <w:pPr>
        <w:pStyle w:val="77"/>
        <w:numPr>
          <w:ilvl w:val="0"/>
          <w:numId w:val="0"/>
        </w:numPr>
        <w:spacing w:line="600" w:lineRule="exact"/>
        <w:ind w:firstLine="6090" w:firstLineChars="2900"/>
        <w:jc w:val="both"/>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合同编号：</w:t>
      </w:r>
    </w:p>
    <w:p>
      <w:pPr>
        <w:spacing w:line="540" w:lineRule="exact"/>
        <w:outlineLvl w:val="0"/>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甲方：</w:t>
      </w:r>
      <w:r>
        <w:rPr>
          <w:rFonts w:hint="eastAsia" w:ascii="宋体" w:hAnsi="宋体" w:eastAsia="宋体" w:cs="宋体"/>
          <w:b/>
          <w:bCs/>
          <w:color w:val="auto"/>
          <w:sz w:val="32"/>
          <w:szCs w:val="32"/>
          <w:u w:val="none"/>
          <w:lang w:val="en-US" w:eastAsia="zh-CN"/>
        </w:rPr>
        <w:t>岳阳城陵矶港务有限责任公司</w:t>
      </w:r>
      <w:r>
        <w:rPr>
          <w:rFonts w:hint="eastAsia" w:ascii="宋体" w:hAnsi="宋体" w:eastAsia="宋体" w:cs="宋体"/>
          <w:b/>
          <w:bCs/>
          <w:color w:val="auto"/>
          <w:sz w:val="32"/>
          <w:szCs w:val="32"/>
          <w:u w:val="none"/>
        </w:rPr>
        <w:t xml:space="preserve"> </w:t>
      </w:r>
    </w:p>
    <w:p>
      <w:pPr>
        <w:spacing w:line="540" w:lineRule="exact"/>
        <w:ind w:firstLine="0"/>
        <w:rPr>
          <w:rFonts w:hint="eastAsia" w:ascii="宋体" w:hAnsi="宋体" w:eastAsia="宋体" w:cs="宋体"/>
          <w:color w:val="auto"/>
          <w:sz w:val="30"/>
          <w:szCs w:val="30"/>
          <w:u w:val="none"/>
        </w:rPr>
      </w:pPr>
      <w:r>
        <w:rPr>
          <w:rFonts w:hint="eastAsia" w:ascii="宋体" w:hAnsi="宋体" w:eastAsia="宋体" w:cs="宋体"/>
          <w:b/>
          <w:bCs/>
          <w:color w:val="auto"/>
          <w:sz w:val="30"/>
          <w:szCs w:val="30"/>
          <w:u w:val="none"/>
        </w:rPr>
        <w:t>乙方：</w:t>
      </w:r>
      <w:r>
        <w:rPr>
          <w:rFonts w:hint="eastAsia" w:ascii="宋体" w:hAnsi="宋体" w:eastAsia="宋体" w:cs="宋体"/>
          <w:color w:val="auto"/>
          <w:sz w:val="30"/>
          <w:szCs w:val="30"/>
          <w:u w:val="none"/>
        </w:rPr>
        <w:t xml:space="preserve">                                                           </w:t>
      </w:r>
    </w:p>
    <w:p>
      <w:pPr>
        <w:numPr>
          <w:ilvl w:val="0"/>
          <w:numId w:val="6"/>
        </w:numPr>
        <w:spacing w:line="540" w:lineRule="exact"/>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lang w:val="en-US" w:eastAsia="zh-CN"/>
        </w:rPr>
        <w:t>采购内容</w:t>
      </w:r>
      <w:r>
        <w:rPr>
          <w:rFonts w:hint="eastAsia" w:ascii="宋体" w:hAnsi="宋体" w:cs="宋体"/>
          <w:color w:val="auto"/>
          <w:sz w:val="24"/>
          <w:highlight w:val="none"/>
          <w:lang w:val="en-US" w:eastAsia="zh-CN"/>
        </w:rPr>
        <w:t>：</w:t>
      </w:r>
      <w:r>
        <w:rPr>
          <w:rFonts w:hint="eastAsia" w:ascii="宋体" w:hAnsi="宋体" w:eastAsia="宋体" w:cs="宋体"/>
          <w:b w:val="0"/>
          <w:bCs w:val="0"/>
          <w:color w:val="auto"/>
          <w:sz w:val="24"/>
          <w:szCs w:val="24"/>
          <w:highlight w:val="none"/>
          <w:u w:val="none"/>
          <w:lang w:eastAsia="zh-CN"/>
        </w:rPr>
        <w:t>岳阳城陵矶港务有限责任公司</w:t>
      </w:r>
      <w:r>
        <w:rPr>
          <w:rFonts w:hint="eastAsia" w:ascii="宋体" w:hAnsi="宋体" w:cs="宋体"/>
          <w:b w:val="0"/>
          <w:bCs w:val="0"/>
          <w:color w:val="auto"/>
          <w:sz w:val="24"/>
          <w:szCs w:val="24"/>
          <w:highlight w:val="none"/>
          <w:u w:val="none"/>
          <w:lang w:val="en-US" w:eastAsia="zh-CN"/>
        </w:rPr>
        <w:t>铁运公司采购一套</w:t>
      </w:r>
      <w:r>
        <w:rPr>
          <w:rFonts w:hint="eastAsia" w:ascii="宋体" w:hAnsi="宋体" w:cs="宋体"/>
          <w:b w:val="0"/>
          <w:bCs w:val="0"/>
          <w:color w:val="auto"/>
          <w:sz w:val="24"/>
          <w:szCs w:val="24"/>
          <w:highlight w:val="none"/>
          <w:u w:val="none"/>
          <w:lang w:eastAsia="zh-CN"/>
        </w:rPr>
        <w:t>撬装式加油装置</w:t>
      </w:r>
    </w:p>
    <w:p>
      <w:pPr>
        <w:numPr>
          <w:ilvl w:val="0"/>
          <w:numId w:val="6"/>
        </w:numPr>
        <w:spacing w:line="540" w:lineRule="exact"/>
        <w:ind w:left="0" w:leftChars="0" w:firstLine="0" w:firstLineChars="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供货</w:t>
      </w:r>
      <w:r>
        <w:rPr>
          <w:rFonts w:hint="eastAsia" w:ascii="宋体" w:hAnsi="宋体" w:eastAsia="宋体" w:cs="宋体"/>
          <w:color w:val="auto"/>
          <w:sz w:val="24"/>
          <w:highlight w:val="none"/>
        </w:rPr>
        <w:t>期限:</w:t>
      </w:r>
      <w:r>
        <w:rPr>
          <w:rFonts w:hint="eastAsia" w:ascii="宋体" w:hAnsi="宋体" w:eastAsia="宋体" w:cs="宋体"/>
          <w:color w:val="auto"/>
          <w:sz w:val="24"/>
          <w:highlight w:val="none"/>
          <w:lang w:val="en-US" w:eastAsia="zh-CN"/>
        </w:rPr>
        <w:t>合同签订后，</w:t>
      </w:r>
      <w:r>
        <w:rPr>
          <w:rFonts w:hint="eastAsia" w:ascii="宋体" w:hAnsi="宋体" w:cs="宋体"/>
          <w:color w:val="auto"/>
          <w:sz w:val="24"/>
          <w:highlight w:val="none"/>
          <w:lang w:val="en-US" w:eastAsia="zh-CN"/>
        </w:rPr>
        <w:t>30个日历日内到货，</w:t>
      </w:r>
      <w:r>
        <w:rPr>
          <w:rFonts w:hint="eastAsia" w:ascii="宋体" w:hAnsi="宋体" w:eastAsia="宋体" w:cs="宋体"/>
          <w:color w:val="auto"/>
          <w:sz w:val="24"/>
          <w:highlight w:val="none"/>
        </w:rPr>
        <w:t>供应商应</w:t>
      </w:r>
      <w:r>
        <w:rPr>
          <w:rFonts w:hint="eastAsia" w:ascii="宋体" w:hAnsi="宋体" w:cs="宋体"/>
          <w:color w:val="auto"/>
          <w:sz w:val="24"/>
          <w:highlight w:val="none"/>
          <w:lang w:val="en-US" w:eastAsia="zh-CN"/>
        </w:rPr>
        <w:t>于到货后30个日历日内完成安装调试。</w:t>
      </w:r>
    </w:p>
    <w:p>
      <w:pPr>
        <w:pStyle w:val="2"/>
        <w:numPr>
          <w:ilvl w:val="0"/>
          <w:numId w:val="0"/>
        </w:numPr>
        <w:ind w:leftChars="0"/>
        <w:rPr>
          <w:rFonts w:hint="default"/>
          <w:lang w:val="en-US" w:eastAsia="zh-CN"/>
        </w:rPr>
      </w:pPr>
    </w:p>
    <w:p>
      <w:pPr>
        <w:adjustRightInd w:val="0"/>
        <w:snapToGrid w:val="0"/>
        <w:spacing w:line="360" w:lineRule="auto"/>
        <w:rPr>
          <w:rFonts w:hint="default" w:ascii="宋体" w:hAnsi="宋体" w:eastAsia="宋体" w:cs="宋体"/>
          <w:color w:val="auto"/>
          <w:sz w:val="24"/>
          <w:highlight w:val="none"/>
          <w:u w:val="none"/>
          <w:lang w:val="en-US" w:eastAsia="zh-CN"/>
        </w:rPr>
      </w:pPr>
      <w:r>
        <w:rPr>
          <w:rFonts w:hint="eastAsia" w:ascii="宋体" w:hAnsi="宋体" w:cs="宋体"/>
          <w:color w:val="auto"/>
          <w:sz w:val="24"/>
          <w:highlight w:val="none"/>
          <w:lang w:val="en-US" w:eastAsia="zh-CN"/>
        </w:rPr>
        <w:t>三、供货</w:t>
      </w:r>
      <w:r>
        <w:rPr>
          <w:rFonts w:hint="eastAsia" w:ascii="宋体" w:hAnsi="宋体" w:eastAsia="宋体" w:cs="宋体"/>
          <w:color w:val="auto"/>
          <w:sz w:val="24"/>
          <w:highlight w:val="none"/>
        </w:rPr>
        <w:t xml:space="preserve">地点: </w:t>
      </w:r>
      <w:r>
        <w:rPr>
          <w:rFonts w:hint="eastAsia" w:ascii="宋体" w:hAnsi="宋体" w:cs="宋体"/>
          <w:color w:val="auto"/>
          <w:sz w:val="24"/>
          <w:highlight w:val="none"/>
          <w:lang w:val="en-US" w:eastAsia="zh-CN"/>
        </w:rPr>
        <w:t>，</w:t>
      </w:r>
      <w:r>
        <w:rPr>
          <w:rFonts w:hint="eastAsia" w:ascii="宋体" w:hAnsi="宋体" w:eastAsia="宋体" w:cs="宋体"/>
          <w:color w:val="auto"/>
          <w:sz w:val="24"/>
        </w:rPr>
        <w:t>由</w:t>
      </w:r>
      <w:r>
        <w:rPr>
          <w:rFonts w:hint="eastAsia" w:ascii="宋体" w:hAnsi="宋体" w:eastAsia="宋体" w:cs="宋体"/>
          <w:color w:val="auto"/>
          <w:sz w:val="24"/>
          <w:lang w:eastAsia="zh-CN"/>
        </w:rPr>
        <w:t>乙方</w:t>
      </w:r>
      <w:r>
        <w:rPr>
          <w:rFonts w:hint="eastAsia" w:ascii="宋体" w:hAnsi="宋体" w:eastAsia="宋体" w:cs="宋体"/>
          <w:color w:val="auto"/>
          <w:sz w:val="24"/>
        </w:rPr>
        <w:t>负责运输到</w:t>
      </w:r>
      <w:r>
        <w:rPr>
          <w:rFonts w:hint="eastAsia" w:ascii="宋体" w:hAnsi="宋体" w:eastAsia="宋体" w:cs="宋体"/>
          <w:color w:val="auto"/>
          <w:sz w:val="24"/>
          <w:highlight w:val="none"/>
          <w:lang w:val="en-US" w:eastAsia="zh-CN"/>
        </w:rPr>
        <w:t>岳阳城陵矶</w:t>
      </w:r>
      <w:r>
        <w:rPr>
          <w:rFonts w:hint="eastAsia" w:ascii="宋体" w:hAnsi="宋体" w:eastAsia="宋体" w:cs="宋体"/>
          <w:color w:val="auto"/>
          <w:sz w:val="24"/>
          <w:highlight w:val="none"/>
          <w:u w:val="none"/>
          <w:lang w:val="en-US" w:eastAsia="zh-CN"/>
        </w:rPr>
        <w:t>港务有限责任公司</w:t>
      </w:r>
      <w:r>
        <w:rPr>
          <w:rFonts w:hint="eastAsia" w:ascii="宋体" w:hAnsi="宋体" w:cs="宋体"/>
          <w:color w:val="auto"/>
          <w:sz w:val="24"/>
          <w:highlight w:val="none"/>
          <w:u w:val="none"/>
          <w:lang w:val="en-US" w:eastAsia="zh-CN"/>
        </w:rPr>
        <w:t>铁运公司</w:t>
      </w:r>
      <w:r>
        <w:rPr>
          <w:rFonts w:hint="eastAsia" w:ascii="宋体" w:hAnsi="宋体" w:cs="宋体"/>
          <w:color w:val="auto"/>
          <w:sz w:val="24"/>
          <w:u w:val="none"/>
          <w:lang w:val="en-US" w:eastAsia="zh-CN"/>
        </w:rPr>
        <w:t>指定位置</w:t>
      </w:r>
      <w:r>
        <w:rPr>
          <w:rFonts w:hint="eastAsia" w:ascii="宋体" w:hAnsi="宋体" w:eastAsia="宋体" w:cs="宋体"/>
          <w:color w:val="auto"/>
          <w:sz w:val="24"/>
          <w:u w:val="none"/>
        </w:rPr>
        <w:t>，签收人：</w:t>
      </w:r>
      <w:r>
        <w:rPr>
          <w:rFonts w:hint="eastAsia" w:ascii="宋体" w:hAnsi="宋体" w:cs="宋体"/>
          <w:color w:val="auto"/>
          <w:sz w:val="24"/>
          <w:u w:val="none"/>
          <w:lang w:val="en-US" w:eastAsia="zh-CN"/>
        </w:rPr>
        <w:t>吴勇</w:t>
      </w:r>
      <w:r>
        <w:rPr>
          <w:rFonts w:hint="eastAsia" w:ascii="宋体" w:hAnsi="宋体" w:eastAsia="宋体" w:cs="宋体"/>
          <w:color w:val="auto"/>
          <w:sz w:val="24"/>
          <w:u w:val="none"/>
        </w:rPr>
        <w:t>。联系电话：</w:t>
      </w:r>
      <w:r>
        <w:rPr>
          <w:rFonts w:hint="eastAsia" w:ascii="宋体" w:hAnsi="宋体" w:cs="宋体"/>
          <w:color w:val="auto"/>
          <w:sz w:val="24"/>
          <w:u w:val="none"/>
          <w:lang w:val="en-US" w:eastAsia="zh-CN"/>
        </w:rPr>
        <w:t>13575080101</w:t>
      </w:r>
      <w:r>
        <w:rPr>
          <w:rFonts w:hint="eastAsia" w:ascii="宋体" w:hAnsi="宋体" w:eastAsia="宋体" w:cs="宋体"/>
          <w:color w:val="auto"/>
          <w:sz w:val="24"/>
          <w:u w:val="none"/>
        </w:rPr>
        <w:t>。</w:t>
      </w:r>
    </w:p>
    <w:p>
      <w:pPr>
        <w:spacing w:line="540" w:lineRule="exac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质量要求或服务标准:</w:t>
      </w:r>
    </w:p>
    <w:p>
      <w:pPr>
        <w:spacing w:line="540" w:lineRule="exact"/>
        <w:ind w:firstLine="6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技术要求：</w:t>
      </w:r>
      <w:r>
        <w:rPr>
          <w:rFonts w:hint="eastAsia" w:ascii="宋体" w:hAnsi="宋体" w:eastAsia="宋体" w:cs="宋体"/>
          <w:color w:val="auto"/>
          <w:sz w:val="24"/>
          <w:highlight w:val="none"/>
          <w:lang w:val="en-US" w:eastAsia="zh-CN"/>
        </w:rPr>
        <w:t>产品和安装服务应符合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阻隔防爆撬装式加油（气）装置技术要求》（AQ/T3002-2021)、</w:t>
      </w:r>
      <w:r>
        <w:rPr>
          <w:rFonts w:hint="eastAsia" w:ascii="宋体" w:hAnsi="宋体" w:eastAsia="宋体" w:cs="宋体"/>
          <w:color w:val="auto"/>
          <w:sz w:val="24"/>
          <w:highlight w:val="none"/>
          <w:lang w:eastAsia="zh-CN"/>
        </w:rPr>
        <w:t>《采用撬装式加油装置的汽车加油站技术规范》</w:t>
      </w:r>
      <w:r>
        <w:rPr>
          <w:rFonts w:hint="eastAsia" w:ascii="宋体" w:hAnsi="宋体" w:eastAsia="宋体" w:cs="宋体"/>
          <w:color w:val="auto"/>
          <w:sz w:val="24"/>
          <w:highlight w:val="none"/>
          <w:lang w:val="en-US" w:eastAsia="zh-CN"/>
        </w:rPr>
        <w:t>(SH/T3414-20</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《汽车加油加气加氢站技术标准》</w:t>
      </w:r>
      <w:r>
        <w:rPr>
          <w:rFonts w:hint="eastAsia" w:ascii="宋体" w:hAnsi="宋体" w:eastAsia="宋体" w:cs="宋体"/>
          <w:color w:val="auto"/>
          <w:sz w:val="24"/>
          <w:highlight w:val="none"/>
          <w:lang w:val="en-US" w:eastAsia="zh-CN"/>
        </w:rPr>
        <w:t>(GB50156-2021）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钢制焊接常压容器》（NB/T47003.1-2009)等技术标准要求</w:t>
      </w:r>
      <w:r>
        <w:rPr>
          <w:rFonts w:hint="eastAsia" w:ascii="宋体" w:hAnsi="宋体" w:eastAsia="宋体" w:cs="宋体"/>
          <w:color w:val="auto"/>
          <w:sz w:val="24"/>
          <w:highlight w:val="none"/>
          <w:lang w:eastAsia="zh-CN"/>
        </w:rPr>
        <w:t>。</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2、产品应具备以下检测（验）文件：</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加油装置</w:t>
      </w:r>
      <w:r>
        <w:rPr>
          <w:rFonts w:hint="eastAsia" w:ascii="宋体" w:hAnsi="宋体" w:eastAsia="宋体" w:cs="宋体"/>
          <w:color w:val="auto"/>
          <w:sz w:val="24"/>
          <w:highlight w:val="none"/>
          <w:lang w:val="en-US" w:eastAsia="zh-CN"/>
        </w:rPr>
        <w:t>应由具备资质的第三方检测机构出具的检验</w:t>
      </w:r>
      <w:r>
        <w:rPr>
          <w:rFonts w:hint="eastAsia" w:ascii="宋体" w:hAnsi="宋体" w:eastAsia="宋体" w:cs="宋体"/>
          <w:color w:val="auto"/>
          <w:sz w:val="24"/>
          <w:highlight w:val="none"/>
          <w:lang w:eastAsia="zh-CN"/>
        </w:rPr>
        <w:t>报告，</w:t>
      </w:r>
      <w:r>
        <w:rPr>
          <w:rFonts w:hint="eastAsia" w:ascii="宋体" w:hAnsi="宋体" w:eastAsia="宋体" w:cs="宋体"/>
          <w:color w:val="auto"/>
          <w:sz w:val="24"/>
          <w:highlight w:val="none"/>
          <w:lang w:val="en-US" w:eastAsia="zh-CN"/>
        </w:rPr>
        <w:t>报告的检验依据应包括本款第1条“技术要求”的标准；</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装置的电气部分应由具备资质的第三方检测机构出具的检验</w:t>
      </w:r>
      <w:r>
        <w:rPr>
          <w:rFonts w:hint="eastAsia" w:ascii="宋体" w:hAnsi="宋体" w:eastAsia="宋体" w:cs="宋体"/>
          <w:color w:val="auto"/>
          <w:sz w:val="24"/>
          <w:highlight w:val="none"/>
          <w:lang w:eastAsia="zh-CN"/>
        </w:rPr>
        <w:t>报告，</w:t>
      </w:r>
      <w:r>
        <w:rPr>
          <w:rFonts w:hint="eastAsia" w:ascii="宋体" w:hAnsi="宋体" w:eastAsia="宋体" w:cs="宋体"/>
          <w:color w:val="auto"/>
          <w:sz w:val="24"/>
          <w:highlight w:val="none"/>
          <w:lang w:val="en-US" w:eastAsia="zh-CN"/>
        </w:rPr>
        <w:t>报告的检验依据应包括《阻隔防爆撬装式加油（气）装置技术要求》（AQ/T3002-2021)、</w:t>
      </w:r>
      <w:r>
        <w:rPr>
          <w:rFonts w:hint="eastAsia" w:ascii="宋体" w:hAnsi="宋体" w:eastAsia="宋体" w:cs="宋体"/>
          <w:color w:val="auto"/>
          <w:sz w:val="24"/>
          <w:highlight w:val="none"/>
          <w:lang w:eastAsia="zh-CN"/>
        </w:rPr>
        <w:t>《汽车加油加气加氢站技术标准》</w:t>
      </w:r>
      <w:r>
        <w:rPr>
          <w:rFonts w:hint="eastAsia" w:ascii="宋体" w:hAnsi="宋体" w:eastAsia="宋体" w:cs="宋体"/>
          <w:color w:val="auto"/>
          <w:sz w:val="24"/>
          <w:highlight w:val="none"/>
          <w:lang w:val="en-US" w:eastAsia="zh-CN"/>
        </w:rPr>
        <w:t>(GB50156-2021）等标准；</w:t>
      </w:r>
    </w:p>
    <w:p>
      <w:pPr>
        <w:spacing w:line="540" w:lineRule="exact"/>
        <w:ind w:firstLine="480" w:firstLineChars="200"/>
        <w:rPr>
          <w:rFonts w:hint="default"/>
          <w:color w:val="auto"/>
          <w:lang w:val="en-US" w:eastAsia="zh-CN"/>
        </w:rPr>
      </w:pPr>
      <w:r>
        <w:rPr>
          <w:rFonts w:hint="eastAsia" w:ascii="宋体" w:hAnsi="宋体" w:eastAsia="宋体" w:cs="宋体"/>
          <w:color w:val="auto"/>
          <w:sz w:val="24"/>
          <w:highlight w:val="none"/>
          <w:lang w:val="en-US" w:eastAsia="zh-CN"/>
        </w:rPr>
        <w:t>装置的阻隔防爆材料应由具备资质的第三方检测机构出具的检验</w:t>
      </w:r>
      <w:r>
        <w:rPr>
          <w:rFonts w:hint="eastAsia" w:ascii="宋体" w:hAnsi="宋体" w:eastAsia="宋体" w:cs="宋体"/>
          <w:color w:val="auto"/>
          <w:sz w:val="24"/>
          <w:highlight w:val="none"/>
          <w:lang w:eastAsia="zh-CN"/>
        </w:rPr>
        <w:t>报告，</w:t>
      </w:r>
      <w:r>
        <w:rPr>
          <w:rFonts w:hint="eastAsia" w:ascii="宋体" w:hAnsi="宋体" w:eastAsia="宋体" w:cs="宋体"/>
          <w:color w:val="auto"/>
          <w:sz w:val="24"/>
          <w:highlight w:val="none"/>
          <w:lang w:val="en-US" w:eastAsia="zh-CN"/>
        </w:rPr>
        <w:t>报告的检验依据应包括《加油（气）站油（气）储存罐体阻隔防爆技术要求》（AQ/T3001-2021)标准；</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加油装置的安全设施及外观均要求按《</w:t>
      </w:r>
      <w:r>
        <w:rPr>
          <w:rFonts w:hint="eastAsia" w:ascii="宋体" w:hAnsi="宋体" w:eastAsia="宋体" w:cs="宋体"/>
          <w:color w:val="auto"/>
          <w:sz w:val="24"/>
          <w:highlight w:val="none"/>
          <w:lang w:val="en-US" w:eastAsia="zh-CN"/>
        </w:rPr>
        <w:t>阻隔防爆撬装式加油（气）装置技术要求》（AQ/T3002-2021)</w:t>
      </w:r>
      <w:r>
        <w:rPr>
          <w:rFonts w:hint="eastAsia" w:ascii="宋体" w:hAnsi="宋体" w:eastAsia="宋体" w:cs="宋体"/>
          <w:color w:val="auto"/>
          <w:sz w:val="24"/>
          <w:highlight w:val="none"/>
          <w:lang w:eastAsia="zh-CN"/>
        </w:rPr>
        <w:t>配置（包含：阻隔防爆材料、智能管理系统、防爆配电系统、油气监控系统、紧急切断装置、防爆灯装置、智能接地 静电报警器</w:t>
      </w:r>
      <w:r>
        <w:rPr>
          <w:rFonts w:hint="eastAsia" w:ascii="宋体" w:hAnsi="宋体" w:eastAsia="宋体" w:cs="宋体"/>
          <w:color w:val="auto"/>
          <w:sz w:val="24"/>
          <w:highlight w:val="none"/>
          <w:lang w:val="en-US" w:eastAsia="zh-CN"/>
        </w:rPr>
        <w:t>装置、悬挂式自动灭火装置、防爆呼吸阀装置、人孔盖装置、液位仪装置、卷帘门、高油位报警器、安全防护装置等）。</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4、质量要求及售后服务：质保期壹年，质保期内非人为损坏免费维修更换，并免费提供可靠适用的配件备用。</w:t>
      </w:r>
    </w:p>
    <w:p>
      <w:pPr>
        <w:spacing w:line="360" w:lineRule="auto"/>
        <w:rPr>
          <w:rFonts w:hint="eastAsia" w:ascii="宋体" w:hAnsi="宋体" w:eastAsia="宋体" w:cs="宋体"/>
          <w:bCs/>
          <w:color w:val="auto"/>
          <w:sz w:val="24"/>
          <w:u w:val="single"/>
        </w:rPr>
      </w:pPr>
      <w:r>
        <w:rPr>
          <w:rFonts w:hint="eastAsia" w:ascii="宋体" w:hAnsi="宋体" w:eastAsia="宋体" w:cs="宋体"/>
          <w:b/>
          <w:bCs/>
          <w:color w:val="auto"/>
          <w:sz w:val="24"/>
        </w:rPr>
        <w:t>五、产品的包装标准、包装物的供应与回收：</w:t>
      </w:r>
      <w:r>
        <w:rPr>
          <w:rFonts w:hint="eastAsia" w:ascii="宋体" w:hAnsi="宋体" w:eastAsia="宋体" w:cs="宋体"/>
          <w:bCs/>
          <w:color w:val="auto"/>
          <w:sz w:val="24"/>
        </w:rPr>
        <w:t>中性包装、不回收 。</w:t>
      </w:r>
    </w:p>
    <w:p>
      <w:pPr>
        <w:adjustRightInd w:val="0"/>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rPr>
        <w:t>六、供应要求：</w:t>
      </w:r>
      <w:r>
        <w:rPr>
          <w:rFonts w:hint="eastAsia" w:ascii="宋体" w:hAnsi="宋体" w:eastAsia="宋体" w:cs="宋体"/>
          <w:color w:val="auto"/>
          <w:sz w:val="24"/>
          <w:highlight w:val="none"/>
          <w:lang w:val="en-US" w:eastAsia="zh-CN"/>
        </w:rPr>
        <w:t>乙方提供的产品应包括维护使用培训服务；乙方负责所有产品的安装工作，安装时如涉及高空作业、临水作业、机械配合等事项，乙方应保证照齐全、证持证上岗，严格遵守安全操作规程。</w:t>
      </w:r>
    </w:p>
    <w:p>
      <w:pPr>
        <w:spacing w:line="360" w:lineRule="auto"/>
        <w:rPr>
          <w:rFonts w:hint="eastAsia" w:ascii="宋体" w:hAnsi="宋体" w:eastAsia="宋体" w:cs="宋体"/>
          <w:bCs/>
          <w:color w:val="auto"/>
          <w:sz w:val="24"/>
        </w:rPr>
      </w:pPr>
      <w:r>
        <w:rPr>
          <w:rFonts w:hint="eastAsia" w:ascii="宋体" w:hAnsi="宋体" w:eastAsia="宋体" w:cs="宋体"/>
          <w:b/>
          <w:bCs/>
          <w:color w:val="auto"/>
          <w:sz w:val="24"/>
        </w:rPr>
        <w:t>七、合理损耗及计算方法：</w:t>
      </w:r>
      <w:r>
        <w:rPr>
          <w:rFonts w:hint="eastAsia" w:ascii="宋体" w:hAnsi="宋体" w:eastAsia="宋体" w:cs="宋体"/>
          <w:bCs/>
          <w:color w:val="auto"/>
          <w:sz w:val="24"/>
        </w:rPr>
        <w:t>本产品正常情况下无损耗。如在验收前发生货损均由</w:t>
      </w:r>
      <w:r>
        <w:rPr>
          <w:rFonts w:hint="eastAsia" w:ascii="宋体" w:hAnsi="宋体" w:eastAsia="宋体" w:cs="宋体"/>
          <w:bCs/>
          <w:color w:val="auto"/>
          <w:sz w:val="24"/>
          <w:lang w:eastAsia="zh-CN"/>
        </w:rPr>
        <w:t>乙方</w:t>
      </w:r>
      <w:r>
        <w:rPr>
          <w:rFonts w:hint="eastAsia" w:ascii="宋体" w:hAnsi="宋体" w:eastAsia="宋体" w:cs="宋体"/>
          <w:bCs/>
          <w:color w:val="auto"/>
          <w:sz w:val="24"/>
        </w:rPr>
        <w:t>负责。</w:t>
      </w:r>
    </w:p>
    <w:p>
      <w:pPr>
        <w:adjustRightInd w:val="0"/>
        <w:snapToGrid w:val="0"/>
        <w:spacing w:line="360" w:lineRule="auto"/>
        <w:rPr>
          <w:rFonts w:hint="eastAsia" w:ascii="宋体" w:hAnsi="宋体" w:eastAsia="宋体" w:cs="宋体"/>
          <w:bCs/>
          <w:color w:val="auto"/>
          <w:sz w:val="24"/>
        </w:rPr>
      </w:pPr>
      <w:r>
        <w:rPr>
          <w:rFonts w:hint="eastAsia" w:ascii="宋体" w:hAnsi="宋体" w:eastAsia="宋体" w:cs="宋体"/>
          <w:b/>
          <w:bCs/>
          <w:color w:val="auto"/>
          <w:sz w:val="24"/>
        </w:rPr>
        <w:t>八、验收：</w:t>
      </w:r>
      <w:r>
        <w:rPr>
          <w:rFonts w:hint="eastAsia" w:ascii="宋体" w:hAnsi="宋体" w:eastAsia="宋体" w:cs="宋体"/>
          <w:color w:val="auto"/>
          <w:sz w:val="24"/>
          <w:lang w:eastAsia="zh-CN"/>
        </w:rPr>
        <w:t>乙方</w:t>
      </w:r>
      <w:r>
        <w:rPr>
          <w:rFonts w:hint="eastAsia" w:ascii="宋体" w:hAnsi="宋体" w:eastAsia="宋体" w:cs="宋体"/>
          <w:color w:val="auto"/>
          <w:sz w:val="24"/>
        </w:rPr>
        <w:t>提供产品</w:t>
      </w:r>
      <w:r>
        <w:rPr>
          <w:rFonts w:hint="eastAsia" w:ascii="宋体" w:hAnsi="宋体" w:eastAsia="宋体" w:cs="宋体"/>
          <w:color w:val="auto"/>
          <w:sz w:val="24"/>
          <w:lang w:val="en-US" w:eastAsia="zh-CN"/>
        </w:rPr>
        <w:t>材料</w:t>
      </w:r>
      <w:r>
        <w:rPr>
          <w:rFonts w:hint="eastAsia" w:ascii="宋体" w:hAnsi="宋体" w:eastAsia="宋体" w:cs="宋体"/>
          <w:color w:val="auto"/>
          <w:sz w:val="24"/>
        </w:rPr>
        <w:t>合格证</w:t>
      </w:r>
      <w:r>
        <w:rPr>
          <w:rFonts w:hint="eastAsia" w:ascii="宋体" w:hAnsi="宋体" w:eastAsia="宋体" w:cs="宋体"/>
          <w:color w:val="auto"/>
          <w:sz w:val="24"/>
          <w:lang w:eastAsia="zh-CN"/>
        </w:rPr>
        <w:t>、</w:t>
      </w:r>
      <w:r>
        <w:rPr>
          <w:rFonts w:hint="eastAsia" w:ascii="宋体" w:hAnsi="宋体" w:eastAsia="宋体" w:cs="宋体"/>
          <w:bCs/>
          <w:color w:val="auto"/>
          <w:sz w:val="24"/>
        </w:rPr>
        <w:t>检测报告、说明书</w:t>
      </w:r>
      <w:r>
        <w:rPr>
          <w:rFonts w:hint="eastAsia" w:ascii="宋体" w:hAnsi="宋体" w:eastAsia="宋体" w:cs="宋体"/>
          <w:color w:val="auto"/>
          <w:sz w:val="24"/>
        </w:rPr>
        <w:t>等</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安装</w:t>
      </w:r>
      <w:r>
        <w:rPr>
          <w:rFonts w:hint="eastAsia" w:ascii="宋体" w:hAnsi="宋体" w:cs="宋体"/>
          <w:color w:val="auto"/>
          <w:sz w:val="24"/>
          <w:lang w:val="en-US" w:eastAsia="zh-CN"/>
        </w:rPr>
        <w:t>试运用</w:t>
      </w:r>
      <w:r>
        <w:rPr>
          <w:rFonts w:hint="eastAsia" w:ascii="宋体" w:hAnsi="宋体" w:eastAsia="宋体" w:cs="宋体"/>
          <w:color w:val="auto"/>
          <w:sz w:val="24"/>
          <w:lang w:val="en-US" w:eastAsia="zh-CN"/>
        </w:rPr>
        <w:t>效果</w:t>
      </w:r>
      <w:r>
        <w:rPr>
          <w:rFonts w:hint="eastAsia" w:ascii="宋体" w:hAnsi="宋体" w:eastAsia="宋体" w:cs="宋体"/>
          <w:color w:val="auto"/>
          <w:sz w:val="24"/>
        </w:rPr>
        <w:t>正常后，卖买双方验收并签字确认。</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rPr>
        <w:t>九、付款方式及期限：</w:t>
      </w:r>
      <w:r>
        <w:rPr>
          <w:rFonts w:hint="eastAsia" w:ascii="宋体" w:hAnsi="宋体" w:eastAsia="宋体" w:cs="宋体"/>
          <w:color w:val="auto"/>
          <w:sz w:val="24"/>
          <w:highlight w:val="none"/>
          <w:lang w:val="en-US" w:eastAsia="zh-CN"/>
        </w:rPr>
        <w:t>1、该项目预付30%项目款，合同签订后7日内支付。2、验收合格后7日内付至项目款的95% ，(人民币): ？？元，大写：？万零叁佰元整; 余款5%款项（人民币）：？？元留作质保金，无质量问题验收合格之日起一年后5个工作日内无息付清。所有付款流程均需要乙方先提供合法有效等额的增值税专用发票给甲方后 给予支付相应款项；如因为乙方开票并提供不及时，导致的付款时间延后，所有责任和后果均由乙方自行承担，且不视为甲方违约。3、付款方式优先采用承兑汇票，如无合适的汇票则采用银行转账方式。</w:t>
      </w:r>
    </w:p>
    <w:p>
      <w:pPr>
        <w:spacing w:line="360" w:lineRule="auto"/>
        <w:rPr>
          <w:rFonts w:hint="eastAsia" w:ascii="宋体" w:hAnsi="宋体" w:eastAsia="宋体" w:cs="宋体"/>
          <w:color w:val="auto"/>
          <w:sz w:val="24"/>
        </w:rPr>
      </w:pPr>
      <w:r>
        <w:rPr>
          <w:rFonts w:hint="eastAsia" w:ascii="宋体" w:hAnsi="宋体" w:eastAsia="宋体" w:cs="宋体"/>
          <w:b/>
          <w:bCs/>
          <w:color w:val="auto"/>
          <w:sz w:val="24"/>
        </w:rPr>
        <w:t>十、标的物所有权：</w:t>
      </w:r>
      <w:r>
        <w:rPr>
          <w:rFonts w:hint="eastAsia" w:ascii="宋体" w:hAnsi="宋体" w:eastAsia="宋体" w:cs="宋体"/>
          <w:color w:val="auto"/>
          <w:sz w:val="24"/>
        </w:rPr>
        <w:t>自甲乙双方合同生效日开始，甲方付清总货款的9</w:t>
      </w:r>
      <w:r>
        <w:rPr>
          <w:rFonts w:hint="eastAsia" w:ascii="宋体" w:hAnsi="宋体" w:eastAsia="宋体" w:cs="宋体"/>
          <w:color w:val="auto"/>
          <w:sz w:val="24"/>
          <w:lang w:val="en-US" w:eastAsia="zh-CN"/>
        </w:rPr>
        <w:t>5</w:t>
      </w:r>
      <w:r>
        <w:rPr>
          <w:rFonts w:hint="eastAsia" w:ascii="宋体" w:hAnsi="宋体" w:eastAsia="宋体" w:cs="宋体"/>
          <w:color w:val="auto"/>
          <w:sz w:val="24"/>
        </w:rPr>
        <w:t>%之日起转移，产品所有权属于甲方所有。</w:t>
      </w:r>
    </w:p>
    <w:p>
      <w:pPr>
        <w:spacing w:line="360" w:lineRule="auto"/>
        <w:rPr>
          <w:rFonts w:hint="eastAsia" w:ascii="宋体" w:hAnsi="宋体" w:eastAsia="宋体" w:cs="宋体"/>
          <w:color w:val="auto"/>
          <w:sz w:val="24"/>
          <w:lang w:val="en-US" w:eastAsia="zh-CN"/>
        </w:rPr>
      </w:pPr>
      <w:r>
        <w:rPr>
          <w:rFonts w:hint="eastAsia" w:ascii="宋体" w:hAnsi="宋体" w:eastAsia="宋体" w:cs="宋体"/>
          <w:b/>
          <w:bCs/>
          <w:color w:val="auto"/>
          <w:sz w:val="24"/>
        </w:rPr>
        <w:t>十一、违约责任：</w:t>
      </w:r>
      <w:r>
        <w:rPr>
          <w:rFonts w:hint="eastAsia" w:ascii="宋体" w:hAnsi="宋体" w:eastAsia="宋体" w:cs="宋体"/>
          <w:color w:val="auto"/>
          <w:sz w:val="24"/>
        </w:rPr>
        <w:t>1、乙方延期交货的，每延期一日按照合同</w:t>
      </w:r>
      <w:r>
        <w:rPr>
          <w:rFonts w:hint="eastAsia" w:ascii="宋体" w:hAnsi="宋体" w:eastAsia="宋体" w:cs="宋体"/>
          <w:color w:val="auto"/>
          <w:sz w:val="24"/>
          <w:lang w:eastAsia="zh-CN"/>
        </w:rPr>
        <w:t>已收</w:t>
      </w:r>
      <w:r>
        <w:rPr>
          <w:rFonts w:hint="eastAsia" w:ascii="宋体" w:hAnsi="宋体" w:eastAsia="宋体" w:cs="宋体"/>
          <w:color w:val="auto"/>
          <w:sz w:val="24"/>
        </w:rPr>
        <w:t>价款的千分之五承担违约责任，违约金总额不超过合同总价款的百分之五；延期交货日超过15日，甲方有权单方面解决合同，乙方需承担延期造成的相应损失（以甲方核算的实际损失为准）。</w:t>
      </w:r>
      <w:r>
        <w:rPr>
          <w:rFonts w:hint="eastAsia" w:ascii="宋体" w:hAnsi="宋体" w:eastAsia="宋体" w:cs="宋体"/>
          <w:color w:val="auto"/>
          <w:sz w:val="24"/>
          <w:lang w:val="en-US" w:eastAsia="zh-CN"/>
        </w:rPr>
        <w:t>2</w:t>
      </w:r>
      <w:r>
        <w:rPr>
          <w:rFonts w:hint="eastAsia" w:ascii="宋体" w:hAnsi="宋体" w:eastAsia="宋体" w:cs="宋体"/>
          <w:color w:val="auto"/>
          <w:sz w:val="24"/>
        </w:rPr>
        <w:t>、产品质量瑕疵的违约责任：在质量保证期内，产品如有质量问题，乙方在接到</w:t>
      </w:r>
      <w:r>
        <w:rPr>
          <w:rFonts w:hint="eastAsia" w:ascii="宋体" w:hAnsi="宋体" w:eastAsia="宋体" w:cs="宋体"/>
          <w:color w:val="auto"/>
          <w:sz w:val="24"/>
          <w:lang w:eastAsia="zh-CN"/>
        </w:rPr>
        <w:t>甲方</w:t>
      </w:r>
      <w:r>
        <w:rPr>
          <w:rFonts w:hint="eastAsia" w:ascii="宋体" w:hAnsi="宋体" w:eastAsia="宋体" w:cs="宋体"/>
          <w:color w:val="auto"/>
          <w:sz w:val="24"/>
        </w:rPr>
        <w:t>通知后12小时内到达现场，对其提供质量包换服务，并赔偿甲方因此造成的直接损失。</w:t>
      </w:r>
      <w:r>
        <w:rPr>
          <w:rFonts w:hint="eastAsia" w:ascii="宋体" w:hAnsi="宋体" w:eastAsia="宋体" w:cs="宋体"/>
          <w:color w:val="auto"/>
          <w:sz w:val="24"/>
          <w:lang w:val="en-US" w:eastAsia="zh-CN"/>
        </w:rPr>
        <w:t>3</w:t>
      </w:r>
      <w:r>
        <w:rPr>
          <w:rFonts w:hint="eastAsia" w:ascii="宋体" w:hAnsi="宋体" w:eastAsia="宋体" w:cs="宋体"/>
          <w:color w:val="auto"/>
          <w:sz w:val="24"/>
        </w:rPr>
        <w:t>、如供应的产品有</w:t>
      </w:r>
      <w:r>
        <w:rPr>
          <w:rFonts w:hint="eastAsia" w:ascii="宋体" w:hAnsi="宋体" w:cs="宋体"/>
          <w:color w:val="auto"/>
          <w:sz w:val="24"/>
          <w:lang w:val="en-US" w:eastAsia="zh-CN"/>
        </w:rPr>
        <w:t>不符合约定的技术要求、</w:t>
      </w:r>
      <w:r>
        <w:rPr>
          <w:rFonts w:hint="eastAsia" w:ascii="宋体" w:hAnsi="宋体" w:eastAsia="宋体" w:cs="宋体"/>
          <w:color w:val="auto"/>
          <w:sz w:val="24"/>
        </w:rPr>
        <w:t>以次充好、伪造、仿冒的情形，乙方应无条件退货，并赔偿甲方因此造成的直接损失；如乙方为供货前明知或应知该情形的，甲方可处以货物总价</w:t>
      </w:r>
      <w:r>
        <w:rPr>
          <w:rFonts w:hint="eastAsia" w:ascii="宋体" w:hAnsi="宋体" w:eastAsia="宋体" w:cs="宋体"/>
          <w:color w:val="auto"/>
          <w:sz w:val="24"/>
          <w:lang w:val="en-US" w:eastAsia="zh-CN"/>
        </w:rPr>
        <w:t>5</w:t>
      </w:r>
      <w:r>
        <w:rPr>
          <w:rFonts w:hint="eastAsia" w:ascii="宋体" w:hAnsi="宋体" w:eastAsia="宋体" w:cs="宋体"/>
          <w:color w:val="auto"/>
          <w:sz w:val="24"/>
        </w:rPr>
        <w:t>0%以下的罚款，并保留进一步追诉的权利。</w:t>
      </w:r>
      <w:r>
        <w:rPr>
          <w:rFonts w:hint="eastAsia" w:ascii="宋体" w:hAnsi="宋体" w:eastAsia="宋体" w:cs="宋体"/>
          <w:color w:val="auto"/>
          <w:sz w:val="24"/>
          <w:lang w:val="en-US" w:eastAsia="zh-CN"/>
        </w:rPr>
        <w:t>4、甲方不按期支付货款，每延期一日按照合同未付款的千分之五</w:t>
      </w:r>
      <w:r>
        <w:rPr>
          <w:rFonts w:hint="eastAsia" w:ascii="宋体" w:hAnsi="宋体" w:eastAsia="宋体" w:cs="宋体"/>
          <w:color w:val="auto"/>
          <w:sz w:val="24"/>
        </w:rPr>
        <w:t>承担违约责任，违约金总额不超过合同总价款的百分之五</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5、单方无故解除合同则构成根本违约，违约方应另外按照合同总价款的30%支付违约金给守约方，并承担守约方其他损失，其中包含误工费、诉讼费、律师费、车程费、鉴定费等。</w:t>
      </w:r>
    </w:p>
    <w:p>
      <w:pPr>
        <w:spacing w:line="360" w:lineRule="auto"/>
        <w:rPr>
          <w:rFonts w:hint="eastAsia" w:ascii="宋体" w:hAnsi="宋体" w:eastAsia="宋体" w:cs="宋体"/>
          <w:color w:val="auto"/>
          <w:sz w:val="24"/>
          <w:u w:val="single"/>
        </w:rPr>
      </w:pPr>
      <w:r>
        <w:rPr>
          <w:rFonts w:hint="eastAsia" w:ascii="宋体" w:hAnsi="宋体" w:eastAsia="宋体" w:cs="宋体"/>
          <w:b/>
          <w:bCs/>
          <w:color w:val="auto"/>
          <w:sz w:val="24"/>
        </w:rPr>
        <w:t>十二、解决合同纠纷的方式：</w:t>
      </w:r>
      <w:r>
        <w:rPr>
          <w:rFonts w:hint="eastAsia" w:ascii="宋体" w:hAnsi="宋体" w:eastAsia="宋体" w:cs="宋体"/>
          <w:color w:val="auto"/>
          <w:sz w:val="24"/>
        </w:rPr>
        <w:t>因本合同的签订或履行发生争议的，双方应友好协商解决，协商不成的，向</w:t>
      </w:r>
      <w:r>
        <w:rPr>
          <w:rFonts w:hint="eastAsia" w:ascii="宋体" w:hAnsi="宋体" w:cs="宋体"/>
          <w:color w:val="auto"/>
          <w:sz w:val="24"/>
          <w:lang w:eastAsia="zh-CN"/>
        </w:rPr>
        <w:t>采购方所在地</w:t>
      </w:r>
      <w:r>
        <w:rPr>
          <w:rFonts w:hint="eastAsia" w:ascii="宋体" w:hAnsi="宋体" w:eastAsia="宋体" w:cs="宋体"/>
          <w:color w:val="auto"/>
          <w:sz w:val="24"/>
        </w:rPr>
        <w:t>的法院起诉，通过诉讼方式解决争议。</w:t>
      </w:r>
    </w:p>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十三、其它约定事项：</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1、本合同经双方签字盖章生效，一式四份，双方各执两份。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2、本合同所附技术协议与本合同具有相同法律效力。</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3、交货期自</w:t>
      </w:r>
      <w:r>
        <w:rPr>
          <w:rFonts w:hint="eastAsia" w:ascii="宋体" w:hAnsi="宋体" w:eastAsia="宋体" w:cs="宋体"/>
          <w:color w:val="auto"/>
          <w:sz w:val="24"/>
          <w:lang w:eastAsia="zh-CN"/>
        </w:rPr>
        <w:t>收到预付款之</w:t>
      </w:r>
      <w:r>
        <w:rPr>
          <w:rFonts w:hint="eastAsia" w:ascii="宋体" w:hAnsi="宋体" w:eastAsia="宋体" w:cs="宋体"/>
          <w:color w:val="auto"/>
          <w:sz w:val="24"/>
        </w:rPr>
        <w:t>日起开始计算。</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4、乙方拥有合同内产品的对外宣传权。</w:t>
      </w:r>
    </w:p>
    <w:p>
      <w:pPr>
        <w:spacing w:line="360" w:lineRule="auto"/>
        <w:rPr>
          <w:rFonts w:hint="eastAsia" w:ascii="宋体" w:hAnsi="宋体" w:eastAsia="宋体" w:cs="宋体"/>
          <w:b/>
          <w:color w:val="auto"/>
          <w:sz w:val="36"/>
          <w:szCs w:val="36"/>
          <w:highlight w:val="none"/>
          <w:lang w:val="en-US" w:eastAsia="zh-CN"/>
        </w:rPr>
      </w:pPr>
      <w:r>
        <w:rPr>
          <w:rFonts w:hint="eastAsia" w:ascii="宋体" w:hAnsi="宋体" w:eastAsia="宋体" w:cs="宋体"/>
          <w:color w:val="auto"/>
          <w:sz w:val="24"/>
        </w:rPr>
        <w:t>5、本合同有效期自2023年</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日自202</w:t>
      </w:r>
      <w:r>
        <w:rPr>
          <w:rFonts w:hint="eastAsia" w:ascii="宋体" w:hAnsi="宋体" w:eastAsia="宋体" w:cs="宋体"/>
          <w:color w:val="auto"/>
          <w:sz w:val="24"/>
          <w:lang w:val="en-US" w:eastAsia="zh-CN"/>
        </w:rPr>
        <w:t>4</w:t>
      </w:r>
      <w:r>
        <w:rPr>
          <w:rFonts w:hint="eastAsia" w:ascii="宋体" w:hAnsi="宋体" w:eastAsia="宋体" w:cs="宋体"/>
          <w:color w:val="auto"/>
          <w:sz w:val="24"/>
        </w:rPr>
        <w:t>年</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日止。</w:t>
      </w:r>
    </w:p>
    <w:p>
      <w:pPr>
        <w:numPr>
          <w:ilvl w:val="-1"/>
          <w:numId w:val="0"/>
        </w:numPr>
        <w:spacing w:line="600" w:lineRule="exact"/>
        <w:jc w:val="both"/>
        <w:outlineLvl w:val="0"/>
        <w:rPr>
          <w:rFonts w:hint="eastAsia" w:ascii="宋体" w:hAnsi="宋体" w:eastAsia="宋体" w:cs="宋体"/>
          <w:b/>
          <w:color w:val="auto"/>
          <w:sz w:val="36"/>
          <w:szCs w:val="36"/>
          <w:highlight w:val="none"/>
          <w:lang w:val="en-US" w:eastAsia="zh-CN"/>
        </w:rPr>
      </w:pPr>
    </w:p>
    <w:p>
      <w:pPr>
        <w:pStyle w:val="2"/>
        <w:rPr>
          <w:rFonts w:hint="eastAsia" w:ascii="宋体" w:hAnsi="宋体" w:eastAsia="宋体" w:cs="宋体"/>
          <w:b/>
          <w:color w:val="auto"/>
          <w:sz w:val="36"/>
          <w:szCs w:val="36"/>
          <w:highlight w:val="none"/>
          <w:lang w:val="en-US" w:eastAsia="zh-CN"/>
        </w:rPr>
      </w:pPr>
    </w:p>
    <w:p>
      <w:pPr>
        <w:pStyle w:val="2"/>
        <w:rPr>
          <w:rFonts w:hint="eastAsia" w:ascii="宋体" w:hAnsi="宋体" w:eastAsia="宋体" w:cs="宋体"/>
          <w:b/>
          <w:color w:val="auto"/>
          <w:sz w:val="36"/>
          <w:szCs w:val="36"/>
          <w:highlight w:val="none"/>
          <w:lang w:val="en-US" w:eastAsia="zh-CN"/>
        </w:rPr>
      </w:pPr>
    </w:p>
    <w:p>
      <w:pPr>
        <w:pStyle w:val="2"/>
        <w:rPr>
          <w:rFonts w:hint="eastAsia" w:ascii="宋体" w:hAnsi="宋体" w:eastAsia="宋体" w:cs="宋体"/>
          <w:b/>
          <w:color w:val="auto"/>
          <w:sz w:val="36"/>
          <w:szCs w:val="36"/>
          <w:highlight w:val="none"/>
          <w:lang w:val="en-US" w:eastAsia="zh-CN"/>
        </w:rPr>
      </w:pPr>
    </w:p>
    <w:p>
      <w:pPr>
        <w:pStyle w:val="2"/>
        <w:rPr>
          <w:rFonts w:hint="eastAsia" w:ascii="宋体" w:hAnsi="宋体" w:eastAsia="宋体" w:cs="宋体"/>
          <w:b/>
          <w:color w:val="auto"/>
          <w:sz w:val="36"/>
          <w:szCs w:val="36"/>
          <w:highlight w:val="none"/>
          <w:lang w:val="en-US" w:eastAsia="zh-CN"/>
        </w:rPr>
      </w:pPr>
    </w:p>
    <w:p>
      <w:pPr>
        <w:pStyle w:val="2"/>
        <w:rPr>
          <w:rFonts w:hint="eastAsia" w:ascii="宋体" w:hAnsi="宋体" w:eastAsia="宋体" w:cs="宋体"/>
          <w:b/>
          <w:color w:val="auto"/>
          <w:sz w:val="36"/>
          <w:szCs w:val="36"/>
          <w:highlight w:val="none"/>
          <w:lang w:val="en-US" w:eastAsia="zh-CN"/>
        </w:rPr>
      </w:pPr>
    </w:p>
    <w:p>
      <w:pPr>
        <w:pStyle w:val="2"/>
        <w:rPr>
          <w:rFonts w:hint="eastAsia" w:ascii="宋体" w:hAnsi="宋体" w:eastAsia="宋体" w:cs="宋体"/>
          <w:b/>
          <w:color w:val="auto"/>
          <w:sz w:val="36"/>
          <w:szCs w:val="36"/>
          <w:highlight w:val="none"/>
          <w:lang w:val="en-US" w:eastAsia="zh-CN"/>
        </w:rPr>
      </w:pPr>
    </w:p>
    <w:p>
      <w:pPr>
        <w:pStyle w:val="2"/>
        <w:rPr>
          <w:rFonts w:hint="eastAsia" w:ascii="宋体" w:hAnsi="宋体" w:eastAsia="宋体" w:cs="宋体"/>
          <w:b/>
          <w:color w:val="auto"/>
          <w:sz w:val="36"/>
          <w:szCs w:val="36"/>
          <w:highlight w:val="none"/>
          <w:lang w:val="en-US" w:eastAsia="zh-CN"/>
        </w:rPr>
      </w:pPr>
    </w:p>
    <w:p>
      <w:pPr>
        <w:pStyle w:val="194"/>
        <w:widowControl/>
        <w:autoSpaceDE/>
        <w:autoSpaceDN/>
        <w:adjustRightInd/>
        <w:spacing w:before="240" w:after="240" w:line="360" w:lineRule="auto"/>
        <w:ind w:firstLine="3012" w:firstLineChars="1000"/>
        <w:jc w:val="both"/>
        <w:rPr>
          <w:rFonts w:hint="eastAsia" w:ascii="宋体" w:hAnsi="宋体" w:eastAsia="宋体" w:cs="宋体"/>
          <w:b/>
          <w:sz w:val="30"/>
          <w:szCs w:val="30"/>
        </w:rPr>
      </w:pPr>
      <w:r>
        <w:rPr>
          <w:rFonts w:hint="eastAsia" w:ascii="宋体" w:hAnsi="宋体" w:eastAsia="宋体" w:cs="宋体"/>
          <w:b/>
          <w:sz w:val="30"/>
          <w:szCs w:val="30"/>
        </w:rPr>
        <w:t>安全生产协议</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为了切实做好安全生产工作，依据《中华人民共和国安全生产法》、《中华人民共和国民法典》以及国家有关安全生产管理的法律、法规、标准，按照“安全第一、预防为主、综合治理”的原则，明确甲乙双方及监理单位的责任，就甲乙双方在本项目中的安全生产事项，经协商一致，签订本合同。</w:t>
      </w:r>
    </w:p>
    <w:p>
      <w:pPr>
        <w:spacing w:line="360" w:lineRule="auto"/>
        <w:rPr>
          <w:rFonts w:hint="eastAsia" w:ascii="宋体" w:hAnsi="宋体" w:eastAsia="宋体" w:cs="宋体"/>
          <w:color w:val="auto"/>
          <w:sz w:val="24"/>
          <w:lang w:val="en-US" w:eastAsia="zh-CN"/>
        </w:rPr>
      </w:pPr>
      <w:bookmarkStart w:id="14" w:name="_Toc17761"/>
      <w:r>
        <w:rPr>
          <w:rFonts w:hint="eastAsia" w:ascii="宋体" w:hAnsi="宋体" w:eastAsia="宋体" w:cs="宋体"/>
          <w:color w:val="auto"/>
          <w:sz w:val="24"/>
        </w:rPr>
        <w:t>第一条 项目名称： </w:t>
      </w:r>
      <w:bookmarkEnd w:id="14"/>
      <w:r>
        <w:rPr>
          <w:rFonts w:hint="eastAsia" w:ascii="宋体" w:hAnsi="宋体" w:eastAsia="宋体" w:cs="宋体"/>
          <w:color w:val="auto"/>
          <w:sz w:val="24"/>
          <w:lang w:val="en-US" w:eastAsia="zh-CN"/>
        </w:rPr>
        <w:t>撬装式加油装置</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第二条　本合同内容只涉及甲乙双方在本项目中关于安全生产的权利和责任。</w:t>
      </w:r>
    </w:p>
    <w:p>
      <w:pPr>
        <w:spacing w:line="360" w:lineRule="auto"/>
        <w:rPr>
          <w:rFonts w:hint="eastAsia" w:ascii="宋体" w:hAnsi="宋体" w:eastAsia="宋体" w:cs="宋体"/>
          <w:color w:val="auto"/>
          <w:sz w:val="24"/>
        </w:rPr>
      </w:pPr>
      <w:bookmarkStart w:id="15" w:name="_Toc5660"/>
      <w:r>
        <w:rPr>
          <w:rFonts w:hint="eastAsia" w:ascii="宋体" w:hAnsi="宋体" w:eastAsia="宋体" w:cs="宋体"/>
          <w:color w:val="auto"/>
          <w:sz w:val="24"/>
        </w:rPr>
        <w:t>第三条　甲方的权利：</w:t>
      </w:r>
      <w:bookmarkEnd w:id="15"/>
    </w:p>
    <w:p>
      <w:pPr>
        <w:spacing w:line="360" w:lineRule="auto"/>
        <w:rPr>
          <w:rFonts w:hint="eastAsia" w:ascii="宋体" w:hAnsi="宋体" w:eastAsia="宋体" w:cs="宋体"/>
          <w:color w:val="auto"/>
          <w:sz w:val="24"/>
        </w:rPr>
      </w:pPr>
      <w:r>
        <w:rPr>
          <w:rFonts w:hint="eastAsia" w:ascii="宋体" w:hAnsi="宋体" w:eastAsia="宋体" w:cs="宋体"/>
          <w:color w:val="auto"/>
          <w:sz w:val="24"/>
        </w:rPr>
        <w:t>（一）有权要求乙方建立安全组织机构，严格执行安全生产法律、法规、条例、标准，遵守甲方的安全生产规章制度等。</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（二）有权按规定对乙方安全业绩、资质进行审查，对乙方针对作业项目制定的职业健康安全、环境保护项目进行审查并备案。</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（三）有权要求乙方维护好相关的甲方的安全生产设施、设备和器材。</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四）有权要求乙方在进入甲方现场作业前所有作业人员接受甲方的安全培训与教育。对乙方经培训考核不合格、安全技能不具备所在岗位要求或认定身体条件不适应所在岗位要求的作业人员，有权要求乙方停止其工作或调换其工作岗位。</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五）有权对乙方的作业现场的安全作业情况进行监督检查，有权对乙方不符合安全生产要求、违法、违规、违章等的行为，依据《湖南港产科技有限公司安全管理考核与奖罚办法》进行纠正、处罚、制止、停止作业、直至清退出场。</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（六）有权要求乙方所有作业人员必须进行工伤保险和意外伤害保险。</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发生事故后、有权根据有关规定参与事故的调查。</w:t>
      </w:r>
    </w:p>
    <w:p>
      <w:pPr>
        <w:spacing w:line="360" w:lineRule="auto"/>
        <w:rPr>
          <w:rFonts w:hint="eastAsia" w:ascii="宋体" w:hAnsi="宋体" w:eastAsia="宋体" w:cs="宋体"/>
          <w:color w:val="auto"/>
          <w:sz w:val="24"/>
        </w:rPr>
      </w:pPr>
      <w:bookmarkStart w:id="16" w:name="_Toc23306"/>
      <w:r>
        <w:rPr>
          <w:rFonts w:hint="eastAsia" w:ascii="宋体" w:hAnsi="宋体" w:eastAsia="宋体" w:cs="宋体"/>
          <w:color w:val="auto"/>
          <w:sz w:val="24"/>
        </w:rPr>
        <w:t>第四条　甲方的责任</w:t>
      </w:r>
      <w:bookmarkEnd w:id="16"/>
    </w:p>
    <w:p>
      <w:pPr>
        <w:spacing w:line="360" w:lineRule="auto"/>
        <w:rPr>
          <w:rFonts w:hint="eastAsia" w:ascii="宋体" w:hAnsi="宋体" w:eastAsia="宋体" w:cs="宋体"/>
          <w:color w:val="auto"/>
          <w:sz w:val="24"/>
        </w:rPr>
      </w:pPr>
      <w:r>
        <w:rPr>
          <w:rFonts w:hint="eastAsia" w:ascii="宋体" w:hAnsi="宋体" w:eastAsia="宋体" w:cs="宋体"/>
          <w:color w:val="auto"/>
          <w:sz w:val="24"/>
        </w:rPr>
        <w:t>（一）认真贯彻落实国家有关法律、法规、标准及甲方公司安全生产规章制度。</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（二）向乙方明确作业区的范围、危险点源及安全技术交底，并要有书面记录。</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（三）为乙方提供项目合同中规定的安全作业条件。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（四）发生事故后积极协助抢险，防止事故扩大，并按照甲方公司有关规定进行报告。</w:t>
      </w:r>
    </w:p>
    <w:p>
      <w:pPr>
        <w:spacing w:line="360" w:lineRule="auto"/>
        <w:rPr>
          <w:rFonts w:hint="eastAsia" w:ascii="宋体" w:hAnsi="宋体" w:eastAsia="宋体" w:cs="宋体"/>
          <w:color w:val="auto"/>
          <w:sz w:val="24"/>
        </w:rPr>
      </w:pPr>
      <w:bookmarkStart w:id="17" w:name="_Toc19661"/>
      <w:r>
        <w:rPr>
          <w:rFonts w:hint="eastAsia" w:ascii="宋体" w:hAnsi="宋体" w:eastAsia="宋体" w:cs="宋体"/>
          <w:color w:val="auto"/>
          <w:sz w:val="24"/>
        </w:rPr>
        <w:t>第五条　乙方的权利</w:t>
      </w:r>
      <w:bookmarkEnd w:id="17"/>
    </w:p>
    <w:p>
      <w:pPr>
        <w:spacing w:line="360" w:lineRule="auto"/>
        <w:rPr>
          <w:rFonts w:hint="eastAsia" w:ascii="宋体" w:hAnsi="宋体" w:eastAsia="宋体" w:cs="宋体"/>
          <w:color w:val="auto"/>
          <w:sz w:val="24"/>
        </w:rPr>
      </w:pPr>
      <w:r>
        <w:rPr>
          <w:rFonts w:hint="eastAsia" w:ascii="宋体" w:hAnsi="宋体" w:eastAsia="宋体" w:cs="宋体"/>
          <w:color w:val="auto"/>
          <w:sz w:val="24"/>
        </w:rPr>
        <w:t>（一）有权对甲方的安全工作提出合理化建议和改进意见。</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（二）日常作业中，若甲方违章指挥、强令乙方冒险作业，有权拒绝执行。</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（三）有权要求甲方提供符合安全作业的工艺条件和环境。</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（四）发生严重危及乙方生命安全的紧急情况时，乙方有权采取必要的避险措施。</w:t>
      </w:r>
    </w:p>
    <w:p>
      <w:pPr>
        <w:spacing w:line="360" w:lineRule="auto"/>
        <w:rPr>
          <w:rFonts w:hint="eastAsia" w:ascii="宋体" w:hAnsi="宋体" w:eastAsia="宋体" w:cs="宋体"/>
          <w:color w:val="auto"/>
          <w:sz w:val="24"/>
        </w:rPr>
      </w:pPr>
      <w:bookmarkStart w:id="18" w:name="_Toc17419"/>
      <w:r>
        <w:rPr>
          <w:rFonts w:hint="eastAsia" w:ascii="宋体" w:hAnsi="宋体" w:eastAsia="宋体" w:cs="宋体"/>
          <w:color w:val="auto"/>
          <w:sz w:val="24"/>
        </w:rPr>
        <w:t>第六条　乙方的责任</w:t>
      </w:r>
      <w:bookmarkEnd w:id="18"/>
    </w:p>
    <w:p>
      <w:pPr>
        <w:spacing w:line="360" w:lineRule="auto"/>
        <w:rPr>
          <w:rFonts w:hint="eastAsia" w:ascii="宋体" w:hAnsi="宋体" w:eastAsia="宋体" w:cs="宋体"/>
          <w:color w:val="auto"/>
          <w:sz w:val="24"/>
        </w:rPr>
      </w:pPr>
      <w:r>
        <w:rPr>
          <w:rFonts w:hint="eastAsia" w:ascii="宋体" w:hAnsi="宋体" w:eastAsia="宋体" w:cs="宋体"/>
          <w:color w:val="auto"/>
          <w:sz w:val="24"/>
        </w:rPr>
        <w:t>（一）乙方是本项目的安全生产责任主体，对本项目的安全生产工作全面负责。</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（二）健全安全组织机构，建立安全生产责任制，制定健全的安全生产规章制度，制定生产安全事故应急求援预案，配备必要的安全生产管理人员和劳动保护用品，严格执行甲方相关的规章制度。</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（三）应对作业人员进行作业前安全教育培训，使其具备岗位所需的安全生产知识、安全意识和安全技能；特种作业人员应具有相应的资格证书。</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（四）不得使用不符合国家、行业标准和甲方规定的原材料、设备、装置、防护用品、器材、安全检测仪器等。所使用的特种设备，必须经具有专业资质的检验检测机构检测。经检测不合格的，不得继续使用。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（五）指定专人负责现场安全监督检查工作，认真开展安全检查，发现作业过程中不安全行为和隐患、应采取有效措施积极处理。</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（六）乙方有责任对作业区域的安全生产条件进行详细了解。</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（七）乙方在作业过程中有属于危及安全生产的关键作业时，应提出切实可行的方案，经甲方同意后，方可实施。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（八）乙方不得将项目转包给第三方，不得以任何理由或形式免除自身对分包、转包项目安全责任。</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九）乙方在施工期间只能在甲方规定的路线进出甲方公司，只能在甲方规定的施工区域内作业，禁止私自进入甲方其他生产区域。乙方在从事经营活动中，必须按照国家环保、安全法规和甲方清洁生产规定进行作业、不得随意破坏环境卫生，不准乱扔、乱倒垃圾及废弃物。</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（十）乙方应服从甲方的管理，认真履行安全职责，杜绝违法、违规、违章作业，否则依据《湖南港产科技有限公司安全管理考核与奖罚办法》进行考核。</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（十一）发生事故时，应积极抢险，避免事故的进一步扩大，并按照国家相关要求报告事故。</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十二）当乙方在施工过程因乙方原因中发生伤亡事故时，乙方作为工程项目的承包或承揽单位，对发生的人身伤害、设备损坏事故承担全部责任。由乙方向自己的主管上级部门及当地政府的安全生产监督管理部门、公安部门报告，并自行承担相应的责任。</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十三）乙方安排从事本项目合同约定业务的作业人员必须是与乙方具有合法劳动关系、雇佣关系、聘用关系或劳务关系的人员。如果乙方安排的作业人员，与其不具有合法的劳动关系、雇佣关系、聘用关系或劳务关系，则由此引发的一切风险、损失、责任均由乙方承担。</w:t>
      </w:r>
    </w:p>
    <w:p>
      <w:pPr>
        <w:spacing w:line="360" w:lineRule="auto"/>
        <w:rPr>
          <w:rFonts w:hint="eastAsia" w:ascii="宋体" w:hAnsi="宋体" w:eastAsia="宋体" w:cs="宋体"/>
          <w:color w:val="auto"/>
          <w:sz w:val="24"/>
        </w:rPr>
      </w:pPr>
      <w:bookmarkStart w:id="19" w:name="_Toc8163"/>
      <w:r>
        <w:rPr>
          <w:rFonts w:hint="eastAsia" w:ascii="宋体" w:hAnsi="宋体" w:eastAsia="宋体" w:cs="宋体"/>
          <w:color w:val="auto"/>
          <w:sz w:val="24"/>
        </w:rPr>
        <w:t>第七条  违约责任及处理</w:t>
      </w:r>
      <w:bookmarkEnd w:id="19"/>
    </w:p>
    <w:p>
      <w:pPr>
        <w:spacing w:line="360" w:lineRule="auto"/>
        <w:rPr>
          <w:rFonts w:hint="eastAsia" w:ascii="宋体" w:hAnsi="宋体" w:eastAsia="宋体" w:cs="宋体"/>
          <w:color w:val="auto"/>
          <w:sz w:val="24"/>
        </w:rPr>
      </w:pPr>
      <w:r>
        <w:rPr>
          <w:rFonts w:hint="eastAsia" w:ascii="宋体" w:hAnsi="宋体" w:eastAsia="宋体" w:cs="宋体"/>
          <w:color w:val="auto"/>
          <w:sz w:val="24"/>
        </w:rPr>
        <w:t>（一）如甲乙双方违反本合同约定，未造成事故时，依据相关合同对违约者进行处理；造成事故时，甲、乙双方有抢险、救灾的责任，所发生的一切费用及责任均由责任方承担。</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（二）发生的事故，应经事故调查确认责任；事故报告和调查应按照国家和甲方有关规定进行。</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（三）因甲方原因造成的事故，甲方承担全部责任，并按规定追究有关人员责任及上报。</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四）因乙方的原因造成的事故，乙方承担全部责任，并按规定追究有关人员责任并报告甲方；由于乙方工程质量、检修质量及购买的原材料等原因导致的事故，并给甲方或第三人造成损失的，由乙方承担全部责任。</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（五）甲、乙双方共同造成的事故，按双方责任大小承担相应责任，并按规定追究有关人员责任。</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（六）对乙方发生事故后弄虚作假、隐瞒不报、迟报或谎报，一经查出，按有关规定从重处罚，情节严重的，甲方有权向当地政府安全生产监督管理部门报告，并取消其进入甲方市场资格。</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（七）施工期间，需要办理的有关安全的批文或其它手续，乙方必须办理齐全，否则发生安全事故由乙方承担全部责任。</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第八条　由于不可抗力造成合同项目施工作业事故及生产的损失，当事人双方各自承担相应的损失。</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第九条　甲乙双方的施工作业人员和机具设备的保险，由甲乙双方依据国家相关规定或约定各自承担。</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第十条　本合同履行过程中发生争议纠纷，应通过友好协商方式解决，如协商不成，按双方在项目合同中约定的管辖地和纠纷解决的方式执行。</w:t>
      </w:r>
    </w:p>
    <w:p>
      <w:pPr>
        <w:adjustRightInd w:val="0"/>
        <w:spacing w:after="0" w:line="360" w:lineRule="auto"/>
        <w:jc w:val="both"/>
        <w:rPr>
          <w:rFonts w:hint="eastAsia" w:ascii="宋体" w:hAnsi="宋体" w:eastAsia="宋体" w:cs="宋体"/>
          <w:color w:val="auto"/>
          <w:sz w:val="30"/>
          <w:szCs w:val="30"/>
          <w:lang w:val="en-US" w:eastAsia="zh-CN"/>
        </w:rPr>
      </w:pPr>
    </w:p>
    <w:p>
      <w:pPr>
        <w:numPr>
          <w:ilvl w:val="-1"/>
          <w:numId w:val="0"/>
        </w:numPr>
        <w:spacing w:line="600" w:lineRule="exact"/>
        <w:jc w:val="center"/>
        <w:outlineLvl w:val="0"/>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ind w:firstLine="0"/>
        <w:rPr>
          <w:rFonts w:hint="eastAsia" w:ascii="宋体" w:hAnsi="宋体" w:eastAsia="宋体" w:cs="宋体"/>
          <w:b/>
          <w:color w:val="auto"/>
          <w:sz w:val="36"/>
          <w:szCs w:val="36"/>
          <w:highlight w:val="none"/>
          <w:lang w:val="en-US" w:eastAsia="zh-CN"/>
        </w:rPr>
      </w:pPr>
    </w:p>
    <w:p>
      <w:pPr>
        <w:widowControl/>
        <w:spacing w:line="312" w:lineRule="auto"/>
        <w:ind w:left="0" w:leftChars="0" w:firstLine="0" w:firstLineChars="0"/>
        <w:jc w:val="center"/>
        <w:rPr>
          <w:rFonts w:hint="eastAsia" w:ascii="宋体" w:hAnsi="宋体" w:eastAsia="宋体" w:cs="宋体"/>
          <w:b/>
          <w:bCs/>
          <w:color w:val="auto"/>
          <w:sz w:val="40"/>
          <w:szCs w:val="40"/>
          <w:u w:val="none"/>
        </w:rPr>
      </w:pPr>
      <w:r>
        <w:rPr>
          <w:rFonts w:hint="eastAsia" w:ascii="宋体" w:hAnsi="宋体" w:eastAsia="宋体" w:cs="宋体"/>
          <w:b/>
          <w:bCs/>
          <w:color w:val="auto"/>
          <w:sz w:val="40"/>
          <w:szCs w:val="40"/>
          <w:u w:val="none"/>
        </w:rPr>
        <w:t>廉政协议</w:t>
      </w:r>
    </w:p>
    <w:p>
      <w:pPr>
        <w:pStyle w:val="38"/>
        <w:rPr>
          <w:rFonts w:hint="eastAsia" w:ascii="宋体" w:hAnsi="宋体" w:eastAsia="宋体" w:cs="宋体"/>
          <w:color w:val="auto"/>
        </w:rPr>
      </w:pPr>
    </w:p>
    <w:p>
      <w:pPr>
        <w:spacing w:line="360" w:lineRule="auto"/>
        <w:ind w:firstLine="480" w:firstLineChars="200"/>
        <w:rPr>
          <w:rFonts w:hint="eastAsia" w:ascii="宋体" w:hAnsi="宋体" w:eastAsia="宋体" w:cs="宋体"/>
          <w:color w:val="auto"/>
          <w:sz w:val="24"/>
        </w:rPr>
      </w:pPr>
      <w:bookmarkStart w:id="20" w:name="_Toc282076315"/>
      <w:bookmarkStart w:id="21" w:name="_Toc21390"/>
      <w:bookmarkStart w:id="22" w:name="_Toc30686"/>
      <w:r>
        <w:rPr>
          <w:rFonts w:hint="eastAsia" w:ascii="宋体" w:hAnsi="宋体" w:eastAsia="宋体" w:cs="宋体"/>
          <w:color w:val="auto"/>
          <w:sz w:val="24"/>
        </w:rPr>
        <w:t>为做好工程建设中的党风廉政建设，保证工程建设高效优质、建设资金的安全和投资效益，以及双方合作的公平和公正，预防甲方利益受到双方经济合同之外各种不正当行为的损害，根据国家有关项目建设的法律法规和廉政建设规定，签订本廉政协议，以资共同遵守。</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第一条  甲乙双方的责任</w:t>
      </w:r>
      <w:bookmarkEnd w:id="20"/>
      <w:bookmarkEnd w:id="21"/>
      <w:bookmarkEnd w:id="22"/>
    </w:p>
    <w:p>
      <w:pPr>
        <w:spacing w:line="360" w:lineRule="auto"/>
        <w:rPr>
          <w:rFonts w:hint="eastAsia" w:ascii="宋体" w:hAnsi="宋体" w:eastAsia="宋体" w:cs="宋体"/>
          <w:color w:val="auto"/>
          <w:sz w:val="24"/>
        </w:rPr>
      </w:pPr>
      <w:r>
        <w:rPr>
          <w:rFonts w:hint="eastAsia" w:ascii="宋体" w:hAnsi="宋体" w:eastAsia="宋体" w:cs="宋体"/>
          <w:color w:val="auto"/>
          <w:sz w:val="24"/>
        </w:rPr>
        <w:t>（一）应严格遵守国家关于市场准入、项目招标投标、工程建设和市场活动等有关法律、法规，相关政策，以及廉政建设的各项规定。</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（二）严格执行建设工程项目相关合同文件，自觉按合同办事。</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（三）业务活动必须坚持公开、公平、公正、诚信、透明的原则，不得为获取不正当的利益，损害国家、集体和对方利益。</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（四）发现对方在业务活动中有违规、违纪、违法行为的，应及时提醒对方，情节严重的，应向其上级主管部门或纪检监察部门进行举报。</w:t>
      </w:r>
    </w:p>
    <w:p>
      <w:pPr>
        <w:spacing w:line="360" w:lineRule="auto"/>
        <w:rPr>
          <w:rFonts w:hint="eastAsia" w:ascii="宋体" w:hAnsi="宋体" w:eastAsia="宋体" w:cs="宋体"/>
          <w:color w:val="auto"/>
          <w:sz w:val="24"/>
        </w:rPr>
      </w:pPr>
      <w:bookmarkStart w:id="23" w:name="_Toc25742"/>
      <w:bookmarkStart w:id="24" w:name="_Toc282076316"/>
      <w:bookmarkStart w:id="25" w:name="_Toc22406"/>
      <w:r>
        <w:rPr>
          <w:rFonts w:hint="eastAsia" w:ascii="宋体" w:hAnsi="宋体" w:eastAsia="宋体" w:cs="宋体"/>
          <w:color w:val="auto"/>
          <w:sz w:val="24"/>
        </w:rPr>
        <w:t>第二条  甲方的责任</w:t>
      </w:r>
      <w:bookmarkEnd w:id="23"/>
      <w:bookmarkEnd w:id="24"/>
      <w:bookmarkEnd w:id="25"/>
    </w:p>
    <w:p>
      <w:pPr>
        <w:spacing w:line="360" w:lineRule="auto"/>
        <w:rPr>
          <w:rFonts w:hint="eastAsia" w:ascii="宋体" w:hAnsi="宋体" w:eastAsia="宋体" w:cs="宋体"/>
          <w:color w:val="auto"/>
          <w:sz w:val="24"/>
        </w:rPr>
      </w:pPr>
      <w:r>
        <w:rPr>
          <w:rFonts w:hint="eastAsia" w:ascii="宋体" w:hAnsi="宋体" w:eastAsia="宋体" w:cs="宋体"/>
          <w:color w:val="auto"/>
          <w:sz w:val="24"/>
        </w:rPr>
        <w:t>甲方工作人员，在工程建设的事前、事中、事后应遵守以下规定：</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（一）不得向乙方索要或接受回扣、礼金、有价证券、贵重物品和好处费、感谢费等。</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（二）不得在乙方报销任何应由个人支付的费用。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（三）不得要求或接受乙方为其个人装修住房或为其配偶、子女的工作安排以及出国（境）、旅游等提供方便。</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（四）不得参加有可能影响公正执行公务的乙方的宴请、健身和娱乐等活动。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（五）不得向乙方介绍或推荐其配偶、子女及其他亲属参与乙方同甲方建设项目有关的经济活动。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（六）不得以任何理由向乙方推荐分包单位或要求乙方购买项目合同规定以外的材料、设备和服务等。</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（七）其它与项目有关的党风廉政建设和预防腐败的规定。</w:t>
      </w:r>
    </w:p>
    <w:p>
      <w:pPr>
        <w:spacing w:line="360" w:lineRule="auto"/>
        <w:rPr>
          <w:rFonts w:hint="eastAsia" w:ascii="宋体" w:hAnsi="宋体" w:eastAsia="宋体" w:cs="宋体"/>
          <w:color w:val="auto"/>
          <w:sz w:val="24"/>
        </w:rPr>
      </w:pPr>
      <w:bookmarkStart w:id="26" w:name="_Toc11848"/>
      <w:bookmarkStart w:id="27" w:name="_Toc14483"/>
      <w:bookmarkStart w:id="28" w:name="_Toc282076317"/>
      <w:r>
        <w:rPr>
          <w:rFonts w:hint="eastAsia" w:ascii="宋体" w:hAnsi="宋体" w:eastAsia="宋体" w:cs="宋体"/>
          <w:color w:val="auto"/>
          <w:sz w:val="24"/>
        </w:rPr>
        <w:t>第三条  乙方的责任</w:t>
      </w:r>
      <w:bookmarkEnd w:id="26"/>
      <w:bookmarkEnd w:id="27"/>
      <w:bookmarkEnd w:id="28"/>
    </w:p>
    <w:p>
      <w:pPr>
        <w:spacing w:line="360" w:lineRule="auto"/>
        <w:rPr>
          <w:rFonts w:hint="eastAsia" w:ascii="宋体" w:hAnsi="宋体" w:eastAsia="宋体" w:cs="宋体"/>
          <w:color w:val="auto"/>
          <w:sz w:val="24"/>
        </w:rPr>
      </w:pPr>
      <w:r>
        <w:rPr>
          <w:rFonts w:hint="eastAsia" w:ascii="宋体" w:hAnsi="宋体" w:eastAsia="宋体" w:cs="宋体"/>
          <w:color w:val="auto"/>
          <w:sz w:val="24"/>
        </w:rPr>
        <w:t>应与甲方保持正常的业务交往，按照有关法律法规和程序开展业务工作，严格执行工程建设的有关方针、政策，并遵守以下规定：</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（一）不得以任何理由向甲方工作人员赠送礼金、有价证券、贵重物品和回扣、好处费、感谢费等。</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（二）不得以任何理由为甲方工作人员报销应由其个人支付的费用。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（三）不得为甲方工作人员装修住房或为其配偶、子女的工作安排以及出国（境）、旅游等提供方便。</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（四）不得以任何理由邀请甲方工作人员参加有可能影响公正执行公务的宴请、健身、娱乐等活动。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五</w:t>
      </w:r>
      <w:r>
        <w:rPr>
          <w:rFonts w:hint="eastAsia" w:ascii="宋体" w:hAnsi="宋体" w:eastAsia="宋体" w:cs="宋体"/>
          <w:color w:val="auto"/>
          <w:sz w:val="24"/>
        </w:rPr>
        <w:t>）其它与项目有关的党风廉政建设和预防腐败的规定。</w:t>
      </w:r>
    </w:p>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第四</w:t>
      </w:r>
      <w:r>
        <w:rPr>
          <w:rFonts w:hint="eastAsia" w:ascii="宋体" w:hAnsi="宋体" w:eastAsia="宋体" w:cs="宋体"/>
          <w:color w:val="auto"/>
          <w:sz w:val="24"/>
        </w:rPr>
        <w:t>条  违约责</w:t>
      </w:r>
      <w:r>
        <w:rPr>
          <w:rFonts w:hint="eastAsia" w:ascii="宋体" w:hAnsi="宋体" w:eastAsia="宋体" w:cs="宋体"/>
          <w:color w:val="auto"/>
          <w:sz w:val="24"/>
          <w:lang w:val="en-US" w:eastAsia="zh-CN"/>
        </w:rPr>
        <w:t>任</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一）甲方工作人员有违反本合同第一、二条行为的，经调查属实，依据有关法律法规和规定给予党纪、政纪处分或组织处理；涉嫌犯罪的，移交司法机关追究刑事责任；给乙方造成经济损失的，甲方应予以赔偿。</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二）乙方工作人员有违反本合同第一、三条行为的，经调查属实，依据有关法律法规和规定给予以下相应处理；给甲方造成经济损失的，乙方应予以赔偿；情节严重的，甲方建议交通工程建设主管部门给予一至三年不得进入交通建设市场的处罚；涉嫌犯罪的，移交司法机关追究刑事责任。</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三）双方约定：本合同由甲方或甲方上级单位的纪检监察机关负责监督执行。由甲方或甲方上级单位的纪检监察机关约请乙方行业主管部门的纪检监察机关对本合同执行情况进行检查，提出在本合同规定范围内的裁定意见。</w:t>
      </w:r>
    </w:p>
    <w:p>
      <w:pPr>
        <w:spacing w:line="360" w:lineRule="auto"/>
        <w:rPr>
          <w:rFonts w:hint="eastAsia" w:ascii="宋体" w:hAnsi="宋体" w:eastAsia="宋体" w:cs="宋体"/>
          <w:color w:val="auto"/>
          <w:sz w:val="24"/>
        </w:rPr>
      </w:pPr>
      <w:bookmarkStart w:id="29" w:name="_Toc28966"/>
      <w:bookmarkStart w:id="30" w:name="_Toc9354"/>
      <w:r>
        <w:rPr>
          <w:rFonts w:hint="eastAsia" w:ascii="宋体" w:hAnsi="宋体" w:eastAsia="宋体" w:cs="宋体"/>
          <w:color w:val="auto"/>
          <w:sz w:val="24"/>
        </w:rPr>
        <w:t>第五条：本合同作为甲、乙双方主合同的附件，与主合同具有同等法律效力。经双方签署后立即生效，项目决算审计后合同效力终止</w:t>
      </w:r>
      <w:bookmarkEnd w:id="29"/>
      <w:bookmarkEnd w:id="30"/>
      <w:r>
        <w:rPr>
          <w:rFonts w:hint="eastAsia" w:ascii="宋体" w:hAnsi="宋体" w:eastAsia="宋体" w:cs="宋体"/>
          <w:color w:val="auto"/>
          <w:sz w:val="24"/>
        </w:rPr>
        <w:t>。</w:t>
      </w:r>
    </w:p>
    <w:p>
      <w:pPr>
        <w:spacing w:line="360" w:lineRule="auto"/>
        <w:rPr>
          <w:rFonts w:hint="eastAsia" w:ascii="宋体" w:hAnsi="宋体" w:eastAsia="宋体" w:cs="宋体"/>
          <w:color w:val="auto"/>
          <w:sz w:val="24"/>
        </w:rPr>
      </w:pPr>
    </w:p>
    <w:tbl>
      <w:tblPr>
        <w:tblStyle w:val="39"/>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386"/>
        <w:gridCol w:w="2950"/>
        <w:gridCol w:w="1307"/>
        <w:gridCol w:w="28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544" w:type="pct"/>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r>
              <w:rPr>
                <w:rFonts w:hint="eastAsia" w:ascii="宋体" w:hAnsi="宋体" w:eastAsia="宋体" w:cs="宋体"/>
                <w:color w:val="auto"/>
                <w:sz w:val="24"/>
              </w:rPr>
              <w:t>甲    方</w:t>
            </w:r>
          </w:p>
        </w:tc>
        <w:tc>
          <w:tcPr>
            <w:tcW w:w="2455" w:type="pct"/>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r>
              <w:rPr>
                <w:rFonts w:hint="eastAsia" w:ascii="宋体" w:hAnsi="宋体" w:eastAsia="宋体" w:cs="宋体"/>
                <w:color w:val="auto"/>
                <w:sz w:val="24"/>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81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单位名称：（章）</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岳阳城陵矶港务有限责任公司</w:t>
            </w:r>
          </w:p>
        </w:tc>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单位名称：（章）</w:t>
            </w:r>
          </w:p>
        </w:tc>
        <w:tc>
          <w:tcPr>
            <w:tcW w:w="1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81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单位地址</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岳阳市城陵矶长江路二号</w:t>
            </w:r>
          </w:p>
        </w:tc>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单位地址</w:t>
            </w:r>
          </w:p>
        </w:tc>
        <w:tc>
          <w:tcPr>
            <w:tcW w:w="1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81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法定代表</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p>
        </w:tc>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法定代表</w:t>
            </w:r>
          </w:p>
        </w:tc>
        <w:tc>
          <w:tcPr>
            <w:tcW w:w="1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1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委托代理人</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p>
        </w:tc>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委托代理人</w:t>
            </w:r>
          </w:p>
        </w:tc>
        <w:tc>
          <w:tcPr>
            <w:tcW w:w="1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81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电话</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lang w:val="en-US" w:eastAsia="zh-CN"/>
              </w:rPr>
            </w:pPr>
          </w:p>
        </w:tc>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电话</w:t>
            </w:r>
          </w:p>
        </w:tc>
        <w:tc>
          <w:tcPr>
            <w:tcW w:w="1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81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开户银行</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岳阳市建行城陵矶支行</w:t>
            </w:r>
          </w:p>
        </w:tc>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开户银行</w:t>
            </w:r>
          </w:p>
        </w:tc>
        <w:tc>
          <w:tcPr>
            <w:tcW w:w="1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1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lang w:eastAsia="zh-CN"/>
              </w:rPr>
              <w:t>账号</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 xml:space="preserve"> </w:t>
            </w:r>
          </w:p>
        </w:tc>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lang w:eastAsia="zh-CN"/>
              </w:rPr>
              <w:t>账号</w:t>
            </w:r>
          </w:p>
        </w:tc>
        <w:tc>
          <w:tcPr>
            <w:tcW w:w="1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税号</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91430600</w:t>
            </w:r>
            <w:r>
              <w:rPr>
                <w:rFonts w:hint="eastAsia" w:ascii="宋体" w:hAnsi="宋体" w:eastAsia="宋体" w:cs="宋体"/>
                <w:color w:val="auto"/>
                <w:sz w:val="24"/>
                <w:lang w:val="en-US" w:eastAsia="zh-CN"/>
              </w:rPr>
              <w:t>1860828836</w:t>
            </w:r>
          </w:p>
        </w:tc>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税号</w:t>
            </w:r>
          </w:p>
        </w:tc>
        <w:tc>
          <w:tcPr>
            <w:tcW w:w="1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1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邮编</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414002</w:t>
            </w:r>
          </w:p>
        </w:tc>
        <w:tc>
          <w:tcPr>
            <w:tcW w:w="76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邮编</w:t>
            </w:r>
          </w:p>
        </w:tc>
        <w:tc>
          <w:tcPr>
            <w:tcW w:w="1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p>
        </w:tc>
      </w:tr>
    </w:tbl>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numPr>
          <w:ilvl w:val="-1"/>
          <w:numId w:val="0"/>
        </w:numPr>
        <w:spacing w:line="600" w:lineRule="exact"/>
        <w:jc w:val="both"/>
        <w:outlineLvl w:val="0"/>
        <w:rPr>
          <w:rFonts w:hint="eastAsia" w:ascii="宋体" w:hAnsi="宋体" w:eastAsia="宋体" w:cs="宋体"/>
          <w:b/>
          <w:color w:val="auto"/>
          <w:sz w:val="36"/>
          <w:szCs w:val="36"/>
          <w:highlight w:val="none"/>
          <w:lang w:val="en-US" w:eastAsia="zh-CN"/>
        </w:rPr>
      </w:pPr>
    </w:p>
    <w:p>
      <w:pPr>
        <w:numPr>
          <w:ilvl w:val="-1"/>
          <w:numId w:val="0"/>
        </w:numPr>
        <w:spacing w:line="600" w:lineRule="exact"/>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lang w:val="en-US" w:eastAsia="zh-CN"/>
        </w:rPr>
        <w:t>第五章</w:t>
      </w:r>
      <w:bookmarkStart w:id="31" w:name="_Toc31503"/>
      <w:r>
        <w:rPr>
          <w:rFonts w:hint="eastAsia" w:ascii="宋体" w:hAnsi="宋体" w:eastAsia="宋体" w:cs="宋体"/>
          <w:b/>
          <w:color w:val="auto"/>
          <w:sz w:val="36"/>
          <w:szCs w:val="36"/>
          <w:highlight w:val="none"/>
        </w:rPr>
        <w:t>采购需求</w:t>
      </w:r>
      <w:bookmarkEnd w:id="31"/>
    </w:p>
    <w:p>
      <w:pPr>
        <w:numPr>
          <w:ilvl w:val="0"/>
          <w:numId w:val="7"/>
        </w:numPr>
        <w:autoSpaceDE w:val="0"/>
        <w:spacing w:line="600" w:lineRule="exact"/>
        <w:jc w:val="left"/>
        <w:rPr>
          <w:rFonts w:hint="eastAsia" w:ascii="宋体" w:hAnsi="宋体" w:eastAsia="宋体" w:cs="宋体"/>
          <w:b w:val="0"/>
          <w:bCs/>
          <w:color w:val="auto"/>
          <w:sz w:val="24"/>
          <w:szCs w:val="24"/>
          <w:highlight w:val="none"/>
          <w:u w:val="none"/>
          <w:lang w:val="en-US" w:eastAsia="zh-CN"/>
        </w:rPr>
      </w:pPr>
      <w:r>
        <w:rPr>
          <w:rFonts w:hint="eastAsia" w:ascii="宋体" w:hAnsi="宋体" w:eastAsia="宋体" w:cs="宋体"/>
          <w:color w:val="auto"/>
          <w:sz w:val="24"/>
          <w:szCs w:val="24"/>
          <w:highlight w:val="none"/>
        </w:rPr>
        <w:t>采购项目名称:</w:t>
      </w:r>
      <w:r>
        <w:rPr>
          <w:rFonts w:hint="eastAsia" w:ascii="宋体" w:hAnsi="宋体" w:eastAsia="宋体" w:cs="宋体"/>
          <w:b w:val="0"/>
          <w:bCs/>
          <w:color w:val="auto"/>
          <w:sz w:val="24"/>
          <w:szCs w:val="24"/>
          <w:highlight w:val="none"/>
          <w:u w:val="none"/>
          <w:lang w:eastAsia="zh-CN"/>
        </w:rPr>
        <w:t>岳阳城陵矶港务有限责任公司</w:t>
      </w:r>
      <w:r>
        <w:rPr>
          <w:rFonts w:hint="eastAsia" w:ascii="宋体" w:hAnsi="宋体" w:cs="宋体"/>
          <w:b w:val="0"/>
          <w:bCs/>
          <w:color w:val="auto"/>
          <w:sz w:val="24"/>
          <w:szCs w:val="24"/>
          <w:highlight w:val="none"/>
          <w:u w:val="none"/>
          <w:lang w:val="en-US" w:eastAsia="zh-CN"/>
        </w:rPr>
        <w:t>一套</w:t>
      </w:r>
      <w:r>
        <w:rPr>
          <w:rFonts w:hint="eastAsia" w:ascii="宋体" w:hAnsi="宋体" w:cs="宋体"/>
          <w:b w:val="0"/>
          <w:bCs/>
          <w:color w:val="auto"/>
          <w:sz w:val="24"/>
          <w:szCs w:val="24"/>
          <w:highlight w:val="none"/>
          <w:u w:val="none"/>
          <w:lang w:eastAsia="zh-CN"/>
        </w:rPr>
        <w:t>撬装式加油装置</w:t>
      </w:r>
    </w:p>
    <w:p>
      <w:pPr>
        <w:keepNext w:val="0"/>
        <w:keepLines w:val="0"/>
        <w:pageBreakBefore w:val="0"/>
        <w:widowControl/>
        <w:kinsoku/>
        <w:wordWrap/>
        <w:overflowPunct/>
        <w:topLinePunct w:val="0"/>
        <w:autoSpaceDE/>
        <w:autoSpaceDN/>
        <w:bidi w:val="0"/>
        <w:adjustRightInd/>
        <w:snapToGrid/>
        <w:spacing w:line="540" w:lineRule="exact"/>
        <w:ind w:firstLine="0"/>
        <w:textAlignment w:val="auto"/>
        <w:rPr>
          <w:rFonts w:hint="eastAsia" w:ascii="宋体" w:hAnsi="宋体" w:eastAsia="宋体" w:cs="宋体"/>
          <w:color w:val="auto"/>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采购项目概况:</w:t>
      </w:r>
      <w:r>
        <w:rPr>
          <w:rFonts w:hint="eastAsia" w:ascii="宋体" w:hAnsi="宋体" w:eastAsia="宋体" w:cs="宋体"/>
          <w:b w:val="0"/>
          <w:bCs w:val="0"/>
          <w:color w:val="auto"/>
          <w:sz w:val="24"/>
          <w:szCs w:val="24"/>
          <w:highlight w:val="none"/>
          <w:u w:val="none"/>
          <w:lang w:eastAsia="zh-CN"/>
        </w:rPr>
        <w:t>岳阳城陵矶港务有限责任公司</w:t>
      </w:r>
      <w:r>
        <w:rPr>
          <w:rFonts w:hint="eastAsia" w:ascii="宋体" w:hAnsi="宋体" w:eastAsia="宋体" w:cs="宋体"/>
          <w:b w:val="0"/>
          <w:bCs w:val="0"/>
          <w:color w:val="auto"/>
          <w:sz w:val="24"/>
          <w:szCs w:val="24"/>
          <w:highlight w:val="none"/>
          <w:u w:val="none"/>
          <w:lang w:val="en-US" w:eastAsia="zh-CN"/>
        </w:rPr>
        <w:t>因生产经营需要，拟采购一套撬装式加油装置，供公司内部使用，现</w:t>
      </w:r>
      <w:r>
        <w:rPr>
          <w:rFonts w:hint="eastAsia" w:ascii="宋体" w:hAnsi="宋体" w:cs="宋体"/>
          <w:b w:val="0"/>
          <w:bCs w:val="0"/>
          <w:color w:val="auto"/>
          <w:sz w:val="24"/>
          <w:szCs w:val="24"/>
          <w:highlight w:val="none"/>
          <w:u w:val="none"/>
          <w:lang w:val="en-US" w:eastAsia="zh-CN"/>
        </w:rPr>
        <w:t>已</w:t>
      </w:r>
      <w:r>
        <w:rPr>
          <w:rFonts w:hint="eastAsia" w:ascii="宋体" w:hAnsi="宋体" w:eastAsia="宋体" w:cs="宋体"/>
          <w:b w:val="0"/>
          <w:bCs w:val="0"/>
          <w:color w:val="auto"/>
          <w:sz w:val="24"/>
          <w:szCs w:val="24"/>
          <w:highlight w:val="none"/>
          <w:u w:val="none"/>
          <w:lang w:val="en-US" w:eastAsia="zh-CN"/>
        </w:rPr>
        <w:t>具备条件进行</w:t>
      </w:r>
      <w:r>
        <w:rPr>
          <w:rFonts w:hint="eastAsia" w:ascii="宋体" w:hAnsi="宋体" w:cs="宋体"/>
          <w:b w:val="0"/>
          <w:bCs w:val="0"/>
          <w:color w:val="auto"/>
          <w:sz w:val="24"/>
          <w:szCs w:val="24"/>
          <w:highlight w:val="none"/>
          <w:u w:val="none"/>
          <w:lang w:val="en-US" w:eastAsia="zh-CN"/>
        </w:rPr>
        <w:t>公开询价</w:t>
      </w:r>
      <w:r>
        <w:rPr>
          <w:rFonts w:hint="eastAsia" w:ascii="宋体" w:hAnsi="宋体" w:eastAsia="宋体" w:cs="宋体"/>
          <w:b w:val="0"/>
          <w:bCs w:val="0"/>
          <w:color w:val="auto"/>
          <w:sz w:val="24"/>
          <w:szCs w:val="24"/>
          <w:highlight w:val="none"/>
          <w:u w:val="none"/>
          <w:lang w:val="en-US" w:eastAsia="zh-CN"/>
        </w:rPr>
        <w:t>采购。</w:t>
      </w:r>
    </w:p>
    <w:p>
      <w:pPr>
        <w:pStyle w:val="6"/>
        <w:numPr>
          <w:ilvl w:val="0"/>
          <w:numId w:val="0"/>
        </w:numPr>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（三）采购范围:</w:t>
      </w:r>
    </w:p>
    <w:tbl>
      <w:tblPr>
        <w:tblStyle w:val="39"/>
        <w:tblW w:w="827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0"/>
        <w:gridCol w:w="1705"/>
        <w:gridCol w:w="3171"/>
        <w:gridCol w:w="840"/>
        <w:gridCol w:w="975"/>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名称</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单位</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3"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
              <w:jc w:val="center"/>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橇装式</w:t>
            </w:r>
          </w:p>
          <w:p>
            <w:pPr>
              <w:widowControl/>
              <w:spacing w:after="20"/>
              <w:jc w:val="center"/>
              <w:rPr>
                <w:rFonts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加油装置</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
              <w:jc w:val="both"/>
              <w:rPr>
                <w:rFonts w:hint="eastAsia" w:cs="宋体"/>
                <w:color w:val="auto"/>
                <w:kern w:val="0"/>
                <w:sz w:val="24"/>
                <w:szCs w:val="24"/>
              </w:rPr>
            </w:pPr>
            <w:r>
              <w:rPr>
                <w:rFonts w:hint="eastAsia" w:cs="宋体"/>
                <w:color w:val="auto"/>
                <w:kern w:val="0"/>
                <w:sz w:val="24"/>
                <w:szCs w:val="24"/>
                <w:lang w:val="en-US" w:eastAsia="zh-CN"/>
              </w:rPr>
              <w:t>容积：4</w:t>
            </w:r>
            <w:r>
              <w:rPr>
                <w:rFonts w:cs="宋体"/>
                <w:color w:val="auto"/>
                <w:kern w:val="0"/>
                <w:sz w:val="24"/>
                <w:szCs w:val="24"/>
              </w:rPr>
              <w:t>0</w:t>
            </w:r>
            <w:r>
              <w:rPr>
                <w:rFonts w:hint="eastAsia" w:ascii="Times New Roman" w:hAnsi="Times New Roman" w:eastAsia="宋体" w:cs="宋体"/>
                <w:color w:val="auto"/>
                <w:kern w:val="0"/>
                <w:sz w:val="24"/>
                <w:szCs w:val="24"/>
              </w:rPr>
              <w:t>m³</w:t>
            </w:r>
            <w:r>
              <w:rPr>
                <w:rFonts w:hint="eastAsia" w:cs="宋体"/>
                <w:color w:val="auto"/>
                <w:kern w:val="0"/>
                <w:sz w:val="24"/>
                <w:szCs w:val="24"/>
              </w:rPr>
              <w:t xml:space="preserve">  </w:t>
            </w:r>
          </w:p>
          <w:p>
            <w:pPr>
              <w:widowControl/>
              <w:spacing w:after="20"/>
              <w:jc w:val="left"/>
              <w:rPr>
                <w:rFonts w:hint="eastAsia" w:ascii="Times New Roman" w:hAnsi="Times New Roman" w:eastAsia="宋体" w:cs="宋体"/>
                <w:color w:val="auto"/>
                <w:kern w:val="0"/>
                <w:sz w:val="24"/>
                <w:szCs w:val="24"/>
              </w:rPr>
            </w:pPr>
            <w:r>
              <w:rPr>
                <w:rFonts w:hint="eastAsia" w:cs="宋体"/>
                <w:color w:val="auto"/>
                <w:kern w:val="0"/>
                <w:sz w:val="24"/>
                <w:szCs w:val="24"/>
                <w:lang w:val="en-US" w:eastAsia="zh-CN"/>
              </w:rPr>
              <w:t>货种：</w:t>
            </w:r>
            <w:r>
              <w:rPr>
                <w:rFonts w:hint="eastAsia" w:cs="宋体"/>
                <w:color w:val="auto"/>
                <w:kern w:val="0"/>
                <w:sz w:val="24"/>
                <w:szCs w:val="24"/>
              </w:rPr>
              <w:t>柴</w:t>
            </w:r>
            <w:r>
              <w:rPr>
                <w:rFonts w:hint="eastAsia" w:ascii="Times New Roman" w:hAnsi="Times New Roman" w:eastAsia="宋体" w:cs="宋体"/>
                <w:color w:val="auto"/>
                <w:kern w:val="0"/>
                <w:sz w:val="24"/>
                <w:szCs w:val="24"/>
              </w:rPr>
              <w:t>油</w:t>
            </w:r>
          </w:p>
          <w:p>
            <w:pPr>
              <w:widowControl/>
              <w:spacing w:after="20"/>
              <w:jc w:val="left"/>
              <w:rPr>
                <w:rFonts w:hint="eastAsia" w:eastAsia="宋体"/>
                <w:color w:val="auto"/>
                <w:sz w:val="24"/>
                <w:szCs w:val="24"/>
                <w:lang w:val="en-US" w:eastAsia="zh-CN" w:bidi="ar"/>
              </w:rPr>
            </w:pPr>
            <w:r>
              <w:rPr>
                <w:rFonts w:hint="eastAsia"/>
                <w:color w:val="auto"/>
                <w:sz w:val="24"/>
                <w:szCs w:val="24"/>
                <w:lang w:val="en-US" w:eastAsia="zh-CN" w:bidi="ar"/>
              </w:rPr>
              <w:t>不少于单岛单枪</w:t>
            </w:r>
          </w:p>
          <w:p>
            <w:pPr>
              <w:widowControl/>
              <w:spacing w:after="20"/>
              <w:jc w:val="left"/>
              <w:rPr>
                <w:rFonts w:hint="eastAsia"/>
                <w:color w:val="auto"/>
                <w:sz w:val="24"/>
                <w:szCs w:val="24"/>
                <w:lang w:val="en-US" w:eastAsia="zh-CN" w:bidi="ar"/>
              </w:rPr>
            </w:pPr>
            <w:r>
              <w:rPr>
                <w:rFonts w:hint="eastAsia"/>
                <w:color w:val="auto"/>
                <w:sz w:val="24"/>
                <w:szCs w:val="24"/>
                <w:lang w:val="en-US" w:eastAsia="zh-CN" w:bidi="ar"/>
              </w:rPr>
              <w:t>加设专用卸油泵一台（一小型齿轮供火车头使用，流量200-300L/min）</w:t>
            </w:r>
          </w:p>
          <w:p>
            <w:pPr>
              <w:widowControl/>
              <w:spacing w:after="20"/>
              <w:jc w:val="left"/>
              <w:rPr>
                <w:rFonts w:hint="eastAsia" w:ascii="宋体" w:hAnsi="宋体" w:eastAsia="宋体" w:cs="宋体"/>
                <w:i w:val="0"/>
                <w:iCs w:val="0"/>
                <w:color w:val="auto"/>
                <w:sz w:val="22"/>
                <w:szCs w:val="22"/>
                <w:u w:val="none"/>
              </w:rPr>
            </w:pPr>
            <w:r>
              <w:rPr>
                <w:rFonts w:hint="eastAsia" w:cs="宋体"/>
                <w:color w:val="auto"/>
                <w:kern w:val="0"/>
                <w:sz w:val="24"/>
                <w:szCs w:val="24"/>
                <w:lang w:val="en-US" w:eastAsia="zh-CN"/>
              </w:rPr>
              <w:t>配出油管</w:t>
            </w:r>
            <w:r>
              <w:rPr>
                <w:rFonts w:hint="eastAsia" w:cs="宋体"/>
                <w:color w:val="auto"/>
                <w:kern w:val="0"/>
                <w:sz w:val="24"/>
                <w:szCs w:val="24"/>
              </w:rPr>
              <w:t xml:space="preserve">  </w:t>
            </w:r>
            <w:r>
              <w:rPr>
                <w:rFonts w:hint="eastAsia" w:cs="宋体"/>
                <w:color w:val="auto"/>
                <w:kern w:val="0"/>
                <w:sz w:val="24"/>
                <w:szCs w:val="24"/>
                <w:lang w:val="en-US" w:eastAsia="zh-CN"/>
              </w:rPr>
              <w:t>30米</w:t>
            </w:r>
            <w:r>
              <w:rPr>
                <w:rFonts w:hint="eastAsia" w:cs="宋体"/>
                <w:color w:val="auto"/>
                <w:kern w:val="0"/>
                <w:sz w:val="24"/>
                <w:szCs w:val="24"/>
              </w:rPr>
              <w:t xml:space="preserve">  </w:t>
            </w:r>
            <w:r>
              <w:rPr>
                <w:rFonts w:hint="eastAsia" w:ascii="宋体" w:hAnsi="宋体" w:eastAsia="宋体" w:cs="宋体"/>
                <w:i w:val="0"/>
                <w:iCs w:val="0"/>
                <w:color w:val="auto"/>
                <w:kern w:val="0"/>
                <w:sz w:val="22"/>
                <w:szCs w:val="22"/>
                <w:u w:val="none"/>
                <w:lang w:val="en-US" w:eastAsia="zh-CN" w:bidi="ar"/>
              </w:rPr>
              <w:t xml:space="preserve">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套</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混凝土围堰基础</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长15米*宽7米*高0.5米</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处</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做法见图纸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二次安装</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第一次：到货后接临时电源、接地处置，对机车供油。时间约20天；</w:t>
            </w:r>
          </w:p>
          <w:p>
            <w:pPr>
              <w:pStyle w:val="2"/>
              <w:ind w:left="0" w:leftChars="0" w:firstLine="0" w:firstLineChars="0"/>
              <w:jc w:val="left"/>
              <w:rPr>
                <w:rFonts w:hint="default" w:ascii="Times New Roman" w:hAnsi="Times New Roman" w:eastAsia="宋体" w:cs="Times New Roman"/>
                <w:kern w:val="2"/>
                <w:sz w:val="21"/>
                <w:szCs w:val="20"/>
                <w:lang w:val="en-US" w:eastAsia="zh-CN" w:bidi="ar-SA"/>
              </w:rPr>
            </w:pPr>
            <w:r>
              <w:rPr>
                <w:rFonts w:hint="eastAsia" w:ascii="宋体" w:hAnsi="宋体" w:cs="宋体"/>
                <w:i w:val="0"/>
                <w:iCs w:val="0"/>
                <w:color w:val="auto"/>
                <w:kern w:val="0"/>
                <w:sz w:val="22"/>
                <w:szCs w:val="22"/>
                <w:u w:val="none"/>
                <w:lang w:val="en-US" w:eastAsia="zh-CN" w:bidi="ar"/>
              </w:rPr>
              <w:t>第二次：基础制作完毕，移到预定位置正式安装（该次安装不应重复取费）。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p>
        </w:tc>
      </w:tr>
    </w:tbl>
    <w:p>
      <w:pPr>
        <w:pStyle w:val="38"/>
        <w:rPr>
          <w:rFonts w:hint="eastAsia" w:ascii="宋体" w:hAnsi="宋体" w:eastAsia="宋体" w:cs="宋体"/>
          <w:color w:val="auto"/>
          <w:lang w:val="en-US" w:eastAsia="zh-CN"/>
        </w:rPr>
      </w:pPr>
    </w:p>
    <w:p>
      <w:pPr>
        <w:spacing w:line="540" w:lineRule="exact"/>
        <w:ind w:firstLine="6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供货</w:t>
      </w:r>
      <w:r>
        <w:rPr>
          <w:rFonts w:hint="eastAsia" w:ascii="宋体" w:hAnsi="宋体" w:eastAsia="宋体" w:cs="宋体"/>
          <w:color w:val="auto"/>
          <w:sz w:val="24"/>
          <w:highlight w:val="none"/>
        </w:rPr>
        <w:t>期限:</w:t>
      </w:r>
      <w:r>
        <w:rPr>
          <w:rFonts w:hint="eastAsia" w:ascii="宋体" w:hAnsi="宋体" w:eastAsia="宋体" w:cs="宋体"/>
          <w:color w:val="auto"/>
          <w:sz w:val="24"/>
          <w:highlight w:val="none"/>
          <w:lang w:val="en-US" w:eastAsia="zh-CN"/>
        </w:rPr>
        <w:t>合同签订后，</w:t>
      </w:r>
      <w:r>
        <w:rPr>
          <w:rFonts w:hint="eastAsia" w:ascii="宋体" w:hAnsi="宋体" w:cs="宋体"/>
          <w:color w:val="auto"/>
          <w:sz w:val="24"/>
          <w:highlight w:val="none"/>
          <w:lang w:val="en-US" w:eastAsia="zh-CN"/>
        </w:rPr>
        <w:t>30个日历日内到货，</w:t>
      </w:r>
      <w:r>
        <w:rPr>
          <w:rFonts w:hint="eastAsia" w:ascii="宋体" w:hAnsi="宋体" w:eastAsia="宋体" w:cs="宋体"/>
          <w:color w:val="auto"/>
          <w:sz w:val="24"/>
          <w:highlight w:val="none"/>
        </w:rPr>
        <w:t>供应商应</w:t>
      </w:r>
      <w:r>
        <w:rPr>
          <w:rFonts w:hint="eastAsia" w:ascii="宋体" w:hAnsi="宋体" w:cs="宋体"/>
          <w:color w:val="auto"/>
          <w:sz w:val="24"/>
          <w:highlight w:val="none"/>
          <w:lang w:val="en-US" w:eastAsia="zh-CN"/>
        </w:rPr>
        <w:t>于到货后30个日历日内完成安装调试。</w:t>
      </w:r>
    </w:p>
    <w:p>
      <w:pPr>
        <w:spacing w:line="540" w:lineRule="exact"/>
        <w:ind w:firstLine="6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供货</w:t>
      </w:r>
      <w:r>
        <w:rPr>
          <w:rFonts w:hint="eastAsia" w:ascii="宋体" w:hAnsi="宋体" w:eastAsia="宋体" w:cs="宋体"/>
          <w:color w:val="auto"/>
          <w:sz w:val="24"/>
          <w:highlight w:val="none"/>
        </w:rPr>
        <w:t xml:space="preserve">地点: </w:t>
      </w:r>
      <w:r>
        <w:rPr>
          <w:rFonts w:hint="eastAsia" w:ascii="宋体" w:hAnsi="宋体" w:eastAsia="宋体" w:cs="宋体"/>
          <w:color w:val="auto"/>
          <w:sz w:val="24"/>
          <w:highlight w:val="none"/>
          <w:lang w:val="en-US" w:eastAsia="zh-CN"/>
        </w:rPr>
        <w:t>岳阳城陵矶港务有限责任公司</w:t>
      </w:r>
      <w:r>
        <w:rPr>
          <w:rFonts w:hint="eastAsia" w:ascii="宋体" w:hAnsi="宋体" w:cs="宋体"/>
          <w:color w:val="auto"/>
          <w:sz w:val="24"/>
          <w:highlight w:val="none"/>
          <w:lang w:val="en-US" w:eastAsia="zh-CN"/>
        </w:rPr>
        <w:t>铁运公司</w:t>
      </w:r>
    </w:p>
    <w:p>
      <w:pPr>
        <w:spacing w:line="540" w:lineRule="exact"/>
        <w:ind w:firstLine="6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 质量要求或服务标准:</w:t>
      </w:r>
    </w:p>
    <w:p>
      <w:pPr>
        <w:spacing w:line="540" w:lineRule="exact"/>
        <w:ind w:firstLine="6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技术要求：</w:t>
      </w:r>
      <w:r>
        <w:rPr>
          <w:rFonts w:hint="eastAsia" w:ascii="宋体" w:hAnsi="宋体" w:eastAsia="宋体" w:cs="宋体"/>
          <w:color w:val="auto"/>
          <w:sz w:val="24"/>
          <w:highlight w:val="none"/>
          <w:lang w:val="en-US" w:eastAsia="zh-CN"/>
        </w:rPr>
        <w:t>产品和安装服务应符合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阻隔防爆撬装式加油（气）装置技术要求》（AQ/T3002-2021)、</w:t>
      </w:r>
      <w:r>
        <w:rPr>
          <w:rFonts w:hint="eastAsia" w:ascii="宋体" w:hAnsi="宋体" w:eastAsia="宋体" w:cs="宋体"/>
          <w:color w:val="auto"/>
          <w:sz w:val="24"/>
          <w:highlight w:val="none"/>
          <w:lang w:eastAsia="zh-CN"/>
        </w:rPr>
        <w:t>《采用撬装式加油装置的汽车加油站技术规范》</w:t>
      </w:r>
      <w:r>
        <w:rPr>
          <w:rFonts w:hint="eastAsia" w:ascii="宋体" w:hAnsi="宋体" w:eastAsia="宋体" w:cs="宋体"/>
          <w:color w:val="auto"/>
          <w:sz w:val="24"/>
          <w:highlight w:val="none"/>
          <w:lang w:val="en-US" w:eastAsia="zh-CN"/>
        </w:rPr>
        <w:t>(SH/T3414-20</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《汽车加油加气加氢站技术标准》</w:t>
      </w:r>
      <w:r>
        <w:rPr>
          <w:rFonts w:hint="eastAsia" w:ascii="宋体" w:hAnsi="宋体" w:eastAsia="宋体" w:cs="宋体"/>
          <w:color w:val="auto"/>
          <w:sz w:val="24"/>
          <w:highlight w:val="none"/>
          <w:lang w:val="en-US" w:eastAsia="zh-CN"/>
        </w:rPr>
        <w:t>(GB50156-2021）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钢制焊接常压容器》（NB/T47003.1-2009)等技术标准要求</w:t>
      </w:r>
      <w:r>
        <w:rPr>
          <w:rFonts w:hint="eastAsia" w:ascii="宋体" w:hAnsi="宋体" w:eastAsia="宋体" w:cs="宋体"/>
          <w:color w:val="auto"/>
          <w:sz w:val="24"/>
          <w:highlight w:val="none"/>
          <w:lang w:eastAsia="zh-CN"/>
        </w:rPr>
        <w:t>。</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2、产品应具备以下检测（验）文件：</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加油装置</w:t>
      </w:r>
      <w:r>
        <w:rPr>
          <w:rFonts w:hint="eastAsia" w:ascii="宋体" w:hAnsi="宋体" w:eastAsia="宋体" w:cs="宋体"/>
          <w:color w:val="auto"/>
          <w:sz w:val="24"/>
          <w:highlight w:val="none"/>
          <w:lang w:val="en-US" w:eastAsia="zh-CN"/>
        </w:rPr>
        <w:t>应由具备资质的第三方检测机构出具的检验</w:t>
      </w:r>
      <w:r>
        <w:rPr>
          <w:rFonts w:hint="eastAsia" w:ascii="宋体" w:hAnsi="宋体" w:eastAsia="宋体" w:cs="宋体"/>
          <w:color w:val="auto"/>
          <w:sz w:val="24"/>
          <w:highlight w:val="none"/>
          <w:lang w:eastAsia="zh-CN"/>
        </w:rPr>
        <w:t>报告，</w:t>
      </w:r>
      <w:r>
        <w:rPr>
          <w:rFonts w:hint="eastAsia" w:ascii="宋体" w:hAnsi="宋体" w:eastAsia="宋体" w:cs="宋体"/>
          <w:color w:val="auto"/>
          <w:sz w:val="24"/>
          <w:highlight w:val="none"/>
          <w:lang w:val="en-US" w:eastAsia="zh-CN"/>
        </w:rPr>
        <w:t>报告的检验依据应包括本款第1条“技术要求”的标准；</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装置的电气部分应由具备资质的第三方检测机构出具的检验</w:t>
      </w:r>
      <w:r>
        <w:rPr>
          <w:rFonts w:hint="eastAsia" w:ascii="宋体" w:hAnsi="宋体" w:eastAsia="宋体" w:cs="宋体"/>
          <w:color w:val="auto"/>
          <w:sz w:val="24"/>
          <w:highlight w:val="none"/>
          <w:lang w:eastAsia="zh-CN"/>
        </w:rPr>
        <w:t>报告，</w:t>
      </w:r>
      <w:r>
        <w:rPr>
          <w:rFonts w:hint="eastAsia" w:ascii="宋体" w:hAnsi="宋体" w:eastAsia="宋体" w:cs="宋体"/>
          <w:color w:val="auto"/>
          <w:sz w:val="24"/>
          <w:highlight w:val="none"/>
          <w:lang w:val="en-US" w:eastAsia="zh-CN"/>
        </w:rPr>
        <w:t>报告的检验依据应包括《阻隔防爆撬装式加油（气）装置技术要求》（AQ/T3002-2021)、</w:t>
      </w:r>
      <w:r>
        <w:rPr>
          <w:rFonts w:hint="eastAsia" w:ascii="宋体" w:hAnsi="宋体" w:eastAsia="宋体" w:cs="宋体"/>
          <w:color w:val="auto"/>
          <w:sz w:val="24"/>
          <w:highlight w:val="none"/>
          <w:lang w:eastAsia="zh-CN"/>
        </w:rPr>
        <w:t>《汽车加油加气加氢站技术标准》</w:t>
      </w:r>
      <w:r>
        <w:rPr>
          <w:rFonts w:hint="eastAsia" w:ascii="宋体" w:hAnsi="宋体" w:eastAsia="宋体" w:cs="宋体"/>
          <w:color w:val="auto"/>
          <w:sz w:val="24"/>
          <w:highlight w:val="none"/>
          <w:lang w:val="en-US" w:eastAsia="zh-CN"/>
        </w:rPr>
        <w:t>(GB50156-2021）等标准；</w:t>
      </w:r>
    </w:p>
    <w:p>
      <w:pPr>
        <w:spacing w:line="540" w:lineRule="exact"/>
        <w:ind w:firstLine="480" w:firstLineChars="200"/>
        <w:rPr>
          <w:rFonts w:hint="default"/>
          <w:color w:val="auto"/>
          <w:lang w:val="en-US" w:eastAsia="zh-CN"/>
        </w:rPr>
      </w:pPr>
      <w:r>
        <w:rPr>
          <w:rFonts w:hint="eastAsia" w:ascii="宋体" w:hAnsi="宋体" w:eastAsia="宋体" w:cs="宋体"/>
          <w:color w:val="auto"/>
          <w:sz w:val="24"/>
          <w:highlight w:val="none"/>
          <w:lang w:val="en-US" w:eastAsia="zh-CN"/>
        </w:rPr>
        <w:t>装置的阻隔防爆材料应由具备资质的第三方检测机构出具的检验</w:t>
      </w:r>
      <w:r>
        <w:rPr>
          <w:rFonts w:hint="eastAsia" w:ascii="宋体" w:hAnsi="宋体" w:eastAsia="宋体" w:cs="宋体"/>
          <w:color w:val="auto"/>
          <w:sz w:val="24"/>
          <w:highlight w:val="none"/>
          <w:lang w:eastAsia="zh-CN"/>
        </w:rPr>
        <w:t>报告，</w:t>
      </w:r>
      <w:r>
        <w:rPr>
          <w:rFonts w:hint="eastAsia" w:ascii="宋体" w:hAnsi="宋体" w:eastAsia="宋体" w:cs="宋体"/>
          <w:color w:val="auto"/>
          <w:sz w:val="24"/>
          <w:highlight w:val="none"/>
          <w:lang w:val="en-US" w:eastAsia="zh-CN"/>
        </w:rPr>
        <w:t>报告的检验依据应包括《加油（气）站油（气）储存罐体阻隔防爆技术要求》（AQ/T3001-2021)标准；</w:t>
      </w:r>
    </w:p>
    <w:p>
      <w:pPr>
        <w:spacing w:line="540" w:lineRule="exact"/>
        <w:ind w:firstLine="6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加油装置的安全设施及外观均要求按《</w:t>
      </w:r>
      <w:r>
        <w:rPr>
          <w:rFonts w:hint="eastAsia" w:ascii="宋体" w:hAnsi="宋体" w:eastAsia="宋体" w:cs="宋体"/>
          <w:color w:val="auto"/>
          <w:sz w:val="24"/>
          <w:highlight w:val="none"/>
          <w:lang w:val="en-US" w:eastAsia="zh-CN"/>
        </w:rPr>
        <w:t>阻隔防爆撬装式加油（气）装置技术要求》（AQ/T3002-2021)</w:t>
      </w:r>
      <w:r>
        <w:rPr>
          <w:rFonts w:hint="eastAsia" w:ascii="宋体" w:hAnsi="宋体" w:eastAsia="宋体" w:cs="宋体"/>
          <w:color w:val="auto"/>
          <w:sz w:val="24"/>
          <w:highlight w:val="none"/>
          <w:lang w:eastAsia="zh-CN"/>
        </w:rPr>
        <w:t>配置（包含：阻隔防爆材料、智能管理系统、防爆配电系统、油气监控系统、紧急切断装置、防爆灯装置、智能接地 静电报警器装置、悬挂式自动灭火装置、防爆呼吸阀装置、人孔盖装置、液位仪装置、卷帘门、高油位报警器、安全防护装置等）。</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r>
        <w:rPr>
          <w:rFonts w:hint="eastAsia" w:ascii="宋体" w:hAnsi="宋体" w:cs="宋体"/>
          <w:color w:val="auto"/>
          <w:sz w:val="24"/>
          <w:highlight w:val="none"/>
          <w:lang w:val="en-US" w:eastAsia="zh-CN"/>
        </w:rPr>
        <w:t>本次安装地点为旧物原址，供应商对旧物的拆除工作提供技术支持和指导，旧砖混基础由供应商负责拆除（采购人协助）。</w:t>
      </w:r>
    </w:p>
    <w:p>
      <w:pPr>
        <w:spacing w:line="540" w:lineRule="exact"/>
        <w:ind w:firstLine="6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本工程严格按照</w:t>
      </w:r>
      <w:r>
        <w:rPr>
          <w:rFonts w:hint="eastAsia" w:ascii="宋体" w:hAnsi="宋体" w:cs="宋体"/>
          <w:color w:val="auto"/>
          <w:sz w:val="24"/>
          <w:highlight w:val="none"/>
          <w:lang w:eastAsia="zh-CN"/>
        </w:rPr>
        <w:t>采购</w:t>
      </w:r>
      <w:r>
        <w:rPr>
          <w:rFonts w:hint="eastAsia" w:ascii="宋体" w:hAnsi="宋体" w:eastAsia="宋体" w:cs="宋体"/>
          <w:color w:val="auto"/>
          <w:sz w:val="24"/>
          <w:highlight w:val="none"/>
        </w:rPr>
        <w:t>方质量管理体系的要求，进行工程质量控制，并按</w:t>
      </w:r>
      <w:r>
        <w:rPr>
          <w:rFonts w:hint="eastAsia" w:ascii="宋体" w:hAnsi="宋体" w:cs="宋体"/>
          <w:color w:val="auto"/>
          <w:sz w:val="24"/>
          <w:highlight w:val="none"/>
          <w:lang w:val="en-US" w:eastAsia="zh-CN"/>
        </w:rPr>
        <w:t>采购</w:t>
      </w:r>
      <w:r>
        <w:rPr>
          <w:rFonts w:hint="eastAsia" w:ascii="宋体" w:hAnsi="宋体" w:eastAsia="宋体" w:cs="宋体"/>
          <w:color w:val="auto"/>
          <w:sz w:val="24"/>
          <w:highlight w:val="none"/>
        </w:rPr>
        <w:t>方有关要求填报相关表格，交</w:t>
      </w:r>
      <w:r>
        <w:rPr>
          <w:rFonts w:hint="eastAsia" w:ascii="宋体" w:hAnsi="宋体" w:cs="宋体"/>
          <w:color w:val="auto"/>
          <w:sz w:val="24"/>
          <w:highlight w:val="none"/>
          <w:lang w:val="en-US" w:eastAsia="zh-CN"/>
        </w:rPr>
        <w:t>采购</w:t>
      </w:r>
      <w:r>
        <w:rPr>
          <w:rFonts w:hint="eastAsia" w:ascii="宋体" w:hAnsi="宋体" w:eastAsia="宋体" w:cs="宋体"/>
          <w:color w:val="auto"/>
          <w:sz w:val="24"/>
          <w:highlight w:val="none"/>
        </w:rPr>
        <w:t>方整理存档。</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6、工程质量保修期按从竣工验收合格后1年执行。工程质量保修期起始日期自竣工验收报告签署之日起。</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、橇装加油装置配置表</w:t>
      </w:r>
    </w:p>
    <w:p>
      <w:pPr>
        <w:spacing w:line="540" w:lineRule="exact"/>
        <w:ind w:firstLine="6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容量：40 m³ 储备油品： 柴油 ，产品外观形状：橇装站为 方形 外观，双层罐体，其中内罐为 双 仓的罐体。一端带有方形工作仓，带防爆功能铝合金门， 一 台 一 泵 单 枪加油机朝向 横向一侧 安装。 小型卸油泵设在加油机后部，配备30米管（含接头）用于对机车加油。储罐上部带有走台和护栏。 </w:t>
      </w:r>
    </w:p>
    <w:p>
      <w:pPr>
        <w:widowControl/>
        <w:shd w:val="clear" w:color="auto" w:fill="FFFFFF"/>
        <w:spacing w:line="420" w:lineRule="exact"/>
        <w:ind w:firstLine="422" w:firstLineChars="200"/>
        <w:jc w:val="right"/>
        <w:rPr>
          <w:rFonts w:cs="Times New Roman"/>
          <w:b/>
          <w:bCs/>
          <w:color w:val="auto"/>
          <w:sz w:val="24"/>
          <w:shd w:val="clear" w:color="auto" w:fill="FFFFFF"/>
          <w:lang w:val="en-US"/>
        </w:rPr>
      </w:pPr>
      <w:r>
        <w:rPr>
          <w:rFonts w:hint="eastAsia" w:cs="Times New Roman"/>
          <w:b/>
          <w:bCs/>
          <w:color w:val="auto"/>
          <w:shd w:val="clear" w:color="auto" w:fill="FFFFFF"/>
          <w:lang w:val="en-US" w:eastAsia="zh-CN"/>
        </w:rPr>
        <w:t xml:space="preserve">       </w:t>
      </w:r>
    </w:p>
    <w:tbl>
      <w:tblPr>
        <w:tblStyle w:val="39"/>
        <w:tblW w:w="9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714"/>
        <w:gridCol w:w="1452"/>
        <w:gridCol w:w="5173"/>
        <w:gridCol w:w="739"/>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64" w:type="dxa"/>
            <w:vAlign w:val="center"/>
          </w:tcPr>
          <w:p>
            <w:pPr>
              <w:widowControl/>
              <w:autoSpaceDE/>
              <w:autoSpaceDN/>
              <w:spacing w:line="300" w:lineRule="exact"/>
              <w:jc w:val="center"/>
              <w:rPr>
                <w:rFonts w:hint="eastAsia" w:eastAsia="微软雅黑" w:cs="宋体"/>
                <w:color w:val="auto"/>
                <w:szCs w:val="21"/>
                <w:lang w:val="en-US" w:eastAsia="zh-CN"/>
              </w:rPr>
            </w:pPr>
            <w:r>
              <w:rPr>
                <w:rFonts w:hint="eastAsia" w:cs="宋体"/>
                <w:b/>
                <w:bCs/>
                <w:color w:val="auto"/>
                <w:sz w:val="24"/>
                <w:szCs w:val="24"/>
                <w:lang w:val="en-US" w:eastAsia="zh-CN"/>
              </w:rPr>
              <w:t>类别</w:t>
            </w:r>
          </w:p>
        </w:tc>
        <w:tc>
          <w:tcPr>
            <w:tcW w:w="714" w:type="dxa"/>
            <w:vAlign w:val="center"/>
          </w:tcPr>
          <w:p>
            <w:pPr>
              <w:widowControl/>
              <w:spacing w:line="300" w:lineRule="exact"/>
              <w:jc w:val="center"/>
              <w:rPr>
                <w:rFonts w:cs="宋体"/>
                <w:b/>
                <w:bCs/>
                <w:color w:val="auto"/>
                <w:sz w:val="24"/>
                <w:szCs w:val="24"/>
              </w:rPr>
            </w:pPr>
            <w:r>
              <w:rPr>
                <w:rFonts w:hint="eastAsia" w:cs="宋体"/>
                <w:b/>
                <w:bCs/>
                <w:color w:val="auto"/>
                <w:sz w:val="24"/>
                <w:szCs w:val="24"/>
              </w:rPr>
              <w:t>序号</w:t>
            </w:r>
          </w:p>
        </w:tc>
        <w:tc>
          <w:tcPr>
            <w:tcW w:w="1452" w:type="dxa"/>
            <w:vAlign w:val="center"/>
          </w:tcPr>
          <w:p>
            <w:pPr>
              <w:widowControl/>
              <w:autoSpaceDE/>
              <w:autoSpaceDN/>
              <w:spacing w:line="300" w:lineRule="exact"/>
              <w:jc w:val="center"/>
              <w:rPr>
                <w:rFonts w:cs="宋体"/>
                <w:b/>
                <w:bCs/>
                <w:color w:val="auto"/>
                <w:sz w:val="24"/>
                <w:szCs w:val="24"/>
              </w:rPr>
            </w:pPr>
            <w:r>
              <w:rPr>
                <w:rFonts w:hint="eastAsia" w:cs="宋体"/>
                <w:b/>
                <w:bCs/>
                <w:color w:val="auto"/>
                <w:sz w:val="24"/>
                <w:szCs w:val="24"/>
              </w:rPr>
              <w:t>名称</w:t>
            </w:r>
          </w:p>
        </w:tc>
        <w:tc>
          <w:tcPr>
            <w:tcW w:w="5173" w:type="dxa"/>
            <w:vAlign w:val="center"/>
          </w:tcPr>
          <w:p>
            <w:pPr>
              <w:widowControl/>
              <w:autoSpaceDE/>
              <w:autoSpaceDN/>
              <w:spacing w:line="300" w:lineRule="exact"/>
              <w:jc w:val="center"/>
              <w:rPr>
                <w:rFonts w:cs="宋体"/>
                <w:b/>
                <w:bCs/>
                <w:color w:val="auto"/>
                <w:sz w:val="24"/>
                <w:szCs w:val="24"/>
              </w:rPr>
            </w:pPr>
            <w:r>
              <w:rPr>
                <w:rFonts w:hint="eastAsia" w:cs="宋体"/>
                <w:b/>
                <w:bCs/>
                <w:color w:val="auto"/>
                <w:sz w:val="24"/>
                <w:szCs w:val="24"/>
              </w:rPr>
              <w:t>规格型号</w:t>
            </w:r>
          </w:p>
        </w:tc>
        <w:tc>
          <w:tcPr>
            <w:tcW w:w="739" w:type="dxa"/>
            <w:vAlign w:val="center"/>
          </w:tcPr>
          <w:p>
            <w:pPr>
              <w:widowControl/>
              <w:autoSpaceDE/>
              <w:autoSpaceDN/>
              <w:spacing w:line="300" w:lineRule="exact"/>
              <w:jc w:val="center"/>
              <w:rPr>
                <w:rFonts w:cs="宋体"/>
                <w:b/>
                <w:bCs/>
                <w:color w:val="auto"/>
                <w:sz w:val="24"/>
                <w:szCs w:val="24"/>
              </w:rPr>
            </w:pPr>
            <w:r>
              <w:rPr>
                <w:rFonts w:hint="eastAsia" w:cs="宋体"/>
                <w:b/>
                <w:bCs/>
                <w:color w:val="auto"/>
                <w:sz w:val="24"/>
                <w:szCs w:val="24"/>
              </w:rPr>
              <w:t>数量</w:t>
            </w:r>
          </w:p>
        </w:tc>
        <w:tc>
          <w:tcPr>
            <w:tcW w:w="786" w:type="dxa"/>
            <w:vAlign w:val="center"/>
          </w:tcPr>
          <w:p>
            <w:pPr>
              <w:widowControl/>
              <w:autoSpaceDE/>
              <w:autoSpaceDN/>
              <w:spacing w:line="300" w:lineRule="exact"/>
              <w:jc w:val="center"/>
              <w:rPr>
                <w:rFonts w:cs="宋体"/>
                <w:b/>
                <w:bCs/>
                <w:color w:val="auto"/>
                <w:sz w:val="24"/>
                <w:szCs w:val="24"/>
              </w:rPr>
            </w:pPr>
            <w:r>
              <w:rPr>
                <w:rFonts w:hint="eastAsia" w:cs="宋体"/>
                <w:b/>
                <w:bCs/>
                <w:color w:val="auto"/>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864" w:type="dxa"/>
            <w:vMerge w:val="restart"/>
            <w:textDirection w:val="tbLrV"/>
            <w:vAlign w:val="center"/>
          </w:tcPr>
          <w:p>
            <w:pPr>
              <w:widowControl/>
              <w:autoSpaceDE/>
              <w:autoSpaceDN/>
              <w:spacing w:line="300" w:lineRule="exact"/>
              <w:ind w:left="113" w:right="113"/>
              <w:jc w:val="center"/>
              <w:rPr>
                <w:rFonts w:cs="宋体"/>
                <w:b/>
                <w:color w:val="auto"/>
                <w:szCs w:val="21"/>
              </w:rPr>
            </w:pPr>
            <w:r>
              <w:rPr>
                <w:rFonts w:hint="eastAsia" w:cs="宋体"/>
                <w:b/>
                <w:color w:val="auto"/>
                <w:szCs w:val="21"/>
              </w:rPr>
              <w:t>阻隔防爆罐体及安全附件</w:t>
            </w: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1</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GT-双层防爆储罐</w:t>
            </w:r>
          </w:p>
        </w:tc>
        <w:tc>
          <w:tcPr>
            <w:tcW w:w="5173" w:type="dxa"/>
            <w:vAlign w:val="center"/>
          </w:tcPr>
          <w:p>
            <w:pPr>
              <w:widowControl/>
              <w:autoSpaceDE/>
              <w:autoSpaceDN/>
              <w:spacing w:line="300" w:lineRule="exact"/>
              <w:ind w:firstLine="210" w:firstLineChars="100"/>
              <w:jc w:val="center"/>
              <w:rPr>
                <w:rFonts w:cs="Times New Roman"/>
                <w:color w:val="auto"/>
                <w:szCs w:val="21"/>
              </w:rPr>
            </w:pPr>
            <w:r>
              <w:rPr>
                <w:rFonts w:cs="Times New Roman"/>
                <w:color w:val="auto"/>
                <w:szCs w:val="21"/>
              </w:rPr>
              <w:t>GT-双层防爆钢罐，内罐</w:t>
            </w:r>
            <w:r>
              <w:rPr>
                <w:rFonts w:hint="eastAsia" w:cs="Times New Roman"/>
                <w:color w:val="auto"/>
                <w:szCs w:val="21"/>
                <w:lang w:eastAsia="zh-CN"/>
              </w:rPr>
              <w:t>钢材采用</w:t>
            </w:r>
            <w:r>
              <w:rPr>
                <w:rFonts w:hint="eastAsia" w:cs="Times New Roman"/>
                <w:color w:val="auto"/>
                <w:szCs w:val="21"/>
                <w:lang w:val="en-US" w:eastAsia="zh-CN"/>
              </w:rPr>
              <w:t>Q345R材质，外罐钢材采用Q235B材质</w:t>
            </w:r>
            <w:r>
              <w:rPr>
                <w:rFonts w:hint="eastAsia" w:cs="Times New Roman"/>
                <w:color w:val="auto"/>
                <w:szCs w:val="21"/>
              </w:rPr>
              <w:t>。</w:t>
            </w:r>
            <w:r>
              <w:rPr>
                <w:rFonts w:hint="eastAsia" w:cs="Times New Roman"/>
                <w:color w:val="auto"/>
                <w:szCs w:val="21"/>
                <w:lang w:eastAsia="zh-CN"/>
              </w:rPr>
              <w:t>设备内罐体壁厚</w:t>
            </w:r>
            <w:r>
              <w:rPr>
                <w:rFonts w:hint="eastAsia" w:cs="Times New Roman"/>
                <w:color w:val="auto"/>
                <w:szCs w:val="21"/>
                <w:lang w:val="en-US" w:eastAsia="zh-CN"/>
              </w:rPr>
              <w:t>8mm，外罐体壁厚4mm，</w:t>
            </w:r>
            <w:r>
              <w:rPr>
                <w:rFonts w:cs="Times New Roman"/>
                <w:color w:val="auto"/>
                <w:szCs w:val="21"/>
              </w:rPr>
              <w:t>内</w:t>
            </w:r>
            <w:r>
              <w:rPr>
                <w:rFonts w:cs="Times New Roman"/>
                <w:color w:val="auto"/>
                <w:szCs w:val="21"/>
                <w:highlight w:val="none"/>
              </w:rPr>
              <w:t>罐容积为</w:t>
            </w:r>
            <w:r>
              <w:rPr>
                <w:rFonts w:hint="eastAsia" w:cs="Times New Roman"/>
                <w:color w:val="auto"/>
                <w:szCs w:val="21"/>
                <w:highlight w:val="none"/>
                <w:lang w:val="en-US"/>
              </w:rPr>
              <w:t xml:space="preserve"> </w:t>
            </w:r>
            <w:r>
              <w:rPr>
                <w:rFonts w:hint="eastAsia" w:cs="Times New Roman"/>
                <w:color w:val="auto"/>
                <w:szCs w:val="21"/>
                <w:highlight w:val="none"/>
                <w:u w:val="single"/>
                <w:lang w:val="en-US"/>
              </w:rPr>
              <w:t xml:space="preserve"> </w:t>
            </w:r>
            <w:r>
              <w:rPr>
                <w:rFonts w:hint="eastAsia" w:cs="Times New Roman"/>
                <w:color w:val="auto"/>
                <w:szCs w:val="21"/>
                <w:highlight w:val="none"/>
                <w:u w:val="single"/>
                <w:lang w:val="en-US" w:eastAsia="zh-CN"/>
              </w:rPr>
              <w:t xml:space="preserve">40 </w:t>
            </w:r>
            <w:r>
              <w:rPr>
                <w:rFonts w:hint="eastAsia" w:cs="Times New Roman"/>
                <w:color w:val="auto"/>
                <w:szCs w:val="21"/>
                <w:highlight w:val="none"/>
                <w:u w:val="single"/>
                <w:lang w:val="en-US"/>
              </w:rPr>
              <w:t xml:space="preserve"> </w:t>
            </w:r>
            <w:r>
              <w:rPr>
                <w:rFonts w:cs="Times New Roman"/>
                <w:color w:val="auto"/>
                <w:szCs w:val="21"/>
                <w:highlight w:val="none"/>
              </w:rPr>
              <w:t>m³（</w:t>
            </w:r>
            <w:r>
              <w:rPr>
                <w:rFonts w:hint="eastAsia" w:cs="Times New Roman"/>
                <w:color w:val="auto"/>
                <w:szCs w:val="21"/>
                <w:highlight w:val="none"/>
                <w:u w:val="single"/>
                <w:lang w:val="en-US" w:eastAsia="zh-CN"/>
              </w:rPr>
              <w:t xml:space="preserve"> 20 </w:t>
            </w:r>
            <w:r>
              <w:rPr>
                <w:rFonts w:cs="Times New Roman"/>
                <w:color w:val="auto"/>
                <w:szCs w:val="21"/>
                <w:highlight w:val="none"/>
                <w:shd w:val="clear" w:color="auto" w:fill="FFFFFF"/>
              </w:rPr>
              <w:t>m³</w:t>
            </w:r>
            <w:r>
              <w:rPr>
                <w:rFonts w:hint="eastAsia" w:cs="Times New Roman"/>
                <w:color w:val="auto"/>
                <w:szCs w:val="21"/>
                <w:highlight w:val="none"/>
                <w:shd w:val="clear" w:color="auto" w:fill="FFFFFF"/>
                <w:lang w:val="en-US" w:eastAsia="zh-CN"/>
              </w:rPr>
              <w:t>柴油+</w:t>
            </w:r>
            <w:r>
              <w:rPr>
                <w:rFonts w:hint="eastAsia" w:cs="Times New Roman"/>
                <w:color w:val="auto"/>
                <w:szCs w:val="21"/>
                <w:highlight w:val="none"/>
                <w:u w:val="single"/>
                <w:shd w:val="clear" w:color="auto" w:fill="FFFFFF"/>
                <w:lang w:val="en-US" w:eastAsia="zh-CN"/>
              </w:rPr>
              <w:t xml:space="preserve"> 20 </w:t>
            </w:r>
            <w:r>
              <w:rPr>
                <w:rFonts w:hint="eastAsia" w:cs="Times New Roman"/>
                <w:color w:val="auto"/>
                <w:szCs w:val="21"/>
                <w:highlight w:val="none"/>
                <w:u w:val="none"/>
                <w:shd w:val="clear" w:color="auto" w:fill="FFFFFF"/>
                <w:lang w:val="en-US" w:eastAsia="zh-CN"/>
              </w:rPr>
              <w:t>m³柴油</w:t>
            </w:r>
            <w:r>
              <w:rPr>
                <w:rFonts w:hint="eastAsia" w:cs="Times New Roman"/>
                <w:color w:val="auto"/>
                <w:szCs w:val="21"/>
                <w:highlight w:val="none"/>
                <w:shd w:val="clear" w:color="auto" w:fill="FFFFFF"/>
              </w:rPr>
              <w:t>）</w:t>
            </w:r>
            <w:r>
              <w:rPr>
                <w:rFonts w:cs="Times New Roman"/>
                <w:color w:val="auto"/>
                <w:szCs w:val="21"/>
                <w:highlight w:val="none"/>
              </w:rPr>
              <w:t>。罐体可承受</w:t>
            </w:r>
            <w:r>
              <w:rPr>
                <w:rFonts w:hint="eastAsia" w:cs="Times New Roman"/>
                <w:color w:val="auto"/>
                <w:szCs w:val="21"/>
                <w:highlight w:val="none"/>
                <w:lang w:val="en-US"/>
              </w:rPr>
              <w:t>1</w:t>
            </w:r>
            <w:r>
              <w:rPr>
                <w:rFonts w:cs="Times New Roman"/>
                <w:color w:val="auto"/>
                <w:szCs w:val="21"/>
                <w:highlight w:val="none"/>
              </w:rPr>
              <w:t>个小时的耐火试验，并</w:t>
            </w:r>
            <w:r>
              <w:rPr>
                <w:rFonts w:hint="eastAsia" w:cs="Times New Roman"/>
                <w:color w:val="auto"/>
                <w:szCs w:val="21"/>
                <w:highlight w:val="none"/>
              </w:rPr>
              <w:t>附</w:t>
            </w:r>
            <w:r>
              <w:rPr>
                <w:rFonts w:cs="Times New Roman"/>
                <w:color w:val="auto"/>
                <w:szCs w:val="21"/>
                <w:highlight w:val="none"/>
              </w:rPr>
              <w:t>有国家一级防爆鉴定资质的检测机构出具的检测报告。</w:t>
            </w:r>
          </w:p>
        </w:tc>
        <w:tc>
          <w:tcPr>
            <w:tcW w:w="739" w:type="dxa"/>
            <w:vAlign w:val="center"/>
          </w:tcPr>
          <w:p>
            <w:pPr>
              <w:widowControl/>
              <w:autoSpaceDE/>
              <w:autoSpaceDN/>
              <w:spacing w:line="300" w:lineRule="exact"/>
              <w:jc w:val="center"/>
              <w:rPr>
                <w:rFonts w:cs="Times New Roman"/>
                <w:color w:val="auto"/>
                <w:szCs w:val="21"/>
              </w:rPr>
            </w:pPr>
            <w:r>
              <w:rPr>
                <w:rFonts w:cs="Times New Roman"/>
                <w:color w:val="auto"/>
                <w:szCs w:val="21"/>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2</w:t>
            </w:r>
          </w:p>
        </w:tc>
        <w:tc>
          <w:tcPr>
            <w:tcW w:w="1452" w:type="dxa"/>
            <w:vAlign w:val="center"/>
          </w:tcPr>
          <w:p>
            <w:pPr>
              <w:widowControl/>
              <w:autoSpaceDE/>
              <w:autoSpaceDN/>
              <w:spacing w:line="300" w:lineRule="exact"/>
              <w:jc w:val="center"/>
              <w:rPr>
                <w:rFonts w:cs="宋体"/>
                <w:color w:val="auto"/>
                <w:szCs w:val="21"/>
              </w:rPr>
            </w:pPr>
            <w:r>
              <w:rPr>
                <w:rFonts w:hint="eastAsia" w:cs="Times New Roman"/>
                <w:color w:val="auto"/>
                <w:szCs w:val="21"/>
                <w:lang w:val="en-US"/>
              </w:rPr>
              <w:t>阻隔</w:t>
            </w:r>
            <w:r>
              <w:rPr>
                <w:rFonts w:hint="eastAsia" w:cs="Times New Roman"/>
                <w:color w:val="auto"/>
                <w:szCs w:val="21"/>
              </w:rPr>
              <w:t>防爆材料</w:t>
            </w:r>
          </w:p>
        </w:tc>
        <w:tc>
          <w:tcPr>
            <w:tcW w:w="5173" w:type="dxa"/>
            <w:vAlign w:val="center"/>
          </w:tcPr>
          <w:p>
            <w:pPr>
              <w:widowControl/>
              <w:autoSpaceDE/>
              <w:autoSpaceDN/>
              <w:spacing w:line="300" w:lineRule="exact"/>
              <w:ind w:firstLine="210" w:firstLineChars="100"/>
              <w:jc w:val="center"/>
              <w:rPr>
                <w:rFonts w:hint="default" w:eastAsia="微软雅黑" w:cs="Times New Roman"/>
                <w:color w:val="auto"/>
                <w:szCs w:val="21"/>
                <w:lang w:val="en-US" w:eastAsia="zh-CN"/>
              </w:rPr>
            </w:pPr>
            <w:r>
              <w:rPr>
                <w:rFonts w:cs="Times New Roman"/>
                <w:color w:val="auto"/>
                <w:szCs w:val="21"/>
              </w:rPr>
              <w:t>内罐体装填</w:t>
            </w:r>
            <w:r>
              <w:rPr>
                <w:rFonts w:hint="eastAsia" w:cs="Times New Roman"/>
                <w:color w:val="auto"/>
                <w:szCs w:val="21"/>
              </w:rPr>
              <w:t>IV</w:t>
            </w:r>
            <w:r>
              <w:rPr>
                <w:rFonts w:cs="Times New Roman"/>
                <w:color w:val="auto"/>
                <w:szCs w:val="21"/>
              </w:rPr>
              <w:t>型阻隔防爆材料，几何形尺寸，边长6mm，填充密度标准要求</w:t>
            </w:r>
            <w:r>
              <w:rPr>
                <w:rFonts w:hint="eastAsia" w:cs="Times New Roman"/>
                <w:color w:val="auto"/>
                <w:szCs w:val="21"/>
              </w:rPr>
              <w:t>不大于80</w:t>
            </w:r>
            <w:r>
              <w:rPr>
                <w:rFonts w:cs="Times New Roman"/>
                <w:color w:val="auto"/>
                <w:szCs w:val="21"/>
              </w:rPr>
              <w:t>kg/m3，</w:t>
            </w:r>
            <w:r>
              <w:rPr>
                <w:rFonts w:hint="eastAsia" w:cs="Times New Roman"/>
                <w:color w:val="auto"/>
                <w:szCs w:val="21"/>
              </w:rPr>
              <w:t>留空率不大于10%。</w:t>
            </w:r>
            <w:r>
              <w:rPr>
                <w:rFonts w:hint="eastAsia" w:cs="Times New Roman"/>
                <w:color w:val="auto"/>
                <w:szCs w:val="21"/>
                <w:lang w:eastAsia="zh-CN"/>
              </w:rPr>
              <w:t>附国家爆破器材质量检测院</w:t>
            </w:r>
            <w:r>
              <w:rPr>
                <w:rFonts w:hint="eastAsia" w:cs="Times New Roman"/>
                <w:color w:val="auto"/>
                <w:szCs w:val="21"/>
                <w:lang w:val="en-US" w:eastAsia="zh-CN"/>
              </w:rPr>
              <w:t>-《阻隔防爆材料检测报告》。</w:t>
            </w:r>
          </w:p>
        </w:tc>
        <w:tc>
          <w:tcPr>
            <w:tcW w:w="739" w:type="dxa"/>
            <w:vAlign w:val="center"/>
          </w:tcPr>
          <w:p>
            <w:pPr>
              <w:widowControl/>
              <w:autoSpaceDE/>
              <w:autoSpaceDN/>
              <w:spacing w:line="480" w:lineRule="auto"/>
              <w:jc w:val="center"/>
              <w:rPr>
                <w:rFonts w:hint="default" w:eastAsia="微软雅黑" w:cs="Times New Roman"/>
                <w:color w:val="auto"/>
                <w:szCs w:val="21"/>
                <w:u w:val="single"/>
                <w:lang w:val="en-US" w:eastAsia="zh-CN"/>
              </w:rPr>
            </w:pPr>
            <w:r>
              <w:rPr>
                <w:rFonts w:hint="eastAsia" w:cs="Times New Roman"/>
                <w:color w:val="auto"/>
                <w:szCs w:val="21"/>
                <w:u w:val="single"/>
                <w:lang w:val="en-US" w:eastAsia="zh-CN"/>
              </w:rPr>
              <w:t>50</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3</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防爆配电系统</w:t>
            </w:r>
          </w:p>
        </w:tc>
        <w:tc>
          <w:tcPr>
            <w:tcW w:w="5173" w:type="dxa"/>
            <w:vAlign w:val="center"/>
          </w:tcPr>
          <w:p>
            <w:pPr>
              <w:widowControl/>
              <w:autoSpaceDE/>
              <w:autoSpaceDN/>
              <w:spacing w:line="300" w:lineRule="exact"/>
              <w:jc w:val="center"/>
              <w:rPr>
                <w:rFonts w:hint="default" w:eastAsia="微软雅黑" w:cs="Times New Roman"/>
                <w:color w:val="auto"/>
                <w:szCs w:val="21"/>
                <w:lang w:val="en-US" w:eastAsia="zh-CN"/>
              </w:rPr>
            </w:pPr>
            <w:r>
              <w:rPr>
                <w:rFonts w:cs="Times New Roman"/>
                <w:color w:val="auto"/>
                <w:szCs w:val="21"/>
              </w:rPr>
              <w:t>默认为380V三相五线制。</w:t>
            </w:r>
            <w:r>
              <w:rPr>
                <w:rFonts w:hint="eastAsia" w:cs="Times New Roman"/>
                <w:color w:val="auto"/>
                <w:szCs w:val="21"/>
                <w:lang w:eastAsia="zh-CN"/>
              </w:rPr>
              <w:t>附南阳防爆电气研究院</w:t>
            </w:r>
            <w:r>
              <w:rPr>
                <w:rFonts w:hint="eastAsia" w:cs="Times New Roman"/>
                <w:color w:val="auto"/>
                <w:szCs w:val="21"/>
                <w:lang w:val="en-US" w:eastAsia="zh-CN"/>
              </w:rPr>
              <w:t>-《橇装设备整体电气化防爆检验报告》</w:t>
            </w:r>
          </w:p>
        </w:tc>
        <w:tc>
          <w:tcPr>
            <w:tcW w:w="739" w:type="dxa"/>
            <w:vAlign w:val="center"/>
          </w:tcPr>
          <w:p>
            <w:pPr>
              <w:widowControl/>
              <w:autoSpaceDE/>
              <w:autoSpaceDN/>
              <w:spacing w:line="300" w:lineRule="exact"/>
              <w:jc w:val="center"/>
              <w:rPr>
                <w:rFonts w:cs="Times New Roman"/>
                <w:color w:val="auto"/>
                <w:szCs w:val="21"/>
              </w:rPr>
            </w:pPr>
            <w:r>
              <w:rPr>
                <w:rFonts w:cs="Times New Roman"/>
                <w:color w:val="auto"/>
                <w:szCs w:val="21"/>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4</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防爆声光报警及安全照明系统</w:t>
            </w:r>
          </w:p>
        </w:tc>
        <w:tc>
          <w:tcPr>
            <w:tcW w:w="5173" w:type="dxa"/>
            <w:vAlign w:val="center"/>
          </w:tcPr>
          <w:p>
            <w:pPr>
              <w:widowControl/>
              <w:autoSpaceDE/>
              <w:autoSpaceDN/>
              <w:spacing w:line="300" w:lineRule="exact"/>
              <w:ind w:firstLine="210" w:firstLineChars="100"/>
              <w:jc w:val="center"/>
              <w:rPr>
                <w:rFonts w:cs="Times New Roman"/>
                <w:color w:val="auto"/>
                <w:szCs w:val="21"/>
              </w:rPr>
            </w:pPr>
            <w:r>
              <w:rPr>
                <w:rFonts w:cs="Times New Roman"/>
                <w:color w:val="auto"/>
                <w:szCs w:val="21"/>
              </w:rPr>
              <w:t>安全照明：防爆吸顶灯，一体式设计，美观节能，防爆等级ExdⅡCT6</w:t>
            </w:r>
          </w:p>
        </w:tc>
        <w:tc>
          <w:tcPr>
            <w:tcW w:w="739" w:type="dxa"/>
            <w:vAlign w:val="center"/>
          </w:tcPr>
          <w:p>
            <w:pPr>
              <w:widowControl/>
              <w:autoSpaceDE/>
              <w:autoSpaceDN/>
              <w:spacing w:line="300" w:lineRule="exact"/>
              <w:jc w:val="center"/>
              <w:rPr>
                <w:rFonts w:hint="eastAsia" w:eastAsia="微软雅黑" w:cs="Times New Roman"/>
                <w:color w:val="auto"/>
                <w:szCs w:val="21"/>
                <w:lang w:eastAsia="zh-CN"/>
              </w:rPr>
            </w:pPr>
            <w:r>
              <w:rPr>
                <w:rFonts w:hint="eastAsia" w:cs="Times New Roman"/>
                <w:color w:val="auto"/>
                <w:szCs w:val="21"/>
                <w:lang w:val="en-US" w:eastAsia="zh-CN"/>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5</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紧急切断装置</w:t>
            </w:r>
          </w:p>
        </w:tc>
        <w:tc>
          <w:tcPr>
            <w:tcW w:w="5173" w:type="dxa"/>
            <w:vAlign w:val="center"/>
          </w:tcPr>
          <w:p>
            <w:pPr>
              <w:widowControl/>
              <w:autoSpaceDE/>
              <w:autoSpaceDN/>
              <w:spacing w:line="300" w:lineRule="exact"/>
              <w:jc w:val="center"/>
              <w:rPr>
                <w:rFonts w:cs="Times New Roman"/>
                <w:color w:val="auto"/>
                <w:szCs w:val="21"/>
              </w:rPr>
            </w:pPr>
            <w:r>
              <w:rPr>
                <w:rFonts w:cs="Times New Roman"/>
                <w:color w:val="auto"/>
                <w:szCs w:val="21"/>
              </w:rPr>
              <w:t>当遇到地震、火灾、意外翻倾、坠落、撞击等非人力可控灾害时自动密封罐体，保证油品不外泄。该装置内部采用机械传动构件，保证在失去电源的情况下也能有效工作。</w:t>
            </w:r>
          </w:p>
        </w:tc>
        <w:tc>
          <w:tcPr>
            <w:tcW w:w="739" w:type="dxa"/>
            <w:vAlign w:val="center"/>
          </w:tcPr>
          <w:p>
            <w:pPr>
              <w:widowControl/>
              <w:autoSpaceDE/>
              <w:autoSpaceDN/>
              <w:spacing w:line="300" w:lineRule="exact"/>
              <w:jc w:val="center"/>
              <w:rPr>
                <w:rFonts w:hint="eastAsia" w:eastAsia="微软雅黑" w:cs="Times New Roman"/>
                <w:color w:val="auto"/>
                <w:szCs w:val="21"/>
                <w:lang w:eastAsia="zh-CN"/>
              </w:rPr>
            </w:pPr>
            <w:r>
              <w:rPr>
                <w:rFonts w:hint="eastAsia" w:cs="Times New Roman"/>
                <w:color w:val="auto"/>
                <w:szCs w:val="21"/>
                <w:lang w:val="en-US" w:eastAsia="zh-CN"/>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6</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自动灭火装置</w:t>
            </w:r>
          </w:p>
        </w:tc>
        <w:tc>
          <w:tcPr>
            <w:tcW w:w="5173" w:type="dxa"/>
            <w:vAlign w:val="center"/>
          </w:tcPr>
          <w:p>
            <w:pPr>
              <w:widowControl/>
              <w:autoSpaceDE/>
              <w:autoSpaceDN/>
              <w:spacing w:line="300" w:lineRule="exact"/>
              <w:ind w:firstLine="210" w:firstLineChars="100"/>
              <w:jc w:val="center"/>
              <w:rPr>
                <w:rFonts w:cs="Times New Roman"/>
                <w:color w:val="auto"/>
                <w:szCs w:val="21"/>
              </w:rPr>
            </w:pPr>
            <w:r>
              <w:rPr>
                <w:rFonts w:cs="Times New Roman"/>
                <w:color w:val="auto"/>
                <w:szCs w:val="21"/>
              </w:rPr>
              <w:t>超细干粉灭火剂，充有适量的驱动气体氮气，技术性能符合GA78-94标准的要求。装置启动温度68℃。</w:t>
            </w:r>
          </w:p>
        </w:tc>
        <w:tc>
          <w:tcPr>
            <w:tcW w:w="739" w:type="dxa"/>
            <w:vAlign w:val="center"/>
          </w:tcPr>
          <w:p>
            <w:pPr>
              <w:widowControl/>
              <w:autoSpaceDE/>
              <w:autoSpaceDN/>
              <w:spacing w:line="300" w:lineRule="exact"/>
              <w:jc w:val="center"/>
              <w:rPr>
                <w:rFonts w:hint="eastAsia" w:eastAsia="微软雅黑" w:cs="Times New Roman"/>
                <w:color w:val="auto"/>
                <w:szCs w:val="21"/>
                <w:lang w:eastAsia="zh-CN"/>
              </w:rPr>
            </w:pPr>
            <w:r>
              <w:rPr>
                <w:rFonts w:hint="eastAsia" w:cs="Times New Roman"/>
                <w:color w:val="auto"/>
                <w:szCs w:val="21"/>
                <w:lang w:val="en-US" w:eastAsia="zh-CN"/>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7</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防爆呼吸阀装置</w:t>
            </w:r>
          </w:p>
        </w:tc>
        <w:tc>
          <w:tcPr>
            <w:tcW w:w="5173" w:type="dxa"/>
            <w:vAlign w:val="center"/>
          </w:tcPr>
          <w:p>
            <w:pPr>
              <w:widowControl/>
              <w:autoSpaceDE/>
              <w:autoSpaceDN/>
              <w:spacing w:line="300" w:lineRule="exact"/>
              <w:ind w:firstLine="210" w:firstLineChars="100"/>
              <w:jc w:val="center"/>
              <w:rPr>
                <w:rFonts w:cs="Times New Roman"/>
                <w:color w:val="auto"/>
                <w:szCs w:val="21"/>
              </w:rPr>
            </w:pPr>
            <w:r>
              <w:rPr>
                <w:rFonts w:cs="Times New Roman"/>
                <w:color w:val="auto"/>
                <w:szCs w:val="21"/>
              </w:rPr>
              <w:t>呼吸阀工作正压2kPa～3kPa，工作负压1.5kPa～2kPa。安装高度大于4.5m。</w:t>
            </w:r>
          </w:p>
        </w:tc>
        <w:tc>
          <w:tcPr>
            <w:tcW w:w="739" w:type="dxa"/>
            <w:vAlign w:val="center"/>
          </w:tcPr>
          <w:p>
            <w:pPr>
              <w:widowControl/>
              <w:autoSpaceDE/>
              <w:autoSpaceDN/>
              <w:spacing w:line="300" w:lineRule="exact"/>
              <w:jc w:val="center"/>
              <w:rPr>
                <w:rFonts w:hint="eastAsia" w:eastAsia="微软雅黑" w:cs="Times New Roman"/>
                <w:color w:val="auto"/>
                <w:szCs w:val="21"/>
                <w:lang w:eastAsia="zh-CN"/>
              </w:rPr>
            </w:pPr>
            <w:r>
              <w:rPr>
                <w:rFonts w:hint="eastAsia" w:cs="Times New Roman"/>
                <w:color w:val="auto"/>
                <w:szCs w:val="21"/>
                <w:lang w:val="en-US" w:eastAsia="zh-CN"/>
              </w:rPr>
              <w:t>2</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8</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紧急泄压装置</w:t>
            </w:r>
          </w:p>
        </w:tc>
        <w:tc>
          <w:tcPr>
            <w:tcW w:w="5173" w:type="dxa"/>
            <w:vAlign w:val="center"/>
          </w:tcPr>
          <w:p>
            <w:pPr>
              <w:widowControl/>
              <w:autoSpaceDE/>
              <w:autoSpaceDN/>
              <w:spacing w:line="300" w:lineRule="exact"/>
              <w:ind w:firstLine="210" w:firstLineChars="100"/>
              <w:jc w:val="center"/>
              <w:rPr>
                <w:rFonts w:cs="Times New Roman"/>
                <w:color w:val="auto"/>
                <w:szCs w:val="21"/>
              </w:rPr>
            </w:pPr>
            <w:r>
              <w:rPr>
                <w:rFonts w:cs="Times New Roman"/>
                <w:color w:val="auto"/>
                <w:szCs w:val="21"/>
              </w:rPr>
              <w:t>当内部压力过大时，紧急泄压装置将爆开，起到迅速降压作用，防止罐体因压力爆炸，避免更严重事故。紧急泄压装置每个仓配备一个。</w:t>
            </w:r>
          </w:p>
        </w:tc>
        <w:tc>
          <w:tcPr>
            <w:tcW w:w="739" w:type="dxa"/>
            <w:vAlign w:val="center"/>
          </w:tcPr>
          <w:p>
            <w:pPr>
              <w:widowControl/>
              <w:autoSpaceDE/>
              <w:autoSpaceDN/>
              <w:spacing w:line="300" w:lineRule="exact"/>
              <w:jc w:val="center"/>
              <w:rPr>
                <w:rFonts w:hint="eastAsia" w:eastAsia="微软雅黑" w:cs="Times New Roman"/>
                <w:color w:val="auto"/>
                <w:szCs w:val="21"/>
                <w:lang w:eastAsia="zh-CN"/>
              </w:rPr>
            </w:pPr>
            <w:r>
              <w:rPr>
                <w:rFonts w:hint="eastAsia" w:cs="Times New Roman"/>
                <w:color w:val="auto"/>
                <w:szCs w:val="21"/>
                <w:lang w:val="en-US" w:eastAsia="zh-CN"/>
              </w:rPr>
              <w:t>2</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hint="default" w:eastAsia="微软雅黑" w:cs="Times New Roman"/>
                <w:color w:val="auto"/>
                <w:szCs w:val="21"/>
                <w:lang w:val="en-US" w:eastAsia="zh-CN"/>
              </w:rPr>
            </w:pPr>
            <w:r>
              <w:rPr>
                <w:rFonts w:hint="eastAsia" w:cs="Times New Roman"/>
                <w:color w:val="auto"/>
                <w:szCs w:val="21"/>
                <w:lang w:val="en-US" w:eastAsia="zh-CN"/>
              </w:rPr>
              <w:t>9</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防雷接地、静电接地系统</w:t>
            </w:r>
          </w:p>
        </w:tc>
        <w:tc>
          <w:tcPr>
            <w:tcW w:w="5173" w:type="dxa"/>
            <w:vAlign w:val="center"/>
          </w:tcPr>
          <w:p>
            <w:pPr>
              <w:widowControl/>
              <w:autoSpaceDE/>
              <w:autoSpaceDN/>
              <w:spacing w:line="300" w:lineRule="exact"/>
              <w:ind w:firstLine="210" w:firstLineChars="100"/>
              <w:jc w:val="center"/>
              <w:rPr>
                <w:rFonts w:cs="Times New Roman"/>
                <w:color w:val="auto"/>
                <w:szCs w:val="21"/>
              </w:rPr>
            </w:pPr>
            <w:r>
              <w:rPr>
                <w:rFonts w:cs="Times New Roman"/>
                <w:color w:val="auto"/>
                <w:szCs w:val="21"/>
              </w:rPr>
              <w:t>包含静电接地报警器、防雷电涌保护器、防雷接地网、与卸油车相连的铝合金静电夹、接地铜编织线、接地极4根（确保接地电阻＜4Ω）。</w:t>
            </w:r>
          </w:p>
        </w:tc>
        <w:tc>
          <w:tcPr>
            <w:tcW w:w="739" w:type="dxa"/>
            <w:vAlign w:val="center"/>
          </w:tcPr>
          <w:p>
            <w:pPr>
              <w:widowControl/>
              <w:autoSpaceDE/>
              <w:autoSpaceDN/>
              <w:spacing w:line="300" w:lineRule="exact"/>
              <w:jc w:val="center"/>
              <w:rPr>
                <w:rFonts w:cs="Times New Roman"/>
                <w:color w:val="auto"/>
                <w:szCs w:val="21"/>
              </w:rPr>
            </w:pPr>
            <w:r>
              <w:rPr>
                <w:rFonts w:cs="Times New Roman"/>
                <w:color w:val="auto"/>
                <w:szCs w:val="21"/>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hint="eastAsia" w:eastAsia="微软雅黑" w:cs="Times New Roman"/>
                <w:color w:val="auto"/>
                <w:lang w:val="en-US" w:eastAsia="zh-CN"/>
              </w:rPr>
            </w:pPr>
            <w:r>
              <w:rPr>
                <w:rFonts w:cs="Times New Roman"/>
                <w:color w:val="auto"/>
              </w:rPr>
              <w:t>1</w:t>
            </w:r>
            <w:r>
              <w:rPr>
                <w:rFonts w:hint="eastAsia" w:cs="Times New Roman"/>
                <w:color w:val="auto"/>
                <w:lang w:val="en-US" w:eastAsia="zh-CN"/>
              </w:rPr>
              <w:t>0</w:t>
            </w:r>
          </w:p>
        </w:tc>
        <w:tc>
          <w:tcPr>
            <w:tcW w:w="1452" w:type="dxa"/>
            <w:vAlign w:val="center"/>
          </w:tcPr>
          <w:p>
            <w:pPr>
              <w:widowControl/>
              <w:autoSpaceDE/>
              <w:autoSpaceDN/>
              <w:spacing w:line="300" w:lineRule="exact"/>
              <w:jc w:val="center"/>
              <w:rPr>
                <w:rFonts w:cs="宋体"/>
                <w:color w:val="auto"/>
              </w:rPr>
            </w:pPr>
            <w:r>
              <w:rPr>
                <w:rFonts w:hint="eastAsia" w:cs="宋体"/>
                <w:color w:val="auto"/>
              </w:rPr>
              <w:t>紧急排气装置</w:t>
            </w:r>
          </w:p>
        </w:tc>
        <w:tc>
          <w:tcPr>
            <w:tcW w:w="5173" w:type="dxa"/>
            <w:vAlign w:val="center"/>
          </w:tcPr>
          <w:p>
            <w:pPr>
              <w:widowControl/>
              <w:autoSpaceDE/>
              <w:autoSpaceDN/>
              <w:spacing w:line="300" w:lineRule="exact"/>
              <w:jc w:val="center"/>
              <w:rPr>
                <w:rFonts w:cs="Times New Roman"/>
                <w:color w:val="auto"/>
              </w:rPr>
            </w:pPr>
            <w:r>
              <w:rPr>
                <w:rFonts w:cs="Times New Roman"/>
                <w:color w:val="auto"/>
                <w:szCs w:val="21"/>
              </w:rPr>
              <w:t>当罐体内部压力无法通过阻火呼吸阀平衡、压力达到4.3kPa时，紧急排气阀开启，快速卸掉罐内压力。</w:t>
            </w:r>
          </w:p>
        </w:tc>
        <w:tc>
          <w:tcPr>
            <w:tcW w:w="739" w:type="dxa"/>
            <w:vAlign w:val="center"/>
          </w:tcPr>
          <w:p>
            <w:pPr>
              <w:widowControl/>
              <w:autoSpaceDE/>
              <w:autoSpaceDN/>
              <w:spacing w:line="300" w:lineRule="exact"/>
              <w:jc w:val="center"/>
              <w:rPr>
                <w:rFonts w:cs="Times New Roman"/>
                <w:color w:val="auto"/>
              </w:rPr>
            </w:pPr>
            <w:r>
              <w:rPr>
                <w:rFonts w:cs="Times New Roman"/>
                <w:color w:val="auto"/>
              </w:rPr>
              <w:t>1</w:t>
            </w:r>
          </w:p>
        </w:tc>
        <w:tc>
          <w:tcPr>
            <w:tcW w:w="786" w:type="dxa"/>
            <w:vAlign w:val="center"/>
          </w:tcPr>
          <w:p>
            <w:pPr>
              <w:widowControl/>
              <w:autoSpaceDE/>
              <w:autoSpaceDN/>
              <w:spacing w:line="300" w:lineRule="exact"/>
              <w:jc w:val="center"/>
              <w:rPr>
                <w:rFonts w:cs="宋体"/>
                <w:color w:val="auto"/>
              </w:rPr>
            </w:pPr>
            <w:r>
              <w:rPr>
                <w:rFonts w:hint="eastAsia" w:cs="宋体"/>
                <w:color w:val="auto"/>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hint="eastAsia" w:eastAsia="微软雅黑" w:cs="Times New Roman"/>
                <w:color w:val="auto"/>
                <w:szCs w:val="21"/>
                <w:lang w:val="en-US" w:eastAsia="zh-CN"/>
              </w:rPr>
            </w:pPr>
            <w:r>
              <w:rPr>
                <w:rFonts w:cs="Times New Roman"/>
                <w:color w:val="auto"/>
                <w:szCs w:val="21"/>
              </w:rPr>
              <w:t>1</w:t>
            </w:r>
            <w:r>
              <w:rPr>
                <w:rFonts w:hint="eastAsia" w:cs="Times New Roman"/>
                <w:color w:val="auto"/>
                <w:szCs w:val="21"/>
                <w:lang w:val="en-US" w:eastAsia="zh-CN"/>
              </w:rPr>
              <w:t>1</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安全防护装置</w:t>
            </w:r>
          </w:p>
        </w:tc>
        <w:tc>
          <w:tcPr>
            <w:tcW w:w="5173" w:type="dxa"/>
            <w:vAlign w:val="center"/>
          </w:tcPr>
          <w:p>
            <w:pPr>
              <w:widowControl/>
              <w:autoSpaceDE/>
              <w:autoSpaceDN/>
              <w:spacing w:line="300" w:lineRule="exact"/>
              <w:jc w:val="center"/>
              <w:rPr>
                <w:rFonts w:cs="Times New Roman"/>
                <w:color w:val="auto"/>
                <w:szCs w:val="21"/>
              </w:rPr>
            </w:pPr>
            <w:r>
              <w:rPr>
                <w:rFonts w:cs="Times New Roman"/>
                <w:color w:val="auto"/>
                <w:szCs w:val="21"/>
              </w:rPr>
              <w:t>带有扶梯与安全护栏</w:t>
            </w:r>
          </w:p>
        </w:tc>
        <w:tc>
          <w:tcPr>
            <w:tcW w:w="739" w:type="dxa"/>
            <w:vAlign w:val="center"/>
          </w:tcPr>
          <w:p>
            <w:pPr>
              <w:widowControl/>
              <w:autoSpaceDE/>
              <w:autoSpaceDN/>
              <w:spacing w:line="300" w:lineRule="exact"/>
              <w:jc w:val="center"/>
              <w:rPr>
                <w:rFonts w:cs="Times New Roman"/>
                <w:color w:val="auto"/>
                <w:szCs w:val="21"/>
              </w:rPr>
            </w:pPr>
            <w:r>
              <w:rPr>
                <w:rFonts w:cs="Times New Roman"/>
                <w:color w:val="auto"/>
                <w:szCs w:val="21"/>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hint="eastAsia" w:eastAsia="微软雅黑" w:cs="Times New Roman"/>
                <w:color w:val="auto"/>
                <w:szCs w:val="21"/>
                <w:lang w:val="en-US" w:eastAsia="zh-CN"/>
              </w:rPr>
            </w:pPr>
            <w:r>
              <w:rPr>
                <w:rFonts w:cs="Times New Roman"/>
                <w:color w:val="auto"/>
                <w:szCs w:val="21"/>
              </w:rPr>
              <w:t>1</w:t>
            </w:r>
            <w:r>
              <w:rPr>
                <w:rFonts w:hint="eastAsia" w:cs="Times New Roman"/>
                <w:color w:val="auto"/>
                <w:szCs w:val="21"/>
                <w:lang w:val="en-US" w:eastAsia="zh-CN"/>
              </w:rPr>
              <w:t>2</w:t>
            </w:r>
          </w:p>
        </w:tc>
        <w:tc>
          <w:tcPr>
            <w:tcW w:w="1452" w:type="dxa"/>
            <w:vAlign w:val="center"/>
          </w:tcPr>
          <w:p>
            <w:pPr>
              <w:widowControl/>
              <w:autoSpaceDE/>
              <w:autoSpaceDN/>
              <w:spacing w:line="300" w:lineRule="exact"/>
              <w:jc w:val="center"/>
              <w:rPr>
                <w:rFonts w:hint="eastAsia" w:eastAsia="微软雅黑" w:cs="宋体"/>
                <w:color w:val="auto"/>
                <w:szCs w:val="21"/>
                <w:lang w:eastAsia="zh-CN"/>
              </w:rPr>
            </w:pPr>
            <w:r>
              <w:rPr>
                <w:rFonts w:hint="eastAsia" w:cs="宋体"/>
                <w:color w:val="auto"/>
                <w:szCs w:val="21"/>
                <w:lang w:eastAsia="zh-CN"/>
              </w:rPr>
              <w:t>在线漏油检测装置</w:t>
            </w:r>
          </w:p>
        </w:tc>
        <w:tc>
          <w:tcPr>
            <w:tcW w:w="5173" w:type="dxa"/>
            <w:vAlign w:val="center"/>
          </w:tcPr>
          <w:p>
            <w:pPr>
              <w:widowControl/>
              <w:autoSpaceDE/>
              <w:autoSpaceDN/>
              <w:spacing w:line="300" w:lineRule="exact"/>
              <w:ind w:firstLine="210" w:firstLineChars="100"/>
              <w:jc w:val="center"/>
              <w:rPr>
                <w:rFonts w:hint="eastAsia" w:eastAsia="微软雅黑" w:cs="Times New Roman"/>
                <w:color w:val="auto"/>
                <w:szCs w:val="21"/>
                <w:lang w:eastAsia="zh-CN"/>
              </w:rPr>
            </w:pPr>
            <w:r>
              <w:rPr>
                <w:rFonts w:hint="eastAsia" w:cs="Times New Roman"/>
                <w:color w:val="auto"/>
                <w:szCs w:val="21"/>
                <w:lang w:eastAsia="zh-CN"/>
              </w:rPr>
              <w:t>当内外罐之间发生泄漏时能被及时检测到。</w:t>
            </w:r>
          </w:p>
        </w:tc>
        <w:tc>
          <w:tcPr>
            <w:tcW w:w="739" w:type="dxa"/>
            <w:vAlign w:val="center"/>
          </w:tcPr>
          <w:p>
            <w:pPr>
              <w:widowControl/>
              <w:autoSpaceDE/>
              <w:autoSpaceDN/>
              <w:spacing w:line="300" w:lineRule="exact"/>
              <w:jc w:val="center"/>
              <w:rPr>
                <w:rFonts w:hint="eastAsia" w:eastAsia="微软雅黑" w:cs="Times New Roman"/>
                <w:color w:val="auto"/>
                <w:szCs w:val="21"/>
                <w:lang w:eastAsia="zh-CN"/>
              </w:rPr>
            </w:pPr>
            <w:r>
              <w:rPr>
                <w:rFonts w:hint="eastAsia" w:cs="Times New Roman"/>
                <w:color w:val="auto"/>
                <w:szCs w:val="21"/>
                <w:lang w:val="en-US" w:eastAsia="zh-CN"/>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9728" w:type="dxa"/>
            <w:gridSpan w:val="6"/>
            <w:vAlign w:val="center"/>
          </w:tcPr>
          <w:p>
            <w:pPr>
              <w:widowControl/>
              <w:autoSpaceDE/>
              <w:autoSpaceDN/>
              <w:spacing w:line="300" w:lineRule="exact"/>
              <w:jc w:val="center"/>
              <w:rPr>
                <w:rFonts w:cs="Times New Roman"/>
                <w:color w:val="auto"/>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64" w:type="dxa"/>
            <w:vMerge w:val="restart"/>
            <w:textDirection w:val="tbLrV"/>
            <w:vAlign w:val="center"/>
          </w:tcPr>
          <w:p>
            <w:pPr>
              <w:widowControl/>
              <w:autoSpaceDE/>
              <w:autoSpaceDN/>
              <w:spacing w:line="300" w:lineRule="exact"/>
              <w:ind w:left="113" w:right="113"/>
              <w:jc w:val="center"/>
              <w:rPr>
                <w:rFonts w:cs="宋体"/>
                <w:b/>
                <w:color w:val="auto"/>
                <w:szCs w:val="21"/>
              </w:rPr>
            </w:pPr>
            <w:r>
              <w:rPr>
                <w:rFonts w:hint="eastAsia" w:cs="宋体"/>
                <w:b/>
                <w:color w:val="auto"/>
                <w:szCs w:val="21"/>
              </w:rPr>
              <w:t>液位计量</w:t>
            </w: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1</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液位计</w:t>
            </w:r>
          </w:p>
        </w:tc>
        <w:tc>
          <w:tcPr>
            <w:tcW w:w="5173" w:type="dxa"/>
            <w:vAlign w:val="center"/>
          </w:tcPr>
          <w:p>
            <w:pPr>
              <w:widowControl/>
              <w:autoSpaceDE/>
              <w:autoSpaceDN/>
              <w:spacing w:line="300" w:lineRule="exact"/>
              <w:ind w:firstLine="210" w:firstLineChars="100"/>
              <w:jc w:val="center"/>
              <w:rPr>
                <w:rFonts w:cs="宋体"/>
                <w:color w:val="auto"/>
                <w:szCs w:val="21"/>
              </w:rPr>
            </w:pPr>
            <w:r>
              <w:rPr>
                <w:rFonts w:hint="eastAsia" w:cs="宋体"/>
                <w:color w:val="auto"/>
                <w:szCs w:val="21"/>
              </w:rPr>
              <w:t>包括</w:t>
            </w:r>
            <w:r>
              <w:rPr>
                <w:rFonts w:cs="Times New Roman"/>
                <w:color w:val="auto"/>
                <w:szCs w:val="21"/>
              </w:rPr>
              <w:t>2</w:t>
            </w:r>
            <w:r>
              <w:rPr>
                <w:rFonts w:hint="eastAsia" w:cs="宋体"/>
                <w:color w:val="auto"/>
                <w:szCs w:val="21"/>
              </w:rPr>
              <w:t>根探棒，一台液位显示柱；量程</w:t>
            </w:r>
            <w:r>
              <w:rPr>
                <w:rFonts w:cs="Times New Roman"/>
                <w:color w:val="auto"/>
                <w:szCs w:val="21"/>
              </w:rPr>
              <w:t>0.15～2.5m</w:t>
            </w:r>
            <w:r>
              <w:rPr>
                <w:rFonts w:hint="eastAsia" w:cs="宋体"/>
                <w:color w:val="auto"/>
                <w:szCs w:val="21"/>
              </w:rPr>
              <w:t xml:space="preserve">；测量误差 </w:t>
            </w:r>
            <w:r>
              <w:rPr>
                <w:rFonts w:cs="Times New Roman"/>
                <w:color w:val="auto"/>
                <w:szCs w:val="21"/>
              </w:rPr>
              <w:t>±1mm</w:t>
            </w:r>
            <w:r>
              <w:rPr>
                <w:rFonts w:hint="eastAsia" w:cs="宋体"/>
                <w:color w:val="auto"/>
                <w:szCs w:val="21"/>
              </w:rPr>
              <w:t>。带温高液位报警功能。</w:t>
            </w:r>
          </w:p>
        </w:tc>
        <w:tc>
          <w:tcPr>
            <w:tcW w:w="739" w:type="dxa"/>
            <w:vAlign w:val="center"/>
          </w:tcPr>
          <w:p>
            <w:pPr>
              <w:widowControl/>
              <w:autoSpaceDE/>
              <w:autoSpaceDN/>
              <w:spacing w:line="300" w:lineRule="exact"/>
              <w:jc w:val="center"/>
              <w:rPr>
                <w:rFonts w:cs="Times New Roman"/>
                <w:color w:val="auto"/>
                <w:szCs w:val="21"/>
              </w:rPr>
            </w:pPr>
            <w:r>
              <w:rPr>
                <w:rFonts w:cs="Times New Roman"/>
                <w:color w:val="auto"/>
                <w:szCs w:val="21"/>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2</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人工计量装置</w:t>
            </w:r>
          </w:p>
        </w:tc>
        <w:tc>
          <w:tcPr>
            <w:tcW w:w="5173" w:type="dxa"/>
            <w:vAlign w:val="center"/>
          </w:tcPr>
          <w:p>
            <w:pPr>
              <w:widowControl/>
              <w:autoSpaceDE/>
              <w:autoSpaceDN/>
              <w:spacing w:line="300" w:lineRule="exact"/>
              <w:ind w:firstLine="210" w:firstLineChars="100"/>
              <w:jc w:val="center"/>
              <w:rPr>
                <w:rFonts w:cs="宋体"/>
                <w:color w:val="auto"/>
                <w:szCs w:val="21"/>
              </w:rPr>
            </w:pPr>
            <w:r>
              <w:rPr>
                <w:rFonts w:hint="eastAsia" w:cs="宋体"/>
                <w:color w:val="auto"/>
                <w:szCs w:val="21"/>
              </w:rPr>
              <w:t>用于定期校对电子液位仪的准确度。同时在电子液位仪失效或断电的情况下也可检测罐内油的容积。</w:t>
            </w:r>
          </w:p>
        </w:tc>
        <w:tc>
          <w:tcPr>
            <w:tcW w:w="739" w:type="dxa"/>
            <w:vAlign w:val="center"/>
          </w:tcPr>
          <w:p>
            <w:pPr>
              <w:widowControl/>
              <w:autoSpaceDE/>
              <w:autoSpaceDN/>
              <w:spacing w:line="300" w:lineRule="exact"/>
              <w:jc w:val="center"/>
              <w:rPr>
                <w:rFonts w:hint="eastAsia" w:eastAsia="微软雅黑" w:cs="Times New Roman"/>
                <w:color w:val="auto"/>
                <w:szCs w:val="21"/>
                <w:lang w:eastAsia="zh-CN"/>
              </w:rPr>
            </w:pPr>
            <w:r>
              <w:rPr>
                <w:rFonts w:hint="eastAsia" w:cs="Times New Roman"/>
                <w:color w:val="auto"/>
                <w:szCs w:val="21"/>
                <w:lang w:val="en-US" w:eastAsia="zh-CN"/>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728" w:type="dxa"/>
            <w:gridSpan w:val="6"/>
            <w:vAlign w:val="center"/>
          </w:tcPr>
          <w:p>
            <w:pPr>
              <w:widowControl/>
              <w:autoSpaceDE/>
              <w:autoSpaceDN/>
              <w:spacing w:line="40" w:lineRule="exact"/>
              <w:jc w:val="center"/>
              <w:rPr>
                <w:rFonts w:cs="Times New Roman"/>
                <w:color w:val="auto"/>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64" w:type="dxa"/>
            <w:vMerge w:val="restart"/>
            <w:textDirection w:val="tbLrV"/>
            <w:vAlign w:val="center"/>
          </w:tcPr>
          <w:p>
            <w:pPr>
              <w:widowControl/>
              <w:autoSpaceDE/>
              <w:autoSpaceDN/>
              <w:spacing w:line="300" w:lineRule="exact"/>
              <w:ind w:left="113" w:right="113"/>
              <w:jc w:val="center"/>
              <w:rPr>
                <w:rFonts w:cs="宋体"/>
                <w:b/>
                <w:color w:val="auto"/>
                <w:szCs w:val="21"/>
              </w:rPr>
            </w:pPr>
            <w:r>
              <w:rPr>
                <w:rFonts w:hint="eastAsia" w:cs="宋体"/>
                <w:b/>
                <w:color w:val="auto"/>
                <w:szCs w:val="21"/>
              </w:rPr>
              <w:t>加注油系统</w:t>
            </w: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1</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卸油泵</w:t>
            </w:r>
          </w:p>
        </w:tc>
        <w:tc>
          <w:tcPr>
            <w:tcW w:w="5173" w:type="dxa"/>
            <w:vAlign w:val="center"/>
          </w:tcPr>
          <w:p>
            <w:pPr>
              <w:widowControl/>
              <w:autoSpaceDE/>
              <w:autoSpaceDN/>
              <w:spacing w:line="300" w:lineRule="exact"/>
              <w:ind w:firstLine="210" w:firstLineChars="100"/>
              <w:jc w:val="center"/>
              <w:rPr>
                <w:rFonts w:cs="宋体"/>
                <w:color w:val="auto"/>
                <w:szCs w:val="21"/>
              </w:rPr>
            </w:pPr>
            <w:r>
              <w:rPr>
                <w:rFonts w:hint="eastAsia" w:cs="宋体"/>
                <w:color w:val="auto"/>
                <w:szCs w:val="21"/>
              </w:rPr>
              <w:t>立式防爆卸油泵</w:t>
            </w:r>
          </w:p>
          <w:p>
            <w:pPr>
              <w:widowControl/>
              <w:autoSpaceDE/>
              <w:autoSpaceDN/>
              <w:spacing w:line="300" w:lineRule="exact"/>
              <w:ind w:firstLine="210" w:firstLineChars="100"/>
              <w:jc w:val="center"/>
              <w:rPr>
                <w:rFonts w:hint="default" w:eastAsia="宋体" w:cs="宋体"/>
                <w:color w:val="auto"/>
                <w:szCs w:val="21"/>
                <w:lang w:val="en-US" w:eastAsia="zh-CN"/>
              </w:rPr>
            </w:pPr>
            <w:r>
              <w:rPr>
                <w:rFonts w:hint="eastAsia" w:cs="宋体"/>
                <w:color w:val="auto"/>
                <w:szCs w:val="21"/>
              </w:rPr>
              <w:t>流量</w:t>
            </w:r>
            <w:r>
              <w:rPr>
                <w:rFonts w:hint="eastAsia" w:cs="宋体"/>
                <w:color w:val="auto"/>
                <w:szCs w:val="21"/>
                <w:lang w:val="en-US"/>
              </w:rPr>
              <w:t>5</w:t>
            </w:r>
            <w:r>
              <w:rPr>
                <w:rFonts w:cs="Times New Roman"/>
                <w:color w:val="auto"/>
                <w:szCs w:val="21"/>
              </w:rPr>
              <w:t>0</w:t>
            </w:r>
            <w:r>
              <w:rPr>
                <w:rFonts w:cs="Times New Roman"/>
                <w:color w:val="auto"/>
                <w:szCs w:val="21"/>
                <w:lang w:val="en-US"/>
              </w:rPr>
              <w:t>m³</w:t>
            </w:r>
            <w:r>
              <w:rPr>
                <w:rFonts w:hint="eastAsia" w:cs="宋体"/>
                <w:color w:val="auto"/>
                <w:szCs w:val="21"/>
              </w:rPr>
              <w:t>/小时；扬程</w:t>
            </w:r>
            <w:r>
              <w:rPr>
                <w:rFonts w:hint="eastAsia" w:cs="Times New Roman"/>
                <w:color w:val="auto"/>
                <w:szCs w:val="21"/>
                <w:lang w:val="en-US"/>
              </w:rPr>
              <w:t>12.5</w:t>
            </w:r>
            <w:r>
              <w:rPr>
                <w:rFonts w:cs="Times New Roman"/>
                <w:color w:val="auto"/>
                <w:szCs w:val="21"/>
              </w:rPr>
              <w:t>m</w:t>
            </w:r>
            <w:r>
              <w:rPr>
                <w:rFonts w:hint="eastAsia" w:cs="宋体"/>
                <w:color w:val="auto"/>
                <w:szCs w:val="21"/>
              </w:rPr>
              <w:t>； 电机为隔爆型（</w:t>
            </w:r>
            <w:r>
              <w:rPr>
                <w:rFonts w:cs="Times New Roman"/>
                <w:color w:val="auto"/>
                <w:szCs w:val="21"/>
              </w:rPr>
              <w:t>dⅡ</w:t>
            </w:r>
            <w:r>
              <w:rPr>
                <w:rFonts w:hint="eastAsia" w:cs="宋体"/>
                <w:color w:val="auto"/>
                <w:szCs w:val="21"/>
              </w:rPr>
              <w:t>）,防护等级为</w:t>
            </w:r>
            <w:r>
              <w:rPr>
                <w:rFonts w:cs="Times New Roman"/>
                <w:color w:val="auto"/>
                <w:szCs w:val="21"/>
              </w:rPr>
              <w:t>IP55</w:t>
            </w:r>
            <w:r>
              <w:rPr>
                <w:rFonts w:hint="eastAsia" w:cs="Times New Roman"/>
                <w:color w:val="auto"/>
                <w:szCs w:val="21"/>
              </w:rPr>
              <w:t>。</w:t>
            </w:r>
            <w:r>
              <w:rPr>
                <w:rFonts w:hint="eastAsia" w:cs="Times New Roman"/>
                <w:color w:val="auto"/>
                <w:szCs w:val="21"/>
                <w:lang w:eastAsia="zh-CN"/>
              </w:rPr>
              <w:t>管径不大于</w:t>
            </w:r>
            <w:r>
              <w:rPr>
                <w:rFonts w:hint="eastAsia" w:cs="Times New Roman"/>
                <w:color w:val="auto"/>
                <w:szCs w:val="21"/>
                <w:lang w:val="en-US" w:eastAsia="zh-CN"/>
              </w:rPr>
              <w:t>40mm。</w:t>
            </w:r>
          </w:p>
        </w:tc>
        <w:tc>
          <w:tcPr>
            <w:tcW w:w="739" w:type="dxa"/>
            <w:vAlign w:val="center"/>
          </w:tcPr>
          <w:p>
            <w:pPr>
              <w:widowControl/>
              <w:autoSpaceDE/>
              <w:autoSpaceDN/>
              <w:spacing w:line="300" w:lineRule="exact"/>
              <w:jc w:val="center"/>
              <w:rPr>
                <w:rFonts w:hint="eastAsia" w:eastAsia="宋体" w:cs="Times New Roman"/>
                <w:color w:val="auto"/>
                <w:szCs w:val="21"/>
                <w:shd w:val="clear" w:color="FFFFFF" w:fill="D9D9D9"/>
                <w:lang w:val="en-US" w:eastAsia="zh-CN"/>
              </w:rPr>
            </w:pPr>
            <w:r>
              <w:rPr>
                <w:rFonts w:hint="eastAsia" w:cs="Times New Roman"/>
                <w:color w:val="auto"/>
                <w:szCs w:val="21"/>
                <w:lang w:val="en-US" w:eastAsia="zh-CN"/>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hint="eastAsia" w:eastAsia="宋体" w:cs="Times New Roman"/>
                <w:color w:val="auto"/>
                <w:szCs w:val="21"/>
                <w:lang w:val="en-US" w:eastAsia="zh-CN"/>
              </w:rPr>
            </w:pPr>
            <w:r>
              <w:rPr>
                <w:rFonts w:hint="eastAsia" w:cs="Times New Roman"/>
                <w:color w:val="auto"/>
                <w:szCs w:val="21"/>
                <w:lang w:val="en-US" w:eastAsia="zh-CN"/>
              </w:rPr>
              <w:t>2</w:t>
            </w:r>
          </w:p>
        </w:tc>
        <w:tc>
          <w:tcPr>
            <w:tcW w:w="1452" w:type="dxa"/>
            <w:vAlign w:val="center"/>
          </w:tcPr>
          <w:p>
            <w:pPr>
              <w:widowControl/>
              <w:autoSpaceDE/>
              <w:autoSpaceDN/>
              <w:spacing w:line="300" w:lineRule="exact"/>
              <w:jc w:val="center"/>
              <w:rPr>
                <w:rFonts w:hint="eastAsia" w:eastAsia="宋体" w:cs="宋体"/>
                <w:color w:val="auto"/>
                <w:szCs w:val="21"/>
                <w:lang w:val="en-US" w:eastAsia="zh-CN"/>
              </w:rPr>
            </w:pPr>
            <w:r>
              <w:rPr>
                <w:rFonts w:hint="eastAsia" w:cs="宋体"/>
                <w:color w:val="auto"/>
                <w:szCs w:val="21"/>
                <w:lang w:val="en-US" w:eastAsia="zh-CN"/>
              </w:rPr>
              <w:t>卸油泵</w:t>
            </w:r>
          </w:p>
        </w:tc>
        <w:tc>
          <w:tcPr>
            <w:tcW w:w="5173" w:type="dxa"/>
            <w:vAlign w:val="center"/>
          </w:tcPr>
          <w:p>
            <w:pPr>
              <w:widowControl/>
              <w:autoSpaceDE/>
              <w:autoSpaceDN/>
              <w:spacing w:line="300" w:lineRule="exact"/>
              <w:ind w:firstLine="210" w:firstLineChars="100"/>
              <w:jc w:val="center"/>
              <w:rPr>
                <w:rFonts w:hint="eastAsia" w:eastAsia="宋体" w:cs="宋体"/>
                <w:color w:val="auto"/>
                <w:szCs w:val="21"/>
                <w:lang w:eastAsia="zh-CN"/>
              </w:rPr>
            </w:pPr>
            <w:r>
              <w:rPr>
                <w:rFonts w:hint="eastAsia" w:cs="宋体"/>
                <w:color w:val="auto"/>
                <w:szCs w:val="21"/>
              </w:rPr>
              <w:t>立式防爆卸油泵</w:t>
            </w:r>
            <w:r>
              <w:rPr>
                <w:rFonts w:hint="eastAsia" w:cs="宋体"/>
                <w:color w:val="auto"/>
                <w:szCs w:val="21"/>
                <w:lang w:eastAsia="zh-CN"/>
              </w:rPr>
              <w:t>，</w:t>
            </w:r>
            <w:r>
              <w:rPr>
                <w:rFonts w:hint="eastAsia" w:cs="宋体"/>
                <w:color w:val="auto"/>
                <w:szCs w:val="21"/>
              </w:rPr>
              <w:t>流量200-300L/min</w:t>
            </w:r>
            <w:r>
              <w:rPr>
                <w:rFonts w:hint="eastAsia" w:cs="宋体"/>
                <w:color w:val="auto"/>
                <w:szCs w:val="21"/>
                <w:lang w:eastAsia="zh-CN"/>
              </w:rPr>
              <w:t>，</w:t>
            </w:r>
            <w:r>
              <w:rPr>
                <w:rFonts w:hint="eastAsia" w:cs="宋体"/>
                <w:color w:val="auto"/>
                <w:szCs w:val="21"/>
              </w:rPr>
              <w:t>电机为隔爆型（</w:t>
            </w:r>
            <w:r>
              <w:rPr>
                <w:rFonts w:cs="Times New Roman"/>
                <w:color w:val="auto"/>
                <w:szCs w:val="21"/>
              </w:rPr>
              <w:t>dⅡ</w:t>
            </w:r>
            <w:r>
              <w:rPr>
                <w:rFonts w:hint="eastAsia" w:cs="宋体"/>
                <w:color w:val="auto"/>
                <w:szCs w:val="21"/>
              </w:rPr>
              <w:t>）,防护等级为</w:t>
            </w:r>
            <w:r>
              <w:rPr>
                <w:rFonts w:cs="Times New Roman"/>
                <w:color w:val="auto"/>
                <w:szCs w:val="21"/>
              </w:rPr>
              <w:t>IP55</w:t>
            </w:r>
            <w:r>
              <w:rPr>
                <w:rFonts w:hint="eastAsia" w:cs="Times New Roman"/>
                <w:color w:val="auto"/>
                <w:szCs w:val="21"/>
              </w:rPr>
              <w:t>。</w:t>
            </w:r>
            <w:r>
              <w:rPr>
                <w:rFonts w:hint="eastAsia" w:cs="Times New Roman"/>
                <w:color w:val="auto"/>
                <w:szCs w:val="21"/>
                <w:lang w:eastAsia="zh-CN"/>
              </w:rPr>
              <w:t>管径不大于</w:t>
            </w:r>
            <w:r>
              <w:rPr>
                <w:rFonts w:hint="eastAsia" w:cs="Times New Roman"/>
                <w:color w:val="auto"/>
                <w:szCs w:val="21"/>
                <w:lang w:val="en-US" w:eastAsia="zh-CN"/>
              </w:rPr>
              <w:t>40mm。</w:t>
            </w:r>
          </w:p>
        </w:tc>
        <w:tc>
          <w:tcPr>
            <w:tcW w:w="739" w:type="dxa"/>
            <w:vAlign w:val="center"/>
          </w:tcPr>
          <w:p>
            <w:pPr>
              <w:widowControl/>
              <w:autoSpaceDE/>
              <w:autoSpaceDN/>
              <w:spacing w:line="300" w:lineRule="exact"/>
              <w:jc w:val="center"/>
              <w:rPr>
                <w:rFonts w:hint="default" w:cs="Times New Roman"/>
                <w:color w:val="auto"/>
                <w:szCs w:val="21"/>
                <w:lang w:val="en-US" w:eastAsia="zh-CN"/>
              </w:rPr>
            </w:pPr>
            <w:r>
              <w:rPr>
                <w:rFonts w:hint="eastAsia" w:cs="Times New Roman"/>
                <w:color w:val="auto"/>
                <w:szCs w:val="21"/>
                <w:lang w:val="en-US" w:eastAsia="zh-CN"/>
              </w:rPr>
              <w:t>1</w:t>
            </w:r>
          </w:p>
        </w:tc>
        <w:tc>
          <w:tcPr>
            <w:tcW w:w="786" w:type="dxa"/>
            <w:vAlign w:val="center"/>
          </w:tcPr>
          <w:p>
            <w:pPr>
              <w:widowControl/>
              <w:autoSpaceDE/>
              <w:autoSpaceDN/>
              <w:spacing w:line="300" w:lineRule="exact"/>
              <w:jc w:val="center"/>
              <w:rPr>
                <w:rFonts w:hint="eastAsia" w:eastAsia="宋体" w:cs="宋体"/>
                <w:color w:val="auto"/>
                <w:szCs w:val="21"/>
                <w:lang w:val="en-US" w:eastAsia="zh-CN"/>
              </w:rPr>
            </w:pPr>
            <w:r>
              <w:rPr>
                <w:rFonts w:hint="eastAsia" w:cs="宋体"/>
                <w:color w:val="auto"/>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2</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卸油泵管路系统</w:t>
            </w:r>
          </w:p>
        </w:tc>
        <w:tc>
          <w:tcPr>
            <w:tcW w:w="5173" w:type="dxa"/>
            <w:vAlign w:val="center"/>
          </w:tcPr>
          <w:p>
            <w:pPr>
              <w:widowControl/>
              <w:autoSpaceDE/>
              <w:autoSpaceDN/>
              <w:spacing w:line="300" w:lineRule="exact"/>
              <w:ind w:firstLine="210" w:firstLineChars="100"/>
              <w:jc w:val="center"/>
              <w:rPr>
                <w:rFonts w:cs="宋体"/>
                <w:color w:val="auto"/>
                <w:szCs w:val="21"/>
              </w:rPr>
            </w:pPr>
            <w:r>
              <w:rPr>
                <w:rFonts w:hint="eastAsia" w:cs="宋体"/>
                <w:color w:val="auto"/>
                <w:szCs w:val="21"/>
              </w:rPr>
              <w:t>卸油端口为国家通用尺寸，可以油罐槽车对接。快速接头采用自封式加球阀。出油管管口距罐底的高度</w:t>
            </w:r>
            <w:r>
              <w:rPr>
                <w:rFonts w:cs="Times New Roman"/>
                <w:color w:val="auto"/>
                <w:szCs w:val="21"/>
              </w:rPr>
              <w:t>0.15m</w:t>
            </w:r>
            <w:r>
              <w:rPr>
                <w:rFonts w:hint="eastAsia" w:cs="宋体"/>
                <w:color w:val="auto"/>
                <w:szCs w:val="21"/>
              </w:rPr>
              <w:t>。</w:t>
            </w:r>
          </w:p>
        </w:tc>
        <w:tc>
          <w:tcPr>
            <w:tcW w:w="739" w:type="dxa"/>
            <w:vAlign w:val="center"/>
          </w:tcPr>
          <w:p>
            <w:pPr>
              <w:widowControl/>
              <w:autoSpaceDE/>
              <w:autoSpaceDN/>
              <w:spacing w:line="300" w:lineRule="exact"/>
              <w:jc w:val="center"/>
              <w:rPr>
                <w:rFonts w:hint="eastAsia" w:eastAsia="微软雅黑" w:cs="Times New Roman"/>
                <w:color w:val="auto"/>
                <w:szCs w:val="21"/>
                <w:lang w:eastAsia="zh-CN"/>
              </w:rPr>
            </w:pPr>
            <w:r>
              <w:rPr>
                <w:rFonts w:hint="eastAsia" w:cs="Times New Roman"/>
                <w:color w:val="auto"/>
                <w:szCs w:val="21"/>
                <w:lang w:val="en-US" w:eastAsia="zh-CN"/>
              </w:rPr>
              <w:t>2</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64" w:type="dxa"/>
            <w:vMerge w:val="continue"/>
            <w:vAlign w:val="center"/>
          </w:tcPr>
          <w:p>
            <w:pPr>
              <w:widowControl/>
              <w:autoSpaceDE/>
              <w:autoSpaceDN/>
              <w:spacing w:line="300" w:lineRule="exact"/>
              <w:jc w:val="center"/>
              <w:rPr>
                <w:rFonts w:cs="宋体"/>
                <w:b/>
                <w:color w:val="auto"/>
                <w:szCs w:val="21"/>
              </w:rPr>
            </w:pPr>
          </w:p>
        </w:tc>
        <w:tc>
          <w:tcPr>
            <w:tcW w:w="714" w:type="dxa"/>
            <w:vAlign w:val="center"/>
          </w:tcPr>
          <w:p>
            <w:pPr>
              <w:widowControl/>
              <w:autoSpaceDE/>
              <w:autoSpaceDN/>
              <w:spacing w:line="300" w:lineRule="exact"/>
              <w:jc w:val="center"/>
              <w:rPr>
                <w:rFonts w:hint="eastAsia" w:eastAsia="微软雅黑" w:cs="Times New Roman"/>
                <w:color w:val="auto"/>
                <w:szCs w:val="21"/>
                <w:lang w:val="en-US" w:eastAsia="zh-CN"/>
              </w:rPr>
            </w:pPr>
            <w:r>
              <w:rPr>
                <w:rFonts w:hint="eastAsia" w:cs="Times New Roman"/>
                <w:color w:val="auto"/>
                <w:szCs w:val="21"/>
                <w:lang w:val="en-US" w:eastAsia="zh-CN"/>
              </w:rPr>
              <w:t>3</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加注机</w:t>
            </w:r>
          </w:p>
        </w:tc>
        <w:tc>
          <w:tcPr>
            <w:tcW w:w="5173" w:type="dxa"/>
            <w:vAlign w:val="center"/>
          </w:tcPr>
          <w:p>
            <w:pPr>
              <w:widowControl/>
              <w:autoSpaceDE/>
              <w:autoSpaceDN/>
              <w:spacing w:line="240" w:lineRule="exact"/>
              <w:ind w:left="220" w:hanging="210" w:hangingChars="100"/>
              <w:jc w:val="center"/>
              <w:rPr>
                <w:rFonts w:cs="宋体"/>
                <w:color w:val="auto"/>
                <w:szCs w:val="21"/>
              </w:rPr>
            </w:pPr>
          </w:p>
          <w:p>
            <w:pPr>
              <w:widowControl/>
              <w:autoSpaceDE/>
              <w:autoSpaceDN/>
              <w:spacing w:line="240" w:lineRule="exact"/>
              <w:ind w:left="220" w:hanging="210" w:hangingChars="100"/>
              <w:jc w:val="center"/>
              <w:rPr>
                <w:rFonts w:cs="宋体"/>
                <w:color w:val="auto"/>
                <w:szCs w:val="21"/>
              </w:rPr>
            </w:pPr>
            <w:r>
              <w:rPr>
                <w:rFonts w:hint="eastAsia" w:cs="宋体"/>
                <w:color w:val="auto"/>
                <w:szCs w:val="21"/>
                <w:u w:val="single"/>
                <w:lang w:val="en-US"/>
              </w:rPr>
              <w:t xml:space="preserve"> </w:t>
            </w:r>
            <w:r>
              <w:rPr>
                <w:rFonts w:hint="eastAsia" w:cs="宋体"/>
                <w:color w:val="auto"/>
                <w:szCs w:val="21"/>
              </w:rPr>
              <w:t xml:space="preserve">品牌加注机 </w:t>
            </w:r>
            <w:r>
              <w:rPr>
                <w:rFonts w:hint="eastAsia" w:cs="Times New Roman"/>
                <w:color w:val="auto"/>
                <w:szCs w:val="21"/>
                <w:u w:val="single"/>
                <w:lang w:val="en-US"/>
              </w:rPr>
              <w:t xml:space="preserve">  </w:t>
            </w:r>
            <w:r>
              <w:rPr>
                <w:rFonts w:hint="eastAsia" w:cs="Times New Roman"/>
                <w:color w:val="auto"/>
                <w:szCs w:val="21"/>
                <w:u w:val="single"/>
                <w:lang w:val="en-US" w:eastAsia="zh-CN"/>
              </w:rPr>
              <w:t>柴</w:t>
            </w:r>
            <w:r>
              <w:rPr>
                <w:rFonts w:hint="eastAsia" w:cs="Times New Roman"/>
                <w:color w:val="auto"/>
                <w:szCs w:val="21"/>
                <w:u w:val="single"/>
                <w:lang w:val="en-US"/>
              </w:rPr>
              <w:t xml:space="preserve">  </w:t>
            </w:r>
            <w:r>
              <w:rPr>
                <w:rFonts w:hint="eastAsia" w:cs="宋体"/>
                <w:color w:val="auto"/>
                <w:szCs w:val="21"/>
              </w:rPr>
              <w:t>油</w:t>
            </w:r>
            <w:r>
              <w:rPr>
                <w:rFonts w:cs="Times New Roman"/>
                <w:color w:val="auto"/>
                <w:szCs w:val="21"/>
                <w:u w:val="single"/>
                <w:lang w:val="en-US"/>
              </w:rPr>
              <w:t xml:space="preserve">  </w:t>
            </w:r>
            <w:r>
              <w:rPr>
                <w:rFonts w:hint="eastAsia" w:cs="Times New Roman"/>
                <w:color w:val="auto"/>
                <w:szCs w:val="21"/>
                <w:u w:val="single"/>
                <w:lang w:val="en-US" w:eastAsia="zh-CN"/>
              </w:rPr>
              <w:t>大</w:t>
            </w:r>
            <w:r>
              <w:rPr>
                <w:rFonts w:hint="eastAsia" w:cs="Times New Roman"/>
                <w:color w:val="auto"/>
                <w:szCs w:val="21"/>
                <w:u w:val="single"/>
                <w:lang w:val="en-US"/>
              </w:rPr>
              <w:t xml:space="preserve"> </w:t>
            </w:r>
            <w:r>
              <w:rPr>
                <w:rFonts w:hint="eastAsia" w:cs="宋体"/>
                <w:color w:val="auto"/>
                <w:szCs w:val="21"/>
              </w:rPr>
              <w:t>流量</w:t>
            </w:r>
          </w:p>
        </w:tc>
        <w:tc>
          <w:tcPr>
            <w:tcW w:w="739" w:type="dxa"/>
            <w:vAlign w:val="center"/>
          </w:tcPr>
          <w:p>
            <w:pPr>
              <w:widowControl/>
              <w:autoSpaceDE/>
              <w:autoSpaceDN/>
              <w:spacing w:line="300" w:lineRule="exact"/>
              <w:jc w:val="center"/>
              <w:rPr>
                <w:rFonts w:hint="eastAsia" w:eastAsia="微软雅黑" w:cs="Times New Roman"/>
                <w:color w:val="auto"/>
                <w:szCs w:val="21"/>
                <w:lang w:eastAsia="zh-CN"/>
              </w:rPr>
            </w:pPr>
            <w:r>
              <w:rPr>
                <w:rFonts w:hint="eastAsia" w:cs="Times New Roman"/>
                <w:color w:val="auto"/>
                <w:szCs w:val="21"/>
                <w:lang w:val="en-US" w:eastAsia="zh-CN"/>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728" w:type="dxa"/>
            <w:gridSpan w:val="6"/>
            <w:vAlign w:val="center"/>
          </w:tcPr>
          <w:p>
            <w:pPr>
              <w:widowControl/>
              <w:autoSpaceDE/>
              <w:autoSpaceDN/>
              <w:spacing w:line="300" w:lineRule="exact"/>
              <w:jc w:val="center"/>
              <w:rPr>
                <w:rFonts w:cs="Times New Roman"/>
                <w:color w:val="auto"/>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4" w:type="dxa"/>
            <w:vMerge w:val="restart"/>
            <w:textDirection w:val="tbLrV"/>
            <w:vAlign w:val="center"/>
          </w:tcPr>
          <w:p>
            <w:pPr>
              <w:widowControl/>
              <w:autoSpaceDE/>
              <w:autoSpaceDN/>
              <w:spacing w:line="300" w:lineRule="exact"/>
              <w:ind w:left="113" w:right="113"/>
              <w:jc w:val="center"/>
              <w:rPr>
                <w:rFonts w:cs="宋体"/>
                <w:b/>
                <w:color w:val="auto"/>
                <w:szCs w:val="21"/>
              </w:rPr>
            </w:pPr>
            <w:r>
              <w:rPr>
                <w:rFonts w:hint="eastAsia" w:cs="宋体"/>
                <w:b/>
                <w:color w:val="auto"/>
                <w:szCs w:val="21"/>
              </w:rPr>
              <w:t>外观涂饰</w:t>
            </w:r>
          </w:p>
        </w:tc>
        <w:tc>
          <w:tcPr>
            <w:tcW w:w="714" w:type="dxa"/>
            <w:vAlign w:val="center"/>
          </w:tcPr>
          <w:p>
            <w:pPr>
              <w:widowControl/>
              <w:autoSpaceDE/>
              <w:autoSpaceDN/>
              <w:spacing w:line="300" w:lineRule="exact"/>
              <w:jc w:val="center"/>
              <w:rPr>
                <w:rFonts w:cs="Times New Roman"/>
                <w:color w:val="auto"/>
                <w:szCs w:val="21"/>
              </w:rPr>
            </w:pPr>
            <w:r>
              <w:rPr>
                <w:rFonts w:cs="Times New Roman"/>
                <w:color w:val="auto"/>
                <w:szCs w:val="21"/>
              </w:rPr>
              <w:t>1</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卷帘门</w:t>
            </w:r>
          </w:p>
        </w:tc>
        <w:tc>
          <w:tcPr>
            <w:tcW w:w="5173" w:type="dxa"/>
            <w:vAlign w:val="center"/>
          </w:tcPr>
          <w:p>
            <w:pPr>
              <w:widowControl/>
              <w:autoSpaceDE/>
              <w:autoSpaceDN/>
              <w:spacing w:line="300" w:lineRule="exact"/>
              <w:jc w:val="center"/>
              <w:rPr>
                <w:rFonts w:cs="宋体"/>
                <w:color w:val="auto"/>
                <w:szCs w:val="21"/>
              </w:rPr>
            </w:pPr>
            <w:r>
              <w:rPr>
                <w:rFonts w:hint="eastAsia" w:cs="宋体"/>
                <w:color w:val="auto"/>
                <w:szCs w:val="21"/>
              </w:rPr>
              <w:t>防爆铝合金卷帘门</w:t>
            </w:r>
          </w:p>
        </w:tc>
        <w:tc>
          <w:tcPr>
            <w:tcW w:w="739" w:type="dxa"/>
            <w:vAlign w:val="center"/>
          </w:tcPr>
          <w:p>
            <w:pPr>
              <w:widowControl/>
              <w:autoSpaceDE/>
              <w:autoSpaceDN/>
              <w:spacing w:line="300" w:lineRule="exact"/>
              <w:jc w:val="center"/>
              <w:rPr>
                <w:rFonts w:hint="eastAsia" w:eastAsia="微软雅黑" w:cs="Times New Roman"/>
                <w:color w:val="auto"/>
                <w:szCs w:val="21"/>
                <w:lang w:val="en-US" w:eastAsia="zh-CN"/>
              </w:rPr>
            </w:pPr>
            <w:r>
              <w:rPr>
                <w:rFonts w:hint="eastAsia" w:cs="Times New Roman"/>
                <w:color w:val="auto"/>
                <w:szCs w:val="21"/>
                <w:lang w:val="en-US" w:eastAsia="zh-CN"/>
              </w:rPr>
              <w:t>3</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lang w:val="en-US"/>
              </w:rPr>
              <w:t>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64" w:type="dxa"/>
            <w:vMerge w:val="continue"/>
            <w:vAlign w:val="center"/>
          </w:tcPr>
          <w:p>
            <w:pPr>
              <w:widowControl/>
              <w:autoSpaceDE/>
              <w:autoSpaceDN/>
              <w:spacing w:line="300" w:lineRule="exact"/>
              <w:jc w:val="center"/>
              <w:rPr>
                <w:rFonts w:cs="宋体"/>
                <w:color w:val="auto"/>
                <w:szCs w:val="21"/>
              </w:rPr>
            </w:pPr>
          </w:p>
        </w:tc>
        <w:tc>
          <w:tcPr>
            <w:tcW w:w="714" w:type="dxa"/>
            <w:vAlign w:val="center"/>
          </w:tcPr>
          <w:p>
            <w:pPr>
              <w:widowControl/>
              <w:autoSpaceDE/>
              <w:autoSpaceDN/>
              <w:spacing w:line="300" w:lineRule="exact"/>
              <w:jc w:val="center"/>
              <w:rPr>
                <w:rFonts w:hint="eastAsia" w:eastAsia="微软雅黑" w:cs="Times New Roman"/>
                <w:color w:val="auto"/>
                <w:szCs w:val="21"/>
                <w:lang w:val="en-US" w:eastAsia="zh-CN"/>
              </w:rPr>
            </w:pPr>
            <w:r>
              <w:rPr>
                <w:rFonts w:hint="eastAsia" w:cs="Times New Roman"/>
                <w:color w:val="auto"/>
                <w:szCs w:val="21"/>
                <w:lang w:val="en-US" w:eastAsia="zh-CN"/>
              </w:rPr>
              <w:t>2</w:t>
            </w:r>
          </w:p>
        </w:tc>
        <w:tc>
          <w:tcPr>
            <w:tcW w:w="1452" w:type="dxa"/>
            <w:vAlign w:val="center"/>
          </w:tcPr>
          <w:p>
            <w:pPr>
              <w:widowControl/>
              <w:autoSpaceDE/>
              <w:autoSpaceDN/>
              <w:spacing w:line="300" w:lineRule="exact"/>
              <w:jc w:val="center"/>
              <w:rPr>
                <w:rFonts w:cs="宋体"/>
                <w:color w:val="auto"/>
                <w:szCs w:val="21"/>
              </w:rPr>
            </w:pPr>
            <w:r>
              <w:rPr>
                <w:rFonts w:hint="eastAsia" w:cs="宋体"/>
                <w:color w:val="auto"/>
                <w:szCs w:val="21"/>
              </w:rPr>
              <w:t>防腐及油漆</w:t>
            </w:r>
          </w:p>
        </w:tc>
        <w:tc>
          <w:tcPr>
            <w:tcW w:w="5173" w:type="dxa"/>
            <w:vAlign w:val="center"/>
          </w:tcPr>
          <w:p>
            <w:pPr>
              <w:widowControl/>
              <w:autoSpaceDE/>
              <w:autoSpaceDN/>
              <w:spacing w:line="300" w:lineRule="exact"/>
              <w:ind w:firstLine="210" w:firstLineChars="100"/>
              <w:jc w:val="center"/>
              <w:rPr>
                <w:rFonts w:hint="eastAsia" w:eastAsia="微软雅黑" w:cs="宋体"/>
                <w:color w:val="auto"/>
                <w:szCs w:val="21"/>
                <w:lang w:eastAsia="zh-CN"/>
              </w:rPr>
            </w:pPr>
            <w:r>
              <w:rPr>
                <w:rFonts w:hint="eastAsia" w:cs="宋体"/>
                <w:color w:val="auto"/>
                <w:szCs w:val="21"/>
              </w:rPr>
              <w:t>罐体经抛丸处理，表面粗糙度达到</w:t>
            </w:r>
            <w:r>
              <w:rPr>
                <w:rFonts w:cs="Times New Roman"/>
                <w:color w:val="auto"/>
                <w:szCs w:val="21"/>
              </w:rPr>
              <w:t>Sa2.5</w:t>
            </w:r>
            <w:r>
              <w:rPr>
                <w:rFonts w:hint="eastAsia" w:cs="宋体"/>
                <w:color w:val="auto"/>
                <w:szCs w:val="21"/>
              </w:rPr>
              <w:t>级。配合三层喷漆</w:t>
            </w:r>
            <w:r>
              <w:rPr>
                <w:rFonts w:hint="eastAsia" w:cs="宋体"/>
                <w:color w:val="auto"/>
                <w:szCs w:val="21"/>
                <w:lang w:eastAsia="zh-CN"/>
              </w:rPr>
              <w:t>。</w:t>
            </w:r>
          </w:p>
        </w:tc>
        <w:tc>
          <w:tcPr>
            <w:tcW w:w="739" w:type="dxa"/>
            <w:vAlign w:val="center"/>
          </w:tcPr>
          <w:p>
            <w:pPr>
              <w:widowControl/>
              <w:autoSpaceDE/>
              <w:autoSpaceDN/>
              <w:spacing w:line="300" w:lineRule="exact"/>
              <w:jc w:val="center"/>
              <w:rPr>
                <w:rFonts w:cs="Times New Roman"/>
                <w:color w:val="auto"/>
                <w:szCs w:val="21"/>
              </w:rPr>
            </w:pPr>
            <w:r>
              <w:rPr>
                <w:rFonts w:cs="Times New Roman"/>
                <w:color w:val="auto"/>
                <w:szCs w:val="21"/>
              </w:rPr>
              <w:t>1</w:t>
            </w:r>
          </w:p>
        </w:tc>
        <w:tc>
          <w:tcPr>
            <w:tcW w:w="786" w:type="dxa"/>
            <w:vAlign w:val="center"/>
          </w:tcPr>
          <w:p>
            <w:pPr>
              <w:widowControl/>
              <w:autoSpaceDE/>
              <w:autoSpaceDN/>
              <w:spacing w:line="300" w:lineRule="exact"/>
              <w:jc w:val="center"/>
              <w:rPr>
                <w:rFonts w:cs="宋体"/>
                <w:color w:val="auto"/>
                <w:szCs w:val="21"/>
              </w:rPr>
            </w:pPr>
            <w:r>
              <w:rPr>
                <w:rFonts w:hint="eastAsia" w:cs="宋体"/>
                <w:color w:val="auto"/>
                <w:szCs w:val="21"/>
              </w:rPr>
              <w:t>套</w:t>
            </w:r>
          </w:p>
        </w:tc>
      </w:tr>
    </w:tbl>
    <w:p>
      <w:pPr>
        <w:rPr>
          <w:color w:val="auto"/>
        </w:rPr>
      </w:pPr>
    </w:p>
    <w:p>
      <w:pPr>
        <w:rPr>
          <w:color w:val="auto"/>
          <w:sz w:val="30"/>
          <w:szCs w:val="30"/>
          <w:lang w:val="en-US"/>
        </w:rPr>
      </w:pPr>
    </w:p>
    <w:p>
      <w:pPr>
        <w:widowControl/>
        <w:numPr>
          <w:ilvl w:val="0"/>
          <w:numId w:val="8"/>
        </w:numPr>
        <w:shd w:val="clear" w:color="auto" w:fill="FFFFFF"/>
        <w:spacing w:line="420" w:lineRule="atLeast"/>
        <w:ind w:firstLine="480" w:firstLineChars="200"/>
        <w:jc w:val="both"/>
        <w:rPr>
          <w:rFonts w:hint="eastAsia"/>
          <w:b w:val="0"/>
          <w:bCs w:val="0"/>
          <w:color w:val="auto"/>
          <w:sz w:val="24"/>
          <w:szCs w:val="24"/>
          <w:shd w:val="clear" w:color="auto" w:fill="FFFFFF"/>
          <w:lang w:val="en-US" w:eastAsia="zh-CN"/>
        </w:rPr>
      </w:pPr>
      <w:r>
        <w:rPr>
          <w:rFonts w:hint="eastAsia"/>
          <w:b w:val="0"/>
          <w:bCs w:val="0"/>
          <w:color w:val="auto"/>
          <w:sz w:val="24"/>
          <w:szCs w:val="24"/>
          <w:shd w:val="clear" w:color="auto" w:fill="FFFFFF"/>
          <w:lang w:val="en-US" w:eastAsia="zh-CN"/>
        </w:rPr>
        <w:t>基础图纸</w:t>
      </w:r>
    </w:p>
    <w:p>
      <w:pPr>
        <w:pStyle w:val="2"/>
        <w:numPr>
          <w:ilvl w:val="0"/>
          <w:numId w:val="0"/>
        </w:numPr>
        <w:spacing w:after="120" w:line="240" w:lineRule="auto"/>
        <w:rPr>
          <w:rFonts w:hint="eastAsia"/>
          <w:lang w:val="en-US" w:eastAsia="zh-CN"/>
        </w:rPr>
      </w:pPr>
    </w:p>
    <w:p>
      <w:pPr>
        <w:pStyle w:val="2"/>
        <w:numPr>
          <w:ilvl w:val="0"/>
          <w:numId w:val="0"/>
        </w:numPr>
        <w:spacing w:after="120" w:line="240" w:lineRule="auto"/>
        <w:rPr>
          <w:rFonts w:hint="eastAsia"/>
          <w:lang w:val="en-US" w:eastAsia="zh-CN"/>
        </w:rPr>
      </w:pPr>
    </w:p>
    <w:p>
      <w:pPr>
        <w:pStyle w:val="2"/>
        <w:numPr>
          <w:ilvl w:val="0"/>
          <w:numId w:val="0"/>
        </w:numPr>
        <w:spacing w:after="120" w:line="240" w:lineRule="auto"/>
        <w:rPr>
          <w:rFonts w:hint="eastAsia"/>
          <w:lang w:val="en-US" w:eastAsia="zh-CN"/>
        </w:rPr>
      </w:pPr>
    </w:p>
    <w:p>
      <w:pPr>
        <w:pStyle w:val="2"/>
        <w:numPr>
          <w:ilvl w:val="0"/>
          <w:numId w:val="0"/>
        </w:numPr>
        <w:spacing w:after="120" w:line="240" w:lineRule="auto"/>
        <w:rPr>
          <w:rFonts w:hint="eastAsia"/>
          <w:lang w:val="en-US" w:eastAsia="zh-CN"/>
        </w:rPr>
      </w:pPr>
    </w:p>
    <w:p>
      <w:pPr>
        <w:pStyle w:val="2"/>
        <w:numPr>
          <w:ilvl w:val="0"/>
          <w:numId w:val="0"/>
        </w:numPr>
        <w:spacing w:after="120" w:line="240" w:lineRule="auto"/>
        <w:rPr>
          <w:rFonts w:hint="eastAsia"/>
          <w:lang w:val="en-US" w:eastAsia="zh-CN"/>
        </w:rPr>
      </w:pPr>
      <w:r>
        <w:rPr>
          <w:rFonts w:hint="eastAsia" w:ascii="宋体" w:hAnsi="宋体" w:eastAsia="宋体" w:cs="宋体"/>
          <w:b w:val="0"/>
          <w:color w:val="auto"/>
          <w:sz w:val="24"/>
          <w:szCs w:val="20"/>
          <w:lang w:eastAsia="zh-CN"/>
        </w:rPr>
        <w:drawing>
          <wp:anchor distT="0" distB="0" distL="114300" distR="114300" simplePos="0" relativeHeight="251661312" behindDoc="0" locked="0" layoutInCell="1" allowOverlap="1">
            <wp:simplePos x="0" y="0"/>
            <wp:positionH relativeFrom="column">
              <wp:posOffset>-285750</wp:posOffset>
            </wp:positionH>
            <wp:positionV relativeFrom="paragraph">
              <wp:posOffset>133350</wp:posOffset>
            </wp:positionV>
            <wp:extent cx="5272405" cy="2689860"/>
            <wp:effectExtent l="0" t="0" r="4445" b="15240"/>
            <wp:wrapTopAndBottom/>
            <wp:docPr id="4" name="图片 4" descr="c905c69b3be69eb03aba6059d1ab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905c69b3be69eb03aba6059d1ab956"/>
                    <pic:cNvPicPr>
                      <a:picLocks noChangeAspect="1"/>
                    </pic:cNvPicPr>
                  </pic:nvPicPr>
                  <pic:blipFill>
                    <a:blip r:embed="rId8"/>
                    <a:stretch>
                      <a:fillRect/>
                    </a:stretch>
                  </pic:blipFill>
                  <pic:spPr>
                    <a:xfrm>
                      <a:off x="0" y="0"/>
                      <a:ext cx="5272405" cy="2689860"/>
                    </a:xfrm>
                    <a:prstGeom prst="rect">
                      <a:avLst/>
                    </a:prstGeom>
                  </pic:spPr>
                </pic:pic>
              </a:graphicData>
            </a:graphic>
          </wp:anchor>
        </w:drawing>
      </w:r>
    </w:p>
    <w:p>
      <w:pPr>
        <w:pStyle w:val="2"/>
        <w:numPr>
          <w:ilvl w:val="0"/>
          <w:numId w:val="0"/>
        </w:numPr>
        <w:spacing w:after="120" w:line="240" w:lineRule="auto"/>
        <w:rPr>
          <w:rFonts w:hint="eastAsia"/>
          <w:lang w:val="en-US" w:eastAsia="zh-CN"/>
        </w:rPr>
      </w:pPr>
    </w:p>
    <w:p>
      <w:pPr>
        <w:pStyle w:val="38"/>
        <w:ind w:left="0" w:leftChars="0" w:firstLine="0" w:firstLineChars="0"/>
        <w:rPr>
          <w:rFonts w:hint="eastAsia" w:ascii="宋体" w:hAnsi="宋体" w:eastAsia="宋体" w:cs="宋体"/>
          <w:b w:val="0"/>
          <w:color w:val="auto"/>
          <w:sz w:val="24"/>
          <w:szCs w:val="20"/>
          <w:lang w:eastAsia="zh-CN"/>
        </w:rPr>
      </w:pPr>
    </w:p>
    <w:p>
      <w:pPr>
        <w:pStyle w:val="38"/>
        <w:rPr>
          <w:rFonts w:hint="eastAsia" w:ascii="宋体" w:hAnsi="宋体" w:eastAsia="宋体" w:cs="宋体"/>
          <w:b/>
          <w:color w:val="auto"/>
          <w:sz w:val="44"/>
          <w:szCs w:val="44"/>
          <w:highlight w:val="none"/>
        </w:rPr>
      </w:pPr>
      <w:r>
        <w:rPr>
          <w:rFonts w:hint="eastAsia" w:ascii="宋体" w:hAnsi="宋体" w:eastAsia="宋体" w:cs="宋体"/>
          <w:b w:val="0"/>
          <w:color w:val="auto"/>
          <w:sz w:val="24"/>
          <w:szCs w:val="20"/>
          <w:lang w:eastAsia="zh-CN"/>
        </w:rPr>
        <w:drawing>
          <wp:anchor distT="0" distB="0" distL="114300" distR="114300" simplePos="0" relativeHeight="251660288" behindDoc="0" locked="0" layoutInCell="1" allowOverlap="1">
            <wp:simplePos x="0" y="0"/>
            <wp:positionH relativeFrom="column">
              <wp:posOffset>-200025</wp:posOffset>
            </wp:positionH>
            <wp:positionV relativeFrom="paragraph">
              <wp:posOffset>3408045</wp:posOffset>
            </wp:positionV>
            <wp:extent cx="5269230" cy="2143760"/>
            <wp:effectExtent l="0" t="0" r="7620" b="8890"/>
            <wp:wrapTopAndBottom/>
            <wp:docPr id="2" name="图片 2" descr="6d7c36bba51d2f2df98c9ebb7a80a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d7c36bba51d2f2df98c9ebb7a80ae7"/>
                    <pic:cNvPicPr>
                      <a:picLocks noChangeAspect="1"/>
                    </pic:cNvPicPr>
                  </pic:nvPicPr>
                  <pic:blipFill>
                    <a:blip r:embed="rId9"/>
                    <a:stretch>
                      <a:fillRect/>
                    </a:stretch>
                  </pic:blipFill>
                  <pic:spPr>
                    <a:xfrm>
                      <a:off x="0" y="0"/>
                      <a:ext cx="5269230" cy="2143760"/>
                    </a:xfrm>
                    <a:prstGeom prst="rect">
                      <a:avLst/>
                    </a:prstGeom>
                  </pic:spPr>
                </pic:pic>
              </a:graphicData>
            </a:graphic>
          </wp:anchor>
        </w:drawing>
      </w:r>
      <w:r>
        <w:rPr>
          <w:rFonts w:hint="eastAsia" w:ascii="宋体" w:hAnsi="宋体" w:eastAsia="宋体" w:cs="宋体"/>
          <w:b w:val="0"/>
          <w:color w:val="auto"/>
          <w:sz w:val="24"/>
          <w:szCs w:val="20"/>
          <w:lang w:eastAsia="zh-CN"/>
        </w:rPr>
        <w:drawing>
          <wp:anchor distT="0" distB="0" distL="114300" distR="114300" simplePos="0" relativeHeight="251659264" behindDoc="0" locked="0" layoutInCell="1" allowOverlap="1">
            <wp:simplePos x="0" y="0"/>
            <wp:positionH relativeFrom="column">
              <wp:posOffset>-57150</wp:posOffset>
            </wp:positionH>
            <wp:positionV relativeFrom="paragraph">
              <wp:posOffset>189865</wp:posOffset>
            </wp:positionV>
            <wp:extent cx="5268595" cy="2726055"/>
            <wp:effectExtent l="0" t="0" r="8255" b="17145"/>
            <wp:wrapTopAndBottom/>
            <wp:docPr id="1" name="图片 1" descr="1eba3332a121c4136b1ca60f1e7ac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eba3332a121c4136b1ca60f1e7ac0e"/>
                    <pic:cNvPicPr>
                      <a:picLocks noChangeAspect="1"/>
                    </pic:cNvPicPr>
                  </pic:nvPicPr>
                  <pic:blipFill>
                    <a:blip r:embed="rId10"/>
                    <a:stretch>
                      <a:fillRect/>
                    </a:stretch>
                  </pic:blipFill>
                  <pic:spPr>
                    <a:xfrm>
                      <a:off x="0" y="0"/>
                      <a:ext cx="5268595" cy="2726055"/>
                    </a:xfrm>
                    <a:prstGeom prst="rect">
                      <a:avLst/>
                    </a:prstGeom>
                  </pic:spPr>
                </pic:pic>
              </a:graphicData>
            </a:graphic>
          </wp:anchor>
        </w:drawing>
      </w:r>
      <w:bookmarkStart w:id="32" w:name="_Toc13840"/>
    </w:p>
    <w:p>
      <w:pPr>
        <w:spacing w:line="312" w:lineRule="auto"/>
        <w:jc w:val="center"/>
        <w:outlineLvl w:val="0"/>
        <w:rPr>
          <w:rFonts w:hint="eastAsia" w:ascii="宋体" w:hAnsi="宋体" w:eastAsia="宋体" w:cs="宋体"/>
          <w:b/>
          <w:color w:val="auto"/>
          <w:sz w:val="36"/>
          <w:szCs w:val="36"/>
          <w:highlight w:val="none"/>
        </w:rPr>
      </w:pPr>
    </w:p>
    <w:p>
      <w:pPr>
        <w:spacing w:line="312" w:lineRule="auto"/>
        <w:jc w:val="center"/>
        <w:outlineLvl w:val="0"/>
        <w:rPr>
          <w:rFonts w:hint="eastAsia" w:ascii="宋体" w:hAnsi="宋体" w:eastAsia="宋体" w:cs="宋体"/>
          <w:b/>
          <w:color w:val="auto"/>
          <w:sz w:val="36"/>
          <w:szCs w:val="36"/>
          <w:highlight w:val="none"/>
        </w:rPr>
      </w:pPr>
    </w:p>
    <w:p>
      <w:pPr>
        <w:spacing w:line="312" w:lineRule="auto"/>
        <w:jc w:val="center"/>
        <w:outlineLvl w:val="0"/>
        <w:rPr>
          <w:rFonts w:hint="eastAsia" w:ascii="宋体" w:hAnsi="宋体" w:eastAsia="宋体" w:cs="宋体"/>
          <w:b/>
          <w:color w:val="auto"/>
          <w:sz w:val="36"/>
          <w:szCs w:val="36"/>
          <w:highlight w:val="none"/>
        </w:rPr>
      </w:pPr>
    </w:p>
    <w:p>
      <w:pPr>
        <w:spacing w:line="312" w:lineRule="auto"/>
        <w:jc w:val="center"/>
        <w:outlineLvl w:val="0"/>
        <w:rPr>
          <w:rFonts w:hint="eastAsia" w:ascii="宋体" w:hAnsi="宋体" w:eastAsia="宋体" w:cs="宋体"/>
          <w:b/>
          <w:color w:val="auto"/>
          <w:sz w:val="36"/>
          <w:szCs w:val="36"/>
          <w:highlight w:val="none"/>
        </w:rPr>
      </w:pPr>
    </w:p>
    <w:p>
      <w:pPr>
        <w:spacing w:line="312" w:lineRule="auto"/>
        <w:jc w:val="center"/>
        <w:outlineLvl w:val="0"/>
        <w:rPr>
          <w:rFonts w:hint="eastAsia" w:ascii="宋体" w:hAnsi="宋体" w:eastAsia="宋体" w:cs="宋体"/>
          <w:b/>
          <w:color w:val="auto"/>
          <w:sz w:val="36"/>
          <w:szCs w:val="36"/>
          <w:highlight w:val="none"/>
        </w:rPr>
      </w:pPr>
    </w:p>
    <w:p>
      <w:pPr>
        <w:spacing w:line="312" w:lineRule="auto"/>
        <w:jc w:val="center"/>
        <w:outlineLvl w:val="0"/>
        <w:rPr>
          <w:rFonts w:hint="eastAsia" w:ascii="宋体" w:hAnsi="宋体" w:eastAsia="宋体" w:cs="宋体"/>
          <w:b/>
          <w:color w:val="auto"/>
          <w:sz w:val="36"/>
          <w:szCs w:val="36"/>
          <w:highlight w:val="none"/>
        </w:rPr>
      </w:pPr>
    </w:p>
    <w:p>
      <w:pPr>
        <w:spacing w:line="312"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第六章  响应文件格式</w:t>
      </w:r>
      <w:bookmarkEnd w:id="32"/>
    </w:p>
    <w:p>
      <w:pPr>
        <w:jc w:val="center"/>
        <w:rPr>
          <w:rFonts w:hint="eastAsia" w:ascii="宋体" w:hAnsi="宋体" w:eastAsia="宋体" w:cs="宋体"/>
          <w:color w:val="auto"/>
          <w:sz w:val="30"/>
          <w:szCs w:val="30"/>
          <w:highlight w:val="none"/>
        </w:rPr>
      </w:pPr>
    </w:p>
    <w:p>
      <w:pPr>
        <w:jc w:val="center"/>
        <w:rPr>
          <w:rFonts w:hint="eastAsia" w:ascii="宋体" w:hAnsi="宋体" w:eastAsia="宋体" w:cs="宋体"/>
          <w:color w:val="auto"/>
          <w:sz w:val="30"/>
          <w:szCs w:val="30"/>
          <w:highlight w:val="none"/>
        </w:rPr>
      </w:pPr>
    </w:p>
    <w:p>
      <w:pPr>
        <w:jc w:val="center"/>
        <w:rPr>
          <w:rFonts w:hint="eastAsia" w:ascii="宋体" w:hAnsi="宋体" w:eastAsia="宋体" w:cs="宋体"/>
          <w:color w:val="auto"/>
          <w:sz w:val="30"/>
          <w:szCs w:val="30"/>
          <w:highlight w:val="none"/>
        </w:rPr>
      </w:pPr>
    </w:p>
    <w:p>
      <w:pPr>
        <w:jc w:val="center"/>
        <w:outlineLvl w:val="0"/>
        <w:rPr>
          <w:rFonts w:hint="eastAsia" w:ascii="宋体" w:hAnsi="宋体" w:eastAsia="宋体" w:cs="宋体"/>
          <w:b/>
          <w:bCs/>
          <w:color w:val="auto"/>
          <w:sz w:val="40"/>
          <w:szCs w:val="36"/>
          <w:highlight w:val="none"/>
        </w:rPr>
      </w:pPr>
      <w:r>
        <w:rPr>
          <w:rFonts w:hint="eastAsia" w:ascii="宋体" w:hAnsi="宋体" w:eastAsia="宋体" w:cs="宋体"/>
          <w:bCs/>
          <w:color w:val="auto"/>
          <w:sz w:val="48"/>
          <w:szCs w:val="44"/>
          <w:highlight w:val="none"/>
          <w:u w:val="single"/>
        </w:rPr>
        <w:t xml:space="preserve">                   </w:t>
      </w:r>
      <w:bookmarkStart w:id="33" w:name="_Toc11696"/>
      <w:r>
        <w:rPr>
          <w:rFonts w:hint="eastAsia" w:ascii="宋体" w:hAnsi="宋体" w:eastAsia="宋体" w:cs="宋体"/>
          <w:b/>
          <w:bCs/>
          <w:color w:val="auto"/>
          <w:sz w:val="40"/>
          <w:szCs w:val="36"/>
          <w:highlight w:val="none"/>
        </w:rPr>
        <w:t>项目</w:t>
      </w:r>
      <w:bookmarkEnd w:id="33"/>
    </w:p>
    <w:p>
      <w:pPr>
        <w:widowControl w:val="0"/>
        <w:spacing w:before="240" w:beforeLines="100" w:after="240" w:afterLines="100" w:line="240" w:lineRule="auto"/>
        <w:jc w:val="center"/>
        <w:outlineLvl w:val="0"/>
        <w:rPr>
          <w:rFonts w:hint="eastAsia" w:ascii="宋体" w:hAnsi="宋体" w:eastAsia="宋体" w:cs="宋体"/>
          <w:b/>
          <w:bCs/>
          <w:color w:val="auto"/>
          <w:sz w:val="28"/>
          <w:szCs w:val="28"/>
          <w:highlight w:val="none"/>
        </w:rPr>
      </w:pPr>
      <w:bookmarkStart w:id="34" w:name="_Toc23766"/>
      <w:r>
        <w:rPr>
          <w:rFonts w:hint="eastAsia" w:ascii="宋体" w:hAnsi="宋体" w:eastAsia="宋体" w:cs="宋体"/>
          <w:b/>
          <w:bCs/>
          <w:color w:val="auto"/>
          <w:sz w:val="28"/>
          <w:szCs w:val="28"/>
          <w:highlight w:val="none"/>
        </w:rPr>
        <w:t>（项目采购编号：</w:t>
      </w:r>
      <w:r>
        <w:rPr>
          <w:rFonts w:hint="eastAsia" w:ascii="宋体" w:hAnsi="宋体" w:eastAsia="宋体" w:cs="宋体"/>
          <w:b/>
          <w:bCs/>
          <w:color w:val="auto"/>
          <w:sz w:val="28"/>
          <w:szCs w:val="28"/>
          <w:highlight w:val="none"/>
          <w:u w:val="single"/>
        </w:rPr>
        <w:t xml:space="preserve">   填入项目采购编号     </w:t>
      </w:r>
      <w:r>
        <w:rPr>
          <w:rFonts w:hint="eastAsia" w:ascii="宋体" w:hAnsi="宋体" w:eastAsia="宋体" w:cs="宋体"/>
          <w:b/>
          <w:bCs/>
          <w:color w:val="auto"/>
          <w:sz w:val="28"/>
          <w:szCs w:val="28"/>
          <w:highlight w:val="none"/>
        </w:rPr>
        <w:t>）</w:t>
      </w:r>
      <w:bookmarkEnd w:id="34"/>
    </w:p>
    <w:p>
      <w:pPr>
        <w:widowControl w:val="0"/>
        <w:adjustRightInd w:val="0"/>
        <w:snapToGrid w:val="0"/>
        <w:rPr>
          <w:rFonts w:hint="eastAsia" w:ascii="宋体" w:hAnsi="宋体" w:eastAsia="宋体" w:cs="宋体"/>
          <w:b/>
          <w:color w:val="auto"/>
          <w:highlight w:val="none"/>
        </w:rPr>
      </w:pPr>
    </w:p>
    <w:p>
      <w:pPr>
        <w:spacing w:line="288" w:lineRule="auto"/>
        <w:jc w:val="center"/>
        <w:rPr>
          <w:rFonts w:hint="eastAsia" w:ascii="宋体" w:hAnsi="宋体" w:eastAsia="宋体" w:cs="宋体"/>
          <w:b/>
          <w:bCs/>
          <w:color w:val="auto"/>
          <w:spacing w:val="160"/>
          <w:sz w:val="72"/>
          <w:szCs w:val="72"/>
          <w:highlight w:val="none"/>
        </w:rPr>
      </w:pPr>
    </w:p>
    <w:p>
      <w:pPr>
        <w:spacing w:line="288" w:lineRule="auto"/>
        <w:jc w:val="center"/>
        <w:rPr>
          <w:rFonts w:hint="eastAsia" w:ascii="宋体" w:hAnsi="宋体" w:eastAsia="宋体" w:cs="宋体"/>
          <w:b/>
          <w:bCs/>
          <w:color w:val="auto"/>
          <w:spacing w:val="160"/>
          <w:sz w:val="72"/>
          <w:szCs w:val="72"/>
          <w:highlight w:val="none"/>
        </w:rPr>
      </w:pPr>
    </w:p>
    <w:p>
      <w:pPr>
        <w:spacing w:line="288" w:lineRule="auto"/>
        <w:jc w:val="center"/>
        <w:outlineLvl w:val="0"/>
        <w:rPr>
          <w:rFonts w:hint="eastAsia" w:ascii="宋体" w:hAnsi="宋体" w:eastAsia="宋体" w:cs="宋体"/>
          <w:b/>
          <w:bCs/>
          <w:color w:val="auto"/>
          <w:spacing w:val="160"/>
          <w:sz w:val="72"/>
          <w:szCs w:val="72"/>
          <w:highlight w:val="none"/>
        </w:rPr>
      </w:pPr>
      <w:bookmarkStart w:id="35" w:name="_Toc7555"/>
      <w:r>
        <w:rPr>
          <w:rFonts w:hint="eastAsia" w:ascii="宋体" w:hAnsi="宋体" w:eastAsia="宋体" w:cs="宋体"/>
          <w:b/>
          <w:bCs/>
          <w:color w:val="auto"/>
          <w:spacing w:val="160"/>
          <w:sz w:val="72"/>
          <w:szCs w:val="72"/>
          <w:highlight w:val="none"/>
        </w:rPr>
        <w:t>响应文件</w:t>
      </w:r>
      <w:bookmarkEnd w:id="35"/>
    </w:p>
    <w:p>
      <w:pPr>
        <w:spacing w:line="288" w:lineRule="auto"/>
        <w:rPr>
          <w:rFonts w:hint="eastAsia" w:ascii="宋体" w:hAnsi="宋体" w:eastAsia="宋体" w:cs="宋体"/>
          <w:color w:val="auto"/>
          <w:sz w:val="26"/>
          <w:szCs w:val="26"/>
          <w:highlight w:val="none"/>
        </w:rPr>
      </w:pPr>
    </w:p>
    <w:p>
      <w:pPr>
        <w:spacing w:line="288" w:lineRule="auto"/>
        <w:rPr>
          <w:rFonts w:hint="eastAsia" w:ascii="宋体" w:hAnsi="宋体" w:eastAsia="宋体" w:cs="宋体"/>
          <w:color w:val="auto"/>
          <w:sz w:val="26"/>
          <w:szCs w:val="26"/>
          <w:highlight w:val="none"/>
        </w:rPr>
      </w:pPr>
    </w:p>
    <w:p>
      <w:pPr>
        <w:spacing w:line="288" w:lineRule="auto"/>
        <w:rPr>
          <w:rFonts w:hint="eastAsia" w:ascii="宋体" w:hAnsi="宋体" w:eastAsia="宋体" w:cs="宋体"/>
          <w:color w:val="auto"/>
          <w:sz w:val="26"/>
          <w:szCs w:val="26"/>
          <w:highlight w:val="none"/>
        </w:rPr>
      </w:pPr>
    </w:p>
    <w:p>
      <w:pPr>
        <w:spacing w:line="288" w:lineRule="auto"/>
        <w:rPr>
          <w:rFonts w:hint="eastAsia" w:ascii="宋体" w:hAnsi="宋体" w:eastAsia="宋体" w:cs="宋体"/>
          <w:color w:val="auto"/>
          <w:sz w:val="26"/>
          <w:szCs w:val="26"/>
          <w:highlight w:val="none"/>
        </w:rPr>
      </w:pPr>
    </w:p>
    <w:p>
      <w:pPr>
        <w:spacing w:line="900" w:lineRule="exact"/>
        <w:jc w:val="center"/>
        <w:outlineLvl w:val="0"/>
        <w:rPr>
          <w:rFonts w:hint="eastAsia" w:ascii="宋体" w:hAnsi="宋体" w:eastAsia="宋体" w:cs="宋体"/>
          <w:bCs/>
          <w:color w:val="auto"/>
          <w:sz w:val="30"/>
          <w:szCs w:val="30"/>
          <w:highlight w:val="none"/>
        </w:rPr>
      </w:pPr>
      <w:bookmarkStart w:id="36" w:name="_Toc148"/>
      <w:r>
        <w:rPr>
          <w:rFonts w:hint="eastAsia" w:ascii="宋体" w:hAnsi="宋体" w:eastAsia="宋体" w:cs="宋体"/>
          <w:bCs/>
          <w:color w:val="auto"/>
          <w:sz w:val="30"/>
          <w:szCs w:val="30"/>
          <w:highlight w:val="none"/>
        </w:rPr>
        <w:t>供 应 商：</w:t>
      </w:r>
      <w:r>
        <w:rPr>
          <w:rFonts w:hint="eastAsia" w:ascii="宋体" w:hAnsi="宋体" w:eastAsia="宋体" w:cs="宋体"/>
          <w:bCs/>
          <w:color w:val="auto"/>
          <w:sz w:val="30"/>
          <w:szCs w:val="30"/>
          <w:highlight w:val="none"/>
          <w:u w:val="single"/>
        </w:rPr>
        <w:t xml:space="preserve">  供应商全称并盖单位公章</w:t>
      </w:r>
      <w:bookmarkEnd w:id="36"/>
      <w:r>
        <w:rPr>
          <w:rFonts w:hint="eastAsia" w:ascii="宋体" w:hAnsi="宋体" w:eastAsia="宋体" w:cs="宋体"/>
          <w:bCs/>
          <w:color w:val="auto"/>
          <w:sz w:val="30"/>
          <w:szCs w:val="30"/>
          <w:highlight w:val="none"/>
          <w:u w:val="single"/>
        </w:rPr>
        <w:t xml:space="preserve"> </w:t>
      </w:r>
    </w:p>
    <w:p>
      <w:pPr>
        <w:spacing w:line="900" w:lineRule="exact"/>
        <w:jc w:val="center"/>
        <w:outlineLvl w:val="0"/>
        <w:rPr>
          <w:rFonts w:hint="eastAsia" w:ascii="宋体" w:hAnsi="宋体" w:eastAsia="宋体" w:cs="宋体"/>
          <w:color w:val="auto"/>
          <w:sz w:val="30"/>
          <w:szCs w:val="30"/>
          <w:highlight w:val="none"/>
        </w:rPr>
      </w:pPr>
      <w:bookmarkStart w:id="37" w:name="_Toc31175"/>
      <w:r>
        <w:rPr>
          <w:rFonts w:hint="eastAsia" w:ascii="宋体" w:hAnsi="宋体" w:eastAsia="宋体" w:cs="宋体"/>
          <w:color w:val="auto"/>
          <w:sz w:val="30"/>
          <w:szCs w:val="30"/>
          <w:highlight w:val="none"/>
        </w:rPr>
        <w:t>日   期：</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日</w:t>
      </w:r>
      <w:bookmarkEnd w:id="37"/>
    </w:p>
    <w:p>
      <w:pPr>
        <w:pStyle w:val="38"/>
        <w:ind w:firstLine="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adjustRightInd w:val="0"/>
        <w:snapToGrid w:val="0"/>
        <w:spacing w:line="600" w:lineRule="exact"/>
        <w:jc w:val="center"/>
        <w:outlineLvl w:val="0"/>
        <w:rPr>
          <w:rFonts w:hint="eastAsia" w:ascii="宋体" w:hAnsi="宋体" w:eastAsia="宋体" w:cs="宋体"/>
          <w:color w:val="auto"/>
          <w:sz w:val="36"/>
          <w:szCs w:val="36"/>
          <w:highlight w:val="none"/>
        </w:rPr>
      </w:pPr>
      <w:bookmarkStart w:id="38" w:name="_Toc12780"/>
    </w:p>
    <w:p>
      <w:pPr>
        <w:adjustRightInd w:val="0"/>
        <w:snapToGrid w:val="0"/>
        <w:spacing w:line="600" w:lineRule="exact"/>
        <w:jc w:val="center"/>
        <w:outlineLvl w:val="0"/>
        <w:rPr>
          <w:rFonts w:hint="eastAsia" w:ascii="宋体" w:hAnsi="宋体" w:eastAsia="宋体" w:cs="宋体"/>
          <w:color w:val="auto"/>
          <w:sz w:val="36"/>
          <w:szCs w:val="36"/>
          <w:highlight w:val="none"/>
        </w:rPr>
      </w:pPr>
    </w:p>
    <w:p>
      <w:pPr>
        <w:adjustRightInd w:val="0"/>
        <w:snapToGrid w:val="0"/>
        <w:spacing w:line="600" w:lineRule="exact"/>
        <w:jc w:val="center"/>
        <w:outlineLvl w:val="0"/>
        <w:rPr>
          <w:rFonts w:hint="eastAsia" w:ascii="宋体" w:hAnsi="宋体" w:eastAsia="宋体" w:cs="宋体"/>
          <w:color w:val="auto"/>
          <w:sz w:val="36"/>
          <w:szCs w:val="36"/>
          <w:highlight w:val="none"/>
        </w:rPr>
      </w:pPr>
    </w:p>
    <w:p>
      <w:pPr>
        <w:adjustRightInd w:val="0"/>
        <w:snapToGrid w:val="0"/>
        <w:spacing w:line="600" w:lineRule="exact"/>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目  录</w:t>
      </w:r>
      <w:bookmarkEnd w:id="38"/>
    </w:p>
    <w:p>
      <w:pPr>
        <w:adjustRightInd w:val="0"/>
        <w:snapToGrid w:val="0"/>
        <w:spacing w:line="600" w:lineRule="exact"/>
        <w:jc w:val="both"/>
        <w:rPr>
          <w:rFonts w:hint="eastAsia" w:ascii="宋体" w:hAnsi="宋体" w:eastAsia="宋体" w:cs="宋体"/>
          <w:color w:val="auto"/>
          <w:sz w:val="36"/>
          <w:szCs w:val="36"/>
          <w:highlight w:val="none"/>
        </w:rPr>
      </w:pPr>
    </w:p>
    <w:p>
      <w:pPr>
        <w:adjustRightInd w:val="0"/>
        <w:snapToGrid w:val="0"/>
        <w:spacing w:line="600" w:lineRule="exact"/>
        <w:jc w:val="both"/>
        <w:outlineLvl w:val="0"/>
        <w:rPr>
          <w:rFonts w:hint="eastAsia" w:ascii="宋体" w:hAnsi="宋体" w:eastAsia="宋体" w:cs="宋体"/>
          <w:color w:val="auto"/>
          <w:highlight w:val="none"/>
        </w:rPr>
      </w:pPr>
      <w:bookmarkStart w:id="39" w:name="_Toc15730"/>
      <w:r>
        <w:rPr>
          <w:rFonts w:hint="eastAsia" w:ascii="宋体" w:hAnsi="宋体" w:eastAsia="宋体" w:cs="宋体"/>
          <w:color w:val="auto"/>
          <w:sz w:val="24"/>
          <w:highlight w:val="none"/>
        </w:rPr>
        <w:t>一、响应函</w:t>
      </w:r>
      <w:bookmarkEnd w:id="39"/>
    </w:p>
    <w:p>
      <w:pPr>
        <w:adjustRightInd w:val="0"/>
        <w:snapToGrid w:val="0"/>
        <w:spacing w:line="600" w:lineRule="exact"/>
        <w:jc w:val="both"/>
        <w:outlineLvl w:val="0"/>
        <w:rPr>
          <w:rFonts w:hint="eastAsia" w:ascii="宋体" w:hAnsi="宋体" w:eastAsia="宋体" w:cs="宋体"/>
          <w:color w:val="auto"/>
          <w:highlight w:val="none"/>
        </w:rPr>
      </w:pPr>
      <w:bookmarkStart w:id="40" w:name="_Toc24943"/>
      <w:r>
        <w:rPr>
          <w:rFonts w:hint="eastAsia" w:ascii="宋体" w:hAnsi="宋体" w:eastAsia="宋体" w:cs="宋体"/>
          <w:color w:val="auto"/>
          <w:sz w:val="24"/>
          <w:highlight w:val="none"/>
        </w:rPr>
        <w:t>二、授权委托书(适用于有委托代理人的情况)</w:t>
      </w:r>
      <w:bookmarkEnd w:id="40"/>
    </w:p>
    <w:p>
      <w:pPr>
        <w:spacing w:line="600" w:lineRule="exact"/>
        <w:jc w:val="both"/>
        <w:outlineLvl w:val="0"/>
        <w:rPr>
          <w:rFonts w:hint="eastAsia" w:ascii="宋体" w:hAnsi="宋体" w:eastAsia="宋体" w:cs="宋体"/>
          <w:color w:val="auto"/>
          <w:sz w:val="24"/>
          <w:highlight w:val="none"/>
        </w:rPr>
      </w:pPr>
      <w:bookmarkStart w:id="41" w:name="_Toc14971"/>
      <w:r>
        <w:rPr>
          <w:rFonts w:hint="eastAsia" w:ascii="宋体" w:hAnsi="宋体" w:eastAsia="宋体" w:cs="宋体"/>
          <w:color w:val="auto"/>
          <w:sz w:val="24"/>
          <w:highlight w:val="none"/>
        </w:rPr>
        <w:t>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商务与技术偏差表</w:t>
      </w:r>
      <w:bookmarkEnd w:id="41"/>
    </w:p>
    <w:p>
      <w:pPr>
        <w:adjustRightInd w:val="0"/>
        <w:snapToGrid w:val="0"/>
        <w:spacing w:line="600" w:lineRule="exact"/>
        <w:jc w:val="both"/>
        <w:outlineLvl w:val="0"/>
        <w:rPr>
          <w:rFonts w:hint="eastAsia" w:ascii="宋体" w:hAnsi="宋体" w:eastAsia="宋体" w:cs="宋体"/>
          <w:color w:val="auto"/>
          <w:sz w:val="24"/>
          <w:highlight w:val="none"/>
        </w:rPr>
      </w:pPr>
      <w:bookmarkStart w:id="42" w:name="_Toc22074"/>
      <w:r>
        <w:rPr>
          <w:rFonts w:hint="eastAsia" w:ascii="宋体" w:hAnsi="宋体" w:eastAsia="宋体" w:cs="宋体"/>
          <w:color w:val="auto"/>
          <w:sz w:val="24"/>
          <w:highlight w:val="none"/>
        </w:rPr>
        <w:t>四、报价表</w:t>
      </w:r>
      <w:bookmarkEnd w:id="42"/>
    </w:p>
    <w:p>
      <w:pPr>
        <w:adjustRightInd w:val="0"/>
        <w:snapToGrid w:val="0"/>
        <w:spacing w:line="600" w:lineRule="exact"/>
        <w:jc w:val="both"/>
        <w:outlineLvl w:val="0"/>
        <w:rPr>
          <w:rFonts w:hint="eastAsia" w:ascii="宋体" w:hAnsi="宋体" w:eastAsia="宋体" w:cs="宋体"/>
          <w:color w:val="auto"/>
          <w:highlight w:val="none"/>
        </w:rPr>
      </w:pPr>
      <w:bookmarkStart w:id="43" w:name="_Toc27785"/>
      <w:r>
        <w:rPr>
          <w:rFonts w:hint="eastAsia" w:ascii="宋体" w:hAnsi="宋体" w:eastAsia="宋体" w:cs="宋体"/>
          <w:color w:val="auto"/>
          <w:sz w:val="24"/>
          <w:highlight w:val="none"/>
        </w:rPr>
        <w:t>五、资格审查资料</w:t>
      </w:r>
      <w:bookmarkEnd w:id="43"/>
    </w:p>
    <w:p>
      <w:pPr>
        <w:adjustRightInd w:val="0"/>
        <w:snapToGrid w:val="0"/>
        <w:spacing w:line="600" w:lineRule="exact"/>
        <w:jc w:val="both"/>
        <w:outlineLvl w:val="0"/>
        <w:rPr>
          <w:rFonts w:hint="eastAsia" w:ascii="宋体" w:hAnsi="宋体" w:eastAsia="宋体" w:cs="宋体"/>
          <w:color w:val="auto"/>
          <w:highlight w:val="none"/>
        </w:rPr>
      </w:pPr>
      <w:bookmarkStart w:id="44" w:name="_Toc4714"/>
      <w:r>
        <w:rPr>
          <w:rFonts w:hint="eastAsia" w:ascii="宋体" w:hAnsi="宋体" w:eastAsia="宋体" w:cs="宋体"/>
          <w:color w:val="auto"/>
          <w:sz w:val="24"/>
          <w:highlight w:val="none"/>
        </w:rPr>
        <w:t>六、响应方案</w:t>
      </w:r>
      <w:bookmarkEnd w:id="44"/>
    </w:p>
    <w:p>
      <w:pPr>
        <w:adjustRightInd w:val="0"/>
        <w:snapToGrid w:val="0"/>
        <w:spacing w:line="600" w:lineRule="exact"/>
        <w:jc w:val="both"/>
        <w:outlineLvl w:val="0"/>
        <w:rPr>
          <w:rFonts w:hint="eastAsia" w:ascii="宋体" w:hAnsi="宋体" w:eastAsia="宋体" w:cs="宋体"/>
          <w:color w:val="auto"/>
          <w:sz w:val="24"/>
          <w:highlight w:val="none"/>
        </w:rPr>
      </w:pPr>
      <w:bookmarkStart w:id="45" w:name="_Toc13831"/>
      <w:r>
        <w:rPr>
          <w:rFonts w:hint="eastAsia" w:ascii="宋体" w:hAnsi="宋体" w:eastAsia="宋体" w:cs="宋体"/>
          <w:color w:val="auto"/>
          <w:sz w:val="24"/>
          <w:highlight w:val="none"/>
        </w:rPr>
        <w:t>七、其他资料</w:t>
      </w:r>
      <w:bookmarkEnd w:id="45"/>
    </w:p>
    <w:p>
      <w:pPr>
        <w:spacing w:line="600" w:lineRule="exact"/>
        <w:jc w:val="both"/>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p>
    <w:p>
      <w:pPr>
        <w:numPr>
          <w:ilvl w:val="0"/>
          <w:numId w:val="9"/>
        </w:numPr>
        <w:adjustRightInd w:val="0"/>
        <w:snapToGrid w:val="0"/>
        <w:spacing w:line="600" w:lineRule="exact"/>
        <w:jc w:val="center"/>
        <w:outlineLvl w:val="0"/>
        <w:rPr>
          <w:rFonts w:hint="eastAsia" w:ascii="宋体" w:hAnsi="宋体" w:eastAsia="宋体" w:cs="宋体"/>
          <w:color w:val="auto"/>
          <w:sz w:val="36"/>
          <w:szCs w:val="36"/>
          <w:highlight w:val="none"/>
        </w:rPr>
      </w:pPr>
      <w:bookmarkStart w:id="46" w:name="_Toc23650"/>
      <w:r>
        <w:rPr>
          <w:rFonts w:hint="eastAsia" w:ascii="宋体" w:hAnsi="宋体" w:eastAsia="宋体" w:cs="宋体"/>
          <w:color w:val="auto"/>
          <w:sz w:val="36"/>
          <w:szCs w:val="36"/>
          <w:highlight w:val="none"/>
        </w:rPr>
        <w:t>响应函</w:t>
      </w:r>
      <w:bookmarkEnd w:id="46"/>
    </w:p>
    <w:p>
      <w:pPr>
        <w:adjustRightInd w:val="0"/>
        <w:snapToGrid w:val="0"/>
        <w:spacing w:line="600" w:lineRule="exact"/>
        <w:jc w:val="both"/>
        <w:rPr>
          <w:rFonts w:hint="eastAsia" w:ascii="宋体" w:hAnsi="宋体" w:eastAsia="宋体" w:cs="宋体"/>
          <w:color w:val="auto"/>
          <w:sz w:val="24"/>
          <w:highlight w:val="none"/>
        </w:rPr>
      </w:pP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p>
    <w:p>
      <w:pPr>
        <w:autoSpaceDE w:val="0"/>
        <w:spacing w:line="400" w:lineRule="exact"/>
        <w:jc w:val="both"/>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rPr>
        <w:t>1.我方已仔细研究了</w:t>
      </w:r>
      <w:r>
        <w:rPr>
          <w:rFonts w:hint="eastAsia" w:ascii="宋体" w:hAnsi="宋体" w:eastAsia="宋体" w:cs="宋体"/>
          <w:color w:val="auto"/>
          <w:sz w:val="24"/>
          <w:highlight w:val="none"/>
          <w:u w:val="single"/>
        </w:rPr>
        <w:t xml:space="preserve">__                     </w:t>
      </w:r>
      <w:r>
        <w:rPr>
          <w:rFonts w:hint="eastAsia" w:ascii="宋体" w:hAnsi="宋体" w:eastAsia="宋体" w:cs="宋体"/>
          <w:color w:val="auto"/>
          <w:sz w:val="24"/>
          <w:highlight w:val="none"/>
        </w:rPr>
        <w:t>(项目名称)采购文件的全部内容，愿意以含税价人民币(大写)(￥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)的报价（其中：不含税价为: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;增值税税</w:t>
      </w:r>
      <w:r>
        <w:rPr>
          <w:rFonts w:hint="eastAsia" w:ascii="宋体" w:hAnsi="宋体" w:eastAsia="宋体" w:cs="宋体"/>
          <w:color w:val="auto"/>
          <w:sz w:val="24"/>
          <w:highlight w:val="none"/>
          <w:lang w:val="en-US" w:eastAsia="zh-CN"/>
        </w:rPr>
        <w:t>率</w:t>
      </w:r>
      <w:r>
        <w:rPr>
          <w:rFonts w:hint="eastAsia" w:ascii="宋体" w:hAnsi="宋体" w:eastAsia="宋体" w:cs="宋体"/>
          <w:color w:val="auto"/>
          <w:sz w:val="24"/>
          <w:highlight w:val="none"/>
        </w:rPr>
        <w:t>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)完成/提供本项目/服务，并按合同约定履行义务。</w:t>
      </w:r>
      <w:r>
        <w:rPr>
          <w:rFonts w:hint="eastAsia" w:ascii="宋体" w:hAnsi="宋体" w:eastAsia="宋体" w:cs="宋体"/>
          <w:color w:val="auto"/>
          <w:sz w:val="24"/>
          <w:highlight w:val="none"/>
          <w:lang w:val="en-US" w:eastAsia="zh-CN"/>
        </w:rPr>
        <w:t>服务期限为：合同签订后，</w:t>
      </w:r>
      <w:r>
        <w:rPr>
          <w:rFonts w:hint="eastAsia" w:ascii="宋体" w:hAnsi="宋体" w:cs="宋体"/>
          <w:color w:val="auto"/>
          <w:sz w:val="24"/>
          <w:highlight w:val="none"/>
          <w:lang w:val="en-US" w:eastAsia="zh-CN"/>
        </w:rPr>
        <w:t>30个日历日内到货，</w:t>
      </w:r>
      <w:r>
        <w:rPr>
          <w:rFonts w:hint="eastAsia" w:ascii="宋体" w:hAnsi="宋体" w:eastAsia="宋体" w:cs="宋体"/>
          <w:color w:val="auto"/>
          <w:sz w:val="24"/>
          <w:highlight w:val="none"/>
        </w:rPr>
        <w:t>供应商应</w:t>
      </w:r>
      <w:r>
        <w:rPr>
          <w:rFonts w:hint="eastAsia" w:ascii="宋体" w:hAnsi="宋体" w:cs="宋体"/>
          <w:color w:val="auto"/>
          <w:sz w:val="24"/>
          <w:highlight w:val="none"/>
          <w:lang w:val="en-US" w:eastAsia="zh-CN"/>
        </w:rPr>
        <w:t>于到货后30个日历日内完成安装调试。</w:t>
      </w:r>
      <w:r>
        <w:rPr>
          <w:rFonts w:hint="eastAsia" w:ascii="宋体" w:hAnsi="宋体" w:eastAsia="宋体" w:cs="宋体"/>
          <w:color w:val="auto"/>
          <w:sz w:val="24"/>
          <w:highlight w:val="none"/>
          <w:u w:val="none"/>
        </w:rPr>
        <w:t xml:space="preserve"> </w:t>
      </w:r>
      <w:r>
        <w:rPr>
          <w:rFonts w:hint="eastAsia" w:ascii="宋体" w:hAnsi="宋体" w:eastAsia="宋体" w:cs="宋体"/>
          <w:color w:val="auto"/>
          <w:sz w:val="24"/>
          <w:highlight w:val="none"/>
          <w:u w:val="none"/>
          <w:lang w:val="en-US" w:eastAsia="zh-CN"/>
        </w:rPr>
        <w:t>响应函有效期为：90天。</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2.我方的响应文件包括下列内容:</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(1)响应函;</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(2)授权委托书(如有);</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(3)商务和技术偏差表;</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(4)报价表;</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(5)资格审查资料;</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(6)响应方案;</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响应文件的上述组成部分如存在内容不-致的，以响应函为准。</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3.我方承诺除商务和技术偏差表列出的偏差外，我方响应采购文件的全部要求。</w:t>
      </w:r>
    </w:p>
    <w:p>
      <w:pPr>
        <w:numPr>
          <w:ilvl w:val="0"/>
          <w:numId w:val="10"/>
        </w:num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我方承诺在采购文件规定的响应文件有效期内不撤销响应文件。</w:t>
      </w:r>
    </w:p>
    <w:p>
      <w:pPr>
        <w:numPr>
          <w:ilvl w:val="0"/>
          <w:numId w:val="10"/>
        </w:num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如我方成交，我方承诺:</w:t>
      </w:r>
    </w:p>
    <w:p>
      <w:pPr>
        <w:tabs>
          <w:tab w:val="left" w:pos="312"/>
        </w:tabs>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(1)在收到成交通知书后，在成交通知书规定的期限内与你方签订合同;</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(2)在签订合同时不向你方提出附加条件;</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(3)按照采购文件要求递交履约保证金;</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(4)在合同约定的期限内完成合同规定的全部义务。</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6.我方在此声明，所递交的响应文件及有关资料内容完整、真实和准确，且不</w:t>
      </w:r>
      <w:r>
        <w:rPr>
          <w:rFonts w:hint="eastAsia" w:ascii="宋体" w:hAnsi="宋体" w:eastAsia="宋体" w:cs="宋体"/>
          <w:color w:val="auto"/>
          <w:sz w:val="24"/>
          <w:highlight w:val="none"/>
          <w:lang w:val="en-US" w:eastAsia="zh-CN"/>
        </w:rPr>
        <w:t>存</w:t>
      </w:r>
      <w:r>
        <w:rPr>
          <w:rFonts w:hint="eastAsia" w:ascii="宋体" w:hAnsi="宋体" w:eastAsia="宋体" w:cs="宋体"/>
          <w:color w:val="auto"/>
          <w:sz w:val="24"/>
          <w:highlight w:val="none"/>
        </w:rPr>
        <w:t>在第一章“采购公告”中规定的供应商不得存在的情形。</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7.(其他补充说明)。</w:t>
      </w:r>
    </w:p>
    <w:p>
      <w:pPr>
        <w:adjustRightInd w:val="0"/>
        <w:snapToGrid w:val="0"/>
        <w:spacing w:line="600" w:lineRule="exact"/>
        <w:jc w:val="both"/>
        <w:rPr>
          <w:rFonts w:hint="eastAsia" w:ascii="宋体" w:hAnsi="宋体" w:eastAsia="宋体" w:cs="宋体"/>
          <w:color w:val="auto"/>
          <w:sz w:val="24"/>
          <w:highlight w:val="none"/>
        </w:rPr>
      </w:pP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供应商:________________________(盖单位章)</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法定代表人(单位负责人)或其授权的代理人:(签字) </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地址:____________________________________________</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电子邮箱：_______________________________________</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电话：____________________________________________</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传真：____________________________________________</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邮政编码：_______________________________________</w:t>
      </w:r>
    </w:p>
    <w:p>
      <w:pPr>
        <w:spacing w:line="600" w:lineRule="exact"/>
        <w:jc w:val="both"/>
        <w:rPr>
          <w:rFonts w:hint="eastAsia" w:ascii="宋体" w:hAnsi="宋体" w:eastAsia="宋体" w:cs="宋体"/>
          <w:color w:val="auto"/>
          <w:sz w:val="24"/>
          <w:highlight w:val="none"/>
        </w:rPr>
      </w:pPr>
    </w:p>
    <w:p>
      <w:pPr>
        <w:spacing w:line="60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pacing w:line="400" w:lineRule="exact"/>
        <w:jc w:val="center"/>
        <w:rPr>
          <w:rFonts w:hint="eastAsia" w:ascii="宋体" w:hAnsi="宋体" w:eastAsia="宋体" w:cs="宋体"/>
          <w:color w:val="auto"/>
          <w:sz w:val="24"/>
          <w:highlight w:val="none"/>
        </w:rPr>
      </w:pPr>
      <w:r>
        <w:rPr>
          <w:rFonts w:hint="eastAsia" w:ascii="宋体" w:hAnsi="宋体" w:eastAsia="宋体" w:cs="宋体"/>
          <w:b/>
          <w:color w:val="auto"/>
          <w:kern w:val="0"/>
          <w:sz w:val="36"/>
          <w:szCs w:val="36"/>
          <w:highlight w:val="none"/>
        </w:rPr>
        <w:t>附：守法诚信承诺书</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××公司：</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为维护社会的公平正义，我司郑重承诺，与贵公司不存在有可能影响采购公正的利害关系。</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1、我司已仔细阅读《××单位××文件》（编号××）（以下简称采购文件），包括采购文件的澄清或修改说明，完全支持并响应，不存在误解或不明。</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2、遵纪守法，不触底线，公平公正参与竞争。我司提供的《响应文件》及其资料真实合法有效。 </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3、响应期间没有因质量或服务问题被采购人或采购人上级机构通报且在整改期内。</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4、响应单位法定代表人为同一个人或者存在控股关系，管理关系的不同单位，没有在本项目中同时报价。</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5、无联合体另外报价。</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7、诚实守信，优质高效履行合同。一旦中选，我司将严格遵守采购文件的约定，不附加条件,及时商谈、签约、履约。</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8、自我管理，知行合一，主动承担社会责任。坚持“五大发展理念”，始终为用户着想，维护同业形象，自觉接受监管，维护和谐稳定。</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9、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专此承诺。</w:t>
      </w:r>
    </w:p>
    <w:p>
      <w:pPr>
        <w:spacing w:line="360" w:lineRule="auto"/>
        <w:ind w:firstLine="2880" w:firstLineChars="1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承诺单位（印刷体全称+单位公章）：        </w:t>
      </w:r>
    </w:p>
    <w:p>
      <w:pPr>
        <w:spacing w:line="36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承诺单位法定代表人或其委托代理人（印刷体+签字）：</w:t>
      </w:r>
    </w:p>
    <w:p>
      <w:pPr>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pacing w:line="600" w:lineRule="exact"/>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24"/>
          <w:highlight w:val="none"/>
        </w:rPr>
        <w:br w:type="page"/>
      </w:r>
      <w:bookmarkStart w:id="47" w:name="_Toc747"/>
      <w:r>
        <w:rPr>
          <w:rFonts w:hint="eastAsia" w:ascii="宋体" w:hAnsi="宋体" w:eastAsia="宋体" w:cs="宋体"/>
          <w:color w:val="auto"/>
          <w:sz w:val="36"/>
          <w:szCs w:val="36"/>
          <w:highlight w:val="none"/>
        </w:rPr>
        <w:t>二、授权委托书</w:t>
      </w:r>
      <w:bookmarkEnd w:id="47"/>
    </w:p>
    <w:p>
      <w:pPr>
        <w:adjustRightInd w:val="0"/>
        <w:snapToGrid w:val="0"/>
        <w:spacing w:line="600" w:lineRule="exact"/>
        <w:ind w:left="420" w:leftChars="200"/>
        <w:jc w:val="both"/>
        <w:rPr>
          <w:rFonts w:hint="eastAsia" w:ascii="宋体" w:hAnsi="宋体" w:eastAsia="宋体" w:cs="宋体"/>
          <w:color w:val="auto"/>
          <w:sz w:val="24"/>
          <w:highlight w:val="none"/>
        </w:rPr>
      </w:pPr>
    </w:p>
    <w:p>
      <w:pPr>
        <w:adjustRightInd w:val="0"/>
        <w:snapToGrid w:val="0"/>
        <w:spacing w:line="600" w:lineRule="exact"/>
        <w:ind w:left="420" w:left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(适用于有委托代理人的情况)</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委托期限:自本委托书签署之日起至</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采购项目签订采购合同之日止。</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代理人无转委托权。</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附:法定代表人(单位负责人)身份证复印件及委托代理人身份证复印件。</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供应商:(盖单位章)</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法定代表人(单位负责人):(签字)</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委托代理人:(签字)</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p>
    <w:p>
      <w:pPr>
        <w:adjustRightInd w:val="0"/>
        <w:snapToGrid w:val="0"/>
        <w:spacing w:line="600" w:lineRule="exact"/>
        <w:ind w:left="420" w:leftChars="200"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pacing w:line="600" w:lineRule="exact"/>
        <w:jc w:val="center"/>
        <w:outlineLvl w:val="0"/>
        <w:rPr>
          <w:rFonts w:hint="eastAsia" w:ascii="宋体" w:hAnsi="宋体" w:eastAsia="宋体" w:cs="宋体"/>
          <w:color w:val="auto"/>
          <w:sz w:val="36"/>
          <w:szCs w:val="36"/>
          <w:highlight w:val="none"/>
        </w:rPr>
      </w:pPr>
      <w:bookmarkStart w:id="48" w:name="_Toc6895"/>
      <w:r>
        <w:rPr>
          <w:rFonts w:hint="eastAsia" w:ascii="宋体" w:hAnsi="宋体" w:eastAsia="宋体" w:cs="宋体"/>
          <w:color w:val="auto"/>
          <w:sz w:val="36"/>
          <w:szCs w:val="36"/>
          <w:highlight w:val="none"/>
        </w:rPr>
        <w:t>三、商务和技术偏差表</w:t>
      </w:r>
      <w:bookmarkEnd w:id="48"/>
    </w:p>
    <w:p>
      <w:pPr>
        <w:spacing w:line="600" w:lineRule="exact"/>
        <w:jc w:val="center"/>
        <w:rPr>
          <w:rFonts w:hint="eastAsia" w:ascii="宋体" w:hAnsi="宋体" w:eastAsia="宋体" w:cs="宋体"/>
          <w:color w:val="auto"/>
          <w:sz w:val="24"/>
          <w:highlight w:val="none"/>
        </w:rPr>
      </w:pPr>
    </w:p>
    <w:tbl>
      <w:tblPr>
        <w:tblStyle w:val="40"/>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809" w:type="dxa"/>
            <w:vAlign w:val="center"/>
          </w:tcPr>
          <w:p>
            <w:pPr>
              <w:widowControl/>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采购文件章节及条款号</w:t>
            </w:r>
          </w:p>
        </w:tc>
        <w:tc>
          <w:tcPr>
            <w:tcW w:w="2656" w:type="dxa"/>
            <w:vAlign w:val="center"/>
          </w:tcPr>
          <w:p>
            <w:pPr>
              <w:widowControl/>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响应文件章节及条款号</w:t>
            </w:r>
          </w:p>
        </w:tc>
        <w:tc>
          <w:tcPr>
            <w:tcW w:w="2175" w:type="dxa"/>
            <w:vAlign w:val="center"/>
          </w:tcPr>
          <w:p>
            <w:pPr>
              <w:widowControl/>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hint="eastAsia" w:ascii="宋体" w:hAnsi="宋体" w:eastAsia="宋体" w:cs="宋体"/>
                <w:color w:val="auto"/>
                <w:sz w:val="24"/>
                <w:highlight w:val="none"/>
              </w:rPr>
            </w:pPr>
          </w:p>
        </w:tc>
        <w:tc>
          <w:tcPr>
            <w:tcW w:w="2809" w:type="dxa"/>
          </w:tcPr>
          <w:p>
            <w:pPr>
              <w:widowControl/>
              <w:spacing w:line="600" w:lineRule="exact"/>
              <w:jc w:val="both"/>
              <w:rPr>
                <w:rFonts w:hint="eastAsia" w:ascii="宋体" w:hAnsi="宋体" w:eastAsia="宋体" w:cs="宋体"/>
                <w:color w:val="auto"/>
                <w:sz w:val="24"/>
                <w:highlight w:val="none"/>
              </w:rPr>
            </w:pPr>
          </w:p>
        </w:tc>
        <w:tc>
          <w:tcPr>
            <w:tcW w:w="2656" w:type="dxa"/>
          </w:tcPr>
          <w:p>
            <w:pPr>
              <w:widowControl/>
              <w:spacing w:line="600" w:lineRule="exact"/>
              <w:jc w:val="both"/>
              <w:rPr>
                <w:rFonts w:hint="eastAsia" w:ascii="宋体" w:hAnsi="宋体" w:eastAsia="宋体" w:cs="宋体"/>
                <w:color w:val="auto"/>
                <w:sz w:val="24"/>
                <w:highlight w:val="none"/>
              </w:rPr>
            </w:pPr>
          </w:p>
        </w:tc>
        <w:tc>
          <w:tcPr>
            <w:tcW w:w="21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hint="eastAsia" w:ascii="宋体" w:hAnsi="宋体" w:eastAsia="宋体" w:cs="宋体"/>
                <w:color w:val="auto"/>
                <w:sz w:val="24"/>
                <w:highlight w:val="none"/>
              </w:rPr>
            </w:pPr>
          </w:p>
        </w:tc>
        <w:tc>
          <w:tcPr>
            <w:tcW w:w="2809" w:type="dxa"/>
          </w:tcPr>
          <w:p>
            <w:pPr>
              <w:widowControl/>
              <w:spacing w:line="600" w:lineRule="exact"/>
              <w:jc w:val="both"/>
              <w:rPr>
                <w:rFonts w:hint="eastAsia" w:ascii="宋体" w:hAnsi="宋体" w:eastAsia="宋体" w:cs="宋体"/>
                <w:color w:val="auto"/>
                <w:sz w:val="24"/>
                <w:highlight w:val="none"/>
              </w:rPr>
            </w:pPr>
          </w:p>
        </w:tc>
        <w:tc>
          <w:tcPr>
            <w:tcW w:w="2656" w:type="dxa"/>
          </w:tcPr>
          <w:p>
            <w:pPr>
              <w:widowControl/>
              <w:spacing w:line="600" w:lineRule="exact"/>
              <w:jc w:val="both"/>
              <w:rPr>
                <w:rFonts w:hint="eastAsia" w:ascii="宋体" w:hAnsi="宋体" w:eastAsia="宋体" w:cs="宋体"/>
                <w:color w:val="auto"/>
                <w:sz w:val="24"/>
                <w:highlight w:val="none"/>
              </w:rPr>
            </w:pPr>
          </w:p>
        </w:tc>
        <w:tc>
          <w:tcPr>
            <w:tcW w:w="21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hint="eastAsia" w:ascii="宋体" w:hAnsi="宋体" w:eastAsia="宋体" w:cs="宋体"/>
                <w:color w:val="auto"/>
                <w:sz w:val="24"/>
                <w:highlight w:val="none"/>
              </w:rPr>
            </w:pPr>
          </w:p>
        </w:tc>
        <w:tc>
          <w:tcPr>
            <w:tcW w:w="2809" w:type="dxa"/>
          </w:tcPr>
          <w:p>
            <w:pPr>
              <w:widowControl/>
              <w:spacing w:line="600" w:lineRule="exact"/>
              <w:jc w:val="both"/>
              <w:rPr>
                <w:rFonts w:hint="eastAsia" w:ascii="宋体" w:hAnsi="宋体" w:eastAsia="宋体" w:cs="宋体"/>
                <w:color w:val="auto"/>
                <w:sz w:val="24"/>
                <w:highlight w:val="none"/>
              </w:rPr>
            </w:pPr>
          </w:p>
        </w:tc>
        <w:tc>
          <w:tcPr>
            <w:tcW w:w="2656" w:type="dxa"/>
          </w:tcPr>
          <w:p>
            <w:pPr>
              <w:widowControl/>
              <w:spacing w:line="600" w:lineRule="exact"/>
              <w:jc w:val="both"/>
              <w:rPr>
                <w:rFonts w:hint="eastAsia" w:ascii="宋体" w:hAnsi="宋体" w:eastAsia="宋体" w:cs="宋体"/>
                <w:color w:val="auto"/>
                <w:sz w:val="24"/>
                <w:highlight w:val="none"/>
              </w:rPr>
            </w:pPr>
          </w:p>
        </w:tc>
        <w:tc>
          <w:tcPr>
            <w:tcW w:w="21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hint="eastAsia" w:ascii="宋体" w:hAnsi="宋体" w:eastAsia="宋体" w:cs="宋体"/>
                <w:color w:val="auto"/>
                <w:sz w:val="24"/>
                <w:highlight w:val="none"/>
              </w:rPr>
            </w:pPr>
          </w:p>
        </w:tc>
        <w:tc>
          <w:tcPr>
            <w:tcW w:w="2809" w:type="dxa"/>
          </w:tcPr>
          <w:p>
            <w:pPr>
              <w:widowControl/>
              <w:spacing w:line="600" w:lineRule="exact"/>
              <w:jc w:val="both"/>
              <w:rPr>
                <w:rFonts w:hint="eastAsia" w:ascii="宋体" w:hAnsi="宋体" w:eastAsia="宋体" w:cs="宋体"/>
                <w:color w:val="auto"/>
                <w:sz w:val="24"/>
                <w:highlight w:val="none"/>
              </w:rPr>
            </w:pPr>
          </w:p>
        </w:tc>
        <w:tc>
          <w:tcPr>
            <w:tcW w:w="2656" w:type="dxa"/>
          </w:tcPr>
          <w:p>
            <w:pPr>
              <w:widowControl/>
              <w:spacing w:line="600" w:lineRule="exact"/>
              <w:jc w:val="both"/>
              <w:rPr>
                <w:rFonts w:hint="eastAsia" w:ascii="宋体" w:hAnsi="宋体" w:eastAsia="宋体" w:cs="宋体"/>
                <w:color w:val="auto"/>
                <w:sz w:val="24"/>
                <w:highlight w:val="none"/>
              </w:rPr>
            </w:pPr>
          </w:p>
        </w:tc>
        <w:tc>
          <w:tcPr>
            <w:tcW w:w="2175" w:type="dxa"/>
          </w:tcPr>
          <w:p>
            <w:pPr>
              <w:widowControl/>
              <w:spacing w:line="600" w:lineRule="exact"/>
              <w:jc w:val="both"/>
              <w:rPr>
                <w:rFonts w:hint="eastAsia" w:ascii="宋体" w:hAnsi="宋体" w:eastAsia="宋体" w:cs="宋体"/>
                <w:color w:val="auto"/>
                <w:sz w:val="24"/>
                <w:highlight w:val="none"/>
              </w:rPr>
            </w:pPr>
          </w:p>
        </w:tc>
      </w:tr>
    </w:tbl>
    <w:p>
      <w:pPr>
        <w:spacing w:line="600" w:lineRule="exact"/>
        <w:ind w:left="420" w:left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供应商保证：除商务和技术偏差表列出的偏差外，供应商响应采购文件的全部要求。</w:t>
      </w:r>
    </w:p>
    <w:p>
      <w:pPr>
        <w:spacing w:line="24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p>
    <w:p>
      <w:pPr>
        <w:spacing w:line="600" w:lineRule="exact"/>
        <w:ind w:left="420"/>
        <w:jc w:val="center"/>
        <w:outlineLvl w:val="0"/>
        <w:rPr>
          <w:rFonts w:hint="eastAsia" w:ascii="宋体" w:hAnsi="宋体" w:eastAsia="宋体" w:cs="宋体"/>
          <w:color w:val="auto"/>
          <w:sz w:val="36"/>
          <w:szCs w:val="36"/>
          <w:highlight w:val="none"/>
        </w:rPr>
      </w:pPr>
      <w:bookmarkStart w:id="49" w:name="_Toc26297"/>
      <w:r>
        <w:rPr>
          <w:rFonts w:hint="eastAsia" w:ascii="宋体" w:hAnsi="宋体" w:eastAsia="宋体" w:cs="宋体"/>
          <w:color w:val="auto"/>
          <w:sz w:val="36"/>
          <w:szCs w:val="36"/>
          <w:highlight w:val="none"/>
        </w:rPr>
        <w:t>四、报价表</w:t>
      </w:r>
      <w:bookmarkEnd w:id="49"/>
    </w:p>
    <w:p>
      <w:pPr>
        <w:spacing w:line="360" w:lineRule="auto"/>
        <w:jc w:val="both"/>
        <w:rPr>
          <w:rFonts w:hint="eastAsia" w:ascii="宋体" w:hAnsi="宋体" w:cs="宋体"/>
          <w:color w:val="auto"/>
          <w:szCs w:val="21"/>
          <w:highlight w:val="none"/>
          <w:lang w:val="en-US" w:eastAsia="zh-CN"/>
        </w:rPr>
      </w:pPr>
      <w:r>
        <w:rPr>
          <w:rFonts w:hint="eastAsia" w:ascii="宋体" w:hAnsi="宋体" w:eastAsia="宋体" w:cs="宋体"/>
          <w:color w:val="auto"/>
          <w:szCs w:val="21"/>
          <w:highlight w:val="none"/>
        </w:rPr>
        <w:t>1.报价表说</w:t>
      </w:r>
      <w:r>
        <w:rPr>
          <w:rFonts w:hint="eastAsia" w:ascii="宋体" w:hAnsi="宋体" w:cs="宋体"/>
          <w:color w:val="auto"/>
          <w:szCs w:val="21"/>
          <w:highlight w:val="none"/>
          <w:lang w:val="en-US" w:eastAsia="zh-CN"/>
        </w:rPr>
        <w:t>明（按需填写，无说明可不填）</w:t>
      </w:r>
    </w:p>
    <w:p>
      <w:pPr>
        <w:pStyle w:val="2"/>
        <w:rPr>
          <w:rFonts w:hint="default"/>
          <w:color w:val="auto"/>
          <w:lang w:val="en-US" w:eastAsia="zh-CN"/>
        </w:rPr>
      </w:pPr>
    </w:p>
    <w:p>
      <w:pPr>
        <w:spacing w:line="360" w:lineRule="auto"/>
        <w:jc w:val="both"/>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2.报价表</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按实际项目分项填写）</w:t>
      </w:r>
    </w:p>
    <w:tbl>
      <w:tblPr>
        <w:tblStyle w:val="39"/>
        <w:tblW w:w="847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6"/>
        <w:gridCol w:w="1377"/>
        <w:gridCol w:w="1246"/>
        <w:gridCol w:w="1007"/>
        <w:gridCol w:w="1214"/>
        <w:gridCol w:w="1122"/>
        <w:gridCol w:w="1094"/>
        <w:gridCol w:w="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名称</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规格</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数量</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单位</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含税单价（元/m</w:t>
            </w:r>
            <w:r>
              <w:rPr>
                <w:rStyle w:val="196"/>
                <w:rFonts w:hint="eastAsia" w:ascii="宋体" w:hAnsi="宋体" w:eastAsia="宋体" w:cs="宋体"/>
                <w:color w:val="auto"/>
                <w:lang w:val="en-US" w:eastAsia="zh-CN" w:bidi="ar"/>
              </w:rPr>
              <w:t>2</w:t>
            </w:r>
            <w:r>
              <w:rPr>
                <w:rFonts w:hint="eastAsia" w:ascii="宋体" w:hAnsi="宋体" w:eastAsia="宋体" w:cs="宋体"/>
                <w:i w:val="0"/>
                <w:iCs w:val="0"/>
                <w:color w:val="auto"/>
                <w:kern w:val="0"/>
                <w:sz w:val="22"/>
                <w:szCs w:val="22"/>
                <w:u w:val="none"/>
                <w:lang w:val="en-US" w:eastAsia="zh-CN" w:bidi="ar"/>
              </w:rPr>
              <w:t>）</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含税金额（元）</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　　计</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bl>
    <w:p>
      <w:pPr>
        <w:numPr>
          <w:ilvl w:val="-1"/>
          <w:numId w:val="0"/>
        </w:numPr>
        <w:adjustRightInd w:val="0"/>
        <w:snapToGrid w:val="0"/>
        <w:spacing w:line="312"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报价</w:t>
      </w:r>
      <w:r>
        <w:rPr>
          <w:rFonts w:hint="eastAsia" w:ascii="宋体" w:hAnsi="宋体" w:eastAsia="宋体" w:cs="宋体"/>
          <w:color w:val="auto"/>
          <w:sz w:val="24"/>
          <w:szCs w:val="24"/>
        </w:rPr>
        <w:t>包括：相应所有直接费、各种技术措施费用、管理费、利润、安全文明施工费、冬雨季施工增加费、社会保险费、规费、税金（一般纳税人）、从指定的水电接驳点接水接电费用及夜间施工照明费用、合同工期内的赶工费、</w:t>
      </w:r>
      <w:r>
        <w:rPr>
          <w:rFonts w:hint="eastAsia" w:ascii="宋体" w:hAnsi="宋体" w:eastAsia="宋体" w:cs="宋体"/>
          <w:color w:val="auto"/>
          <w:sz w:val="24"/>
          <w:szCs w:val="24"/>
          <w:lang w:val="en-US" w:eastAsia="zh-CN"/>
        </w:rPr>
        <w:t>狭小空间作业、高空作业费等</w:t>
      </w:r>
      <w:r>
        <w:rPr>
          <w:rFonts w:hint="eastAsia" w:ascii="宋体" w:hAnsi="宋体" w:eastAsia="宋体" w:cs="宋体"/>
          <w:color w:val="auto"/>
          <w:sz w:val="24"/>
          <w:szCs w:val="24"/>
        </w:rPr>
        <w:t>各种施工风险因素后的综合价</w:t>
      </w:r>
      <w:r>
        <w:rPr>
          <w:rFonts w:hint="eastAsia" w:ascii="宋体" w:hAnsi="宋体" w:eastAsia="宋体" w:cs="宋体"/>
          <w:color w:val="auto"/>
          <w:sz w:val="24"/>
          <w:szCs w:val="24"/>
          <w:lang w:eastAsia="zh-CN"/>
        </w:rPr>
        <w:t>。</w:t>
      </w:r>
    </w:p>
    <w:p>
      <w:pPr>
        <w:spacing w:line="360" w:lineRule="exact"/>
        <w:jc w:val="center"/>
        <w:rPr>
          <w:rFonts w:hint="eastAsia" w:ascii="宋体" w:hAnsi="宋体" w:eastAsia="宋体" w:cs="宋体"/>
          <w:color w:val="auto"/>
          <w:sz w:val="24"/>
          <w:highlight w:val="none"/>
        </w:rPr>
      </w:pPr>
    </w:p>
    <w:p>
      <w:pPr>
        <w:spacing w:line="360" w:lineRule="exact"/>
        <w:jc w:val="center"/>
        <w:outlineLvl w:val="0"/>
        <w:rPr>
          <w:rFonts w:hint="eastAsia" w:ascii="宋体" w:hAnsi="宋体" w:eastAsia="宋体" w:cs="宋体"/>
          <w:color w:val="auto"/>
          <w:sz w:val="36"/>
          <w:szCs w:val="36"/>
          <w:highlight w:val="none"/>
        </w:rPr>
      </w:pPr>
      <w:bookmarkStart w:id="50" w:name="_Toc25545"/>
    </w:p>
    <w:p>
      <w:pPr>
        <w:spacing w:line="360" w:lineRule="exact"/>
        <w:jc w:val="center"/>
        <w:outlineLvl w:val="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pStyle w:val="38"/>
        <w:rPr>
          <w:rFonts w:hint="eastAsia" w:ascii="宋体" w:hAnsi="宋体" w:eastAsia="宋体" w:cs="宋体"/>
          <w:color w:val="auto"/>
          <w:sz w:val="36"/>
          <w:szCs w:val="36"/>
          <w:highlight w:val="none"/>
        </w:rPr>
      </w:pPr>
    </w:p>
    <w:p>
      <w:pPr>
        <w:pStyle w:val="38"/>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spacing w:line="360" w:lineRule="exact"/>
        <w:jc w:val="both"/>
        <w:outlineLvl w:val="0"/>
        <w:rPr>
          <w:rFonts w:hint="eastAsia" w:ascii="宋体" w:hAnsi="宋体" w:eastAsia="宋体" w:cs="宋体"/>
          <w:color w:val="auto"/>
          <w:sz w:val="36"/>
          <w:szCs w:val="36"/>
          <w:highlight w:val="none"/>
        </w:rPr>
      </w:pPr>
    </w:p>
    <w:p>
      <w:pPr>
        <w:spacing w:line="360" w:lineRule="exact"/>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五、资格审查资料</w:t>
      </w:r>
      <w:bookmarkEnd w:id="50"/>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（一）基本情况</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供应商应根据供应商须知前附表第3.5（1）项和第3.5（2）项的要求提供主体资格证明及相关资质证明资料。</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供应商还应根据供应商须知前地表第3.5（5）项、第3.5（7）项和第3.5（8）项的要求提供其他相关证明材料。</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（三）近年的类似项目情况表</w:t>
      </w:r>
    </w:p>
    <w:tbl>
      <w:tblPr>
        <w:tblStyle w:val="40"/>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服务内容</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委托人/发包人名称</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委托人/发包人联系人及电话</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合同价格</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服务是否完成</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项目负责人（如有）</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项目概况及供应商履约情况</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bl>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注：供应商应根据供应商须知前附表第3.5（4）项的要求在本表后附相关证明材料。</w:t>
      </w:r>
    </w:p>
    <w:p>
      <w:pPr>
        <w:pStyle w:val="38"/>
        <w:rPr>
          <w:rFonts w:hint="eastAsia" w:ascii="宋体" w:hAnsi="宋体" w:eastAsia="宋体" w:cs="宋体"/>
          <w:color w:val="auto"/>
          <w:sz w:val="24"/>
          <w:highlight w:val="none"/>
          <w:lang w:eastAsia="zh-CN"/>
        </w:rPr>
      </w:pPr>
    </w:p>
    <w:p>
      <w:pPr>
        <w:pStyle w:val="38"/>
        <w:rPr>
          <w:rFonts w:hint="eastAsia" w:ascii="宋体" w:hAnsi="宋体" w:eastAsia="宋体" w:cs="宋体"/>
          <w:color w:val="auto"/>
          <w:sz w:val="24"/>
          <w:highlight w:val="none"/>
          <w:lang w:eastAsia="zh-CN"/>
        </w:rPr>
      </w:pPr>
    </w:p>
    <w:p>
      <w:pPr>
        <w:pStyle w:val="38"/>
        <w:rPr>
          <w:rFonts w:hint="eastAsia" w:ascii="宋体" w:hAnsi="宋体" w:eastAsia="宋体" w:cs="宋体"/>
          <w:color w:val="auto"/>
          <w:sz w:val="24"/>
          <w:highlight w:val="none"/>
          <w:lang w:eastAsia="zh-CN"/>
        </w:rPr>
      </w:pPr>
    </w:p>
    <w:p>
      <w:pPr>
        <w:pStyle w:val="38"/>
        <w:rPr>
          <w:rFonts w:hint="eastAsia" w:ascii="宋体" w:hAnsi="宋体" w:eastAsia="宋体" w:cs="宋体"/>
          <w:color w:val="auto"/>
          <w:sz w:val="24"/>
          <w:highlight w:val="none"/>
          <w:lang w:eastAsia="zh-CN"/>
        </w:rPr>
      </w:pPr>
    </w:p>
    <w:p>
      <w:pPr>
        <w:pStyle w:val="38"/>
        <w:rPr>
          <w:rFonts w:hint="eastAsia" w:ascii="宋体" w:hAnsi="宋体" w:eastAsia="宋体" w:cs="宋体"/>
          <w:color w:val="auto"/>
          <w:sz w:val="24"/>
          <w:highlight w:val="none"/>
          <w:lang w:eastAsia="zh-CN"/>
        </w:rPr>
      </w:pPr>
    </w:p>
    <w:p>
      <w:pPr>
        <w:numPr>
          <w:ilvl w:val="-1"/>
          <w:numId w:val="0"/>
        </w:num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拟委任的主要人员汇总表</w:t>
      </w:r>
    </w:p>
    <w:tbl>
      <w:tblPr>
        <w:tblStyle w:val="40"/>
        <w:tblpPr w:leftFromText="180" w:rightFromText="180" w:vertAnchor="text" w:horzAnchor="page" w:tblpX="1267" w:tblpY="487"/>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861"/>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095" w:type="dxa"/>
            <w:vMerge w:val="restart"/>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本项目任职</w:t>
            </w:r>
          </w:p>
        </w:tc>
        <w:tc>
          <w:tcPr>
            <w:tcW w:w="1095" w:type="dxa"/>
            <w:vMerge w:val="restart"/>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1095" w:type="dxa"/>
            <w:vMerge w:val="restart"/>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1095" w:type="dxa"/>
            <w:vMerge w:val="restart"/>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专业</w:t>
            </w:r>
          </w:p>
        </w:tc>
        <w:tc>
          <w:tcPr>
            <w:tcW w:w="3051" w:type="dxa"/>
            <w:gridSpan w:val="3"/>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执业或职业资格证明</w:t>
            </w:r>
          </w:p>
        </w:tc>
        <w:tc>
          <w:tcPr>
            <w:tcW w:w="975" w:type="dxa"/>
          </w:tcPr>
          <w:p>
            <w:pPr>
              <w:widowControl/>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hint="eastAsia" w:ascii="宋体" w:hAnsi="宋体" w:eastAsia="宋体" w:cs="宋体"/>
                <w:color w:val="auto"/>
                <w:sz w:val="24"/>
                <w:highlight w:val="none"/>
              </w:rPr>
            </w:pPr>
          </w:p>
        </w:tc>
        <w:tc>
          <w:tcPr>
            <w:tcW w:w="1095" w:type="dxa"/>
            <w:vMerge w:val="continue"/>
          </w:tcPr>
          <w:p>
            <w:pPr>
              <w:widowControl/>
              <w:spacing w:line="288" w:lineRule="auto"/>
              <w:jc w:val="both"/>
              <w:rPr>
                <w:rFonts w:hint="eastAsia" w:ascii="宋体" w:hAnsi="宋体" w:eastAsia="宋体" w:cs="宋体"/>
                <w:color w:val="auto"/>
                <w:sz w:val="24"/>
                <w:highlight w:val="none"/>
              </w:rPr>
            </w:pPr>
          </w:p>
        </w:tc>
        <w:tc>
          <w:tcPr>
            <w:tcW w:w="1095" w:type="dxa"/>
            <w:vMerge w:val="continue"/>
          </w:tcPr>
          <w:p>
            <w:pPr>
              <w:widowControl/>
              <w:spacing w:line="288" w:lineRule="auto"/>
              <w:jc w:val="both"/>
              <w:rPr>
                <w:rFonts w:hint="eastAsia" w:ascii="宋体" w:hAnsi="宋体" w:eastAsia="宋体" w:cs="宋体"/>
                <w:color w:val="auto"/>
                <w:sz w:val="24"/>
                <w:highlight w:val="none"/>
              </w:rPr>
            </w:pPr>
          </w:p>
        </w:tc>
        <w:tc>
          <w:tcPr>
            <w:tcW w:w="1095" w:type="dxa"/>
            <w:vMerge w:val="continue"/>
          </w:tcPr>
          <w:p>
            <w:pPr>
              <w:widowControl/>
              <w:spacing w:line="288" w:lineRule="auto"/>
              <w:jc w:val="both"/>
              <w:rPr>
                <w:rFonts w:hint="eastAsia" w:ascii="宋体" w:hAnsi="宋体" w:eastAsia="宋体" w:cs="宋体"/>
                <w:color w:val="auto"/>
                <w:sz w:val="24"/>
                <w:highlight w:val="none"/>
              </w:rPr>
            </w:pPr>
          </w:p>
        </w:tc>
        <w:tc>
          <w:tcPr>
            <w:tcW w:w="1095" w:type="dxa"/>
            <w:vMerge w:val="continue"/>
          </w:tcPr>
          <w:p>
            <w:pPr>
              <w:widowControl/>
              <w:spacing w:line="288" w:lineRule="auto"/>
              <w:jc w:val="both"/>
              <w:rPr>
                <w:rFonts w:hint="eastAsia" w:ascii="宋体" w:hAnsi="宋体" w:eastAsia="宋体" w:cs="宋体"/>
                <w:color w:val="auto"/>
                <w:sz w:val="24"/>
                <w:highlight w:val="none"/>
              </w:rPr>
            </w:pPr>
          </w:p>
        </w:tc>
        <w:tc>
          <w:tcPr>
            <w:tcW w:w="1095"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证书名称</w:t>
            </w:r>
          </w:p>
        </w:tc>
        <w:tc>
          <w:tcPr>
            <w:tcW w:w="1095"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级别</w:t>
            </w:r>
          </w:p>
        </w:tc>
        <w:tc>
          <w:tcPr>
            <w:tcW w:w="861"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证号</w:t>
            </w:r>
          </w:p>
        </w:tc>
        <w:tc>
          <w:tcPr>
            <w:tcW w:w="975" w:type="dxa"/>
          </w:tcPr>
          <w:p>
            <w:pPr>
              <w:widowControl/>
              <w:spacing w:line="288" w:lineRule="auto"/>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1095" w:type="dxa"/>
          </w:tcPr>
          <w:p>
            <w:pPr>
              <w:widowControl/>
              <w:spacing w:line="6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项目负责人</w:t>
            </w: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861" w:type="dxa"/>
            <w:vAlign w:val="center"/>
          </w:tcPr>
          <w:p>
            <w:pPr>
              <w:widowControl/>
              <w:spacing w:line="600" w:lineRule="exact"/>
              <w:jc w:val="center"/>
              <w:rPr>
                <w:rFonts w:hint="eastAsia" w:ascii="宋体" w:hAnsi="宋体" w:eastAsia="宋体" w:cs="宋体"/>
                <w:color w:val="auto"/>
                <w:sz w:val="24"/>
                <w:highlight w:val="none"/>
              </w:rPr>
            </w:pPr>
          </w:p>
        </w:tc>
        <w:tc>
          <w:tcPr>
            <w:tcW w:w="9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1095" w:type="dxa"/>
          </w:tcPr>
          <w:p>
            <w:pPr>
              <w:widowControl/>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技术负责人</w:t>
            </w: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861" w:type="dxa"/>
            <w:vAlign w:val="center"/>
          </w:tcPr>
          <w:p>
            <w:pPr>
              <w:widowControl/>
              <w:spacing w:line="600" w:lineRule="exact"/>
              <w:jc w:val="center"/>
              <w:rPr>
                <w:rFonts w:hint="eastAsia" w:ascii="宋体" w:hAnsi="宋体" w:eastAsia="宋体" w:cs="宋体"/>
                <w:color w:val="auto"/>
                <w:sz w:val="24"/>
                <w:highlight w:val="none"/>
              </w:rPr>
            </w:pPr>
          </w:p>
        </w:tc>
        <w:tc>
          <w:tcPr>
            <w:tcW w:w="9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095" w:type="dxa"/>
          </w:tcPr>
          <w:p>
            <w:pPr>
              <w:widowControl/>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项目安全员</w:t>
            </w: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861" w:type="dxa"/>
            <w:vAlign w:val="center"/>
          </w:tcPr>
          <w:p>
            <w:pPr>
              <w:widowControl/>
              <w:spacing w:line="600" w:lineRule="exact"/>
              <w:jc w:val="center"/>
              <w:rPr>
                <w:rFonts w:hint="eastAsia" w:ascii="宋体" w:hAnsi="宋体" w:eastAsia="宋体" w:cs="宋体"/>
                <w:color w:val="auto"/>
                <w:sz w:val="24"/>
                <w:highlight w:val="none"/>
              </w:rPr>
            </w:pPr>
          </w:p>
        </w:tc>
        <w:tc>
          <w:tcPr>
            <w:tcW w:w="9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1095" w:type="dxa"/>
          </w:tcPr>
          <w:p>
            <w:pPr>
              <w:widowControl/>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施工员 </w:t>
            </w: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861" w:type="dxa"/>
            <w:vAlign w:val="center"/>
          </w:tcPr>
          <w:p>
            <w:pPr>
              <w:widowControl/>
              <w:spacing w:line="600" w:lineRule="exact"/>
              <w:jc w:val="center"/>
              <w:rPr>
                <w:rFonts w:hint="eastAsia" w:ascii="宋体" w:hAnsi="宋体" w:eastAsia="宋体" w:cs="宋体"/>
                <w:color w:val="auto"/>
                <w:sz w:val="24"/>
                <w:highlight w:val="none"/>
              </w:rPr>
            </w:pPr>
          </w:p>
        </w:tc>
        <w:tc>
          <w:tcPr>
            <w:tcW w:w="9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861" w:type="dxa"/>
            <w:vAlign w:val="center"/>
          </w:tcPr>
          <w:p>
            <w:pPr>
              <w:widowControl/>
              <w:spacing w:line="600" w:lineRule="exact"/>
              <w:jc w:val="center"/>
              <w:rPr>
                <w:rFonts w:hint="eastAsia" w:ascii="宋体" w:hAnsi="宋体" w:eastAsia="宋体" w:cs="宋体"/>
                <w:color w:val="auto"/>
                <w:sz w:val="24"/>
                <w:highlight w:val="none"/>
              </w:rPr>
            </w:pPr>
          </w:p>
        </w:tc>
        <w:tc>
          <w:tcPr>
            <w:tcW w:w="975" w:type="dxa"/>
          </w:tcPr>
          <w:p>
            <w:pPr>
              <w:widowControl/>
              <w:spacing w:line="600" w:lineRule="exact"/>
              <w:jc w:val="both"/>
              <w:rPr>
                <w:rFonts w:hint="eastAsia" w:ascii="宋体" w:hAnsi="宋体" w:eastAsia="宋体" w:cs="宋体"/>
                <w:color w:val="auto"/>
                <w:sz w:val="24"/>
                <w:highlight w:val="none"/>
              </w:rPr>
            </w:pPr>
          </w:p>
        </w:tc>
      </w:tr>
    </w:tbl>
    <w:p>
      <w:pPr>
        <w:ind w:firstLine="0"/>
        <w:jc w:val="both"/>
        <w:rPr>
          <w:rFonts w:hint="eastAsia" w:ascii="宋体" w:hAnsi="宋体" w:eastAsia="宋体" w:cs="宋体"/>
          <w:b w:val="0"/>
          <w:color w:val="auto"/>
          <w:sz w:val="24"/>
          <w:szCs w:val="24"/>
          <w:highlight w:val="none"/>
        </w:rPr>
      </w:pPr>
      <w:r>
        <w:rPr>
          <w:rFonts w:hint="eastAsia" w:ascii="宋体" w:hAnsi="宋体" w:eastAsia="宋体" w:cs="宋体"/>
          <w:color w:val="auto"/>
          <w:sz w:val="24"/>
          <w:highlight w:val="none"/>
        </w:rPr>
        <w:br w:type="page"/>
      </w:r>
    </w:p>
    <w:p>
      <w:pPr>
        <w:jc w:val="both"/>
        <w:rPr>
          <w:rFonts w:hint="eastAsia" w:ascii="宋体" w:hAnsi="宋体" w:eastAsia="宋体" w:cs="宋体"/>
          <w:color w:val="auto"/>
          <w:sz w:val="24"/>
          <w:highlight w:val="none"/>
        </w:rPr>
      </w:pPr>
    </w:p>
    <w:p>
      <w:pPr>
        <w:spacing w:line="600" w:lineRule="exact"/>
        <w:jc w:val="center"/>
        <w:outlineLvl w:val="0"/>
        <w:rPr>
          <w:rFonts w:hint="eastAsia" w:ascii="宋体" w:hAnsi="宋体" w:eastAsia="宋体" w:cs="宋体"/>
          <w:color w:val="auto"/>
          <w:highlight w:val="none"/>
        </w:rPr>
      </w:pPr>
      <w:bookmarkStart w:id="51" w:name="_Toc22288"/>
      <w:r>
        <w:rPr>
          <w:rFonts w:hint="eastAsia" w:ascii="宋体" w:hAnsi="宋体" w:eastAsia="宋体" w:cs="宋体"/>
          <w:color w:val="auto"/>
          <w:sz w:val="36"/>
          <w:szCs w:val="36"/>
          <w:highlight w:val="none"/>
        </w:rPr>
        <w:t>六、响应方案</w:t>
      </w:r>
      <w:bookmarkEnd w:id="51"/>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响应方案一般包括(但不限于)下列内容:</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(1)对项目的理解;</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(2)服务范围及内容;</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(3)服务工作的依据、工作目标;</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(4)服务机构设置(框图)、岗位职责;</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(5)拟投入本项目的服务人员及主要人员简历;</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(6)拟分包计划及情况说明;</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(7)服务质量、进度、保密等保证措施;</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(8)服务工作重点、难点分析;</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(9)对本项目的合理化建议。</w:t>
      </w:r>
    </w:p>
    <w:p>
      <w:pPr>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adjustRightInd w:val="0"/>
        <w:snapToGrid w:val="0"/>
        <w:spacing w:line="600" w:lineRule="exact"/>
        <w:jc w:val="center"/>
        <w:outlineLvl w:val="0"/>
        <w:rPr>
          <w:rFonts w:hint="eastAsia" w:ascii="宋体" w:hAnsi="宋体" w:eastAsia="宋体" w:cs="宋体"/>
          <w:color w:val="auto"/>
          <w:sz w:val="36"/>
          <w:szCs w:val="36"/>
          <w:highlight w:val="none"/>
        </w:rPr>
      </w:pPr>
      <w:bookmarkStart w:id="52" w:name="_Toc30187"/>
      <w:r>
        <w:rPr>
          <w:rFonts w:hint="eastAsia" w:ascii="宋体" w:hAnsi="宋体" w:eastAsia="宋体" w:cs="宋体"/>
          <w:color w:val="auto"/>
          <w:sz w:val="36"/>
          <w:szCs w:val="36"/>
          <w:highlight w:val="none"/>
        </w:rPr>
        <w:t>七、其他资料</w:t>
      </w:r>
      <w:bookmarkEnd w:id="52"/>
    </w:p>
    <w:p>
      <w:pPr>
        <w:adjustRightInd w:val="0"/>
        <w:snapToGrid w:val="0"/>
        <w:spacing w:line="600" w:lineRule="exact"/>
        <w:ind w:left="420" w:leftChars="200"/>
        <w:jc w:val="both"/>
        <w:rPr>
          <w:rFonts w:hint="eastAsia" w:ascii="宋体" w:hAnsi="宋体" w:eastAsia="宋体" w:cs="宋体"/>
          <w:color w:val="auto"/>
          <w:sz w:val="24"/>
          <w:highlight w:val="none"/>
        </w:rPr>
      </w:pPr>
    </w:p>
    <w:p>
      <w:pPr>
        <w:adjustRightInd w:val="0"/>
        <w:snapToGrid w:val="0"/>
        <w:spacing w:line="600" w:lineRule="exact"/>
        <w:ind w:left="420" w:left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供应商需提交的其他资料。</w:t>
      </w:r>
    </w:p>
    <w:p>
      <w:pPr>
        <w:spacing w:line="240" w:lineRule="auto"/>
        <w:jc w:val="both"/>
        <w:rPr>
          <w:rFonts w:hint="eastAsia" w:ascii="宋体" w:hAnsi="宋体" w:eastAsia="宋体" w:cs="宋体"/>
          <w:color w:val="auto"/>
          <w:highlight w:val="none"/>
        </w:rPr>
      </w:pPr>
    </w:p>
    <w:sectPr>
      <w:headerReference r:id="rId5" w:type="default"/>
      <w:footerReference r:id="rId6" w:type="default"/>
      <w:pgSz w:w="11906" w:h="16838"/>
      <w:pgMar w:top="1440" w:right="1800" w:bottom="1440" w:left="1800" w:header="851" w:footer="1344"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3"/>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42</w:t>
        </w:r>
        <w:r>
          <w:rPr>
            <w:sz w:val="20"/>
          </w:rPr>
          <w:fldChar w:fldCharType="end"/>
        </w:r>
      </w:p>
    </w:sdtContent>
  </w:sdt>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28"/>
        <w:spacing w:line="280" w:lineRule="atLeast"/>
        <w:ind w:left="0" w:firstLine="0"/>
        <w:rPr>
          <w:color w:val="FF0000"/>
        </w:rPr>
      </w:pPr>
    </w:p>
  </w:footnote>
  <w:footnote w:id="1">
    <w:p>
      <w:pPr>
        <w:pStyle w:val="28"/>
        <w:ind w:left="0" w:firstLine="0"/>
        <w:rPr>
          <w:sz w:val="24"/>
          <w:szCs w:val="24"/>
        </w:rPr>
      </w:pPr>
    </w:p>
  </w:footnote>
  <w:footnote w:id="2">
    <w:p>
      <w:pPr>
        <w:pStyle w:val="28"/>
        <w:ind w:left="0" w:firstLine="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E8ECE3"/>
    <w:multiLevelType w:val="singleLevel"/>
    <w:tmpl w:val="BAE8ECE3"/>
    <w:lvl w:ilvl="0" w:tentative="0">
      <w:start w:val="8"/>
      <w:numFmt w:val="chineseCounting"/>
      <w:suff w:val="nothing"/>
      <w:lvlText w:val="%1、"/>
      <w:lvlJc w:val="left"/>
      <w:rPr>
        <w:rFonts w:hint="eastAsia"/>
      </w:rPr>
    </w:lvl>
  </w:abstractNum>
  <w:abstractNum w:abstractNumId="1">
    <w:nsid w:val="FAA85BAE"/>
    <w:multiLevelType w:val="singleLevel"/>
    <w:tmpl w:val="FAA85BAE"/>
    <w:lvl w:ilvl="0" w:tentative="0">
      <w:start w:val="1"/>
      <w:numFmt w:val="chineseCounting"/>
      <w:suff w:val="space"/>
      <w:lvlText w:val="（%1）"/>
      <w:lvlJc w:val="left"/>
      <w:rPr>
        <w:rFonts w:hint="eastAsia"/>
      </w:rPr>
    </w:lvl>
  </w:abstractNum>
  <w:abstractNum w:abstractNumId="2">
    <w:nsid w:val="FF0344DF"/>
    <w:multiLevelType w:val="singleLevel"/>
    <w:tmpl w:val="FF0344DF"/>
    <w:lvl w:ilvl="0" w:tentative="0">
      <w:start w:val="4"/>
      <w:numFmt w:val="chineseCounting"/>
      <w:suff w:val="space"/>
      <w:lvlText w:val="第%1章"/>
      <w:lvlJc w:val="left"/>
      <w:rPr>
        <w:rFonts w:hint="eastAsia"/>
      </w:rPr>
    </w:lvl>
  </w:abstractNum>
  <w:abstractNum w:abstractNumId="3">
    <w:nsid w:val="03ECED67"/>
    <w:multiLevelType w:val="singleLevel"/>
    <w:tmpl w:val="03ECED67"/>
    <w:lvl w:ilvl="0" w:tentative="0">
      <w:start w:val="4"/>
      <w:numFmt w:val="decimal"/>
      <w:lvlText w:val="%1."/>
      <w:lvlJc w:val="left"/>
      <w:pPr>
        <w:tabs>
          <w:tab w:val="left" w:pos="312"/>
        </w:tabs>
      </w:pPr>
    </w:lvl>
  </w:abstractNum>
  <w:abstractNum w:abstractNumId="4">
    <w:nsid w:val="118821FA"/>
    <w:multiLevelType w:val="singleLevel"/>
    <w:tmpl w:val="118821FA"/>
    <w:lvl w:ilvl="0" w:tentative="0">
      <w:start w:val="1"/>
      <w:numFmt w:val="decimal"/>
      <w:suff w:val="nothing"/>
      <w:lvlText w:val="%1、"/>
      <w:lvlJc w:val="left"/>
    </w:lvl>
  </w:abstractNum>
  <w:abstractNum w:abstractNumId="5">
    <w:nsid w:val="1B82C573"/>
    <w:multiLevelType w:val="singleLevel"/>
    <w:tmpl w:val="1B82C573"/>
    <w:lvl w:ilvl="0" w:tentative="0">
      <w:start w:val="1"/>
      <w:numFmt w:val="chineseCounting"/>
      <w:suff w:val="nothing"/>
      <w:lvlText w:val="%1、"/>
      <w:lvlJc w:val="left"/>
      <w:rPr>
        <w:rFonts w:hint="eastAsia"/>
      </w:rPr>
    </w:lvl>
  </w:abstractNum>
  <w:abstractNum w:abstractNumId="6">
    <w:nsid w:val="3601A173"/>
    <w:multiLevelType w:val="singleLevel"/>
    <w:tmpl w:val="3601A173"/>
    <w:lvl w:ilvl="0" w:tentative="0">
      <w:start w:val="1"/>
      <w:numFmt w:val="chineseCounting"/>
      <w:suff w:val="nothing"/>
      <w:lvlText w:val="%1、"/>
      <w:lvlJc w:val="left"/>
      <w:rPr>
        <w:rFonts w:hint="eastAsia"/>
      </w:rPr>
    </w:lvl>
  </w:abstractNum>
  <w:abstractNum w:abstractNumId="7">
    <w:nsid w:val="4FD204B7"/>
    <w:multiLevelType w:val="singleLevel"/>
    <w:tmpl w:val="4FD204B7"/>
    <w:lvl w:ilvl="0" w:tentative="0">
      <w:start w:val="1"/>
      <w:numFmt w:val="chineseCounting"/>
      <w:suff w:val="nothing"/>
      <w:lvlText w:val="（%1）"/>
      <w:lvlJc w:val="left"/>
      <w:rPr>
        <w:rFonts w:hint="eastAsia"/>
      </w:rPr>
    </w:lvl>
  </w:abstractNum>
  <w:abstractNum w:abstractNumId="8">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1016BB9"/>
    <w:multiLevelType w:val="singleLevel"/>
    <w:tmpl w:val="71016BB9"/>
    <w:lvl w:ilvl="0" w:tentative="0">
      <w:start w:val="7"/>
      <w:numFmt w:val="decimal"/>
      <w:suff w:val="nothing"/>
      <w:lvlText w:val="%1、"/>
      <w:lvlJc w:val="left"/>
    </w:lvl>
  </w:abstractNum>
  <w:num w:numId="1">
    <w:abstractNumId w:val="8"/>
  </w:num>
  <w:num w:numId="2">
    <w:abstractNumId w:val="1"/>
  </w:num>
  <w:num w:numId="3">
    <w:abstractNumId w:val="0"/>
  </w:num>
  <w:num w:numId="4">
    <w:abstractNumId w:val="4"/>
  </w:num>
  <w:num w:numId="5">
    <w:abstractNumId w:val="2"/>
  </w:num>
  <w:num w:numId="6">
    <w:abstractNumId w:val="5"/>
  </w:num>
  <w:num w:numId="7">
    <w:abstractNumId w:val="7"/>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2ZGQ1NDQwMWEwMTkwNTRjMGNkMWZiYjBhZDdmNzAifQ=="/>
  </w:docVars>
  <w:rsids>
    <w:rsidRoot w:val="00124EA9"/>
    <w:rsid w:val="000021E0"/>
    <w:rsid w:val="00002637"/>
    <w:rsid w:val="00004047"/>
    <w:rsid w:val="00010F56"/>
    <w:rsid w:val="00024612"/>
    <w:rsid w:val="00044051"/>
    <w:rsid w:val="00045372"/>
    <w:rsid w:val="00045996"/>
    <w:rsid w:val="00047744"/>
    <w:rsid w:val="00053E1B"/>
    <w:rsid w:val="00072ECA"/>
    <w:rsid w:val="00077817"/>
    <w:rsid w:val="00080B47"/>
    <w:rsid w:val="000A0047"/>
    <w:rsid w:val="000A7926"/>
    <w:rsid w:val="000B4936"/>
    <w:rsid w:val="000C4E44"/>
    <w:rsid w:val="000C5689"/>
    <w:rsid w:val="000D1EAB"/>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4AD4"/>
    <w:rsid w:val="00186D78"/>
    <w:rsid w:val="00191835"/>
    <w:rsid w:val="001A1831"/>
    <w:rsid w:val="001A3607"/>
    <w:rsid w:val="001A77A4"/>
    <w:rsid w:val="001B2C90"/>
    <w:rsid w:val="001B336A"/>
    <w:rsid w:val="001D03F9"/>
    <w:rsid w:val="001D5EA7"/>
    <w:rsid w:val="001E19E5"/>
    <w:rsid w:val="001F12EA"/>
    <w:rsid w:val="001F28D4"/>
    <w:rsid w:val="001F55EE"/>
    <w:rsid w:val="00200C8B"/>
    <w:rsid w:val="0020642B"/>
    <w:rsid w:val="00210B19"/>
    <w:rsid w:val="0021628B"/>
    <w:rsid w:val="002323B0"/>
    <w:rsid w:val="00240105"/>
    <w:rsid w:val="00243CE0"/>
    <w:rsid w:val="00244E9B"/>
    <w:rsid w:val="00247860"/>
    <w:rsid w:val="0026094B"/>
    <w:rsid w:val="00277813"/>
    <w:rsid w:val="00281C9C"/>
    <w:rsid w:val="002832EF"/>
    <w:rsid w:val="0028390B"/>
    <w:rsid w:val="00292A27"/>
    <w:rsid w:val="002A13A6"/>
    <w:rsid w:val="002A3646"/>
    <w:rsid w:val="002A69B8"/>
    <w:rsid w:val="002B10BE"/>
    <w:rsid w:val="002B225E"/>
    <w:rsid w:val="002B7B11"/>
    <w:rsid w:val="002D3567"/>
    <w:rsid w:val="002D3DCC"/>
    <w:rsid w:val="002D460A"/>
    <w:rsid w:val="002E1D5F"/>
    <w:rsid w:val="002F4C12"/>
    <w:rsid w:val="0031048F"/>
    <w:rsid w:val="00320A6F"/>
    <w:rsid w:val="003220EE"/>
    <w:rsid w:val="003276E9"/>
    <w:rsid w:val="00333AC7"/>
    <w:rsid w:val="003346E3"/>
    <w:rsid w:val="00335C6C"/>
    <w:rsid w:val="00340982"/>
    <w:rsid w:val="00341BE1"/>
    <w:rsid w:val="00343219"/>
    <w:rsid w:val="003478F0"/>
    <w:rsid w:val="003536C1"/>
    <w:rsid w:val="00363E54"/>
    <w:rsid w:val="00371495"/>
    <w:rsid w:val="00392340"/>
    <w:rsid w:val="003A008A"/>
    <w:rsid w:val="003A21A4"/>
    <w:rsid w:val="003A35E6"/>
    <w:rsid w:val="003A47A2"/>
    <w:rsid w:val="003A7BE3"/>
    <w:rsid w:val="003B1B7D"/>
    <w:rsid w:val="003C0E8A"/>
    <w:rsid w:val="003C4E0A"/>
    <w:rsid w:val="003C71AC"/>
    <w:rsid w:val="003E5594"/>
    <w:rsid w:val="003E7A6F"/>
    <w:rsid w:val="003F3ADB"/>
    <w:rsid w:val="003F5510"/>
    <w:rsid w:val="004179C4"/>
    <w:rsid w:val="004212E9"/>
    <w:rsid w:val="004310B8"/>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B57EC"/>
    <w:rsid w:val="004D1DCD"/>
    <w:rsid w:val="004D2DC8"/>
    <w:rsid w:val="004D702E"/>
    <w:rsid w:val="004E0934"/>
    <w:rsid w:val="004F03C7"/>
    <w:rsid w:val="004F1CF3"/>
    <w:rsid w:val="004F7BD5"/>
    <w:rsid w:val="004F7F0C"/>
    <w:rsid w:val="0050258D"/>
    <w:rsid w:val="00505F3A"/>
    <w:rsid w:val="0051116B"/>
    <w:rsid w:val="00514DA0"/>
    <w:rsid w:val="00527EEC"/>
    <w:rsid w:val="005307B3"/>
    <w:rsid w:val="005458F8"/>
    <w:rsid w:val="0054718F"/>
    <w:rsid w:val="0055203E"/>
    <w:rsid w:val="00557CC1"/>
    <w:rsid w:val="0057297F"/>
    <w:rsid w:val="0057563C"/>
    <w:rsid w:val="00580488"/>
    <w:rsid w:val="0058176A"/>
    <w:rsid w:val="005864F4"/>
    <w:rsid w:val="005932FF"/>
    <w:rsid w:val="005A24DF"/>
    <w:rsid w:val="005A41D3"/>
    <w:rsid w:val="005A70E0"/>
    <w:rsid w:val="005B251E"/>
    <w:rsid w:val="005B4994"/>
    <w:rsid w:val="005C4BCE"/>
    <w:rsid w:val="005E5529"/>
    <w:rsid w:val="005F29AC"/>
    <w:rsid w:val="005F3C29"/>
    <w:rsid w:val="005F499C"/>
    <w:rsid w:val="00602185"/>
    <w:rsid w:val="00612206"/>
    <w:rsid w:val="00617F38"/>
    <w:rsid w:val="0063785D"/>
    <w:rsid w:val="006417A4"/>
    <w:rsid w:val="006435FD"/>
    <w:rsid w:val="00645395"/>
    <w:rsid w:val="0065638A"/>
    <w:rsid w:val="00656CED"/>
    <w:rsid w:val="00660D70"/>
    <w:rsid w:val="00665B3C"/>
    <w:rsid w:val="00673382"/>
    <w:rsid w:val="006746EB"/>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47724"/>
    <w:rsid w:val="007555FC"/>
    <w:rsid w:val="007623DE"/>
    <w:rsid w:val="00767FCD"/>
    <w:rsid w:val="00770FF3"/>
    <w:rsid w:val="00771629"/>
    <w:rsid w:val="00773441"/>
    <w:rsid w:val="00773E3D"/>
    <w:rsid w:val="00784672"/>
    <w:rsid w:val="00784F8A"/>
    <w:rsid w:val="00785C21"/>
    <w:rsid w:val="007942F7"/>
    <w:rsid w:val="007964EF"/>
    <w:rsid w:val="007C2355"/>
    <w:rsid w:val="007C74E8"/>
    <w:rsid w:val="007D0497"/>
    <w:rsid w:val="007D29D4"/>
    <w:rsid w:val="007D3081"/>
    <w:rsid w:val="007E1F23"/>
    <w:rsid w:val="007F3D4A"/>
    <w:rsid w:val="0080745B"/>
    <w:rsid w:val="008103BB"/>
    <w:rsid w:val="00822A51"/>
    <w:rsid w:val="00824B55"/>
    <w:rsid w:val="00855A14"/>
    <w:rsid w:val="00867D79"/>
    <w:rsid w:val="008705DF"/>
    <w:rsid w:val="008762E6"/>
    <w:rsid w:val="00883782"/>
    <w:rsid w:val="00892349"/>
    <w:rsid w:val="00892DCC"/>
    <w:rsid w:val="008933B7"/>
    <w:rsid w:val="00896688"/>
    <w:rsid w:val="008A0FFD"/>
    <w:rsid w:val="008A4531"/>
    <w:rsid w:val="008A6664"/>
    <w:rsid w:val="008B2D72"/>
    <w:rsid w:val="008B78B9"/>
    <w:rsid w:val="008C623B"/>
    <w:rsid w:val="008F6B51"/>
    <w:rsid w:val="008F6CF2"/>
    <w:rsid w:val="008F749A"/>
    <w:rsid w:val="0090589A"/>
    <w:rsid w:val="00920EB0"/>
    <w:rsid w:val="009315C2"/>
    <w:rsid w:val="00935E41"/>
    <w:rsid w:val="00935ED2"/>
    <w:rsid w:val="00954F74"/>
    <w:rsid w:val="00955643"/>
    <w:rsid w:val="009573B9"/>
    <w:rsid w:val="00965E94"/>
    <w:rsid w:val="00983877"/>
    <w:rsid w:val="00994A7A"/>
    <w:rsid w:val="00995655"/>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74225"/>
    <w:rsid w:val="00A81F80"/>
    <w:rsid w:val="00A828F1"/>
    <w:rsid w:val="00A868EF"/>
    <w:rsid w:val="00A906E2"/>
    <w:rsid w:val="00AA0F15"/>
    <w:rsid w:val="00AB13A1"/>
    <w:rsid w:val="00AD2A48"/>
    <w:rsid w:val="00AD2C8A"/>
    <w:rsid w:val="00AD6819"/>
    <w:rsid w:val="00AE15F3"/>
    <w:rsid w:val="00AF4CC2"/>
    <w:rsid w:val="00B01BCC"/>
    <w:rsid w:val="00B20B7E"/>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967FD"/>
    <w:rsid w:val="00BA4291"/>
    <w:rsid w:val="00BA6815"/>
    <w:rsid w:val="00BA6DC7"/>
    <w:rsid w:val="00BA783A"/>
    <w:rsid w:val="00BB00AF"/>
    <w:rsid w:val="00BB1B83"/>
    <w:rsid w:val="00BB53FF"/>
    <w:rsid w:val="00BC08B5"/>
    <w:rsid w:val="00BC5446"/>
    <w:rsid w:val="00BD05F9"/>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C5CBC"/>
    <w:rsid w:val="00CE020B"/>
    <w:rsid w:val="00CE71D2"/>
    <w:rsid w:val="00CE7226"/>
    <w:rsid w:val="00CE7D8E"/>
    <w:rsid w:val="00CF36EE"/>
    <w:rsid w:val="00D11238"/>
    <w:rsid w:val="00D1160E"/>
    <w:rsid w:val="00D1328D"/>
    <w:rsid w:val="00D22617"/>
    <w:rsid w:val="00D26E74"/>
    <w:rsid w:val="00D27461"/>
    <w:rsid w:val="00D30D7D"/>
    <w:rsid w:val="00D32AD3"/>
    <w:rsid w:val="00D35B47"/>
    <w:rsid w:val="00D44DE9"/>
    <w:rsid w:val="00D4514A"/>
    <w:rsid w:val="00D52D42"/>
    <w:rsid w:val="00D5313A"/>
    <w:rsid w:val="00D534C3"/>
    <w:rsid w:val="00D56D4E"/>
    <w:rsid w:val="00D812B2"/>
    <w:rsid w:val="00D841AD"/>
    <w:rsid w:val="00D86B1B"/>
    <w:rsid w:val="00D87D62"/>
    <w:rsid w:val="00D90F37"/>
    <w:rsid w:val="00D92EB2"/>
    <w:rsid w:val="00D962D6"/>
    <w:rsid w:val="00DA2E85"/>
    <w:rsid w:val="00DA3A70"/>
    <w:rsid w:val="00DA6572"/>
    <w:rsid w:val="00DB2007"/>
    <w:rsid w:val="00DC2A18"/>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6D49"/>
    <w:rsid w:val="00EE75AA"/>
    <w:rsid w:val="00F014DF"/>
    <w:rsid w:val="00F067FF"/>
    <w:rsid w:val="00F138CF"/>
    <w:rsid w:val="00F17C9D"/>
    <w:rsid w:val="00F31726"/>
    <w:rsid w:val="00F343CC"/>
    <w:rsid w:val="00F40991"/>
    <w:rsid w:val="00F434C7"/>
    <w:rsid w:val="00F449A4"/>
    <w:rsid w:val="00F51761"/>
    <w:rsid w:val="00F51B37"/>
    <w:rsid w:val="00F552F8"/>
    <w:rsid w:val="00F64CDF"/>
    <w:rsid w:val="00F725CC"/>
    <w:rsid w:val="00F76C2C"/>
    <w:rsid w:val="00F86C0E"/>
    <w:rsid w:val="00FA688E"/>
    <w:rsid w:val="00FB7FEC"/>
    <w:rsid w:val="00FC0CDA"/>
    <w:rsid w:val="00FC2557"/>
    <w:rsid w:val="00FC3155"/>
    <w:rsid w:val="00FD0360"/>
    <w:rsid w:val="00FD4D0F"/>
    <w:rsid w:val="00FD78D6"/>
    <w:rsid w:val="00FD79B3"/>
    <w:rsid w:val="00FE3439"/>
    <w:rsid w:val="00FE5003"/>
    <w:rsid w:val="00FE6E9F"/>
    <w:rsid w:val="00FF43B1"/>
    <w:rsid w:val="015107B6"/>
    <w:rsid w:val="019112BB"/>
    <w:rsid w:val="01AC7279"/>
    <w:rsid w:val="01BA37EB"/>
    <w:rsid w:val="02A81EED"/>
    <w:rsid w:val="02BD0577"/>
    <w:rsid w:val="02CA4177"/>
    <w:rsid w:val="030B6954"/>
    <w:rsid w:val="03980E10"/>
    <w:rsid w:val="03E11420"/>
    <w:rsid w:val="04063B90"/>
    <w:rsid w:val="040F4F9C"/>
    <w:rsid w:val="04292817"/>
    <w:rsid w:val="0438045E"/>
    <w:rsid w:val="048077D7"/>
    <w:rsid w:val="04850B44"/>
    <w:rsid w:val="04DC0095"/>
    <w:rsid w:val="05725EBF"/>
    <w:rsid w:val="05D05281"/>
    <w:rsid w:val="05DA407F"/>
    <w:rsid w:val="05EF1FFE"/>
    <w:rsid w:val="06122D99"/>
    <w:rsid w:val="067C2282"/>
    <w:rsid w:val="071012E4"/>
    <w:rsid w:val="071C2DD7"/>
    <w:rsid w:val="075B1AF0"/>
    <w:rsid w:val="07E259C2"/>
    <w:rsid w:val="081264AF"/>
    <w:rsid w:val="0850039D"/>
    <w:rsid w:val="08C64175"/>
    <w:rsid w:val="099E423A"/>
    <w:rsid w:val="09AA5530"/>
    <w:rsid w:val="09C6304D"/>
    <w:rsid w:val="09F425C7"/>
    <w:rsid w:val="0A770FAA"/>
    <w:rsid w:val="0AED2D32"/>
    <w:rsid w:val="0BDD0694"/>
    <w:rsid w:val="0BEB03C0"/>
    <w:rsid w:val="0C905B62"/>
    <w:rsid w:val="0CD30A08"/>
    <w:rsid w:val="0CEC4A6F"/>
    <w:rsid w:val="0CED0F9F"/>
    <w:rsid w:val="0DB759FC"/>
    <w:rsid w:val="0DBA62E5"/>
    <w:rsid w:val="0E500AAD"/>
    <w:rsid w:val="0E5A592B"/>
    <w:rsid w:val="0E891CDE"/>
    <w:rsid w:val="0E8C6C3F"/>
    <w:rsid w:val="0ED81CA5"/>
    <w:rsid w:val="0FB402E1"/>
    <w:rsid w:val="119E5E08"/>
    <w:rsid w:val="12655E00"/>
    <w:rsid w:val="127D63F6"/>
    <w:rsid w:val="128F3C3F"/>
    <w:rsid w:val="12C60E64"/>
    <w:rsid w:val="132B6CCC"/>
    <w:rsid w:val="136B309A"/>
    <w:rsid w:val="136D269D"/>
    <w:rsid w:val="14674E98"/>
    <w:rsid w:val="14931A8C"/>
    <w:rsid w:val="14E2698F"/>
    <w:rsid w:val="150F2C47"/>
    <w:rsid w:val="16314BAD"/>
    <w:rsid w:val="168B0D18"/>
    <w:rsid w:val="16B20D98"/>
    <w:rsid w:val="16BB6B96"/>
    <w:rsid w:val="172976C5"/>
    <w:rsid w:val="17594306"/>
    <w:rsid w:val="17841667"/>
    <w:rsid w:val="17D539F2"/>
    <w:rsid w:val="18337877"/>
    <w:rsid w:val="1887479E"/>
    <w:rsid w:val="189732FA"/>
    <w:rsid w:val="19097045"/>
    <w:rsid w:val="191100E9"/>
    <w:rsid w:val="19640E18"/>
    <w:rsid w:val="1A4762B7"/>
    <w:rsid w:val="1A5F0C30"/>
    <w:rsid w:val="1A740B6A"/>
    <w:rsid w:val="1A7E2A0B"/>
    <w:rsid w:val="1AED0CB5"/>
    <w:rsid w:val="1B2B16D0"/>
    <w:rsid w:val="1BE54D1B"/>
    <w:rsid w:val="1C5642F5"/>
    <w:rsid w:val="1C836B36"/>
    <w:rsid w:val="1D404EE7"/>
    <w:rsid w:val="1D75311D"/>
    <w:rsid w:val="1DC54E4A"/>
    <w:rsid w:val="1DE278AD"/>
    <w:rsid w:val="1E1329CF"/>
    <w:rsid w:val="1E1A64B4"/>
    <w:rsid w:val="1E1F3B60"/>
    <w:rsid w:val="1E730888"/>
    <w:rsid w:val="1E87379D"/>
    <w:rsid w:val="1E97356A"/>
    <w:rsid w:val="1EC91A1F"/>
    <w:rsid w:val="1F2E0BFF"/>
    <w:rsid w:val="1F655106"/>
    <w:rsid w:val="1F6C3BF2"/>
    <w:rsid w:val="1FAD4D1B"/>
    <w:rsid w:val="1FBA0AEA"/>
    <w:rsid w:val="1FBF76D7"/>
    <w:rsid w:val="20990A8B"/>
    <w:rsid w:val="212E078A"/>
    <w:rsid w:val="21D110D6"/>
    <w:rsid w:val="21E313E8"/>
    <w:rsid w:val="21F90DD2"/>
    <w:rsid w:val="226E5DE0"/>
    <w:rsid w:val="22915C3B"/>
    <w:rsid w:val="2392443F"/>
    <w:rsid w:val="23B9193B"/>
    <w:rsid w:val="23DD074B"/>
    <w:rsid w:val="24080534"/>
    <w:rsid w:val="242F2230"/>
    <w:rsid w:val="247A4058"/>
    <w:rsid w:val="255502E5"/>
    <w:rsid w:val="260862A8"/>
    <w:rsid w:val="264E6DB9"/>
    <w:rsid w:val="26A05072"/>
    <w:rsid w:val="27AC7CBA"/>
    <w:rsid w:val="27AE00A2"/>
    <w:rsid w:val="27DA0E34"/>
    <w:rsid w:val="284F6DA3"/>
    <w:rsid w:val="2872440F"/>
    <w:rsid w:val="28807844"/>
    <w:rsid w:val="295760F8"/>
    <w:rsid w:val="29AF2158"/>
    <w:rsid w:val="2A7220D8"/>
    <w:rsid w:val="2A7A2535"/>
    <w:rsid w:val="2AB0779B"/>
    <w:rsid w:val="2ACA0963"/>
    <w:rsid w:val="2ADA432C"/>
    <w:rsid w:val="2AE20DED"/>
    <w:rsid w:val="2AF84823"/>
    <w:rsid w:val="2B5175E4"/>
    <w:rsid w:val="2B5D2F0A"/>
    <w:rsid w:val="2BF10955"/>
    <w:rsid w:val="2C2302BB"/>
    <w:rsid w:val="2C6615DF"/>
    <w:rsid w:val="2C702634"/>
    <w:rsid w:val="2CF60F41"/>
    <w:rsid w:val="2DA660A6"/>
    <w:rsid w:val="2E41641E"/>
    <w:rsid w:val="2E440F8F"/>
    <w:rsid w:val="2E944985"/>
    <w:rsid w:val="2EB241B6"/>
    <w:rsid w:val="2F072F4E"/>
    <w:rsid w:val="2FD26F55"/>
    <w:rsid w:val="30096558"/>
    <w:rsid w:val="306D76A1"/>
    <w:rsid w:val="30DE2DAE"/>
    <w:rsid w:val="317A6542"/>
    <w:rsid w:val="321A7484"/>
    <w:rsid w:val="322E1C21"/>
    <w:rsid w:val="32517E19"/>
    <w:rsid w:val="32756EB2"/>
    <w:rsid w:val="328378A7"/>
    <w:rsid w:val="32985818"/>
    <w:rsid w:val="329F34EA"/>
    <w:rsid w:val="32A2762D"/>
    <w:rsid w:val="32C4538A"/>
    <w:rsid w:val="32CD13D8"/>
    <w:rsid w:val="32D46F77"/>
    <w:rsid w:val="339248A7"/>
    <w:rsid w:val="33B95A81"/>
    <w:rsid w:val="33E7797B"/>
    <w:rsid w:val="33F923CE"/>
    <w:rsid w:val="344825A5"/>
    <w:rsid w:val="345B2BC5"/>
    <w:rsid w:val="34874156"/>
    <w:rsid w:val="34961D84"/>
    <w:rsid w:val="34C116DA"/>
    <w:rsid w:val="35032B89"/>
    <w:rsid w:val="35C021DE"/>
    <w:rsid w:val="3637096F"/>
    <w:rsid w:val="363D46DF"/>
    <w:rsid w:val="370E07C9"/>
    <w:rsid w:val="3743117F"/>
    <w:rsid w:val="379B30ED"/>
    <w:rsid w:val="37E36BED"/>
    <w:rsid w:val="38D540B9"/>
    <w:rsid w:val="39466D4B"/>
    <w:rsid w:val="39565AB7"/>
    <w:rsid w:val="3A6F6091"/>
    <w:rsid w:val="3B2B40CB"/>
    <w:rsid w:val="3B3875ED"/>
    <w:rsid w:val="3B495E65"/>
    <w:rsid w:val="3BFE0D0E"/>
    <w:rsid w:val="3C066E0B"/>
    <w:rsid w:val="3C1E6B96"/>
    <w:rsid w:val="3CD2096C"/>
    <w:rsid w:val="3D073213"/>
    <w:rsid w:val="3D5F79E9"/>
    <w:rsid w:val="3DBA091D"/>
    <w:rsid w:val="3EFC61A0"/>
    <w:rsid w:val="3F3923EB"/>
    <w:rsid w:val="3F5C6702"/>
    <w:rsid w:val="3F981C15"/>
    <w:rsid w:val="3FB93C81"/>
    <w:rsid w:val="4073313C"/>
    <w:rsid w:val="407D4E5F"/>
    <w:rsid w:val="422F1E72"/>
    <w:rsid w:val="4236499B"/>
    <w:rsid w:val="425F07A9"/>
    <w:rsid w:val="42A524C7"/>
    <w:rsid w:val="42DD62AF"/>
    <w:rsid w:val="42E17616"/>
    <w:rsid w:val="43C32E29"/>
    <w:rsid w:val="43C529F5"/>
    <w:rsid w:val="443309C4"/>
    <w:rsid w:val="448137D1"/>
    <w:rsid w:val="448B4AB6"/>
    <w:rsid w:val="449172F6"/>
    <w:rsid w:val="44D14A1F"/>
    <w:rsid w:val="44EF1C2A"/>
    <w:rsid w:val="4503099B"/>
    <w:rsid w:val="453D7EFA"/>
    <w:rsid w:val="45FA5FD9"/>
    <w:rsid w:val="46480423"/>
    <w:rsid w:val="46C44BD5"/>
    <w:rsid w:val="46E27E71"/>
    <w:rsid w:val="46FD0ED7"/>
    <w:rsid w:val="47173E6F"/>
    <w:rsid w:val="4746716B"/>
    <w:rsid w:val="47A22F2A"/>
    <w:rsid w:val="47C259CB"/>
    <w:rsid w:val="47D44A52"/>
    <w:rsid w:val="47E7681C"/>
    <w:rsid w:val="481A347D"/>
    <w:rsid w:val="486378A9"/>
    <w:rsid w:val="492F4059"/>
    <w:rsid w:val="49FD45C2"/>
    <w:rsid w:val="4A236C6F"/>
    <w:rsid w:val="4A4818B3"/>
    <w:rsid w:val="4BB73BE9"/>
    <w:rsid w:val="4BEB2031"/>
    <w:rsid w:val="4C032BC8"/>
    <w:rsid w:val="4C695D51"/>
    <w:rsid w:val="4CCB5EE4"/>
    <w:rsid w:val="4CCF1A74"/>
    <w:rsid w:val="4CE85D4A"/>
    <w:rsid w:val="4D6B74E0"/>
    <w:rsid w:val="4DCF4BB4"/>
    <w:rsid w:val="4DE61D04"/>
    <w:rsid w:val="4E5272C6"/>
    <w:rsid w:val="4E5F0909"/>
    <w:rsid w:val="4E6200BB"/>
    <w:rsid w:val="4F0A58E5"/>
    <w:rsid w:val="4F1B2306"/>
    <w:rsid w:val="4F1B4159"/>
    <w:rsid w:val="4F562933"/>
    <w:rsid w:val="4F700335"/>
    <w:rsid w:val="4FD16D78"/>
    <w:rsid w:val="50203001"/>
    <w:rsid w:val="50B51B02"/>
    <w:rsid w:val="513E6FCC"/>
    <w:rsid w:val="52E75B99"/>
    <w:rsid w:val="5364371A"/>
    <w:rsid w:val="537A2AC6"/>
    <w:rsid w:val="53A51ADF"/>
    <w:rsid w:val="542631C0"/>
    <w:rsid w:val="54C530D9"/>
    <w:rsid w:val="54F24513"/>
    <w:rsid w:val="55BB5F80"/>
    <w:rsid w:val="55DC48D3"/>
    <w:rsid w:val="56275484"/>
    <w:rsid w:val="562C0562"/>
    <w:rsid w:val="565A7935"/>
    <w:rsid w:val="56820D5B"/>
    <w:rsid w:val="57096D7C"/>
    <w:rsid w:val="572B2282"/>
    <w:rsid w:val="572C6388"/>
    <w:rsid w:val="578B046D"/>
    <w:rsid w:val="58607715"/>
    <w:rsid w:val="59520AA5"/>
    <w:rsid w:val="5A3D0E18"/>
    <w:rsid w:val="5A7944BC"/>
    <w:rsid w:val="5B5C03F0"/>
    <w:rsid w:val="5C656174"/>
    <w:rsid w:val="5D9424C4"/>
    <w:rsid w:val="5E007081"/>
    <w:rsid w:val="5E2570D5"/>
    <w:rsid w:val="5E703956"/>
    <w:rsid w:val="5F945360"/>
    <w:rsid w:val="5FA0715F"/>
    <w:rsid w:val="5FAB6FD5"/>
    <w:rsid w:val="5FC5301A"/>
    <w:rsid w:val="60010846"/>
    <w:rsid w:val="605F7AED"/>
    <w:rsid w:val="60DE6405"/>
    <w:rsid w:val="60E822D9"/>
    <w:rsid w:val="618F0A37"/>
    <w:rsid w:val="61CF20DD"/>
    <w:rsid w:val="624136EF"/>
    <w:rsid w:val="62525166"/>
    <w:rsid w:val="63310F09"/>
    <w:rsid w:val="63524C80"/>
    <w:rsid w:val="63A45BF9"/>
    <w:rsid w:val="63B84F56"/>
    <w:rsid w:val="64074006"/>
    <w:rsid w:val="64307272"/>
    <w:rsid w:val="64847D37"/>
    <w:rsid w:val="64A373A0"/>
    <w:rsid w:val="655C146A"/>
    <w:rsid w:val="65863D1B"/>
    <w:rsid w:val="65D71058"/>
    <w:rsid w:val="65F81266"/>
    <w:rsid w:val="663E10C6"/>
    <w:rsid w:val="66FF5D80"/>
    <w:rsid w:val="67BA7B20"/>
    <w:rsid w:val="67D96A58"/>
    <w:rsid w:val="67DB2C51"/>
    <w:rsid w:val="67F765E0"/>
    <w:rsid w:val="681F7264"/>
    <w:rsid w:val="68562B5B"/>
    <w:rsid w:val="686B311E"/>
    <w:rsid w:val="68CB3B83"/>
    <w:rsid w:val="69D27EA0"/>
    <w:rsid w:val="69E8244B"/>
    <w:rsid w:val="6A917D32"/>
    <w:rsid w:val="6B273C29"/>
    <w:rsid w:val="6B533C17"/>
    <w:rsid w:val="6B7569B5"/>
    <w:rsid w:val="6B886F10"/>
    <w:rsid w:val="6B8A3AFE"/>
    <w:rsid w:val="6BD42703"/>
    <w:rsid w:val="6C5B7CEC"/>
    <w:rsid w:val="6C815D8D"/>
    <w:rsid w:val="6D013BED"/>
    <w:rsid w:val="6D8719BF"/>
    <w:rsid w:val="6DAF1FEF"/>
    <w:rsid w:val="6DB34F5A"/>
    <w:rsid w:val="6DEE7787"/>
    <w:rsid w:val="6E03652B"/>
    <w:rsid w:val="6E1626C4"/>
    <w:rsid w:val="6EFE16C4"/>
    <w:rsid w:val="6F7E2CF1"/>
    <w:rsid w:val="6FC11236"/>
    <w:rsid w:val="6FCB0ED0"/>
    <w:rsid w:val="6FCC5D91"/>
    <w:rsid w:val="6FD45398"/>
    <w:rsid w:val="7036127C"/>
    <w:rsid w:val="70825A73"/>
    <w:rsid w:val="70F047E8"/>
    <w:rsid w:val="7115393A"/>
    <w:rsid w:val="716E2908"/>
    <w:rsid w:val="717600B2"/>
    <w:rsid w:val="71B82140"/>
    <w:rsid w:val="72FF1303"/>
    <w:rsid w:val="73396DB5"/>
    <w:rsid w:val="734D7027"/>
    <w:rsid w:val="73616A79"/>
    <w:rsid w:val="738250C9"/>
    <w:rsid w:val="73AD5E1D"/>
    <w:rsid w:val="73BC5AD9"/>
    <w:rsid w:val="748F42B4"/>
    <w:rsid w:val="75706FDE"/>
    <w:rsid w:val="763C132A"/>
    <w:rsid w:val="76495EBC"/>
    <w:rsid w:val="764D1C01"/>
    <w:rsid w:val="76D90BB3"/>
    <w:rsid w:val="76EB7264"/>
    <w:rsid w:val="76EF2FF9"/>
    <w:rsid w:val="77EC248D"/>
    <w:rsid w:val="782D1C88"/>
    <w:rsid w:val="78AB2B78"/>
    <w:rsid w:val="78EB6E8C"/>
    <w:rsid w:val="78F83BED"/>
    <w:rsid w:val="79257587"/>
    <w:rsid w:val="796F5BEA"/>
    <w:rsid w:val="79A51FC6"/>
    <w:rsid w:val="7A4C2094"/>
    <w:rsid w:val="7AE5221C"/>
    <w:rsid w:val="7B46553C"/>
    <w:rsid w:val="7B477A1B"/>
    <w:rsid w:val="7C49195A"/>
    <w:rsid w:val="7CA32E53"/>
    <w:rsid w:val="7CDA2C12"/>
    <w:rsid w:val="7D1F6406"/>
    <w:rsid w:val="7D3F1FE1"/>
    <w:rsid w:val="7D454989"/>
    <w:rsid w:val="7D4D3BF7"/>
    <w:rsid w:val="7D5139EA"/>
    <w:rsid w:val="7DB1356C"/>
    <w:rsid w:val="7E0A0815"/>
    <w:rsid w:val="7F1F6441"/>
    <w:rsid w:val="7F3A26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1"/>
    <w:qFormat/>
    <w:uiPriority w:val="0"/>
    <w:pPr>
      <w:spacing w:before="100" w:beforeAutospacing="1" w:after="100" w:afterAutospacing="1"/>
      <w:outlineLvl w:val="1"/>
    </w:pPr>
    <w:rPr>
      <w:rFonts w:ascii="宋体" w:hAnsi="宋体"/>
      <w:b/>
      <w:bCs/>
      <w:kern w:val="0"/>
      <w:sz w:val="36"/>
      <w:szCs w:val="36"/>
    </w:rPr>
  </w:style>
  <w:style w:type="paragraph" w:styleId="6">
    <w:name w:val="heading 4"/>
    <w:basedOn w:val="1"/>
    <w:next w:val="1"/>
    <w:link w:val="186"/>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firstLine="210"/>
    </w:pPr>
    <w:rPr>
      <w:szCs w:val="20"/>
    </w:rPr>
  </w:style>
  <w:style w:type="paragraph" w:styleId="3">
    <w:name w:val="Body Text Indent"/>
    <w:basedOn w:val="1"/>
    <w:qFormat/>
    <w:uiPriority w:val="0"/>
    <w:pPr>
      <w:spacing w:line="400" w:lineRule="exact"/>
      <w:ind w:firstLine="435"/>
    </w:pPr>
  </w:style>
  <w:style w:type="paragraph" w:styleId="7">
    <w:name w:val="index 8"/>
    <w:basedOn w:val="1"/>
    <w:next w:val="1"/>
    <w:qFormat/>
    <w:uiPriority w:val="0"/>
    <w:pPr>
      <w:ind w:left="1680" w:hanging="210"/>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pPr>
    <w:rPr>
      <w:rFonts w:ascii="Calibri" w:hAnsi="Calibri"/>
      <w:sz w:val="20"/>
      <w:szCs w:val="20"/>
    </w:rPr>
  </w:style>
  <w:style w:type="paragraph" w:styleId="10">
    <w:name w:val="Document Map"/>
    <w:basedOn w:val="1"/>
    <w:link w:val="171"/>
    <w:semiHidden/>
    <w:qFormat/>
    <w:uiPriority w:val="0"/>
    <w:pPr>
      <w:shd w:val="clear" w:color="auto" w:fill="000080"/>
    </w:pPr>
    <w:rPr>
      <w:rFonts w:asciiTheme="minorHAnsi" w:hAnsiTheme="minorHAnsi" w:eastAsiaTheme="minorEastAsia" w:cstheme="minorBidi"/>
    </w:rPr>
  </w:style>
  <w:style w:type="paragraph" w:styleId="11">
    <w:name w:val="annotation text"/>
    <w:basedOn w:val="1"/>
    <w:link w:val="168"/>
    <w:semiHidden/>
    <w:qFormat/>
    <w:uiPriority w:val="0"/>
    <w:rPr>
      <w:rFonts w:asciiTheme="minorHAnsi" w:hAnsiTheme="minorHAnsi" w:eastAsiaTheme="minorEastAsia" w:cstheme="minorBidi"/>
    </w:rPr>
  </w:style>
  <w:style w:type="paragraph" w:styleId="12">
    <w:name w:val="index 6"/>
    <w:basedOn w:val="1"/>
    <w:next w:val="1"/>
    <w:qFormat/>
    <w:uiPriority w:val="0"/>
    <w:pPr>
      <w:ind w:left="1260" w:hanging="210"/>
    </w:pPr>
    <w:rPr>
      <w:rFonts w:ascii="Calibri" w:hAnsi="Calibri"/>
      <w:sz w:val="20"/>
      <w:szCs w:val="20"/>
    </w:rPr>
  </w:style>
  <w:style w:type="paragraph" w:styleId="13">
    <w:name w:val="Body Text 3"/>
    <w:basedOn w:val="1"/>
    <w:link w:val="179"/>
    <w:semiHidden/>
    <w:unhideWhenUsed/>
    <w:qFormat/>
    <w:uiPriority w:val="99"/>
    <w:pPr>
      <w:spacing w:after="120"/>
    </w:pPr>
    <w:rPr>
      <w:sz w:val="16"/>
      <w:szCs w:val="16"/>
    </w:rPr>
  </w:style>
  <w:style w:type="paragraph" w:styleId="14">
    <w:name w:val="Body Text"/>
    <w:basedOn w:val="1"/>
    <w:next w:val="15"/>
    <w:link w:val="184"/>
    <w:semiHidden/>
    <w:unhideWhenUsed/>
    <w:qFormat/>
    <w:uiPriority w:val="99"/>
    <w:pPr>
      <w:spacing w:after="120"/>
    </w:pPr>
  </w:style>
  <w:style w:type="paragraph" w:customStyle="1" w:styleId="15">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16">
    <w:name w:val="index 4"/>
    <w:basedOn w:val="1"/>
    <w:next w:val="1"/>
    <w:qFormat/>
    <w:uiPriority w:val="0"/>
    <w:pPr>
      <w:ind w:left="840" w:hanging="210"/>
    </w:pPr>
    <w:rPr>
      <w:rFonts w:ascii="Calibri" w:hAnsi="Calibri"/>
      <w:sz w:val="20"/>
      <w:szCs w:val="20"/>
    </w:rPr>
  </w:style>
  <w:style w:type="paragraph" w:styleId="17">
    <w:name w:val="Plain Text"/>
    <w:basedOn w:val="1"/>
    <w:link w:val="182"/>
    <w:unhideWhenUsed/>
    <w:qFormat/>
    <w:uiPriority w:val="99"/>
    <w:pPr>
      <w:widowControl w:val="0"/>
      <w:spacing w:line="240" w:lineRule="auto"/>
      <w:jc w:val="both"/>
    </w:pPr>
    <w:rPr>
      <w:rFonts w:ascii="宋体" w:hAnsi="Courier New" w:cs="Courier New"/>
      <w:szCs w:val="21"/>
    </w:rPr>
  </w:style>
  <w:style w:type="paragraph" w:styleId="18">
    <w:name w:val="index 3"/>
    <w:basedOn w:val="1"/>
    <w:next w:val="1"/>
    <w:qFormat/>
    <w:uiPriority w:val="0"/>
    <w:pPr>
      <w:ind w:left="630" w:hanging="210"/>
    </w:pPr>
    <w:rPr>
      <w:rFonts w:ascii="Calibri" w:hAnsi="Calibri"/>
      <w:sz w:val="20"/>
      <w:szCs w:val="20"/>
    </w:rPr>
  </w:style>
  <w:style w:type="paragraph" w:styleId="19">
    <w:name w:val="Date"/>
    <w:basedOn w:val="1"/>
    <w:next w:val="1"/>
    <w:link w:val="170"/>
    <w:qFormat/>
    <w:uiPriority w:val="99"/>
    <w:pPr>
      <w:ind w:left="100" w:leftChars="2500"/>
    </w:pPr>
    <w:rPr>
      <w:rFonts w:asciiTheme="minorHAnsi" w:hAnsiTheme="minorHAnsi" w:eastAsiaTheme="minorEastAsia" w:cstheme="minorBidi"/>
    </w:rPr>
  </w:style>
  <w:style w:type="paragraph" w:styleId="20">
    <w:name w:val="Body Text Indent 2"/>
    <w:basedOn w:val="1"/>
    <w:link w:val="160"/>
    <w:qFormat/>
    <w:uiPriority w:val="99"/>
    <w:pPr>
      <w:spacing w:after="120" w:line="480" w:lineRule="auto"/>
      <w:ind w:left="420" w:leftChars="200"/>
    </w:pPr>
    <w:rPr>
      <w:rFonts w:asciiTheme="minorHAnsi" w:hAnsiTheme="minorHAnsi" w:eastAsiaTheme="minorEastAsia" w:cstheme="minorBidi"/>
    </w:rPr>
  </w:style>
  <w:style w:type="paragraph" w:styleId="21">
    <w:name w:val="endnote text"/>
    <w:basedOn w:val="1"/>
    <w:link w:val="177"/>
    <w:semiHidden/>
    <w:qFormat/>
    <w:uiPriority w:val="0"/>
    <w:pPr>
      <w:snapToGrid w:val="0"/>
    </w:pPr>
    <w:rPr>
      <w:rFonts w:asciiTheme="minorHAnsi" w:hAnsiTheme="minorHAnsi" w:eastAsiaTheme="minorEastAsia" w:cstheme="minorBidi"/>
    </w:rPr>
  </w:style>
  <w:style w:type="paragraph" w:styleId="22">
    <w:name w:val="Balloon Text"/>
    <w:basedOn w:val="1"/>
    <w:link w:val="146"/>
    <w:qFormat/>
    <w:uiPriority w:val="99"/>
    <w:rPr>
      <w:rFonts w:asciiTheme="minorHAnsi" w:hAnsiTheme="minorHAnsi" w:eastAsiaTheme="minorEastAsia" w:cstheme="minorBidi"/>
      <w:sz w:val="18"/>
      <w:szCs w:val="18"/>
    </w:rPr>
  </w:style>
  <w:style w:type="paragraph" w:styleId="23">
    <w:name w:val="footer"/>
    <w:basedOn w:val="1"/>
    <w:link w:val="167"/>
    <w:qFormat/>
    <w:uiPriority w:val="99"/>
    <w:pPr>
      <w:snapToGrid w:val="0"/>
      <w:ind w:right="210" w:rightChars="100"/>
      <w:jc w:val="right"/>
    </w:pPr>
    <w:rPr>
      <w:rFonts w:asciiTheme="minorHAnsi" w:hAnsiTheme="minorHAnsi" w:eastAsiaTheme="minorEastAsia" w:cstheme="minorBidi"/>
      <w:sz w:val="18"/>
      <w:szCs w:val="18"/>
    </w:rPr>
  </w:style>
  <w:style w:type="paragraph" w:styleId="24">
    <w:name w:val="header"/>
    <w:basedOn w:val="1"/>
    <w:link w:val="149"/>
    <w:qFormat/>
    <w:uiPriority w:val="99"/>
    <w:pPr>
      <w:snapToGrid w:val="0"/>
    </w:pPr>
    <w:rPr>
      <w:rFonts w:asciiTheme="minorHAnsi" w:hAnsiTheme="minorHAnsi" w:eastAsiaTheme="minorEastAsia" w:cstheme="minorBidi"/>
      <w:sz w:val="18"/>
      <w:szCs w:val="18"/>
    </w:rPr>
  </w:style>
  <w:style w:type="paragraph" w:styleId="25">
    <w:name w:val="toc 1"/>
    <w:basedOn w:val="1"/>
    <w:next w:val="1"/>
    <w:semiHidden/>
    <w:qFormat/>
    <w:uiPriority w:val="0"/>
    <w:pPr>
      <w:tabs>
        <w:tab w:val="right" w:leader="dot" w:pos="9242"/>
      </w:tabs>
      <w:spacing w:beforeLines="25" w:afterLines="25"/>
    </w:pPr>
    <w:rPr>
      <w:rFonts w:ascii="宋体"/>
      <w:szCs w:val="21"/>
    </w:rPr>
  </w:style>
  <w:style w:type="paragraph" w:styleId="26">
    <w:name w:val="index heading"/>
    <w:basedOn w:val="1"/>
    <w:next w:val="27"/>
    <w:qFormat/>
    <w:uiPriority w:val="0"/>
    <w:pPr>
      <w:spacing w:before="120" w:after="120"/>
      <w:jc w:val="center"/>
    </w:pPr>
    <w:rPr>
      <w:rFonts w:ascii="Calibri" w:hAnsi="Calibri"/>
      <w:b/>
      <w:bCs/>
      <w:iCs/>
      <w:szCs w:val="20"/>
    </w:rPr>
  </w:style>
  <w:style w:type="paragraph" w:styleId="27">
    <w:name w:val="index 1"/>
    <w:basedOn w:val="1"/>
    <w:next w:val="1"/>
    <w:unhideWhenUsed/>
    <w:qFormat/>
    <w:uiPriority w:val="0"/>
  </w:style>
  <w:style w:type="paragraph" w:styleId="28">
    <w:name w:val="footnote text"/>
    <w:basedOn w:val="1"/>
    <w:link w:val="156"/>
    <w:qFormat/>
    <w:uiPriority w:val="0"/>
    <w:pPr>
      <w:tabs>
        <w:tab w:val="left" w:pos="0"/>
      </w:tabs>
      <w:snapToGrid w:val="0"/>
      <w:ind w:left="720" w:hanging="357"/>
    </w:pPr>
    <w:rPr>
      <w:rFonts w:ascii="宋体" w:hAnsiTheme="minorHAnsi" w:eastAsiaTheme="minorEastAsia" w:cstheme="minorBidi"/>
      <w:sz w:val="18"/>
      <w:szCs w:val="18"/>
    </w:rPr>
  </w:style>
  <w:style w:type="paragraph" w:styleId="29">
    <w:name w:val="Body Text Indent 3"/>
    <w:basedOn w:val="1"/>
    <w:qFormat/>
    <w:uiPriority w:val="0"/>
    <w:pPr>
      <w:spacing w:after="120"/>
      <w:ind w:left="420" w:leftChars="200"/>
    </w:pPr>
    <w:rPr>
      <w:sz w:val="16"/>
      <w:szCs w:val="16"/>
    </w:rPr>
  </w:style>
  <w:style w:type="paragraph" w:styleId="30">
    <w:name w:val="index 7"/>
    <w:basedOn w:val="1"/>
    <w:next w:val="1"/>
    <w:qFormat/>
    <w:uiPriority w:val="0"/>
    <w:pPr>
      <w:ind w:left="1470" w:hanging="210"/>
    </w:pPr>
    <w:rPr>
      <w:rFonts w:ascii="Calibri" w:hAnsi="Calibri"/>
      <w:sz w:val="20"/>
      <w:szCs w:val="20"/>
    </w:rPr>
  </w:style>
  <w:style w:type="paragraph" w:styleId="31">
    <w:name w:val="index 9"/>
    <w:basedOn w:val="1"/>
    <w:next w:val="1"/>
    <w:qFormat/>
    <w:uiPriority w:val="0"/>
    <w:pPr>
      <w:ind w:left="1890" w:hanging="210"/>
    </w:pPr>
    <w:rPr>
      <w:rFonts w:ascii="Calibri" w:hAnsi="Calibri"/>
      <w:sz w:val="20"/>
      <w:szCs w:val="20"/>
    </w:rPr>
  </w:style>
  <w:style w:type="paragraph" w:styleId="32">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3">
    <w:name w:val="HTML Preformatted"/>
    <w:basedOn w:val="1"/>
    <w:link w:val="154"/>
    <w:qFormat/>
    <w:uiPriority w:val="0"/>
    <w:rPr>
      <w:rFonts w:ascii="Courier New" w:hAnsi="Courier New" w:cs="Courier New" w:eastAsiaTheme="minorEastAsia"/>
      <w:szCs w:val="22"/>
    </w:rPr>
  </w:style>
  <w:style w:type="paragraph" w:styleId="34">
    <w:name w:val="Normal (Web)"/>
    <w:basedOn w:val="1"/>
    <w:unhideWhenUsed/>
    <w:qFormat/>
    <w:uiPriority w:val="99"/>
    <w:pPr>
      <w:spacing w:before="100" w:beforeAutospacing="1" w:after="100" w:afterAutospacing="1"/>
    </w:pPr>
    <w:rPr>
      <w:rFonts w:ascii="宋体" w:hAnsi="宋体" w:cs="宋体"/>
      <w:kern w:val="0"/>
      <w:sz w:val="24"/>
    </w:rPr>
  </w:style>
  <w:style w:type="paragraph" w:styleId="35">
    <w:name w:val="index 2"/>
    <w:basedOn w:val="1"/>
    <w:next w:val="1"/>
    <w:qFormat/>
    <w:uiPriority w:val="0"/>
    <w:pPr>
      <w:ind w:left="420" w:hanging="210"/>
    </w:pPr>
    <w:rPr>
      <w:rFonts w:ascii="Calibri" w:hAnsi="Calibri"/>
      <w:sz w:val="20"/>
      <w:szCs w:val="20"/>
    </w:rPr>
  </w:style>
  <w:style w:type="paragraph" w:styleId="36">
    <w:name w:val="Title"/>
    <w:basedOn w:val="1"/>
    <w:link w:val="180"/>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1"/>
    <w:next w:val="11"/>
    <w:link w:val="176"/>
    <w:semiHidden/>
    <w:qFormat/>
    <w:uiPriority w:val="0"/>
    <w:rPr>
      <w:b/>
      <w:bCs/>
    </w:rPr>
  </w:style>
  <w:style w:type="paragraph" w:styleId="38">
    <w:name w:val="Body Text First Indent"/>
    <w:basedOn w:val="14"/>
    <w:qFormat/>
    <w:uiPriority w:val="0"/>
    <w:pPr>
      <w:adjustRightInd w:val="0"/>
      <w:snapToGrid w:val="0"/>
      <w:ind w:firstLine="420"/>
      <w:textAlignment w:val="baseline"/>
    </w:pPr>
    <w:rPr>
      <w:rFonts w:ascii="宋体"/>
      <w:snapToGrid w:val="0"/>
      <w:kern w:val="24"/>
      <w:sz w:val="24"/>
      <w:szCs w:val="20"/>
    </w:rPr>
  </w:style>
  <w:style w:type="table" w:styleId="40">
    <w:name w:val="Table Grid"/>
    <w:basedOn w:val="3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b/>
      <w:bCs/>
    </w:rPr>
  </w:style>
  <w:style w:type="character" w:styleId="43">
    <w:name w:val="page number"/>
    <w:qFormat/>
    <w:uiPriority w:val="99"/>
    <w:rPr>
      <w:rFonts w:ascii="Times New Roman" w:hAnsi="Times New Roman" w:eastAsia="宋体"/>
      <w:sz w:val="18"/>
    </w:rPr>
  </w:style>
  <w:style w:type="character" w:styleId="44">
    <w:name w:val="FollowedHyperlink"/>
    <w:qFormat/>
    <w:uiPriority w:val="0"/>
    <w:rPr>
      <w:color w:val="800080"/>
      <w:u w:val="single"/>
    </w:rPr>
  </w:style>
  <w:style w:type="character" w:styleId="45">
    <w:name w:val="Emphasis"/>
    <w:basedOn w:val="41"/>
    <w:qFormat/>
    <w:uiPriority w:val="20"/>
    <w:rPr>
      <w:color w:val="CC0000"/>
    </w:rPr>
  </w:style>
  <w:style w:type="character" w:styleId="46">
    <w:name w:val="Hyperlink"/>
    <w:qFormat/>
    <w:uiPriority w:val="99"/>
    <w:rPr>
      <w:color w:val="0000FF"/>
      <w:spacing w:val="0"/>
      <w:w w:val="100"/>
      <w:szCs w:val="21"/>
      <w:u w:val="single"/>
      <w:lang w:val="en-US" w:eastAsia="zh-CN"/>
    </w:rPr>
  </w:style>
  <w:style w:type="character" w:styleId="47">
    <w:name w:val="annotation reference"/>
    <w:basedOn w:val="41"/>
    <w:semiHidden/>
    <w:unhideWhenUsed/>
    <w:qFormat/>
    <w:uiPriority w:val="0"/>
    <w:rPr>
      <w:sz w:val="21"/>
      <w:szCs w:val="21"/>
    </w:rPr>
  </w:style>
  <w:style w:type="character" w:styleId="48">
    <w:name w:val="footnote reference"/>
    <w:qFormat/>
    <w:uiPriority w:val="0"/>
    <w:rPr>
      <w:vertAlign w:val="superscript"/>
    </w:rPr>
  </w:style>
  <w:style w:type="character" w:customStyle="1" w:styleId="49">
    <w:name w:val="标题 1 字符"/>
    <w:basedOn w:val="41"/>
    <w:link w:val="4"/>
    <w:qFormat/>
    <w:uiPriority w:val="0"/>
    <w:rPr>
      <w:rFonts w:ascii="Times New Roman" w:hAnsi="Times New Roman" w:eastAsia="宋体" w:cs="Times New Roman"/>
      <w:b/>
      <w:bCs/>
      <w:kern w:val="44"/>
      <w:sz w:val="44"/>
      <w:szCs w:val="44"/>
    </w:rPr>
  </w:style>
  <w:style w:type="paragraph" w:customStyle="1" w:styleId="50">
    <w:name w:val="Body Text Indent 21"/>
    <w:basedOn w:val="1"/>
    <w:next w:val="24"/>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character" w:customStyle="1" w:styleId="51">
    <w:name w:val="标题 2 字符"/>
    <w:basedOn w:val="41"/>
    <w:link w:val="5"/>
    <w:qFormat/>
    <w:uiPriority w:val="0"/>
    <w:rPr>
      <w:rFonts w:ascii="宋体" w:hAnsi="宋体" w:eastAsia="宋体" w:cs="Times New Roman"/>
      <w:b/>
      <w:bCs/>
      <w:kern w:val="0"/>
      <w:sz w:val="36"/>
      <w:szCs w:val="36"/>
    </w:rPr>
  </w:style>
  <w:style w:type="character" w:customStyle="1" w:styleId="52">
    <w:name w:val="批注文字 Char"/>
    <w:semiHidden/>
    <w:qFormat/>
    <w:uiPriority w:val="0"/>
    <w:rPr>
      <w:szCs w:val="24"/>
    </w:rPr>
  </w:style>
  <w:style w:type="character" w:customStyle="1" w:styleId="53">
    <w:name w:val="批注主题 Char"/>
    <w:semiHidden/>
    <w:qFormat/>
    <w:uiPriority w:val="0"/>
    <w:rPr>
      <w:b/>
      <w:bCs/>
      <w:szCs w:val="24"/>
    </w:rPr>
  </w:style>
  <w:style w:type="character" w:customStyle="1" w:styleId="54">
    <w:name w:val="文档结构图 Char"/>
    <w:semiHidden/>
    <w:qFormat/>
    <w:uiPriority w:val="0"/>
    <w:rPr>
      <w:szCs w:val="24"/>
      <w:shd w:val="clear" w:color="auto" w:fill="000080"/>
    </w:rPr>
  </w:style>
  <w:style w:type="character" w:customStyle="1" w:styleId="55">
    <w:name w:val="脚注文本 Char"/>
    <w:qFormat/>
    <w:uiPriority w:val="0"/>
    <w:rPr>
      <w:rFonts w:ascii="宋体"/>
      <w:sz w:val="18"/>
      <w:szCs w:val="18"/>
    </w:rPr>
  </w:style>
  <w:style w:type="character" w:customStyle="1" w:styleId="56">
    <w:name w:val="con"/>
    <w:qFormat/>
    <w:uiPriority w:val="0"/>
  </w:style>
  <w:style w:type="character" w:customStyle="1" w:styleId="57">
    <w:name w:val="bar-label2"/>
    <w:qFormat/>
    <w:uiPriority w:val="99"/>
  </w:style>
  <w:style w:type="character" w:customStyle="1" w:styleId="58">
    <w:name w:val="正文文本缩进 2 Char"/>
    <w:qFormat/>
    <w:uiPriority w:val="99"/>
    <w:rPr>
      <w:szCs w:val="24"/>
    </w:rPr>
  </w:style>
  <w:style w:type="character" w:customStyle="1" w:styleId="59">
    <w:name w:val="日期 Char"/>
    <w:qFormat/>
    <w:uiPriority w:val="99"/>
    <w:rPr>
      <w:szCs w:val="24"/>
    </w:rPr>
  </w:style>
  <w:style w:type="character" w:customStyle="1" w:styleId="60">
    <w:name w:val="页脚 Char"/>
    <w:qFormat/>
    <w:locked/>
    <w:uiPriority w:val="99"/>
    <w:rPr>
      <w:sz w:val="18"/>
      <w:szCs w:val="18"/>
    </w:rPr>
  </w:style>
  <w:style w:type="character" w:customStyle="1" w:styleId="61">
    <w:name w:val="apple-converted-space"/>
    <w:basedOn w:val="41"/>
    <w:qFormat/>
    <w:uiPriority w:val="0"/>
  </w:style>
  <w:style w:type="character" w:customStyle="1" w:styleId="62">
    <w:name w:val="批注框文本 Char"/>
    <w:qFormat/>
    <w:uiPriority w:val="99"/>
    <w:rPr>
      <w:sz w:val="18"/>
      <w:szCs w:val="18"/>
    </w:rPr>
  </w:style>
  <w:style w:type="character" w:customStyle="1" w:styleId="63">
    <w:name w:val="页眉 Char"/>
    <w:qFormat/>
    <w:locked/>
    <w:uiPriority w:val="99"/>
    <w:rPr>
      <w:sz w:val="18"/>
      <w:szCs w:val="18"/>
    </w:rPr>
  </w:style>
  <w:style w:type="character" w:customStyle="1" w:styleId="64">
    <w:name w:val="首示例 Char"/>
    <w:link w:val="65"/>
    <w:qFormat/>
    <w:uiPriority w:val="0"/>
    <w:rPr>
      <w:rFonts w:ascii="宋体" w:hAnsi="宋体"/>
      <w:sz w:val="18"/>
      <w:szCs w:val="18"/>
    </w:rPr>
  </w:style>
  <w:style w:type="paragraph" w:customStyle="1" w:styleId="65">
    <w:name w:val="首示例"/>
    <w:next w:val="66"/>
    <w:link w:val="64"/>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6">
    <w:name w:val="段"/>
    <w:link w:val="67"/>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7">
    <w:name w:val="段 Char"/>
    <w:link w:val="66"/>
    <w:qFormat/>
    <w:uiPriority w:val="0"/>
    <w:rPr>
      <w:rFonts w:ascii="宋体"/>
    </w:rPr>
  </w:style>
  <w:style w:type="character" w:customStyle="1" w:styleId="68">
    <w:name w:val="附录公式 Char"/>
    <w:basedOn w:val="67"/>
    <w:link w:val="69"/>
    <w:qFormat/>
    <w:uiPriority w:val="0"/>
    <w:rPr>
      <w:rFonts w:ascii="宋体"/>
    </w:rPr>
  </w:style>
  <w:style w:type="paragraph" w:customStyle="1" w:styleId="69">
    <w:name w:val="附录公式"/>
    <w:basedOn w:val="66"/>
    <w:next w:val="66"/>
    <w:link w:val="68"/>
    <w:qFormat/>
    <w:uiPriority w:val="0"/>
  </w:style>
  <w:style w:type="character" w:customStyle="1" w:styleId="70">
    <w:name w:val="发布"/>
    <w:qFormat/>
    <w:uiPriority w:val="0"/>
    <w:rPr>
      <w:rFonts w:ascii="黑体" w:eastAsia="黑体"/>
      <w:spacing w:val="85"/>
      <w:w w:val="100"/>
      <w:position w:val="3"/>
      <w:sz w:val="28"/>
      <w:szCs w:val="28"/>
    </w:rPr>
  </w:style>
  <w:style w:type="character" w:customStyle="1" w:styleId="71">
    <w:name w:val="一级条标题 Char"/>
    <w:link w:val="72"/>
    <w:qFormat/>
    <w:uiPriority w:val="0"/>
    <w:rPr>
      <w:rFonts w:ascii="黑体" w:eastAsia="黑体"/>
      <w:szCs w:val="21"/>
    </w:rPr>
  </w:style>
  <w:style w:type="paragraph" w:customStyle="1" w:styleId="72">
    <w:name w:val="一级条标题"/>
    <w:next w:val="66"/>
    <w:link w:val="71"/>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3">
    <w:name w:val="HTML 预设格式 Char"/>
    <w:qFormat/>
    <w:uiPriority w:val="0"/>
    <w:rPr>
      <w:rFonts w:ascii="Courier New" w:hAnsi="Courier New" w:cs="Courier New"/>
    </w:rPr>
  </w:style>
  <w:style w:type="character" w:customStyle="1" w:styleId="74">
    <w:name w:val="尾注文本 Char"/>
    <w:semiHidden/>
    <w:qFormat/>
    <w:uiPriority w:val="0"/>
    <w:rPr>
      <w:szCs w:val="24"/>
    </w:rPr>
  </w:style>
  <w:style w:type="paragraph" w:customStyle="1" w:styleId="75">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6">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7">
    <w:name w:val="List Paragraph"/>
    <w:basedOn w:val="1"/>
    <w:qFormat/>
    <w:uiPriority w:val="34"/>
    <w:pPr>
      <w:ind w:firstLine="420" w:firstLineChars="200"/>
    </w:pPr>
    <w:rPr>
      <w:rFonts w:ascii="宋体" w:hAnsi="宋体" w:cs="宋体"/>
      <w:kern w:val="0"/>
      <w:sz w:val="24"/>
    </w:rPr>
  </w:style>
  <w:style w:type="paragraph" w:customStyle="1" w:styleId="78">
    <w:name w:val="封面一致性程度标识2"/>
    <w:basedOn w:val="79"/>
    <w:qFormat/>
    <w:uiPriority w:val="0"/>
    <w:pPr>
      <w:framePr w:wrap="around" w:y="4469"/>
    </w:pPr>
  </w:style>
  <w:style w:type="paragraph" w:customStyle="1" w:styleId="79">
    <w:name w:val="封面一致性程度标识"/>
    <w:basedOn w:val="80"/>
    <w:qFormat/>
    <w:uiPriority w:val="0"/>
    <w:pPr>
      <w:framePr w:wrap="around"/>
      <w:spacing w:before="440"/>
    </w:pPr>
    <w:rPr>
      <w:rFonts w:ascii="宋体" w:eastAsia="宋体"/>
    </w:rPr>
  </w:style>
  <w:style w:type="paragraph" w:customStyle="1" w:styleId="80">
    <w:name w:val="封面标准英文名称"/>
    <w:basedOn w:val="81"/>
    <w:qFormat/>
    <w:uiPriority w:val="0"/>
    <w:pPr>
      <w:framePr w:wrap="around"/>
      <w:spacing w:before="370" w:line="400" w:lineRule="exact"/>
    </w:pPr>
    <w:rPr>
      <w:rFonts w:ascii="Times New Roman"/>
      <w:sz w:val="28"/>
      <w:szCs w:val="28"/>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2"/>
    <w:basedOn w:val="80"/>
    <w:qFormat/>
    <w:uiPriority w:val="0"/>
    <w:pPr>
      <w:framePr w:wrap="around" w:y="4469"/>
    </w:pPr>
  </w:style>
  <w:style w:type="paragraph" w:customStyle="1" w:styleId="83">
    <w:name w:val="其他发布日期"/>
    <w:basedOn w:val="84"/>
    <w:qFormat/>
    <w:uiPriority w:val="0"/>
    <w:pPr>
      <w:framePr w:wrap="around" w:vAnchor="page" w:hAnchor="text" w:x="1419"/>
    </w:pPr>
  </w:style>
  <w:style w:type="paragraph" w:customStyle="1" w:styleId="84">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5">
    <w:name w:val="正文公式编号制表符"/>
    <w:basedOn w:val="66"/>
    <w:next w:val="66"/>
    <w:qFormat/>
    <w:uiPriority w:val="0"/>
    <w:pPr>
      <w:ind w:firstLine="0" w:firstLineChars="0"/>
    </w:pPr>
  </w:style>
  <w:style w:type="paragraph" w:customStyle="1" w:styleId="86">
    <w:name w:val="正文表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7">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8">
    <w:name w:val="一级无"/>
    <w:basedOn w:val="72"/>
    <w:qFormat/>
    <w:uiPriority w:val="0"/>
  </w:style>
  <w:style w:type="paragraph" w:customStyle="1" w:styleId="89">
    <w:name w:val="图的脚注"/>
    <w:next w:val="66"/>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0">
    <w:name w:val="图标脚注说明"/>
    <w:basedOn w:val="66"/>
    <w:qFormat/>
    <w:uiPriority w:val="0"/>
    <w:pPr>
      <w:ind w:left="840" w:hanging="420" w:firstLineChars="0"/>
    </w:pPr>
    <w:rPr>
      <w:sz w:val="18"/>
      <w:szCs w:val="18"/>
    </w:rPr>
  </w:style>
  <w:style w:type="paragraph" w:customStyle="1" w:styleId="91">
    <w:name w:val="示例后文字"/>
    <w:basedOn w:val="66"/>
    <w:next w:val="66"/>
    <w:qFormat/>
    <w:uiPriority w:val="0"/>
    <w:pPr>
      <w:ind w:firstLine="360"/>
    </w:pPr>
    <w:rPr>
      <w:sz w:val="18"/>
    </w:rPr>
  </w:style>
  <w:style w:type="paragraph" w:customStyle="1" w:styleId="92">
    <w:name w:val="实施日期"/>
    <w:basedOn w:val="84"/>
    <w:qFormat/>
    <w:uiPriority w:val="0"/>
    <w:pPr>
      <w:framePr w:wrap="around" w:vAnchor="page" w:hAnchor="text"/>
      <w:jc w:val="right"/>
    </w:pPr>
  </w:style>
  <w:style w:type="paragraph" w:customStyle="1" w:styleId="93">
    <w:name w:val="前言、引言标题"/>
    <w:next w:val="66"/>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6">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7">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8">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9">
    <w:name w:val="条文脚注"/>
    <w:basedOn w:val="28"/>
    <w:qFormat/>
    <w:uiPriority w:val="0"/>
    <w:pPr>
      <w:ind w:left="0" w:firstLine="0"/>
      <w:jc w:val="both"/>
    </w:pPr>
  </w:style>
  <w:style w:type="paragraph" w:customStyle="1" w:styleId="100">
    <w:name w:val="附录一级无"/>
    <w:basedOn w:val="101"/>
    <w:qFormat/>
    <w:uiPriority w:val="0"/>
    <w:pPr>
      <w:tabs>
        <w:tab w:val="left" w:pos="360"/>
      </w:tabs>
      <w:spacing w:beforeLines="0" w:afterLines="0"/>
    </w:pPr>
    <w:rPr>
      <w:rFonts w:ascii="宋体" w:eastAsia="宋体"/>
      <w:szCs w:val="21"/>
    </w:rPr>
  </w:style>
  <w:style w:type="paragraph" w:customStyle="1" w:styleId="101">
    <w:name w:val="附录一级条标题"/>
    <w:basedOn w:val="102"/>
    <w:next w:val="66"/>
    <w:qFormat/>
    <w:uiPriority w:val="0"/>
    <w:pPr>
      <w:tabs>
        <w:tab w:val="left" w:pos="360"/>
      </w:tabs>
      <w:autoSpaceDN w:val="0"/>
      <w:spacing w:beforeLines="50" w:afterLines="50"/>
      <w:outlineLvl w:val="2"/>
    </w:pPr>
  </w:style>
  <w:style w:type="paragraph" w:customStyle="1" w:styleId="102">
    <w:name w:val="附录章标题"/>
    <w:next w:val="66"/>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五级无"/>
    <w:basedOn w:val="104"/>
    <w:qFormat/>
    <w:uiPriority w:val="0"/>
    <w:pPr>
      <w:tabs>
        <w:tab w:val="left" w:pos="360"/>
      </w:tabs>
      <w:spacing w:beforeLines="0" w:afterLines="0"/>
    </w:pPr>
    <w:rPr>
      <w:rFonts w:ascii="宋体" w:eastAsia="宋体"/>
      <w:szCs w:val="21"/>
    </w:rPr>
  </w:style>
  <w:style w:type="paragraph" w:customStyle="1" w:styleId="104">
    <w:name w:val="附录五级条标题"/>
    <w:basedOn w:val="105"/>
    <w:next w:val="66"/>
    <w:qFormat/>
    <w:uiPriority w:val="0"/>
    <w:pPr>
      <w:tabs>
        <w:tab w:val="left" w:pos="360"/>
      </w:tabs>
      <w:outlineLvl w:val="6"/>
    </w:pPr>
  </w:style>
  <w:style w:type="paragraph" w:customStyle="1" w:styleId="105">
    <w:name w:val="附录四级条标题"/>
    <w:basedOn w:val="106"/>
    <w:next w:val="66"/>
    <w:qFormat/>
    <w:uiPriority w:val="0"/>
    <w:pPr>
      <w:tabs>
        <w:tab w:val="left" w:pos="360"/>
      </w:tabs>
    </w:pPr>
  </w:style>
  <w:style w:type="paragraph" w:customStyle="1" w:styleId="106">
    <w:name w:val="附录三级条标题"/>
    <w:basedOn w:val="107"/>
    <w:next w:val="66"/>
    <w:qFormat/>
    <w:uiPriority w:val="0"/>
    <w:pPr>
      <w:tabs>
        <w:tab w:val="left" w:pos="360"/>
      </w:tabs>
    </w:pPr>
  </w:style>
  <w:style w:type="paragraph" w:customStyle="1" w:styleId="107">
    <w:name w:val="附录二级条标题"/>
    <w:basedOn w:val="1"/>
    <w:next w:val="66"/>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8">
    <w:name w:val="附录图标题"/>
    <w:basedOn w:val="1"/>
    <w:next w:val="66"/>
    <w:qFormat/>
    <w:uiPriority w:val="0"/>
    <w:pPr>
      <w:tabs>
        <w:tab w:val="left" w:pos="363"/>
      </w:tabs>
      <w:spacing w:beforeLines="50" w:afterLines="50"/>
      <w:jc w:val="center"/>
    </w:pPr>
    <w:rPr>
      <w:rFonts w:ascii="黑体" w:eastAsia="黑体"/>
      <w:szCs w:val="21"/>
    </w:rPr>
  </w:style>
  <w:style w:type="paragraph" w:customStyle="1" w:styleId="109">
    <w:name w:val="附录图标号"/>
    <w:basedOn w:val="1"/>
    <w:qFormat/>
    <w:uiPriority w:val="0"/>
    <w:pPr>
      <w:keepNext/>
      <w:pageBreakBefore/>
      <w:spacing w:line="14" w:lineRule="exact"/>
      <w:ind w:firstLine="363"/>
      <w:jc w:val="center"/>
      <w:outlineLvl w:val="0"/>
    </w:pPr>
    <w:rPr>
      <w:color w:val="FFFFFF"/>
    </w:rPr>
  </w:style>
  <w:style w:type="paragraph" w:customStyle="1" w:styleId="110">
    <w:name w:val="附录四级无"/>
    <w:basedOn w:val="105"/>
    <w:qFormat/>
    <w:uiPriority w:val="0"/>
    <w:pPr>
      <w:tabs>
        <w:tab w:val="clear" w:pos="360"/>
      </w:tabs>
      <w:spacing w:beforeLines="0" w:afterLines="0"/>
      <w:outlineLvl w:val="5"/>
    </w:pPr>
    <w:rPr>
      <w:rFonts w:ascii="宋体" w:eastAsia="宋体"/>
      <w:szCs w:val="21"/>
    </w:rPr>
  </w:style>
  <w:style w:type="paragraph" w:customStyle="1" w:styleId="111">
    <w:name w:val="附录三级无"/>
    <w:basedOn w:val="106"/>
    <w:qFormat/>
    <w:uiPriority w:val="0"/>
  </w:style>
  <w:style w:type="paragraph" w:customStyle="1" w:styleId="112">
    <w:name w:val="注："/>
    <w:next w:val="66"/>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3">
    <w:name w:val="附录公式编号制表符"/>
    <w:basedOn w:val="1"/>
    <w:next w:val="66"/>
    <w:qFormat/>
    <w:uiPriority w:val="0"/>
    <w:pPr>
      <w:tabs>
        <w:tab w:val="center" w:pos="4201"/>
        <w:tab w:val="right" w:leader="dot" w:pos="9298"/>
      </w:tabs>
      <w:autoSpaceDE w:val="0"/>
      <w:autoSpaceDN w:val="0"/>
    </w:pPr>
    <w:rPr>
      <w:rFonts w:ascii="宋体"/>
      <w:kern w:val="0"/>
      <w:szCs w:val="20"/>
    </w:rPr>
  </w:style>
  <w:style w:type="paragraph" w:customStyle="1" w:styleId="114">
    <w:name w:val="附录二级无"/>
    <w:basedOn w:val="107"/>
    <w:qFormat/>
    <w:uiPriority w:val="0"/>
  </w:style>
  <w:style w:type="paragraph" w:customStyle="1" w:styleId="115">
    <w:name w:val="附录标题"/>
    <w:basedOn w:val="66"/>
    <w:next w:val="66"/>
    <w:qFormat/>
    <w:uiPriority w:val="0"/>
    <w:pPr>
      <w:ind w:firstLine="0" w:firstLineChars="0"/>
      <w:jc w:val="center"/>
    </w:pPr>
    <w:rPr>
      <w:rFonts w:ascii="黑体" w:eastAsia="黑体"/>
    </w:rPr>
  </w:style>
  <w:style w:type="paragraph" w:customStyle="1" w:styleId="116">
    <w:name w:val="参考文献"/>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7">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8">
    <w:name w:val="封面标准文稿类别"/>
    <w:basedOn w:val="79"/>
    <w:qFormat/>
    <w:uiPriority w:val="0"/>
    <w:pPr>
      <w:framePr w:wrap="around"/>
      <w:spacing w:after="160" w:line="240" w:lineRule="auto"/>
    </w:pPr>
    <w:rPr>
      <w:sz w:val="24"/>
    </w:rPr>
  </w:style>
  <w:style w:type="paragraph" w:customStyle="1" w:styleId="119">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0">
    <w:name w:val="其他实施日期"/>
    <w:basedOn w:val="92"/>
    <w:qFormat/>
    <w:uiPriority w:val="0"/>
    <w:pPr>
      <w:framePr w:wrap="around" w:vAnchor="margin" w:hAnchor="page"/>
    </w:pPr>
  </w:style>
  <w:style w:type="paragraph" w:customStyle="1" w:styleId="12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2">
    <w:name w:val="发布部门"/>
    <w:next w:val="66"/>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3">
    <w:name w:val="注：（正文）"/>
    <w:basedOn w:val="112"/>
    <w:next w:val="66"/>
    <w:qFormat/>
    <w:uiPriority w:val="0"/>
  </w:style>
  <w:style w:type="paragraph" w:customStyle="1" w:styleId="124">
    <w:name w:val="参考文献、索引标题"/>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7">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8">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9">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0">
    <w:name w:val="示例×："/>
    <w:basedOn w:val="131"/>
    <w:qFormat/>
    <w:uiPriority w:val="0"/>
    <w:pPr>
      <w:spacing w:beforeLines="0" w:afterLines="0"/>
      <w:ind w:firstLine="363"/>
      <w:outlineLvl w:val="9"/>
    </w:pPr>
    <w:rPr>
      <w:rFonts w:ascii="宋体" w:eastAsia="宋体"/>
      <w:sz w:val="18"/>
      <w:szCs w:val="18"/>
    </w:rPr>
  </w:style>
  <w:style w:type="paragraph" w:customStyle="1" w:styleId="131">
    <w:name w:val="章标题"/>
    <w:next w:val="66"/>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2">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3">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4">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5">
    <w:name w:val="五级无"/>
    <w:basedOn w:val="136"/>
    <w:qFormat/>
    <w:uiPriority w:val="0"/>
    <w:pPr>
      <w:spacing w:beforeLines="0" w:afterLines="0"/>
      <w:outlineLvl w:val="6"/>
    </w:pPr>
    <w:rPr>
      <w:rFonts w:ascii="宋体" w:eastAsia="宋体"/>
    </w:rPr>
  </w:style>
  <w:style w:type="paragraph" w:customStyle="1" w:styleId="136">
    <w:name w:val="五级条标题"/>
    <w:basedOn w:val="137"/>
    <w:next w:val="66"/>
    <w:qFormat/>
    <w:uiPriority w:val="0"/>
  </w:style>
  <w:style w:type="paragraph" w:customStyle="1" w:styleId="137">
    <w:name w:val="四级条标题"/>
    <w:basedOn w:val="138"/>
    <w:next w:val="66"/>
    <w:qFormat/>
    <w:uiPriority w:val="0"/>
  </w:style>
  <w:style w:type="paragraph" w:customStyle="1" w:styleId="138">
    <w:name w:val="三级条标题"/>
    <w:basedOn w:val="139"/>
    <w:next w:val="66"/>
    <w:qFormat/>
    <w:uiPriority w:val="0"/>
  </w:style>
  <w:style w:type="paragraph" w:customStyle="1" w:styleId="139">
    <w:name w:val="二级条标题"/>
    <w:basedOn w:val="72"/>
    <w:next w:val="66"/>
    <w:qFormat/>
    <w:uiPriority w:val="0"/>
  </w:style>
  <w:style w:type="paragraph" w:customStyle="1" w:styleId="140">
    <w:name w:val="四级无"/>
    <w:basedOn w:val="137"/>
    <w:qFormat/>
    <w:uiPriority w:val="0"/>
  </w:style>
  <w:style w:type="paragraph" w:customStyle="1" w:styleId="141">
    <w:name w:val="三级无"/>
    <w:basedOn w:val="138"/>
    <w:qFormat/>
    <w:uiPriority w:val="0"/>
  </w:style>
  <w:style w:type="paragraph" w:customStyle="1" w:styleId="142">
    <w:name w:val="其他标准标志"/>
    <w:basedOn w:val="126"/>
    <w:qFormat/>
    <w:uiPriority w:val="0"/>
    <w:pPr>
      <w:framePr w:w="6101" w:wrap="around" w:vAnchor="page" w:hAnchor="page" w:x="4673" w:y="942"/>
    </w:pPr>
    <w:rPr>
      <w:w w:val="130"/>
    </w:rPr>
  </w:style>
  <w:style w:type="paragraph" w:customStyle="1" w:styleId="143">
    <w:name w:val="目次、标准名称标题"/>
    <w:basedOn w:val="1"/>
    <w:next w:val="66"/>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6">
    <w:name w:val="批注框文本 字符"/>
    <w:basedOn w:val="41"/>
    <w:link w:val="22"/>
    <w:semiHidden/>
    <w:qFormat/>
    <w:uiPriority w:val="99"/>
    <w:rPr>
      <w:rFonts w:ascii="Times New Roman" w:hAnsi="Times New Roman" w:eastAsia="宋体" w:cs="Times New Roman"/>
      <w:sz w:val="18"/>
      <w:szCs w:val="18"/>
    </w:rPr>
  </w:style>
  <w:style w:type="paragraph" w:customStyle="1" w:styleId="147">
    <w:name w:val="列项◆（三级）"/>
    <w:basedOn w:val="1"/>
    <w:qFormat/>
    <w:uiPriority w:val="99"/>
    <w:pPr>
      <w:tabs>
        <w:tab w:val="left" w:pos="969"/>
      </w:tabs>
      <w:ind w:left="969" w:hanging="414"/>
    </w:pPr>
    <w:rPr>
      <w:rFonts w:ascii="宋体"/>
      <w:szCs w:val="21"/>
    </w:rPr>
  </w:style>
  <w:style w:type="paragraph" w:customStyle="1" w:styleId="148">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9">
    <w:name w:val="页眉 字符"/>
    <w:basedOn w:val="41"/>
    <w:link w:val="24"/>
    <w:semiHidden/>
    <w:qFormat/>
    <w:uiPriority w:val="99"/>
    <w:rPr>
      <w:rFonts w:ascii="Times New Roman" w:hAnsi="Times New Roman" w:eastAsia="宋体" w:cs="Times New Roman"/>
      <w:sz w:val="18"/>
      <w:szCs w:val="18"/>
    </w:rPr>
  </w:style>
  <w:style w:type="paragraph" w:customStyle="1" w:styleId="150">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1">
    <w:name w:val="其他发布部门"/>
    <w:basedOn w:val="122"/>
    <w:qFormat/>
    <w:uiPriority w:val="0"/>
    <w:pPr>
      <w:framePr w:wrap="around" w:y="15310"/>
      <w:spacing w:line="0" w:lineRule="atLeast"/>
    </w:pPr>
    <w:rPr>
      <w:rFonts w:ascii="黑体" w:eastAsia="黑体"/>
      <w:b w:val="0"/>
    </w:rPr>
  </w:style>
  <w:style w:type="paragraph" w:customStyle="1" w:styleId="152">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3">
    <w:name w:val="正文图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4">
    <w:name w:val="HTML 预设格式 字符"/>
    <w:basedOn w:val="41"/>
    <w:link w:val="33"/>
    <w:semiHidden/>
    <w:qFormat/>
    <w:uiPriority w:val="99"/>
    <w:rPr>
      <w:rFonts w:ascii="Courier New" w:hAnsi="Courier New" w:eastAsia="宋体" w:cs="Courier New"/>
      <w:sz w:val="20"/>
      <w:szCs w:val="20"/>
    </w:rPr>
  </w:style>
  <w:style w:type="paragraph" w:customStyle="1" w:styleId="155">
    <w:name w:val="附录标识"/>
    <w:basedOn w:val="1"/>
    <w:next w:val="66"/>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6">
    <w:name w:val="脚注文本 字符"/>
    <w:basedOn w:val="41"/>
    <w:link w:val="28"/>
    <w:semiHidden/>
    <w:qFormat/>
    <w:uiPriority w:val="99"/>
    <w:rPr>
      <w:rFonts w:ascii="Times New Roman" w:hAnsi="Times New Roman" w:eastAsia="宋体" w:cs="Times New Roman"/>
      <w:sz w:val="18"/>
      <w:szCs w:val="18"/>
    </w:rPr>
  </w:style>
  <w:style w:type="paragraph" w:customStyle="1" w:styleId="157">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8">
    <w:name w:val="二级无"/>
    <w:basedOn w:val="139"/>
    <w:qFormat/>
    <w:uiPriority w:val="0"/>
  </w:style>
  <w:style w:type="paragraph" w:customStyle="1" w:styleId="159">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0">
    <w:name w:val="正文文本缩进 2 字符"/>
    <w:basedOn w:val="41"/>
    <w:link w:val="20"/>
    <w:semiHidden/>
    <w:qFormat/>
    <w:uiPriority w:val="99"/>
    <w:rPr>
      <w:rFonts w:ascii="Times New Roman" w:hAnsi="Times New Roman" w:eastAsia="宋体" w:cs="Times New Roman"/>
      <w:szCs w:val="24"/>
    </w:rPr>
  </w:style>
  <w:style w:type="paragraph" w:customStyle="1" w:styleId="161">
    <w:name w:val="封面标准文稿编辑信息2"/>
    <w:basedOn w:val="162"/>
    <w:qFormat/>
    <w:uiPriority w:val="0"/>
    <w:pPr>
      <w:framePr w:wrap="around" w:y="4469"/>
    </w:pPr>
  </w:style>
  <w:style w:type="paragraph" w:customStyle="1" w:styleId="162">
    <w:name w:val="封面标准文稿编辑信息"/>
    <w:basedOn w:val="118"/>
    <w:qFormat/>
    <w:uiPriority w:val="0"/>
    <w:pPr>
      <w:framePr w:wrap="around"/>
      <w:spacing w:before="180" w:line="180" w:lineRule="exact"/>
    </w:pPr>
    <w:rPr>
      <w:sz w:val="21"/>
    </w:rPr>
  </w:style>
  <w:style w:type="paragraph" w:customStyle="1" w:styleId="163">
    <w:name w:val="附录表标题"/>
    <w:basedOn w:val="1"/>
    <w:next w:val="66"/>
    <w:qFormat/>
    <w:uiPriority w:val="0"/>
    <w:pPr>
      <w:tabs>
        <w:tab w:val="left" w:pos="180"/>
      </w:tabs>
      <w:spacing w:beforeLines="50" w:afterLines="50"/>
      <w:jc w:val="center"/>
    </w:pPr>
    <w:rPr>
      <w:rFonts w:ascii="黑体" w:eastAsia="黑体"/>
      <w:szCs w:val="21"/>
    </w:rPr>
  </w:style>
  <w:style w:type="paragraph" w:customStyle="1" w:styleId="164">
    <w:name w:val="标准书眉_偶数页"/>
    <w:basedOn w:val="148"/>
    <w:next w:val="1"/>
    <w:qFormat/>
    <w:uiPriority w:val="0"/>
    <w:pPr>
      <w:jc w:val="left"/>
    </w:pPr>
  </w:style>
  <w:style w:type="paragraph" w:customStyle="1" w:styleId="165">
    <w:name w:val="附录表标号"/>
    <w:basedOn w:val="1"/>
    <w:next w:val="66"/>
    <w:qFormat/>
    <w:uiPriority w:val="0"/>
    <w:pPr>
      <w:spacing w:line="14" w:lineRule="exact"/>
      <w:ind w:left="811" w:hanging="448"/>
      <w:jc w:val="center"/>
      <w:outlineLvl w:val="0"/>
    </w:pPr>
    <w:rPr>
      <w:color w:val="FFFFFF"/>
    </w:rPr>
  </w:style>
  <w:style w:type="paragraph" w:customStyle="1" w:styleId="166">
    <w:name w:val="图表脚注说明"/>
    <w:basedOn w:val="1"/>
    <w:qFormat/>
    <w:uiPriority w:val="0"/>
    <w:pPr>
      <w:ind w:left="544" w:hanging="181"/>
    </w:pPr>
    <w:rPr>
      <w:rFonts w:ascii="宋体"/>
      <w:sz w:val="18"/>
      <w:szCs w:val="18"/>
    </w:rPr>
  </w:style>
  <w:style w:type="character" w:customStyle="1" w:styleId="167">
    <w:name w:val="页脚 字符"/>
    <w:basedOn w:val="41"/>
    <w:link w:val="23"/>
    <w:semiHidden/>
    <w:qFormat/>
    <w:uiPriority w:val="99"/>
    <w:rPr>
      <w:rFonts w:ascii="Times New Roman" w:hAnsi="Times New Roman" w:eastAsia="宋体" w:cs="Times New Roman"/>
      <w:sz w:val="18"/>
      <w:szCs w:val="18"/>
    </w:rPr>
  </w:style>
  <w:style w:type="character" w:customStyle="1" w:styleId="168">
    <w:name w:val="批注文字 字符"/>
    <w:basedOn w:val="41"/>
    <w:link w:val="11"/>
    <w:semiHidden/>
    <w:qFormat/>
    <w:uiPriority w:val="99"/>
    <w:rPr>
      <w:rFonts w:ascii="Times New Roman" w:hAnsi="Times New Roman" w:eastAsia="宋体" w:cs="Times New Roman"/>
      <w:szCs w:val="24"/>
    </w:rPr>
  </w:style>
  <w:style w:type="paragraph" w:customStyle="1" w:styleId="169">
    <w:name w:val="封面标准名称2"/>
    <w:basedOn w:val="81"/>
    <w:qFormat/>
    <w:uiPriority w:val="0"/>
    <w:pPr>
      <w:framePr w:wrap="around" w:y="4469"/>
      <w:spacing w:beforeLines="630"/>
    </w:pPr>
  </w:style>
  <w:style w:type="character" w:customStyle="1" w:styleId="170">
    <w:name w:val="日期 字符"/>
    <w:basedOn w:val="41"/>
    <w:link w:val="19"/>
    <w:semiHidden/>
    <w:qFormat/>
    <w:uiPriority w:val="99"/>
    <w:rPr>
      <w:rFonts w:ascii="Times New Roman" w:hAnsi="Times New Roman" w:eastAsia="宋体" w:cs="Times New Roman"/>
      <w:szCs w:val="24"/>
    </w:rPr>
  </w:style>
  <w:style w:type="character" w:customStyle="1" w:styleId="171">
    <w:name w:val="文档结构图 字符"/>
    <w:basedOn w:val="41"/>
    <w:link w:val="10"/>
    <w:semiHidden/>
    <w:qFormat/>
    <w:uiPriority w:val="99"/>
    <w:rPr>
      <w:rFonts w:ascii="宋体" w:hAnsi="Times New Roman" w:eastAsia="宋体" w:cs="Times New Roman"/>
      <w:sz w:val="18"/>
      <w:szCs w:val="18"/>
    </w:rPr>
  </w:style>
  <w:style w:type="paragraph" w:customStyle="1" w:styleId="172">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3">
    <w:name w:val="封面标准文稿类别2"/>
    <w:basedOn w:val="118"/>
    <w:qFormat/>
    <w:uiPriority w:val="0"/>
    <w:pPr>
      <w:framePr w:wrap="around" w:y="4469"/>
    </w:pPr>
  </w:style>
  <w:style w:type="paragraph" w:customStyle="1" w:styleId="174">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5">
    <w:name w:val="终结线"/>
    <w:basedOn w:val="1"/>
    <w:qFormat/>
    <w:uiPriority w:val="0"/>
    <w:pPr>
      <w:framePr w:hSpace="181" w:vSpace="181" w:wrap="around" w:vAnchor="text" w:hAnchor="margin" w:xAlign="center" w:y="285"/>
    </w:pPr>
  </w:style>
  <w:style w:type="character" w:customStyle="1" w:styleId="176">
    <w:name w:val="批注主题 字符"/>
    <w:basedOn w:val="168"/>
    <w:link w:val="37"/>
    <w:semiHidden/>
    <w:qFormat/>
    <w:uiPriority w:val="99"/>
    <w:rPr>
      <w:rFonts w:ascii="Times New Roman" w:hAnsi="Times New Roman" w:eastAsia="宋体" w:cs="Times New Roman"/>
      <w:b/>
      <w:bCs/>
      <w:szCs w:val="24"/>
    </w:rPr>
  </w:style>
  <w:style w:type="character" w:customStyle="1" w:styleId="177">
    <w:name w:val="尾注文本 字符"/>
    <w:basedOn w:val="41"/>
    <w:link w:val="21"/>
    <w:semiHidden/>
    <w:qFormat/>
    <w:uiPriority w:val="99"/>
    <w:rPr>
      <w:rFonts w:ascii="Times New Roman" w:hAnsi="Times New Roman" w:eastAsia="宋体" w:cs="Times New Roman"/>
      <w:szCs w:val="24"/>
    </w:rPr>
  </w:style>
  <w:style w:type="paragraph" w:customStyle="1" w:styleId="178">
    <w:name w:val="示例"/>
    <w:next w:val="129"/>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9">
    <w:name w:val="正文文本 3 字符"/>
    <w:basedOn w:val="41"/>
    <w:link w:val="13"/>
    <w:semiHidden/>
    <w:qFormat/>
    <w:uiPriority w:val="99"/>
    <w:rPr>
      <w:rFonts w:ascii="Times New Roman" w:hAnsi="Times New Roman" w:eastAsia="宋体" w:cs="Times New Roman"/>
      <w:sz w:val="16"/>
      <w:szCs w:val="16"/>
    </w:rPr>
  </w:style>
  <w:style w:type="character" w:customStyle="1" w:styleId="180">
    <w:name w:val="标题 字符"/>
    <w:basedOn w:val="41"/>
    <w:link w:val="36"/>
    <w:qFormat/>
    <w:uiPriority w:val="0"/>
    <w:rPr>
      <w:rFonts w:ascii="Arial" w:hAnsi="Arial" w:eastAsia="宋体" w:cs="Times New Roman"/>
      <w:b/>
      <w:kern w:val="0"/>
      <w:sz w:val="32"/>
      <w:szCs w:val="20"/>
    </w:rPr>
  </w:style>
  <w:style w:type="paragraph" w:customStyle="1" w:styleId="181">
    <w:name w:val="p0"/>
    <w:basedOn w:val="1"/>
    <w:qFormat/>
    <w:uiPriority w:val="0"/>
    <w:pPr>
      <w:spacing w:line="240" w:lineRule="auto"/>
      <w:jc w:val="both"/>
    </w:pPr>
    <w:rPr>
      <w:kern w:val="0"/>
      <w:szCs w:val="21"/>
    </w:rPr>
  </w:style>
  <w:style w:type="character" w:customStyle="1" w:styleId="182">
    <w:name w:val="纯文本 字符"/>
    <w:basedOn w:val="41"/>
    <w:link w:val="17"/>
    <w:qFormat/>
    <w:uiPriority w:val="99"/>
    <w:rPr>
      <w:rFonts w:ascii="宋体" w:hAnsi="Courier New" w:eastAsia="宋体" w:cs="Courier New"/>
      <w:szCs w:val="21"/>
    </w:rPr>
  </w:style>
  <w:style w:type="paragraph" w:customStyle="1" w:styleId="18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4">
    <w:name w:val="正文文本 字符"/>
    <w:basedOn w:val="41"/>
    <w:link w:val="14"/>
    <w:semiHidden/>
    <w:qFormat/>
    <w:uiPriority w:val="99"/>
    <w:rPr>
      <w:kern w:val="2"/>
      <w:sz w:val="21"/>
      <w:szCs w:val="24"/>
    </w:rPr>
  </w:style>
  <w:style w:type="paragraph" w:customStyle="1" w:styleId="185">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6">
    <w:name w:val="标题 4 字符"/>
    <w:basedOn w:val="41"/>
    <w:link w:val="6"/>
    <w:semiHidden/>
    <w:qFormat/>
    <w:uiPriority w:val="9"/>
    <w:rPr>
      <w:rFonts w:asciiTheme="majorHAnsi" w:hAnsiTheme="majorHAnsi" w:eastAsiaTheme="majorEastAsia" w:cstheme="majorBidi"/>
      <w:b/>
      <w:bCs/>
      <w:kern w:val="2"/>
      <w:sz w:val="28"/>
      <w:szCs w:val="28"/>
    </w:rPr>
  </w:style>
  <w:style w:type="paragraph" w:customStyle="1" w:styleId="187">
    <w:name w:val="_Style 2"/>
    <w:basedOn w:val="4"/>
    <w:next w:val="1"/>
    <w:qFormat/>
    <w:uiPriority w:val="0"/>
    <w:pPr>
      <w:spacing w:before="480" w:after="0" w:line="276" w:lineRule="auto"/>
      <w:outlineLvl w:val="9"/>
    </w:pPr>
    <w:rPr>
      <w:rFonts w:ascii="Cambria" w:hAnsi="Cambria"/>
      <w:color w:val="365F91"/>
      <w:kern w:val="0"/>
      <w:sz w:val="28"/>
      <w:szCs w:val="28"/>
    </w:rPr>
  </w:style>
  <w:style w:type="paragraph" w:customStyle="1" w:styleId="18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89">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90">
    <w:name w:val="WPSOffice手动目录 1"/>
    <w:qFormat/>
    <w:uiPriority w:val="0"/>
    <w:pPr>
      <w:ind w:leftChars="0"/>
    </w:pPr>
    <w:rPr>
      <w:rFonts w:ascii="Times New Roman" w:hAnsi="Times New Roman" w:eastAsia="宋体" w:cs="Times New Roman"/>
      <w:sz w:val="20"/>
      <w:szCs w:val="20"/>
    </w:rPr>
  </w:style>
  <w:style w:type="character" w:customStyle="1" w:styleId="191">
    <w:name w:val="font01"/>
    <w:basedOn w:val="41"/>
    <w:qFormat/>
    <w:uiPriority w:val="0"/>
    <w:rPr>
      <w:rFonts w:hint="eastAsia" w:ascii="仿宋" w:hAnsi="仿宋" w:eastAsia="仿宋" w:cs="仿宋"/>
      <w:color w:val="000000"/>
      <w:sz w:val="22"/>
      <w:szCs w:val="22"/>
      <w:u w:val="none"/>
    </w:rPr>
  </w:style>
  <w:style w:type="character" w:customStyle="1" w:styleId="192">
    <w:name w:val="font51"/>
    <w:basedOn w:val="41"/>
    <w:qFormat/>
    <w:uiPriority w:val="0"/>
    <w:rPr>
      <w:rFonts w:ascii="Calibri" w:hAnsi="Calibri" w:cs="Calibri"/>
      <w:color w:val="000000"/>
      <w:sz w:val="22"/>
      <w:szCs w:val="22"/>
      <w:u w:val="none"/>
    </w:rPr>
  </w:style>
  <w:style w:type="character" w:customStyle="1" w:styleId="193">
    <w:name w:val="font11"/>
    <w:basedOn w:val="41"/>
    <w:qFormat/>
    <w:uiPriority w:val="0"/>
    <w:rPr>
      <w:rFonts w:hint="eastAsia" w:ascii="宋体" w:hAnsi="宋体" w:eastAsia="宋体" w:cs="宋体"/>
      <w:color w:val="000000"/>
      <w:sz w:val="22"/>
      <w:szCs w:val="22"/>
      <w:u w:val="none"/>
    </w:rPr>
  </w:style>
  <w:style w:type="paragraph" w:customStyle="1" w:styleId="194">
    <w:name w:val="CM99"/>
    <w:basedOn w:val="15"/>
    <w:next w:val="15"/>
    <w:qFormat/>
    <w:uiPriority w:val="0"/>
    <w:pPr>
      <w:spacing w:after="443"/>
    </w:pPr>
    <w:rPr>
      <w:color w:val="auto"/>
    </w:rPr>
  </w:style>
  <w:style w:type="character" w:customStyle="1" w:styleId="195">
    <w:name w:val="font31"/>
    <w:basedOn w:val="41"/>
    <w:qFormat/>
    <w:uiPriority w:val="0"/>
    <w:rPr>
      <w:rFonts w:hint="eastAsia" w:ascii="宋体" w:hAnsi="宋体" w:eastAsia="宋体" w:cs="宋体"/>
      <w:color w:val="000000"/>
      <w:sz w:val="22"/>
      <w:szCs w:val="22"/>
      <w:u w:val="none"/>
      <w:vertAlign w:val="superscript"/>
    </w:rPr>
  </w:style>
  <w:style w:type="character" w:customStyle="1" w:styleId="196">
    <w:name w:val="font61"/>
    <w:basedOn w:val="41"/>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187C3-D9E4-461E-9E92-AC9AE3040D2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22265</Words>
  <Characters>24086</Characters>
  <Lines>169</Lines>
  <Paragraphs>47</Paragraphs>
  <TotalTime>14</TotalTime>
  <ScaleCrop>false</ScaleCrop>
  <LinksUpToDate>false</LinksUpToDate>
  <CharactersWithSpaces>25588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2022-03-03T07:27:00Z</dcterms:created>
  <dc:creator>杨玲</dc:creator>
  <cp:lastModifiedBy>蔡艳</cp:lastModifiedBy>
  <cp:lastPrinted>2021-10-08T08:35:00Z</cp:lastPrinted>
  <dcterms:modified xsi:type="dcterms:W3CDTF">2023-10-11T08:52:31Z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3A835DBEF7184A9DAC4092A6F5AF97FB_13</vt:lpwstr>
  </property>
</Properties>
</file>