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sz w:val="36"/>
          <w:szCs w:val="36"/>
        </w:rPr>
      </w:pPr>
    </w:p>
    <w:p>
      <w:pPr>
        <w:snapToGrid w:val="0"/>
        <w:spacing w:line="900" w:lineRule="exact"/>
        <w:ind w:firstLine="0" w:firstLineChars="0"/>
        <w:jc w:val="center"/>
        <w:rPr>
          <w:rFonts w:ascii="黑体" w:hAnsi="黑体" w:eastAsia="黑体" w:cs="Times New Roman"/>
          <w:sz w:val="36"/>
          <w:szCs w:val="36"/>
        </w:rPr>
      </w:pPr>
      <w:r>
        <w:rPr>
          <w:rFonts w:hint="eastAsia" w:ascii="黑体" w:hAnsi="黑体" w:eastAsia="黑体"/>
          <w:sz w:val="36"/>
          <w:szCs w:val="36"/>
        </w:rPr>
        <w:t>岳阳港城陵矶港区松阳湖三期工程安全监管系统影响专题论证报告评价编制服务</w:t>
      </w:r>
    </w:p>
    <w:p>
      <w:pPr>
        <w:snapToGrid w:val="0"/>
        <w:spacing w:line="900" w:lineRule="exact"/>
        <w:jc w:val="center"/>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件</w:t>
      </w:r>
      <w:permStart w:id="0" w:edGrp="everyone"/>
    </w:p>
    <w:p>
      <w:pPr>
        <w:spacing w:line="480" w:lineRule="auto"/>
        <w:jc w:val="center"/>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 xml:space="preserve">湖南省港务集团有限公司 </w:t>
      </w:r>
    </w:p>
    <w:p>
      <w:pPr>
        <w:tabs>
          <w:tab w:val="left" w:pos="0"/>
          <w:tab w:val="left" w:pos="4185"/>
        </w:tabs>
        <w:spacing w:line="288" w:lineRule="auto"/>
        <w:ind w:right="-6"/>
        <w:jc w:val="center"/>
        <w:rPr>
          <w:rFonts w:eastAsia="楷体_GB2312"/>
          <w:b/>
          <w:sz w:val="28"/>
          <w:szCs w:val="28"/>
        </w:rPr>
      </w:pPr>
      <w:r>
        <w:rPr>
          <w:rFonts w:hint="eastAsia" w:ascii="黑体" w:hAnsi="黑体" w:eastAsia="黑体"/>
          <w:bCs/>
          <w:sz w:val="48"/>
          <w:szCs w:val="48"/>
        </w:rPr>
        <w:t>二О二三年九月</w:t>
      </w:r>
      <w:permEnd w:id="0"/>
    </w:p>
    <w:p>
      <w:pPr>
        <w:pStyle w:val="191"/>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50"/>
          <w:rFonts w:hint="eastAsia" w:ascii="微软雅黑" w:hAnsi="微软雅黑" w:eastAsia="微软雅黑"/>
          <w:sz w:val="24"/>
          <w:szCs w:val="24"/>
        </w:rPr>
        <w:t>第一章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"_Toc77254106" </w:instrText>
      </w:r>
      <w:r>
        <w:fldChar w:fldCharType="separate"/>
      </w:r>
      <w:r>
        <w:rPr>
          <w:rStyle w:val="50"/>
          <w:rFonts w:hint="eastAsia" w:ascii="微软雅黑" w:hAnsi="微软雅黑" w:eastAsia="微软雅黑"/>
          <w:sz w:val="24"/>
          <w:szCs w:val="24"/>
        </w:rPr>
        <w:t>第二章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9"/>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50"/>
          <w:rFonts w:hint="eastAsia" w:ascii="微软雅黑" w:hAnsi="微软雅黑" w:eastAsia="微软雅黑"/>
          <w:sz w:val="24"/>
          <w:szCs w:val="24"/>
        </w:rPr>
        <w:t>第三章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评标办</w:t>
      </w:r>
      <w:bookmarkStart w:id="0" w:name="_Hlt79481238"/>
      <w:bookmarkStart w:id="1" w:name="_Hlt79481237"/>
      <w:r>
        <w:rPr>
          <w:rStyle w:val="50"/>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"_Toc77254138" </w:instrText>
      </w:r>
      <w:r>
        <w:fldChar w:fldCharType="separate"/>
      </w:r>
      <w:r>
        <w:rPr>
          <w:rStyle w:val="50"/>
          <w:rFonts w:hint="eastAsia" w:ascii="微软雅黑" w:hAnsi="微软雅黑" w:eastAsia="微软雅黑"/>
          <w:sz w:val="24"/>
          <w:szCs w:val="24"/>
        </w:rPr>
        <w:t>第四章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"_Toc77254286" </w:instrText>
      </w:r>
      <w:r>
        <w:fldChar w:fldCharType="separate"/>
      </w:r>
      <w:r>
        <w:rPr>
          <w:rStyle w:val="50"/>
          <w:rFonts w:hint="eastAsia" w:ascii="微软雅黑" w:hAnsi="微软雅黑" w:eastAsia="微软雅黑"/>
          <w:sz w:val="24"/>
          <w:szCs w:val="24"/>
        </w:rPr>
        <w:t>第五章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9"/>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"_Toc77254297" </w:instrText>
      </w:r>
      <w:r>
        <w:fldChar w:fldCharType="separate"/>
      </w:r>
      <w:r>
        <w:rPr>
          <w:rStyle w:val="50"/>
          <w:rFonts w:hint="eastAsia" w:ascii="微软雅黑" w:hAnsi="微软雅黑" w:eastAsia="微软雅黑"/>
          <w:sz w:val="24"/>
          <w:szCs w:val="24"/>
        </w:rPr>
        <w:t>第六章</w:t>
      </w:r>
      <w:r>
        <w:rPr>
          <w:rStyle w:val="50"/>
          <w:rFonts w:ascii="微软雅黑" w:hAnsi="微软雅黑" w:eastAsia="微软雅黑"/>
          <w:sz w:val="24"/>
          <w:szCs w:val="24"/>
        </w:rPr>
        <w:t xml:space="preserve"> </w:t>
      </w:r>
      <w:r>
        <w:rPr>
          <w:rStyle w:val="50"/>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"_Toc77254298" </w:instrText>
      </w:r>
      <w:r>
        <w:fldChar w:fldCharType="separate"/>
      </w:r>
      <w:r>
        <w:rPr>
          <w:rStyle w:val="50"/>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42</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"_Toc77254299" </w:instrText>
      </w:r>
      <w:r>
        <w:fldChar w:fldCharType="separate"/>
      </w:r>
      <w:r>
        <w:rPr>
          <w:rStyle w:val="50"/>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5</w:t>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"_Toc77254300" </w:instrText>
      </w:r>
      <w:r>
        <w:fldChar w:fldCharType="separate"/>
      </w:r>
      <w:r>
        <w:rPr>
          <w:rStyle w:val="50"/>
          <w:rFonts w:hint="eastAsia" w:ascii="微软雅黑" w:hAnsi="微软雅黑" w:eastAsia="微软雅黑"/>
          <w:sz w:val="24"/>
          <w:szCs w:val="24"/>
        </w:rPr>
        <w:t>三、响应保证金</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rPr>
        <w:t>6</w:t>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"_Toc77254302" </w:instrText>
      </w:r>
      <w:r>
        <w:fldChar w:fldCharType="separate"/>
      </w:r>
      <w:r>
        <w:rPr>
          <w:rStyle w:val="50"/>
          <w:rFonts w:hint="eastAsia" w:ascii="微软雅黑" w:hAnsi="微软雅黑" w:eastAsia="微软雅黑"/>
          <w:sz w:val="24"/>
          <w:szCs w:val="24"/>
        </w:rPr>
        <w:t>四、商务和技术偏差表</w:t>
      </w:r>
      <w:r>
        <w:rPr>
          <w:rFonts w:ascii="微软雅黑" w:hAnsi="微软雅黑" w:eastAsia="微软雅黑"/>
          <w:sz w:val="24"/>
          <w:szCs w:val="24"/>
        </w:rPr>
        <w:tab/>
      </w:r>
      <w:r>
        <w:rPr>
          <w:rFonts w:hint="eastAsia" w:ascii="微软雅黑" w:hAnsi="微软雅黑" w:eastAsia="微软雅黑"/>
          <w:sz w:val="24"/>
          <w:szCs w:val="24"/>
        </w:rPr>
        <w:t>47</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"_Toc77254304" </w:instrText>
      </w:r>
      <w:r>
        <w:fldChar w:fldCharType="separate"/>
      </w:r>
      <w:r>
        <w:rPr>
          <w:rStyle w:val="50"/>
          <w:rFonts w:hint="eastAsia" w:ascii="微软雅黑" w:hAnsi="微软雅黑" w:eastAsia="微软雅黑"/>
          <w:sz w:val="24"/>
          <w:szCs w:val="24"/>
        </w:rPr>
        <w:t>五、报价表</w:t>
      </w:r>
      <w:r>
        <w:rPr>
          <w:rFonts w:ascii="微软雅黑" w:hAnsi="微软雅黑" w:eastAsia="微软雅黑"/>
          <w:sz w:val="24"/>
          <w:szCs w:val="24"/>
        </w:rPr>
        <w:tab/>
      </w:r>
      <w:r>
        <w:rPr>
          <w:rFonts w:hint="eastAsia" w:ascii="微软雅黑" w:hAnsi="微软雅黑" w:eastAsia="微软雅黑"/>
          <w:sz w:val="24"/>
          <w:szCs w:val="24"/>
        </w:rPr>
        <w:t>48</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50"/>
          <w:rFonts w:hint="eastAsia" w:ascii="微软雅黑" w:hAnsi="微软雅黑" w:eastAsia="微软雅黑"/>
          <w:sz w:val="24"/>
          <w:szCs w:val="24"/>
        </w:rPr>
        <w:t>六、资格审查资料</w:t>
      </w:r>
      <w:r>
        <w:rPr>
          <w:rFonts w:ascii="微软雅黑" w:hAnsi="微软雅黑" w:eastAsia="微软雅黑"/>
          <w:sz w:val="24"/>
          <w:szCs w:val="24"/>
        </w:rPr>
        <w:tab/>
      </w:r>
      <w:r>
        <w:rPr>
          <w:rFonts w:hint="eastAsia" w:ascii="微软雅黑" w:hAnsi="微软雅黑" w:eastAsia="微软雅黑"/>
          <w:sz w:val="24"/>
          <w:szCs w:val="24"/>
        </w:rPr>
        <w:t>51</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"_Toc77254309" </w:instrText>
      </w:r>
      <w:r>
        <w:fldChar w:fldCharType="separate"/>
      </w:r>
      <w:r>
        <w:rPr>
          <w:rStyle w:val="50"/>
          <w:rFonts w:hint="eastAsia" w:ascii="微软雅黑" w:hAnsi="微软雅黑" w:eastAsia="微软雅黑"/>
          <w:sz w:val="24"/>
          <w:szCs w:val="24"/>
        </w:rPr>
        <w:t>七、响应方案</w:t>
      </w:r>
      <w:r>
        <w:rPr>
          <w:rFonts w:ascii="微软雅黑" w:hAnsi="微软雅黑" w:eastAsia="微软雅黑"/>
          <w:sz w:val="24"/>
          <w:szCs w:val="24"/>
        </w:rPr>
        <w:tab/>
      </w:r>
      <w:r>
        <w:rPr>
          <w:rFonts w:hint="eastAsia" w:ascii="微软雅黑" w:hAnsi="微软雅黑" w:eastAsia="微软雅黑"/>
          <w:sz w:val="24"/>
          <w:szCs w:val="24"/>
        </w:rPr>
        <w:t>58</w:t>
      </w:r>
      <w:r>
        <w:rPr>
          <w:rFonts w:hint="eastAsia" w:ascii="微软雅黑" w:hAnsi="微软雅黑" w:eastAsia="微软雅黑"/>
          <w:sz w:val="24"/>
          <w:szCs w:val="24"/>
        </w:rPr>
        <w:fldChar w:fldCharType="end"/>
      </w:r>
    </w:p>
    <w:p>
      <w:pPr>
        <w:pStyle w:val="35"/>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50"/>
          <w:rFonts w:hint="eastAsia" w:ascii="微软雅黑" w:hAnsi="微软雅黑" w:eastAsia="微软雅黑"/>
          <w:sz w:val="24"/>
          <w:szCs w:val="24"/>
        </w:rPr>
        <w:t>八、其他资料</w:t>
      </w:r>
      <w:r>
        <w:rPr>
          <w:rFonts w:ascii="微软雅黑" w:hAnsi="微软雅黑" w:eastAsia="微软雅黑"/>
          <w:sz w:val="24"/>
          <w:szCs w:val="24"/>
        </w:rPr>
        <w:tab/>
      </w:r>
      <w:r>
        <w:rPr>
          <w:rFonts w:hint="eastAsia" w:ascii="微软雅黑" w:hAnsi="微软雅黑" w:eastAsia="微软雅黑"/>
          <w:sz w:val="24"/>
          <w:szCs w:val="24"/>
        </w:rPr>
        <w:t>61</w:t>
      </w:r>
      <w:r>
        <w:rPr>
          <w:rFonts w:hint="eastAsia" w:ascii="微软雅黑" w:hAnsi="微软雅黑" w:eastAsia="微软雅黑"/>
          <w:sz w:val="24"/>
          <w:szCs w:val="24"/>
        </w:rPr>
        <w:fldChar w:fldCharType="end"/>
      </w:r>
    </w:p>
    <w:p>
      <w:pPr>
        <w:pStyle w:val="29"/>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2"/>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pStyle w:val="38"/>
        <w:spacing w:before="0" w:beforeAutospacing="0" w:after="0" w:afterAutospacing="0"/>
        <w:jc w:val="center"/>
        <w:rPr>
          <w:rFonts w:ascii="黑体" w:hAnsi="黑体" w:eastAsia="黑体"/>
          <w:sz w:val="32"/>
          <w:szCs w:val="32"/>
        </w:rPr>
      </w:pPr>
      <w:permStart w:id="1" w:edGrp="everyone"/>
    </w:p>
    <w:p>
      <w:pPr>
        <w:spacing w:before="0" w:beforeAutospacing="0" w:after="0" w:afterAutospacing="0"/>
        <w:ind w:left="2878" w:leftChars="304" w:hanging="2240" w:hangingChars="700"/>
        <w:jc w:val="both"/>
        <w:rPr>
          <w:rFonts w:ascii="黑体" w:hAnsi="黑体" w:eastAsia="黑体"/>
          <w:sz w:val="32"/>
          <w:szCs w:val="32"/>
        </w:rPr>
      </w:pPr>
      <w:r>
        <w:rPr>
          <w:rFonts w:hint="eastAsia" w:ascii="黑体" w:hAnsi="黑体" w:eastAsia="黑体" w:cs="宋体"/>
          <w:kern w:val="0"/>
          <w:sz w:val="32"/>
          <w:szCs w:val="32"/>
        </w:rPr>
        <w:t>岳阳港城陵矶港区松阳湖三期工程安全监管系统影响专题论证</w:t>
      </w:r>
    </w:p>
    <w:p>
      <w:pPr>
        <w:spacing w:before="0" w:beforeAutospacing="0" w:after="0" w:afterAutospacing="0"/>
        <w:ind w:left="2874" w:leftChars="1064" w:hanging="640" w:hangingChars="200"/>
        <w:jc w:val="both"/>
        <w:rPr>
          <w:rFonts w:ascii="黑体" w:hAnsi="黑体" w:eastAsia="黑体"/>
          <w:sz w:val="32"/>
          <w:szCs w:val="32"/>
        </w:rPr>
      </w:pPr>
      <w:r>
        <w:rPr>
          <w:rFonts w:hint="eastAsia" w:ascii="黑体" w:hAnsi="黑体" w:eastAsia="黑体" w:cs="宋体"/>
          <w:kern w:val="0"/>
          <w:sz w:val="32"/>
          <w:szCs w:val="32"/>
        </w:rPr>
        <w:t>报告评价编制服务</w:t>
      </w:r>
      <w:r>
        <w:rPr>
          <w:rFonts w:hint="eastAsia" w:ascii="黑体" w:hAnsi="黑体" w:eastAsia="黑体"/>
          <w:sz w:val="32"/>
          <w:szCs w:val="32"/>
        </w:rPr>
        <w:t>询价采购公告</w:t>
      </w:r>
    </w:p>
    <w:permEnd w:id="1"/>
    <w:p>
      <w:pPr>
        <w:pStyle w:val="38"/>
        <w:spacing w:before="0" w:beforeAutospacing="0" w:after="0" w:afterAutospacing="0"/>
        <w:ind w:firstLine="2880" w:firstLineChars="1200"/>
        <w:jc w:val="both"/>
        <w:rPr>
          <w:rFonts w:cs="Times New Roman"/>
          <w:kern w:val="2"/>
        </w:rPr>
      </w:pPr>
      <w:r>
        <w:rPr>
          <w:rFonts w:hint="eastAsia" w:cs="Times New Roman"/>
          <w:kern w:val="2"/>
        </w:rPr>
        <w:t xml:space="preserve"> </w:t>
      </w:r>
    </w:p>
    <w:p>
      <w:pPr>
        <w:autoSpaceDE w:val="0"/>
        <w:spacing w:line="400" w:lineRule="exact"/>
        <w:ind w:firstLine="480" w:firstLineChars="200"/>
        <w:jc w:val="both"/>
        <w:rPr>
          <w:rFonts w:ascii="宋体" w:hAnsi="宋体"/>
          <w:sz w:val="24"/>
        </w:rPr>
      </w:pPr>
      <w:permStart w:id="2" w:edGrp="everyone"/>
      <w:r>
        <w:rPr>
          <w:rFonts w:hint="eastAsia" w:ascii="宋体" w:hAnsi="宋体"/>
          <w:sz w:val="24"/>
        </w:rPr>
        <w:t>岳阳港城陵矶港区松阳湖三期工程建设对安全监管系统影响专题论证报告书编制服务询价</w:t>
      </w:r>
      <w:permEnd w:id="2"/>
      <w:r>
        <w:rPr>
          <w:rFonts w:hint="eastAsia" w:ascii="宋体" w:hAnsi="宋体"/>
          <w:sz w:val="24"/>
        </w:rPr>
        <w:t xml:space="preserve">已具备采购条件，现公开邀请供应商参加采购活动。 </w:t>
      </w:r>
    </w:p>
    <w:p>
      <w:pPr>
        <w:pStyle w:val="10"/>
        <w:keepNext w:val="0"/>
        <w:keepLines w:val="0"/>
        <w:widowControl w:val="0"/>
        <w:adjustRightInd w:val="0"/>
        <w:snapToGrid w:val="0"/>
        <w:spacing w:after="0" w:line="312" w:lineRule="auto"/>
        <w:jc w:val="both"/>
      </w:pPr>
      <w:r>
        <w:rPr>
          <w:rFonts w:hint="eastAsia"/>
        </w:rPr>
        <w:t xml:space="preserve">1. 采购项目简介 </w:t>
      </w:r>
    </w:p>
    <w:p>
      <w:pPr>
        <w:ind w:firstLine="482" w:firstLineChars="200"/>
        <w:rPr>
          <w:rFonts w:ascii="宋体" w:hAnsi="宋体" w:cs="宋体"/>
          <w:sz w:val="24"/>
        </w:rPr>
      </w:pPr>
      <w:r>
        <w:rPr>
          <w:rFonts w:hint="eastAsia" w:ascii="宋体" w:hAnsi="宋体"/>
          <w:b/>
          <w:bCs/>
          <w:sz w:val="24"/>
        </w:rPr>
        <w:t>1.1</w:t>
      </w:r>
      <w:r>
        <w:rPr>
          <w:rFonts w:hint="eastAsia" w:ascii="宋体" w:hAnsi="宋体"/>
          <w:sz w:val="24"/>
        </w:rPr>
        <w:t xml:space="preserve"> 采购项目名称:</w:t>
      </w:r>
      <w:permStart w:id="3" w:edGrp="everyone"/>
      <w:r>
        <w:rPr>
          <w:rFonts w:hint="eastAsia" w:ascii="宋体" w:hAnsi="宋体"/>
          <w:sz w:val="24"/>
        </w:rPr>
        <w:t>_岳阳港城陵矶港区松阳湖三期工程安全监管系统影响专题论证报告书评价编制服务</w:t>
      </w:r>
      <w:r>
        <w:rPr>
          <w:rFonts w:hint="eastAsia" w:ascii="宋体" w:hAnsi="宋体" w:cs="宋体"/>
          <w:sz w:val="24"/>
        </w:rPr>
        <w:t>。</w:t>
      </w:r>
    </w:p>
    <w:permEnd w:id="3"/>
    <w:p>
      <w:pPr>
        <w:autoSpaceDE w:val="0"/>
        <w:spacing w:line="400" w:lineRule="exact"/>
        <w:ind w:firstLine="482" w:firstLineChars="200"/>
        <w:rPr>
          <w:rFonts w:ascii="宋体" w:hAnsi="宋体"/>
          <w:sz w:val="24"/>
        </w:rPr>
      </w:pPr>
      <w:r>
        <w:rPr>
          <w:rFonts w:hint="eastAsia" w:ascii="宋体" w:hAnsi="宋体"/>
          <w:b/>
          <w:bCs/>
          <w:sz w:val="24"/>
        </w:rPr>
        <w:t>1.2</w:t>
      </w:r>
      <w:r>
        <w:rPr>
          <w:rFonts w:hint="eastAsia" w:ascii="宋体" w:hAnsi="宋体"/>
          <w:sz w:val="24"/>
        </w:rPr>
        <w:t xml:space="preserve"> 采购人: </w:t>
      </w:r>
      <w:permStart w:id="4" w:edGrp="everyone"/>
      <w:r>
        <w:rPr>
          <w:rFonts w:hint="eastAsia" w:ascii="宋体" w:hAnsi="宋体"/>
          <w:sz w:val="24"/>
        </w:rPr>
        <w:t xml:space="preserve">__湖南省港务集团有限公司 </w:t>
      </w:r>
      <w:permEnd w:id="4"/>
    </w:p>
    <w:p>
      <w:pPr>
        <w:autoSpaceDE w:val="0"/>
        <w:spacing w:line="400" w:lineRule="exact"/>
        <w:ind w:firstLine="482" w:firstLineChars="200"/>
        <w:rPr>
          <w:rFonts w:ascii="宋体" w:hAnsi="宋体"/>
          <w:sz w:val="24"/>
        </w:rPr>
      </w:pPr>
      <w:r>
        <w:rPr>
          <w:rFonts w:hint="eastAsia" w:ascii="宋体" w:hAnsi="宋体"/>
          <w:b/>
          <w:bCs/>
          <w:sz w:val="24"/>
        </w:rPr>
        <w:t>1.3</w:t>
      </w:r>
      <w:r>
        <w:rPr>
          <w:rFonts w:hint="eastAsia" w:ascii="宋体" w:hAnsi="宋体"/>
          <w:sz w:val="24"/>
        </w:rPr>
        <w:t xml:space="preserve"> 采购代理机构:</w:t>
      </w:r>
      <w:permStart w:id="5" w:edGrp="everyone"/>
      <w:r>
        <w:rPr>
          <w:rFonts w:hint="eastAsia" w:ascii="宋体" w:hAnsi="宋体"/>
          <w:sz w:val="24"/>
        </w:rPr>
        <w:t>_无____</w:t>
      </w:r>
      <w:permEnd w:id="5"/>
    </w:p>
    <w:p>
      <w:pPr>
        <w:autoSpaceDE w:val="0"/>
        <w:spacing w:line="400" w:lineRule="exact"/>
        <w:ind w:firstLine="482" w:firstLineChars="200"/>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permStart w:id="6" w:edGrp="everyone"/>
      <w:r>
        <w:rPr>
          <w:rFonts w:hint="eastAsia" w:ascii="宋体" w:hAnsi="宋体"/>
          <w:sz w:val="24"/>
        </w:rPr>
        <w:t>_已落实_</w:t>
      </w:r>
      <w:permEnd w:id="6"/>
    </w:p>
    <w:p>
      <w:pPr>
        <w:pStyle w:val="14"/>
        <w:spacing w:line="400" w:lineRule="exact"/>
        <w:ind w:firstLine="482"/>
        <w:rPr>
          <w:rFonts w:ascii="宋体" w:hAnsi="宋体"/>
          <w:color w:val="auto"/>
          <w:sz w:val="24"/>
        </w:rPr>
      </w:pPr>
      <w:r>
        <w:rPr>
          <w:rFonts w:hint="eastAsia" w:ascii="宋体" w:hAnsi="宋体"/>
          <w:b/>
          <w:bCs/>
          <w:sz w:val="24"/>
        </w:rPr>
        <w:t xml:space="preserve">1.5 </w:t>
      </w:r>
      <w:r>
        <w:rPr>
          <w:rFonts w:hint="eastAsia" w:ascii="宋体" w:hAnsi="宋体"/>
          <w:sz w:val="24"/>
        </w:rPr>
        <w:t>采购项目概况:</w:t>
      </w:r>
      <w:permStart w:id="7" w:edGrp="everyone"/>
      <w:r>
        <w:rPr>
          <w:rFonts w:hint="eastAsia" w:ascii="宋体" w:hAnsi="宋体"/>
          <w:sz w:val="24"/>
        </w:rPr>
        <w:t xml:space="preserve"> </w:t>
      </w:r>
      <w:r>
        <w:rPr>
          <w:sz w:val="24"/>
        </w:rPr>
        <w:t>拟建码头工程位于长江中游仙峰水道右岸，码头位于长江中游航道里程225km处</w:t>
      </w:r>
      <w:r>
        <w:rPr>
          <w:rFonts w:hint="eastAsia"/>
          <w:sz w:val="24"/>
        </w:rPr>
        <w:t>。</w:t>
      </w:r>
      <w:r>
        <w:rPr>
          <w:rFonts w:hint="eastAsia"/>
          <w:kern w:val="0"/>
          <w:sz w:val="24"/>
        </w:rPr>
        <w:t>工程拟新建6个5000吨级泊位，包含4个件杂货泊位和2个通用泊位，码头设计吞吐量为760万吨/年，使用港口岸</w:t>
      </w:r>
      <w:r>
        <w:rPr>
          <w:rFonts w:hint="eastAsia"/>
          <w:color w:val="auto"/>
          <w:kern w:val="0"/>
          <w:sz w:val="24"/>
        </w:rPr>
        <w:t>线758m</w:t>
      </w:r>
      <w:r>
        <w:rPr>
          <w:color w:val="auto"/>
          <w:kern w:val="0"/>
          <w:sz w:val="24"/>
        </w:rPr>
        <w:t>。</w:t>
      </w:r>
      <w:r>
        <w:rPr>
          <w:rFonts w:hint="eastAsia"/>
          <w:color w:val="auto"/>
          <w:sz w:val="24"/>
        </w:rPr>
        <w:t>码头建成之后，与上下游的码头形成码头群，码头群的形成有别于单个码头，在一定程度上会形成整体阻碍物，对VTS、AIS及雷达的监管管控产生影响</w:t>
      </w:r>
      <w:r>
        <w:rPr>
          <w:rFonts w:hint="eastAsia" w:ascii="宋体" w:hAnsi="宋体"/>
          <w:color w:val="auto"/>
          <w:sz w:val="24"/>
        </w:rPr>
        <w:t>，因此开展专项论证，提出安全维护措施。]</w:t>
      </w:r>
    </w:p>
    <w:p>
      <w:pPr>
        <w:pStyle w:val="10"/>
        <w:keepNext w:val="0"/>
        <w:keepLines w:val="0"/>
        <w:widowControl w:val="0"/>
        <w:adjustRightInd w:val="0"/>
        <w:snapToGrid w:val="0"/>
        <w:spacing w:after="0" w:line="312" w:lineRule="auto"/>
        <w:jc w:val="both"/>
      </w:pPr>
      <w:r>
        <w:rPr>
          <w:rFonts w:hint="eastAsia"/>
        </w:rPr>
        <w:t>2．采购范围及相关要求</w:t>
      </w:r>
    </w:p>
    <w:p>
      <w:pPr>
        <w:pStyle w:val="14"/>
        <w:spacing w:line="400" w:lineRule="exact"/>
        <w:ind w:firstLine="482"/>
        <w:rPr>
          <w:rFonts w:ascii="宋体" w:hAnsi="宋体"/>
          <w:sz w:val="24"/>
        </w:rPr>
      </w:pPr>
      <w:r>
        <w:rPr>
          <w:rFonts w:hint="eastAsia" w:ascii="宋体" w:hAnsi="宋体"/>
          <w:b/>
          <w:bCs/>
          <w:sz w:val="24"/>
        </w:rPr>
        <w:t>2.1</w:t>
      </w:r>
      <w:r>
        <w:rPr>
          <w:rFonts w:hint="eastAsia" w:ascii="宋体" w:hAnsi="宋体"/>
          <w:sz w:val="24"/>
        </w:rPr>
        <w:t xml:space="preserve"> 采购范围: 岳阳港城陵矶港区松阳湖三期工程建设对安全监管系统影响专题论证报告编制服务，协助组织专家评审会并通过相关行政部门评审。</w:t>
      </w:r>
    </w:p>
    <w:p>
      <w:pPr>
        <w:pStyle w:val="14"/>
        <w:spacing w:line="400" w:lineRule="exact"/>
        <w:ind w:firstLine="482"/>
        <w:rPr>
          <w:rFonts w:ascii="宋体" w:hAnsi="宋体"/>
          <w:sz w:val="24"/>
        </w:rPr>
      </w:pPr>
      <w:r>
        <w:rPr>
          <w:rFonts w:hint="eastAsia" w:ascii="宋体" w:hAnsi="宋体"/>
          <w:b/>
          <w:bCs/>
          <w:sz w:val="24"/>
        </w:rPr>
        <w:t xml:space="preserve">2.2 </w:t>
      </w:r>
      <w:r>
        <w:rPr>
          <w:rFonts w:hint="eastAsia" w:ascii="宋体" w:hAnsi="宋体"/>
          <w:sz w:val="24"/>
        </w:rPr>
        <w:t>服务期限: 合同签订后30个工作日内向采购人提交报告。</w:t>
      </w:r>
    </w:p>
    <w:p>
      <w:pPr>
        <w:pStyle w:val="14"/>
        <w:spacing w:line="400" w:lineRule="exact"/>
        <w:ind w:firstLine="482"/>
        <w:rPr>
          <w:rFonts w:ascii="宋体" w:hAnsi="宋体"/>
          <w:sz w:val="24"/>
        </w:rPr>
      </w:pPr>
      <w:r>
        <w:rPr>
          <w:rFonts w:hint="eastAsia" w:ascii="宋体" w:hAnsi="宋体"/>
          <w:b/>
          <w:bCs/>
          <w:sz w:val="24"/>
        </w:rPr>
        <w:t>2.3</w:t>
      </w:r>
      <w:r>
        <w:rPr>
          <w:rFonts w:hint="eastAsia" w:ascii="宋体" w:hAnsi="宋体"/>
          <w:sz w:val="24"/>
        </w:rPr>
        <w:t xml:space="preserve"> 服务地点: 岳阳市</w:t>
      </w:r>
    </w:p>
    <w:p>
      <w:pPr>
        <w:pStyle w:val="14"/>
        <w:spacing w:line="400" w:lineRule="exact"/>
        <w:ind w:firstLine="482"/>
        <w:rPr>
          <w:rFonts w:ascii="宋体" w:hAnsi="宋体"/>
          <w:sz w:val="24"/>
        </w:rPr>
      </w:pPr>
      <w:r>
        <w:rPr>
          <w:rFonts w:hint="eastAsia" w:ascii="宋体" w:hAnsi="宋体"/>
          <w:b/>
          <w:bCs/>
          <w:sz w:val="24"/>
        </w:rPr>
        <w:t>2.4</w:t>
      </w:r>
      <w:r>
        <w:rPr>
          <w:rFonts w:hint="eastAsia" w:ascii="宋体" w:hAnsi="宋体"/>
          <w:sz w:val="24"/>
        </w:rPr>
        <w:t xml:space="preserve"> 服务要求: 详见“第五章 采购要求”。</w:t>
      </w:r>
    </w:p>
    <w:permEnd w:id="7"/>
    <w:p>
      <w:pPr>
        <w:pStyle w:val="10"/>
        <w:keepNext w:val="0"/>
        <w:keepLines w:val="0"/>
        <w:widowControl w:val="0"/>
        <w:adjustRightInd w:val="0"/>
        <w:snapToGrid w:val="0"/>
        <w:spacing w:after="0" w:line="312" w:lineRule="auto"/>
        <w:jc w:val="both"/>
      </w:pPr>
      <w:r>
        <w:rPr>
          <w:rFonts w:hint="eastAsia"/>
        </w:rPr>
        <w:t>3. 供应商资格要求</w:t>
      </w:r>
    </w:p>
    <w:p>
      <w:pPr>
        <w:autoSpaceDE w:val="0"/>
        <w:spacing w:line="400" w:lineRule="exact"/>
        <w:ind w:firstLine="482" w:firstLineChars="2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8"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ermEnd w:id="8"/>
    <w:p>
      <w:pPr>
        <w:autoSpaceDE w:val="0"/>
        <w:spacing w:line="400" w:lineRule="exact"/>
        <w:jc w:val="both"/>
        <w:rPr>
          <w:rFonts w:ascii="宋体" w:hAnsi="宋体"/>
          <w:sz w:val="24"/>
        </w:rPr>
      </w:pPr>
      <w:r>
        <w:rPr>
          <w:rFonts w:hint="eastAsia" w:ascii="宋体" w:hAnsi="宋体"/>
          <w:sz w:val="24"/>
        </w:rPr>
        <w:t xml:space="preserve">3.2供应商应满足如下要求: </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9"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A3"/>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A3"/>
            </w:r>
            <w:r>
              <w:rPr>
                <w:rStyle w:val="46"/>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6"/>
                <w:u w:val="single"/>
              </w:rPr>
            </w:pPr>
            <w:r>
              <w:rPr>
                <w:rStyle w:val="46"/>
                <w:rFonts w:hint="eastAsia"/>
                <w:u w:val="single"/>
              </w:rPr>
              <w:sym w:font="Wingdings 2" w:char="00A3"/>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6"/>
                <w:u w:val="single"/>
              </w:rPr>
            </w:pPr>
            <w:r>
              <w:rPr>
                <w:rStyle w:val="46"/>
                <w:rFonts w:hint="eastAsia"/>
                <w:u w:val="single"/>
              </w:rPr>
              <w:sym w:font="Wingdings 2" w:char="0052"/>
            </w: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w:t>
            </w:r>
          </w:p>
        </w:tc>
        <w:tc>
          <w:tcPr>
            <w:tcW w:w="5443" w:type="dxa"/>
          </w:tcPr>
          <w:p>
            <w:pPr>
              <w:widowControl w:val="0"/>
              <w:spacing w:line="320" w:lineRule="exact"/>
              <w:jc w:val="both"/>
              <w:rPr>
                <w:rStyle w:val="46"/>
                <w:u w:val="single"/>
              </w:rPr>
            </w:pPr>
            <w:r>
              <w:rPr>
                <w:rStyle w:val="46"/>
                <w:rFonts w:hint="eastAsia"/>
                <w:u w:val="single"/>
              </w:rPr>
              <w:t xml:space="preserve">□不适用  </w:t>
            </w:r>
          </w:p>
          <w:p>
            <w:pPr>
              <w:widowControl w:val="0"/>
              <w:spacing w:line="320" w:lineRule="exact"/>
              <w:jc w:val="both"/>
              <w:rPr>
                <w:rFonts w:ascii="宋体" w:hAnsi="宋体"/>
                <w:sz w:val="24"/>
              </w:rPr>
            </w:pPr>
            <w:r>
              <w:rPr>
                <w:rStyle w:val="46"/>
                <w:rFonts w:hint="eastAsia"/>
                <w:u w:val="single"/>
              </w:rPr>
              <w:sym w:font="Wingdings 2" w:char="0052"/>
            </w:r>
            <w:r>
              <w:rPr>
                <w:rStyle w:val="46"/>
                <w:rFonts w:hint="eastAsia"/>
                <w:u w:val="single"/>
              </w:rPr>
              <w:t>适用,见采购文件供应商须知前附表3.5（8）。</w:t>
            </w:r>
          </w:p>
        </w:tc>
      </w:tr>
      <w:permEnd w:id="9"/>
    </w:tbl>
    <w:p>
      <w:pPr>
        <w:pStyle w:val="10"/>
        <w:keepNext w:val="0"/>
        <w:keepLines w:val="0"/>
        <w:widowControl w:val="0"/>
        <w:adjustRightInd w:val="0"/>
        <w:snapToGrid w:val="0"/>
        <w:spacing w:after="0" w:line="312" w:lineRule="auto"/>
        <w:jc w:val="both"/>
      </w:pPr>
      <w:r>
        <w:rPr>
          <w:rFonts w:hint="eastAsia"/>
        </w:rPr>
        <w:t>4. 响应保证金</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10" w:edGrp="everyone" w:colFirst="0" w:colLast="0"/>
            <w:permStart w:id="11" w:edGrp="everyone" w:colFirst="1" w:colLast="1"/>
            <w:permStart w:id="12" w:edGrp="everyone" w:colFirst="2" w:colLast="2"/>
            <w:r>
              <w:rPr>
                <w:rStyle w:val="46"/>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6"/>
                <w:rFonts w:hint="eastAsia"/>
              </w:rPr>
              <w:sym w:font="Wingdings 2" w:char="0052"/>
            </w:r>
            <w:r>
              <w:rPr>
                <w:rStyle w:val="46"/>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6"/>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6"/>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10"/>
      <w:permEnd w:id="11"/>
      <w:permEnd w:id="12"/>
    </w:tbl>
    <w:p>
      <w:pPr>
        <w:pStyle w:val="10"/>
        <w:keepNext w:val="0"/>
        <w:keepLines w:val="0"/>
        <w:widowControl w:val="0"/>
        <w:adjustRightInd w:val="0"/>
        <w:snapToGrid w:val="0"/>
        <w:spacing w:after="0" w:line="312" w:lineRule="auto"/>
        <w:jc w:val="both"/>
      </w:pPr>
      <w:r>
        <w:rPr>
          <w:rFonts w:hint="eastAsia"/>
        </w:rPr>
        <w:t>5.</w:t>
      </w:r>
      <w:r>
        <w:t xml:space="preserve"> </w:t>
      </w:r>
      <w:r>
        <w:rPr>
          <w:rFonts w:hint="eastAsia"/>
        </w:rPr>
        <w:t>确定成交供应商的方法</w:t>
      </w:r>
    </w:p>
    <w:p>
      <w:pPr>
        <w:autoSpaceDE w:val="0"/>
        <w:spacing w:line="240" w:lineRule="auto"/>
        <w:ind w:firstLine="482" w:firstLineChars="200"/>
        <w:jc w:val="both"/>
        <w:rPr>
          <w:rStyle w:val="46"/>
        </w:rPr>
      </w:pPr>
      <w:r>
        <w:rPr>
          <w:rFonts w:hint="eastAsia" w:ascii="宋体" w:hAnsi="宋体"/>
          <w:b/>
          <w:bCs/>
          <w:sz w:val="24"/>
        </w:rPr>
        <w:t>5.1</w:t>
      </w:r>
      <w:permStart w:id="13" w:edGrp="everyone"/>
      <w:r>
        <w:rPr>
          <w:rFonts w:hint="eastAsia" w:cs="仿宋" w:asciiTheme="minorEastAsia" w:hAnsiTheme="minorEastAsia" w:eastAsiaTheme="minorEastAsia"/>
          <w:szCs w:val="21"/>
        </w:rPr>
        <w:t>综合评分法</w:t>
      </w:r>
    </w:p>
    <w:permEnd w:id="13"/>
    <w:p>
      <w:pPr>
        <w:autoSpaceDE w:val="0"/>
        <w:spacing w:line="240" w:lineRule="auto"/>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10"/>
        <w:keepNext w:val="0"/>
        <w:keepLines w:val="0"/>
        <w:widowControl w:val="0"/>
        <w:adjustRightInd w:val="0"/>
        <w:snapToGrid w:val="0"/>
        <w:spacing w:after="0" w:line="312" w:lineRule="auto"/>
        <w:jc w:val="both"/>
        <w:rPr>
          <w:color w:val="000000"/>
        </w:rPr>
      </w:pPr>
      <w:r>
        <w:rPr>
          <w:rFonts w:hint="eastAsia"/>
        </w:rPr>
        <w:t>6</w:t>
      </w:r>
      <w:r>
        <w:rPr>
          <w:rFonts w:hint="eastAsia"/>
          <w:color w:val="000000"/>
        </w:rPr>
        <w:t>．最高投标限价</w:t>
      </w:r>
    </w:p>
    <w:p>
      <w:pPr>
        <w:autoSpaceDE w:val="0"/>
        <w:spacing w:line="400" w:lineRule="exact"/>
        <w:ind w:firstLine="482" w:firstLineChars="200"/>
        <w:jc w:val="both"/>
        <w:rPr>
          <w:rFonts w:ascii="宋体" w:hAnsi="宋体"/>
          <w:sz w:val="24"/>
        </w:rPr>
      </w:pPr>
      <w:bookmarkStart w:id="2" w:name="_Toc40274970"/>
      <w:bookmarkStart w:id="3" w:name="_Toc38287094"/>
      <w:r>
        <w:rPr>
          <w:rFonts w:hint="eastAsia" w:ascii="宋体" w:hAnsi="宋体"/>
          <w:b/>
          <w:bCs/>
          <w:sz w:val="24"/>
        </w:rPr>
        <w:t>6.1</w:t>
      </w:r>
      <w:r>
        <w:rPr>
          <w:rFonts w:hint="eastAsia" w:ascii="宋体" w:hAnsi="宋体"/>
          <w:sz w:val="24"/>
        </w:rPr>
        <w:t>询价人为本次招标编制了最高投标限价，最高限价：人民币贰拾</w:t>
      </w:r>
      <w:r>
        <w:rPr>
          <w:rFonts w:hint="eastAsia" w:ascii="宋体" w:hAnsi="宋体"/>
          <w:sz w:val="24"/>
          <w:lang w:val="en-US" w:eastAsia="zh-CN"/>
        </w:rPr>
        <w:t>陆</w:t>
      </w:r>
      <w:r>
        <w:rPr>
          <w:rFonts w:hint="eastAsia" w:ascii="宋体" w:hAnsi="宋体"/>
          <w:sz w:val="24"/>
        </w:rPr>
        <w:t>万元整 （小写：￥2</w:t>
      </w:r>
      <w:r>
        <w:rPr>
          <w:rFonts w:hint="eastAsia" w:ascii="宋体" w:hAnsi="宋体"/>
          <w:sz w:val="24"/>
          <w:lang w:val="en-US" w:eastAsia="zh-CN"/>
        </w:rPr>
        <w:t>6</w:t>
      </w:r>
      <w:r>
        <w:rPr>
          <w:rFonts w:hint="eastAsia" w:ascii="宋体" w:hAnsi="宋体"/>
          <w:sz w:val="24"/>
        </w:rPr>
        <w:t>0000元）。</w:t>
      </w:r>
    </w:p>
    <w:p>
      <w:pPr>
        <w:autoSpaceDE w:val="0"/>
        <w:spacing w:line="400" w:lineRule="exact"/>
        <w:ind w:firstLine="482" w:firstLineChars="200"/>
        <w:jc w:val="both"/>
        <w:rPr>
          <w:rFonts w:ascii="宋体" w:hAnsi="宋体"/>
          <w:sz w:val="24"/>
        </w:rPr>
      </w:pPr>
      <w:r>
        <w:rPr>
          <w:rFonts w:hint="eastAsia" w:ascii="宋体" w:hAnsi="宋体"/>
          <w:b/>
          <w:bCs/>
          <w:sz w:val="24"/>
        </w:rPr>
        <w:t>6.2</w:t>
      </w:r>
      <w:r>
        <w:rPr>
          <w:rFonts w:hint="eastAsia" w:ascii="宋体" w:hAnsi="宋体"/>
          <w:sz w:val="24"/>
        </w:rPr>
        <w:t>报价人投标报价应不高于最高投标限价，否则其投标将被否决。</w:t>
      </w:r>
      <w:bookmarkEnd w:id="2"/>
      <w:bookmarkEnd w:id="3"/>
    </w:p>
    <w:p>
      <w:pPr>
        <w:autoSpaceDE w:val="0"/>
        <w:spacing w:line="400" w:lineRule="exact"/>
        <w:ind w:firstLine="482" w:firstLineChars="200"/>
        <w:jc w:val="both"/>
      </w:pPr>
      <w:r>
        <w:rPr>
          <w:rFonts w:hint="eastAsia" w:ascii="宋体" w:hAnsi="宋体"/>
          <w:b/>
          <w:bCs/>
          <w:sz w:val="24"/>
        </w:rPr>
        <w:t>6.3</w:t>
      </w:r>
      <w:r>
        <w:rPr>
          <w:rFonts w:hint="eastAsia" w:ascii="宋体" w:hAnsi="宋体"/>
          <w:sz w:val="24"/>
        </w:rPr>
        <w:t>本次询价不接受联合体报价。</w:t>
      </w:r>
    </w:p>
    <w:p>
      <w:pPr>
        <w:pStyle w:val="10"/>
        <w:keepNext w:val="0"/>
        <w:keepLines w:val="0"/>
        <w:widowControl w:val="0"/>
        <w:adjustRightInd w:val="0"/>
        <w:snapToGrid w:val="0"/>
        <w:spacing w:after="0" w:line="312" w:lineRule="auto"/>
        <w:jc w:val="both"/>
      </w:pPr>
      <w:r>
        <w:rPr>
          <w:rFonts w:hint="eastAsia"/>
        </w:rPr>
        <w:t>7.采购文件获取</w:t>
      </w:r>
    </w:p>
    <w:p>
      <w:pPr>
        <w:autoSpaceDE w:val="0"/>
        <w:spacing w:line="360" w:lineRule="exact"/>
        <w:ind w:firstLine="482" w:firstLineChars="200"/>
        <w:jc w:val="both"/>
        <w:rPr>
          <w:rFonts w:ascii="宋体" w:hAnsi="宋体"/>
          <w:sz w:val="24"/>
          <w:highlight w:val="none"/>
        </w:rPr>
      </w:pPr>
      <w:r>
        <w:rPr>
          <w:rFonts w:hint="eastAsia" w:ascii="宋体" w:hAnsi="宋体"/>
          <w:b/>
          <w:bCs/>
          <w:sz w:val="24"/>
        </w:rPr>
        <w:t xml:space="preserve">7.1 </w:t>
      </w:r>
      <w:r>
        <w:rPr>
          <w:rFonts w:hint="eastAsia" w:ascii="宋体" w:hAnsi="宋体"/>
          <w:sz w:val="24"/>
          <w:highlight w:val="none"/>
        </w:rPr>
        <w:t>供应商应当于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u w:val="single"/>
        </w:rPr>
        <w:t>8</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分至</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分送达</w:t>
      </w:r>
      <w:r>
        <w:rPr>
          <w:rFonts w:hint="eastAsia" w:ascii="宋体" w:hAnsi="宋体"/>
          <w:sz w:val="24"/>
          <w:highlight w:val="none"/>
          <w:u w:val="single"/>
        </w:rPr>
        <w:t>湖南省港务集团有限公司工程管理部（岳阳市云溪区沿江西路50米湖南省港务集团信息化大楼307室）</w:t>
      </w:r>
      <w:r>
        <w:rPr>
          <w:rFonts w:hint="eastAsia" w:ascii="宋体" w:hAnsi="宋体"/>
          <w:sz w:val="24"/>
          <w:highlight w:val="none"/>
        </w:rPr>
        <w:t>，逾期送达的或者未送达指定地点的文件，不予受理。</w:t>
      </w:r>
    </w:p>
    <w:p>
      <w:pPr>
        <w:autoSpaceDE w:val="0"/>
        <w:spacing w:line="400" w:lineRule="exact"/>
        <w:ind w:firstLine="482" w:firstLineChars="200"/>
        <w:jc w:val="both"/>
        <w:rPr>
          <w:rFonts w:ascii="宋体" w:hAnsi="宋体"/>
          <w:sz w:val="24"/>
        </w:rPr>
      </w:pPr>
      <w:r>
        <w:rPr>
          <w:rFonts w:hint="eastAsia" w:ascii="宋体" w:hAnsi="宋体"/>
          <w:b/>
          <w:bCs/>
          <w:sz w:val="24"/>
        </w:rPr>
        <w:t xml:space="preserve">7.2 </w:t>
      </w:r>
      <w:r>
        <w:rPr>
          <w:rFonts w:hint="eastAsia" w:ascii="宋体" w:hAnsi="宋体"/>
          <w:sz w:val="24"/>
        </w:rPr>
        <w:t>供应商若对本项目采购需求、资格要求等有疑问的，应当于</w:t>
      </w:r>
      <w:r>
        <w:rPr>
          <w:rFonts w:hint="eastAsia" w:ascii="宋体" w:hAnsi="宋体"/>
          <w:sz w:val="24"/>
          <w:u w:val="single"/>
        </w:rPr>
        <w:t>2023</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日</w:t>
      </w:r>
      <w:r>
        <w:rPr>
          <w:rFonts w:hint="eastAsia" w:ascii="宋体" w:hAnsi="宋体"/>
          <w:sz w:val="24"/>
          <w:u w:val="single"/>
        </w:rPr>
        <w:t>17</w:t>
      </w:r>
      <w:r>
        <w:rPr>
          <w:rFonts w:hint="eastAsia" w:ascii="宋体" w:hAnsi="宋体"/>
          <w:sz w:val="24"/>
        </w:rPr>
        <w:t>时</w:t>
      </w:r>
      <w:r>
        <w:rPr>
          <w:rFonts w:hint="eastAsia" w:ascii="宋体" w:hAnsi="宋体"/>
          <w:sz w:val="24"/>
          <w:u w:val="single"/>
        </w:rPr>
        <w:t>30</w:t>
      </w:r>
      <w:r>
        <w:rPr>
          <w:rFonts w:hint="eastAsia" w:ascii="宋体" w:hAnsi="宋体"/>
          <w:sz w:val="24"/>
        </w:rPr>
        <w:t>分前向采购人提出澄清要求</w:t>
      </w:r>
      <w:r>
        <w:rPr>
          <w:rFonts w:hint="eastAsia" w:ascii="宋体" w:hAnsi="宋体"/>
          <w:sz w:val="24"/>
          <w:highlight w:val="none"/>
          <w:lang w:eastAsia="zh-CN"/>
        </w:rPr>
        <w:t>（</w:t>
      </w:r>
      <w:r>
        <w:rPr>
          <w:rFonts w:hint="eastAsia" w:ascii="宋体" w:hAnsi="宋体"/>
          <w:bCs/>
          <w:sz w:val="24"/>
          <w:highlight w:val="none"/>
        </w:rPr>
        <w:t>公休日除外</w:t>
      </w:r>
      <w:r>
        <w:rPr>
          <w:rFonts w:hint="eastAsia" w:ascii="宋体" w:hAnsi="宋体"/>
          <w:sz w:val="24"/>
          <w:highlight w:val="none"/>
          <w:lang w:eastAsia="zh-CN"/>
        </w:rPr>
        <w:t>）</w:t>
      </w:r>
      <w:r>
        <w:rPr>
          <w:rFonts w:hint="eastAsia" w:ascii="宋体" w:hAnsi="宋体"/>
          <w:sz w:val="24"/>
        </w:rPr>
        <w:t>。</w:t>
      </w:r>
    </w:p>
    <w:p>
      <w:pPr>
        <w:pStyle w:val="10"/>
        <w:keepNext w:val="0"/>
        <w:keepLines w:val="0"/>
        <w:widowControl w:val="0"/>
        <w:adjustRightInd w:val="0"/>
        <w:snapToGrid w:val="0"/>
        <w:spacing w:after="0" w:line="312" w:lineRule="auto"/>
        <w:jc w:val="both"/>
      </w:pPr>
      <w:r>
        <w:rPr>
          <w:rFonts w:hint="eastAsia"/>
        </w:rPr>
        <w:t>8.发布公告的媒介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4" w:edGrp="everyone"/>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10"/>
        <w:jc w:val="both"/>
      </w:pPr>
      <w:bookmarkStart w:id="4" w:name="_Toc77254104"/>
      <w:bookmarkStart w:id="5" w:name="_Toc76635692"/>
      <w:bookmarkStart w:id="6" w:name="_Toc512257471"/>
      <w:bookmarkStart w:id="7" w:name="_Toc79596547"/>
      <w:r>
        <w:rPr>
          <w:rFonts w:hint="eastAsia"/>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4"/>
    <w:p>
      <w:pPr>
        <w:pStyle w:val="10"/>
        <w:jc w:val="both"/>
        <w:rPr>
          <w:rFonts w:ascii="Arial" w:hAnsi="Arial"/>
        </w:rPr>
      </w:pPr>
      <w:r>
        <w:rPr>
          <w:rFonts w:hint="eastAsia"/>
        </w:rPr>
        <w:t>10.</w:t>
      </w:r>
      <w:r>
        <w:rPr>
          <w:rFonts w:hint="eastAsia" w:ascii="黑体" w:hAnsi="黑体"/>
        </w:rPr>
        <w:t>联系方式</w:t>
      </w:r>
    </w:p>
    <w:p>
      <w:pPr>
        <w:autoSpaceDE w:val="0"/>
        <w:spacing w:line="400" w:lineRule="exact"/>
        <w:ind w:firstLine="240" w:firstLineChars="100"/>
        <w:rPr>
          <w:rFonts w:ascii="宋体" w:hAnsi="宋体"/>
          <w:sz w:val="24"/>
        </w:rPr>
      </w:pPr>
      <w:permStart w:id="15" w:edGrp="everyone"/>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rPr>
        <w:t>_</w:t>
      </w:r>
      <w:r>
        <w:rPr>
          <w:rFonts w:hint="eastAsia" w:ascii="宋体" w:hAnsi="宋体"/>
          <w:sz w:val="24"/>
          <w:u w:val="single"/>
        </w:rPr>
        <w:t xml:space="preserve">湖南省港务集团有限公司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autoSpaceDE w:val="0"/>
        <w:spacing w:line="400" w:lineRule="exact"/>
        <w:ind w:firstLine="240" w:firstLineChars="100"/>
        <w:rPr>
          <w:rFonts w:eastAsiaTheme="minorEastAsia"/>
          <w:color w:val="000000" w:themeColor="text1"/>
          <w:sz w:val="24"/>
          <w:u w:val="single"/>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
    <w:permEnd w:id="15"/>
    <w:p>
      <w:pPr>
        <w:spacing w:line="240" w:lineRule="auto"/>
        <w:jc w:val="both"/>
        <w:rPr>
          <w:rFonts w:ascii="黑体" w:hAnsi="黑体" w:eastAsia="黑体"/>
          <w:sz w:val="32"/>
          <w:szCs w:val="32"/>
        </w:rPr>
      </w:pPr>
      <w:bookmarkStart w:id="8" w:name="_Toc517787494"/>
      <w:bookmarkStart w:id="9" w:name="_Toc234832861"/>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pPr>
    </w:p>
    <w:p>
      <w:pPr>
        <w:spacing w:line="240" w:lineRule="auto"/>
        <w:jc w:val="center"/>
        <w:rPr>
          <w:rFonts w:ascii="黑体" w:hAnsi="黑体" w:eastAsia="黑体"/>
          <w:sz w:val="32"/>
          <w:szCs w:val="32"/>
        </w:rPr>
      </w:pPr>
    </w:p>
    <w:p>
      <w:pPr>
        <w:spacing w:line="240" w:lineRule="auto"/>
        <w:jc w:val="both"/>
        <w:rPr>
          <w:rFonts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7"/>
        <w:spacing w:before="240" w:after="240" w:line="600" w:lineRule="exact"/>
        <w:jc w:val="both"/>
        <w:rPr>
          <w:rFonts w:ascii="仿宋" w:hAnsi="仿宋" w:eastAsia="仿宋" w:cs="仿宋"/>
          <w:sz w:val="30"/>
          <w:szCs w:val="30"/>
        </w:rPr>
      </w:pPr>
      <w:bookmarkStart w:id="10" w:name="_Toc517787495"/>
      <w:bookmarkStart w:id="11" w:name="_Toc234832862"/>
      <w:r>
        <w:rPr>
          <w:rFonts w:hint="eastAsia" w:ascii="仿宋" w:hAnsi="仿宋" w:eastAsia="仿宋" w:cs="仿宋"/>
          <w:sz w:val="30"/>
          <w:szCs w:val="30"/>
        </w:rPr>
        <w:t>供应商须知前附表</w:t>
      </w:r>
      <w:bookmarkEnd w:id="10"/>
      <w:bookmarkEnd w:id="11"/>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6"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6"/>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7"/>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0"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2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1" w:edGrp="everyone"/>
            <w:r>
              <w:rPr>
                <w:rFonts w:hint="eastAsia" w:cs="仿宋" w:asciiTheme="minorEastAsia" w:hAnsiTheme="minorEastAsia" w:eastAsiaTheme="minorEastAsia"/>
                <w:sz w:val="24"/>
              </w:rPr>
              <w:t>允许偏差的范围：不允许重大偏差，允许细微偏差</w:t>
            </w:r>
            <w:permEnd w:id="21"/>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2" w:edGrp="everyone"/>
            <w:r>
              <w:rPr>
                <w:rFonts w:hint="eastAsia" w:cs="仿宋" w:asciiTheme="minorEastAsia" w:hAnsiTheme="minorEastAsia" w:eastAsiaTheme="minorEastAsia"/>
                <w:sz w:val="24"/>
              </w:rPr>
              <w:t xml:space="preserve">无 </w:t>
            </w:r>
            <w:permEnd w:id="22"/>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3" w:edGrp="everyone"/>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3</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10</w:t>
            </w:r>
            <w:r>
              <w:rPr>
                <w:rFonts w:hint="eastAsia" w:cs="仿宋" w:asciiTheme="minorEastAsia" w:hAnsiTheme="minorEastAsia" w:eastAsiaTheme="minorEastAsia"/>
                <w:sz w:val="24"/>
                <w:highlight w:val="yellow"/>
              </w:rPr>
              <w:t>月</w:t>
            </w:r>
            <w:r>
              <w:rPr>
                <w:rFonts w:hint="eastAsia" w:cs="仿宋" w:asciiTheme="minorEastAsia" w:hAnsiTheme="minorEastAsia" w:eastAsiaTheme="minorEastAsia"/>
                <w:sz w:val="24"/>
                <w:highlight w:val="yellow"/>
                <w:lang w:val="en-US" w:eastAsia="zh-CN"/>
              </w:rPr>
              <w:t>12</w:t>
            </w:r>
            <w:r>
              <w:rPr>
                <w:rFonts w:hint="eastAsia" w:cs="仿宋" w:asciiTheme="minorEastAsia" w:hAnsiTheme="minorEastAsia" w:eastAsiaTheme="minorEastAsia"/>
                <w:sz w:val="24"/>
                <w:highlight w:val="yellow"/>
              </w:rPr>
              <w:t>日17时30分</w:t>
            </w:r>
            <w:r>
              <w:rPr>
                <w:rFonts w:hint="eastAsia" w:cs="仿宋" w:asciiTheme="minorEastAsia" w:hAnsiTheme="minorEastAsia" w:eastAsiaTheme="minorEastAsia"/>
                <w:sz w:val="24"/>
                <w:highlight w:val="yellow"/>
                <w:lang w:val="en-US" w:eastAsia="zh-CN"/>
              </w:rPr>
              <w:t>前</w:t>
            </w:r>
            <w:r>
              <w:rPr>
                <w:rFonts w:hint="eastAsia" w:cs="仿宋" w:asciiTheme="minorEastAsia" w:hAnsiTheme="minorEastAsia" w:eastAsiaTheme="minorEastAsia"/>
                <w:sz w:val="24"/>
                <w:highlight w:val="yellow"/>
              </w:rPr>
              <w:t xml:space="preserve">。                        </w:t>
            </w:r>
            <w:permEnd w:id="23"/>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4" w:edGrp="everyone"/>
            <w:r>
              <w:rPr>
                <w:rFonts w:hint="eastAsia" w:cs="仿宋" w:asciiTheme="minorEastAsia" w:hAnsiTheme="minorEastAsia" w:eastAsiaTheme="minorEastAsia"/>
                <w:sz w:val="24"/>
                <w:highlight w:val="yellow"/>
              </w:rPr>
              <w:t>确认的最晚时间：</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17</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cs="仿宋" w:asciiTheme="minorEastAsia" w:hAnsiTheme="minorEastAsia" w:eastAsiaTheme="minorEastAsia"/>
                <w:sz w:val="24"/>
                <w:highlight w:val="yellow"/>
              </w:rPr>
              <w:t>。</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 xml:space="preserve">确定的方式：收到纸质版文件为准                       </w:t>
            </w:r>
            <w:permEnd w:id="24"/>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t xml:space="preserve">资料名称：无                         </w:t>
            </w:r>
            <w:permEnd w:id="25"/>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有，最高限价：2</w:t>
            </w:r>
            <w:r>
              <w:rPr>
                <w:rFonts w:cs="仿宋" w:asciiTheme="minorEastAsia" w:hAnsiTheme="minorEastAsia" w:eastAsiaTheme="minorEastAsia"/>
                <w:sz w:val="24"/>
              </w:rPr>
              <w:t>6</w:t>
            </w:r>
            <w:r>
              <w:rPr>
                <w:rFonts w:hint="eastAsia" w:cs="仿宋" w:asciiTheme="minorEastAsia" w:hAnsiTheme="minorEastAsia" w:eastAsiaTheme="minorEastAsia"/>
                <w:sz w:val="24"/>
              </w:rPr>
              <w:t>万元</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t xml:space="preserve">递交响应文件截止之日起90日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t xml:space="preserve">        无                           </w:t>
            </w:r>
            <w:permEnd w:id="2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9" w:edGrp="everyone"/>
            <w:r>
              <w:rPr>
                <w:rFonts w:hint="eastAsia" w:cs="仿宋" w:asciiTheme="minorEastAsia" w:hAnsiTheme="minorEastAsia" w:eastAsiaTheme="minorEastAsia"/>
                <w:sz w:val="24"/>
              </w:rPr>
              <w:t xml:space="preserve">       无                            </w:t>
            </w:r>
            <w:permEnd w:id="2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4"/>
              </w:rPr>
            </w:pPr>
            <w:r>
              <w:rPr>
                <w:rStyle w:val="46"/>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30" w:edGrp="everyone"/>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适用。供应商在中华人民共和国境内注册。持有有效的营业执照（或事业单位法人证书），并具有独立法人资格。需提供法人营业执照(或事业单位法人证书)复印件（并加盖单位章）。</w:t>
            </w:r>
            <w:permEnd w:id="30"/>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6"/>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color w:val="000000"/>
                <w:sz w:val="24"/>
              </w:rPr>
            </w:pPr>
            <w:permStart w:id="31" w:edGrp="everyone"/>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4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适用。供应商应</w:t>
            </w:r>
            <w:r>
              <w:rPr>
                <w:rFonts w:hint="eastAsia" w:cs="宋体" w:asciiTheme="minorEastAsia" w:hAnsiTheme="minorEastAsia" w:eastAsiaTheme="minorEastAsia"/>
                <w:color w:val="000000"/>
                <w:sz w:val="24"/>
                <w:lang w:bidi="ar"/>
              </w:rPr>
              <w:t>在人员、设备、资金等方面具有相应的承揽能力；</w:t>
            </w:r>
            <w:r>
              <w:rPr>
                <w:rFonts w:hint="eastAsia" w:cs="宋体" w:asciiTheme="minorEastAsia" w:hAnsiTheme="minorEastAsia" w:eastAsiaTheme="minorEastAsia"/>
                <w:color w:val="000000"/>
                <w:sz w:val="24"/>
              </w:rPr>
              <w:t>（提供资质证书复印件）。</w:t>
            </w:r>
            <w:permEnd w:id="31"/>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2"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color w:val="000000"/>
                <w:sz w:val="24"/>
              </w:rPr>
            </w:pPr>
            <w:r>
              <w:rPr>
                <w:rStyle w:val="46"/>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3"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cyan"/>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highlight w:val="cyan"/>
                <w:u w:val="single"/>
                <w:shd w:val="clear" w:color="auto" w:fill="00B0F0"/>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highlight w:val="cyan"/>
              </w:rPr>
              <w:t>供应商近3年内完成过</w:t>
            </w:r>
            <w:r>
              <w:rPr>
                <w:rFonts w:hint="eastAsia" w:cs="宋体" w:asciiTheme="minorEastAsia" w:hAnsiTheme="minorEastAsia" w:eastAsiaTheme="minorEastAsia"/>
                <w:sz w:val="24"/>
                <w:highlight w:val="cyan"/>
              </w:rPr>
              <w:t>1个或以上通航安全类报告编制服务业绩</w:t>
            </w:r>
            <w:r>
              <w:rPr>
                <w:rFonts w:hint="eastAsia" w:cs="宋体" w:asciiTheme="minorEastAsia" w:hAnsiTheme="minorEastAsia" w:eastAsiaTheme="minorEastAsia"/>
                <w:sz w:val="24"/>
                <w:highlight w:val="cyan"/>
                <w:shd w:val="clear" w:color="auto" w:fill="00B0F0"/>
              </w:rPr>
              <w:t>，业绩时间以合同签订日期为准。供应商应提供近年的业绩情况表（</w:t>
            </w:r>
            <w:r>
              <w:rPr>
                <w:rFonts w:hint="eastAsia" w:cs="宋体" w:asciiTheme="minorEastAsia" w:hAnsiTheme="minorEastAsia" w:eastAsiaTheme="minorEastAsia"/>
                <w:color w:val="000000"/>
                <w:sz w:val="24"/>
                <w:highlight w:val="cyan"/>
                <w:shd w:val="clear" w:color="auto" w:fill="00B0F0"/>
              </w:rPr>
              <w:t>格式见第六章“响应文件格式”五、资格审查资料（三）近年的类似项目情况表），以证明供应商具有承担本项目要求的业绩。近3年是指</w:t>
            </w:r>
            <w:r>
              <w:rPr>
                <w:rFonts w:hint="eastAsia" w:cs="宋体" w:asciiTheme="minorEastAsia" w:hAnsiTheme="minorEastAsia" w:eastAsiaTheme="minorEastAsia"/>
                <w:color w:val="000000"/>
                <w:sz w:val="24"/>
                <w:highlight w:val="cyan"/>
                <w:u w:val="single"/>
                <w:shd w:val="clear" w:color="auto" w:fill="00B0F0"/>
              </w:rPr>
              <w:t xml:space="preserve"> 2020年9月 </w:t>
            </w:r>
            <w:r>
              <w:rPr>
                <w:rFonts w:hint="eastAsia" w:cs="宋体" w:asciiTheme="minorEastAsia" w:hAnsiTheme="minorEastAsia" w:eastAsiaTheme="minorEastAsia"/>
                <w:color w:val="000000"/>
                <w:sz w:val="24"/>
                <w:highlight w:val="cyan"/>
                <w:shd w:val="clear" w:color="auto" w:fill="00B0F0"/>
              </w:rPr>
              <w:t>至</w:t>
            </w:r>
            <w:r>
              <w:rPr>
                <w:rFonts w:hint="eastAsia" w:cs="宋体" w:asciiTheme="minorEastAsia" w:hAnsiTheme="minorEastAsia" w:eastAsiaTheme="minorEastAsia"/>
                <w:color w:val="000000"/>
                <w:sz w:val="24"/>
                <w:highlight w:val="cyan"/>
                <w:u w:val="single"/>
                <w:shd w:val="clear" w:color="auto" w:fill="00B0F0"/>
              </w:rPr>
              <w:t xml:space="preserve"> 2023年9月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wordWrap w:val="0"/>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其他材料</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5"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项目负责人具有中级工程师或以上职称。供应商应提供拟委任的主要人员汇总表和主要人员简历表（格式见第六章“响应文件格式”五、资格审查资料（四）拟委任的主要人员汇总表和（五）主要人员简历表）。</w:t>
            </w:r>
          </w:p>
          <w:p>
            <w:pPr>
              <w:widowControl w:val="0"/>
              <w:wordWrap w:val="0"/>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供应商应按如下要求提供相关证明文件：</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1.供应商必须在《主要人员简历表》后附上身份证、毕业证、职称证等。</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2.供应商拟投入的人员年龄不得超过60周岁（按投标文件截止之日计算年龄）。</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6"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2"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适用，供应商名称、（项目名称）响应文件 、联系方式                            </w:t>
            </w:r>
            <w:bookmarkStart w:id="73" w:name="_GoBack"/>
            <w:bookmarkEnd w:id="73"/>
            <w:r>
              <w:rPr>
                <w:rFonts w:hint="eastAsia" w:cs="宋体" w:asciiTheme="minorEastAsia" w:hAnsiTheme="minorEastAsia" w:eastAsiaTheme="minorEastAsia"/>
                <w:color w:val="000000"/>
                <w:sz w:val="24"/>
              </w:rPr>
              <w:t xml:space="preserve">        </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r>
              <w:rPr>
                <w:rFonts w:hint="eastAsia" w:cs="宋体" w:asciiTheme="minorEastAsia" w:hAnsiTheme="minorEastAsia" w:eastAsiaTheme="minorEastAsia"/>
                <w:color w:val="auto"/>
                <w:sz w:val="24"/>
              </w:rPr>
              <w:t>截止时间：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hint="eastAsia" w:ascii="宋体" w:hAnsi="宋体"/>
                <w:color w:val="auto"/>
                <w:sz w:val="24"/>
                <w:highlight w:val="none"/>
              </w:rPr>
              <w:t>年</w:t>
            </w:r>
            <w:r>
              <w:rPr>
                <w:rFonts w:hint="eastAsia" w:ascii="宋体" w:hAnsi="宋体"/>
                <w:color w:val="auto"/>
                <w:sz w:val="24"/>
                <w:highlight w:val="none"/>
                <w:u w:val="single"/>
                <w:lang w:val="en-US" w:eastAsia="zh-CN"/>
              </w:rPr>
              <w:t>10</w:t>
            </w:r>
            <w:r>
              <w:rPr>
                <w:rFonts w:hint="eastAsia" w:ascii="宋体" w:hAnsi="宋体"/>
                <w:color w:val="auto"/>
                <w:sz w:val="24"/>
                <w:highlight w:val="none"/>
              </w:rPr>
              <w:t>月</w:t>
            </w:r>
            <w:r>
              <w:rPr>
                <w:rFonts w:hint="eastAsia" w:ascii="宋体" w:hAnsi="宋体"/>
                <w:color w:val="auto"/>
                <w:sz w:val="24"/>
                <w:highlight w:val="none"/>
                <w:u w:val="single"/>
                <w:lang w:val="en-US" w:eastAsia="zh-CN"/>
              </w:rPr>
              <w:t>17</w:t>
            </w:r>
            <w:r>
              <w:rPr>
                <w:rFonts w:hint="eastAsia" w:ascii="宋体" w:hAnsi="宋体"/>
                <w:color w:val="auto"/>
                <w:sz w:val="24"/>
                <w:highlight w:val="none"/>
              </w:rPr>
              <w:t>日</w:t>
            </w:r>
            <w:r>
              <w:rPr>
                <w:rFonts w:hint="eastAsia" w:ascii="宋体" w:hAnsi="宋体"/>
                <w:color w:val="auto"/>
                <w:sz w:val="24"/>
                <w:highlight w:val="none"/>
                <w:lang w:val="en-US" w:eastAsia="zh-CN"/>
              </w:rPr>
              <w:t>上午</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2</w:t>
            </w:r>
            <w:r>
              <w:rPr>
                <w:rFonts w:hint="eastAsia" w:ascii="宋体" w:hAnsi="宋体"/>
                <w:color w:val="auto"/>
                <w:sz w:val="24"/>
                <w:highlight w:val="none"/>
              </w:rPr>
              <w:t>时</w:t>
            </w:r>
            <w:r>
              <w:rPr>
                <w:rFonts w:hint="eastAsia" w:ascii="宋体" w:hAnsi="宋体"/>
                <w:color w:val="auto"/>
                <w:sz w:val="24"/>
                <w:highlight w:val="none"/>
                <w:u w:val="single"/>
                <w:lang w:val="en-US" w:eastAsia="zh-CN"/>
              </w:rPr>
              <w:t>0</w:t>
            </w:r>
            <w:r>
              <w:rPr>
                <w:rFonts w:hint="eastAsia" w:ascii="宋体" w:hAnsi="宋体"/>
                <w:color w:val="auto"/>
                <w:sz w:val="24"/>
                <w:highlight w:val="none"/>
                <w:u w:val="single"/>
              </w:rPr>
              <w:t>0</w:t>
            </w:r>
            <w:r>
              <w:rPr>
                <w:rFonts w:hint="eastAsia" w:ascii="宋体" w:hAnsi="宋体"/>
                <w:color w:val="auto"/>
                <w:sz w:val="24"/>
                <w:highlight w:val="none"/>
              </w:rPr>
              <w:t>分</w:t>
            </w:r>
            <w:r>
              <w:rPr>
                <w:rFonts w:hint="eastAsia" w:cs="仿宋" w:asciiTheme="minorEastAsia" w:hAnsiTheme="minorEastAsia" w:eastAsiaTheme="minorEastAsia"/>
                <w:color w:val="auto"/>
                <w:sz w:val="24"/>
                <w:highlight w:val="yellow"/>
              </w:rPr>
              <w:t>。</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递交响应文件的地点：</w:t>
            </w:r>
            <w:r>
              <w:rPr>
                <w:rFonts w:hint="eastAsia" w:cs="宋体" w:asciiTheme="minorEastAsia" w:hAnsiTheme="minorEastAsia" w:eastAsiaTheme="minorEastAsia"/>
                <w:color w:val="auto"/>
                <w:sz w:val="24"/>
                <w:u w:val="single"/>
              </w:rPr>
              <w:t xml:space="preserve"> </w:t>
            </w:r>
            <w:r>
              <w:rPr>
                <w:rFonts w:hint="eastAsia"/>
                <w:color w:val="auto"/>
                <w:sz w:val="24"/>
                <w:u w:val="single"/>
              </w:rPr>
              <w:t>湖南省岳阳市城陵矶新港有限公司办公楼307室</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4"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□是，退还时间：</w:t>
            </w:r>
            <w:r>
              <w:rPr>
                <w:rFonts w:hint="eastAsia" w:cs="宋体" w:asciiTheme="minorEastAsia" w:hAnsiTheme="minorEastAsia" w:eastAsiaTheme="minorEastAsia"/>
                <w:color w:val="auto"/>
                <w:sz w:val="24"/>
                <w:u w:val="single"/>
              </w:rPr>
              <w:t xml:space="preserve">                   </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湖南省港务集团有限公司</w:t>
            </w:r>
            <w:r>
              <w:rPr>
                <w:rFonts w:cs="宋体" w:asciiTheme="minorEastAsia" w:hAnsiTheme="minorEastAsia" w:eastAsiaTheme="minorEastAsia"/>
                <w:color w:val="auto"/>
                <w:sz w:val="24"/>
              </w:rPr>
              <w:t>602开标室</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cs="宋体" w:asciiTheme="minorEastAsia" w:hAnsiTheme="minorEastAsia" w:eastAsiaTheme="minorEastAsia"/>
                <w:color w:val="000000"/>
                <w:sz w:val="24"/>
                <w:u w:val="single"/>
              </w:rPr>
              <w:t xml:space="preserve"> </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1"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5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2"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2"/>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3" w:edGrp="everyone"/>
      <w:r>
        <w:rPr>
          <w:rFonts w:hint="eastAsia" w:ascii="华文中宋" w:hAnsi="华文中宋" w:eastAsia="华文中宋" w:cs="仿宋"/>
          <w:b/>
          <w:bCs/>
          <w:sz w:val="30"/>
          <w:szCs w:val="30"/>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7"/>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1"/>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1"/>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1"/>
        <w:spacing w:line="312" w:lineRule="auto"/>
        <w:ind w:firstLine="480"/>
        <w:rPr>
          <w:rFonts w:hAnsi="宋体" w:eastAsia="宋体" w:cs="仿宋"/>
          <w:sz w:val="24"/>
          <w:szCs w:val="24"/>
        </w:rPr>
      </w:pPr>
      <w:r>
        <w:rPr>
          <w:rFonts w:hint="eastAsia" w:hAnsi="宋体" w:eastAsia="宋体" w:cs="仿宋"/>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ermEnd w:id="53"/>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2"/>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40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spacing w:line="240" w:lineRule="auto"/>
              <w:jc w:val="left"/>
              <w:rPr>
                <w:rFonts w:cs="仿宋" w:asciiTheme="minorEastAsia" w:hAnsiTheme="minorEastAsia" w:eastAsiaTheme="minorEastAsia"/>
                <w:szCs w:val="21"/>
              </w:rPr>
            </w:pPr>
            <w:r>
              <w:rPr>
                <w:rFonts w:hint="eastAsia" w:asciiTheme="minorEastAsia" w:hAnsiTheme="minorEastAsia" w:eastAsiaTheme="minorEastAsia"/>
                <w:szCs w:val="21"/>
              </w:rPr>
              <w:t>通过初步评审的最低评审价格为评审基准价，其供应商报价分为满分。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p>
          <w:p>
            <w:pPr>
              <w:widowControl/>
              <w:adjustRightInd w:val="0"/>
              <w:snapToGrid w:val="0"/>
              <w:spacing w:line="288" w:lineRule="auto"/>
              <w:jc w:val="both"/>
              <w:rPr>
                <w:rFonts w:cs="仿宋" w:asciiTheme="minorEastAsia" w:hAnsiTheme="minorEastAsia" w:eastAsiaTheme="minorEastAsia"/>
                <w:szCs w:val="21"/>
              </w:rPr>
            </w:pPr>
          </w:p>
          <w:p>
            <w:pPr>
              <w:widowControl/>
              <w:adjustRightInd w:val="0"/>
              <w:snapToGrid w:val="0"/>
              <w:spacing w:line="288" w:lineRule="auto"/>
              <w:jc w:val="both"/>
              <w:rPr>
                <w:rFonts w:cs="仿宋" w:asciiTheme="minorEastAsia" w:hAnsiTheme="minorEastAsia" w:eastAsiaTheme="minorEastAsia"/>
                <w:szCs w:val="21"/>
              </w:rPr>
            </w:pPr>
          </w:p>
          <w:p>
            <w:pPr>
              <w:widowControl/>
              <w:adjustRightInd w:val="0"/>
              <w:snapToGrid w:val="0"/>
              <w:spacing w:line="288" w:lineRule="auto"/>
              <w:jc w:val="both"/>
              <w:rPr>
                <w:rFonts w:cs="仿宋" w:asciiTheme="minorEastAsia" w:hAnsiTheme="minorEastAsia" w:eastAsiaTheme="minorEastAsia"/>
                <w:szCs w:val="21"/>
              </w:rPr>
            </w:pPr>
          </w:p>
          <w:p>
            <w:pPr>
              <w:widowControl/>
              <w:adjustRightInd w:val="0"/>
              <w:snapToGrid w:val="0"/>
              <w:spacing w:line="288" w:lineRule="auto"/>
              <w:jc w:val="both"/>
              <w:rPr>
                <w:rFonts w:cs="仿宋" w:asciiTheme="minorEastAsia" w:hAnsiTheme="minorEastAsia" w:eastAsiaTheme="minorEastAsia"/>
                <w:szCs w:val="21"/>
              </w:rPr>
            </w:pPr>
          </w:p>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2825" w:type="dxa"/>
            <w:gridSpan w:val="2"/>
          </w:tcPr>
          <w:p>
            <w:pPr>
              <w:widowControl/>
              <w:adjustRightInd w:val="0"/>
              <w:snapToGrid w:val="0"/>
              <w:spacing w:line="288" w:lineRule="auto"/>
              <w:jc w:val="center"/>
              <w:rPr>
                <w:rFonts w:ascii="宋体" w:hAnsi="宋体"/>
                <w:color w:val="000000"/>
                <w:szCs w:val="21"/>
              </w:rPr>
            </w:pPr>
          </w:p>
          <w:p>
            <w:pPr>
              <w:widowControl/>
              <w:adjustRightInd w:val="0"/>
              <w:snapToGrid w:val="0"/>
              <w:spacing w:line="288" w:lineRule="auto"/>
              <w:jc w:val="center"/>
              <w:rPr>
                <w:rFonts w:ascii="宋体" w:hAnsi="宋体"/>
                <w:color w:val="000000"/>
                <w:szCs w:val="21"/>
              </w:rPr>
            </w:pPr>
          </w:p>
          <w:p>
            <w:pPr>
              <w:widowControl/>
              <w:adjustRightInd w:val="0"/>
              <w:snapToGrid w:val="0"/>
              <w:spacing w:line="288" w:lineRule="auto"/>
              <w:jc w:val="center"/>
              <w:rPr>
                <w:rFonts w:ascii="宋体" w:hAnsi="宋体"/>
                <w:color w:val="000000"/>
                <w:szCs w:val="21"/>
              </w:rPr>
            </w:pPr>
          </w:p>
          <w:p>
            <w:pPr>
              <w:widowControl/>
              <w:adjustRightInd w:val="0"/>
              <w:snapToGrid w:val="0"/>
              <w:spacing w:line="288" w:lineRule="auto"/>
              <w:jc w:val="center"/>
              <w:rPr>
                <w:rFonts w:ascii="宋体" w:hAnsi="宋体"/>
                <w:color w:val="000000"/>
                <w:szCs w:val="21"/>
              </w:rPr>
            </w:pPr>
          </w:p>
          <w:p>
            <w:pPr>
              <w:widowControl/>
              <w:adjustRightInd w:val="0"/>
              <w:snapToGrid w:val="0"/>
              <w:spacing w:line="288" w:lineRule="auto"/>
              <w:jc w:val="center"/>
              <w:rPr>
                <w:rFonts w:ascii="宋体" w:hAnsi="宋体"/>
                <w:szCs w:val="21"/>
              </w:rPr>
            </w:pPr>
            <w:r>
              <w:rPr>
                <w:rFonts w:hint="eastAsia" w:ascii="宋体" w:hAnsi="宋体"/>
                <w:color w:val="000000"/>
                <w:szCs w:val="21"/>
              </w:rPr>
              <w:t>评标基准价计算办法</w:t>
            </w:r>
          </w:p>
        </w:tc>
        <w:tc>
          <w:tcPr>
            <w:tcW w:w="5676" w:type="dxa"/>
          </w:tcPr>
          <w:p>
            <w:pPr>
              <w:widowControl w:val="0"/>
              <w:adjustRightInd w:val="0"/>
              <w:jc w:val="both"/>
              <w:rPr>
                <w:rFonts w:ascii="宋体" w:hAnsi="宋体"/>
                <w:color w:val="000000"/>
                <w:szCs w:val="21"/>
              </w:rPr>
            </w:pPr>
            <w:r>
              <w:rPr>
                <w:rFonts w:hint="eastAsia" w:ascii="宋体" w:hAnsi="宋体"/>
                <w:color w:val="000000"/>
                <w:szCs w:val="21"/>
              </w:rPr>
              <w:t>评标基准价的确定：</w:t>
            </w:r>
          </w:p>
          <w:p>
            <w:pPr>
              <w:widowControl w:val="0"/>
              <w:adjustRightInd w:val="0"/>
              <w:jc w:val="both"/>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 xml:space="preserve"> 理论成本价</w:t>
            </w:r>
            <w:r>
              <w:rPr>
                <w:rFonts w:hint="eastAsia" w:ascii="宋体" w:hAnsi="宋体"/>
                <w:color w:val="000000"/>
                <w:szCs w:val="21"/>
              </w:rPr>
              <w:t>的确定:</w:t>
            </w:r>
          </w:p>
          <w:p>
            <w:pPr>
              <w:widowControl w:val="0"/>
              <w:adjustRightInd w:val="0"/>
              <w:snapToGrid w:val="0"/>
              <w:ind w:firstLine="151" w:firstLineChars="72"/>
              <w:jc w:val="both"/>
              <w:rPr>
                <w:rFonts w:ascii="宋体" w:hAnsi="宋体"/>
                <w:color w:val="000000"/>
                <w:szCs w:val="21"/>
              </w:rPr>
            </w:pPr>
            <w:r>
              <w:rPr>
                <w:rFonts w:ascii="宋体" w:hAnsi="宋体"/>
                <w:color w:val="000000"/>
                <w:szCs w:val="21"/>
              </w:rPr>
              <w:t>理论成本价</w:t>
            </w:r>
            <w:r>
              <w:rPr>
                <w:rFonts w:hint="eastAsia" w:ascii="宋体" w:hAnsi="宋体"/>
                <w:color w:val="000000"/>
                <w:szCs w:val="21"/>
              </w:rPr>
              <w:t>＝（招标人最高投标限价</w:t>
            </w:r>
            <w:r>
              <w:rPr>
                <w:rFonts w:ascii="宋体" w:hAnsi="宋体"/>
                <w:color w:val="000000"/>
                <w:szCs w:val="21"/>
              </w:rPr>
              <w:t>×</w:t>
            </w:r>
            <w:r>
              <w:rPr>
                <w:rFonts w:hint="eastAsia" w:ascii="宋体" w:hAnsi="宋体"/>
                <w:color w:val="000000"/>
                <w:szCs w:val="21"/>
              </w:rPr>
              <w:t>6</w:t>
            </w:r>
            <w:r>
              <w:rPr>
                <w:rFonts w:ascii="宋体" w:hAnsi="宋体"/>
                <w:color w:val="000000"/>
                <w:szCs w:val="21"/>
              </w:rPr>
              <w:t>0％＋</w:t>
            </w:r>
            <w:r>
              <w:rPr>
                <w:rFonts w:hint="eastAsia" w:ascii="宋体" w:hAnsi="宋体"/>
                <w:color w:val="000000"/>
                <w:szCs w:val="21"/>
              </w:rPr>
              <w:t>通过初步评审的所有投标人投标报价</w:t>
            </w:r>
            <w:r>
              <w:rPr>
                <w:rFonts w:ascii="宋体" w:hAnsi="宋体"/>
                <w:color w:val="000000"/>
                <w:szCs w:val="21"/>
              </w:rPr>
              <w:t>的算术平均值×</w:t>
            </w:r>
            <w:r>
              <w:rPr>
                <w:rFonts w:hint="eastAsia" w:ascii="宋体" w:hAnsi="宋体"/>
                <w:color w:val="000000"/>
                <w:szCs w:val="21"/>
              </w:rPr>
              <w:t>4</w:t>
            </w:r>
            <w:r>
              <w:rPr>
                <w:rFonts w:ascii="宋体" w:hAnsi="宋体"/>
                <w:color w:val="000000"/>
                <w:szCs w:val="21"/>
              </w:rPr>
              <w:t>0％</w:t>
            </w:r>
            <w:r>
              <w:rPr>
                <w:rFonts w:hint="eastAsia" w:ascii="宋体" w:hAnsi="宋体"/>
                <w:color w:val="000000"/>
                <w:szCs w:val="21"/>
              </w:rPr>
              <w:t>）</w:t>
            </w:r>
            <w:r>
              <w:rPr>
                <w:rFonts w:ascii="宋体" w:hAnsi="宋体"/>
                <w:color w:val="000000"/>
                <w:szCs w:val="21"/>
              </w:rPr>
              <w:t>×0.</w:t>
            </w:r>
            <w:r>
              <w:rPr>
                <w:rFonts w:hint="eastAsia" w:ascii="宋体" w:hAnsi="宋体"/>
                <w:color w:val="000000"/>
                <w:szCs w:val="21"/>
              </w:rPr>
              <w:t>88。</w:t>
            </w:r>
          </w:p>
          <w:p>
            <w:pPr>
              <w:widowControl w:val="0"/>
              <w:adjustRightInd w:val="0"/>
              <w:jc w:val="both"/>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 满足招标文件要求且投标价格最低的投标报价（低于理论成本价的除外）为评标基准价，其报价分为满分。</w:t>
            </w:r>
          </w:p>
          <w:p>
            <w:pPr>
              <w:widowControl/>
              <w:tabs>
                <w:tab w:val="left" w:pos="2108"/>
              </w:tabs>
              <w:adjustRightInd w:val="0"/>
              <w:snapToGrid w:val="0"/>
              <w:spacing w:line="288" w:lineRule="auto"/>
              <w:jc w:val="both"/>
              <w:rPr>
                <w:rFonts w:asciiTheme="minorEastAsia" w:hAnsiTheme="minorEastAsia" w:eastAsiaTheme="minorEastAsia"/>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）投标人投标报价低于理论成本价的，其投标将被否决，作废标处理。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2825" w:type="dxa"/>
            <w:gridSpan w:val="2"/>
          </w:tcPr>
          <w:p>
            <w:pPr>
              <w:widowControl/>
              <w:adjustRightInd w:val="0"/>
              <w:snapToGrid w:val="0"/>
              <w:spacing w:line="288" w:lineRule="auto"/>
              <w:jc w:val="center"/>
              <w:rPr>
                <w:rFonts w:ascii="宋体" w:hAnsi="宋体"/>
                <w:szCs w:val="21"/>
              </w:rPr>
            </w:pPr>
          </w:p>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通过初步评审的最低评审价格</w:t>
            </w:r>
            <w:r>
              <w:rPr>
                <w:rFonts w:hint="eastAsia" w:ascii="宋体" w:hAnsi="宋体"/>
                <w:color w:val="000000"/>
                <w:szCs w:val="21"/>
              </w:rPr>
              <w:t>（低于理论成本价的除外）</w:t>
            </w:r>
            <w:r>
              <w:rPr>
                <w:rFonts w:hint="eastAsia" w:asciiTheme="minorEastAsia" w:hAnsiTheme="minorEastAsia" w:eastAsiaTheme="minorEastAsia"/>
                <w:szCs w:val="21"/>
              </w:rPr>
              <w:t>为评审基准价，其供应商报价分为满分。其他供应商的报价分统一按照下列公式计算：报价得分＝（评审基准价／评审价格）</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30   </w:t>
            </w:r>
            <w:r>
              <w:rPr>
                <w:rFonts w:hint="eastAsia" w:asciiTheme="minorEastAsia" w:hAnsiTheme="minorEastAsia" w:eastAsiaTheme="minorEastAsia"/>
                <w:szCs w:val="21"/>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490" w:lineRule="exact"/>
        <w:jc w:val="center"/>
        <w:outlineLvl w:val="0"/>
        <w:rPr>
          <w:rFonts w:ascii="黑体" w:hAnsi="黑体" w:eastAsia="黑体" w:cs="宋体"/>
          <w:kern w:val="44"/>
          <w:sz w:val="32"/>
          <w:szCs w:val="32"/>
        </w:rPr>
      </w:pPr>
      <w:r>
        <w:rPr>
          <w:rFonts w:hint="eastAsia" w:ascii="黑体" w:hAnsi="黑体" w:eastAsia="黑体" w:cs="宋体"/>
          <w:kern w:val="44"/>
          <w:sz w:val="32"/>
          <w:szCs w:val="32"/>
        </w:rPr>
        <w:t>商务部分评分表</w:t>
      </w:r>
    </w:p>
    <w:p>
      <w:pPr>
        <w:snapToGrid w:val="0"/>
        <w:spacing w:line="400" w:lineRule="exact"/>
        <w:jc w:val="both"/>
        <w:rPr>
          <w:rFonts w:ascii="宋体" w:hAnsi="宋体"/>
          <w:sz w:val="24"/>
        </w:rPr>
      </w:pPr>
      <w:r>
        <w:rPr>
          <w:rFonts w:hint="eastAsia" w:ascii="宋体" w:hAnsi="宋体"/>
          <w:sz w:val="24"/>
        </w:rPr>
        <w:t xml:space="preserve">              </w:t>
      </w:r>
    </w:p>
    <w:tbl>
      <w:tblPr>
        <w:tblStyle w:val="43"/>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35"/>
        <w:gridCol w:w="4550"/>
        <w:gridCol w:w="690"/>
        <w:gridCol w:w="79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635"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550"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2160"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635"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550"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69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795"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kern w:val="0"/>
                <w:sz w:val="24"/>
              </w:rPr>
            </w:pPr>
            <w:r>
              <w:rPr>
                <w:rFonts w:hint="eastAsia" w:ascii="宋体" w:hAnsi="宋体" w:cs="宋体"/>
                <w:kern w:val="0"/>
                <w:sz w:val="24"/>
              </w:rPr>
              <w:t>1</w:t>
            </w:r>
          </w:p>
        </w:tc>
        <w:tc>
          <w:tcPr>
            <w:tcW w:w="163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kern w:val="0"/>
                <w:sz w:val="24"/>
              </w:rPr>
            </w:pPr>
            <w:r>
              <w:rPr>
                <w:rFonts w:hint="eastAsia" w:ascii="宋体" w:hAnsi="宋体" w:cs="宋体"/>
                <w:sz w:val="24"/>
              </w:rPr>
              <w:t>投标人与项目类似的具体业绩</w:t>
            </w:r>
            <w:r>
              <w:rPr>
                <w:rFonts w:hint="eastAsia" w:ascii="宋体" w:hAnsi="宋体" w:cs="宋体"/>
                <w:color w:val="000000"/>
                <w:sz w:val="24"/>
              </w:rPr>
              <w:t>（30分）</w:t>
            </w:r>
          </w:p>
        </w:tc>
        <w:tc>
          <w:tcPr>
            <w:tcW w:w="4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sz w:val="24"/>
              </w:rPr>
            </w:pPr>
            <w:r>
              <w:rPr>
                <w:rFonts w:hint="eastAsia" w:ascii="宋体" w:hAnsi="宋体" w:cs="宋体"/>
                <w:sz w:val="24"/>
              </w:rPr>
              <w:t>满足资格审查条件的计18分。</w:t>
            </w:r>
          </w:p>
          <w:p>
            <w:pPr>
              <w:adjustRightInd w:val="0"/>
              <w:snapToGrid w:val="0"/>
              <w:spacing w:line="276" w:lineRule="auto"/>
              <w:jc w:val="both"/>
              <w:rPr>
                <w:rFonts w:ascii="宋体" w:hAnsi="宋体" w:cs="宋体"/>
                <w:sz w:val="24"/>
              </w:rPr>
            </w:pPr>
            <w:r>
              <w:rPr>
                <w:rFonts w:hint="eastAsia" w:ascii="宋体" w:hAnsi="宋体" w:cs="宋体"/>
                <w:sz w:val="24"/>
              </w:rPr>
              <w:t>近3年每额外增加1个通航安全类工作业绩，加4分，本项加分项最高加12分。（提供合同复印件并加盖公章，否则不计分）</w:t>
            </w:r>
          </w:p>
        </w:tc>
        <w:tc>
          <w:tcPr>
            <w:tcW w:w="69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kern w:val="0"/>
                <w:sz w:val="24"/>
              </w:rPr>
            </w:pPr>
          </w:p>
        </w:tc>
        <w:tc>
          <w:tcPr>
            <w:tcW w:w="795"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kern w:val="0"/>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kern w:val="0"/>
                <w:sz w:val="24"/>
              </w:rPr>
            </w:pPr>
            <w:r>
              <w:rPr>
                <w:rFonts w:hint="eastAsia" w:ascii="宋体" w:hAnsi="宋体" w:cs="宋体"/>
                <w:kern w:val="0"/>
                <w:sz w:val="24"/>
              </w:rPr>
              <w:t>2</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sz w:val="24"/>
              </w:rPr>
              <w:t>拟投入本项目的人员资格和能力</w:t>
            </w:r>
            <w:r>
              <w:rPr>
                <w:rFonts w:hint="eastAsia" w:ascii="宋体" w:hAnsi="宋体" w:cs="宋体"/>
                <w:color w:val="000000"/>
                <w:sz w:val="24"/>
              </w:rPr>
              <w:t xml:space="preserve"> （10分）</w:t>
            </w:r>
          </w:p>
        </w:tc>
        <w:tc>
          <w:tcPr>
            <w:tcW w:w="45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sz w:val="24"/>
              </w:rPr>
            </w:pPr>
            <w:r>
              <w:rPr>
                <w:rFonts w:hint="eastAsia" w:ascii="宋体" w:hAnsi="宋体" w:cs="宋体"/>
                <w:sz w:val="24"/>
              </w:rPr>
              <w:t>满足资格审查条件的计6分。</w:t>
            </w:r>
          </w:p>
          <w:p>
            <w:pPr>
              <w:adjustRightInd w:val="0"/>
              <w:snapToGrid w:val="0"/>
              <w:spacing w:line="276" w:lineRule="auto"/>
              <w:jc w:val="both"/>
              <w:rPr>
                <w:rFonts w:ascii="宋体" w:hAnsi="宋体" w:cs="宋体"/>
                <w:bCs/>
                <w:sz w:val="24"/>
              </w:rPr>
            </w:pPr>
            <w:r>
              <w:rPr>
                <w:rFonts w:hint="eastAsia" w:ascii="宋体" w:hAnsi="宋体" w:cs="宋体"/>
                <w:sz w:val="24"/>
              </w:rPr>
              <w:t>拟派的主要人员具有高级</w:t>
            </w:r>
            <w:r>
              <w:rPr>
                <w:rFonts w:hint="eastAsia" w:ascii="宋体" w:hAnsi="宋体" w:cs="宋体"/>
                <w:sz w:val="24"/>
                <w:lang w:val="en-US" w:eastAsia="zh-CN"/>
              </w:rPr>
              <w:t>或以上</w:t>
            </w:r>
            <w:r>
              <w:rPr>
                <w:rFonts w:hint="eastAsia" w:ascii="宋体" w:hAnsi="宋体" w:cs="宋体"/>
                <w:sz w:val="24"/>
              </w:rPr>
              <w:t>职称加4分。（提供证书复印件并加盖公章，否则不计分）</w:t>
            </w:r>
          </w:p>
        </w:tc>
        <w:tc>
          <w:tcPr>
            <w:tcW w:w="69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kern w:val="0"/>
                <w:sz w:val="24"/>
              </w:rPr>
            </w:pPr>
          </w:p>
        </w:tc>
        <w:tc>
          <w:tcPr>
            <w:tcW w:w="795"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kern w:val="0"/>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b/>
                <w:kern w:val="0"/>
                <w:szCs w:val="21"/>
              </w:rPr>
              <w:t xml:space="preserve">合    计     </w:t>
            </w:r>
            <w:r>
              <w:rPr>
                <w:rFonts w:ascii="宋体" w:hAnsi="宋体"/>
                <w:b/>
                <w:kern w:val="0"/>
                <w:szCs w:val="21"/>
              </w:rPr>
              <w:t>4</w:t>
            </w:r>
            <w:r>
              <w:rPr>
                <w:rFonts w:hint="eastAsia" w:ascii="宋体" w:hAnsi="宋体"/>
                <w:b/>
                <w:kern w:val="0"/>
                <w:szCs w:val="21"/>
              </w:rPr>
              <w:t>0   分</w:t>
            </w:r>
          </w:p>
        </w:tc>
        <w:tc>
          <w:tcPr>
            <w:tcW w:w="69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795"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ind w:left="399" w:leftChars="190"/>
        <w:jc w:val="both"/>
        <w:rPr>
          <w:rFonts w:ascii="宋体" w:hAnsi="宋体"/>
          <w:b/>
          <w:kern w:val="0"/>
          <w:szCs w:val="21"/>
        </w:rPr>
      </w:pPr>
    </w:p>
    <w:p>
      <w:pPr>
        <w:widowControl w:val="0"/>
        <w:adjustRightInd w:val="0"/>
        <w:snapToGrid w:val="0"/>
        <w:spacing w:line="312" w:lineRule="auto"/>
        <w:ind w:left="399" w:leftChars="190"/>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本表由评审（谈判）小组集体评议，统一计分。评审（谈判）小组成员中对结论有不同意见时，按少数服从多数的原则，确定得分。</w:t>
      </w:r>
    </w:p>
    <w:p>
      <w:pPr>
        <w:widowControl w:val="0"/>
        <w:adjustRightInd w:val="0"/>
        <w:snapToGrid w:val="0"/>
        <w:spacing w:line="312" w:lineRule="auto"/>
        <w:ind w:left="399" w:leftChars="190" w:firstLine="0" w:firstLineChars="0"/>
        <w:jc w:val="both"/>
        <w:rPr>
          <w:rFonts w:ascii="宋体" w:hAnsi="宋体"/>
          <w:kern w:val="0"/>
          <w:szCs w:val="21"/>
        </w:rPr>
      </w:pPr>
      <w:r>
        <w:rPr>
          <w:rFonts w:hint="eastAsia" w:ascii="宋体" w:hAnsi="宋体"/>
          <w:kern w:val="0"/>
          <w:szCs w:val="21"/>
        </w:rPr>
        <w:t>2、各评分因素中基本合理项的最低分值不得低于该评分因素和评分标准最高分值的60%。</w:t>
      </w:r>
      <w:r>
        <w:rPr>
          <w:rFonts w:hint="eastAsia" w:ascii="宋体" w:hAnsi="宋体"/>
          <w:szCs w:val="21"/>
        </w:rPr>
        <w:t>评审（谈判）小组</w:t>
      </w:r>
      <w:r>
        <w:rPr>
          <w:rFonts w:hint="eastAsia" w:ascii="宋体" w:hAnsi="宋体"/>
          <w:kern w:val="0"/>
          <w:szCs w:val="21"/>
        </w:rPr>
        <w:t>对某评分因素评审计分低于该评分因素和评分标准最高分值的60%的，评委应说明原因。</w:t>
      </w:r>
    </w:p>
    <w:p>
      <w:pPr>
        <w:widowControl w:val="0"/>
        <w:jc w:val="both"/>
        <w:rPr>
          <w:rFonts w:ascii="宋体" w:hAnsi="宋体"/>
          <w:sz w:val="24"/>
        </w:rPr>
      </w:pPr>
    </w:p>
    <w:p>
      <w:pPr>
        <w:widowControl w:val="0"/>
        <w:jc w:val="both"/>
        <w:rPr>
          <w:rFonts w:ascii="宋体" w:hAnsi="宋体"/>
          <w:sz w:val="24"/>
        </w:rPr>
      </w:pPr>
    </w:p>
    <w:p>
      <w:pPr>
        <w:widowControl w:val="0"/>
        <w:ind w:firstLine="480" w:firstLineChars="200"/>
        <w:jc w:val="both"/>
        <w:rPr>
          <w:rFonts w:ascii="宋体" w:hAnsi="宋体"/>
          <w:bCs/>
          <w:sz w:val="24"/>
        </w:rPr>
      </w:pPr>
      <w:r>
        <w:rPr>
          <w:rFonts w:hint="eastAsia" w:ascii="宋体" w:hAnsi="宋体"/>
          <w:sz w:val="24"/>
        </w:rPr>
        <w:t>评审（谈判）小组</w:t>
      </w:r>
      <w:r>
        <w:rPr>
          <w:rFonts w:ascii="宋体" w:hAnsi="宋体"/>
          <w:sz w:val="24"/>
        </w:rPr>
        <w:t>全体成员签字：</w:t>
      </w:r>
    </w:p>
    <w:p>
      <w:pPr>
        <w:widowControl w:val="0"/>
        <w:snapToGrid w:val="0"/>
        <w:spacing w:line="240" w:lineRule="auto"/>
        <w:jc w:val="both"/>
        <w:outlineLvl w:val="2"/>
        <w:rPr>
          <w:rFonts w:ascii="黑体" w:hAnsi="黑体" w:eastAsia="黑体"/>
          <w:sz w:val="32"/>
          <w:szCs w:val="32"/>
        </w:rPr>
      </w:pPr>
    </w:p>
    <w:p>
      <w:pPr>
        <w:widowControl w:val="0"/>
        <w:snapToGrid w:val="0"/>
        <w:spacing w:line="240" w:lineRule="auto"/>
        <w:jc w:val="both"/>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pStyle w:val="14"/>
        <w:ind w:firstLine="0" w:firstLineChars="0"/>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pStyle w:val="42"/>
        <w:ind w:firstLine="640"/>
        <w:rPr>
          <w:rFonts w:ascii="黑体" w:hAnsi="黑体" w:eastAsia="黑体"/>
          <w:sz w:val="32"/>
          <w:szCs w:val="32"/>
        </w:rPr>
      </w:pPr>
    </w:p>
    <w:p>
      <w:pPr>
        <w:pStyle w:val="14"/>
        <w:ind w:firstLine="640"/>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宋体" w:hAnsi="宋体"/>
          <w:kern w:val="0"/>
          <w:sz w:val="24"/>
        </w:rPr>
      </w:pPr>
      <w:r>
        <w:rPr>
          <w:rFonts w:hint="eastAsia" w:ascii="黑体" w:hAnsi="黑体" w:eastAsia="黑体"/>
          <w:sz w:val="32"/>
          <w:szCs w:val="32"/>
        </w:rPr>
        <w:t>技术部分评分表</w:t>
      </w:r>
    </w:p>
    <w:tbl>
      <w:tblPr>
        <w:tblStyle w:val="4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25"/>
        <w:gridCol w:w="4185"/>
        <w:gridCol w:w="540"/>
        <w:gridCol w:w="825"/>
        <w:gridCol w:w="78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472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47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r>
              <w:rPr>
                <w:rFonts w:hint="eastAsia" w:ascii="宋体" w:hAnsi="宋体" w:cs="宋体"/>
                <w:sz w:val="24"/>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对项目的理解</w:t>
            </w:r>
          </w:p>
        </w:tc>
        <w:tc>
          <w:tcPr>
            <w:tcW w:w="4185" w:type="dxa"/>
            <w:tcBorders>
              <w:top w:val="single" w:color="auto" w:sz="4" w:space="0"/>
              <w:left w:val="single" w:color="auto" w:sz="4" w:space="0"/>
              <w:right w:val="single" w:color="auto" w:sz="4" w:space="0"/>
            </w:tcBorders>
            <w:vAlign w:val="center"/>
          </w:tcPr>
          <w:p>
            <w:pPr>
              <w:widowControl w:val="0"/>
              <w:spacing w:line="240" w:lineRule="auto"/>
              <w:jc w:val="both"/>
              <w:rPr>
                <w:rFonts w:ascii="宋体" w:hAnsi="宋体" w:cs="宋体"/>
                <w:sz w:val="24"/>
              </w:rPr>
            </w:pPr>
            <w:r>
              <w:rPr>
                <w:rFonts w:hint="eastAsia" w:ascii="宋体" w:hAnsi="宋体" w:cs="宋体"/>
                <w:sz w:val="24"/>
              </w:rPr>
              <w:t>要评审供应商对项目的理解程度，对工作的特点、难点分析是否准确，对重点难点问题拟采取的措施的有效性和针对性。</w:t>
            </w:r>
          </w:p>
          <w:p>
            <w:pPr>
              <w:widowControl w:val="0"/>
              <w:spacing w:line="240" w:lineRule="auto"/>
              <w:jc w:val="both"/>
              <w:rPr>
                <w:rFonts w:ascii="宋体" w:hAnsi="宋体" w:cs="宋体"/>
                <w:sz w:val="24"/>
              </w:rPr>
            </w:pPr>
            <w:r>
              <w:rPr>
                <w:rFonts w:hint="eastAsia" w:ascii="宋体" w:hAnsi="宋体" w:cs="宋体"/>
                <w:sz w:val="24"/>
              </w:rPr>
              <w:t>对项目的理解透彻，对工程重点、难点理解准确、清晰，措施有针对性，且有效。得8-10分；</w:t>
            </w:r>
          </w:p>
          <w:p>
            <w:pPr>
              <w:widowControl w:val="0"/>
              <w:spacing w:line="240" w:lineRule="auto"/>
              <w:jc w:val="both"/>
              <w:rPr>
                <w:rFonts w:ascii="宋体" w:hAnsi="宋体" w:cs="宋体"/>
                <w:sz w:val="24"/>
              </w:rPr>
            </w:pPr>
            <w:r>
              <w:rPr>
                <w:rFonts w:hint="eastAsia" w:ascii="宋体" w:hAnsi="宋体" w:cs="宋体"/>
                <w:sz w:val="24"/>
              </w:rPr>
              <w:t>对工程的理解比较透彻，对工程的理解比较准确，措施有针对性，措施基本有效。得4-7分；</w:t>
            </w:r>
          </w:p>
          <w:p>
            <w:pPr>
              <w:widowControl w:val="0"/>
              <w:spacing w:line="240" w:lineRule="auto"/>
              <w:jc w:val="both"/>
              <w:rPr>
                <w:rFonts w:ascii="宋体" w:hAnsi="宋体" w:cs="宋体"/>
                <w:sz w:val="24"/>
              </w:rPr>
            </w:pPr>
            <w:r>
              <w:rPr>
                <w:rFonts w:hint="eastAsia" w:ascii="宋体" w:hAnsi="宋体" w:cs="宋体"/>
                <w:sz w:val="24"/>
              </w:rPr>
              <w:t>对工程有一定的理解，对工程的重点、难点有一定的理解，能提出针对本工程的措施。得1-3分；</w:t>
            </w:r>
          </w:p>
          <w:p>
            <w:pPr>
              <w:widowControl w:val="0"/>
              <w:spacing w:line="240" w:lineRule="auto"/>
              <w:jc w:val="both"/>
              <w:rPr>
                <w:rFonts w:ascii="宋体" w:hAnsi="宋体" w:cs="宋体"/>
                <w:sz w:val="24"/>
              </w:rPr>
            </w:pPr>
            <w:r>
              <w:rPr>
                <w:rFonts w:hint="eastAsia" w:ascii="宋体" w:hAnsi="宋体" w:cs="宋体"/>
                <w:sz w:val="24"/>
              </w:rPr>
              <w:t>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cs="宋体"/>
                <w:sz w:val="24"/>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r>
              <w:rPr>
                <w:rFonts w:hint="eastAsia" w:ascii="宋体" w:hAnsi="宋体" w:cs="宋体"/>
                <w:sz w:val="24"/>
              </w:rPr>
              <w:t>2</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bCs/>
                <w:kern w:val="0"/>
                <w:sz w:val="24"/>
              </w:rPr>
            </w:pPr>
            <w:r>
              <w:rPr>
                <w:rFonts w:hint="eastAsia" w:ascii="宋体" w:hAnsi="宋体" w:cs="宋体"/>
                <w:sz w:val="24"/>
              </w:rPr>
              <w:t>基础资料丰富程度</w:t>
            </w:r>
          </w:p>
          <w:p>
            <w:pPr>
              <w:overflowPunct w:val="0"/>
              <w:autoSpaceDE w:val="0"/>
              <w:autoSpaceDN w:val="0"/>
              <w:adjustRightInd w:val="0"/>
              <w:ind w:left="212" w:leftChars="100" w:hanging="2" w:hangingChars="1"/>
              <w:jc w:val="center"/>
              <w:textAlignment w:val="baseline"/>
              <w:rPr>
                <w:rFonts w:ascii="宋体" w:hAnsi="宋体" w:cs="宋体"/>
                <w:sz w:val="24"/>
              </w:rPr>
            </w:pP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sz w:val="24"/>
              </w:rPr>
            </w:pPr>
            <w:r>
              <w:rPr>
                <w:rFonts w:hint="eastAsia" w:ascii="宋体" w:hAnsi="宋体" w:cs="宋体"/>
                <w:sz w:val="24"/>
              </w:rPr>
              <w:t>根据供应商已具备的为本项目服务的项目区域基础资料丰富程度（投标文件中提供的基础资料清单，须附证明材料）打分，好的得6-10分，较好的得3-5分，一般的得1-2分，差的得0分。</w:t>
            </w:r>
          </w:p>
        </w:tc>
        <w:tc>
          <w:tcPr>
            <w:tcW w:w="54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r>
              <w:rPr>
                <w:rFonts w:hint="eastAsia" w:ascii="宋体" w:hAnsi="宋体" w:cs="宋体"/>
                <w:sz w:val="24"/>
              </w:rPr>
              <w:t>3</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sz w:val="24"/>
              </w:rPr>
            </w:pPr>
            <w:r>
              <w:rPr>
                <w:rFonts w:hint="eastAsia" w:ascii="宋体" w:hAnsi="宋体" w:cs="宋体"/>
                <w:sz w:val="24"/>
              </w:rPr>
              <w:t>服务保障措施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sz w:val="24"/>
              </w:rPr>
            </w:pPr>
            <w:r>
              <w:rPr>
                <w:rFonts w:hint="eastAsia" w:ascii="宋体" w:hAnsi="宋体" w:cs="宋体"/>
                <w:sz w:val="24"/>
              </w:rPr>
              <w:t>服务保障措施可行、具体、有针对性，便于操作，得4-5分；服务保障基本可行、有结合项目的特点，得1-3分；服务保障可行性差、针对性差得0分。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kern w:val="0"/>
                <w:sz w:val="24"/>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r>
              <w:rPr>
                <w:rFonts w:hint="eastAsia" w:ascii="宋体" w:hAnsi="宋体" w:cs="宋体"/>
                <w:sz w:val="24"/>
              </w:rPr>
              <w:t>4</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sz w:val="24"/>
              </w:rPr>
            </w:pPr>
            <w:r>
              <w:rPr>
                <w:rFonts w:hint="eastAsia" w:ascii="宋体" w:hAnsi="宋体" w:cs="宋体"/>
                <w:sz w:val="24"/>
              </w:rPr>
              <w:t>进度计划和保证措施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sz w:val="24"/>
              </w:rPr>
            </w:pPr>
            <w:r>
              <w:rPr>
                <w:rFonts w:hint="eastAsia" w:ascii="宋体" w:hAnsi="宋体" w:cs="宋体"/>
                <w:sz w:val="24"/>
              </w:rPr>
              <w:t>主要评审针对本工程制定的工作进度计划和保证措施的合理性。进度计划和保证措施科学合理，满足工程建设需要，得5分；进度计划和保证措施较为合理，基本满足工程建设需要，得3分；否则得0分。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kern w:val="0"/>
                <w:sz w:val="24"/>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sz w:val="24"/>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left="199" w:leftChars="95" w:firstLine="525" w:firstLineChars="2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p>
    <w:p>
      <w:pPr>
        <w:widowControl w:val="0"/>
        <w:adjustRightInd w:val="0"/>
        <w:snapToGrid w:val="0"/>
        <w:spacing w:line="312" w:lineRule="auto"/>
        <w:ind w:firstLine="240" w:firstLineChars="100"/>
        <w:jc w:val="both"/>
        <w:rPr>
          <w:rFonts w:ascii="黑体" w:hAnsi="黑体" w:eastAsia="黑体" w:cs="仿宋"/>
          <w:b/>
          <w:color w:val="000000"/>
          <w:sz w:val="36"/>
          <w:szCs w:val="36"/>
        </w:rPr>
      </w:pPr>
      <w:r>
        <w:rPr>
          <w:rFonts w:hint="eastAsia" w:ascii="宋体" w:hAnsi="宋体"/>
          <w:sz w:val="24"/>
        </w:rPr>
        <w:t>评审（谈判）小组</w:t>
      </w:r>
      <w:r>
        <w:rPr>
          <w:rFonts w:ascii="宋体" w:hAnsi="宋体"/>
          <w:sz w:val="24"/>
        </w:rPr>
        <w:t>全体成员签字：</w:t>
      </w:r>
    </w:p>
    <w:p>
      <w:pPr>
        <w:pStyle w:val="82"/>
        <w:spacing w:line="600" w:lineRule="exact"/>
        <w:ind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pStyle w:val="8"/>
        <w:jc w:val="center"/>
      </w:pPr>
      <w:bookmarkStart w:id="12" w:name="_Toc18312188"/>
      <w:r>
        <w:rPr>
          <w:rFonts w:hint="eastAsia"/>
        </w:rPr>
        <w:t>第</w:t>
      </w:r>
      <w:r>
        <w:t>一</w:t>
      </w:r>
      <w:r>
        <w:rPr>
          <w:rFonts w:hint="eastAsia"/>
        </w:rPr>
        <w:t>节 通用</w:t>
      </w:r>
      <w:r>
        <w:t>合同条款</w:t>
      </w:r>
      <w:bookmarkEnd w:id="12"/>
    </w:p>
    <w:p>
      <w:pPr>
        <w:pStyle w:val="11"/>
      </w:pPr>
      <w:r>
        <w:t>1</w:t>
      </w:r>
      <w:r>
        <w:rPr>
          <w:rFonts w:hint="eastAsia"/>
        </w:rPr>
        <w:t xml:space="preserve">. </w:t>
      </w:r>
      <w:r>
        <w:t>定义与解释</w:t>
      </w:r>
    </w:p>
    <w:p>
      <w:pPr>
        <w:pStyle w:val="12"/>
        <w:ind w:left="1008" w:hanging="1008"/>
      </w:pPr>
      <w:bookmarkStart w:id="13" w:name="_Toc493143918"/>
      <w:r>
        <w:t>1.1 定义</w:t>
      </w:r>
      <w:bookmarkEnd w:id="13"/>
    </w:p>
    <w:p>
      <w:pPr>
        <w:ind w:firstLine="360" w:firstLineChars="150"/>
        <w:rPr>
          <w:rFonts w:ascii="宋体" w:hAnsi="宋体"/>
          <w:sz w:val="24"/>
        </w:rPr>
      </w:pPr>
      <w:r>
        <w:rPr>
          <w:rFonts w:ascii="宋体" w:hAnsi="宋体"/>
          <w:sz w:val="24"/>
        </w:rPr>
        <w:t>下列词句或用语，除根据上下文另有其意义外，一般应具有如下含义：</w:t>
      </w:r>
    </w:p>
    <w:p>
      <w:pPr>
        <w:ind w:firstLine="480" w:firstLineChars="200"/>
        <w:rPr>
          <w:rFonts w:ascii="宋体" w:hAnsi="宋体"/>
          <w:sz w:val="24"/>
        </w:rPr>
      </w:pPr>
      <w:r>
        <w:rPr>
          <w:rFonts w:ascii="宋体" w:hAnsi="宋体"/>
          <w:sz w:val="24"/>
        </w:rPr>
        <w:t>1.1.1 项目</w:t>
      </w:r>
      <w:r>
        <w:rPr>
          <w:rFonts w:hint="eastAsia" w:ascii="宋体" w:hAnsi="宋体"/>
          <w:sz w:val="24"/>
        </w:rPr>
        <w:t>:</w:t>
      </w:r>
      <w:r>
        <w:rPr>
          <w:rFonts w:ascii="宋体" w:hAnsi="宋体"/>
          <w:sz w:val="24"/>
        </w:rPr>
        <w:t>发包人委托技术服务人提供技术服务的对象。</w:t>
      </w:r>
    </w:p>
    <w:p>
      <w:pPr>
        <w:ind w:firstLine="480" w:firstLineChars="200"/>
        <w:rPr>
          <w:rFonts w:ascii="宋体" w:hAnsi="宋体"/>
          <w:sz w:val="24"/>
        </w:rPr>
      </w:pPr>
      <w:r>
        <w:rPr>
          <w:rFonts w:ascii="宋体" w:hAnsi="宋体"/>
          <w:sz w:val="24"/>
        </w:rPr>
        <w:t>1.1.2 服务</w:t>
      </w:r>
      <w:r>
        <w:rPr>
          <w:rFonts w:hint="eastAsia" w:ascii="宋体" w:hAnsi="宋体"/>
          <w:sz w:val="24"/>
        </w:rPr>
        <w:t>:</w:t>
      </w:r>
      <w:r>
        <w:rPr>
          <w:rFonts w:ascii="宋体" w:hAnsi="宋体"/>
          <w:sz w:val="24"/>
        </w:rPr>
        <w:t>技术服务人根据技术服务合同所承担的工作，包括正常的服务、附加的服务、额外的服务，亦称技术服务。</w:t>
      </w:r>
    </w:p>
    <w:p>
      <w:pPr>
        <w:ind w:firstLine="480" w:firstLineChars="200"/>
        <w:rPr>
          <w:rFonts w:ascii="宋体" w:hAnsi="宋体"/>
          <w:sz w:val="24"/>
        </w:rPr>
      </w:pPr>
      <w:r>
        <w:rPr>
          <w:rFonts w:ascii="宋体" w:hAnsi="宋体"/>
          <w:sz w:val="24"/>
        </w:rPr>
        <w:t>1.1.3发包人</w:t>
      </w:r>
      <w:r>
        <w:rPr>
          <w:rFonts w:hint="eastAsia" w:ascii="宋体" w:hAnsi="宋体"/>
          <w:sz w:val="24"/>
        </w:rPr>
        <w:t>:</w:t>
      </w:r>
      <w:r>
        <w:rPr>
          <w:rFonts w:ascii="宋体" w:hAnsi="宋体"/>
          <w:sz w:val="24"/>
        </w:rPr>
        <w:t>委托技术服务人提供技术服务的法人或其合法继承人或其合法受让人。</w:t>
      </w:r>
    </w:p>
    <w:p>
      <w:pPr>
        <w:ind w:firstLine="480" w:firstLineChars="200"/>
        <w:rPr>
          <w:rFonts w:ascii="宋体" w:hAnsi="宋体"/>
          <w:sz w:val="24"/>
        </w:rPr>
      </w:pPr>
      <w:r>
        <w:rPr>
          <w:rFonts w:ascii="宋体" w:hAnsi="宋体"/>
          <w:sz w:val="24"/>
        </w:rPr>
        <w:t>1.1.4技术服务人</w:t>
      </w:r>
      <w:r>
        <w:rPr>
          <w:rFonts w:hint="eastAsia" w:ascii="宋体" w:hAnsi="宋体"/>
          <w:sz w:val="24"/>
        </w:rPr>
        <w:t>:</w:t>
      </w:r>
      <w:r>
        <w:rPr>
          <w:rFonts w:ascii="宋体" w:hAnsi="宋体"/>
          <w:sz w:val="24"/>
        </w:rPr>
        <w:t>具有法人资格和相应资质并与发包人签订了合同协议书承担技术服务的法人或其合法继承人或其受让人（经发包人同意），如为联合体，则包括联合体所有成员，根据上下文的内容，也指由其派驻到现场履行技术服务的机构。</w:t>
      </w:r>
    </w:p>
    <w:p>
      <w:pPr>
        <w:ind w:firstLine="480" w:firstLineChars="200"/>
        <w:rPr>
          <w:rFonts w:ascii="宋体" w:hAnsi="宋体"/>
          <w:sz w:val="24"/>
        </w:rPr>
      </w:pPr>
      <w:r>
        <w:rPr>
          <w:rFonts w:ascii="宋体" w:hAnsi="宋体"/>
          <w:sz w:val="24"/>
        </w:rPr>
        <w:t>1.1.5 一方</w:t>
      </w:r>
      <w:r>
        <w:rPr>
          <w:rFonts w:hint="eastAsia" w:ascii="宋体" w:hAnsi="宋体"/>
          <w:sz w:val="24"/>
        </w:rPr>
        <w:t>:</w:t>
      </w:r>
      <w:r>
        <w:rPr>
          <w:rFonts w:ascii="宋体" w:hAnsi="宋体"/>
          <w:sz w:val="24"/>
        </w:rPr>
        <w:t>发包人或技术服务人。</w:t>
      </w:r>
    </w:p>
    <w:p>
      <w:pPr>
        <w:ind w:firstLine="960" w:firstLineChars="400"/>
        <w:rPr>
          <w:rFonts w:ascii="宋体" w:hAnsi="宋体"/>
          <w:sz w:val="24"/>
        </w:rPr>
      </w:pPr>
      <w:r>
        <w:rPr>
          <w:rFonts w:ascii="宋体" w:hAnsi="宋体"/>
          <w:sz w:val="24"/>
        </w:rPr>
        <w:t>双方</w:t>
      </w:r>
      <w:r>
        <w:rPr>
          <w:rFonts w:hint="eastAsia" w:ascii="宋体" w:hAnsi="宋体"/>
          <w:sz w:val="24"/>
        </w:rPr>
        <w:t>:</w:t>
      </w:r>
      <w:r>
        <w:rPr>
          <w:rFonts w:ascii="宋体" w:hAnsi="宋体"/>
          <w:sz w:val="24"/>
        </w:rPr>
        <w:t>发包人和技术服务人。</w:t>
      </w:r>
    </w:p>
    <w:p>
      <w:pPr>
        <w:ind w:firstLine="960" w:firstLineChars="400"/>
        <w:rPr>
          <w:rFonts w:ascii="宋体" w:hAnsi="宋体"/>
          <w:sz w:val="24"/>
        </w:rPr>
      </w:pPr>
      <w:r>
        <w:rPr>
          <w:rFonts w:ascii="宋体" w:hAnsi="宋体"/>
          <w:sz w:val="24"/>
        </w:rPr>
        <w:t>第三方</w:t>
      </w:r>
      <w:r>
        <w:rPr>
          <w:rFonts w:hint="eastAsia" w:ascii="宋体" w:hAnsi="宋体"/>
          <w:sz w:val="24"/>
        </w:rPr>
        <w:t>:</w:t>
      </w:r>
      <w:r>
        <w:rPr>
          <w:rFonts w:ascii="宋体" w:hAnsi="宋体"/>
          <w:sz w:val="24"/>
        </w:rPr>
        <w:t>本合同双方以外的任何中国境内外的自然人、法人或其他经济组织。</w:t>
      </w:r>
    </w:p>
    <w:p>
      <w:pPr>
        <w:ind w:firstLine="480" w:firstLineChars="200"/>
        <w:rPr>
          <w:rFonts w:ascii="宋体" w:hAnsi="宋体"/>
          <w:sz w:val="24"/>
        </w:rPr>
      </w:pPr>
      <w:r>
        <w:rPr>
          <w:rFonts w:ascii="宋体" w:hAnsi="宋体"/>
          <w:sz w:val="24"/>
        </w:rPr>
        <w:t>1.1.6技术服务合同</w:t>
      </w:r>
      <w:r>
        <w:rPr>
          <w:rFonts w:hint="eastAsia" w:ascii="宋体" w:hAnsi="宋体"/>
          <w:sz w:val="24"/>
        </w:rPr>
        <w:t>:</w:t>
      </w:r>
      <w:r>
        <w:rPr>
          <w:rFonts w:ascii="宋体" w:hAnsi="宋体"/>
          <w:sz w:val="24"/>
        </w:rPr>
        <w:t>发包人和技术服务人双方签署的，与本项目相关的合同协议书及附件、附录等一切文件，还包括招标文件、投标文件中的相关内容及双方签认的补充或修正文件。</w:t>
      </w:r>
    </w:p>
    <w:p>
      <w:pPr>
        <w:ind w:firstLine="480" w:firstLineChars="200"/>
        <w:rPr>
          <w:rFonts w:ascii="宋体" w:hAnsi="宋体"/>
          <w:sz w:val="24"/>
        </w:rPr>
      </w:pPr>
      <w:r>
        <w:rPr>
          <w:rFonts w:ascii="宋体" w:hAnsi="宋体"/>
          <w:sz w:val="24"/>
        </w:rPr>
        <w:t>1.1.7 附件</w:t>
      </w:r>
      <w:r>
        <w:rPr>
          <w:rFonts w:hint="eastAsia" w:ascii="宋体" w:hAnsi="宋体"/>
          <w:sz w:val="24"/>
        </w:rPr>
        <w:t>:</w:t>
      </w:r>
      <w:r>
        <w:rPr>
          <w:rFonts w:ascii="宋体" w:hAnsi="宋体"/>
          <w:sz w:val="24"/>
        </w:rPr>
        <w:t>与本合同的订立、履行有关的，经双方认可的，对本合同约定的内容进行细化、补充、</w:t>
      </w:r>
      <w:r>
        <w:rPr>
          <w:rFonts w:hint="eastAsia" w:ascii="宋体" w:hAnsi="宋体"/>
          <w:sz w:val="24"/>
        </w:rPr>
        <w:t>修</w:t>
      </w:r>
      <w:r>
        <w:rPr>
          <w:rFonts w:ascii="宋体" w:hAnsi="宋体"/>
          <w:sz w:val="24"/>
        </w:rPr>
        <w:t>改、变更的文件、图纸、音像制品等资料。</w:t>
      </w:r>
    </w:p>
    <w:p>
      <w:pPr>
        <w:ind w:firstLine="480" w:firstLineChars="200"/>
        <w:rPr>
          <w:rFonts w:ascii="宋体" w:hAnsi="宋体"/>
          <w:sz w:val="24"/>
        </w:rPr>
      </w:pPr>
      <w:r>
        <w:rPr>
          <w:rFonts w:ascii="宋体" w:hAnsi="宋体"/>
          <w:sz w:val="24"/>
        </w:rPr>
        <w:t>1.1.8 法律法规</w:t>
      </w:r>
      <w:r>
        <w:rPr>
          <w:rFonts w:hint="eastAsia" w:ascii="宋体" w:hAnsi="宋体"/>
          <w:sz w:val="24"/>
        </w:rPr>
        <w:t>:</w:t>
      </w:r>
      <w:r>
        <w:rPr>
          <w:rFonts w:ascii="宋体" w:hAnsi="宋体"/>
          <w:sz w:val="24"/>
        </w:rPr>
        <w:t>由中国有关部门制定的法律、行政法规、地方性法规、规章及其他规范性文件以及经全国人民代表大会常务委员会批准的中国缔结、参加的国际条公约的有关规定。</w:t>
      </w:r>
    </w:p>
    <w:p>
      <w:pPr>
        <w:ind w:firstLine="480" w:firstLineChars="200"/>
        <w:rPr>
          <w:rFonts w:ascii="宋体" w:hAnsi="宋体"/>
          <w:sz w:val="24"/>
        </w:rPr>
      </w:pPr>
      <w:r>
        <w:rPr>
          <w:rFonts w:ascii="宋体" w:hAnsi="宋体"/>
          <w:sz w:val="24"/>
        </w:rPr>
        <w:t>1.1.9 书面形式</w:t>
      </w:r>
      <w:r>
        <w:rPr>
          <w:rFonts w:hint="eastAsia" w:ascii="宋体" w:hAnsi="宋体"/>
          <w:sz w:val="24"/>
        </w:rPr>
        <w:t>:</w:t>
      </w:r>
      <w:r>
        <w:rPr>
          <w:rFonts w:ascii="宋体" w:hAnsi="宋体"/>
          <w:sz w:val="24"/>
        </w:rPr>
        <w:t>指任何手写、打字、印刷或电子文档等用文字表达的方式。</w:t>
      </w:r>
    </w:p>
    <w:p>
      <w:pPr>
        <w:ind w:firstLine="480" w:firstLineChars="200"/>
        <w:rPr>
          <w:rFonts w:ascii="宋体" w:hAnsi="宋体"/>
          <w:sz w:val="24"/>
        </w:rPr>
      </w:pPr>
      <w:r>
        <w:rPr>
          <w:rFonts w:ascii="宋体" w:hAnsi="宋体"/>
          <w:sz w:val="24"/>
        </w:rPr>
        <w:t>1.1.10 日</w:t>
      </w:r>
      <w:r>
        <w:rPr>
          <w:rFonts w:hint="eastAsia" w:ascii="宋体" w:hAnsi="宋体"/>
          <w:sz w:val="24"/>
        </w:rPr>
        <w:t>:</w:t>
      </w:r>
      <w:r>
        <w:rPr>
          <w:rFonts w:ascii="宋体" w:hAnsi="宋体"/>
          <w:sz w:val="24"/>
        </w:rPr>
        <w:t xml:space="preserve"> 即日历日。</w:t>
      </w:r>
    </w:p>
    <w:p>
      <w:pPr>
        <w:ind w:firstLine="480" w:firstLineChars="200"/>
        <w:rPr>
          <w:rFonts w:ascii="宋体" w:hAnsi="宋体"/>
          <w:sz w:val="24"/>
        </w:rPr>
      </w:pPr>
      <w:r>
        <w:rPr>
          <w:rFonts w:ascii="宋体" w:hAnsi="宋体"/>
          <w:sz w:val="24"/>
        </w:rPr>
        <w:t>1.1.11月</w:t>
      </w:r>
      <w:r>
        <w:rPr>
          <w:rFonts w:hint="eastAsia" w:ascii="宋体" w:hAnsi="宋体"/>
          <w:sz w:val="24"/>
        </w:rPr>
        <w:t>:</w:t>
      </w:r>
      <w:r>
        <w:rPr>
          <w:rFonts w:ascii="宋体" w:hAnsi="宋体"/>
          <w:sz w:val="24"/>
        </w:rPr>
        <w:t>根据公历从某一个月份中的任何一日开始至下一个月份相应日期的前一日截止的时间段。</w:t>
      </w:r>
    </w:p>
    <w:p>
      <w:pPr>
        <w:pStyle w:val="12"/>
        <w:ind w:left="1008" w:hanging="1008"/>
      </w:pPr>
      <w:bookmarkStart w:id="14" w:name="_Toc493143919"/>
      <w:r>
        <w:t>1.2 解释</w:t>
      </w:r>
      <w:bookmarkEnd w:id="14"/>
    </w:p>
    <w:p>
      <w:pPr>
        <w:ind w:firstLine="480" w:firstLineChars="200"/>
        <w:rPr>
          <w:rFonts w:ascii="宋体" w:hAnsi="宋体"/>
          <w:sz w:val="24"/>
        </w:rPr>
      </w:pPr>
      <w:r>
        <w:rPr>
          <w:rFonts w:ascii="宋体" w:hAnsi="宋体"/>
          <w:sz w:val="24"/>
        </w:rPr>
        <w:t>1.2.1技术服务合同中的标题只是为了方便查阅，不应作为技术服务合同本身的内容予以理解，也不应将其用于对技术服务合同进行解释。</w:t>
      </w:r>
    </w:p>
    <w:p>
      <w:pPr>
        <w:ind w:firstLine="480" w:firstLineChars="200"/>
        <w:rPr>
          <w:rFonts w:ascii="宋体" w:hAnsi="宋体"/>
          <w:sz w:val="24"/>
        </w:rPr>
      </w:pPr>
      <w:r>
        <w:rPr>
          <w:rFonts w:ascii="宋体" w:hAnsi="宋体"/>
          <w:sz w:val="24"/>
        </w:rPr>
        <w:t>1.2.2为了简练文字，技术服务合同中有些词句或用语可能会有多种含义，阅读时应视上下文的实际需要而定义。</w:t>
      </w:r>
    </w:p>
    <w:p>
      <w:pPr>
        <w:ind w:firstLine="480" w:firstLineChars="200"/>
        <w:rPr>
          <w:rFonts w:ascii="宋体" w:hAnsi="宋体"/>
          <w:sz w:val="24"/>
        </w:rPr>
      </w:pPr>
      <w:r>
        <w:rPr>
          <w:rFonts w:ascii="宋体" w:hAnsi="宋体"/>
          <w:sz w:val="24"/>
        </w:rPr>
        <w:t>1.2.3组成技术服务合同的各个文件应该认为是一个整体，彼此相互解释，相互补充，如出现相互矛盾的情况，</w:t>
      </w:r>
      <w:bookmarkStart w:id="15" w:name="_Toc493143920"/>
      <w:r>
        <w:rPr>
          <w:rFonts w:ascii="宋体" w:hAnsi="宋体"/>
          <w:sz w:val="24"/>
        </w:rPr>
        <w:t>应按时间顺序以最新文件为准。</w:t>
      </w:r>
    </w:p>
    <w:p>
      <w:pPr>
        <w:pStyle w:val="11"/>
      </w:pPr>
      <w:r>
        <w:t>2</w:t>
      </w:r>
      <w:r>
        <w:rPr>
          <w:rFonts w:hint="eastAsia"/>
        </w:rPr>
        <w:t xml:space="preserve">. </w:t>
      </w:r>
      <w:r>
        <w:t>技术服务人的义务</w:t>
      </w:r>
      <w:bookmarkEnd w:id="15"/>
    </w:p>
    <w:p>
      <w:pPr>
        <w:pStyle w:val="12"/>
        <w:ind w:left="1008" w:hanging="1008"/>
      </w:pPr>
      <w:bookmarkStart w:id="16" w:name="_Toc493143921"/>
      <w:r>
        <w:t>2.1技术服务的范围、目标、内容</w:t>
      </w:r>
      <w:bookmarkEnd w:id="16"/>
    </w:p>
    <w:p>
      <w:pPr>
        <w:ind w:firstLine="480" w:firstLineChars="200"/>
        <w:rPr>
          <w:rFonts w:ascii="宋体" w:hAnsi="宋体"/>
          <w:sz w:val="24"/>
        </w:rPr>
      </w:pPr>
      <w:bookmarkStart w:id="17" w:name="_Toc493143922"/>
      <w:r>
        <w:rPr>
          <w:rFonts w:ascii="宋体" w:hAnsi="宋体"/>
          <w:sz w:val="24"/>
        </w:rPr>
        <w:t>2.1.1服务范围</w:t>
      </w:r>
    </w:p>
    <w:p>
      <w:pPr>
        <w:ind w:firstLine="240" w:firstLineChars="100"/>
        <w:rPr>
          <w:rFonts w:ascii="宋体" w:hAnsi="宋体"/>
          <w:sz w:val="24"/>
        </w:rPr>
      </w:pPr>
      <w:r>
        <w:rPr>
          <w:rFonts w:ascii="宋体" w:hAnsi="宋体"/>
          <w:sz w:val="24"/>
        </w:rPr>
        <w:t>（1）技术服务的工程范围：在合同专用条款中约定。</w:t>
      </w:r>
    </w:p>
    <w:p>
      <w:pPr>
        <w:ind w:firstLine="240" w:firstLineChars="100"/>
        <w:rPr>
          <w:rFonts w:ascii="宋体" w:hAnsi="宋体"/>
          <w:sz w:val="24"/>
        </w:rPr>
      </w:pPr>
      <w:r>
        <w:rPr>
          <w:rFonts w:ascii="宋体" w:hAnsi="宋体"/>
          <w:sz w:val="24"/>
        </w:rPr>
        <w:t>（2）技术服务的工作范围：技术服务人应当按照合同要求和发包人的授权范围进行下述技术服务：</w:t>
      </w:r>
    </w:p>
    <w:p>
      <w:pPr>
        <w:ind w:firstLine="480" w:firstLineChars="200"/>
        <w:rPr>
          <w:rFonts w:ascii="宋体" w:hAnsi="宋体"/>
          <w:sz w:val="24"/>
        </w:rPr>
      </w:pPr>
      <w:r>
        <w:rPr>
          <w:rFonts w:ascii="宋体" w:hAnsi="宋体"/>
          <w:sz w:val="24"/>
        </w:rPr>
        <w:t>i.正常技术服务的范围：指在合同约定的期限内的技术服务范围和技术服务范围内的技术服务工作。</w:t>
      </w:r>
    </w:p>
    <w:p>
      <w:pPr>
        <w:ind w:firstLine="480" w:firstLineChars="200"/>
        <w:rPr>
          <w:rFonts w:ascii="宋体" w:hAnsi="宋体"/>
          <w:sz w:val="24"/>
        </w:rPr>
      </w:pPr>
      <w:r>
        <w:rPr>
          <w:rFonts w:ascii="宋体" w:hAnsi="宋体"/>
          <w:sz w:val="24"/>
        </w:rPr>
        <w:t>ii.附加技术服务的范围：为完成正常技术服务工作所必须进行的相关技术服务工作。</w:t>
      </w:r>
    </w:p>
    <w:p>
      <w:pPr>
        <w:ind w:firstLine="480" w:firstLineChars="200"/>
        <w:rPr>
          <w:rFonts w:ascii="宋体" w:hAnsi="宋体"/>
          <w:sz w:val="24"/>
        </w:rPr>
      </w:pPr>
      <w:r>
        <w:rPr>
          <w:rFonts w:ascii="宋体" w:hAnsi="宋体"/>
          <w:sz w:val="24"/>
        </w:rPr>
        <w:t>iii.额外技术服务的范围：是指技术服务范围（包括正常技术服务和附加技术服务）以外的不影响技术服务内容执行但与技术服务内容紧密相关的并经发包人同意增加的技术服务工作。</w:t>
      </w:r>
    </w:p>
    <w:p>
      <w:pPr>
        <w:ind w:firstLine="480" w:firstLineChars="200"/>
        <w:rPr>
          <w:rFonts w:ascii="宋体" w:hAnsi="宋体"/>
          <w:sz w:val="24"/>
        </w:rPr>
      </w:pPr>
      <w:r>
        <w:rPr>
          <w:rFonts w:ascii="宋体" w:hAnsi="宋体"/>
          <w:sz w:val="24"/>
        </w:rPr>
        <w:t>2.1.2技术服务的目标</w:t>
      </w:r>
    </w:p>
    <w:p>
      <w:pPr>
        <w:ind w:firstLine="480" w:firstLineChars="200"/>
        <w:rPr>
          <w:rFonts w:ascii="宋体" w:hAnsi="宋体"/>
          <w:sz w:val="24"/>
        </w:rPr>
      </w:pPr>
      <w:r>
        <w:rPr>
          <w:rFonts w:ascii="宋体" w:hAnsi="宋体"/>
          <w:sz w:val="24"/>
        </w:rPr>
        <w:t>在合同专用条款中约定。</w:t>
      </w:r>
    </w:p>
    <w:p>
      <w:pPr>
        <w:ind w:firstLine="480" w:firstLineChars="200"/>
        <w:rPr>
          <w:rFonts w:ascii="宋体" w:hAnsi="宋体"/>
          <w:sz w:val="24"/>
        </w:rPr>
      </w:pPr>
      <w:r>
        <w:rPr>
          <w:rFonts w:ascii="宋体" w:hAnsi="宋体"/>
          <w:sz w:val="24"/>
        </w:rPr>
        <w:t>2.1.3技术服务的内容</w:t>
      </w:r>
    </w:p>
    <w:p>
      <w:pPr>
        <w:ind w:firstLine="480" w:firstLineChars="200"/>
        <w:rPr>
          <w:rFonts w:ascii="宋体" w:hAnsi="宋体"/>
          <w:sz w:val="24"/>
        </w:rPr>
      </w:pPr>
      <w:r>
        <w:rPr>
          <w:rFonts w:ascii="宋体" w:hAnsi="宋体"/>
          <w:sz w:val="24"/>
        </w:rPr>
        <w:t>在合同专用条款中约定。</w:t>
      </w:r>
    </w:p>
    <w:p>
      <w:pPr>
        <w:pStyle w:val="12"/>
        <w:ind w:left="1008" w:hanging="1008"/>
      </w:pPr>
      <w:r>
        <w:t>2.2技术服务的依据</w:t>
      </w:r>
    </w:p>
    <w:p>
      <w:pPr>
        <w:ind w:firstLine="480" w:firstLineChars="200"/>
        <w:rPr>
          <w:rFonts w:ascii="宋体" w:hAnsi="宋体"/>
          <w:sz w:val="24"/>
        </w:rPr>
      </w:pPr>
      <w:r>
        <w:rPr>
          <w:rFonts w:ascii="宋体" w:hAnsi="宋体"/>
          <w:sz w:val="24"/>
        </w:rPr>
        <w:t>2.2.1适用的法律、法规、规章；</w:t>
      </w:r>
    </w:p>
    <w:p>
      <w:pPr>
        <w:ind w:firstLine="480" w:firstLineChars="200"/>
        <w:rPr>
          <w:rFonts w:ascii="宋体" w:hAnsi="宋体"/>
          <w:sz w:val="24"/>
        </w:rPr>
      </w:pPr>
      <w:r>
        <w:rPr>
          <w:rFonts w:ascii="宋体" w:hAnsi="宋体"/>
          <w:sz w:val="24"/>
        </w:rPr>
        <w:t>2.2.2国家和行业有关标准、规范、规程；</w:t>
      </w:r>
    </w:p>
    <w:p>
      <w:pPr>
        <w:ind w:firstLine="480" w:firstLineChars="200"/>
        <w:rPr>
          <w:rFonts w:ascii="宋体" w:hAnsi="宋体"/>
          <w:sz w:val="24"/>
        </w:rPr>
      </w:pPr>
      <w:r>
        <w:rPr>
          <w:rFonts w:ascii="宋体" w:hAnsi="宋体"/>
          <w:sz w:val="24"/>
        </w:rPr>
        <w:t>2.2.3技术服务合同（包括招投标相关文件及附录）；</w:t>
      </w:r>
    </w:p>
    <w:p>
      <w:pPr>
        <w:ind w:firstLine="480" w:firstLineChars="200"/>
        <w:rPr>
          <w:rFonts w:ascii="宋体" w:hAnsi="宋体"/>
          <w:sz w:val="24"/>
        </w:rPr>
      </w:pPr>
      <w:r>
        <w:rPr>
          <w:rFonts w:ascii="宋体" w:hAnsi="宋体"/>
          <w:sz w:val="24"/>
        </w:rPr>
        <w:t>2.2.4技术服务实施过程中有关的函件；</w:t>
      </w:r>
    </w:p>
    <w:p>
      <w:pPr>
        <w:ind w:firstLine="480" w:firstLineChars="200"/>
        <w:rPr>
          <w:rFonts w:ascii="宋体" w:hAnsi="宋体"/>
          <w:sz w:val="24"/>
        </w:rPr>
      </w:pPr>
      <w:r>
        <w:rPr>
          <w:rFonts w:ascii="宋体" w:hAnsi="宋体"/>
          <w:sz w:val="24"/>
        </w:rPr>
        <w:t>2.2.5 补充规定</w:t>
      </w:r>
      <w:r>
        <w:rPr>
          <w:rFonts w:hint="eastAsia" w:ascii="宋体" w:hAnsi="宋体"/>
          <w:sz w:val="24"/>
        </w:rPr>
        <w:t>。</w:t>
      </w:r>
    </w:p>
    <w:bookmarkEnd w:id="17"/>
    <w:p>
      <w:pPr>
        <w:pStyle w:val="12"/>
        <w:ind w:left="1008" w:hanging="1008"/>
      </w:pPr>
      <w:bookmarkStart w:id="18" w:name="_Toc493143923"/>
      <w:r>
        <w:t>2.3</w:t>
      </w:r>
      <w:r>
        <w:rPr>
          <w:rFonts w:hint="eastAsia"/>
        </w:rPr>
        <w:t xml:space="preserve"> </w:t>
      </w:r>
      <w:r>
        <w:t>技术服务人</w:t>
      </w:r>
      <w:bookmarkEnd w:id="18"/>
      <w:r>
        <w:t>的一般义务</w:t>
      </w:r>
    </w:p>
    <w:p>
      <w:pPr>
        <w:ind w:firstLine="480" w:firstLineChars="200"/>
        <w:rPr>
          <w:rFonts w:ascii="宋体" w:hAnsi="宋体"/>
          <w:sz w:val="24"/>
        </w:rPr>
      </w:pPr>
      <w:r>
        <w:rPr>
          <w:rFonts w:ascii="宋体" w:hAnsi="宋体"/>
          <w:sz w:val="24"/>
        </w:rPr>
        <w:t>2.3.1应按照技术服务合同及相关法律、法规的要求，严格、严密、科学、公正地完成技术服务工作。</w:t>
      </w:r>
    </w:p>
    <w:p>
      <w:pPr>
        <w:ind w:firstLine="480" w:firstLineChars="200"/>
        <w:rPr>
          <w:rFonts w:ascii="宋体" w:hAnsi="宋体"/>
          <w:sz w:val="24"/>
        </w:rPr>
      </w:pPr>
      <w:r>
        <w:rPr>
          <w:rFonts w:ascii="宋体" w:hAnsi="宋体"/>
          <w:sz w:val="24"/>
        </w:rPr>
        <w:t>2.3.2应妥善保护发包人提供的相关文件与资料，未经发包人同意不得复制给任何第三者。其技术服务成果、报告未经发包人同意不得告知、复制给任何第三者。</w:t>
      </w:r>
    </w:p>
    <w:p>
      <w:pPr>
        <w:ind w:firstLine="480" w:firstLineChars="200"/>
        <w:rPr>
          <w:rFonts w:ascii="宋体" w:hAnsi="宋体"/>
          <w:sz w:val="24"/>
        </w:rPr>
      </w:pPr>
      <w:r>
        <w:rPr>
          <w:rFonts w:ascii="宋体" w:hAnsi="宋体"/>
          <w:sz w:val="24"/>
        </w:rPr>
        <w:t>2.3.3应对自己及其雇员的生命财产全权负责，并避免对发包人及相关第三者的财产造成损坏。</w:t>
      </w:r>
    </w:p>
    <w:p>
      <w:pPr>
        <w:ind w:firstLine="480" w:firstLineChars="200"/>
        <w:rPr>
          <w:rFonts w:ascii="宋体" w:hAnsi="宋体"/>
          <w:sz w:val="24"/>
        </w:rPr>
      </w:pPr>
      <w:r>
        <w:rPr>
          <w:rFonts w:ascii="宋体" w:hAnsi="宋体"/>
          <w:sz w:val="24"/>
        </w:rPr>
        <w:t>2.3.4应对发包人提交中间执行情况报告，并接受发包人的指令做出必要的调整、变更。</w:t>
      </w:r>
    </w:p>
    <w:p>
      <w:pPr>
        <w:ind w:firstLine="480" w:firstLineChars="200"/>
        <w:rPr>
          <w:rFonts w:ascii="宋体" w:hAnsi="宋体"/>
          <w:sz w:val="24"/>
        </w:rPr>
      </w:pPr>
      <w:r>
        <w:rPr>
          <w:rFonts w:ascii="宋体" w:hAnsi="宋体"/>
          <w:sz w:val="24"/>
        </w:rPr>
        <w:t>2.3.5 提供的技术服务不得擅自涉及他人的知识产权保护。</w:t>
      </w:r>
    </w:p>
    <w:p>
      <w:pPr>
        <w:ind w:firstLine="480" w:firstLineChars="200"/>
        <w:rPr>
          <w:rFonts w:ascii="宋体" w:hAnsi="宋体"/>
          <w:sz w:val="24"/>
        </w:rPr>
      </w:pPr>
      <w:r>
        <w:rPr>
          <w:rFonts w:ascii="宋体" w:hAnsi="宋体"/>
          <w:sz w:val="24"/>
        </w:rPr>
        <w:t>2.3.6 未经发包人同意，不得将服务工作的部分或全部工作发包给第三者。</w:t>
      </w:r>
    </w:p>
    <w:p>
      <w:pPr>
        <w:ind w:firstLine="480" w:firstLineChars="200"/>
        <w:rPr>
          <w:rFonts w:ascii="宋体" w:hAnsi="宋体"/>
          <w:sz w:val="24"/>
        </w:rPr>
      </w:pPr>
      <w:r>
        <w:rPr>
          <w:rFonts w:ascii="宋体" w:hAnsi="宋体"/>
          <w:sz w:val="24"/>
        </w:rPr>
        <w:t>2.3.7 应对所有现场作业的完备性、稳定性和安全性负责。其各项工作应按正式颁布的国家标准及部颁行业标准进行。</w:t>
      </w:r>
    </w:p>
    <w:p>
      <w:pPr>
        <w:ind w:firstLine="480" w:firstLineChars="200"/>
        <w:rPr>
          <w:rFonts w:ascii="宋体" w:hAnsi="宋体"/>
          <w:sz w:val="24"/>
        </w:rPr>
      </w:pPr>
      <w:r>
        <w:rPr>
          <w:rFonts w:ascii="宋体" w:hAnsi="宋体"/>
          <w:sz w:val="24"/>
        </w:rPr>
        <w:t>2.3.8 负责为技术服务成果的确认，完成必要的评审、鉴定等，负责向发包人解读技术服务成果的应用及提交相关建议。</w:t>
      </w:r>
    </w:p>
    <w:p>
      <w:pPr>
        <w:pStyle w:val="12"/>
        <w:ind w:left="1008" w:hanging="1008"/>
      </w:pPr>
      <w:bookmarkStart w:id="19" w:name="_Toc493143924"/>
      <w:r>
        <w:t>2.4</w:t>
      </w:r>
      <w:r>
        <w:rPr>
          <w:rFonts w:hint="eastAsia"/>
        </w:rPr>
        <w:t xml:space="preserve"> </w:t>
      </w:r>
      <w:r>
        <w:t>技术服务人的服务人员</w:t>
      </w:r>
      <w:bookmarkEnd w:id="19"/>
    </w:p>
    <w:p>
      <w:pPr>
        <w:ind w:firstLine="480" w:firstLineChars="200"/>
        <w:rPr>
          <w:rFonts w:ascii="宋体" w:hAnsi="宋体"/>
          <w:sz w:val="24"/>
        </w:rPr>
      </w:pPr>
      <w:r>
        <w:rPr>
          <w:rFonts w:ascii="宋体" w:hAnsi="宋体"/>
          <w:sz w:val="24"/>
        </w:rPr>
        <w:t>2.4.1 技术服务人应按合同约定指派项目负责人，并负责组织合同的实施。技术服务人为履行合同发出的一切函件均应盖有服务人的管理机构章，并由技术服务人项目负责人签字。</w:t>
      </w:r>
    </w:p>
    <w:p>
      <w:pPr>
        <w:ind w:firstLine="480" w:firstLineChars="200"/>
        <w:rPr>
          <w:rFonts w:ascii="宋体" w:hAnsi="宋体"/>
          <w:sz w:val="24"/>
        </w:rPr>
      </w:pPr>
      <w:r>
        <w:rPr>
          <w:rFonts w:ascii="宋体" w:hAnsi="宋体"/>
          <w:sz w:val="24"/>
        </w:rPr>
        <w:t>2.4.2技术服务人派驻到项目服务的其他人员，必须持有相关的资格证书，并得到发包人的认可。</w:t>
      </w:r>
    </w:p>
    <w:p>
      <w:pPr>
        <w:ind w:firstLine="480" w:firstLineChars="200"/>
        <w:rPr>
          <w:rFonts w:ascii="宋体" w:hAnsi="宋体"/>
          <w:sz w:val="24"/>
        </w:rPr>
      </w:pPr>
      <w:r>
        <w:rPr>
          <w:rFonts w:ascii="宋体" w:hAnsi="宋体"/>
          <w:sz w:val="24"/>
        </w:rPr>
        <w:t>2.4.3技术服务人因工作安排或其它原因，需要更换项目的服务人员时，应事先得到发包人的同意。发包人有权同意或拒绝。</w:t>
      </w:r>
    </w:p>
    <w:p>
      <w:pPr>
        <w:pStyle w:val="11"/>
      </w:pPr>
      <w:bookmarkStart w:id="20" w:name="_Toc493143927"/>
      <w:r>
        <w:t>3</w:t>
      </w:r>
      <w:r>
        <w:rPr>
          <w:rFonts w:hint="eastAsia"/>
        </w:rPr>
        <w:t xml:space="preserve">. </w:t>
      </w:r>
      <w:r>
        <w:t>发包人的一般义务</w:t>
      </w:r>
      <w:bookmarkEnd w:id="20"/>
    </w:p>
    <w:p>
      <w:pPr>
        <w:ind w:firstLine="480" w:firstLineChars="200"/>
        <w:rPr>
          <w:rFonts w:ascii="宋体" w:hAnsi="宋体"/>
          <w:sz w:val="24"/>
        </w:rPr>
      </w:pPr>
      <w:bookmarkStart w:id="21" w:name="_Toc493143930"/>
      <w:r>
        <w:rPr>
          <w:rFonts w:ascii="宋体" w:hAnsi="宋体"/>
          <w:sz w:val="24"/>
        </w:rPr>
        <w:t>3.</w:t>
      </w:r>
      <w:bookmarkEnd w:id="21"/>
      <w:r>
        <w:rPr>
          <w:rFonts w:ascii="宋体" w:hAnsi="宋体"/>
          <w:sz w:val="24"/>
        </w:rPr>
        <w:t>1应按合同约定为技术服务人及时提供其履行合同所必须的有关文件和资料。</w:t>
      </w:r>
    </w:p>
    <w:p>
      <w:pPr>
        <w:ind w:firstLine="480" w:firstLineChars="200"/>
        <w:rPr>
          <w:rFonts w:ascii="宋体" w:hAnsi="宋体"/>
          <w:sz w:val="24"/>
        </w:rPr>
      </w:pPr>
      <w:bookmarkStart w:id="22" w:name="_Toc493143931"/>
      <w:r>
        <w:rPr>
          <w:rFonts w:ascii="宋体" w:hAnsi="宋体"/>
          <w:sz w:val="24"/>
        </w:rPr>
        <w:t>3.</w:t>
      </w:r>
      <w:bookmarkEnd w:id="22"/>
      <w:r>
        <w:rPr>
          <w:rFonts w:ascii="宋体" w:hAnsi="宋体"/>
          <w:sz w:val="24"/>
        </w:rPr>
        <w:t>2应指定专人负责相关技术服务管理工作，就有关发包人的关于技术服务的调整、变更的决定及时以书面指令形式发至技术服务人，有必要时签订相关补充协议、合同。负责人更换必须及时通知技术服务人。</w:t>
      </w:r>
    </w:p>
    <w:p>
      <w:pPr>
        <w:ind w:firstLine="480" w:firstLineChars="200"/>
        <w:rPr>
          <w:rFonts w:ascii="宋体" w:hAnsi="宋体"/>
          <w:sz w:val="24"/>
        </w:rPr>
      </w:pPr>
      <w:bookmarkStart w:id="23" w:name="_Toc493143932"/>
      <w:r>
        <w:rPr>
          <w:rFonts w:ascii="宋体" w:hAnsi="宋体"/>
          <w:sz w:val="24"/>
        </w:rPr>
        <w:t>3.</w:t>
      </w:r>
      <w:bookmarkEnd w:id="23"/>
      <w:r>
        <w:rPr>
          <w:rFonts w:ascii="宋体" w:hAnsi="宋体"/>
          <w:sz w:val="24"/>
        </w:rPr>
        <w:t>3按合同约定为技术服务人做好必要的联络协调工作，方便技术服务人开展技术服务工作。</w:t>
      </w:r>
    </w:p>
    <w:p>
      <w:pPr>
        <w:ind w:firstLine="480" w:firstLineChars="200"/>
        <w:rPr>
          <w:rFonts w:ascii="宋体" w:hAnsi="宋体"/>
          <w:sz w:val="24"/>
        </w:rPr>
      </w:pPr>
      <w:bookmarkStart w:id="24" w:name="_Toc493143935"/>
      <w:r>
        <w:rPr>
          <w:rFonts w:ascii="宋体" w:hAnsi="宋体"/>
          <w:sz w:val="24"/>
        </w:rPr>
        <w:t>3.4应按合同规定向技术服务人书面提交并要求答复的重大问题，做出书面决定。</w:t>
      </w:r>
    </w:p>
    <w:p>
      <w:pPr>
        <w:ind w:firstLine="480" w:firstLineChars="200"/>
        <w:rPr>
          <w:rFonts w:ascii="宋体" w:hAnsi="宋体"/>
          <w:sz w:val="24"/>
        </w:rPr>
      </w:pPr>
      <w:r>
        <w:rPr>
          <w:rFonts w:ascii="宋体" w:hAnsi="宋体"/>
          <w:sz w:val="24"/>
        </w:rPr>
        <w:t>3.5应按合同约定及时支付技术服务的费用。</w:t>
      </w:r>
    </w:p>
    <w:p>
      <w:pPr>
        <w:ind w:firstLine="480" w:firstLineChars="200"/>
        <w:rPr>
          <w:rFonts w:ascii="宋体" w:hAnsi="宋体"/>
          <w:sz w:val="24"/>
        </w:rPr>
      </w:pPr>
      <w:r>
        <w:rPr>
          <w:rFonts w:ascii="宋体" w:hAnsi="宋体"/>
          <w:sz w:val="24"/>
        </w:rPr>
        <w:t>3.6未经技术服务人同意不得泄密涉及其知识产权的资料。</w:t>
      </w:r>
    </w:p>
    <w:p>
      <w:pPr>
        <w:pStyle w:val="10"/>
      </w:pPr>
      <w:r>
        <w:t>4</w:t>
      </w:r>
      <w:r>
        <w:rPr>
          <w:rFonts w:hint="eastAsia"/>
        </w:rPr>
        <w:t xml:space="preserve">. </w:t>
      </w:r>
      <w:r>
        <w:t>责任和保障</w:t>
      </w:r>
      <w:bookmarkEnd w:id="24"/>
    </w:p>
    <w:p>
      <w:pPr>
        <w:pStyle w:val="11"/>
      </w:pPr>
      <w:r>
        <w:t>4.1技术服务人的违约及赔偿责任</w:t>
      </w:r>
    </w:p>
    <w:p>
      <w:pPr>
        <w:ind w:firstLine="480" w:firstLineChars="200"/>
        <w:rPr>
          <w:rFonts w:ascii="宋体" w:hAnsi="宋体"/>
          <w:sz w:val="24"/>
        </w:rPr>
      </w:pPr>
      <w:r>
        <w:rPr>
          <w:rFonts w:hint="eastAsia" w:ascii="宋体" w:hAnsi="宋体"/>
          <w:sz w:val="24"/>
        </w:rPr>
        <w:t xml:space="preserve">4.1.1 </w:t>
      </w:r>
      <w:r>
        <w:rPr>
          <w:rFonts w:ascii="宋体" w:hAnsi="宋体"/>
          <w:sz w:val="24"/>
        </w:rPr>
        <w:t>技术服务人违反技术服务合同的规定，将技术服务的任何部分违法转让或非法分包；</w:t>
      </w:r>
    </w:p>
    <w:p>
      <w:pPr>
        <w:ind w:firstLine="480" w:firstLineChars="200"/>
        <w:rPr>
          <w:rFonts w:ascii="宋体" w:hAnsi="宋体"/>
          <w:sz w:val="24"/>
        </w:rPr>
      </w:pPr>
      <w:r>
        <w:rPr>
          <w:rFonts w:hint="eastAsia" w:ascii="宋体" w:hAnsi="宋体"/>
          <w:sz w:val="24"/>
        </w:rPr>
        <w:t xml:space="preserve">4.1.2 </w:t>
      </w:r>
      <w:r>
        <w:rPr>
          <w:rFonts w:ascii="宋体" w:hAnsi="宋体"/>
          <w:sz w:val="24"/>
        </w:rPr>
        <w:t>技术服务人未能按照投标文件的承诺配备满足技术服务要求的人员或设备；</w:t>
      </w:r>
    </w:p>
    <w:p>
      <w:pPr>
        <w:ind w:firstLine="480" w:firstLineChars="200"/>
        <w:rPr>
          <w:rFonts w:ascii="宋体" w:hAnsi="宋体"/>
          <w:sz w:val="24"/>
        </w:rPr>
      </w:pPr>
      <w:r>
        <w:rPr>
          <w:rFonts w:hint="eastAsia" w:ascii="宋体" w:hAnsi="宋体"/>
          <w:sz w:val="24"/>
        </w:rPr>
        <w:t xml:space="preserve">4.1.3 </w:t>
      </w:r>
      <w:r>
        <w:rPr>
          <w:rFonts w:ascii="宋体" w:hAnsi="宋体"/>
          <w:sz w:val="24"/>
        </w:rPr>
        <w:t>技术服务人不履行职责，造成质量、安全事故或向相关人索贿、谋取私利，或与相关人串通损害发包人利益，给发包人造成损失；</w:t>
      </w:r>
    </w:p>
    <w:p>
      <w:pPr>
        <w:ind w:firstLine="480" w:firstLineChars="200"/>
        <w:rPr>
          <w:rFonts w:ascii="宋体" w:hAnsi="宋体"/>
          <w:sz w:val="24"/>
        </w:rPr>
      </w:pPr>
      <w:r>
        <w:rPr>
          <w:rFonts w:hint="eastAsia" w:ascii="宋体" w:hAnsi="宋体"/>
          <w:sz w:val="24"/>
        </w:rPr>
        <w:t>4.1.4</w:t>
      </w:r>
      <w:r>
        <w:rPr>
          <w:rFonts w:ascii="宋体" w:hAnsi="宋体"/>
          <w:sz w:val="24"/>
        </w:rPr>
        <w:t>技术服务人拒绝或未能遵守发包人的指示，或未能按合同进度计划及时完成合同约定的工作，造成工期延误；</w:t>
      </w:r>
    </w:p>
    <w:p>
      <w:pPr>
        <w:ind w:firstLine="480" w:firstLineChars="200"/>
        <w:rPr>
          <w:rFonts w:ascii="宋体" w:hAnsi="宋体"/>
          <w:sz w:val="24"/>
        </w:rPr>
      </w:pPr>
      <w:r>
        <w:rPr>
          <w:rFonts w:hint="eastAsia" w:ascii="宋体" w:hAnsi="宋体"/>
          <w:sz w:val="24"/>
        </w:rPr>
        <w:t xml:space="preserve">4.1.5 </w:t>
      </w:r>
      <w:r>
        <w:rPr>
          <w:rFonts w:ascii="宋体" w:hAnsi="宋体"/>
          <w:sz w:val="24"/>
        </w:rPr>
        <w:t>技术服务人未按投标文件中承诺的服务人员履行合同，擅自缺岗或变更；</w:t>
      </w:r>
    </w:p>
    <w:p>
      <w:pPr>
        <w:ind w:firstLine="480" w:firstLineChars="200"/>
        <w:rPr>
          <w:rFonts w:ascii="宋体" w:hAnsi="宋体"/>
          <w:sz w:val="24"/>
        </w:rPr>
      </w:pPr>
      <w:r>
        <w:rPr>
          <w:rFonts w:hint="eastAsia" w:ascii="宋体" w:hAnsi="宋体"/>
          <w:sz w:val="24"/>
        </w:rPr>
        <w:t xml:space="preserve">4.1.6 </w:t>
      </w:r>
      <w:r>
        <w:rPr>
          <w:rFonts w:ascii="宋体" w:hAnsi="宋体"/>
          <w:sz w:val="24"/>
        </w:rPr>
        <w:t>尽管技术服务人已按承诺派遣了各类技术服务人员，但若这些人员仍不能满足合同进度计划和(或)质量要求时，发包人有权要求技术服务人继续增派或雇用这类人员，技术服务人应立即执行，由此增加的费用和(或)工期延误由技术服务人承担。</w:t>
      </w:r>
    </w:p>
    <w:p>
      <w:pPr>
        <w:ind w:firstLine="480" w:firstLineChars="200"/>
        <w:rPr>
          <w:rFonts w:ascii="宋体" w:hAnsi="宋体"/>
          <w:sz w:val="24"/>
        </w:rPr>
      </w:pPr>
      <w:r>
        <w:rPr>
          <w:rFonts w:hint="eastAsia" w:ascii="宋体" w:hAnsi="宋体"/>
          <w:sz w:val="24"/>
        </w:rPr>
        <w:t xml:space="preserve">4.1.7 </w:t>
      </w:r>
      <w:r>
        <w:rPr>
          <w:rFonts w:ascii="宋体" w:hAnsi="宋体"/>
          <w:sz w:val="24"/>
        </w:rPr>
        <w:t>尽管技术服务人己经提供了合同附件要求的仪器设备，但若这些仪器设备仍不能满足技术服务要求时，发包人有权要求技术服务人增加或更换仪器设备，技术服务人应及时增加或更换仪器设备由此增加的费用和(或)工期延误由技术服务人承担。发包人有权在应付给技术服务人的费用中扣除新购仪器设备的费用以满足技术服务要求。</w:t>
      </w:r>
    </w:p>
    <w:p>
      <w:pPr>
        <w:ind w:firstLine="480" w:firstLineChars="200"/>
        <w:rPr>
          <w:rFonts w:ascii="宋体" w:hAnsi="宋体"/>
          <w:sz w:val="24"/>
        </w:rPr>
      </w:pPr>
      <w:r>
        <w:rPr>
          <w:rFonts w:hint="eastAsia" w:ascii="宋体" w:hAnsi="宋体"/>
          <w:sz w:val="24"/>
        </w:rPr>
        <w:t xml:space="preserve">4.1.8 </w:t>
      </w:r>
      <w:r>
        <w:rPr>
          <w:rFonts w:ascii="宋体" w:hAnsi="宋体"/>
          <w:sz w:val="24"/>
        </w:rPr>
        <w:t>若因服务人员不负责任、失职读职，使给服务对象造成质量安全事故并造成一定经济损失或被上级通报批评的，技术服务人向发包人支付违约金及赔偿金，同时发包人将上报有关部门追究相应责任人的责任。</w:t>
      </w:r>
    </w:p>
    <w:p>
      <w:pPr>
        <w:ind w:firstLine="480" w:firstLineChars="200"/>
        <w:rPr>
          <w:rFonts w:ascii="宋体" w:hAnsi="宋体"/>
          <w:sz w:val="24"/>
        </w:rPr>
      </w:pPr>
      <w:r>
        <w:rPr>
          <w:rFonts w:hint="eastAsia" w:ascii="宋体" w:hAnsi="宋体"/>
          <w:sz w:val="24"/>
        </w:rPr>
        <w:t xml:space="preserve">4.1.9 </w:t>
      </w:r>
      <w:r>
        <w:rPr>
          <w:rFonts w:ascii="宋体" w:hAnsi="宋体"/>
          <w:sz w:val="24"/>
        </w:rPr>
        <w:t>在合同履行期间，如技术服务人提供虚假成果，技术服务人应更换主要负责人，并向发包人支付违约金，并应重新完成相关服务工作。因虚假服务造成发包人损失的，依法追究相关责任和赔偿。</w:t>
      </w:r>
    </w:p>
    <w:p>
      <w:pPr>
        <w:ind w:firstLine="480" w:firstLineChars="200"/>
        <w:rPr>
          <w:rFonts w:ascii="宋体" w:hAnsi="宋体"/>
          <w:sz w:val="24"/>
        </w:rPr>
      </w:pPr>
      <w:r>
        <w:rPr>
          <w:rFonts w:hint="eastAsia" w:ascii="宋体" w:hAnsi="宋体"/>
          <w:sz w:val="24"/>
        </w:rPr>
        <w:t xml:space="preserve">4.1.10 </w:t>
      </w:r>
      <w:r>
        <w:rPr>
          <w:rFonts w:ascii="宋体" w:hAnsi="宋体"/>
          <w:sz w:val="24"/>
        </w:rPr>
        <w:t>对执行发包人的工作指令不力，工作责任心不强、职业道德差而造成严重影响的服务人员，发包人有权作出调整或更换，技术服务人必须服从，技术服务人应向发包人支付违约金。</w:t>
      </w:r>
    </w:p>
    <w:p>
      <w:pPr>
        <w:ind w:firstLine="480" w:firstLineChars="200"/>
        <w:rPr>
          <w:rFonts w:ascii="宋体" w:hAnsi="宋体"/>
          <w:sz w:val="24"/>
        </w:rPr>
      </w:pPr>
      <w:r>
        <w:rPr>
          <w:rFonts w:hint="eastAsia" w:ascii="宋体" w:hAnsi="宋体"/>
          <w:sz w:val="24"/>
        </w:rPr>
        <w:t xml:space="preserve">4.1.11 </w:t>
      </w:r>
      <w:r>
        <w:rPr>
          <w:rFonts w:ascii="宋体" w:hAnsi="宋体"/>
          <w:sz w:val="24"/>
        </w:rPr>
        <w:t>发包人在向技术服务人发出书面指令的7天内未见执行的，可以向技术服务人课以违约金，在14天以上还不执行的发包人有权终止合同。</w:t>
      </w:r>
    </w:p>
    <w:p>
      <w:pPr>
        <w:ind w:firstLine="480" w:firstLineChars="200"/>
        <w:rPr>
          <w:rFonts w:ascii="宋体" w:hAnsi="宋体"/>
          <w:sz w:val="24"/>
        </w:rPr>
      </w:pPr>
      <w:r>
        <w:rPr>
          <w:rFonts w:hint="eastAsia" w:ascii="宋体" w:hAnsi="宋体"/>
          <w:sz w:val="24"/>
        </w:rPr>
        <w:t xml:space="preserve">4.1.12 </w:t>
      </w:r>
      <w:r>
        <w:rPr>
          <w:rFonts w:ascii="宋体" w:hAnsi="宋体"/>
          <w:sz w:val="24"/>
        </w:rPr>
        <w:t>技术服务人违反技术服务合同的规定并造成发包人的经济损失，应向发包人赔偿。技术服务人对因第三方责任造成的任何经济损失，不承担责任。如果技术服务人与发包人或第三方对有关经济损失共责任时，应按责任比例计算赔偿。技术服务人的上述责任赔偿。均应按照本合同条欺第4.4款的规定办理。</w:t>
      </w:r>
    </w:p>
    <w:p>
      <w:pPr>
        <w:ind w:firstLine="480" w:firstLineChars="200"/>
        <w:rPr>
          <w:rFonts w:ascii="宋体" w:hAnsi="宋体"/>
          <w:sz w:val="24"/>
        </w:rPr>
      </w:pPr>
      <w:r>
        <w:rPr>
          <w:rFonts w:hint="eastAsia" w:ascii="宋体" w:hAnsi="宋体"/>
          <w:sz w:val="24"/>
        </w:rPr>
        <w:t xml:space="preserve">4.1.14 </w:t>
      </w:r>
      <w:r>
        <w:rPr>
          <w:rFonts w:ascii="宋体" w:hAnsi="宋体"/>
          <w:sz w:val="24"/>
        </w:rPr>
        <w:t>技术服务人发生上述的违约情况时，均以项目专用合同条款中规定的违约金的规定办理。</w:t>
      </w:r>
    </w:p>
    <w:p>
      <w:pPr>
        <w:pStyle w:val="12"/>
        <w:ind w:left="1008" w:hanging="1008"/>
      </w:pPr>
      <w:r>
        <w:t>4.2发包人的违约及赔偿责任</w:t>
      </w:r>
    </w:p>
    <w:p>
      <w:pPr>
        <w:ind w:firstLine="480" w:firstLineChars="200"/>
        <w:rPr>
          <w:rFonts w:ascii="宋体" w:hAnsi="宋体"/>
          <w:sz w:val="24"/>
        </w:rPr>
      </w:pPr>
      <w:r>
        <w:rPr>
          <w:rFonts w:ascii="宋体" w:hAnsi="宋体"/>
          <w:sz w:val="24"/>
        </w:rPr>
        <w:t>发包人违反技术服务合同规定的应当及时予以改正，并造成技术服务人的经济损失</w:t>
      </w:r>
      <w:r>
        <w:rPr>
          <w:rFonts w:hint="eastAsia" w:ascii="宋体" w:hAnsi="宋体"/>
          <w:sz w:val="24"/>
        </w:rPr>
        <w:t>，</w:t>
      </w:r>
      <w:r>
        <w:rPr>
          <w:rFonts w:ascii="宋体" w:hAnsi="宋体"/>
          <w:sz w:val="24"/>
        </w:rPr>
        <w:t>应向技术服务人赔偿。</w:t>
      </w:r>
    </w:p>
    <w:p>
      <w:pPr>
        <w:pStyle w:val="12"/>
        <w:ind w:left="1008" w:hanging="1008"/>
      </w:pPr>
      <w:r>
        <w:t>4. 3赔偿责任的期限</w:t>
      </w:r>
    </w:p>
    <w:p>
      <w:pPr>
        <w:ind w:firstLine="480" w:firstLineChars="200"/>
        <w:rPr>
          <w:rFonts w:ascii="宋体" w:hAnsi="宋体"/>
          <w:sz w:val="24"/>
        </w:rPr>
      </w:pPr>
      <w:r>
        <w:rPr>
          <w:rFonts w:ascii="宋体" w:hAnsi="宋体"/>
          <w:sz w:val="24"/>
        </w:rPr>
        <w:t>发包人或技术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技术服务人均有权对上述索赔不予受理。</w:t>
      </w:r>
    </w:p>
    <w:p>
      <w:pPr>
        <w:pStyle w:val="12"/>
        <w:ind w:left="1008" w:hanging="1008"/>
      </w:pPr>
      <w:r>
        <w:t xml:space="preserve"> 4.</w:t>
      </w:r>
      <w:bookmarkStart w:id="25" w:name="_Toc493143939"/>
      <w:r>
        <w:t xml:space="preserve"> 4赔偿的限额</w:t>
      </w:r>
      <w:bookmarkEnd w:id="25"/>
    </w:p>
    <w:p>
      <w:pPr>
        <w:ind w:firstLine="480" w:firstLineChars="200"/>
        <w:rPr>
          <w:rFonts w:ascii="宋体" w:hAnsi="宋体"/>
          <w:sz w:val="24"/>
        </w:rPr>
      </w:pPr>
      <w:r>
        <w:rPr>
          <w:rFonts w:ascii="宋体" w:hAnsi="宋体"/>
          <w:sz w:val="24"/>
        </w:rPr>
        <w:t>除非发包人、技术服务人相互或给相关第三方造成重大损失需提交司法或仲裁外，违约处罚或责任赔偿累计一般不超过合同额的10%</w:t>
      </w:r>
      <w:r>
        <w:rPr>
          <w:rFonts w:hint="eastAsia" w:ascii="宋体" w:hAnsi="宋体"/>
          <w:sz w:val="24"/>
        </w:rPr>
        <w:t>，具体在合同专用条款中约定</w:t>
      </w:r>
      <w:r>
        <w:rPr>
          <w:rFonts w:ascii="宋体" w:hAnsi="宋体"/>
          <w:sz w:val="24"/>
        </w:rPr>
        <w:t>（鉴于双方在合同条款中，约定了任何一方向另一方依据本合同条款第4.1款和第4. 2款支付赔偿的最高限额，双方在此一致同意放弃超过该限额的剩余赔偿要求。但本合同条款其它条款规定的补偿和由于任何一方故意违约而引起的索赔，不受该限额的限制）</w:t>
      </w:r>
      <w:r>
        <w:rPr>
          <w:rFonts w:hint="eastAsia" w:ascii="宋体" w:hAnsi="宋体"/>
          <w:sz w:val="24"/>
        </w:rPr>
        <w:t>。</w:t>
      </w:r>
    </w:p>
    <w:p>
      <w:pPr>
        <w:pStyle w:val="12"/>
        <w:ind w:left="1008" w:hanging="1008"/>
      </w:pPr>
      <w:bookmarkStart w:id="26" w:name="_Toc493143940"/>
      <w:r>
        <w:t>4.5保障</w:t>
      </w:r>
      <w:bookmarkEnd w:id="26"/>
    </w:p>
    <w:p>
      <w:pPr>
        <w:ind w:firstLine="480" w:firstLineChars="200"/>
        <w:rPr>
          <w:rFonts w:ascii="宋体" w:hAnsi="宋体"/>
          <w:sz w:val="24"/>
        </w:rPr>
      </w:pPr>
      <w:r>
        <w:rPr>
          <w:rFonts w:ascii="宋体" w:hAnsi="宋体"/>
          <w:sz w:val="24"/>
        </w:rPr>
        <w:t>4.5.1在技术服务人不违反有关法律、法规的前提下，发包人应保障技术服务人免受因履行本技术服务合同而引起的外界索赔或干扰。</w:t>
      </w:r>
    </w:p>
    <w:p>
      <w:pPr>
        <w:ind w:firstLine="480" w:firstLineChars="200"/>
        <w:rPr>
          <w:rFonts w:ascii="宋体" w:hAnsi="宋体"/>
          <w:sz w:val="24"/>
        </w:rPr>
      </w:pPr>
      <w:r>
        <w:rPr>
          <w:rFonts w:ascii="宋体" w:hAnsi="宋体"/>
          <w:sz w:val="24"/>
        </w:rPr>
        <w:t>4.5.2技术服务人在签订技术服务合同协议前应按照发包人认可的形式向发包人递交履约保函或履约保证金。如果技术服务人无正当理由全部或部分不履行本技术服务合同时，发包人有权根据具体情况没收全部或部分履约保证金。</w:t>
      </w:r>
    </w:p>
    <w:p>
      <w:pPr>
        <w:ind w:firstLine="480" w:firstLineChars="200"/>
        <w:rPr>
          <w:rFonts w:ascii="宋体" w:hAnsi="宋体"/>
          <w:sz w:val="24"/>
        </w:rPr>
      </w:pPr>
      <w:r>
        <w:rPr>
          <w:rFonts w:ascii="宋体" w:hAnsi="宋体"/>
          <w:sz w:val="24"/>
        </w:rPr>
        <w:t>4.5.3在签发合同工程交工证书后，发包人向技术服务人返还履约保证金。</w:t>
      </w:r>
    </w:p>
    <w:p>
      <w:pPr>
        <w:pStyle w:val="12"/>
        <w:ind w:left="1008" w:hanging="1008"/>
      </w:pPr>
      <w:bookmarkStart w:id="27" w:name="_Toc493143941"/>
      <w:r>
        <w:t>4.6保险</w:t>
      </w:r>
      <w:bookmarkEnd w:id="27"/>
    </w:p>
    <w:p>
      <w:pPr>
        <w:ind w:firstLine="480" w:firstLineChars="200"/>
        <w:rPr>
          <w:rFonts w:ascii="宋体" w:hAnsi="宋体"/>
          <w:sz w:val="24"/>
        </w:rPr>
      </w:pPr>
      <w:r>
        <w:rPr>
          <w:rFonts w:ascii="宋体" w:hAnsi="宋体"/>
          <w:sz w:val="24"/>
        </w:rPr>
        <w:t>技术服务人应在技术服务期内、自费办理派驻到项目所在地的人员人身和自备财产的有关保险，保险时间应随服务时间的延长而顺延，井在出险后自行办理索赔。如果技术服务人不办理上述保险，则应对有关风险及后果自负其责。</w:t>
      </w:r>
    </w:p>
    <w:p>
      <w:pPr>
        <w:pStyle w:val="11"/>
      </w:pPr>
      <w:r>
        <w:t>5</w:t>
      </w:r>
      <w:r>
        <w:rPr>
          <w:rFonts w:hint="eastAsia"/>
        </w:rPr>
        <w:t xml:space="preserve">. </w:t>
      </w:r>
      <w:r>
        <w:t>技术服务合同的生效、终止、暂停与解除</w:t>
      </w:r>
    </w:p>
    <w:p>
      <w:pPr>
        <w:pStyle w:val="12"/>
        <w:ind w:left="1008" w:hanging="1008"/>
      </w:pPr>
      <w:bookmarkStart w:id="28" w:name="_Toc493143943"/>
      <w:r>
        <w:t>5. 1技术服务合同协议书的生效</w:t>
      </w:r>
      <w:bookmarkEnd w:id="28"/>
    </w:p>
    <w:p>
      <w:pPr>
        <w:ind w:firstLine="480" w:firstLineChars="200"/>
        <w:rPr>
          <w:rFonts w:ascii="宋体" w:hAnsi="宋体"/>
          <w:sz w:val="24"/>
        </w:rPr>
      </w:pPr>
      <w:r>
        <w:rPr>
          <w:rFonts w:ascii="宋体" w:hAnsi="宋体"/>
          <w:sz w:val="24"/>
        </w:rPr>
        <w:t>技术服务合同协议书生效的时间，以双方签署的协议书上约定的时间为准。</w:t>
      </w:r>
    </w:p>
    <w:p>
      <w:pPr>
        <w:pStyle w:val="12"/>
        <w:ind w:left="1008" w:hanging="1008"/>
      </w:pPr>
      <w:bookmarkStart w:id="29" w:name="_Toc493143944"/>
      <w:r>
        <w:t>5. 2技术服务的时间和期限</w:t>
      </w:r>
      <w:bookmarkEnd w:id="29"/>
    </w:p>
    <w:p>
      <w:pPr>
        <w:ind w:firstLine="480" w:firstLineChars="200"/>
        <w:rPr>
          <w:rFonts w:ascii="宋体" w:hAnsi="宋体"/>
          <w:sz w:val="24"/>
        </w:rPr>
      </w:pPr>
      <w:r>
        <w:rPr>
          <w:rFonts w:ascii="宋体" w:hAnsi="宋体"/>
          <w:sz w:val="24"/>
        </w:rPr>
        <w:t>技术服务人必须按照合同条款中规定的时间和有关期限履行和完成技术服务。如果非技术服务人的原因。致使技术服务时向需要延长，双方应通过协商，另行签订补充协议。</w:t>
      </w:r>
    </w:p>
    <w:p>
      <w:pPr>
        <w:pStyle w:val="12"/>
        <w:ind w:left="1008" w:hanging="1008"/>
      </w:pPr>
      <w:bookmarkStart w:id="30" w:name="_Toc493143945"/>
      <w:r>
        <w:t>5.3技术服务合同的终止</w:t>
      </w:r>
      <w:bookmarkEnd w:id="30"/>
    </w:p>
    <w:p>
      <w:pPr>
        <w:ind w:firstLine="480" w:firstLineChars="200"/>
        <w:rPr>
          <w:rFonts w:ascii="宋体" w:hAnsi="宋体"/>
          <w:sz w:val="24"/>
        </w:rPr>
      </w:pPr>
      <w:r>
        <w:rPr>
          <w:rFonts w:ascii="宋体" w:hAnsi="宋体"/>
          <w:sz w:val="24"/>
        </w:rPr>
        <w:t>5.3.1根据技术服务的内容要求，技术服务人应提交最终服务执行情况报告或服务成果总结报告并得到发包人的认可后方可终止合同；</w:t>
      </w:r>
    </w:p>
    <w:p>
      <w:pPr>
        <w:ind w:firstLine="480" w:firstLineChars="200"/>
        <w:rPr>
          <w:rFonts w:ascii="宋体" w:hAnsi="宋体"/>
          <w:sz w:val="24"/>
        </w:rPr>
      </w:pPr>
      <w:r>
        <w:rPr>
          <w:rFonts w:ascii="宋体" w:hAnsi="宋体"/>
          <w:sz w:val="24"/>
        </w:rPr>
        <w:t>5.3.2技术服务合同终止和失效的时间，按双方签署的协议书上注明的方式确定。技术服务合同失效后，双方均不再受本技术服务合同的约束。</w:t>
      </w:r>
    </w:p>
    <w:p>
      <w:pPr>
        <w:pStyle w:val="12"/>
        <w:ind w:left="1008" w:hanging="1008"/>
      </w:pPr>
      <w:r>
        <w:t>5.4 技术服务费用</w:t>
      </w:r>
      <w:r>
        <w:rPr>
          <w:rFonts w:hint="eastAsia"/>
        </w:rPr>
        <w:t>的调整</w:t>
      </w:r>
    </w:p>
    <w:p>
      <w:pPr>
        <w:ind w:firstLine="480" w:firstLineChars="200"/>
        <w:rPr>
          <w:rFonts w:ascii="宋体" w:hAnsi="宋体"/>
          <w:sz w:val="24"/>
        </w:rPr>
      </w:pPr>
      <w:r>
        <w:rPr>
          <w:rFonts w:ascii="宋体" w:hAnsi="宋体"/>
          <w:sz w:val="24"/>
        </w:rPr>
        <w:t>在签订本技术服务合同后，因物价变动等因素或因国家或地方政府的法律、法规变动而引起技术服务费用的增加或服务时间的延长，而引起技术服务费用的变化，不予调整。</w:t>
      </w:r>
    </w:p>
    <w:p>
      <w:pPr>
        <w:pStyle w:val="12"/>
        <w:ind w:left="1008" w:hanging="1008"/>
      </w:pPr>
      <w:bookmarkStart w:id="31" w:name="_Toc493143947"/>
      <w:r>
        <w:t>5.5 技术服务合同的暂停与</w:t>
      </w:r>
      <w:bookmarkEnd w:id="31"/>
      <w:r>
        <w:t>解除</w:t>
      </w:r>
    </w:p>
    <w:p>
      <w:pPr>
        <w:ind w:firstLine="480" w:firstLineChars="200"/>
        <w:rPr>
          <w:rFonts w:ascii="宋体" w:hAnsi="宋体"/>
          <w:sz w:val="24"/>
        </w:rPr>
      </w:pPr>
      <w:r>
        <w:rPr>
          <w:rFonts w:ascii="宋体" w:hAnsi="宋体"/>
          <w:sz w:val="24"/>
        </w:rPr>
        <w:t>5.5.1 出现根据本技术服务合同的规定不应由技术服务人负责的情况，且该情况已使技术服务人不能继续履行全部或部分技术服务时，技术服务人应立即书面通知发包人。并且不得不暂停或减缓某些技术服务时，则上述服务的完成期限应予以延长；因此而增加的技术服务工作量或延长的服务时间应作为技术服务人附加的服务；</w:t>
      </w:r>
    </w:p>
    <w:p>
      <w:pPr>
        <w:ind w:firstLine="480" w:firstLineChars="200"/>
        <w:rPr>
          <w:rFonts w:ascii="宋体" w:hAnsi="宋体"/>
          <w:sz w:val="24"/>
        </w:rPr>
      </w:pPr>
      <w:r>
        <w:rPr>
          <w:rFonts w:ascii="宋体" w:hAnsi="宋体"/>
          <w:sz w:val="24"/>
        </w:rPr>
        <w:t>5.5.2 全部技术服务已无法继续履行时，技术服务人在书面通知发包人7日之后，有权单方面解除本技术服务合同，因此而增加的技术服务工作量应作为技术服务人额外的服务。发包人应及时向技术服务人返还全部或剩余部分的履约保证金；</w:t>
      </w:r>
    </w:p>
    <w:p>
      <w:pPr>
        <w:ind w:firstLine="480" w:firstLineChars="200"/>
        <w:rPr>
          <w:rFonts w:ascii="宋体" w:hAnsi="宋体"/>
          <w:sz w:val="24"/>
        </w:rPr>
      </w:pPr>
      <w:r>
        <w:rPr>
          <w:rFonts w:ascii="宋体" w:hAnsi="宋体"/>
          <w:sz w:val="24"/>
        </w:rPr>
        <w:t>5.5.3因不可抗力致使本技术服务合同不能履行或只能部分履行时，一方应立即书面通知另一方，暂停或解除技术服务合同。双方应对由此而产生的任何损失、损害或延误各负其责。不可抗力是指服务人和发包人在订立合同时不可预见，在履行合同过程中不可避免发生并不能克服的自然灾害和社会性突发事件，如地震、海啸、瘟疫、水灾、骚乱、暴动、战争等。</w:t>
      </w:r>
    </w:p>
    <w:p>
      <w:pPr>
        <w:ind w:firstLine="480" w:firstLineChars="200"/>
        <w:rPr>
          <w:rFonts w:ascii="宋体" w:hAnsi="宋体"/>
          <w:sz w:val="24"/>
        </w:rPr>
      </w:pPr>
      <w:r>
        <w:rPr>
          <w:rFonts w:ascii="宋体" w:hAnsi="宋体"/>
          <w:sz w:val="24"/>
        </w:rPr>
        <w:t>5.5.4发包人要求技术服务人全部或部分暂停技术服务或解除本技术服务合同时，必须在7日之前发出书面通知。技术服务人在接到通知后，应立即安排停止全部或该部分技术服务并将相关费用开支减至最小。因此而增加的技术服务工作量应作为技术服务人额外的服务，发包人应及时向技术服务人返还全部或剩余部分的履约保证金。</w:t>
      </w:r>
    </w:p>
    <w:p>
      <w:pPr>
        <w:ind w:firstLine="480" w:firstLineChars="200"/>
        <w:rPr>
          <w:rFonts w:ascii="宋体" w:hAnsi="宋体"/>
          <w:sz w:val="24"/>
        </w:rPr>
      </w:pPr>
      <w:r>
        <w:rPr>
          <w:rFonts w:ascii="宋体" w:hAnsi="宋体"/>
          <w:sz w:val="24"/>
        </w:rPr>
        <w:t>5.5.5技术服务人无正当的理由，未根据技术服务合同的规定履行全部或部分技术服务，发包人可书面要求技术服务人予以解释。若技术服务人在28日内未能根据本技术服务合同给予合理的答复，发包人可在进一步发出书面通知14日后，单方面解除本技术服务合同，并视情况没收技术服务人的全部或部分履约保证金。</w:t>
      </w:r>
    </w:p>
    <w:p>
      <w:pPr>
        <w:ind w:firstLine="480" w:firstLineChars="200"/>
        <w:rPr>
          <w:rFonts w:ascii="宋体" w:hAnsi="宋体"/>
          <w:sz w:val="24"/>
        </w:rPr>
      </w:pPr>
      <w:r>
        <w:rPr>
          <w:rFonts w:ascii="宋体" w:hAnsi="宋体"/>
          <w:sz w:val="24"/>
        </w:rPr>
        <w:t>5.5.6发包人拖延支付技术服务费用，并已超过规定支付期限后28日，或暂停技术服务己超过6个月时，技术服务人可书面要求发包人予以解释。若发包人在28日内未能根据本技术服务合同给予合理的答复，技术服务人可在进一步发出书面通知14日后，单方面解除本技术服务合同或自行暂停全部或部分技术服务。因此而增加的技术服务工作量应作为技术服务人附加的服务，发包人应及时向技术服务人返还全部或剩余部分的履约保证金。</w:t>
      </w:r>
    </w:p>
    <w:p>
      <w:pPr>
        <w:ind w:firstLine="480" w:firstLineChars="200"/>
        <w:rPr>
          <w:rFonts w:ascii="宋体" w:hAnsi="宋体"/>
          <w:sz w:val="24"/>
        </w:rPr>
      </w:pPr>
      <w:r>
        <w:rPr>
          <w:rFonts w:ascii="宋体" w:hAnsi="宋体"/>
          <w:sz w:val="24"/>
        </w:rPr>
        <w:t>5.5.7技术服务合同的解除，不得损害或影响双方根据本技术服务合同应有的义务、责任、权力和利益。</w:t>
      </w:r>
      <w:bookmarkStart w:id="32" w:name="_Toc493143949"/>
    </w:p>
    <w:p>
      <w:pPr>
        <w:pStyle w:val="42"/>
      </w:pPr>
    </w:p>
    <w:p>
      <w:pPr>
        <w:rPr>
          <w:b/>
          <w:bCs/>
          <w:sz w:val="28"/>
          <w:szCs w:val="28"/>
        </w:rPr>
      </w:pPr>
      <w:r>
        <w:rPr>
          <w:b/>
          <w:bCs/>
          <w:sz w:val="28"/>
          <w:szCs w:val="28"/>
        </w:rPr>
        <w:t>6. 技术服务的费用与支付</w:t>
      </w:r>
      <w:bookmarkEnd w:id="32"/>
    </w:p>
    <w:p>
      <w:pPr>
        <w:pStyle w:val="12"/>
        <w:ind w:left="1008" w:hanging="1008"/>
      </w:pPr>
      <w:bookmarkStart w:id="33" w:name="_Toc493143950"/>
      <w:r>
        <w:t>6.1技术服务费用内容</w:t>
      </w:r>
    </w:p>
    <w:p>
      <w:pPr>
        <w:rPr>
          <w:rFonts w:ascii="宋体" w:hAnsi="宋体"/>
          <w:sz w:val="24"/>
        </w:rPr>
      </w:pPr>
      <w:r>
        <w:rPr>
          <w:rFonts w:ascii="宋体" w:hAnsi="宋体"/>
          <w:sz w:val="24"/>
        </w:rPr>
        <w:t>技术服务人服务费用应包括如下内容：</w:t>
      </w:r>
    </w:p>
    <w:p>
      <w:pPr>
        <w:ind w:firstLine="422" w:firstLineChars="200"/>
        <w:rPr>
          <w:rFonts w:ascii="宋体" w:hAnsi="宋体"/>
          <w:b/>
        </w:rPr>
      </w:pPr>
      <w:r>
        <w:rPr>
          <w:rFonts w:ascii="宋体" w:hAnsi="宋体"/>
          <w:b/>
        </w:rPr>
        <w:t>6.1.1人员费用</w:t>
      </w:r>
    </w:p>
    <w:p>
      <w:pPr>
        <w:ind w:firstLine="480" w:firstLineChars="200"/>
        <w:rPr>
          <w:rFonts w:ascii="宋体" w:hAnsi="宋体"/>
          <w:sz w:val="24"/>
        </w:rPr>
      </w:pPr>
      <w:r>
        <w:rPr>
          <w:rFonts w:ascii="宋体" w:hAnsi="宋体"/>
          <w:sz w:val="24"/>
        </w:rPr>
        <w:t>6.1.1.1基本工资</w:t>
      </w:r>
    </w:p>
    <w:p>
      <w:pPr>
        <w:ind w:firstLine="480" w:firstLineChars="200"/>
        <w:rPr>
          <w:rFonts w:ascii="宋体" w:hAnsi="宋体"/>
          <w:sz w:val="24"/>
        </w:rPr>
      </w:pPr>
      <w:r>
        <w:rPr>
          <w:rFonts w:ascii="宋体" w:hAnsi="宋体"/>
          <w:sz w:val="24"/>
        </w:rPr>
        <w:t>6.1.1.2工资性津贴</w:t>
      </w:r>
    </w:p>
    <w:p>
      <w:pPr>
        <w:ind w:firstLine="480" w:firstLineChars="200"/>
        <w:rPr>
          <w:rFonts w:ascii="宋体" w:hAnsi="宋体"/>
          <w:sz w:val="24"/>
        </w:rPr>
      </w:pPr>
      <w:r>
        <w:rPr>
          <w:rFonts w:ascii="宋体" w:hAnsi="宋体"/>
          <w:sz w:val="24"/>
        </w:rPr>
        <w:t>6.1.1.3职工福利费</w:t>
      </w:r>
    </w:p>
    <w:p>
      <w:pPr>
        <w:ind w:firstLine="480" w:firstLineChars="200"/>
        <w:rPr>
          <w:rFonts w:ascii="宋体" w:hAnsi="宋体"/>
          <w:sz w:val="24"/>
        </w:rPr>
      </w:pPr>
      <w:r>
        <w:rPr>
          <w:rFonts w:ascii="宋体" w:hAnsi="宋体"/>
          <w:sz w:val="24"/>
        </w:rPr>
        <w:t>6.1.1.4劳动保护费</w:t>
      </w:r>
    </w:p>
    <w:p>
      <w:pPr>
        <w:ind w:firstLine="480" w:firstLineChars="200"/>
        <w:rPr>
          <w:rFonts w:ascii="宋体" w:hAnsi="宋体"/>
          <w:sz w:val="24"/>
        </w:rPr>
      </w:pPr>
      <w:r>
        <w:rPr>
          <w:rFonts w:ascii="宋体" w:hAnsi="宋体"/>
          <w:sz w:val="24"/>
        </w:rPr>
        <w:t>6.1.1.5加班费</w:t>
      </w:r>
    </w:p>
    <w:p>
      <w:pPr>
        <w:ind w:firstLine="480" w:firstLineChars="200"/>
        <w:rPr>
          <w:rFonts w:ascii="宋体" w:hAnsi="宋体"/>
          <w:sz w:val="24"/>
        </w:rPr>
      </w:pPr>
      <w:r>
        <w:rPr>
          <w:rFonts w:ascii="宋体" w:hAnsi="宋体"/>
          <w:sz w:val="24"/>
        </w:rPr>
        <w:t>6.1.1.6其它</w:t>
      </w:r>
    </w:p>
    <w:p>
      <w:pPr>
        <w:ind w:firstLine="422" w:firstLineChars="200"/>
        <w:rPr>
          <w:rFonts w:ascii="宋体" w:hAnsi="宋体"/>
          <w:b/>
        </w:rPr>
      </w:pPr>
      <w:r>
        <w:rPr>
          <w:rFonts w:ascii="宋体" w:hAnsi="宋体"/>
          <w:b/>
        </w:rPr>
        <w:t>6.1.2现场费用</w:t>
      </w:r>
    </w:p>
    <w:p>
      <w:pPr>
        <w:ind w:firstLine="420" w:firstLineChars="200"/>
        <w:rPr>
          <w:rFonts w:ascii="宋体" w:hAnsi="宋体"/>
        </w:rPr>
      </w:pPr>
      <w:r>
        <w:rPr>
          <w:rFonts w:ascii="宋体" w:hAnsi="宋体"/>
        </w:rPr>
        <w:t>6.1.2.1临时设施费</w:t>
      </w:r>
    </w:p>
    <w:p>
      <w:pPr>
        <w:ind w:firstLine="480" w:firstLineChars="200"/>
        <w:rPr>
          <w:rFonts w:ascii="宋体" w:hAnsi="宋体"/>
          <w:sz w:val="24"/>
        </w:rPr>
      </w:pPr>
      <w:r>
        <w:rPr>
          <w:rFonts w:ascii="宋体" w:hAnsi="宋体"/>
          <w:sz w:val="24"/>
        </w:rPr>
        <w:t>6.1.2.2办公费</w:t>
      </w:r>
    </w:p>
    <w:p>
      <w:pPr>
        <w:ind w:firstLine="480" w:firstLineChars="200"/>
        <w:rPr>
          <w:rFonts w:ascii="宋体" w:hAnsi="宋体"/>
          <w:sz w:val="24"/>
        </w:rPr>
      </w:pPr>
      <w:r>
        <w:rPr>
          <w:rFonts w:ascii="宋体" w:hAnsi="宋体"/>
          <w:sz w:val="24"/>
        </w:rPr>
        <w:t>6.1.2.3会议费</w:t>
      </w:r>
    </w:p>
    <w:p>
      <w:pPr>
        <w:ind w:firstLine="480" w:firstLineChars="200"/>
        <w:rPr>
          <w:rFonts w:ascii="宋体" w:hAnsi="宋体"/>
          <w:sz w:val="24"/>
        </w:rPr>
      </w:pPr>
      <w:r>
        <w:rPr>
          <w:rFonts w:ascii="宋体" w:hAnsi="宋体"/>
          <w:sz w:val="24"/>
        </w:rPr>
        <w:t>6.1.2.4差旅交通费</w:t>
      </w:r>
    </w:p>
    <w:p>
      <w:pPr>
        <w:ind w:firstLine="480" w:firstLineChars="200"/>
        <w:rPr>
          <w:rFonts w:ascii="宋体" w:hAnsi="宋体"/>
          <w:sz w:val="24"/>
        </w:rPr>
      </w:pPr>
      <w:r>
        <w:rPr>
          <w:rFonts w:ascii="宋体" w:hAnsi="宋体"/>
          <w:sz w:val="24"/>
        </w:rPr>
        <w:t>6.1.2.5固定资产使用费</w:t>
      </w:r>
    </w:p>
    <w:p>
      <w:pPr>
        <w:ind w:firstLine="480" w:firstLineChars="200"/>
        <w:rPr>
          <w:rFonts w:ascii="宋体" w:hAnsi="宋体"/>
          <w:sz w:val="24"/>
        </w:rPr>
      </w:pPr>
      <w:r>
        <w:rPr>
          <w:rFonts w:ascii="宋体" w:hAnsi="宋体"/>
          <w:sz w:val="24"/>
        </w:rPr>
        <w:t>6.1.2.6通讯设备购置、使用费</w:t>
      </w:r>
    </w:p>
    <w:p>
      <w:pPr>
        <w:ind w:firstLine="480" w:firstLineChars="200"/>
        <w:rPr>
          <w:rFonts w:ascii="宋体" w:hAnsi="宋体"/>
          <w:sz w:val="24"/>
        </w:rPr>
      </w:pPr>
      <w:r>
        <w:rPr>
          <w:rFonts w:ascii="宋体" w:hAnsi="宋体"/>
          <w:sz w:val="24"/>
        </w:rPr>
        <w:t>6.1.2.7</w:t>
      </w:r>
      <w:r>
        <w:rPr>
          <w:rFonts w:hint="eastAsia" w:ascii="宋体" w:hAnsi="宋体"/>
          <w:sz w:val="24"/>
        </w:rPr>
        <w:t>投标人提供的</w:t>
      </w:r>
      <w:r>
        <w:rPr>
          <w:rFonts w:ascii="宋体" w:hAnsi="宋体"/>
          <w:sz w:val="24"/>
        </w:rPr>
        <w:t>测量、试验、检测设备仪器折旧、维修或租赁费，其他设备折旧、维修或租赁费等</w:t>
      </w:r>
    </w:p>
    <w:p>
      <w:pPr>
        <w:ind w:firstLine="480" w:firstLineChars="200"/>
        <w:rPr>
          <w:rFonts w:ascii="宋体" w:hAnsi="宋体"/>
          <w:sz w:val="24"/>
        </w:rPr>
      </w:pPr>
      <w:r>
        <w:rPr>
          <w:rFonts w:ascii="宋体" w:hAnsi="宋体"/>
          <w:sz w:val="24"/>
        </w:rPr>
        <w:t>6.1.2.8</w:t>
      </w:r>
      <w:r>
        <w:rPr>
          <w:rFonts w:hint="eastAsia" w:ascii="宋体" w:hAnsi="宋体"/>
          <w:sz w:val="24"/>
        </w:rPr>
        <w:t>招标人提供的试验设备、办公用品及办公用房的维护维修费等</w:t>
      </w:r>
    </w:p>
    <w:p>
      <w:pPr>
        <w:ind w:firstLine="480" w:firstLineChars="200"/>
        <w:rPr>
          <w:rFonts w:ascii="宋体" w:hAnsi="宋体"/>
          <w:sz w:val="24"/>
        </w:rPr>
      </w:pPr>
      <w:r>
        <w:rPr>
          <w:rFonts w:ascii="宋体" w:hAnsi="宋体"/>
          <w:sz w:val="24"/>
        </w:rPr>
        <w:t>6.1.2.</w:t>
      </w:r>
      <w:r>
        <w:rPr>
          <w:rFonts w:hint="eastAsia" w:ascii="宋体" w:hAnsi="宋体"/>
          <w:sz w:val="24"/>
        </w:rPr>
        <w:t>9</w:t>
      </w:r>
      <w:r>
        <w:rPr>
          <w:rFonts w:ascii="宋体" w:hAnsi="宋体"/>
          <w:sz w:val="24"/>
        </w:rPr>
        <w:t>零星固定资产购置费</w:t>
      </w:r>
    </w:p>
    <w:p>
      <w:pPr>
        <w:ind w:firstLine="480" w:firstLineChars="200"/>
        <w:rPr>
          <w:rFonts w:ascii="宋体" w:hAnsi="宋体"/>
          <w:sz w:val="24"/>
        </w:rPr>
      </w:pPr>
      <w:r>
        <w:rPr>
          <w:rFonts w:ascii="宋体" w:hAnsi="宋体"/>
          <w:sz w:val="24"/>
        </w:rPr>
        <w:t>6.1.2.</w:t>
      </w:r>
      <w:r>
        <w:rPr>
          <w:rFonts w:hint="eastAsia" w:ascii="宋体" w:hAnsi="宋体"/>
          <w:sz w:val="24"/>
        </w:rPr>
        <w:t>10 投标人在技术服务期间试验检测发生的易耗品或损耗仪器的购置</w:t>
      </w:r>
    </w:p>
    <w:p>
      <w:pPr>
        <w:ind w:firstLine="480" w:firstLineChars="200"/>
        <w:rPr>
          <w:rFonts w:ascii="宋体" w:hAnsi="宋体"/>
          <w:sz w:val="24"/>
        </w:rPr>
      </w:pPr>
      <w:r>
        <w:rPr>
          <w:rFonts w:hint="eastAsia" w:ascii="宋体" w:hAnsi="宋体"/>
          <w:sz w:val="24"/>
        </w:rPr>
        <w:t>6.1.2.11</w:t>
      </w:r>
      <w:r>
        <w:rPr>
          <w:rFonts w:ascii="宋体" w:hAnsi="宋体"/>
          <w:sz w:val="24"/>
        </w:rPr>
        <w:t>其它</w:t>
      </w:r>
    </w:p>
    <w:p>
      <w:pPr>
        <w:ind w:firstLine="422" w:firstLineChars="200"/>
        <w:rPr>
          <w:rFonts w:ascii="宋体" w:hAnsi="宋体"/>
          <w:b/>
        </w:rPr>
      </w:pPr>
      <w:r>
        <w:rPr>
          <w:rFonts w:ascii="宋体" w:hAnsi="宋体"/>
          <w:b/>
        </w:rPr>
        <w:t>6.1.3企业管理费</w:t>
      </w:r>
    </w:p>
    <w:p>
      <w:pPr>
        <w:ind w:firstLine="480" w:firstLineChars="200"/>
        <w:rPr>
          <w:rFonts w:ascii="宋体" w:hAnsi="宋体"/>
          <w:sz w:val="24"/>
        </w:rPr>
      </w:pPr>
      <w:r>
        <w:rPr>
          <w:rFonts w:ascii="宋体" w:hAnsi="宋体"/>
          <w:sz w:val="24"/>
        </w:rPr>
        <w:t>6.1.3.1工会经费</w:t>
      </w:r>
    </w:p>
    <w:p>
      <w:pPr>
        <w:ind w:firstLine="480" w:firstLineChars="200"/>
        <w:rPr>
          <w:rFonts w:ascii="宋体" w:hAnsi="宋体"/>
          <w:sz w:val="24"/>
        </w:rPr>
      </w:pPr>
      <w:r>
        <w:rPr>
          <w:rFonts w:ascii="宋体" w:hAnsi="宋体"/>
          <w:sz w:val="24"/>
        </w:rPr>
        <w:t>6.1.3.2职工教育经费</w:t>
      </w:r>
    </w:p>
    <w:p>
      <w:pPr>
        <w:ind w:firstLine="480" w:firstLineChars="200"/>
        <w:rPr>
          <w:rFonts w:ascii="宋体" w:hAnsi="宋体"/>
          <w:sz w:val="24"/>
        </w:rPr>
      </w:pPr>
      <w:r>
        <w:rPr>
          <w:rFonts w:ascii="宋体" w:hAnsi="宋体"/>
          <w:sz w:val="24"/>
        </w:rPr>
        <w:t>6.1.3.3业务招待费</w:t>
      </w:r>
    </w:p>
    <w:p>
      <w:pPr>
        <w:ind w:firstLine="480" w:firstLineChars="200"/>
        <w:rPr>
          <w:rFonts w:ascii="宋体" w:hAnsi="宋体"/>
          <w:sz w:val="24"/>
        </w:rPr>
      </w:pPr>
      <w:r>
        <w:rPr>
          <w:rFonts w:ascii="宋体" w:hAnsi="宋体"/>
          <w:sz w:val="24"/>
        </w:rPr>
        <w:t>6.1.3.4财务费用</w:t>
      </w:r>
    </w:p>
    <w:p>
      <w:pPr>
        <w:ind w:firstLine="480" w:firstLineChars="200"/>
        <w:rPr>
          <w:rFonts w:ascii="宋体" w:hAnsi="宋体"/>
          <w:sz w:val="24"/>
        </w:rPr>
      </w:pPr>
      <w:r>
        <w:rPr>
          <w:rFonts w:ascii="宋体" w:hAnsi="宋体"/>
          <w:sz w:val="24"/>
        </w:rPr>
        <w:t>6.1.3.5社会保险费用（基本养老、基本医疗、失业、工伤保险）</w:t>
      </w:r>
    </w:p>
    <w:p>
      <w:pPr>
        <w:ind w:firstLine="480" w:firstLineChars="200"/>
        <w:rPr>
          <w:rFonts w:ascii="宋体" w:hAnsi="宋体"/>
          <w:sz w:val="24"/>
        </w:rPr>
      </w:pPr>
      <w:r>
        <w:rPr>
          <w:rFonts w:ascii="宋体" w:hAnsi="宋体"/>
          <w:sz w:val="24"/>
        </w:rPr>
        <w:t>6.1.3.6住房公积金</w:t>
      </w:r>
    </w:p>
    <w:p>
      <w:pPr>
        <w:ind w:firstLine="480" w:firstLineChars="200"/>
        <w:rPr>
          <w:rFonts w:ascii="宋体" w:hAnsi="宋体"/>
          <w:sz w:val="24"/>
        </w:rPr>
      </w:pPr>
      <w:r>
        <w:rPr>
          <w:rFonts w:ascii="宋体" w:hAnsi="宋体"/>
          <w:sz w:val="24"/>
        </w:rPr>
        <w:t>6.1.3.7其它</w:t>
      </w:r>
    </w:p>
    <w:p>
      <w:pPr>
        <w:ind w:firstLine="422" w:firstLineChars="200"/>
        <w:rPr>
          <w:rFonts w:ascii="宋体" w:hAnsi="宋体"/>
          <w:b/>
        </w:rPr>
      </w:pPr>
      <w:r>
        <w:rPr>
          <w:rFonts w:ascii="宋体" w:hAnsi="宋体"/>
          <w:b/>
        </w:rPr>
        <w:t>6.1.4利润和税金</w:t>
      </w:r>
    </w:p>
    <w:p>
      <w:pPr>
        <w:pStyle w:val="12"/>
        <w:ind w:left="1008" w:hanging="1008"/>
      </w:pPr>
      <w:r>
        <w:t>6.2技术服务费计费方法</w:t>
      </w:r>
    </w:p>
    <w:p>
      <w:pPr>
        <w:ind w:firstLine="480" w:firstLineChars="200"/>
        <w:rPr>
          <w:rFonts w:ascii="宋体" w:hAnsi="宋体"/>
          <w:sz w:val="24"/>
        </w:rPr>
      </w:pPr>
      <w:r>
        <w:rPr>
          <w:rFonts w:ascii="宋体" w:hAnsi="宋体"/>
          <w:sz w:val="24"/>
        </w:rPr>
        <w:t>技术服务费用由正常的技术服务、附加技术服务和额外技术服务三个方面的费用组成。</w:t>
      </w:r>
    </w:p>
    <w:bookmarkEnd w:id="33"/>
    <w:p>
      <w:pPr>
        <w:ind w:firstLine="480" w:firstLineChars="200"/>
        <w:rPr>
          <w:rFonts w:ascii="宋体" w:hAnsi="宋体"/>
          <w:sz w:val="24"/>
        </w:rPr>
      </w:pPr>
      <w:r>
        <w:rPr>
          <w:rFonts w:ascii="宋体" w:hAnsi="宋体"/>
          <w:sz w:val="24"/>
        </w:rPr>
        <w:t>6.2.1（正常技术服务+附加技术服务）的费用</w:t>
      </w:r>
    </w:p>
    <w:p>
      <w:pPr>
        <w:ind w:firstLine="480" w:firstLineChars="200"/>
        <w:rPr>
          <w:rFonts w:ascii="宋体" w:hAnsi="宋体"/>
          <w:sz w:val="24"/>
        </w:rPr>
      </w:pPr>
      <w:bookmarkStart w:id="34" w:name="_Toc493143951"/>
      <w:r>
        <w:rPr>
          <w:rFonts w:ascii="宋体" w:hAnsi="宋体"/>
          <w:sz w:val="24"/>
        </w:rPr>
        <w:t>（正常服务+附加服务）的费用是技术服务人为完成合同所确定的技术服务范围内的全部服务所发生的一切费用。包括但不限于：人员费用、现场费用、企业管理费用、保险、利润和税金等。</w:t>
      </w:r>
    </w:p>
    <w:p>
      <w:pPr>
        <w:ind w:firstLine="480" w:firstLineChars="200"/>
        <w:rPr>
          <w:rFonts w:ascii="宋体" w:hAnsi="宋体"/>
          <w:sz w:val="24"/>
        </w:rPr>
      </w:pPr>
      <w:r>
        <w:rPr>
          <w:rFonts w:ascii="宋体" w:hAnsi="宋体"/>
          <w:sz w:val="24"/>
        </w:rPr>
        <w:t>6.2.2额外技术服务的费用</w:t>
      </w:r>
    </w:p>
    <w:p>
      <w:pPr>
        <w:ind w:firstLine="480" w:firstLineChars="200"/>
        <w:rPr>
          <w:rFonts w:ascii="宋体" w:hAnsi="宋体"/>
          <w:sz w:val="24"/>
        </w:rPr>
      </w:pPr>
      <w:r>
        <w:rPr>
          <w:rFonts w:ascii="宋体" w:hAnsi="宋体"/>
          <w:sz w:val="24"/>
        </w:rPr>
        <w:t>额外服务费用的计算方法，由双方协商确定，另行制定；</w:t>
      </w:r>
    </w:p>
    <w:p>
      <w:pPr>
        <w:ind w:firstLine="480" w:firstLineChars="200"/>
        <w:rPr>
          <w:rFonts w:ascii="宋体" w:hAnsi="宋体"/>
          <w:sz w:val="24"/>
        </w:rPr>
      </w:pPr>
      <w:r>
        <w:rPr>
          <w:rFonts w:ascii="宋体" w:hAnsi="宋体"/>
          <w:sz w:val="24"/>
        </w:rPr>
        <w:t>6.2.3技术服务费的调整</w:t>
      </w:r>
    </w:p>
    <w:p>
      <w:pPr>
        <w:ind w:firstLine="480" w:firstLineChars="200"/>
        <w:rPr>
          <w:rFonts w:ascii="宋体" w:hAnsi="宋体"/>
          <w:sz w:val="24"/>
        </w:rPr>
      </w:pPr>
      <w:r>
        <w:rPr>
          <w:rFonts w:ascii="宋体" w:hAnsi="宋体"/>
          <w:sz w:val="24"/>
        </w:rPr>
        <w:t>除非合同专用条款中另有规定，本合同为固定总价合同，技术服务费用不随国家政策或法规、标准及市场因素的变化而进行调整，也不因实际服务周期的延长或缩短而调整。</w:t>
      </w:r>
    </w:p>
    <w:p>
      <w:pPr>
        <w:pStyle w:val="12"/>
        <w:ind w:left="1008" w:hanging="1008"/>
      </w:pPr>
      <w:r>
        <w:t>6.3支付</w:t>
      </w:r>
      <w:bookmarkEnd w:id="34"/>
    </w:p>
    <w:p>
      <w:pPr>
        <w:ind w:firstLine="480" w:firstLineChars="200"/>
        <w:rPr>
          <w:rFonts w:ascii="宋体" w:hAnsi="宋体"/>
          <w:sz w:val="24"/>
        </w:rPr>
      </w:pPr>
      <w:r>
        <w:rPr>
          <w:rFonts w:ascii="宋体" w:hAnsi="宋体"/>
          <w:sz w:val="24"/>
        </w:rPr>
        <w:t>6.3.</w:t>
      </w:r>
      <w:r>
        <w:rPr>
          <w:rFonts w:hint="eastAsia" w:ascii="宋体" w:hAnsi="宋体"/>
          <w:sz w:val="24"/>
        </w:rPr>
        <w:t>1</w:t>
      </w:r>
      <w:r>
        <w:rPr>
          <w:rFonts w:ascii="宋体" w:hAnsi="宋体"/>
          <w:sz w:val="24"/>
        </w:rPr>
        <w:t>支付方式与支付内容</w:t>
      </w:r>
    </w:p>
    <w:p>
      <w:pPr>
        <w:ind w:firstLine="480" w:firstLineChars="200"/>
        <w:rPr>
          <w:rFonts w:ascii="宋体" w:hAnsi="宋体"/>
          <w:sz w:val="24"/>
        </w:rPr>
      </w:pPr>
      <w:r>
        <w:rPr>
          <w:rFonts w:ascii="宋体" w:hAnsi="宋体"/>
          <w:sz w:val="24"/>
        </w:rPr>
        <w:t>6.3.1发包人采用的支付方式与支付内容在合同专用条款中约定。</w:t>
      </w:r>
    </w:p>
    <w:p>
      <w:pPr>
        <w:ind w:firstLine="480" w:firstLineChars="200"/>
        <w:rPr>
          <w:rFonts w:ascii="宋体" w:hAnsi="宋体"/>
          <w:sz w:val="24"/>
        </w:rPr>
      </w:pPr>
      <w:r>
        <w:rPr>
          <w:rFonts w:ascii="宋体" w:hAnsi="宋体"/>
          <w:sz w:val="24"/>
        </w:rPr>
        <w:t>6.3.2履约保证金</w:t>
      </w:r>
    </w:p>
    <w:p>
      <w:pPr>
        <w:ind w:firstLine="480" w:firstLineChars="200"/>
        <w:rPr>
          <w:rFonts w:ascii="宋体" w:hAnsi="宋体"/>
          <w:sz w:val="24"/>
        </w:rPr>
      </w:pPr>
      <w:r>
        <w:rPr>
          <w:rFonts w:ascii="宋体" w:hAnsi="宋体"/>
          <w:sz w:val="24"/>
        </w:rPr>
        <w:t>6.3.2.1履约保证金的提交和返还按照投标人须知第7.3条和技术服务合同条款第4.5.2款、第4.5.3款执行。</w:t>
      </w:r>
    </w:p>
    <w:p>
      <w:pPr>
        <w:ind w:firstLine="480" w:firstLineChars="200"/>
        <w:rPr>
          <w:rFonts w:ascii="宋体" w:hAnsi="宋体"/>
          <w:sz w:val="24"/>
        </w:rPr>
      </w:pPr>
      <w:r>
        <w:rPr>
          <w:rFonts w:ascii="宋体" w:hAnsi="宋体"/>
          <w:sz w:val="24"/>
        </w:rPr>
        <w:t>6.3.2.2发包人没收技术服务人的全部或部分履约保证金时，不影响技术服务人根据技术服务合同应当得到的其它款项的支付。</w:t>
      </w:r>
    </w:p>
    <w:p>
      <w:pPr>
        <w:ind w:firstLine="480" w:firstLineChars="200"/>
        <w:rPr>
          <w:rFonts w:ascii="宋体" w:hAnsi="宋体"/>
          <w:sz w:val="24"/>
        </w:rPr>
      </w:pPr>
      <w:r>
        <w:rPr>
          <w:rFonts w:ascii="宋体" w:hAnsi="宋体"/>
          <w:sz w:val="24"/>
        </w:rPr>
        <w:t>6.3.3违约赔偿金</w:t>
      </w:r>
    </w:p>
    <w:p>
      <w:pPr>
        <w:ind w:firstLine="480" w:firstLineChars="200"/>
        <w:rPr>
          <w:rFonts w:ascii="宋体" w:hAnsi="宋体"/>
          <w:sz w:val="24"/>
        </w:rPr>
      </w:pPr>
      <w:r>
        <w:rPr>
          <w:rFonts w:ascii="宋体" w:hAnsi="宋体"/>
          <w:sz w:val="24"/>
        </w:rPr>
        <w:t>6.3.3.1根据技术服务合同条款第4.1款确定的技术服务人对发包人的赔偿，由发包人从对技术服务人的日常支付中扣回。</w:t>
      </w:r>
    </w:p>
    <w:p>
      <w:pPr>
        <w:ind w:firstLine="480" w:firstLineChars="200"/>
        <w:rPr>
          <w:rFonts w:ascii="宋体" w:hAnsi="宋体"/>
          <w:sz w:val="24"/>
        </w:rPr>
      </w:pPr>
      <w:r>
        <w:rPr>
          <w:rFonts w:ascii="宋体" w:hAnsi="宋体"/>
          <w:sz w:val="24"/>
        </w:rPr>
        <w:t>6.3.3.2根据技术服务合同条款第4.2款确定的发包人对技术服务人的赔偿，应由发包人在日常支付中向技术服务人支付。</w:t>
      </w:r>
    </w:p>
    <w:p>
      <w:pPr>
        <w:pStyle w:val="12"/>
        <w:ind w:left="1008" w:hanging="1008"/>
      </w:pPr>
      <w:bookmarkStart w:id="35" w:name="_Toc493143952"/>
      <w:r>
        <w:t>6.4货币</w:t>
      </w:r>
      <w:bookmarkEnd w:id="35"/>
    </w:p>
    <w:p>
      <w:pPr>
        <w:ind w:firstLine="480" w:firstLineChars="200"/>
        <w:rPr>
          <w:rFonts w:ascii="宋体" w:hAnsi="宋体"/>
          <w:sz w:val="24"/>
        </w:rPr>
      </w:pPr>
      <w:r>
        <w:rPr>
          <w:rFonts w:ascii="宋体" w:hAnsi="宋体"/>
          <w:sz w:val="24"/>
        </w:rPr>
        <w:t>发包人支付技术服务人履行技术服务的费用，其货币为人民币。</w:t>
      </w:r>
    </w:p>
    <w:p>
      <w:pPr>
        <w:pStyle w:val="11"/>
      </w:pPr>
      <w:bookmarkStart w:id="36" w:name="_Toc493143953"/>
      <w:r>
        <w:t>7</w:t>
      </w:r>
      <w:r>
        <w:rPr>
          <w:rFonts w:hint="eastAsia"/>
        </w:rPr>
        <w:t xml:space="preserve">. </w:t>
      </w:r>
      <w:r>
        <w:t>其它</w:t>
      </w:r>
      <w:bookmarkEnd w:id="36"/>
    </w:p>
    <w:p>
      <w:pPr>
        <w:pStyle w:val="12"/>
        <w:ind w:left="1008" w:hanging="1008"/>
      </w:pPr>
      <w:bookmarkStart w:id="37" w:name="_Toc493143954"/>
      <w:r>
        <w:t>7.1合同双方的关系</w:t>
      </w:r>
      <w:bookmarkEnd w:id="37"/>
    </w:p>
    <w:p>
      <w:pPr>
        <w:ind w:firstLine="480" w:firstLineChars="200"/>
        <w:rPr>
          <w:rFonts w:ascii="宋体" w:hAnsi="宋体"/>
          <w:sz w:val="24"/>
        </w:rPr>
      </w:pPr>
      <w:r>
        <w:rPr>
          <w:rFonts w:ascii="宋体" w:hAnsi="宋体"/>
          <w:sz w:val="24"/>
        </w:rPr>
        <w:t>合同双方互为权利和义务主体，双方应遵循平等互利、协商一致的原则履行本技术服务合同。发包人和技术服务人均应按照技术服务合同公正的行使权力和全面履行自己的职责。</w:t>
      </w:r>
    </w:p>
    <w:p>
      <w:pPr>
        <w:pStyle w:val="12"/>
        <w:ind w:left="1008" w:hanging="1008"/>
      </w:pPr>
      <w:bookmarkStart w:id="38" w:name="_Toc493143955"/>
      <w:r>
        <w:t>7.2语言和法律</w:t>
      </w:r>
      <w:bookmarkEnd w:id="38"/>
    </w:p>
    <w:p>
      <w:pPr>
        <w:ind w:firstLine="480" w:firstLineChars="200"/>
        <w:rPr>
          <w:rFonts w:ascii="宋体" w:hAnsi="宋体"/>
          <w:sz w:val="24"/>
        </w:rPr>
      </w:pPr>
      <w:r>
        <w:rPr>
          <w:rFonts w:ascii="宋体" w:hAnsi="宋体"/>
          <w:sz w:val="24"/>
        </w:rPr>
        <w:t>本技术服务合同使用中文，遵循中华人民共和国的相关法律。</w:t>
      </w:r>
    </w:p>
    <w:p>
      <w:pPr>
        <w:pStyle w:val="12"/>
        <w:ind w:left="1008" w:hanging="1008"/>
      </w:pPr>
      <w:bookmarkStart w:id="39" w:name="_Toc493143957"/>
      <w:r>
        <w:t>7.3利益矛盾</w:t>
      </w:r>
      <w:bookmarkEnd w:id="39"/>
    </w:p>
    <w:p>
      <w:pPr>
        <w:ind w:firstLine="480" w:firstLineChars="200"/>
        <w:rPr>
          <w:rFonts w:ascii="宋体" w:hAnsi="宋体"/>
          <w:sz w:val="24"/>
        </w:rPr>
      </w:pPr>
      <w:r>
        <w:rPr>
          <w:rFonts w:ascii="宋体" w:hAnsi="宋体"/>
          <w:sz w:val="24"/>
        </w:rPr>
        <w:t>未经发包人书面同意，技术服务人不得获取本技术服务合同规定以外的与本项目有关的任何利益，不得参与与本技术服务合同规定的发包人利益相冲突的任何活动。</w:t>
      </w:r>
    </w:p>
    <w:p>
      <w:pPr>
        <w:pStyle w:val="12"/>
        <w:ind w:left="1008" w:hanging="1008"/>
      </w:pPr>
      <w:bookmarkStart w:id="40" w:name="_Toc493143958"/>
      <w:r>
        <w:t>7.4版权</w:t>
      </w:r>
      <w:bookmarkEnd w:id="40"/>
    </w:p>
    <w:p>
      <w:pPr>
        <w:ind w:firstLine="480" w:firstLineChars="200"/>
        <w:rPr>
          <w:rFonts w:ascii="宋体" w:hAnsi="宋体"/>
          <w:sz w:val="24"/>
        </w:rPr>
      </w:pPr>
      <w:r>
        <w:rPr>
          <w:rFonts w:ascii="宋体" w:hAnsi="宋体"/>
          <w:sz w:val="24"/>
        </w:rPr>
        <w:t>7.4.1对技术服务人拥有版权并已用于本技术服务中的所有文件，发包人有权在本合同项目中使用或复制。但未经技术服务人的同意，发包人不得将上述文件直接或间接用于其它项目或服务之中。</w:t>
      </w:r>
    </w:p>
    <w:p>
      <w:pPr>
        <w:ind w:firstLine="480" w:firstLineChars="200"/>
        <w:rPr>
          <w:rFonts w:ascii="宋体" w:hAnsi="宋体"/>
          <w:sz w:val="24"/>
        </w:rPr>
      </w:pPr>
      <w:r>
        <w:rPr>
          <w:rFonts w:ascii="宋体" w:hAnsi="宋体"/>
          <w:sz w:val="24"/>
        </w:rPr>
        <w:t>7.4.2如果在合同条款中没有另外规定，则技术服务人有权出版与本项目技术服务有关的资料。但未经发包人同意，上述出版物中不得涉及发包人的专利、专有技术以及经济情报。</w:t>
      </w:r>
    </w:p>
    <w:p>
      <w:pPr>
        <w:pStyle w:val="12"/>
        <w:ind w:left="1008" w:hanging="1008"/>
      </w:pPr>
      <w:r>
        <w:t xml:space="preserve"> </w:t>
      </w:r>
      <w:bookmarkStart w:id="41" w:name="_Toc493143959"/>
      <w:r>
        <w:t>7. 5通知</w:t>
      </w:r>
      <w:bookmarkEnd w:id="41"/>
    </w:p>
    <w:p>
      <w:pPr>
        <w:ind w:firstLine="480" w:firstLineChars="200"/>
        <w:rPr>
          <w:rFonts w:ascii="宋体" w:hAnsi="宋体"/>
          <w:sz w:val="24"/>
        </w:rPr>
      </w:pPr>
      <w:r>
        <w:rPr>
          <w:rFonts w:ascii="宋体" w:hAnsi="宋体"/>
          <w:sz w:val="24"/>
        </w:rPr>
        <w:t>本技术服务合同涉及的通知均为书面形式，在送达协议书中注明的地址并由收受方签收后生效。无论发送方采用何种方式递送通知，收受方都应用书面回执确认。</w:t>
      </w:r>
    </w:p>
    <w:p>
      <w:pPr>
        <w:pStyle w:val="11"/>
      </w:pPr>
      <w:bookmarkStart w:id="42" w:name="_Toc493143960"/>
      <w:r>
        <w:t>8</w:t>
      </w:r>
      <w:r>
        <w:rPr>
          <w:rFonts w:hint="eastAsia"/>
        </w:rPr>
        <w:t xml:space="preserve">. </w:t>
      </w:r>
      <w:r>
        <w:t>争端的解决</w:t>
      </w:r>
      <w:bookmarkEnd w:id="42"/>
    </w:p>
    <w:p>
      <w:pPr>
        <w:ind w:firstLine="480" w:firstLineChars="200"/>
        <w:rPr>
          <w:rFonts w:ascii="宋体" w:hAnsi="宋体"/>
          <w:sz w:val="24"/>
        </w:rPr>
      </w:pPr>
      <w:r>
        <w:rPr>
          <w:rFonts w:hint="eastAsia" w:ascii="宋体" w:hAnsi="宋体"/>
          <w:sz w:val="24"/>
        </w:rPr>
        <w:t>本合同在执行过程中，如发生争议，双方协商解决；协商不成按下列中的一种方式解决：</w:t>
      </w:r>
    </w:p>
    <w:p>
      <w:pPr>
        <w:ind w:firstLine="480" w:firstLineChars="200"/>
        <w:rPr>
          <w:rFonts w:ascii="宋体" w:hAnsi="宋体"/>
          <w:sz w:val="24"/>
        </w:rPr>
      </w:pPr>
      <w:r>
        <w:rPr>
          <w:rFonts w:hint="eastAsia" w:ascii="宋体" w:hAnsi="宋体"/>
          <w:sz w:val="24"/>
        </w:rPr>
        <w:t>（1）向约定的仲裁委员会申请仲裁；</w:t>
      </w:r>
    </w:p>
    <w:p>
      <w:pPr>
        <w:ind w:firstLine="480" w:firstLineChars="200"/>
        <w:rPr>
          <w:sz w:val="24"/>
        </w:rPr>
      </w:pPr>
      <w:r>
        <w:rPr>
          <w:rFonts w:hint="eastAsia" w:ascii="宋体" w:hAnsi="宋体"/>
          <w:sz w:val="24"/>
        </w:rPr>
        <w:t>（2）向约定的人民法院提起诉讼。</w:t>
      </w:r>
    </w:p>
    <w:p>
      <w:pPr>
        <w:spacing w:line="400" w:lineRule="exact"/>
        <w:ind w:left="480" w:firstLine="480"/>
      </w:pPr>
      <w:r>
        <w:br w:type="page"/>
      </w:r>
    </w:p>
    <w:p>
      <w:pPr>
        <w:pStyle w:val="8"/>
        <w:jc w:val="center"/>
      </w:pPr>
      <w:bookmarkStart w:id="43" w:name="_Toc18312189"/>
      <w:r>
        <w:rPr>
          <w:rFonts w:hint="eastAsia"/>
        </w:rPr>
        <w:t xml:space="preserve">第二节 </w:t>
      </w:r>
      <w:r>
        <w:t>合同</w:t>
      </w:r>
      <w:r>
        <w:rPr>
          <w:rFonts w:hint="eastAsia"/>
        </w:rPr>
        <w:t>专用</w:t>
      </w:r>
      <w:r>
        <w:t>条款</w:t>
      </w:r>
      <w:bookmarkEnd w:id="43"/>
    </w:p>
    <w:p>
      <w:r>
        <w:rPr>
          <w:rFonts w:hint="eastAsia"/>
        </w:rPr>
        <w:t xml:space="preserve">    </w:t>
      </w:r>
      <w:r>
        <w:rPr>
          <w:rFonts w:hint="eastAsia"/>
          <w:sz w:val="24"/>
        </w:rPr>
        <w:t>合同专用条款是根据本项目的具体情况和特点，对本章“通用合同条款”的内容进行补充、细化或修改，且不得违反国家有关法律、法规的规定，遵循平等、自愿、公平、诚信的原则。专用合同条款的编号应与通用合同条款的编号相一致，根据本项目的具体情况对“通用合同条款”的内容作如下补充、细化。</w:t>
      </w:r>
    </w:p>
    <w:p>
      <w:pPr>
        <w:pStyle w:val="11"/>
      </w:pPr>
      <w:r>
        <w:t>1</w:t>
      </w:r>
      <w:r>
        <w:rPr>
          <w:rFonts w:hint="eastAsia"/>
        </w:rPr>
        <w:t xml:space="preserve">. </w:t>
      </w:r>
      <w:r>
        <w:t>定义与解释</w:t>
      </w:r>
    </w:p>
    <w:p>
      <w:pPr>
        <w:pStyle w:val="12"/>
        <w:ind w:left="1008" w:hanging="1008"/>
      </w:pPr>
      <w:r>
        <w:t>1.1 定义</w:t>
      </w:r>
    </w:p>
    <w:p>
      <w:pPr>
        <w:ind w:firstLine="480"/>
        <w:rPr>
          <w:rFonts w:ascii="宋体" w:hAnsi="宋体" w:cs="宋体"/>
          <w:sz w:val="24"/>
        </w:rPr>
      </w:pPr>
      <w:r>
        <w:rPr>
          <w:rFonts w:hint="eastAsia" w:ascii="宋体" w:hAnsi="宋体" w:cs="宋体"/>
          <w:sz w:val="24"/>
        </w:rPr>
        <w:t>1.1.1 本合同的项目名称、建设规模：</w:t>
      </w:r>
    </w:p>
    <w:p>
      <w:pPr>
        <w:ind w:firstLine="480"/>
        <w:rPr>
          <w:rFonts w:ascii="宋体" w:hAnsi="宋体" w:cs="宋体"/>
          <w:sz w:val="24"/>
        </w:rPr>
      </w:pPr>
      <w:r>
        <w:rPr>
          <w:rFonts w:hint="eastAsia" w:ascii="宋体" w:hAnsi="宋体" w:cs="宋体"/>
          <w:sz w:val="24"/>
        </w:rPr>
        <w:t>项目名称：本项目包括</w:t>
      </w:r>
      <w:r>
        <w:rPr>
          <w:rFonts w:hint="eastAsia" w:ascii="宋体" w:hAnsi="宋体"/>
          <w:sz w:val="24"/>
        </w:rPr>
        <w:t>岳阳港城陵矶港区松阳湖三期工程安全监管系统影响专题论证报告评价编制服务</w:t>
      </w:r>
    </w:p>
    <w:p>
      <w:pPr>
        <w:pStyle w:val="14"/>
        <w:spacing w:line="400" w:lineRule="exact"/>
        <w:ind w:firstLine="480"/>
        <w:rPr>
          <w:rFonts w:ascii="宋体" w:hAnsi="宋体"/>
          <w:sz w:val="24"/>
        </w:rPr>
      </w:pPr>
      <w:r>
        <w:rPr>
          <w:rFonts w:hint="eastAsia" w:ascii="宋体" w:hAnsi="宋体"/>
          <w:sz w:val="24"/>
        </w:rPr>
        <w:t>1.1.2建设规模：</w:t>
      </w:r>
      <w:permStart w:id="54" w:edGrp="everyone"/>
      <w:r>
        <w:rPr>
          <w:rFonts w:hint="eastAsia" w:ascii="宋体" w:hAnsi="宋体"/>
          <w:sz w:val="24"/>
        </w:rPr>
        <w:t xml:space="preserve"> </w:t>
      </w:r>
      <w:r>
        <w:rPr>
          <w:sz w:val="24"/>
        </w:rPr>
        <w:t>拟建码头工程位于长江中游仙峰水道右岸，码头位于长江中游航道里程225km处</w:t>
      </w:r>
      <w:r>
        <w:rPr>
          <w:rFonts w:hint="eastAsia"/>
          <w:sz w:val="24"/>
        </w:rPr>
        <w:t>。</w:t>
      </w:r>
      <w:r>
        <w:rPr>
          <w:rFonts w:hint="eastAsia"/>
          <w:kern w:val="0"/>
          <w:sz w:val="24"/>
        </w:rPr>
        <w:t>工程拟新建6个5000吨级泊位，包含4个件杂货泊位和2个通用泊位，码头设计吞吐量为760万吨/年，使用港口岸线758m</w:t>
      </w:r>
      <w:r>
        <w:rPr>
          <w:rFonts w:hint="eastAsia" w:ascii="宋体" w:hAnsi="宋体"/>
          <w:sz w:val="24"/>
        </w:rPr>
        <w:t>。</w:t>
      </w:r>
    </w:p>
    <w:permEnd w:id="54"/>
    <w:p>
      <w:pPr>
        <w:ind w:firstLine="480"/>
        <w:rPr>
          <w:rFonts w:ascii="宋体" w:hAnsi="宋体" w:cs="宋体"/>
          <w:sz w:val="24"/>
        </w:rPr>
      </w:pPr>
      <w:r>
        <w:rPr>
          <w:rFonts w:hint="eastAsia" w:ascii="宋体" w:hAnsi="宋体" w:cs="宋体"/>
          <w:sz w:val="24"/>
        </w:rPr>
        <w:t>1.1.3 发包人：</w:t>
      </w:r>
      <w:r>
        <w:rPr>
          <w:rFonts w:hint="eastAsia" w:ascii="宋体" w:hAnsi="宋体" w:cs="宋体"/>
          <w:sz w:val="24"/>
          <w:u w:val="single"/>
        </w:rPr>
        <w:t xml:space="preserve">                   </w:t>
      </w:r>
      <w:r>
        <w:rPr>
          <w:rFonts w:hint="eastAsia" w:ascii="宋体" w:hAnsi="宋体" w:cs="宋体"/>
          <w:sz w:val="24"/>
        </w:rPr>
        <w:t>，即本项目招标人。</w:t>
      </w:r>
    </w:p>
    <w:p>
      <w:pPr>
        <w:ind w:firstLine="480" w:firstLineChars="200"/>
        <w:rPr>
          <w:rFonts w:ascii="宋体" w:hAnsi="宋体" w:cs="宋体"/>
          <w:sz w:val="24"/>
        </w:rPr>
      </w:pPr>
      <w:r>
        <w:rPr>
          <w:rFonts w:hint="eastAsia" w:ascii="宋体" w:hAnsi="宋体" w:cs="宋体"/>
          <w:sz w:val="24"/>
        </w:rPr>
        <w:t>1.1.4技术服务人：</w:t>
      </w:r>
      <w:r>
        <w:rPr>
          <w:rFonts w:hint="eastAsia" w:ascii="宋体" w:hAnsi="宋体" w:cs="宋体"/>
          <w:sz w:val="24"/>
          <w:u w:val="single"/>
        </w:rPr>
        <w:t xml:space="preserve">                              </w:t>
      </w:r>
      <w:r>
        <w:rPr>
          <w:rFonts w:hint="eastAsia" w:ascii="宋体" w:hAnsi="宋体" w:cs="宋体"/>
          <w:sz w:val="24"/>
        </w:rPr>
        <w:t>，即本项目中标人。</w:t>
      </w:r>
    </w:p>
    <w:p>
      <w:pPr>
        <w:pStyle w:val="11"/>
      </w:pPr>
      <w:r>
        <w:t>2</w:t>
      </w:r>
      <w:r>
        <w:rPr>
          <w:rFonts w:hint="eastAsia"/>
        </w:rPr>
        <w:t xml:space="preserve">. </w:t>
      </w:r>
      <w:r>
        <w:t>技术服务人的义务</w:t>
      </w:r>
    </w:p>
    <w:p>
      <w:pPr>
        <w:pStyle w:val="12"/>
        <w:ind w:left="1008" w:hanging="1008"/>
      </w:pPr>
      <w:r>
        <w:t>2.1技术服务的范围、目标、内容</w:t>
      </w:r>
    </w:p>
    <w:p>
      <w:pPr>
        <w:ind w:firstLine="480" w:firstLineChars="200"/>
        <w:rPr>
          <w:rFonts w:ascii="宋体" w:hAnsi="宋体" w:cs="宋体"/>
          <w:sz w:val="24"/>
        </w:rPr>
      </w:pPr>
      <w:r>
        <w:rPr>
          <w:rFonts w:hint="eastAsia" w:ascii="宋体" w:hAnsi="宋体" w:cs="宋体"/>
          <w:sz w:val="24"/>
        </w:rPr>
        <w:t>2.1.1 服务范围</w:t>
      </w:r>
    </w:p>
    <w:p>
      <w:pPr>
        <w:ind w:firstLine="480" w:firstLineChars="200"/>
        <w:rPr>
          <w:rFonts w:ascii="宋体" w:hAnsi="宋体" w:cs="宋体"/>
          <w:sz w:val="24"/>
        </w:rPr>
      </w:pPr>
      <w:r>
        <w:rPr>
          <w:rFonts w:hint="eastAsia" w:ascii="宋体" w:hAnsi="宋体"/>
          <w:sz w:val="24"/>
        </w:rPr>
        <w:t>岳阳港城陵矶港区松阳湖三期工程安全监管系统影响专题论证报告评价编制服务</w:t>
      </w:r>
      <w:r>
        <w:rPr>
          <w:rFonts w:hint="eastAsia" w:ascii="宋体" w:hAnsi="宋体" w:cs="宋体"/>
          <w:sz w:val="24"/>
        </w:rPr>
        <w:t>。</w:t>
      </w:r>
    </w:p>
    <w:p>
      <w:pPr>
        <w:ind w:firstLine="482"/>
        <w:jc w:val="both"/>
        <w:rPr>
          <w:rFonts w:ascii="宋体" w:hAnsi="宋体" w:cs="宋体"/>
          <w:sz w:val="24"/>
        </w:rPr>
      </w:pPr>
      <w:r>
        <w:rPr>
          <w:rFonts w:hint="eastAsia" w:ascii="宋体" w:hAnsi="宋体" w:cs="宋体"/>
          <w:sz w:val="24"/>
        </w:rPr>
        <w:t>2.1.2 技术服务的目标：</w:t>
      </w:r>
      <w:r>
        <w:rPr>
          <w:rFonts w:hint="eastAsia" w:ascii="宋体" w:hAnsi="宋体"/>
          <w:sz w:val="24"/>
        </w:rPr>
        <w:t>岳阳港城陵矶港区松阳湖三期工程建设对安全监管系统影响专题论证报告编制服务，协助组织专家评审会并通过相关行政部门评审</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2.1.3 技术服务的内容：</w:t>
      </w:r>
    </w:p>
    <w:p>
      <w:pPr>
        <w:ind w:firstLine="480" w:firstLineChars="200"/>
        <w:rPr>
          <w:rFonts w:ascii="宋体" w:hAnsi="宋体" w:cs="宋体"/>
          <w:sz w:val="24"/>
          <w:highlight w:val="none"/>
        </w:rPr>
      </w:pPr>
      <w:r>
        <w:rPr>
          <w:rFonts w:hint="eastAsia" w:ascii="宋体" w:hAnsi="宋体" w:cs="宋体"/>
          <w:sz w:val="24"/>
        </w:rPr>
        <w:t>1、技术服务内容</w:t>
      </w:r>
      <w:r>
        <w:rPr>
          <w:rFonts w:hint="eastAsia" w:ascii="宋体" w:hAnsi="宋体" w:cs="宋体"/>
          <w:sz w:val="24"/>
          <w:highlight w:val="none"/>
        </w:rPr>
        <w:t>：供应商应依照相关主管部门有关规定和技术标准要求编制工程建设</w:t>
      </w:r>
      <w:r>
        <w:rPr>
          <w:rFonts w:hint="eastAsia" w:ascii="宋体" w:hAnsi="宋体"/>
          <w:sz w:val="24"/>
          <w:highlight w:val="none"/>
        </w:rPr>
        <w:t>对安全监管系统影响专题论证</w:t>
      </w:r>
      <w:r>
        <w:rPr>
          <w:rFonts w:hint="eastAsia" w:ascii="宋体" w:hAnsi="宋体" w:cs="宋体"/>
          <w:sz w:val="24"/>
          <w:highlight w:val="none"/>
        </w:rPr>
        <w:t>报告。并需承担深化报告及因政府有关主管部门审查而出现的修改工作，以及其他配套服务工作（含准备报审资料，协助上报审批部门，并向评审组详细汇报相关报告的内容及解答评审组的问题；根据招标人、各级主管部门、各级审批部门审查组的评审意见修改、补充和完善相关报告，确保本项目报告通过专家评审组的审查，并协助招标人取得审批部门对本项目报告的批复）。</w:t>
      </w:r>
    </w:p>
    <w:p>
      <w:pPr>
        <w:ind w:firstLine="482"/>
        <w:jc w:val="both"/>
        <w:rPr>
          <w:rFonts w:ascii="宋体" w:hAnsi="宋体" w:cs="宋体"/>
          <w:sz w:val="24"/>
        </w:rPr>
      </w:pPr>
      <w:r>
        <w:rPr>
          <w:rFonts w:hint="eastAsia" w:ascii="宋体" w:hAnsi="宋体" w:cs="宋体"/>
          <w:sz w:val="24"/>
          <w:highlight w:val="none"/>
        </w:rPr>
        <w:t>2、技术服务人应向发包人提供经评审后的</w:t>
      </w:r>
      <w:r>
        <w:rPr>
          <w:rFonts w:hint="eastAsia" w:ascii="宋体" w:hAnsi="宋体" w:cs="宋体"/>
          <w:sz w:val="24"/>
        </w:rPr>
        <w:t>报告纸质版拾套，并提交电子版壹套（包括cad版本图纸）。</w:t>
      </w:r>
    </w:p>
    <w:p>
      <w:pPr>
        <w:ind w:firstLine="482"/>
        <w:jc w:val="both"/>
        <w:rPr>
          <w:rFonts w:ascii="宋体" w:hAnsi="宋体" w:cs="宋体"/>
          <w:sz w:val="24"/>
        </w:rPr>
      </w:pPr>
      <w:r>
        <w:rPr>
          <w:rFonts w:hint="eastAsia" w:ascii="宋体" w:hAnsi="宋体" w:cs="宋体"/>
          <w:sz w:val="24"/>
        </w:rPr>
        <w:t>2.1.4 技术服务的技术要求：</w:t>
      </w:r>
    </w:p>
    <w:p>
      <w:pPr>
        <w:ind w:firstLine="482"/>
        <w:jc w:val="both"/>
        <w:rPr>
          <w:rFonts w:ascii="宋体" w:hAnsi="宋体" w:cs="宋体"/>
          <w:sz w:val="24"/>
        </w:rPr>
      </w:pPr>
      <w:r>
        <w:rPr>
          <w:rFonts w:hint="eastAsia" w:ascii="宋体" w:hAnsi="宋体" w:cs="宋体"/>
          <w:sz w:val="24"/>
        </w:rPr>
        <w:t>本项目报告必须根据相关主管部门有关规定和技术标准要求进行编制。报告编制的技术和深度必须满足审查单位的要求，确保通过审查。</w:t>
      </w:r>
    </w:p>
    <w:p>
      <w:pPr>
        <w:ind w:firstLine="482"/>
        <w:jc w:val="both"/>
        <w:rPr>
          <w:rFonts w:ascii="宋体" w:hAnsi="宋体" w:cs="宋体"/>
          <w:sz w:val="24"/>
        </w:rPr>
      </w:pPr>
      <w:r>
        <w:rPr>
          <w:rFonts w:hint="eastAsia" w:ascii="宋体" w:hAnsi="宋体" w:cs="宋体"/>
          <w:sz w:val="24"/>
        </w:rPr>
        <w:t>在报告编制过程中，应严格执行国家的各项法律法规和政策，如果国家或者有关部门颁发了新的技术标准或规范，则编制单位应采用新的标准或规范。</w:t>
      </w:r>
    </w:p>
    <w:p>
      <w:pPr>
        <w:pStyle w:val="12"/>
        <w:ind w:left="1008" w:hanging="1008"/>
      </w:pPr>
      <w:r>
        <w:t>2.3</w:t>
      </w:r>
      <w:r>
        <w:rPr>
          <w:rFonts w:hint="eastAsia"/>
        </w:rPr>
        <w:t xml:space="preserve"> </w:t>
      </w:r>
      <w:r>
        <w:t>技术服务人的一般义务</w:t>
      </w:r>
    </w:p>
    <w:p>
      <w:pPr>
        <w:ind w:firstLine="482"/>
        <w:jc w:val="both"/>
        <w:rPr>
          <w:rFonts w:ascii="宋体" w:hAnsi="宋体" w:cs="宋体"/>
          <w:sz w:val="24"/>
        </w:rPr>
      </w:pPr>
      <w:r>
        <w:rPr>
          <w:rFonts w:hint="eastAsia" w:ascii="宋体" w:hAnsi="宋体" w:cs="宋体"/>
          <w:sz w:val="24"/>
        </w:rPr>
        <w:t>补充以下内容：</w:t>
      </w:r>
    </w:p>
    <w:p>
      <w:pPr>
        <w:ind w:firstLine="482"/>
        <w:jc w:val="both"/>
        <w:rPr>
          <w:rFonts w:ascii="宋体" w:hAnsi="宋体" w:cs="宋体"/>
          <w:sz w:val="24"/>
        </w:rPr>
      </w:pPr>
      <w:r>
        <w:rPr>
          <w:rFonts w:hint="eastAsia" w:ascii="宋体" w:hAnsi="宋体" w:cs="宋体"/>
          <w:sz w:val="24"/>
        </w:rPr>
        <w:t>1、乙方应做好质量管理工作，建立健全质量保证体系，加强工作全过程的质量控制，建立完整的报告的编制、复核、审核、会签和批准制度，明确各阶段的责任人，应按期、按质、按量地完成双方商定的各项工作内容，并对报告及专项设计的质量负责。报告质量应达到国内领先水平。</w:t>
      </w:r>
    </w:p>
    <w:p>
      <w:pPr>
        <w:ind w:firstLine="482"/>
        <w:jc w:val="both"/>
        <w:rPr>
          <w:rFonts w:ascii="宋体" w:hAnsi="宋体" w:cs="宋体"/>
          <w:sz w:val="24"/>
        </w:rPr>
      </w:pPr>
      <w:r>
        <w:rPr>
          <w:rFonts w:hint="eastAsia" w:ascii="宋体" w:hAnsi="宋体" w:cs="宋体"/>
          <w:sz w:val="24"/>
        </w:rPr>
        <w:t>2、应自行承担报告编制及专项设计工作的一切有关费用，包括专家评审会相关费用、食宿、交通、差旅费等。</w:t>
      </w:r>
    </w:p>
    <w:p>
      <w:pPr>
        <w:ind w:firstLine="482"/>
        <w:jc w:val="both"/>
        <w:rPr>
          <w:rFonts w:ascii="宋体" w:hAnsi="宋体" w:cs="宋体"/>
          <w:sz w:val="24"/>
        </w:rPr>
      </w:pPr>
      <w:r>
        <w:rPr>
          <w:rFonts w:hint="eastAsia" w:ascii="宋体" w:hAnsi="宋体" w:cs="宋体"/>
          <w:sz w:val="24"/>
        </w:rPr>
        <w:t>3、本项目评估所需的水文、地形、航迹线等资料由乙方自行协调解决</w:t>
      </w:r>
    </w:p>
    <w:p>
      <w:pPr>
        <w:ind w:firstLine="482"/>
        <w:jc w:val="both"/>
        <w:rPr>
          <w:rFonts w:ascii="宋体" w:hAnsi="宋体" w:cs="宋体"/>
          <w:sz w:val="24"/>
        </w:rPr>
      </w:pPr>
      <w:r>
        <w:rPr>
          <w:rFonts w:hint="eastAsia" w:ascii="宋体" w:hAnsi="宋体" w:cs="宋体"/>
          <w:sz w:val="24"/>
        </w:rPr>
        <w:t>4、在报告及专项设计编制过程中，应主动和甲方保持密切联系。</w:t>
      </w:r>
    </w:p>
    <w:p>
      <w:pPr>
        <w:ind w:firstLine="482"/>
        <w:jc w:val="both"/>
        <w:rPr>
          <w:rFonts w:ascii="宋体" w:hAnsi="宋体" w:cs="宋体"/>
          <w:sz w:val="24"/>
        </w:rPr>
      </w:pPr>
      <w:r>
        <w:rPr>
          <w:rFonts w:hint="eastAsia" w:ascii="宋体" w:hAnsi="宋体" w:cs="宋体"/>
          <w:sz w:val="24"/>
        </w:rPr>
        <w:t>5、应全过程配合甲方及时向有关部门办理报批工作，协助报告及专项设计通过主管部门的审查，并根据审查意见修改、完善研究报告。</w:t>
      </w:r>
    </w:p>
    <w:p>
      <w:pPr>
        <w:ind w:firstLine="482"/>
        <w:jc w:val="both"/>
        <w:rPr>
          <w:rFonts w:ascii="宋体" w:hAnsi="宋体" w:cs="宋体"/>
          <w:sz w:val="24"/>
        </w:rPr>
      </w:pPr>
      <w:r>
        <w:rPr>
          <w:rFonts w:hint="eastAsia" w:ascii="宋体" w:hAnsi="宋体" w:cs="宋体"/>
          <w:sz w:val="24"/>
        </w:rPr>
        <w:t>6、未经甲方同意，不能将研究报告转让给第三方。</w:t>
      </w:r>
    </w:p>
    <w:p>
      <w:pPr>
        <w:ind w:firstLine="482"/>
        <w:jc w:val="both"/>
        <w:rPr>
          <w:rFonts w:ascii="宋体" w:hAnsi="宋体" w:cs="宋体"/>
          <w:sz w:val="24"/>
        </w:rPr>
      </w:pPr>
      <w:r>
        <w:rPr>
          <w:rFonts w:hint="eastAsia" w:ascii="宋体" w:hAnsi="宋体" w:cs="宋体"/>
          <w:sz w:val="24"/>
        </w:rPr>
        <w:t>7、人员保证与变更</w:t>
      </w:r>
    </w:p>
    <w:p>
      <w:pPr>
        <w:ind w:firstLine="482"/>
        <w:jc w:val="both"/>
        <w:rPr>
          <w:rFonts w:ascii="宋体" w:hAnsi="宋体" w:cs="宋体"/>
          <w:sz w:val="24"/>
        </w:rPr>
      </w:pPr>
      <w:r>
        <w:rPr>
          <w:rFonts w:hint="eastAsia" w:ascii="宋体" w:hAnsi="宋体" w:cs="宋体"/>
          <w:sz w:val="24"/>
        </w:rPr>
        <w:t>（1）乙方应按投标文件中承诺的人员投入工作，在报告编制过程应保持人员的相对稳定。确需调整，应报经甲方批准。</w:t>
      </w:r>
    </w:p>
    <w:p>
      <w:pPr>
        <w:ind w:firstLine="482"/>
        <w:jc w:val="both"/>
        <w:rPr>
          <w:rFonts w:ascii="宋体" w:hAnsi="宋体" w:cs="宋体"/>
          <w:sz w:val="24"/>
        </w:rPr>
      </w:pPr>
      <w:r>
        <w:rPr>
          <w:rFonts w:hint="eastAsia" w:ascii="宋体" w:hAnsi="宋体" w:cs="宋体"/>
          <w:sz w:val="24"/>
        </w:rPr>
        <w:t>（2）如果乙方的人员渎职或不能胜任工作或从事其他违法活动，甲方有权书面要求更换，乙方应立即派出具有同等或以上资历的人员替换；若非因上述原因，乙方有权拒绝。</w:t>
      </w:r>
    </w:p>
    <w:p>
      <w:pPr>
        <w:ind w:firstLine="482"/>
        <w:jc w:val="both"/>
        <w:rPr>
          <w:rFonts w:ascii="宋体" w:hAnsi="宋体" w:cs="宋体"/>
          <w:sz w:val="24"/>
        </w:rPr>
      </w:pPr>
      <w:r>
        <w:rPr>
          <w:rFonts w:hint="eastAsia" w:ascii="宋体" w:hAnsi="宋体" w:cs="宋体"/>
          <w:sz w:val="24"/>
        </w:rPr>
        <w:t>（3）若乙方的进度没有达到乙方投标文件中承诺的进度计划，甲方有权提出要求增加工作人员，乙方应立即安排，其费用被认为已包含在合同价格之中。</w:t>
      </w:r>
    </w:p>
    <w:p>
      <w:pPr>
        <w:ind w:firstLine="482"/>
        <w:jc w:val="both"/>
        <w:rPr>
          <w:rFonts w:ascii="宋体" w:hAnsi="宋体" w:cs="宋体"/>
          <w:sz w:val="24"/>
        </w:rPr>
      </w:pPr>
      <w:r>
        <w:rPr>
          <w:rFonts w:hint="eastAsia" w:ascii="宋体" w:hAnsi="宋体" w:cs="宋体"/>
          <w:sz w:val="24"/>
        </w:rPr>
        <w:t>7、若乙方在合同履行期间发生人员伤亡或财产的损失，或者造成第三方的人员伤亡或财产损失，乙方应承担全部责任，并保障甲方免于承担由此造成的一切损害和损失。</w:t>
      </w:r>
    </w:p>
    <w:p>
      <w:pPr>
        <w:ind w:firstLine="482"/>
        <w:jc w:val="both"/>
        <w:rPr>
          <w:rFonts w:ascii="宋体" w:hAnsi="宋体" w:cs="宋体"/>
          <w:sz w:val="24"/>
        </w:rPr>
      </w:pPr>
      <w:r>
        <w:rPr>
          <w:rFonts w:hint="eastAsia" w:ascii="宋体" w:hAnsi="宋体" w:cs="宋体"/>
          <w:sz w:val="24"/>
        </w:rPr>
        <w:t>8、乙方负责定期向甲方报告工作进展情况。</w:t>
      </w:r>
    </w:p>
    <w:p>
      <w:pPr>
        <w:pStyle w:val="11"/>
      </w:pPr>
      <w:r>
        <w:t>3. 发包人的一般义务</w:t>
      </w:r>
    </w:p>
    <w:p>
      <w:pPr>
        <w:ind w:firstLine="482"/>
        <w:jc w:val="both"/>
        <w:rPr>
          <w:rFonts w:ascii="宋体" w:hAnsi="宋体" w:cs="宋体"/>
          <w:sz w:val="24"/>
        </w:rPr>
      </w:pPr>
      <w:r>
        <w:rPr>
          <w:rFonts w:hint="eastAsia" w:ascii="宋体" w:hAnsi="宋体" w:cs="宋体"/>
          <w:sz w:val="24"/>
        </w:rPr>
        <w:t>补充以下内容：</w:t>
      </w:r>
    </w:p>
    <w:p>
      <w:pPr>
        <w:ind w:firstLine="482"/>
        <w:jc w:val="both"/>
        <w:rPr>
          <w:rFonts w:ascii="宋体" w:hAnsi="宋体" w:cs="宋体"/>
          <w:sz w:val="24"/>
        </w:rPr>
      </w:pPr>
      <w:r>
        <w:rPr>
          <w:rFonts w:hint="eastAsia" w:ascii="宋体" w:hAnsi="宋体" w:cs="宋体"/>
          <w:sz w:val="24"/>
        </w:rPr>
        <w:t>1、应严格履行基本建设程序，根据本项目的具体情况和技术要求确定合理的工作量及合理的工作周期。</w:t>
      </w:r>
    </w:p>
    <w:p>
      <w:pPr>
        <w:ind w:firstLine="482"/>
        <w:jc w:val="both"/>
        <w:rPr>
          <w:rFonts w:ascii="宋体" w:hAnsi="宋体" w:cs="宋体"/>
          <w:sz w:val="24"/>
        </w:rPr>
      </w:pPr>
      <w:r>
        <w:rPr>
          <w:rFonts w:hint="eastAsia" w:ascii="宋体" w:hAnsi="宋体" w:cs="宋体"/>
          <w:sz w:val="24"/>
        </w:rPr>
        <w:t>2、指定专人负责与乙方的工作联系，协调各方面工作，以满足报告编制进度要求。</w:t>
      </w:r>
    </w:p>
    <w:p>
      <w:pPr>
        <w:ind w:firstLine="482"/>
        <w:jc w:val="both"/>
        <w:rPr>
          <w:rFonts w:ascii="宋体" w:hAnsi="宋体" w:cs="宋体"/>
          <w:sz w:val="24"/>
        </w:rPr>
      </w:pPr>
      <w:r>
        <w:rPr>
          <w:rFonts w:hint="eastAsia" w:ascii="宋体" w:hAnsi="宋体" w:cs="宋体"/>
          <w:sz w:val="24"/>
        </w:rPr>
        <w:t>3、为乙方进行资料收集、现场踏勘、调查等工作提供便利条件。</w:t>
      </w:r>
    </w:p>
    <w:p>
      <w:pPr>
        <w:ind w:firstLine="482"/>
        <w:jc w:val="both"/>
        <w:rPr>
          <w:rFonts w:ascii="宋体" w:hAnsi="宋体" w:cs="宋体"/>
          <w:sz w:val="24"/>
        </w:rPr>
      </w:pPr>
      <w:r>
        <w:rPr>
          <w:rFonts w:hint="eastAsia" w:ascii="宋体" w:hAnsi="宋体" w:cs="宋体"/>
          <w:sz w:val="24"/>
        </w:rPr>
        <w:t>4、甲方对乙方在工作过程中提出的有关问题应及时认真解答，对关键性的阶段成果应及时组织相关专家评议，按基建程序及时做好文件的审查报批工作。</w:t>
      </w:r>
    </w:p>
    <w:p>
      <w:pPr>
        <w:ind w:firstLine="482"/>
        <w:jc w:val="both"/>
        <w:rPr>
          <w:rFonts w:ascii="宋体" w:hAnsi="宋体" w:cs="宋体"/>
          <w:sz w:val="24"/>
        </w:rPr>
      </w:pPr>
      <w:r>
        <w:rPr>
          <w:rFonts w:hint="eastAsia" w:ascii="宋体" w:hAnsi="宋体" w:cs="宋体"/>
          <w:sz w:val="24"/>
        </w:rPr>
        <w:t>5、对乙方的成果予以维护，不得擅自修改和转让。</w:t>
      </w:r>
    </w:p>
    <w:p>
      <w:pPr>
        <w:ind w:firstLine="482"/>
        <w:jc w:val="both"/>
        <w:rPr>
          <w:rFonts w:ascii="宋体" w:hAnsi="宋体" w:cs="宋体"/>
          <w:sz w:val="24"/>
        </w:rPr>
      </w:pPr>
      <w:r>
        <w:rPr>
          <w:rFonts w:hint="eastAsia" w:ascii="宋体" w:hAnsi="宋体" w:cs="宋体"/>
          <w:sz w:val="24"/>
        </w:rPr>
        <w:t>6、按合同规定及时支付报告编制费用。</w:t>
      </w:r>
    </w:p>
    <w:p>
      <w:pPr>
        <w:pStyle w:val="11"/>
      </w:pPr>
      <w:r>
        <w:t>4</w:t>
      </w:r>
      <w:r>
        <w:rPr>
          <w:rFonts w:hint="eastAsia"/>
        </w:rPr>
        <w:t xml:space="preserve">. </w:t>
      </w:r>
      <w:r>
        <w:t>责任和保障</w:t>
      </w:r>
    </w:p>
    <w:p>
      <w:pPr>
        <w:pStyle w:val="12"/>
        <w:ind w:left="1008" w:hanging="1008"/>
      </w:pPr>
      <w:r>
        <w:t>4.1 技术服务人的违约及赔偿责任</w:t>
      </w:r>
    </w:p>
    <w:p>
      <w:pPr>
        <w:ind w:firstLine="482"/>
        <w:jc w:val="both"/>
        <w:rPr>
          <w:rFonts w:ascii="宋体" w:hAnsi="宋体" w:cs="宋体"/>
          <w:sz w:val="24"/>
        </w:rPr>
      </w:pPr>
      <w:r>
        <w:rPr>
          <w:rFonts w:hint="eastAsia" w:ascii="宋体" w:hAnsi="宋体" w:cs="宋体"/>
          <w:sz w:val="24"/>
        </w:rPr>
        <w:t>补充以下内容：</w:t>
      </w:r>
    </w:p>
    <w:p>
      <w:pPr>
        <w:ind w:firstLine="482"/>
        <w:jc w:val="both"/>
        <w:rPr>
          <w:rFonts w:ascii="宋体" w:hAnsi="宋体" w:cs="宋体"/>
          <w:sz w:val="24"/>
        </w:rPr>
      </w:pPr>
      <w:r>
        <w:rPr>
          <w:rFonts w:hint="eastAsia" w:ascii="宋体" w:hAnsi="宋体" w:cs="宋体"/>
          <w:sz w:val="24"/>
        </w:rPr>
        <w:t>1、如果乙方未经甲方同意将项目转包或非法分包，除由有关部门给予处罚外，甲方将按合同价的10%～20%扣除乙方的违约金，同时乙方仍需在规定时间内完成合同全部义务。</w:t>
      </w:r>
    </w:p>
    <w:p>
      <w:pPr>
        <w:ind w:firstLine="482"/>
        <w:jc w:val="both"/>
        <w:rPr>
          <w:rFonts w:ascii="宋体" w:hAnsi="宋体" w:cs="宋体"/>
          <w:sz w:val="24"/>
        </w:rPr>
      </w:pPr>
      <w:r>
        <w:rPr>
          <w:rFonts w:hint="eastAsia" w:ascii="宋体" w:hAnsi="宋体" w:cs="宋体"/>
          <w:sz w:val="24"/>
        </w:rPr>
        <w:t>2、乙方未按照国家现行的标准或规范开展工作、编制相应报告，或未根据甲方的指令进行变更，给甲方造成损失等，如发生上述任何行为，除由有关部门给予处罚外，甲方将按合同价的5%～10%扣除乙方的违约金，同时乙方仍需在规定时间内完成合同全部义务。</w:t>
      </w:r>
    </w:p>
    <w:p>
      <w:pPr>
        <w:ind w:firstLine="482"/>
        <w:jc w:val="both"/>
        <w:rPr>
          <w:rFonts w:ascii="宋体" w:hAnsi="宋体" w:cs="宋体"/>
          <w:sz w:val="24"/>
        </w:rPr>
      </w:pPr>
      <w:r>
        <w:rPr>
          <w:rFonts w:hint="eastAsia" w:ascii="宋体" w:hAnsi="宋体" w:cs="宋体"/>
          <w:sz w:val="24"/>
        </w:rPr>
        <w:t>3、因编制报告深度不够、质量低劣、不符合国家文件规定或报告未获审查通过、引起返工而造成的问题除由乙方负责继续完善报告编制外，应视造成的工期延误，按下款执行。</w:t>
      </w:r>
    </w:p>
    <w:p>
      <w:pPr>
        <w:ind w:firstLine="482"/>
        <w:jc w:val="both"/>
        <w:rPr>
          <w:rFonts w:ascii="宋体" w:hAnsi="宋体" w:cs="宋体"/>
          <w:sz w:val="24"/>
        </w:rPr>
      </w:pPr>
      <w:r>
        <w:rPr>
          <w:rFonts w:hint="eastAsia" w:ascii="宋体" w:hAnsi="宋体" w:cs="宋体"/>
          <w:sz w:val="24"/>
        </w:rPr>
        <w:t>4、如果乙方未能按期提交文件（甲方同意延长期限的情况除外），则每延期7天（不足7天按7天计），甲方将分别按相应阶段合同费用总金额的5%扣除乙方的违约金。</w:t>
      </w:r>
    </w:p>
    <w:p>
      <w:pPr>
        <w:ind w:firstLine="482"/>
        <w:jc w:val="both"/>
        <w:rPr>
          <w:rFonts w:ascii="宋体" w:hAnsi="宋体" w:cs="宋体"/>
          <w:sz w:val="24"/>
        </w:rPr>
      </w:pPr>
      <w:r>
        <w:rPr>
          <w:rFonts w:hint="eastAsia" w:ascii="宋体" w:hAnsi="宋体" w:cs="宋体"/>
          <w:sz w:val="24"/>
        </w:rPr>
        <w:t>5、合同生效后，如乙方提出终止合同，应双倍向甲方返还定金，并承担由此产生的一切损失。</w:t>
      </w:r>
    </w:p>
    <w:p>
      <w:pPr>
        <w:ind w:firstLine="482"/>
        <w:jc w:val="both"/>
        <w:rPr>
          <w:rFonts w:ascii="宋体" w:hAnsi="宋体" w:cs="宋体"/>
          <w:sz w:val="24"/>
        </w:rPr>
      </w:pPr>
      <w:r>
        <w:rPr>
          <w:rFonts w:hint="eastAsia" w:ascii="宋体" w:hAnsi="宋体" w:cs="宋体"/>
          <w:sz w:val="24"/>
        </w:rPr>
        <w:t>6、技术服务人发生上述的违约情况时，发包人将视违约的严重程度采取下列措施：</w:t>
      </w:r>
    </w:p>
    <w:p>
      <w:pPr>
        <w:ind w:firstLine="482"/>
        <w:jc w:val="both"/>
        <w:rPr>
          <w:rFonts w:ascii="宋体" w:hAnsi="宋体" w:cs="宋体"/>
          <w:sz w:val="24"/>
        </w:rPr>
      </w:pPr>
      <w:r>
        <w:rPr>
          <w:rFonts w:hint="eastAsia" w:ascii="宋体" w:hAnsi="宋体" w:cs="宋体"/>
          <w:sz w:val="24"/>
        </w:rPr>
        <w:t>（1）甲方有权扣除乙方违约金，乙方无条件接受；</w:t>
      </w:r>
    </w:p>
    <w:p>
      <w:pPr>
        <w:ind w:firstLine="482"/>
        <w:jc w:val="both"/>
        <w:rPr>
          <w:rFonts w:ascii="宋体" w:hAnsi="宋体" w:cs="宋体"/>
          <w:sz w:val="24"/>
        </w:rPr>
      </w:pPr>
      <w:r>
        <w:rPr>
          <w:rFonts w:hint="eastAsia" w:ascii="宋体" w:hAnsi="宋体" w:cs="宋体"/>
          <w:sz w:val="24"/>
        </w:rPr>
        <w:t>（2）甲方有权收回已委托乙方的全部或部分工作，乙方无条件接受。</w:t>
      </w:r>
    </w:p>
    <w:p>
      <w:pPr>
        <w:pStyle w:val="12"/>
        <w:ind w:left="1008" w:hanging="1008"/>
      </w:pPr>
      <w:r>
        <w:rPr>
          <w:rFonts w:hint="eastAsia"/>
        </w:rPr>
        <w:t>4.4 赔偿的限额</w:t>
      </w:r>
    </w:p>
    <w:p>
      <w:pPr>
        <w:ind w:firstLine="480" w:firstLineChars="200"/>
        <w:rPr>
          <w:rFonts w:ascii="宋体" w:hAnsi="宋体"/>
          <w:sz w:val="24"/>
        </w:rPr>
      </w:pPr>
      <w:r>
        <w:rPr>
          <w:rFonts w:hint="eastAsia" w:ascii="宋体" w:hAnsi="宋体"/>
          <w:sz w:val="24"/>
        </w:rPr>
        <w:t>违约处罚或责任赔偿累计额度：不超过合同额的</w:t>
      </w:r>
      <w:r>
        <w:rPr>
          <w:rFonts w:hint="eastAsia" w:ascii="宋体" w:hAnsi="宋体"/>
          <w:sz w:val="24"/>
          <w:u w:val="single"/>
        </w:rPr>
        <w:t xml:space="preserve"> 20% </w:t>
      </w:r>
      <w:r>
        <w:rPr>
          <w:rFonts w:hint="eastAsia" w:ascii="宋体" w:hAnsi="宋体"/>
          <w:sz w:val="24"/>
        </w:rPr>
        <w:t>。</w:t>
      </w:r>
    </w:p>
    <w:p>
      <w:pPr>
        <w:pStyle w:val="11"/>
      </w:pPr>
      <w:r>
        <w:t>6</w:t>
      </w:r>
      <w:r>
        <w:rPr>
          <w:rFonts w:hint="eastAsia"/>
        </w:rPr>
        <w:t xml:space="preserve">. </w:t>
      </w:r>
      <w:r>
        <w:t>技术服务的费用与支付</w:t>
      </w:r>
    </w:p>
    <w:p>
      <w:pPr>
        <w:ind w:firstLine="482"/>
        <w:jc w:val="both"/>
        <w:rPr>
          <w:rFonts w:ascii="宋体" w:hAnsi="宋体" w:cs="宋体"/>
          <w:sz w:val="24"/>
        </w:rPr>
      </w:pPr>
      <w:r>
        <w:rPr>
          <w:rFonts w:hint="eastAsia" w:ascii="宋体" w:hAnsi="宋体" w:cs="宋体"/>
          <w:sz w:val="24"/>
        </w:rPr>
        <w:t>6.1技术服务费用内容：本合同为总价合同。合同总价包括完成所投标段所有工作内容和提供完整的报告、获取相关资料的费用、专家评审会相关费用、后续服务及税金的全部费用，由乙方包干使用。</w:t>
      </w:r>
    </w:p>
    <w:p>
      <w:pPr>
        <w:ind w:firstLine="482"/>
        <w:jc w:val="both"/>
        <w:rPr>
          <w:rFonts w:ascii="宋体" w:hAnsi="宋体" w:cs="宋体"/>
          <w:sz w:val="24"/>
        </w:rPr>
      </w:pPr>
      <w:r>
        <w:rPr>
          <w:rFonts w:hint="eastAsia" w:ascii="宋体" w:hAnsi="宋体" w:cs="宋体"/>
          <w:sz w:val="24"/>
        </w:rPr>
        <w:t>本项目实施过程中因政策原因或甲方变更，对泊位数量、规模、等级、功能形式等进行调整，对工程总投资额进行调整等，技术服务费用不进行调整。</w:t>
      </w:r>
    </w:p>
    <w:p>
      <w:pPr>
        <w:ind w:firstLine="482"/>
        <w:jc w:val="both"/>
        <w:rPr>
          <w:rFonts w:ascii="宋体" w:hAnsi="宋体" w:cs="宋体"/>
          <w:sz w:val="24"/>
        </w:rPr>
      </w:pPr>
      <w:r>
        <w:rPr>
          <w:rFonts w:hint="eastAsia" w:ascii="宋体" w:hAnsi="宋体" w:cs="宋体"/>
          <w:sz w:val="24"/>
        </w:rPr>
        <w:t>如根据相关政策或主管部门要求，报告不需要编制，甲方不予补偿。</w:t>
      </w:r>
    </w:p>
    <w:p>
      <w:pPr>
        <w:pStyle w:val="12"/>
        <w:ind w:firstLine="480" w:firstLineChars="200"/>
        <w:rPr>
          <w:sz w:val="24"/>
        </w:rPr>
      </w:pPr>
      <w:r>
        <w:rPr>
          <w:sz w:val="24"/>
        </w:rPr>
        <w:t xml:space="preserve">6.3 </w:t>
      </w:r>
      <w:r>
        <w:rPr>
          <w:rFonts w:hint="eastAsia"/>
          <w:sz w:val="24"/>
        </w:rPr>
        <w:t>支付</w:t>
      </w:r>
    </w:p>
    <w:p>
      <w:pPr>
        <w:ind w:firstLine="482" w:firstLineChars="0"/>
        <w:jc w:val="both"/>
        <w:rPr>
          <w:rFonts w:ascii="宋体" w:hAnsi="宋体" w:cs="宋体"/>
          <w:sz w:val="24"/>
          <w:u w:val="none"/>
        </w:rPr>
      </w:pPr>
      <w:r>
        <w:rPr>
          <w:rFonts w:ascii="宋体" w:hAnsi="宋体" w:cs="宋体"/>
          <w:sz w:val="24"/>
        </w:rPr>
        <w:t>6.3.1 技术服务费用的支付方式：</w:t>
      </w:r>
      <w:r>
        <w:rPr>
          <w:rFonts w:ascii="宋体" w:hAnsi="宋体" w:cs="宋体"/>
          <w:sz w:val="24"/>
          <w:u w:val="none"/>
        </w:rPr>
        <w:t xml:space="preserve"> 报告获有关部门正式批复后15日内，甲方支付乙方合同总费用的100%。</w:t>
      </w:r>
    </w:p>
    <w:p>
      <w:pPr>
        <w:ind w:firstLine="482" w:firstLineChars="0"/>
        <w:jc w:val="both"/>
        <w:rPr>
          <w:rFonts w:ascii="宋体" w:hAnsi="宋体" w:cs="宋体"/>
          <w:sz w:val="24"/>
          <w:u w:val="none"/>
        </w:rPr>
      </w:pPr>
      <w:r>
        <w:rPr>
          <w:rFonts w:hint="eastAsia" w:ascii="宋体" w:hAnsi="宋体" w:cs="宋体"/>
          <w:sz w:val="24"/>
          <w:u w:val="none"/>
        </w:rPr>
        <w:t>支付前，承包人需向发包人提供等额增值税（专用）发票，税率</w:t>
      </w:r>
      <w:r>
        <w:rPr>
          <w:rFonts w:ascii="宋体" w:hAnsi="宋体" w:cs="宋体"/>
          <w:sz w:val="24"/>
          <w:u w:val="none"/>
        </w:rPr>
        <w:t>6%，否则发包人有权拒绝支付。</w:t>
      </w:r>
    </w:p>
    <w:p>
      <w:pPr>
        <w:pStyle w:val="11"/>
      </w:pPr>
      <w:r>
        <w:rPr>
          <w:rFonts w:hint="eastAsia"/>
        </w:rPr>
        <w:t>8. 争议的解决</w:t>
      </w:r>
    </w:p>
    <w:p>
      <w:pPr>
        <w:ind w:firstLine="480" w:firstLineChars="200"/>
        <w:rPr>
          <w:rFonts w:ascii="宋体" w:hAnsi="宋体"/>
          <w:sz w:val="24"/>
        </w:rPr>
      </w:pPr>
      <w:bookmarkStart w:id="44" w:name="_Toc18312190"/>
      <w:r>
        <w:rPr>
          <w:rFonts w:hint="eastAsia" w:ascii="宋体" w:hAnsi="宋体"/>
          <w:sz w:val="24"/>
        </w:rPr>
        <w:t>本款约定为：争议的最终解决方式：</w:t>
      </w:r>
      <w:r>
        <w:rPr>
          <w:rFonts w:hint="eastAsia" w:ascii="MS Mincho" w:hAnsi="MS Mincho" w:cs="MS Mincho"/>
          <w:sz w:val="24"/>
          <w:u w:val="single"/>
        </w:rPr>
        <w:t>□</w:t>
      </w:r>
      <w:r>
        <w:rPr>
          <w:rFonts w:hint="eastAsia" w:ascii="宋体" w:hAnsi="宋体"/>
          <w:sz w:val="24"/>
          <w:u w:val="single"/>
        </w:rPr>
        <w:t>仲裁/</w:t>
      </w:r>
      <w:r>
        <w:rPr>
          <w:rFonts w:hint="eastAsia" w:ascii="宋体" w:hAnsi="宋体"/>
          <w:sz w:val="24"/>
          <w:u w:val="single"/>
        </w:rPr>
        <w:sym w:font="Wingdings 2" w:char="0052"/>
      </w:r>
      <w:r>
        <w:rPr>
          <w:rFonts w:hint="eastAsia" w:ascii="宋体" w:hAnsi="宋体"/>
          <w:sz w:val="24"/>
          <w:u w:val="single"/>
        </w:rPr>
        <w:t>诉讼</w:t>
      </w:r>
      <w:r>
        <w:rPr>
          <w:rFonts w:hint="eastAsia" w:ascii="宋体" w:hAnsi="宋体"/>
          <w:sz w:val="24"/>
        </w:rPr>
        <w:t>。</w:t>
      </w:r>
    </w:p>
    <w:p>
      <w:pPr>
        <w:ind w:firstLine="480" w:firstLineChars="200"/>
        <w:rPr>
          <w:rFonts w:ascii="宋体" w:hAnsi="宋体"/>
          <w:sz w:val="24"/>
        </w:rPr>
      </w:pPr>
      <w:r>
        <w:rPr>
          <w:rFonts w:hint="eastAsia" w:ascii="宋体" w:hAnsi="宋体"/>
          <w:sz w:val="24"/>
        </w:rPr>
        <w:t>如采用仲裁，仲裁机构名称：</w:t>
      </w:r>
      <w:r>
        <w:rPr>
          <w:rFonts w:hint="eastAsia" w:ascii="宋体" w:hAnsi="宋体"/>
          <w:sz w:val="24"/>
          <w:u w:val="single"/>
        </w:rPr>
        <w:t>岳阳仲裁委员会</w:t>
      </w:r>
      <w:r>
        <w:rPr>
          <w:rFonts w:hint="eastAsia" w:ascii="宋体" w:hAnsi="宋体"/>
          <w:sz w:val="24"/>
        </w:rPr>
        <w:t>。</w:t>
      </w:r>
    </w:p>
    <w:p>
      <w:pPr>
        <w:ind w:firstLine="480" w:firstLineChars="200"/>
      </w:pPr>
      <w:r>
        <w:rPr>
          <w:rFonts w:hint="eastAsia" w:ascii="宋体" w:hAnsi="宋体"/>
          <w:sz w:val="24"/>
        </w:rPr>
        <w:t>如果用诉讼，诉讼机构名称：</w:t>
      </w:r>
      <w:r>
        <w:rPr>
          <w:rFonts w:hint="eastAsia" w:ascii="宋体" w:hAnsi="宋体"/>
          <w:sz w:val="24"/>
          <w:u w:val="single"/>
        </w:rPr>
        <w:t xml:space="preserve"> 岳阳市云溪区 </w:t>
      </w:r>
      <w:r>
        <w:rPr>
          <w:rFonts w:hint="eastAsia" w:ascii="宋体" w:hAnsi="宋体"/>
          <w:sz w:val="24"/>
        </w:rPr>
        <w:t>人民法院。</w:t>
      </w:r>
    </w:p>
    <w:p/>
    <w:bookmarkEnd w:id="44"/>
    <w:p>
      <w:pPr>
        <w:pStyle w:val="8"/>
        <w:jc w:val="center"/>
      </w:pPr>
      <w:bookmarkStart w:id="45" w:name="_Toc32056"/>
      <w:bookmarkStart w:id="46" w:name="_Toc246997080"/>
      <w:bookmarkStart w:id="47" w:name="_Toc152045768"/>
      <w:bookmarkStart w:id="48" w:name="_Toc179632786"/>
      <w:bookmarkStart w:id="49" w:name="_Toc246996337"/>
      <w:bookmarkStart w:id="50" w:name="_Toc152042547"/>
      <w:bookmarkStart w:id="51" w:name="_Toc247085852"/>
      <w:bookmarkStart w:id="52" w:name="_Toc144974827"/>
    </w:p>
    <w:p>
      <w:pPr>
        <w:pStyle w:val="8"/>
        <w:jc w:val="center"/>
      </w:pPr>
    </w:p>
    <w:p>
      <w:pPr>
        <w:pStyle w:val="8"/>
        <w:jc w:val="center"/>
      </w:pPr>
    </w:p>
    <w:p>
      <w:pPr>
        <w:pStyle w:val="8"/>
        <w:jc w:val="center"/>
      </w:pPr>
    </w:p>
    <w:p>
      <w:pPr>
        <w:pStyle w:val="8"/>
        <w:jc w:val="center"/>
      </w:pPr>
    </w:p>
    <w:p>
      <w:pPr>
        <w:pStyle w:val="8"/>
        <w:jc w:val="center"/>
      </w:pPr>
    </w:p>
    <w:p>
      <w:pPr>
        <w:pStyle w:val="8"/>
        <w:jc w:val="center"/>
      </w:pPr>
    </w:p>
    <w:p/>
    <w:p/>
    <w:p/>
    <w:p/>
    <w:p/>
    <w:p>
      <w:pPr>
        <w:pStyle w:val="42"/>
      </w:pPr>
    </w:p>
    <w:p/>
    <w:p>
      <w:pPr>
        <w:pStyle w:val="8"/>
        <w:jc w:val="center"/>
      </w:pPr>
    </w:p>
    <w:p>
      <w:pPr>
        <w:pStyle w:val="8"/>
        <w:jc w:val="center"/>
      </w:pPr>
      <w:r>
        <w:rPr>
          <w:rFonts w:hint="eastAsia"/>
        </w:rPr>
        <w:t>三、附件（中标后填写）</w:t>
      </w:r>
      <w:bookmarkEnd w:id="45"/>
    </w:p>
    <w:p>
      <w:pPr>
        <w:pStyle w:val="9"/>
      </w:pPr>
      <w:bookmarkStart w:id="53" w:name="_Toc4098"/>
      <w:r>
        <w:rPr>
          <w:rFonts w:hint="eastAsia"/>
        </w:rPr>
        <w:t>附件一：合同协议书</w:t>
      </w:r>
      <w:bookmarkEnd w:id="46"/>
      <w:bookmarkEnd w:id="47"/>
      <w:bookmarkEnd w:id="48"/>
      <w:bookmarkEnd w:id="49"/>
      <w:bookmarkEnd w:id="50"/>
      <w:bookmarkEnd w:id="51"/>
      <w:bookmarkEnd w:id="52"/>
      <w:bookmarkEnd w:id="53"/>
    </w:p>
    <w:p>
      <w:pPr>
        <w:tabs>
          <w:tab w:val="left" w:pos="684"/>
        </w:tabs>
        <w:spacing w:line="440" w:lineRule="exact"/>
        <w:ind w:left="420" w:right="-40"/>
        <w:rPr>
          <w:rFonts w:ascii="宋体" w:hAnsi="宋体" w:cs="宋体"/>
          <w:sz w:val="24"/>
        </w:rPr>
      </w:pPr>
      <w:r>
        <w:rPr>
          <w:rFonts w:ascii="宋体" w:hAnsi="宋体"/>
          <w:u w:val="single"/>
        </w:rPr>
        <w:t xml:space="preserve"> </w:t>
      </w:r>
      <w:r>
        <w:rPr>
          <w:rFonts w:hint="eastAsia" w:ascii="宋体" w:hAnsi="宋体" w:cs="宋体"/>
          <w:sz w:val="24"/>
          <w:u w:val="single"/>
        </w:rPr>
        <w:t xml:space="preserve">               </w:t>
      </w:r>
      <w:r>
        <w:rPr>
          <w:rFonts w:hint="eastAsia" w:ascii="宋体" w:hAnsi="宋体" w:cs="宋体"/>
          <w:sz w:val="24"/>
        </w:rPr>
        <w:t>（委托人名称，以下简称“委托人”）为实施</w:t>
      </w:r>
      <w:r>
        <w:rPr>
          <w:rFonts w:hint="eastAsia" w:ascii="宋体" w:hAnsi="宋体" w:cs="宋体"/>
          <w:sz w:val="24"/>
          <w:u w:val="single"/>
        </w:rPr>
        <w:t xml:space="preserve">                </w:t>
      </w:r>
      <w:r>
        <w:rPr>
          <w:rFonts w:hint="eastAsia" w:ascii="宋体" w:hAnsi="宋体" w:cs="宋体"/>
          <w:sz w:val="24"/>
        </w:rPr>
        <w:t>（项目</w:t>
      </w:r>
    </w:p>
    <w:p>
      <w:pPr>
        <w:tabs>
          <w:tab w:val="left" w:pos="684"/>
        </w:tabs>
        <w:spacing w:line="440" w:lineRule="exact"/>
        <w:ind w:left="420" w:right="-40"/>
        <w:rPr>
          <w:rFonts w:ascii="宋体" w:hAnsi="宋体" w:cs="宋体"/>
          <w:sz w:val="24"/>
        </w:rPr>
      </w:pPr>
      <w:r>
        <w:rPr>
          <w:rFonts w:hint="eastAsia" w:ascii="宋体" w:hAnsi="宋体" w:cs="宋体"/>
          <w:sz w:val="24"/>
        </w:rPr>
        <w:t>名称），已接受</w:t>
      </w:r>
      <w:r>
        <w:rPr>
          <w:rFonts w:hint="eastAsia" w:ascii="宋体" w:hAnsi="宋体" w:cs="宋体"/>
          <w:sz w:val="24"/>
          <w:u w:val="single"/>
        </w:rPr>
        <w:t xml:space="preserve">                </w:t>
      </w:r>
      <w:r>
        <w:rPr>
          <w:rFonts w:hint="eastAsia" w:ascii="宋体" w:hAnsi="宋体" w:cs="宋体"/>
          <w:sz w:val="24"/>
        </w:rPr>
        <w:t>（服务人名称，以下简称“服务人”）对该项目监理投标。委托人和监理人共同达成如下协议。</w:t>
      </w:r>
    </w:p>
    <w:p>
      <w:pPr>
        <w:tabs>
          <w:tab w:val="left" w:pos="684"/>
        </w:tabs>
        <w:spacing w:line="440" w:lineRule="exact"/>
        <w:ind w:left="420" w:right="-40"/>
        <w:rPr>
          <w:rFonts w:ascii="宋体" w:hAnsi="宋体" w:cs="宋体"/>
          <w:sz w:val="24"/>
        </w:rPr>
      </w:pPr>
      <w:r>
        <w:rPr>
          <w:rFonts w:hint="eastAsia" w:ascii="宋体" w:hAnsi="宋体" w:cs="宋体"/>
          <w:sz w:val="24"/>
        </w:rPr>
        <w:t>1．本协议书与下列文件一起构成合同文件：</w:t>
      </w:r>
    </w:p>
    <w:p>
      <w:pPr>
        <w:tabs>
          <w:tab w:val="left" w:pos="684"/>
        </w:tabs>
        <w:spacing w:line="440" w:lineRule="exact"/>
        <w:ind w:left="420" w:right="-40"/>
        <w:rPr>
          <w:rFonts w:ascii="宋体" w:hAnsi="宋体" w:cs="宋体"/>
          <w:sz w:val="24"/>
        </w:rPr>
      </w:pPr>
      <w:r>
        <w:rPr>
          <w:rFonts w:hint="eastAsia" w:ascii="宋体" w:hAnsi="宋体" w:cs="宋体"/>
          <w:sz w:val="24"/>
        </w:rPr>
        <w:t>（1）本协议书</w:t>
      </w:r>
    </w:p>
    <w:p>
      <w:pPr>
        <w:tabs>
          <w:tab w:val="left" w:pos="684"/>
        </w:tabs>
        <w:spacing w:line="440" w:lineRule="exact"/>
        <w:ind w:left="420" w:right="-40"/>
        <w:rPr>
          <w:rFonts w:ascii="宋体" w:hAnsi="宋体" w:cs="宋体"/>
          <w:sz w:val="24"/>
        </w:rPr>
      </w:pPr>
      <w:r>
        <w:rPr>
          <w:rFonts w:hint="eastAsia" w:ascii="宋体" w:hAnsi="宋体" w:cs="宋体"/>
          <w:sz w:val="24"/>
        </w:rPr>
        <w:t>（2）成交通知书；</w:t>
      </w:r>
    </w:p>
    <w:p>
      <w:pPr>
        <w:tabs>
          <w:tab w:val="left" w:pos="684"/>
        </w:tabs>
        <w:spacing w:line="440" w:lineRule="exact"/>
        <w:ind w:left="420" w:right="-40"/>
        <w:rPr>
          <w:rFonts w:ascii="宋体" w:hAnsi="宋体" w:cs="宋体"/>
          <w:sz w:val="24"/>
        </w:rPr>
      </w:pPr>
      <w:r>
        <w:rPr>
          <w:rFonts w:hint="eastAsia" w:ascii="宋体" w:hAnsi="宋体" w:cs="宋体"/>
          <w:sz w:val="24"/>
        </w:rPr>
        <w:t>（3）询价文件；</w:t>
      </w:r>
    </w:p>
    <w:p>
      <w:pPr>
        <w:tabs>
          <w:tab w:val="left" w:pos="684"/>
        </w:tabs>
        <w:spacing w:line="440" w:lineRule="exact"/>
        <w:ind w:left="420" w:right="-40"/>
        <w:rPr>
          <w:rFonts w:ascii="宋体" w:hAnsi="宋体" w:cs="宋体"/>
          <w:sz w:val="24"/>
        </w:rPr>
      </w:pPr>
      <w:r>
        <w:rPr>
          <w:rFonts w:hint="eastAsia" w:ascii="宋体" w:hAnsi="宋体" w:cs="宋体"/>
          <w:sz w:val="24"/>
        </w:rPr>
        <w:t>（4）报价文件；</w:t>
      </w:r>
    </w:p>
    <w:p>
      <w:pPr>
        <w:tabs>
          <w:tab w:val="left" w:pos="684"/>
        </w:tabs>
        <w:spacing w:line="440" w:lineRule="exact"/>
        <w:ind w:left="420" w:right="-40"/>
        <w:rPr>
          <w:rFonts w:ascii="宋体" w:hAnsi="宋体" w:cs="宋体"/>
          <w:sz w:val="24"/>
        </w:rPr>
      </w:pPr>
      <w:r>
        <w:rPr>
          <w:rFonts w:hint="eastAsia" w:ascii="宋体" w:hAnsi="宋体" w:cs="宋体"/>
          <w:sz w:val="24"/>
        </w:rPr>
        <w:t>（5）其他相关合同文件。</w:t>
      </w:r>
    </w:p>
    <w:p>
      <w:pPr>
        <w:tabs>
          <w:tab w:val="left" w:pos="684"/>
        </w:tabs>
        <w:spacing w:line="440" w:lineRule="exact"/>
        <w:ind w:left="420" w:right="-40"/>
        <w:rPr>
          <w:rFonts w:ascii="宋体" w:hAnsi="宋体" w:cs="宋体"/>
          <w:sz w:val="24"/>
        </w:rPr>
      </w:pPr>
      <w:r>
        <w:rPr>
          <w:rFonts w:hint="eastAsia" w:ascii="宋体" w:hAnsi="宋体" w:cs="宋体"/>
          <w:sz w:val="24"/>
        </w:rPr>
        <w:t>2.上述合同文件互相补充和解释。如果合同文件之间存在矛盾或不一致之处，以上述文件的排列顺序在先者为准。</w:t>
      </w:r>
    </w:p>
    <w:p>
      <w:pPr>
        <w:spacing w:line="440" w:lineRule="exact"/>
        <w:ind w:firstLine="480" w:firstLineChars="200"/>
        <w:rPr>
          <w:sz w:val="24"/>
        </w:rPr>
      </w:pPr>
      <w:r>
        <w:rPr>
          <w:rFonts w:hint="eastAsia"/>
          <w:sz w:val="24"/>
        </w:rPr>
        <w:t>2．签约合同价：人民币（大写）（   ¥）。</w:t>
      </w:r>
    </w:p>
    <w:p>
      <w:pPr>
        <w:spacing w:line="440" w:lineRule="exact"/>
        <w:ind w:firstLine="480" w:firstLineChars="200"/>
        <w:rPr>
          <w:sz w:val="24"/>
        </w:rPr>
      </w:pPr>
      <w:r>
        <w:rPr>
          <w:rFonts w:hint="eastAsia"/>
          <w:sz w:val="24"/>
        </w:rPr>
        <w:t>3．服务人在此立约：保证在所有方面按合同文件的规定，承担本合同项目的实施和完成工作。</w:t>
      </w:r>
    </w:p>
    <w:p>
      <w:pPr>
        <w:spacing w:line="440" w:lineRule="exact"/>
        <w:ind w:firstLine="480" w:firstLineChars="200"/>
        <w:rPr>
          <w:sz w:val="24"/>
        </w:rPr>
      </w:pPr>
      <w:r>
        <w:rPr>
          <w:rFonts w:hint="eastAsia"/>
          <w:sz w:val="24"/>
        </w:rPr>
        <w:t>4．计划服务期：合同签订后30个工作日内向采购人提交报告。</w:t>
      </w:r>
    </w:p>
    <w:p>
      <w:pPr>
        <w:spacing w:line="440" w:lineRule="exact"/>
        <w:ind w:firstLine="480" w:firstLineChars="200"/>
        <w:rPr>
          <w:sz w:val="24"/>
        </w:rPr>
      </w:pPr>
      <w:r>
        <w:rPr>
          <w:rFonts w:hint="eastAsia"/>
          <w:sz w:val="24"/>
        </w:rPr>
        <w:t>5．发包人承诺按合同条款规定的时间和方式向服务人支付合同价款。</w:t>
      </w:r>
    </w:p>
    <w:p>
      <w:pPr>
        <w:spacing w:line="440" w:lineRule="exact"/>
        <w:ind w:firstLine="480" w:firstLineChars="200"/>
        <w:rPr>
          <w:sz w:val="24"/>
        </w:rPr>
      </w:pPr>
      <w:r>
        <w:rPr>
          <w:rFonts w:hint="eastAsia"/>
          <w:sz w:val="24"/>
        </w:rPr>
        <w:t>6．违约金或赔偿损失的方式</w:t>
      </w:r>
    </w:p>
    <w:p>
      <w:pPr>
        <w:spacing w:line="440" w:lineRule="exact"/>
        <w:ind w:firstLine="480" w:firstLineChars="200"/>
        <w:rPr>
          <w:sz w:val="24"/>
        </w:rPr>
      </w:pPr>
      <w:r>
        <w:rPr>
          <w:rFonts w:hint="eastAsia"/>
          <w:sz w:val="24"/>
        </w:rPr>
        <w:t>6.1违反本合同约定，违约方应当承担违约责任。</w:t>
      </w:r>
    </w:p>
    <w:p>
      <w:pPr>
        <w:spacing w:line="440" w:lineRule="exact"/>
        <w:ind w:firstLine="480" w:firstLineChars="200"/>
        <w:rPr>
          <w:sz w:val="24"/>
        </w:rPr>
      </w:pPr>
      <w:r>
        <w:rPr>
          <w:rFonts w:hint="eastAsia"/>
          <w:sz w:val="24"/>
        </w:rPr>
        <w:t>6.2尽管服务人已按承诺派遣了各类服务人员，但若这些人员仍不能满足合同进度计划和（或）相关服务要求时，发包人有权要求服务人继续增派或雇用这类人员，服务人应立即执行，由此增加的费用和（或）工期延误由服务人承担。</w:t>
      </w:r>
    </w:p>
    <w:p>
      <w:pPr>
        <w:spacing w:line="440" w:lineRule="exact"/>
        <w:ind w:firstLine="480" w:firstLineChars="200"/>
        <w:rPr>
          <w:sz w:val="24"/>
        </w:rPr>
      </w:pPr>
      <w:r>
        <w:rPr>
          <w:rFonts w:hint="eastAsia"/>
          <w:sz w:val="24"/>
        </w:rPr>
        <w:t>7</w:t>
      </w:r>
      <w:r>
        <w:rPr>
          <w:sz w:val="24"/>
        </w:rPr>
        <w:t>.本协议书一式</w:t>
      </w:r>
      <w:r>
        <w:rPr>
          <w:rFonts w:hint="eastAsia"/>
          <w:sz w:val="24"/>
          <w:u w:val="single"/>
        </w:rPr>
        <w:t xml:space="preserve"> 陆 </w:t>
      </w:r>
      <w:r>
        <w:rPr>
          <w:sz w:val="24"/>
        </w:rPr>
        <w:t>份，合同双方各执</w:t>
      </w:r>
      <w:r>
        <w:rPr>
          <w:rFonts w:hint="eastAsia"/>
          <w:sz w:val="24"/>
          <w:u w:val="single"/>
        </w:rPr>
        <w:t xml:space="preserve"> 叁 </w:t>
      </w:r>
      <w:r>
        <w:rPr>
          <w:sz w:val="24"/>
        </w:rPr>
        <w:t>份。</w:t>
      </w:r>
    </w:p>
    <w:p>
      <w:pPr>
        <w:spacing w:line="440" w:lineRule="exact"/>
        <w:ind w:firstLine="480" w:firstLineChars="200"/>
        <w:rPr>
          <w:sz w:val="24"/>
        </w:rPr>
      </w:pPr>
      <w:bookmarkStart w:id="54" w:name="_Toc152042550"/>
      <w:bookmarkStart w:id="55" w:name="_Toc144974830"/>
      <w:r>
        <w:rPr>
          <w:rFonts w:hint="eastAsia"/>
          <w:sz w:val="24"/>
        </w:rPr>
        <w:t>8</w:t>
      </w:r>
      <w:r>
        <w:rPr>
          <w:sz w:val="24"/>
        </w:rPr>
        <w:t>. 合同未尽事宜，双方另行签订补充协议。补充协议是合同的组成部分。</w:t>
      </w:r>
      <w:bookmarkEnd w:id="54"/>
      <w:bookmarkEnd w:id="55"/>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360" w:lineRule="auto"/>
        <w:ind w:firstLine="480" w:firstLineChars="200"/>
        <w:rPr>
          <w:sz w:val="24"/>
        </w:rPr>
      </w:pPr>
      <w:r>
        <w:rPr>
          <w:sz w:val="24"/>
        </w:rPr>
        <w:t>发包人：（盖单位章）</w:t>
      </w:r>
      <w:r>
        <w:rPr>
          <w:rFonts w:hint="eastAsia"/>
          <w:sz w:val="24"/>
        </w:rPr>
        <w:t xml:space="preserve">                            </w:t>
      </w:r>
      <w:r>
        <w:rPr>
          <w:sz w:val="24"/>
        </w:rPr>
        <w:t>服务人：（盖单位章）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或签章</w:t>
      </w:r>
      <w:r>
        <w:rPr>
          <w:sz w:val="24"/>
        </w:rPr>
        <w:t>）法定代表人或其委托代理人：（签字</w:t>
      </w:r>
      <w:r>
        <w:rPr>
          <w:rFonts w:hint="eastAsia"/>
          <w:sz w:val="24"/>
        </w:rPr>
        <w:t>或签章</w:t>
      </w:r>
      <w:r>
        <w:rPr>
          <w:sz w:val="24"/>
        </w:rPr>
        <w:t>）</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rFonts w:ascii="宋体" w:hAnsi="宋体" w:cs="宋体"/>
          <w:sz w:val="24"/>
        </w:rPr>
      </w:pPr>
      <w:r>
        <w:rPr>
          <w:rFonts w:hint="eastAsia" w:ascii="宋体" w:hAnsi="宋体" w:cs="宋体"/>
          <w:sz w:val="24"/>
        </w:rPr>
        <w:br w:type="page"/>
      </w:r>
    </w:p>
    <w:p>
      <w:pPr>
        <w:pStyle w:val="9"/>
      </w:pPr>
      <w:bookmarkStart w:id="56" w:name="_Hlk79957878"/>
      <w:r>
        <w:rPr>
          <w:rFonts w:hint="eastAsia"/>
        </w:rPr>
        <w:t>附件二：廉政责任书</w:t>
      </w:r>
    </w:p>
    <w:p>
      <w:pPr>
        <w:pStyle w:val="194"/>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第一条  甲乙双方的责任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第二条  甲方的责任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第三条  乙方的责任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第四条  违约责任</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sz w:val="24"/>
        </w:rPr>
      </w:pPr>
      <w:r>
        <w:rPr>
          <w:rFonts w:hint="eastAsia" w:ascii="宋体" w:hAnsi="宋体" w:cs="宋体"/>
          <w:color w:val="000000"/>
          <w:sz w:val="24"/>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sz w:val="24"/>
        </w:rPr>
      </w:pPr>
    </w:p>
    <w:p>
      <w:pPr>
        <w:pStyle w:val="195"/>
        <w:autoSpaceDE/>
        <w:autoSpaceDN/>
        <w:adjustRightInd/>
        <w:spacing w:line="312" w:lineRule="auto"/>
        <w:jc w:val="both"/>
        <w:rPr>
          <w:rFonts w:hAnsi="宋体" w:cs="Times New Roman"/>
          <w:color w:val="000000"/>
        </w:rPr>
      </w:pPr>
      <w:r>
        <w:rPr>
          <w:rFonts w:hint="eastAsia" w:hAnsi="宋体" w:cs="Times New Roman"/>
          <w:color w:val="000000"/>
        </w:rPr>
        <w:t>委托人</w:t>
      </w:r>
      <w:r>
        <w:rPr>
          <w:rFonts w:hAnsi="宋体" w:cs="Times New Roman"/>
          <w:color w:val="000000"/>
        </w:rPr>
        <w:t>：</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5"/>
        <w:autoSpaceDE/>
        <w:autoSpaceDN/>
        <w:adjustRightInd/>
        <w:spacing w:line="312" w:lineRule="auto"/>
        <w:jc w:val="both"/>
        <w:rPr>
          <w:rFonts w:hAnsi="宋体" w:cs="Times New Roman"/>
          <w:color w:val="000000"/>
        </w:rPr>
      </w:pPr>
    </w:p>
    <w:p>
      <w:pPr>
        <w:pStyle w:val="195"/>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（签字</w:t>
      </w:r>
      <w:r>
        <w:rPr>
          <w:rFonts w:hint="eastAsia" w:hAnsi="宋体" w:cs="Times New Roman"/>
          <w:color w:val="000000"/>
          <w:u w:val="single"/>
        </w:rPr>
        <w:t>或签章</w:t>
      </w:r>
      <w:r>
        <w:rPr>
          <w:rFonts w:hAnsi="宋体" w:cs="Times New Roman"/>
          <w:color w:val="000000"/>
          <w:u w:val="single"/>
        </w:rPr>
        <w:t>）</w:t>
      </w:r>
      <w:r>
        <w:rPr>
          <w:rFonts w:hint="eastAsia" w:hAnsi="宋体" w:cs="Times New Roman"/>
          <w:color w:val="000000"/>
        </w:rPr>
        <w:t>法</w:t>
      </w:r>
      <w:r>
        <w:rPr>
          <w:rFonts w:hAnsi="宋体" w:cs="Times New Roman"/>
          <w:color w:val="000000"/>
        </w:rPr>
        <w:t>定代表人或其委托代理人：</w:t>
      </w:r>
      <w:r>
        <w:rPr>
          <w:rFonts w:hAnsi="宋体" w:cs="Times New Roman"/>
          <w:color w:val="000000"/>
          <w:u w:val="single"/>
        </w:rPr>
        <w:t xml:space="preserve">  （签字</w:t>
      </w:r>
      <w:r>
        <w:rPr>
          <w:rFonts w:hint="eastAsia" w:hAnsi="宋体" w:cs="Times New Roman"/>
          <w:color w:val="000000"/>
          <w:u w:val="single"/>
        </w:rPr>
        <w:t>或签章</w:t>
      </w:r>
      <w:r>
        <w:rPr>
          <w:rFonts w:hAnsi="宋体" w:cs="Times New Roman"/>
          <w:color w:val="000000"/>
          <w:u w:val="single"/>
        </w:rPr>
        <w:t xml:space="preserve">）  </w:t>
      </w:r>
      <w:bookmarkEnd w:id="56"/>
      <w:r>
        <w:rPr>
          <w:rFonts w:hAnsi="宋体" w:cs="Times New Roman"/>
          <w:color w:val="000000"/>
          <w:u w:val="single"/>
        </w:rPr>
        <w:t xml:space="preserve">  </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spacing w:line="400" w:lineRule="exact"/>
        <w:ind w:firstLine="482" w:firstLineChars="200"/>
        <w:jc w:val="both"/>
        <w:rPr>
          <w:rFonts w:ascii="宋体" w:hAnsi="宋体" w:cs="宋体"/>
          <w:b/>
          <w:sz w:val="24"/>
        </w:rPr>
      </w:pPr>
      <w:bookmarkStart w:id="57" w:name="_Toc505337986"/>
      <w:r>
        <w:rPr>
          <w:rFonts w:hint="eastAsia" w:ascii="宋体" w:hAnsi="宋体" w:cs="宋体"/>
          <w:b/>
          <w:sz w:val="24"/>
        </w:rPr>
        <w:t>1. 项目概况</w:t>
      </w:r>
    </w:p>
    <w:p>
      <w:pPr>
        <w:ind w:firstLine="480"/>
        <w:rPr>
          <w:rFonts w:ascii="宋体" w:hAnsi="宋体" w:cs="宋体"/>
          <w:sz w:val="24"/>
        </w:rPr>
      </w:pPr>
      <w:r>
        <w:rPr>
          <w:rFonts w:hint="eastAsia" w:ascii="宋体" w:hAnsi="宋体" w:cs="宋体"/>
          <w:bCs/>
          <w:sz w:val="24"/>
        </w:rPr>
        <w:t>（1）项目名称：</w:t>
      </w:r>
      <w:r>
        <w:rPr>
          <w:rFonts w:hint="eastAsia" w:ascii="宋体" w:hAnsi="宋体"/>
          <w:sz w:val="24"/>
        </w:rPr>
        <w:t>岳阳港城陵矶港区松阳湖三期工程安全监管系统影响专题论证报告评价编制服务</w:t>
      </w:r>
    </w:p>
    <w:p>
      <w:pPr>
        <w:spacing w:line="400" w:lineRule="exact"/>
        <w:ind w:firstLine="480" w:firstLineChars="200"/>
        <w:jc w:val="both"/>
        <w:rPr>
          <w:rFonts w:ascii="宋体" w:hAnsi="宋体" w:cs="宋体"/>
          <w:bCs/>
          <w:sz w:val="24"/>
        </w:rPr>
      </w:pPr>
      <w:r>
        <w:rPr>
          <w:rFonts w:hint="eastAsia" w:ascii="宋体" w:hAnsi="宋体" w:cs="宋体"/>
          <w:bCs/>
          <w:sz w:val="24"/>
        </w:rPr>
        <w:t>（2）建设单位：</w:t>
      </w:r>
      <w:r>
        <w:rPr>
          <w:rFonts w:hint="eastAsia" w:ascii="宋体" w:hAnsi="宋体"/>
          <w:sz w:val="24"/>
        </w:rPr>
        <w:t>湖南省港务集团有限公司</w:t>
      </w:r>
    </w:p>
    <w:p>
      <w:pPr>
        <w:pStyle w:val="14"/>
        <w:spacing w:line="400" w:lineRule="exact"/>
        <w:ind w:firstLine="480"/>
        <w:rPr>
          <w:rFonts w:ascii="宋体" w:hAnsi="宋体"/>
          <w:sz w:val="24"/>
        </w:rPr>
      </w:pPr>
      <w:r>
        <w:rPr>
          <w:rFonts w:hint="eastAsia" w:ascii="宋体" w:hAnsi="宋体" w:cs="宋体"/>
          <w:bCs/>
          <w:sz w:val="24"/>
        </w:rPr>
        <w:t>（3）建设规模：</w:t>
      </w:r>
      <w:permStart w:id="55" w:edGrp="everyone"/>
      <w:r>
        <w:rPr>
          <w:rFonts w:hint="eastAsia" w:ascii="宋体" w:hAnsi="宋体"/>
          <w:sz w:val="24"/>
        </w:rPr>
        <w:t xml:space="preserve"> </w:t>
      </w:r>
      <w:r>
        <w:rPr>
          <w:sz w:val="24"/>
        </w:rPr>
        <w:t>拟建码头工程位于长江中游仙峰水道右岸，码头位于长江中游航道里程225km处</w:t>
      </w:r>
      <w:r>
        <w:rPr>
          <w:rFonts w:hint="eastAsia"/>
          <w:sz w:val="24"/>
        </w:rPr>
        <w:t>。</w:t>
      </w:r>
      <w:r>
        <w:rPr>
          <w:rFonts w:hint="eastAsia"/>
          <w:kern w:val="0"/>
          <w:sz w:val="24"/>
        </w:rPr>
        <w:t>工程拟新建6个5000吨级泊位，包含4个件杂货泊位和2个通用泊位，码头设计吞吐量为760万吨/年，使用港口岸线758m</w:t>
      </w:r>
      <w:r>
        <w:rPr>
          <w:kern w:val="0"/>
          <w:sz w:val="24"/>
        </w:rPr>
        <w:t>。</w:t>
      </w:r>
      <w:r>
        <w:rPr>
          <w:rFonts w:hint="eastAsia" w:ascii="宋体" w:hAnsi="宋体"/>
          <w:sz w:val="24"/>
        </w:rPr>
        <w:t>。</w:t>
      </w:r>
    </w:p>
    <w:permEnd w:id="55"/>
    <w:p>
      <w:pPr>
        <w:ind w:firstLine="480"/>
        <w:rPr>
          <w:rFonts w:ascii="宋体" w:hAnsi="宋体" w:cs="宋体"/>
          <w:bCs/>
          <w:sz w:val="24"/>
        </w:rPr>
      </w:pPr>
      <w:r>
        <w:rPr>
          <w:rFonts w:hint="eastAsia" w:ascii="宋体" w:hAnsi="宋体" w:cs="宋体"/>
          <w:bCs/>
          <w:sz w:val="24"/>
        </w:rPr>
        <w:t>（4）项目地理位置：岳阳市</w:t>
      </w:r>
    </w:p>
    <w:bookmarkEnd w:id="57"/>
    <w:p>
      <w:pPr>
        <w:adjustRightInd w:val="0"/>
        <w:snapToGrid w:val="0"/>
        <w:spacing w:line="312" w:lineRule="auto"/>
        <w:ind w:firstLine="482" w:firstLineChars="200"/>
        <w:rPr>
          <w:rFonts w:ascii="宋体" w:hAnsi="宋体"/>
          <w:b/>
          <w:sz w:val="24"/>
        </w:rPr>
      </w:pPr>
      <w:bookmarkStart w:id="58" w:name="_Toc505337988"/>
    </w:p>
    <w:p>
      <w:pPr>
        <w:adjustRightInd w:val="0"/>
        <w:snapToGrid w:val="0"/>
        <w:spacing w:line="400" w:lineRule="exact"/>
        <w:ind w:firstLine="482" w:firstLineChars="200"/>
        <w:rPr>
          <w:rFonts w:ascii="宋体" w:hAnsi="宋体"/>
          <w:b/>
          <w:sz w:val="24"/>
        </w:rPr>
      </w:pPr>
      <w:r>
        <w:rPr>
          <w:rFonts w:hint="eastAsia" w:ascii="宋体" w:hAnsi="宋体"/>
          <w:b/>
          <w:sz w:val="24"/>
        </w:rPr>
        <w:t>2.</w:t>
      </w:r>
      <w:bookmarkEnd w:id="58"/>
      <w:bookmarkStart w:id="59" w:name="_Toc505337995"/>
      <w:r>
        <w:rPr>
          <w:rFonts w:hint="eastAsia" w:ascii="宋体" w:hAnsi="宋体"/>
          <w:b/>
          <w:sz w:val="24"/>
        </w:rPr>
        <w:t>服务</w:t>
      </w:r>
      <w:bookmarkEnd w:id="59"/>
      <w:r>
        <w:rPr>
          <w:rFonts w:hint="eastAsia" w:ascii="宋体" w:hAnsi="宋体"/>
          <w:b/>
          <w:sz w:val="24"/>
        </w:rPr>
        <w:t>内容及要求</w:t>
      </w:r>
    </w:p>
    <w:p>
      <w:pPr>
        <w:spacing w:line="400" w:lineRule="exact"/>
        <w:ind w:firstLine="480"/>
        <w:rPr>
          <w:rFonts w:ascii="宋体" w:hAnsi="宋体" w:cs="宋体"/>
          <w:bCs/>
          <w:sz w:val="24"/>
        </w:rPr>
      </w:pPr>
      <w:bookmarkStart w:id="60" w:name="_Toc330384480"/>
      <w:bookmarkStart w:id="61" w:name="_Toc283559279"/>
      <w:bookmarkStart w:id="62" w:name="_Toc336172266"/>
      <w:bookmarkStart w:id="63" w:name="_Toc283558782"/>
      <w:bookmarkStart w:id="64" w:name="_Toc356567995"/>
      <w:bookmarkStart w:id="65" w:name="_Toc413275457"/>
      <w:bookmarkStart w:id="66" w:name="_Toc386203977"/>
      <w:bookmarkStart w:id="67" w:name="_Toc413275028"/>
      <w:bookmarkStart w:id="68" w:name="_Toc341015692"/>
      <w:bookmarkStart w:id="69" w:name="_Toc341805317"/>
      <w:bookmarkStart w:id="70" w:name="_Toc307991221"/>
      <w:bookmarkStart w:id="71" w:name="_Toc370943574"/>
      <w:bookmarkStart w:id="72" w:name="_Toc286759124"/>
      <w:r>
        <w:rPr>
          <w:rFonts w:hint="eastAsia" w:ascii="宋体" w:hAnsi="宋体" w:cs="宋体"/>
          <w:bCs/>
          <w:sz w:val="24"/>
        </w:rPr>
        <w:t>（1）服务内容：</w:t>
      </w:r>
      <w:r>
        <w:rPr>
          <w:rFonts w:hint="eastAsia" w:ascii="宋体" w:hAnsi="宋体" w:cs="宋体"/>
          <w:sz w:val="24"/>
          <w:highlight w:val="yellow"/>
        </w:rPr>
        <w:t>报价人应依照相关主管部门有关规定和技术标准要求编制工程建设</w:t>
      </w:r>
      <w:r>
        <w:rPr>
          <w:rFonts w:hint="eastAsia" w:ascii="宋体" w:hAnsi="宋体"/>
          <w:sz w:val="24"/>
        </w:rPr>
        <w:t>对安全监管系统影响专题论证</w:t>
      </w:r>
      <w:r>
        <w:rPr>
          <w:rFonts w:hint="eastAsia" w:ascii="宋体" w:hAnsi="宋体" w:cs="宋体"/>
          <w:sz w:val="24"/>
          <w:highlight w:val="yellow"/>
        </w:rPr>
        <w:t>报告。并需承担深化报告及因政府有关主管部门审查而出现的修改工作，以及其他配套服务工作（含准备报审资料，协助上报审批部门，并向评审组详细汇报相关报告的内容及解答评审组的问题；根据招标人、各级主管部门、各级审批部门审查组的评审意见修改、补充和完善相关报告，确保本项目报告通过专家评审组的审查，并协助招标人取得审批部门对本项目的批复）</w:t>
      </w:r>
      <w:r>
        <w:rPr>
          <w:rFonts w:hint="eastAsia" w:ascii="宋体" w:hAnsi="宋体" w:cs="宋体"/>
          <w:bCs/>
          <w:sz w:val="24"/>
        </w:rPr>
        <w:t>。</w:t>
      </w:r>
    </w:p>
    <w:p>
      <w:pPr>
        <w:spacing w:line="400" w:lineRule="exact"/>
        <w:ind w:firstLine="480"/>
        <w:rPr>
          <w:rFonts w:ascii="宋体" w:hAnsi="宋体" w:cs="宋体"/>
          <w:bCs/>
          <w:sz w:val="24"/>
        </w:rPr>
      </w:pPr>
      <w:r>
        <w:rPr>
          <w:rFonts w:hint="eastAsia" w:ascii="宋体" w:hAnsi="宋体" w:cs="宋体"/>
          <w:bCs/>
          <w:sz w:val="24"/>
        </w:rPr>
        <w:t>（2）要求：报告编制的技术和深度必须满足审查单位的要求，确保通过审查。在报告编制过程中，应严格执行国家的各项法律法规和政策，如果国家或者有关部门颁发了新的技术标准或规范，则编制单位应采用新的标准或规范。</w:t>
      </w:r>
    </w:p>
    <w:p>
      <w:pPr>
        <w:spacing w:line="400" w:lineRule="exact"/>
        <w:ind w:firstLine="480"/>
        <w:rPr>
          <w:rFonts w:ascii="宋体" w:hAnsi="宋体" w:cs="宋体"/>
          <w:bCs/>
          <w:sz w:val="24"/>
        </w:rPr>
      </w:pPr>
    </w:p>
    <w:p>
      <w:pPr>
        <w:spacing w:line="400" w:lineRule="exact"/>
        <w:ind w:firstLine="480"/>
        <w:rPr>
          <w:rFonts w:ascii="宋体" w:hAnsi="宋体" w:cs="宋体"/>
          <w:bCs/>
          <w:sz w:val="24"/>
        </w:rPr>
      </w:pPr>
    </w:p>
    <w:bookmarkEnd w:id="60"/>
    <w:bookmarkEnd w:id="61"/>
    <w:bookmarkEnd w:id="62"/>
    <w:bookmarkEnd w:id="63"/>
    <w:bookmarkEnd w:id="64"/>
    <w:bookmarkEnd w:id="65"/>
    <w:bookmarkEnd w:id="66"/>
    <w:bookmarkEnd w:id="67"/>
    <w:bookmarkEnd w:id="68"/>
    <w:bookmarkEnd w:id="69"/>
    <w:bookmarkEnd w:id="70"/>
    <w:bookmarkEnd w:id="71"/>
    <w:bookmarkEnd w:id="72"/>
    <w:p>
      <w:pPr>
        <w:spacing w:line="312" w:lineRule="auto"/>
        <w:jc w:val="both"/>
        <w:rPr>
          <w:rFonts w:ascii="仿宋" w:hAnsi="仿宋" w:eastAsia="仿宋" w:cs="仿宋"/>
          <w:sz w:val="30"/>
          <w:szCs w:val="30"/>
        </w:rPr>
      </w:pPr>
    </w:p>
    <w:p>
      <w:pPr>
        <w:spacing w:line="312" w:lineRule="auto"/>
        <w:ind w:firstLine="600" w:firstLineChars="200"/>
        <w:jc w:val="center"/>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6"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(3)联合体协议书(如有);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(4)响应保证金(如有);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rPr>
        <w:t>三、商务和技术偏差表</w:t>
      </w:r>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四、报价表</w:t>
      </w:r>
    </w:p>
    <w:p>
      <w:pPr>
        <w:pStyle w:val="14"/>
        <w:ind w:firstLine="0" w:firstLineChars="0"/>
        <w:jc w:val="center"/>
      </w:pPr>
    </w:p>
    <w:p>
      <w:pPr>
        <w:pStyle w:val="14"/>
        <w:ind w:firstLine="0" w:firstLineChars="0"/>
        <w:jc w:val="center"/>
      </w:pPr>
      <w:r>
        <w:rPr>
          <w:rFonts w:hint="eastAsia"/>
        </w:rPr>
        <w:t>标段1:华容东山镇物流园项目工程境影响评价编制服务</w:t>
      </w:r>
    </w:p>
    <w:p>
      <w:pPr>
        <w:pStyle w:val="42"/>
        <w:ind w:left="0" w:leftChars="0" w:firstLine="0" w:firstLineChars="0"/>
        <w:jc w:val="center"/>
        <w:rPr>
          <w:rFonts w:ascii="宋体" w:hAnsi="宋体"/>
          <w:sz w:val="24"/>
        </w:rPr>
      </w:pPr>
    </w:p>
    <w:tbl>
      <w:tblPr>
        <w:tblStyle w:val="4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55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vAlign w:val="center"/>
          </w:tcPr>
          <w:p>
            <w:pPr>
              <w:jc w:val="center"/>
              <w:rPr>
                <w:rFonts w:ascii="宋体" w:hAnsi="宋体"/>
                <w:sz w:val="24"/>
              </w:rPr>
            </w:pPr>
            <w:r>
              <w:rPr>
                <w:rFonts w:hint="eastAsia" w:ascii="宋体" w:hAnsi="宋体"/>
                <w:sz w:val="24"/>
              </w:rPr>
              <w:t>项目名称</w:t>
            </w:r>
          </w:p>
        </w:tc>
        <w:tc>
          <w:tcPr>
            <w:tcW w:w="3555" w:type="dxa"/>
            <w:vAlign w:val="center"/>
          </w:tcPr>
          <w:p>
            <w:pPr>
              <w:jc w:val="center"/>
              <w:rPr>
                <w:rFonts w:ascii="宋体" w:hAnsi="宋体"/>
                <w:sz w:val="24"/>
              </w:rPr>
            </w:pPr>
            <w:r>
              <w:rPr>
                <w:rFonts w:hint="eastAsia" w:ascii="宋体" w:hAnsi="宋体"/>
                <w:sz w:val="24"/>
              </w:rPr>
              <w:t>金额（元）</w:t>
            </w:r>
          </w:p>
        </w:tc>
        <w:tc>
          <w:tcPr>
            <w:tcW w:w="3391"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14" w:type="dxa"/>
            <w:vAlign w:val="center"/>
          </w:tcPr>
          <w:p>
            <w:pPr>
              <w:rPr>
                <w:rFonts w:ascii="宋体" w:hAnsi="宋体"/>
                <w:sz w:val="24"/>
              </w:rPr>
            </w:pPr>
            <w:r>
              <w:rPr>
                <w:rFonts w:hint="eastAsia" w:ascii="宋体" w:hAnsi="宋体"/>
                <w:sz w:val="24"/>
              </w:rPr>
              <w:t>岳阳港城陵矶港区松阳湖三期工程建设对安全监管系统影响专题论证报告书评价编制服务</w:t>
            </w:r>
          </w:p>
        </w:tc>
        <w:tc>
          <w:tcPr>
            <w:tcW w:w="3555" w:type="dxa"/>
            <w:vAlign w:val="center"/>
          </w:tcPr>
          <w:p>
            <w:pPr>
              <w:rPr>
                <w:rFonts w:ascii="宋体" w:hAnsi="宋体"/>
                <w:szCs w:val="21"/>
              </w:rPr>
            </w:pPr>
          </w:p>
        </w:tc>
        <w:tc>
          <w:tcPr>
            <w:tcW w:w="3391" w:type="dxa"/>
            <w:vAlign w:val="center"/>
          </w:tcPr>
          <w:p>
            <w:pPr>
              <w:rPr>
                <w:rFonts w:ascii="宋体" w:hAnsi="宋体"/>
                <w:szCs w:val="21"/>
              </w:rPr>
            </w:pPr>
            <w:r>
              <w:rPr>
                <w:rFonts w:hint="eastAsia" w:ascii="宋体" w:hAnsi="宋体"/>
                <w:szCs w:val="21"/>
              </w:rPr>
              <w:t>包括完成所投标段所有工作内容和提供资料成果、后续服务、会务费、专家评审费、税金相关的全部费用，由乙方包干使用。</w:t>
            </w:r>
          </w:p>
        </w:tc>
      </w:tr>
    </w:tbl>
    <w:p>
      <w:pPr>
        <w:widowControl w:val="0"/>
        <w:snapToGrid w:val="0"/>
        <w:spacing w:line="500" w:lineRule="exact"/>
        <w:ind w:firstLine="3120" w:firstLineChars="1300"/>
        <w:jc w:val="both"/>
        <w:rPr>
          <w:rFonts w:ascii="新宋体" w:hAnsi="新宋体" w:eastAsia="新宋体" w:cs="宋体-18030"/>
          <w:sz w:val="24"/>
        </w:rPr>
      </w:pPr>
    </w:p>
    <w:p>
      <w:pPr>
        <w:widowControl w:val="0"/>
        <w:snapToGrid w:val="0"/>
        <w:spacing w:line="500" w:lineRule="exact"/>
        <w:ind w:firstLine="3120" w:firstLineChars="1300"/>
        <w:jc w:val="both"/>
        <w:rPr>
          <w:rFonts w:ascii="新宋体" w:hAnsi="新宋体" w:eastAsia="新宋体" w:cs="宋体-18030"/>
          <w:sz w:val="24"/>
        </w:rPr>
      </w:pP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           应             商：</w:t>
      </w:r>
      <w:r>
        <w:rPr>
          <w:rFonts w:hint="eastAsia" w:ascii="新宋体" w:hAnsi="新宋体" w:eastAsia="新宋体" w:cs="宋体-18030"/>
          <w:sz w:val="24"/>
          <w:u w:val="single"/>
        </w:rPr>
        <w:t xml:space="preserve">          （名称）        </w:t>
      </w:r>
    </w:p>
    <w:p>
      <w:pPr>
        <w:widowControl w:val="0"/>
        <w:spacing w:line="500" w:lineRule="exact"/>
        <w:jc w:val="center"/>
        <w:rPr>
          <w:rFonts w:ascii="新宋体" w:hAnsi="新宋体" w:eastAsia="新宋体" w:cs="宋体-18030"/>
          <w:sz w:val="24"/>
        </w:rPr>
      </w:pPr>
      <w:r>
        <w:rPr>
          <w:rFonts w:hint="eastAsia" w:ascii="新宋体" w:hAnsi="新宋体" w:eastAsia="新宋体" w:cs="宋体-18030"/>
          <w:sz w:val="24"/>
        </w:rPr>
        <w:t xml:space="preserve">                                                             （盖单位章）</w:t>
      </w: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供应商法定代表人（或授权代理人）：</w:t>
      </w:r>
      <w:r>
        <w:rPr>
          <w:rFonts w:hint="eastAsia" w:ascii="新宋体" w:hAnsi="新宋体" w:eastAsia="新宋体" w:cs="宋体-18030"/>
          <w:sz w:val="24"/>
          <w:u w:val="single"/>
        </w:rPr>
        <w:t xml:space="preserve">          （姓名）        </w:t>
      </w:r>
    </w:p>
    <w:p>
      <w:pPr>
        <w:widowControl w:val="0"/>
        <w:spacing w:line="500" w:lineRule="exact"/>
        <w:jc w:val="both"/>
        <w:rPr>
          <w:rFonts w:ascii="新宋体" w:hAnsi="新宋体" w:eastAsia="新宋体"/>
          <w:sz w:val="24"/>
        </w:rPr>
      </w:pPr>
      <w:r>
        <w:rPr>
          <w:rFonts w:hint="eastAsia" w:ascii="新宋体" w:hAnsi="新宋体" w:eastAsia="新宋体" w:cs="宋体-18030"/>
          <w:sz w:val="24"/>
        </w:rPr>
        <w:t xml:space="preserve">                                                                   （签名）</w:t>
      </w:r>
      <w:r>
        <w:rPr>
          <w:rFonts w:hint="eastAsia" w:ascii="新宋体" w:hAnsi="新宋体" w:eastAsia="新宋体"/>
          <w:sz w:val="24"/>
        </w:rPr>
        <w:t xml:space="preserve">          </w:t>
      </w:r>
    </w:p>
    <w:p>
      <w:pPr>
        <w:widowControl w:val="0"/>
        <w:spacing w:line="500" w:lineRule="exact"/>
        <w:ind w:firstLine="5040" w:firstLineChars="2100"/>
        <w:jc w:val="both"/>
        <w:rPr>
          <w:rFonts w:ascii="新宋体" w:hAnsi="新宋体" w:eastAsia="新宋体" w:cs="宋体"/>
          <w:b/>
          <w:bCs/>
          <w:sz w:val="24"/>
          <w:szCs w:val="21"/>
        </w:rPr>
      </w:pPr>
      <w:r>
        <w:rPr>
          <w:rFonts w:hint="eastAsia" w:ascii="新宋体" w:hAnsi="新宋体" w:eastAsia="新宋体"/>
          <w:sz w:val="24"/>
        </w:rPr>
        <w:t>日           期：</w:t>
      </w:r>
      <w:r>
        <w:rPr>
          <w:rFonts w:hint="eastAsia" w:ascii="新宋体" w:hAnsi="新宋体" w:eastAsia="新宋体"/>
          <w:sz w:val="24"/>
          <w:u w:val="single"/>
        </w:rPr>
        <w:t xml:space="preserve">                          </w:t>
      </w:r>
      <w:r>
        <w:rPr>
          <w:rFonts w:ascii="新宋体" w:hAnsi="新宋体" w:eastAsia="新宋体" w:cs="宋体"/>
          <w:b/>
          <w:bCs/>
          <w:sz w:val="24"/>
          <w:szCs w:val="21"/>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7"/>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六、响应方案</w:t>
      </w:r>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6"/>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7</w:t>
        </w:r>
        <w:r>
          <w:rPr>
            <w:sz w:val="20"/>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dit="readOnly"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NzBlMDYyY2M2OGI3YWNlMGFiOTg2YmJhYjNmMGUifQ=="/>
  </w:docVars>
  <w:rsids>
    <w:rsidRoot w:val="00124EA9"/>
    <w:rsid w:val="000021E0"/>
    <w:rsid w:val="00002637"/>
    <w:rsid w:val="00004047"/>
    <w:rsid w:val="00010F56"/>
    <w:rsid w:val="00024612"/>
    <w:rsid w:val="000341C8"/>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D3DCC"/>
    <w:rsid w:val="002D460A"/>
    <w:rsid w:val="002E1D5F"/>
    <w:rsid w:val="002E503D"/>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0EA3"/>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12AC"/>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1E7E"/>
    <w:rsid w:val="008B2D72"/>
    <w:rsid w:val="008C623B"/>
    <w:rsid w:val="008F6B51"/>
    <w:rsid w:val="00904EFD"/>
    <w:rsid w:val="0090589A"/>
    <w:rsid w:val="009315C2"/>
    <w:rsid w:val="00935E41"/>
    <w:rsid w:val="00935ED2"/>
    <w:rsid w:val="009413B0"/>
    <w:rsid w:val="00954F74"/>
    <w:rsid w:val="00955643"/>
    <w:rsid w:val="009573B9"/>
    <w:rsid w:val="00965E94"/>
    <w:rsid w:val="00983877"/>
    <w:rsid w:val="00983F1D"/>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2EC0"/>
    <w:rsid w:val="00DD63AD"/>
    <w:rsid w:val="00DD7197"/>
    <w:rsid w:val="00DF1764"/>
    <w:rsid w:val="00DF2B35"/>
    <w:rsid w:val="00E006FA"/>
    <w:rsid w:val="00E07092"/>
    <w:rsid w:val="00E10A95"/>
    <w:rsid w:val="00E25112"/>
    <w:rsid w:val="00E263FD"/>
    <w:rsid w:val="00E30201"/>
    <w:rsid w:val="00E44E6A"/>
    <w:rsid w:val="00E5145F"/>
    <w:rsid w:val="00E5459C"/>
    <w:rsid w:val="00E5461B"/>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543"/>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6110F4"/>
    <w:rsid w:val="019B53E2"/>
    <w:rsid w:val="01AC7279"/>
    <w:rsid w:val="01B372CB"/>
    <w:rsid w:val="021138F7"/>
    <w:rsid w:val="02190755"/>
    <w:rsid w:val="023043CB"/>
    <w:rsid w:val="02C82FD8"/>
    <w:rsid w:val="03D90B92"/>
    <w:rsid w:val="04427745"/>
    <w:rsid w:val="04A65DBC"/>
    <w:rsid w:val="04F73278"/>
    <w:rsid w:val="05C8377A"/>
    <w:rsid w:val="05CD3A4B"/>
    <w:rsid w:val="05EF1FFE"/>
    <w:rsid w:val="05EF42D9"/>
    <w:rsid w:val="067E2B27"/>
    <w:rsid w:val="06A27A94"/>
    <w:rsid w:val="06B55198"/>
    <w:rsid w:val="06FC0882"/>
    <w:rsid w:val="071C2DD7"/>
    <w:rsid w:val="08026E2C"/>
    <w:rsid w:val="08826D5B"/>
    <w:rsid w:val="08F024B8"/>
    <w:rsid w:val="08F17FDE"/>
    <w:rsid w:val="09262AB2"/>
    <w:rsid w:val="09343645"/>
    <w:rsid w:val="09B41187"/>
    <w:rsid w:val="09C53944"/>
    <w:rsid w:val="09C6304D"/>
    <w:rsid w:val="09E7100A"/>
    <w:rsid w:val="0AED2D32"/>
    <w:rsid w:val="0AF00027"/>
    <w:rsid w:val="0B0D605F"/>
    <w:rsid w:val="0B2E76B3"/>
    <w:rsid w:val="0B300652"/>
    <w:rsid w:val="0BA37CB5"/>
    <w:rsid w:val="0C223104"/>
    <w:rsid w:val="0C5E65EE"/>
    <w:rsid w:val="0C905B62"/>
    <w:rsid w:val="0C9413AC"/>
    <w:rsid w:val="0CC52B1D"/>
    <w:rsid w:val="0CCC561D"/>
    <w:rsid w:val="0CE02BCB"/>
    <w:rsid w:val="0D002EE5"/>
    <w:rsid w:val="0D414932"/>
    <w:rsid w:val="0D8B5F9E"/>
    <w:rsid w:val="0DB21D98"/>
    <w:rsid w:val="0DB759FC"/>
    <w:rsid w:val="0DF91E0E"/>
    <w:rsid w:val="0E3176F3"/>
    <w:rsid w:val="0E891CDE"/>
    <w:rsid w:val="0F250657"/>
    <w:rsid w:val="0F2C1D70"/>
    <w:rsid w:val="0F470918"/>
    <w:rsid w:val="0F5372FC"/>
    <w:rsid w:val="0F72584C"/>
    <w:rsid w:val="0FE216C6"/>
    <w:rsid w:val="10A157BC"/>
    <w:rsid w:val="10CB7D53"/>
    <w:rsid w:val="10D715D2"/>
    <w:rsid w:val="110C64BE"/>
    <w:rsid w:val="113B3D20"/>
    <w:rsid w:val="11603F53"/>
    <w:rsid w:val="116153B4"/>
    <w:rsid w:val="118A1C40"/>
    <w:rsid w:val="119E5E08"/>
    <w:rsid w:val="120174E4"/>
    <w:rsid w:val="1209283C"/>
    <w:rsid w:val="123F24AA"/>
    <w:rsid w:val="12AF2E1E"/>
    <w:rsid w:val="13024F2E"/>
    <w:rsid w:val="136C60D7"/>
    <w:rsid w:val="13D33102"/>
    <w:rsid w:val="145076DA"/>
    <w:rsid w:val="149C34F4"/>
    <w:rsid w:val="14B70C0B"/>
    <w:rsid w:val="150E3D50"/>
    <w:rsid w:val="15355BAF"/>
    <w:rsid w:val="158C3BDB"/>
    <w:rsid w:val="15952B11"/>
    <w:rsid w:val="16314BAD"/>
    <w:rsid w:val="1704667E"/>
    <w:rsid w:val="17100B20"/>
    <w:rsid w:val="17594306"/>
    <w:rsid w:val="17D539F2"/>
    <w:rsid w:val="17DD7BFF"/>
    <w:rsid w:val="188B7B07"/>
    <w:rsid w:val="18961368"/>
    <w:rsid w:val="18E4741C"/>
    <w:rsid w:val="19097045"/>
    <w:rsid w:val="192D5062"/>
    <w:rsid w:val="196A4431"/>
    <w:rsid w:val="19D11E91"/>
    <w:rsid w:val="1A104EBC"/>
    <w:rsid w:val="1A491A28"/>
    <w:rsid w:val="1ABA20D4"/>
    <w:rsid w:val="1C2276D5"/>
    <w:rsid w:val="1C3B6EE0"/>
    <w:rsid w:val="1C796955"/>
    <w:rsid w:val="1CB151AD"/>
    <w:rsid w:val="1D0936F0"/>
    <w:rsid w:val="1D2422D8"/>
    <w:rsid w:val="1D2B3667"/>
    <w:rsid w:val="1D5D05DC"/>
    <w:rsid w:val="1DAB68D7"/>
    <w:rsid w:val="1DB06D6D"/>
    <w:rsid w:val="1DBB01B3"/>
    <w:rsid w:val="1DC15D79"/>
    <w:rsid w:val="1DC7279C"/>
    <w:rsid w:val="1DEC3661"/>
    <w:rsid w:val="1E1F3B60"/>
    <w:rsid w:val="1E231977"/>
    <w:rsid w:val="1E5803E7"/>
    <w:rsid w:val="1E650058"/>
    <w:rsid w:val="1E901304"/>
    <w:rsid w:val="1F031D0C"/>
    <w:rsid w:val="1F2148F2"/>
    <w:rsid w:val="1F2E0BFF"/>
    <w:rsid w:val="1F5E681A"/>
    <w:rsid w:val="1F62545B"/>
    <w:rsid w:val="1F833B5F"/>
    <w:rsid w:val="1F9D58D9"/>
    <w:rsid w:val="1FB37BD1"/>
    <w:rsid w:val="1FBF76D7"/>
    <w:rsid w:val="20320A13"/>
    <w:rsid w:val="20505AC4"/>
    <w:rsid w:val="2063580D"/>
    <w:rsid w:val="208F03B0"/>
    <w:rsid w:val="210E5B18"/>
    <w:rsid w:val="211F1734"/>
    <w:rsid w:val="21211A72"/>
    <w:rsid w:val="212E078A"/>
    <w:rsid w:val="22CD0ADC"/>
    <w:rsid w:val="22E46A43"/>
    <w:rsid w:val="23144B9D"/>
    <w:rsid w:val="23292344"/>
    <w:rsid w:val="23331D17"/>
    <w:rsid w:val="23445482"/>
    <w:rsid w:val="235B5479"/>
    <w:rsid w:val="23713256"/>
    <w:rsid w:val="23B73EA6"/>
    <w:rsid w:val="23C9261C"/>
    <w:rsid w:val="23D7486A"/>
    <w:rsid w:val="23E80503"/>
    <w:rsid w:val="241C3B45"/>
    <w:rsid w:val="2423791C"/>
    <w:rsid w:val="242742BA"/>
    <w:rsid w:val="242B4894"/>
    <w:rsid w:val="243D276B"/>
    <w:rsid w:val="24C25045"/>
    <w:rsid w:val="24CF2408"/>
    <w:rsid w:val="24ED6496"/>
    <w:rsid w:val="25313DAC"/>
    <w:rsid w:val="25670F4C"/>
    <w:rsid w:val="264E6DB9"/>
    <w:rsid w:val="266A16A4"/>
    <w:rsid w:val="26A05072"/>
    <w:rsid w:val="26A050C5"/>
    <w:rsid w:val="27B73E41"/>
    <w:rsid w:val="2872440F"/>
    <w:rsid w:val="289856E6"/>
    <w:rsid w:val="28AF339E"/>
    <w:rsid w:val="28EE7628"/>
    <w:rsid w:val="2907571B"/>
    <w:rsid w:val="295E13D6"/>
    <w:rsid w:val="295F1BEE"/>
    <w:rsid w:val="29A94291"/>
    <w:rsid w:val="29FE7C6D"/>
    <w:rsid w:val="2A7757C9"/>
    <w:rsid w:val="2A810C26"/>
    <w:rsid w:val="2ABD7C6A"/>
    <w:rsid w:val="2AE509BC"/>
    <w:rsid w:val="2AEB642C"/>
    <w:rsid w:val="2BA222B6"/>
    <w:rsid w:val="2BAE4200"/>
    <w:rsid w:val="2BB311E2"/>
    <w:rsid w:val="2BD74C8B"/>
    <w:rsid w:val="2BF10955"/>
    <w:rsid w:val="2C5946EF"/>
    <w:rsid w:val="2C771289"/>
    <w:rsid w:val="2C9F197B"/>
    <w:rsid w:val="2CD62C3A"/>
    <w:rsid w:val="2CDD61E8"/>
    <w:rsid w:val="2D101F87"/>
    <w:rsid w:val="2D933C05"/>
    <w:rsid w:val="2E41641E"/>
    <w:rsid w:val="2E944985"/>
    <w:rsid w:val="2F0B483D"/>
    <w:rsid w:val="2F794705"/>
    <w:rsid w:val="2FB9638B"/>
    <w:rsid w:val="2FBF7A81"/>
    <w:rsid w:val="2FD26F55"/>
    <w:rsid w:val="2FEA115F"/>
    <w:rsid w:val="30096558"/>
    <w:rsid w:val="309F77D5"/>
    <w:rsid w:val="30AA2AA4"/>
    <w:rsid w:val="30CB702D"/>
    <w:rsid w:val="30DE2DAE"/>
    <w:rsid w:val="31564A68"/>
    <w:rsid w:val="317374AD"/>
    <w:rsid w:val="31B71515"/>
    <w:rsid w:val="31D75713"/>
    <w:rsid w:val="3247469D"/>
    <w:rsid w:val="32756EB2"/>
    <w:rsid w:val="328A0351"/>
    <w:rsid w:val="32947966"/>
    <w:rsid w:val="329D4C70"/>
    <w:rsid w:val="339248A7"/>
    <w:rsid w:val="33DC1707"/>
    <w:rsid w:val="347E184F"/>
    <w:rsid w:val="34874156"/>
    <w:rsid w:val="34DC45DC"/>
    <w:rsid w:val="35032B89"/>
    <w:rsid w:val="351E6AD6"/>
    <w:rsid w:val="35391886"/>
    <w:rsid w:val="353A4937"/>
    <w:rsid w:val="359B5468"/>
    <w:rsid w:val="35E068D3"/>
    <w:rsid w:val="36054F45"/>
    <w:rsid w:val="36237A11"/>
    <w:rsid w:val="369E5F5A"/>
    <w:rsid w:val="36BD4AD5"/>
    <w:rsid w:val="36D57A86"/>
    <w:rsid w:val="370C2303"/>
    <w:rsid w:val="37141A05"/>
    <w:rsid w:val="379B30ED"/>
    <w:rsid w:val="37DB2050"/>
    <w:rsid w:val="37E36BED"/>
    <w:rsid w:val="3806709E"/>
    <w:rsid w:val="38302D1E"/>
    <w:rsid w:val="3844766B"/>
    <w:rsid w:val="386A115C"/>
    <w:rsid w:val="38F117B0"/>
    <w:rsid w:val="39423DBA"/>
    <w:rsid w:val="395D7391"/>
    <w:rsid w:val="39C96499"/>
    <w:rsid w:val="39F51A7B"/>
    <w:rsid w:val="3A1D0739"/>
    <w:rsid w:val="3A361B71"/>
    <w:rsid w:val="3AF93B99"/>
    <w:rsid w:val="3B0C28D2"/>
    <w:rsid w:val="3B1D42F5"/>
    <w:rsid w:val="3B2B40CB"/>
    <w:rsid w:val="3B3A0951"/>
    <w:rsid w:val="3B786F8B"/>
    <w:rsid w:val="3B950B19"/>
    <w:rsid w:val="3BA174BE"/>
    <w:rsid w:val="3BD45629"/>
    <w:rsid w:val="3C2E7A0D"/>
    <w:rsid w:val="3C4576C6"/>
    <w:rsid w:val="3C56520F"/>
    <w:rsid w:val="3D461FBA"/>
    <w:rsid w:val="3D5B45EF"/>
    <w:rsid w:val="3E090511"/>
    <w:rsid w:val="3E8F1850"/>
    <w:rsid w:val="3EBF55E7"/>
    <w:rsid w:val="3F0013D8"/>
    <w:rsid w:val="3F747742"/>
    <w:rsid w:val="3FA24D3D"/>
    <w:rsid w:val="3FB93C81"/>
    <w:rsid w:val="3FE61943"/>
    <w:rsid w:val="40096B18"/>
    <w:rsid w:val="4037008C"/>
    <w:rsid w:val="407A02DD"/>
    <w:rsid w:val="40BE77DA"/>
    <w:rsid w:val="40F7682E"/>
    <w:rsid w:val="4110479E"/>
    <w:rsid w:val="41CE0EB7"/>
    <w:rsid w:val="41D45583"/>
    <w:rsid w:val="4202005B"/>
    <w:rsid w:val="422E6094"/>
    <w:rsid w:val="4273261E"/>
    <w:rsid w:val="42B9360E"/>
    <w:rsid w:val="43055142"/>
    <w:rsid w:val="43632443"/>
    <w:rsid w:val="43B07126"/>
    <w:rsid w:val="43BC1982"/>
    <w:rsid w:val="43C6273F"/>
    <w:rsid w:val="44D14A1F"/>
    <w:rsid w:val="4503099B"/>
    <w:rsid w:val="453D7EFA"/>
    <w:rsid w:val="45DE02F0"/>
    <w:rsid w:val="45E343D9"/>
    <w:rsid w:val="463D1554"/>
    <w:rsid w:val="46480423"/>
    <w:rsid w:val="469F0A9E"/>
    <w:rsid w:val="46AE2D24"/>
    <w:rsid w:val="46C44BD5"/>
    <w:rsid w:val="46FD0ED7"/>
    <w:rsid w:val="473A1C92"/>
    <w:rsid w:val="47592E4A"/>
    <w:rsid w:val="4773581B"/>
    <w:rsid w:val="47D44A52"/>
    <w:rsid w:val="48133EF7"/>
    <w:rsid w:val="49061DFF"/>
    <w:rsid w:val="492D450B"/>
    <w:rsid w:val="49E352A4"/>
    <w:rsid w:val="4A625DAC"/>
    <w:rsid w:val="4AA95536"/>
    <w:rsid w:val="4AF56EDE"/>
    <w:rsid w:val="4B9F509C"/>
    <w:rsid w:val="4BA044F9"/>
    <w:rsid w:val="4BB73BE9"/>
    <w:rsid w:val="4BEB2031"/>
    <w:rsid w:val="4C0E711F"/>
    <w:rsid w:val="4C2C5768"/>
    <w:rsid w:val="4C6A51CA"/>
    <w:rsid w:val="4C7327B1"/>
    <w:rsid w:val="4C8D7FB6"/>
    <w:rsid w:val="4CFB75B5"/>
    <w:rsid w:val="4D106AD6"/>
    <w:rsid w:val="4D7D047C"/>
    <w:rsid w:val="4E5F0909"/>
    <w:rsid w:val="4E6200BB"/>
    <w:rsid w:val="4EC8736A"/>
    <w:rsid w:val="4EF83441"/>
    <w:rsid w:val="4F7855EA"/>
    <w:rsid w:val="4F940716"/>
    <w:rsid w:val="4F9C77F0"/>
    <w:rsid w:val="4FF45606"/>
    <w:rsid w:val="50025BF9"/>
    <w:rsid w:val="50203001"/>
    <w:rsid w:val="50613214"/>
    <w:rsid w:val="511F2F07"/>
    <w:rsid w:val="520004CA"/>
    <w:rsid w:val="526D7CA2"/>
    <w:rsid w:val="532627CA"/>
    <w:rsid w:val="532F2F36"/>
    <w:rsid w:val="53D2506A"/>
    <w:rsid w:val="5415414D"/>
    <w:rsid w:val="5422279F"/>
    <w:rsid w:val="54C32B11"/>
    <w:rsid w:val="54DC56F8"/>
    <w:rsid w:val="55A35789"/>
    <w:rsid w:val="562C577E"/>
    <w:rsid w:val="56367C5B"/>
    <w:rsid w:val="56677807"/>
    <w:rsid w:val="56702A03"/>
    <w:rsid w:val="56820D5B"/>
    <w:rsid w:val="56BF0FCF"/>
    <w:rsid w:val="56CA17BA"/>
    <w:rsid w:val="57096D7C"/>
    <w:rsid w:val="574E78C6"/>
    <w:rsid w:val="574F5BC8"/>
    <w:rsid w:val="57526CA3"/>
    <w:rsid w:val="57547BA2"/>
    <w:rsid w:val="579B0911"/>
    <w:rsid w:val="579E08FE"/>
    <w:rsid w:val="57B40121"/>
    <w:rsid w:val="58054589"/>
    <w:rsid w:val="58134E48"/>
    <w:rsid w:val="58726012"/>
    <w:rsid w:val="58B91018"/>
    <w:rsid w:val="58D06D06"/>
    <w:rsid w:val="590429E2"/>
    <w:rsid w:val="59D5260B"/>
    <w:rsid w:val="59F510C8"/>
    <w:rsid w:val="5A190D99"/>
    <w:rsid w:val="5A465B9D"/>
    <w:rsid w:val="5A631C3C"/>
    <w:rsid w:val="5AAE2ACB"/>
    <w:rsid w:val="5AF71073"/>
    <w:rsid w:val="5B353327"/>
    <w:rsid w:val="5B6270CB"/>
    <w:rsid w:val="5BAD0267"/>
    <w:rsid w:val="5BB24FC7"/>
    <w:rsid w:val="5BB40429"/>
    <w:rsid w:val="5C245875"/>
    <w:rsid w:val="5D1E4A62"/>
    <w:rsid w:val="5D5A5542"/>
    <w:rsid w:val="5DBD75BE"/>
    <w:rsid w:val="5DDB3A67"/>
    <w:rsid w:val="5E007081"/>
    <w:rsid w:val="5E0168D8"/>
    <w:rsid w:val="5E2979F3"/>
    <w:rsid w:val="5E646A2E"/>
    <w:rsid w:val="5E975EED"/>
    <w:rsid w:val="5EFD0600"/>
    <w:rsid w:val="5F1F7C37"/>
    <w:rsid w:val="5F5A7169"/>
    <w:rsid w:val="5FA558FD"/>
    <w:rsid w:val="5FC52CF8"/>
    <w:rsid w:val="5FC5301A"/>
    <w:rsid w:val="5FC5541A"/>
    <w:rsid w:val="603C7D37"/>
    <w:rsid w:val="60C05441"/>
    <w:rsid w:val="60E14966"/>
    <w:rsid w:val="60FF494F"/>
    <w:rsid w:val="612018B0"/>
    <w:rsid w:val="612B6C21"/>
    <w:rsid w:val="618741B1"/>
    <w:rsid w:val="62013F63"/>
    <w:rsid w:val="622A196A"/>
    <w:rsid w:val="62525166"/>
    <w:rsid w:val="63310F09"/>
    <w:rsid w:val="634B193A"/>
    <w:rsid w:val="6367429A"/>
    <w:rsid w:val="63A421DF"/>
    <w:rsid w:val="63B84F56"/>
    <w:rsid w:val="63ED139D"/>
    <w:rsid w:val="64515AE1"/>
    <w:rsid w:val="64557A48"/>
    <w:rsid w:val="64824840"/>
    <w:rsid w:val="65571836"/>
    <w:rsid w:val="65A373BB"/>
    <w:rsid w:val="65E54EB0"/>
    <w:rsid w:val="663E10C6"/>
    <w:rsid w:val="664A1D65"/>
    <w:rsid w:val="664D59C9"/>
    <w:rsid w:val="666552E6"/>
    <w:rsid w:val="668B7395"/>
    <w:rsid w:val="66A80014"/>
    <w:rsid w:val="66EA796E"/>
    <w:rsid w:val="677406C7"/>
    <w:rsid w:val="677A2413"/>
    <w:rsid w:val="679C0569"/>
    <w:rsid w:val="67B945ED"/>
    <w:rsid w:val="67BA708E"/>
    <w:rsid w:val="67CD5453"/>
    <w:rsid w:val="67DB2C51"/>
    <w:rsid w:val="67E244F8"/>
    <w:rsid w:val="68012F0F"/>
    <w:rsid w:val="68562B5B"/>
    <w:rsid w:val="686B311E"/>
    <w:rsid w:val="689E250C"/>
    <w:rsid w:val="69934DBD"/>
    <w:rsid w:val="69E77EB0"/>
    <w:rsid w:val="6AAA1AFA"/>
    <w:rsid w:val="6AD00976"/>
    <w:rsid w:val="6B2F5A5F"/>
    <w:rsid w:val="6B3F724F"/>
    <w:rsid w:val="6B533C17"/>
    <w:rsid w:val="6B7C0E15"/>
    <w:rsid w:val="6B855C05"/>
    <w:rsid w:val="6C046B2A"/>
    <w:rsid w:val="6C5C2368"/>
    <w:rsid w:val="6C9974B0"/>
    <w:rsid w:val="6CC12C6C"/>
    <w:rsid w:val="6D06067F"/>
    <w:rsid w:val="6D396CA7"/>
    <w:rsid w:val="6D3A5127"/>
    <w:rsid w:val="6E0F5663"/>
    <w:rsid w:val="6EBD7FFE"/>
    <w:rsid w:val="6EBF1B48"/>
    <w:rsid w:val="6EC13E25"/>
    <w:rsid w:val="6EC1476E"/>
    <w:rsid w:val="6ED554AF"/>
    <w:rsid w:val="6F321C00"/>
    <w:rsid w:val="6FD45398"/>
    <w:rsid w:val="702E686B"/>
    <w:rsid w:val="70932120"/>
    <w:rsid w:val="70CD5F26"/>
    <w:rsid w:val="715C2F1C"/>
    <w:rsid w:val="71A30B93"/>
    <w:rsid w:val="71C31377"/>
    <w:rsid w:val="71E74047"/>
    <w:rsid w:val="71FB452B"/>
    <w:rsid w:val="71FC02A3"/>
    <w:rsid w:val="7205398F"/>
    <w:rsid w:val="72623B06"/>
    <w:rsid w:val="72AE792D"/>
    <w:rsid w:val="72CD33C4"/>
    <w:rsid w:val="733E54EC"/>
    <w:rsid w:val="736C43E3"/>
    <w:rsid w:val="73AA3571"/>
    <w:rsid w:val="73BC5AD9"/>
    <w:rsid w:val="73D85E91"/>
    <w:rsid w:val="73E53D74"/>
    <w:rsid w:val="74033B6B"/>
    <w:rsid w:val="742F0E63"/>
    <w:rsid w:val="7453751A"/>
    <w:rsid w:val="746453A7"/>
    <w:rsid w:val="74C0380A"/>
    <w:rsid w:val="74D55507"/>
    <w:rsid w:val="74E20726"/>
    <w:rsid w:val="75DF4873"/>
    <w:rsid w:val="76013066"/>
    <w:rsid w:val="76013836"/>
    <w:rsid w:val="764D1C01"/>
    <w:rsid w:val="76813BAB"/>
    <w:rsid w:val="76EE0B02"/>
    <w:rsid w:val="77400CB2"/>
    <w:rsid w:val="77401EC1"/>
    <w:rsid w:val="77455630"/>
    <w:rsid w:val="77686F5C"/>
    <w:rsid w:val="77A40E96"/>
    <w:rsid w:val="77D870BC"/>
    <w:rsid w:val="78803BC5"/>
    <w:rsid w:val="78CA23D8"/>
    <w:rsid w:val="78DC2BF2"/>
    <w:rsid w:val="793B59A2"/>
    <w:rsid w:val="7A0C4A94"/>
    <w:rsid w:val="7AB61937"/>
    <w:rsid w:val="7B99300E"/>
    <w:rsid w:val="7BCF57C7"/>
    <w:rsid w:val="7BE401C5"/>
    <w:rsid w:val="7BF3506E"/>
    <w:rsid w:val="7C336426"/>
    <w:rsid w:val="7C6155D7"/>
    <w:rsid w:val="7D046393"/>
    <w:rsid w:val="7DB1356C"/>
    <w:rsid w:val="7E146EA1"/>
    <w:rsid w:val="7E5A0480"/>
    <w:rsid w:val="7E650B1F"/>
    <w:rsid w:val="7F190573"/>
    <w:rsid w:val="7F384243"/>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7">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56"/>
    <w:qFormat/>
    <w:uiPriority w:val="0"/>
    <w:pPr>
      <w:spacing w:before="100" w:beforeAutospacing="1" w:after="100" w:afterAutospacing="1"/>
      <w:outlineLvl w:val="1"/>
    </w:pPr>
    <w:rPr>
      <w:rFonts w:ascii="宋体" w:hAnsi="宋体"/>
      <w:b/>
      <w:bCs/>
      <w:kern w:val="0"/>
      <w:sz w:val="36"/>
      <w:szCs w:val="36"/>
    </w:rPr>
  </w:style>
  <w:style w:type="paragraph" w:styleId="9">
    <w:name w:val="heading 3"/>
    <w:basedOn w:val="1"/>
    <w:next w:val="1"/>
    <w:qFormat/>
    <w:uiPriority w:val="0"/>
    <w:pPr>
      <w:keepNext/>
      <w:keepLines/>
      <w:spacing w:before="260" w:after="260" w:line="415" w:lineRule="auto"/>
      <w:outlineLvl w:val="2"/>
    </w:pPr>
    <w:rPr>
      <w:sz w:val="32"/>
      <w:szCs w:val="32"/>
    </w:rPr>
  </w:style>
  <w:style w:type="paragraph" w:styleId="10">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1">
    <w:name w:val="heading 5"/>
    <w:basedOn w:val="1"/>
    <w:next w:val="1"/>
    <w:qFormat/>
    <w:uiPriority w:val="0"/>
    <w:pPr>
      <w:keepNext/>
      <w:keepLines/>
      <w:spacing w:before="280" w:after="290" w:line="376" w:lineRule="auto"/>
      <w:outlineLvl w:val="4"/>
    </w:pPr>
    <w:rPr>
      <w:b/>
      <w:bCs/>
      <w:sz w:val="28"/>
      <w:szCs w:val="28"/>
    </w:rPr>
  </w:style>
  <w:style w:type="paragraph" w:styleId="12">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textAlignment w:val="baseline"/>
    </w:pPr>
    <w:rPr>
      <w:rFonts w:ascii="宋体"/>
      <w:sz w:val="34"/>
    </w:rPr>
  </w:style>
  <w:style w:type="paragraph" w:styleId="3">
    <w:name w:val="Body Text"/>
    <w:basedOn w:val="1"/>
    <w:next w:val="4"/>
    <w:link w:val="188"/>
    <w:semiHidden/>
    <w:unhideWhenUsed/>
    <w:qFormat/>
    <w:uiPriority w:val="99"/>
    <w:pPr>
      <w:spacing w:after="120"/>
    </w:pPr>
  </w:style>
  <w:style w:type="paragraph" w:customStyle="1" w:styleId="4">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next w:val="6"/>
    <w:link w:val="153"/>
    <w:qFormat/>
    <w:uiPriority w:val="99"/>
    <w:pPr>
      <w:snapToGrid w:val="0"/>
    </w:pPr>
    <w:rPr>
      <w:rFonts w:asciiTheme="minorHAnsi" w:hAnsiTheme="minorHAnsi" w:eastAsiaTheme="minorEastAsia" w:cstheme="minorBidi"/>
      <w:sz w:val="18"/>
      <w:szCs w:val="18"/>
    </w:rPr>
  </w:style>
  <w:style w:type="paragraph" w:styleId="6">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13">
    <w:name w:val="index 8"/>
    <w:basedOn w:val="1"/>
    <w:next w:val="1"/>
    <w:qFormat/>
    <w:uiPriority w:val="0"/>
    <w:pPr>
      <w:ind w:left="1680" w:hanging="210"/>
    </w:pPr>
    <w:rPr>
      <w:rFonts w:ascii="Calibri" w:hAnsi="Calibri"/>
      <w:sz w:val="20"/>
      <w:szCs w:val="20"/>
    </w:rPr>
  </w:style>
  <w:style w:type="paragraph" w:styleId="14">
    <w:name w:val="Normal Indent"/>
    <w:basedOn w:val="1"/>
    <w:qFormat/>
    <w:uiPriority w:val="0"/>
    <w:pPr>
      <w:widowControl w:val="0"/>
      <w:snapToGrid w:val="0"/>
      <w:spacing w:line="520" w:lineRule="atLeast"/>
      <w:ind w:firstLine="420" w:firstLineChars="200"/>
      <w:jc w:val="both"/>
    </w:pPr>
    <w:rPr>
      <w:sz w:val="2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pPr>
    <w:rPr>
      <w:rFonts w:ascii="Calibri" w:hAnsi="Calibri"/>
      <w:sz w:val="20"/>
      <w:szCs w:val="20"/>
    </w:rPr>
  </w:style>
  <w:style w:type="paragraph" w:styleId="17">
    <w:name w:val="Document Map"/>
    <w:basedOn w:val="1"/>
    <w:link w:val="175"/>
    <w:semiHidden/>
    <w:qFormat/>
    <w:uiPriority w:val="0"/>
    <w:pPr>
      <w:shd w:val="clear" w:color="auto" w:fill="000080"/>
    </w:pPr>
    <w:rPr>
      <w:rFonts w:asciiTheme="minorHAnsi" w:hAnsiTheme="minorHAnsi" w:eastAsiaTheme="minorEastAsia" w:cstheme="minorBidi"/>
    </w:rPr>
  </w:style>
  <w:style w:type="paragraph" w:styleId="18">
    <w:name w:val="annotation text"/>
    <w:basedOn w:val="1"/>
    <w:link w:val="172"/>
    <w:semiHidden/>
    <w:qFormat/>
    <w:uiPriority w:val="0"/>
    <w:rPr>
      <w:rFonts w:asciiTheme="minorHAnsi" w:hAnsiTheme="minorHAnsi" w:eastAsiaTheme="minorEastAsia" w:cstheme="minorBidi"/>
    </w:rPr>
  </w:style>
  <w:style w:type="paragraph" w:styleId="19">
    <w:name w:val="index 6"/>
    <w:basedOn w:val="1"/>
    <w:next w:val="1"/>
    <w:qFormat/>
    <w:uiPriority w:val="0"/>
    <w:pPr>
      <w:ind w:left="1260" w:hanging="210"/>
    </w:pPr>
    <w:rPr>
      <w:rFonts w:ascii="Calibri" w:hAnsi="Calibri"/>
      <w:sz w:val="20"/>
      <w:szCs w:val="20"/>
    </w:rPr>
  </w:style>
  <w:style w:type="paragraph" w:styleId="20">
    <w:name w:val="Body Text 3"/>
    <w:basedOn w:val="1"/>
    <w:link w:val="183"/>
    <w:semiHidden/>
    <w:unhideWhenUsed/>
    <w:qFormat/>
    <w:uiPriority w:val="99"/>
    <w:pPr>
      <w:spacing w:after="120"/>
    </w:pPr>
    <w:rPr>
      <w:sz w:val="16"/>
      <w:szCs w:val="16"/>
    </w:rPr>
  </w:style>
  <w:style w:type="paragraph" w:styleId="21">
    <w:name w:val="Body Text Indent"/>
    <w:basedOn w:val="1"/>
    <w:next w:val="22"/>
    <w:unhideWhenUsed/>
    <w:qFormat/>
    <w:uiPriority w:val="99"/>
    <w:pPr>
      <w:spacing w:after="120"/>
      <w:ind w:left="420" w:leftChars="200"/>
    </w:pPr>
  </w:style>
  <w:style w:type="paragraph" w:styleId="22">
    <w:name w:val="Body Text Indent 2"/>
    <w:basedOn w:val="1"/>
    <w:next w:val="5"/>
    <w:link w:val="164"/>
    <w:qFormat/>
    <w:uiPriority w:val="99"/>
    <w:pPr>
      <w:spacing w:after="120" w:line="480" w:lineRule="auto"/>
      <w:ind w:left="420" w:leftChars="200"/>
    </w:pPr>
    <w:rPr>
      <w:rFonts w:asciiTheme="minorHAnsi" w:hAnsiTheme="minorHAnsi" w:eastAsiaTheme="minorEastAsia" w:cstheme="minorBidi"/>
    </w:rPr>
  </w:style>
  <w:style w:type="paragraph" w:styleId="23">
    <w:name w:val="index 4"/>
    <w:basedOn w:val="1"/>
    <w:next w:val="1"/>
    <w:qFormat/>
    <w:uiPriority w:val="0"/>
    <w:pPr>
      <w:ind w:left="840" w:hanging="210"/>
    </w:pPr>
    <w:rPr>
      <w:rFonts w:ascii="Calibri" w:hAnsi="Calibri"/>
      <w:sz w:val="20"/>
      <w:szCs w:val="20"/>
    </w:rPr>
  </w:style>
  <w:style w:type="paragraph" w:styleId="24">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5">
    <w:name w:val="index 3"/>
    <w:basedOn w:val="1"/>
    <w:next w:val="1"/>
    <w:qFormat/>
    <w:uiPriority w:val="0"/>
    <w:pPr>
      <w:ind w:left="630" w:hanging="210"/>
    </w:pPr>
    <w:rPr>
      <w:rFonts w:ascii="Calibri" w:hAnsi="Calibri"/>
      <w:sz w:val="20"/>
      <w:szCs w:val="20"/>
    </w:rPr>
  </w:style>
  <w:style w:type="paragraph" w:styleId="26">
    <w:name w:val="Date"/>
    <w:basedOn w:val="1"/>
    <w:next w:val="1"/>
    <w:link w:val="174"/>
    <w:qFormat/>
    <w:uiPriority w:val="99"/>
    <w:pPr>
      <w:ind w:left="100" w:leftChars="2500"/>
    </w:pPr>
    <w:rPr>
      <w:rFonts w:asciiTheme="minorHAnsi" w:hAnsiTheme="minorHAnsi" w:eastAsiaTheme="minorEastAsia" w:cstheme="minorBidi"/>
    </w:rPr>
  </w:style>
  <w:style w:type="paragraph" w:styleId="27">
    <w:name w:val="endnote text"/>
    <w:basedOn w:val="1"/>
    <w:link w:val="181"/>
    <w:semiHidden/>
    <w:qFormat/>
    <w:uiPriority w:val="0"/>
    <w:pPr>
      <w:snapToGrid w:val="0"/>
    </w:pPr>
    <w:rPr>
      <w:rFonts w:asciiTheme="minorHAnsi" w:hAnsiTheme="minorHAnsi" w:eastAsiaTheme="minorEastAsia" w:cstheme="minorBidi"/>
    </w:rPr>
  </w:style>
  <w:style w:type="paragraph" w:styleId="28">
    <w:name w:val="Balloon Text"/>
    <w:basedOn w:val="1"/>
    <w:link w:val="150"/>
    <w:qFormat/>
    <w:uiPriority w:val="99"/>
    <w:rPr>
      <w:rFonts w:asciiTheme="minorHAnsi" w:hAnsiTheme="minorHAnsi" w:eastAsiaTheme="minorEastAsia" w:cstheme="minorBidi"/>
      <w:sz w:val="18"/>
      <w:szCs w:val="18"/>
    </w:rPr>
  </w:style>
  <w:style w:type="paragraph" w:styleId="29">
    <w:name w:val="toc 1"/>
    <w:basedOn w:val="1"/>
    <w:next w:val="1"/>
    <w:semiHidden/>
    <w:qFormat/>
    <w:uiPriority w:val="0"/>
    <w:pPr>
      <w:tabs>
        <w:tab w:val="right" w:leader="dot" w:pos="9242"/>
      </w:tabs>
      <w:spacing w:beforeLines="25" w:afterLines="25"/>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1"/>
    <w:unhideWhenUsed/>
    <w:qFormat/>
    <w:uiPriority w:val="0"/>
  </w:style>
  <w:style w:type="paragraph" w:styleId="32">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3">
    <w:name w:val="index 7"/>
    <w:basedOn w:val="1"/>
    <w:next w:val="1"/>
    <w:qFormat/>
    <w:uiPriority w:val="0"/>
    <w:pPr>
      <w:ind w:left="1470" w:hanging="210"/>
    </w:pPr>
    <w:rPr>
      <w:rFonts w:ascii="Calibri" w:hAnsi="Calibri"/>
      <w:sz w:val="20"/>
      <w:szCs w:val="20"/>
    </w:rPr>
  </w:style>
  <w:style w:type="paragraph" w:styleId="34">
    <w:name w:val="index 9"/>
    <w:basedOn w:val="1"/>
    <w:next w:val="1"/>
    <w:qFormat/>
    <w:uiPriority w:val="0"/>
    <w:pPr>
      <w:ind w:left="1890" w:hanging="210"/>
    </w:pPr>
    <w:rPr>
      <w:rFonts w:ascii="Calibri" w:hAnsi="Calibri"/>
      <w:sz w:val="20"/>
      <w:szCs w:val="20"/>
    </w:rPr>
  </w:style>
  <w:style w:type="paragraph" w:styleId="35">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6">
    <w:name w:val="Body Text 2"/>
    <w:basedOn w:val="1"/>
    <w:qFormat/>
    <w:uiPriority w:val="0"/>
    <w:rPr>
      <w:bCs/>
      <w:kern w:val="0"/>
      <w:sz w:val="28"/>
      <w:szCs w:val="20"/>
    </w:rPr>
  </w:style>
  <w:style w:type="paragraph" w:styleId="37">
    <w:name w:val="HTML Preformatted"/>
    <w:basedOn w:val="1"/>
    <w:link w:val="158"/>
    <w:qFormat/>
    <w:uiPriority w:val="0"/>
    <w:rPr>
      <w:rFonts w:ascii="Courier New" w:hAnsi="Courier New" w:cs="Courier New" w:eastAsiaTheme="minorEastAsia"/>
      <w:szCs w:val="22"/>
    </w:rPr>
  </w:style>
  <w:style w:type="paragraph" w:styleId="38">
    <w:name w:val="Normal (Web)"/>
    <w:basedOn w:val="1"/>
    <w:unhideWhenUsed/>
    <w:qFormat/>
    <w:uiPriority w:val="99"/>
    <w:pPr>
      <w:spacing w:before="100" w:beforeAutospacing="1" w:after="100" w:afterAutospacing="1"/>
    </w:pPr>
    <w:rPr>
      <w:rFonts w:ascii="宋体" w:hAnsi="宋体" w:cs="宋体"/>
      <w:kern w:val="0"/>
      <w:sz w:val="24"/>
    </w:rPr>
  </w:style>
  <w:style w:type="paragraph" w:styleId="39">
    <w:name w:val="index 2"/>
    <w:basedOn w:val="1"/>
    <w:next w:val="1"/>
    <w:qFormat/>
    <w:uiPriority w:val="0"/>
    <w:pPr>
      <w:ind w:left="420" w:hanging="210"/>
    </w:pPr>
    <w:rPr>
      <w:rFonts w:ascii="Calibri" w:hAnsi="Calibri"/>
      <w:sz w:val="20"/>
      <w:szCs w:val="20"/>
    </w:rPr>
  </w:style>
  <w:style w:type="paragraph" w:styleId="40">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180"/>
    <w:semiHidden/>
    <w:qFormat/>
    <w:uiPriority w:val="0"/>
    <w:rPr>
      <w:b/>
      <w:bCs/>
    </w:rPr>
  </w:style>
  <w:style w:type="paragraph" w:styleId="42">
    <w:name w:val="Body Text First Indent 2"/>
    <w:basedOn w:val="21"/>
    <w:next w:val="14"/>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paragraph" w:customStyle="1" w:styleId="5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5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5">
    <w:name w:val="标题 1 Char"/>
    <w:basedOn w:val="45"/>
    <w:link w:val="7"/>
    <w:qFormat/>
    <w:uiPriority w:val="0"/>
    <w:rPr>
      <w:rFonts w:ascii="Times New Roman" w:hAnsi="Times New Roman" w:eastAsia="宋体" w:cs="Times New Roman"/>
      <w:b/>
      <w:bCs/>
      <w:kern w:val="44"/>
      <w:sz w:val="44"/>
      <w:szCs w:val="44"/>
    </w:rPr>
  </w:style>
  <w:style w:type="character" w:customStyle="1" w:styleId="56">
    <w:name w:val="标题 2 Char"/>
    <w:basedOn w:val="45"/>
    <w:link w:val="8"/>
    <w:qFormat/>
    <w:uiPriority w:val="0"/>
    <w:rPr>
      <w:rFonts w:ascii="宋体" w:hAnsi="宋体" w:eastAsia="宋体" w:cs="Times New Roman"/>
      <w:b/>
      <w:bCs/>
      <w:kern w:val="0"/>
      <w:sz w:val="36"/>
      <w:szCs w:val="36"/>
    </w:rPr>
  </w:style>
  <w:style w:type="character" w:customStyle="1" w:styleId="57">
    <w:name w:val="批注文字 Char"/>
    <w:semiHidden/>
    <w:qFormat/>
    <w:uiPriority w:val="0"/>
    <w:rPr>
      <w:szCs w:val="24"/>
    </w:rPr>
  </w:style>
  <w:style w:type="character" w:customStyle="1" w:styleId="58">
    <w:name w:val="批注主题 Char"/>
    <w:semiHidden/>
    <w:qFormat/>
    <w:uiPriority w:val="0"/>
    <w:rPr>
      <w:b/>
      <w:bCs/>
      <w:szCs w:val="24"/>
    </w:rPr>
  </w:style>
  <w:style w:type="character" w:customStyle="1" w:styleId="59">
    <w:name w:val="文档结构图 Char"/>
    <w:semiHidden/>
    <w:qFormat/>
    <w:uiPriority w:val="0"/>
    <w:rPr>
      <w:szCs w:val="24"/>
      <w:shd w:val="clear" w:color="auto" w:fill="000080"/>
    </w:rPr>
  </w:style>
  <w:style w:type="character" w:customStyle="1" w:styleId="60">
    <w:name w:val="脚注文本 Char"/>
    <w:qFormat/>
    <w:uiPriority w:val="0"/>
    <w:rPr>
      <w:rFonts w:ascii="宋体"/>
      <w:sz w:val="18"/>
      <w:szCs w:val="18"/>
    </w:rPr>
  </w:style>
  <w:style w:type="character" w:customStyle="1" w:styleId="61">
    <w:name w:val="con"/>
    <w:qFormat/>
    <w:uiPriority w:val="0"/>
  </w:style>
  <w:style w:type="character" w:customStyle="1" w:styleId="62">
    <w:name w:val="bar-label2"/>
    <w:qFormat/>
    <w:uiPriority w:val="99"/>
  </w:style>
  <w:style w:type="character" w:customStyle="1" w:styleId="63">
    <w:name w:val="正文文本缩进 2 Char"/>
    <w:qFormat/>
    <w:uiPriority w:val="99"/>
    <w:rPr>
      <w:szCs w:val="24"/>
    </w:rPr>
  </w:style>
  <w:style w:type="character" w:customStyle="1" w:styleId="64">
    <w:name w:val="日期 Char"/>
    <w:qFormat/>
    <w:uiPriority w:val="99"/>
    <w:rPr>
      <w:szCs w:val="24"/>
    </w:rPr>
  </w:style>
  <w:style w:type="character" w:customStyle="1" w:styleId="65">
    <w:name w:val="页脚 Char"/>
    <w:qFormat/>
    <w:locked/>
    <w:uiPriority w:val="99"/>
    <w:rPr>
      <w:sz w:val="18"/>
      <w:szCs w:val="18"/>
    </w:rPr>
  </w:style>
  <w:style w:type="character" w:customStyle="1" w:styleId="66">
    <w:name w:val="apple-converted-space"/>
    <w:basedOn w:val="45"/>
    <w:qFormat/>
    <w:uiPriority w:val="0"/>
  </w:style>
  <w:style w:type="character" w:customStyle="1" w:styleId="67">
    <w:name w:val="批注框文本 Char"/>
    <w:qFormat/>
    <w:uiPriority w:val="99"/>
    <w:rPr>
      <w:sz w:val="18"/>
      <w:szCs w:val="18"/>
    </w:rPr>
  </w:style>
  <w:style w:type="character" w:customStyle="1" w:styleId="68">
    <w:name w:val="页眉 Char"/>
    <w:qFormat/>
    <w:locked/>
    <w:uiPriority w:val="99"/>
    <w:rPr>
      <w:sz w:val="18"/>
      <w:szCs w:val="18"/>
    </w:rPr>
  </w:style>
  <w:style w:type="character" w:customStyle="1" w:styleId="69">
    <w:name w:val="首示例 Char"/>
    <w:link w:val="70"/>
    <w:qFormat/>
    <w:uiPriority w:val="0"/>
    <w:rPr>
      <w:rFonts w:ascii="宋体" w:hAnsi="宋体"/>
      <w:sz w:val="18"/>
      <w:szCs w:val="18"/>
    </w:rPr>
  </w:style>
  <w:style w:type="paragraph" w:customStyle="1" w:styleId="70">
    <w:name w:val="首示例"/>
    <w:next w:val="71"/>
    <w:link w:val="69"/>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1">
    <w:name w:val="段"/>
    <w:link w:val="72"/>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2">
    <w:name w:val="段 Char"/>
    <w:link w:val="71"/>
    <w:qFormat/>
    <w:uiPriority w:val="0"/>
    <w:rPr>
      <w:rFonts w:ascii="宋体"/>
    </w:rPr>
  </w:style>
  <w:style w:type="character" w:customStyle="1" w:styleId="73">
    <w:name w:val="附录公式 Char"/>
    <w:basedOn w:val="72"/>
    <w:link w:val="74"/>
    <w:qFormat/>
    <w:uiPriority w:val="0"/>
    <w:rPr>
      <w:rFonts w:ascii="宋体"/>
    </w:rPr>
  </w:style>
  <w:style w:type="paragraph" w:customStyle="1" w:styleId="74">
    <w:name w:val="附录公式"/>
    <w:basedOn w:val="71"/>
    <w:next w:val="71"/>
    <w:link w:val="73"/>
    <w:qFormat/>
    <w:uiPriority w:val="0"/>
  </w:style>
  <w:style w:type="character" w:customStyle="1" w:styleId="75">
    <w:name w:val="发布"/>
    <w:qFormat/>
    <w:uiPriority w:val="0"/>
    <w:rPr>
      <w:rFonts w:ascii="黑体" w:eastAsia="黑体"/>
      <w:spacing w:val="85"/>
      <w:w w:val="100"/>
      <w:position w:val="3"/>
      <w:sz w:val="28"/>
      <w:szCs w:val="28"/>
    </w:rPr>
  </w:style>
  <w:style w:type="character" w:customStyle="1" w:styleId="76">
    <w:name w:val="一级条标题 Char"/>
    <w:link w:val="77"/>
    <w:qFormat/>
    <w:uiPriority w:val="0"/>
    <w:rPr>
      <w:rFonts w:ascii="黑体" w:eastAsia="黑体"/>
      <w:szCs w:val="21"/>
    </w:rPr>
  </w:style>
  <w:style w:type="paragraph" w:customStyle="1" w:styleId="77">
    <w:name w:val="一级条标题"/>
    <w:next w:val="71"/>
    <w:link w:val="76"/>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8">
    <w:name w:val="HTML 预设格式 Char"/>
    <w:qFormat/>
    <w:uiPriority w:val="0"/>
    <w:rPr>
      <w:rFonts w:ascii="Courier New" w:hAnsi="Courier New" w:cs="Courier New"/>
    </w:rPr>
  </w:style>
  <w:style w:type="character" w:customStyle="1" w:styleId="79">
    <w:name w:val="尾注文本 Char"/>
    <w:semiHidden/>
    <w:qFormat/>
    <w:uiPriority w:val="0"/>
    <w:rPr>
      <w:szCs w:val="24"/>
    </w:rPr>
  </w:style>
  <w:style w:type="paragraph" w:customStyle="1" w:styleId="80">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1">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2">
    <w:name w:val="List Paragraph"/>
    <w:basedOn w:val="1"/>
    <w:qFormat/>
    <w:uiPriority w:val="34"/>
    <w:pPr>
      <w:ind w:firstLine="420" w:firstLineChars="200"/>
    </w:pPr>
    <w:rPr>
      <w:rFonts w:ascii="宋体" w:hAnsi="宋体" w:cs="宋体"/>
      <w:kern w:val="0"/>
      <w:sz w:val="24"/>
    </w:rPr>
  </w:style>
  <w:style w:type="paragraph" w:customStyle="1" w:styleId="83">
    <w:name w:val="封面一致性程度标识2"/>
    <w:basedOn w:val="84"/>
    <w:qFormat/>
    <w:uiPriority w:val="0"/>
    <w:pPr>
      <w:framePr w:wrap="around" w:y="4469"/>
    </w:pPr>
  </w:style>
  <w:style w:type="paragraph" w:customStyle="1" w:styleId="84">
    <w:name w:val="封面一致性程度标识"/>
    <w:basedOn w:val="85"/>
    <w:qFormat/>
    <w:uiPriority w:val="0"/>
    <w:pPr>
      <w:framePr w:wrap="around"/>
      <w:spacing w:before="440"/>
    </w:pPr>
    <w:rPr>
      <w:rFonts w:ascii="宋体" w:eastAsia="宋体"/>
    </w:rPr>
  </w:style>
  <w:style w:type="paragraph" w:customStyle="1" w:styleId="85">
    <w:name w:val="封面标准英文名称"/>
    <w:basedOn w:val="86"/>
    <w:qFormat/>
    <w:uiPriority w:val="0"/>
    <w:pPr>
      <w:framePr w:wrap="around"/>
      <w:spacing w:before="370" w:line="400" w:lineRule="exact"/>
    </w:pPr>
    <w:rPr>
      <w:rFonts w:ascii="Times New Roman"/>
      <w:sz w:val="28"/>
      <w:szCs w:val="28"/>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2"/>
    <w:basedOn w:val="85"/>
    <w:qFormat/>
    <w:uiPriority w:val="0"/>
    <w:pPr>
      <w:framePr w:wrap="around" w:y="4469"/>
    </w:pPr>
  </w:style>
  <w:style w:type="paragraph" w:customStyle="1" w:styleId="88">
    <w:name w:val="其他发布日期"/>
    <w:basedOn w:val="89"/>
    <w:qFormat/>
    <w:uiPriority w:val="0"/>
    <w:pPr>
      <w:framePr w:wrap="around" w:vAnchor="page" w:hAnchor="text" w:x="1419"/>
    </w:pPr>
  </w:style>
  <w:style w:type="paragraph" w:customStyle="1" w:styleId="89">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0">
    <w:name w:val="正文公式编号制表符"/>
    <w:basedOn w:val="71"/>
    <w:next w:val="71"/>
    <w:qFormat/>
    <w:uiPriority w:val="0"/>
    <w:pPr>
      <w:ind w:firstLine="0" w:firstLineChars="0"/>
    </w:pPr>
  </w:style>
  <w:style w:type="paragraph" w:customStyle="1" w:styleId="91">
    <w:name w:val="正文表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2">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3">
    <w:name w:val="一级无"/>
    <w:basedOn w:val="77"/>
    <w:qFormat/>
    <w:uiPriority w:val="0"/>
  </w:style>
  <w:style w:type="paragraph" w:customStyle="1" w:styleId="94">
    <w:name w:val="图的脚注"/>
    <w:next w:val="71"/>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5">
    <w:name w:val="图标脚注说明"/>
    <w:basedOn w:val="71"/>
    <w:qFormat/>
    <w:uiPriority w:val="0"/>
    <w:pPr>
      <w:ind w:left="840" w:hanging="420" w:firstLineChars="0"/>
    </w:pPr>
    <w:rPr>
      <w:sz w:val="18"/>
      <w:szCs w:val="18"/>
    </w:rPr>
  </w:style>
  <w:style w:type="paragraph" w:customStyle="1" w:styleId="96">
    <w:name w:val="示例后文字"/>
    <w:basedOn w:val="71"/>
    <w:next w:val="71"/>
    <w:qFormat/>
    <w:uiPriority w:val="0"/>
    <w:pPr>
      <w:ind w:firstLine="360"/>
    </w:pPr>
    <w:rPr>
      <w:sz w:val="18"/>
    </w:rPr>
  </w:style>
  <w:style w:type="paragraph" w:customStyle="1" w:styleId="97">
    <w:name w:val="实施日期"/>
    <w:basedOn w:val="89"/>
    <w:qFormat/>
    <w:uiPriority w:val="0"/>
    <w:pPr>
      <w:framePr w:wrap="around" w:vAnchor="page" w:hAnchor="text"/>
      <w:jc w:val="right"/>
    </w:pPr>
  </w:style>
  <w:style w:type="paragraph" w:customStyle="1" w:styleId="98">
    <w:name w:val="前言、引言标题"/>
    <w:next w:val="71"/>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2"/>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1"/>
    <w:qFormat/>
    <w:uiPriority w:val="0"/>
    <w:pPr>
      <w:tabs>
        <w:tab w:val="left" w:pos="360"/>
      </w:tabs>
      <w:autoSpaceDN w:val="0"/>
      <w:spacing w:beforeLines="50" w:afterLines="50"/>
      <w:outlineLvl w:val="2"/>
    </w:pPr>
  </w:style>
  <w:style w:type="paragraph" w:customStyle="1" w:styleId="106">
    <w:name w:val="附录章标题"/>
    <w:next w:val="71"/>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1"/>
    <w:qFormat/>
    <w:uiPriority w:val="0"/>
    <w:pPr>
      <w:tabs>
        <w:tab w:val="left" w:pos="360"/>
      </w:tabs>
      <w:outlineLvl w:val="6"/>
    </w:pPr>
  </w:style>
  <w:style w:type="paragraph" w:customStyle="1" w:styleId="109">
    <w:name w:val="附录四级条标题"/>
    <w:basedOn w:val="110"/>
    <w:next w:val="71"/>
    <w:qFormat/>
    <w:uiPriority w:val="0"/>
    <w:pPr>
      <w:tabs>
        <w:tab w:val="left" w:pos="360"/>
      </w:tabs>
    </w:pPr>
  </w:style>
  <w:style w:type="paragraph" w:customStyle="1" w:styleId="110">
    <w:name w:val="附录三级条标题"/>
    <w:basedOn w:val="111"/>
    <w:next w:val="71"/>
    <w:qFormat/>
    <w:uiPriority w:val="0"/>
    <w:pPr>
      <w:tabs>
        <w:tab w:val="left" w:pos="360"/>
      </w:tabs>
    </w:pPr>
  </w:style>
  <w:style w:type="paragraph" w:customStyle="1" w:styleId="111">
    <w:name w:val="附录二级条标题"/>
    <w:basedOn w:val="1"/>
    <w:next w:val="71"/>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1"/>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qFormat/>
    <w:uiPriority w:val="0"/>
  </w:style>
  <w:style w:type="paragraph" w:customStyle="1" w:styleId="116">
    <w:name w:val="注："/>
    <w:next w:val="71"/>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1"/>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1"/>
    <w:next w:val="71"/>
    <w:qFormat/>
    <w:uiPriority w:val="0"/>
    <w:pPr>
      <w:ind w:firstLine="0" w:firstLineChars="0"/>
      <w:jc w:val="center"/>
    </w:pPr>
    <w:rPr>
      <w:rFonts w:ascii="黑体" w:eastAsia="黑体"/>
    </w:rPr>
  </w:style>
  <w:style w:type="paragraph" w:customStyle="1" w:styleId="120">
    <w:name w:val="参考文献"/>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4"/>
    <w:qFormat/>
    <w:uiPriority w:val="0"/>
    <w:pPr>
      <w:framePr w:wrap="around"/>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7"/>
    <w:qFormat/>
    <w:uiPriority w:val="0"/>
    <w:pPr>
      <w:framePr w:wrap="around" w:vAnchor="margin" w:hAnchor="page"/>
    </w:p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1"/>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1"/>
    <w:qFormat/>
    <w:uiPriority w:val="0"/>
  </w:style>
  <w:style w:type="paragraph" w:customStyle="1" w:styleId="128">
    <w:name w:val="参考文献、索引标题"/>
    <w:basedOn w:val="1"/>
    <w:next w:val="71"/>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1"/>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1"/>
    <w:qFormat/>
    <w:uiPriority w:val="0"/>
  </w:style>
  <w:style w:type="paragraph" w:customStyle="1" w:styleId="141">
    <w:name w:val="四级条标题"/>
    <w:basedOn w:val="142"/>
    <w:next w:val="71"/>
    <w:qFormat/>
    <w:uiPriority w:val="0"/>
  </w:style>
  <w:style w:type="paragraph" w:customStyle="1" w:styleId="142">
    <w:name w:val="三级条标题"/>
    <w:basedOn w:val="143"/>
    <w:next w:val="71"/>
    <w:qFormat/>
    <w:uiPriority w:val="0"/>
  </w:style>
  <w:style w:type="paragraph" w:customStyle="1" w:styleId="143">
    <w:name w:val="二级条标题"/>
    <w:basedOn w:val="77"/>
    <w:next w:val="71"/>
    <w:qFormat/>
    <w:uiPriority w:val="0"/>
  </w:style>
  <w:style w:type="paragraph" w:customStyle="1" w:styleId="144">
    <w:name w:val="四级无"/>
    <w:basedOn w:val="141"/>
    <w:qFormat/>
    <w:uiPriority w:val="0"/>
  </w:style>
  <w:style w:type="paragraph" w:customStyle="1" w:styleId="145">
    <w:name w:val="三级无"/>
    <w:basedOn w:val="142"/>
    <w:qFormat/>
    <w:uiPriority w:val="0"/>
  </w:style>
  <w:style w:type="paragraph" w:customStyle="1" w:styleId="146">
    <w:name w:val="其他标准标志"/>
    <w:basedOn w:val="130"/>
    <w:qFormat/>
    <w:uiPriority w:val="0"/>
    <w:pPr>
      <w:framePr w:w="6101" w:wrap="around" w:vAnchor="page" w:hAnchor="page" w:x="4673" w:y="942"/>
    </w:pPr>
    <w:rPr>
      <w:w w:val="130"/>
    </w:rPr>
  </w:style>
  <w:style w:type="paragraph" w:customStyle="1" w:styleId="147">
    <w:name w:val="目次、标准名称标题"/>
    <w:basedOn w:val="1"/>
    <w:next w:val="71"/>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Char1"/>
    <w:basedOn w:val="45"/>
    <w:link w:val="28"/>
    <w:semiHidden/>
    <w:qFormat/>
    <w:uiPriority w:val="99"/>
    <w:rPr>
      <w:rFonts w:ascii="Times New Roman" w:hAnsi="Times New Roman" w:eastAsia="宋体" w:cs="Times New Roman"/>
      <w:sz w:val="18"/>
      <w:szCs w:val="18"/>
    </w:rPr>
  </w:style>
  <w:style w:type="paragraph" w:customStyle="1" w:styleId="151">
    <w:name w:val="列项◆（三级）"/>
    <w:basedOn w:val="1"/>
    <w:qFormat/>
    <w:uiPriority w:val="99"/>
    <w:pPr>
      <w:tabs>
        <w:tab w:val="left" w:pos="969"/>
      </w:tabs>
      <w:ind w:left="969" w:hanging="414"/>
    </w:pPr>
    <w:rPr>
      <w:rFonts w:ascii="宋体"/>
      <w:szCs w:val="21"/>
    </w:rPr>
  </w:style>
  <w:style w:type="paragraph" w:customStyle="1" w:styleId="152">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Char1"/>
    <w:basedOn w:val="45"/>
    <w:link w:val="5"/>
    <w:semiHidden/>
    <w:qFormat/>
    <w:uiPriority w:val="99"/>
    <w:rPr>
      <w:rFonts w:ascii="Times New Roman" w:hAnsi="Times New Roman" w:eastAsia="宋体" w:cs="Times New Roman"/>
      <w:sz w:val="18"/>
      <w:szCs w:val="18"/>
    </w:rPr>
  </w:style>
  <w:style w:type="paragraph" w:customStyle="1" w:styleId="154">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qFormat/>
    <w:uiPriority w:val="0"/>
    <w:pPr>
      <w:framePr w:wrap="around" w:y="15310"/>
      <w:spacing w:line="0" w:lineRule="atLeast"/>
    </w:pPr>
    <w:rPr>
      <w:rFonts w:ascii="黑体" w:eastAsia="黑体"/>
      <w:b w:val="0"/>
    </w:rPr>
  </w:style>
  <w:style w:type="paragraph" w:customStyle="1" w:styleId="156">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1"/>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Char1"/>
    <w:basedOn w:val="45"/>
    <w:link w:val="37"/>
    <w:semiHidden/>
    <w:qFormat/>
    <w:uiPriority w:val="99"/>
    <w:rPr>
      <w:rFonts w:ascii="Courier New" w:hAnsi="Courier New" w:eastAsia="宋体" w:cs="Courier New"/>
      <w:sz w:val="20"/>
      <w:szCs w:val="20"/>
    </w:rPr>
  </w:style>
  <w:style w:type="paragraph" w:customStyle="1" w:styleId="159">
    <w:name w:val="附录标识"/>
    <w:basedOn w:val="1"/>
    <w:next w:val="71"/>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Char1"/>
    <w:basedOn w:val="45"/>
    <w:link w:val="32"/>
    <w:semiHidden/>
    <w:qFormat/>
    <w:uiPriority w:val="99"/>
    <w:rPr>
      <w:rFonts w:ascii="Times New Roman" w:hAnsi="Times New Roman" w:eastAsia="宋体" w:cs="Times New Roman"/>
      <w:sz w:val="18"/>
      <w:szCs w:val="18"/>
    </w:rPr>
  </w:style>
  <w:style w:type="paragraph" w:customStyle="1" w:styleId="161">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qFormat/>
    <w:uiPriority w:val="0"/>
  </w:style>
  <w:style w:type="paragraph" w:customStyle="1" w:styleId="163">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Char1"/>
    <w:basedOn w:val="45"/>
    <w:link w:val="22"/>
    <w:semiHidden/>
    <w:qFormat/>
    <w:uiPriority w:val="99"/>
    <w:rPr>
      <w:rFonts w:ascii="Times New Roman" w:hAnsi="Times New Roman" w:eastAsia="宋体" w:cs="Times New Roman"/>
      <w:szCs w:val="24"/>
    </w:rPr>
  </w:style>
  <w:style w:type="paragraph" w:customStyle="1" w:styleId="165">
    <w:name w:val="封面标准文稿编辑信息2"/>
    <w:basedOn w:val="166"/>
    <w:qFormat/>
    <w:uiPriority w:val="0"/>
    <w:pPr>
      <w:framePr w:wrap="around" w:y="4469"/>
    </w:pPr>
  </w:style>
  <w:style w:type="paragraph" w:customStyle="1" w:styleId="166">
    <w:name w:val="封面标准文稿编辑信息"/>
    <w:basedOn w:val="122"/>
    <w:qFormat/>
    <w:uiPriority w:val="0"/>
    <w:pPr>
      <w:framePr w:wrap="around"/>
      <w:spacing w:before="180" w:line="180" w:lineRule="exact"/>
    </w:pPr>
    <w:rPr>
      <w:sz w:val="21"/>
    </w:rPr>
  </w:style>
  <w:style w:type="paragraph" w:customStyle="1" w:styleId="167">
    <w:name w:val="附录表标题"/>
    <w:basedOn w:val="1"/>
    <w:next w:val="71"/>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qFormat/>
    <w:uiPriority w:val="0"/>
    <w:pPr>
      <w:jc w:val="left"/>
    </w:pPr>
  </w:style>
  <w:style w:type="paragraph" w:customStyle="1" w:styleId="169">
    <w:name w:val="附录表标号"/>
    <w:basedOn w:val="1"/>
    <w:next w:val="71"/>
    <w:qFormat/>
    <w:uiPriority w:val="0"/>
    <w:pPr>
      <w:spacing w:line="14" w:lineRule="exact"/>
      <w:ind w:left="811" w:hanging="448"/>
      <w:jc w:val="center"/>
      <w:outlineLvl w:val="0"/>
    </w:pPr>
    <w:rPr>
      <w:color w:val="FFFFFF"/>
    </w:rPr>
  </w:style>
  <w:style w:type="paragraph" w:customStyle="1" w:styleId="170">
    <w:name w:val="图表脚注说明"/>
    <w:basedOn w:val="1"/>
    <w:qFormat/>
    <w:uiPriority w:val="0"/>
    <w:pPr>
      <w:ind w:left="544" w:hanging="181"/>
    </w:pPr>
    <w:rPr>
      <w:rFonts w:ascii="宋体"/>
      <w:sz w:val="18"/>
      <w:szCs w:val="18"/>
    </w:rPr>
  </w:style>
  <w:style w:type="character" w:customStyle="1" w:styleId="171">
    <w:name w:val="页脚 Char1"/>
    <w:basedOn w:val="45"/>
    <w:link w:val="6"/>
    <w:semiHidden/>
    <w:qFormat/>
    <w:uiPriority w:val="99"/>
    <w:rPr>
      <w:rFonts w:ascii="Times New Roman" w:hAnsi="Times New Roman" w:eastAsia="宋体" w:cs="Times New Roman"/>
      <w:sz w:val="18"/>
      <w:szCs w:val="18"/>
    </w:rPr>
  </w:style>
  <w:style w:type="character" w:customStyle="1" w:styleId="172">
    <w:name w:val="批注文字 Char1"/>
    <w:basedOn w:val="45"/>
    <w:link w:val="18"/>
    <w:semiHidden/>
    <w:qFormat/>
    <w:uiPriority w:val="99"/>
    <w:rPr>
      <w:rFonts w:ascii="Times New Roman" w:hAnsi="Times New Roman" w:eastAsia="宋体" w:cs="Times New Roman"/>
      <w:szCs w:val="24"/>
    </w:rPr>
  </w:style>
  <w:style w:type="paragraph" w:customStyle="1" w:styleId="173">
    <w:name w:val="封面标准名称2"/>
    <w:basedOn w:val="86"/>
    <w:qFormat/>
    <w:uiPriority w:val="0"/>
    <w:pPr>
      <w:framePr w:wrap="around" w:y="4469"/>
      <w:spacing w:beforeLines="630"/>
    </w:pPr>
  </w:style>
  <w:style w:type="character" w:customStyle="1" w:styleId="174">
    <w:name w:val="日期 Char1"/>
    <w:basedOn w:val="45"/>
    <w:link w:val="26"/>
    <w:semiHidden/>
    <w:qFormat/>
    <w:uiPriority w:val="99"/>
    <w:rPr>
      <w:rFonts w:ascii="Times New Roman" w:hAnsi="Times New Roman" w:eastAsia="宋体" w:cs="Times New Roman"/>
      <w:szCs w:val="24"/>
    </w:rPr>
  </w:style>
  <w:style w:type="character" w:customStyle="1" w:styleId="175">
    <w:name w:val="文档结构图 Char1"/>
    <w:basedOn w:val="45"/>
    <w:link w:val="17"/>
    <w:semiHidden/>
    <w:qFormat/>
    <w:uiPriority w:val="99"/>
    <w:rPr>
      <w:rFonts w:ascii="宋体" w:hAnsi="Times New Roman" w:eastAsia="宋体" w:cs="Times New Roman"/>
      <w:sz w:val="18"/>
      <w:szCs w:val="18"/>
    </w:rPr>
  </w:style>
  <w:style w:type="paragraph" w:customStyle="1" w:styleId="176">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wrap="around" w:y="4469"/>
    </w:pPr>
  </w:style>
  <w:style w:type="paragraph" w:customStyle="1" w:styleId="178">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Char1"/>
    <w:basedOn w:val="172"/>
    <w:link w:val="41"/>
    <w:semiHidden/>
    <w:qFormat/>
    <w:uiPriority w:val="99"/>
    <w:rPr>
      <w:rFonts w:ascii="Times New Roman" w:hAnsi="Times New Roman" w:eastAsia="宋体" w:cs="Times New Roman"/>
      <w:b/>
      <w:bCs/>
      <w:szCs w:val="24"/>
    </w:rPr>
  </w:style>
  <w:style w:type="character" w:customStyle="1" w:styleId="181">
    <w:name w:val="尾注文本 Char1"/>
    <w:basedOn w:val="45"/>
    <w:link w:val="27"/>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Char"/>
    <w:basedOn w:val="45"/>
    <w:link w:val="20"/>
    <w:semiHidden/>
    <w:qFormat/>
    <w:uiPriority w:val="99"/>
    <w:rPr>
      <w:rFonts w:ascii="Times New Roman" w:hAnsi="Times New Roman" w:eastAsia="宋体" w:cs="Times New Roman"/>
      <w:sz w:val="16"/>
      <w:szCs w:val="16"/>
    </w:rPr>
  </w:style>
  <w:style w:type="character" w:customStyle="1" w:styleId="184">
    <w:name w:val="标题 Char"/>
    <w:basedOn w:val="45"/>
    <w:link w:val="40"/>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Char"/>
    <w:basedOn w:val="45"/>
    <w:link w:val="24"/>
    <w:qFormat/>
    <w:uiPriority w:val="99"/>
    <w:rPr>
      <w:rFonts w:ascii="宋体" w:hAnsi="Courier New" w:eastAsia="宋体" w:cs="Courier New"/>
      <w:szCs w:val="21"/>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Char"/>
    <w:basedOn w:val="45"/>
    <w:link w:val="3"/>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Char"/>
    <w:basedOn w:val="45"/>
    <w:link w:val="10"/>
    <w:semiHidden/>
    <w:qFormat/>
    <w:uiPriority w:val="9"/>
    <w:rPr>
      <w:rFonts w:asciiTheme="majorHAnsi" w:hAnsiTheme="majorHAnsi" w:eastAsiaTheme="majorEastAsia" w:cstheme="majorBidi"/>
      <w:b/>
      <w:bCs/>
      <w:kern w:val="2"/>
      <w:sz w:val="28"/>
      <w:szCs w:val="28"/>
    </w:rPr>
  </w:style>
  <w:style w:type="paragraph" w:customStyle="1" w:styleId="191">
    <w:name w:val="_Style 2"/>
    <w:basedOn w:val="7"/>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qFormat/>
    <w:uiPriority w:val="31"/>
    <w:rPr>
      <w:smallCaps/>
      <w:color w:val="C0504D"/>
      <w:u w:val="single"/>
    </w:rPr>
  </w:style>
  <w:style w:type="paragraph" w:customStyle="1" w:styleId="193">
    <w:name w:val="纯文本1"/>
    <w:basedOn w:val="1"/>
    <w:qFormat/>
    <w:uiPriority w:val="0"/>
    <w:rPr>
      <w:rFonts w:ascii="宋体" w:hAnsi="Courier New" w:cs="Courier New"/>
      <w:szCs w:val="21"/>
    </w:rPr>
  </w:style>
  <w:style w:type="paragraph" w:customStyle="1" w:styleId="194">
    <w:name w:val="CM99"/>
    <w:basedOn w:val="54"/>
    <w:next w:val="54"/>
    <w:qFormat/>
    <w:uiPriority w:val="0"/>
    <w:pPr>
      <w:spacing w:after="443"/>
    </w:pPr>
  </w:style>
  <w:style w:type="paragraph" w:customStyle="1" w:styleId="195">
    <w:name w:val="CM80"/>
    <w:basedOn w:val="54"/>
    <w:next w:val="54"/>
    <w:qFormat/>
    <w:uiPriority w:val="0"/>
    <w:pPr>
      <w:spacing w:line="440" w:lineRule="atLeast"/>
    </w:pPr>
  </w:style>
  <w:style w:type="paragraph" w:customStyle="1" w:styleId="196">
    <w:name w:val="BodyText"/>
    <w:basedOn w:val="1"/>
    <w:qFormat/>
    <w:uiPriority w:val="0"/>
    <w:pPr>
      <w:jc w:val="center"/>
      <w:textAlignment w:val="baseline"/>
    </w:pPr>
    <w:rPr>
      <w:rFonts w:ascii="仿宋_GB2312" w:hAnsi="ˎ̥"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F1F8-0718-499A-83EF-F0113599BD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60</Pages>
  <Words>28410</Words>
  <Characters>30584</Characters>
  <Lines>265</Lines>
  <Paragraphs>74</Paragraphs>
  <TotalTime>1</TotalTime>
  <ScaleCrop>false</ScaleCrop>
  <LinksUpToDate>false</LinksUpToDate>
  <CharactersWithSpaces>33246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2023-09-13T01:21:00Z</dcterms:created>
  <dc:creator>lenovo</dc:creator>
  <cp:lastModifiedBy>ljrljr</cp:lastModifiedBy>
  <cp:lastPrinted>2021-11-24T02:21:00Z</cp:lastPrinted>
  <dcterms:modified xsi:type="dcterms:W3CDTF">2023-10-07T12:31:58Z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EBE0E1FFD37D43B8AC6914E4EC342FAA_13</vt:lpwstr>
  </property>
</Properties>
</file>