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hint="eastAsia" w:ascii="宋体" w:hAnsi="宋体" w:eastAsia="宋体" w:cs="宋体"/>
          <w:b/>
          <w:bCs/>
          <w:color w:val="auto"/>
          <w:sz w:val="44"/>
          <w:szCs w:val="44"/>
          <w:u w:val="none"/>
          <w:lang w:val="en-US" w:eastAsia="zh-CN"/>
        </w:rPr>
      </w:pPr>
    </w:p>
    <w:p>
      <w:pPr>
        <w:snapToGrid w:val="0"/>
        <w:spacing w:line="900" w:lineRule="exact"/>
        <w:jc w:val="center"/>
        <w:rPr>
          <w:rFonts w:hint="eastAsia" w:ascii="宋体" w:hAnsi="宋体" w:eastAsia="宋体" w:cs="宋体"/>
          <w:b/>
          <w:bCs/>
          <w:color w:val="auto"/>
          <w:sz w:val="44"/>
          <w:szCs w:val="44"/>
          <w:u w:val="none"/>
          <w:lang w:val="en-US" w:eastAsia="zh-CN"/>
        </w:rPr>
      </w:pPr>
      <w:r>
        <w:rPr>
          <w:rFonts w:hint="eastAsia" w:ascii="宋体" w:hAnsi="宋体" w:eastAsia="宋体" w:cs="宋体"/>
          <w:b/>
          <w:bCs/>
          <w:color w:val="auto"/>
          <w:sz w:val="44"/>
          <w:szCs w:val="44"/>
          <w:u w:val="none"/>
          <w:lang w:val="en-US" w:eastAsia="zh-CN"/>
        </w:rPr>
        <w:t>岳阳城陵矶港务有限责任公司</w:t>
      </w:r>
    </w:p>
    <w:p>
      <w:pPr>
        <w:snapToGrid w:val="0"/>
        <w:spacing w:line="900" w:lineRule="exact"/>
        <w:jc w:val="center"/>
        <w:rPr>
          <w:rFonts w:hint="eastAsia" w:ascii="宋体" w:hAnsi="宋体" w:eastAsia="宋体" w:cs="宋体"/>
          <w:b/>
          <w:bCs/>
          <w:color w:val="auto"/>
          <w:sz w:val="52"/>
          <w:szCs w:val="52"/>
          <w:highlight w:val="none"/>
          <w:u w:val="none"/>
          <w:lang w:val="en-US" w:eastAsia="zh-CN"/>
        </w:rPr>
      </w:pPr>
      <w:r>
        <w:rPr>
          <w:rFonts w:hint="eastAsia" w:ascii="宋体" w:hAnsi="宋体" w:eastAsia="宋体" w:cs="宋体"/>
          <w:b/>
          <w:bCs/>
          <w:color w:val="auto"/>
          <w:sz w:val="44"/>
          <w:szCs w:val="44"/>
          <w:u w:val="none"/>
          <w:lang w:val="en-US" w:eastAsia="zh-CN"/>
        </w:rPr>
        <w:t>2023年滚筒陶瓷包胶项目询价采购文件</w:t>
      </w:r>
    </w:p>
    <w:p>
      <w:pPr>
        <w:pStyle w:val="38"/>
        <w:rPr>
          <w:rFonts w:hint="eastAsia" w:ascii="宋体" w:hAnsi="宋体" w:eastAsia="宋体" w:cs="宋体"/>
          <w:b w:val="0"/>
          <w:bCs w:val="0"/>
          <w:color w:val="auto"/>
          <w:sz w:val="24"/>
          <w:szCs w:val="20"/>
          <w:u w:val="none"/>
          <w:lang w:val="en-US" w:eastAsia="zh-CN"/>
        </w:rPr>
      </w:pPr>
    </w:p>
    <w:p>
      <w:pPr>
        <w:jc w:val="center"/>
        <w:rPr>
          <w:rFonts w:hint="eastAsia" w:ascii="宋体" w:hAnsi="宋体" w:eastAsia="宋体" w:cs="宋体"/>
          <w:b/>
          <w:color w:val="auto"/>
          <w:kern w:val="0"/>
          <w:sz w:val="28"/>
          <w:szCs w:val="28"/>
          <w:highlight w:val="none"/>
        </w:rPr>
      </w:pPr>
    </w:p>
    <w:p>
      <w:pPr>
        <w:snapToGrid w:val="0"/>
        <w:spacing w:line="48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采购编号：城港货（2023）年询第</w:t>
      </w:r>
      <w:r>
        <w:rPr>
          <w:rFonts w:hint="eastAsia" w:ascii="宋体" w:hAnsi="宋体" w:cs="宋体"/>
          <w:b/>
          <w:bCs/>
          <w:color w:val="auto"/>
          <w:sz w:val="30"/>
          <w:szCs w:val="30"/>
          <w:highlight w:val="none"/>
          <w:lang w:val="en-US" w:eastAsia="zh-CN"/>
        </w:rPr>
        <w:t>24</w:t>
      </w:r>
      <w:r>
        <w:rPr>
          <w:rFonts w:hint="eastAsia" w:ascii="宋体" w:hAnsi="宋体" w:eastAsia="宋体" w:cs="宋体"/>
          <w:b/>
          <w:bCs/>
          <w:color w:val="auto"/>
          <w:sz w:val="30"/>
          <w:szCs w:val="30"/>
          <w:highlight w:val="none"/>
          <w:lang w:val="en-US" w:eastAsia="zh-CN"/>
        </w:rPr>
        <w:t>号</w:t>
      </w:r>
    </w:p>
    <w:p>
      <w:pPr>
        <w:spacing w:line="600" w:lineRule="exact"/>
        <w:rPr>
          <w:rFonts w:hint="eastAsia" w:ascii="宋体" w:hAnsi="宋体" w:eastAsia="宋体" w:cs="宋体"/>
          <w:color w:val="auto"/>
          <w:highlight w:val="none"/>
        </w:rPr>
      </w:pPr>
    </w:p>
    <w:p>
      <w:pPr>
        <w:spacing w:line="600" w:lineRule="exact"/>
        <w:rPr>
          <w:rFonts w:hint="eastAsia" w:ascii="宋体" w:hAnsi="宋体" w:eastAsia="宋体" w:cs="宋体"/>
          <w:color w:val="auto"/>
          <w:highlight w:val="none"/>
        </w:rPr>
      </w:pPr>
    </w:p>
    <w:p>
      <w:pPr>
        <w:spacing w:line="600" w:lineRule="exact"/>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ind w:left="0" w:firstLine="0"/>
        <w:rPr>
          <w:rFonts w:hint="eastAsia" w:ascii="宋体" w:hAnsi="宋体" w:eastAsia="宋体" w:cs="宋体"/>
          <w:color w:val="auto"/>
          <w:highlight w:val="none"/>
        </w:rPr>
      </w:pPr>
    </w:p>
    <w:p>
      <w:pPr>
        <w:spacing w:line="600" w:lineRule="exact"/>
        <w:rPr>
          <w:rFonts w:hint="eastAsia" w:ascii="宋体" w:hAnsi="宋体" w:eastAsia="宋体" w:cs="宋体"/>
          <w:color w:val="auto"/>
          <w:highlight w:val="none"/>
        </w:rPr>
      </w:pPr>
    </w:p>
    <w:p>
      <w:pPr>
        <w:snapToGrid w:val="0"/>
        <w:spacing w:line="900" w:lineRule="exact"/>
        <w:jc w:val="center"/>
        <w:rPr>
          <w:rFonts w:hint="eastAsia" w:ascii="宋体" w:hAnsi="宋体" w:eastAsia="宋体" w:cs="宋体"/>
          <w:b/>
          <w:bCs/>
          <w:color w:val="auto"/>
          <w:sz w:val="44"/>
          <w:szCs w:val="44"/>
          <w:u w:val="none"/>
          <w:lang w:val="en-US" w:eastAsia="zh-CN"/>
        </w:rPr>
      </w:pPr>
    </w:p>
    <w:p>
      <w:pPr>
        <w:snapToGrid w:val="0"/>
        <w:spacing w:line="900" w:lineRule="exact"/>
        <w:jc w:val="center"/>
        <w:rPr>
          <w:rFonts w:hint="eastAsia" w:ascii="宋体" w:hAnsi="宋体" w:eastAsia="宋体" w:cs="宋体"/>
          <w:bCs/>
          <w:color w:val="auto"/>
          <w:sz w:val="32"/>
          <w:szCs w:val="32"/>
          <w:highlight w:val="none"/>
        </w:rPr>
      </w:pPr>
      <w:r>
        <w:rPr>
          <w:rFonts w:hint="eastAsia" w:ascii="宋体" w:hAnsi="宋体" w:eastAsia="宋体" w:cs="宋体"/>
          <w:b/>
          <w:bCs/>
          <w:color w:val="auto"/>
          <w:sz w:val="32"/>
          <w:szCs w:val="32"/>
          <w:u w:val="none"/>
          <w:lang w:val="en-US" w:eastAsia="zh-CN"/>
        </w:rPr>
        <w:t>岳阳城陵矶港务有限责任公司</w:t>
      </w:r>
    </w:p>
    <w:p>
      <w:pPr>
        <w:tabs>
          <w:tab w:val="left" w:pos="0"/>
          <w:tab w:val="left" w:pos="4185"/>
        </w:tabs>
        <w:spacing w:line="288" w:lineRule="auto"/>
        <w:ind w:right="-6"/>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w:t>
      </w:r>
      <w:r>
        <w:rPr>
          <w:rFonts w:hint="eastAsia" w:ascii="宋体" w:hAnsi="宋体" w:eastAsia="宋体" w:cs="宋体"/>
          <w:bCs/>
          <w:color w:val="auto"/>
          <w:sz w:val="32"/>
          <w:szCs w:val="32"/>
          <w:highlight w:val="none"/>
          <w:lang w:val="en-US" w:eastAsia="zh-CN"/>
        </w:rPr>
        <w:t>0</w:t>
      </w:r>
      <w:r>
        <w:rPr>
          <w:rFonts w:hint="eastAsia" w:ascii="宋体" w:hAnsi="宋体" w:eastAsia="宋体" w:cs="宋体"/>
          <w:bCs/>
          <w:color w:val="auto"/>
          <w:sz w:val="32"/>
          <w:szCs w:val="32"/>
          <w:highlight w:val="none"/>
        </w:rPr>
        <w:t>二</w:t>
      </w:r>
      <w:r>
        <w:rPr>
          <w:rFonts w:hint="eastAsia" w:ascii="宋体" w:hAnsi="宋体" w:eastAsia="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九</w:t>
      </w:r>
      <w:r>
        <w:rPr>
          <w:rFonts w:hint="eastAsia" w:ascii="宋体" w:hAnsi="宋体" w:eastAsia="宋体" w:cs="宋体"/>
          <w:bCs/>
          <w:color w:val="auto"/>
          <w:sz w:val="32"/>
          <w:szCs w:val="32"/>
          <w:highlight w:val="none"/>
        </w:rPr>
        <w:t>月</w:t>
      </w:r>
    </w:p>
    <w:p>
      <w:pPr>
        <w:pStyle w:val="187"/>
        <w:keepNext w:val="0"/>
        <w:keepLines w:val="0"/>
        <w:widowControl w:val="0"/>
        <w:spacing w:before="0" w:line="600" w:lineRule="exact"/>
        <w:ind w:left="440"/>
        <w:jc w:val="center"/>
        <w:rPr>
          <w:rFonts w:hint="eastAsia" w:ascii="宋体" w:hAnsi="宋体" w:eastAsia="宋体" w:cs="宋体"/>
          <w:b w:val="0"/>
          <w:color w:val="auto"/>
          <w:sz w:val="44"/>
          <w:szCs w:val="44"/>
          <w:highlight w:val="none"/>
          <w:lang w:val="zh-CN"/>
        </w:rPr>
      </w:pPr>
    </w:p>
    <w:p>
      <w:pPr>
        <w:rPr>
          <w:rFonts w:hint="eastAsia" w:ascii="宋体" w:hAnsi="宋体" w:eastAsia="宋体" w:cs="宋体"/>
          <w:b w:val="0"/>
          <w:color w:val="auto"/>
          <w:sz w:val="44"/>
          <w:szCs w:val="44"/>
          <w:highlight w:val="none"/>
          <w:lang w:val="zh-CN"/>
        </w:rPr>
      </w:pPr>
    </w:p>
    <w:sdt>
      <w:sdtPr>
        <w:rPr>
          <w:rFonts w:hint="eastAsia" w:ascii="宋体" w:hAnsi="宋体" w:eastAsia="宋体" w:cs="宋体"/>
          <w:color w:val="auto"/>
          <w:kern w:val="2"/>
          <w:sz w:val="21"/>
          <w:szCs w:val="24"/>
          <w:lang w:val="en-US" w:eastAsia="zh-CN" w:bidi="ar-SA"/>
        </w:rPr>
        <w:id w:val="147480426"/>
        <w15:color w:val="DBDBDB"/>
        <w:docPartObj>
          <w:docPartGallery w:val="Table of Contents"/>
          <w:docPartUnique/>
        </w:docPartObj>
      </w:sdtPr>
      <w:sdtEndPr>
        <w:rPr>
          <w:rFonts w:hint="eastAsia" w:ascii="宋体" w:hAnsi="宋体" w:eastAsia="宋体" w:cs="宋体"/>
          <w:color w:val="auto"/>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sz w:val="44"/>
              <w:szCs w:val="44"/>
            </w:rPr>
          </w:pPr>
          <w:r>
            <w:rPr>
              <w:rFonts w:hint="eastAsia" w:ascii="宋体" w:hAnsi="宋体" w:eastAsia="宋体" w:cs="宋体"/>
              <w:color w:val="auto"/>
              <w:sz w:val="44"/>
              <w:szCs w:val="44"/>
            </w:rPr>
            <w:t>目</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p>
          <w:pPr>
            <w:pStyle w:val="190"/>
            <w:tabs>
              <w:tab w:val="right" w:leader="dot" w:pos="8300"/>
            </w:tabs>
            <w:rPr>
              <w:rFonts w:hint="eastAsia" w:ascii="宋体" w:hAnsi="宋体" w:eastAsia="宋体" w:cs="宋体"/>
              <w:color w:val="auto"/>
              <w:sz w:val="24"/>
              <w:szCs w:val="24"/>
              <w:lang w:val="zh-CN"/>
            </w:rPr>
          </w:pPr>
        </w:p>
        <w:p>
          <w:pPr>
            <w:pStyle w:val="190"/>
            <w:tabs>
              <w:tab w:val="right" w:leader="dot" w:pos="8300"/>
            </w:tabs>
            <w:rPr>
              <w:rFonts w:hint="eastAsia" w:ascii="宋体" w:hAnsi="宋体" w:eastAsia="宋体" w:cs="宋体"/>
              <w:color w:val="auto"/>
              <w:sz w:val="30"/>
              <w:szCs w:val="30"/>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TOC \o "1-1" \h \u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_Toc28648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rPr>
            <w:t xml:space="preserve">第一章 </w:t>
          </w:r>
          <w:r>
            <w:rPr>
              <w:rFonts w:hint="eastAsia" w:ascii="宋体" w:hAnsi="宋体" w:eastAsia="宋体" w:cs="宋体"/>
              <w:color w:val="auto"/>
              <w:sz w:val="30"/>
              <w:szCs w:val="30"/>
              <w:highlight w:val="none"/>
            </w:rPr>
            <w:t>采购公告</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_Toc28648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3</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lang w:val="zh-CN"/>
            </w:rPr>
            <w:fldChar w:fldCharType="end"/>
          </w:r>
        </w:p>
        <w:p>
          <w:pPr>
            <w:pStyle w:val="190"/>
            <w:tabs>
              <w:tab w:val="right" w:leader="dot" w:pos="8300"/>
            </w:tabs>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_Toc13560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highlight w:val="none"/>
            </w:rPr>
            <w:t>第二章 供应商须知</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9</w:t>
          </w:r>
        </w:p>
        <w:p>
          <w:pPr>
            <w:pStyle w:val="190"/>
            <w:tabs>
              <w:tab w:val="right" w:leader="dot" w:pos="8300"/>
            </w:tabs>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_Toc27443 </w:instrText>
          </w:r>
          <w:r>
            <w:rPr>
              <w:rFonts w:hint="eastAsia" w:ascii="宋体" w:hAnsi="宋体" w:eastAsia="宋体" w:cs="宋体"/>
              <w:color w:val="auto"/>
              <w:sz w:val="30"/>
              <w:szCs w:val="30"/>
              <w:lang w:val="zh-CN"/>
            </w:rPr>
            <w:fldChar w:fldCharType="separate"/>
          </w:r>
          <w:r>
            <w:rPr>
              <w:rFonts w:hint="eastAsia" w:ascii="宋体" w:hAnsi="宋体" w:eastAsia="宋体" w:cs="宋体"/>
              <w:bCs/>
              <w:color w:val="auto"/>
              <w:sz w:val="30"/>
              <w:szCs w:val="30"/>
              <w:highlight w:val="none"/>
            </w:rPr>
            <w:t>第三章 评审办法</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27</w:t>
          </w:r>
        </w:p>
        <w:p>
          <w:pPr>
            <w:pStyle w:val="190"/>
            <w:tabs>
              <w:tab w:val="right" w:leader="dot" w:pos="8300"/>
            </w:tabs>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_Toc9628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highlight w:val="none"/>
            </w:rPr>
            <w:t>第四章 合同条款及格式</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32</w:t>
          </w:r>
        </w:p>
        <w:p>
          <w:pPr>
            <w:pStyle w:val="190"/>
            <w:tabs>
              <w:tab w:val="right" w:leader="dot" w:pos="8300"/>
            </w:tabs>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_Toc31503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rPr>
            <w:t xml:space="preserve">第五章 </w:t>
          </w:r>
          <w:r>
            <w:rPr>
              <w:rFonts w:hint="eastAsia" w:ascii="宋体" w:hAnsi="宋体" w:eastAsia="宋体" w:cs="宋体"/>
              <w:color w:val="auto"/>
              <w:sz w:val="30"/>
              <w:szCs w:val="30"/>
              <w:highlight w:val="none"/>
            </w:rPr>
            <w:t>采购需求</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50</w:t>
          </w:r>
        </w:p>
        <w:p>
          <w:pPr>
            <w:pStyle w:val="190"/>
            <w:tabs>
              <w:tab w:val="right" w:leader="dot" w:pos="8300"/>
            </w:tabs>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_Toc13840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highlight w:val="none"/>
            </w:rPr>
            <w:t>第六章 响应文件格式</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54</w:t>
          </w:r>
        </w:p>
        <w:p>
          <w:pPr>
            <w:pStyle w:val="190"/>
            <w:tabs>
              <w:tab w:val="right" w:leader="dot" w:pos="8300"/>
            </w:tabs>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_Toc23650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rPr>
            <w:t>一、</w:t>
          </w:r>
          <w:r>
            <w:rPr>
              <w:rFonts w:hint="eastAsia" w:ascii="宋体" w:hAnsi="宋体" w:eastAsia="宋体" w:cs="宋体"/>
              <w:color w:val="auto"/>
              <w:sz w:val="30"/>
              <w:szCs w:val="30"/>
              <w:highlight w:val="none"/>
            </w:rPr>
            <w:t>响应函</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56</w:t>
          </w:r>
        </w:p>
        <w:p>
          <w:pPr>
            <w:pStyle w:val="190"/>
            <w:tabs>
              <w:tab w:val="right" w:leader="dot" w:pos="8300"/>
            </w:tabs>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_Toc747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highlight w:val="none"/>
            </w:rPr>
            <w:t>二、授权委托书</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59</w:t>
          </w:r>
        </w:p>
        <w:p>
          <w:pPr>
            <w:pStyle w:val="190"/>
            <w:tabs>
              <w:tab w:val="right" w:leader="dot" w:pos="8300"/>
            </w:tabs>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_Toc6895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highlight w:val="none"/>
            </w:rPr>
            <w:t>三、商务和技术偏差表</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60</w:t>
          </w:r>
        </w:p>
        <w:p>
          <w:pPr>
            <w:pStyle w:val="190"/>
            <w:tabs>
              <w:tab w:val="right" w:leader="dot" w:pos="8300"/>
            </w:tabs>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_Toc26297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highlight w:val="none"/>
            </w:rPr>
            <w:t>四、报价表</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61</w:t>
          </w:r>
        </w:p>
        <w:p>
          <w:pPr>
            <w:pStyle w:val="190"/>
            <w:tabs>
              <w:tab w:val="right" w:leader="dot" w:pos="8300"/>
            </w:tabs>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_Toc25545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highlight w:val="none"/>
            </w:rPr>
            <w:t>五、资格审查资料</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63</w:t>
          </w:r>
        </w:p>
        <w:p>
          <w:pPr>
            <w:pStyle w:val="190"/>
            <w:tabs>
              <w:tab w:val="right" w:leader="dot" w:pos="8300"/>
            </w:tabs>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_Toc22288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highlight w:val="none"/>
            </w:rPr>
            <w:t>六、响应方案</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66</w:t>
          </w:r>
        </w:p>
        <w:p>
          <w:pPr>
            <w:pStyle w:val="190"/>
            <w:tabs>
              <w:tab w:val="right" w:leader="dot" w:pos="8300"/>
            </w:tabs>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fldChar w:fldCharType="begin"/>
          </w:r>
          <w:r>
            <w:rPr>
              <w:rFonts w:hint="eastAsia" w:ascii="宋体" w:hAnsi="宋体" w:eastAsia="宋体" w:cs="宋体"/>
              <w:color w:val="auto"/>
              <w:sz w:val="30"/>
              <w:szCs w:val="30"/>
              <w:lang w:val="zh-CN"/>
            </w:rPr>
            <w:instrText xml:space="preserve"> HYPERLINK \l _Toc30187 </w:instrText>
          </w:r>
          <w:r>
            <w:rPr>
              <w:rFonts w:hint="eastAsia" w:ascii="宋体" w:hAnsi="宋体" w:eastAsia="宋体" w:cs="宋体"/>
              <w:color w:val="auto"/>
              <w:sz w:val="30"/>
              <w:szCs w:val="30"/>
              <w:lang w:val="zh-CN"/>
            </w:rPr>
            <w:fldChar w:fldCharType="separate"/>
          </w:r>
          <w:r>
            <w:rPr>
              <w:rFonts w:hint="eastAsia" w:ascii="宋体" w:hAnsi="宋体" w:eastAsia="宋体" w:cs="宋体"/>
              <w:color w:val="auto"/>
              <w:sz w:val="30"/>
              <w:szCs w:val="30"/>
              <w:highlight w:val="none"/>
            </w:rPr>
            <w:t>七、其他资料</w:t>
          </w:r>
          <w:r>
            <w:rPr>
              <w:rFonts w:hint="eastAsia" w:ascii="宋体" w:hAnsi="宋体" w:eastAsia="宋体" w:cs="宋体"/>
              <w:color w:val="auto"/>
              <w:sz w:val="30"/>
              <w:szCs w:val="30"/>
            </w:rPr>
            <w:tab/>
          </w:r>
          <w:r>
            <w:rPr>
              <w:rFonts w:hint="eastAsia" w:ascii="宋体" w:hAnsi="宋体" w:eastAsia="宋体" w:cs="宋体"/>
              <w:color w:val="auto"/>
              <w:sz w:val="30"/>
              <w:szCs w:val="30"/>
              <w:lang w:val="zh-CN"/>
            </w:rPr>
            <w:fldChar w:fldCharType="end"/>
          </w:r>
          <w:r>
            <w:rPr>
              <w:rFonts w:hint="eastAsia" w:ascii="宋体" w:hAnsi="宋体" w:eastAsia="宋体" w:cs="宋体"/>
              <w:color w:val="auto"/>
              <w:sz w:val="30"/>
              <w:szCs w:val="30"/>
              <w:lang w:val="en-US" w:eastAsia="zh-CN"/>
            </w:rPr>
            <w:t>67</w:t>
          </w:r>
        </w:p>
        <w:p>
          <w:pPr>
            <w:pStyle w:val="25"/>
            <w:widowControl w:val="0"/>
            <w:tabs>
              <w:tab w:val="right" w:leader="dot" w:pos="8948"/>
              <w:tab w:val="clear" w:pos="9242"/>
            </w:tabs>
            <w:adjustRightInd w:val="0"/>
            <w:snapToGrid w:val="0"/>
            <w:spacing w:before="60" w:after="60" w:line="312"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lang w:val="zh-CN"/>
            </w:rPr>
            <w:fldChar w:fldCharType="end"/>
          </w:r>
        </w:p>
      </w:sdtContent>
    </w:sdt>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pStyle w:val="38"/>
        <w:rPr>
          <w:rFonts w:hint="eastAsia" w:ascii="宋体" w:hAnsi="宋体" w:eastAsia="宋体" w:cs="宋体"/>
          <w:color w:val="auto"/>
          <w:szCs w:val="21"/>
          <w:highlight w:val="none"/>
        </w:rPr>
      </w:pPr>
    </w:p>
    <w:p>
      <w:pPr>
        <w:pStyle w:val="38"/>
        <w:rPr>
          <w:rFonts w:hint="eastAsia" w:ascii="宋体" w:hAnsi="宋体" w:eastAsia="宋体" w:cs="宋体"/>
          <w:color w:val="auto"/>
          <w:szCs w:val="21"/>
          <w:highlight w:val="none"/>
        </w:rPr>
      </w:pPr>
    </w:p>
    <w:p>
      <w:pPr>
        <w:pStyle w:val="38"/>
        <w:ind w:firstLine="0"/>
        <w:rPr>
          <w:rFonts w:hint="eastAsia" w:ascii="宋体" w:hAnsi="宋体" w:eastAsia="宋体" w:cs="宋体"/>
          <w:color w:val="auto"/>
          <w:szCs w:val="21"/>
          <w:highlight w:val="none"/>
        </w:rPr>
      </w:pPr>
    </w:p>
    <w:p>
      <w:pPr>
        <w:pStyle w:val="38"/>
        <w:ind w:firstLine="0"/>
        <w:rPr>
          <w:rFonts w:hint="eastAsia" w:ascii="宋体" w:hAnsi="宋体" w:eastAsia="宋体" w:cs="宋体"/>
          <w:color w:val="auto"/>
          <w:szCs w:val="21"/>
          <w:highlight w:val="none"/>
        </w:rPr>
      </w:pPr>
    </w:p>
    <w:p>
      <w:pPr>
        <w:widowControl w:val="0"/>
        <w:adjustRightInd w:val="0"/>
        <w:snapToGrid w:val="0"/>
        <w:spacing w:line="240" w:lineRule="auto"/>
        <w:ind w:firstLine="420" w:firstLineChars="200"/>
        <w:rPr>
          <w:rFonts w:hint="eastAsia" w:ascii="宋体" w:hAnsi="宋体" w:eastAsia="宋体" w:cs="宋体"/>
          <w:color w:val="auto"/>
          <w:szCs w:val="21"/>
          <w:highlight w:val="none"/>
        </w:rPr>
      </w:pPr>
    </w:p>
    <w:p>
      <w:pPr>
        <w:pStyle w:val="77"/>
        <w:numPr>
          <w:ilvl w:val="0"/>
          <w:numId w:val="1"/>
        </w:numPr>
        <w:spacing w:line="600" w:lineRule="exact"/>
        <w:ind w:firstLineChars="0"/>
        <w:jc w:val="center"/>
        <w:outlineLvl w:val="0"/>
        <w:rPr>
          <w:rFonts w:hint="eastAsia" w:ascii="宋体" w:hAnsi="宋体" w:eastAsia="宋体" w:cs="宋体"/>
          <w:b/>
          <w:color w:val="auto"/>
          <w:sz w:val="44"/>
          <w:szCs w:val="44"/>
          <w:highlight w:val="none"/>
        </w:rPr>
      </w:pPr>
      <w:bookmarkStart w:id="0" w:name="_Toc28648"/>
      <w:r>
        <w:rPr>
          <w:rFonts w:hint="eastAsia" w:ascii="宋体" w:hAnsi="宋体" w:eastAsia="宋体" w:cs="宋体"/>
          <w:b/>
          <w:color w:val="auto"/>
          <w:sz w:val="44"/>
          <w:szCs w:val="44"/>
          <w:highlight w:val="none"/>
        </w:rPr>
        <w:t>采购公告</w:t>
      </w:r>
      <w:bookmarkEnd w:id="0"/>
    </w:p>
    <w:p>
      <w:pPr>
        <w:rPr>
          <w:rFonts w:hint="eastAsia" w:ascii="宋体" w:hAnsi="宋体" w:eastAsia="宋体" w:cs="宋体"/>
          <w:color w:val="auto"/>
          <w:sz w:val="32"/>
          <w:szCs w:val="32"/>
          <w:highlight w:val="none"/>
        </w:rPr>
      </w:pPr>
    </w:p>
    <w:p>
      <w:pPr>
        <w:widowControl/>
        <w:autoSpaceDE w:val="0"/>
        <w:adjustRightInd/>
        <w:snapToGrid/>
        <w:spacing w:line="600" w:lineRule="exact"/>
        <w:jc w:val="center"/>
        <w:rPr>
          <w:rFonts w:hint="eastAsia"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eastAsia="zh-CN"/>
        </w:rPr>
        <w:t>岳阳城陵矶港务有限责任公司2023年滚筒陶瓷包胶</w:t>
      </w:r>
      <w:r>
        <w:rPr>
          <w:rFonts w:hint="eastAsia" w:ascii="宋体" w:hAnsi="宋体" w:eastAsia="宋体" w:cs="宋体"/>
          <w:b/>
          <w:bCs/>
          <w:color w:val="auto"/>
          <w:sz w:val="32"/>
          <w:szCs w:val="32"/>
          <w:highlight w:val="none"/>
          <w:u w:val="none"/>
          <w:lang w:val="en-US" w:eastAsia="zh-CN"/>
        </w:rPr>
        <w:t>项目</w:t>
      </w:r>
    </w:p>
    <w:p>
      <w:pPr>
        <w:widowControl/>
        <w:autoSpaceDE w:val="0"/>
        <w:adjustRightInd/>
        <w:snapToGrid/>
        <w:spacing w:line="600" w:lineRule="exact"/>
        <w:jc w:val="center"/>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none"/>
          <w:lang w:val="en-US" w:eastAsia="zh-CN"/>
        </w:rPr>
        <w:t>询</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lang w:val="en-US" w:eastAsia="zh-CN"/>
        </w:rPr>
        <w:t>价</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rPr>
        <w:t>公</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rPr>
        <w:t>告</w:t>
      </w:r>
    </w:p>
    <w:p>
      <w:pPr>
        <w:widowControl/>
        <w:autoSpaceDE w:val="0"/>
        <w:adjustRightInd/>
        <w:snapToGrid/>
        <w:spacing w:line="600" w:lineRule="exact"/>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u w:val="none"/>
          <w:lang w:eastAsia="zh-CN"/>
        </w:rPr>
        <w:t>岳阳城陵矶港务有限责任公司2023年滚筒陶瓷包胶</w:t>
      </w:r>
      <w:r>
        <w:rPr>
          <w:rFonts w:hint="eastAsia" w:ascii="宋体" w:hAnsi="宋体" w:eastAsia="宋体" w:cs="宋体"/>
          <w:b w:val="0"/>
          <w:bCs w:val="0"/>
          <w:color w:val="auto"/>
          <w:sz w:val="24"/>
          <w:szCs w:val="24"/>
          <w:highlight w:val="none"/>
          <w:u w:val="none"/>
          <w:lang w:val="en-US" w:eastAsia="zh-CN"/>
        </w:rPr>
        <w:t>项目</w:t>
      </w:r>
      <w:r>
        <w:rPr>
          <w:rFonts w:hint="eastAsia" w:ascii="宋体" w:hAnsi="宋体" w:eastAsia="宋体" w:cs="宋体"/>
          <w:b w:val="0"/>
          <w:bCs w:val="0"/>
          <w:color w:val="auto"/>
          <w:sz w:val="24"/>
          <w:szCs w:val="24"/>
          <w:highlight w:val="none"/>
        </w:rPr>
        <w:t>经</w:t>
      </w:r>
      <w:r>
        <w:rPr>
          <w:rFonts w:hint="eastAsia" w:ascii="宋体" w:hAnsi="宋体" w:eastAsia="宋体" w:cs="宋体"/>
          <w:b w:val="0"/>
          <w:bCs w:val="0"/>
          <w:color w:val="auto"/>
          <w:sz w:val="24"/>
          <w:szCs w:val="24"/>
          <w:highlight w:val="none"/>
          <w:lang w:val="en-US" w:eastAsia="zh-CN"/>
        </w:rPr>
        <w:t>湖南省港务集团</w:t>
      </w:r>
      <w:r>
        <w:rPr>
          <w:rFonts w:hint="eastAsia" w:ascii="宋体" w:hAnsi="宋体" w:eastAsia="宋体" w:cs="宋体"/>
          <w:b w:val="0"/>
          <w:bCs w:val="0"/>
          <w:color w:val="auto"/>
          <w:sz w:val="24"/>
          <w:szCs w:val="24"/>
          <w:highlight w:val="none"/>
        </w:rPr>
        <w:t>批准，现公开</w:t>
      </w:r>
      <w:r>
        <w:rPr>
          <w:rFonts w:hint="eastAsia" w:ascii="宋体" w:hAnsi="宋体" w:eastAsia="宋体" w:cs="宋体"/>
          <w:b w:val="0"/>
          <w:bCs w:val="0"/>
          <w:color w:val="auto"/>
          <w:sz w:val="24"/>
          <w:szCs w:val="24"/>
          <w:highlight w:val="none"/>
          <w:lang w:val="en-US" w:eastAsia="zh-CN"/>
        </w:rPr>
        <w:t>询价，</w:t>
      </w:r>
      <w:r>
        <w:rPr>
          <w:rFonts w:hint="eastAsia" w:ascii="宋体" w:hAnsi="宋体" w:eastAsia="宋体" w:cs="宋体"/>
          <w:b w:val="0"/>
          <w:bCs w:val="0"/>
          <w:color w:val="auto"/>
          <w:sz w:val="24"/>
          <w:szCs w:val="24"/>
          <w:highlight w:val="none"/>
        </w:rPr>
        <w:t>邀请具备</w:t>
      </w:r>
      <w:r>
        <w:rPr>
          <w:rFonts w:hint="eastAsia" w:ascii="宋体" w:hAnsi="宋体" w:eastAsia="宋体" w:cs="宋体"/>
          <w:b w:val="0"/>
          <w:bCs w:val="0"/>
          <w:color w:val="auto"/>
          <w:sz w:val="24"/>
          <w:szCs w:val="24"/>
          <w:highlight w:val="none"/>
          <w:lang w:val="en-US" w:eastAsia="zh-CN"/>
        </w:rPr>
        <w:t>该项目实施能力</w:t>
      </w:r>
      <w:r>
        <w:rPr>
          <w:rFonts w:hint="eastAsia" w:ascii="宋体" w:hAnsi="宋体" w:eastAsia="宋体" w:cs="宋体"/>
          <w:b w:val="0"/>
          <w:bCs w:val="0"/>
          <w:color w:val="auto"/>
          <w:sz w:val="24"/>
          <w:szCs w:val="24"/>
          <w:highlight w:val="none"/>
        </w:rPr>
        <w:t>的供应商参加</w:t>
      </w:r>
      <w:r>
        <w:rPr>
          <w:rFonts w:hint="eastAsia" w:ascii="宋体" w:hAnsi="宋体" w:eastAsia="宋体" w:cs="宋体"/>
          <w:b w:val="0"/>
          <w:bCs w:val="0"/>
          <w:color w:val="auto"/>
          <w:sz w:val="24"/>
          <w:szCs w:val="24"/>
          <w:highlight w:val="none"/>
          <w:lang w:val="en-US" w:eastAsia="zh-CN"/>
        </w:rPr>
        <w:t>询价</w:t>
      </w:r>
      <w:r>
        <w:rPr>
          <w:rFonts w:hint="eastAsia" w:ascii="宋体" w:hAnsi="宋体" w:eastAsia="宋体" w:cs="宋体"/>
          <w:b w:val="0"/>
          <w:bCs w:val="0"/>
          <w:color w:val="auto"/>
          <w:sz w:val="24"/>
          <w:szCs w:val="24"/>
          <w:highlight w:val="none"/>
        </w:rPr>
        <w:t xml:space="preserve">活动。 </w:t>
      </w:r>
    </w:p>
    <w:p>
      <w:pPr>
        <w:pStyle w:val="6"/>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 xml:space="preserve"> 采购项目简介 </w:t>
      </w:r>
    </w:p>
    <w:p>
      <w:pPr>
        <w:autoSpaceDE w:val="0"/>
        <w:spacing w:line="400" w:lineRule="exact"/>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采购项目名称:</w:t>
      </w:r>
      <w:r>
        <w:rPr>
          <w:rFonts w:hint="eastAsia" w:ascii="宋体" w:hAnsi="宋体" w:eastAsia="宋体" w:cs="宋体"/>
          <w:b w:val="0"/>
          <w:bCs w:val="0"/>
          <w:color w:val="auto"/>
          <w:sz w:val="24"/>
          <w:szCs w:val="24"/>
          <w:highlight w:val="none"/>
          <w:u w:val="none"/>
          <w:lang w:eastAsia="zh-CN"/>
        </w:rPr>
        <w:t>岳阳城陵矶港务有限责任公司2023年滚筒陶瓷包胶</w:t>
      </w:r>
      <w:r>
        <w:rPr>
          <w:rFonts w:hint="eastAsia" w:ascii="宋体" w:hAnsi="宋体" w:eastAsia="宋体" w:cs="宋体"/>
          <w:b w:val="0"/>
          <w:bCs w:val="0"/>
          <w:color w:val="auto"/>
          <w:sz w:val="24"/>
          <w:szCs w:val="24"/>
          <w:highlight w:val="none"/>
          <w:u w:val="none"/>
          <w:lang w:val="en-US" w:eastAsia="zh-CN"/>
        </w:rPr>
        <w:t>项目</w:t>
      </w:r>
    </w:p>
    <w:p>
      <w:pPr>
        <w:autoSpaceDE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 xml:space="preserve">采购人: </w:t>
      </w:r>
      <w:r>
        <w:rPr>
          <w:rFonts w:hint="eastAsia" w:ascii="宋体" w:hAnsi="宋体" w:eastAsia="宋体" w:cs="宋体"/>
          <w:b w:val="0"/>
          <w:bCs w:val="0"/>
          <w:color w:val="auto"/>
          <w:sz w:val="24"/>
          <w:szCs w:val="24"/>
          <w:highlight w:val="none"/>
          <w:u w:val="none"/>
          <w:lang w:eastAsia="zh-CN"/>
        </w:rPr>
        <w:t>岳阳城陵矶港务有限责任公司</w:t>
      </w:r>
    </w:p>
    <w:p>
      <w:pPr>
        <w:autoSpaceDE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采购代理机构:无</w:t>
      </w:r>
    </w:p>
    <w:p>
      <w:pPr>
        <w:autoSpaceDE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采购项目资金落实情况:自筹资金，已落实</w:t>
      </w:r>
    </w:p>
    <w:p>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采购项目概况:</w:t>
      </w:r>
    </w:p>
    <w:p>
      <w:pPr>
        <w:spacing w:line="540" w:lineRule="exact"/>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eastAsia="zh-CN"/>
        </w:rPr>
        <w:t>岳阳城陵矶港务有限责任公司</w:t>
      </w:r>
      <w:r>
        <w:rPr>
          <w:rFonts w:hint="eastAsia" w:ascii="宋体" w:hAnsi="宋体" w:eastAsia="宋体" w:cs="宋体"/>
          <w:color w:val="auto"/>
          <w:sz w:val="24"/>
          <w:highlight w:val="none"/>
          <w:lang w:val="en-US" w:eastAsia="zh-CN"/>
        </w:rPr>
        <w:t>运输皮带线的驱动、改向滚筒外表面均覆盖一层陶瓷橡胶层。该层材料为磨损件，磨损过度会影响皮带寿命，更会造成摩擦异响，是公司生产线重点控制的环保因素。由于该项目工作量和工作时间均难以预估，以前均作为临时抢修工作进行，随着设备养护经验的积累，现具备条件对滚筒包胶进行年度采购。</w:t>
      </w:r>
    </w:p>
    <w:p>
      <w:pPr>
        <w:pStyle w:val="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二、采购范围及相关要求</w:t>
      </w:r>
    </w:p>
    <w:p>
      <w:pPr>
        <w:pStyle w:val="38"/>
        <w:ind w:left="0" w:leftChars="0" w:firstLine="0" w:firstLineChars="0"/>
        <w:rPr>
          <w:rFonts w:hint="default" w:ascii="宋体" w:hAnsi="宋体" w:eastAsia="宋体" w:cs="宋体"/>
          <w:color w:val="auto"/>
          <w:lang w:val="en-US"/>
        </w:rPr>
      </w:pPr>
      <w:r>
        <w:rPr>
          <w:rFonts w:hint="eastAsia" w:hAnsi="宋体" w:cs="宋体"/>
          <w:b w:val="0"/>
          <w:bCs w:val="0"/>
          <w:color w:val="auto"/>
          <w:kern w:val="2"/>
          <w:sz w:val="24"/>
          <w:szCs w:val="24"/>
          <w:highlight w:val="none"/>
          <w:lang w:val="en-US" w:eastAsia="zh-CN" w:bidi="ar-SA"/>
        </w:rPr>
        <w:t>（一）</w:t>
      </w:r>
      <w:r>
        <w:rPr>
          <w:rFonts w:hint="eastAsia" w:ascii="宋体" w:hAnsi="宋体" w:eastAsia="宋体" w:cs="宋体"/>
          <w:b w:val="0"/>
          <w:bCs w:val="0"/>
          <w:color w:val="auto"/>
          <w:kern w:val="2"/>
          <w:sz w:val="24"/>
          <w:szCs w:val="24"/>
          <w:highlight w:val="none"/>
          <w:lang w:val="en-US" w:eastAsia="zh-CN" w:bidi="ar-SA"/>
        </w:rPr>
        <w:t>采购范围:</w:t>
      </w:r>
      <w:r>
        <w:rPr>
          <w:rFonts w:hint="eastAsia" w:hAnsi="宋体" w:cs="宋体"/>
          <w:b w:val="0"/>
          <w:bCs w:val="0"/>
          <w:color w:val="auto"/>
          <w:kern w:val="2"/>
          <w:sz w:val="24"/>
          <w:szCs w:val="24"/>
          <w:highlight w:val="none"/>
          <w:lang w:val="en-US" w:eastAsia="zh-CN" w:bidi="ar-SA"/>
        </w:rPr>
        <w:t>年度预计采购90平方米，本次为单价采购按实际购买面积结算。</w:t>
      </w:r>
    </w:p>
    <w:p>
      <w:pPr>
        <w:spacing w:line="540" w:lineRule="exact"/>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二</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sz w:val="24"/>
          <w:highlight w:val="none"/>
        </w:rPr>
        <w:t>服务期限:</w:t>
      </w:r>
      <w:r>
        <w:rPr>
          <w:rFonts w:hint="eastAsia" w:ascii="宋体" w:hAnsi="宋体" w:eastAsia="宋体" w:cs="宋体"/>
          <w:color w:val="auto"/>
          <w:sz w:val="24"/>
          <w:highlight w:val="none"/>
          <w:lang w:val="en-US" w:eastAsia="zh-CN"/>
        </w:rPr>
        <w:t>合同签订后，</w:t>
      </w:r>
      <w:r>
        <w:rPr>
          <w:rFonts w:hint="eastAsia" w:ascii="宋体" w:hAnsi="宋体" w:eastAsia="宋体" w:cs="宋体"/>
          <w:color w:val="auto"/>
          <w:sz w:val="24"/>
          <w:highlight w:val="none"/>
        </w:rPr>
        <w:t>供应商应保证需方在有滚筒包胶计划时按时到达现场进行胶接施工，在临时胶接或修补需要时(含节假日)保证2小时内到达维修现场作业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3个日历日内完成当次任务。</w:t>
      </w:r>
    </w:p>
    <w:p>
      <w:pPr>
        <w:spacing w:line="5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服务地点: </w:t>
      </w:r>
      <w:r>
        <w:rPr>
          <w:rFonts w:hint="eastAsia" w:ascii="宋体" w:hAnsi="宋体" w:eastAsia="宋体" w:cs="宋体"/>
          <w:color w:val="auto"/>
          <w:sz w:val="24"/>
          <w:highlight w:val="none"/>
          <w:lang w:val="en-US" w:eastAsia="zh-CN"/>
        </w:rPr>
        <w:t>岳阳城陵矶港务有限责任公司皮带机现场</w:t>
      </w:r>
    </w:p>
    <w:p>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质量要求或服务标准:</w:t>
      </w:r>
    </w:p>
    <w:p>
      <w:pPr>
        <w:spacing w:line="540" w:lineRule="exac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1、滚筒包胶材料：表面有暗格刚玉陶瓷为抗磨损层，聚氨基甲酸乙酯为硫化层，高强度CXJZ-XBJ-A</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B输送带胶粘接。</w:t>
      </w:r>
    </w:p>
    <w:p>
      <w:pPr>
        <w:spacing w:line="540" w:lineRule="exac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本工程严格按照招标方质量管理体系的要求，进行工程质量控制，并按招标方有关要求填报相关表格，交招标方整理存档。</w:t>
      </w:r>
    </w:p>
    <w:p>
      <w:pPr>
        <w:spacing w:line="540" w:lineRule="exac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所承包的工程结束，满足安全性、可靠性、使用性能的要求（开工前签订安全施工责任合同），符合国家最新相关施工验收规范、检验标准的要求。            </w:t>
      </w:r>
    </w:p>
    <w:p>
      <w:pPr>
        <w:numPr>
          <w:ilvl w:val="-1"/>
          <w:numId w:val="0"/>
        </w:numPr>
        <w:spacing w:line="540" w:lineRule="exact"/>
        <w:ind w:firstLine="60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工程质量保修期按从竣工验收合格后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年执行。工程质量保修期起始日期自竣工验收报告签署之日起。</w:t>
      </w:r>
    </w:p>
    <w:p>
      <w:pPr>
        <w:pStyle w:val="6"/>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 xml:space="preserve"> 供应商资格要求</w:t>
      </w:r>
    </w:p>
    <w:p>
      <w:pPr>
        <w:autoSpaceDE w:val="0"/>
        <w:spacing w:line="400" w:lineRule="exact"/>
        <w:jc w:val="both"/>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一</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sz w:val="24"/>
          <w:highlight w:val="none"/>
        </w:rPr>
        <w:t>供应商不得存在下列情形之一:</w:t>
      </w:r>
    </w:p>
    <w:p>
      <w:pPr>
        <w:autoSpaceDE w:val="0"/>
        <w:spacing w:line="400" w:lineRule="exact"/>
        <w:ind w:firstLine="720" w:firstLineChars="3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处于被责令停产停业、暂扣或者吊销执照、暂扣或者吊销许可证、吊销资质证书状态;</w:t>
      </w:r>
    </w:p>
    <w:p>
      <w:pPr>
        <w:autoSpaceDE w:val="0"/>
        <w:spacing w:line="400" w:lineRule="exact"/>
        <w:ind w:firstLine="720" w:firstLineChars="3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进入清算程序，或被宣告破产，或其他丧失履约能力的情形;</w:t>
      </w:r>
    </w:p>
    <w:p>
      <w:pPr>
        <w:autoSpaceDE w:val="0"/>
        <w:spacing w:line="400" w:lineRule="exact"/>
        <w:ind w:firstLine="720" w:firstLineChars="3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被采购人或采购人上级单位纳入黑名单</w:t>
      </w:r>
      <w:r>
        <w:rPr>
          <w:rFonts w:hint="eastAsia" w:ascii="宋体" w:hAnsi="宋体" w:eastAsia="宋体" w:cs="宋体"/>
          <w:color w:val="auto"/>
          <w:sz w:val="24"/>
          <w:highlight w:val="none"/>
          <w:lang w:eastAsia="zh-CN"/>
        </w:rPr>
        <w:t>。</w:t>
      </w:r>
    </w:p>
    <w:p>
      <w:pPr>
        <w:autoSpaceDE w:val="0"/>
        <w:spacing w:line="4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供应商应满足如下要求:</w:t>
      </w:r>
    </w:p>
    <w:tbl>
      <w:tblPr>
        <w:tblStyle w:val="40"/>
        <w:tblpPr w:leftFromText="180" w:rightFromText="180" w:vertAnchor="text" w:horzAnchor="margin" w:tblpY="216"/>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643"/>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7" w:type="dxa"/>
          </w:tcPr>
          <w:p>
            <w:pPr>
              <w:widowControl w:val="0"/>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资格条件</w:t>
            </w:r>
          </w:p>
        </w:tc>
        <w:tc>
          <w:tcPr>
            <w:tcW w:w="1643" w:type="dxa"/>
          </w:tcPr>
          <w:p>
            <w:pPr>
              <w:widowControl w:val="0"/>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对供应商要求</w:t>
            </w:r>
          </w:p>
        </w:tc>
        <w:tc>
          <w:tcPr>
            <w:tcW w:w="4783" w:type="dxa"/>
          </w:tcPr>
          <w:p>
            <w:pPr>
              <w:widowControl w:val="0"/>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（1）依法设立</w:t>
            </w:r>
          </w:p>
        </w:tc>
        <w:tc>
          <w:tcPr>
            <w:tcW w:w="1643" w:type="dxa"/>
          </w:tcPr>
          <w:p>
            <w:pPr>
              <w:widowControl w:val="0"/>
              <w:spacing w:line="320" w:lineRule="exact"/>
              <w:jc w:val="both"/>
              <w:rPr>
                <w:rFonts w:hint="eastAsia" w:ascii="宋体" w:hAnsi="宋体" w:eastAsia="宋体" w:cs="宋体"/>
                <w:color w:val="auto"/>
                <w:sz w:val="24"/>
                <w:highlight w:val="non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适用</w:t>
            </w:r>
          </w:p>
        </w:tc>
        <w:tc>
          <w:tcPr>
            <w:tcW w:w="4783" w:type="dxa"/>
          </w:tcPr>
          <w:p>
            <w:pPr>
              <w:widowControl w:val="0"/>
              <w:spacing w:line="320" w:lineRule="exact"/>
              <w:jc w:val="both"/>
              <w:rPr>
                <w:rFonts w:hint="eastAsia" w:ascii="宋体" w:hAnsi="宋体" w:eastAsia="宋体" w:cs="宋体"/>
                <w:color w:val="auto"/>
                <w:sz w:val="24"/>
                <w:highlight w:val="non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（2）资质要求</w:t>
            </w:r>
          </w:p>
        </w:tc>
        <w:tc>
          <w:tcPr>
            <w:tcW w:w="1643" w:type="dxa"/>
          </w:tcPr>
          <w:p>
            <w:pPr>
              <w:widowControl w:val="0"/>
              <w:spacing w:line="320" w:lineRule="exact"/>
              <w:jc w:val="both"/>
              <w:rPr>
                <w:rStyle w:val="42"/>
                <w:rFonts w:hint="eastAsia" w:ascii="宋体" w:hAnsi="宋体" w:eastAsia="宋体" w:cs="宋体"/>
                <w:color w:val="auto"/>
                <w:highlight w:val="none"/>
                <w:u w:val="singl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 xml:space="preserve">不适用  </w:t>
            </w:r>
          </w:p>
          <w:p>
            <w:pPr>
              <w:widowControl w:val="0"/>
              <w:spacing w:line="320" w:lineRule="exact"/>
              <w:jc w:val="both"/>
              <w:rPr>
                <w:rFonts w:hint="eastAsia" w:ascii="宋体" w:hAnsi="宋体" w:eastAsia="宋体" w:cs="宋体"/>
                <w:color w:val="auto"/>
                <w:sz w:val="24"/>
                <w:highlight w:val="none"/>
              </w:rPr>
            </w:pPr>
          </w:p>
        </w:tc>
        <w:tc>
          <w:tcPr>
            <w:tcW w:w="4783" w:type="dxa"/>
          </w:tcPr>
          <w:p>
            <w:pPr>
              <w:widowControl w:val="0"/>
              <w:spacing w:line="320" w:lineRule="exact"/>
              <w:jc w:val="both"/>
              <w:rPr>
                <w:rStyle w:val="42"/>
                <w:rFonts w:hint="eastAsia" w:ascii="宋体" w:hAnsi="宋体" w:eastAsia="宋体" w:cs="宋体"/>
                <w:color w:val="auto"/>
                <w:highlight w:val="none"/>
                <w:u w:val="singl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 xml:space="preserve">不适用  </w:t>
            </w:r>
          </w:p>
          <w:p>
            <w:pPr>
              <w:widowControl w:val="0"/>
              <w:spacing w:line="32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（3）财务要求</w:t>
            </w:r>
          </w:p>
        </w:tc>
        <w:tc>
          <w:tcPr>
            <w:tcW w:w="1643" w:type="dxa"/>
          </w:tcPr>
          <w:p>
            <w:pPr>
              <w:widowControl w:val="0"/>
              <w:spacing w:line="320" w:lineRule="exact"/>
              <w:jc w:val="both"/>
              <w:rPr>
                <w:rStyle w:val="42"/>
                <w:rFonts w:hint="eastAsia" w:ascii="宋体" w:hAnsi="宋体" w:eastAsia="宋体" w:cs="宋体"/>
                <w:color w:val="auto"/>
                <w:highlight w:val="none"/>
                <w:u w:val="singl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 xml:space="preserve">不适用  </w:t>
            </w:r>
          </w:p>
          <w:p>
            <w:pPr>
              <w:widowControl w:val="0"/>
              <w:spacing w:line="320" w:lineRule="exact"/>
              <w:jc w:val="both"/>
              <w:rPr>
                <w:rFonts w:hint="eastAsia" w:ascii="宋体" w:hAnsi="宋体" w:eastAsia="宋体" w:cs="宋体"/>
                <w:color w:val="auto"/>
                <w:sz w:val="24"/>
                <w:highlight w:val="none"/>
              </w:rPr>
            </w:pPr>
          </w:p>
        </w:tc>
        <w:tc>
          <w:tcPr>
            <w:tcW w:w="4783" w:type="dxa"/>
          </w:tcPr>
          <w:p>
            <w:pPr>
              <w:widowControl w:val="0"/>
              <w:spacing w:line="320" w:lineRule="exact"/>
              <w:jc w:val="both"/>
              <w:rPr>
                <w:rStyle w:val="42"/>
                <w:rFonts w:hint="eastAsia" w:ascii="宋体" w:hAnsi="宋体" w:eastAsia="宋体" w:cs="宋体"/>
                <w:color w:val="auto"/>
                <w:highlight w:val="none"/>
                <w:u w:val="singl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 xml:space="preserve">不适用  </w:t>
            </w:r>
          </w:p>
          <w:p>
            <w:pPr>
              <w:widowControl w:val="0"/>
              <w:spacing w:line="32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（4）业绩要求</w:t>
            </w:r>
          </w:p>
        </w:tc>
        <w:tc>
          <w:tcPr>
            <w:tcW w:w="1643" w:type="dxa"/>
          </w:tcPr>
          <w:p>
            <w:pPr>
              <w:widowControl w:val="0"/>
              <w:spacing w:line="320" w:lineRule="exact"/>
              <w:jc w:val="both"/>
              <w:rPr>
                <w:rFonts w:hint="eastAsia" w:ascii="宋体" w:hAnsi="宋体" w:eastAsia="宋体" w:cs="宋体"/>
                <w:color w:val="auto"/>
                <w:sz w:val="24"/>
                <w:highlight w:val="non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适用</w:t>
            </w:r>
          </w:p>
        </w:tc>
        <w:tc>
          <w:tcPr>
            <w:tcW w:w="4783" w:type="dxa"/>
          </w:tcPr>
          <w:p>
            <w:pPr>
              <w:widowControl w:val="0"/>
              <w:spacing w:line="320" w:lineRule="exact"/>
              <w:jc w:val="both"/>
              <w:rPr>
                <w:rFonts w:hint="eastAsia" w:ascii="宋体" w:hAnsi="宋体" w:eastAsia="宋体" w:cs="宋体"/>
                <w:color w:val="auto"/>
                <w:sz w:val="24"/>
                <w:highlight w:val="non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（5）信誉要求</w:t>
            </w:r>
          </w:p>
        </w:tc>
        <w:tc>
          <w:tcPr>
            <w:tcW w:w="1643" w:type="dxa"/>
          </w:tcPr>
          <w:p>
            <w:pPr>
              <w:widowControl w:val="0"/>
              <w:spacing w:line="320" w:lineRule="exact"/>
              <w:jc w:val="both"/>
              <w:rPr>
                <w:rStyle w:val="42"/>
                <w:rFonts w:hint="eastAsia" w:ascii="宋体" w:hAnsi="宋体" w:eastAsia="宋体" w:cs="宋体"/>
                <w:color w:val="auto"/>
                <w:highlight w:val="none"/>
                <w:u w:val="singl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 xml:space="preserve">适用  </w:t>
            </w:r>
          </w:p>
          <w:p>
            <w:pPr>
              <w:widowControl w:val="0"/>
              <w:spacing w:line="320" w:lineRule="exact"/>
              <w:jc w:val="both"/>
              <w:rPr>
                <w:rFonts w:hint="eastAsia" w:ascii="宋体" w:hAnsi="宋体" w:eastAsia="宋体" w:cs="宋体"/>
                <w:color w:val="auto"/>
                <w:sz w:val="24"/>
                <w:highlight w:val="none"/>
              </w:rPr>
            </w:pPr>
          </w:p>
        </w:tc>
        <w:tc>
          <w:tcPr>
            <w:tcW w:w="4783" w:type="dxa"/>
          </w:tcPr>
          <w:p>
            <w:pPr>
              <w:widowControl w:val="0"/>
              <w:spacing w:line="320" w:lineRule="exact"/>
              <w:jc w:val="both"/>
              <w:rPr>
                <w:rStyle w:val="42"/>
                <w:rFonts w:hint="eastAsia" w:ascii="宋体" w:hAnsi="宋体" w:eastAsia="宋体" w:cs="宋体"/>
                <w:color w:val="auto"/>
                <w:highlight w:val="none"/>
                <w:u w:val="singl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 xml:space="preserve">适用 </w:t>
            </w:r>
            <w:r>
              <w:rPr>
                <w:rStyle w:val="42"/>
                <w:rFonts w:hint="eastAsia" w:ascii="宋体" w:hAnsi="宋体" w:eastAsia="宋体" w:cs="宋体"/>
                <w:b w:val="0"/>
                <w:bCs w:val="0"/>
                <w:color w:val="auto"/>
                <w:highlight w:val="none"/>
                <w:u w:val="none"/>
              </w:rPr>
              <w:t>见采购文件供应商须知前附表3.5（</w:t>
            </w:r>
            <w:r>
              <w:rPr>
                <w:rStyle w:val="42"/>
                <w:rFonts w:hint="eastAsia" w:ascii="宋体" w:hAnsi="宋体" w:eastAsia="宋体" w:cs="宋体"/>
                <w:b w:val="0"/>
                <w:bCs w:val="0"/>
                <w:color w:val="auto"/>
                <w:highlight w:val="none"/>
                <w:u w:val="none"/>
                <w:lang w:val="en-US" w:eastAsia="zh-CN"/>
              </w:rPr>
              <w:t>5</w:t>
            </w:r>
            <w:r>
              <w:rPr>
                <w:rStyle w:val="42"/>
                <w:rFonts w:hint="eastAsia" w:ascii="宋体" w:hAnsi="宋体" w:eastAsia="宋体" w:cs="宋体"/>
                <w:b w:val="0"/>
                <w:bCs w:val="0"/>
                <w:color w:val="auto"/>
                <w:highlight w:val="none"/>
                <w:u w:val="none"/>
              </w:rPr>
              <w:t>）。</w:t>
            </w:r>
          </w:p>
          <w:p>
            <w:pPr>
              <w:widowControl w:val="0"/>
              <w:spacing w:line="32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47" w:type="dxa"/>
          </w:tcPr>
          <w:p>
            <w:pPr>
              <w:widowControl w:val="0"/>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（6）承担本项目的主要人员要求</w:t>
            </w:r>
          </w:p>
        </w:tc>
        <w:tc>
          <w:tcPr>
            <w:tcW w:w="1643" w:type="dxa"/>
          </w:tcPr>
          <w:p>
            <w:pPr>
              <w:widowControl w:val="0"/>
              <w:spacing w:line="320" w:lineRule="exact"/>
              <w:jc w:val="both"/>
              <w:rPr>
                <w:rStyle w:val="42"/>
                <w:rFonts w:hint="eastAsia" w:ascii="宋体" w:hAnsi="宋体" w:eastAsia="宋体" w:cs="宋体"/>
                <w:color w:val="auto"/>
                <w:highlight w:val="none"/>
                <w:u w:val="singl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 xml:space="preserve">不适用  </w:t>
            </w:r>
          </w:p>
          <w:p>
            <w:pPr>
              <w:widowControl w:val="0"/>
              <w:spacing w:line="320" w:lineRule="exact"/>
              <w:jc w:val="both"/>
              <w:rPr>
                <w:rFonts w:hint="eastAsia" w:ascii="宋体" w:hAnsi="宋体" w:eastAsia="宋体" w:cs="宋体"/>
                <w:color w:val="auto"/>
                <w:sz w:val="24"/>
                <w:highlight w:val="none"/>
              </w:rPr>
            </w:pPr>
          </w:p>
        </w:tc>
        <w:tc>
          <w:tcPr>
            <w:tcW w:w="4783" w:type="dxa"/>
          </w:tcPr>
          <w:p>
            <w:pPr>
              <w:widowControl w:val="0"/>
              <w:spacing w:line="320" w:lineRule="exact"/>
              <w:jc w:val="both"/>
              <w:rPr>
                <w:rStyle w:val="42"/>
                <w:rFonts w:hint="eastAsia" w:ascii="宋体" w:hAnsi="宋体" w:eastAsia="宋体" w:cs="宋体"/>
                <w:color w:val="auto"/>
                <w:highlight w:val="none"/>
                <w:u w:val="singl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 xml:space="preserve">不适用  </w:t>
            </w:r>
          </w:p>
          <w:p>
            <w:pPr>
              <w:widowControl w:val="0"/>
              <w:spacing w:line="32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（7）其他要求</w:t>
            </w:r>
          </w:p>
        </w:tc>
        <w:tc>
          <w:tcPr>
            <w:tcW w:w="1643" w:type="dxa"/>
          </w:tcPr>
          <w:p>
            <w:pPr>
              <w:widowControl w:val="0"/>
              <w:spacing w:line="320" w:lineRule="exact"/>
              <w:jc w:val="both"/>
              <w:rPr>
                <w:rStyle w:val="42"/>
                <w:rFonts w:hint="eastAsia" w:ascii="宋体" w:hAnsi="宋体" w:eastAsia="宋体" w:cs="宋体"/>
                <w:color w:val="auto"/>
                <w:highlight w:val="none"/>
                <w:u w:val="singl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 xml:space="preserve">不适用  </w:t>
            </w:r>
          </w:p>
          <w:p>
            <w:pPr>
              <w:widowControl w:val="0"/>
              <w:spacing w:line="320" w:lineRule="exact"/>
              <w:jc w:val="both"/>
              <w:rPr>
                <w:rFonts w:hint="eastAsia" w:ascii="宋体" w:hAnsi="宋体" w:eastAsia="宋体" w:cs="宋体"/>
                <w:color w:val="auto"/>
                <w:sz w:val="24"/>
                <w:highlight w:val="none"/>
              </w:rPr>
            </w:pPr>
          </w:p>
        </w:tc>
        <w:tc>
          <w:tcPr>
            <w:tcW w:w="4783" w:type="dxa"/>
          </w:tcPr>
          <w:p>
            <w:pPr>
              <w:widowControl w:val="0"/>
              <w:spacing w:line="320" w:lineRule="exact"/>
              <w:jc w:val="both"/>
              <w:rPr>
                <w:rStyle w:val="42"/>
                <w:rFonts w:hint="eastAsia" w:ascii="宋体" w:hAnsi="宋体" w:eastAsia="宋体" w:cs="宋体"/>
                <w:color w:val="auto"/>
                <w:highlight w:val="none"/>
                <w:u w:val="singl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 xml:space="preserve">不适用  </w:t>
            </w:r>
          </w:p>
          <w:p>
            <w:pPr>
              <w:widowControl w:val="0"/>
              <w:spacing w:line="32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447" w:type="dxa"/>
          </w:tcPr>
          <w:p>
            <w:pPr>
              <w:widowControl w:val="0"/>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（8）供应商不存在第一章3.1款情形的证明材料</w:t>
            </w:r>
          </w:p>
        </w:tc>
        <w:tc>
          <w:tcPr>
            <w:tcW w:w="1643" w:type="dxa"/>
          </w:tcPr>
          <w:p>
            <w:pPr>
              <w:widowControl w:val="0"/>
              <w:spacing w:line="320" w:lineRule="exact"/>
              <w:jc w:val="both"/>
              <w:rPr>
                <w:rStyle w:val="42"/>
                <w:rFonts w:hint="eastAsia" w:ascii="宋体" w:hAnsi="宋体" w:eastAsia="宋体" w:cs="宋体"/>
                <w:color w:val="auto"/>
                <w:highlight w:val="none"/>
                <w:u w:val="single"/>
              </w:rPr>
            </w:pPr>
            <w:r>
              <w:rPr>
                <w:rStyle w:val="42"/>
                <w:rFonts w:hint="eastAsia" w:ascii="宋体" w:hAnsi="宋体" w:eastAsia="宋体" w:cs="宋体"/>
                <w:color w:val="auto"/>
                <w:highlight w:val="none"/>
                <w:u w:val="single"/>
              </w:rPr>
              <w:sym w:font="Wingdings 2" w:char="0052"/>
            </w:r>
            <w:r>
              <w:rPr>
                <w:rStyle w:val="42"/>
                <w:rFonts w:hint="eastAsia" w:ascii="宋体" w:hAnsi="宋体" w:eastAsia="宋体" w:cs="宋体"/>
                <w:color w:val="auto"/>
                <w:highlight w:val="none"/>
                <w:u w:val="single"/>
              </w:rPr>
              <w:t xml:space="preserve">适用  </w:t>
            </w:r>
          </w:p>
          <w:p>
            <w:pPr>
              <w:widowControl w:val="0"/>
              <w:spacing w:line="320" w:lineRule="exact"/>
              <w:jc w:val="both"/>
              <w:rPr>
                <w:rFonts w:hint="eastAsia" w:ascii="宋体" w:hAnsi="宋体" w:eastAsia="宋体" w:cs="宋体"/>
                <w:color w:val="auto"/>
                <w:sz w:val="24"/>
                <w:highlight w:val="none"/>
              </w:rPr>
            </w:pPr>
          </w:p>
        </w:tc>
        <w:tc>
          <w:tcPr>
            <w:tcW w:w="4783" w:type="dxa"/>
          </w:tcPr>
          <w:p>
            <w:pPr>
              <w:widowControl w:val="0"/>
              <w:spacing w:line="320" w:lineRule="exact"/>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rPr>
              <w:sym w:font="Wingdings 2" w:char="0052"/>
            </w:r>
            <w:r>
              <w:rPr>
                <w:rFonts w:hint="eastAsia" w:ascii="宋体" w:hAnsi="宋体" w:eastAsia="宋体" w:cs="宋体"/>
                <w:b/>
                <w:bCs/>
                <w:color w:val="auto"/>
                <w:sz w:val="24"/>
                <w:highlight w:val="none"/>
                <w:u w:val="single"/>
                <w:lang w:val="en-US" w:eastAsia="zh-CN"/>
              </w:rPr>
              <w:t>适用。</w:t>
            </w:r>
            <w:r>
              <w:rPr>
                <w:rFonts w:hint="eastAsia" w:ascii="宋体" w:hAnsi="宋体" w:eastAsia="宋体" w:cs="宋体"/>
                <w:color w:val="auto"/>
                <w:sz w:val="24"/>
                <w:highlight w:val="none"/>
                <w:lang w:val="en-US" w:eastAsia="zh-CN"/>
              </w:rPr>
              <w:t>需要提供证明材料，包括:提供承诺函。</w:t>
            </w:r>
          </w:p>
        </w:tc>
      </w:tr>
    </w:tbl>
    <w:p>
      <w:pPr>
        <w:autoSpaceDE w:val="0"/>
        <w:spacing w:line="400" w:lineRule="exact"/>
        <w:ind w:firstLine="240" w:firstLineChars="100"/>
        <w:rPr>
          <w:rFonts w:hint="eastAsia" w:ascii="宋体" w:hAnsi="宋体" w:eastAsia="宋体" w:cs="宋体"/>
          <w:color w:val="auto"/>
          <w:sz w:val="24"/>
          <w:highlight w:val="none"/>
        </w:rPr>
      </w:pPr>
    </w:p>
    <w:p>
      <w:pPr>
        <w:pStyle w:val="6"/>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 xml:space="preserve"> 响应保证金</w:t>
      </w:r>
      <w:r>
        <w:rPr>
          <w:rFonts w:hint="eastAsia" w:ascii="宋体" w:hAnsi="宋体" w:eastAsia="宋体" w:cs="宋体"/>
          <w:color w:val="auto"/>
          <w:highlight w:val="none"/>
          <w:lang w:val="en-US" w:eastAsia="zh-CN"/>
        </w:rPr>
        <w:tab/>
      </w:r>
    </w:p>
    <w:tbl>
      <w:tblPr>
        <w:tblStyle w:val="40"/>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3314"/>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38" w:type="dxa"/>
          </w:tcPr>
          <w:p>
            <w:pPr>
              <w:widowControl w:val="0"/>
              <w:autoSpaceDE w:val="0"/>
              <w:spacing w:line="4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响应保证金的递交</w:t>
            </w:r>
          </w:p>
        </w:tc>
        <w:tc>
          <w:tcPr>
            <w:tcW w:w="3314" w:type="dxa"/>
          </w:tcPr>
          <w:p>
            <w:pPr>
              <w:widowControl w:val="0"/>
              <w:autoSpaceDE w:val="0"/>
              <w:spacing w:line="400" w:lineRule="exact"/>
              <w:jc w:val="both"/>
              <w:rPr>
                <w:rFonts w:hint="eastAsia" w:ascii="宋体" w:hAnsi="宋体" w:eastAsia="宋体" w:cs="宋体"/>
                <w:color w:val="auto"/>
                <w:highlight w:val="none"/>
              </w:rPr>
            </w:pPr>
            <w:r>
              <w:rPr>
                <w:rFonts w:hint="eastAsia" w:ascii="宋体" w:hAnsi="宋体" w:eastAsia="宋体" w:cs="宋体"/>
                <w:color w:val="auto"/>
                <w:sz w:val="24"/>
                <w:highlight w:val="none"/>
              </w:rPr>
              <w:t>不退还响应保证金的其他情形</w:t>
            </w:r>
          </w:p>
        </w:tc>
        <w:tc>
          <w:tcPr>
            <w:tcW w:w="2701" w:type="dxa"/>
          </w:tcPr>
          <w:p>
            <w:pPr>
              <w:widowControl w:val="0"/>
              <w:autoSpaceDE w:val="0"/>
              <w:spacing w:line="400" w:lineRule="exact"/>
              <w:jc w:val="both"/>
              <w:rPr>
                <w:rFonts w:hint="eastAsia" w:ascii="宋体" w:hAnsi="宋体" w:eastAsia="宋体" w:cs="宋体"/>
                <w:color w:val="auto"/>
                <w:highlight w:val="none"/>
              </w:rPr>
            </w:pPr>
            <w:r>
              <w:rPr>
                <w:rFonts w:hint="eastAsia" w:ascii="宋体" w:hAnsi="宋体" w:eastAsia="宋体" w:cs="宋体"/>
                <w:color w:val="auto"/>
                <w:sz w:val="24"/>
                <w:highlight w:val="none"/>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38" w:type="dxa"/>
          </w:tcPr>
          <w:p>
            <w:pPr>
              <w:widowControl w:val="0"/>
              <w:autoSpaceDE w:val="0"/>
              <w:spacing w:line="400" w:lineRule="exact"/>
              <w:jc w:val="both"/>
              <w:rPr>
                <w:rFonts w:hint="eastAsia" w:ascii="宋体" w:hAnsi="宋体" w:eastAsia="宋体" w:cs="宋体"/>
                <w:color w:val="auto"/>
                <w:sz w:val="24"/>
                <w:highlight w:val="none"/>
              </w:rPr>
            </w:pPr>
            <w:r>
              <w:rPr>
                <w:rStyle w:val="42"/>
                <w:rFonts w:hint="eastAsia" w:ascii="宋体" w:hAnsi="宋体" w:eastAsia="宋体" w:cs="宋体"/>
                <w:color w:val="auto"/>
                <w:highlight w:val="none"/>
              </w:rPr>
              <w:t>☑</w:t>
            </w:r>
            <w:r>
              <w:rPr>
                <w:rFonts w:hint="eastAsia" w:ascii="宋体" w:hAnsi="宋体" w:eastAsia="宋体" w:cs="宋体"/>
                <w:color w:val="auto"/>
                <w:sz w:val="24"/>
                <w:highlight w:val="none"/>
              </w:rPr>
              <w:t>不要求递交</w:t>
            </w:r>
          </w:p>
        </w:tc>
        <w:tc>
          <w:tcPr>
            <w:tcW w:w="3314" w:type="dxa"/>
          </w:tcPr>
          <w:p>
            <w:pPr>
              <w:widowControl w:val="0"/>
              <w:autoSpaceDE w:val="0"/>
              <w:spacing w:line="400" w:lineRule="exact"/>
              <w:jc w:val="both"/>
              <w:rPr>
                <w:rFonts w:hint="eastAsia" w:ascii="宋体" w:hAnsi="宋体" w:eastAsia="宋体" w:cs="宋体"/>
                <w:color w:val="auto"/>
                <w:highlight w:val="none"/>
              </w:rPr>
            </w:pPr>
            <w:r>
              <w:rPr>
                <w:rStyle w:val="42"/>
                <w:rFonts w:hint="eastAsia" w:ascii="宋体" w:hAnsi="宋体" w:eastAsia="宋体" w:cs="宋体"/>
                <w:color w:val="auto"/>
                <w:highlight w:val="none"/>
              </w:rPr>
              <w:t>☑不</w:t>
            </w:r>
            <w:r>
              <w:rPr>
                <w:rFonts w:hint="eastAsia" w:ascii="宋体" w:hAnsi="宋体" w:eastAsia="宋体" w:cs="宋体"/>
                <w:color w:val="auto"/>
                <w:sz w:val="24"/>
                <w:highlight w:val="none"/>
              </w:rPr>
              <w:t>适用</w:t>
            </w:r>
          </w:p>
        </w:tc>
        <w:tc>
          <w:tcPr>
            <w:tcW w:w="2701" w:type="dxa"/>
          </w:tcPr>
          <w:p>
            <w:pPr>
              <w:widowControl w:val="0"/>
              <w:autoSpaceDE w:val="0"/>
              <w:spacing w:line="400" w:lineRule="exact"/>
              <w:jc w:val="both"/>
              <w:rPr>
                <w:rFonts w:hint="eastAsia" w:ascii="宋体" w:hAnsi="宋体" w:eastAsia="宋体" w:cs="宋体"/>
                <w:color w:val="auto"/>
                <w:highlight w:val="none"/>
              </w:rPr>
            </w:pPr>
            <w:r>
              <w:rPr>
                <w:rStyle w:val="42"/>
                <w:rFonts w:hint="eastAsia" w:ascii="宋体" w:hAnsi="宋体" w:eastAsia="宋体" w:cs="宋体"/>
                <w:color w:val="auto"/>
                <w:highlight w:val="none"/>
              </w:rPr>
              <w:t>☑</w:t>
            </w:r>
            <w:r>
              <w:rPr>
                <w:rFonts w:hint="eastAsia" w:ascii="宋体" w:hAnsi="宋体" w:eastAsia="宋体" w:cs="宋体"/>
                <w:color w:val="auto"/>
                <w:sz w:val="24"/>
                <w:highlight w:val="none"/>
              </w:rPr>
              <w:t>不适用</w:t>
            </w:r>
          </w:p>
        </w:tc>
      </w:tr>
    </w:tbl>
    <w:p>
      <w:pPr>
        <w:pStyle w:val="6"/>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确定成交供应商的方法</w:t>
      </w:r>
    </w:p>
    <w:p>
      <w:pPr>
        <w:autoSpaceDE w:val="0"/>
        <w:spacing w:line="400" w:lineRule="exact"/>
        <w:jc w:val="both"/>
        <w:rPr>
          <w:rStyle w:val="42"/>
          <w:rFonts w:hint="eastAsia" w:ascii="宋体" w:hAnsi="宋体" w:eastAsia="宋体" w:cs="宋体"/>
          <w:color w:val="auto"/>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 xml:space="preserve"> 最低价法</w:t>
      </w:r>
    </w:p>
    <w:p>
      <w:pPr>
        <w:autoSpaceDE w:val="0"/>
        <w:spacing w:line="400" w:lineRule="exact"/>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6"/>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采购文件获取</w:t>
      </w:r>
    </w:p>
    <w:p>
      <w:pPr>
        <w:autoSpaceDE w:val="0"/>
        <w:spacing w:line="400" w:lineRule="exact"/>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供应商应当于</w:t>
      </w:r>
      <w:r>
        <w:rPr>
          <w:rFonts w:hint="eastAsia" w:ascii="宋体" w:hAnsi="宋体" w:eastAsia="宋体" w:cs="宋体"/>
          <w:color w:val="auto"/>
          <w:sz w:val="24"/>
          <w:highlight w:val="none"/>
          <w:lang w:val="en-US" w:eastAsia="zh-CN"/>
        </w:rPr>
        <w:t>2023</w:t>
      </w:r>
      <w:r>
        <w:rPr>
          <w:rFonts w:hint="eastAsia" w:ascii="宋体" w:hAnsi="宋体" w:eastAsia="宋体" w:cs="宋体"/>
          <w:color w:val="auto"/>
          <w:sz w:val="24"/>
          <w:highlight w:val="none"/>
        </w:rPr>
        <w:t>_年</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在</w:t>
      </w:r>
      <w:r>
        <w:rPr>
          <w:rFonts w:hint="eastAsia" w:ascii="宋体" w:hAnsi="宋体" w:eastAsia="宋体" w:cs="宋体"/>
          <w:bCs/>
          <w:color w:val="auto"/>
          <w:sz w:val="24"/>
          <w:highlight w:val="none"/>
          <w:u w:val="single"/>
        </w:rPr>
        <w:t>采购公告</w:t>
      </w:r>
      <w:r>
        <w:rPr>
          <w:rFonts w:hint="eastAsia" w:ascii="宋体" w:hAnsi="宋体" w:eastAsia="宋体" w:cs="宋体"/>
          <w:color w:val="auto"/>
          <w:sz w:val="24"/>
          <w:highlight w:val="none"/>
          <w:u w:val="single"/>
        </w:rPr>
        <w:t>发布的媒介</w:t>
      </w:r>
      <w:r>
        <w:rPr>
          <w:rFonts w:hint="eastAsia" w:ascii="宋体" w:hAnsi="宋体" w:eastAsia="宋体" w:cs="宋体"/>
          <w:color w:val="auto"/>
          <w:sz w:val="24"/>
          <w:highlight w:val="none"/>
          <w:u w:val="single"/>
          <w:lang w:val="en-US" w:eastAsia="zh-CN"/>
        </w:rPr>
        <w:t>免费</w:t>
      </w:r>
      <w:r>
        <w:rPr>
          <w:rFonts w:hint="eastAsia" w:ascii="宋体" w:hAnsi="宋体" w:eastAsia="宋体" w:cs="宋体"/>
          <w:color w:val="auto"/>
          <w:sz w:val="24"/>
          <w:highlight w:val="none"/>
        </w:rPr>
        <w:t>获取采购文件:</w:t>
      </w:r>
    </w:p>
    <w:p>
      <w:pPr>
        <w:autoSpaceDE w:val="0"/>
        <w:spacing w:line="400" w:lineRule="exact"/>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供应商若对本项目采购需求、资格要求等有疑问的，应当于</w:t>
      </w:r>
      <w:r>
        <w:rPr>
          <w:rFonts w:hint="eastAsia" w:ascii="宋体" w:hAnsi="宋体" w:eastAsia="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分前向采购人提出澄清要求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lang w:val="en-US" w:eastAsia="zh-CN"/>
        </w:rPr>
        <w:t>2023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分前向采购人</w:t>
      </w:r>
      <w:r>
        <w:rPr>
          <w:rFonts w:hint="eastAsia" w:ascii="宋体" w:hAnsi="宋体" w:cs="宋体"/>
          <w:color w:val="auto"/>
          <w:sz w:val="24"/>
          <w:highlight w:val="none"/>
          <w:lang w:val="en-US" w:eastAsia="zh-CN"/>
        </w:rPr>
        <w:t>递交响应文件</w:t>
      </w:r>
      <w:r>
        <w:rPr>
          <w:rFonts w:hint="eastAsia" w:ascii="宋体" w:hAnsi="宋体" w:eastAsia="宋体" w:cs="宋体"/>
          <w:color w:val="auto"/>
          <w:sz w:val="24"/>
          <w:highlight w:val="none"/>
        </w:rPr>
        <w:t>。</w:t>
      </w:r>
    </w:p>
    <w:p>
      <w:pPr>
        <w:pStyle w:val="6"/>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发布公告的媒介</w:t>
      </w:r>
    </w:p>
    <w:p>
      <w:pPr>
        <w:widowControl w:val="0"/>
        <w:spacing w:line="312"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本次采购公告</w:t>
      </w:r>
      <w:r>
        <w:rPr>
          <w:rFonts w:hint="eastAsia" w:ascii="宋体" w:hAnsi="宋体" w:eastAsia="宋体" w:cs="宋体"/>
          <w:color w:val="auto"/>
          <w:sz w:val="24"/>
          <w:highlight w:val="none"/>
        </w:rPr>
        <w:t xml:space="preserve">发布的媒介: </w:t>
      </w:r>
    </w:p>
    <w:p>
      <w:pPr>
        <w:widowControl w:val="0"/>
        <w:spacing w:line="312"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中国招标投标公共服务平台（http：//www.cebpubservice.com）</w:t>
      </w:r>
      <w:r>
        <w:rPr>
          <w:rFonts w:hint="eastAsia" w:ascii="宋体" w:hAnsi="宋体" w:eastAsia="宋体" w:cs="宋体"/>
          <w:color w:val="auto"/>
          <w:sz w:val="24"/>
          <w:highlight w:val="none"/>
          <w:lang w:val="en-US" w:eastAsia="zh-CN"/>
        </w:rPr>
        <w:t>；</w:t>
      </w:r>
    </w:p>
    <w:p>
      <w:pPr>
        <w:widowControl w:val="0"/>
        <w:spacing w:line="312"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湖南省湘水集团有限公司网站（http：//www.hnsxsjt.com）</w:t>
      </w:r>
      <w:r>
        <w:rPr>
          <w:rFonts w:hint="eastAsia" w:ascii="宋体" w:hAnsi="宋体" w:eastAsia="宋体" w:cs="宋体"/>
          <w:color w:val="auto"/>
          <w:sz w:val="24"/>
          <w:highlight w:val="none"/>
          <w:lang w:val="en-US" w:eastAsia="zh-CN"/>
        </w:rPr>
        <w:t>；</w:t>
      </w:r>
    </w:p>
    <w:p>
      <w:pPr>
        <w:widowControl w:val="0"/>
        <w:spacing w:line="312" w:lineRule="auto"/>
        <w:ind w:firstLine="480" w:firstLineChars="200"/>
        <w:jc w:val="both"/>
        <w:rPr>
          <w:rFonts w:hint="eastAsia" w:ascii="宋体" w:hAnsi="宋体" w:eastAsia="宋体" w:cs="宋体"/>
          <w:color w:val="auto"/>
          <w:lang w:val="en-US" w:eastAsia="zh-CN"/>
        </w:rPr>
      </w:pPr>
      <w:r>
        <w:rPr>
          <w:rFonts w:hint="eastAsia" w:ascii="宋体" w:hAnsi="宋体" w:eastAsia="宋体" w:cs="宋体"/>
          <w:color w:val="auto"/>
          <w:sz w:val="24"/>
          <w:highlight w:val="none"/>
        </w:rPr>
        <w:t>湖南省港务集团有限公司门户网站（http://www.hnsgwjt.com/）。</w:t>
      </w:r>
    </w:p>
    <w:p>
      <w:pPr>
        <w:pStyle w:val="5"/>
        <w:keepNext w:val="0"/>
        <w:keepLines w:val="0"/>
        <w:widowControl w:val="0"/>
        <w:numPr>
          <w:ilvl w:val="0"/>
          <w:numId w:val="2"/>
        </w:numPr>
        <w:adjustRightInd w:val="0"/>
        <w:snapToGrid w:val="0"/>
        <w:spacing w:after="0" w:line="312" w:lineRule="auto"/>
        <w:ind w:left="0" w:right="0" w:firstLine="0" w:firstLineChars="0"/>
        <w:jc w:val="both"/>
        <w:rPr>
          <w:rFonts w:hint="eastAsia" w:ascii="宋体" w:hAnsi="宋体" w:eastAsia="宋体" w:cs="宋体"/>
          <w:b/>
          <w:color w:val="auto"/>
          <w:sz w:val="24"/>
          <w:szCs w:val="24"/>
        </w:rPr>
      </w:pPr>
      <w:r>
        <w:rPr>
          <w:rFonts w:hint="eastAsia" w:ascii="宋体" w:hAnsi="宋体" w:eastAsia="宋体" w:cs="宋体"/>
          <w:b/>
          <w:color w:val="auto"/>
          <w:sz w:val="24"/>
          <w:szCs w:val="24"/>
        </w:rPr>
        <w:t>最高投标限价</w:t>
      </w:r>
    </w:p>
    <w:p>
      <w:pPr>
        <w:pStyle w:val="5"/>
        <w:widowControl w:val="0"/>
        <w:adjustRightInd w:val="0"/>
        <w:snapToGrid w:val="0"/>
        <w:spacing w:line="312"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采购人对本次询价项目设置了</w:t>
      </w:r>
      <w:r>
        <w:rPr>
          <w:rFonts w:hint="eastAsia" w:cs="宋体"/>
          <w:b w:val="0"/>
          <w:bCs w:val="0"/>
          <w:color w:val="auto"/>
          <w:sz w:val="24"/>
          <w:szCs w:val="24"/>
          <w:highlight w:val="none"/>
          <w:lang w:val="en-US" w:eastAsia="zh-CN"/>
        </w:rPr>
        <w:t>单价</w:t>
      </w:r>
      <w:r>
        <w:rPr>
          <w:rFonts w:hint="eastAsia" w:ascii="宋体" w:hAnsi="宋体" w:eastAsia="宋体" w:cs="宋体"/>
          <w:b w:val="0"/>
          <w:bCs w:val="0"/>
          <w:color w:val="auto"/>
          <w:sz w:val="24"/>
          <w:szCs w:val="24"/>
          <w:highlight w:val="none"/>
          <w:lang w:val="en-US" w:eastAsia="zh-CN"/>
        </w:rPr>
        <w:t>最高限价为：</w:t>
      </w:r>
      <w:r>
        <w:rPr>
          <w:rFonts w:hint="eastAsia" w:cs="宋体"/>
          <w:color w:val="auto"/>
          <w:sz w:val="24"/>
          <w:highlight w:val="none"/>
          <w:lang w:val="en-US" w:eastAsia="zh-CN"/>
        </w:rPr>
        <w:t>伍仟伍佰元/平方米</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5500.00元/平方米</w:t>
      </w:r>
      <w:r>
        <w:rPr>
          <w:rFonts w:hint="eastAsia" w:ascii="宋体" w:hAnsi="宋体" w:eastAsia="宋体" w:cs="宋体"/>
          <w:b w:val="0"/>
          <w:bCs w:val="0"/>
          <w:color w:val="auto"/>
          <w:sz w:val="24"/>
          <w:szCs w:val="24"/>
          <w:highlight w:val="none"/>
          <w:lang w:val="en-US" w:eastAsia="zh-CN"/>
        </w:rPr>
        <w:t>）（含</w:t>
      </w:r>
      <w:r>
        <w:rPr>
          <w:rFonts w:hint="eastAsia"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3%增值税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超过</w:t>
      </w:r>
      <w:r>
        <w:rPr>
          <w:rFonts w:hint="eastAsia" w:cs="宋体"/>
          <w:b w:val="0"/>
          <w:bCs w:val="0"/>
          <w:color w:val="auto"/>
          <w:kern w:val="2"/>
          <w:sz w:val="24"/>
          <w:szCs w:val="24"/>
          <w:highlight w:val="none"/>
          <w:lang w:val="en-US" w:eastAsia="zh-CN" w:bidi="ar-SA"/>
        </w:rPr>
        <w:t>单价</w:t>
      </w:r>
      <w:r>
        <w:rPr>
          <w:rFonts w:hint="eastAsia" w:ascii="宋体" w:hAnsi="宋体" w:eastAsia="宋体" w:cs="宋体"/>
          <w:b w:val="0"/>
          <w:bCs w:val="0"/>
          <w:color w:val="auto"/>
          <w:kern w:val="2"/>
          <w:sz w:val="24"/>
          <w:szCs w:val="24"/>
          <w:highlight w:val="none"/>
          <w:lang w:val="en-US" w:eastAsia="zh-CN" w:bidi="ar-SA"/>
        </w:rPr>
        <w:t>最高限价的作废。如果报价人提供其他税率的增值税专用发票，招标人按</w:t>
      </w:r>
      <w:r>
        <w:rPr>
          <w:rFonts w:hint="eastAsia"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3%的税率调整后计算报价参与排序</w:t>
      </w:r>
      <w:r>
        <w:rPr>
          <w:rFonts w:hint="eastAsia" w:ascii="宋体" w:hAnsi="宋体" w:eastAsia="宋体" w:cs="宋体"/>
          <w:b w:val="0"/>
          <w:bCs w:val="0"/>
          <w:color w:val="auto"/>
          <w:sz w:val="24"/>
          <w:szCs w:val="24"/>
          <w:highlight w:val="none"/>
          <w:lang w:val="en-US" w:eastAsia="zh-CN"/>
        </w:rPr>
        <w:t>。</w:t>
      </w:r>
    </w:p>
    <w:p>
      <w:pPr>
        <w:pStyle w:val="6"/>
        <w:jc w:val="both"/>
        <w:rPr>
          <w:rFonts w:hint="eastAsia" w:ascii="宋体" w:hAnsi="宋体" w:eastAsia="宋体" w:cs="宋体"/>
          <w:color w:val="auto"/>
          <w:highlight w:val="none"/>
        </w:rPr>
      </w:pPr>
      <w:bookmarkStart w:id="1" w:name="_Toc76635692"/>
      <w:bookmarkStart w:id="2" w:name="_Toc512257471"/>
      <w:bookmarkStart w:id="3" w:name="_Toc77254104"/>
      <w:bookmarkStart w:id="4" w:name="_Toc79596547"/>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监督</w:t>
      </w:r>
      <w:bookmarkEnd w:id="1"/>
      <w:bookmarkEnd w:id="2"/>
      <w:bookmarkEnd w:id="3"/>
      <w:r>
        <w:rPr>
          <w:rFonts w:hint="eastAsia" w:ascii="宋体" w:hAnsi="宋体" w:eastAsia="宋体" w:cs="宋体"/>
          <w:color w:val="auto"/>
          <w:highlight w:val="none"/>
        </w:rPr>
        <w:t>部门</w:t>
      </w:r>
      <w:bookmarkEnd w:id="4"/>
    </w:p>
    <w:p>
      <w:pPr>
        <w:pStyle w:val="34"/>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本次招标监督部门为</w:t>
      </w:r>
      <w:r>
        <w:rPr>
          <w:rFonts w:hint="eastAsia" w:ascii="宋体" w:hAnsi="宋体" w:eastAsia="宋体" w:cs="宋体"/>
          <w:color w:val="auto"/>
          <w:u w:val="single"/>
        </w:rPr>
        <w:t>岳阳城陵矶港务有限责任公司纪委</w:t>
      </w:r>
      <w:r>
        <w:rPr>
          <w:rFonts w:hint="eastAsia" w:ascii="宋体" w:hAnsi="宋体" w:eastAsia="宋体" w:cs="宋体"/>
          <w:color w:val="auto"/>
        </w:rPr>
        <w:t>，电话：0730－3050153。</w:t>
      </w:r>
    </w:p>
    <w:p>
      <w:pPr>
        <w:pStyle w:val="6"/>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w:t>
      </w:r>
      <w:r>
        <w:rPr>
          <w:rFonts w:hint="eastAsia" w:ascii="宋体" w:hAnsi="宋体" w:eastAsia="宋体" w:cs="宋体"/>
          <w:color w:val="auto"/>
          <w:highlight w:val="none"/>
        </w:rPr>
        <w:t>其他</w:t>
      </w:r>
    </w:p>
    <w:p>
      <w:pPr>
        <w:autoSpaceDE w:val="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采购人在签署采购合同时及合同履行过程中，有权对采购标的的数量进行增加或减少的幅度: </w:t>
      </w:r>
      <w:r>
        <w:rPr>
          <w:rFonts w:hint="eastAsia" w:ascii="宋体" w:hAnsi="宋体" w:eastAsia="宋体" w:cs="宋体"/>
          <w:color w:val="auto"/>
          <w:sz w:val="24"/>
          <w:highlight w:val="none"/>
          <w:u w:val="single"/>
        </w:rPr>
        <w:t>10</w:t>
      </w:r>
      <w:r>
        <w:rPr>
          <w:rFonts w:hint="eastAsia" w:ascii="宋体" w:hAnsi="宋体" w:eastAsia="宋体" w:cs="宋体"/>
          <w:color w:val="auto"/>
          <w:sz w:val="24"/>
          <w:highlight w:val="none"/>
        </w:rPr>
        <w:t>%。</w:t>
      </w:r>
    </w:p>
    <w:p>
      <w:pPr>
        <w:pStyle w:val="6"/>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十一、</w:t>
      </w:r>
      <w:r>
        <w:rPr>
          <w:rFonts w:hint="eastAsia" w:ascii="宋体" w:hAnsi="宋体" w:eastAsia="宋体" w:cs="宋体"/>
          <w:color w:val="auto"/>
          <w:highlight w:val="none"/>
        </w:rPr>
        <w:t>联系方式</w:t>
      </w:r>
    </w:p>
    <w:p>
      <w:pPr>
        <w:topLinePunct/>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 标 人：岳阳城陵矶港务有限责任公司</w:t>
      </w:r>
    </w:p>
    <w:p>
      <w:pPr>
        <w:topLinePunct/>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址：湖南省岳阳市城陵矶长江路2号</w:t>
      </w:r>
    </w:p>
    <w:p>
      <w:pPr>
        <w:topLinePunct/>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    编：414000</w:t>
      </w:r>
    </w:p>
    <w:p>
      <w:pPr>
        <w:topLinePunct/>
        <w:adjustRightInd w:val="0"/>
        <w:snapToGrid w:val="0"/>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蔡艳</w:t>
      </w:r>
    </w:p>
    <w:p>
      <w:pPr>
        <w:topLinePunct/>
        <w:adjustRightInd w:val="0"/>
        <w:snapToGrid w:val="0"/>
        <w:spacing w:after="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13873035629</w:t>
      </w:r>
    </w:p>
    <w:p>
      <w:pPr>
        <w:spacing w:line="600" w:lineRule="exact"/>
        <w:jc w:val="center"/>
        <w:outlineLvl w:val="0"/>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spacing w:line="600" w:lineRule="exact"/>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 xml:space="preserve">        </w:t>
      </w:r>
      <w:bookmarkStart w:id="5" w:name="_Toc13560"/>
      <w:bookmarkStart w:id="6" w:name="_Toc234832861"/>
      <w:bookmarkStart w:id="7" w:name="_Toc517787494"/>
      <w:r>
        <w:rPr>
          <w:rFonts w:hint="eastAsia" w:ascii="宋体" w:hAnsi="宋体" w:eastAsia="宋体" w:cs="宋体"/>
          <w:color w:val="auto"/>
          <w:sz w:val="32"/>
          <w:szCs w:val="32"/>
          <w:highlight w:val="none"/>
        </w:rPr>
        <w:t>第二章  供应商须知</w:t>
      </w:r>
      <w:bookmarkEnd w:id="5"/>
      <w:bookmarkEnd w:id="6"/>
      <w:bookmarkEnd w:id="7"/>
    </w:p>
    <w:p>
      <w:pPr>
        <w:pStyle w:val="4"/>
        <w:spacing w:before="240" w:after="240" w:line="600" w:lineRule="exact"/>
        <w:jc w:val="both"/>
        <w:rPr>
          <w:rFonts w:hint="eastAsia" w:ascii="宋体" w:hAnsi="宋体" w:eastAsia="宋体" w:cs="宋体"/>
          <w:color w:val="auto"/>
          <w:sz w:val="30"/>
          <w:szCs w:val="30"/>
          <w:highlight w:val="none"/>
        </w:rPr>
      </w:pPr>
      <w:bookmarkStart w:id="8" w:name="_Toc234832862"/>
      <w:bookmarkStart w:id="9" w:name="_Toc517787495"/>
      <w:bookmarkStart w:id="10" w:name="_Toc18749"/>
      <w:r>
        <w:rPr>
          <w:rFonts w:hint="eastAsia" w:ascii="宋体" w:hAnsi="宋体" w:eastAsia="宋体" w:cs="宋体"/>
          <w:color w:val="auto"/>
          <w:sz w:val="30"/>
          <w:szCs w:val="30"/>
          <w:highlight w:val="none"/>
        </w:rPr>
        <w:t>供应商须知前附表</w:t>
      </w:r>
      <w:r>
        <w:rPr>
          <w:rStyle w:val="48"/>
          <w:rFonts w:hint="eastAsia" w:ascii="宋体" w:hAnsi="宋体" w:eastAsia="宋体" w:cs="宋体"/>
          <w:color w:val="auto"/>
          <w:sz w:val="30"/>
          <w:szCs w:val="30"/>
          <w:highlight w:val="none"/>
        </w:rPr>
        <w:footnoteReference w:id="0"/>
      </w:r>
      <w:bookmarkEnd w:id="8"/>
      <w:bookmarkEnd w:id="9"/>
      <w:bookmarkEnd w:id="10"/>
    </w:p>
    <w:tbl>
      <w:tblPr>
        <w:tblStyle w:val="39"/>
        <w:tblW w:w="9018" w:type="dxa"/>
        <w:tblInd w:w="-278" w:type="dxa"/>
        <w:tblLayout w:type="fixed"/>
        <w:tblCellMar>
          <w:top w:w="0" w:type="dxa"/>
          <w:left w:w="108" w:type="dxa"/>
          <w:bottom w:w="0" w:type="dxa"/>
          <w:right w:w="108" w:type="dxa"/>
        </w:tblCellMar>
      </w:tblPr>
      <w:tblGrid>
        <w:gridCol w:w="1526"/>
        <w:gridCol w:w="2743"/>
        <w:gridCol w:w="4749"/>
      </w:tblGrid>
      <w:tr>
        <w:tblPrEx>
          <w:tblCellMar>
            <w:top w:w="0" w:type="dxa"/>
            <w:left w:w="108" w:type="dxa"/>
            <w:bottom w:w="0" w:type="dxa"/>
            <w:right w:w="108" w:type="dxa"/>
          </w:tblCellMar>
        </w:tblPrEx>
        <w:trPr>
          <w:trHeight w:val="387" w:hRule="atLeast"/>
          <w:tblHeader/>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条  款  名  称</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编  列  内  容</w:t>
            </w:r>
          </w:p>
        </w:tc>
      </w:tr>
      <w:tr>
        <w:tblPrEx>
          <w:tblCellMar>
            <w:top w:w="0" w:type="dxa"/>
            <w:left w:w="108" w:type="dxa"/>
            <w:bottom w:w="0" w:type="dxa"/>
            <w:right w:w="108" w:type="dxa"/>
          </w:tblCellMar>
        </w:tblPrEx>
        <w:trPr>
          <w:trHeight w:val="45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询价</w:t>
            </w:r>
          </w:p>
        </w:tc>
      </w:tr>
      <w:tr>
        <w:tblPrEx>
          <w:tblCellMar>
            <w:top w:w="0" w:type="dxa"/>
            <w:left w:w="108" w:type="dxa"/>
            <w:bottom w:w="0" w:type="dxa"/>
            <w:right w:w="108" w:type="dxa"/>
          </w:tblCellMar>
        </w:tblPrEx>
        <w:trPr>
          <w:trHeight w:val="56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评审办法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最低价法</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 xml:space="preserve">不组织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采购预备会</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 xml:space="preserve">不召开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（A、C）</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不得分包的内容：</w:t>
            </w:r>
            <w:r>
              <w:rPr>
                <w:rFonts w:hint="eastAsia" w:ascii="宋体" w:hAnsi="宋体" w:eastAsia="宋体" w:cs="宋体"/>
                <w:color w:val="auto"/>
                <w:sz w:val="24"/>
                <w:highlight w:val="none"/>
                <w:u w:val="single"/>
              </w:rPr>
              <w:t>不允许分包</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对分包供应商的要求：</w:t>
            </w:r>
            <w:r>
              <w:rPr>
                <w:rFonts w:hint="eastAsia" w:ascii="宋体" w:hAnsi="宋体" w:eastAsia="宋体" w:cs="宋体"/>
                <w:color w:val="auto"/>
                <w:sz w:val="24"/>
                <w:highlight w:val="none"/>
                <w:u w:val="single"/>
              </w:rPr>
              <w:t>不允许分包</w:t>
            </w:r>
            <w:r>
              <w:rPr>
                <w:rFonts w:hint="eastAsia" w:ascii="宋体" w:hAnsi="宋体" w:eastAsia="宋体" w:cs="宋体"/>
                <w:color w:val="auto"/>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1.10.2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对非关键条款的偏差</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允许偏差的范围：细微偏差</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允许偏差的项数：</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项</w:t>
            </w:r>
            <w:r>
              <w:rPr>
                <w:rFonts w:hint="eastAsia" w:ascii="宋体" w:hAnsi="宋体" w:eastAsia="宋体" w:cs="宋体"/>
                <w:color w:val="auto"/>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2.1(7)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构成采购文件的其他资料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资料名称：无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3.1.1（9）</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构成响应文件的其他资料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资料名称：无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采购标的数量增减幅度</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采购标的数量增减幅度：10%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3.2.3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最高限价或其计算方法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有，最高限价：</w:t>
            </w:r>
            <w:r>
              <w:rPr>
                <w:rFonts w:hint="eastAsia" w:ascii="宋体" w:hAnsi="宋体" w:cs="宋体"/>
                <w:color w:val="auto"/>
                <w:sz w:val="24"/>
                <w:highlight w:val="none"/>
                <w:lang w:val="en-US" w:eastAsia="zh-CN"/>
              </w:rPr>
              <w:t>伍仟伍佰</w:t>
            </w:r>
            <w:r>
              <w:rPr>
                <w:rFonts w:hint="eastAsia" w:ascii="宋体" w:hAnsi="宋体" w:eastAsia="宋体" w:cs="宋体"/>
                <w:b w:val="0"/>
                <w:bCs w:val="0"/>
                <w:color w:val="auto"/>
                <w:sz w:val="24"/>
                <w:szCs w:val="24"/>
                <w:highlight w:val="none"/>
                <w:lang w:val="en-US" w:eastAsia="zh-CN"/>
              </w:rPr>
              <w:t>圆</w:t>
            </w:r>
            <w:r>
              <w:rPr>
                <w:rFonts w:hint="eastAsia" w:ascii="宋体" w:hAnsi="宋体" w:cs="宋体"/>
                <w:b w:val="0"/>
                <w:bCs w:val="0"/>
                <w:color w:val="auto"/>
                <w:sz w:val="24"/>
                <w:szCs w:val="24"/>
                <w:highlight w:val="none"/>
                <w:lang w:val="en-US" w:eastAsia="zh-CN"/>
              </w:rPr>
              <w:t>/平方米</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5500.00/M</w:t>
            </w:r>
            <w:r>
              <w:rPr>
                <w:rFonts w:hint="eastAsia" w:ascii="宋体" w:hAnsi="宋体" w:cs="宋体"/>
                <w:b w:val="0"/>
                <w:bCs w:val="0"/>
                <w:color w:val="auto"/>
                <w:sz w:val="24"/>
                <w:szCs w:val="24"/>
                <w:highlight w:val="none"/>
                <w:vertAlign w:val="superscript"/>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本项要求</w:t>
            </w:r>
            <w:r>
              <w:rPr>
                <w:rFonts w:hint="eastAsia" w:ascii="宋体" w:hAnsi="宋体" w:eastAsia="宋体" w:cs="宋体"/>
                <w:b w:val="0"/>
                <w:bCs w:val="0"/>
                <w:color w:val="auto"/>
                <w:sz w:val="24"/>
                <w:szCs w:val="24"/>
                <w:highlight w:val="none"/>
                <w:u w:val="none"/>
                <w:lang w:val="en-US" w:eastAsia="zh-CN"/>
              </w:rPr>
              <w:t>提供</w:t>
            </w: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3%的增值税专用发票，超过最高限价的作废。如果报价人提供其他税率的增值税专用发票，招标人按</w:t>
            </w: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3%的增值税税率调整报价后参与排序。</w:t>
            </w:r>
            <w:r>
              <w:rPr>
                <w:rFonts w:hint="eastAsia" w:ascii="宋体" w:hAnsi="宋体" w:eastAsia="宋体" w:cs="宋体"/>
                <w:color w:val="auto"/>
                <w:sz w:val="24"/>
                <w:highlight w:val="none"/>
              </w:rPr>
              <w:t xml:space="preserve">                         </w:t>
            </w:r>
          </w:p>
        </w:tc>
      </w:tr>
      <w:tr>
        <w:tblPrEx>
          <w:tblCellMar>
            <w:top w:w="0" w:type="dxa"/>
            <w:left w:w="108" w:type="dxa"/>
            <w:bottom w:w="0" w:type="dxa"/>
            <w:right w:w="108" w:type="dxa"/>
          </w:tblCellMar>
        </w:tblPrEx>
        <w:trPr>
          <w:trHeight w:val="9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3.2.4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报价的其他要求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本项目采取清单报价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按实结算。</w:t>
            </w:r>
            <w:r>
              <w:rPr>
                <w:rFonts w:hint="eastAsia" w:ascii="宋体" w:hAnsi="宋体" w:eastAsia="宋体" w:cs="宋体"/>
                <w:color w:val="auto"/>
                <w:sz w:val="24"/>
                <w:highlight w:val="none"/>
              </w:rPr>
              <w:t xml:space="preserve">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响应文件有效期</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递交响应文件截止之日起90日                                        </w:t>
            </w:r>
          </w:p>
        </w:tc>
      </w:tr>
      <w:tr>
        <w:tblPrEx>
          <w:tblCellMar>
            <w:top w:w="0" w:type="dxa"/>
            <w:left w:w="108" w:type="dxa"/>
            <w:bottom w:w="0" w:type="dxa"/>
            <w:right w:w="108" w:type="dxa"/>
          </w:tblCellMar>
        </w:tblPrEx>
        <w:trPr>
          <w:trHeight w:val="88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 xml:space="preserve">不要求递交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无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3.4.3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不退还响应保证金的其他情形</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无                                                             </w:t>
            </w:r>
          </w:p>
        </w:tc>
      </w:tr>
      <w:tr>
        <w:tblPrEx>
          <w:tblCellMar>
            <w:top w:w="0" w:type="dxa"/>
            <w:left w:w="108" w:type="dxa"/>
            <w:bottom w:w="0" w:type="dxa"/>
            <w:right w:w="108" w:type="dxa"/>
          </w:tblCellMar>
        </w:tblPrEx>
        <w:trPr>
          <w:trHeight w:val="8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hint="eastAsia" w:ascii="宋体" w:hAnsi="宋体" w:eastAsia="宋体" w:cs="宋体"/>
                <w:b w:val="0"/>
                <w:color w:val="auto"/>
                <w:sz w:val="24"/>
                <w:highlight w:val="none"/>
              </w:rPr>
            </w:pPr>
            <w:r>
              <w:rPr>
                <w:rStyle w:val="42"/>
                <w:rFonts w:hint="eastAsia" w:ascii="宋体" w:hAnsi="宋体" w:eastAsia="宋体" w:cs="宋体"/>
                <w:b w:val="0"/>
                <w:color w:val="auto"/>
                <w:sz w:val="24"/>
                <w:highlight w:val="none"/>
              </w:rPr>
              <w:t>依法设立的证明材料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适用。供应商应提供市场监管部门或其他行政机关颁发的</w:t>
            </w:r>
            <w:r>
              <w:rPr>
                <w:rFonts w:hint="eastAsia" w:ascii="宋体" w:hAnsi="宋体" w:eastAsia="宋体" w:cs="宋体"/>
                <w:color w:val="auto"/>
                <w:sz w:val="24"/>
                <w:highlight w:val="none"/>
                <w:lang w:val="en-US" w:eastAsia="zh-CN"/>
              </w:rPr>
              <w:t>有效营业</w:t>
            </w:r>
            <w:r>
              <w:rPr>
                <w:rFonts w:hint="eastAsia" w:ascii="宋体" w:hAnsi="宋体" w:eastAsia="宋体" w:cs="宋体"/>
                <w:color w:val="auto"/>
                <w:sz w:val="24"/>
                <w:highlight w:val="none"/>
              </w:rPr>
              <w:t>执照或证书。</w:t>
            </w:r>
          </w:p>
        </w:tc>
      </w:tr>
      <w:tr>
        <w:tblPrEx>
          <w:tblCellMar>
            <w:top w:w="0" w:type="dxa"/>
            <w:left w:w="108" w:type="dxa"/>
            <w:bottom w:w="0" w:type="dxa"/>
            <w:right w:w="108" w:type="dxa"/>
          </w:tblCellMar>
        </w:tblPrEx>
        <w:trPr>
          <w:trHeight w:val="44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3.5（2）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Style w:val="42"/>
                <w:rFonts w:hint="eastAsia" w:ascii="宋体" w:hAnsi="宋体" w:eastAsia="宋体" w:cs="宋体"/>
                <w:b w:val="0"/>
                <w:color w:val="auto"/>
                <w:sz w:val="24"/>
                <w:highlight w:val="none"/>
              </w:rPr>
              <w:t>资质要求证明材料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不适用</w:t>
            </w:r>
          </w:p>
        </w:tc>
      </w:tr>
      <w:tr>
        <w:tblPrEx>
          <w:tblCellMar>
            <w:top w:w="0" w:type="dxa"/>
            <w:left w:w="108" w:type="dxa"/>
            <w:bottom w:w="0" w:type="dxa"/>
            <w:right w:w="108" w:type="dxa"/>
          </w:tblCellMar>
        </w:tblPrEx>
        <w:trPr>
          <w:trHeight w:val="46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3.5（3）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hint="eastAsia" w:ascii="宋体" w:hAnsi="宋体" w:eastAsia="宋体" w:cs="宋体"/>
                <w:b w:val="0"/>
                <w:color w:val="auto"/>
                <w:sz w:val="24"/>
                <w:highlight w:val="none"/>
              </w:rPr>
            </w:pPr>
            <w:r>
              <w:rPr>
                <w:rStyle w:val="42"/>
                <w:rFonts w:hint="eastAsia" w:ascii="宋体" w:hAnsi="宋体" w:eastAsia="宋体" w:cs="宋体"/>
                <w:b w:val="0"/>
                <w:color w:val="auto"/>
                <w:sz w:val="24"/>
                <w:highlight w:val="none"/>
              </w:rPr>
              <w:t>财务要求证明材料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不适用</w:t>
            </w:r>
          </w:p>
        </w:tc>
      </w:tr>
      <w:tr>
        <w:tblPrEx>
          <w:tblCellMar>
            <w:top w:w="0" w:type="dxa"/>
            <w:left w:w="108" w:type="dxa"/>
            <w:bottom w:w="0" w:type="dxa"/>
            <w:right w:w="108" w:type="dxa"/>
          </w:tblCellMar>
        </w:tblPrEx>
        <w:trPr>
          <w:trHeight w:val="513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3.5（4）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业绩要求证明材料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适用。供应商应提供近年的</w:t>
            </w:r>
            <w:r>
              <w:rPr>
                <w:rFonts w:hint="eastAsia" w:ascii="宋体" w:hAnsi="宋体" w:eastAsia="宋体" w:cs="宋体"/>
                <w:color w:val="auto"/>
                <w:sz w:val="24"/>
                <w:highlight w:val="none"/>
                <w:lang w:val="en-US" w:eastAsia="zh-CN"/>
              </w:rPr>
              <w:t>滚筒包胶</w:t>
            </w:r>
            <w:r>
              <w:rPr>
                <w:rFonts w:hint="eastAsia" w:ascii="宋体" w:hAnsi="宋体" w:eastAsia="宋体" w:cs="宋体"/>
                <w:color w:val="auto"/>
                <w:sz w:val="24"/>
                <w:highlight w:val="none"/>
              </w:rPr>
              <w:t>项目情况表（格式见第六章“响应文件格式”七、资格审查资料（三）近年的类似项目情况表），以证明供应商具有承担本项目要求的业绩。近年是指</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20日</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20日</w:t>
            </w:r>
          </w:p>
          <w:p>
            <w:pPr>
              <w:widowControl w:val="0"/>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业绩证明材料：</w:t>
            </w:r>
          </w:p>
          <w:p>
            <w:pPr>
              <w:widowControl w:val="0"/>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合同/订单</w:t>
            </w:r>
          </w:p>
          <w:p>
            <w:pPr>
              <w:widowControl w:val="0"/>
              <w:spacing w:line="288"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lang w:val="en-US" w:eastAsia="zh-CN"/>
              </w:rPr>
              <w:t>结算发票/付款证明</w:t>
            </w:r>
          </w:p>
          <w:p>
            <w:pPr>
              <w:widowControl w:val="0"/>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业绩证明材料种类要求：</w:t>
            </w:r>
          </w:p>
          <w:p>
            <w:pPr>
              <w:widowControl w:val="0"/>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sym w:font="Wingdings 2" w:char="0052"/>
            </w:r>
            <w:r>
              <w:rPr>
                <w:rFonts w:hint="eastAsia" w:ascii="宋体" w:hAnsi="宋体" w:eastAsia="宋体" w:cs="宋体"/>
                <w:color w:val="auto"/>
                <w:sz w:val="24"/>
                <w:highlight w:val="none"/>
              </w:rPr>
              <w:t>需同时提供上述勾选的所有证明材料</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☑其他要求：</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金额不限，单个滚筒陶瓷包胶不小于4平方米，</w:t>
            </w:r>
            <w:r>
              <w:rPr>
                <w:rFonts w:hint="eastAsia" w:ascii="宋体" w:hAnsi="宋体" w:eastAsia="宋体" w:cs="宋体"/>
                <w:color w:val="auto"/>
                <w:sz w:val="24"/>
                <w:highlight w:val="none"/>
                <w:u w:val="single"/>
              </w:rPr>
              <w:t>至少提供</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份业绩证明材料，提供复印件并加盖单位公章。</w:t>
            </w:r>
            <w:r>
              <w:rPr>
                <w:rFonts w:hint="eastAsia" w:ascii="宋体" w:hAnsi="宋体" w:eastAsia="宋体" w:cs="宋体"/>
                <w:color w:val="auto"/>
                <w:sz w:val="24"/>
                <w:highlight w:val="none"/>
              </w:rPr>
              <w:t xml:space="preserve">                </w:t>
            </w:r>
          </w:p>
        </w:tc>
      </w:tr>
      <w:tr>
        <w:tblPrEx>
          <w:tblCellMar>
            <w:top w:w="0" w:type="dxa"/>
            <w:left w:w="108" w:type="dxa"/>
            <w:bottom w:w="0" w:type="dxa"/>
            <w:right w:w="108" w:type="dxa"/>
          </w:tblCellMar>
        </w:tblPrEx>
        <w:trPr>
          <w:trHeight w:val="47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3.5（5）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信誉要求证明材料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pStyle w:val="3"/>
              <w:spacing w:after="0" w:line="312"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适用供应商应提供相关信誉情况的证明材料，包括：</w:t>
            </w:r>
          </w:p>
          <w:p>
            <w:pPr>
              <w:pStyle w:val="3"/>
              <w:spacing w:after="0" w:line="312" w:lineRule="auto"/>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1）在</w:t>
            </w:r>
            <w:r>
              <w:rPr>
                <w:rFonts w:hint="eastAsia" w:ascii="宋体" w:hAnsi="宋体" w:eastAsia="宋体" w:cs="宋体"/>
                <w:color w:val="auto"/>
                <w:sz w:val="21"/>
                <w:szCs w:val="21"/>
              </w:rPr>
              <w:t>国</w:t>
            </w:r>
            <w:r>
              <w:rPr>
                <w:rFonts w:hint="eastAsia" w:ascii="宋体" w:hAnsi="宋体" w:eastAsia="宋体" w:cs="宋体"/>
                <w:color w:val="auto"/>
                <w:sz w:val="21"/>
                <w:szCs w:val="21"/>
                <w:lang w:val="en-US" w:eastAsia="zh-CN"/>
              </w:rPr>
              <w:t>家</w:t>
            </w:r>
            <w:r>
              <w:rPr>
                <w:rFonts w:hint="eastAsia" w:ascii="宋体" w:hAnsi="宋体" w:eastAsia="宋体" w:cs="宋体"/>
                <w:color w:val="auto"/>
                <w:sz w:val="21"/>
                <w:szCs w:val="21"/>
              </w:rPr>
              <w:t>企业信用信息公示系统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https://www.gsxt.gov.cn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中未列入严重违法失信企业名单的网页截图</w:t>
            </w:r>
            <w:r>
              <w:rPr>
                <w:rFonts w:hint="eastAsia" w:ascii="宋体" w:hAnsi="宋体" w:eastAsia="宋体" w:cs="宋体"/>
                <w:color w:val="auto"/>
                <w:sz w:val="21"/>
                <w:szCs w:val="21"/>
                <w:lang w:eastAsia="zh-CN"/>
              </w:rPr>
              <w:t>。</w:t>
            </w:r>
            <w:r>
              <w:rPr>
                <w:rFonts w:hint="eastAsia" w:ascii="宋体" w:hAnsi="宋体" w:eastAsia="宋体" w:cs="宋体"/>
                <w:color w:val="auto"/>
                <w:sz w:val="24"/>
                <w:highlight w:val="none"/>
              </w:rPr>
              <w:t>加盖公章。</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被最高人民法院在“信用中国”网站（www.creditchina.gov.cn）中未列入失信被执行人名单的网页截图</w:t>
            </w:r>
            <w:r>
              <w:rPr>
                <w:rFonts w:hint="eastAsia" w:ascii="宋体" w:hAnsi="宋体" w:eastAsia="宋体" w:cs="宋体"/>
                <w:color w:val="auto"/>
                <w:sz w:val="21"/>
                <w:szCs w:val="21"/>
                <w:lang w:eastAsia="zh-CN"/>
              </w:rPr>
              <w:t>。</w:t>
            </w:r>
            <w:r>
              <w:rPr>
                <w:rFonts w:hint="eastAsia" w:ascii="宋体" w:hAnsi="宋体" w:eastAsia="宋体" w:cs="宋体"/>
                <w:color w:val="auto"/>
                <w:sz w:val="24"/>
                <w:highlight w:val="none"/>
              </w:rPr>
              <w:t>加盖公章。</w:t>
            </w:r>
          </w:p>
        </w:tc>
      </w:tr>
      <w:tr>
        <w:tblPrEx>
          <w:tblCellMar>
            <w:top w:w="0" w:type="dxa"/>
            <w:left w:w="108" w:type="dxa"/>
            <w:bottom w:w="0" w:type="dxa"/>
            <w:right w:w="108" w:type="dxa"/>
          </w:tblCellMar>
        </w:tblPrEx>
        <w:trPr>
          <w:trHeight w:val="35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3.5（6）</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承担本项目的主要人员要求证明材料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sym w:font="Wingdings 2" w:char="0052"/>
            </w:r>
            <w:r>
              <w:rPr>
                <w:rFonts w:hint="eastAsia" w:ascii="宋体" w:hAnsi="宋体" w:eastAsia="宋体" w:cs="宋体"/>
                <w:color w:val="auto"/>
                <w:sz w:val="24"/>
                <w:highlight w:val="none"/>
                <w:u w:val="none"/>
                <w:lang w:val="en-US" w:eastAsia="zh-CN"/>
              </w:rPr>
              <w:t>不</w:t>
            </w:r>
            <w:r>
              <w:rPr>
                <w:rFonts w:hint="eastAsia" w:ascii="宋体" w:hAnsi="宋体" w:eastAsia="宋体" w:cs="宋体"/>
                <w:color w:val="auto"/>
                <w:sz w:val="24"/>
                <w:highlight w:val="none"/>
                <w:u w:val="none"/>
              </w:rPr>
              <w:t>适用。</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3.5（7）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其他要求的证明材料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CellMar>
            <w:top w:w="0" w:type="dxa"/>
            <w:left w:w="108" w:type="dxa"/>
            <w:bottom w:w="0" w:type="dxa"/>
            <w:right w:w="108" w:type="dxa"/>
          </w:tblCellMar>
        </w:tblPrEx>
        <w:trPr>
          <w:trHeight w:val="118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3.5（8）</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供应商不存在第一章3.1款情形的证明材料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lang w:val="en-US" w:eastAsia="zh-CN"/>
              </w:rPr>
              <w:t>适用。需要提供证明材料，包括:提供承诺函。</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3.6.1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对关键条款进行响应的证据或证明材料要求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提供证据或证明材料复印件，并加盖单位公章。</w:t>
            </w:r>
          </w:p>
        </w:tc>
      </w:tr>
      <w:tr>
        <w:tblPrEx>
          <w:tblCellMar>
            <w:top w:w="0" w:type="dxa"/>
            <w:left w:w="108" w:type="dxa"/>
            <w:bottom w:w="0" w:type="dxa"/>
            <w:right w:w="108" w:type="dxa"/>
          </w:tblCellMar>
        </w:tblPrEx>
        <w:trPr>
          <w:trHeight w:val="69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3.6.2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响应方案数量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供应商只能提出唯一响应方案</w:t>
            </w:r>
          </w:p>
        </w:tc>
      </w:tr>
      <w:tr>
        <w:tblPrEx>
          <w:tblCellMar>
            <w:top w:w="0" w:type="dxa"/>
            <w:left w:w="108" w:type="dxa"/>
            <w:bottom w:w="0" w:type="dxa"/>
            <w:right w:w="108" w:type="dxa"/>
          </w:tblCellMar>
        </w:tblPrEx>
        <w:trPr>
          <w:trHeight w:val="8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3.7.5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响应文件及电子版要求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是否要求提供电子版响应文件：</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lang w:val="en-US" w:eastAsia="zh-CN"/>
              </w:rPr>
              <w:t>不</w:t>
            </w:r>
            <w:r>
              <w:rPr>
                <w:rFonts w:hint="eastAsia" w:ascii="宋体" w:hAnsi="宋体" w:eastAsia="宋体" w:cs="宋体"/>
                <w:color w:val="auto"/>
                <w:sz w:val="24"/>
                <w:highlight w:val="none"/>
              </w:rPr>
              <w:t>要求</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响应文件的密封</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响应文件须密封包装，并在封套的封口处加盖供应商单位章。</w:t>
            </w:r>
          </w:p>
        </w:tc>
      </w:tr>
      <w:tr>
        <w:tblPrEx>
          <w:tblCellMar>
            <w:top w:w="0" w:type="dxa"/>
            <w:left w:w="108" w:type="dxa"/>
            <w:bottom w:w="0" w:type="dxa"/>
            <w:right w:w="108" w:type="dxa"/>
          </w:tblCellMar>
        </w:tblPrEx>
        <w:trPr>
          <w:trHeight w:val="1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4.1.2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封套上应载明的信息</w:t>
            </w:r>
          </w:p>
        </w:tc>
        <w:tc>
          <w:tcPr>
            <w:tcW w:w="4749"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适用：</w:t>
            </w:r>
            <w:r>
              <w:rPr>
                <w:rFonts w:hint="eastAsia" w:ascii="宋体" w:hAnsi="宋体" w:eastAsia="宋体" w:cs="宋体"/>
                <w:b w:val="0"/>
                <w:bCs/>
                <w:color w:val="auto"/>
                <w:sz w:val="24"/>
                <w:szCs w:val="24"/>
                <w:highlight w:val="none"/>
                <w:u w:val="single"/>
                <w:lang w:eastAsia="zh-CN"/>
              </w:rPr>
              <w:t>岳阳城陵矶港务有限责任公司2023年滚筒陶瓷包胶</w:t>
            </w:r>
            <w:r>
              <w:rPr>
                <w:rFonts w:hint="eastAsia" w:ascii="宋体" w:hAnsi="宋体" w:eastAsia="宋体" w:cs="宋体"/>
                <w:b w:val="0"/>
                <w:bCs/>
                <w:color w:val="auto"/>
                <w:sz w:val="24"/>
                <w:szCs w:val="24"/>
                <w:highlight w:val="none"/>
                <w:u w:val="single"/>
                <w:lang w:val="en-US" w:eastAsia="zh-CN"/>
              </w:rPr>
              <w:t>项目</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4.2.1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递交响应文件截止时间和地点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lang w:val="en-US" w:eastAsia="zh-CN"/>
              </w:rPr>
              <w:t>2023年9月</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lang w:val="en-US" w:eastAsia="zh-CN"/>
              </w:rPr>
              <w:t>日</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lang w:val="en-US" w:eastAsia="zh-CN"/>
              </w:rPr>
              <w:t>时0</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分</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递交响应文件的地点：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岳阳</w:t>
            </w:r>
            <w:r>
              <w:rPr>
                <w:rFonts w:hint="eastAsia" w:ascii="宋体" w:hAnsi="宋体" w:cs="宋体"/>
                <w:color w:val="auto"/>
                <w:sz w:val="24"/>
                <w:highlight w:val="none"/>
                <w:u w:val="single"/>
                <w:lang w:val="en-US" w:eastAsia="zh-CN"/>
              </w:rPr>
              <w:t>城陵矶港务有限责任公司办公楼420</w:t>
            </w:r>
            <w:r>
              <w:rPr>
                <w:rFonts w:hint="eastAsia" w:ascii="宋体" w:hAnsi="宋体" w:eastAsia="宋体" w:cs="宋体"/>
                <w:color w:val="auto"/>
                <w:sz w:val="24"/>
                <w:highlight w:val="none"/>
                <w:u w:val="single"/>
                <w:lang w:val="en-US" w:eastAsia="zh-CN"/>
              </w:rPr>
              <w:t>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是否退还响应文件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否</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4.3.3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供应商撤回响应文件情况下退还响应保证金的时间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CellMar>
            <w:top w:w="0" w:type="dxa"/>
            <w:left w:w="108" w:type="dxa"/>
            <w:bottom w:w="0" w:type="dxa"/>
            <w:right w:w="108" w:type="dxa"/>
          </w:tblCellMar>
        </w:tblPrEx>
        <w:trPr>
          <w:trHeight w:val="63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是否公开开启响应文件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否</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开启地点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湖南省港务集团有限公司602室</w:t>
            </w:r>
            <w:r>
              <w:rPr>
                <w:rFonts w:hint="eastAsia" w:ascii="宋体" w:hAnsi="宋体" w:eastAsia="宋体" w:cs="宋体"/>
                <w:color w:val="auto"/>
                <w:sz w:val="24"/>
                <w:highlight w:val="none"/>
                <w:u w:val="single"/>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5.2（4）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开启程序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开启顺序：</w:t>
            </w:r>
            <w:r>
              <w:rPr>
                <w:rFonts w:hint="eastAsia" w:ascii="宋体" w:hAnsi="宋体" w:eastAsia="宋体" w:cs="宋体"/>
                <w:color w:val="auto"/>
                <w:sz w:val="24"/>
                <w:highlight w:val="none"/>
                <w:u w:val="single"/>
              </w:rPr>
              <w:t xml:space="preserve"> 随机 </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评审小组的组建</w:t>
            </w:r>
            <w:r>
              <w:rPr>
                <w:rStyle w:val="48"/>
                <w:rFonts w:hint="eastAsia" w:ascii="宋体" w:hAnsi="宋体" w:eastAsia="宋体" w:cs="宋体"/>
                <w:color w:val="auto"/>
                <w:sz w:val="24"/>
                <w:highlight w:val="none"/>
              </w:rPr>
              <w:footnoteReference w:id="1"/>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评标小组构成：</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人。</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评审专家确定方式：在湖南省湘水集团有限公司综合评标专家库中随机抽取</w:t>
            </w:r>
            <w:r>
              <w:rPr>
                <w:rFonts w:hint="eastAsia" w:ascii="宋体" w:hAnsi="宋体" w:eastAsia="宋体" w:cs="宋体"/>
                <w:color w:val="auto"/>
                <w:sz w:val="24"/>
                <w:highlight w:val="none"/>
                <w:u w:val="none"/>
                <w:lang w:val="en-US" w:eastAsia="zh-CN"/>
              </w:rPr>
              <w:t>2人，业主代表1人</w:t>
            </w:r>
            <w:r>
              <w:rPr>
                <w:rFonts w:hint="eastAsia" w:ascii="宋体" w:hAnsi="宋体" w:eastAsia="宋体" w:cs="宋体"/>
                <w:color w:val="auto"/>
                <w:sz w:val="24"/>
                <w:highlight w:val="none"/>
              </w:rPr>
              <w:t>。</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评审小组推荐成交候选供应商的数量</w:t>
            </w:r>
            <w:r>
              <w:rPr>
                <w:rStyle w:val="48"/>
                <w:rFonts w:hint="eastAsia" w:ascii="宋体" w:hAnsi="宋体" w:eastAsia="宋体" w:cs="宋体"/>
                <w:color w:val="auto"/>
                <w:sz w:val="24"/>
                <w:highlight w:val="none"/>
              </w:rPr>
              <w:footnoteReference w:id="2"/>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 xml:space="preserve"> </w:t>
            </w:r>
            <w:r>
              <w:rPr>
                <w:rFonts w:hint="eastAsia" w:ascii="宋体" w:hAnsi="宋体" w:cs="宋体"/>
                <w:b w:val="0"/>
                <w:bCs w:val="0"/>
                <w:color w:val="auto"/>
                <w:sz w:val="24"/>
                <w:highlight w:val="none"/>
                <w:lang w:val="en-US" w:eastAsia="zh-CN"/>
              </w:rPr>
              <w:t>2-</w:t>
            </w:r>
            <w:bookmarkStart w:id="54" w:name="_GoBack"/>
            <w:bookmarkEnd w:id="54"/>
            <w:r>
              <w:rPr>
                <w:rFonts w:hint="eastAsia" w:ascii="宋体" w:hAnsi="宋体" w:eastAsia="宋体" w:cs="宋体"/>
                <w:b w:val="0"/>
                <w:bCs w:val="0"/>
                <w:color w:val="auto"/>
                <w:sz w:val="24"/>
                <w:highlight w:val="none"/>
                <w:lang w:val="en-US" w:eastAsia="zh-CN"/>
              </w:rPr>
              <w:t>3人</w:t>
            </w:r>
          </w:p>
        </w:tc>
      </w:tr>
      <w:tr>
        <w:tblPrEx>
          <w:tblCellMar>
            <w:top w:w="0" w:type="dxa"/>
            <w:left w:w="108" w:type="dxa"/>
            <w:bottom w:w="0" w:type="dxa"/>
            <w:right w:w="108" w:type="dxa"/>
          </w:tblCellMar>
        </w:tblPrEx>
        <w:trPr>
          <w:trHeight w:val="94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6.7.2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推荐成交候选供应商的排序及数量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是否排序：</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☑排序</w:t>
            </w:r>
          </w:p>
        </w:tc>
      </w:tr>
      <w:tr>
        <w:tblPrEx>
          <w:tblCellMar>
            <w:top w:w="0" w:type="dxa"/>
            <w:left w:w="108" w:type="dxa"/>
            <w:bottom w:w="0" w:type="dxa"/>
            <w:right w:w="108" w:type="dxa"/>
          </w:tblCellMar>
        </w:tblPrEx>
        <w:trPr>
          <w:trHeight w:val="316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成交候选供应商公示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公示媒介：中国招标投标公共服务平台（http：//www.cebpubservice.com）、湖南省湘水集团有限公司网站（http：//www.hnsxsjt.co</w:t>
            </w:r>
            <w:r>
              <w:rPr>
                <w:rFonts w:hint="eastAsia" w:ascii="宋体" w:hAnsi="宋体" w:eastAsia="宋体" w:cs="宋体"/>
                <w:color w:val="auto"/>
                <w:sz w:val="24"/>
                <w:highlight w:val="none"/>
                <w:lang w:val="en-US" w:eastAsia="zh-CN"/>
              </w:rPr>
              <w:t>m</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湖南省港务集团有限公司门户网站（http://www.hnsgwjt.com/）上发布。</w:t>
            </w:r>
          </w:p>
          <w:p>
            <w:pPr>
              <w:spacing w:line="288" w:lineRule="auto"/>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公示期限：</w:t>
            </w:r>
            <w:r>
              <w:rPr>
                <w:rFonts w:hint="eastAsia" w:ascii="宋体" w:hAnsi="宋体" w:eastAsia="宋体" w:cs="宋体"/>
                <w:color w:val="auto"/>
                <w:sz w:val="24"/>
                <w:highlight w:val="none"/>
                <w:u w:val="single"/>
              </w:rPr>
              <w:t xml:space="preserve">   3日  </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其他应公示的内容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无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不要求提交</w:t>
            </w:r>
          </w:p>
        </w:tc>
      </w:tr>
      <w:tr>
        <w:tblPrEx>
          <w:tblCellMar>
            <w:top w:w="0" w:type="dxa"/>
            <w:left w:w="108" w:type="dxa"/>
            <w:bottom w:w="0" w:type="dxa"/>
            <w:right w:w="108" w:type="dxa"/>
          </w:tblCellMar>
        </w:tblPrEx>
        <w:trPr>
          <w:trHeight w:val="133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8.1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异议渠道</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李女士</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0730-3050153</w:t>
            </w:r>
            <w:r>
              <w:rPr>
                <w:rFonts w:hint="eastAsia" w:ascii="宋体" w:hAnsi="宋体" w:eastAsia="宋体" w:cs="宋体"/>
                <w:color w:val="auto"/>
                <w:sz w:val="24"/>
                <w:highlight w:val="none"/>
              </w:rPr>
              <w:t xml:space="preserve">                 </w:t>
            </w:r>
          </w:p>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通信地址：</w:t>
            </w:r>
            <w:r>
              <w:rPr>
                <w:rFonts w:hint="eastAsia" w:ascii="宋体" w:hAnsi="宋体" w:eastAsia="宋体" w:cs="宋体"/>
                <w:color w:val="auto"/>
                <w:sz w:val="24"/>
                <w:highlight w:val="none"/>
                <w:lang w:val="en-US" w:eastAsia="zh-CN"/>
              </w:rPr>
              <w:t>湖南岳阳城陵矶长江路2号</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采购代理服务费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不要求承担</w:t>
            </w:r>
          </w:p>
        </w:tc>
      </w:tr>
      <w:tr>
        <w:tblPrEx>
          <w:tblCellMar>
            <w:top w:w="0" w:type="dxa"/>
            <w:left w:w="108" w:type="dxa"/>
            <w:bottom w:w="0" w:type="dxa"/>
            <w:right w:w="108" w:type="dxa"/>
          </w:tblCellMar>
        </w:tblPrEx>
        <w:trPr>
          <w:trHeight w:val="40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bl>
    <w:p>
      <w:pPr>
        <w:spacing w:line="240" w:lineRule="auto"/>
        <w:jc w:val="center"/>
        <w:outlineLvl w:val="0"/>
        <w:rPr>
          <w:rFonts w:hint="eastAsia" w:ascii="宋体" w:hAnsi="宋体" w:eastAsia="宋体" w:cs="宋体"/>
          <w:color w:val="auto"/>
          <w:sz w:val="30"/>
          <w:szCs w:val="30"/>
          <w:highlight w:val="none"/>
          <w:u w:val="single"/>
        </w:rPr>
      </w:pPr>
      <w:r>
        <w:rPr>
          <w:rFonts w:hint="eastAsia" w:ascii="宋体" w:hAnsi="宋体" w:eastAsia="宋体" w:cs="宋体"/>
          <w:b/>
          <w:bCs/>
          <w:color w:val="auto"/>
          <w:sz w:val="30"/>
          <w:szCs w:val="30"/>
          <w:highlight w:val="none"/>
        </w:rPr>
        <w:br w:type="page"/>
      </w:r>
      <w:bookmarkStart w:id="11" w:name="_Toc12159"/>
      <w:r>
        <w:rPr>
          <w:rFonts w:hint="eastAsia" w:ascii="宋体" w:hAnsi="宋体" w:eastAsia="宋体" w:cs="宋体"/>
          <w:b/>
          <w:bCs/>
          <w:color w:val="auto"/>
          <w:sz w:val="30"/>
          <w:szCs w:val="30"/>
          <w:highlight w:val="none"/>
          <w:u w:val="single"/>
        </w:rPr>
        <w:t>第二章 供应商须知正文</w:t>
      </w:r>
      <w:bookmarkEnd w:id="11"/>
    </w:p>
    <w:p>
      <w:pPr>
        <w:adjustRightInd w:val="0"/>
        <w:snapToGrid w:val="0"/>
        <w:spacing w:before="120" w:beforeLines="50" w:after="120" w:afterLines="50"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总则</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1.1采购方法和评审办法</w:t>
      </w:r>
    </w:p>
    <w:p>
      <w:pPr>
        <w:pStyle w:val="72"/>
        <w:spacing w:before="120" w:after="120" w:line="312" w:lineRule="auto"/>
        <w:ind w:left="426" w:firstLine="48" w:firstLineChars="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本项目采用供应商须知前附表规定的采购方式和评审办法。</w:t>
      </w:r>
    </w:p>
    <w:p>
      <w:pPr>
        <w:pStyle w:val="66"/>
        <w:spacing w:line="312"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1.1.1采购方法</w:t>
      </w:r>
    </w:p>
    <w:p>
      <w:pPr>
        <w:pStyle w:val="66"/>
        <w:spacing w:line="312"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询价采购，是指按照规定程序就采购项目向符合资格要求的供应商进行询价，通过评审、比较确定成交供应商的采购方式。</w:t>
      </w:r>
    </w:p>
    <w:p>
      <w:pPr>
        <w:pStyle w:val="66"/>
        <w:spacing w:line="312"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1.1.2评审办法</w:t>
      </w:r>
    </w:p>
    <w:p>
      <w:pPr>
        <w:pStyle w:val="66"/>
        <w:spacing w:line="312"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1.2采购项目概况和供应商资格要求</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采购项目概况和供应商资格要求见第一章“采购公告”。</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 费用承担</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供应商准备和参加采购活动所发生的各种费用由供应商自行承担。</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1.4保密</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1.5语言文字</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采购文件和响应文件使用的语言文字为中文。专用术语使用外文的，应附有中文注释。</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1.6计量单位</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1.7踏勘现场（本项目不组织踏勘现场）</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1.8采购预备会（本项目不组织采购预备会）</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1.9主要材料和关键部件外购</w:t>
      </w:r>
    </w:p>
    <w:p>
      <w:pPr>
        <w:spacing w:line="312" w:lineRule="auto"/>
        <w:ind w:firstLine="453" w:firstLineChars="189"/>
        <w:jc w:val="both"/>
        <w:rPr>
          <w:rFonts w:hint="eastAsia" w:ascii="宋体" w:hAnsi="宋体" w:eastAsia="宋体" w:cs="宋体"/>
          <w:color w:val="auto"/>
          <w:highlight w:val="none"/>
        </w:rPr>
      </w:pPr>
      <w:r>
        <w:rPr>
          <w:rFonts w:hint="eastAsia" w:ascii="宋体" w:hAnsi="宋体" w:eastAsia="宋体" w:cs="宋体"/>
          <w:color w:val="auto"/>
          <w:sz w:val="24"/>
          <w:highlight w:val="none"/>
        </w:rPr>
        <w:t>供应商拟对主要材料和关键部件进行外购的，应符合第五章“采购需求”中提出的或允许外购的相关规定，并在响应文件中作出说明。</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1.10响应和偏差</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2采购文件</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2.1采购文件的组成</w:t>
      </w:r>
    </w:p>
    <w:p>
      <w:pPr>
        <w:adjustRightInd w:val="0"/>
        <w:snapToGrid w:val="0"/>
        <w:spacing w:line="312" w:lineRule="auto"/>
        <w:ind w:left="105" w:leftChars="50"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本采购文件包括:</w:t>
      </w:r>
    </w:p>
    <w:p>
      <w:pPr>
        <w:adjustRightInd w:val="0"/>
        <w:snapToGrid w:val="0"/>
        <w:spacing w:line="312" w:lineRule="auto"/>
        <w:ind w:left="105" w:leftChars="50"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(1)采购公告:</w:t>
      </w:r>
    </w:p>
    <w:p>
      <w:pPr>
        <w:adjustRightInd w:val="0"/>
        <w:snapToGrid w:val="0"/>
        <w:spacing w:line="312" w:lineRule="auto"/>
        <w:ind w:left="105" w:leftChars="50"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(2)供应商须知;</w:t>
      </w:r>
    </w:p>
    <w:p>
      <w:pPr>
        <w:adjustRightInd w:val="0"/>
        <w:snapToGrid w:val="0"/>
        <w:spacing w:line="312" w:lineRule="auto"/>
        <w:ind w:left="105" w:leftChars="50"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(3)评审办法;</w:t>
      </w:r>
    </w:p>
    <w:p>
      <w:pPr>
        <w:adjustRightInd w:val="0"/>
        <w:snapToGrid w:val="0"/>
        <w:spacing w:line="312" w:lineRule="auto"/>
        <w:ind w:left="105" w:leftChars="50"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(4)合同条款及格式;</w:t>
      </w:r>
    </w:p>
    <w:p>
      <w:pPr>
        <w:adjustRightInd w:val="0"/>
        <w:snapToGrid w:val="0"/>
        <w:spacing w:line="312" w:lineRule="auto"/>
        <w:ind w:left="105" w:leftChars="50"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(5)采购需求;</w:t>
      </w:r>
    </w:p>
    <w:p>
      <w:pPr>
        <w:adjustRightInd w:val="0"/>
        <w:snapToGrid w:val="0"/>
        <w:spacing w:line="312" w:lineRule="auto"/>
        <w:ind w:left="105" w:leftChars="50"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(6)响应文件格式;</w:t>
      </w:r>
    </w:p>
    <w:p>
      <w:pPr>
        <w:adjustRightInd w:val="0"/>
        <w:snapToGrid w:val="0"/>
        <w:spacing w:line="312" w:lineRule="auto"/>
        <w:ind w:left="105" w:leftChars="50"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(7)供应商须知前附表规定的其他资料。</w:t>
      </w:r>
    </w:p>
    <w:p>
      <w:pPr>
        <w:adjustRightInd w:val="0"/>
        <w:snapToGrid w:val="0"/>
        <w:spacing w:line="312" w:lineRule="auto"/>
        <w:ind w:left="105" w:leftChars="50"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采购人依照本章规定，对采购文件所作的澄清、修改，构成采购文件的组成部分。</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2.2采购文件的澄清和修改</w:t>
      </w:r>
    </w:p>
    <w:p>
      <w:pPr>
        <w:adjustRightInd w:val="0"/>
        <w:snapToGrid w:val="0"/>
        <w:spacing w:line="312" w:lineRule="auto"/>
        <w:ind w:left="105" w:leftChars="5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2.2.4除非确有必要，采购人有权拒绝回复供应商在本章第2.2.1项规定的时间后提出的任何澄清要求。</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3响应文件</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3.1响应文件的组成</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3.1.1响应文件应包括下列内容:</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(2)授权委托书(如有);</w:t>
      </w:r>
    </w:p>
    <w:p>
      <w:pPr>
        <w:adjustRightInd w:val="0"/>
        <w:snapToGrid w:val="0"/>
        <w:spacing w:line="312"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(3)商务和技术偏差表;</w:t>
      </w:r>
    </w:p>
    <w:p>
      <w:pPr>
        <w:adjustRightInd w:val="0"/>
        <w:snapToGrid w:val="0"/>
        <w:spacing w:line="312"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(4)报价表;</w:t>
      </w:r>
    </w:p>
    <w:p>
      <w:pPr>
        <w:adjustRightInd w:val="0"/>
        <w:snapToGrid w:val="0"/>
        <w:spacing w:line="312"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(5)资格审查资料;</w:t>
      </w:r>
    </w:p>
    <w:p>
      <w:pPr>
        <w:adjustRightInd w:val="0"/>
        <w:snapToGrid w:val="0"/>
        <w:spacing w:line="312"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(6)响应方案;</w:t>
      </w:r>
    </w:p>
    <w:p>
      <w:pPr>
        <w:adjustRightInd w:val="0"/>
        <w:snapToGrid w:val="0"/>
        <w:spacing w:line="312"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(7)供应商须知前附表规定的其他资料。</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供应商在评审过程中作出的符合采购文件要求的澄清、说明和补正，构成响应文件的组成部分。</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3.1.2供应商的法定代表人(单位负责人)亲自签署响应文件、亲自参加采购的，响应文件不包括第3.1.1(2)目所指的授权委托书。</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3.2报价</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3.2.4报价的其他要求见供应商须知前附表。</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3.3响应文件有效期</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3.4响应保证金（本项目不提交响应保证金）</w:t>
      </w:r>
    </w:p>
    <w:p>
      <w:pPr>
        <w:adjustRightInd w:val="0"/>
        <w:snapToGrid w:val="0"/>
        <w:spacing w:line="312" w:lineRule="auto"/>
        <w:ind w:left="120" w:hanging="120" w:hangingChars="50"/>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3.5资格审查资料</w:t>
      </w:r>
    </w:p>
    <w:p>
      <w:pPr>
        <w:adjustRightInd w:val="0"/>
        <w:snapToGrid w:val="0"/>
        <w:spacing w:line="312" w:lineRule="auto"/>
        <w:ind w:left="149" w:leftChars="71" w:firstLine="360" w:firstLineChars="15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供应商应提供供应商须知前附表3.5(1)-3.5(9)中规定的资格审查资料，以证明其满足第一章“采购公告”对供应商的各项资格要求。</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3.6响应方案</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3.7响应文件的编制</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3.7.1响应文件应按第六章“响应文件格式”进行编写，如有必要，可以增加附件作为响应文件的组成部分。</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3.7.2响应文件应用不褪色的的材料书写或打印。</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4响应文件的递交</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4.1响应文件的包装与标记</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4.1.1响应文件应安善包装。供应商须知前附表规定响应文件应密封的，响应文件应按要求密封。</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4.1.2响应文件封套上应载明的内容见供应商须知前附表。</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4.2响应文件的递交</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4.2.2除供应商须知前附表另有规定外，供应商所提交的响应文件不于退还。</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4.3响应文件的修改与撤回</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4.3.1在本章第4.2.1项规定的递交响应文件的截止时间前，供应商可以修改或撤回已递交的响应文件。</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4.3.3除供应商须知前附表另有规定外，供应商撤回响应文件的，采购人应在5日内退还已收取的响应保证金。</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5开启响应文件</w:t>
      </w:r>
    </w:p>
    <w:p>
      <w:pPr>
        <w:adjustRightInd w:val="0"/>
        <w:snapToGrid w:val="0"/>
        <w:spacing w:line="312" w:lineRule="auto"/>
        <w:ind w:firstLine="455" w:firstLineChars="189"/>
        <w:jc w:val="both"/>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采购人一般不公开开启响应文件。如</w:t>
      </w:r>
      <w:r>
        <w:rPr>
          <w:rFonts w:hint="eastAsia" w:ascii="宋体" w:hAnsi="宋体" w:eastAsia="宋体" w:cs="宋体"/>
          <w:color w:val="auto"/>
          <w:sz w:val="24"/>
          <w:highlight w:val="none"/>
        </w:rPr>
        <w:t>供应商须知前附表规定公开开启响应文件的，开启活动应按本条规定执行。</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5.1开启响应文件的时间和地点</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5.2开启程序</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主持人按下列程序公开开启响应文件:</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rPr>
          <w:rFonts w:hint="eastAsia" w:ascii="宋体" w:hAnsi="宋体" w:eastAsia="宋体" w:cs="宋体"/>
          <w:color w:val="auto"/>
          <w:highlight w:val="none"/>
        </w:rPr>
      </w:pPr>
      <w:r>
        <w:rPr>
          <w:rFonts w:hint="eastAsia" w:ascii="宋体" w:hAnsi="宋体" w:eastAsia="宋体" w:cs="宋体"/>
          <w:color w:val="auto"/>
          <w:sz w:val="24"/>
          <w:highlight w:val="none"/>
        </w:rPr>
        <w:t>(2)开启会议结束。</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5.3递交响应文件的供应商不足的情形</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6评审</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6.1评审小组</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6.1.1评审由采购人组建的评审小组负责。</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6.1.2评审小组成员有下列情形之的，应当回避:</w:t>
      </w:r>
    </w:p>
    <w:p>
      <w:pPr>
        <w:spacing w:line="312" w:lineRule="auto"/>
        <w:ind w:left="716" w:leftChars="284" w:hanging="120" w:hangingChars="50"/>
        <w:jc w:val="both"/>
        <w:rPr>
          <w:rFonts w:hint="eastAsia" w:ascii="宋体" w:hAnsi="宋体" w:eastAsia="宋体" w:cs="宋体"/>
          <w:color w:val="auto"/>
          <w:lang w:eastAsia="zh-CN"/>
        </w:rPr>
      </w:pPr>
      <w:r>
        <w:rPr>
          <w:rFonts w:hint="eastAsia" w:ascii="宋体" w:hAnsi="宋体" w:eastAsia="宋体" w:cs="宋体"/>
          <w:color w:val="auto"/>
          <w:sz w:val="24"/>
          <w:highlight w:val="none"/>
        </w:rPr>
        <w:t>（1）供应商主要负责人或供应商主要负责人的近亲属;</w:t>
      </w:r>
    </w:p>
    <w:p>
      <w:pPr>
        <w:adjustRightInd w:val="0"/>
        <w:snapToGrid w:val="0"/>
        <w:spacing w:line="312" w:lineRule="auto"/>
        <w:ind w:left="716" w:leftChars="284" w:hanging="120" w:hangingChars="5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(2)与供应商有经济利益关系或其他利害关系，可能影响公正评审的。</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6.1.3评审小组组建后，评审小组成员共同推选或或由采购人指定评审小组组长，评审小组组长负责组织评审工作。</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6.2评审</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6.2.1评审小组按照第三章“评审办法”规定的评审标准和程序对响应文件进行评审和比较。</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7合同授予</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7.1成交候选供应商报价核查</w:t>
      </w:r>
    </w:p>
    <w:p>
      <w:pPr>
        <w:widowControl w:val="0"/>
        <w:adjustRightInd w:val="0"/>
        <w:snapToGrid w:val="0"/>
        <w:spacing w:line="312" w:lineRule="auto"/>
        <w:ind w:firstLine="475" w:firstLineChars="198"/>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7.2成交候选供应商公示</w:t>
      </w:r>
    </w:p>
    <w:p>
      <w:pPr>
        <w:pStyle w:val="38"/>
        <w:rPr>
          <w:rFonts w:hint="eastAsia" w:ascii="宋体" w:hAnsi="宋体" w:eastAsia="宋体" w:cs="宋体"/>
          <w:color w:val="auto"/>
          <w:highlight w:val="none"/>
        </w:rPr>
      </w:pPr>
      <w:r>
        <w:rPr>
          <w:rFonts w:hint="eastAsia" w:ascii="宋体" w:hAnsi="宋体" w:eastAsia="宋体" w:cs="宋体"/>
          <w:color w:val="auto"/>
          <w:highlight w:val="none"/>
        </w:rPr>
        <w:t>采购人按照供应商须知前附表规定的公示媒介和期限公示成交候选供应商。</w:t>
      </w:r>
    </w:p>
    <w:p>
      <w:pPr>
        <w:widowControl w:val="0"/>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7.3成交结果异议 </w:t>
      </w:r>
    </w:p>
    <w:p>
      <w:pPr>
        <w:adjustRightInd w:val="0"/>
        <w:snapToGrid w:val="0"/>
        <w:spacing w:line="312" w:lineRule="auto"/>
        <w:ind w:firstLine="424" w:firstLineChars="177"/>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供应商或者其他利害关系人对采购结果有异议的，应当在成交候选供应商公示期间提出。</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7.4成交候选供应商履约能力核查</w:t>
      </w:r>
    </w:p>
    <w:p>
      <w:pPr>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7.5发出成交通知书</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7.6履约保证金（本项目不要求递交履约保证金）</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7.7签订合同</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7.7.3联合体成交的，联合体各方应当共同与采购人签订合同，就成交项目向采购人承担连带责任。</w:t>
      </w:r>
    </w:p>
    <w:p>
      <w:pPr>
        <w:adjustRightInd w:val="0"/>
        <w:snapToGrid w:val="0"/>
        <w:spacing w:line="312"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7.8特殊情形处理</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8异议</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8.1提出异议</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(1)异议人名称、地址、邮政编码、联系人及联系电话;</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(2)具体、明确的异议事项、事实依据及与异议事项相关的请求。</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异议函应由异议人的法定代表人(单位负责人)或其授权的代理人签字并加盖单位章。</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8.2异议处理</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采购人认为异议不成立或不影响采购结果的，可以继续进行采购活动。</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9纪律要求</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9.1对采购人的纪律要求</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9.2对供应商的纪律要求</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9.3对评审小组成员的纪律要求</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9.4对与采购活动有关的工作人员的纪律要求</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 需要补充的其他内容</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10.1其他</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需更补充的其他内容:见供应商须知前附表。</w:t>
      </w:r>
    </w:p>
    <w:p>
      <w:pPr>
        <w:spacing w:line="312" w:lineRule="auto"/>
        <w:jc w:val="both"/>
        <w:rPr>
          <w:rFonts w:hint="eastAsia" w:ascii="宋体" w:hAnsi="宋体" w:eastAsia="宋体" w:cs="宋体"/>
          <w:b/>
          <w:bCs/>
          <w:color w:val="auto"/>
          <w:sz w:val="24"/>
          <w:highlight w:val="none"/>
          <w:u w:val="single"/>
        </w:rPr>
      </w:pPr>
    </w:p>
    <w:p>
      <w:pPr>
        <w:spacing w:line="312" w:lineRule="auto"/>
        <w:jc w:val="both"/>
        <w:rPr>
          <w:rFonts w:hint="eastAsia" w:ascii="宋体" w:hAnsi="宋体" w:eastAsia="宋体" w:cs="宋体"/>
          <w:b/>
          <w:bCs/>
          <w:color w:val="auto"/>
          <w:sz w:val="24"/>
          <w:highlight w:val="none"/>
          <w:u w:val="single"/>
        </w:rPr>
      </w:pPr>
    </w:p>
    <w:p>
      <w:pPr>
        <w:spacing w:line="312" w:lineRule="auto"/>
        <w:jc w:val="both"/>
        <w:rPr>
          <w:rFonts w:hint="eastAsia" w:ascii="宋体" w:hAnsi="宋体" w:eastAsia="宋体" w:cs="宋体"/>
          <w:b/>
          <w:bCs/>
          <w:color w:val="auto"/>
          <w:sz w:val="24"/>
          <w:highlight w:val="none"/>
          <w:u w:val="single"/>
        </w:rPr>
      </w:pPr>
    </w:p>
    <w:p>
      <w:pPr>
        <w:spacing w:line="312" w:lineRule="auto"/>
        <w:jc w:val="both"/>
        <w:rPr>
          <w:rFonts w:hint="eastAsia" w:ascii="宋体" w:hAnsi="宋体" w:eastAsia="宋体" w:cs="宋体"/>
          <w:b/>
          <w:bCs/>
          <w:color w:val="auto"/>
          <w:sz w:val="24"/>
          <w:highlight w:val="none"/>
          <w:u w:val="single"/>
        </w:rPr>
      </w:pPr>
    </w:p>
    <w:p>
      <w:pPr>
        <w:spacing w:line="312" w:lineRule="auto"/>
        <w:jc w:val="both"/>
        <w:rPr>
          <w:rFonts w:hint="eastAsia" w:ascii="宋体" w:hAnsi="宋体" w:eastAsia="宋体" w:cs="宋体"/>
          <w:b/>
          <w:bCs/>
          <w:color w:val="auto"/>
          <w:sz w:val="24"/>
          <w:highlight w:val="none"/>
          <w:u w:val="single"/>
        </w:rPr>
      </w:pPr>
    </w:p>
    <w:p>
      <w:pPr>
        <w:spacing w:line="312" w:lineRule="auto"/>
        <w:jc w:val="both"/>
        <w:rPr>
          <w:rFonts w:hint="eastAsia" w:ascii="宋体" w:hAnsi="宋体" w:eastAsia="宋体" w:cs="宋体"/>
          <w:b/>
          <w:bCs/>
          <w:color w:val="auto"/>
          <w:sz w:val="24"/>
          <w:highlight w:val="none"/>
          <w:u w:val="single"/>
        </w:rPr>
      </w:pPr>
    </w:p>
    <w:p>
      <w:pPr>
        <w:spacing w:line="312" w:lineRule="auto"/>
        <w:jc w:val="both"/>
        <w:rPr>
          <w:rFonts w:hint="eastAsia" w:ascii="宋体" w:hAnsi="宋体" w:eastAsia="宋体" w:cs="宋体"/>
          <w:b/>
          <w:bCs/>
          <w:color w:val="auto"/>
          <w:sz w:val="24"/>
          <w:highlight w:val="none"/>
          <w:u w:val="single"/>
        </w:rPr>
      </w:pPr>
    </w:p>
    <w:p>
      <w:pPr>
        <w:spacing w:line="312" w:lineRule="auto"/>
        <w:jc w:val="both"/>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pStyle w:val="2"/>
        <w:rPr>
          <w:rFonts w:hint="eastAsia" w:ascii="宋体" w:hAnsi="宋体" w:eastAsia="宋体" w:cs="宋体"/>
          <w:b/>
          <w:bCs/>
          <w:color w:val="auto"/>
          <w:sz w:val="24"/>
          <w:highlight w:val="none"/>
          <w:u w:val="single"/>
        </w:rPr>
      </w:pPr>
    </w:p>
    <w:p>
      <w:pPr>
        <w:spacing w:line="312" w:lineRule="auto"/>
        <w:jc w:val="both"/>
        <w:rPr>
          <w:rFonts w:hint="eastAsia" w:ascii="宋体" w:hAnsi="宋体" w:eastAsia="宋体" w:cs="宋体"/>
          <w:b/>
          <w:bCs/>
          <w:color w:val="auto"/>
          <w:sz w:val="24"/>
          <w:highlight w:val="none"/>
          <w:u w:val="single"/>
        </w:rPr>
      </w:pPr>
    </w:p>
    <w:p>
      <w:pPr>
        <w:spacing w:line="312" w:lineRule="auto"/>
        <w:jc w:val="both"/>
        <w:rPr>
          <w:rFonts w:hint="eastAsia" w:ascii="宋体" w:hAnsi="宋体" w:eastAsia="宋体" w:cs="宋体"/>
          <w:b/>
          <w:bCs/>
          <w:color w:val="auto"/>
          <w:sz w:val="24"/>
          <w:highlight w:val="none"/>
          <w:u w:val="single"/>
        </w:rPr>
      </w:pPr>
    </w:p>
    <w:p>
      <w:pPr>
        <w:pStyle w:val="38"/>
        <w:rPr>
          <w:rFonts w:hint="eastAsia" w:ascii="宋体" w:hAnsi="宋体" w:eastAsia="宋体" w:cs="宋体"/>
          <w:b/>
          <w:bCs/>
          <w:color w:val="auto"/>
          <w:highlight w:val="none"/>
          <w:u w:val="single"/>
        </w:rPr>
      </w:pPr>
    </w:p>
    <w:p>
      <w:pPr>
        <w:pStyle w:val="38"/>
        <w:rPr>
          <w:rFonts w:hint="eastAsia" w:ascii="宋体" w:hAnsi="宋体" w:eastAsia="宋体" w:cs="宋体"/>
          <w:b/>
          <w:bCs/>
          <w:color w:val="auto"/>
          <w:highlight w:val="none"/>
          <w:u w:val="single"/>
        </w:rPr>
      </w:pPr>
    </w:p>
    <w:p>
      <w:pPr>
        <w:pStyle w:val="38"/>
        <w:rPr>
          <w:rFonts w:hint="eastAsia" w:ascii="宋体" w:hAnsi="宋体" w:eastAsia="宋体" w:cs="宋体"/>
          <w:b/>
          <w:bCs/>
          <w:color w:val="auto"/>
          <w:highlight w:val="none"/>
          <w:u w:val="single"/>
        </w:rPr>
      </w:pPr>
    </w:p>
    <w:p>
      <w:pPr>
        <w:pStyle w:val="38"/>
        <w:rPr>
          <w:rFonts w:hint="eastAsia" w:ascii="宋体" w:hAnsi="宋体" w:eastAsia="宋体" w:cs="宋体"/>
          <w:b/>
          <w:bCs/>
          <w:color w:val="auto"/>
          <w:highlight w:val="none"/>
          <w:u w:val="single"/>
        </w:rPr>
      </w:pPr>
    </w:p>
    <w:p>
      <w:pPr>
        <w:spacing w:line="312" w:lineRule="auto"/>
        <w:jc w:val="both"/>
        <w:rPr>
          <w:rFonts w:hint="eastAsia" w:ascii="宋体" w:hAnsi="宋体" w:eastAsia="宋体" w:cs="宋体"/>
          <w:b/>
          <w:bCs/>
          <w:color w:val="auto"/>
          <w:sz w:val="36"/>
          <w:szCs w:val="36"/>
          <w:highlight w:val="none"/>
        </w:rPr>
      </w:pPr>
      <w:r>
        <w:rPr>
          <w:rFonts w:hint="eastAsia" w:ascii="宋体" w:hAnsi="宋体" w:eastAsia="宋体" w:cs="宋体"/>
          <w:color w:val="auto"/>
          <w:sz w:val="30"/>
          <w:szCs w:val="30"/>
          <w:highlight w:val="none"/>
        </w:rPr>
        <w:t>附件1  开启记录表</w:t>
      </w:r>
    </w:p>
    <w:p>
      <w:pPr>
        <w:adjustRightInd w:val="0"/>
        <w:snapToGrid w:val="0"/>
        <w:spacing w:line="600" w:lineRule="exact"/>
        <w:ind w:firstLine="723" w:firstLineChars="20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开启记录表</w:t>
      </w:r>
    </w:p>
    <w:p>
      <w:pPr>
        <w:adjustRightInd w:val="0"/>
        <w:snapToGrid w:val="0"/>
        <w:spacing w:line="600" w:lineRule="exact"/>
        <w:ind w:firstLine="723" w:firstLineChars="200"/>
        <w:jc w:val="center"/>
        <w:rPr>
          <w:rFonts w:hint="eastAsia" w:ascii="宋体" w:hAnsi="宋体" w:eastAsia="宋体" w:cs="宋体"/>
          <w:b/>
          <w:bCs/>
          <w:color w:val="auto"/>
          <w:sz w:val="36"/>
          <w:szCs w:val="36"/>
          <w:highlight w:val="none"/>
        </w:rPr>
      </w:pPr>
    </w:p>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开启时间：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p>
    <w:tbl>
      <w:tblPr>
        <w:tblStyle w:val="40"/>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9"/>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 号</w:t>
            </w:r>
          </w:p>
        </w:tc>
        <w:tc>
          <w:tcPr>
            <w:tcW w:w="1238" w:type="pct"/>
            <w:vAlign w:val="center"/>
          </w:tcPr>
          <w:p>
            <w:pPr>
              <w:widowControl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p>
        </w:tc>
        <w:tc>
          <w:tcPr>
            <w:tcW w:w="1029" w:type="pct"/>
            <w:vAlign w:val="center"/>
          </w:tcPr>
          <w:p>
            <w:pPr>
              <w:widowControl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（供应商须知前附表规定的其他应公布的信息）</w:t>
            </w:r>
          </w:p>
        </w:tc>
        <w:tc>
          <w:tcPr>
            <w:tcW w:w="1029" w:type="pct"/>
            <w:vAlign w:val="center"/>
          </w:tcPr>
          <w:p>
            <w:pPr>
              <w:widowControl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1029" w:type="pct"/>
            <w:vAlign w:val="center"/>
          </w:tcPr>
          <w:p>
            <w:pPr>
              <w:widowControl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宋体" w:hAnsi="宋体" w:eastAsia="宋体" w:cs="宋体"/>
                <w:color w:val="auto"/>
                <w:sz w:val="24"/>
                <w:highlight w:val="none"/>
              </w:rPr>
            </w:pPr>
          </w:p>
        </w:tc>
        <w:tc>
          <w:tcPr>
            <w:tcW w:w="1238"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宋体" w:hAnsi="宋体" w:eastAsia="宋体" w:cs="宋体"/>
                <w:color w:val="auto"/>
                <w:sz w:val="24"/>
                <w:highlight w:val="none"/>
              </w:rPr>
            </w:pPr>
          </w:p>
        </w:tc>
        <w:tc>
          <w:tcPr>
            <w:tcW w:w="1238"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宋体" w:hAnsi="宋体" w:eastAsia="宋体" w:cs="宋体"/>
                <w:color w:val="auto"/>
                <w:sz w:val="24"/>
                <w:highlight w:val="none"/>
              </w:rPr>
            </w:pPr>
          </w:p>
        </w:tc>
        <w:tc>
          <w:tcPr>
            <w:tcW w:w="1238"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宋体" w:hAnsi="宋体" w:eastAsia="宋体" w:cs="宋体"/>
                <w:color w:val="auto"/>
                <w:sz w:val="24"/>
                <w:highlight w:val="none"/>
              </w:rPr>
            </w:pPr>
          </w:p>
        </w:tc>
        <w:tc>
          <w:tcPr>
            <w:tcW w:w="1238"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宋体" w:hAnsi="宋体" w:eastAsia="宋体" w:cs="宋体"/>
                <w:color w:val="auto"/>
                <w:sz w:val="24"/>
                <w:highlight w:val="none"/>
              </w:rPr>
            </w:pPr>
          </w:p>
        </w:tc>
        <w:tc>
          <w:tcPr>
            <w:tcW w:w="1238"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c>
          <w:tcPr>
            <w:tcW w:w="1029" w:type="pct"/>
            <w:vAlign w:val="center"/>
          </w:tcPr>
          <w:p>
            <w:pPr>
              <w:widowControl w:val="0"/>
              <w:spacing w:line="240" w:lineRule="auto"/>
              <w:jc w:val="both"/>
              <w:rPr>
                <w:rFonts w:hint="eastAsia" w:ascii="宋体" w:hAnsi="宋体" w:eastAsia="宋体" w:cs="宋体"/>
                <w:color w:val="auto"/>
                <w:sz w:val="24"/>
                <w:highlight w:val="none"/>
              </w:rPr>
            </w:pPr>
          </w:p>
        </w:tc>
      </w:tr>
    </w:tbl>
    <w:p>
      <w:pPr>
        <w:spacing w:line="240" w:lineRule="auto"/>
        <w:jc w:val="both"/>
        <w:rPr>
          <w:rFonts w:hint="eastAsia" w:ascii="宋体" w:hAnsi="宋体" w:eastAsia="宋体" w:cs="宋体"/>
          <w:color w:val="auto"/>
          <w:sz w:val="24"/>
          <w:highlight w:val="none"/>
        </w:rPr>
      </w:pPr>
    </w:p>
    <w:p>
      <w:pPr>
        <w:spacing w:line="240" w:lineRule="auto"/>
        <w:ind w:firstLine="0" w:firstLineChars="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记录人：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监督人：</w:t>
      </w:r>
      <w:r>
        <w:rPr>
          <w:rFonts w:hint="eastAsia" w:ascii="宋体" w:hAnsi="宋体" w:eastAsia="宋体" w:cs="宋体"/>
          <w:color w:val="auto"/>
          <w:sz w:val="24"/>
          <w:highlight w:val="none"/>
          <w:u w:val="single"/>
        </w:rPr>
        <w:t xml:space="preserve">        </w:t>
      </w: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p>
    <w:p>
      <w:pPr>
        <w:spacing w:line="240" w:lineRule="auto"/>
        <w:ind w:firstLine="0" w:firstLineChars="0"/>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附件2  问题澄清通知</w:t>
      </w:r>
    </w:p>
    <w:p>
      <w:pPr>
        <w:adjustRightInd w:val="0"/>
        <w:snapToGrid w:val="0"/>
        <w:spacing w:line="600" w:lineRule="exact"/>
        <w:ind w:firstLine="723" w:firstLineChars="20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问题澄清通知</w:t>
      </w:r>
    </w:p>
    <w:p>
      <w:pPr>
        <w:adjustRightInd w:val="0"/>
        <w:snapToGrid w:val="0"/>
        <w:spacing w:line="60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adjustRightInd w:val="0"/>
        <w:snapToGrid w:val="0"/>
        <w:spacing w:line="600" w:lineRule="exact"/>
        <w:ind w:left="210" w:leftChars="100" w:firstLine="240" w:firstLineChars="1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(供应商名称):</w:t>
      </w:r>
    </w:p>
    <w:p>
      <w:pPr>
        <w:adjustRightInd w:val="0"/>
        <w:snapToGrid w:val="0"/>
        <w:spacing w:line="600" w:lineRule="exact"/>
        <w:ind w:left="210" w:leftChars="100" w:firstLine="496" w:firstLineChars="207"/>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pPr>
        <w:adjustRightInd w:val="0"/>
        <w:snapToGrid w:val="0"/>
        <w:spacing w:line="600" w:lineRule="exact"/>
        <w:ind w:left="210" w:leftChars="100" w:firstLine="496" w:firstLineChars="207"/>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pPr>
        <w:adjustRightInd w:val="0"/>
        <w:snapToGrid w:val="0"/>
        <w:spacing w:line="600" w:lineRule="exact"/>
        <w:ind w:left="508" w:leftChars="242" w:firstLine="496" w:firstLineChars="207"/>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600" w:lineRule="exact"/>
        <w:ind w:left="141" w:leftChars="67" w:firstLine="566" w:firstLineChars="23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请将上述问题的澄清、说明和补正于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时前递交至</w:t>
      </w:r>
      <w:r>
        <w:rPr>
          <w:rFonts w:hint="eastAsia" w:ascii="宋体" w:hAnsi="宋体" w:eastAsia="宋体" w:cs="宋体"/>
          <w:color w:val="auto"/>
          <w:sz w:val="24"/>
          <w:highlight w:val="none"/>
          <w:u w:val="single"/>
        </w:rPr>
        <w:t>(详细地址)</w:t>
      </w:r>
      <w:r>
        <w:rPr>
          <w:rFonts w:hint="eastAsia" w:ascii="宋体" w:hAnsi="宋体" w:eastAsia="宋体" w:cs="宋体"/>
          <w:color w:val="auto"/>
          <w:sz w:val="24"/>
          <w:highlight w:val="none"/>
        </w:rPr>
        <w:t>或发电子邮件至</w:t>
      </w:r>
      <w:r>
        <w:rPr>
          <w:rFonts w:hint="eastAsia" w:ascii="宋体" w:hAnsi="宋体" w:eastAsia="宋体" w:cs="宋体"/>
          <w:color w:val="auto"/>
          <w:sz w:val="24"/>
          <w:highlight w:val="none"/>
          <w:u w:val="single"/>
        </w:rPr>
        <w:t>(电子邮箱地址)</w:t>
      </w:r>
      <w:r>
        <w:rPr>
          <w:rFonts w:hint="eastAsia" w:ascii="宋体" w:hAnsi="宋体" w:eastAsia="宋体" w:cs="宋体"/>
          <w:color w:val="auto"/>
          <w:sz w:val="24"/>
          <w:highlight w:val="none"/>
        </w:rPr>
        <w:t>。采用电子邮件方式的，应在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日_时前将原件递交至</w:t>
      </w:r>
      <w:r>
        <w:rPr>
          <w:rFonts w:hint="eastAsia" w:ascii="宋体" w:hAnsi="宋体" w:eastAsia="宋体" w:cs="宋体"/>
          <w:color w:val="auto"/>
          <w:sz w:val="24"/>
          <w:highlight w:val="none"/>
          <w:u w:val="single"/>
        </w:rPr>
        <w:t>(详细地址)</w:t>
      </w:r>
      <w:r>
        <w:rPr>
          <w:rFonts w:hint="eastAsia" w:ascii="宋体" w:hAnsi="宋体" w:eastAsia="宋体" w:cs="宋体"/>
          <w:color w:val="auto"/>
          <w:sz w:val="24"/>
          <w:highlight w:val="none"/>
        </w:rPr>
        <w:t>。</w:t>
      </w:r>
    </w:p>
    <w:p>
      <w:pPr>
        <w:adjustRightInd w:val="0"/>
        <w:snapToGrid w:val="0"/>
        <w:spacing w:line="600" w:lineRule="exact"/>
        <w:ind w:left="141" w:leftChars="67" w:firstLine="566" w:firstLineChars="236"/>
        <w:jc w:val="both"/>
        <w:rPr>
          <w:rFonts w:hint="eastAsia" w:ascii="宋体" w:hAnsi="宋体" w:eastAsia="宋体" w:cs="宋体"/>
          <w:color w:val="auto"/>
          <w:sz w:val="24"/>
          <w:highlight w:val="none"/>
        </w:rPr>
      </w:pPr>
    </w:p>
    <w:p>
      <w:pPr>
        <w:adjustRightInd w:val="0"/>
        <w:snapToGrid w:val="0"/>
        <w:spacing w:line="600" w:lineRule="exact"/>
        <w:ind w:left="210" w:leftChars="100" w:firstLine="240" w:firstLineChars="100"/>
        <w:jc w:val="both"/>
        <w:rPr>
          <w:rFonts w:hint="eastAsia" w:ascii="宋体" w:hAnsi="宋体" w:eastAsia="宋体" w:cs="宋体"/>
          <w:color w:val="auto"/>
          <w:sz w:val="24"/>
          <w:highlight w:val="none"/>
        </w:rPr>
      </w:pPr>
    </w:p>
    <w:p>
      <w:pPr>
        <w:adjustRightInd w:val="0"/>
        <w:snapToGrid w:val="0"/>
        <w:spacing w:line="600" w:lineRule="exact"/>
        <w:ind w:left="210" w:leftChars="100" w:firstLine="240" w:firstLineChars="100"/>
        <w:jc w:val="both"/>
        <w:rPr>
          <w:rFonts w:hint="eastAsia" w:ascii="宋体" w:hAnsi="宋体" w:eastAsia="宋体" w:cs="宋体"/>
          <w:color w:val="auto"/>
          <w:sz w:val="24"/>
          <w:highlight w:val="none"/>
        </w:rPr>
      </w:pPr>
    </w:p>
    <w:p>
      <w:pPr>
        <w:adjustRightInd w:val="0"/>
        <w:snapToGrid w:val="0"/>
        <w:spacing w:line="600" w:lineRule="exact"/>
        <w:ind w:left="0" w:leftChars="0" w:firstLine="3120" w:firstLineChars="13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采购人(或采购代理机构):</w:t>
      </w:r>
      <w:r>
        <w:rPr>
          <w:rFonts w:hint="eastAsia" w:ascii="宋体" w:hAnsi="宋体" w:eastAsia="宋体" w:cs="宋体"/>
          <w:color w:val="auto"/>
          <w:sz w:val="24"/>
          <w:highlight w:val="none"/>
          <w:u w:val="single"/>
        </w:rPr>
        <w:t>(签字或盖单位章)</w:t>
      </w:r>
    </w:p>
    <w:p>
      <w:pPr>
        <w:spacing w:line="600" w:lineRule="exact"/>
        <w:ind w:firstLine="4320" w:firstLineChars="18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30"/>
          <w:szCs w:val="30"/>
          <w:highlight w:val="none"/>
        </w:rPr>
        <w:br w:type="page"/>
      </w:r>
    </w:p>
    <w:p>
      <w:pPr>
        <w:adjustRightInd w:val="0"/>
        <w:snapToGrid w:val="0"/>
        <w:spacing w:line="600" w:lineRule="exact"/>
        <w:ind w:firstLine="0" w:firstLineChars="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附件3  问题的澄清</w:t>
      </w:r>
    </w:p>
    <w:p>
      <w:pPr>
        <w:adjustRightInd w:val="0"/>
        <w:snapToGrid w:val="0"/>
        <w:spacing w:line="600" w:lineRule="exact"/>
        <w:jc w:val="center"/>
        <w:rPr>
          <w:rFonts w:hint="eastAsia" w:ascii="宋体" w:hAnsi="宋体" w:eastAsia="宋体" w:cs="宋体"/>
          <w:b/>
          <w:bCs/>
          <w:color w:val="auto"/>
          <w:sz w:val="36"/>
          <w:szCs w:val="36"/>
          <w:highlight w:val="none"/>
        </w:rPr>
      </w:pPr>
    </w:p>
    <w:p>
      <w:pPr>
        <w:adjustRightInd w:val="0"/>
        <w:snapToGrid w:val="0"/>
        <w:spacing w:line="6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问题的澄清</w:t>
      </w:r>
    </w:p>
    <w:p>
      <w:pPr>
        <w:adjustRightInd w:val="0"/>
        <w:snapToGrid w:val="0"/>
        <w:spacing w:line="60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w:t>
      </w:r>
    </w:p>
    <w:p>
      <w:pPr>
        <w:adjustRightInd w:val="0"/>
        <w:snapToGrid w:val="0"/>
        <w:spacing w:line="600" w:lineRule="exact"/>
        <w:ind w:firstLine="530" w:firstLineChars="221"/>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问题澄清通知(编号: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)已收悉，现澄清、说明和补正如下：</w:t>
      </w:r>
    </w:p>
    <w:p>
      <w:pPr>
        <w:adjustRightInd w:val="0"/>
        <w:snapToGrid w:val="0"/>
        <w:spacing w:line="600" w:lineRule="exact"/>
        <w:ind w:firstLine="530" w:firstLineChars="221"/>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pPr>
        <w:adjustRightInd w:val="0"/>
        <w:snapToGrid w:val="0"/>
        <w:spacing w:line="600" w:lineRule="exact"/>
        <w:ind w:firstLine="530" w:firstLineChars="221"/>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pPr>
        <w:adjustRightInd w:val="0"/>
        <w:snapToGrid w:val="0"/>
        <w:spacing w:line="600" w:lineRule="exact"/>
        <w:ind w:firstLine="530" w:firstLineChars="221"/>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600" w:lineRule="exact"/>
        <w:ind w:firstLine="530" w:firstLineChars="221"/>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上述问题澄清、说明和补正，构成我方响应文件的组成部分。</w:t>
      </w:r>
    </w:p>
    <w:p>
      <w:pPr>
        <w:adjustRightInd w:val="0"/>
        <w:snapToGrid w:val="0"/>
        <w:spacing w:line="600" w:lineRule="exact"/>
        <w:ind w:firstLine="530" w:firstLineChars="221"/>
        <w:jc w:val="both"/>
        <w:rPr>
          <w:rFonts w:hint="eastAsia" w:ascii="宋体" w:hAnsi="宋体" w:eastAsia="宋体" w:cs="宋体"/>
          <w:color w:val="auto"/>
          <w:sz w:val="24"/>
          <w:highlight w:val="none"/>
        </w:rPr>
      </w:pPr>
    </w:p>
    <w:p>
      <w:pPr>
        <w:adjustRightInd w:val="0"/>
        <w:snapToGrid w:val="0"/>
        <w:spacing w:line="600" w:lineRule="exact"/>
        <w:ind w:firstLine="4320" w:firstLineChars="18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供应商: </w:t>
      </w:r>
      <w:r>
        <w:rPr>
          <w:rFonts w:hint="eastAsia" w:ascii="宋体" w:hAnsi="宋体" w:eastAsia="宋体" w:cs="宋体"/>
          <w:color w:val="auto"/>
          <w:sz w:val="24"/>
          <w:highlight w:val="none"/>
          <w:u w:val="single"/>
        </w:rPr>
        <w:t xml:space="preserve">        (盖单位章)      </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法定代表人(单位负责人)或其授权的代理人:</w:t>
      </w:r>
      <w:r>
        <w:rPr>
          <w:rFonts w:hint="eastAsia" w:ascii="宋体" w:hAnsi="宋体" w:eastAsia="宋体" w:cs="宋体"/>
          <w:color w:val="auto"/>
          <w:sz w:val="24"/>
          <w:highlight w:val="none"/>
          <w:u w:val="single"/>
        </w:rPr>
        <w:t xml:space="preserve">  (签字)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rPr>
        <w:br w:type="page"/>
      </w:r>
    </w:p>
    <w:p>
      <w:pPr>
        <w:adjustRightInd w:val="0"/>
        <w:snapToGrid w:val="0"/>
        <w:spacing w:line="600" w:lineRule="exact"/>
        <w:ind w:firstLine="567" w:firstLineChars="18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附件4  成交通知书</w:t>
      </w:r>
    </w:p>
    <w:p>
      <w:pPr>
        <w:adjustRightInd w:val="0"/>
        <w:snapToGrid w:val="0"/>
        <w:spacing w:line="600" w:lineRule="exact"/>
        <w:jc w:val="center"/>
        <w:rPr>
          <w:rFonts w:hint="eastAsia" w:ascii="宋体" w:hAnsi="宋体" w:eastAsia="宋体" w:cs="宋体"/>
          <w:b/>
          <w:bCs/>
          <w:color w:val="auto"/>
          <w:sz w:val="36"/>
          <w:szCs w:val="36"/>
          <w:highlight w:val="none"/>
        </w:rPr>
      </w:pPr>
    </w:p>
    <w:p>
      <w:pPr>
        <w:adjustRightInd w:val="0"/>
        <w:snapToGrid w:val="0"/>
        <w:spacing w:line="6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成交通知书</w:t>
      </w:r>
    </w:p>
    <w:p>
      <w:pPr>
        <w:adjustRightInd w:val="0"/>
        <w:snapToGrid w:val="0"/>
        <w:spacing w:line="600" w:lineRule="exact"/>
        <w:ind w:firstLine="723" w:firstLineChars="200"/>
        <w:jc w:val="both"/>
        <w:rPr>
          <w:rFonts w:hint="eastAsia" w:ascii="宋体" w:hAnsi="宋体" w:eastAsia="宋体" w:cs="宋体"/>
          <w:b/>
          <w:bCs/>
          <w:color w:val="auto"/>
          <w:sz w:val="36"/>
          <w:szCs w:val="36"/>
          <w:highlight w:val="none"/>
        </w:rPr>
      </w:pP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(成交供应商名称)</w:t>
      </w:r>
      <w:r>
        <w:rPr>
          <w:rFonts w:hint="eastAsia" w:ascii="宋体" w:hAnsi="宋体" w:eastAsia="宋体" w:cs="宋体"/>
          <w:color w:val="auto"/>
          <w:sz w:val="24"/>
          <w:highlight w:val="none"/>
        </w:rPr>
        <w:t>:</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你方所递交的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的响应文件已被我方接受，被确定为成交供应商。</w:t>
      </w:r>
    </w:p>
    <w:p>
      <w:pPr>
        <w:adjustRightInd w:val="0"/>
        <w:snapToGrid w:val="0"/>
        <w:spacing w:line="600" w:lineRule="exact"/>
        <w:ind w:firstLine="480" w:firstLineChars="2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请你方在接到本通知书后的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日内到</w:t>
      </w:r>
      <w:r>
        <w:rPr>
          <w:rFonts w:hint="eastAsia" w:ascii="宋体" w:hAnsi="宋体" w:eastAsia="宋体" w:cs="宋体"/>
          <w:color w:val="auto"/>
          <w:sz w:val="24"/>
          <w:highlight w:val="none"/>
          <w:u w:val="single"/>
        </w:rPr>
        <w:t>(指定地点)</w:t>
      </w:r>
      <w:r>
        <w:rPr>
          <w:rFonts w:hint="eastAsia" w:ascii="宋体" w:hAnsi="宋体" w:eastAsia="宋体" w:cs="宋体"/>
          <w:color w:val="auto"/>
          <w:sz w:val="24"/>
          <w:highlight w:val="none"/>
        </w:rPr>
        <w:t>与我方签订采购合同，并按采购文件第二章“供应商须知”第7.6款规定向我方递交履约保证金。</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特此通知。</w:t>
      </w:r>
    </w:p>
    <w:p>
      <w:pPr>
        <w:adjustRightInd w:val="0"/>
        <w:snapToGrid w:val="0"/>
        <w:spacing w:line="600" w:lineRule="exact"/>
        <w:ind w:firstLine="480" w:firstLineChars="200"/>
        <w:jc w:val="both"/>
        <w:rPr>
          <w:rFonts w:hint="eastAsia" w:ascii="宋体" w:hAnsi="宋体" w:eastAsia="宋体" w:cs="宋体"/>
          <w:color w:val="auto"/>
          <w:sz w:val="24"/>
          <w:highlight w:val="none"/>
        </w:rPr>
      </w:pPr>
    </w:p>
    <w:p>
      <w:pPr>
        <w:adjustRightInd w:val="0"/>
        <w:snapToGrid w:val="0"/>
        <w:spacing w:line="600" w:lineRule="exact"/>
        <w:ind w:firstLine="480" w:firstLineChars="200"/>
        <w:jc w:val="both"/>
        <w:rPr>
          <w:rFonts w:hint="eastAsia" w:ascii="宋体" w:hAnsi="宋体" w:eastAsia="宋体" w:cs="宋体"/>
          <w:color w:val="auto"/>
          <w:sz w:val="24"/>
          <w:highlight w:val="none"/>
        </w:rPr>
      </w:pPr>
    </w:p>
    <w:p>
      <w:pPr>
        <w:adjustRightInd w:val="0"/>
        <w:snapToGrid w:val="0"/>
        <w:spacing w:line="600" w:lineRule="exact"/>
        <w:ind w:firstLine="3360" w:firstLineChars="14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采购人(或采购代理机构):</w:t>
      </w:r>
      <w:r>
        <w:rPr>
          <w:rFonts w:hint="eastAsia" w:ascii="宋体" w:hAnsi="宋体" w:eastAsia="宋体" w:cs="宋体"/>
          <w:color w:val="auto"/>
          <w:sz w:val="24"/>
          <w:highlight w:val="none"/>
          <w:u w:val="single"/>
        </w:rPr>
        <w:t xml:space="preserve">   (盖单位章)      </w:t>
      </w:r>
    </w:p>
    <w:p>
      <w:pPr>
        <w:adjustRightInd w:val="0"/>
        <w:snapToGrid w:val="0"/>
        <w:spacing w:line="600" w:lineRule="exact"/>
        <w:ind w:firstLine="4800" w:firstLineChars="2000"/>
        <w:jc w:val="both"/>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30"/>
          <w:szCs w:val="30"/>
          <w:highlight w:val="none"/>
        </w:rPr>
        <w:br w:type="page"/>
      </w:r>
    </w:p>
    <w:p>
      <w:pPr>
        <w:pStyle w:val="38"/>
        <w:ind w:firstLine="0"/>
        <w:rPr>
          <w:rFonts w:hint="eastAsia" w:ascii="宋体" w:hAnsi="宋体" w:eastAsia="宋体" w:cs="宋体"/>
          <w:color w:val="auto"/>
          <w:highlight w:val="none"/>
        </w:rPr>
      </w:pPr>
    </w:p>
    <w:p>
      <w:pPr>
        <w:adjustRightInd w:val="0"/>
        <w:snapToGrid w:val="0"/>
        <w:spacing w:line="600" w:lineRule="exact"/>
        <w:ind w:firstLine="567" w:firstLineChars="18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附件5  确认通知</w:t>
      </w:r>
    </w:p>
    <w:p>
      <w:pPr>
        <w:adjustRightInd w:val="0"/>
        <w:snapToGrid w:val="0"/>
        <w:spacing w:line="600" w:lineRule="exact"/>
        <w:ind w:firstLine="723" w:firstLineChars="200"/>
        <w:jc w:val="both"/>
        <w:rPr>
          <w:rFonts w:hint="eastAsia" w:ascii="宋体" w:hAnsi="宋体" w:eastAsia="宋体" w:cs="宋体"/>
          <w:b/>
          <w:bCs/>
          <w:color w:val="auto"/>
          <w:sz w:val="36"/>
          <w:szCs w:val="36"/>
          <w:highlight w:val="none"/>
        </w:rPr>
      </w:pPr>
    </w:p>
    <w:p>
      <w:pPr>
        <w:adjustRightInd w:val="0"/>
        <w:snapToGrid w:val="0"/>
        <w:spacing w:line="600" w:lineRule="exact"/>
        <w:ind w:firstLine="723" w:firstLineChars="20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确认通知</w:t>
      </w:r>
    </w:p>
    <w:p>
      <w:pPr>
        <w:adjustRightInd w:val="0"/>
        <w:snapToGrid w:val="0"/>
        <w:spacing w:line="600" w:lineRule="exact"/>
        <w:ind w:firstLine="723" w:firstLineChars="200"/>
        <w:jc w:val="both"/>
        <w:rPr>
          <w:rFonts w:hint="eastAsia" w:ascii="宋体" w:hAnsi="宋体" w:eastAsia="宋体" w:cs="宋体"/>
          <w:b/>
          <w:bCs/>
          <w:color w:val="auto"/>
          <w:sz w:val="36"/>
          <w:szCs w:val="36"/>
          <w:highlight w:val="none"/>
        </w:rPr>
      </w:pPr>
    </w:p>
    <w:p>
      <w:pPr>
        <w:adjustRightInd w:val="0"/>
        <w:snapToGrid w:val="0"/>
        <w:spacing w:line="600" w:lineRule="exact"/>
        <w:ind w:firstLine="480" w:firstLineChars="200"/>
        <w:jc w:val="both"/>
        <w:rPr>
          <w:rFonts w:hint="eastAsia" w:ascii="宋体" w:hAnsi="宋体" w:eastAsia="宋体" w:cs="宋体"/>
          <w:b/>
          <w:bCs/>
          <w:color w:val="auto"/>
          <w:sz w:val="24"/>
          <w:highlight w:val="none"/>
        </w:rPr>
      </w:pPr>
      <w:r>
        <w:rPr>
          <w:rFonts w:hint="eastAsia" w:ascii="宋体" w:hAnsi="宋体" w:eastAsia="宋体" w:cs="宋体"/>
          <w:color w:val="auto"/>
          <w:sz w:val="24"/>
          <w:highlight w:val="none"/>
          <w:u w:val="single"/>
        </w:rPr>
        <w:t xml:space="preserve">           （采购人或采购代理机构名称)</w:t>
      </w:r>
      <w:r>
        <w:rPr>
          <w:rFonts w:hint="eastAsia" w:ascii="宋体" w:hAnsi="宋体" w:eastAsia="宋体" w:cs="宋体"/>
          <w:color w:val="auto"/>
          <w:sz w:val="24"/>
          <w:highlight w:val="none"/>
        </w:rPr>
        <w:t>:</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你方于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日发出的的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采购文件的澄清/修改的通知，我方已于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日收到。</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特此确认。</w:t>
      </w:r>
    </w:p>
    <w:p>
      <w:pPr>
        <w:adjustRightInd w:val="0"/>
        <w:snapToGrid w:val="0"/>
        <w:spacing w:line="600" w:lineRule="exact"/>
        <w:ind w:firstLine="480" w:firstLineChars="200"/>
        <w:jc w:val="both"/>
        <w:rPr>
          <w:rFonts w:hint="eastAsia" w:ascii="宋体" w:hAnsi="宋体" w:eastAsia="宋体" w:cs="宋体"/>
          <w:color w:val="auto"/>
          <w:sz w:val="24"/>
          <w:highlight w:val="none"/>
        </w:rPr>
      </w:pPr>
    </w:p>
    <w:p>
      <w:pPr>
        <w:adjustRightInd w:val="0"/>
        <w:snapToGrid w:val="0"/>
        <w:spacing w:line="600" w:lineRule="exact"/>
        <w:ind w:firstLine="480" w:firstLineChars="200"/>
        <w:jc w:val="both"/>
        <w:rPr>
          <w:rFonts w:hint="eastAsia" w:ascii="宋体" w:hAnsi="宋体" w:eastAsia="宋体" w:cs="宋体"/>
          <w:color w:val="auto"/>
          <w:sz w:val="24"/>
          <w:highlight w:val="none"/>
        </w:rPr>
      </w:pPr>
    </w:p>
    <w:p>
      <w:pPr>
        <w:adjustRightInd w:val="0"/>
        <w:snapToGrid w:val="0"/>
        <w:spacing w:line="600" w:lineRule="exact"/>
        <w:ind w:firstLine="5090" w:firstLineChars="2121"/>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供应商: </w:t>
      </w:r>
      <w:r>
        <w:rPr>
          <w:rFonts w:hint="eastAsia" w:ascii="宋体" w:hAnsi="宋体" w:eastAsia="宋体" w:cs="宋体"/>
          <w:color w:val="auto"/>
          <w:sz w:val="24"/>
          <w:highlight w:val="none"/>
          <w:u w:val="single"/>
        </w:rPr>
        <w:t xml:space="preserve">     (盖单位章)      </w:t>
      </w:r>
    </w:p>
    <w:p>
      <w:pPr>
        <w:pStyle w:val="77"/>
        <w:adjustRightInd w:val="0"/>
        <w:snapToGrid w:val="0"/>
        <w:spacing w:line="600" w:lineRule="exact"/>
        <w:ind w:firstLine="6240" w:firstLineChars="2600"/>
        <w:jc w:val="center"/>
        <w:rPr>
          <w:rFonts w:hint="eastAsia" w:ascii="宋体" w:hAnsi="宋体" w:eastAsia="宋体" w:cs="宋体"/>
          <w:color w:val="auto"/>
          <w:highlight w:val="none"/>
        </w:rPr>
      </w:pP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rPr>
        <w:br w:type="page"/>
      </w:r>
    </w:p>
    <w:p>
      <w:pPr>
        <w:adjustRightInd w:val="0"/>
        <w:snapToGrid w:val="0"/>
        <w:spacing w:line="600" w:lineRule="exact"/>
        <w:jc w:val="center"/>
        <w:outlineLvl w:val="0"/>
        <w:rPr>
          <w:rFonts w:hint="eastAsia" w:ascii="宋体" w:hAnsi="宋体" w:eastAsia="宋体" w:cs="宋体"/>
          <w:bCs/>
          <w:color w:val="auto"/>
          <w:sz w:val="36"/>
          <w:szCs w:val="36"/>
          <w:highlight w:val="none"/>
        </w:rPr>
      </w:pPr>
      <w:bookmarkStart w:id="12" w:name="_Toc27443"/>
      <w:r>
        <w:rPr>
          <w:rFonts w:hint="eastAsia" w:ascii="宋体" w:hAnsi="宋体" w:eastAsia="宋体" w:cs="宋体"/>
          <w:bCs/>
          <w:color w:val="auto"/>
          <w:sz w:val="36"/>
          <w:szCs w:val="36"/>
          <w:highlight w:val="none"/>
        </w:rPr>
        <w:t>第三章 评审办法</w:t>
      </w:r>
      <w:bookmarkEnd w:id="12"/>
    </w:p>
    <w:p>
      <w:pPr>
        <w:adjustRightInd w:val="0"/>
        <w:snapToGrid w:val="0"/>
        <w:spacing w:before="120" w:beforeLines="50" w:after="120" w:afterLines="50" w:line="312"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评审办法前附表</w:t>
      </w:r>
    </w:p>
    <w:tbl>
      <w:tblPr>
        <w:tblStyle w:val="40"/>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55"/>
        <w:gridCol w:w="1452"/>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2327" w:type="dxa"/>
            <w:gridSpan w:val="2"/>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条款号及名称</w:t>
            </w: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评审因素</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7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55"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评审方法</w:t>
            </w: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评审方法</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172" w:type="dxa"/>
            <w:vMerge w:val="restart"/>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p>
        </w:tc>
        <w:tc>
          <w:tcPr>
            <w:tcW w:w="1155" w:type="dxa"/>
            <w:vMerge w:val="restart"/>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形式评审标准</w:t>
            </w: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证章实相符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响应文件签字盖章</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响应函中实质性内容</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172" w:type="dxa"/>
            <w:vMerge w:val="restart"/>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p>
        </w:tc>
        <w:tc>
          <w:tcPr>
            <w:tcW w:w="1155" w:type="dxa"/>
            <w:vMerge w:val="restart"/>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资格评审标准</w:t>
            </w: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依法设立</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资质要求</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财务要求</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exac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业绩要求</w:t>
            </w:r>
          </w:p>
        </w:tc>
        <w:tc>
          <w:tcPr>
            <w:tcW w:w="4983" w:type="dxa"/>
            <w:vAlign w:val="center"/>
          </w:tcPr>
          <w:p>
            <w:pPr>
              <w:widowControl w:val="0"/>
              <w:spacing w:line="288" w:lineRule="auto"/>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供应商应提供近年的</w:t>
            </w:r>
            <w:r>
              <w:rPr>
                <w:rFonts w:hint="eastAsia" w:ascii="宋体" w:hAnsi="宋体" w:eastAsia="宋体" w:cs="宋体"/>
                <w:color w:val="auto"/>
                <w:sz w:val="24"/>
                <w:highlight w:val="none"/>
                <w:lang w:val="en-US" w:eastAsia="zh-CN"/>
              </w:rPr>
              <w:t>滚筒包胶</w:t>
            </w:r>
            <w:r>
              <w:rPr>
                <w:rFonts w:hint="eastAsia" w:ascii="宋体" w:hAnsi="宋体" w:eastAsia="宋体" w:cs="宋体"/>
                <w:color w:val="auto"/>
                <w:sz w:val="24"/>
                <w:highlight w:val="none"/>
              </w:rPr>
              <w:t>项目情况表（格式见第六章“响应文件格式”七、资格审查资料（三）近年的类似项目情况表），以证明供应商具有承担本项目要求的业绩。近年是指</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p>
          <w:p>
            <w:pPr>
              <w:widowControl w:val="0"/>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业绩证明材料：</w:t>
            </w:r>
          </w:p>
          <w:p>
            <w:pPr>
              <w:widowControl w:val="0"/>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合同/订单</w:t>
            </w:r>
          </w:p>
          <w:p>
            <w:pPr>
              <w:widowControl w:val="0"/>
              <w:spacing w:line="288"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lang w:val="en-US" w:eastAsia="zh-CN"/>
              </w:rPr>
              <w:t>结算发票/付款证明</w:t>
            </w:r>
          </w:p>
          <w:p>
            <w:pPr>
              <w:widowControl w:val="0"/>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业绩证明材料种类要求：</w:t>
            </w:r>
          </w:p>
          <w:p>
            <w:pPr>
              <w:widowControl w:val="0"/>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sym w:font="Wingdings 2" w:char="0052"/>
            </w:r>
            <w:r>
              <w:rPr>
                <w:rFonts w:hint="eastAsia" w:ascii="宋体" w:hAnsi="宋体" w:eastAsia="宋体" w:cs="宋体"/>
                <w:color w:val="auto"/>
                <w:sz w:val="24"/>
                <w:highlight w:val="none"/>
              </w:rPr>
              <w:t>需同时提供上述勾选的所有证明材料</w:t>
            </w:r>
          </w:p>
          <w:p>
            <w:pPr>
              <w:widowControl/>
              <w:adjustRightInd w:val="0"/>
              <w:snapToGrid w:val="0"/>
              <w:spacing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☑其他要求：</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金额不限，单个滚筒陶瓷包胶不小于4平方米，</w:t>
            </w:r>
            <w:r>
              <w:rPr>
                <w:rFonts w:hint="eastAsia" w:ascii="宋体" w:hAnsi="宋体" w:eastAsia="宋体" w:cs="宋体"/>
                <w:color w:val="auto"/>
                <w:sz w:val="24"/>
                <w:highlight w:val="none"/>
                <w:u w:val="single"/>
              </w:rPr>
              <w:t>至少提供</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份业绩证明材料，提供复印件并加盖单位公章。</w:t>
            </w:r>
            <w:r>
              <w:rPr>
                <w:rFonts w:hint="eastAsia" w:ascii="宋体" w:hAnsi="宋体" w:eastAsia="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人员要求</w:t>
            </w:r>
          </w:p>
        </w:tc>
        <w:tc>
          <w:tcPr>
            <w:tcW w:w="4983" w:type="dxa"/>
            <w:vAlign w:val="center"/>
          </w:tcPr>
          <w:p>
            <w:pPr>
              <w:widowControl/>
              <w:adjustRightInd w:val="0"/>
              <w:snapToGrid w:val="0"/>
              <w:spacing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sym w:font="Wingdings 2" w:char="0052"/>
            </w:r>
            <w:r>
              <w:rPr>
                <w:rFonts w:hint="eastAsia" w:ascii="宋体" w:hAnsi="宋体" w:eastAsia="宋体" w:cs="宋体"/>
                <w:color w:val="auto"/>
                <w:sz w:val="24"/>
                <w:highlight w:val="none"/>
                <w:u w:val="none"/>
                <w:lang w:val="en-US" w:eastAsia="zh-CN"/>
              </w:rPr>
              <w:t>不</w:t>
            </w:r>
            <w:r>
              <w:rPr>
                <w:rFonts w:hint="eastAsia" w:ascii="宋体" w:hAnsi="宋体" w:eastAsia="宋体" w:cs="宋体"/>
                <w:color w:val="auto"/>
                <w:sz w:val="24"/>
                <w:highlight w:val="none"/>
                <w:u w:val="non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信誉要求</w:t>
            </w:r>
          </w:p>
        </w:tc>
        <w:tc>
          <w:tcPr>
            <w:tcW w:w="4983" w:type="dxa"/>
            <w:vAlign w:val="center"/>
          </w:tcPr>
          <w:p>
            <w:pPr>
              <w:pStyle w:val="3"/>
              <w:widowControl w:val="0"/>
              <w:spacing w:after="0" w:line="312"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1）在</w:t>
            </w:r>
            <w:r>
              <w:rPr>
                <w:rFonts w:hint="eastAsia" w:ascii="宋体" w:hAnsi="宋体" w:eastAsia="宋体" w:cs="宋体"/>
                <w:color w:val="auto"/>
                <w:sz w:val="21"/>
                <w:szCs w:val="21"/>
              </w:rPr>
              <w:t>国</w:t>
            </w:r>
            <w:r>
              <w:rPr>
                <w:rFonts w:hint="eastAsia" w:ascii="宋体" w:hAnsi="宋体" w:eastAsia="宋体" w:cs="宋体"/>
                <w:color w:val="auto"/>
                <w:sz w:val="21"/>
                <w:szCs w:val="21"/>
                <w:lang w:val="en-US" w:eastAsia="zh-CN"/>
              </w:rPr>
              <w:t>家</w:t>
            </w:r>
            <w:r>
              <w:rPr>
                <w:rFonts w:hint="eastAsia" w:ascii="宋体" w:hAnsi="宋体" w:eastAsia="宋体" w:cs="宋体"/>
                <w:color w:val="auto"/>
                <w:sz w:val="21"/>
                <w:szCs w:val="21"/>
              </w:rPr>
              <w:t>企业信用信息公示系统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https://www.gsxt.gov.cn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中未列入严重违法失信企业名单的网页截图</w:t>
            </w:r>
            <w:r>
              <w:rPr>
                <w:rFonts w:hint="eastAsia" w:ascii="宋体" w:hAnsi="宋体" w:eastAsia="宋体" w:cs="宋体"/>
                <w:color w:val="auto"/>
                <w:sz w:val="21"/>
                <w:szCs w:val="21"/>
                <w:lang w:eastAsia="zh-CN"/>
              </w:rPr>
              <w:t>。</w:t>
            </w:r>
            <w:r>
              <w:rPr>
                <w:rFonts w:hint="eastAsia" w:ascii="宋体" w:hAnsi="宋体" w:eastAsia="宋体" w:cs="宋体"/>
                <w:color w:val="auto"/>
                <w:sz w:val="24"/>
                <w:highlight w:val="none"/>
              </w:rPr>
              <w:t>加盖公章。</w:t>
            </w:r>
          </w:p>
          <w:p>
            <w:pPr>
              <w:widowControl/>
              <w:adjustRightInd w:val="0"/>
              <w:snapToGrid w:val="0"/>
              <w:spacing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被最高人民法院在“信用中国”网站（www.creditchina.gov.cn）中未列入失信被执行人名单的网页截图</w:t>
            </w:r>
            <w:r>
              <w:rPr>
                <w:rFonts w:hint="eastAsia" w:ascii="宋体" w:hAnsi="宋体" w:eastAsia="宋体" w:cs="宋体"/>
                <w:color w:val="auto"/>
                <w:sz w:val="21"/>
                <w:szCs w:val="21"/>
                <w:lang w:eastAsia="zh-CN"/>
              </w:rPr>
              <w:t>。</w:t>
            </w:r>
            <w:r>
              <w:rPr>
                <w:rFonts w:hint="eastAsia" w:ascii="宋体" w:hAnsi="宋体" w:eastAsia="宋体" w:cs="宋体"/>
                <w:color w:val="auto"/>
                <w:sz w:val="24"/>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restart"/>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2.1.3</w:t>
            </w:r>
          </w:p>
        </w:tc>
        <w:tc>
          <w:tcPr>
            <w:tcW w:w="1155" w:type="dxa"/>
            <w:vMerge w:val="restart"/>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响应性评审标准</w:t>
            </w: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响应文件有效期</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响应方案</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完成期限</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none"/>
                <w:lang w:val="en-US" w:eastAsia="zh-CN"/>
              </w:rPr>
              <w:t>合同签订后，接通知2小时内响应，每项任务进场后3个日历日内完成。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合同条款</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155" w:type="dxa"/>
            <w:vMerge w:val="continue"/>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对非关键条款的偏差</w:t>
            </w:r>
          </w:p>
        </w:tc>
        <w:tc>
          <w:tcPr>
            <w:tcW w:w="4983" w:type="dxa"/>
            <w:vAlign w:val="center"/>
          </w:tcPr>
          <w:p>
            <w:pPr>
              <w:widowControl w:val="0"/>
              <w:spacing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允许偏差的范围：细微偏差</w:t>
            </w:r>
          </w:p>
          <w:p>
            <w:pPr>
              <w:widowControl/>
              <w:adjustRightInd w:val="0"/>
              <w:snapToGrid w:val="0"/>
              <w:spacing w:line="288"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允许偏差的项数：</w:t>
            </w:r>
            <w:r>
              <w:rPr>
                <w:rFonts w:hint="eastAsia" w:ascii="宋体" w:hAnsi="宋体" w:eastAsia="宋体" w:cs="宋体"/>
                <w:color w:val="auto"/>
                <w:sz w:val="24"/>
                <w:highlight w:val="none"/>
                <w:u w:val="single"/>
              </w:rPr>
              <w:t>2项</w:t>
            </w:r>
            <w:r>
              <w:rPr>
                <w:rFonts w:hint="eastAsia" w:ascii="宋体" w:hAnsi="宋体" w:eastAsia="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1155"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评审价格</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27" w:type="dxa"/>
            <w:gridSpan w:val="2"/>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1452"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条款内容</w:t>
            </w:r>
          </w:p>
        </w:tc>
        <w:tc>
          <w:tcPr>
            <w:tcW w:w="4983" w:type="dxa"/>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27" w:type="dxa"/>
            <w:gridSpan w:val="2"/>
            <w:vAlign w:val="center"/>
          </w:tcPr>
          <w:p>
            <w:pPr>
              <w:widowControl/>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52" w:type="dxa"/>
            <w:vAlign w:val="center"/>
          </w:tcPr>
          <w:p>
            <w:pPr>
              <w:widowControl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4983" w:type="dxa"/>
            <w:vAlign w:val="center"/>
          </w:tcPr>
          <w:p>
            <w:pPr>
              <w:widowControl w:val="0"/>
              <w:adjustRightInd w:val="0"/>
              <w:snapToGrid w:val="0"/>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根据2.2.2条规定，</w:t>
            </w:r>
            <w:r>
              <w:rPr>
                <w:rFonts w:hint="eastAsia" w:ascii="宋体" w:hAnsi="宋体" w:eastAsia="宋体" w:cs="宋体"/>
                <w:color w:val="auto"/>
                <w:sz w:val="24"/>
                <w:szCs w:val="24"/>
                <w:highlight w:val="none"/>
                <w:lang w:val="en-US" w:eastAsia="zh-CN"/>
              </w:rPr>
              <w:t>本项要求</w:t>
            </w:r>
            <w:r>
              <w:rPr>
                <w:rFonts w:hint="eastAsia" w:ascii="宋体" w:hAnsi="宋体" w:eastAsia="宋体" w:cs="宋体"/>
                <w:b w:val="0"/>
                <w:bCs w:val="0"/>
                <w:color w:val="auto"/>
                <w:sz w:val="24"/>
                <w:szCs w:val="24"/>
                <w:highlight w:val="none"/>
                <w:u w:val="none"/>
                <w:lang w:val="en-US" w:eastAsia="zh-CN"/>
              </w:rPr>
              <w:t>提供3%的增值税专用发票，超过最高限价的作废。如果报价人提供其他税率的增值税专用发票，招标人按3%的增值税税率调整报价后参与排序。</w:t>
            </w:r>
          </w:p>
        </w:tc>
      </w:tr>
    </w:tbl>
    <w:p>
      <w:pPr>
        <w:spacing w:line="288" w:lineRule="auto"/>
        <w:jc w:val="both"/>
        <w:rPr>
          <w:rFonts w:hint="eastAsia" w:ascii="宋体" w:hAnsi="宋体" w:eastAsia="宋体" w:cs="宋体"/>
          <w:color w:val="auto"/>
          <w:sz w:val="24"/>
          <w:highlight w:val="none"/>
        </w:rPr>
      </w:pPr>
    </w:p>
    <w:p>
      <w:pPr>
        <w:pStyle w:val="38"/>
        <w:spacing w:line="288" w:lineRule="auto"/>
        <w:ind w:firstLine="0"/>
        <w:jc w:val="both"/>
        <w:rPr>
          <w:rFonts w:hint="eastAsia" w:ascii="宋体" w:hAnsi="宋体" w:eastAsia="宋体" w:cs="宋体"/>
          <w:color w:val="auto"/>
          <w:highlight w:val="none"/>
        </w:rPr>
      </w:pPr>
    </w:p>
    <w:p>
      <w:pPr>
        <w:pStyle w:val="38"/>
        <w:spacing w:line="288" w:lineRule="auto"/>
        <w:ind w:firstLine="0"/>
        <w:jc w:val="both"/>
        <w:rPr>
          <w:rFonts w:hint="eastAsia" w:ascii="宋体" w:hAnsi="宋体" w:eastAsia="宋体" w:cs="宋体"/>
          <w:color w:val="auto"/>
          <w:highlight w:val="none"/>
        </w:rPr>
      </w:pPr>
    </w:p>
    <w:p>
      <w:pPr>
        <w:pStyle w:val="38"/>
        <w:spacing w:line="288" w:lineRule="auto"/>
        <w:ind w:firstLine="0"/>
        <w:jc w:val="both"/>
        <w:rPr>
          <w:rFonts w:hint="eastAsia" w:ascii="宋体" w:hAnsi="宋体" w:eastAsia="宋体" w:cs="宋体"/>
          <w:color w:val="auto"/>
          <w:highlight w:val="none"/>
        </w:rPr>
      </w:pPr>
    </w:p>
    <w:p>
      <w:pPr>
        <w:pStyle w:val="38"/>
        <w:spacing w:line="288" w:lineRule="auto"/>
        <w:ind w:firstLine="0"/>
        <w:jc w:val="both"/>
        <w:rPr>
          <w:rFonts w:hint="eastAsia" w:ascii="宋体" w:hAnsi="宋体" w:eastAsia="宋体" w:cs="宋体"/>
          <w:color w:val="auto"/>
          <w:highlight w:val="none"/>
        </w:rPr>
      </w:pPr>
    </w:p>
    <w:p>
      <w:pPr>
        <w:pStyle w:val="38"/>
        <w:spacing w:line="288" w:lineRule="auto"/>
        <w:ind w:firstLine="0"/>
        <w:jc w:val="both"/>
        <w:rPr>
          <w:rFonts w:hint="eastAsia" w:ascii="宋体" w:hAnsi="宋体" w:eastAsia="宋体" w:cs="宋体"/>
          <w:color w:val="auto"/>
          <w:highlight w:val="none"/>
        </w:rPr>
      </w:pPr>
    </w:p>
    <w:p>
      <w:pPr>
        <w:adjustRightInd w:val="0"/>
        <w:snapToGrid w:val="0"/>
        <w:spacing w:line="312"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评审办法正文</w:t>
      </w:r>
    </w:p>
    <w:p>
      <w:pPr>
        <w:adjustRightInd w:val="0"/>
        <w:snapToGrid w:val="0"/>
        <w:spacing w:line="312" w:lineRule="auto"/>
        <w:jc w:val="both"/>
        <w:rPr>
          <w:rFonts w:hint="eastAsia" w:ascii="宋体" w:hAnsi="宋体" w:eastAsia="宋体" w:cs="宋体"/>
          <w:b/>
          <w:bCs/>
          <w:color w:val="auto"/>
          <w:sz w:val="36"/>
          <w:szCs w:val="36"/>
          <w:highlight w:val="none"/>
        </w:rPr>
      </w:pP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1评审方法(最低价法)</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2初步评审标准和程序</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2.1初步评审标准</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2.1.1形式评审标准:见评审办法前附表。</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2.1.2资格评审标准:见评审办法前附表。</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2.1.3响应性评审标准:见评审办法前附表。</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2.2初步评审程序</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2.2.2除评审办法前附表另有规定外，评审价格为供应商在响应函中填报的大写含税价格，</w:t>
      </w:r>
      <w:r>
        <w:rPr>
          <w:rFonts w:hint="eastAsia" w:ascii="宋体" w:hAnsi="宋体" w:eastAsia="宋体" w:cs="宋体"/>
          <w:color w:val="auto"/>
          <w:sz w:val="24"/>
          <w:szCs w:val="24"/>
          <w:highlight w:val="none"/>
          <w:lang w:val="en-US" w:eastAsia="zh-CN"/>
        </w:rPr>
        <w:t>本项要求</w:t>
      </w:r>
      <w:r>
        <w:rPr>
          <w:rFonts w:hint="eastAsia" w:ascii="宋体" w:hAnsi="宋体" w:eastAsia="宋体" w:cs="宋体"/>
          <w:b w:val="0"/>
          <w:bCs w:val="0"/>
          <w:color w:val="auto"/>
          <w:sz w:val="24"/>
          <w:szCs w:val="24"/>
          <w:highlight w:val="none"/>
          <w:u w:val="none"/>
          <w:lang w:val="en-US" w:eastAsia="zh-CN"/>
        </w:rPr>
        <w:t>提供3%的增值税专用发票，超过最高限价的作废。如果报价人提供其他税率的增值税专用发票，招标人按3%的增值税税率调整报价后参与排序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调整后的</w:t>
      </w:r>
      <w:r>
        <w:rPr>
          <w:rFonts w:hint="eastAsia" w:ascii="宋体" w:hAnsi="宋体" w:eastAsia="宋体" w:cs="宋体"/>
          <w:color w:val="auto"/>
          <w:sz w:val="24"/>
          <w:highlight w:val="none"/>
        </w:rPr>
        <w:t>评审价格若超过最高限价(如有)，其响应文件将被视为无效。</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(1)大写金额与小写金额不一致的，以大写金额为准;</w:t>
      </w:r>
    </w:p>
    <w:p>
      <w:pPr>
        <w:tabs>
          <w:tab w:val="left" w:pos="312"/>
        </w:tabs>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2.2.4供应商有串通，弄虚作假、行贿等违法行为的，其响应文件将被视为无效。</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3详细评审标准和程序(最低价法)</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4评审结果</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4.1提交书面评审报告</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评审小组完成评审后，应当向采购人提交书面评审报告。</w:t>
      </w:r>
    </w:p>
    <w:p>
      <w:pPr>
        <w:adjustRightInd w:val="0"/>
        <w:snapToGrid w:val="0"/>
        <w:spacing w:line="312" w:lineRule="auto"/>
        <w:jc w:val="both"/>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4.2推荐成交候选供应商排序要求及数量</w:t>
      </w:r>
    </w:p>
    <w:p>
      <w:pPr>
        <w:adjustRightInd w:val="0"/>
        <w:snapToGrid w:val="0"/>
        <w:spacing w:line="312" w:lineRule="auto"/>
        <w:ind w:firstLine="453" w:firstLineChars="18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12" w:lineRule="auto"/>
        <w:rPr>
          <w:rFonts w:hint="eastAsia" w:ascii="宋体" w:hAnsi="宋体" w:eastAsia="宋体" w:cs="宋体"/>
          <w:b/>
          <w:color w:val="auto"/>
          <w:kern w:val="0"/>
          <w:szCs w:val="21"/>
          <w:highlight w:val="none"/>
        </w:rPr>
      </w:pPr>
    </w:p>
    <w:p>
      <w:pPr>
        <w:pStyle w:val="77"/>
        <w:spacing w:line="600" w:lineRule="exact"/>
        <w:ind w:left="420" w:firstLine="0" w:firstLineChars="0"/>
        <w:jc w:val="center"/>
        <w:rPr>
          <w:rFonts w:hint="eastAsia" w:ascii="宋体" w:hAnsi="宋体" w:eastAsia="宋体" w:cs="宋体"/>
          <w:b/>
          <w:color w:val="auto"/>
          <w:sz w:val="36"/>
          <w:szCs w:val="36"/>
          <w:highlight w:val="none"/>
        </w:rPr>
      </w:pPr>
    </w:p>
    <w:p>
      <w:pPr>
        <w:pStyle w:val="77"/>
        <w:spacing w:line="600" w:lineRule="exact"/>
        <w:ind w:left="420" w:firstLine="0" w:firstLineChars="0"/>
        <w:jc w:val="center"/>
        <w:rPr>
          <w:rFonts w:hint="eastAsia" w:ascii="宋体" w:hAnsi="宋体" w:eastAsia="宋体" w:cs="宋体"/>
          <w:b/>
          <w:color w:val="auto"/>
          <w:sz w:val="36"/>
          <w:szCs w:val="36"/>
          <w:highlight w:val="none"/>
        </w:rPr>
      </w:pPr>
    </w:p>
    <w:p>
      <w:pPr>
        <w:pStyle w:val="77"/>
        <w:spacing w:line="600" w:lineRule="exact"/>
        <w:ind w:firstLine="0" w:firstLineChars="0"/>
        <w:jc w:val="both"/>
        <w:outlineLvl w:val="0"/>
        <w:rPr>
          <w:rFonts w:hint="eastAsia" w:ascii="宋体" w:hAnsi="宋体" w:eastAsia="宋体" w:cs="宋体"/>
          <w:b/>
          <w:color w:val="auto"/>
          <w:sz w:val="36"/>
          <w:szCs w:val="36"/>
          <w:highlight w:val="none"/>
        </w:rPr>
      </w:pPr>
      <w:bookmarkStart w:id="13" w:name="_Toc9628"/>
    </w:p>
    <w:p>
      <w:pPr>
        <w:pStyle w:val="77"/>
        <w:numPr>
          <w:ilvl w:val="0"/>
          <w:numId w:val="3"/>
        </w:numPr>
        <w:spacing w:line="600" w:lineRule="exact"/>
        <w:ind w:firstLine="0" w:firstLine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合同条款及格式</w:t>
      </w:r>
      <w:bookmarkEnd w:id="13"/>
    </w:p>
    <w:p>
      <w:pPr>
        <w:pStyle w:val="77"/>
        <w:numPr>
          <w:ilvl w:val="0"/>
          <w:numId w:val="0"/>
        </w:numPr>
        <w:spacing w:line="600" w:lineRule="exact"/>
        <w:ind w:firstLine="6090" w:firstLineChars="2900"/>
        <w:jc w:val="both"/>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合同编号：</w:t>
      </w:r>
    </w:p>
    <w:p>
      <w:pPr>
        <w:spacing w:line="540" w:lineRule="exact"/>
        <w:outlineLvl w:val="0"/>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rPr>
        <w:t>甲方：（发包人）</w:t>
      </w:r>
      <w:r>
        <w:rPr>
          <w:rFonts w:hint="eastAsia" w:ascii="宋体" w:hAnsi="宋体" w:eastAsia="宋体" w:cs="宋体"/>
          <w:b/>
          <w:bCs/>
          <w:color w:val="auto"/>
          <w:sz w:val="32"/>
          <w:szCs w:val="32"/>
          <w:u w:val="none"/>
          <w:lang w:val="en-US" w:eastAsia="zh-CN"/>
        </w:rPr>
        <w:t>岳阳城陵矶港务有限责任公司</w:t>
      </w:r>
      <w:r>
        <w:rPr>
          <w:rFonts w:hint="eastAsia" w:ascii="宋体" w:hAnsi="宋体" w:eastAsia="宋体" w:cs="宋体"/>
          <w:b/>
          <w:bCs/>
          <w:color w:val="auto"/>
          <w:sz w:val="32"/>
          <w:szCs w:val="32"/>
          <w:u w:val="none"/>
        </w:rPr>
        <w:t xml:space="preserve"> </w:t>
      </w:r>
    </w:p>
    <w:p>
      <w:pPr>
        <w:spacing w:line="540" w:lineRule="exact"/>
        <w:ind w:firstLine="0"/>
        <w:rPr>
          <w:rFonts w:hint="eastAsia" w:ascii="宋体" w:hAnsi="宋体" w:eastAsia="宋体" w:cs="宋体"/>
          <w:color w:val="auto"/>
          <w:sz w:val="30"/>
          <w:szCs w:val="30"/>
          <w:u w:val="none"/>
        </w:rPr>
      </w:pPr>
      <w:r>
        <w:rPr>
          <w:rFonts w:hint="eastAsia" w:ascii="宋体" w:hAnsi="宋体" w:eastAsia="宋体" w:cs="宋体"/>
          <w:b/>
          <w:bCs/>
          <w:color w:val="auto"/>
          <w:sz w:val="30"/>
          <w:szCs w:val="30"/>
          <w:u w:val="none"/>
        </w:rPr>
        <w:t>乙方：（承包人）</w:t>
      </w:r>
      <w:r>
        <w:rPr>
          <w:rFonts w:hint="eastAsia" w:ascii="宋体" w:hAnsi="宋体" w:eastAsia="宋体" w:cs="宋体"/>
          <w:color w:val="auto"/>
          <w:sz w:val="30"/>
          <w:szCs w:val="30"/>
          <w:u w:val="none"/>
        </w:rPr>
        <w:t xml:space="preserve">                                                           </w:t>
      </w:r>
    </w:p>
    <w:p>
      <w:pPr>
        <w:numPr>
          <w:ilvl w:val="0"/>
          <w:numId w:val="4"/>
        </w:numPr>
        <w:spacing w:line="5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w:t>
      </w:r>
    </w:p>
    <w:p>
      <w:pPr>
        <w:pStyle w:val="2"/>
        <w:numPr>
          <w:ilvl w:val="0"/>
          <w:numId w:val="0"/>
        </w:numPr>
        <w:ind w:firstLine="480" w:firstLineChars="200"/>
        <w:rPr>
          <w:rFonts w:hint="eastAsia" w:ascii="宋体" w:hAnsi="宋体" w:eastAsia="宋体" w:cs="宋体"/>
          <w:color w:val="auto"/>
          <w:lang w:val="en-US" w:eastAsia="zh-CN"/>
        </w:rPr>
      </w:pPr>
      <w:r>
        <w:rPr>
          <w:rFonts w:hint="eastAsia" w:ascii="宋体" w:hAnsi="宋体" w:eastAsia="宋体" w:cs="宋体"/>
          <w:b w:val="0"/>
          <w:bCs w:val="0"/>
          <w:color w:val="auto"/>
          <w:kern w:val="2"/>
          <w:sz w:val="24"/>
          <w:szCs w:val="24"/>
          <w:highlight w:val="none"/>
          <w:lang w:val="en-US" w:eastAsia="zh-CN" w:bidi="ar-SA"/>
        </w:rPr>
        <w:t>28个滚筒现场包胶，面积为87.97平方米。此项采购为年度数量，利用维修时间分批完成。具体</w:t>
      </w:r>
      <w:r>
        <w:rPr>
          <w:rFonts w:hint="eastAsia" w:ascii="宋体" w:hAnsi="宋体" w:eastAsia="宋体" w:cs="宋体"/>
          <w:color w:val="auto"/>
          <w:lang w:val="en-US" w:eastAsia="zh-CN"/>
        </w:rPr>
        <w:t>见询价文件。</w:t>
      </w:r>
    </w:p>
    <w:p>
      <w:pPr>
        <w:pStyle w:val="5"/>
        <w:ind w:firstLine="480" w:firstLineChars="200"/>
        <w:rPr>
          <w:rFonts w:hint="eastAsia" w:ascii="宋体" w:hAnsi="宋体" w:eastAsia="宋体" w:cs="宋体"/>
          <w:bCs/>
          <w:color w:val="auto"/>
        </w:rPr>
      </w:pPr>
      <w:r>
        <w:rPr>
          <w:rFonts w:hint="eastAsia" w:ascii="宋体" w:hAnsi="宋体" w:eastAsia="宋体" w:cs="宋体"/>
          <w:b w:val="0"/>
          <w:bCs w:val="0"/>
          <w:color w:val="auto"/>
          <w:sz w:val="24"/>
          <w:lang w:val="en-US" w:eastAsia="zh-CN"/>
        </w:rPr>
        <w:t>本次采购金额？？（¥？？元），含</w:t>
      </w:r>
      <w:r>
        <w:rPr>
          <w:rFonts w:hint="eastAsia" w:cs="宋体"/>
          <w:b w:val="0"/>
          <w:bCs w:val="0"/>
          <w:color w:val="auto"/>
          <w:sz w:val="24"/>
          <w:lang w:val="en-US" w:eastAsia="zh-CN"/>
        </w:rPr>
        <w:t>1</w:t>
      </w:r>
      <w:r>
        <w:rPr>
          <w:rFonts w:hint="eastAsia" w:ascii="宋体" w:hAnsi="宋体" w:eastAsia="宋体" w:cs="宋体"/>
          <w:b w:val="0"/>
          <w:bCs w:val="0"/>
          <w:color w:val="auto"/>
          <w:sz w:val="24"/>
          <w:lang w:val="en-US" w:eastAsia="zh-CN"/>
        </w:rPr>
        <w:t>3%增值税。按实际完成数量验收，如有变动的工作量，结算金额以单价为准，但不得超过合同金额的10%。</w:t>
      </w:r>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b/>
          <w:color w:val="auto"/>
          <w:sz w:val="24"/>
        </w:rPr>
        <w:t>二、交货期</w:t>
      </w:r>
      <w:r>
        <w:rPr>
          <w:rFonts w:hint="eastAsia" w:ascii="宋体" w:hAnsi="宋体" w:eastAsia="宋体" w:cs="宋体"/>
          <w:color w:val="auto"/>
          <w:sz w:val="24"/>
        </w:rPr>
        <w:t>。</w:t>
      </w:r>
    </w:p>
    <w:p>
      <w:pPr>
        <w:adjustRightInd w:val="0"/>
        <w:snapToGrid w:val="0"/>
        <w:spacing w:line="360" w:lineRule="auto"/>
        <w:ind w:firstLine="482"/>
        <w:rPr>
          <w:rFonts w:hint="eastAsia" w:ascii="宋体" w:hAnsi="宋体" w:eastAsia="宋体" w:cs="宋体"/>
          <w:color w:val="auto"/>
          <w:sz w:val="24"/>
        </w:rPr>
      </w:pPr>
      <w:r>
        <w:rPr>
          <w:rFonts w:hint="eastAsia" w:ascii="宋体" w:hAnsi="宋体" w:eastAsia="宋体" w:cs="宋体"/>
          <w:color w:val="auto"/>
          <w:sz w:val="24"/>
          <w:lang w:val="en-US" w:eastAsia="zh-CN"/>
        </w:rPr>
        <w:t>合同签订后</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在临时胶接或修补需要时(含节假日)保证2小时内到达维修现场作业。</w:t>
      </w:r>
      <w:r>
        <w:rPr>
          <w:rFonts w:hint="eastAsia" w:ascii="宋体" w:hAnsi="宋体" w:eastAsia="宋体" w:cs="宋体"/>
          <w:color w:val="auto"/>
          <w:sz w:val="24"/>
          <w:highlight w:val="none"/>
          <w:lang w:val="en-US" w:eastAsia="zh-CN"/>
        </w:rPr>
        <w:t>3个日历日内完成当次任务。</w:t>
      </w:r>
    </w:p>
    <w:p>
      <w:pPr>
        <w:adjustRightInd w:val="0"/>
        <w:snapToGrid w:val="0"/>
        <w:spacing w:line="360" w:lineRule="auto"/>
        <w:ind w:firstLine="482"/>
        <w:rPr>
          <w:rFonts w:hint="eastAsia" w:ascii="宋体" w:hAnsi="宋体" w:eastAsia="宋体" w:cs="宋体"/>
          <w:color w:val="auto"/>
          <w:sz w:val="24"/>
        </w:rPr>
      </w:pPr>
      <w:r>
        <w:rPr>
          <w:rFonts w:hint="eastAsia" w:ascii="宋体" w:hAnsi="宋体" w:eastAsia="宋体" w:cs="宋体"/>
          <w:b/>
          <w:bCs/>
          <w:color w:val="auto"/>
          <w:sz w:val="24"/>
        </w:rPr>
        <w:t>三、交（提）货地点、方式：</w:t>
      </w:r>
      <w:r>
        <w:rPr>
          <w:rFonts w:hint="eastAsia" w:ascii="宋体" w:hAnsi="宋体" w:eastAsia="宋体" w:cs="宋体"/>
          <w:color w:val="auto"/>
          <w:sz w:val="24"/>
        </w:rPr>
        <w:t>由</w:t>
      </w:r>
      <w:r>
        <w:rPr>
          <w:rFonts w:hint="eastAsia" w:ascii="宋体" w:hAnsi="宋体" w:eastAsia="宋体" w:cs="宋体"/>
          <w:color w:val="auto"/>
          <w:sz w:val="24"/>
          <w:lang w:eastAsia="zh-CN"/>
        </w:rPr>
        <w:t>乙方</w:t>
      </w:r>
      <w:r>
        <w:rPr>
          <w:rFonts w:hint="eastAsia" w:ascii="宋体" w:hAnsi="宋体" w:eastAsia="宋体" w:cs="宋体"/>
          <w:color w:val="auto"/>
          <w:sz w:val="24"/>
        </w:rPr>
        <w:t>负责运输到</w:t>
      </w:r>
      <w:r>
        <w:rPr>
          <w:rFonts w:hint="eastAsia" w:ascii="宋体" w:hAnsi="宋体" w:eastAsia="宋体" w:cs="宋体"/>
          <w:color w:val="auto"/>
          <w:sz w:val="24"/>
          <w:u w:val="single"/>
        </w:rPr>
        <w:t>湖南省岳阳市</w:t>
      </w:r>
      <w:r>
        <w:rPr>
          <w:rFonts w:hint="eastAsia" w:ascii="宋体" w:hAnsi="宋体" w:eastAsia="宋体" w:cs="宋体"/>
          <w:color w:val="auto"/>
          <w:sz w:val="24"/>
          <w:u w:val="single"/>
          <w:lang w:val="en-US" w:eastAsia="zh-CN"/>
        </w:rPr>
        <w:t xml:space="preserve">岳阳楼区城陵矶长江路2号 </w:t>
      </w:r>
      <w:r>
        <w:rPr>
          <w:rFonts w:hint="eastAsia" w:ascii="宋体" w:hAnsi="宋体" w:eastAsia="宋体" w:cs="宋体"/>
          <w:color w:val="auto"/>
          <w:sz w:val="24"/>
        </w:rPr>
        <w:t>签收，签收人：</w:t>
      </w:r>
      <w:r>
        <w:rPr>
          <w:rFonts w:hint="eastAsia" w:ascii="宋体" w:hAnsi="宋体" w:eastAsia="宋体" w:cs="宋体"/>
          <w:color w:val="auto"/>
          <w:sz w:val="24"/>
          <w:lang w:val="en-US" w:eastAsia="zh-CN"/>
        </w:rPr>
        <w:t>雷晨曦</w:t>
      </w:r>
      <w:r>
        <w:rPr>
          <w:rFonts w:hint="eastAsia" w:ascii="宋体" w:hAnsi="宋体" w:eastAsia="宋体" w:cs="宋体"/>
          <w:color w:val="auto"/>
          <w:sz w:val="24"/>
        </w:rPr>
        <w:t>。联系电话：</w:t>
      </w:r>
      <w:r>
        <w:rPr>
          <w:rFonts w:hint="eastAsia" w:ascii="宋体" w:hAnsi="宋体" w:eastAsia="宋体" w:cs="宋体"/>
          <w:color w:val="auto"/>
          <w:sz w:val="24"/>
          <w:lang w:val="en-US" w:eastAsia="zh-CN"/>
        </w:rPr>
        <w:t>15973002673</w:t>
      </w:r>
      <w:r>
        <w:rPr>
          <w:rFonts w:hint="eastAsia" w:ascii="宋体" w:hAnsi="宋体" w:eastAsia="宋体" w:cs="宋体"/>
          <w:color w:val="auto"/>
          <w:sz w:val="24"/>
        </w:rPr>
        <w:t>。</w:t>
      </w:r>
    </w:p>
    <w:p>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w:t>四、质量要求及售后服务：</w:t>
      </w:r>
      <w:r>
        <w:rPr>
          <w:rFonts w:hint="eastAsia" w:ascii="宋体" w:hAnsi="宋体" w:eastAsia="宋体" w:cs="宋体"/>
          <w:bCs/>
          <w:color w:val="auto"/>
          <w:sz w:val="24"/>
        </w:rPr>
        <w:t>质保期</w:t>
      </w:r>
      <w:r>
        <w:rPr>
          <w:rFonts w:hint="eastAsia" w:ascii="宋体" w:hAnsi="宋体" w:eastAsia="宋体" w:cs="宋体"/>
          <w:bCs/>
          <w:color w:val="auto"/>
          <w:sz w:val="24"/>
          <w:lang w:val="en-US" w:eastAsia="zh-CN"/>
        </w:rPr>
        <w:t>叁</w:t>
      </w:r>
      <w:r>
        <w:rPr>
          <w:rFonts w:hint="eastAsia" w:ascii="宋体" w:hAnsi="宋体" w:eastAsia="宋体" w:cs="宋体"/>
          <w:bCs/>
          <w:color w:val="auto"/>
          <w:sz w:val="24"/>
        </w:rPr>
        <w:t>年，质保期内非人为损坏免费维修更换，并免费提供可靠适用的配件备用。</w:t>
      </w:r>
    </w:p>
    <w:p>
      <w:pPr>
        <w:spacing w:line="360" w:lineRule="auto"/>
        <w:rPr>
          <w:rFonts w:hint="eastAsia" w:ascii="宋体" w:hAnsi="宋体" w:eastAsia="宋体" w:cs="宋体"/>
          <w:bCs/>
          <w:color w:val="auto"/>
          <w:sz w:val="24"/>
          <w:u w:val="single"/>
        </w:rPr>
      </w:pPr>
      <w:r>
        <w:rPr>
          <w:rFonts w:hint="eastAsia" w:ascii="宋体" w:hAnsi="宋体" w:eastAsia="宋体" w:cs="宋体"/>
          <w:b/>
          <w:bCs/>
          <w:color w:val="auto"/>
          <w:sz w:val="24"/>
        </w:rPr>
        <w:t>五、产品的包装标准、包装物的供应与回收：</w:t>
      </w:r>
      <w:r>
        <w:rPr>
          <w:rFonts w:hint="eastAsia" w:ascii="宋体" w:hAnsi="宋体" w:eastAsia="宋体" w:cs="宋体"/>
          <w:bCs/>
          <w:color w:val="auto"/>
          <w:sz w:val="24"/>
        </w:rPr>
        <w:t>中性包装、不回收 。</w:t>
      </w:r>
    </w:p>
    <w:p>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六、供应要求：</w:t>
      </w:r>
      <w:r>
        <w:rPr>
          <w:rFonts w:hint="eastAsia" w:ascii="宋体" w:hAnsi="宋体" w:eastAsia="宋体" w:cs="宋体"/>
          <w:color w:val="auto"/>
          <w:sz w:val="24"/>
          <w:lang w:eastAsia="zh-CN"/>
        </w:rPr>
        <w:t>乙方</w:t>
      </w:r>
      <w:r>
        <w:rPr>
          <w:rFonts w:hint="eastAsia" w:ascii="宋体" w:hAnsi="宋体" w:eastAsia="宋体" w:cs="宋体"/>
          <w:color w:val="auto"/>
          <w:sz w:val="24"/>
        </w:rPr>
        <w:t>提供的产品应包括维护使用培训服务；</w:t>
      </w:r>
      <w:r>
        <w:rPr>
          <w:rFonts w:hint="eastAsia" w:ascii="宋体" w:hAnsi="宋体" w:eastAsia="宋体" w:cs="宋体"/>
          <w:bCs/>
          <w:color w:val="auto"/>
          <w:sz w:val="24"/>
        </w:rPr>
        <w:t>负责提供产品合格证、检测报告、说明书</w:t>
      </w:r>
      <w:r>
        <w:rPr>
          <w:rFonts w:hint="eastAsia" w:ascii="宋体" w:hAnsi="宋体" w:eastAsia="宋体" w:cs="宋体"/>
          <w:color w:val="auto"/>
          <w:sz w:val="24"/>
        </w:rPr>
        <w:t>等</w:t>
      </w:r>
      <w:r>
        <w:rPr>
          <w:rFonts w:hint="eastAsia" w:ascii="宋体" w:hAnsi="宋体" w:eastAsia="宋体" w:cs="宋体"/>
          <w:bCs/>
          <w:color w:val="auto"/>
          <w:sz w:val="24"/>
        </w:rPr>
        <w:t>。</w:t>
      </w:r>
      <w:r>
        <w:rPr>
          <w:rFonts w:hint="eastAsia" w:ascii="宋体" w:hAnsi="宋体" w:eastAsia="宋体" w:cs="宋体"/>
          <w:color w:val="auto"/>
          <w:sz w:val="24"/>
          <w:lang w:val="en-US" w:eastAsia="zh-CN"/>
        </w:rPr>
        <w:t>乙方负责所有产品的安装工作，3个日历日完成安装</w:t>
      </w:r>
      <w:r>
        <w:rPr>
          <w:rFonts w:hint="eastAsia" w:ascii="宋体" w:hAnsi="宋体" w:eastAsia="宋体" w:cs="宋体"/>
          <w:color w:val="auto"/>
          <w:sz w:val="24"/>
        </w:rPr>
        <w:t>。</w:t>
      </w:r>
      <w:r>
        <w:rPr>
          <w:rFonts w:hint="eastAsia" w:ascii="宋体" w:hAnsi="宋体" w:eastAsia="宋体" w:cs="宋体"/>
          <w:color w:val="auto"/>
          <w:sz w:val="24"/>
          <w:lang w:val="en-US" w:eastAsia="zh-CN"/>
        </w:rPr>
        <w:t>甲方提供作业电源、协助撩皮带。安装时如涉及高空作业、临水作业、机械配合等事项，乙方应保证照齐全、证持证上岗，严格遵守安全操作规程。</w:t>
      </w:r>
    </w:p>
    <w:p>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w:t>七、合理损耗及计算方法：</w:t>
      </w:r>
      <w:r>
        <w:rPr>
          <w:rFonts w:hint="eastAsia" w:ascii="宋体" w:hAnsi="宋体" w:eastAsia="宋体" w:cs="宋体"/>
          <w:bCs/>
          <w:color w:val="auto"/>
          <w:sz w:val="24"/>
        </w:rPr>
        <w:t>本产品正常情况下无损耗。如在验收前发生货损均由</w:t>
      </w:r>
      <w:r>
        <w:rPr>
          <w:rFonts w:hint="eastAsia" w:ascii="宋体" w:hAnsi="宋体" w:eastAsia="宋体" w:cs="宋体"/>
          <w:bCs/>
          <w:color w:val="auto"/>
          <w:sz w:val="24"/>
          <w:lang w:eastAsia="zh-CN"/>
        </w:rPr>
        <w:t>乙方</w:t>
      </w:r>
      <w:r>
        <w:rPr>
          <w:rFonts w:hint="eastAsia" w:ascii="宋体" w:hAnsi="宋体" w:eastAsia="宋体" w:cs="宋体"/>
          <w:bCs/>
          <w:color w:val="auto"/>
          <w:sz w:val="24"/>
        </w:rPr>
        <w:t>负责。</w:t>
      </w:r>
    </w:p>
    <w:p>
      <w:pPr>
        <w:adjustRightInd w:val="0"/>
        <w:snapToGrid w:val="0"/>
        <w:spacing w:line="360" w:lineRule="auto"/>
        <w:rPr>
          <w:rFonts w:hint="eastAsia" w:ascii="宋体" w:hAnsi="宋体" w:eastAsia="宋体" w:cs="宋体"/>
          <w:bCs/>
          <w:color w:val="auto"/>
          <w:sz w:val="24"/>
        </w:rPr>
      </w:pPr>
      <w:r>
        <w:rPr>
          <w:rFonts w:hint="eastAsia" w:ascii="宋体" w:hAnsi="宋体" w:eastAsia="宋体" w:cs="宋体"/>
          <w:b/>
          <w:bCs/>
          <w:color w:val="auto"/>
          <w:sz w:val="24"/>
        </w:rPr>
        <w:t>八、验收：</w:t>
      </w:r>
      <w:r>
        <w:rPr>
          <w:rFonts w:hint="eastAsia" w:ascii="宋体" w:hAnsi="宋体" w:eastAsia="宋体" w:cs="宋体"/>
          <w:color w:val="auto"/>
          <w:sz w:val="24"/>
          <w:lang w:eastAsia="zh-CN"/>
        </w:rPr>
        <w:t>乙方</w:t>
      </w:r>
      <w:r>
        <w:rPr>
          <w:rFonts w:hint="eastAsia" w:ascii="宋体" w:hAnsi="宋体" w:eastAsia="宋体" w:cs="宋体"/>
          <w:color w:val="auto"/>
          <w:sz w:val="24"/>
        </w:rPr>
        <w:t>提供产品</w:t>
      </w:r>
      <w:r>
        <w:rPr>
          <w:rFonts w:hint="eastAsia" w:ascii="宋体" w:hAnsi="宋体" w:eastAsia="宋体" w:cs="宋体"/>
          <w:color w:val="auto"/>
          <w:sz w:val="24"/>
          <w:lang w:val="en-US" w:eastAsia="zh-CN"/>
        </w:rPr>
        <w:t>材料</w:t>
      </w:r>
      <w:r>
        <w:rPr>
          <w:rFonts w:hint="eastAsia" w:ascii="宋体" w:hAnsi="宋体" w:eastAsia="宋体" w:cs="宋体"/>
          <w:color w:val="auto"/>
          <w:sz w:val="24"/>
        </w:rPr>
        <w:t>合格证</w:t>
      </w:r>
      <w:r>
        <w:rPr>
          <w:rFonts w:hint="eastAsia" w:ascii="宋体" w:hAnsi="宋体" w:eastAsia="宋体" w:cs="宋体"/>
          <w:color w:val="auto"/>
          <w:sz w:val="24"/>
          <w:lang w:eastAsia="zh-CN"/>
        </w:rPr>
        <w:t>、</w:t>
      </w:r>
      <w:r>
        <w:rPr>
          <w:rFonts w:hint="eastAsia" w:ascii="宋体" w:hAnsi="宋体" w:eastAsia="宋体" w:cs="宋体"/>
          <w:bCs/>
          <w:color w:val="auto"/>
          <w:sz w:val="24"/>
        </w:rPr>
        <w:t>检测报告、说明书</w:t>
      </w:r>
      <w:r>
        <w:rPr>
          <w:rFonts w:hint="eastAsia" w:ascii="宋体" w:hAnsi="宋体" w:eastAsia="宋体" w:cs="宋体"/>
          <w:color w:val="auto"/>
          <w:sz w:val="24"/>
        </w:rPr>
        <w:t>等</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安装效果</w:t>
      </w:r>
      <w:r>
        <w:rPr>
          <w:rFonts w:hint="eastAsia" w:ascii="宋体" w:hAnsi="宋体" w:eastAsia="宋体" w:cs="宋体"/>
          <w:color w:val="auto"/>
          <w:sz w:val="24"/>
        </w:rPr>
        <w:t>正常后，卖买双方验收并签字确认。</w:t>
      </w:r>
    </w:p>
    <w:p>
      <w:pPr>
        <w:spacing w:line="360" w:lineRule="auto"/>
        <w:rPr>
          <w:rFonts w:hint="eastAsia" w:ascii="宋体" w:hAnsi="宋体" w:eastAsia="宋体" w:cs="宋体"/>
          <w:color w:val="auto"/>
          <w:sz w:val="24"/>
        </w:rPr>
      </w:pPr>
      <w:r>
        <w:rPr>
          <w:rFonts w:hint="eastAsia" w:ascii="宋体" w:hAnsi="宋体" w:eastAsia="宋体" w:cs="宋体"/>
          <w:b/>
          <w:bCs/>
          <w:color w:val="auto"/>
          <w:sz w:val="24"/>
        </w:rPr>
        <w:t>九、</w:t>
      </w:r>
      <w:r>
        <w:rPr>
          <w:rFonts w:hint="eastAsia" w:ascii="宋体" w:hAnsi="宋体" w:eastAsia="宋体" w:cs="宋体"/>
          <w:color w:val="auto"/>
          <w:sz w:val="24"/>
        </w:rPr>
        <w:t>付款方式及期限：1、</w:t>
      </w:r>
      <w:r>
        <w:rPr>
          <w:rFonts w:hint="eastAsia" w:ascii="宋体" w:hAnsi="宋体" w:eastAsia="宋体" w:cs="宋体"/>
          <w:color w:val="auto"/>
          <w:sz w:val="24"/>
          <w:lang w:val="en-US" w:eastAsia="zh-CN"/>
        </w:rPr>
        <w:t>该项目无预付款，每季度按实际发生量结算。2、验收合格后7日内付清项目款的</w:t>
      </w:r>
      <w:r>
        <w:rPr>
          <w:rFonts w:hint="eastAsia" w:ascii="宋体" w:hAnsi="宋体" w:eastAsia="宋体" w:cs="宋体"/>
          <w:color w:val="auto"/>
          <w:sz w:val="24"/>
          <w:u w:val="single"/>
          <w:lang w:val="en-US" w:eastAsia="zh-CN"/>
        </w:rPr>
        <w:t>9</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lang w:val="en-US" w:eastAsia="zh-CN"/>
        </w:rPr>
        <w:t>%</w:t>
      </w:r>
      <w:r>
        <w:rPr>
          <w:rFonts w:hint="eastAsia" w:ascii="宋体" w:hAnsi="宋体" w:eastAsia="宋体" w:cs="宋体"/>
          <w:color w:val="auto"/>
          <w:sz w:val="24"/>
          <w:lang w:val="en-US" w:eastAsia="zh-CN"/>
        </w:rPr>
        <w:t xml:space="preserve"> ，(人民币): </w:t>
      </w:r>
      <w:r>
        <w:rPr>
          <w:rFonts w:hint="eastAsia" w:ascii="宋体" w:hAnsi="宋体" w:eastAsia="宋体" w:cs="宋体"/>
          <w:color w:val="auto"/>
          <w:sz w:val="24"/>
          <w:u w:val="single"/>
          <w:lang w:val="en-US" w:eastAsia="zh-CN"/>
        </w:rPr>
        <w:t>？？元</w:t>
      </w:r>
      <w:r>
        <w:rPr>
          <w:rFonts w:hint="eastAsia" w:ascii="宋体" w:hAnsi="宋体" w:eastAsia="宋体" w:cs="宋体"/>
          <w:color w:val="auto"/>
          <w:sz w:val="24"/>
          <w:lang w:val="en-US" w:eastAsia="zh-CN"/>
        </w:rPr>
        <w:t>，大写：</w:t>
      </w:r>
      <w:r>
        <w:rPr>
          <w:rFonts w:hint="eastAsia" w:ascii="宋体" w:hAnsi="宋体" w:eastAsia="宋体" w:cs="宋体"/>
          <w:color w:val="auto"/>
          <w:sz w:val="24"/>
          <w:u w:val="single"/>
          <w:lang w:val="en-US" w:eastAsia="zh-CN"/>
        </w:rPr>
        <w:t>？万零叁佰元整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余款</w:t>
      </w:r>
      <w:r>
        <w:rPr>
          <w:rFonts w:hint="eastAsia" w:ascii="宋体" w:hAnsi="宋体" w:cs="宋体"/>
          <w:color w:val="auto"/>
          <w:sz w:val="24"/>
          <w:u w:val="single"/>
          <w:lang w:val="en-US" w:eastAsia="zh-CN"/>
        </w:rPr>
        <w:t>3</w:t>
      </w:r>
      <w:r>
        <w:rPr>
          <w:rFonts w:hint="eastAsia" w:ascii="宋体" w:hAnsi="宋体" w:eastAsia="宋体" w:cs="宋体"/>
          <w:color w:val="auto"/>
          <w:sz w:val="24"/>
          <w:u w:val="single"/>
        </w:rPr>
        <w:t>%</w:t>
      </w:r>
      <w:r>
        <w:rPr>
          <w:rFonts w:hint="eastAsia" w:ascii="宋体" w:hAnsi="宋体" w:eastAsia="宋体" w:cs="宋体"/>
          <w:color w:val="auto"/>
          <w:sz w:val="24"/>
          <w:u w:val="none"/>
          <w:lang w:eastAsia="zh-CN"/>
        </w:rPr>
        <w:t>款项（人民币）：</w:t>
      </w:r>
      <w:r>
        <w:rPr>
          <w:rFonts w:hint="eastAsia" w:ascii="宋体" w:hAnsi="宋体" w:eastAsia="宋体" w:cs="宋体"/>
          <w:color w:val="auto"/>
          <w:sz w:val="24"/>
          <w:u w:val="single"/>
          <w:lang w:val="en-US" w:eastAsia="zh-CN"/>
        </w:rPr>
        <w:t>？？元</w:t>
      </w:r>
      <w:r>
        <w:rPr>
          <w:rFonts w:hint="eastAsia" w:ascii="宋体" w:hAnsi="宋体" w:eastAsia="宋体" w:cs="宋体"/>
          <w:color w:val="auto"/>
          <w:sz w:val="24"/>
        </w:rPr>
        <w:t>留作质保金，无质量问题</w:t>
      </w:r>
      <w:r>
        <w:rPr>
          <w:rFonts w:hint="eastAsia" w:ascii="宋体" w:hAnsi="宋体" w:eastAsia="宋体" w:cs="宋体"/>
          <w:color w:val="auto"/>
          <w:sz w:val="24"/>
          <w:lang w:val="en-US" w:eastAsia="zh-CN"/>
        </w:rPr>
        <w:t>验收合格之日起一年</w:t>
      </w:r>
      <w:r>
        <w:rPr>
          <w:rFonts w:hint="eastAsia" w:ascii="宋体" w:hAnsi="宋体" w:eastAsia="宋体" w:cs="宋体"/>
          <w:color w:val="auto"/>
          <w:sz w:val="24"/>
        </w:rPr>
        <w:t>后5个工作日内无息付清。所有付款流程均需要乙方先提供合法有效等额的增值税专用发票给甲方后 给予支付相应款项</w:t>
      </w:r>
      <w:r>
        <w:rPr>
          <w:rFonts w:hint="eastAsia" w:ascii="宋体" w:hAnsi="宋体" w:eastAsia="宋体" w:cs="宋体"/>
          <w:color w:val="auto"/>
          <w:sz w:val="24"/>
          <w:lang w:eastAsia="zh-CN"/>
        </w:rPr>
        <w:t>；如因为乙方开票并提供不及时，导致的付款时间延后，所有责任和后果均由乙方自行承担，且不视为甲方违约。</w:t>
      </w:r>
      <w:r>
        <w:rPr>
          <w:rFonts w:hint="eastAsia" w:ascii="宋体" w:hAnsi="宋体" w:eastAsia="宋体" w:cs="宋体"/>
          <w:color w:val="auto"/>
          <w:sz w:val="24"/>
          <w:lang w:val="en-US" w:eastAsia="zh-CN"/>
        </w:rPr>
        <w:t>3</w:t>
      </w:r>
      <w:r>
        <w:rPr>
          <w:rFonts w:hint="eastAsia" w:ascii="宋体" w:hAnsi="宋体" w:eastAsia="宋体" w:cs="宋体"/>
          <w:color w:val="auto"/>
          <w:sz w:val="24"/>
        </w:rPr>
        <w:t>、付款方式</w:t>
      </w:r>
      <w:r>
        <w:rPr>
          <w:rFonts w:hint="eastAsia" w:ascii="宋体" w:hAnsi="宋体" w:eastAsia="宋体" w:cs="宋体"/>
          <w:color w:val="auto"/>
          <w:sz w:val="24"/>
          <w:lang w:val="en-US" w:eastAsia="zh-CN"/>
        </w:rPr>
        <w:t>优先采用承兑汇票，如无合适的汇票则采用银行转账方式</w:t>
      </w: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b/>
          <w:bCs/>
          <w:color w:val="auto"/>
          <w:sz w:val="24"/>
        </w:rPr>
        <w:t>十、</w:t>
      </w:r>
      <w:r>
        <w:rPr>
          <w:rFonts w:hint="eastAsia" w:ascii="宋体" w:hAnsi="宋体" w:eastAsia="宋体" w:cs="宋体"/>
          <w:color w:val="auto"/>
          <w:sz w:val="24"/>
        </w:rPr>
        <w:t>标的物所有权：自甲乙双方合同生效日开始，甲方付清总货款的9</w:t>
      </w:r>
      <w:r>
        <w:rPr>
          <w:rFonts w:hint="eastAsia" w:ascii="宋体" w:hAnsi="宋体" w:eastAsia="宋体" w:cs="宋体"/>
          <w:color w:val="auto"/>
          <w:sz w:val="24"/>
          <w:lang w:val="en-US" w:eastAsia="zh-CN"/>
        </w:rPr>
        <w:t>5</w:t>
      </w:r>
      <w:r>
        <w:rPr>
          <w:rFonts w:hint="eastAsia" w:ascii="宋体" w:hAnsi="宋体" w:eastAsia="宋体" w:cs="宋体"/>
          <w:color w:val="auto"/>
          <w:sz w:val="24"/>
        </w:rPr>
        <w:t>%之日起转移，产品所有权属于甲方所有。</w:t>
      </w:r>
    </w:p>
    <w:p>
      <w:pPr>
        <w:spacing w:line="360" w:lineRule="auto"/>
        <w:rPr>
          <w:rFonts w:hint="eastAsia" w:ascii="宋体" w:hAnsi="宋体" w:eastAsia="宋体" w:cs="宋体"/>
          <w:color w:val="auto"/>
          <w:sz w:val="24"/>
          <w:lang w:val="en-US" w:eastAsia="zh-CN"/>
        </w:rPr>
      </w:pPr>
      <w:r>
        <w:rPr>
          <w:rFonts w:hint="eastAsia" w:ascii="宋体" w:hAnsi="宋体" w:eastAsia="宋体" w:cs="宋体"/>
          <w:b/>
          <w:bCs/>
          <w:color w:val="auto"/>
          <w:sz w:val="24"/>
        </w:rPr>
        <w:t>十一、</w:t>
      </w:r>
      <w:r>
        <w:rPr>
          <w:rFonts w:hint="eastAsia" w:ascii="宋体" w:hAnsi="宋体" w:eastAsia="宋体" w:cs="宋体"/>
          <w:color w:val="auto"/>
          <w:sz w:val="24"/>
        </w:rPr>
        <w:t>违约责任：1、乙方延期交货的，每延期一日按照合同</w:t>
      </w:r>
      <w:r>
        <w:rPr>
          <w:rFonts w:hint="eastAsia" w:ascii="宋体" w:hAnsi="宋体" w:eastAsia="宋体" w:cs="宋体"/>
          <w:color w:val="auto"/>
          <w:sz w:val="24"/>
          <w:lang w:eastAsia="zh-CN"/>
        </w:rPr>
        <w:t>已收</w:t>
      </w:r>
      <w:r>
        <w:rPr>
          <w:rFonts w:hint="eastAsia" w:ascii="宋体" w:hAnsi="宋体" w:eastAsia="宋体" w:cs="宋体"/>
          <w:color w:val="auto"/>
          <w:sz w:val="24"/>
        </w:rPr>
        <w:t>价款的千分之五承担违约责任，违约金总额不超过合同总价款的百分之五；延期交货日超过15日，甲方有权单方面解决合同，乙方需承担延期造成的相应损失（以甲方核算的实际损失为准）。</w:t>
      </w:r>
      <w:r>
        <w:rPr>
          <w:rFonts w:hint="eastAsia" w:ascii="宋体" w:hAnsi="宋体" w:eastAsia="宋体" w:cs="宋体"/>
          <w:color w:val="auto"/>
          <w:sz w:val="24"/>
          <w:lang w:val="en-US" w:eastAsia="zh-CN"/>
        </w:rPr>
        <w:t>2</w:t>
      </w:r>
      <w:r>
        <w:rPr>
          <w:rFonts w:hint="eastAsia" w:ascii="宋体" w:hAnsi="宋体" w:eastAsia="宋体" w:cs="宋体"/>
          <w:color w:val="auto"/>
          <w:sz w:val="24"/>
        </w:rPr>
        <w:t>、产品质量瑕疵的违约责任：在质量保证期内，产品如有质量问题，乙方在接到</w:t>
      </w:r>
      <w:r>
        <w:rPr>
          <w:rFonts w:hint="eastAsia" w:ascii="宋体" w:hAnsi="宋体" w:eastAsia="宋体" w:cs="宋体"/>
          <w:color w:val="auto"/>
          <w:sz w:val="24"/>
          <w:lang w:eastAsia="zh-CN"/>
        </w:rPr>
        <w:t>甲方</w:t>
      </w:r>
      <w:r>
        <w:rPr>
          <w:rFonts w:hint="eastAsia" w:ascii="宋体" w:hAnsi="宋体" w:eastAsia="宋体" w:cs="宋体"/>
          <w:color w:val="auto"/>
          <w:sz w:val="24"/>
        </w:rPr>
        <w:t>通知后12小时内到达现场，对其提供质量包换服务。</w:t>
      </w:r>
      <w:r>
        <w:rPr>
          <w:rFonts w:hint="eastAsia" w:ascii="宋体" w:hAnsi="宋体" w:eastAsia="宋体" w:cs="宋体"/>
          <w:color w:val="auto"/>
          <w:sz w:val="24"/>
          <w:lang w:val="en-US" w:eastAsia="zh-CN"/>
        </w:rPr>
        <w:t>3</w:t>
      </w:r>
      <w:r>
        <w:rPr>
          <w:rFonts w:hint="eastAsia" w:ascii="宋体" w:hAnsi="宋体" w:eastAsia="宋体" w:cs="宋体"/>
          <w:color w:val="auto"/>
          <w:sz w:val="24"/>
        </w:rPr>
        <w:t>、如供应的产品有以次充好、伪造、仿冒的情形，乙方应无条件退货，并赔偿甲方因此造成的直接损失；如乙方为供货前明知或应知该情形的，甲方可处以货物总价</w:t>
      </w:r>
      <w:r>
        <w:rPr>
          <w:rFonts w:hint="eastAsia" w:ascii="宋体" w:hAnsi="宋体" w:eastAsia="宋体" w:cs="宋体"/>
          <w:color w:val="auto"/>
          <w:sz w:val="24"/>
          <w:lang w:val="en-US" w:eastAsia="zh-CN"/>
        </w:rPr>
        <w:t>5</w:t>
      </w:r>
      <w:r>
        <w:rPr>
          <w:rFonts w:hint="eastAsia" w:ascii="宋体" w:hAnsi="宋体" w:eastAsia="宋体" w:cs="宋体"/>
          <w:color w:val="auto"/>
          <w:sz w:val="24"/>
        </w:rPr>
        <w:t>0%以下的罚款，并保留进一步追诉的权利。</w:t>
      </w:r>
      <w:r>
        <w:rPr>
          <w:rFonts w:hint="eastAsia" w:ascii="宋体" w:hAnsi="宋体" w:eastAsia="宋体" w:cs="宋体"/>
          <w:color w:val="auto"/>
          <w:sz w:val="24"/>
          <w:lang w:val="en-US" w:eastAsia="zh-CN"/>
        </w:rPr>
        <w:t>4、甲方不按期支付货款，每延期一日按照合同未付款的千分之五</w:t>
      </w:r>
      <w:r>
        <w:rPr>
          <w:rFonts w:hint="eastAsia" w:ascii="宋体" w:hAnsi="宋体" w:eastAsia="宋体" w:cs="宋体"/>
          <w:color w:val="auto"/>
          <w:sz w:val="24"/>
        </w:rPr>
        <w:t>承担违约责任，违约金总额不超过合同总价款的百分之五</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5、单方无故解除合同则构成根本违约，违约方应另外按照合同总价款的30%支付违约金给守约方，并承担守约方其他损失，其中包含误工费、诉讼费、律师费、车程费、鉴定费等。</w:t>
      </w:r>
    </w:p>
    <w:p>
      <w:pPr>
        <w:spacing w:line="360" w:lineRule="auto"/>
        <w:rPr>
          <w:rFonts w:hint="eastAsia" w:ascii="宋体" w:hAnsi="宋体" w:eastAsia="宋体" w:cs="宋体"/>
          <w:color w:val="auto"/>
          <w:sz w:val="24"/>
          <w:u w:val="single"/>
        </w:rPr>
      </w:pPr>
      <w:r>
        <w:rPr>
          <w:rFonts w:hint="eastAsia" w:ascii="宋体" w:hAnsi="宋体" w:eastAsia="宋体" w:cs="宋体"/>
          <w:b/>
          <w:bCs/>
          <w:color w:val="auto"/>
          <w:sz w:val="24"/>
        </w:rPr>
        <w:t>十二、</w:t>
      </w:r>
      <w:r>
        <w:rPr>
          <w:rFonts w:hint="eastAsia" w:ascii="宋体" w:hAnsi="宋体" w:eastAsia="宋体" w:cs="宋体"/>
          <w:color w:val="auto"/>
          <w:sz w:val="24"/>
        </w:rPr>
        <w:t>解决合同纠纷的方式：因本合同的签订或履行发生争议的，双方应友好协商解决，协商不成的，向</w:t>
      </w:r>
      <w:r>
        <w:rPr>
          <w:rFonts w:hint="eastAsia" w:ascii="宋体" w:hAnsi="宋体" w:eastAsia="宋体" w:cs="宋体"/>
          <w:color w:val="auto"/>
          <w:sz w:val="24"/>
          <w:lang w:eastAsia="zh-CN"/>
        </w:rPr>
        <w:t>供货方</w:t>
      </w:r>
      <w:r>
        <w:rPr>
          <w:rFonts w:hint="eastAsia" w:ascii="宋体" w:hAnsi="宋体" w:eastAsia="宋体" w:cs="宋体"/>
          <w:color w:val="auto"/>
          <w:sz w:val="24"/>
        </w:rPr>
        <w:t>所管辖的法院起诉，通过诉讼方式解决争议。</w:t>
      </w:r>
    </w:p>
    <w:p>
      <w:pPr>
        <w:spacing w:line="360" w:lineRule="auto"/>
        <w:rPr>
          <w:rFonts w:hint="eastAsia" w:ascii="宋体" w:hAnsi="宋体" w:eastAsia="宋体" w:cs="宋体"/>
          <w:color w:val="auto"/>
          <w:sz w:val="24"/>
        </w:rPr>
      </w:pPr>
      <w:r>
        <w:rPr>
          <w:rFonts w:hint="eastAsia" w:ascii="宋体" w:hAnsi="宋体" w:eastAsia="宋体" w:cs="宋体"/>
          <w:b/>
          <w:bCs/>
          <w:color w:val="auto"/>
          <w:sz w:val="24"/>
        </w:rPr>
        <w:t>十三、</w:t>
      </w:r>
      <w:r>
        <w:rPr>
          <w:rFonts w:hint="eastAsia" w:ascii="宋体" w:hAnsi="宋体" w:eastAsia="宋体" w:cs="宋体"/>
          <w:color w:val="auto"/>
          <w:sz w:val="24"/>
        </w:rPr>
        <w:t>其它约定事项：</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1、本合同经双方签字盖章生效，一式四份，双方各执两份。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2、本合同所附技术协议与本合同具有相同法律效力。</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3、交货期自</w:t>
      </w:r>
      <w:r>
        <w:rPr>
          <w:rFonts w:hint="eastAsia" w:ascii="宋体" w:hAnsi="宋体" w:eastAsia="宋体" w:cs="宋体"/>
          <w:color w:val="auto"/>
          <w:sz w:val="24"/>
          <w:lang w:eastAsia="zh-CN"/>
        </w:rPr>
        <w:t>收到预付款之</w:t>
      </w:r>
      <w:r>
        <w:rPr>
          <w:rFonts w:hint="eastAsia" w:ascii="宋体" w:hAnsi="宋体" w:eastAsia="宋体" w:cs="宋体"/>
          <w:color w:val="auto"/>
          <w:sz w:val="24"/>
        </w:rPr>
        <w:t>日起开始计算。</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4、乙方拥有合同内产品的对外宣传权。</w:t>
      </w:r>
    </w:p>
    <w:p>
      <w:pPr>
        <w:spacing w:line="360" w:lineRule="auto"/>
        <w:rPr>
          <w:rFonts w:hint="eastAsia" w:ascii="宋体" w:hAnsi="宋体" w:eastAsia="宋体" w:cs="宋体"/>
          <w:b/>
          <w:color w:val="auto"/>
          <w:sz w:val="36"/>
          <w:szCs w:val="36"/>
          <w:highlight w:val="none"/>
          <w:lang w:val="en-US" w:eastAsia="zh-CN"/>
        </w:rPr>
      </w:pPr>
      <w:r>
        <w:rPr>
          <w:rFonts w:hint="eastAsia" w:ascii="宋体" w:hAnsi="宋体" w:eastAsia="宋体" w:cs="宋体"/>
          <w:color w:val="auto"/>
          <w:sz w:val="24"/>
        </w:rPr>
        <w:t>5、本合同有效期自2023年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日自202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日止。</w:t>
      </w:r>
    </w:p>
    <w:p>
      <w:pPr>
        <w:pStyle w:val="194"/>
        <w:widowControl/>
        <w:autoSpaceDE/>
        <w:autoSpaceDN/>
        <w:adjustRightInd/>
        <w:spacing w:before="240" w:after="240" w:line="360" w:lineRule="auto"/>
        <w:ind w:firstLine="3012" w:firstLineChars="1000"/>
        <w:jc w:val="both"/>
        <w:rPr>
          <w:rFonts w:hint="eastAsia" w:ascii="宋体" w:hAnsi="宋体" w:eastAsia="宋体" w:cs="宋体"/>
          <w:b/>
          <w:color w:val="auto"/>
          <w:sz w:val="30"/>
          <w:szCs w:val="30"/>
        </w:rPr>
      </w:pPr>
      <w:r>
        <w:rPr>
          <w:rFonts w:hint="eastAsia" w:ascii="宋体" w:hAnsi="宋体" w:eastAsia="宋体" w:cs="宋体"/>
          <w:b/>
          <w:color w:val="auto"/>
          <w:sz w:val="30"/>
          <w:szCs w:val="30"/>
        </w:rPr>
        <w:t>安全生产协议</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为了切实做好安全生产工作，依据《中华人民共和国安全生产法》、《中华人民共和国民法典》以及国家有关安全生产管理的法律、法规、标准，按照“安全第一、预防为主、综合治理”的原则，明确甲乙双方及监理单位的责任，就甲乙双方在本项目中的安全生产事项，经协商一致，签订本合同。</w:t>
      </w:r>
    </w:p>
    <w:p>
      <w:pPr>
        <w:adjustRightInd w:val="0"/>
        <w:spacing w:after="0" w:line="360" w:lineRule="auto"/>
        <w:ind w:firstLine="480" w:firstLineChars="200"/>
        <w:jc w:val="both"/>
        <w:outlineLvl w:val="2"/>
        <w:rPr>
          <w:rFonts w:hint="eastAsia" w:ascii="宋体" w:hAnsi="宋体" w:eastAsia="宋体" w:cs="宋体"/>
          <w:color w:val="auto"/>
          <w:sz w:val="24"/>
          <w:szCs w:val="24"/>
          <w:lang w:val="en-US" w:eastAsia="zh-CN"/>
        </w:rPr>
      </w:pPr>
      <w:bookmarkStart w:id="14" w:name="_Toc17761"/>
      <w:r>
        <w:rPr>
          <w:rFonts w:hint="eastAsia" w:ascii="宋体" w:hAnsi="宋体" w:eastAsia="宋体" w:cs="宋体"/>
          <w:color w:val="auto"/>
          <w:sz w:val="24"/>
          <w:szCs w:val="24"/>
        </w:rPr>
        <w:t>第一条 项目名称： </w:t>
      </w:r>
      <w:bookmarkEnd w:id="14"/>
      <w:r>
        <w:rPr>
          <w:rFonts w:hint="eastAsia" w:ascii="宋体" w:hAnsi="宋体" w:eastAsia="宋体" w:cs="宋体"/>
          <w:color w:val="auto"/>
          <w:sz w:val="24"/>
          <w:szCs w:val="24"/>
          <w:lang w:val="en-US" w:eastAsia="zh-CN"/>
        </w:rPr>
        <w:t>2023年滚筒陶瓷包胶项目</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第二条　本合同内容只涉及甲乙双方在本项目中关于安全生产的权利和责任。</w:t>
      </w:r>
    </w:p>
    <w:p>
      <w:pPr>
        <w:adjustRightInd w:val="0"/>
        <w:spacing w:after="0" w:line="360" w:lineRule="auto"/>
        <w:ind w:firstLine="480" w:firstLineChars="200"/>
        <w:jc w:val="both"/>
        <w:outlineLvl w:val="2"/>
        <w:rPr>
          <w:rFonts w:hint="eastAsia" w:ascii="宋体" w:hAnsi="宋体" w:eastAsia="宋体" w:cs="宋体"/>
          <w:color w:val="auto"/>
          <w:sz w:val="24"/>
          <w:szCs w:val="24"/>
        </w:rPr>
      </w:pPr>
      <w:bookmarkStart w:id="15" w:name="_Toc5660"/>
      <w:r>
        <w:rPr>
          <w:rFonts w:hint="eastAsia" w:ascii="宋体" w:hAnsi="宋体" w:eastAsia="宋体" w:cs="宋体"/>
          <w:color w:val="auto"/>
          <w:sz w:val="24"/>
          <w:szCs w:val="24"/>
        </w:rPr>
        <w:t>第三条　甲方的权利：</w:t>
      </w:r>
      <w:bookmarkEnd w:id="15"/>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（一）有权要求乙方建立安全组织机构，严格执行安全生产法律、法规、条例、标准，遵守甲方的安全生产规章制度等。</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（二）有权按规定对乙方安全业绩、资质进行审查，对乙方针对作业项目制定的职业健康安全、环境保护项目进行审查并备案。</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（三）有权要求乙方维护好相关的甲方的安全生产设施、设备和器材。</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四）有权要求乙方在进入甲方现场作业前所有作业人员接受甲方的安全培训与教育。对乙方经培训考核不合格、安全技能不具备所在岗位要求或认定身体条件不适应所在岗位要求的作业人员，有权要求乙方停止其工作或调换其工作岗位。</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五）有权对乙方的作业现场的安全作业情况进行监督检查，有权对乙方不符合安全生产要求、违法、违规、违章等的行为，依据《湖南港产科技有限公司安全管理考核与奖罚办法》进行纠正、处罚、制止、停止作业、直至清退出场。</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（六）有权要求乙方所有作业人员必须进行工伤保险和意外伤害保险。</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发生事故后、有权根据有关规定参与事故的调查。</w:t>
      </w:r>
    </w:p>
    <w:p>
      <w:pPr>
        <w:adjustRightInd w:val="0"/>
        <w:spacing w:after="0" w:line="360" w:lineRule="auto"/>
        <w:ind w:firstLine="480" w:firstLineChars="200"/>
        <w:jc w:val="both"/>
        <w:outlineLvl w:val="2"/>
        <w:rPr>
          <w:rFonts w:hint="eastAsia" w:ascii="宋体" w:hAnsi="宋体" w:eastAsia="宋体" w:cs="宋体"/>
          <w:color w:val="auto"/>
          <w:sz w:val="24"/>
          <w:szCs w:val="24"/>
        </w:rPr>
      </w:pPr>
      <w:bookmarkStart w:id="16" w:name="_Toc23306"/>
      <w:r>
        <w:rPr>
          <w:rFonts w:hint="eastAsia" w:ascii="宋体" w:hAnsi="宋体" w:eastAsia="宋体" w:cs="宋体"/>
          <w:color w:val="auto"/>
          <w:sz w:val="24"/>
          <w:szCs w:val="24"/>
        </w:rPr>
        <w:t>第四条　甲方的责任</w:t>
      </w:r>
      <w:bookmarkEnd w:id="16"/>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（一）认真贯彻落实国家有关法律、法规、标准及甲方公司安全生产规章制度。</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（二）向乙方明确作业区的范围、危险点源及安全技术交底，并要有书面记录。</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（三）为乙方提供项目合同中规定的安全作业条件。</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（四）发生事故后积极协助抢险，防止事故扩大，并按照甲方公司有关规定进行报告。</w:t>
      </w:r>
    </w:p>
    <w:p>
      <w:pPr>
        <w:adjustRightInd w:val="0"/>
        <w:spacing w:after="0" w:line="360" w:lineRule="auto"/>
        <w:ind w:firstLine="480" w:firstLineChars="200"/>
        <w:jc w:val="both"/>
        <w:outlineLvl w:val="2"/>
        <w:rPr>
          <w:rFonts w:hint="eastAsia" w:ascii="宋体" w:hAnsi="宋体" w:eastAsia="宋体" w:cs="宋体"/>
          <w:color w:val="auto"/>
          <w:sz w:val="24"/>
          <w:szCs w:val="24"/>
        </w:rPr>
      </w:pPr>
      <w:bookmarkStart w:id="17" w:name="_Toc19661"/>
      <w:r>
        <w:rPr>
          <w:rFonts w:hint="eastAsia" w:ascii="宋体" w:hAnsi="宋体" w:eastAsia="宋体" w:cs="宋体"/>
          <w:color w:val="auto"/>
          <w:sz w:val="24"/>
          <w:szCs w:val="24"/>
        </w:rPr>
        <w:t>第五条　乙方的权利</w:t>
      </w:r>
      <w:bookmarkEnd w:id="17"/>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（一）有权对甲方的安全工作提出合理化建议和改进意见。</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（二）日常作业中，若甲方违章指挥、强令乙方冒险作业，有权拒绝执行。</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（三）有权要求甲方提供符合安全作业的工艺条件和环境。</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（四）发生严重危及乙方生命安全的紧急情况时，乙方有权采取必要的避险措施。</w:t>
      </w:r>
    </w:p>
    <w:p>
      <w:pPr>
        <w:adjustRightInd w:val="0"/>
        <w:spacing w:after="0" w:line="360" w:lineRule="auto"/>
        <w:ind w:firstLine="480" w:firstLineChars="200"/>
        <w:jc w:val="both"/>
        <w:outlineLvl w:val="2"/>
        <w:rPr>
          <w:rFonts w:hint="eastAsia" w:ascii="宋体" w:hAnsi="宋体" w:eastAsia="宋体" w:cs="宋体"/>
          <w:color w:val="auto"/>
          <w:sz w:val="24"/>
          <w:szCs w:val="24"/>
        </w:rPr>
      </w:pPr>
      <w:bookmarkStart w:id="18" w:name="_Toc17419"/>
      <w:r>
        <w:rPr>
          <w:rFonts w:hint="eastAsia" w:ascii="宋体" w:hAnsi="宋体" w:eastAsia="宋体" w:cs="宋体"/>
          <w:color w:val="auto"/>
          <w:sz w:val="24"/>
          <w:szCs w:val="24"/>
        </w:rPr>
        <w:t>第六条　乙方的责任</w:t>
      </w:r>
      <w:bookmarkEnd w:id="18"/>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（一）乙方是本项目的安全生产责任主体，对本项目的安全生产工作全面负责。</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（二）健全安全组织机构，建立安全生产责任制，制定健全的安全生产规章制度，制定生产安全事故应急求援预案，配备必要的安全生产管理人员和劳动保护用品，严格执行甲方相关的规章制度。</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（三）应对作业人员进行作业前安全教育培训，使其具备岗位所需的安全生产知识、安全意识和安全技能；特种作业人员应具有相应的资格证书。</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（四）不得使用不符合国家、行业标准和甲方规定的原材料、设备、装置、防护用品、器材、安全检测仪器等。所使用的特种设备，必须经具有专业资质的检验检测机构检测。经检测不合格的，不得继续使用。</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（五）指定专人负责现场安全监督检查工作，认真开展安全检查，发现作业过程中不安全行为和隐患、应采取有效措施积极处理。</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（六）乙方有责任对作业区域的安全生产条件进行详细了解。</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（七）乙方在作业过程中有属于危及安全生产的关键作业时，应提出切实可行的方案，经甲方同意后，方可实施。</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（八）乙方不得将项目转包给第三方，不得以任何理由或形式免除自身对分包、转包项目安全责任。</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九）乙方在施工期间只能在甲方规定的路线进出甲方公司，只能在甲方规定的施工区域内作业，禁止私自进入甲方其他生产区域。乙方在从事经营活动中，必须按照国家环保、安全法规和甲方清洁生产规定进行作业、不得随意破坏环境卫生，不准乱扔、乱倒垃圾及废弃物。</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（十）乙方应服从甲方的管理，认真履行安全职责，杜绝违法、违规、违章作业，否则依据《湖南港产科技有限公司安全管理考核与奖罚办法》进行考核。</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（十一）发生事故时，应积极抢险，避免事故的进一步扩大，并按照国家相关要求报告事故。</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十二）当乙方在施工过程因乙方原因中发生伤亡事故时，乙方作为工程项目的承包或承揽单位，对发生的人身伤害、设备损坏事故承担全部责任。由乙方向自己的主管上级部门及当地政府的安全生产监督管理部门、公安部门报告，并自行承担相应的责任。</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十三）乙方安排从事本项目合同约定业务的作业人员必须是与乙方具有合法劳动关系、雇佣关系、聘用关系或劳务关系的人员。如果乙方安排的作业人员，与其不具有合法的劳动关系、雇佣关系、聘用关系或劳务关系，则由此引发的一切风险、损失、责任均由乙方承担。</w:t>
      </w:r>
    </w:p>
    <w:p>
      <w:pPr>
        <w:adjustRightInd w:val="0"/>
        <w:spacing w:after="0" w:line="360" w:lineRule="auto"/>
        <w:ind w:firstLine="480" w:firstLineChars="200"/>
        <w:jc w:val="both"/>
        <w:outlineLvl w:val="2"/>
        <w:rPr>
          <w:rFonts w:hint="eastAsia" w:ascii="宋体" w:hAnsi="宋体" w:eastAsia="宋体" w:cs="宋体"/>
          <w:color w:val="auto"/>
          <w:sz w:val="24"/>
          <w:szCs w:val="24"/>
        </w:rPr>
      </w:pPr>
      <w:bookmarkStart w:id="19" w:name="_Toc8163"/>
      <w:r>
        <w:rPr>
          <w:rFonts w:hint="eastAsia" w:ascii="宋体" w:hAnsi="宋体" w:eastAsia="宋体" w:cs="宋体"/>
          <w:color w:val="auto"/>
          <w:sz w:val="24"/>
          <w:szCs w:val="24"/>
        </w:rPr>
        <w:t>第七条  违约责任及处理</w:t>
      </w:r>
      <w:bookmarkEnd w:id="19"/>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（一）如甲乙双方违反本合同约定，未造成事故时，依据相关合同对违约者进行处理；造成事故时，甲、乙双方有抢险、救灾的责任，所发生的一切费用及责任均由责任方承担。</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（二）发生的事故，应经事故调查确认责任；事故报告和调查应按照国家和甲方有关规定进行。</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（三）因甲方原因造成的事故，甲方承担全部责任，并按规定追究有关人员责任及上报。</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四）因乙方的原因造成的事故，乙方承担全部责任，并按规定追究有关人员责任并报告甲方；由于乙方工程质量、检修质量及购买的原材料等原因导致的事故，并给甲方或第三人造成损失的，由乙方承担全部责任。</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（五）甲、乙双方共同造成的事故，按双方责任大小承担相应责任，并按规定追究有关人员责任。</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（六）对乙方发生事故后弄虚作假、隐瞒不报、迟报或谎报，一经查出，按有关规定从重处罚，情节严重的，甲方有权向当地政府安全生产监督管理部门报告，并取消其进入甲方市场资格。</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（七）施工期间，需要办理的有关安全的批文或其它手续，乙方必须办理齐全，否则发生安全事故由乙方承担全部责任。</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第八条　由于不可抗力造成合同项目施工作业事故及生产的损失，当事人双方各自承担相应的损失。</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第九条　甲乙双方的施工作业人员和机具设备的保险，由甲乙双方依据国家相关规定或约定各自承担。</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第十条　本合同履行过程中发生争议纠纷，应通过友好协商方式解决，如协商不成，按双方在项目合同中约定的管辖地和纠纷解决的方式执行。</w:t>
      </w:r>
    </w:p>
    <w:p>
      <w:pPr>
        <w:adjustRightInd w:val="0"/>
        <w:spacing w:after="0" w:line="360" w:lineRule="auto"/>
        <w:ind w:firstLine="480" w:firstLineChars="200"/>
        <w:outlineLvl w:val="2"/>
        <w:rPr>
          <w:rFonts w:hint="eastAsia" w:ascii="宋体" w:hAnsi="宋体" w:eastAsia="宋体" w:cs="宋体"/>
          <w:color w:val="auto"/>
          <w:sz w:val="24"/>
          <w:szCs w:val="24"/>
        </w:rPr>
      </w:pPr>
      <w:bookmarkStart w:id="20" w:name="_Toc23392"/>
      <w:r>
        <w:rPr>
          <w:rFonts w:hint="eastAsia" w:ascii="宋体" w:hAnsi="宋体" w:eastAsia="宋体" w:cs="宋体"/>
          <w:color w:val="auto"/>
          <w:sz w:val="24"/>
          <w:szCs w:val="24"/>
        </w:rPr>
        <w:t>第十一条 本合同一式贰份，双方各持壹份。</w:t>
      </w:r>
      <w:bookmarkEnd w:id="20"/>
    </w:p>
    <w:p>
      <w:pPr>
        <w:pStyle w:val="14"/>
        <w:ind w:firstLine="480" w:firstLineChars="200"/>
        <w:rPr>
          <w:rFonts w:hint="eastAsia" w:ascii="宋体" w:hAnsi="宋体" w:eastAsia="宋体" w:cs="宋体"/>
          <w:color w:val="auto"/>
          <w:sz w:val="24"/>
          <w:szCs w:val="24"/>
        </w:rPr>
      </w:pPr>
    </w:p>
    <w:p>
      <w:pPr>
        <w:pStyle w:val="14"/>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甲方：                                   乙方：</w:t>
      </w:r>
    </w:p>
    <w:p>
      <w:pPr>
        <w:adjustRightInd w:val="0"/>
        <w:spacing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 </w:t>
      </w:r>
    </w:p>
    <w:p>
      <w:pPr>
        <w:adjustRightInd w:val="0"/>
        <w:spacing w:after="0"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法定代表人或法定代理人：    　　　 法定代表人或法定代理人：</w:t>
      </w:r>
    </w:p>
    <w:p>
      <w:pPr>
        <w:pStyle w:val="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pStyle w:val="15"/>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2023年   月     日                      2023年   月    日</w:t>
      </w:r>
    </w:p>
    <w:p>
      <w:pPr>
        <w:adjustRightInd w:val="0"/>
        <w:spacing w:after="0" w:line="360" w:lineRule="auto"/>
        <w:jc w:val="both"/>
        <w:rPr>
          <w:rFonts w:hint="eastAsia" w:ascii="宋体" w:hAnsi="宋体" w:eastAsia="宋体" w:cs="宋体"/>
          <w:color w:val="auto"/>
          <w:sz w:val="24"/>
          <w:szCs w:val="24"/>
          <w:lang w:val="en-US" w:eastAsia="zh-CN"/>
        </w:rPr>
      </w:pPr>
    </w:p>
    <w:p>
      <w:pPr>
        <w:numPr>
          <w:ilvl w:val="-1"/>
          <w:numId w:val="0"/>
        </w:numPr>
        <w:spacing w:line="600" w:lineRule="exact"/>
        <w:jc w:val="center"/>
        <w:outlineLvl w:val="0"/>
        <w:rPr>
          <w:rFonts w:hint="eastAsia" w:ascii="宋体" w:hAnsi="宋体" w:eastAsia="宋体" w:cs="宋体"/>
          <w:b/>
          <w:color w:val="auto"/>
          <w:sz w:val="24"/>
          <w:szCs w:val="24"/>
          <w:highlight w:val="none"/>
          <w:lang w:val="en-US" w:eastAsia="zh-CN"/>
        </w:rPr>
      </w:pPr>
    </w:p>
    <w:p>
      <w:pPr>
        <w:pStyle w:val="38"/>
        <w:rPr>
          <w:rFonts w:hint="eastAsia" w:ascii="宋体" w:hAnsi="宋体" w:eastAsia="宋体" w:cs="宋体"/>
          <w:b/>
          <w:color w:val="auto"/>
          <w:sz w:val="24"/>
          <w:szCs w:val="24"/>
          <w:highlight w:val="none"/>
          <w:lang w:val="en-US" w:eastAsia="zh-CN"/>
        </w:rPr>
      </w:pPr>
    </w:p>
    <w:p>
      <w:pPr>
        <w:pStyle w:val="38"/>
        <w:rPr>
          <w:rFonts w:hint="eastAsia" w:ascii="宋体" w:hAnsi="宋体" w:eastAsia="宋体" w:cs="宋体"/>
          <w:b/>
          <w:color w:val="auto"/>
          <w:sz w:val="24"/>
          <w:szCs w:val="24"/>
          <w:highlight w:val="none"/>
          <w:lang w:val="en-US" w:eastAsia="zh-CN"/>
        </w:rPr>
      </w:pPr>
    </w:p>
    <w:p>
      <w:pPr>
        <w:pStyle w:val="38"/>
        <w:rPr>
          <w:rFonts w:hint="eastAsia" w:ascii="宋体" w:hAnsi="宋体" w:eastAsia="宋体" w:cs="宋体"/>
          <w:b/>
          <w:color w:val="auto"/>
          <w:sz w:val="24"/>
          <w:szCs w:val="24"/>
          <w:highlight w:val="none"/>
          <w:lang w:val="en-US" w:eastAsia="zh-CN"/>
        </w:rPr>
      </w:pPr>
    </w:p>
    <w:p>
      <w:pPr>
        <w:widowControl/>
        <w:spacing w:line="312" w:lineRule="auto"/>
        <w:ind w:left="0" w:leftChars="0" w:firstLine="0" w:firstLineChars="0"/>
        <w:jc w:val="center"/>
        <w:rPr>
          <w:rFonts w:hint="eastAsia" w:ascii="宋体" w:hAnsi="宋体" w:eastAsia="宋体" w:cs="宋体"/>
          <w:b/>
          <w:bCs/>
          <w:color w:val="auto"/>
          <w:sz w:val="40"/>
          <w:szCs w:val="40"/>
          <w:u w:val="none"/>
        </w:rPr>
      </w:pPr>
      <w:r>
        <w:rPr>
          <w:rFonts w:hint="eastAsia" w:ascii="宋体" w:hAnsi="宋体" w:eastAsia="宋体" w:cs="宋体"/>
          <w:b/>
          <w:bCs/>
          <w:color w:val="auto"/>
          <w:sz w:val="40"/>
          <w:szCs w:val="40"/>
          <w:u w:val="none"/>
        </w:rPr>
        <w:t>廉政协议</w:t>
      </w:r>
    </w:p>
    <w:p>
      <w:pPr>
        <w:pStyle w:val="38"/>
        <w:rPr>
          <w:rFonts w:hint="eastAsia" w:ascii="宋体" w:hAnsi="宋体" w:eastAsia="宋体" w:cs="宋体"/>
          <w:color w:val="auto"/>
          <w:sz w:val="24"/>
          <w:szCs w:val="24"/>
        </w:rPr>
      </w:pPr>
    </w:p>
    <w:p>
      <w:pPr>
        <w:widowControl/>
        <w:spacing w:line="312" w:lineRule="auto"/>
        <w:ind w:firstLine="560"/>
        <w:rPr>
          <w:rFonts w:hint="eastAsia" w:ascii="宋体" w:hAnsi="宋体" w:eastAsia="宋体" w:cs="宋体"/>
          <w:color w:val="auto"/>
          <w:sz w:val="24"/>
          <w:szCs w:val="24"/>
          <w:u w:val="none"/>
        </w:rPr>
      </w:pPr>
      <w:bookmarkStart w:id="21" w:name="_Toc30686"/>
      <w:bookmarkStart w:id="22" w:name="_Toc21390"/>
      <w:bookmarkStart w:id="23" w:name="_Toc282076315"/>
      <w:r>
        <w:rPr>
          <w:rFonts w:hint="eastAsia" w:ascii="宋体" w:hAnsi="宋体" w:eastAsia="宋体" w:cs="宋体"/>
          <w:color w:val="auto"/>
          <w:sz w:val="24"/>
          <w:szCs w:val="24"/>
          <w:u w:val="none"/>
        </w:rPr>
        <w:t>为做好工程建设中的党风廉政建设，保证工程建设高效优质、建设资金的安全和投资效益，以及双方合作的公平和公正，预防甲方利益受到双方经济合同之外各种不正当行为的损害，根据国家有关项目建设的法律法规和廉政建设规定，签订本廉政协议，以资共同遵守。</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第一条  甲乙双方的责任</w:t>
      </w:r>
      <w:bookmarkEnd w:id="21"/>
      <w:bookmarkEnd w:id="22"/>
      <w:bookmarkEnd w:id="23"/>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（一）应严格遵守国家关于市场准入、项目招标投标、工程建设和市场活动等有关法律、法规，相关政策，以及廉政建设的各项规定。</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（二）严格执行建设工程项目相关合同文件，自觉按合同办事。</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（三）业务活动必须坚持公开、公平、公正、诚信、透明的原则，不得为获取不正当的利益，损害国家、集体和对方利益。</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（四）发现对方在业务活动中有违规、违纪、违法行为的，应及时提醒对方，情节严重的，应向其上级主管部门或纪检监察部门进行举报。</w:t>
      </w:r>
    </w:p>
    <w:p>
      <w:pPr>
        <w:widowControl/>
        <w:spacing w:line="312" w:lineRule="auto"/>
        <w:ind w:firstLine="560"/>
        <w:rPr>
          <w:rFonts w:hint="eastAsia" w:ascii="宋体" w:hAnsi="宋体" w:eastAsia="宋体" w:cs="宋体"/>
          <w:color w:val="auto"/>
          <w:sz w:val="24"/>
          <w:szCs w:val="24"/>
          <w:u w:val="none"/>
        </w:rPr>
      </w:pPr>
      <w:bookmarkStart w:id="24" w:name="_Toc25742"/>
      <w:bookmarkStart w:id="25" w:name="_Toc282076316"/>
      <w:bookmarkStart w:id="26" w:name="_Toc22406"/>
      <w:r>
        <w:rPr>
          <w:rFonts w:hint="eastAsia" w:ascii="宋体" w:hAnsi="宋体" w:eastAsia="宋体" w:cs="宋体"/>
          <w:color w:val="auto"/>
          <w:sz w:val="24"/>
          <w:szCs w:val="24"/>
          <w:u w:val="none"/>
        </w:rPr>
        <w:t>第二条  甲方的责任</w:t>
      </w:r>
      <w:bookmarkEnd w:id="24"/>
      <w:bookmarkEnd w:id="25"/>
      <w:bookmarkEnd w:id="26"/>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甲方工作人员，在工程建设的事前、事中、事后应遵守以下规定：</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（一）不得向乙方索要或接受回扣、礼金、有价证券、贵重物品和好处费、感谢费等。</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（二）不得在乙方报销任何应由个人支付的费用。</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（三）不得要求或接受乙方为其个人装修住房或为其配偶、子女的工作安排以及出国（境）、旅游等提供方便。</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（四）不得参加有可能影响公正执行公务的乙方的宴请、健身和娱乐等活动。</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（五）不得向乙方介绍或推荐其配偶、子女及其他亲属参与乙方同甲方建设项目有关的经济活动。</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（六）不得以任何理由向乙方推荐分包单位或要求乙方购买项目合同规定以外的材料、设备和服务等。</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（七）其它与项目有关的党风廉政建设和预防腐败的规定。</w:t>
      </w:r>
    </w:p>
    <w:p>
      <w:pPr>
        <w:widowControl/>
        <w:spacing w:line="312" w:lineRule="auto"/>
        <w:ind w:firstLine="560"/>
        <w:rPr>
          <w:rFonts w:hint="eastAsia" w:ascii="宋体" w:hAnsi="宋体" w:eastAsia="宋体" w:cs="宋体"/>
          <w:color w:val="auto"/>
          <w:sz w:val="24"/>
          <w:szCs w:val="24"/>
          <w:u w:val="none"/>
        </w:rPr>
      </w:pPr>
      <w:bookmarkStart w:id="27" w:name="_Toc282076317"/>
      <w:bookmarkStart w:id="28" w:name="_Toc11848"/>
      <w:bookmarkStart w:id="29" w:name="_Toc14483"/>
      <w:r>
        <w:rPr>
          <w:rFonts w:hint="eastAsia" w:ascii="宋体" w:hAnsi="宋体" w:eastAsia="宋体" w:cs="宋体"/>
          <w:color w:val="auto"/>
          <w:sz w:val="24"/>
          <w:szCs w:val="24"/>
          <w:u w:val="none"/>
        </w:rPr>
        <w:t>第三条  乙方的责任</w:t>
      </w:r>
      <w:bookmarkEnd w:id="27"/>
      <w:bookmarkEnd w:id="28"/>
      <w:bookmarkEnd w:id="29"/>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应与甲方保持正常的业务交往，按照有关法律法规和程序开展业务工作，严格执行工程建设的有关方针、政策，并遵守以下规定：</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（一）不得以任何理由向甲方工作人员赠送礼金、有价证券、贵重物品和回扣、好处费、感谢费等。</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（二）不得以任何理由为甲方工作人员报销应由其个人支付的费用。</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（三）不得为甲方工作人员装修住房或为其配偶、子女的工作安排以及出国（境）、旅游等提供方便。</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（四）不得以任何理由邀请甲方工作人员参加有可能影响公正执行公务的宴请、健身、娱乐等活动。</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五</w:t>
      </w:r>
      <w:r>
        <w:rPr>
          <w:rFonts w:hint="eastAsia" w:ascii="宋体" w:hAnsi="宋体" w:eastAsia="宋体" w:cs="宋体"/>
          <w:color w:val="auto"/>
          <w:sz w:val="24"/>
          <w:szCs w:val="24"/>
          <w:u w:val="none"/>
        </w:rPr>
        <w:t>）其它与项目有关的党风廉政建设和预防腐败的规定。</w:t>
      </w:r>
    </w:p>
    <w:p>
      <w:pPr>
        <w:widowControl/>
        <w:spacing w:line="312" w:lineRule="auto"/>
        <w:ind w:firstLine="56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    第四</w:t>
      </w:r>
      <w:r>
        <w:rPr>
          <w:rFonts w:hint="eastAsia" w:ascii="宋体" w:hAnsi="宋体" w:eastAsia="宋体" w:cs="宋体"/>
          <w:color w:val="auto"/>
          <w:sz w:val="24"/>
          <w:szCs w:val="24"/>
          <w:u w:val="none"/>
        </w:rPr>
        <w:t>条  违约责</w:t>
      </w:r>
      <w:r>
        <w:rPr>
          <w:rFonts w:hint="eastAsia" w:ascii="宋体" w:hAnsi="宋体" w:eastAsia="宋体" w:cs="宋体"/>
          <w:color w:val="auto"/>
          <w:sz w:val="24"/>
          <w:szCs w:val="24"/>
          <w:u w:val="none"/>
          <w:lang w:val="en-US" w:eastAsia="zh-CN"/>
        </w:rPr>
        <w:t>任</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一）甲方工作人员有违反本合同第一、二条行为的，经调查属实，依据有关法律法规和规定给予党纪、政纪处分或组织处理；涉嫌犯罪的，移交司法机关追究刑事责任；给乙方造成经济损失的，甲方应予以赔偿。</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二）乙方工作人员有违反本合同第一、三条行为的，经调查属实，依据有关法律法规和规定给予以下相应处理；给甲方造成经济损失的，乙方应予以赔偿；情节严重的，甲方建议交通工程建设主管部门给予一至三年不得进入交通建设市场的处罚；涉嫌犯罪的，移交司法机关追究刑事责任。</w:t>
      </w:r>
    </w:p>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三）双方约定：本合同由甲方或甲方上级单位的纪检监察机关负责监督执行。由甲方或甲方上级单位的纪检监察机关约请乙方行业主管部门的纪检监察机关对本合同执行情况进行检查，提出在本合同规定范围内的裁定意见。</w:t>
      </w:r>
    </w:p>
    <w:p>
      <w:pPr>
        <w:widowControl/>
        <w:spacing w:line="312" w:lineRule="auto"/>
        <w:ind w:firstLine="560"/>
        <w:rPr>
          <w:rFonts w:hint="eastAsia" w:ascii="宋体" w:hAnsi="宋体" w:eastAsia="宋体" w:cs="宋体"/>
          <w:color w:val="auto"/>
          <w:sz w:val="24"/>
          <w:szCs w:val="24"/>
          <w:u w:val="none"/>
        </w:rPr>
      </w:pPr>
      <w:bookmarkStart w:id="30" w:name="_Toc28966"/>
      <w:bookmarkStart w:id="31" w:name="_Toc9354"/>
      <w:r>
        <w:rPr>
          <w:rFonts w:hint="eastAsia" w:ascii="宋体" w:hAnsi="宋体" w:eastAsia="宋体" w:cs="宋体"/>
          <w:color w:val="auto"/>
          <w:sz w:val="24"/>
          <w:szCs w:val="24"/>
          <w:u w:val="none"/>
        </w:rPr>
        <w:t>第五条：本合同作为甲、乙双方主合同的附件，与主合同具有同等法律效力。经双方签署后立即生效，项目决算审计后合同效力终止</w:t>
      </w:r>
      <w:bookmarkEnd w:id="30"/>
      <w:bookmarkEnd w:id="31"/>
      <w:r>
        <w:rPr>
          <w:rFonts w:hint="eastAsia" w:ascii="宋体" w:hAnsi="宋体" w:eastAsia="宋体" w:cs="宋体"/>
          <w:color w:val="auto"/>
          <w:sz w:val="24"/>
          <w:szCs w:val="24"/>
          <w:u w:val="none"/>
        </w:rPr>
        <w:t>。</w:t>
      </w:r>
    </w:p>
    <w:p>
      <w:pPr>
        <w:widowControl/>
        <w:spacing w:line="312" w:lineRule="auto"/>
        <w:ind w:firstLine="560"/>
        <w:rPr>
          <w:rFonts w:hint="eastAsia" w:ascii="宋体" w:hAnsi="宋体" w:eastAsia="宋体" w:cs="宋体"/>
          <w:color w:val="auto"/>
          <w:sz w:val="24"/>
          <w:szCs w:val="24"/>
          <w:u w:val="none"/>
        </w:rPr>
      </w:pPr>
    </w:p>
    <w:tbl>
      <w:tblPr>
        <w:tblStyle w:val="39"/>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86"/>
        <w:gridCol w:w="2950"/>
        <w:gridCol w:w="1307"/>
        <w:gridCol w:w="2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44" w:type="pct"/>
            <w:gridSpan w:val="2"/>
            <w:tcBorders>
              <w:top w:val="single" w:color="auto" w:sz="4" w:space="0"/>
              <w:left w:val="single" w:color="auto" w:sz="4" w:space="0"/>
              <w:bottom w:val="single" w:color="auto" w:sz="4" w:space="0"/>
              <w:right w:val="single" w:color="auto" w:sz="4" w:space="0"/>
            </w:tcBorders>
          </w:tcPr>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甲    方</w:t>
            </w:r>
          </w:p>
        </w:tc>
        <w:tc>
          <w:tcPr>
            <w:tcW w:w="2455" w:type="pct"/>
            <w:gridSpan w:val="2"/>
            <w:tcBorders>
              <w:top w:val="single" w:color="auto" w:sz="4" w:space="0"/>
              <w:left w:val="single" w:color="auto" w:sz="4" w:space="0"/>
              <w:bottom w:val="single" w:color="auto" w:sz="4" w:space="0"/>
              <w:right w:val="single" w:color="auto" w:sz="4" w:space="0"/>
            </w:tcBorders>
          </w:tcPr>
          <w:p>
            <w:pPr>
              <w:widowControl/>
              <w:spacing w:line="312" w:lineRule="auto"/>
              <w:ind w:firstLine="56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单位名称：（章）</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岳阳城陵矶港务有限责任公司</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单位名称：（章）</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单位地址</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岳阳市城陵矶长江路二号</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单位地址</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法定代表</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宋体" w:hAnsi="宋体" w:eastAsia="宋体" w:cs="宋体"/>
                <w:color w:val="auto"/>
                <w:sz w:val="24"/>
                <w:szCs w:val="24"/>
                <w:u w:val="none"/>
              </w:rPr>
            </w:pP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法定代表</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委托代理人</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宋体" w:hAnsi="宋体" w:eastAsia="宋体" w:cs="宋体"/>
                <w:color w:val="auto"/>
                <w:sz w:val="24"/>
                <w:szCs w:val="24"/>
                <w:u w:val="none"/>
              </w:rPr>
            </w:pP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委托代理人</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电话</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宋体" w:hAnsi="宋体" w:eastAsia="宋体" w:cs="宋体"/>
                <w:color w:val="auto"/>
                <w:sz w:val="24"/>
                <w:szCs w:val="24"/>
                <w:u w:val="none"/>
                <w:lang w:val="en-US" w:eastAsia="zh-CN"/>
              </w:rPr>
            </w:pP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电话</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开户银行</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岳阳市建行城陵矶支行</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开户银行</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账号</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 xml:space="preserve"> </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账号</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税号</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91430600</w:t>
            </w:r>
            <w:r>
              <w:rPr>
                <w:rFonts w:hint="eastAsia" w:ascii="宋体" w:hAnsi="宋体" w:eastAsia="宋体" w:cs="宋体"/>
                <w:color w:val="auto"/>
                <w:sz w:val="24"/>
                <w:szCs w:val="24"/>
                <w:u w:val="none"/>
                <w:lang w:val="en-US" w:eastAsia="zh-CN"/>
              </w:rPr>
              <w:t>1860828836</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税号</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邮编</w:t>
            </w:r>
          </w:p>
        </w:tc>
        <w:tc>
          <w:tcPr>
            <w:tcW w:w="1731"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414002</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left="0" w:leftChars="0" w:firstLine="0" w:firstLineChars="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邮编</w:t>
            </w:r>
          </w:p>
        </w:tc>
        <w:tc>
          <w:tcPr>
            <w:tcW w:w="1687" w:type="pct"/>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560"/>
              <w:rPr>
                <w:rFonts w:hint="eastAsia" w:ascii="宋体" w:hAnsi="宋体" w:eastAsia="宋体" w:cs="宋体"/>
                <w:color w:val="auto"/>
                <w:sz w:val="24"/>
                <w:szCs w:val="24"/>
                <w:u w:val="none"/>
              </w:rPr>
            </w:pPr>
          </w:p>
        </w:tc>
      </w:tr>
    </w:tbl>
    <w:p>
      <w:pPr>
        <w:widowControl/>
        <w:spacing w:line="312" w:lineRule="auto"/>
        <w:ind w:firstLine="560"/>
        <w:rPr>
          <w:rFonts w:hint="eastAsia" w:ascii="宋体" w:hAnsi="宋体" w:eastAsia="宋体" w:cs="宋体"/>
          <w:color w:val="auto"/>
          <w:sz w:val="28"/>
          <w:szCs w:val="28"/>
          <w:u w:val="none"/>
        </w:rPr>
      </w:pPr>
    </w:p>
    <w:p>
      <w:pPr>
        <w:pStyle w:val="38"/>
        <w:ind w:firstLine="0"/>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pStyle w:val="38"/>
        <w:rPr>
          <w:rFonts w:hint="eastAsia" w:ascii="宋体" w:hAnsi="宋体" w:eastAsia="宋体" w:cs="宋体"/>
          <w:b/>
          <w:color w:val="auto"/>
          <w:sz w:val="36"/>
          <w:szCs w:val="36"/>
          <w:highlight w:val="none"/>
          <w:lang w:val="en-US" w:eastAsia="zh-CN"/>
        </w:rPr>
      </w:pPr>
    </w:p>
    <w:p>
      <w:pPr>
        <w:numPr>
          <w:ilvl w:val="-1"/>
          <w:numId w:val="0"/>
        </w:numPr>
        <w:spacing w:line="60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第五章</w:t>
      </w:r>
      <w:bookmarkStart w:id="32" w:name="_Toc31503"/>
      <w:r>
        <w:rPr>
          <w:rFonts w:hint="eastAsia" w:ascii="宋体"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采购需求</w:t>
      </w:r>
      <w:bookmarkEnd w:id="32"/>
    </w:p>
    <w:p>
      <w:pPr>
        <w:numPr>
          <w:ilvl w:val="0"/>
          <w:numId w:val="5"/>
        </w:numPr>
        <w:autoSpaceDE w:val="0"/>
        <w:spacing w:line="600" w:lineRule="exact"/>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color w:val="auto"/>
          <w:sz w:val="24"/>
          <w:szCs w:val="24"/>
          <w:highlight w:val="none"/>
        </w:rPr>
        <w:t>采购项目名称:</w:t>
      </w:r>
      <w:r>
        <w:rPr>
          <w:rFonts w:hint="eastAsia" w:ascii="宋体" w:hAnsi="宋体" w:eastAsia="宋体" w:cs="宋体"/>
          <w:b w:val="0"/>
          <w:bCs/>
          <w:color w:val="auto"/>
          <w:sz w:val="24"/>
          <w:szCs w:val="24"/>
          <w:highlight w:val="none"/>
          <w:u w:val="none"/>
          <w:lang w:eastAsia="zh-CN"/>
        </w:rPr>
        <w:t>岳阳城陵矶港务有限责任公司2023年滚筒陶瓷包胶</w:t>
      </w:r>
      <w:r>
        <w:rPr>
          <w:rFonts w:hint="eastAsia" w:ascii="宋体" w:hAnsi="宋体" w:eastAsia="宋体" w:cs="宋体"/>
          <w:b w:val="0"/>
          <w:bCs/>
          <w:color w:val="auto"/>
          <w:sz w:val="24"/>
          <w:szCs w:val="24"/>
          <w:highlight w:val="none"/>
          <w:u w:val="none"/>
          <w:lang w:val="en-US" w:eastAsia="zh-CN"/>
        </w:rPr>
        <w:t>项目</w:t>
      </w:r>
    </w:p>
    <w:p>
      <w:pPr>
        <w:numPr>
          <w:ilvl w:val="0"/>
          <w:numId w:val="5"/>
        </w:numPr>
        <w:autoSpaceDE w:val="0"/>
        <w:spacing w:line="6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采购项目概况:</w:t>
      </w:r>
    </w:p>
    <w:p>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岳阳城陵矶港务有限责任公司</w:t>
      </w:r>
      <w:r>
        <w:rPr>
          <w:rFonts w:hint="eastAsia" w:ascii="宋体" w:hAnsi="宋体" w:eastAsia="宋体" w:cs="宋体"/>
          <w:b w:val="0"/>
          <w:bCs w:val="0"/>
          <w:color w:val="auto"/>
          <w:sz w:val="24"/>
          <w:szCs w:val="24"/>
          <w:highlight w:val="none"/>
          <w:u w:val="none"/>
          <w:lang w:val="en-US" w:eastAsia="zh-CN"/>
        </w:rPr>
        <w:t>运输皮带线的驱动、改向滚筒外表面均覆盖一层陶瓷橡胶层。该层材料为磨损件，磨损过度会影响皮带寿命，更会造成摩擦异响，是公司生产线重点控制的环保因素。由于该项目工作量和工作时间均难以预估，以前均作为临时抢修工作进行，随着设备养护经验的积累，现具备条件对滚筒包胶进行</w:t>
      </w:r>
      <w:r>
        <w:rPr>
          <w:rFonts w:hint="eastAsia" w:ascii="宋体" w:hAnsi="宋体" w:cs="宋体"/>
          <w:b w:val="0"/>
          <w:bCs w:val="0"/>
          <w:color w:val="auto"/>
          <w:sz w:val="24"/>
          <w:szCs w:val="24"/>
          <w:highlight w:val="none"/>
          <w:u w:val="none"/>
          <w:lang w:val="en-US" w:eastAsia="zh-CN"/>
        </w:rPr>
        <w:t>年度</w:t>
      </w:r>
      <w:r>
        <w:rPr>
          <w:rFonts w:hint="eastAsia" w:ascii="宋体" w:hAnsi="宋体" w:eastAsia="宋体" w:cs="宋体"/>
          <w:b w:val="0"/>
          <w:bCs w:val="0"/>
          <w:color w:val="auto"/>
          <w:sz w:val="24"/>
          <w:szCs w:val="24"/>
          <w:highlight w:val="none"/>
          <w:u w:val="none"/>
          <w:lang w:val="en-US" w:eastAsia="zh-CN"/>
        </w:rPr>
        <w:t>采购。</w:t>
      </w:r>
    </w:p>
    <w:p>
      <w:pPr>
        <w:pStyle w:val="38"/>
        <w:ind w:left="0" w:leftChars="0" w:firstLine="0" w:firstLineChars="0"/>
        <w:rPr>
          <w:rFonts w:hint="default" w:ascii="宋体" w:hAnsi="宋体" w:eastAsia="宋体" w:cs="宋体"/>
          <w:color w:val="auto"/>
          <w:lang w:val="en-US"/>
        </w:rPr>
      </w:pPr>
      <w:r>
        <w:rPr>
          <w:rFonts w:hint="eastAsia" w:ascii="宋体" w:hAnsi="宋体" w:eastAsia="宋体" w:cs="宋体"/>
          <w:b w:val="0"/>
          <w:bCs w:val="0"/>
          <w:color w:val="auto"/>
          <w:kern w:val="2"/>
          <w:sz w:val="24"/>
          <w:szCs w:val="24"/>
          <w:highlight w:val="none"/>
          <w:lang w:val="en-US" w:eastAsia="zh-CN" w:bidi="ar-SA"/>
        </w:rPr>
        <w:t>(三）采购范围:</w:t>
      </w:r>
      <w:r>
        <w:rPr>
          <w:rFonts w:hint="eastAsia" w:hAnsi="宋体" w:cs="宋体"/>
          <w:b w:val="0"/>
          <w:bCs w:val="0"/>
          <w:color w:val="auto"/>
          <w:kern w:val="2"/>
          <w:sz w:val="24"/>
          <w:szCs w:val="24"/>
          <w:highlight w:val="none"/>
          <w:lang w:val="en-US" w:eastAsia="zh-CN" w:bidi="ar-SA"/>
        </w:rPr>
        <w:t>年度预计采购90平方米，本次为单价采购按实际购买面积结算。</w:t>
      </w:r>
    </w:p>
    <w:p>
      <w:pPr>
        <w:numPr>
          <w:ilvl w:val="0"/>
          <w:numId w:val="0"/>
        </w:numPr>
        <w:ind w:left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rPr>
        <w:t>滚筒耐磨陶瓷包胶的技术要求具体如下：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满足自然条件要求：温度：-16.2℃-45℃；湿度：最大湿度为100％d、空气：雾气、粉尘：带速4.2m/s,运量10500t/h,最大12600t/h。</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耐磨陶瓷包胶要增大机械传动输送与筒体表面的磨擦力。以减少输送带在滚筒表面滑移时相互摩损，提供稳定的运行牵引力，并延长胶带和滚筒的使用寿命。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耐磨陶瓷包胶滚筒是以表面有暗格刚玉陶瓷为抗磨损层，以增加其表面摩擦力，以具有耐磨橡胶著称的聚氨基甲酸乙酯为硫化层，再用高强度CXJZ-XBJ-A，B输送带胶、雷暴和海洋性气候侵蚀。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满足运行条件要求粘剂粘接成。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耐磨陶瓷包胶滚筒，连续作业可防止打滑及跑偏。陶瓷胶板用高强度粘合剂CXJZ-XBJ-A，B粘接牢固，不能起层。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正常使用寿命，保证时间至少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年以上，以减少维修频次和费用。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五）所用材料</w:t>
      </w:r>
      <w:r>
        <w:rPr>
          <w:rFonts w:hint="eastAsia" w:ascii="宋体" w:hAnsi="宋体" w:eastAsia="宋体" w:cs="宋体"/>
          <w:color w:val="auto"/>
          <w:sz w:val="24"/>
          <w:szCs w:val="24"/>
          <w:highlight w:val="none"/>
        </w:rPr>
        <w:t>性能要达到以下指标要求：</w:t>
      </w:r>
    </w:p>
    <w:p>
      <w:pPr>
        <w:rPr>
          <w:rFonts w:hint="eastAsia" w:ascii="宋体" w:hAnsi="宋体" w:eastAsia="宋体" w:cs="宋体"/>
          <w:b/>
          <w:color w:val="auto"/>
          <w:sz w:val="24"/>
        </w:rPr>
      </w:pPr>
      <w:r>
        <w:rPr>
          <w:rFonts w:hint="eastAsia" w:ascii="宋体" w:hAnsi="宋体" w:eastAsia="宋体" w:cs="宋体"/>
          <w:color w:val="auto"/>
          <w:sz w:val="24"/>
        </w:rPr>
        <w:t>1.</w:t>
      </w:r>
      <w:r>
        <w:rPr>
          <w:rFonts w:hint="eastAsia" w:ascii="宋体" w:hAnsi="宋体" w:eastAsia="宋体" w:cs="宋体"/>
          <w:b/>
          <w:color w:val="auto"/>
          <w:sz w:val="24"/>
        </w:rPr>
        <w:t>陶瓷技术指标</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238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85"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名称</w:t>
            </w:r>
          </w:p>
        </w:tc>
        <w:tc>
          <w:tcPr>
            <w:tcW w:w="2385"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项目</w:t>
            </w:r>
          </w:p>
        </w:tc>
        <w:tc>
          <w:tcPr>
            <w:tcW w:w="459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Merge w:val="restart"/>
            <w:noWrap w:val="0"/>
            <w:vAlign w:val="center"/>
          </w:tcPr>
          <w:p>
            <w:pPr>
              <w:jc w:val="center"/>
              <w:rPr>
                <w:rFonts w:hint="eastAsia" w:ascii="宋体" w:hAnsi="宋体" w:eastAsia="宋体" w:cs="宋体"/>
                <w:color w:val="auto"/>
              </w:rPr>
            </w:pPr>
            <w:r>
              <w:rPr>
                <w:rFonts w:hint="eastAsia" w:ascii="宋体" w:hAnsi="宋体" w:eastAsia="宋体" w:cs="宋体"/>
                <w:color w:val="auto"/>
              </w:rPr>
              <w:t>陶瓷</w:t>
            </w:r>
          </w:p>
        </w:tc>
        <w:tc>
          <w:tcPr>
            <w:tcW w:w="2385" w:type="dxa"/>
            <w:noWrap w:val="0"/>
            <w:vAlign w:val="center"/>
          </w:tcPr>
          <w:p>
            <w:pPr>
              <w:rPr>
                <w:rFonts w:hint="eastAsia" w:ascii="宋体" w:hAnsi="宋体" w:eastAsia="宋体" w:cs="宋体"/>
                <w:color w:val="auto"/>
              </w:rPr>
            </w:pPr>
            <w:r>
              <w:rPr>
                <w:rFonts w:hint="eastAsia" w:ascii="宋体" w:hAnsi="宋体" w:eastAsia="宋体" w:cs="宋体"/>
                <w:color w:val="auto"/>
              </w:rPr>
              <w:t>含量</w:t>
            </w:r>
          </w:p>
        </w:tc>
        <w:tc>
          <w:tcPr>
            <w:tcW w:w="4590" w:type="dxa"/>
            <w:noWrap w:val="0"/>
            <w:vAlign w:val="center"/>
          </w:tcPr>
          <w:p>
            <w:pPr>
              <w:rPr>
                <w:rFonts w:hint="eastAsia" w:ascii="宋体" w:hAnsi="宋体" w:eastAsia="宋体" w:cs="宋体"/>
                <w:color w:val="auto"/>
              </w:rPr>
            </w:pPr>
            <w:r>
              <w:rPr>
                <w:rFonts w:hint="eastAsia" w:ascii="宋体" w:hAnsi="宋体" w:eastAsia="宋体" w:cs="宋体"/>
                <w:color w:val="auto"/>
              </w:rPr>
              <w:t>AL</w:t>
            </w:r>
            <w:r>
              <w:rPr>
                <w:rFonts w:hint="eastAsia" w:ascii="宋体" w:hAnsi="宋体" w:eastAsia="宋体" w:cs="宋体"/>
                <w:color w:val="auto"/>
                <w:vertAlign w:val="subscript"/>
              </w:rPr>
              <w:t>2</w:t>
            </w:r>
            <w:r>
              <w:rPr>
                <w:rFonts w:hint="eastAsia" w:ascii="宋体" w:hAnsi="宋体" w:eastAsia="宋体" w:cs="宋体"/>
                <w:color w:val="auto"/>
              </w:rPr>
              <w:t>O</w:t>
            </w:r>
            <w:r>
              <w:rPr>
                <w:rFonts w:hint="eastAsia" w:ascii="宋体" w:hAnsi="宋体" w:eastAsia="宋体" w:cs="宋体"/>
                <w:color w:val="auto"/>
                <w:vertAlign w:val="subscript"/>
              </w:rPr>
              <w:t>3</w:t>
            </w:r>
            <w:r>
              <w:rPr>
                <w:rFonts w:hint="eastAsia" w:ascii="宋体" w:hAnsi="宋体" w:eastAsia="宋体" w:cs="宋体"/>
                <w:color w:val="auto"/>
              </w:rPr>
              <w:t>：95%，其它 Cr</w:t>
            </w:r>
            <w:r>
              <w:rPr>
                <w:rFonts w:hint="eastAsia" w:ascii="宋体" w:hAnsi="宋体" w:eastAsia="宋体" w:cs="宋体"/>
                <w:color w:val="auto"/>
                <w:vertAlign w:val="subscript"/>
              </w:rPr>
              <w:t>２</w:t>
            </w:r>
            <w:r>
              <w:rPr>
                <w:rFonts w:hint="eastAsia" w:ascii="宋体" w:hAnsi="宋体" w:eastAsia="宋体" w:cs="宋体"/>
                <w:color w:val="auto"/>
              </w:rPr>
              <w:t>O</w:t>
            </w:r>
            <w:r>
              <w:rPr>
                <w:rFonts w:hint="eastAsia" w:ascii="宋体" w:hAnsi="宋体" w:eastAsia="宋体" w:cs="宋体"/>
                <w:color w:val="auto"/>
                <w:vertAlign w:val="subscript"/>
              </w:rPr>
              <w:t>３</w:t>
            </w:r>
            <w:r>
              <w:rPr>
                <w:rFonts w:hint="eastAsia" w:ascii="宋体" w:hAnsi="宋体" w:eastAsia="宋体" w:cs="宋体"/>
                <w:color w:val="auto"/>
              </w:rPr>
              <w:t xml:space="preserve"> ZrO</w:t>
            </w:r>
            <w:r>
              <w:rPr>
                <w:rFonts w:hint="eastAsia" w:ascii="宋体" w:hAnsi="宋体" w:eastAsia="宋体" w:cs="宋体"/>
                <w:color w:val="auto"/>
                <w:vertAlign w:val="subscript"/>
              </w:rPr>
              <w:t>2</w:t>
            </w:r>
            <w:r>
              <w:rPr>
                <w:rFonts w:hint="eastAsia" w:ascii="宋体" w:hAnsi="宋体" w:eastAsia="宋体" w:cs="宋体"/>
                <w:color w:val="auto"/>
              </w:rPr>
              <w:t xml:space="preserve"> 和TiO</w:t>
            </w:r>
            <w:r>
              <w:rPr>
                <w:rFonts w:hint="eastAsia" w:ascii="宋体" w:hAnsi="宋体" w:eastAsia="宋体" w:cs="宋体"/>
                <w:color w:val="auto"/>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Merge w:val="continue"/>
            <w:noWrap w:val="0"/>
            <w:vAlign w:val="center"/>
          </w:tcPr>
          <w:p>
            <w:pPr>
              <w:jc w:val="center"/>
              <w:rPr>
                <w:rFonts w:hint="eastAsia" w:ascii="宋体" w:hAnsi="宋体" w:eastAsia="宋体" w:cs="宋体"/>
                <w:color w:val="auto"/>
              </w:rPr>
            </w:pPr>
          </w:p>
        </w:tc>
        <w:tc>
          <w:tcPr>
            <w:tcW w:w="2385" w:type="dxa"/>
            <w:noWrap w:val="0"/>
            <w:vAlign w:val="center"/>
          </w:tcPr>
          <w:p>
            <w:pPr>
              <w:rPr>
                <w:rFonts w:hint="eastAsia" w:ascii="宋体" w:hAnsi="宋体" w:eastAsia="宋体" w:cs="宋体"/>
                <w:color w:val="auto"/>
              </w:rPr>
            </w:pPr>
            <w:r>
              <w:rPr>
                <w:rFonts w:hint="eastAsia" w:ascii="宋体" w:hAnsi="宋体" w:eastAsia="宋体" w:cs="宋体"/>
                <w:color w:val="auto"/>
              </w:rPr>
              <w:t>密度</w:t>
            </w:r>
          </w:p>
        </w:tc>
        <w:tc>
          <w:tcPr>
            <w:tcW w:w="4590" w:type="dxa"/>
            <w:noWrap w:val="0"/>
            <w:vAlign w:val="center"/>
          </w:tcPr>
          <w:p>
            <w:pPr>
              <w:rPr>
                <w:rFonts w:hint="eastAsia" w:ascii="宋体" w:hAnsi="宋体" w:eastAsia="宋体" w:cs="宋体"/>
                <w:color w:val="auto"/>
              </w:rPr>
            </w:pPr>
            <w:r>
              <w:rPr>
                <w:rFonts w:hint="eastAsia" w:ascii="宋体" w:hAnsi="宋体" w:eastAsia="宋体" w:cs="宋体"/>
                <w:color w:val="auto"/>
              </w:rPr>
              <w:t>≥3.6 g/cm</w:t>
            </w:r>
            <w:r>
              <w:rPr>
                <w:rFonts w:hint="eastAsia" w:ascii="宋体" w:hAnsi="宋体" w:eastAsia="宋体" w:cs="宋体"/>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Merge w:val="continue"/>
            <w:noWrap w:val="0"/>
            <w:vAlign w:val="center"/>
          </w:tcPr>
          <w:p>
            <w:pPr>
              <w:jc w:val="center"/>
              <w:rPr>
                <w:rFonts w:hint="eastAsia" w:ascii="宋体" w:hAnsi="宋体" w:eastAsia="宋体" w:cs="宋体"/>
                <w:color w:val="auto"/>
              </w:rPr>
            </w:pPr>
          </w:p>
        </w:tc>
        <w:tc>
          <w:tcPr>
            <w:tcW w:w="2385" w:type="dxa"/>
            <w:noWrap w:val="0"/>
            <w:vAlign w:val="center"/>
          </w:tcPr>
          <w:p>
            <w:pPr>
              <w:rPr>
                <w:rFonts w:hint="eastAsia" w:ascii="宋体" w:hAnsi="宋体" w:eastAsia="宋体" w:cs="宋体"/>
                <w:color w:val="auto"/>
              </w:rPr>
            </w:pPr>
            <w:r>
              <w:rPr>
                <w:rFonts w:hint="eastAsia" w:ascii="宋体" w:hAnsi="宋体" w:eastAsia="宋体" w:cs="宋体"/>
                <w:color w:val="auto"/>
              </w:rPr>
              <w:t>洛氏硬度</w:t>
            </w:r>
          </w:p>
        </w:tc>
        <w:tc>
          <w:tcPr>
            <w:tcW w:w="4590" w:type="dxa"/>
            <w:noWrap w:val="0"/>
            <w:vAlign w:val="center"/>
          </w:tcPr>
          <w:p>
            <w:pPr>
              <w:rPr>
                <w:rFonts w:hint="eastAsia" w:ascii="宋体" w:hAnsi="宋体" w:eastAsia="宋体" w:cs="宋体"/>
                <w:color w:val="auto"/>
              </w:rPr>
            </w:pPr>
            <w:r>
              <w:rPr>
                <w:rFonts w:hint="eastAsia" w:ascii="宋体" w:hAnsi="宋体" w:eastAsia="宋体" w:cs="宋体"/>
                <w:color w:val="auto"/>
              </w:rPr>
              <w:t>≥85 HRA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Merge w:val="continue"/>
            <w:noWrap w:val="0"/>
            <w:vAlign w:val="center"/>
          </w:tcPr>
          <w:p>
            <w:pPr>
              <w:jc w:val="center"/>
              <w:rPr>
                <w:rFonts w:hint="eastAsia" w:ascii="宋体" w:hAnsi="宋体" w:eastAsia="宋体" w:cs="宋体"/>
                <w:color w:val="auto"/>
              </w:rPr>
            </w:pPr>
          </w:p>
        </w:tc>
        <w:tc>
          <w:tcPr>
            <w:tcW w:w="2385" w:type="dxa"/>
            <w:noWrap w:val="0"/>
            <w:vAlign w:val="center"/>
          </w:tcPr>
          <w:p>
            <w:pPr>
              <w:rPr>
                <w:rFonts w:hint="eastAsia" w:ascii="宋体" w:hAnsi="宋体" w:eastAsia="宋体" w:cs="宋体"/>
                <w:color w:val="auto"/>
              </w:rPr>
            </w:pPr>
            <w:r>
              <w:rPr>
                <w:rFonts w:hint="eastAsia" w:ascii="宋体" w:hAnsi="宋体" w:eastAsia="宋体" w:cs="宋体"/>
                <w:color w:val="auto"/>
              </w:rPr>
              <w:t>耐磨性</w:t>
            </w:r>
          </w:p>
        </w:tc>
        <w:tc>
          <w:tcPr>
            <w:tcW w:w="4590" w:type="dxa"/>
            <w:noWrap w:val="0"/>
            <w:vAlign w:val="center"/>
          </w:tcPr>
          <w:p>
            <w:pPr>
              <w:rPr>
                <w:rFonts w:hint="eastAsia" w:ascii="宋体" w:hAnsi="宋体" w:eastAsia="宋体" w:cs="宋体"/>
                <w:color w:val="auto"/>
              </w:rPr>
            </w:pPr>
            <w:r>
              <w:rPr>
                <w:rFonts w:hint="eastAsia" w:ascii="宋体" w:hAnsi="宋体" w:eastAsia="宋体" w:cs="宋体"/>
                <w:color w:val="auto"/>
              </w:rPr>
              <w:t>≤0.04c㎥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Merge w:val="continue"/>
            <w:noWrap w:val="0"/>
            <w:vAlign w:val="center"/>
          </w:tcPr>
          <w:p>
            <w:pPr>
              <w:jc w:val="center"/>
              <w:rPr>
                <w:rFonts w:hint="eastAsia" w:ascii="宋体" w:hAnsi="宋体" w:eastAsia="宋体" w:cs="宋体"/>
                <w:color w:val="auto"/>
              </w:rPr>
            </w:pPr>
          </w:p>
        </w:tc>
        <w:tc>
          <w:tcPr>
            <w:tcW w:w="2385" w:type="dxa"/>
            <w:noWrap w:val="0"/>
            <w:vAlign w:val="center"/>
          </w:tcPr>
          <w:p>
            <w:pPr>
              <w:rPr>
                <w:rFonts w:hint="eastAsia" w:ascii="宋体" w:hAnsi="宋体" w:eastAsia="宋体" w:cs="宋体"/>
                <w:color w:val="auto"/>
              </w:rPr>
            </w:pPr>
            <w:r>
              <w:rPr>
                <w:rFonts w:hint="eastAsia" w:ascii="宋体" w:hAnsi="宋体" w:eastAsia="宋体" w:cs="宋体"/>
                <w:color w:val="auto"/>
              </w:rPr>
              <w:t>抗压强度</w:t>
            </w:r>
          </w:p>
        </w:tc>
        <w:tc>
          <w:tcPr>
            <w:tcW w:w="4590" w:type="dxa"/>
            <w:noWrap w:val="0"/>
            <w:vAlign w:val="center"/>
          </w:tcPr>
          <w:p>
            <w:pPr>
              <w:rPr>
                <w:rFonts w:hint="eastAsia" w:ascii="宋体" w:hAnsi="宋体" w:eastAsia="宋体" w:cs="宋体"/>
                <w:color w:val="auto"/>
              </w:rPr>
            </w:pPr>
            <w:r>
              <w:rPr>
                <w:rFonts w:hint="eastAsia" w:ascii="宋体" w:hAnsi="宋体" w:eastAsia="宋体" w:cs="宋体"/>
                <w:color w:val="auto"/>
              </w:rPr>
              <w:t>≥1500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Merge w:val="continue"/>
            <w:noWrap w:val="0"/>
            <w:vAlign w:val="center"/>
          </w:tcPr>
          <w:p>
            <w:pPr>
              <w:jc w:val="center"/>
              <w:rPr>
                <w:rFonts w:hint="eastAsia" w:ascii="宋体" w:hAnsi="宋体" w:eastAsia="宋体" w:cs="宋体"/>
                <w:color w:val="auto"/>
              </w:rPr>
            </w:pPr>
          </w:p>
        </w:tc>
        <w:tc>
          <w:tcPr>
            <w:tcW w:w="2385" w:type="dxa"/>
            <w:noWrap w:val="0"/>
            <w:vAlign w:val="center"/>
          </w:tcPr>
          <w:p>
            <w:pPr>
              <w:rPr>
                <w:rFonts w:hint="eastAsia" w:ascii="宋体" w:hAnsi="宋体" w:eastAsia="宋体" w:cs="宋体"/>
                <w:color w:val="auto"/>
              </w:rPr>
            </w:pPr>
            <w:r>
              <w:rPr>
                <w:rFonts w:hint="eastAsia" w:ascii="宋体" w:hAnsi="宋体" w:eastAsia="宋体" w:cs="宋体"/>
                <w:color w:val="auto"/>
              </w:rPr>
              <w:t>断裂韧性 (KIC )</w:t>
            </w:r>
          </w:p>
        </w:tc>
        <w:tc>
          <w:tcPr>
            <w:tcW w:w="4590" w:type="dxa"/>
            <w:noWrap w:val="0"/>
            <w:vAlign w:val="center"/>
          </w:tcPr>
          <w:p>
            <w:pPr>
              <w:rPr>
                <w:rFonts w:hint="eastAsia" w:ascii="宋体" w:hAnsi="宋体" w:eastAsia="宋体" w:cs="宋体"/>
                <w:color w:val="auto"/>
              </w:rPr>
            </w:pPr>
            <w:r>
              <w:rPr>
                <w:rFonts w:hint="eastAsia" w:ascii="宋体" w:hAnsi="宋体" w:eastAsia="宋体" w:cs="宋体"/>
                <w:color w:val="auto"/>
              </w:rPr>
              <w:t>≥4.0MPa·m</w:t>
            </w:r>
            <w:r>
              <w:rPr>
                <w:rFonts w:hint="eastAsia" w:ascii="宋体" w:hAnsi="宋体" w:eastAsia="宋体" w:cs="宋体"/>
                <w:color w:val="auto"/>
                <w:vertAlign w:val="superscript"/>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Merge w:val="continue"/>
            <w:noWrap w:val="0"/>
            <w:vAlign w:val="center"/>
          </w:tcPr>
          <w:p>
            <w:pPr>
              <w:jc w:val="center"/>
              <w:rPr>
                <w:rFonts w:hint="eastAsia" w:ascii="宋体" w:hAnsi="宋体" w:eastAsia="宋体" w:cs="宋体"/>
                <w:color w:val="auto"/>
              </w:rPr>
            </w:pPr>
          </w:p>
        </w:tc>
        <w:tc>
          <w:tcPr>
            <w:tcW w:w="2385" w:type="dxa"/>
            <w:noWrap w:val="0"/>
            <w:vAlign w:val="center"/>
          </w:tcPr>
          <w:p>
            <w:pPr>
              <w:rPr>
                <w:rFonts w:hint="eastAsia" w:ascii="宋体" w:hAnsi="宋体" w:eastAsia="宋体" w:cs="宋体"/>
                <w:color w:val="auto"/>
              </w:rPr>
            </w:pPr>
            <w:r>
              <w:rPr>
                <w:rFonts w:hint="eastAsia" w:ascii="宋体" w:hAnsi="宋体" w:eastAsia="宋体" w:cs="宋体"/>
                <w:color w:val="auto"/>
              </w:rPr>
              <w:t>抗弯强度</w:t>
            </w:r>
          </w:p>
        </w:tc>
        <w:tc>
          <w:tcPr>
            <w:tcW w:w="4590" w:type="dxa"/>
            <w:noWrap w:val="0"/>
            <w:vAlign w:val="center"/>
          </w:tcPr>
          <w:p>
            <w:pPr>
              <w:rPr>
                <w:rFonts w:hint="eastAsia" w:ascii="宋体" w:hAnsi="宋体" w:eastAsia="宋体" w:cs="宋体"/>
                <w:color w:val="auto"/>
              </w:rPr>
            </w:pPr>
            <w:r>
              <w:rPr>
                <w:rFonts w:hint="eastAsia" w:ascii="宋体" w:hAnsi="宋体" w:eastAsia="宋体" w:cs="宋体"/>
                <w:color w:val="auto"/>
              </w:rPr>
              <w:t>≥300MPa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85" w:type="dxa"/>
            <w:vMerge w:val="continue"/>
            <w:noWrap w:val="0"/>
            <w:vAlign w:val="center"/>
          </w:tcPr>
          <w:p>
            <w:pPr>
              <w:jc w:val="center"/>
              <w:rPr>
                <w:rFonts w:hint="eastAsia" w:ascii="宋体" w:hAnsi="宋体" w:eastAsia="宋体" w:cs="宋体"/>
                <w:color w:val="auto"/>
              </w:rPr>
            </w:pPr>
          </w:p>
        </w:tc>
        <w:tc>
          <w:tcPr>
            <w:tcW w:w="2385" w:type="dxa"/>
            <w:noWrap w:val="0"/>
            <w:vAlign w:val="center"/>
          </w:tcPr>
          <w:p>
            <w:pPr>
              <w:rPr>
                <w:rFonts w:hint="eastAsia" w:ascii="宋体" w:hAnsi="宋体" w:eastAsia="宋体" w:cs="宋体"/>
                <w:color w:val="auto"/>
              </w:rPr>
            </w:pPr>
            <w:r>
              <w:rPr>
                <w:rFonts w:hint="eastAsia" w:ascii="宋体" w:hAnsi="宋体" w:eastAsia="宋体" w:cs="宋体"/>
                <w:color w:val="auto"/>
              </w:rPr>
              <w:t>厚度</w:t>
            </w:r>
          </w:p>
        </w:tc>
        <w:tc>
          <w:tcPr>
            <w:tcW w:w="4590" w:type="dxa"/>
            <w:noWrap w:val="0"/>
            <w:vAlign w:val="center"/>
          </w:tcPr>
          <w:p>
            <w:pPr>
              <w:rPr>
                <w:rFonts w:hint="eastAsia" w:ascii="宋体" w:hAnsi="宋体" w:eastAsia="宋体" w:cs="宋体"/>
                <w:color w:val="auto"/>
              </w:rPr>
            </w:pPr>
            <w:r>
              <w:rPr>
                <w:rFonts w:hint="eastAsia" w:ascii="宋体" w:hAnsi="宋体" w:eastAsia="宋体" w:cs="宋体"/>
                <w:color w:val="auto"/>
              </w:rPr>
              <w:t>8 mm</w:t>
            </w:r>
          </w:p>
        </w:tc>
      </w:tr>
    </w:tbl>
    <w:p>
      <w:pPr>
        <w:spacing w:line="360" w:lineRule="auto"/>
        <w:rPr>
          <w:rFonts w:hint="eastAsia" w:ascii="宋体" w:hAnsi="宋体" w:eastAsia="宋体" w:cs="宋体"/>
          <w:color w:val="auto"/>
          <w:szCs w:val="21"/>
        </w:rPr>
      </w:pPr>
    </w:p>
    <w:p>
      <w:pPr>
        <w:numPr>
          <w:ilvl w:val="0"/>
          <w:numId w:val="6"/>
        </w:numPr>
        <w:rPr>
          <w:rFonts w:hint="eastAsia" w:ascii="宋体" w:hAnsi="宋体" w:eastAsia="宋体" w:cs="宋体"/>
          <w:b/>
          <w:color w:val="auto"/>
          <w:sz w:val="24"/>
        </w:rPr>
      </w:pPr>
      <w:r>
        <w:rPr>
          <w:rFonts w:hint="eastAsia" w:ascii="宋体" w:hAnsi="宋体" w:eastAsia="宋体" w:cs="宋体"/>
          <w:b/>
          <w:color w:val="auto"/>
          <w:sz w:val="24"/>
        </w:rPr>
        <w:t>橡胶指标</w:t>
      </w:r>
    </w:p>
    <w:p>
      <w:pPr>
        <w:rPr>
          <w:rFonts w:hint="eastAsia" w:ascii="宋体" w:hAnsi="宋体" w:eastAsia="宋体" w:cs="宋体"/>
          <w:b/>
          <w:color w:val="auto"/>
          <w:sz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957"/>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4" w:type="dxa"/>
            <w:vMerge w:val="restart"/>
            <w:noWrap w:val="0"/>
            <w:vAlign w:val="center"/>
          </w:tcPr>
          <w:p>
            <w:pPr>
              <w:jc w:val="center"/>
              <w:rPr>
                <w:rFonts w:hint="eastAsia" w:ascii="宋体" w:hAnsi="宋体" w:eastAsia="宋体" w:cs="宋体"/>
                <w:color w:val="auto"/>
              </w:rPr>
            </w:pPr>
            <w:r>
              <w:rPr>
                <w:rFonts w:hint="eastAsia" w:ascii="宋体" w:hAnsi="宋体" w:eastAsia="宋体" w:cs="宋体"/>
                <w:color w:val="auto"/>
              </w:rPr>
              <w:t>橡胶</w:t>
            </w:r>
          </w:p>
        </w:tc>
        <w:tc>
          <w:tcPr>
            <w:tcW w:w="2957" w:type="dxa"/>
            <w:noWrap w:val="0"/>
            <w:vAlign w:val="center"/>
          </w:tcPr>
          <w:p>
            <w:pPr>
              <w:rPr>
                <w:rFonts w:hint="eastAsia" w:ascii="宋体" w:hAnsi="宋体" w:eastAsia="宋体" w:cs="宋体"/>
                <w:color w:val="auto"/>
              </w:rPr>
            </w:pPr>
            <w:r>
              <w:rPr>
                <w:rFonts w:hint="eastAsia" w:ascii="宋体" w:hAnsi="宋体" w:eastAsia="宋体" w:cs="宋体"/>
                <w:color w:val="auto"/>
              </w:rPr>
              <w:t>成分</w:t>
            </w:r>
          </w:p>
        </w:tc>
        <w:tc>
          <w:tcPr>
            <w:tcW w:w="4309" w:type="dxa"/>
            <w:noWrap w:val="0"/>
            <w:vAlign w:val="center"/>
          </w:tcPr>
          <w:p>
            <w:pPr>
              <w:rPr>
                <w:rFonts w:hint="eastAsia" w:ascii="宋体" w:hAnsi="宋体" w:eastAsia="宋体" w:cs="宋体"/>
                <w:color w:val="auto"/>
              </w:rPr>
            </w:pPr>
            <w:r>
              <w:rPr>
                <w:rFonts w:hint="eastAsia" w:ascii="宋体" w:hAnsi="宋体" w:eastAsia="宋体" w:cs="宋体"/>
                <w:color w:val="auto"/>
              </w:rPr>
              <w:t>天然胶、丁睛胶、阻燃剂、其他助剂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4" w:type="dxa"/>
            <w:vMerge w:val="continue"/>
            <w:noWrap w:val="0"/>
            <w:vAlign w:val="center"/>
          </w:tcPr>
          <w:p>
            <w:pPr>
              <w:rPr>
                <w:rFonts w:hint="eastAsia" w:ascii="宋体" w:hAnsi="宋体" w:eastAsia="宋体" w:cs="宋体"/>
                <w:color w:val="auto"/>
              </w:rPr>
            </w:pPr>
          </w:p>
        </w:tc>
        <w:tc>
          <w:tcPr>
            <w:tcW w:w="2957" w:type="dxa"/>
            <w:noWrap w:val="0"/>
            <w:vAlign w:val="center"/>
          </w:tcPr>
          <w:p>
            <w:pPr>
              <w:rPr>
                <w:rFonts w:hint="eastAsia" w:ascii="宋体" w:hAnsi="宋体" w:eastAsia="宋体" w:cs="宋体"/>
                <w:color w:val="auto"/>
              </w:rPr>
            </w:pPr>
            <w:r>
              <w:rPr>
                <w:rFonts w:hint="eastAsia" w:ascii="宋体" w:hAnsi="宋体" w:eastAsia="宋体" w:cs="宋体"/>
                <w:color w:val="auto"/>
              </w:rPr>
              <w:t>扯断强度</w:t>
            </w:r>
          </w:p>
        </w:tc>
        <w:tc>
          <w:tcPr>
            <w:tcW w:w="4309" w:type="dxa"/>
            <w:noWrap w:val="0"/>
            <w:vAlign w:val="center"/>
          </w:tcPr>
          <w:p>
            <w:pPr>
              <w:rPr>
                <w:rFonts w:hint="eastAsia" w:ascii="宋体" w:hAnsi="宋体" w:eastAsia="宋体" w:cs="宋体"/>
                <w:color w:val="auto"/>
              </w:rPr>
            </w:pPr>
            <w:r>
              <w:rPr>
                <w:rFonts w:hint="eastAsia" w:ascii="宋体" w:hAnsi="宋体" w:eastAsia="宋体" w:cs="宋体"/>
                <w:color w:val="auto"/>
              </w:rPr>
              <w:t>≥7.5MPa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4" w:type="dxa"/>
            <w:vMerge w:val="continue"/>
            <w:noWrap w:val="0"/>
            <w:vAlign w:val="center"/>
          </w:tcPr>
          <w:p>
            <w:pPr>
              <w:rPr>
                <w:rFonts w:hint="eastAsia" w:ascii="宋体" w:hAnsi="宋体" w:eastAsia="宋体" w:cs="宋体"/>
                <w:color w:val="auto"/>
              </w:rPr>
            </w:pPr>
          </w:p>
        </w:tc>
        <w:tc>
          <w:tcPr>
            <w:tcW w:w="2957" w:type="dxa"/>
            <w:noWrap w:val="0"/>
            <w:vAlign w:val="center"/>
          </w:tcPr>
          <w:p>
            <w:pPr>
              <w:rPr>
                <w:rFonts w:hint="eastAsia" w:ascii="宋体" w:hAnsi="宋体" w:eastAsia="宋体" w:cs="宋体"/>
                <w:color w:val="auto"/>
              </w:rPr>
            </w:pPr>
            <w:r>
              <w:rPr>
                <w:rFonts w:hint="eastAsia" w:ascii="宋体" w:hAnsi="宋体" w:eastAsia="宋体" w:cs="宋体"/>
                <w:color w:val="auto"/>
              </w:rPr>
              <w:t>扯断延伸</w:t>
            </w:r>
          </w:p>
        </w:tc>
        <w:tc>
          <w:tcPr>
            <w:tcW w:w="4309" w:type="dxa"/>
            <w:noWrap w:val="0"/>
            <w:vAlign w:val="center"/>
          </w:tcPr>
          <w:p>
            <w:pPr>
              <w:rPr>
                <w:rFonts w:hint="eastAsia" w:ascii="宋体" w:hAnsi="宋体" w:eastAsia="宋体" w:cs="宋体"/>
                <w:color w:val="auto"/>
              </w:rPr>
            </w:pPr>
            <w:r>
              <w:rPr>
                <w:rFonts w:hint="eastAsia" w:ascii="宋体" w:hAnsi="宋体" w:eastAsia="宋体" w:cs="宋体"/>
                <w:color w:val="auto"/>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4" w:type="dxa"/>
            <w:vMerge w:val="continue"/>
            <w:noWrap w:val="0"/>
            <w:vAlign w:val="center"/>
          </w:tcPr>
          <w:p>
            <w:pPr>
              <w:rPr>
                <w:rFonts w:hint="eastAsia" w:ascii="宋体" w:hAnsi="宋体" w:eastAsia="宋体" w:cs="宋体"/>
                <w:color w:val="auto"/>
              </w:rPr>
            </w:pPr>
          </w:p>
        </w:tc>
        <w:tc>
          <w:tcPr>
            <w:tcW w:w="2957" w:type="dxa"/>
            <w:noWrap w:val="0"/>
            <w:vAlign w:val="center"/>
          </w:tcPr>
          <w:p>
            <w:pPr>
              <w:rPr>
                <w:rFonts w:hint="eastAsia" w:ascii="宋体" w:hAnsi="宋体" w:eastAsia="宋体" w:cs="宋体"/>
                <w:color w:val="auto"/>
              </w:rPr>
            </w:pPr>
            <w:r>
              <w:rPr>
                <w:rFonts w:hint="eastAsia" w:ascii="宋体" w:hAnsi="宋体" w:eastAsia="宋体" w:cs="宋体"/>
                <w:color w:val="auto"/>
              </w:rPr>
              <w:t>扯断永久变形</w:t>
            </w:r>
          </w:p>
        </w:tc>
        <w:tc>
          <w:tcPr>
            <w:tcW w:w="4309" w:type="dxa"/>
            <w:noWrap w:val="0"/>
            <w:vAlign w:val="center"/>
          </w:tcPr>
          <w:p>
            <w:pPr>
              <w:rPr>
                <w:rFonts w:hint="eastAsia" w:ascii="宋体" w:hAnsi="宋体" w:eastAsia="宋体" w:cs="宋体"/>
                <w:color w:val="auto"/>
              </w:rPr>
            </w:pPr>
            <w:r>
              <w:rPr>
                <w:rFonts w:hint="eastAsia" w:ascii="宋体" w:hAnsi="宋体" w:eastAsia="宋体" w:cs="宋体"/>
                <w:color w:val="auto"/>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4" w:type="dxa"/>
            <w:vMerge w:val="continue"/>
            <w:noWrap w:val="0"/>
            <w:vAlign w:val="center"/>
          </w:tcPr>
          <w:p>
            <w:pPr>
              <w:rPr>
                <w:rFonts w:hint="eastAsia" w:ascii="宋体" w:hAnsi="宋体" w:eastAsia="宋体" w:cs="宋体"/>
                <w:color w:val="auto"/>
              </w:rPr>
            </w:pPr>
          </w:p>
        </w:tc>
        <w:tc>
          <w:tcPr>
            <w:tcW w:w="2957" w:type="dxa"/>
            <w:noWrap w:val="0"/>
            <w:vAlign w:val="center"/>
          </w:tcPr>
          <w:p>
            <w:pPr>
              <w:rPr>
                <w:rFonts w:hint="eastAsia" w:ascii="宋体" w:hAnsi="宋体" w:eastAsia="宋体" w:cs="宋体"/>
                <w:color w:val="auto"/>
              </w:rPr>
            </w:pPr>
            <w:r>
              <w:rPr>
                <w:rFonts w:hint="eastAsia" w:ascii="宋体" w:hAnsi="宋体" w:eastAsia="宋体" w:cs="宋体"/>
                <w:color w:val="auto"/>
              </w:rPr>
              <w:t>邵氏硬度</w:t>
            </w:r>
          </w:p>
        </w:tc>
        <w:tc>
          <w:tcPr>
            <w:tcW w:w="4309" w:type="dxa"/>
            <w:noWrap w:val="0"/>
            <w:vAlign w:val="center"/>
          </w:tcPr>
          <w:p>
            <w:pPr>
              <w:rPr>
                <w:rFonts w:hint="eastAsia" w:ascii="宋体" w:hAnsi="宋体" w:eastAsia="宋体" w:cs="宋体"/>
                <w:color w:val="auto"/>
              </w:rPr>
            </w:pPr>
            <w:r>
              <w:rPr>
                <w:rFonts w:hint="eastAsia" w:ascii="宋体" w:hAnsi="宋体" w:eastAsia="宋体" w:cs="宋体"/>
                <w:color w:val="auto"/>
              </w:rPr>
              <w:t>55-65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4" w:type="dxa"/>
            <w:vMerge w:val="continue"/>
            <w:noWrap w:val="0"/>
            <w:vAlign w:val="center"/>
          </w:tcPr>
          <w:p>
            <w:pPr>
              <w:rPr>
                <w:rFonts w:hint="eastAsia" w:ascii="宋体" w:hAnsi="宋体" w:eastAsia="宋体" w:cs="宋体"/>
                <w:color w:val="auto"/>
              </w:rPr>
            </w:pPr>
          </w:p>
        </w:tc>
        <w:tc>
          <w:tcPr>
            <w:tcW w:w="2957" w:type="dxa"/>
            <w:noWrap w:val="0"/>
            <w:vAlign w:val="center"/>
          </w:tcPr>
          <w:p>
            <w:pPr>
              <w:rPr>
                <w:rFonts w:hint="eastAsia" w:ascii="宋体" w:hAnsi="宋体" w:eastAsia="宋体" w:cs="宋体"/>
                <w:color w:val="auto"/>
              </w:rPr>
            </w:pPr>
            <w:r>
              <w:rPr>
                <w:rFonts w:hint="eastAsia" w:ascii="宋体" w:hAnsi="宋体" w:eastAsia="宋体" w:cs="宋体"/>
                <w:color w:val="auto"/>
              </w:rPr>
              <w:t>橡胶与陶瓷剥离强度</w:t>
            </w:r>
          </w:p>
        </w:tc>
        <w:tc>
          <w:tcPr>
            <w:tcW w:w="4309" w:type="dxa"/>
            <w:noWrap w:val="0"/>
            <w:vAlign w:val="center"/>
          </w:tcPr>
          <w:p>
            <w:pPr>
              <w:rPr>
                <w:rFonts w:hint="eastAsia" w:ascii="宋体" w:hAnsi="宋体" w:eastAsia="宋体" w:cs="宋体"/>
                <w:color w:val="auto"/>
              </w:rPr>
            </w:pPr>
            <w:r>
              <w:rPr>
                <w:rFonts w:hint="eastAsia" w:ascii="宋体" w:hAnsi="宋体" w:eastAsia="宋体" w:cs="宋体"/>
                <w:color w:val="auto"/>
              </w:rPr>
              <w:t>≥5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4" w:type="dxa"/>
            <w:vMerge w:val="continue"/>
            <w:noWrap w:val="0"/>
            <w:vAlign w:val="center"/>
          </w:tcPr>
          <w:p>
            <w:pPr>
              <w:rPr>
                <w:rFonts w:hint="eastAsia" w:ascii="宋体" w:hAnsi="宋体" w:eastAsia="宋体" w:cs="宋体"/>
                <w:color w:val="auto"/>
              </w:rPr>
            </w:pPr>
          </w:p>
        </w:tc>
        <w:tc>
          <w:tcPr>
            <w:tcW w:w="2957" w:type="dxa"/>
            <w:noWrap w:val="0"/>
            <w:vAlign w:val="center"/>
          </w:tcPr>
          <w:p>
            <w:pPr>
              <w:rPr>
                <w:rFonts w:hint="eastAsia" w:ascii="宋体" w:hAnsi="宋体" w:eastAsia="宋体" w:cs="宋体"/>
                <w:color w:val="auto"/>
              </w:rPr>
            </w:pPr>
            <w:r>
              <w:rPr>
                <w:rFonts w:hint="eastAsia" w:ascii="宋体" w:hAnsi="宋体" w:eastAsia="宋体" w:cs="宋体"/>
                <w:color w:val="auto"/>
              </w:rPr>
              <w:t>老化年限</w:t>
            </w:r>
          </w:p>
        </w:tc>
        <w:tc>
          <w:tcPr>
            <w:tcW w:w="4309" w:type="dxa"/>
            <w:noWrap w:val="0"/>
            <w:vAlign w:val="center"/>
          </w:tcPr>
          <w:p>
            <w:pPr>
              <w:rPr>
                <w:rFonts w:hint="eastAsia" w:ascii="宋体" w:hAnsi="宋体" w:eastAsia="宋体" w:cs="宋体"/>
                <w:color w:val="auto"/>
              </w:rPr>
            </w:pPr>
            <w:r>
              <w:rPr>
                <w:rFonts w:hint="eastAsia" w:ascii="宋体" w:hAnsi="宋体" w:eastAsia="宋体" w:cs="宋体"/>
                <w:color w:val="auto"/>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4" w:type="dxa"/>
            <w:vMerge w:val="continue"/>
            <w:noWrap w:val="0"/>
            <w:vAlign w:val="center"/>
          </w:tcPr>
          <w:p>
            <w:pPr>
              <w:rPr>
                <w:rFonts w:hint="eastAsia" w:ascii="宋体" w:hAnsi="宋体" w:eastAsia="宋体" w:cs="宋体"/>
                <w:color w:val="auto"/>
              </w:rPr>
            </w:pPr>
          </w:p>
        </w:tc>
        <w:tc>
          <w:tcPr>
            <w:tcW w:w="2957" w:type="dxa"/>
            <w:noWrap w:val="0"/>
            <w:vAlign w:val="center"/>
          </w:tcPr>
          <w:p>
            <w:pPr>
              <w:rPr>
                <w:rFonts w:hint="eastAsia" w:ascii="宋体" w:hAnsi="宋体" w:eastAsia="宋体" w:cs="宋体"/>
                <w:color w:val="auto"/>
              </w:rPr>
            </w:pPr>
            <w:r>
              <w:rPr>
                <w:rFonts w:hint="eastAsia" w:ascii="宋体" w:hAnsi="宋体" w:eastAsia="宋体" w:cs="宋体"/>
                <w:color w:val="auto"/>
              </w:rPr>
              <w:t>厚度</w:t>
            </w:r>
          </w:p>
        </w:tc>
        <w:tc>
          <w:tcPr>
            <w:tcW w:w="4309" w:type="dxa"/>
            <w:noWrap w:val="0"/>
            <w:vAlign w:val="center"/>
          </w:tcPr>
          <w:p>
            <w:pPr>
              <w:rPr>
                <w:rFonts w:hint="eastAsia" w:ascii="宋体" w:hAnsi="宋体" w:eastAsia="宋体" w:cs="宋体"/>
                <w:color w:val="auto"/>
              </w:rPr>
            </w:pPr>
            <w:r>
              <w:rPr>
                <w:rFonts w:hint="eastAsia" w:ascii="宋体" w:hAnsi="宋体" w:eastAsia="宋体" w:cs="宋体"/>
                <w:color w:val="auto"/>
              </w:rPr>
              <w:t>8 mm</w:t>
            </w:r>
          </w:p>
        </w:tc>
      </w:tr>
    </w:tbl>
    <w:p>
      <w:pPr>
        <w:rPr>
          <w:rFonts w:hint="eastAsia" w:ascii="宋体" w:hAnsi="宋体" w:eastAsia="宋体" w:cs="宋体"/>
          <w:b/>
          <w:color w:val="auto"/>
          <w:sz w:val="24"/>
        </w:rPr>
      </w:pPr>
    </w:p>
    <w:p>
      <w:pPr>
        <w:rPr>
          <w:rFonts w:hint="eastAsia" w:ascii="宋体" w:hAnsi="宋体" w:eastAsia="宋体" w:cs="宋体"/>
          <w:b/>
          <w:color w:val="auto"/>
          <w:sz w:val="24"/>
        </w:rPr>
      </w:pPr>
      <w:r>
        <w:rPr>
          <w:rFonts w:hint="eastAsia" w:ascii="宋体" w:hAnsi="宋体" w:eastAsia="宋体" w:cs="宋体"/>
          <w:b/>
          <w:color w:val="auto"/>
          <w:sz w:val="24"/>
        </w:rPr>
        <w:t>3. 粘接剂指标</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1"/>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31"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Cs w:val="28"/>
              </w:rPr>
              <w:t xml:space="preserve"> </w:t>
            </w:r>
            <w:r>
              <w:rPr>
                <w:rFonts w:hint="eastAsia" w:ascii="宋体" w:hAnsi="宋体" w:eastAsia="宋体" w:cs="宋体"/>
                <w:color w:val="auto"/>
                <w:sz w:val="24"/>
              </w:rPr>
              <w:t>项目名称</w:t>
            </w:r>
          </w:p>
        </w:tc>
        <w:tc>
          <w:tcPr>
            <w:tcW w:w="5580"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 w:val="24"/>
              </w:rPr>
              <w:t>胶粘型系列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31"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 w:val="24"/>
              </w:rPr>
              <w:t>型号</w:t>
            </w:r>
          </w:p>
        </w:tc>
        <w:tc>
          <w:tcPr>
            <w:tcW w:w="5580"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 w:val="24"/>
              </w:rPr>
              <w:t>CXJ2-XBJ-A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31"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 w:val="24"/>
              </w:rPr>
              <w:t>外观</w:t>
            </w:r>
          </w:p>
        </w:tc>
        <w:tc>
          <w:tcPr>
            <w:tcW w:w="5580"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 w:val="24"/>
              </w:rPr>
              <w:t>灰色粘稠液体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31"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 w:val="24"/>
              </w:rPr>
              <w:t>组成</w:t>
            </w:r>
          </w:p>
        </w:tc>
        <w:tc>
          <w:tcPr>
            <w:tcW w:w="5580"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 w:val="24"/>
              </w:rPr>
              <w:t>双组份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31"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 w:val="24"/>
              </w:rPr>
              <w:t>剪切强度（钢-胶板）</w:t>
            </w:r>
          </w:p>
        </w:tc>
        <w:tc>
          <w:tcPr>
            <w:tcW w:w="5580"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 w:val="24"/>
              </w:rPr>
              <w:t>≥150N/CM</w:t>
            </w:r>
            <w:r>
              <w:rPr>
                <w:rFonts w:hint="eastAsia" w:ascii="宋体" w:hAnsi="宋体" w:eastAsia="宋体" w:cs="宋体"/>
                <w:color w:val="auto"/>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31"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 w:val="24"/>
              </w:rPr>
              <w:t>耐温</w:t>
            </w:r>
          </w:p>
        </w:tc>
        <w:tc>
          <w:tcPr>
            <w:tcW w:w="5580" w:type="dxa"/>
            <w:noWrap w:val="0"/>
            <w:vAlign w:val="center"/>
          </w:tcPr>
          <w:p>
            <w:pPr>
              <w:pStyle w:val="3"/>
              <w:spacing w:line="440" w:lineRule="exact"/>
              <w:ind w:right="-178" w:firstLine="0" w:firstLineChars="0"/>
              <w:jc w:val="center"/>
              <w:rPr>
                <w:rFonts w:hint="eastAsia" w:ascii="宋体" w:hAnsi="宋体" w:eastAsia="宋体" w:cs="宋体"/>
                <w:color w:val="auto"/>
                <w:sz w:val="24"/>
              </w:rPr>
            </w:pPr>
            <w:r>
              <w:rPr>
                <w:rFonts w:hint="eastAsia" w:ascii="宋体" w:hAnsi="宋体" w:eastAsia="宋体" w:cs="宋体"/>
                <w:color w:val="auto"/>
                <w:sz w:val="24"/>
              </w:rPr>
              <w:t>-40℃---100℃</w:t>
            </w:r>
          </w:p>
        </w:tc>
      </w:tr>
    </w:tbl>
    <w:p>
      <w:pPr>
        <w:pStyle w:val="38"/>
        <w:rPr>
          <w:rFonts w:hint="eastAsia" w:ascii="宋体" w:hAnsi="宋体" w:eastAsia="宋体" w:cs="宋体"/>
          <w:color w:val="auto"/>
        </w:rPr>
      </w:pPr>
    </w:p>
    <w:p>
      <w:pPr>
        <w:numPr>
          <w:ilvl w:val="-1"/>
          <w:numId w:val="0"/>
        </w:numPr>
        <w:adjustRightInd w:val="0"/>
        <w:snapToGrid w:val="0"/>
        <w:spacing w:line="31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服务要求、质量和标准：</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1、滚筒包胶材料：表面有暗格刚玉陶瓷为抗磨损层，聚氨基甲酸乙酯为硫化层，高强度CXJZ-XBJ-A，B输送带胶粘接。</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本工程严格按照招标方质量管理体系的要求，进行工程质量控制，并按招标方有关要求填报相关表格，交招标方整理存档。</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服务期限:乙方施工周期要满足甲方整体交货期的要求。</w:t>
      </w:r>
      <w:r>
        <w:rPr>
          <w:rFonts w:hint="eastAsia" w:ascii="宋体" w:hAnsi="宋体" w:eastAsia="宋体" w:cs="宋体"/>
          <w:color w:val="auto"/>
          <w:sz w:val="24"/>
          <w:highlight w:val="none"/>
          <w:lang w:val="en-US" w:eastAsia="zh-CN"/>
        </w:rPr>
        <w:t>合同签订后，</w:t>
      </w:r>
      <w:r>
        <w:rPr>
          <w:rFonts w:hint="eastAsia" w:ascii="宋体" w:hAnsi="宋体" w:eastAsia="宋体" w:cs="宋体"/>
          <w:color w:val="auto"/>
          <w:sz w:val="24"/>
          <w:highlight w:val="none"/>
        </w:rPr>
        <w:t>供应商应保证需方在有滚筒包胶计划时按时到达现场进行胶接施工，在临时胶接或修补需要时(含节假日)保证2小时内到达维修现场作业。</w:t>
      </w:r>
      <w:r>
        <w:rPr>
          <w:rFonts w:hint="eastAsia" w:ascii="宋体" w:hAnsi="宋体" w:eastAsia="宋体" w:cs="宋体"/>
          <w:color w:val="auto"/>
          <w:sz w:val="24"/>
          <w:highlight w:val="none"/>
          <w:lang w:val="en-US" w:eastAsia="zh-CN"/>
        </w:rPr>
        <w:t>3个日历日内完成当次任务。</w:t>
      </w:r>
    </w:p>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所承包的工程结束，满足安全性、可靠性、使用性能的要求（开工前签订安全施工责任合同），符合国家最新相关施工验收规范、检验标准的要求。            </w:t>
      </w:r>
    </w:p>
    <w:p>
      <w:pPr>
        <w:numPr>
          <w:ilvl w:val="-1"/>
          <w:numId w:val="0"/>
        </w:numPr>
        <w:spacing w:line="540" w:lineRule="exact"/>
        <w:ind w:firstLine="60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工程质量保修期按从竣工验收合格后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年执行。工程质量保修期起始日期自竣工验收报告签署之日起。</w:t>
      </w:r>
    </w:p>
    <w:p>
      <w:pPr>
        <w:spacing w:line="312" w:lineRule="auto"/>
        <w:jc w:val="both"/>
        <w:rPr>
          <w:rFonts w:hint="eastAsia" w:ascii="宋体" w:hAnsi="宋体" w:eastAsia="宋体" w:cs="宋体"/>
          <w:b/>
          <w:color w:val="auto"/>
          <w:sz w:val="36"/>
          <w:szCs w:val="36"/>
          <w:highlight w:val="none"/>
        </w:rPr>
      </w:pPr>
    </w:p>
    <w:p>
      <w:pPr>
        <w:pStyle w:val="38"/>
        <w:rPr>
          <w:rFonts w:hint="eastAsia" w:ascii="宋体" w:hAnsi="宋体" w:eastAsia="宋体" w:cs="宋体"/>
          <w:b w:val="0"/>
          <w:color w:val="auto"/>
          <w:sz w:val="24"/>
          <w:szCs w:val="20"/>
        </w:rPr>
      </w:pPr>
    </w:p>
    <w:p>
      <w:pPr>
        <w:pStyle w:val="38"/>
        <w:rPr>
          <w:rFonts w:hint="eastAsia" w:ascii="宋体" w:hAnsi="宋体" w:eastAsia="宋体" w:cs="宋体"/>
          <w:b w:val="0"/>
          <w:color w:val="auto"/>
          <w:sz w:val="24"/>
          <w:szCs w:val="20"/>
        </w:rPr>
      </w:pPr>
    </w:p>
    <w:p>
      <w:pPr>
        <w:pStyle w:val="38"/>
        <w:rPr>
          <w:rFonts w:hint="eastAsia" w:ascii="宋体" w:hAnsi="宋体" w:eastAsia="宋体" w:cs="宋体"/>
          <w:b w:val="0"/>
          <w:color w:val="auto"/>
          <w:sz w:val="24"/>
          <w:szCs w:val="20"/>
        </w:rPr>
      </w:pPr>
    </w:p>
    <w:p>
      <w:pPr>
        <w:pStyle w:val="38"/>
        <w:rPr>
          <w:rFonts w:hint="eastAsia" w:ascii="宋体" w:hAnsi="宋体" w:eastAsia="宋体" w:cs="宋体"/>
          <w:b w:val="0"/>
          <w:color w:val="auto"/>
          <w:sz w:val="24"/>
          <w:szCs w:val="20"/>
        </w:rPr>
      </w:pPr>
    </w:p>
    <w:p>
      <w:pPr>
        <w:pStyle w:val="38"/>
        <w:rPr>
          <w:rFonts w:hint="eastAsia" w:ascii="宋体" w:hAnsi="宋体" w:eastAsia="宋体" w:cs="宋体"/>
          <w:b w:val="0"/>
          <w:color w:val="auto"/>
          <w:sz w:val="24"/>
          <w:szCs w:val="20"/>
        </w:rPr>
      </w:pPr>
    </w:p>
    <w:p>
      <w:pPr>
        <w:pStyle w:val="38"/>
        <w:rPr>
          <w:rFonts w:hint="eastAsia" w:ascii="宋体" w:hAnsi="宋体" w:eastAsia="宋体" w:cs="宋体"/>
          <w:b w:val="0"/>
          <w:color w:val="auto"/>
          <w:sz w:val="24"/>
          <w:szCs w:val="20"/>
        </w:rPr>
      </w:pPr>
    </w:p>
    <w:p>
      <w:pPr>
        <w:pStyle w:val="38"/>
        <w:rPr>
          <w:rFonts w:hint="eastAsia" w:ascii="宋体" w:hAnsi="宋体" w:eastAsia="宋体" w:cs="宋体"/>
          <w:b w:val="0"/>
          <w:color w:val="auto"/>
          <w:sz w:val="24"/>
          <w:szCs w:val="20"/>
        </w:rPr>
      </w:pPr>
    </w:p>
    <w:p>
      <w:pPr>
        <w:pStyle w:val="38"/>
        <w:rPr>
          <w:rFonts w:hint="eastAsia" w:ascii="宋体" w:hAnsi="宋体" w:eastAsia="宋体" w:cs="宋体"/>
          <w:b w:val="0"/>
          <w:color w:val="auto"/>
          <w:sz w:val="24"/>
          <w:szCs w:val="20"/>
        </w:rPr>
      </w:pPr>
    </w:p>
    <w:p>
      <w:pPr>
        <w:pStyle w:val="38"/>
        <w:rPr>
          <w:rFonts w:hint="eastAsia" w:ascii="宋体" w:hAnsi="宋体" w:eastAsia="宋体" w:cs="宋体"/>
          <w:b w:val="0"/>
          <w:color w:val="auto"/>
          <w:sz w:val="24"/>
          <w:szCs w:val="20"/>
        </w:rPr>
      </w:pPr>
    </w:p>
    <w:p>
      <w:pPr>
        <w:pStyle w:val="38"/>
        <w:rPr>
          <w:rFonts w:hint="eastAsia" w:ascii="宋体" w:hAnsi="宋体" w:eastAsia="宋体" w:cs="宋体"/>
          <w:b w:val="0"/>
          <w:color w:val="auto"/>
          <w:sz w:val="24"/>
          <w:szCs w:val="20"/>
        </w:rPr>
      </w:pPr>
    </w:p>
    <w:p>
      <w:pPr>
        <w:pStyle w:val="38"/>
        <w:rPr>
          <w:rFonts w:hint="eastAsia" w:ascii="宋体" w:hAnsi="宋体" w:eastAsia="宋体" w:cs="宋体"/>
          <w:b w:val="0"/>
          <w:color w:val="auto"/>
          <w:sz w:val="24"/>
          <w:szCs w:val="20"/>
        </w:rPr>
      </w:pPr>
    </w:p>
    <w:p>
      <w:pPr>
        <w:pStyle w:val="38"/>
        <w:rPr>
          <w:rFonts w:hint="eastAsia" w:ascii="宋体" w:hAnsi="宋体" w:eastAsia="宋体" w:cs="宋体"/>
          <w:b w:val="0"/>
          <w:color w:val="auto"/>
          <w:sz w:val="24"/>
          <w:szCs w:val="20"/>
        </w:rPr>
      </w:pPr>
    </w:p>
    <w:p>
      <w:pPr>
        <w:spacing w:line="312" w:lineRule="auto"/>
        <w:jc w:val="both"/>
        <w:outlineLvl w:val="0"/>
        <w:rPr>
          <w:rFonts w:hint="eastAsia" w:ascii="宋体" w:hAnsi="宋体" w:eastAsia="宋体" w:cs="宋体"/>
          <w:b/>
          <w:color w:val="auto"/>
          <w:sz w:val="36"/>
          <w:szCs w:val="36"/>
          <w:highlight w:val="none"/>
        </w:rPr>
      </w:pPr>
      <w:bookmarkStart w:id="33" w:name="_Toc13840"/>
    </w:p>
    <w:p>
      <w:pPr>
        <w:spacing w:line="312"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响应文件格式</w:t>
      </w:r>
      <w:bookmarkEnd w:id="33"/>
    </w:p>
    <w:p>
      <w:pPr>
        <w:jc w:val="center"/>
        <w:rPr>
          <w:rFonts w:hint="eastAsia" w:ascii="宋体" w:hAnsi="宋体" w:eastAsia="宋体" w:cs="宋体"/>
          <w:color w:val="auto"/>
          <w:sz w:val="30"/>
          <w:szCs w:val="30"/>
          <w:highlight w:val="none"/>
        </w:rPr>
      </w:pPr>
    </w:p>
    <w:p>
      <w:pPr>
        <w:jc w:val="center"/>
        <w:rPr>
          <w:rFonts w:hint="eastAsia" w:ascii="宋体" w:hAnsi="宋体" w:eastAsia="宋体" w:cs="宋体"/>
          <w:color w:val="auto"/>
          <w:sz w:val="30"/>
          <w:szCs w:val="30"/>
          <w:highlight w:val="none"/>
        </w:rPr>
      </w:pPr>
    </w:p>
    <w:p>
      <w:pPr>
        <w:jc w:val="center"/>
        <w:rPr>
          <w:rFonts w:hint="eastAsia" w:ascii="宋体" w:hAnsi="宋体" w:eastAsia="宋体" w:cs="宋体"/>
          <w:color w:val="auto"/>
          <w:sz w:val="30"/>
          <w:szCs w:val="30"/>
          <w:highlight w:val="none"/>
        </w:rPr>
      </w:pPr>
    </w:p>
    <w:p>
      <w:pPr>
        <w:jc w:val="center"/>
        <w:outlineLvl w:val="0"/>
        <w:rPr>
          <w:rFonts w:hint="eastAsia" w:ascii="宋体" w:hAnsi="宋体" w:eastAsia="宋体" w:cs="宋体"/>
          <w:b/>
          <w:bCs/>
          <w:color w:val="auto"/>
          <w:sz w:val="40"/>
          <w:szCs w:val="36"/>
          <w:highlight w:val="none"/>
        </w:rPr>
      </w:pPr>
      <w:r>
        <w:rPr>
          <w:rFonts w:hint="eastAsia" w:ascii="宋体" w:hAnsi="宋体" w:eastAsia="宋体" w:cs="宋体"/>
          <w:bCs/>
          <w:color w:val="auto"/>
          <w:sz w:val="48"/>
          <w:szCs w:val="44"/>
          <w:highlight w:val="none"/>
          <w:u w:val="single"/>
        </w:rPr>
        <w:t xml:space="preserve">                   </w:t>
      </w:r>
      <w:bookmarkStart w:id="34" w:name="_Toc11696"/>
      <w:r>
        <w:rPr>
          <w:rFonts w:hint="eastAsia" w:ascii="宋体" w:hAnsi="宋体" w:eastAsia="宋体" w:cs="宋体"/>
          <w:b/>
          <w:bCs/>
          <w:color w:val="auto"/>
          <w:sz w:val="40"/>
          <w:szCs w:val="36"/>
          <w:highlight w:val="none"/>
        </w:rPr>
        <w:t>项目</w:t>
      </w:r>
      <w:bookmarkEnd w:id="34"/>
    </w:p>
    <w:p>
      <w:pPr>
        <w:widowControl w:val="0"/>
        <w:spacing w:before="240" w:beforeLines="100" w:after="240" w:afterLines="100" w:line="240" w:lineRule="auto"/>
        <w:jc w:val="center"/>
        <w:outlineLvl w:val="0"/>
        <w:rPr>
          <w:rFonts w:hint="eastAsia" w:ascii="宋体" w:hAnsi="宋体" w:eastAsia="宋体" w:cs="宋体"/>
          <w:b/>
          <w:bCs/>
          <w:color w:val="auto"/>
          <w:sz w:val="28"/>
          <w:szCs w:val="28"/>
          <w:highlight w:val="none"/>
        </w:rPr>
      </w:pPr>
      <w:bookmarkStart w:id="35" w:name="_Toc23766"/>
      <w:r>
        <w:rPr>
          <w:rFonts w:hint="eastAsia" w:ascii="宋体" w:hAnsi="宋体" w:eastAsia="宋体" w:cs="宋体"/>
          <w:b/>
          <w:bCs/>
          <w:color w:val="auto"/>
          <w:sz w:val="28"/>
          <w:szCs w:val="28"/>
          <w:highlight w:val="none"/>
        </w:rPr>
        <w:t>（项目采购编号：</w:t>
      </w:r>
      <w:r>
        <w:rPr>
          <w:rFonts w:hint="eastAsia" w:ascii="宋体" w:hAnsi="宋体" w:eastAsia="宋体" w:cs="宋体"/>
          <w:b/>
          <w:bCs/>
          <w:color w:val="auto"/>
          <w:sz w:val="28"/>
          <w:szCs w:val="28"/>
          <w:highlight w:val="none"/>
          <w:u w:val="single"/>
        </w:rPr>
        <w:t xml:space="preserve">   填入项目采购编号     </w:t>
      </w:r>
      <w:r>
        <w:rPr>
          <w:rFonts w:hint="eastAsia" w:ascii="宋体" w:hAnsi="宋体" w:eastAsia="宋体" w:cs="宋体"/>
          <w:b/>
          <w:bCs/>
          <w:color w:val="auto"/>
          <w:sz w:val="28"/>
          <w:szCs w:val="28"/>
          <w:highlight w:val="none"/>
        </w:rPr>
        <w:t>）</w:t>
      </w:r>
      <w:bookmarkEnd w:id="35"/>
    </w:p>
    <w:p>
      <w:pPr>
        <w:widowControl w:val="0"/>
        <w:adjustRightInd w:val="0"/>
        <w:snapToGrid w:val="0"/>
        <w:rPr>
          <w:rFonts w:hint="eastAsia" w:ascii="宋体" w:hAnsi="宋体" w:eastAsia="宋体" w:cs="宋体"/>
          <w:b/>
          <w:color w:val="auto"/>
          <w:highlight w:val="none"/>
        </w:rPr>
      </w:pPr>
    </w:p>
    <w:p>
      <w:pPr>
        <w:spacing w:line="288" w:lineRule="auto"/>
        <w:jc w:val="center"/>
        <w:rPr>
          <w:rFonts w:hint="eastAsia" w:ascii="宋体" w:hAnsi="宋体" w:eastAsia="宋体" w:cs="宋体"/>
          <w:b/>
          <w:bCs/>
          <w:color w:val="auto"/>
          <w:spacing w:val="160"/>
          <w:sz w:val="72"/>
          <w:szCs w:val="72"/>
          <w:highlight w:val="none"/>
        </w:rPr>
      </w:pPr>
    </w:p>
    <w:p>
      <w:pPr>
        <w:spacing w:line="288" w:lineRule="auto"/>
        <w:jc w:val="center"/>
        <w:rPr>
          <w:rFonts w:hint="eastAsia" w:ascii="宋体" w:hAnsi="宋体" w:eastAsia="宋体" w:cs="宋体"/>
          <w:b/>
          <w:bCs/>
          <w:color w:val="auto"/>
          <w:spacing w:val="160"/>
          <w:sz w:val="72"/>
          <w:szCs w:val="72"/>
          <w:highlight w:val="none"/>
        </w:rPr>
      </w:pPr>
    </w:p>
    <w:p>
      <w:pPr>
        <w:spacing w:line="288" w:lineRule="auto"/>
        <w:jc w:val="center"/>
        <w:outlineLvl w:val="0"/>
        <w:rPr>
          <w:rFonts w:hint="eastAsia" w:ascii="宋体" w:hAnsi="宋体" w:eastAsia="宋体" w:cs="宋体"/>
          <w:b/>
          <w:bCs/>
          <w:color w:val="auto"/>
          <w:spacing w:val="160"/>
          <w:sz w:val="72"/>
          <w:szCs w:val="72"/>
          <w:highlight w:val="none"/>
        </w:rPr>
      </w:pPr>
      <w:bookmarkStart w:id="36" w:name="_Toc7555"/>
      <w:r>
        <w:rPr>
          <w:rFonts w:hint="eastAsia" w:ascii="宋体" w:hAnsi="宋体" w:eastAsia="宋体" w:cs="宋体"/>
          <w:b/>
          <w:bCs/>
          <w:color w:val="auto"/>
          <w:spacing w:val="160"/>
          <w:sz w:val="72"/>
          <w:szCs w:val="72"/>
          <w:highlight w:val="none"/>
        </w:rPr>
        <w:t>响应文件</w:t>
      </w:r>
      <w:bookmarkEnd w:id="36"/>
    </w:p>
    <w:p>
      <w:pPr>
        <w:spacing w:line="288" w:lineRule="auto"/>
        <w:rPr>
          <w:rFonts w:hint="eastAsia" w:ascii="宋体" w:hAnsi="宋体" w:eastAsia="宋体" w:cs="宋体"/>
          <w:color w:val="auto"/>
          <w:sz w:val="26"/>
          <w:szCs w:val="26"/>
          <w:highlight w:val="none"/>
        </w:rPr>
      </w:pPr>
    </w:p>
    <w:p>
      <w:pPr>
        <w:spacing w:line="288" w:lineRule="auto"/>
        <w:rPr>
          <w:rFonts w:hint="eastAsia" w:ascii="宋体" w:hAnsi="宋体" w:eastAsia="宋体" w:cs="宋体"/>
          <w:color w:val="auto"/>
          <w:sz w:val="26"/>
          <w:szCs w:val="26"/>
          <w:highlight w:val="none"/>
        </w:rPr>
      </w:pPr>
    </w:p>
    <w:p>
      <w:pPr>
        <w:spacing w:line="288" w:lineRule="auto"/>
        <w:rPr>
          <w:rFonts w:hint="eastAsia" w:ascii="宋体" w:hAnsi="宋体" w:eastAsia="宋体" w:cs="宋体"/>
          <w:color w:val="auto"/>
          <w:sz w:val="26"/>
          <w:szCs w:val="26"/>
          <w:highlight w:val="none"/>
        </w:rPr>
      </w:pPr>
    </w:p>
    <w:p>
      <w:pPr>
        <w:spacing w:line="288" w:lineRule="auto"/>
        <w:rPr>
          <w:rFonts w:hint="eastAsia" w:ascii="宋体" w:hAnsi="宋体" w:eastAsia="宋体" w:cs="宋体"/>
          <w:color w:val="auto"/>
          <w:sz w:val="26"/>
          <w:szCs w:val="26"/>
          <w:highlight w:val="none"/>
        </w:rPr>
      </w:pPr>
    </w:p>
    <w:p>
      <w:pPr>
        <w:spacing w:line="900" w:lineRule="exact"/>
        <w:jc w:val="center"/>
        <w:outlineLvl w:val="0"/>
        <w:rPr>
          <w:rFonts w:hint="eastAsia" w:ascii="宋体" w:hAnsi="宋体" w:eastAsia="宋体" w:cs="宋体"/>
          <w:bCs/>
          <w:color w:val="auto"/>
          <w:sz w:val="30"/>
          <w:szCs w:val="30"/>
          <w:highlight w:val="none"/>
        </w:rPr>
      </w:pPr>
      <w:bookmarkStart w:id="37" w:name="_Toc148"/>
      <w:r>
        <w:rPr>
          <w:rFonts w:hint="eastAsia" w:ascii="宋体" w:hAnsi="宋体" w:eastAsia="宋体" w:cs="宋体"/>
          <w:bCs/>
          <w:color w:val="auto"/>
          <w:sz w:val="30"/>
          <w:szCs w:val="30"/>
          <w:highlight w:val="none"/>
        </w:rPr>
        <w:t>供 应 商：</w:t>
      </w:r>
      <w:r>
        <w:rPr>
          <w:rFonts w:hint="eastAsia" w:ascii="宋体" w:hAnsi="宋体" w:eastAsia="宋体" w:cs="宋体"/>
          <w:bCs/>
          <w:color w:val="auto"/>
          <w:sz w:val="30"/>
          <w:szCs w:val="30"/>
          <w:highlight w:val="none"/>
          <w:u w:val="single"/>
        </w:rPr>
        <w:t xml:space="preserve">  供应商全称并盖单位公章</w:t>
      </w:r>
      <w:bookmarkEnd w:id="37"/>
      <w:r>
        <w:rPr>
          <w:rFonts w:hint="eastAsia" w:ascii="宋体" w:hAnsi="宋体" w:eastAsia="宋体" w:cs="宋体"/>
          <w:bCs/>
          <w:color w:val="auto"/>
          <w:sz w:val="30"/>
          <w:szCs w:val="30"/>
          <w:highlight w:val="none"/>
          <w:u w:val="single"/>
        </w:rPr>
        <w:t xml:space="preserve"> </w:t>
      </w:r>
    </w:p>
    <w:p>
      <w:pPr>
        <w:spacing w:line="900" w:lineRule="exact"/>
        <w:jc w:val="center"/>
        <w:outlineLvl w:val="0"/>
        <w:rPr>
          <w:rFonts w:hint="eastAsia" w:ascii="宋体" w:hAnsi="宋体" w:eastAsia="宋体" w:cs="宋体"/>
          <w:color w:val="auto"/>
          <w:sz w:val="30"/>
          <w:szCs w:val="30"/>
          <w:highlight w:val="none"/>
        </w:rPr>
      </w:pPr>
      <w:bookmarkStart w:id="38" w:name="_Toc31175"/>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bookmarkEnd w:id="38"/>
    </w:p>
    <w:p>
      <w:pPr>
        <w:pStyle w:val="38"/>
        <w:ind w:firstLine="0"/>
        <w:rPr>
          <w:rFonts w:hint="eastAsia" w:ascii="宋体" w:hAnsi="宋体" w:eastAsia="宋体" w:cs="宋体"/>
          <w:color w:val="auto"/>
          <w:sz w:val="36"/>
          <w:szCs w:val="36"/>
          <w:highlight w:val="none"/>
        </w:rPr>
      </w:pPr>
    </w:p>
    <w:p>
      <w:pPr>
        <w:pStyle w:val="38"/>
        <w:ind w:firstLine="0"/>
        <w:rPr>
          <w:rFonts w:hint="eastAsia" w:ascii="宋体" w:hAnsi="宋体" w:eastAsia="宋体" w:cs="宋体"/>
          <w:color w:val="auto"/>
          <w:sz w:val="36"/>
          <w:szCs w:val="36"/>
          <w:highlight w:val="none"/>
        </w:rPr>
      </w:pPr>
    </w:p>
    <w:p>
      <w:pPr>
        <w:adjustRightInd w:val="0"/>
        <w:snapToGrid w:val="0"/>
        <w:spacing w:line="600" w:lineRule="exact"/>
        <w:jc w:val="center"/>
        <w:outlineLvl w:val="0"/>
        <w:rPr>
          <w:rFonts w:hint="eastAsia" w:ascii="宋体" w:hAnsi="宋体" w:eastAsia="宋体" w:cs="宋体"/>
          <w:color w:val="auto"/>
          <w:sz w:val="36"/>
          <w:szCs w:val="36"/>
          <w:highlight w:val="none"/>
        </w:rPr>
      </w:pPr>
      <w:bookmarkStart w:id="39" w:name="_Toc12780"/>
    </w:p>
    <w:p>
      <w:pPr>
        <w:adjustRightInd w:val="0"/>
        <w:snapToGrid w:val="0"/>
        <w:spacing w:line="600" w:lineRule="exact"/>
        <w:jc w:val="center"/>
        <w:outlineLvl w:val="0"/>
        <w:rPr>
          <w:rFonts w:hint="eastAsia" w:ascii="宋体" w:hAnsi="宋体" w:eastAsia="宋体" w:cs="宋体"/>
          <w:color w:val="auto"/>
          <w:sz w:val="36"/>
          <w:szCs w:val="36"/>
          <w:highlight w:val="none"/>
        </w:rPr>
      </w:pPr>
    </w:p>
    <w:p>
      <w:pPr>
        <w:adjustRightInd w:val="0"/>
        <w:snapToGrid w:val="0"/>
        <w:spacing w:line="600" w:lineRule="exact"/>
        <w:jc w:val="center"/>
        <w:outlineLvl w:val="0"/>
        <w:rPr>
          <w:rFonts w:hint="eastAsia" w:ascii="宋体" w:hAnsi="宋体" w:eastAsia="宋体" w:cs="宋体"/>
          <w:color w:val="auto"/>
          <w:sz w:val="36"/>
          <w:szCs w:val="36"/>
          <w:highlight w:val="none"/>
        </w:rPr>
      </w:pPr>
    </w:p>
    <w:p>
      <w:pPr>
        <w:adjustRightInd w:val="0"/>
        <w:snapToGrid w:val="0"/>
        <w:spacing w:line="60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  录</w:t>
      </w:r>
      <w:bookmarkEnd w:id="39"/>
    </w:p>
    <w:p>
      <w:pPr>
        <w:adjustRightInd w:val="0"/>
        <w:snapToGrid w:val="0"/>
        <w:spacing w:line="600" w:lineRule="exact"/>
        <w:jc w:val="both"/>
        <w:rPr>
          <w:rFonts w:hint="eastAsia" w:ascii="宋体" w:hAnsi="宋体" w:eastAsia="宋体" w:cs="宋体"/>
          <w:color w:val="auto"/>
          <w:sz w:val="36"/>
          <w:szCs w:val="36"/>
          <w:highlight w:val="none"/>
        </w:rPr>
      </w:pPr>
    </w:p>
    <w:p>
      <w:pPr>
        <w:adjustRightInd w:val="0"/>
        <w:snapToGrid w:val="0"/>
        <w:spacing w:line="600" w:lineRule="exact"/>
        <w:jc w:val="both"/>
        <w:outlineLvl w:val="0"/>
        <w:rPr>
          <w:rFonts w:hint="eastAsia" w:ascii="宋体" w:hAnsi="宋体" w:eastAsia="宋体" w:cs="宋体"/>
          <w:color w:val="auto"/>
          <w:highlight w:val="none"/>
        </w:rPr>
      </w:pPr>
      <w:bookmarkStart w:id="40" w:name="_Toc15730"/>
      <w:r>
        <w:rPr>
          <w:rFonts w:hint="eastAsia" w:ascii="宋体" w:hAnsi="宋体" w:eastAsia="宋体" w:cs="宋体"/>
          <w:color w:val="auto"/>
          <w:sz w:val="24"/>
          <w:highlight w:val="none"/>
        </w:rPr>
        <w:t>一、响应函</w:t>
      </w:r>
      <w:bookmarkEnd w:id="40"/>
    </w:p>
    <w:p>
      <w:pPr>
        <w:adjustRightInd w:val="0"/>
        <w:snapToGrid w:val="0"/>
        <w:spacing w:line="600" w:lineRule="exact"/>
        <w:jc w:val="both"/>
        <w:outlineLvl w:val="0"/>
        <w:rPr>
          <w:rFonts w:hint="eastAsia" w:ascii="宋体" w:hAnsi="宋体" w:eastAsia="宋体" w:cs="宋体"/>
          <w:color w:val="auto"/>
          <w:highlight w:val="none"/>
        </w:rPr>
      </w:pPr>
      <w:bookmarkStart w:id="41" w:name="_Toc24943"/>
      <w:r>
        <w:rPr>
          <w:rFonts w:hint="eastAsia" w:ascii="宋体" w:hAnsi="宋体" w:eastAsia="宋体" w:cs="宋体"/>
          <w:color w:val="auto"/>
          <w:sz w:val="24"/>
          <w:highlight w:val="none"/>
        </w:rPr>
        <w:t>二、授权委托书(适用于有委托代理人的情况)</w:t>
      </w:r>
      <w:bookmarkEnd w:id="41"/>
    </w:p>
    <w:p>
      <w:pPr>
        <w:spacing w:line="600" w:lineRule="exact"/>
        <w:jc w:val="both"/>
        <w:outlineLvl w:val="0"/>
        <w:rPr>
          <w:rFonts w:hint="eastAsia" w:ascii="宋体" w:hAnsi="宋体" w:eastAsia="宋体" w:cs="宋体"/>
          <w:color w:val="auto"/>
          <w:sz w:val="24"/>
          <w:highlight w:val="none"/>
        </w:rPr>
      </w:pPr>
      <w:bookmarkStart w:id="42" w:name="_Toc14971"/>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商务与技术偏差表</w:t>
      </w:r>
      <w:bookmarkEnd w:id="42"/>
    </w:p>
    <w:p>
      <w:pPr>
        <w:adjustRightInd w:val="0"/>
        <w:snapToGrid w:val="0"/>
        <w:spacing w:line="600" w:lineRule="exact"/>
        <w:jc w:val="both"/>
        <w:outlineLvl w:val="0"/>
        <w:rPr>
          <w:rFonts w:hint="eastAsia" w:ascii="宋体" w:hAnsi="宋体" w:eastAsia="宋体" w:cs="宋体"/>
          <w:color w:val="auto"/>
          <w:sz w:val="24"/>
          <w:highlight w:val="none"/>
        </w:rPr>
      </w:pPr>
      <w:bookmarkStart w:id="43" w:name="_Toc22074"/>
      <w:r>
        <w:rPr>
          <w:rFonts w:hint="eastAsia" w:ascii="宋体" w:hAnsi="宋体" w:eastAsia="宋体" w:cs="宋体"/>
          <w:color w:val="auto"/>
          <w:sz w:val="24"/>
          <w:highlight w:val="none"/>
        </w:rPr>
        <w:t>四、报价表</w:t>
      </w:r>
      <w:bookmarkEnd w:id="43"/>
    </w:p>
    <w:p>
      <w:pPr>
        <w:adjustRightInd w:val="0"/>
        <w:snapToGrid w:val="0"/>
        <w:spacing w:line="600" w:lineRule="exact"/>
        <w:jc w:val="both"/>
        <w:outlineLvl w:val="0"/>
        <w:rPr>
          <w:rFonts w:hint="eastAsia" w:ascii="宋体" w:hAnsi="宋体" w:eastAsia="宋体" w:cs="宋体"/>
          <w:color w:val="auto"/>
          <w:highlight w:val="none"/>
        </w:rPr>
      </w:pPr>
      <w:bookmarkStart w:id="44" w:name="_Toc27785"/>
      <w:r>
        <w:rPr>
          <w:rFonts w:hint="eastAsia" w:ascii="宋体" w:hAnsi="宋体" w:eastAsia="宋体" w:cs="宋体"/>
          <w:color w:val="auto"/>
          <w:sz w:val="24"/>
          <w:highlight w:val="none"/>
        </w:rPr>
        <w:t>五、资格审查资料</w:t>
      </w:r>
      <w:bookmarkEnd w:id="44"/>
    </w:p>
    <w:p>
      <w:pPr>
        <w:adjustRightInd w:val="0"/>
        <w:snapToGrid w:val="0"/>
        <w:spacing w:line="600" w:lineRule="exact"/>
        <w:jc w:val="both"/>
        <w:outlineLvl w:val="0"/>
        <w:rPr>
          <w:rFonts w:hint="eastAsia" w:ascii="宋体" w:hAnsi="宋体" w:eastAsia="宋体" w:cs="宋体"/>
          <w:color w:val="auto"/>
          <w:highlight w:val="none"/>
        </w:rPr>
      </w:pPr>
      <w:bookmarkStart w:id="45" w:name="_Toc4714"/>
      <w:r>
        <w:rPr>
          <w:rFonts w:hint="eastAsia" w:ascii="宋体" w:hAnsi="宋体" w:eastAsia="宋体" w:cs="宋体"/>
          <w:color w:val="auto"/>
          <w:sz w:val="24"/>
          <w:highlight w:val="none"/>
        </w:rPr>
        <w:t>六、响应方案</w:t>
      </w:r>
      <w:bookmarkEnd w:id="45"/>
    </w:p>
    <w:p>
      <w:pPr>
        <w:adjustRightInd w:val="0"/>
        <w:snapToGrid w:val="0"/>
        <w:spacing w:line="600" w:lineRule="exact"/>
        <w:jc w:val="both"/>
        <w:outlineLvl w:val="0"/>
        <w:rPr>
          <w:rFonts w:hint="eastAsia" w:ascii="宋体" w:hAnsi="宋体" w:eastAsia="宋体" w:cs="宋体"/>
          <w:color w:val="auto"/>
          <w:sz w:val="24"/>
          <w:highlight w:val="none"/>
        </w:rPr>
      </w:pPr>
      <w:bookmarkStart w:id="46" w:name="_Toc13831"/>
      <w:r>
        <w:rPr>
          <w:rFonts w:hint="eastAsia" w:ascii="宋体" w:hAnsi="宋体" w:eastAsia="宋体" w:cs="宋体"/>
          <w:color w:val="auto"/>
          <w:sz w:val="24"/>
          <w:highlight w:val="none"/>
        </w:rPr>
        <w:t>七、其他资料</w:t>
      </w:r>
      <w:bookmarkEnd w:id="46"/>
    </w:p>
    <w:p>
      <w:pPr>
        <w:spacing w:line="60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pPr>
        <w:numPr>
          <w:ilvl w:val="0"/>
          <w:numId w:val="7"/>
        </w:numPr>
        <w:adjustRightInd w:val="0"/>
        <w:snapToGrid w:val="0"/>
        <w:spacing w:line="600" w:lineRule="exact"/>
        <w:jc w:val="center"/>
        <w:outlineLvl w:val="0"/>
        <w:rPr>
          <w:rFonts w:hint="eastAsia" w:ascii="宋体" w:hAnsi="宋体" w:eastAsia="宋体" w:cs="宋体"/>
          <w:color w:val="auto"/>
          <w:sz w:val="36"/>
          <w:szCs w:val="36"/>
          <w:highlight w:val="none"/>
        </w:rPr>
      </w:pPr>
      <w:bookmarkStart w:id="47" w:name="_Toc23650"/>
      <w:r>
        <w:rPr>
          <w:rFonts w:hint="eastAsia" w:ascii="宋体" w:hAnsi="宋体" w:eastAsia="宋体" w:cs="宋体"/>
          <w:color w:val="auto"/>
          <w:sz w:val="36"/>
          <w:szCs w:val="36"/>
          <w:highlight w:val="none"/>
        </w:rPr>
        <w:t>响应函</w:t>
      </w:r>
      <w:bookmarkEnd w:id="47"/>
    </w:p>
    <w:p>
      <w:pPr>
        <w:adjustRightInd w:val="0"/>
        <w:snapToGrid w:val="0"/>
        <w:spacing w:line="600" w:lineRule="exact"/>
        <w:jc w:val="both"/>
        <w:rPr>
          <w:rFonts w:hint="eastAsia" w:ascii="宋体" w:hAnsi="宋体" w:eastAsia="宋体" w:cs="宋体"/>
          <w:color w:val="auto"/>
          <w:sz w:val="24"/>
          <w:highlight w:val="none"/>
        </w:rPr>
      </w:pP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autoSpaceDE w:val="0"/>
        <w:spacing w:line="400" w:lineRule="exact"/>
        <w:jc w:val="both"/>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1.我方已仔细研究了</w:t>
      </w:r>
      <w:r>
        <w:rPr>
          <w:rFonts w:hint="eastAsia" w:ascii="宋体" w:hAnsi="宋体" w:eastAsia="宋体" w:cs="宋体"/>
          <w:color w:val="auto"/>
          <w:sz w:val="24"/>
          <w:highlight w:val="none"/>
          <w:u w:val="single"/>
        </w:rPr>
        <w:t xml:space="preserve">__                     </w:t>
      </w:r>
      <w:r>
        <w:rPr>
          <w:rFonts w:hint="eastAsia" w:ascii="宋体" w:hAnsi="宋体" w:eastAsia="宋体" w:cs="宋体"/>
          <w:color w:val="auto"/>
          <w:sz w:val="24"/>
          <w:highlight w:val="none"/>
        </w:rPr>
        <w:t>(项目名称)采购文件的全部内容，愿意以含税价人民币(大写)(￥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)的报价（其中：不含税价为: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;增值税税</w:t>
      </w:r>
      <w:r>
        <w:rPr>
          <w:rFonts w:hint="eastAsia" w:ascii="宋体" w:hAnsi="宋体" w:eastAsia="宋体" w:cs="宋体"/>
          <w:color w:val="auto"/>
          <w:sz w:val="24"/>
          <w:highlight w:val="none"/>
          <w:lang w:val="en-US" w:eastAsia="zh-CN"/>
        </w:rPr>
        <w:t>率</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)完成/提供本项目/服务，并按合同约定履行义务。</w:t>
      </w:r>
      <w:r>
        <w:rPr>
          <w:rFonts w:hint="eastAsia" w:ascii="宋体" w:hAnsi="宋体" w:eastAsia="宋体" w:cs="宋体"/>
          <w:color w:val="auto"/>
          <w:sz w:val="24"/>
          <w:highlight w:val="none"/>
          <w:lang w:val="en-US" w:eastAsia="zh-CN"/>
        </w:rPr>
        <w:t>服务期限为：合同签订，按到甲方通知2小时内响应到达现场，</w:t>
      </w:r>
      <w:r>
        <w:rPr>
          <w:rFonts w:hint="eastAsia" w:ascii="宋体" w:hAnsi="宋体" w:eastAsia="宋体" w:cs="宋体"/>
          <w:color w:val="auto"/>
          <w:sz w:val="24"/>
          <w:highlight w:val="none"/>
          <w:u w:val="none"/>
          <w:lang w:val="en-US" w:eastAsia="zh-CN"/>
        </w:rPr>
        <w:t>进场后单项任务工期为3个日历日</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响应函有效期为：90天。</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2.我方的响应文件包括下列内容:</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(2)授权委托书(如有);</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(3)商务和技术偏差表;</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(4)报价表;</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(5)资格审查资料;</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(6)响应方案;</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响应文件的上述组成部分如存在内容不-致的，以响应函为准。</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3.我方承诺除商务和技术偏差表列出的偏差外，我方响应采购文件的全部要求。</w:t>
      </w:r>
    </w:p>
    <w:p>
      <w:pPr>
        <w:numPr>
          <w:ilvl w:val="0"/>
          <w:numId w:val="8"/>
        </w:num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我方承诺在采购文件规定的响应文件有效期内不撤销响应文件。</w:t>
      </w:r>
    </w:p>
    <w:p>
      <w:pPr>
        <w:numPr>
          <w:ilvl w:val="0"/>
          <w:numId w:val="8"/>
        </w:num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如我方成交，我方承诺:</w:t>
      </w:r>
    </w:p>
    <w:p>
      <w:pPr>
        <w:tabs>
          <w:tab w:val="left" w:pos="312"/>
        </w:tabs>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(1)在收到成交通知书后，在成交通知书规定的期限内与你方签订合同;</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(2)在签订合同时不向你方提出附加条件;</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(3)按照采购文件要求递交履约保证金;</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(4)在合同约定的期限内完成合同规定的全部义务。</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6.我方在此声明，所递交的响应文件及有关资料内容完整、真实和准确，且不</w:t>
      </w:r>
      <w:r>
        <w:rPr>
          <w:rFonts w:hint="eastAsia" w:ascii="宋体" w:hAnsi="宋体" w:eastAsia="宋体" w:cs="宋体"/>
          <w:color w:val="auto"/>
          <w:sz w:val="24"/>
          <w:highlight w:val="none"/>
          <w:lang w:val="en-US" w:eastAsia="zh-CN"/>
        </w:rPr>
        <w:t>存</w:t>
      </w:r>
      <w:r>
        <w:rPr>
          <w:rFonts w:hint="eastAsia" w:ascii="宋体" w:hAnsi="宋体" w:eastAsia="宋体" w:cs="宋体"/>
          <w:color w:val="auto"/>
          <w:sz w:val="24"/>
          <w:highlight w:val="none"/>
        </w:rPr>
        <w:t>在第一章“采购公告”中规定的供应商不得存在的情形。</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7.(其他补充说明)。</w:t>
      </w:r>
    </w:p>
    <w:p>
      <w:pPr>
        <w:adjustRightInd w:val="0"/>
        <w:snapToGrid w:val="0"/>
        <w:spacing w:line="600" w:lineRule="exact"/>
        <w:jc w:val="both"/>
        <w:rPr>
          <w:rFonts w:hint="eastAsia" w:ascii="宋体" w:hAnsi="宋体" w:eastAsia="宋体" w:cs="宋体"/>
          <w:color w:val="auto"/>
          <w:sz w:val="24"/>
          <w:highlight w:val="none"/>
        </w:rPr>
      </w:pP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供应商:________________________(盖单位章)</w:t>
      </w:r>
    </w:p>
    <w:p>
      <w:pPr>
        <w:adjustRightInd w:val="0"/>
        <w:snapToGrid w:val="0"/>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法定代表人(单位负责人)或其授权的代理人:(签字) </w:t>
      </w:r>
    </w:p>
    <w:p>
      <w:pPr>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地址:____________________________________________</w:t>
      </w:r>
    </w:p>
    <w:p>
      <w:pPr>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电子邮箱：_______________________________________</w:t>
      </w:r>
    </w:p>
    <w:p>
      <w:pPr>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电话：____________________________________________</w:t>
      </w:r>
    </w:p>
    <w:p>
      <w:pPr>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传真：____________________________________________</w:t>
      </w:r>
    </w:p>
    <w:p>
      <w:pPr>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邮政编码：_______________________________________</w:t>
      </w:r>
    </w:p>
    <w:p>
      <w:pPr>
        <w:spacing w:line="600" w:lineRule="exact"/>
        <w:jc w:val="both"/>
        <w:rPr>
          <w:rFonts w:hint="eastAsia" w:ascii="宋体" w:hAnsi="宋体" w:eastAsia="宋体" w:cs="宋体"/>
          <w:color w:val="auto"/>
          <w:sz w:val="24"/>
          <w:highlight w:val="none"/>
        </w:rPr>
      </w:pPr>
    </w:p>
    <w:p>
      <w:pPr>
        <w:spacing w:line="60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b/>
          <w:color w:val="auto"/>
          <w:kern w:val="0"/>
          <w:sz w:val="36"/>
          <w:szCs w:val="36"/>
          <w:highlight w:val="none"/>
        </w:rPr>
        <w:t>附：守法诚信承诺书</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××公司：</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为维护社会的公平正义，我司郑重承诺，与贵公司不存在有可能影响采购公正的利害关系。</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1、我司已仔细阅读《××单位××文件》（编号××）（以下简称采购文件），包括采购文件的澄清或修改说明，完全支持并响应，不存在误解或不明。</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2、遵纪守法，不触底线，公平公正参与竞争。我司提供的《响应文件》及其资料真实合法有效。 </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3、响应期间没有因质量或服务问题被采购人或采购人上级机构通报且在整改期内。</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5、无联合体另外报价。</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7、诚实守信，优质高效履行合同。一旦中选，我司将严格遵守采购文件的约定，不附加条件,及时商谈、签约、履约。</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8、自我管理，知行合一，主动承担社会责任。坚持“五大发展理念”，始终为用户着想，维护同业形象，自觉接受监管，维护和谐稳定。</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专此承诺。</w:t>
      </w:r>
    </w:p>
    <w:p>
      <w:pPr>
        <w:spacing w:line="360" w:lineRule="auto"/>
        <w:ind w:firstLine="2880" w:firstLineChars="1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承诺单位（印刷体全称+单位公章）：        </w:t>
      </w:r>
    </w:p>
    <w:p>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承诺单位法定代表人或其委托代理人（印刷体+签字）：</w:t>
      </w:r>
    </w:p>
    <w:p>
      <w:pPr>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pacing w:line="60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24"/>
          <w:highlight w:val="none"/>
        </w:rPr>
        <w:br w:type="page"/>
      </w:r>
      <w:bookmarkStart w:id="48" w:name="_Toc747"/>
      <w:r>
        <w:rPr>
          <w:rFonts w:hint="eastAsia" w:ascii="宋体" w:hAnsi="宋体" w:eastAsia="宋体" w:cs="宋体"/>
          <w:color w:val="auto"/>
          <w:sz w:val="36"/>
          <w:szCs w:val="36"/>
          <w:highlight w:val="none"/>
        </w:rPr>
        <w:t>二、授权委托书</w:t>
      </w:r>
      <w:bookmarkEnd w:id="48"/>
    </w:p>
    <w:p>
      <w:pPr>
        <w:adjustRightInd w:val="0"/>
        <w:snapToGrid w:val="0"/>
        <w:spacing w:line="600" w:lineRule="exact"/>
        <w:ind w:left="420" w:leftChars="200"/>
        <w:jc w:val="both"/>
        <w:rPr>
          <w:rFonts w:hint="eastAsia" w:ascii="宋体" w:hAnsi="宋体" w:eastAsia="宋体" w:cs="宋体"/>
          <w:color w:val="auto"/>
          <w:sz w:val="24"/>
          <w:highlight w:val="none"/>
        </w:rPr>
      </w:pPr>
    </w:p>
    <w:p>
      <w:pPr>
        <w:adjustRightInd w:val="0"/>
        <w:snapToGrid w:val="0"/>
        <w:spacing w:line="600" w:lineRule="exact"/>
        <w:ind w:left="420" w:left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(适用于有委托代理人的情况)</w:t>
      </w:r>
    </w:p>
    <w:p>
      <w:pPr>
        <w:adjustRightInd w:val="0"/>
        <w:snapToGrid w:val="0"/>
        <w:spacing w:line="600" w:lineRule="exact"/>
        <w:ind w:left="420" w:leftChars="20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委托期限:自本委托书签署之日起至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采购项目签订采购合同之日止。</w:t>
      </w:r>
    </w:p>
    <w:p>
      <w:pPr>
        <w:adjustRightInd w:val="0"/>
        <w:snapToGrid w:val="0"/>
        <w:spacing w:line="600" w:lineRule="exact"/>
        <w:ind w:left="420" w:leftChars="20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pPr>
        <w:adjustRightInd w:val="0"/>
        <w:snapToGrid w:val="0"/>
        <w:spacing w:line="600" w:lineRule="exact"/>
        <w:ind w:left="420" w:leftChars="20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供应商:(盖单位章)</w:t>
      </w:r>
    </w:p>
    <w:p>
      <w:pPr>
        <w:adjustRightInd w:val="0"/>
        <w:snapToGrid w:val="0"/>
        <w:spacing w:line="600" w:lineRule="exact"/>
        <w:ind w:left="420" w:leftChars="20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法定代表人(单位负责人):(签字)</w:t>
      </w:r>
    </w:p>
    <w:p>
      <w:pPr>
        <w:adjustRightInd w:val="0"/>
        <w:snapToGrid w:val="0"/>
        <w:spacing w:line="600" w:lineRule="exact"/>
        <w:ind w:left="420" w:leftChars="20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adjustRightInd w:val="0"/>
        <w:snapToGrid w:val="0"/>
        <w:spacing w:line="600" w:lineRule="exact"/>
        <w:ind w:left="420" w:leftChars="20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p>
    <w:p>
      <w:pPr>
        <w:adjustRightInd w:val="0"/>
        <w:snapToGrid w:val="0"/>
        <w:spacing w:line="600" w:lineRule="exact"/>
        <w:ind w:left="420" w:leftChars="20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adjustRightInd w:val="0"/>
        <w:snapToGrid w:val="0"/>
        <w:spacing w:line="600" w:lineRule="exact"/>
        <w:ind w:left="420" w:leftChars="200"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600" w:lineRule="exact"/>
        <w:jc w:val="center"/>
        <w:outlineLvl w:val="0"/>
        <w:rPr>
          <w:rFonts w:hint="eastAsia" w:ascii="宋体" w:hAnsi="宋体" w:eastAsia="宋体" w:cs="宋体"/>
          <w:color w:val="auto"/>
          <w:sz w:val="36"/>
          <w:szCs w:val="36"/>
          <w:highlight w:val="none"/>
        </w:rPr>
      </w:pPr>
      <w:bookmarkStart w:id="49" w:name="_Toc6895"/>
      <w:r>
        <w:rPr>
          <w:rFonts w:hint="eastAsia" w:ascii="宋体" w:hAnsi="宋体" w:eastAsia="宋体" w:cs="宋体"/>
          <w:color w:val="auto"/>
          <w:sz w:val="36"/>
          <w:szCs w:val="36"/>
          <w:highlight w:val="none"/>
        </w:rPr>
        <w:t>三、商务和技术偏差表</w:t>
      </w:r>
      <w:bookmarkEnd w:id="49"/>
    </w:p>
    <w:p>
      <w:pPr>
        <w:spacing w:line="600" w:lineRule="exact"/>
        <w:jc w:val="center"/>
        <w:rPr>
          <w:rFonts w:hint="eastAsia" w:ascii="宋体" w:hAnsi="宋体" w:eastAsia="宋体" w:cs="宋体"/>
          <w:color w:val="auto"/>
          <w:sz w:val="24"/>
          <w:highlight w:val="none"/>
        </w:rPr>
      </w:pPr>
    </w:p>
    <w:tbl>
      <w:tblPr>
        <w:tblStyle w:val="40"/>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09" w:type="dxa"/>
            <w:vAlign w:val="center"/>
          </w:tcPr>
          <w:p>
            <w:pPr>
              <w:widowControl/>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采购文件章节及条款号</w:t>
            </w:r>
          </w:p>
        </w:tc>
        <w:tc>
          <w:tcPr>
            <w:tcW w:w="2656" w:type="dxa"/>
            <w:vAlign w:val="center"/>
          </w:tcPr>
          <w:p>
            <w:pPr>
              <w:widowControl/>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响应文件章节及条款号</w:t>
            </w:r>
          </w:p>
        </w:tc>
        <w:tc>
          <w:tcPr>
            <w:tcW w:w="2175" w:type="dxa"/>
            <w:vAlign w:val="center"/>
          </w:tcPr>
          <w:p>
            <w:pPr>
              <w:widowControl/>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hint="eastAsia" w:ascii="宋体" w:hAnsi="宋体" w:eastAsia="宋体" w:cs="宋体"/>
                <w:color w:val="auto"/>
                <w:sz w:val="24"/>
                <w:highlight w:val="none"/>
              </w:rPr>
            </w:pPr>
          </w:p>
        </w:tc>
        <w:tc>
          <w:tcPr>
            <w:tcW w:w="2809" w:type="dxa"/>
          </w:tcPr>
          <w:p>
            <w:pPr>
              <w:widowControl/>
              <w:spacing w:line="600" w:lineRule="exact"/>
              <w:jc w:val="both"/>
              <w:rPr>
                <w:rFonts w:hint="eastAsia" w:ascii="宋体" w:hAnsi="宋体" w:eastAsia="宋体" w:cs="宋体"/>
                <w:color w:val="auto"/>
                <w:sz w:val="24"/>
                <w:highlight w:val="none"/>
              </w:rPr>
            </w:pPr>
          </w:p>
        </w:tc>
        <w:tc>
          <w:tcPr>
            <w:tcW w:w="2656" w:type="dxa"/>
          </w:tcPr>
          <w:p>
            <w:pPr>
              <w:widowControl/>
              <w:spacing w:line="600" w:lineRule="exact"/>
              <w:jc w:val="both"/>
              <w:rPr>
                <w:rFonts w:hint="eastAsia" w:ascii="宋体" w:hAnsi="宋体" w:eastAsia="宋体" w:cs="宋体"/>
                <w:color w:val="auto"/>
                <w:sz w:val="24"/>
                <w:highlight w:val="none"/>
              </w:rPr>
            </w:pPr>
          </w:p>
        </w:tc>
        <w:tc>
          <w:tcPr>
            <w:tcW w:w="2175" w:type="dxa"/>
          </w:tcPr>
          <w:p>
            <w:pPr>
              <w:widowControl/>
              <w:spacing w:line="60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hint="eastAsia" w:ascii="宋体" w:hAnsi="宋体" w:eastAsia="宋体" w:cs="宋体"/>
                <w:color w:val="auto"/>
                <w:sz w:val="24"/>
                <w:highlight w:val="none"/>
              </w:rPr>
            </w:pPr>
          </w:p>
        </w:tc>
        <w:tc>
          <w:tcPr>
            <w:tcW w:w="2809" w:type="dxa"/>
          </w:tcPr>
          <w:p>
            <w:pPr>
              <w:widowControl/>
              <w:spacing w:line="600" w:lineRule="exact"/>
              <w:jc w:val="both"/>
              <w:rPr>
                <w:rFonts w:hint="eastAsia" w:ascii="宋体" w:hAnsi="宋体" w:eastAsia="宋体" w:cs="宋体"/>
                <w:color w:val="auto"/>
                <w:sz w:val="24"/>
                <w:highlight w:val="none"/>
              </w:rPr>
            </w:pPr>
          </w:p>
        </w:tc>
        <w:tc>
          <w:tcPr>
            <w:tcW w:w="2656" w:type="dxa"/>
          </w:tcPr>
          <w:p>
            <w:pPr>
              <w:widowControl/>
              <w:spacing w:line="600" w:lineRule="exact"/>
              <w:jc w:val="both"/>
              <w:rPr>
                <w:rFonts w:hint="eastAsia" w:ascii="宋体" w:hAnsi="宋体" w:eastAsia="宋体" w:cs="宋体"/>
                <w:color w:val="auto"/>
                <w:sz w:val="24"/>
                <w:highlight w:val="none"/>
              </w:rPr>
            </w:pPr>
          </w:p>
        </w:tc>
        <w:tc>
          <w:tcPr>
            <w:tcW w:w="2175" w:type="dxa"/>
          </w:tcPr>
          <w:p>
            <w:pPr>
              <w:widowControl/>
              <w:spacing w:line="60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hint="eastAsia" w:ascii="宋体" w:hAnsi="宋体" w:eastAsia="宋体" w:cs="宋体"/>
                <w:color w:val="auto"/>
                <w:sz w:val="24"/>
                <w:highlight w:val="none"/>
              </w:rPr>
            </w:pPr>
          </w:p>
        </w:tc>
        <w:tc>
          <w:tcPr>
            <w:tcW w:w="2809" w:type="dxa"/>
          </w:tcPr>
          <w:p>
            <w:pPr>
              <w:widowControl/>
              <w:spacing w:line="600" w:lineRule="exact"/>
              <w:jc w:val="both"/>
              <w:rPr>
                <w:rFonts w:hint="eastAsia" w:ascii="宋体" w:hAnsi="宋体" w:eastAsia="宋体" w:cs="宋体"/>
                <w:color w:val="auto"/>
                <w:sz w:val="24"/>
                <w:highlight w:val="none"/>
              </w:rPr>
            </w:pPr>
          </w:p>
        </w:tc>
        <w:tc>
          <w:tcPr>
            <w:tcW w:w="2656" w:type="dxa"/>
          </w:tcPr>
          <w:p>
            <w:pPr>
              <w:widowControl/>
              <w:spacing w:line="600" w:lineRule="exact"/>
              <w:jc w:val="both"/>
              <w:rPr>
                <w:rFonts w:hint="eastAsia" w:ascii="宋体" w:hAnsi="宋体" w:eastAsia="宋体" w:cs="宋体"/>
                <w:color w:val="auto"/>
                <w:sz w:val="24"/>
                <w:highlight w:val="none"/>
              </w:rPr>
            </w:pPr>
          </w:p>
        </w:tc>
        <w:tc>
          <w:tcPr>
            <w:tcW w:w="2175" w:type="dxa"/>
          </w:tcPr>
          <w:p>
            <w:pPr>
              <w:widowControl/>
              <w:spacing w:line="60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600" w:lineRule="exact"/>
              <w:jc w:val="both"/>
              <w:rPr>
                <w:rFonts w:hint="eastAsia" w:ascii="宋体" w:hAnsi="宋体" w:eastAsia="宋体" w:cs="宋体"/>
                <w:color w:val="auto"/>
                <w:sz w:val="24"/>
                <w:highlight w:val="none"/>
              </w:rPr>
            </w:pPr>
          </w:p>
        </w:tc>
        <w:tc>
          <w:tcPr>
            <w:tcW w:w="2809" w:type="dxa"/>
          </w:tcPr>
          <w:p>
            <w:pPr>
              <w:widowControl/>
              <w:spacing w:line="600" w:lineRule="exact"/>
              <w:jc w:val="both"/>
              <w:rPr>
                <w:rFonts w:hint="eastAsia" w:ascii="宋体" w:hAnsi="宋体" w:eastAsia="宋体" w:cs="宋体"/>
                <w:color w:val="auto"/>
                <w:sz w:val="24"/>
                <w:highlight w:val="none"/>
              </w:rPr>
            </w:pPr>
          </w:p>
        </w:tc>
        <w:tc>
          <w:tcPr>
            <w:tcW w:w="2656" w:type="dxa"/>
          </w:tcPr>
          <w:p>
            <w:pPr>
              <w:widowControl/>
              <w:spacing w:line="600" w:lineRule="exact"/>
              <w:jc w:val="both"/>
              <w:rPr>
                <w:rFonts w:hint="eastAsia" w:ascii="宋体" w:hAnsi="宋体" w:eastAsia="宋体" w:cs="宋体"/>
                <w:color w:val="auto"/>
                <w:sz w:val="24"/>
                <w:highlight w:val="none"/>
              </w:rPr>
            </w:pPr>
          </w:p>
        </w:tc>
        <w:tc>
          <w:tcPr>
            <w:tcW w:w="2175" w:type="dxa"/>
          </w:tcPr>
          <w:p>
            <w:pPr>
              <w:widowControl/>
              <w:spacing w:line="600" w:lineRule="exact"/>
              <w:jc w:val="both"/>
              <w:rPr>
                <w:rFonts w:hint="eastAsia" w:ascii="宋体" w:hAnsi="宋体" w:eastAsia="宋体" w:cs="宋体"/>
                <w:color w:val="auto"/>
                <w:sz w:val="24"/>
                <w:highlight w:val="none"/>
              </w:rPr>
            </w:pPr>
          </w:p>
        </w:tc>
      </w:tr>
    </w:tbl>
    <w:p>
      <w:pPr>
        <w:spacing w:line="600" w:lineRule="exact"/>
        <w:ind w:left="420" w:left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供应商保证：除商务和技术偏差表列出的偏差外，供应商响应采购文件的全部要求。</w:t>
      </w:r>
    </w:p>
    <w:p>
      <w:pPr>
        <w:spacing w:line="24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spacing w:line="600" w:lineRule="exact"/>
        <w:ind w:left="420"/>
        <w:jc w:val="center"/>
        <w:outlineLvl w:val="0"/>
        <w:rPr>
          <w:rFonts w:hint="eastAsia" w:ascii="宋体" w:hAnsi="宋体" w:eastAsia="宋体" w:cs="宋体"/>
          <w:color w:val="auto"/>
          <w:sz w:val="36"/>
          <w:szCs w:val="36"/>
          <w:highlight w:val="none"/>
        </w:rPr>
      </w:pPr>
      <w:bookmarkStart w:id="50" w:name="_Toc26297"/>
      <w:r>
        <w:rPr>
          <w:rFonts w:hint="eastAsia" w:ascii="宋体" w:hAnsi="宋体" w:eastAsia="宋体" w:cs="宋体"/>
          <w:color w:val="auto"/>
          <w:sz w:val="36"/>
          <w:szCs w:val="36"/>
          <w:highlight w:val="none"/>
        </w:rPr>
        <w:t>四、报价表</w:t>
      </w:r>
      <w:bookmarkEnd w:id="50"/>
    </w:p>
    <w:p>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1.报价表说明</w:t>
      </w:r>
    </w:p>
    <w:p>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2.报价表</w:t>
      </w:r>
    </w:p>
    <w:tbl>
      <w:tblPr>
        <w:tblStyle w:val="39"/>
        <w:tblW w:w="847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1399"/>
        <w:gridCol w:w="1265"/>
        <w:gridCol w:w="1020"/>
        <w:gridCol w:w="1232"/>
        <w:gridCol w:w="1132"/>
        <w:gridCol w:w="1099"/>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滚筒直径（mm)</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单个滚筒表面积(m</w:t>
            </w:r>
            <w:r>
              <w:rPr>
                <w:rFonts w:hint="eastAsia" w:ascii="宋体" w:hAnsi="宋体" w:eastAsia="宋体" w:cs="宋体"/>
                <w:i w:val="0"/>
                <w:iCs w:val="0"/>
                <w:color w:val="auto"/>
                <w:kern w:val="0"/>
                <w:sz w:val="22"/>
                <w:szCs w:val="22"/>
                <w:u w:val="none"/>
                <w:vertAlign w:val="superscript"/>
                <w:lang w:val="en-US" w:eastAsia="zh-CN" w:bidi="ar"/>
              </w:rPr>
              <w:t>2</w:t>
            </w:r>
            <w:r>
              <w:rPr>
                <w:rFonts w:hint="eastAsia" w:ascii="宋体" w:hAnsi="宋体" w:eastAsia="宋体" w:cs="宋体"/>
                <w:i w:val="0"/>
                <w:iCs w:val="0"/>
                <w:color w:val="auto"/>
                <w:kern w:val="0"/>
                <w:sz w:val="22"/>
                <w:szCs w:val="22"/>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需求数量（个）</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预计表面积(m</w:t>
            </w:r>
            <w:r>
              <w:rPr>
                <w:rFonts w:hint="eastAsia" w:ascii="宋体" w:hAnsi="宋体" w:eastAsia="宋体" w:cs="宋体"/>
                <w:i w:val="0"/>
                <w:iCs w:val="0"/>
                <w:color w:val="auto"/>
                <w:kern w:val="0"/>
                <w:sz w:val="22"/>
                <w:szCs w:val="22"/>
                <w:u w:val="none"/>
                <w:vertAlign w:val="superscript"/>
                <w:lang w:val="en-US" w:eastAsia="zh-CN" w:bidi="ar"/>
              </w:rPr>
              <w:t>2</w:t>
            </w:r>
            <w:r>
              <w:rPr>
                <w:rFonts w:hint="eastAsia" w:ascii="宋体" w:hAnsi="宋体" w:eastAsia="宋体" w:cs="宋体"/>
                <w:i w:val="0"/>
                <w:iCs w:val="0"/>
                <w:color w:val="auto"/>
                <w:kern w:val="0"/>
                <w:sz w:val="22"/>
                <w:szCs w:val="22"/>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含税单价（元/m</w:t>
            </w:r>
            <w:r>
              <w:rPr>
                <w:rStyle w:val="196"/>
                <w:rFonts w:hint="eastAsia" w:ascii="宋体" w:hAnsi="宋体" w:eastAsia="宋体" w:cs="宋体"/>
                <w:color w:val="auto"/>
                <w:lang w:val="en-US" w:eastAsia="zh-CN" w:bidi="ar"/>
              </w:rPr>
              <w:t>2</w:t>
            </w:r>
            <w:r>
              <w:rPr>
                <w:rFonts w:hint="eastAsia" w:ascii="宋体" w:hAnsi="宋体" w:eastAsia="宋体" w:cs="宋体"/>
                <w:i w:val="0"/>
                <w:iCs w:val="0"/>
                <w:color w:val="auto"/>
                <w:kern w:val="0"/>
                <w:sz w:val="22"/>
                <w:szCs w:val="22"/>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含税金额（元）</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2.01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18.09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滚筒长度1.6米左右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2.51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3.17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22.16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40.19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5.02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　　计</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87.97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bl>
    <w:p>
      <w:pPr>
        <w:pStyle w:val="38"/>
        <w:ind w:firstLine="0"/>
        <w:rPr>
          <w:rFonts w:hint="eastAsia" w:ascii="宋体" w:hAnsi="宋体" w:eastAsia="宋体" w:cs="宋体"/>
          <w:color w:val="auto"/>
          <w:lang w:val="en-US" w:eastAsia="zh-CN"/>
        </w:rPr>
      </w:pPr>
    </w:p>
    <w:p>
      <w:pPr>
        <w:numPr>
          <w:ilvl w:val="-1"/>
          <w:numId w:val="0"/>
        </w:numPr>
        <w:adjustRightInd w:val="0"/>
        <w:snapToGrid w:val="0"/>
        <w:spacing w:line="312"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综合单价包括：相应所有直接费、各种技术措施费用、管理费、利润、安全文明施工费、冬雨季施工增加费、社会保险费、规费、税金（一般纳税人）、从指定的水电接驳点接水接电费用及夜间施工照明费用、合同工期内的赶工费、</w:t>
      </w:r>
      <w:r>
        <w:rPr>
          <w:rFonts w:hint="eastAsia" w:ascii="宋体" w:hAnsi="宋体" w:eastAsia="宋体" w:cs="宋体"/>
          <w:color w:val="auto"/>
          <w:sz w:val="24"/>
          <w:szCs w:val="24"/>
          <w:lang w:val="en-US" w:eastAsia="zh-CN"/>
        </w:rPr>
        <w:t>狭小空间作业、高空作业费等</w:t>
      </w:r>
      <w:r>
        <w:rPr>
          <w:rFonts w:hint="eastAsia" w:ascii="宋体" w:hAnsi="宋体" w:eastAsia="宋体" w:cs="宋体"/>
          <w:color w:val="auto"/>
          <w:sz w:val="24"/>
          <w:szCs w:val="24"/>
        </w:rPr>
        <w:t>各种施工风险因素后的综合单价</w:t>
      </w:r>
      <w:r>
        <w:rPr>
          <w:rFonts w:hint="eastAsia" w:ascii="宋体" w:hAnsi="宋体" w:eastAsia="宋体" w:cs="宋体"/>
          <w:color w:val="auto"/>
          <w:sz w:val="24"/>
          <w:szCs w:val="24"/>
          <w:lang w:eastAsia="zh-CN"/>
        </w:rPr>
        <w:t>。</w:t>
      </w:r>
    </w:p>
    <w:p>
      <w:pPr>
        <w:spacing w:line="360" w:lineRule="exact"/>
        <w:jc w:val="center"/>
        <w:rPr>
          <w:rFonts w:hint="eastAsia" w:ascii="宋体" w:hAnsi="宋体" w:eastAsia="宋体" w:cs="宋体"/>
          <w:color w:val="auto"/>
          <w:sz w:val="24"/>
          <w:highlight w:val="none"/>
        </w:rPr>
      </w:pPr>
    </w:p>
    <w:p>
      <w:pPr>
        <w:spacing w:line="360" w:lineRule="exact"/>
        <w:jc w:val="center"/>
        <w:outlineLvl w:val="0"/>
        <w:rPr>
          <w:rFonts w:hint="eastAsia" w:ascii="宋体" w:hAnsi="宋体" w:eastAsia="宋体" w:cs="宋体"/>
          <w:color w:val="auto"/>
          <w:sz w:val="36"/>
          <w:szCs w:val="36"/>
          <w:highlight w:val="none"/>
        </w:rPr>
      </w:pPr>
      <w:bookmarkStart w:id="51" w:name="_Toc25545"/>
    </w:p>
    <w:p>
      <w:pPr>
        <w:spacing w:line="360" w:lineRule="exact"/>
        <w:jc w:val="center"/>
        <w:outlineLvl w:val="0"/>
        <w:rPr>
          <w:rFonts w:hint="eastAsia" w:ascii="宋体" w:hAnsi="宋体" w:eastAsia="宋体" w:cs="宋体"/>
          <w:color w:val="auto"/>
          <w:sz w:val="36"/>
          <w:szCs w:val="36"/>
          <w:highlight w:val="none"/>
        </w:rPr>
      </w:pPr>
    </w:p>
    <w:p>
      <w:pPr>
        <w:pStyle w:val="38"/>
        <w:ind w:firstLine="0"/>
        <w:rPr>
          <w:rFonts w:hint="eastAsia" w:ascii="宋体" w:hAnsi="宋体" w:eastAsia="宋体" w:cs="宋体"/>
          <w:color w:val="auto"/>
          <w:sz w:val="36"/>
          <w:szCs w:val="36"/>
          <w:highlight w:val="none"/>
        </w:rPr>
      </w:pPr>
    </w:p>
    <w:p>
      <w:pPr>
        <w:pStyle w:val="38"/>
        <w:rPr>
          <w:rFonts w:hint="eastAsia" w:ascii="宋体" w:hAnsi="宋体" w:eastAsia="宋体" w:cs="宋体"/>
          <w:color w:val="auto"/>
          <w:sz w:val="36"/>
          <w:szCs w:val="36"/>
          <w:highlight w:val="none"/>
        </w:rPr>
      </w:pPr>
    </w:p>
    <w:p>
      <w:pPr>
        <w:pStyle w:val="38"/>
        <w:rPr>
          <w:rFonts w:hint="eastAsia" w:ascii="宋体" w:hAnsi="宋体" w:eastAsia="宋体" w:cs="宋体"/>
          <w:color w:val="auto"/>
          <w:sz w:val="36"/>
          <w:szCs w:val="36"/>
          <w:highlight w:val="none"/>
        </w:rPr>
      </w:pPr>
    </w:p>
    <w:p>
      <w:pPr>
        <w:pStyle w:val="38"/>
        <w:ind w:firstLine="0"/>
        <w:rPr>
          <w:rFonts w:hint="eastAsia" w:ascii="宋体" w:hAnsi="宋体" w:eastAsia="宋体" w:cs="宋体"/>
          <w:color w:val="auto"/>
          <w:sz w:val="36"/>
          <w:szCs w:val="36"/>
          <w:highlight w:val="none"/>
        </w:rPr>
      </w:pPr>
    </w:p>
    <w:p>
      <w:pPr>
        <w:pStyle w:val="38"/>
        <w:ind w:firstLine="0"/>
        <w:rPr>
          <w:rFonts w:hint="eastAsia" w:ascii="宋体" w:hAnsi="宋体" w:eastAsia="宋体" w:cs="宋体"/>
          <w:color w:val="auto"/>
          <w:sz w:val="36"/>
          <w:szCs w:val="36"/>
          <w:highlight w:val="none"/>
        </w:rPr>
      </w:pPr>
    </w:p>
    <w:p>
      <w:pPr>
        <w:pStyle w:val="38"/>
        <w:ind w:firstLine="0"/>
        <w:rPr>
          <w:rFonts w:hint="eastAsia" w:ascii="宋体" w:hAnsi="宋体" w:eastAsia="宋体" w:cs="宋体"/>
          <w:color w:val="auto"/>
          <w:sz w:val="36"/>
          <w:szCs w:val="36"/>
          <w:highlight w:val="none"/>
        </w:rPr>
      </w:pPr>
    </w:p>
    <w:p>
      <w:pPr>
        <w:pStyle w:val="38"/>
        <w:ind w:firstLine="0"/>
        <w:rPr>
          <w:rFonts w:hint="eastAsia" w:ascii="宋体" w:hAnsi="宋体" w:eastAsia="宋体" w:cs="宋体"/>
          <w:color w:val="auto"/>
          <w:sz w:val="36"/>
          <w:szCs w:val="36"/>
          <w:highlight w:val="none"/>
        </w:rPr>
      </w:pPr>
    </w:p>
    <w:p>
      <w:pPr>
        <w:pStyle w:val="38"/>
        <w:ind w:firstLine="0"/>
        <w:rPr>
          <w:rFonts w:hint="eastAsia" w:ascii="宋体" w:hAnsi="宋体" w:eastAsia="宋体" w:cs="宋体"/>
          <w:color w:val="auto"/>
          <w:sz w:val="36"/>
          <w:szCs w:val="36"/>
          <w:highlight w:val="none"/>
        </w:rPr>
      </w:pPr>
    </w:p>
    <w:p>
      <w:pPr>
        <w:spacing w:line="360" w:lineRule="exact"/>
        <w:jc w:val="both"/>
        <w:outlineLvl w:val="0"/>
        <w:rPr>
          <w:rFonts w:hint="eastAsia" w:ascii="宋体" w:hAnsi="宋体" w:eastAsia="宋体" w:cs="宋体"/>
          <w:color w:val="auto"/>
          <w:sz w:val="36"/>
          <w:szCs w:val="36"/>
          <w:highlight w:val="none"/>
        </w:rPr>
      </w:pPr>
    </w:p>
    <w:p>
      <w:pPr>
        <w:spacing w:line="360" w:lineRule="exact"/>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五、资格审查资料</w:t>
      </w:r>
      <w:bookmarkEnd w:id="51"/>
    </w:p>
    <w:p>
      <w:pPr>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（一）基本情况</w:t>
      </w:r>
    </w:p>
    <w:p>
      <w:pPr>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供应商应根据供应商须知前附表第3.5（1）项和第3.5（2）项的要求提供主体资格证明及相关资质证明资料。</w:t>
      </w:r>
    </w:p>
    <w:p>
      <w:pPr>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供应商还应根据供应商须知前地表第3.5（5）项、第3.5（7）项和第3.5（8）项的要求提供其他相关证明材料。</w:t>
      </w:r>
    </w:p>
    <w:p>
      <w:pPr>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（三）近年的类似项目情况表</w:t>
      </w:r>
    </w:p>
    <w:tbl>
      <w:tblPr>
        <w:tblStyle w:val="40"/>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933" w:type="dxa"/>
            <w:vAlign w:val="center"/>
          </w:tcPr>
          <w:p>
            <w:pPr>
              <w:widowControl/>
              <w:spacing w:line="288"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服务内容</w:t>
            </w: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933" w:type="dxa"/>
            <w:vAlign w:val="center"/>
          </w:tcPr>
          <w:p>
            <w:pPr>
              <w:widowControl/>
              <w:spacing w:line="288"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委托人/发包人名称</w:t>
            </w: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933" w:type="dxa"/>
            <w:vAlign w:val="center"/>
          </w:tcPr>
          <w:p>
            <w:pPr>
              <w:widowControl/>
              <w:spacing w:line="288"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委托人/发包人联系人及电话</w:t>
            </w: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933" w:type="dxa"/>
            <w:vAlign w:val="center"/>
          </w:tcPr>
          <w:p>
            <w:pPr>
              <w:widowControl/>
              <w:spacing w:line="288"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合同价格</w:t>
            </w: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933" w:type="dxa"/>
            <w:vAlign w:val="center"/>
          </w:tcPr>
          <w:p>
            <w:pPr>
              <w:widowControl/>
              <w:spacing w:line="288"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服务是否完成</w:t>
            </w: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933" w:type="dxa"/>
            <w:vAlign w:val="center"/>
          </w:tcPr>
          <w:p>
            <w:pPr>
              <w:widowControl/>
              <w:spacing w:line="288"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项目负责人（如有）</w:t>
            </w: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933" w:type="dxa"/>
            <w:vAlign w:val="center"/>
          </w:tcPr>
          <w:p>
            <w:pPr>
              <w:widowControl/>
              <w:spacing w:line="288"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项目概况及供应商履约情况</w:t>
            </w: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933" w:type="dxa"/>
            <w:vAlign w:val="center"/>
          </w:tcPr>
          <w:p>
            <w:pPr>
              <w:widowControl/>
              <w:spacing w:line="288"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1971" w:type="dxa"/>
            <w:vAlign w:val="center"/>
          </w:tcPr>
          <w:p>
            <w:pPr>
              <w:widowControl/>
              <w:spacing w:line="288" w:lineRule="auto"/>
              <w:jc w:val="center"/>
              <w:rPr>
                <w:rFonts w:hint="eastAsia" w:ascii="宋体" w:hAnsi="宋体" w:eastAsia="宋体" w:cs="宋体"/>
                <w:color w:val="auto"/>
                <w:sz w:val="24"/>
                <w:highlight w:val="none"/>
              </w:rPr>
            </w:pPr>
          </w:p>
        </w:tc>
        <w:tc>
          <w:tcPr>
            <w:tcW w:w="933" w:type="dxa"/>
            <w:vAlign w:val="center"/>
          </w:tcPr>
          <w:p>
            <w:pPr>
              <w:widowControl/>
              <w:spacing w:line="288" w:lineRule="auto"/>
              <w:jc w:val="center"/>
              <w:rPr>
                <w:rFonts w:hint="eastAsia" w:ascii="宋体" w:hAnsi="宋体" w:eastAsia="宋体" w:cs="宋体"/>
                <w:color w:val="auto"/>
                <w:sz w:val="24"/>
                <w:highlight w:val="none"/>
              </w:rPr>
            </w:pPr>
          </w:p>
        </w:tc>
      </w:tr>
    </w:tbl>
    <w:p>
      <w:pPr>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注：供应商应根据供应商须知前附表第3.5（4）项的要求在本表后附相关证明材料。</w:t>
      </w:r>
    </w:p>
    <w:p>
      <w:pPr>
        <w:pStyle w:val="38"/>
        <w:rPr>
          <w:rFonts w:hint="eastAsia" w:ascii="宋体" w:hAnsi="宋体" w:eastAsia="宋体" w:cs="宋体"/>
          <w:color w:val="auto"/>
          <w:sz w:val="24"/>
          <w:highlight w:val="none"/>
          <w:lang w:eastAsia="zh-CN"/>
        </w:rPr>
      </w:pPr>
    </w:p>
    <w:p>
      <w:pPr>
        <w:pStyle w:val="38"/>
        <w:rPr>
          <w:rFonts w:hint="eastAsia" w:ascii="宋体" w:hAnsi="宋体" w:eastAsia="宋体" w:cs="宋体"/>
          <w:color w:val="auto"/>
          <w:sz w:val="24"/>
          <w:highlight w:val="none"/>
          <w:lang w:eastAsia="zh-CN"/>
        </w:rPr>
      </w:pPr>
    </w:p>
    <w:p>
      <w:pPr>
        <w:pStyle w:val="38"/>
        <w:rPr>
          <w:rFonts w:hint="eastAsia" w:ascii="宋体" w:hAnsi="宋体" w:eastAsia="宋体" w:cs="宋体"/>
          <w:color w:val="auto"/>
          <w:sz w:val="24"/>
          <w:highlight w:val="none"/>
          <w:lang w:eastAsia="zh-CN"/>
        </w:rPr>
      </w:pPr>
    </w:p>
    <w:p>
      <w:pPr>
        <w:pStyle w:val="38"/>
        <w:rPr>
          <w:rFonts w:hint="eastAsia" w:ascii="宋体" w:hAnsi="宋体" w:eastAsia="宋体" w:cs="宋体"/>
          <w:color w:val="auto"/>
          <w:sz w:val="24"/>
          <w:highlight w:val="none"/>
          <w:lang w:eastAsia="zh-CN"/>
        </w:rPr>
      </w:pPr>
    </w:p>
    <w:p>
      <w:pPr>
        <w:pStyle w:val="38"/>
        <w:rPr>
          <w:rFonts w:hint="eastAsia" w:ascii="宋体" w:hAnsi="宋体" w:eastAsia="宋体" w:cs="宋体"/>
          <w:color w:val="auto"/>
          <w:sz w:val="24"/>
          <w:highlight w:val="none"/>
          <w:lang w:eastAsia="zh-CN"/>
        </w:rPr>
      </w:pPr>
    </w:p>
    <w:p>
      <w:pPr>
        <w:numPr>
          <w:ilvl w:val="-1"/>
          <w:numId w:val="0"/>
        </w:numPr>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拟委任的主要人员汇总表</w:t>
      </w:r>
    </w:p>
    <w:tbl>
      <w:tblPr>
        <w:tblStyle w:val="40"/>
        <w:tblpPr w:leftFromText="180" w:rightFromText="180" w:vertAnchor="text" w:horzAnchor="page" w:tblpX="1267" w:tblpY="487"/>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861"/>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95" w:type="dxa"/>
            <w:vMerge w:val="restart"/>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本项目任职</w:t>
            </w:r>
          </w:p>
        </w:tc>
        <w:tc>
          <w:tcPr>
            <w:tcW w:w="1095" w:type="dxa"/>
            <w:vMerge w:val="restart"/>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095" w:type="dxa"/>
            <w:vMerge w:val="restart"/>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095" w:type="dxa"/>
            <w:vMerge w:val="restart"/>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3051" w:type="dxa"/>
            <w:gridSpan w:val="3"/>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975" w:type="dxa"/>
          </w:tcPr>
          <w:p>
            <w:pPr>
              <w:widowControl/>
              <w:spacing w:line="288"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hint="eastAsia" w:ascii="宋体" w:hAnsi="宋体" w:eastAsia="宋体" w:cs="宋体"/>
                <w:color w:val="auto"/>
                <w:sz w:val="24"/>
                <w:highlight w:val="none"/>
              </w:rPr>
            </w:pPr>
          </w:p>
        </w:tc>
        <w:tc>
          <w:tcPr>
            <w:tcW w:w="1095" w:type="dxa"/>
            <w:vMerge w:val="continue"/>
          </w:tcPr>
          <w:p>
            <w:pPr>
              <w:widowControl/>
              <w:spacing w:line="288" w:lineRule="auto"/>
              <w:jc w:val="both"/>
              <w:rPr>
                <w:rFonts w:hint="eastAsia" w:ascii="宋体" w:hAnsi="宋体" w:eastAsia="宋体" w:cs="宋体"/>
                <w:color w:val="auto"/>
                <w:sz w:val="24"/>
                <w:highlight w:val="none"/>
              </w:rPr>
            </w:pPr>
          </w:p>
        </w:tc>
        <w:tc>
          <w:tcPr>
            <w:tcW w:w="1095" w:type="dxa"/>
            <w:vMerge w:val="continue"/>
          </w:tcPr>
          <w:p>
            <w:pPr>
              <w:widowControl/>
              <w:spacing w:line="288" w:lineRule="auto"/>
              <w:jc w:val="both"/>
              <w:rPr>
                <w:rFonts w:hint="eastAsia" w:ascii="宋体" w:hAnsi="宋体" w:eastAsia="宋体" w:cs="宋体"/>
                <w:color w:val="auto"/>
                <w:sz w:val="24"/>
                <w:highlight w:val="none"/>
              </w:rPr>
            </w:pPr>
          </w:p>
        </w:tc>
        <w:tc>
          <w:tcPr>
            <w:tcW w:w="1095" w:type="dxa"/>
            <w:vMerge w:val="continue"/>
          </w:tcPr>
          <w:p>
            <w:pPr>
              <w:widowControl/>
              <w:spacing w:line="288" w:lineRule="auto"/>
              <w:jc w:val="both"/>
              <w:rPr>
                <w:rFonts w:hint="eastAsia" w:ascii="宋体" w:hAnsi="宋体" w:eastAsia="宋体" w:cs="宋体"/>
                <w:color w:val="auto"/>
                <w:sz w:val="24"/>
                <w:highlight w:val="none"/>
              </w:rPr>
            </w:pPr>
          </w:p>
        </w:tc>
        <w:tc>
          <w:tcPr>
            <w:tcW w:w="1095" w:type="dxa"/>
            <w:vMerge w:val="continue"/>
          </w:tcPr>
          <w:p>
            <w:pPr>
              <w:widowControl/>
              <w:spacing w:line="288" w:lineRule="auto"/>
              <w:jc w:val="both"/>
              <w:rPr>
                <w:rFonts w:hint="eastAsia" w:ascii="宋体" w:hAnsi="宋体" w:eastAsia="宋体" w:cs="宋体"/>
                <w:color w:val="auto"/>
                <w:sz w:val="24"/>
                <w:highlight w:val="none"/>
              </w:rPr>
            </w:pPr>
          </w:p>
        </w:tc>
        <w:tc>
          <w:tcPr>
            <w:tcW w:w="1095"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1095"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861" w:type="dxa"/>
            <w:vAlign w:val="center"/>
          </w:tcPr>
          <w:p>
            <w:pPr>
              <w:widowControl/>
              <w:spacing w:line="288"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975" w:type="dxa"/>
          </w:tcPr>
          <w:p>
            <w:pPr>
              <w:widowControl/>
              <w:spacing w:line="288" w:lineRule="auto"/>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095" w:type="dxa"/>
          </w:tcPr>
          <w:p>
            <w:pPr>
              <w:widowControl/>
              <w:spacing w:line="6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w:t>
            </w: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vAlign w:val="center"/>
          </w:tcPr>
          <w:p>
            <w:pPr>
              <w:widowControl/>
              <w:spacing w:line="600" w:lineRule="exact"/>
              <w:jc w:val="center"/>
              <w:rPr>
                <w:rFonts w:hint="eastAsia" w:ascii="宋体" w:hAnsi="宋体" w:eastAsia="宋体" w:cs="宋体"/>
                <w:color w:val="auto"/>
                <w:sz w:val="24"/>
                <w:highlight w:val="none"/>
              </w:rPr>
            </w:pPr>
          </w:p>
        </w:tc>
        <w:tc>
          <w:tcPr>
            <w:tcW w:w="1095" w:type="dxa"/>
            <w:vAlign w:val="center"/>
          </w:tcPr>
          <w:p>
            <w:pPr>
              <w:widowControl/>
              <w:spacing w:line="600" w:lineRule="exact"/>
              <w:jc w:val="center"/>
              <w:rPr>
                <w:rFonts w:hint="eastAsia" w:ascii="宋体" w:hAnsi="宋体" w:eastAsia="宋体" w:cs="宋体"/>
                <w:color w:val="auto"/>
                <w:sz w:val="24"/>
                <w:highlight w:val="none"/>
              </w:rPr>
            </w:pPr>
          </w:p>
        </w:tc>
        <w:tc>
          <w:tcPr>
            <w:tcW w:w="861" w:type="dxa"/>
            <w:vAlign w:val="center"/>
          </w:tcPr>
          <w:p>
            <w:pPr>
              <w:widowControl/>
              <w:spacing w:line="600" w:lineRule="exact"/>
              <w:jc w:val="center"/>
              <w:rPr>
                <w:rFonts w:hint="eastAsia" w:ascii="宋体" w:hAnsi="宋体" w:eastAsia="宋体" w:cs="宋体"/>
                <w:color w:val="auto"/>
                <w:sz w:val="24"/>
                <w:highlight w:val="none"/>
              </w:rPr>
            </w:pPr>
          </w:p>
        </w:tc>
        <w:tc>
          <w:tcPr>
            <w:tcW w:w="975" w:type="dxa"/>
          </w:tcPr>
          <w:p>
            <w:pPr>
              <w:widowControl/>
              <w:spacing w:line="60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095" w:type="dxa"/>
          </w:tcPr>
          <w:p>
            <w:pPr>
              <w:widowControl/>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技术负责人</w:t>
            </w: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vAlign w:val="center"/>
          </w:tcPr>
          <w:p>
            <w:pPr>
              <w:widowControl/>
              <w:spacing w:line="600" w:lineRule="exact"/>
              <w:jc w:val="center"/>
              <w:rPr>
                <w:rFonts w:hint="eastAsia" w:ascii="宋体" w:hAnsi="宋体" w:eastAsia="宋体" w:cs="宋体"/>
                <w:color w:val="auto"/>
                <w:sz w:val="24"/>
                <w:highlight w:val="none"/>
              </w:rPr>
            </w:pPr>
          </w:p>
        </w:tc>
        <w:tc>
          <w:tcPr>
            <w:tcW w:w="1095" w:type="dxa"/>
            <w:vAlign w:val="center"/>
          </w:tcPr>
          <w:p>
            <w:pPr>
              <w:widowControl/>
              <w:spacing w:line="600" w:lineRule="exact"/>
              <w:jc w:val="center"/>
              <w:rPr>
                <w:rFonts w:hint="eastAsia" w:ascii="宋体" w:hAnsi="宋体" w:eastAsia="宋体" w:cs="宋体"/>
                <w:color w:val="auto"/>
                <w:sz w:val="24"/>
                <w:highlight w:val="none"/>
              </w:rPr>
            </w:pPr>
          </w:p>
        </w:tc>
        <w:tc>
          <w:tcPr>
            <w:tcW w:w="861" w:type="dxa"/>
            <w:vAlign w:val="center"/>
          </w:tcPr>
          <w:p>
            <w:pPr>
              <w:widowControl/>
              <w:spacing w:line="600" w:lineRule="exact"/>
              <w:jc w:val="center"/>
              <w:rPr>
                <w:rFonts w:hint="eastAsia" w:ascii="宋体" w:hAnsi="宋体" w:eastAsia="宋体" w:cs="宋体"/>
                <w:color w:val="auto"/>
                <w:sz w:val="24"/>
                <w:highlight w:val="none"/>
              </w:rPr>
            </w:pPr>
          </w:p>
        </w:tc>
        <w:tc>
          <w:tcPr>
            <w:tcW w:w="975" w:type="dxa"/>
          </w:tcPr>
          <w:p>
            <w:pPr>
              <w:widowControl/>
              <w:spacing w:line="60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95" w:type="dxa"/>
          </w:tcPr>
          <w:p>
            <w:pPr>
              <w:widowControl/>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项目安全员</w:t>
            </w: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vAlign w:val="center"/>
          </w:tcPr>
          <w:p>
            <w:pPr>
              <w:widowControl/>
              <w:spacing w:line="600" w:lineRule="exact"/>
              <w:jc w:val="center"/>
              <w:rPr>
                <w:rFonts w:hint="eastAsia" w:ascii="宋体" w:hAnsi="宋体" w:eastAsia="宋体" w:cs="宋体"/>
                <w:color w:val="auto"/>
                <w:sz w:val="24"/>
                <w:highlight w:val="none"/>
              </w:rPr>
            </w:pPr>
          </w:p>
        </w:tc>
        <w:tc>
          <w:tcPr>
            <w:tcW w:w="1095" w:type="dxa"/>
            <w:vAlign w:val="center"/>
          </w:tcPr>
          <w:p>
            <w:pPr>
              <w:widowControl/>
              <w:spacing w:line="600" w:lineRule="exact"/>
              <w:jc w:val="center"/>
              <w:rPr>
                <w:rFonts w:hint="eastAsia" w:ascii="宋体" w:hAnsi="宋体" w:eastAsia="宋体" w:cs="宋体"/>
                <w:color w:val="auto"/>
                <w:sz w:val="24"/>
                <w:highlight w:val="none"/>
              </w:rPr>
            </w:pPr>
          </w:p>
        </w:tc>
        <w:tc>
          <w:tcPr>
            <w:tcW w:w="861" w:type="dxa"/>
            <w:vAlign w:val="center"/>
          </w:tcPr>
          <w:p>
            <w:pPr>
              <w:widowControl/>
              <w:spacing w:line="600" w:lineRule="exact"/>
              <w:jc w:val="center"/>
              <w:rPr>
                <w:rFonts w:hint="eastAsia" w:ascii="宋体" w:hAnsi="宋体" w:eastAsia="宋体" w:cs="宋体"/>
                <w:color w:val="auto"/>
                <w:sz w:val="24"/>
                <w:highlight w:val="none"/>
              </w:rPr>
            </w:pPr>
          </w:p>
        </w:tc>
        <w:tc>
          <w:tcPr>
            <w:tcW w:w="975" w:type="dxa"/>
          </w:tcPr>
          <w:p>
            <w:pPr>
              <w:widowControl/>
              <w:spacing w:line="60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95" w:type="dxa"/>
          </w:tcPr>
          <w:p>
            <w:pPr>
              <w:widowControl/>
              <w:spacing w:line="60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施工员 </w:t>
            </w: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vAlign w:val="center"/>
          </w:tcPr>
          <w:p>
            <w:pPr>
              <w:widowControl/>
              <w:spacing w:line="600" w:lineRule="exact"/>
              <w:jc w:val="center"/>
              <w:rPr>
                <w:rFonts w:hint="eastAsia" w:ascii="宋体" w:hAnsi="宋体" w:eastAsia="宋体" w:cs="宋体"/>
                <w:color w:val="auto"/>
                <w:sz w:val="24"/>
                <w:highlight w:val="none"/>
              </w:rPr>
            </w:pPr>
          </w:p>
        </w:tc>
        <w:tc>
          <w:tcPr>
            <w:tcW w:w="1095" w:type="dxa"/>
            <w:vAlign w:val="center"/>
          </w:tcPr>
          <w:p>
            <w:pPr>
              <w:widowControl/>
              <w:spacing w:line="600" w:lineRule="exact"/>
              <w:jc w:val="center"/>
              <w:rPr>
                <w:rFonts w:hint="eastAsia" w:ascii="宋体" w:hAnsi="宋体" w:eastAsia="宋体" w:cs="宋体"/>
                <w:color w:val="auto"/>
                <w:sz w:val="24"/>
                <w:highlight w:val="none"/>
              </w:rPr>
            </w:pPr>
          </w:p>
        </w:tc>
        <w:tc>
          <w:tcPr>
            <w:tcW w:w="861" w:type="dxa"/>
            <w:vAlign w:val="center"/>
          </w:tcPr>
          <w:p>
            <w:pPr>
              <w:widowControl/>
              <w:spacing w:line="600" w:lineRule="exact"/>
              <w:jc w:val="center"/>
              <w:rPr>
                <w:rFonts w:hint="eastAsia" w:ascii="宋体" w:hAnsi="宋体" w:eastAsia="宋体" w:cs="宋体"/>
                <w:color w:val="auto"/>
                <w:sz w:val="24"/>
                <w:highlight w:val="none"/>
              </w:rPr>
            </w:pPr>
          </w:p>
        </w:tc>
        <w:tc>
          <w:tcPr>
            <w:tcW w:w="975" w:type="dxa"/>
          </w:tcPr>
          <w:p>
            <w:pPr>
              <w:widowControl/>
              <w:spacing w:line="600" w:lineRule="exact"/>
              <w:jc w:val="both"/>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tcPr>
          <w:p>
            <w:pPr>
              <w:widowControl/>
              <w:spacing w:line="600" w:lineRule="exact"/>
              <w:jc w:val="both"/>
              <w:rPr>
                <w:rFonts w:hint="eastAsia" w:ascii="宋体" w:hAnsi="宋体" w:eastAsia="宋体" w:cs="宋体"/>
                <w:color w:val="auto"/>
                <w:sz w:val="24"/>
                <w:highlight w:val="none"/>
              </w:rPr>
            </w:pPr>
          </w:p>
        </w:tc>
        <w:tc>
          <w:tcPr>
            <w:tcW w:w="1095" w:type="dxa"/>
            <w:vAlign w:val="center"/>
          </w:tcPr>
          <w:p>
            <w:pPr>
              <w:widowControl/>
              <w:spacing w:line="600" w:lineRule="exact"/>
              <w:jc w:val="center"/>
              <w:rPr>
                <w:rFonts w:hint="eastAsia" w:ascii="宋体" w:hAnsi="宋体" w:eastAsia="宋体" w:cs="宋体"/>
                <w:color w:val="auto"/>
                <w:sz w:val="24"/>
                <w:highlight w:val="none"/>
              </w:rPr>
            </w:pPr>
          </w:p>
        </w:tc>
        <w:tc>
          <w:tcPr>
            <w:tcW w:w="1095" w:type="dxa"/>
            <w:vAlign w:val="center"/>
          </w:tcPr>
          <w:p>
            <w:pPr>
              <w:widowControl/>
              <w:spacing w:line="600" w:lineRule="exact"/>
              <w:jc w:val="center"/>
              <w:rPr>
                <w:rFonts w:hint="eastAsia" w:ascii="宋体" w:hAnsi="宋体" w:eastAsia="宋体" w:cs="宋体"/>
                <w:color w:val="auto"/>
                <w:sz w:val="24"/>
                <w:highlight w:val="none"/>
              </w:rPr>
            </w:pPr>
          </w:p>
        </w:tc>
        <w:tc>
          <w:tcPr>
            <w:tcW w:w="861" w:type="dxa"/>
            <w:vAlign w:val="center"/>
          </w:tcPr>
          <w:p>
            <w:pPr>
              <w:widowControl/>
              <w:spacing w:line="600" w:lineRule="exact"/>
              <w:jc w:val="center"/>
              <w:rPr>
                <w:rFonts w:hint="eastAsia" w:ascii="宋体" w:hAnsi="宋体" w:eastAsia="宋体" w:cs="宋体"/>
                <w:color w:val="auto"/>
                <w:sz w:val="24"/>
                <w:highlight w:val="none"/>
              </w:rPr>
            </w:pPr>
          </w:p>
        </w:tc>
        <w:tc>
          <w:tcPr>
            <w:tcW w:w="975" w:type="dxa"/>
          </w:tcPr>
          <w:p>
            <w:pPr>
              <w:widowControl/>
              <w:spacing w:line="600" w:lineRule="exact"/>
              <w:jc w:val="both"/>
              <w:rPr>
                <w:rFonts w:hint="eastAsia" w:ascii="宋体" w:hAnsi="宋体" w:eastAsia="宋体" w:cs="宋体"/>
                <w:color w:val="auto"/>
                <w:sz w:val="24"/>
                <w:highlight w:val="none"/>
              </w:rPr>
            </w:pPr>
          </w:p>
        </w:tc>
      </w:tr>
    </w:tbl>
    <w:p>
      <w:pPr>
        <w:ind w:firstLine="0"/>
        <w:jc w:val="both"/>
        <w:rPr>
          <w:rFonts w:hint="eastAsia" w:ascii="宋体" w:hAnsi="宋体" w:eastAsia="宋体" w:cs="宋体"/>
          <w:b w:val="0"/>
          <w:color w:val="auto"/>
          <w:sz w:val="24"/>
          <w:szCs w:val="24"/>
          <w:highlight w:val="none"/>
        </w:rPr>
      </w:pPr>
      <w:r>
        <w:rPr>
          <w:rFonts w:hint="eastAsia" w:ascii="宋体" w:hAnsi="宋体" w:eastAsia="宋体" w:cs="宋体"/>
          <w:color w:val="auto"/>
          <w:sz w:val="24"/>
          <w:highlight w:val="none"/>
        </w:rPr>
        <w:br w:type="page"/>
      </w:r>
    </w:p>
    <w:p>
      <w:pPr>
        <w:pStyle w:val="38"/>
        <w:rPr>
          <w:rFonts w:hint="eastAsia" w:ascii="宋体" w:hAnsi="宋体" w:eastAsia="宋体" w:cs="宋体"/>
          <w:b w:val="0"/>
          <w:color w:val="auto"/>
          <w:sz w:val="24"/>
          <w:szCs w:val="24"/>
          <w:highlight w:val="none"/>
        </w:rPr>
      </w:pPr>
    </w:p>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600" w:lineRule="exact"/>
        <w:jc w:val="center"/>
        <w:outlineLvl w:val="0"/>
        <w:rPr>
          <w:rFonts w:hint="eastAsia" w:ascii="宋体" w:hAnsi="宋体" w:eastAsia="宋体" w:cs="宋体"/>
          <w:color w:val="auto"/>
          <w:highlight w:val="none"/>
        </w:rPr>
      </w:pPr>
      <w:bookmarkStart w:id="52" w:name="_Toc22288"/>
      <w:r>
        <w:rPr>
          <w:rFonts w:hint="eastAsia" w:ascii="宋体" w:hAnsi="宋体" w:eastAsia="宋体" w:cs="宋体"/>
          <w:color w:val="auto"/>
          <w:sz w:val="36"/>
          <w:szCs w:val="36"/>
          <w:highlight w:val="none"/>
        </w:rPr>
        <w:t>六、响应方案</w:t>
      </w:r>
      <w:bookmarkEnd w:id="52"/>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响应方案一般包括(但不限于)下列内容:</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(1)对项目的理解;</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(2)服务范围及内容;</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(3)服务工作的依据、工作目标;</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(4)服务机构设置(框图)、岗位职责;</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(5)拟投入本项目的服务人员及主要人员简历;</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(6)拟分包计划及情况说明;</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(7)服务质量、进度、保密等保证措施;</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(8)服务工作重点、难点分析;</w:t>
      </w:r>
    </w:p>
    <w:p>
      <w:pPr>
        <w:adjustRightInd w:val="0"/>
        <w:snapToGrid w:val="0"/>
        <w:spacing w:line="60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(9)对本项目的合理化建议。</w:t>
      </w:r>
    </w:p>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adjustRightInd w:val="0"/>
        <w:snapToGrid w:val="0"/>
        <w:spacing w:line="600" w:lineRule="exact"/>
        <w:jc w:val="center"/>
        <w:outlineLvl w:val="0"/>
        <w:rPr>
          <w:rFonts w:hint="eastAsia" w:ascii="宋体" w:hAnsi="宋体" w:eastAsia="宋体" w:cs="宋体"/>
          <w:color w:val="auto"/>
          <w:sz w:val="36"/>
          <w:szCs w:val="36"/>
          <w:highlight w:val="none"/>
        </w:rPr>
      </w:pPr>
      <w:bookmarkStart w:id="53" w:name="_Toc30187"/>
      <w:r>
        <w:rPr>
          <w:rFonts w:hint="eastAsia" w:ascii="宋体" w:hAnsi="宋体" w:eastAsia="宋体" w:cs="宋体"/>
          <w:color w:val="auto"/>
          <w:sz w:val="36"/>
          <w:szCs w:val="36"/>
          <w:highlight w:val="none"/>
        </w:rPr>
        <w:t>七、其他资料</w:t>
      </w:r>
      <w:bookmarkEnd w:id="53"/>
    </w:p>
    <w:p>
      <w:pPr>
        <w:adjustRightInd w:val="0"/>
        <w:snapToGrid w:val="0"/>
        <w:spacing w:line="600" w:lineRule="exact"/>
        <w:ind w:left="420" w:leftChars="200"/>
        <w:jc w:val="both"/>
        <w:rPr>
          <w:rFonts w:hint="eastAsia" w:ascii="宋体" w:hAnsi="宋体" w:eastAsia="宋体" w:cs="宋体"/>
          <w:color w:val="auto"/>
          <w:sz w:val="24"/>
          <w:highlight w:val="none"/>
        </w:rPr>
      </w:pPr>
    </w:p>
    <w:p>
      <w:pPr>
        <w:adjustRightInd w:val="0"/>
        <w:snapToGrid w:val="0"/>
        <w:spacing w:line="600" w:lineRule="exact"/>
        <w:ind w:left="420" w:left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供应商需提交的其他资料。</w:t>
      </w:r>
    </w:p>
    <w:p>
      <w:pPr>
        <w:spacing w:line="240" w:lineRule="auto"/>
        <w:jc w:val="both"/>
        <w:rPr>
          <w:rFonts w:hint="eastAsia" w:ascii="宋体" w:hAnsi="宋体" w:eastAsia="宋体" w:cs="宋体"/>
          <w:color w:val="auto"/>
          <w:highlight w:val="none"/>
        </w:rPr>
      </w:pPr>
    </w:p>
    <w:sectPr>
      <w:headerReference r:id="rId5" w:type="default"/>
      <w:footerReference r:id="rId6" w:type="default"/>
      <w:pgSz w:w="11906" w:h="16838"/>
      <w:pgMar w:top="1440" w:right="1800" w:bottom="1440" w:left="180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3"/>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42</w:t>
        </w:r>
        <w:r>
          <w:rPr>
            <w:sz w:val="20"/>
          </w:rPr>
          <w:fldChar w:fldCharType="end"/>
        </w: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28"/>
        <w:spacing w:line="280" w:lineRule="atLeast"/>
        <w:ind w:left="0" w:firstLine="0"/>
        <w:rPr>
          <w:color w:val="FF0000"/>
        </w:rPr>
      </w:pPr>
    </w:p>
  </w:footnote>
  <w:footnote w:id="1">
    <w:p>
      <w:pPr>
        <w:pStyle w:val="28"/>
        <w:ind w:left="0" w:firstLine="0"/>
        <w:rPr>
          <w:sz w:val="24"/>
          <w:szCs w:val="24"/>
        </w:rPr>
      </w:pPr>
    </w:p>
  </w:footnote>
  <w:footnote w:id="2">
    <w:p>
      <w:pPr>
        <w:pStyle w:val="28"/>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8ECE3"/>
    <w:multiLevelType w:val="singleLevel"/>
    <w:tmpl w:val="BAE8ECE3"/>
    <w:lvl w:ilvl="0" w:tentative="0">
      <w:start w:val="8"/>
      <w:numFmt w:val="chineseCounting"/>
      <w:suff w:val="nothing"/>
      <w:lvlText w:val="%1、"/>
      <w:lvlJc w:val="left"/>
      <w:rPr>
        <w:rFonts w:hint="eastAsia"/>
      </w:rPr>
    </w:lvl>
  </w:abstractNum>
  <w:abstractNum w:abstractNumId="1">
    <w:nsid w:val="FF0344DF"/>
    <w:multiLevelType w:val="singleLevel"/>
    <w:tmpl w:val="FF0344DF"/>
    <w:lvl w:ilvl="0" w:tentative="0">
      <w:start w:val="4"/>
      <w:numFmt w:val="chineseCounting"/>
      <w:suff w:val="space"/>
      <w:lvlText w:val="第%1章"/>
      <w:lvlJc w:val="left"/>
      <w:rPr>
        <w:rFonts w:hint="eastAsia"/>
      </w:rPr>
    </w:lvl>
  </w:abstractNum>
  <w:abstractNum w:abstractNumId="2">
    <w:nsid w:val="03ECED67"/>
    <w:multiLevelType w:val="singleLevel"/>
    <w:tmpl w:val="03ECED67"/>
    <w:lvl w:ilvl="0" w:tentative="0">
      <w:start w:val="4"/>
      <w:numFmt w:val="decimal"/>
      <w:lvlText w:val="%1."/>
      <w:lvlJc w:val="left"/>
      <w:pPr>
        <w:tabs>
          <w:tab w:val="left" w:pos="312"/>
        </w:tabs>
      </w:pPr>
    </w:lvl>
  </w:abstractNum>
  <w:abstractNum w:abstractNumId="3">
    <w:nsid w:val="1B82C573"/>
    <w:multiLevelType w:val="singleLevel"/>
    <w:tmpl w:val="1B82C573"/>
    <w:lvl w:ilvl="0" w:tentative="0">
      <w:start w:val="1"/>
      <w:numFmt w:val="chineseCounting"/>
      <w:suff w:val="nothing"/>
      <w:lvlText w:val="%1、"/>
      <w:lvlJc w:val="left"/>
      <w:rPr>
        <w:rFonts w:hint="eastAsia"/>
      </w:rPr>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4FD204B7"/>
    <w:multiLevelType w:val="singleLevel"/>
    <w:tmpl w:val="4FD204B7"/>
    <w:lvl w:ilvl="0" w:tentative="0">
      <w:start w:val="1"/>
      <w:numFmt w:val="chineseCounting"/>
      <w:suff w:val="nothing"/>
      <w:lvlText w:val="（%1）"/>
      <w:lvlJc w:val="left"/>
      <w:rPr>
        <w:rFonts w:hint="eastAsia"/>
      </w:rPr>
    </w:lvl>
  </w:abstractNum>
  <w:abstractNum w:abstractNumId="6">
    <w:nsid w:val="58F8255E"/>
    <w:multiLevelType w:val="singleLevel"/>
    <w:tmpl w:val="58F8255E"/>
    <w:lvl w:ilvl="0" w:tentative="0">
      <w:start w:val="2"/>
      <w:numFmt w:val="decimal"/>
      <w:suff w:val="space"/>
      <w:lvlText w:val="%1."/>
      <w:lvlJc w:val="left"/>
    </w:lvl>
  </w:abstractNum>
  <w:abstractNum w:abstractNumId="7">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1"/>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hZTIxNzAxNjQyOTkxN2U1NmM2YWZkODNhNTExYWMifQ=="/>
  </w:docVars>
  <w:rsids>
    <w:rsidRoot w:val="00124EA9"/>
    <w:rsid w:val="000021E0"/>
    <w:rsid w:val="00002637"/>
    <w:rsid w:val="00004047"/>
    <w:rsid w:val="00010F56"/>
    <w:rsid w:val="00024612"/>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4AD4"/>
    <w:rsid w:val="00186D78"/>
    <w:rsid w:val="00191835"/>
    <w:rsid w:val="001A1831"/>
    <w:rsid w:val="001A3607"/>
    <w:rsid w:val="001A77A4"/>
    <w:rsid w:val="001B2C90"/>
    <w:rsid w:val="001B336A"/>
    <w:rsid w:val="001D03F9"/>
    <w:rsid w:val="001D5EA7"/>
    <w:rsid w:val="001E19E5"/>
    <w:rsid w:val="001F12EA"/>
    <w:rsid w:val="001F28D4"/>
    <w:rsid w:val="001F55EE"/>
    <w:rsid w:val="00200C8B"/>
    <w:rsid w:val="0020642B"/>
    <w:rsid w:val="00210B19"/>
    <w:rsid w:val="0021628B"/>
    <w:rsid w:val="002323B0"/>
    <w:rsid w:val="00240105"/>
    <w:rsid w:val="00243CE0"/>
    <w:rsid w:val="00244E9B"/>
    <w:rsid w:val="00247860"/>
    <w:rsid w:val="0026094B"/>
    <w:rsid w:val="00277813"/>
    <w:rsid w:val="00281C9C"/>
    <w:rsid w:val="002832EF"/>
    <w:rsid w:val="0028390B"/>
    <w:rsid w:val="00292A27"/>
    <w:rsid w:val="002A13A6"/>
    <w:rsid w:val="002A3646"/>
    <w:rsid w:val="002A69B8"/>
    <w:rsid w:val="002B10BE"/>
    <w:rsid w:val="002B225E"/>
    <w:rsid w:val="002B7B11"/>
    <w:rsid w:val="002D3567"/>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478F0"/>
    <w:rsid w:val="003536C1"/>
    <w:rsid w:val="00363E54"/>
    <w:rsid w:val="00371495"/>
    <w:rsid w:val="00392340"/>
    <w:rsid w:val="003A008A"/>
    <w:rsid w:val="003A21A4"/>
    <w:rsid w:val="003A35E6"/>
    <w:rsid w:val="003A47A2"/>
    <w:rsid w:val="003A7BE3"/>
    <w:rsid w:val="003B1B7D"/>
    <w:rsid w:val="003C0E8A"/>
    <w:rsid w:val="003C4E0A"/>
    <w:rsid w:val="003C71AC"/>
    <w:rsid w:val="003E5594"/>
    <w:rsid w:val="003E7A6F"/>
    <w:rsid w:val="003F3ADB"/>
    <w:rsid w:val="003F5510"/>
    <w:rsid w:val="004179C4"/>
    <w:rsid w:val="004212E9"/>
    <w:rsid w:val="004310B8"/>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B57EC"/>
    <w:rsid w:val="004D1DCD"/>
    <w:rsid w:val="004D2DC8"/>
    <w:rsid w:val="004D702E"/>
    <w:rsid w:val="004E0934"/>
    <w:rsid w:val="004F03C7"/>
    <w:rsid w:val="004F1CF3"/>
    <w:rsid w:val="004F7BD5"/>
    <w:rsid w:val="004F7F0C"/>
    <w:rsid w:val="0050258D"/>
    <w:rsid w:val="00505F3A"/>
    <w:rsid w:val="0051116B"/>
    <w:rsid w:val="00514DA0"/>
    <w:rsid w:val="00527EEC"/>
    <w:rsid w:val="005307B3"/>
    <w:rsid w:val="005458F8"/>
    <w:rsid w:val="0054718F"/>
    <w:rsid w:val="0055203E"/>
    <w:rsid w:val="00557CC1"/>
    <w:rsid w:val="0057297F"/>
    <w:rsid w:val="0057563C"/>
    <w:rsid w:val="00580488"/>
    <w:rsid w:val="0058176A"/>
    <w:rsid w:val="005864F4"/>
    <w:rsid w:val="005932FF"/>
    <w:rsid w:val="005A24DF"/>
    <w:rsid w:val="005A41D3"/>
    <w:rsid w:val="005A70E0"/>
    <w:rsid w:val="005B251E"/>
    <w:rsid w:val="005B4994"/>
    <w:rsid w:val="005C4BCE"/>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46EB"/>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0FFD"/>
    <w:rsid w:val="008A4531"/>
    <w:rsid w:val="008A6664"/>
    <w:rsid w:val="008B2D72"/>
    <w:rsid w:val="008B78B9"/>
    <w:rsid w:val="008C623B"/>
    <w:rsid w:val="008F6B51"/>
    <w:rsid w:val="008F6CF2"/>
    <w:rsid w:val="008F749A"/>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74225"/>
    <w:rsid w:val="00A81F80"/>
    <w:rsid w:val="00A828F1"/>
    <w:rsid w:val="00A868EF"/>
    <w:rsid w:val="00A906E2"/>
    <w:rsid w:val="00AA0F15"/>
    <w:rsid w:val="00AB13A1"/>
    <w:rsid w:val="00AD2A48"/>
    <w:rsid w:val="00AD2C8A"/>
    <w:rsid w:val="00AD6819"/>
    <w:rsid w:val="00AE15F3"/>
    <w:rsid w:val="00AF4CC2"/>
    <w:rsid w:val="00B01BCC"/>
    <w:rsid w:val="00B20B7E"/>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967FD"/>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34C3"/>
    <w:rsid w:val="00D56D4E"/>
    <w:rsid w:val="00D812B2"/>
    <w:rsid w:val="00D841AD"/>
    <w:rsid w:val="00D86B1B"/>
    <w:rsid w:val="00D87D62"/>
    <w:rsid w:val="00D90F37"/>
    <w:rsid w:val="00D92EB2"/>
    <w:rsid w:val="00D962D6"/>
    <w:rsid w:val="00DA2E85"/>
    <w:rsid w:val="00DA3A70"/>
    <w:rsid w:val="00DA6572"/>
    <w:rsid w:val="00DB2007"/>
    <w:rsid w:val="00DC2A18"/>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64CDF"/>
    <w:rsid w:val="00F725CC"/>
    <w:rsid w:val="00F76C2C"/>
    <w:rsid w:val="00F86C0E"/>
    <w:rsid w:val="00FA688E"/>
    <w:rsid w:val="00FB7FEC"/>
    <w:rsid w:val="00FC0CDA"/>
    <w:rsid w:val="00FC2557"/>
    <w:rsid w:val="00FC3155"/>
    <w:rsid w:val="00FD0360"/>
    <w:rsid w:val="00FD4D0F"/>
    <w:rsid w:val="00FD78D6"/>
    <w:rsid w:val="00FD79B3"/>
    <w:rsid w:val="00FE3439"/>
    <w:rsid w:val="00FE5003"/>
    <w:rsid w:val="00FE6E9F"/>
    <w:rsid w:val="00FF43B1"/>
    <w:rsid w:val="015107B6"/>
    <w:rsid w:val="019112BB"/>
    <w:rsid w:val="01AC7279"/>
    <w:rsid w:val="01BA37EB"/>
    <w:rsid w:val="02A81EED"/>
    <w:rsid w:val="02BD0577"/>
    <w:rsid w:val="02CA4177"/>
    <w:rsid w:val="030B6954"/>
    <w:rsid w:val="03980E10"/>
    <w:rsid w:val="03E11420"/>
    <w:rsid w:val="04063B90"/>
    <w:rsid w:val="040F4F9C"/>
    <w:rsid w:val="04292817"/>
    <w:rsid w:val="0438045E"/>
    <w:rsid w:val="048077D7"/>
    <w:rsid w:val="04850B44"/>
    <w:rsid w:val="04DC0095"/>
    <w:rsid w:val="05725EBF"/>
    <w:rsid w:val="05D05281"/>
    <w:rsid w:val="05DA407F"/>
    <w:rsid w:val="05EF1FFE"/>
    <w:rsid w:val="06122D99"/>
    <w:rsid w:val="067C2282"/>
    <w:rsid w:val="071012E4"/>
    <w:rsid w:val="071C2DD7"/>
    <w:rsid w:val="075B1AF0"/>
    <w:rsid w:val="07E259C2"/>
    <w:rsid w:val="081264AF"/>
    <w:rsid w:val="0850039D"/>
    <w:rsid w:val="08C64175"/>
    <w:rsid w:val="099E423A"/>
    <w:rsid w:val="09AA5530"/>
    <w:rsid w:val="09C6304D"/>
    <w:rsid w:val="09F425C7"/>
    <w:rsid w:val="0A770FAA"/>
    <w:rsid w:val="0AED2D32"/>
    <w:rsid w:val="0BDD0694"/>
    <w:rsid w:val="0BEB03C0"/>
    <w:rsid w:val="0C905B62"/>
    <w:rsid w:val="0CD30A08"/>
    <w:rsid w:val="0CEC4A6F"/>
    <w:rsid w:val="0CED0F9F"/>
    <w:rsid w:val="0DB759FC"/>
    <w:rsid w:val="0DBA62E5"/>
    <w:rsid w:val="0E500AAD"/>
    <w:rsid w:val="0E891CDE"/>
    <w:rsid w:val="0E8C6C3F"/>
    <w:rsid w:val="0ED81CA5"/>
    <w:rsid w:val="0FB402E1"/>
    <w:rsid w:val="0FDE2F4A"/>
    <w:rsid w:val="119E5E08"/>
    <w:rsid w:val="12655E00"/>
    <w:rsid w:val="127D63F6"/>
    <w:rsid w:val="128F3C3F"/>
    <w:rsid w:val="12C60E64"/>
    <w:rsid w:val="132B6CCC"/>
    <w:rsid w:val="136B309A"/>
    <w:rsid w:val="136D269D"/>
    <w:rsid w:val="14674E98"/>
    <w:rsid w:val="14931A8C"/>
    <w:rsid w:val="14E2698F"/>
    <w:rsid w:val="150F2C47"/>
    <w:rsid w:val="16314BAD"/>
    <w:rsid w:val="168B0D18"/>
    <w:rsid w:val="16B20D98"/>
    <w:rsid w:val="16BB6B96"/>
    <w:rsid w:val="172976C5"/>
    <w:rsid w:val="17594306"/>
    <w:rsid w:val="17841667"/>
    <w:rsid w:val="17D539F2"/>
    <w:rsid w:val="18337877"/>
    <w:rsid w:val="1887479E"/>
    <w:rsid w:val="189732FA"/>
    <w:rsid w:val="19097045"/>
    <w:rsid w:val="19640E18"/>
    <w:rsid w:val="1A4762B7"/>
    <w:rsid w:val="1A5F0C30"/>
    <w:rsid w:val="1A740B6A"/>
    <w:rsid w:val="1AED0CB5"/>
    <w:rsid w:val="1B2B16D0"/>
    <w:rsid w:val="1BE54D1B"/>
    <w:rsid w:val="1C5642F5"/>
    <w:rsid w:val="1C836B36"/>
    <w:rsid w:val="1D404EE7"/>
    <w:rsid w:val="1D75311D"/>
    <w:rsid w:val="1DC54E4A"/>
    <w:rsid w:val="1DE278AD"/>
    <w:rsid w:val="1E1329CF"/>
    <w:rsid w:val="1E1A64B4"/>
    <w:rsid w:val="1E1F3B60"/>
    <w:rsid w:val="1E730888"/>
    <w:rsid w:val="1E87379D"/>
    <w:rsid w:val="1E97356A"/>
    <w:rsid w:val="1EC91A1F"/>
    <w:rsid w:val="1F2E0BFF"/>
    <w:rsid w:val="1F655106"/>
    <w:rsid w:val="1F6C3BF2"/>
    <w:rsid w:val="1FAD4D1B"/>
    <w:rsid w:val="1FBA0AEA"/>
    <w:rsid w:val="1FBF76D7"/>
    <w:rsid w:val="20990A8B"/>
    <w:rsid w:val="212E078A"/>
    <w:rsid w:val="21D110D6"/>
    <w:rsid w:val="21E313E8"/>
    <w:rsid w:val="21F90DD2"/>
    <w:rsid w:val="226E5DE0"/>
    <w:rsid w:val="22915C3B"/>
    <w:rsid w:val="2392443F"/>
    <w:rsid w:val="23B9193B"/>
    <w:rsid w:val="23DD074B"/>
    <w:rsid w:val="24080534"/>
    <w:rsid w:val="242F2230"/>
    <w:rsid w:val="247A4058"/>
    <w:rsid w:val="255502E5"/>
    <w:rsid w:val="260862A8"/>
    <w:rsid w:val="264E6DB9"/>
    <w:rsid w:val="26A05072"/>
    <w:rsid w:val="27AC7CBA"/>
    <w:rsid w:val="27AE00A2"/>
    <w:rsid w:val="284F6DA3"/>
    <w:rsid w:val="2872440F"/>
    <w:rsid w:val="28807844"/>
    <w:rsid w:val="295760F8"/>
    <w:rsid w:val="29AF2158"/>
    <w:rsid w:val="2A7220D8"/>
    <w:rsid w:val="2A7A2535"/>
    <w:rsid w:val="2AB0779B"/>
    <w:rsid w:val="2AE20DED"/>
    <w:rsid w:val="2AF84823"/>
    <w:rsid w:val="2B5175E4"/>
    <w:rsid w:val="2B5D2F0A"/>
    <w:rsid w:val="2BF10955"/>
    <w:rsid w:val="2C2302BB"/>
    <w:rsid w:val="2C6615DF"/>
    <w:rsid w:val="2C702634"/>
    <w:rsid w:val="2CF60F41"/>
    <w:rsid w:val="2DA660A6"/>
    <w:rsid w:val="2E41641E"/>
    <w:rsid w:val="2E440F8F"/>
    <w:rsid w:val="2E944985"/>
    <w:rsid w:val="2EB241B6"/>
    <w:rsid w:val="2F072F4E"/>
    <w:rsid w:val="2FD26F55"/>
    <w:rsid w:val="30096558"/>
    <w:rsid w:val="306D76A1"/>
    <w:rsid w:val="30DE2DAE"/>
    <w:rsid w:val="317A6542"/>
    <w:rsid w:val="321A7484"/>
    <w:rsid w:val="322E1C21"/>
    <w:rsid w:val="32517E19"/>
    <w:rsid w:val="32756EB2"/>
    <w:rsid w:val="328378A7"/>
    <w:rsid w:val="32985818"/>
    <w:rsid w:val="329F34EA"/>
    <w:rsid w:val="32A2762D"/>
    <w:rsid w:val="32C4538A"/>
    <w:rsid w:val="32CD13D8"/>
    <w:rsid w:val="32D46F77"/>
    <w:rsid w:val="339248A7"/>
    <w:rsid w:val="33B95A81"/>
    <w:rsid w:val="33E7797B"/>
    <w:rsid w:val="33F923CE"/>
    <w:rsid w:val="345B2BC5"/>
    <w:rsid w:val="34874156"/>
    <w:rsid w:val="34961D84"/>
    <w:rsid w:val="34C116DA"/>
    <w:rsid w:val="35032B89"/>
    <w:rsid w:val="35C021DE"/>
    <w:rsid w:val="3637096F"/>
    <w:rsid w:val="363D46DF"/>
    <w:rsid w:val="370E07C9"/>
    <w:rsid w:val="3743117F"/>
    <w:rsid w:val="379B30ED"/>
    <w:rsid w:val="37E36BED"/>
    <w:rsid w:val="38D540B9"/>
    <w:rsid w:val="39466D4B"/>
    <w:rsid w:val="3A6F6091"/>
    <w:rsid w:val="3B2B40CB"/>
    <w:rsid w:val="3B3875ED"/>
    <w:rsid w:val="3B495E65"/>
    <w:rsid w:val="3BFE0D0E"/>
    <w:rsid w:val="3C066E0B"/>
    <w:rsid w:val="3C1E6B96"/>
    <w:rsid w:val="3C3F26B7"/>
    <w:rsid w:val="3CD2096C"/>
    <w:rsid w:val="3D073213"/>
    <w:rsid w:val="3D5F79E9"/>
    <w:rsid w:val="3DBA091D"/>
    <w:rsid w:val="3EFC61A0"/>
    <w:rsid w:val="3F3923EB"/>
    <w:rsid w:val="3F5C6702"/>
    <w:rsid w:val="3F981C15"/>
    <w:rsid w:val="3FB93C81"/>
    <w:rsid w:val="4073313C"/>
    <w:rsid w:val="407D4E5F"/>
    <w:rsid w:val="425F07A9"/>
    <w:rsid w:val="42DD62AF"/>
    <w:rsid w:val="43C529F5"/>
    <w:rsid w:val="443309C4"/>
    <w:rsid w:val="448137D1"/>
    <w:rsid w:val="448B4AB6"/>
    <w:rsid w:val="449172F6"/>
    <w:rsid w:val="44D14A1F"/>
    <w:rsid w:val="44EF1C2A"/>
    <w:rsid w:val="4503099B"/>
    <w:rsid w:val="453D7EFA"/>
    <w:rsid w:val="45FA5FD9"/>
    <w:rsid w:val="46480423"/>
    <w:rsid w:val="46C44BD5"/>
    <w:rsid w:val="46E27E71"/>
    <w:rsid w:val="46FD0ED7"/>
    <w:rsid w:val="47173E6F"/>
    <w:rsid w:val="47A22F2A"/>
    <w:rsid w:val="47C259CB"/>
    <w:rsid w:val="47D44A52"/>
    <w:rsid w:val="47E7681C"/>
    <w:rsid w:val="481A347D"/>
    <w:rsid w:val="492F4059"/>
    <w:rsid w:val="49FD45C2"/>
    <w:rsid w:val="4A236C6F"/>
    <w:rsid w:val="4A4818B3"/>
    <w:rsid w:val="4BB73BE9"/>
    <w:rsid w:val="4BEB2031"/>
    <w:rsid w:val="4C032BC8"/>
    <w:rsid w:val="4C695D51"/>
    <w:rsid w:val="4CCB5EE4"/>
    <w:rsid w:val="4CCF1A74"/>
    <w:rsid w:val="4CE85D4A"/>
    <w:rsid w:val="4D6B74E0"/>
    <w:rsid w:val="4DCF4BB4"/>
    <w:rsid w:val="4DE61D04"/>
    <w:rsid w:val="4E5272C6"/>
    <w:rsid w:val="4E5F0909"/>
    <w:rsid w:val="4E6200BB"/>
    <w:rsid w:val="4F1B2306"/>
    <w:rsid w:val="4F1B4159"/>
    <w:rsid w:val="4F700335"/>
    <w:rsid w:val="50203001"/>
    <w:rsid w:val="50B51B02"/>
    <w:rsid w:val="52E75B99"/>
    <w:rsid w:val="5364371A"/>
    <w:rsid w:val="537A2AC6"/>
    <w:rsid w:val="53A51ADF"/>
    <w:rsid w:val="53DA1DB3"/>
    <w:rsid w:val="53E42DCD"/>
    <w:rsid w:val="542631C0"/>
    <w:rsid w:val="54C530D9"/>
    <w:rsid w:val="54F24513"/>
    <w:rsid w:val="55BB5F80"/>
    <w:rsid w:val="55DC48D3"/>
    <w:rsid w:val="56275484"/>
    <w:rsid w:val="562C0562"/>
    <w:rsid w:val="565A7935"/>
    <w:rsid w:val="56820D5B"/>
    <w:rsid w:val="57096D7C"/>
    <w:rsid w:val="572B2282"/>
    <w:rsid w:val="572C6388"/>
    <w:rsid w:val="578B046D"/>
    <w:rsid w:val="58607715"/>
    <w:rsid w:val="592A3362"/>
    <w:rsid w:val="59520AA5"/>
    <w:rsid w:val="5A3D0E18"/>
    <w:rsid w:val="5A7944BC"/>
    <w:rsid w:val="5C656174"/>
    <w:rsid w:val="5D9424C4"/>
    <w:rsid w:val="5E007081"/>
    <w:rsid w:val="5E2570D5"/>
    <w:rsid w:val="5FA0715F"/>
    <w:rsid w:val="5FAB6FD5"/>
    <w:rsid w:val="5FC5301A"/>
    <w:rsid w:val="60010846"/>
    <w:rsid w:val="605F7AED"/>
    <w:rsid w:val="60DE6405"/>
    <w:rsid w:val="60E822D9"/>
    <w:rsid w:val="618F0A37"/>
    <w:rsid w:val="61CF20DD"/>
    <w:rsid w:val="624136EF"/>
    <w:rsid w:val="62525166"/>
    <w:rsid w:val="63310F09"/>
    <w:rsid w:val="63524C80"/>
    <w:rsid w:val="63A45BF9"/>
    <w:rsid w:val="63B84F56"/>
    <w:rsid w:val="64074006"/>
    <w:rsid w:val="64307272"/>
    <w:rsid w:val="64847D37"/>
    <w:rsid w:val="64A373A0"/>
    <w:rsid w:val="655C146A"/>
    <w:rsid w:val="65863D1B"/>
    <w:rsid w:val="65D71058"/>
    <w:rsid w:val="65F81266"/>
    <w:rsid w:val="663E10C6"/>
    <w:rsid w:val="66FF5D80"/>
    <w:rsid w:val="67BA7B20"/>
    <w:rsid w:val="67D96A58"/>
    <w:rsid w:val="67DB2C51"/>
    <w:rsid w:val="67F765E0"/>
    <w:rsid w:val="681F7264"/>
    <w:rsid w:val="68562B5B"/>
    <w:rsid w:val="686B311E"/>
    <w:rsid w:val="68CB3B83"/>
    <w:rsid w:val="69D27EA0"/>
    <w:rsid w:val="69E8244B"/>
    <w:rsid w:val="6A917D32"/>
    <w:rsid w:val="6B273C29"/>
    <w:rsid w:val="6B365FA5"/>
    <w:rsid w:val="6B533C17"/>
    <w:rsid w:val="6B7569B5"/>
    <w:rsid w:val="6B886F10"/>
    <w:rsid w:val="6BD42703"/>
    <w:rsid w:val="6C5B7CEC"/>
    <w:rsid w:val="6C815D8D"/>
    <w:rsid w:val="6D013BED"/>
    <w:rsid w:val="6D8719BF"/>
    <w:rsid w:val="6DAF1FEF"/>
    <w:rsid w:val="6DB34F5A"/>
    <w:rsid w:val="6DEE7787"/>
    <w:rsid w:val="6E03652B"/>
    <w:rsid w:val="6E1626C4"/>
    <w:rsid w:val="6EFE16C4"/>
    <w:rsid w:val="6F4C174D"/>
    <w:rsid w:val="6F7E2CF1"/>
    <w:rsid w:val="6FC11236"/>
    <w:rsid w:val="6FCB0ED0"/>
    <w:rsid w:val="6FD45398"/>
    <w:rsid w:val="701C4BB8"/>
    <w:rsid w:val="7036127C"/>
    <w:rsid w:val="70415437"/>
    <w:rsid w:val="70825A73"/>
    <w:rsid w:val="70F047E8"/>
    <w:rsid w:val="7115393A"/>
    <w:rsid w:val="716E2908"/>
    <w:rsid w:val="717600B2"/>
    <w:rsid w:val="71B82140"/>
    <w:rsid w:val="72FF1303"/>
    <w:rsid w:val="73396DB5"/>
    <w:rsid w:val="734D7027"/>
    <w:rsid w:val="73616A79"/>
    <w:rsid w:val="738250C9"/>
    <w:rsid w:val="73AD5E1D"/>
    <w:rsid w:val="73BC5AD9"/>
    <w:rsid w:val="748F42B4"/>
    <w:rsid w:val="75706FDE"/>
    <w:rsid w:val="763C132A"/>
    <w:rsid w:val="76495EBC"/>
    <w:rsid w:val="764D1C01"/>
    <w:rsid w:val="76D90BB3"/>
    <w:rsid w:val="76EB7264"/>
    <w:rsid w:val="76EF2FF9"/>
    <w:rsid w:val="782D1C88"/>
    <w:rsid w:val="78AB2B78"/>
    <w:rsid w:val="78EB6E8C"/>
    <w:rsid w:val="78F83BED"/>
    <w:rsid w:val="79257587"/>
    <w:rsid w:val="796F5BEA"/>
    <w:rsid w:val="79A51FC6"/>
    <w:rsid w:val="7A4C2094"/>
    <w:rsid w:val="7AE5221C"/>
    <w:rsid w:val="7B46553C"/>
    <w:rsid w:val="7B477A1B"/>
    <w:rsid w:val="7C49195A"/>
    <w:rsid w:val="7CA32E53"/>
    <w:rsid w:val="7CDA2C12"/>
    <w:rsid w:val="7D1F6406"/>
    <w:rsid w:val="7D3F1FE1"/>
    <w:rsid w:val="7D454989"/>
    <w:rsid w:val="7D4D3BF7"/>
    <w:rsid w:val="7D5139EA"/>
    <w:rsid w:val="7DB1356C"/>
    <w:rsid w:val="7E0A0815"/>
    <w:rsid w:val="7F1F6441"/>
    <w:rsid w:val="7F3A2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1"/>
    <w:qFormat/>
    <w:uiPriority w:val="0"/>
    <w:pPr>
      <w:spacing w:before="100" w:beforeAutospacing="1" w:after="100" w:afterAutospacing="1"/>
      <w:outlineLvl w:val="1"/>
    </w:pPr>
    <w:rPr>
      <w:rFonts w:ascii="宋体" w:hAnsi="宋体"/>
      <w:b/>
      <w:bCs/>
      <w:kern w:val="0"/>
      <w:sz w:val="36"/>
      <w:szCs w:val="36"/>
    </w:rPr>
  </w:style>
  <w:style w:type="paragraph" w:styleId="6">
    <w:name w:val="heading 4"/>
    <w:basedOn w:val="1"/>
    <w:next w:val="1"/>
    <w:link w:val="186"/>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pPr>
    <w:rPr>
      <w:szCs w:val="20"/>
    </w:rPr>
  </w:style>
  <w:style w:type="paragraph" w:styleId="3">
    <w:name w:val="Body Text Indent"/>
    <w:basedOn w:val="1"/>
    <w:qFormat/>
    <w:uiPriority w:val="0"/>
    <w:pPr>
      <w:spacing w:line="400" w:lineRule="exact"/>
      <w:ind w:firstLine="435"/>
    </w:pPr>
  </w:style>
  <w:style w:type="paragraph" w:styleId="7">
    <w:name w:val="index 8"/>
    <w:basedOn w:val="1"/>
    <w:next w:val="1"/>
    <w:qFormat/>
    <w:uiPriority w:val="0"/>
    <w:pPr>
      <w:ind w:left="1680" w:hanging="210"/>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pPr>
    <w:rPr>
      <w:rFonts w:ascii="Calibri" w:hAnsi="Calibri"/>
      <w:sz w:val="20"/>
      <w:szCs w:val="20"/>
    </w:rPr>
  </w:style>
  <w:style w:type="paragraph" w:styleId="10">
    <w:name w:val="Document Map"/>
    <w:basedOn w:val="1"/>
    <w:link w:val="171"/>
    <w:semiHidden/>
    <w:qFormat/>
    <w:uiPriority w:val="0"/>
    <w:pPr>
      <w:shd w:val="clear" w:color="auto" w:fill="000080"/>
    </w:pPr>
    <w:rPr>
      <w:rFonts w:asciiTheme="minorHAnsi" w:hAnsiTheme="minorHAnsi" w:eastAsiaTheme="minorEastAsia" w:cstheme="minorBidi"/>
    </w:rPr>
  </w:style>
  <w:style w:type="paragraph" w:styleId="11">
    <w:name w:val="annotation text"/>
    <w:basedOn w:val="1"/>
    <w:link w:val="168"/>
    <w:semiHidden/>
    <w:qFormat/>
    <w:uiPriority w:val="0"/>
    <w:rPr>
      <w:rFonts w:asciiTheme="minorHAnsi" w:hAnsiTheme="minorHAnsi" w:eastAsiaTheme="minorEastAsia" w:cstheme="minorBidi"/>
    </w:rPr>
  </w:style>
  <w:style w:type="paragraph" w:styleId="12">
    <w:name w:val="index 6"/>
    <w:basedOn w:val="1"/>
    <w:next w:val="1"/>
    <w:qFormat/>
    <w:uiPriority w:val="0"/>
    <w:pPr>
      <w:ind w:left="1260" w:hanging="210"/>
    </w:pPr>
    <w:rPr>
      <w:rFonts w:ascii="Calibri" w:hAnsi="Calibri"/>
      <w:sz w:val="20"/>
      <w:szCs w:val="20"/>
    </w:rPr>
  </w:style>
  <w:style w:type="paragraph" w:styleId="13">
    <w:name w:val="Body Text 3"/>
    <w:basedOn w:val="1"/>
    <w:link w:val="179"/>
    <w:semiHidden/>
    <w:unhideWhenUsed/>
    <w:qFormat/>
    <w:uiPriority w:val="99"/>
    <w:pPr>
      <w:spacing w:after="120"/>
    </w:pPr>
    <w:rPr>
      <w:sz w:val="16"/>
      <w:szCs w:val="16"/>
    </w:rPr>
  </w:style>
  <w:style w:type="paragraph" w:styleId="14">
    <w:name w:val="Body Text"/>
    <w:basedOn w:val="1"/>
    <w:next w:val="15"/>
    <w:link w:val="184"/>
    <w:semiHidden/>
    <w:unhideWhenUsed/>
    <w:qFormat/>
    <w:uiPriority w:val="99"/>
    <w:pPr>
      <w:spacing w:after="120"/>
    </w:pPr>
  </w:style>
  <w:style w:type="paragraph" w:customStyle="1" w:styleId="15">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6">
    <w:name w:val="index 4"/>
    <w:basedOn w:val="1"/>
    <w:next w:val="1"/>
    <w:qFormat/>
    <w:uiPriority w:val="0"/>
    <w:pPr>
      <w:ind w:left="840" w:hanging="210"/>
    </w:pPr>
    <w:rPr>
      <w:rFonts w:ascii="Calibri" w:hAnsi="Calibri"/>
      <w:sz w:val="20"/>
      <w:szCs w:val="20"/>
    </w:rPr>
  </w:style>
  <w:style w:type="paragraph" w:styleId="17">
    <w:name w:val="Plain Text"/>
    <w:basedOn w:val="1"/>
    <w:link w:val="182"/>
    <w:unhideWhenUsed/>
    <w:qFormat/>
    <w:uiPriority w:val="99"/>
    <w:pPr>
      <w:widowControl w:val="0"/>
      <w:spacing w:line="240" w:lineRule="auto"/>
      <w:jc w:val="both"/>
    </w:pPr>
    <w:rPr>
      <w:rFonts w:ascii="宋体" w:hAnsi="Courier New" w:cs="Courier New"/>
      <w:szCs w:val="21"/>
    </w:rPr>
  </w:style>
  <w:style w:type="paragraph" w:styleId="18">
    <w:name w:val="index 3"/>
    <w:basedOn w:val="1"/>
    <w:next w:val="1"/>
    <w:qFormat/>
    <w:uiPriority w:val="0"/>
    <w:pPr>
      <w:ind w:left="630" w:hanging="210"/>
    </w:pPr>
    <w:rPr>
      <w:rFonts w:ascii="Calibri" w:hAnsi="Calibri"/>
      <w:sz w:val="20"/>
      <w:szCs w:val="20"/>
    </w:rPr>
  </w:style>
  <w:style w:type="paragraph" w:styleId="19">
    <w:name w:val="Date"/>
    <w:basedOn w:val="1"/>
    <w:next w:val="1"/>
    <w:link w:val="170"/>
    <w:qFormat/>
    <w:uiPriority w:val="99"/>
    <w:pPr>
      <w:ind w:left="100" w:leftChars="2500"/>
    </w:pPr>
    <w:rPr>
      <w:rFonts w:asciiTheme="minorHAnsi" w:hAnsiTheme="minorHAnsi" w:eastAsiaTheme="minorEastAsia" w:cstheme="minorBidi"/>
    </w:rPr>
  </w:style>
  <w:style w:type="paragraph" w:styleId="20">
    <w:name w:val="Body Text Indent 2"/>
    <w:basedOn w:val="1"/>
    <w:link w:val="160"/>
    <w:qFormat/>
    <w:uiPriority w:val="99"/>
    <w:pPr>
      <w:spacing w:after="120" w:line="480" w:lineRule="auto"/>
      <w:ind w:left="420" w:leftChars="200"/>
    </w:pPr>
    <w:rPr>
      <w:rFonts w:asciiTheme="minorHAnsi" w:hAnsiTheme="minorHAnsi" w:eastAsiaTheme="minorEastAsia" w:cstheme="minorBidi"/>
    </w:rPr>
  </w:style>
  <w:style w:type="paragraph" w:styleId="21">
    <w:name w:val="endnote text"/>
    <w:basedOn w:val="1"/>
    <w:link w:val="177"/>
    <w:semiHidden/>
    <w:qFormat/>
    <w:uiPriority w:val="0"/>
    <w:pPr>
      <w:snapToGrid w:val="0"/>
    </w:pPr>
    <w:rPr>
      <w:rFonts w:asciiTheme="minorHAnsi" w:hAnsiTheme="minorHAnsi" w:eastAsiaTheme="minorEastAsia" w:cstheme="minorBidi"/>
    </w:rPr>
  </w:style>
  <w:style w:type="paragraph" w:styleId="22">
    <w:name w:val="Balloon Text"/>
    <w:basedOn w:val="1"/>
    <w:link w:val="146"/>
    <w:qFormat/>
    <w:uiPriority w:val="99"/>
    <w:rPr>
      <w:rFonts w:asciiTheme="minorHAnsi" w:hAnsiTheme="minorHAnsi" w:eastAsiaTheme="minorEastAsia" w:cstheme="minorBidi"/>
      <w:sz w:val="18"/>
      <w:szCs w:val="18"/>
    </w:rPr>
  </w:style>
  <w:style w:type="paragraph" w:styleId="23">
    <w:name w:val="footer"/>
    <w:basedOn w:val="1"/>
    <w:link w:val="167"/>
    <w:qFormat/>
    <w:uiPriority w:val="99"/>
    <w:pPr>
      <w:snapToGrid w:val="0"/>
      <w:ind w:right="210" w:rightChars="100"/>
      <w:jc w:val="right"/>
    </w:pPr>
    <w:rPr>
      <w:rFonts w:asciiTheme="minorHAnsi" w:hAnsiTheme="minorHAnsi" w:eastAsiaTheme="minorEastAsia" w:cstheme="minorBidi"/>
      <w:sz w:val="18"/>
      <w:szCs w:val="18"/>
    </w:rPr>
  </w:style>
  <w:style w:type="paragraph" w:styleId="24">
    <w:name w:val="header"/>
    <w:basedOn w:val="1"/>
    <w:link w:val="149"/>
    <w:qFormat/>
    <w:uiPriority w:val="99"/>
    <w:pPr>
      <w:snapToGrid w:val="0"/>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6"/>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index 7"/>
    <w:basedOn w:val="1"/>
    <w:next w:val="1"/>
    <w:qFormat/>
    <w:uiPriority w:val="0"/>
    <w:pPr>
      <w:ind w:left="1470" w:hanging="210"/>
    </w:pPr>
    <w:rPr>
      <w:rFonts w:ascii="Calibri" w:hAnsi="Calibri"/>
      <w:sz w:val="20"/>
      <w:szCs w:val="20"/>
    </w:rPr>
  </w:style>
  <w:style w:type="paragraph" w:styleId="31">
    <w:name w:val="index 9"/>
    <w:basedOn w:val="1"/>
    <w:next w:val="1"/>
    <w:qFormat/>
    <w:uiPriority w:val="0"/>
    <w:pPr>
      <w:ind w:left="1890" w:hanging="210"/>
    </w:pPr>
    <w:rPr>
      <w:rFonts w:ascii="Calibri" w:hAnsi="Calibri"/>
      <w:sz w:val="20"/>
      <w:szCs w:val="20"/>
    </w:rPr>
  </w:style>
  <w:style w:type="paragraph" w:styleId="32">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3">
    <w:name w:val="HTML Preformatted"/>
    <w:basedOn w:val="1"/>
    <w:link w:val="154"/>
    <w:qFormat/>
    <w:uiPriority w:val="0"/>
    <w:rPr>
      <w:rFonts w:ascii="Courier New" w:hAnsi="Courier New" w:cs="Courier New" w:eastAsiaTheme="minorEastAsia"/>
      <w:szCs w:val="22"/>
    </w:rPr>
  </w:style>
  <w:style w:type="paragraph" w:styleId="34">
    <w:name w:val="Normal (Web)"/>
    <w:basedOn w:val="1"/>
    <w:unhideWhenUsed/>
    <w:qFormat/>
    <w:uiPriority w:val="99"/>
    <w:pPr>
      <w:spacing w:before="100" w:beforeAutospacing="1" w:after="100" w:afterAutospacing="1"/>
    </w:pPr>
    <w:rPr>
      <w:rFonts w:ascii="宋体" w:hAnsi="宋体" w:cs="宋体"/>
      <w:kern w:val="0"/>
      <w:sz w:val="24"/>
    </w:rPr>
  </w:style>
  <w:style w:type="paragraph" w:styleId="35">
    <w:name w:val="index 2"/>
    <w:basedOn w:val="1"/>
    <w:next w:val="1"/>
    <w:qFormat/>
    <w:uiPriority w:val="0"/>
    <w:pPr>
      <w:ind w:left="420" w:hanging="210"/>
    </w:pPr>
    <w:rPr>
      <w:rFonts w:ascii="Calibri" w:hAnsi="Calibri"/>
      <w:sz w:val="20"/>
      <w:szCs w:val="20"/>
    </w:rPr>
  </w:style>
  <w:style w:type="paragraph" w:styleId="36">
    <w:name w:val="Title"/>
    <w:basedOn w:val="1"/>
    <w:link w:val="18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1"/>
    <w:next w:val="11"/>
    <w:link w:val="176"/>
    <w:semiHidden/>
    <w:qFormat/>
    <w:uiPriority w:val="0"/>
    <w:rPr>
      <w:b/>
      <w:bCs/>
    </w:rPr>
  </w:style>
  <w:style w:type="paragraph" w:styleId="38">
    <w:name w:val="Body Text First Indent"/>
    <w:basedOn w:val="14"/>
    <w:qFormat/>
    <w:uiPriority w:val="0"/>
    <w:pPr>
      <w:adjustRightInd w:val="0"/>
      <w:snapToGrid w:val="0"/>
      <w:ind w:firstLine="420"/>
      <w:textAlignment w:val="baseline"/>
    </w:pPr>
    <w:rPr>
      <w:rFonts w:ascii="宋体"/>
      <w:snapToGrid w:val="0"/>
      <w:kern w:val="24"/>
      <w:sz w:val="24"/>
      <w:szCs w:val="20"/>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qFormat/>
    <w:uiPriority w:val="99"/>
    <w:rPr>
      <w:rFonts w:ascii="Times New Roman" w:hAnsi="Times New Roman" w:eastAsia="宋体"/>
      <w:sz w:val="18"/>
    </w:rPr>
  </w:style>
  <w:style w:type="character" w:styleId="44">
    <w:name w:val="FollowedHyperlink"/>
    <w:qFormat/>
    <w:uiPriority w:val="0"/>
    <w:rPr>
      <w:color w:val="800080"/>
      <w:u w:val="single"/>
    </w:rPr>
  </w:style>
  <w:style w:type="character" w:styleId="45">
    <w:name w:val="Emphasis"/>
    <w:basedOn w:val="41"/>
    <w:qFormat/>
    <w:uiPriority w:val="20"/>
    <w:rPr>
      <w:color w:val="CC0000"/>
    </w:rPr>
  </w:style>
  <w:style w:type="character" w:styleId="46">
    <w:name w:val="Hyperlink"/>
    <w:qFormat/>
    <w:uiPriority w:val="99"/>
    <w:rPr>
      <w:color w:val="0000FF"/>
      <w:spacing w:val="0"/>
      <w:w w:val="100"/>
      <w:szCs w:val="21"/>
      <w:u w:val="single"/>
      <w:lang w:val="en-US" w:eastAsia="zh-CN"/>
    </w:rPr>
  </w:style>
  <w:style w:type="character" w:styleId="47">
    <w:name w:val="annotation reference"/>
    <w:basedOn w:val="41"/>
    <w:semiHidden/>
    <w:unhideWhenUsed/>
    <w:qFormat/>
    <w:uiPriority w:val="0"/>
    <w:rPr>
      <w:sz w:val="21"/>
      <w:szCs w:val="21"/>
    </w:rPr>
  </w:style>
  <w:style w:type="character" w:styleId="48">
    <w:name w:val="footnote reference"/>
    <w:qFormat/>
    <w:uiPriority w:val="0"/>
    <w:rPr>
      <w:vertAlign w:val="superscript"/>
    </w:rPr>
  </w:style>
  <w:style w:type="paragraph" w:customStyle="1" w:styleId="49">
    <w:name w:val="Body Text Indent 21"/>
    <w:basedOn w:val="1"/>
    <w:next w:val="24"/>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0">
    <w:name w:val="标题 1 字符"/>
    <w:basedOn w:val="41"/>
    <w:link w:val="4"/>
    <w:qFormat/>
    <w:uiPriority w:val="0"/>
    <w:rPr>
      <w:rFonts w:ascii="Times New Roman" w:hAnsi="Times New Roman" w:eastAsia="宋体" w:cs="Times New Roman"/>
      <w:b/>
      <w:bCs/>
      <w:kern w:val="44"/>
      <w:sz w:val="44"/>
      <w:szCs w:val="44"/>
    </w:rPr>
  </w:style>
  <w:style w:type="character" w:customStyle="1" w:styleId="51">
    <w:name w:val="标题 2 字符"/>
    <w:basedOn w:val="41"/>
    <w:link w:val="5"/>
    <w:qFormat/>
    <w:uiPriority w:val="0"/>
    <w:rPr>
      <w:rFonts w:ascii="宋体" w:hAnsi="宋体" w:eastAsia="宋体" w:cs="Times New Roman"/>
      <w:b/>
      <w:bCs/>
      <w:kern w:val="0"/>
      <w:sz w:val="36"/>
      <w:szCs w:val="36"/>
    </w:rPr>
  </w:style>
  <w:style w:type="character" w:customStyle="1" w:styleId="52">
    <w:name w:val="批注文字 Char"/>
    <w:semiHidden/>
    <w:qFormat/>
    <w:uiPriority w:val="0"/>
    <w:rPr>
      <w:szCs w:val="24"/>
    </w:rPr>
  </w:style>
  <w:style w:type="character" w:customStyle="1" w:styleId="53">
    <w:name w:val="批注主题 Char"/>
    <w:semiHidden/>
    <w:qFormat/>
    <w:uiPriority w:val="0"/>
    <w:rPr>
      <w:b/>
      <w:bCs/>
      <w:szCs w:val="24"/>
    </w:rPr>
  </w:style>
  <w:style w:type="character" w:customStyle="1" w:styleId="54">
    <w:name w:val="文档结构图 Char"/>
    <w:semiHidden/>
    <w:qFormat/>
    <w:uiPriority w:val="0"/>
    <w:rPr>
      <w:szCs w:val="24"/>
      <w:shd w:val="clear" w:color="auto" w:fill="000080"/>
    </w:rPr>
  </w:style>
  <w:style w:type="character" w:customStyle="1" w:styleId="55">
    <w:name w:val="脚注文本 Char"/>
    <w:qFormat/>
    <w:uiPriority w:val="0"/>
    <w:rPr>
      <w:rFonts w:ascii="宋体"/>
      <w:sz w:val="18"/>
      <w:szCs w:val="18"/>
    </w:rPr>
  </w:style>
  <w:style w:type="character" w:customStyle="1" w:styleId="56">
    <w:name w:val="con"/>
    <w:qFormat/>
    <w:uiPriority w:val="0"/>
  </w:style>
  <w:style w:type="character" w:customStyle="1" w:styleId="57">
    <w:name w:val="bar-label2"/>
    <w:qFormat/>
    <w:uiPriority w:val="99"/>
  </w:style>
  <w:style w:type="character" w:customStyle="1" w:styleId="58">
    <w:name w:val="正文文本缩进 2 Char"/>
    <w:qFormat/>
    <w:uiPriority w:val="99"/>
    <w:rPr>
      <w:szCs w:val="24"/>
    </w:rPr>
  </w:style>
  <w:style w:type="character" w:customStyle="1" w:styleId="59">
    <w:name w:val="日期 Char"/>
    <w:qFormat/>
    <w:uiPriority w:val="99"/>
    <w:rPr>
      <w:szCs w:val="24"/>
    </w:rPr>
  </w:style>
  <w:style w:type="character" w:customStyle="1" w:styleId="60">
    <w:name w:val="页脚 Char"/>
    <w:qFormat/>
    <w:locked/>
    <w:uiPriority w:val="99"/>
    <w:rPr>
      <w:sz w:val="18"/>
      <w:szCs w:val="18"/>
    </w:rPr>
  </w:style>
  <w:style w:type="character" w:customStyle="1" w:styleId="61">
    <w:name w:val="apple-converted-space"/>
    <w:basedOn w:val="41"/>
    <w:qFormat/>
    <w:uiPriority w:val="0"/>
  </w:style>
  <w:style w:type="character" w:customStyle="1" w:styleId="62">
    <w:name w:val="批注框文本 Char"/>
    <w:qFormat/>
    <w:uiPriority w:val="99"/>
    <w:rPr>
      <w:sz w:val="18"/>
      <w:szCs w:val="18"/>
    </w:rPr>
  </w:style>
  <w:style w:type="character" w:customStyle="1" w:styleId="63">
    <w:name w:val="页眉 Char"/>
    <w:qFormat/>
    <w:locked/>
    <w:uiPriority w:val="99"/>
    <w:rPr>
      <w:sz w:val="18"/>
      <w:szCs w:val="18"/>
    </w:rPr>
  </w:style>
  <w:style w:type="character" w:customStyle="1" w:styleId="64">
    <w:name w:val="首示例 Char"/>
    <w:link w:val="65"/>
    <w:qFormat/>
    <w:uiPriority w:val="0"/>
    <w:rPr>
      <w:rFonts w:ascii="宋体" w:hAnsi="宋体"/>
      <w:sz w:val="18"/>
      <w:szCs w:val="18"/>
    </w:rPr>
  </w:style>
  <w:style w:type="paragraph" w:customStyle="1" w:styleId="65">
    <w:name w:val="首示例"/>
    <w:next w:val="66"/>
    <w:link w:val="64"/>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6">
    <w:name w:val="段"/>
    <w:link w:val="67"/>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7">
    <w:name w:val="段 Char"/>
    <w:link w:val="66"/>
    <w:qFormat/>
    <w:uiPriority w:val="0"/>
    <w:rPr>
      <w:rFonts w:ascii="宋体"/>
    </w:rPr>
  </w:style>
  <w:style w:type="character" w:customStyle="1" w:styleId="68">
    <w:name w:val="附录公式 Char"/>
    <w:basedOn w:val="67"/>
    <w:link w:val="69"/>
    <w:qFormat/>
    <w:uiPriority w:val="0"/>
    <w:rPr>
      <w:rFonts w:ascii="宋体"/>
    </w:rPr>
  </w:style>
  <w:style w:type="paragraph" w:customStyle="1" w:styleId="69">
    <w:name w:val="附录公式"/>
    <w:basedOn w:val="66"/>
    <w:next w:val="66"/>
    <w:link w:val="68"/>
    <w:qFormat/>
    <w:uiPriority w:val="0"/>
  </w:style>
  <w:style w:type="character" w:customStyle="1" w:styleId="70">
    <w:name w:val="发布"/>
    <w:qFormat/>
    <w:uiPriority w:val="0"/>
    <w:rPr>
      <w:rFonts w:ascii="黑体" w:eastAsia="黑体"/>
      <w:spacing w:val="85"/>
      <w:w w:val="100"/>
      <w:position w:val="3"/>
      <w:sz w:val="28"/>
      <w:szCs w:val="28"/>
    </w:rPr>
  </w:style>
  <w:style w:type="character" w:customStyle="1" w:styleId="71">
    <w:name w:val="一级条标题 Char"/>
    <w:link w:val="72"/>
    <w:qFormat/>
    <w:uiPriority w:val="0"/>
    <w:rPr>
      <w:rFonts w:ascii="黑体" w:eastAsia="黑体"/>
      <w:szCs w:val="21"/>
    </w:rPr>
  </w:style>
  <w:style w:type="paragraph" w:customStyle="1" w:styleId="72">
    <w:name w:val="一级条标题"/>
    <w:next w:val="66"/>
    <w:link w:val="71"/>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3">
    <w:name w:val="HTML 预设格式 Char"/>
    <w:qFormat/>
    <w:uiPriority w:val="0"/>
    <w:rPr>
      <w:rFonts w:ascii="Courier New" w:hAnsi="Courier New" w:cs="Courier New"/>
    </w:rPr>
  </w:style>
  <w:style w:type="character" w:customStyle="1" w:styleId="74">
    <w:name w:val="尾注文本 Char"/>
    <w:semiHidden/>
    <w:qFormat/>
    <w:uiPriority w:val="0"/>
    <w:rPr>
      <w:szCs w:val="24"/>
    </w:rPr>
  </w:style>
  <w:style w:type="paragraph" w:customStyle="1" w:styleId="75">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6">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7">
    <w:name w:val="List Paragraph"/>
    <w:basedOn w:val="1"/>
    <w:qFormat/>
    <w:uiPriority w:val="34"/>
    <w:pPr>
      <w:ind w:firstLine="420" w:firstLineChars="200"/>
    </w:pPr>
    <w:rPr>
      <w:rFonts w:ascii="宋体" w:hAnsi="宋体" w:cs="宋体"/>
      <w:kern w:val="0"/>
      <w:sz w:val="24"/>
    </w:rPr>
  </w:style>
  <w:style w:type="paragraph" w:customStyle="1" w:styleId="78">
    <w:name w:val="封面一致性程度标识2"/>
    <w:basedOn w:val="79"/>
    <w:qFormat/>
    <w:uiPriority w:val="0"/>
    <w:pPr>
      <w:framePr w:wrap="around" w:y="4469"/>
    </w:pPr>
  </w:style>
  <w:style w:type="paragraph" w:customStyle="1" w:styleId="79">
    <w:name w:val="封面一致性程度标识"/>
    <w:basedOn w:val="80"/>
    <w:qFormat/>
    <w:uiPriority w:val="0"/>
    <w:pPr>
      <w:framePr w:wrap="around"/>
      <w:spacing w:before="440"/>
    </w:pPr>
    <w:rPr>
      <w:rFonts w:ascii="宋体" w:eastAsia="宋体"/>
    </w:rPr>
  </w:style>
  <w:style w:type="paragraph" w:customStyle="1" w:styleId="80">
    <w:name w:val="封面标准英文名称"/>
    <w:basedOn w:val="81"/>
    <w:qFormat/>
    <w:uiPriority w:val="0"/>
    <w:pPr>
      <w:framePr w:wrap="around"/>
      <w:spacing w:before="370" w:line="400" w:lineRule="exact"/>
    </w:pPr>
    <w:rPr>
      <w:rFonts w:ascii="Times New Roman"/>
      <w:sz w:val="28"/>
      <w:szCs w:val="28"/>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2"/>
    <w:basedOn w:val="80"/>
    <w:qFormat/>
    <w:uiPriority w:val="0"/>
    <w:pPr>
      <w:framePr w:wrap="around" w:y="4469"/>
    </w:pPr>
  </w:style>
  <w:style w:type="paragraph" w:customStyle="1" w:styleId="83">
    <w:name w:val="其他发布日期"/>
    <w:basedOn w:val="84"/>
    <w:qFormat/>
    <w:uiPriority w:val="0"/>
    <w:pPr>
      <w:framePr w:wrap="around" w:vAnchor="page" w:hAnchor="text" w:x="1419"/>
    </w:pPr>
  </w:style>
  <w:style w:type="paragraph" w:customStyle="1" w:styleId="84">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5">
    <w:name w:val="正文公式编号制表符"/>
    <w:basedOn w:val="66"/>
    <w:next w:val="66"/>
    <w:qFormat/>
    <w:uiPriority w:val="0"/>
    <w:pPr>
      <w:ind w:firstLine="0" w:firstLineChars="0"/>
    </w:pPr>
  </w:style>
  <w:style w:type="paragraph" w:customStyle="1" w:styleId="86">
    <w:name w:val="正文表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7">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8">
    <w:name w:val="一级无"/>
    <w:basedOn w:val="72"/>
    <w:qFormat/>
    <w:uiPriority w:val="0"/>
  </w:style>
  <w:style w:type="paragraph" w:customStyle="1" w:styleId="89">
    <w:name w:val="图的脚注"/>
    <w:next w:val="66"/>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0">
    <w:name w:val="图标脚注说明"/>
    <w:basedOn w:val="66"/>
    <w:qFormat/>
    <w:uiPriority w:val="0"/>
    <w:pPr>
      <w:ind w:left="840" w:hanging="420" w:firstLineChars="0"/>
    </w:pPr>
    <w:rPr>
      <w:sz w:val="18"/>
      <w:szCs w:val="18"/>
    </w:rPr>
  </w:style>
  <w:style w:type="paragraph" w:customStyle="1" w:styleId="91">
    <w:name w:val="示例后文字"/>
    <w:basedOn w:val="66"/>
    <w:next w:val="66"/>
    <w:qFormat/>
    <w:uiPriority w:val="0"/>
    <w:pPr>
      <w:ind w:firstLine="360"/>
    </w:pPr>
    <w:rPr>
      <w:sz w:val="18"/>
    </w:rPr>
  </w:style>
  <w:style w:type="paragraph" w:customStyle="1" w:styleId="92">
    <w:name w:val="实施日期"/>
    <w:basedOn w:val="84"/>
    <w:qFormat/>
    <w:uiPriority w:val="0"/>
    <w:pPr>
      <w:framePr w:wrap="around" w:vAnchor="page" w:hAnchor="text"/>
      <w:jc w:val="right"/>
    </w:pPr>
  </w:style>
  <w:style w:type="paragraph" w:customStyle="1" w:styleId="93">
    <w:name w:val="前言、引言标题"/>
    <w:next w:val="66"/>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7">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8">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9">
    <w:name w:val="条文脚注"/>
    <w:basedOn w:val="28"/>
    <w:qFormat/>
    <w:uiPriority w:val="0"/>
    <w:pPr>
      <w:ind w:left="0" w:firstLine="0"/>
      <w:jc w:val="both"/>
    </w:pPr>
  </w:style>
  <w:style w:type="paragraph" w:customStyle="1" w:styleId="100">
    <w:name w:val="附录一级无"/>
    <w:basedOn w:val="101"/>
    <w:qFormat/>
    <w:uiPriority w:val="0"/>
    <w:pPr>
      <w:tabs>
        <w:tab w:val="left" w:pos="360"/>
      </w:tabs>
      <w:spacing w:beforeLines="0" w:afterLines="0"/>
    </w:pPr>
    <w:rPr>
      <w:rFonts w:ascii="宋体" w:eastAsia="宋体"/>
      <w:szCs w:val="21"/>
    </w:rPr>
  </w:style>
  <w:style w:type="paragraph" w:customStyle="1" w:styleId="101">
    <w:name w:val="附录一级条标题"/>
    <w:basedOn w:val="102"/>
    <w:next w:val="66"/>
    <w:qFormat/>
    <w:uiPriority w:val="0"/>
    <w:pPr>
      <w:tabs>
        <w:tab w:val="left" w:pos="360"/>
      </w:tabs>
      <w:autoSpaceDN w:val="0"/>
      <w:spacing w:beforeLines="50" w:afterLines="50"/>
      <w:outlineLvl w:val="2"/>
    </w:pPr>
  </w:style>
  <w:style w:type="paragraph" w:customStyle="1" w:styleId="102">
    <w:name w:val="附录章标题"/>
    <w:next w:val="66"/>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五级无"/>
    <w:basedOn w:val="104"/>
    <w:qFormat/>
    <w:uiPriority w:val="0"/>
    <w:pPr>
      <w:tabs>
        <w:tab w:val="left" w:pos="360"/>
      </w:tabs>
      <w:spacing w:beforeLines="0" w:afterLines="0"/>
    </w:pPr>
    <w:rPr>
      <w:rFonts w:ascii="宋体" w:eastAsia="宋体"/>
      <w:szCs w:val="21"/>
    </w:rPr>
  </w:style>
  <w:style w:type="paragraph" w:customStyle="1" w:styleId="104">
    <w:name w:val="附录五级条标题"/>
    <w:basedOn w:val="105"/>
    <w:next w:val="66"/>
    <w:qFormat/>
    <w:uiPriority w:val="0"/>
    <w:pPr>
      <w:tabs>
        <w:tab w:val="left" w:pos="360"/>
      </w:tabs>
      <w:outlineLvl w:val="6"/>
    </w:pPr>
  </w:style>
  <w:style w:type="paragraph" w:customStyle="1" w:styleId="105">
    <w:name w:val="附录四级条标题"/>
    <w:basedOn w:val="106"/>
    <w:next w:val="66"/>
    <w:qFormat/>
    <w:uiPriority w:val="0"/>
    <w:pPr>
      <w:tabs>
        <w:tab w:val="left" w:pos="360"/>
      </w:tabs>
    </w:pPr>
  </w:style>
  <w:style w:type="paragraph" w:customStyle="1" w:styleId="106">
    <w:name w:val="附录三级条标题"/>
    <w:basedOn w:val="107"/>
    <w:next w:val="66"/>
    <w:qFormat/>
    <w:uiPriority w:val="0"/>
    <w:pPr>
      <w:tabs>
        <w:tab w:val="left" w:pos="360"/>
      </w:tabs>
    </w:pPr>
  </w:style>
  <w:style w:type="paragraph" w:customStyle="1" w:styleId="107">
    <w:name w:val="附录二级条标题"/>
    <w:basedOn w:val="1"/>
    <w:next w:val="66"/>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图标题"/>
    <w:basedOn w:val="1"/>
    <w:next w:val="66"/>
    <w:qFormat/>
    <w:uiPriority w:val="0"/>
    <w:pPr>
      <w:tabs>
        <w:tab w:val="left" w:pos="363"/>
      </w:tabs>
      <w:spacing w:beforeLines="50" w:afterLines="50"/>
      <w:jc w:val="center"/>
    </w:pPr>
    <w:rPr>
      <w:rFonts w:ascii="黑体" w:eastAsia="黑体"/>
      <w:szCs w:val="21"/>
    </w:rPr>
  </w:style>
  <w:style w:type="paragraph" w:customStyle="1" w:styleId="109">
    <w:name w:val="附录图标号"/>
    <w:basedOn w:val="1"/>
    <w:qFormat/>
    <w:uiPriority w:val="0"/>
    <w:pPr>
      <w:keepNext/>
      <w:pageBreakBefore/>
      <w:spacing w:line="14" w:lineRule="exact"/>
      <w:ind w:firstLine="363"/>
      <w:jc w:val="center"/>
      <w:outlineLvl w:val="0"/>
    </w:pPr>
    <w:rPr>
      <w:color w:val="FFFFFF"/>
    </w:rPr>
  </w:style>
  <w:style w:type="paragraph" w:customStyle="1" w:styleId="110">
    <w:name w:val="附录四级无"/>
    <w:basedOn w:val="105"/>
    <w:qFormat/>
    <w:uiPriority w:val="0"/>
    <w:pPr>
      <w:tabs>
        <w:tab w:val="clear" w:pos="360"/>
      </w:tabs>
      <w:spacing w:beforeLines="0" w:afterLines="0"/>
      <w:outlineLvl w:val="5"/>
    </w:pPr>
    <w:rPr>
      <w:rFonts w:ascii="宋体" w:eastAsia="宋体"/>
      <w:szCs w:val="21"/>
    </w:rPr>
  </w:style>
  <w:style w:type="paragraph" w:customStyle="1" w:styleId="111">
    <w:name w:val="附录三级无"/>
    <w:basedOn w:val="106"/>
    <w:qFormat/>
    <w:uiPriority w:val="0"/>
  </w:style>
  <w:style w:type="paragraph" w:customStyle="1" w:styleId="112">
    <w:name w:val="注："/>
    <w:next w:val="66"/>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3">
    <w:name w:val="附录公式编号制表符"/>
    <w:basedOn w:val="1"/>
    <w:next w:val="66"/>
    <w:qFormat/>
    <w:uiPriority w:val="0"/>
    <w:pPr>
      <w:tabs>
        <w:tab w:val="center" w:pos="4201"/>
        <w:tab w:val="right" w:leader="dot" w:pos="9298"/>
      </w:tabs>
      <w:autoSpaceDE w:val="0"/>
      <w:autoSpaceDN w:val="0"/>
    </w:pPr>
    <w:rPr>
      <w:rFonts w:ascii="宋体"/>
      <w:kern w:val="0"/>
      <w:szCs w:val="20"/>
    </w:rPr>
  </w:style>
  <w:style w:type="paragraph" w:customStyle="1" w:styleId="114">
    <w:name w:val="附录二级无"/>
    <w:basedOn w:val="107"/>
    <w:qFormat/>
    <w:uiPriority w:val="0"/>
  </w:style>
  <w:style w:type="paragraph" w:customStyle="1" w:styleId="115">
    <w:name w:val="附录标题"/>
    <w:basedOn w:val="66"/>
    <w:next w:val="66"/>
    <w:qFormat/>
    <w:uiPriority w:val="0"/>
    <w:pPr>
      <w:ind w:firstLine="0" w:firstLineChars="0"/>
      <w:jc w:val="center"/>
    </w:pPr>
    <w:rPr>
      <w:rFonts w:ascii="黑体" w:eastAsia="黑体"/>
    </w:rPr>
  </w:style>
  <w:style w:type="paragraph" w:customStyle="1" w:styleId="116">
    <w:name w:val="参考文献"/>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7">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8">
    <w:name w:val="封面标准文稿类别"/>
    <w:basedOn w:val="79"/>
    <w:qFormat/>
    <w:uiPriority w:val="0"/>
    <w:pPr>
      <w:framePr w:wrap="around"/>
      <w:spacing w:after="160" w:line="240" w:lineRule="auto"/>
    </w:pPr>
    <w:rPr>
      <w:sz w:val="24"/>
    </w:rPr>
  </w:style>
  <w:style w:type="paragraph" w:customStyle="1" w:styleId="119">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0">
    <w:name w:val="其他实施日期"/>
    <w:basedOn w:val="92"/>
    <w:qFormat/>
    <w:uiPriority w:val="0"/>
    <w:pPr>
      <w:framePr w:wrap="around" w:vAnchor="margin" w:hAnchor="page"/>
    </w:pPr>
  </w:style>
  <w:style w:type="paragraph" w:customStyle="1" w:styleId="1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发布部门"/>
    <w:next w:val="66"/>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3">
    <w:name w:val="注：（正文）"/>
    <w:basedOn w:val="112"/>
    <w:next w:val="66"/>
    <w:qFormat/>
    <w:uiPriority w:val="0"/>
  </w:style>
  <w:style w:type="paragraph" w:customStyle="1" w:styleId="124">
    <w:name w:val="参考文献、索引标题"/>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7">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8">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9">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0">
    <w:name w:val="示例×："/>
    <w:basedOn w:val="131"/>
    <w:qFormat/>
    <w:uiPriority w:val="0"/>
    <w:pPr>
      <w:spacing w:beforeLines="0" w:afterLines="0"/>
      <w:ind w:firstLine="363"/>
      <w:outlineLvl w:val="9"/>
    </w:pPr>
    <w:rPr>
      <w:rFonts w:ascii="宋体" w:eastAsia="宋体"/>
      <w:sz w:val="18"/>
      <w:szCs w:val="18"/>
    </w:rPr>
  </w:style>
  <w:style w:type="paragraph" w:customStyle="1" w:styleId="131">
    <w:name w:val="章标题"/>
    <w:next w:val="66"/>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2">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3">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5">
    <w:name w:val="五级无"/>
    <w:basedOn w:val="136"/>
    <w:qFormat/>
    <w:uiPriority w:val="0"/>
    <w:pPr>
      <w:spacing w:beforeLines="0" w:afterLines="0"/>
      <w:outlineLvl w:val="6"/>
    </w:pPr>
    <w:rPr>
      <w:rFonts w:ascii="宋体" w:eastAsia="宋体"/>
    </w:rPr>
  </w:style>
  <w:style w:type="paragraph" w:customStyle="1" w:styleId="136">
    <w:name w:val="五级条标题"/>
    <w:basedOn w:val="137"/>
    <w:next w:val="66"/>
    <w:qFormat/>
    <w:uiPriority w:val="0"/>
  </w:style>
  <w:style w:type="paragraph" w:customStyle="1" w:styleId="137">
    <w:name w:val="四级条标题"/>
    <w:basedOn w:val="138"/>
    <w:next w:val="66"/>
    <w:qFormat/>
    <w:uiPriority w:val="0"/>
  </w:style>
  <w:style w:type="paragraph" w:customStyle="1" w:styleId="138">
    <w:name w:val="三级条标题"/>
    <w:basedOn w:val="139"/>
    <w:next w:val="66"/>
    <w:qFormat/>
    <w:uiPriority w:val="0"/>
  </w:style>
  <w:style w:type="paragraph" w:customStyle="1" w:styleId="139">
    <w:name w:val="二级条标题"/>
    <w:basedOn w:val="72"/>
    <w:next w:val="66"/>
    <w:qFormat/>
    <w:uiPriority w:val="0"/>
  </w:style>
  <w:style w:type="paragraph" w:customStyle="1" w:styleId="140">
    <w:name w:val="四级无"/>
    <w:basedOn w:val="137"/>
    <w:qFormat/>
    <w:uiPriority w:val="0"/>
  </w:style>
  <w:style w:type="paragraph" w:customStyle="1" w:styleId="141">
    <w:name w:val="三级无"/>
    <w:basedOn w:val="138"/>
    <w:qFormat/>
    <w:uiPriority w:val="0"/>
  </w:style>
  <w:style w:type="paragraph" w:customStyle="1" w:styleId="142">
    <w:name w:val="其他标准标志"/>
    <w:basedOn w:val="126"/>
    <w:qFormat/>
    <w:uiPriority w:val="0"/>
    <w:pPr>
      <w:framePr w:w="6101" w:wrap="around" w:vAnchor="page" w:hAnchor="page" w:x="4673" w:y="942"/>
    </w:pPr>
    <w:rPr>
      <w:w w:val="130"/>
    </w:rPr>
  </w:style>
  <w:style w:type="paragraph" w:customStyle="1" w:styleId="143">
    <w:name w:val="目次、标准名称标题"/>
    <w:basedOn w:val="1"/>
    <w:next w:val="66"/>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5">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6">
    <w:name w:val="批注框文本 字符"/>
    <w:basedOn w:val="41"/>
    <w:link w:val="22"/>
    <w:semiHidden/>
    <w:qFormat/>
    <w:uiPriority w:val="99"/>
    <w:rPr>
      <w:rFonts w:ascii="Times New Roman" w:hAnsi="Times New Roman" w:eastAsia="宋体" w:cs="Times New Roman"/>
      <w:sz w:val="18"/>
      <w:szCs w:val="18"/>
    </w:rPr>
  </w:style>
  <w:style w:type="paragraph" w:customStyle="1" w:styleId="147">
    <w:name w:val="列项◆（三级）"/>
    <w:basedOn w:val="1"/>
    <w:qFormat/>
    <w:uiPriority w:val="99"/>
    <w:pPr>
      <w:tabs>
        <w:tab w:val="left" w:pos="969"/>
      </w:tabs>
      <w:ind w:left="969" w:hanging="414"/>
    </w:pPr>
    <w:rPr>
      <w:rFonts w:ascii="宋体"/>
      <w:szCs w:val="21"/>
    </w:rPr>
  </w:style>
  <w:style w:type="paragraph" w:customStyle="1" w:styleId="148">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9">
    <w:name w:val="页眉 字符"/>
    <w:basedOn w:val="41"/>
    <w:link w:val="24"/>
    <w:semiHidden/>
    <w:qFormat/>
    <w:uiPriority w:val="99"/>
    <w:rPr>
      <w:rFonts w:ascii="Times New Roman" w:hAnsi="Times New Roman" w:eastAsia="宋体" w:cs="Times New Roman"/>
      <w:sz w:val="18"/>
      <w:szCs w:val="18"/>
    </w:rPr>
  </w:style>
  <w:style w:type="paragraph" w:customStyle="1" w:styleId="150">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1">
    <w:name w:val="其他发布部门"/>
    <w:basedOn w:val="122"/>
    <w:qFormat/>
    <w:uiPriority w:val="0"/>
    <w:pPr>
      <w:framePr w:wrap="around" w:y="15310"/>
      <w:spacing w:line="0" w:lineRule="atLeast"/>
    </w:pPr>
    <w:rPr>
      <w:rFonts w:ascii="黑体" w:eastAsia="黑体"/>
      <w:b w:val="0"/>
    </w:rPr>
  </w:style>
  <w:style w:type="paragraph" w:customStyle="1" w:styleId="152">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3">
    <w:name w:val="正文图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4">
    <w:name w:val="HTML 预设格式 字符"/>
    <w:basedOn w:val="41"/>
    <w:link w:val="33"/>
    <w:semiHidden/>
    <w:qFormat/>
    <w:uiPriority w:val="99"/>
    <w:rPr>
      <w:rFonts w:ascii="Courier New" w:hAnsi="Courier New" w:eastAsia="宋体" w:cs="Courier New"/>
      <w:sz w:val="20"/>
      <w:szCs w:val="20"/>
    </w:rPr>
  </w:style>
  <w:style w:type="paragraph" w:customStyle="1" w:styleId="155">
    <w:name w:val="附录标识"/>
    <w:basedOn w:val="1"/>
    <w:next w:val="66"/>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6">
    <w:name w:val="脚注文本 字符"/>
    <w:basedOn w:val="41"/>
    <w:link w:val="28"/>
    <w:semiHidden/>
    <w:qFormat/>
    <w:uiPriority w:val="99"/>
    <w:rPr>
      <w:rFonts w:ascii="Times New Roman" w:hAnsi="Times New Roman" w:eastAsia="宋体" w:cs="Times New Roman"/>
      <w:sz w:val="18"/>
      <w:szCs w:val="18"/>
    </w:rPr>
  </w:style>
  <w:style w:type="paragraph" w:customStyle="1" w:styleId="157">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8">
    <w:name w:val="二级无"/>
    <w:basedOn w:val="139"/>
    <w:qFormat/>
    <w:uiPriority w:val="0"/>
  </w:style>
  <w:style w:type="paragraph" w:customStyle="1" w:styleId="159">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0">
    <w:name w:val="正文文本缩进 2 字符"/>
    <w:basedOn w:val="41"/>
    <w:link w:val="20"/>
    <w:semiHidden/>
    <w:qFormat/>
    <w:uiPriority w:val="99"/>
    <w:rPr>
      <w:rFonts w:ascii="Times New Roman" w:hAnsi="Times New Roman" w:eastAsia="宋体" w:cs="Times New Roman"/>
      <w:szCs w:val="24"/>
    </w:rPr>
  </w:style>
  <w:style w:type="paragraph" w:customStyle="1" w:styleId="161">
    <w:name w:val="封面标准文稿编辑信息2"/>
    <w:basedOn w:val="162"/>
    <w:qFormat/>
    <w:uiPriority w:val="0"/>
    <w:pPr>
      <w:framePr w:wrap="around" w:y="4469"/>
    </w:pPr>
  </w:style>
  <w:style w:type="paragraph" w:customStyle="1" w:styleId="162">
    <w:name w:val="封面标准文稿编辑信息"/>
    <w:basedOn w:val="118"/>
    <w:qFormat/>
    <w:uiPriority w:val="0"/>
    <w:pPr>
      <w:framePr w:wrap="around"/>
      <w:spacing w:before="180" w:line="180" w:lineRule="exact"/>
    </w:pPr>
    <w:rPr>
      <w:sz w:val="21"/>
    </w:rPr>
  </w:style>
  <w:style w:type="paragraph" w:customStyle="1" w:styleId="163">
    <w:name w:val="附录表标题"/>
    <w:basedOn w:val="1"/>
    <w:next w:val="66"/>
    <w:qFormat/>
    <w:uiPriority w:val="0"/>
    <w:pPr>
      <w:tabs>
        <w:tab w:val="left" w:pos="180"/>
      </w:tabs>
      <w:spacing w:beforeLines="50" w:afterLines="50"/>
      <w:jc w:val="center"/>
    </w:pPr>
    <w:rPr>
      <w:rFonts w:ascii="黑体" w:eastAsia="黑体"/>
      <w:szCs w:val="21"/>
    </w:rPr>
  </w:style>
  <w:style w:type="paragraph" w:customStyle="1" w:styleId="164">
    <w:name w:val="标准书眉_偶数页"/>
    <w:basedOn w:val="148"/>
    <w:next w:val="1"/>
    <w:qFormat/>
    <w:uiPriority w:val="0"/>
    <w:pPr>
      <w:jc w:val="left"/>
    </w:pPr>
  </w:style>
  <w:style w:type="paragraph" w:customStyle="1" w:styleId="165">
    <w:name w:val="附录表标号"/>
    <w:basedOn w:val="1"/>
    <w:next w:val="66"/>
    <w:qFormat/>
    <w:uiPriority w:val="0"/>
    <w:pPr>
      <w:spacing w:line="14" w:lineRule="exact"/>
      <w:ind w:left="811" w:hanging="448"/>
      <w:jc w:val="center"/>
      <w:outlineLvl w:val="0"/>
    </w:pPr>
    <w:rPr>
      <w:color w:val="FFFFFF"/>
    </w:rPr>
  </w:style>
  <w:style w:type="paragraph" w:customStyle="1" w:styleId="166">
    <w:name w:val="图表脚注说明"/>
    <w:basedOn w:val="1"/>
    <w:qFormat/>
    <w:uiPriority w:val="0"/>
    <w:pPr>
      <w:ind w:left="544" w:hanging="181"/>
    </w:pPr>
    <w:rPr>
      <w:rFonts w:ascii="宋体"/>
      <w:sz w:val="18"/>
      <w:szCs w:val="18"/>
    </w:rPr>
  </w:style>
  <w:style w:type="character" w:customStyle="1" w:styleId="167">
    <w:name w:val="页脚 字符"/>
    <w:basedOn w:val="41"/>
    <w:link w:val="23"/>
    <w:semiHidden/>
    <w:qFormat/>
    <w:uiPriority w:val="99"/>
    <w:rPr>
      <w:rFonts w:ascii="Times New Roman" w:hAnsi="Times New Roman" w:eastAsia="宋体" w:cs="Times New Roman"/>
      <w:sz w:val="18"/>
      <w:szCs w:val="18"/>
    </w:rPr>
  </w:style>
  <w:style w:type="character" w:customStyle="1" w:styleId="168">
    <w:name w:val="批注文字 字符"/>
    <w:basedOn w:val="41"/>
    <w:link w:val="11"/>
    <w:semiHidden/>
    <w:qFormat/>
    <w:uiPriority w:val="99"/>
    <w:rPr>
      <w:rFonts w:ascii="Times New Roman" w:hAnsi="Times New Roman" w:eastAsia="宋体" w:cs="Times New Roman"/>
      <w:szCs w:val="24"/>
    </w:rPr>
  </w:style>
  <w:style w:type="paragraph" w:customStyle="1" w:styleId="169">
    <w:name w:val="封面标准名称2"/>
    <w:basedOn w:val="81"/>
    <w:qFormat/>
    <w:uiPriority w:val="0"/>
    <w:pPr>
      <w:framePr w:wrap="around" w:y="4469"/>
      <w:spacing w:beforeLines="630"/>
    </w:pPr>
  </w:style>
  <w:style w:type="character" w:customStyle="1" w:styleId="170">
    <w:name w:val="日期 字符"/>
    <w:basedOn w:val="41"/>
    <w:link w:val="19"/>
    <w:semiHidden/>
    <w:qFormat/>
    <w:uiPriority w:val="99"/>
    <w:rPr>
      <w:rFonts w:ascii="Times New Roman" w:hAnsi="Times New Roman" w:eastAsia="宋体" w:cs="Times New Roman"/>
      <w:szCs w:val="24"/>
    </w:rPr>
  </w:style>
  <w:style w:type="character" w:customStyle="1" w:styleId="171">
    <w:name w:val="文档结构图 字符"/>
    <w:basedOn w:val="41"/>
    <w:link w:val="10"/>
    <w:semiHidden/>
    <w:qFormat/>
    <w:uiPriority w:val="99"/>
    <w:rPr>
      <w:rFonts w:ascii="宋体" w:hAnsi="Times New Roman" w:eastAsia="宋体" w:cs="Times New Roman"/>
      <w:sz w:val="18"/>
      <w:szCs w:val="18"/>
    </w:rPr>
  </w:style>
  <w:style w:type="paragraph" w:customStyle="1" w:styleId="172">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3">
    <w:name w:val="封面标准文稿类别2"/>
    <w:basedOn w:val="118"/>
    <w:qFormat/>
    <w:uiPriority w:val="0"/>
    <w:pPr>
      <w:framePr w:wrap="around" w:y="4469"/>
    </w:pPr>
  </w:style>
  <w:style w:type="paragraph" w:customStyle="1" w:styleId="174">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5">
    <w:name w:val="终结线"/>
    <w:basedOn w:val="1"/>
    <w:qFormat/>
    <w:uiPriority w:val="0"/>
    <w:pPr>
      <w:framePr w:hSpace="181" w:vSpace="181" w:wrap="around" w:vAnchor="text" w:hAnchor="margin" w:xAlign="center" w:y="285"/>
    </w:pPr>
  </w:style>
  <w:style w:type="character" w:customStyle="1" w:styleId="176">
    <w:name w:val="批注主题 字符"/>
    <w:basedOn w:val="168"/>
    <w:link w:val="37"/>
    <w:semiHidden/>
    <w:qFormat/>
    <w:uiPriority w:val="99"/>
    <w:rPr>
      <w:rFonts w:ascii="Times New Roman" w:hAnsi="Times New Roman" w:eastAsia="宋体" w:cs="Times New Roman"/>
      <w:b/>
      <w:bCs/>
      <w:szCs w:val="24"/>
    </w:rPr>
  </w:style>
  <w:style w:type="character" w:customStyle="1" w:styleId="177">
    <w:name w:val="尾注文本 字符"/>
    <w:basedOn w:val="41"/>
    <w:link w:val="21"/>
    <w:semiHidden/>
    <w:qFormat/>
    <w:uiPriority w:val="99"/>
    <w:rPr>
      <w:rFonts w:ascii="Times New Roman" w:hAnsi="Times New Roman" w:eastAsia="宋体" w:cs="Times New Roman"/>
      <w:szCs w:val="24"/>
    </w:rPr>
  </w:style>
  <w:style w:type="paragraph" w:customStyle="1" w:styleId="178">
    <w:name w:val="示例"/>
    <w:next w:val="129"/>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9">
    <w:name w:val="正文文本 3 字符"/>
    <w:basedOn w:val="41"/>
    <w:link w:val="13"/>
    <w:semiHidden/>
    <w:qFormat/>
    <w:uiPriority w:val="99"/>
    <w:rPr>
      <w:rFonts w:ascii="Times New Roman" w:hAnsi="Times New Roman" w:eastAsia="宋体" w:cs="Times New Roman"/>
      <w:sz w:val="16"/>
      <w:szCs w:val="16"/>
    </w:rPr>
  </w:style>
  <w:style w:type="character" w:customStyle="1" w:styleId="180">
    <w:name w:val="标题 字符"/>
    <w:basedOn w:val="41"/>
    <w:link w:val="36"/>
    <w:qFormat/>
    <w:uiPriority w:val="0"/>
    <w:rPr>
      <w:rFonts w:ascii="Arial" w:hAnsi="Arial" w:eastAsia="宋体" w:cs="Times New Roman"/>
      <w:b/>
      <w:kern w:val="0"/>
      <w:sz w:val="32"/>
      <w:szCs w:val="20"/>
    </w:rPr>
  </w:style>
  <w:style w:type="paragraph" w:customStyle="1" w:styleId="181">
    <w:name w:val="p0"/>
    <w:basedOn w:val="1"/>
    <w:qFormat/>
    <w:uiPriority w:val="0"/>
    <w:pPr>
      <w:spacing w:line="240" w:lineRule="auto"/>
      <w:jc w:val="both"/>
    </w:pPr>
    <w:rPr>
      <w:kern w:val="0"/>
      <w:szCs w:val="21"/>
    </w:rPr>
  </w:style>
  <w:style w:type="character" w:customStyle="1" w:styleId="182">
    <w:name w:val="纯文本 字符"/>
    <w:basedOn w:val="41"/>
    <w:link w:val="17"/>
    <w:qFormat/>
    <w:uiPriority w:val="99"/>
    <w:rPr>
      <w:rFonts w:ascii="宋体" w:hAnsi="Courier New" w:eastAsia="宋体" w:cs="Courier New"/>
      <w:szCs w:val="21"/>
    </w:rPr>
  </w:style>
  <w:style w:type="paragraph" w:customStyle="1" w:styleId="1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4">
    <w:name w:val="正文文本 字符"/>
    <w:basedOn w:val="41"/>
    <w:link w:val="14"/>
    <w:semiHidden/>
    <w:qFormat/>
    <w:uiPriority w:val="99"/>
    <w:rPr>
      <w:kern w:val="2"/>
      <w:sz w:val="21"/>
      <w:szCs w:val="24"/>
    </w:rPr>
  </w:style>
  <w:style w:type="paragraph" w:customStyle="1" w:styleId="185">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6">
    <w:name w:val="标题 4 字符"/>
    <w:basedOn w:val="41"/>
    <w:link w:val="6"/>
    <w:semiHidden/>
    <w:qFormat/>
    <w:uiPriority w:val="9"/>
    <w:rPr>
      <w:rFonts w:asciiTheme="majorHAnsi" w:hAnsiTheme="majorHAnsi" w:eastAsiaTheme="majorEastAsia" w:cstheme="majorBidi"/>
      <w:b/>
      <w:bCs/>
      <w:kern w:val="2"/>
      <w:sz w:val="28"/>
      <w:szCs w:val="28"/>
    </w:rPr>
  </w:style>
  <w:style w:type="paragraph" w:customStyle="1" w:styleId="187">
    <w:name w:val="_Style 2"/>
    <w:basedOn w:val="4"/>
    <w:next w:val="1"/>
    <w:qFormat/>
    <w:uiPriority w:val="0"/>
    <w:pPr>
      <w:spacing w:before="480" w:after="0" w:line="276" w:lineRule="auto"/>
      <w:outlineLvl w:val="9"/>
    </w:pPr>
    <w:rPr>
      <w:rFonts w:ascii="Cambria" w:hAnsi="Cambria"/>
      <w:color w:val="365F91"/>
      <w:kern w:val="0"/>
      <w:sz w:val="28"/>
      <w:szCs w:val="28"/>
    </w:rPr>
  </w:style>
  <w:style w:type="paragraph" w:customStyle="1" w:styleId="18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90">
    <w:name w:val="WPSOffice手动目录 1"/>
    <w:qFormat/>
    <w:uiPriority w:val="0"/>
    <w:pPr>
      <w:ind w:leftChars="0"/>
    </w:pPr>
    <w:rPr>
      <w:rFonts w:ascii="Times New Roman" w:hAnsi="Times New Roman" w:eastAsia="宋体" w:cs="Times New Roman"/>
      <w:sz w:val="20"/>
      <w:szCs w:val="20"/>
    </w:rPr>
  </w:style>
  <w:style w:type="character" w:customStyle="1" w:styleId="191">
    <w:name w:val="font01"/>
    <w:basedOn w:val="41"/>
    <w:qFormat/>
    <w:uiPriority w:val="0"/>
    <w:rPr>
      <w:rFonts w:hint="eastAsia" w:ascii="仿宋" w:hAnsi="仿宋" w:eastAsia="仿宋" w:cs="仿宋"/>
      <w:color w:val="000000"/>
      <w:sz w:val="22"/>
      <w:szCs w:val="22"/>
      <w:u w:val="none"/>
    </w:rPr>
  </w:style>
  <w:style w:type="character" w:customStyle="1" w:styleId="192">
    <w:name w:val="font51"/>
    <w:basedOn w:val="41"/>
    <w:qFormat/>
    <w:uiPriority w:val="0"/>
    <w:rPr>
      <w:rFonts w:ascii="Calibri" w:hAnsi="Calibri" w:cs="Calibri"/>
      <w:color w:val="000000"/>
      <w:sz w:val="22"/>
      <w:szCs w:val="22"/>
      <w:u w:val="none"/>
    </w:rPr>
  </w:style>
  <w:style w:type="character" w:customStyle="1" w:styleId="193">
    <w:name w:val="font11"/>
    <w:basedOn w:val="41"/>
    <w:qFormat/>
    <w:uiPriority w:val="0"/>
    <w:rPr>
      <w:rFonts w:hint="eastAsia" w:ascii="宋体" w:hAnsi="宋体" w:eastAsia="宋体" w:cs="宋体"/>
      <w:color w:val="000000"/>
      <w:sz w:val="22"/>
      <w:szCs w:val="22"/>
      <w:u w:val="none"/>
    </w:rPr>
  </w:style>
  <w:style w:type="paragraph" w:customStyle="1" w:styleId="194">
    <w:name w:val="CM99"/>
    <w:basedOn w:val="15"/>
    <w:next w:val="15"/>
    <w:qFormat/>
    <w:uiPriority w:val="0"/>
    <w:pPr>
      <w:spacing w:after="443"/>
    </w:pPr>
    <w:rPr>
      <w:color w:val="auto"/>
    </w:rPr>
  </w:style>
  <w:style w:type="character" w:customStyle="1" w:styleId="195">
    <w:name w:val="font31"/>
    <w:basedOn w:val="41"/>
    <w:uiPriority w:val="0"/>
    <w:rPr>
      <w:rFonts w:hint="eastAsia" w:ascii="宋体" w:hAnsi="宋体" w:eastAsia="宋体" w:cs="宋体"/>
      <w:color w:val="000000"/>
      <w:sz w:val="22"/>
      <w:szCs w:val="22"/>
      <w:u w:val="none"/>
      <w:vertAlign w:val="superscript"/>
    </w:rPr>
  </w:style>
  <w:style w:type="character" w:customStyle="1" w:styleId="196">
    <w:name w:val="font61"/>
    <w:basedOn w:val="41"/>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187C3-D9E4-461E-9E92-AC9AE3040D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20280</Words>
  <Characters>21836</Characters>
  <Lines>169</Lines>
  <Paragraphs>47</Paragraphs>
  <TotalTime>33</TotalTime>
  <ScaleCrop>false</ScaleCrop>
  <LinksUpToDate>false</LinksUpToDate>
  <CharactersWithSpaces>23411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2022-03-03T07:27:00Z</dcterms:created>
  <dc:creator>杨玲</dc:creator>
  <cp:lastModifiedBy>蔡艳</cp:lastModifiedBy>
  <cp:lastPrinted>2021-10-08T08:35:00Z</cp:lastPrinted>
  <dcterms:modified xsi:type="dcterms:W3CDTF">2023-09-12T07:21:05Z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1AABFECA94044673938037FD0F46E120</vt:lpwstr>
  </property>
</Properties>
</file>