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pacing w:line="360" w:lineRule="auto"/>
        <w:jc w:val="center"/>
        <w:rPr>
          <w:rFonts w:ascii="宋体" w:hAnsi="宋体" w:cs="宋体"/>
          <w:b/>
          <w:color w:val="000000"/>
          <w:kern w:val="0"/>
          <w:sz w:val="22"/>
          <w:szCs w:val="22"/>
        </w:rPr>
      </w:pPr>
      <w:r>
        <w:rPr>
          <w:rFonts w:hint="eastAsia" w:ascii="黑体" w:hAnsi="黑体" w:eastAsia="黑体"/>
          <w:b/>
          <w:bCs/>
          <w:sz w:val="44"/>
          <w:szCs w:val="44"/>
        </w:rPr>
        <w:t>2023年度港区卫生保洁服务项目</w:t>
      </w:r>
    </w:p>
    <w:p>
      <w:pPr>
        <w:spacing w:line="360" w:lineRule="auto"/>
        <w:jc w:val="center"/>
        <w:rPr>
          <w:rFonts w:ascii="黑体" w:hAnsi="黑体" w:eastAsia="黑体"/>
          <w:b/>
          <w:bCs/>
          <w:sz w:val="44"/>
          <w:szCs w:val="44"/>
        </w:rPr>
      </w:pPr>
      <w:r>
        <w:rPr>
          <w:rFonts w:hint="eastAsia" w:ascii="黑体" w:hAnsi="黑体" w:eastAsia="黑体"/>
          <w:b/>
          <w:bCs/>
          <w:sz w:val="44"/>
          <w:szCs w:val="44"/>
        </w:rPr>
        <w:t>询价采购文件（第三次）</w:t>
      </w:r>
    </w:p>
    <w:p>
      <w:pPr>
        <w:tabs>
          <w:tab w:val="left" w:pos="0"/>
          <w:tab w:val="left" w:pos="4185"/>
        </w:tabs>
        <w:spacing w:line="288" w:lineRule="auto"/>
        <w:ind w:right="-6"/>
        <w:jc w:val="center"/>
        <w:rPr>
          <w:rFonts w:ascii="黑体" w:hAnsi="黑体" w:eastAsia="黑体"/>
          <w:b/>
          <w:bCs/>
          <w:sz w:val="28"/>
          <w:szCs w:val="28"/>
        </w:rPr>
      </w:pPr>
      <w:r>
        <w:rPr>
          <w:rFonts w:hint="eastAsia"/>
          <w:b/>
          <w:bCs/>
          <w:sz w:val="28"/>
          <w:szCs w:val="28"/>
        </w:rPr>
        <w:t>采购编号：省港服（2023）年询第</w:t>
      </w:r>
      <w:r>
        <w:rPr>
          <w:rFonts w:hint="eastAsia"/>
          <w:b/>
          <w:bCs/>
          <w:sz w:val="28"/>
          <w:szCs w:val="28"/>
          <w:lang w:val="en-US" w:eastAsia="zh-CN"/>
        </w:rPr>
        <w:t>31</w:t>
      </w:r>
      <w:r>
        <w:rPr>
          <w:rFonts w:hint="eastAsia"/>
          <w:b/>
          <w:bCs/>
          <w:sz w:val="28"/>
          <w:szCs w:val="28"/>
        </w:rPr>
        <w:t>号【新港】</w:t>
      </w:r>
    </w:p>
    <w:p>
      <w:pPr>
        <w:spacing w:line="480" w:lineRule="auto"/>
        <w:jc w:val="center"/>
        <w:rPr>
          <w:rFonts w:ascii="宋体" w:hAnsi="宋体" w:cs="宋体"/>
          <w:b/>
          <w:color w:val="000000"/>
          <w:kern w:val="0"/>
          <w:sz w:val="28"/>
          <w:szCs w:val="28"/>
        </w:rPr>
      </w:pPr>
    </w:p>
    <w:p>
      <w:pPr>
        <w:snapToGrid w:val="0"/>
        <w:spacing w:line="480" w:lineRule="auto"/>
        <w:jc w:val="center"/>
        <w:rPr>
          <w:b/>
          <w:bCs/>
          <w:sz w:val="48"/>
          <w:szCs w:val="48"/>
        </w:rPr>
      </w:pPr>
    </w:p>
    <w:p>
      <w:pPr>
        <w:snapToGrid w:val="0"/>
        <w:spacing w:line="480" w:lineRule="auto"/>
        <w:jc w:val="center"/>
        <w:rPr>
          <w:b/>
          <w:bCs/>
          <w:sz w:val="48"/>
          <w:szCs w:val="48"/>
        </w:rPr>
      </w:pPr>
    </w:p>
    <w:p>
      <w:pPr>
        <w:snapToGrid w:val="0"/>
        <w:spacing w:line="480" w:lineRule="auto"/>
        <w:jc w:val="center"/>
        <w:rPr>
          <w:b/>
          <w:bCs/>
          <w:sz w:val="48"/>
          <w:szCs w:val="48"/>
        </w:rPr>
      </w:pPr>
    </w:p>
    <w:p>
      <w:pPr>
        <w:spacing w:line="600" w:lineRule="exact"/>
      </w:pPr>
    </w:p>
    <w:p>
      <w:pPr>
        <w:spacing w:line="600" w:lineRule="exact"/>
      </w:pPr>
    </w:p>
    <w:p>
      <w:pPr>
        <w:spacing w:line="600" w:lineRule="exact"/>
      </w:pPr>
    </w:p>
    <w:p>
      <w:pPr>
        <w:pStyle w:val="15"/>
        <w:numPr>
          <w:ilvl w:val="0"/>
          <w:numId w:val="0"/>
        </w:numPr>
      </w:pPr>
    </w:p>
    <w:p>
      <w:pPr>
        <w:pStyle w:val="15"/>
        <w:numPr>
          <w:ilvl w:val="0"/>
          <w:numId w:val="0"/>
        </w:numPr>
      </w:pPr>
    </w:p>
    <w:p>
      <w:pPr>
        <w:pStyle w:val="15"/>
        <w:numPr>
          <w:ilvl w:val="0"/>
          <w:numId w:val="0"/>
        </w:numPr>
      </w:pPr>
    </w:p>
    <w:p>
      <w:pPr>
        <w:pStyle w:val="15"/>
        <w:numPr>
          <w:ilvl w:val="0"/>
          <w:numId w:val="0"/>
        </w:numPr>
      </w:pPr>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岳阳城陵矶新港有限公司</w:t>
      </w:r>
    </w:p>
    <w:p>
      <w:pPr>
        <w:tabs>
          <w:tab w:val="left" w:pos="0"/>
          <w:tab w:val="left" w:pos="4185"/>
        </w:tabs>
        <w:spacing w:line="288" w:lineRule="auto"/>
        <w:ind w:right="-6"/>
        <w:jc w:val="center"/>
        <w:rPr>
          <w:rFonts w:ascii="黑体" w:hAnsi="黑体" w:eastAsia="黑体"/>
          <w:bCs/>
          <w:sz w:val="48"/>
          <w:szCs w:val="48"/>
        </w:rPr>
      </w:pPr>
      <w:r>
        <w:rPr>
          <w:rFonts w:hint="eastAsia" w:ascii="黑体" w:hAnsi="黑体" w:eastAsia="黑体"/>
          <w:bCs/>
          <w:sz w:val="48"/>
          <w:szCs w:val="48"/>
        </w:rPr>
        <w:t>二О二三年九月</w:t>
      </w:r>
    </w:p>
    <w:p/>
    <w:p>
      <w:pPr>
        <w:pStyle w:val="15"/>
        <w:numPr>
          <w:ilvl w:val="0"/>
          <w:numId w:val="0"/>
        </w:numPr>
      </w:pPr>
    </w:p>
    <w:p>
      <w:pPr>
        <w:pStyle w:val="15"/>
        <w:numPr>
          <w:ilvl w:val="0"/>
          <w:numId w:val="0"/>
        </w:numPr>
      </w:pPr>
    </w:p>
    <w:p>
      <w:pPr>
        <w:pStyle w:val="22"/>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20"/>
          <w:rFonts w:hint="eastAsia" w:ascii="微软雅黑" w:hAnsi="微软雅黑" w:eastAsia="微软雅黑"/>
          <w:sz w:val="24"/>
          <w:szCs w:val="24"/>
          <w:u w:val="none"/>
        </w:rPr>
        <w:t>第一章邀请公告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"_Toc77254106" </w:instrText>
      </w:r>
      <w:r>
        <w:fldChar w:fldCharType="separate"/>
      </w:r>
      <w:r>
        <w:rPr>
          <w:rStyle w:val="20"/>
          <w:rFonts w:hint="eastAsia" w:ascii="微软雅黑" w:hAnsi="微软雅黑" w:eastAsia="微软雅黑"/>
          <w:sz w:val="24"/>
          <w:szCs w:val="24"/>
          <w:u w:val="none"/>
        </w:rPr>
        <w:t>第二章供应商须知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sz w:val="24"/>
          <w:szCs w:val="24"/>
        </w:rPr>
      </w:pPr>
      <w:r>
        <w:fldChar w:fldCharType="begin"/>
      </w:r>
      <w:r>
        <w:instrText xml:space="preserve"> HYPERLINK \l "_Toc77254124" </w:instrText>
      </w:r>
      <w:r>
        <w:fldChar w:fldCharType="separate"/>
      </w:r>
      <w:r>
        <w:rPr>
          <w:rStyle w:val="20"/>
          <w:rFonts w:hint="eastAsia" w:ascii="微软雅黑" w:hAnsi="微软雅黑" w:eastAsia="微软雅黑"/>
          <w:sz w:val="24"/>
          <w:szCs w:val="24"/>
          <w:u w:val="none"/>
        </w:rPr>
        <w:t>第三章评标办</w:t>
      </w:r>
      <w:bookmarkStart w:id="0" w:name="_Hlt79481238"/>
      <w:bookmarkStart w:id="1" w:name="_Hlt79481237"/>
      <w:r>
        <w:rPr>
          <w:rStyle w:val="20"/>
          <w:rFonts w:hint="eastAsia" w:ascii="微软雅黑" w:hAnsi="微软雅黑" w:eastAsia="微软雅黑"/>
          <w:sz w:val="24"/>
          <w:szCs w:val="24"/>
          <w:u w:val="none"/>
        </w:rPr>
        <w:t>法</w:t>
      </w:r>
      <w:bookmarkEnd w:id="0"/>
      <w:bookmarkEnd w:id="1"/>
      <w:r>
        <w:rPr>
          <w:rStyle w:val="20"/>
          <w:rFonts w:hint="eastAsia" w:ascii="微软雅黑" w:hAnsi="微软雅黑" w:eastAsia="微软雅黑"/>
          <w:sz w:val="24"/>
          <w:szCs w:val="24"/>
          <w:u w:val="none"/>
        </w:rPr>
        <w:t>（最低价法）</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"_Toc77254138" </w:instrText>
      </w:r>
      <w:r>
        <w:fldChar w:fldCharType="separate"/>
      </w:r>
      <w:r>
        <w:rPr>
          <w:rStyle w:val="20"/>
          <w:rFonts w:hint="eastAsia" w:ascii="微软雅黑" w:hAnsi="微软雅黑" w:eastAsia="微软雅黑"/>
          <w:sz w:val="24"/>
          <w:szCs w:val="24"/>
          <w:u w:val="none"/>
        </w:rPr>
        <w:t>第四章合同条款及格式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"_Toc77254286" </w:instrText>
      </w:r>
      <w:r>
        <w:fldChar w:fldCharType="separate"/>
      </w:r>
      <w:r>
        <w:rPr>
          <w:rStyle w:val="20"/>
          <w:rFonts w:hint="eastAsia" w:ascii="微软雅黑" w:hAnsi="微软雅黑" w:eastAsia="微软雅黑"/>
          <w:sz w:val="24"/>
          <w:szCs w:val="24"/>
          <w:u w:val="none"/>
        </w:rPr>
        <w:t>第五章采购需求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11"/>
        <w:tabs>
          <w:tab w:val="right" w:leader="dot" w:pos="8948"/>
          <w:tab w:val="clear" w:pos="9242"/>
        </w:tabs>
        <w:adjustRightInd w:val="0"/>
        <w:snapToGrid w:val="0"/>
        <w:spacing w:before="78" w:after="78"/>
        <w:rPr>
          <w:rFonts w:ascii="微软雅黑" w:hAnsi="微软雅黑" w:eastAsia="微软雅黑"/>
          <w:bCs/>
          <w:caps/>
          <w:sz w:val="24"/>
          <w:szCs w:val="24"/>
        </w:rPr>
      </w:pPr>
      <w:r>
        <w:fldChar w:fldCharType="begin"/>
      </w:r>
      <w:r>
        <w:instrText xml:space="preserve"> HYPERLINK \l "_Toc77254297" </w:instrText>
      </w:r>
      <w:r>
        <w:fldChar w:fldCharType="separate"/>
      </w:r>
      <w:r>
        <w:rPr>
          <w:rStyle w:val="20"/>
          <w:rFonts w:hint="eastAsia" w:ascii="微软雅黑" w:hAnsi="微软雅黑" w:eastAsia="微软雅黑"/>
          <w:sz w:val="24"/>
          <w:szCs w:val="24"/>
          <w:u w:val="none"/>
        </w:rPr>
        <w:t>第六章响应文件格式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"_Toc77254298" </w:instrText>
      </w:r>
      <w:r>
        <w:fldChar w:fldCharType="separate"/>
      </w:r>
      <w:r>
        <w:rPr>
          <w:rStyle w:val="20"/>
          <w:rFonts w:hint="eastAsia" w:ascii="微软雅黑" w:hAnsi="微软雅黑" w:eastAsia="微软雅黑" w:cstheme="minorBidi"/>
          <w:sz w:val="24"/>
          <w:szCs w:val="24"/>
          <w:u w:val="none"/>
        </w:rPr>
        <w:t>一、响应函</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42</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"_Toc77254299" </w:instrText>
      </w:r>
      <w:r>
        <w:fldChar w:fldCharType="separate"/>
      </w:r>
      <w:r>
        <w:rPr>
          <w:rStyle w:val="20"/>
          <w:rFonts w:hint="eastAsia" w:ascii="微软雅黑" w:hAnsi="微软雅黑" w:eastAsia="微软雅黑" w:cstheme="minorBidi"/>
          <w:sz w:val="24"/>
          <w:szCs w:val="24"/>
          <w:u w:val="none"/>
        </w:rPr>
        <w:t>二、授权委托书</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w:t>
      </w:r>
      <w:r>
        <w:rPr>
          <w:rStyle w:val="20"/>
          <w:rFonts w:hint="eastAsia" w:ascii="微软雅黑" w:hAnsi="微软雅黑" w:eastAsia="微软雅黑" w:cstheme="minorBidi"/>
          <w:sz w:val="24"/>
          <w:szCs w:val="24"/>
          <w:u w:val="none"/>
        </w:rPr>
        <w:fldChar w:fldCharType="end"/>
      </w:r>
      <w:r>
        <w:rPr>
          <w:rStyle w:val="20"/>
          <w:rFonts w:hint="eastAsia" w:ascii="微软雅黑" w:hAnsi="微软雅黑" w:eastAsia="微软雅黑" w:cstheme="minorBidi"/>
          <w:sz w:val="24"/>
          <w:szCs w:val="24"/>
          <w:u w:val="none"/>
        </w:rPr>
        <w:t>5</w:t>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"_Toc77254304" </w:instrText>
      </w:r>
      <w:r>
        <w:fldChar w:fldCharType="separate"/>
      </w:r>
      <w:r>
        <w:rPr>
          <w:rStyle w:val="20"/>
          <w:rFonts w:hint="eastAsia" w:ascii="微软雅黑" w:hAnsi="微软雅黑" w:eastAsia="微软雅黑" w:cstheme="minorBidi"/>
          <w:sz w:val="24"/>
          <w:szCs w:val="24"/>
          <w:u w:val="none"/>
        </w:rPr>
        <w:t>三、商务和技术偏差表</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48</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"_Toc77254308" </w:instrText>
      </w:r>
      <w:r>
        <w:fldChar w:fldCharType="separate"/>
      </w:r>
      <w:r>
        <w:rPr>
          <w:rStyle w:val="20"/>
          <w:rFonts w:hint="eastAsia" w:ascii="微软雅黑" w:hAnsi="微软雅黑" w:eastAsia="微软雅黑" w:cstheme="minorBidi"/>
          <w:sz w:val="24"/>
          <w:szCs w:val="24"/>
          <w:u w:val="none"/>
        </w:rPr>
        <w:t>四、报价表</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51</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pPr>
      <w:r>
        <w:fldChar w:fldCharType="begin"/>
      </w:r>
      <w:r>
        <w:instrText xml:space="preserve"> HYPERLINK \l "_Toc77254308" </w:instrText>
      </w:r>
      <w:r>
        <w:fldChar w:fldCharType="separate"/>
      </w:r>
      <w:r>
        <w:rPr>
          <w:rStyle w:val="20"/>
          <w:rFonts w:hint="eastAsia" w:ascii="微软雅黑" w:hAnsi="微软雅黑" w:eastAsia="微软雅黑" w:cstheme="minorBidi"/>
          <w:sz w:val="24"/>
          <w:szCs w:val="24"/>
          <w:u w:val="none"/>
        </w:rPr>
        <w:t>五、资格审查资料</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51</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Style w:val="20"/>
          <w:rFonts w:ascii="微软雅黑" w:hAnsi="微软雅黑" w:eastAsia="微软雅黑" w:cstheme="minorBidi"/>
          <w:sz w:val="24"/>
          <w:szCs w:val="24"/>
          <w:u w:val="none"/>
        </w:rPr>
      </w:pPr>
      <w:r>
        <w:fldChar w:fldCharType="begin"/>
      </w:r>
      <w:r>
        <w:instrText xml:space="preserve"> HYPERLINK \l "_Toc77254309" </w:instrText>
      </w:r>
      <w:r>
        <w:fldChar w:fldCharType="separate"/>
      </w:r>
      <w:r>
        <w:rPr>
          <w:rStyle w:val="20"/>
          <w:rFonts w:hint="eastAsia" w:ascii="微软雅黑" w:hAnsi="微软雅黑" w:eastAsia="微软雅黑" w:cstheme="minorBidi"/>
          <w:sz w:val="24"/>
          <w:szCs w:val="24"/>
          <w:u w:val="none"/>
        </w:rPr>
        <w:t>六、响应方案</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58</w:t>
      </w:r>
      <w:r>
        <w:rPr>
          <w:rStyle w:val="20"/>
          <w:rFonts w:hint="eastAsia" w:ascii="微软雅黑" w:hAnsi="微软雅黑" w:eastAsia="微软雅黑" w:cstheme="minorBidi"/>
          <w:sz w:val="24"/>
          <w:szCs w:val="24"/>
          <w:u w:val="none"/>
        </w:rPr>
        <w:fldChar w:fldCharType="end"/>
      </w:r>
    </w:p>
    <w:p>
      <w:pPr>
        <w:pStyle w:val="1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20"/>
          <w:rFonts w:hint="eastAsia" w:ascii="微软雅黑" w:hAnsi="微软雅黑" w:eastAsia="微软雅黑" w:cstheme="minorBidi"/>
          <w:sz w:val="24"/>
          <w:szCs w:val="24"/>
          <w:u w:val="none"/>
        </w:rPr>
        <w:t>七、其他资料</w:t>
      </w:r>
      <w:r>
        <w:rPr>
          <w:rStyle w:val="20"/>
          <w:rFonts w:hint="eastAsia" w:ascii="微软雅黑" w:hAnsi="微软雅黑" w:eastAsia="微软雅黑" w:cstheme="minorBidi"/>
          <w:sz w:val="24"/>
          <w:szCs w:val="24"/>
          <w:u w:val="none"/>
        </w:rPr>
        <w:tab/>
      </w:r>
      <w:r>
        <w:rPr>
          <w:rStyle w:val="20"/>
          <w:rFonts w:hint="eastAsia" w:ascii="微软雅黑" w:hAnsi="微软雅黑" w:eastAsia="微软雅黑" w:cstheme="minorBidi"/>
          <w:sz w:val="24"/>
          <w:szCs w:val="24"/>
          <w:u w:val="none"/>
        </w:rPr>
        <w:t>61</w:t>
      </w:r>
      <w:r>
        <w:rPr>
          <w:rStyle w:val="20"/>
          <w:rFonts w:hint="eastAsia" w:ascii="微软雅黑" w:hAnsi="微软雅黑" w:eastAsia="微软雅黑" w:cstheme="minorBidi"/>
          <w:sz w:val="24"/>
          <w:szCs w:val="24"/>
          <w:u w:val="none"/>
        </w:rPr>
        <w:fldChar w:fldCharType="end"/>
      </w:r>
    </w:p>
    <w:p>
      <w:pPr>
        <w:rPr>
          <w:rFonts w:ascii="微软雅黑" w:hAnsi="微软雅黑" w:eastAsia="微软雅黑"/>
          <w:sz w:val="24"/>
          <w:lang w:val="zh-CN"/>
        </w:rPr>
      </w:pPr>
      <w:r>
        <w:rPr>
          <w:rFonts w:ascii="微软雅黑" w:hAnsi="微软雅黑" w:eastAsia="微软雅黑"/>
          <w:sz w:val="24"/>
          <w:lang w:val="zh-CN"/>
        </w:rPr>
        <w:fldChar w:fldCharType="end"/>
      </w:r>
    </w:p>
    <w:p>
      <w:pPr>
        <w:rPr>
          <w:rFonts w:ascii="微软雅黑" w:hAnsi="微软雅黑" w:eastAsia="微软雅黑"/>
          <w:sz w:val="24"/>
          <w:lang w:val="zh-CN"/>
        </w:rPr>
      </w:pPr>
      <w:r>
        <w:rPr>
          <w:rFonts w:ascii="微软雅黑" w:hAnsi="微软雅黑" w:eastAsia="微软雅黑"/>
          <w:sz w:val="24"/>
          <w:lang w:val="zh-CN"/>
        </w:rPr>
        <w:br w:type="page"/>
      </w:r>
    </w:p>
    <w:p>
      <w:pPr>
        <w:pStyle w:val="23"/>
        <w:numPr>
          <w:ilvl w:val="0"/>
          <w:numId w:val="2"/>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询价公告</w:t>
      </w:r>
    </w:p>
    <w:p>
      <w:pPr>
        <w:pStyle w:val="23"/>
        <w:spacing w:line="600" w:lineRule="exact"/>
        <w:ind w:left="1785" w:firstLine="0" w:firstLineChars="0"/>
        <w:rPr>
          <w:rFonts w:ascii="黑体" w:hAnsi="黑体" w:eastAsia="黑体" w:cs="仿宋"/>
          <w:b/>
          <w:color w:val="000000"/>
          <w:sz w:val="44"/>
          <w:szCs w:val="44"/>
        </w:rPr>
      </w:pPr>
    </w:p>
    <w:p>
      <w:pPr>
        <w:spacing w:line="360" w:lineRule="auto"/>
        <w:jc w:val="center"/>
        <w:rPr>
          <w:rFonts w:ascii="黑体" w:hAnsi="黑体" w:eastAsia="黑体"/>
          <w:sz w:val="32"/>
          <w:szCs w:val="32"/>
        </w:rPr>
      </w:pPr>
      <w:r>
        <w:rPr>
          <w:rFonts w:hint="eastAsia" w:ascii="黑体" w:hAnsi="黑体" w:eastAsia="黑体"/>
          <w:sz w:val="32"/>
          <w:szCs w:val="32"/>
        </w:rPr>
        <w:t>岳阳城陵矶新港有限公司2023年度卫生保洁</w:t>
      </w:r>
    </w:p>
    <w:p>
      <w:pPr>
        <w:spacing w:line="360" w:lineRule="auto"/>
        <w:jc w:val="center"/>
        <w:rPr>
          <w:rFonts w:ascii="黑体" w:hAnsi="黑体" w:eastAsia="黑体"/>
          <w:sz w:val="32"/>
          <w:szCs w:val="32"/>
        </w:rPr>
      </w:pPr>
      <w:r>
        <w:rPr>
          <w:rFonts w:hint="eastAsia" w:ascii="黑体" w:hAnsi="黑体" w:eastAsia="黑体"/>
          <w:sz w:val="32"/>
          <w:szCs w:val="32"/>
          <w:lang w:val="zh-CN"/>
        </w:rPr>
        <w:t>服务项目询价第三次采购</w:t>
      </w:r>
      <w:r>
        <w:rPr>
          <w:rFonts w:hint="eastAsia" w:ascii="黑体" w:hAnsi="黑体" w:eastAsia="黑体"/>
          <w:sz w:val="32"/>
          <w:szCs w:val="32"/>
        </w:rPr>
        <w:t>公告</w:t>
      </w:r>
    </w:p>
    <w:p>
      <w:pPr>
        <w:pStyle w:val="14"/>
        <w:spacing w:before="0" w:beforeAutospacing="0" w:after="0" w:afterAutospacing="0"/>
        <w:ind w:firstLine="2880" w:firstLineChars="1200"/>
        <w:jc w:val="both"/>
      </w:pPr>
    </w:p>
    <w:p>
      <w:pPr>
        <w:spacing w:line="360" w:lineRule="auto"/>
        <w:ind w:firstLine="480" w:firstLineChars="200"/>
        <w:rPr>
          <w:rFonts w:ascii="宋体" w:hAnsi="宋体"/>
          <w:sz w:val="24"/>
        </w:rPr>
      </w:pPr>
      <w:r>
        <w:rPr>
          <w:rFonts w:hint="eastAsia" w:ascii="宋体" w:hAnsi="宋体" w:cs="宋体"/>
          <w:sz w:val="24"/>
        </w:rPr>
        <w:t>岳阳城陵矶新港有限公司2023年度卫生保洁</w:t>
      </w:r>
      <w:r>
        <w:rPr>
          <w:rFonts w:hint="eastAsia" w:ascii="宋体" w:hAnsi="宋体" w:cs="宋体"/>
          <w:sz w:val="24"/>
          <w:lang w:val="zh-CN"/>
        </w:rPr>
        <w:t>服务项目</w:t>
      </w:r>
      <w:r>
        <w:rPr>
          <w:rFonts w:hint="eastAsia" w:ascii="宋体" w:hAnsi="宋体"/>
          <w:sz w:val="24"/>
        </w:rPr>
        <w:t xml:space="preserve">已具备采购条件，现邀请供应商参加采购活动。 </w:t>
      </w:r>
    </w:p>
    <w:p>
      <w:pPr>
        <w:pStyle w:val="5"/>
        <w:rPr>
          <w:rFonts w:ascii="Arial" w:hAnsi="Arial"/>
        </w:rPr>
      </w:pPr>
      <w:r>
        <w:rPr>
          <w:rFonts w:hint="eastAsia"/>
        </w:rPr>
        <w:t>一、</w:t>
      </w:r>
      <w:r>
        <w:rPr>
          <w:rFonts w:hint="eastAsia" w:ascii="黑体" w:hAnsi="黑体"/>
        </w:rPr>
        <w:t xml:space="preserve">采购项目简介 </w:t>
      </w:r>
    </w:p>
    <w:p>
      <w:pPr>
        <w:autoSpaceDE w:val="0"/>
        <w:spacing w:line="400" w:lineRule="exact"/>
        <w:rPr>
          <w:rFonts w:ascii="宋体" w:hAnsi="宋体"/>
          <w:sz w:val="24"/>
        </w:rPr>
      </w:pPr>
      <w:r>
        <w:rPr>
          <w:rFonts w:hint="eastAsia" w:ascii="宋体" w:hAnsi="宋体"/>
          <w:b/>
          <w:bCs/>
          <w:sz w:val="24"/>
        </w:rPr>
        <w:t>（一）</w:t>
      </w:r>
      <w:r>
        <w:rPr>
          <w:rFonts w:hint="eastAsia" w:ascii="宋体" w:hAnsi="宋体"/>
          <w:sz w:val="24"/>
        </w:rPr>
        <w:t>采购项目名称:</w:t>
      </w:r>
      <w:r>
        <w:rPr>
          <w:rFonts w:hint="eastAsia" w:ascii="宋体" w:hAnsi="宋体" w:cs="宋体"/>
          <w:sz w:val="24"/>
        </w:rPr>
        <w:t>岳阳城陵矶新港有限公司2023年度卫生保洁服务</w:t>
      </w:r>
      <w:r>
        <w:rPr>
          <w:rFonts w:hint="eastAsia" w:ascii="宋体" w:hAnsi="宋体" w:cs="宋体"/>
          <w:sz w:val="24"/>
          <w:lang w:val="zh-CN"/>
        </w:rPr>
        <w:t>项目。</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 xml:space="preserve">采购人: </w:t>
      </w:r>
      <w:r>
        <w:rPr>
          <w:rFonts w:hint="eastAsia" w:ascii="宋体" w:hAnsi="宋体" w:cs="宋体"/>
          <w:sz w:val="24"/>
        </w:rPr>
        <w:t>岳阳城陵矶新港有限公司。</w:t>
      </w:r>
    </w:p>
    <w:p>
      <w:pPr>
        <w:autoSpaceDE w:val="0"/>
        <w:spacing w:line="400" w:lineRule="exact"/>
        <w:rPr>
          <w:rFonts w:ascii="宋体" w:hAnsi="宋体"/>
          <w:sz w:val="24"/>
        </w:rPr>
      </w:pPr>
      <w:r>
        <w:rPr>
          <w:rFonts w:hint="eastAsia" w:ascii="宋体" w:hAnsi="宋体"/>
          <w:b/>
          <w:bCs/>
          <w:sz w:val="24"/>
        </w:rPr>
        <w:t>（三）</w:t>
      </w:r>
      <w:r>
        <w:rPr>
          <w:rFonts w:hint="eastAsia" w:ascii="宋体" w:hAnsi="宋体"/>
          <w:sz w:val="24"/>
        </w:rPr>
        <w:t>采购代理机构:无。</w:t>
      </w:r>
    </w:p>
    <w:p>
      <w:pPr>
        <w:autoSpaceDE w:val="0"/>
        <w:spacing w:line="400" w:lineRule="exact"/>
        <w:rPr>
          <w:rFonts w:ascii="宋体" w:hAnsi="宋体"/>
          <w:sz w:val="24"/>
        </w:rPr>
      </w:pPr>
      <w:r>
        <w:rPr>
          <w:rFonts w:hint="eastAsia" w:ascii="宋体" w:hAnsi="宋体"/>
          <w:b/>
          <w:bCs/>
          <w:sz w:val="24"/>
        </w:rPr>
        <w:t>（四）</w:t>
      </w:r>
      <w:r>
        <w:rPr>
          <w:rFonts w:hint="eastAsia" w:ascii="宋体" w:hAnsi="宋体"/>
          <w:sz w:val="24"/>
        </w:rPr>
        <w:t>采购项目资金落实情况:企业自筹，已落实。</w:t>
      </w:r>
    </w:p>
    <w:p>
      <w:pPr>
        <w:spacing w:line="440" w:lineRule="exact"/>
        <w:rPr>
          <w:color w:val="000000" w:themeColor="text1"/>
          <w:sz w:val="24"/>
        </w:rPr>
      </w:pPr>
      <w:r>
        <w:rPr>
          <w:rFonts w:hint="eastAsia" w:ascii="宋体" w:hAnsi="宋体"/>
          <w:b/>
          <w:bCs/>
          <w:sz w:val="24"/>
        </w:rPr>
        <w:t>（五）</w:t>
      </w:r>
      <w:r>
        <w:rPr>
          <w:rFonts w:hint="eastAsia" w:ascii="宋体" w:hAnsi="宋体"/>
          <w:sz w:val="24"/>
        </w:rPr>
        <w:t xml:space="preserve">采购项目概况: </w:t>
      </w:r>
      <w:r>
        <w:rPr>
          <w:rFonts w:hint="eastAsia" w:ascii="宋体" w:hAnsi="宋体" w:cs="宋体"/>
          <w:sz w:val="24"/>
        </w:rPr>
        <w:t>岳阳城陵矶新港有限公司为湖南省港务集团旗下子公司，是湖南区位条件最好、吞吐能力最大、现代化程度最高的集装箱港，主要从事集装箱装卸、堆存、中转、冷藏以及拆装箱等业务，具有烟花爆竹、危化品等180多种危险货物作业资质，是湖南烟花重要出口基地。占地八百多亩，拥有现代化的生产管理系统、无线车载系统，以及电子闸口、H986集装箱查验系统等联检设施。为保证港口优美环境，现就我公司公共区</w:t>
      </w:r>
      <w:r>
        <w:rPr>
          <w:rFonts w:hint="eastAsia"/>
          <w:sz w:val="24"/>
        </w:rPr>
        <w:t>卫生保洁项目对外承包，</w:t>
      </w:r>
      <w:r>
        <w:rPr>
          <w:rFonts w:hint="eastAsia"/>
          <w:color w:val="000000" w:themeColor="text1"/>
          <w:sz w:val="24"/>
        </w:rPr>
        <w:t>。</w:t>
      </w:r>
    </w:p>
    <w:p>
      <w:pPr>
        <w:pStyle w:val="5"/>
        <w:rPr>
          <w:rFonts w:ascii="Arial" w:hAnsi="Arial"/>
        </w:rPr>
      </w:pPr>
      <w:r>
        <w:rPr>
          <w:rFonts w:hint="eastAsia" w:ascii="黑体" w:hAnsi="黑体"/>
        </w:rPr>
        <w:t xml:space="preserve">二、采购范围及相关要求 </w:t>
      </w:r>
    </w:p>
    <w:p>
      <w:pPr>
        <w:autoSpaceDE w:val="0"/>
        <w:spacing w:line="400" w:lineRule="exact"/>
        <w:rPr>
          <w:sz w:val="24"/>
        </w:rPr>
      </w:pPr>
      <w:r>
        <w:rPr>
          <w:rFonts w:hint="eastAsia" w:ascii="宋体" w:hAnsi="宋体"/>
          <w:b/>
          <w:bCs/>
          <w:sz w:val="24"/>
        </w:rPr>
        <w:t>（一）</w:t>
      </w:r>
      <w:r>
        <w:rPr>
          <w:rFonts w:hint="eastAsia" w:ascii="宋体" w:hAnsi="宋体"/>
          <w:sz w:val="24"/>
        </w:rPr>
        <w:t>采购范围: 岳阳</w:t>
      </w:r>
      <w:r>
        <w:rPr>
          <w:rFonts w:hint="eastAsia" w:ascii="宋体" w:hAnsi="宋体" w:cs="宋体"/>
          <w:sz w:val="24"/>
        </w:rPr>
        <w:t>新港公司办公楼及周边（含景观水池）、宿舍楼，一期、二期港区生产作业区域（含作业楼、闸口前坪、码头平台、引桥、各堆场（含堆场电缆沟）、各查验平台周边、堆场公共卫生间、各垃圾池周边区域）、港区绿化带内区域（白色垃圾清理）等区域；信息化大楼公共区域（含各楼道、9楼平台、楼周边及绿化带内）</w:t>
      </w:r>
      <w:r>
        <w:rPr>
          <w:rFonts w:hint="eastAsia"/>
          <w:sz w:val="24"/>
        </w:rPr>
        <w:t>等公共区域约56.4万M</w:t>
      </w:r>
      <w:r>
        <w:rPr>
          <w:rFonts w:hint="eastAsia"/>
          <w:sz w:val="24"/>
          <w:vertAlign w:val="superscript"/>
        </w:rPr>
        <w:t>2</w:t>
      </w:r>
      <w:r>
        <w:rPr>
          <w:rFonts w:hint="eastAsia"/>
          <w:sz w:val="24"/>
        </w:rPr>
        <w:t>进行卫生保洁服务。</w:t>
      </w:r>
    </w:p>
    <w:p>
      <w:pPr>
        <w:autoSpaceDE w:val="0"/>
        <w:spacing w:line="400" w:lineRule="exact"/>
        <w:rPr>
          <w:rFonts w:ascii="宋体" w:hAnsi="宋体"/>
          <w:sz w:val="24"/>
        </w:rPr>
      </w:pPr>
      <w:r>
        <w:rPr>
          <w:rFonts w:hint="eastAsia" w:ascii="宋体" w:hAnsi="宋体"/>
          <w:b/>
          <w:bCs/>
          <w:sz w:val="24"/>
        </w:rPr>
        <w:t>（二）</w:t>
      </w:r>
      <w:r>
        <w:rPr>
          <w:rFonts w:hint="eastAsia" w:ascii="宋体" w:hAnsi="宋体"/>
          <w:sz w:val="24"/>
        </w:rPr>
        <w:t>服务期限: 合同签订之日起一年</w:t>
      </w:r>
    </w:p>
    <w:p>
      <w:pPr>
        <w:autoSpaceDE w:val="0"/>
        <w:spacing w:line="400" w:lineRule="exact"/>
        <w:rPr>
          <w:sz w:val="24"/>
        </w:rPr>
      </w:pPr>
      <w:r>
        <w:rPr>
          <w:rFonts w:hint="eastAsia" w:ascii="宋体" w:hAnsi="宋体"/>
          <w:b/>
          <w:bCs/>
          <w:sz w:val="24"/>
        </w:rPr>
        <w:t>（三）</w:t>
      </w:r>
      <w:r>
        <w:rPr>
          <w:rFonts w:hint="eastAsia" w:ascii="宋体" w:hAnsi="宋体"/>
          <w:sz w:val="24"/>
        </w:rPr>
        <w:t xml:space="preserve">服务地点: </w:t>
      </w:r>
      <w:r>
        <w:rPr>
          <w:rFonts w:hint="eastAsia"/>
          <w:sz w:val="24"/>
        </w:rPr>
        <w:t>岳阳</w:t>
      </w:r>
      <w:r>
        <w:rPr>
          <w:sz w:val="24"/>
        </w:rPr>
        <w:t>城陵矶</w:t>
      </w:r>
      <w:r>
        <w:rPr>
          <w:rFonts w:hint="eastAsia"/>
          <w:sz w:val="24"/>
        </w:rPr>
        <w:t>新港有限公司</w:t>
      </w:r>
    </w:p>
    <w:p>
      <w:pPr>
        <w:spacing w:line="440" w:lineRule="exact"/>
        <w:rPr>
          <w:rFonts w:ascii="宋体" w:hAnsi="宋体"/>
          <w:sz w:val="24"/>
        </w:rPr>
      </w:pPr>
      <w:r>
        <w:rPr>
          <w:rFonts w:hint="eastAsia" w:ascii="宋体" w:hAnsi="宋体"/>
          <w:b/>
          <w:bCs/>
          <w:sz w:val="24"/>
        </w:rPr>
        <w:t>（四）</w:t>
      </w:r>
      <w:r>
        <w:rPr>
          <w:rFonts w:hint="eastAsia" w:ascii="宋体" w:hAnsi="宋体"/>
          <w:sz w:val="24"/>
        </w:rPr>
        <w:t xml:space="preserve">质量要求或服务标准: </w:t>
      </w:r>
    </w:p>
    <w:p>
      <w:pPr>
        <w:autoSpaceDE w:val="0"/>
        <w:spacing w:line="400" w:lineRule="exact"/>
        <w:ind w:firstLine="480" w:firstLineChars="200"/>
        <w:rPr>
          <w:rFonts w:ascii="宋体" w:hAnsi="宋体"/>
          <w:sz w:val="24"/>
        </w:rPr>
      </w:pPr>
      <w:r>
        <w:rPr>
          <w:rFonts w:hint="eastAsia" w:ascii="宋体" w:hAnsi="宋体"/>
          <w:sz w:val="24"/>
        </w:rPr>
        <w:t>详见询价采购文件第三章“采购需求”</w:t>
      </w:r>
    </w:p>
    <w:p>
      <w:pPr>
        <w:pStyle w:val="5"/>
        <w:jc w:val="both"/>
        <w:rPr>
          <w:rFonts w:ascii="Arial" w:hAnsi="Arial"/>
        </w:rPr>
      </w:pPr>
      <w:r>
        <w:rPr>
          <w:rFonts w:hint="eastAsia"/>
        </w:rPr>
        <w:t>三、</w:t>
      </w:r>
      <w:r>
        <w:rPr>
          <w:rFonts w:hint="eastAsia" w:ascii="黑体" w:hAnsi="黑体"/>
        </w:rPr>
        <w:t>供应商资格要求</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400" w:lineRule="exact"/>
        <w:ind w:firstLine="240" w:firstLineChars="100"/>
        <w:rPr>
          <w:rFonts w:ascii="宋体" w:hAnsi="宋体"/>
          <w:sz w:val="24"/>
        </w:rPr>
      </w:pPr>
      <w:r>
        <w:rPr>
          <w:rFonts w:hint="eastAsia"/>
          <w:sz w:val="24"/>
        </w:rPr>
        <w:t>5.被省级及以上交通主管部门取消项目所在地的响应资格或禁止进入该区域水运建设市场且处于有效期内；</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1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63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442" w:type="dxa"/>
          </w:tcPr>
          <w:p>
            <w:pPr>
              <w:widowControl w:val="0"/>
              <w:spacing w:line="320" w:lineRule="exact"/>
              <w:jc w:val="center"/>
              <w:rPr>
                <w:rFonts w:ascii="宋体" w:hAnsi="宋体"/>
                <w:sz w:val="24"/>
              </w:rPr>
            </w:pPr>
            <w:r>
              <w:rPr>
                <w:rFonts w:hint="eastAsia" w:ascii="宋体" w:hAnsi="宋体"/>
                <w:sz w:val="24"/>
              </w:rPr>
              <w:t>资格条件</w:t>
            </w:r>
          </w:p>
        </w:tc>
        <w:tc>
          <w:tcPr>
            <w:tcW w:w="1639" w:type="dxa"/>
          </w:tcPr>
          <w:p>
            <w:pPr>
              <w:widowControl w:val="0"/>
              <w:spacing w:line="320" w:lineRule="exact"/>
              <w:jc w:val="center"/>
              <w:rPr>
                <w:rFonts w:ascii="宋体" w:hAnsi="宋体"/>
                <w:sz w:val="24"/>
              </w:rPr>
            </w:pPr>
            <w:r>
              <w:rPr>
                <w:rFonts w:hint="eastAsia" w:ascii="宋体" w:hAnsi="宋体"/>
                <w:sz w:val="24"/>
              </w:rPr>
              <w:t>对供应商要求</w:t>
            </w:r>
          </w:p>
        </w:tc>
        <w:tc>
          <w:tcPr>
            <w:tcW w:w="499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（1）依法设立</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（2）资质要求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（3）财务要求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（4）业绩要求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（5）信誉要求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sym w:font="Wingdings 2" w:char="0052"/>
            </w: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sym w:font="Wingdings 2" w:char="0052"/>
            </w:r>
            <w:r>
              <w:rPr>
                <w:rStyle w:val="19"/>
                <w:rFonts w:hint="eastAsia"/>
                <w:b w:val="0"/>
                <w:bCs w:val="0"/>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2"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42" w:type="dxa"/>
          </w:tcPr>
          <w:p>
            <w:pPr>
              <w:widowControl w:val="0"/>
              <w:spacing w:line="320" w:lineRule="exact"/>
              <w:jc w:val="both"/>
              <w:rPr>
                <w:rFonts w:ascii="宋体" w:hAnsi="宋体"/>
                <w:sz w:val="24"/>
              </w:rPr>
            </w:pPr>
            <w:r>
              <w:rPr>
                <w:rFonts w:hint="eastAsia" w:ascii="宋体" w:hAnsi="宋体"/>
                <w:sz w:val="24"/>
              </w:rPr>
              <w:t>（7）其他要求</w:t>
            </w:r>
          </w:p>
        </w:tc>
        <w:tc>
          <w:tcPr>
            <w:tcW w:w="1639"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442"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639" w:type="dxa"/>
          </w:tcPr>
          <w:p>
            <w:pPr>
              <w:widowControl w:val="0"/>
              <w:spacing w:line="320" w:lineRule="exact"/>
              <w:jc w:val="both"/>
              <w:rPr>
                <w:rStyle w:val="19"/>
                <w:b w:val="0"/>
                <w:bCs w:val="0"/>
              </w:rPr>
            </w:pPr>
            <w:r>
              <w:rPr>
                <w:rStyle w:val="19"/>
                <w:rFonts w:hint="eastAsia"/>
                <w:b w:val="0"/>
                <w:bCs w:val="0"/>
              </w:rPr>
              <w:sym w:font="Wingdings 2" w:char="0052"/>
            </w: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w:t>
            </w:r>
          </w:p>
        </w:tc>
        <w:tc>
          <w:tcPr>
            <w:tcW w:w="4997" w:type="dxa"/>
          </w:tcPr>
          <w:p>
            <w:pPr>
              <w:widowControl w:val="0"/>
              <w:spacing w:line="320" w:lineRule="exact"/>
              <w:jc w:val="both"/>
              <w:rPr>
                <w:rStyle w:val="19"/>
                <w:b w:val="0"/>
                <w:bCs w:val="0"/>
              </w:rPr>
            </w:pPr>
            <w:r>
              <w:rPr>
                <w:rStyle w:val="19"/>
                <w:rFonts w:hint="eastAsia"/>
                <w:b w:val="0"/>
                <w:bCs w:val="0"/>
              </w:rPr>
              <w:sym w:font="Wingdings 2" w:char="0052"/>
            </w:r>
            <w:r>
              <w:rPr>
                <w:rStyle w:val="19"/>
                <w:rFonts w:hint="eastAsia"/>
                <w:b w:val="0"/>
                <w:bCs w:val="0"/>
              </w:rPr>
              <w:t xml:space="preserve">不适用  </w:t>
            </w:r>
          </w:p>
          <w:p>
            <w:pPr>
              <w:widowControl w:val="0"/>
              <w:spacing w:line="320" w:lineRule="exact"/>
              <w:jc w:val="both"/>
              <w:rPr>
                <w:rFonts w:ascii="宋体" w:hAnsi="宋体"/>
                <w:sz w:val="24"/>
              </w:rPr>
            </w:pPr>
            <w:r>
              <w:rPr>
                <w:rStyle w:val="19"/>
                <w:rFonts w:hint="eastAsia"/>
                <w:b w:val="0"/>
                <w:bCs w:val="0"/>
              </w:rPr>
              <w:t>□适用,见采购文件供应商须知前附表3.5（8）。</w:t>
            </w:r>
          </w:p>
        </w:tc>
      </w:tr>
    </w:tbl>
    <w:p>
      <w:pPr>
        <w:pStyle w:val="5"/>
        <w:jc w:val="both"/>
        <w:rPr>
          <w:rFonts w:ascii="Arial" w:hAnsi="Arial"/>
        </w:rPr>
      </w:pPr>
      <w:r>
        <w:rPr>
          <w:rFonts w:hint="eastAsia"/>
        </w:rPr>
        <w:t>四、</w:t>
      </w:r>
      <w:r>
        <w:rPr>
          <w:rFonts w:hint="eastAsia" w:ascii="黑体" w:hAnsi="黑体"/>
        </w:rPr>
        <w:t>响应保证金</w:t>
      </w:r>
    </w:p>
    <w:p>
      <w:pPr>
        <w:pStyle w:val="5"/>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无</w:t>
      </w:r>
    </w:p>
    <w:p>
      <w:pPr>
        <w:pStyle w:val="5"/>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sz w:val="24"/>
        </w:rPr>
        <w:t>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rPr>
        <w:t>六、</w:t>
      </w:r>
      <w:r>
        <w:rPr>
          <w:rFonts w:hint="eastAsia" w:ascii="黑体" w:hAnsi="黑体"/>
        </w:rPr>
        <w:t>采购文件获取</w:t>
      </w:r>
    </w:p>
    <w:p>
      <w:pPr>
        <w:spacing w:line="440" w:lineRule="exact"/>
        <w:rPr>
          <w:sz w:val="24"/>
        </w:rPr>
      </w:pPr>
      <w:r>
        <w:rPr>
          <w:rFonts w:hint="eastAsia" w:ascii="宋体" w:hAnsi="宋体"/>
          <w:b/>
          <w:bCs/>
          <w:sz w:val="24"/>
        </w:rPr>
        <w:t>（一）</w:t>
      </w:r>
      <w:r>
        <w:rPr>
          <w:rFonts w:hint="eastAsia" w:ascii="宋体" w:hAnsi="宋体"/>
          <w:sz w:val="24"/>
        </w:rPr>
        <w:t>供应商应当于2023年9月1</w:t>
      </w:r>
      <w:r>
        <w:rPr>
          <w:rFonts w:hint="eastAsia" w:ascii="宋体" w:hAnsi="宋体"/>
          <w:sz w:val="24"/>
          <w:lang w:val="en-US" w:eastAsia="zh-CN"/>
        </w:rPr>
        <w:t>2</w:t>
      </w:r>
      <w:r>
        <w:rPr>
          <w:rFonts w:hint="eastAsia" w:ascii="宋体" w:hAnsi="宋体"/>
          <w:sz w:val="24"/>
        </w:rPr>
        <w:t>日至2023年9月1</w:t>
      </w:r>
      <w:r>
        <w:rPr>
          <w:rFonts w:hint="eastAsia" w:ascii="宋体" w:hAnsi="宋体"/>
          <w:sz w:val="24"/>
          <w:lang w:val="en-US" w:eastAsia="zh-CN"/>
        </w:rPr>
        <w:t>7</w:t>
      </w:r>
      <w:r>
        <w:rPr>
          <w:rFonts w:hint="eastAsia" w:ascii="宋体" w:hAnsi="宋体"/>
          <w:sz w:val="24"/>
        </w:rPr>
        <w:t>日，网上直接下载获取采购文件，报价文件最迟应于2023年9月18日12时00分送达</w:t>
      </w:r>
      <w:r>
        <w:rPr>
          <w:rFonts w:hint="eastAsia"/>
          <w:sz w:val="24"/>
        </w:rPr>
        <w:t>岳阳城陵矶新港有限公司四楼综合管理部办公室（405）</w:t>
      </w:r>
      <w:r>
        <w:rPr>
          <w:rFonts w:hint="eastAsia" w:ascii="宋体" w:hAnsi="宋体"/>
          <w:sz w:val="24"/>
        </w:rPr>
        <w:t>，逾期送达的或者未送达指定地点的文件，不予受理。</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供应商若对本项目采购需求、资格要求等有疑问的，应当于2023年9月15日17时30分前向采购人提出澄清要求。</w:t>
      </w:r>
    </w:p>
    <w:p>
      <w:pPr>
        <w:widowControl w:val="0"/>
        <w:spacing w:line="312" w:lineRule="auto"/>
        <w:jc w:val="both"/>
        <w:rPr>
          <w:rFonts w:ascii="宋体" w:hAnsi="宋体"/>
          <w:sz w:val="24"/>
        </w:rPr>
      </w:pPr>
      <w:r>
        <w:rPr>
          <w:rFonts w:hint="eastAsia" w:ascii="宋体" w:hAnsi="宋体"/>
          <w:b/>
          <w:bCs/>
          <w:sz w:val="24"/>
        </w:rPr>
        <w:t>（三）</w:t>
      </w:r>
      <w:r>
        <w:rPr>
          <w:rFonts w:hint="eastAsia" w:ascii="宋体" w:hAnsi="宋体"/>
          <w:sz w:val="24"/>
        </w:rPr>
        <w:t>本次询价不接受联合体报价。</w:t>
      </w:r>
    </w:p>
    <w:p>
      <w:pPr>
        <w:pStyle w:val="5"/>
        <w:numPr>
          <w:ilvl w:val="0"/>
          <w:numId w:val="3"/>
        </w:numPr>
        <w:jc w:val="both"/>
      </w:pP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中国采购响应公共服务平台（http：//www.cebpubservice.com）、湖南省湘水集团有限公司网站（http：//www.hnsxsjt.com）、湖南省港务集团有限公司（http://www.hnsgwjt.com）上发布。</w:t>
      </w:r>
    </w:p>
    <w:p/>
    <w:p>
      <w:pPr>
        <w:pStyle w:val="5"/>
        <w:jc w:val="both"/>
      </w:pPr>
      <w:r>
        <w:rPr>
          <w:rFonts w:hint="eastAsia"/>
        </w:rPr>
        <w:t>八、</w:t>
      </w:r>
      <w:bookmarkStart w:id="2" w:name="_Toc512257471"/>
      <w:bookmarkStart w:id="3" w:name="_Toc76635692"/>
      <w:bookmarkStart w:id="4" w:name="_Toc77254104"/>
      <w:bookmarkStart w:id="5" w:name="_Toc79596547"/>
      <w:r>
        <w:t>监督</w:t>
      </w:r>
      <w:bookmarkEnd w:id="2"/>
      <w:bookmarkEnd w:id="3"/>
      <w:bookmarkEnd w:id="4"/>
      <w:r>
        <w:rPr>
          <w:rFonts w:hint="eastAsia"/>
        </w:rPr>
        <w:t>部门</w:t>
      </w:r>
      <w:bookmarkEnd w:id="5"/>
    </w:p>
    <w:p>
      <w:pPr>
        <w:spacing w:line="288" w:lineRule="auto"/>
        <w:jc w:val="both"/>
        <w:rPr>
          <w:rFonts w:ascii="宋体" w:hAnsi="宋体" w:cs="宋体"/>
          <w:color w:val="000000"/>
          <w:sz w:val="24"/>
        </w:rPr>
      </w:pPr>
      <w:r>
        <w:rPr>
          <w:sz w:val="24"/>
        </w:rPr>
        <w:t>本次</w:t>
      </w:r>
      <w:r>
        <w:rPr>
          <w:rFonts w:hint="eastAsia"/>
          <w:sz w:val="24"/>
        </w:rPr>
        <w:t>采购</w:t>
      </w:r>
      <w:r>
        <w:rPr>
          <w:sz w:val="24"/>
        </w:rPr>
        <w:t>监督部门为</w:t>
      </w:r>
      <w:r>
        <w:rPr>
          <w:rFonts w:hint="eastAsia" w:cstheme="minorBidi"/>
          <w:sz w:val="24"/>
        </w:rPr>
        <w:t>岳阳城陵矶新港有限公司综合管理部</w:t>
      </w:r>
      <w:r>
        <w:rPr>
          <w:sz w:val="24"/>
        </w:rPr>
        <w:t>，电话：</w:t>
      </w:r>
      <w:r>
        <w:rPr>
          <w:rFonts w:hint="eastAsia" w:ascii="宋体" w:hAnsi="宋体" w:cs="宋体"/>
          <w:bCs/>
          <w:kern w:val="0"/>
          <w:sz w:val="24"/>
        </w:rPr>
        <w:t>13975049385</w:t>
      </w:r>
      <w:r>
        <w:rPr>
          <w:sz w:val="24"/>
        </w:rPr>
        <w:t>。</w:t>
      </w:r>
    </w:p>
    <w:p>
      <w:pPr>
        <w:pStyle w:val="5"/>
        <w:jc w:val="both"/>
        <w:rPr>
          <w:rFonts w:ascii="Arial" w:hAnsi="Arial"/>
        </w:rPr>
      </w:pPr>
      <w:r>
        <w:rPr>
          <w:rFonts w:hint="eastAsia"/>
        </w:rPr>
        <w:t>九、</w:t>
      </w:r>
      <w:r>
        <w:rPr>
          <w:rFonts w:hint="eastAsia" w:ascii="黑体" w:hAnsi="黑体"/>
        </w:rPr>
        <w:t>联系方式</w:t>
      </w:r>
    </w:p>
    <w:p>
      <w:pPr>
        <w:spacing w:line="440" w:lineRule="exact"/>
        <w:rPr>
          <w:color w:val="000000" w:themeColor="text1"/>
          <w:sz w:val="24"/>
        </w:rPr>
      </w:pPr>
      <w:r>
        <w:rPr>
          <w:rFonts w:hint="eastAsia" w:ascii="宋体" w:hAnsi="宋体"/>
          <w:sz w:val="24"/>
        </w:rPr>
        <w:t>询</w:t>
      </w:r>
      <w:r>
        <w:rPr>
          <w:rFonts w:hint="eastAsia"/>
          <w:color w:val="000000" w:themeColor="text1"/>
          <w:sz w:val="24"/>
        </w:rPr>
        <w:t>价</w:t>
      </w:r>
      <w:r>
        <w:rPr>
          <w:rFonts w:hint="eastAsia"/>
          <w:sz w:val="24"/>
        </w:rPr>
        <w:t>人：岳阳城陵矶新港有限公司</w:t>
      </w:r>
    </w:p>
    <w:p>
      <w:pPr>
        <w:spacing w:line="440" w:lineRule="exact"/>
        <w:rPr>
          <w:color w:val="000000" w:themeColor="text1"/>
          <w:sz w:val="24"/>
        </w:rPr>
      </w:pPr>
      <w:r>
        <w:rPr>
          <w:rFonts w:hint="eastAsia"/>
          <w:color w:val="000000" w:themeColor="text1"/>
          <w:sz w:val="24"/>
        </w:rPr>
        <w:t>地址：湖南省岳阳市云溪区沿江西路50米</w:t>
      </w:r>
      <w:r>
        <w:rPr>
          <w:rFonts w:hint="eastAsia"/>
          <w:sz w:val="24"/>
        </w:rPr>
        <w:t>岳阳城陵矶新港有限公司四楼综合管理部办公室（405）</w:t>
      </w:r>
    </w:p>
    <w:p>
      <w:pPr>
        <w:spacing w:line="440" w:lineRule="exact"/>
        <w:rPr>
          <w:color w:val="000000" w:themeColor="text1"/>
          <w:sz w:val="24"/>
        </w:rPr>
      </w:pPr>
      <w:r>
        <w:rPr>
          <w:rFonts w:hint="eastAsia"/>
          <w:color w:val="000000" w:themeColor="text1"/>
          <w:sz w:val="24"/>
        </w:rPr>
        <w:t>联 系 人：童先生</w:t>
      </w:r>
    </w:p>
    <w:p>
      <w:pPr>
        <w:spacing w:line="440" w:lineRule="exact"/>
      </w:pPr>
      <w:r>
        <w:rPr>
          <w:rFonts w:hint="eastAsia"/>
          <w:color w:val="000000" w:themeColor="text1"/>
          <w:sz w:val="24"/>
        </w:rPr>
        <w:t>联系电话：</w:t>
      </w:r>
      <w:r>
        <w:rPr>
          <w:rFonts w:hint="eastAsia"/>
          <w:sz w:val="24"/>
        </w:rPr>
        <w:t>13975080729</w:t>
      </w:r>
    </w:p>
    <w:p>
      <w:pPr>
        <w:spacing w:line="440" w:lineRule="exact"/>
        <w:rPr>
          <w:sz w:val="24"/>
        </w:rPr>
      </w:pPr>
      <w:r>
        <w:rPr>
          <w:rFonts w:hint="eastAsia" w:ascii="宋体" w:hAnsi="宋体" w:cs="宋体"/>
          <w:sz w:val="24"/>
        </w:rPr>
        <w:t>邮政编码：</w:t>
      </w:r>
      <w:r>
        <w:rPr>
          <w:rFonts w:hint="eastAsia"/>
          <w:sz w:val="24"/>
        </w:rPr>
        <w:t>414000</w:t>
      </w:r>
    </w:p>
    <w:p>
      <w:pPr>
        <w:rPr>
          <w:rFonts w:ascii="微软雅黑" w:hAnsi="微软雅黑" w:eastAsia="微软雅黑"/>
          <w:sz w:val="24"/>
          <w:lang w:val="zh-CN"/>
        </w:rPr>
      </w:pPr>
      <w:r>
        <w:rPr>
          <w:rFonts w:ascii="微软雅黑" w:hAnsi="微软雅黑" w:eastAsia="微软雅黑"/>
          <w:sz w:val="24"/>
          <w:lang w:val="zh-CN"/>
        </w:rPr>
        <w:br w:type="page"/>
      </w:r>
    </w:p>
    <w:p>
      <w:pPr>
        <w:spacing w:line="600" w:lineRule="exact"/>
        <w:jc w:val="center"/>
        <w:rPr>
          <w:rFonts w:ascii="黑体" w:hAnsi="黑体" w:eastAsia="黑体"/>
          <w:sz w:val="32"/>
          <w:szCs w:val="32"/>
        </w:rPr>
      </w:pPr>
      <w:r>
        <w:rPr>
          <w:rFonts w:hint="eastAsia" w:ascii="黑体" w:hAnsi="黑体" w:eastAsia="黑体"/>
          <w:sz w:val="32"/>
          <w:szCs w:val="32"/>
        </w:rPr>
        <w:t>第二章  供应商须知</w:t>
      </w:r>
    </w:p>
    <w:p>
      <w:pPr>
        <w:pStyle w:val="4"/>
        <w:spacing w:before="240" w:after="240" w:line="600" w:lineRule="exact"/>
        <w:jc w:val="both"/>
        <w:rPr>
          <w:rFonts w:ascii="仿宋" w:hAnsi="仿宋" w:eastAsia="仿宋" w:cs="仿宋"/>
          <w:sz w:val="30"/>
          <w:szCs w:val="30"/>
        </w:rPr>
      </w:pPr>
      <w:bookmarkStart w:id="6" w:name="_Toc517787495"/>
      <w:bookmarkStart w:id="7" w:name="_Toc234832862"/>
      <w:r>
        <w:rPr>
          <w:rFonts w:hint="eastAsia" w:ascii="仿宋" w:hAnsi="仿宋" w:eastAsia="仿宋" w:cs="仿宋"/>
          <w:sz w:val="30"/>
          <w:szCs w:val="30"/>
        </w:rPr>
        <w:t>供应商须知前附表</w:t>
      </w:r>
      <w:r>
        <w:rPr>
          <w:rStyle w:val="21"/>
          <w:rFonts w:hint="eastAsia" w:ascii="仿宋" w:hAnsi="仿宋" w:eastAsia="仿宋" w:cs="仿宋"/>
          <w:sz w:val="30"/>
          <w:szCs w:val="30"/>
        </w:rPr>
        <w:footnoteReference w:id="0"/>
      </w:r>
      <w:bookmarkEnd w:id="6"/>
      <w:bookmarkEnd w:id="7"/>
    </w:p>
    <w:tbl>
      <w:tblPr>
        <w:tblStyle w:val="16"/>
        <w:tblW w:w="8779" w:type="dxa"/>
        <w:tblInd w:w="0" w:type="dxa"/>
        <w:tblLayout w:type="fixed"/>
        <w:tblCellMar>
          <w:top w:w="0" w:type="dxa"/>
          <w:left w:w="108" w:type="dxa"/>
          <w:bottom w:w="0" w:type="dxa"/>
          <w:right w:w="108" w:type="dxa"/>
        </w:tblCellMar>
      </w:tblPr>
      <w:tblGrid>
        <w:gridCol w:w="1260"/>
        <w:gridCol w:w="2753"/>
        <w:gridCol w:w="4766"/>
      </w:tblGrid>
      <w:tr>
        <w:tblPrEx>
          <w:tblCellMar>
            <w:top w:w="0" w:type="dxa"/>
            <w:left w:w="108" w:type="dxa"/>
            <w:bottom w:w="0" w:type="dxa"/>
            <w:right w:w="108" w:type="dxa"/>
          </w:tblCellMar>
        </w:tblPrEx>
        <w:trPr>
          <w:trHeight w:val="469"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rPr>
          <w:trHeight w:val="1084"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color w:val="000000" w:themeColor="text1"/>
                <w:sz w:val="24"/>
                <w14:textFill>
                  <w14:solidFill>
                    <w14:schemeClr w14:val="tx1"/>
                  </w14:solidFill>
                </w14:textFill>
              </w:rPr>
            </w:pPr>
            <w:r>
              <w:rPr>
                <w:rFonts w:hint="eastAsia" w:ascii="MS Mincho" w:hAnsi="MS Mincho" w:eastAsia="MS Mincho" w:cs="MS Mincho"/>
                <w:sz w:val="24"/>
              </w:rPr>
              <w:t>☑</w:t>
            </w:r>
            <w:r>
              <w:rPr>
                <w:rFonts w:hint="eastAsia" w:ascii="宋体" w:hAnsi="宋体" w:cs="宋体"/>
                <w:sz w:val="24"/>
              </w:rPr>
              <w:t>组织，踏勘时</w:t>
            </w:r>
            <w:r>
              <w:rPr>
                <w:rFonts w:hint="eastAsia" w:ascii="宋体" w:hAnsi="宋体" w:cs="宋体"/>
                <w:color w:val="000000" w:themeColor="text1"/>
                <w:sz w:val="24"/>
                <w14:textFill>
                  <w14:solidFill>
                    <w14:schemeClr w14:val="tx1"/>
                  </w14:solidFill>
                </w14:textFill>
              </w:rPr>
              <w:t>间：</w:t>
            </w:r>
            <w:r>
              <w:rPr>
                <w:rFonts w:hint="eastAsia" w:ascii="宋体" w:hAnsi="宋体" w:cs="宋体"/>
                <w:color w:val="000000" w:themeColor="text1"/>
                <w:sz w:val="24"/>
                <w:lang w:val="en-US" w:eastAsia="zh-CN"/>
                <w14:textFill>
                  <w14:solidFill>
                    <w14:schemeClr w14:val="tx1"/>
                  </w14:solidFill>
                </w14:textFill>
              </w:rPr>
              <w:t>2023年9月13日-</w:t>
            </w:r>
            <w:r>
              <w:rPr>
                <w:rFonts w:hint="eastAsia" w:cs="仿宋" w:asciiTheme="minorEastAsia" w:hAnsiTheme="minorEastAsia" w:eastAsiaTheme="minorEastAsia"/>
                <w:color w:val="000000" w:themeColor="text1"/>
                <w:sz w:val="24"/>
                <w14:textFill>
                  <w14:solidFill>
                    <w14:schemeClr w14:val="tx1"/>
                  </w14:solidFill>
                </w14:textFill>
              </w:rPr>
              <w:t xml:space="preserve">2023年9月15日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color w:val="000000" w:themeColor="text1"/>
                <w:sz w:val="24"/>
                <w14:textFill>
                  <w14:solidFill>
                    <w14:schemeClr w14:val="tx1"/>
                  </w14:solidFill>
                </w14:textFill>
              </w:rPr>
              <w:t xml:space="preserve">踏勘联系人：王女士18373033666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对分包供应商的要求：不允许分包</w:t>
            </w:r>
          </w:p>
        </w:tc>
      </w:tr>
      <w:tr>
        <w:tblPrEx>
          <w:tblCellMar>
            <w:top w:w="0" w:type="dxa"/>
            <w:left w:w="108" w:type="dxa"/>
            <w:bottom w:w="0" w:type="dxa"/>
            <w:right w:w="108" w:type="dxa"/>
          </w:tblCellMar>
        </w:tblPrEx>
        <w:trPr>
          <w:trHeight w:val="226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w:t>
            </w:r>
            <w:r>
              <w:rPr>
                <w:rFonts w:hint="eastAsia" w:ascii="宋体" w:hAnsi="宋体" w:cs="宋体" w:eastAsiaTheme="minorEastAsia"/>
                <w:sz w:val="24"/>
              </w:rPr>
              <w:t>响应</w:t>
            </w:r>
            <w:r>
              <w:rPr>
                <w:rFonts w:hint="eastAsia" w:ascii="宋体" w:hAnsi="宋体" w:cs="宋体"/>
                <w:sz w:val="24"/>
              </w:rPr>
              <w:t>文件在实质上响应采购文件要求，但存在含义不明确的内容、明显文字或计算错误等情况，此条件下允许供应商进行澄清解释。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允许偏差的项数：3项</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w:t>
            </w:r>
            <w:bookmarkStart w:id="9" w:name="_GoBack"/>
            <w:r>
              <w:rPr>
                <w:rFonts w:hint="eastAsia" w:cs="仿宋" w:asciiTheme="minorEastAsia" w:hAnsiTheme="minorEastAsia" w:eastAsiaTheme="minorEastAsia"/>
                <w:color w:val="000000" w:themeColor="text1"/>
                <w:sz w:val="24"/>
                <w14:textFill>
                  <w14:solidFill>
                    <w14:schemeClr w14:val="tx1"/>
                  </w14:solidFill>
                </w14:textFill>
              </w:rPr>
              <w:t>时间：2023年9月15日17时30分</w:t>
            </w:r>
            <w:bookmarkEnd w:id="9"/>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确定的方式：无</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最终报价承诺函。</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p>
          <w:p>
            <w:pPr>
              <w:spacing w:line="288" w:lineRule="auto"/>
              <w:jc w:val="both"/>
              <w:rPr>
                <w:rFonts w:cs="仿宋" w:asciiTheme="minorEastAsia" w:hAnsiTheme="minorEastAsia"/>
                <w:sz w:val="24"/>
              </w:rPr>
            </w:pPr>
            <w:r>
              <w:rPr>
                <w:sz w:val="24"/>
              </w:rPr>
              <w:t>本项目最高限价为：人民币</w:t>
            </w:r>
            <w:r>
              <w:rPr>
                <w:rFonts w:hint="eastAsia"/>
                <w:sz w:val="24"/>
              </w:rPr>
              <w:t>叁拾捌万元（</w:t>
            </w:r>
            <w:r>
              <w:rPr>
                <w:sz w:val="24"/>
              </w:rPr>
              <w:t>¥</w:t>
            </w:r>
            <w:r>
              <w:rPr>
                <w:rFonts w:hint="eastAsia"/>
                <w:sz w:val="24"/>
              </w:rPr>
              <w:t>380，000.00）</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ascii="宋体" w:hAnsi="宋体" w:cs="仿宋"/>
                <w:sz w:val="24"/>
              </w:rPr>
              <w:t>报价应为含税价，提供税率为6%的增值税发票，如提供其他税率的发票，采购人将按6%的税率调整后进行排序。</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9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无</w:t>
            </w:r>
          </w:p>
        </w:tc>
      </w:tr>
      <w:tr>
        <w:tblPrEx>
          <w:tblCellMar>
            <w:top w:w="0" w:type="dxa"/>
            <w:left w:w="108" w:type="dxa"/>
            <w:bottom w:w="0" w:type="dxa"/>
            <w:right w:w="108" w:type="dxa"/>
          </w:tblCellMar>
        </w:tblPrEx>
        <w:trPr>
          <w:trHeight w:val="128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依法设立的证明材料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83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9"/>
                <w:rFonts w:hint="eastAsia" w:asciiTheme="minorEastAsia" w:hAnsiTheme="minorEastAsia" w:eastAsiaTheme="minorEastAsia"/>
                <w:b w:val="0"/>
                <w:color w:val="000000"/>
                <w:sz w:val="24"/>
              </w:rPr>
              <w:t>资质要求证明材料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ascii="MS Mincho" w:hAnsi="MS Mincho" w:eastAsia="MS Mincho" w:cs="MS Mincho"/>
                <w:sz w:val="24"/>
              </w:rPr>
              <w:t>☑</w:t>
            </w:r>
            <w:r>
              <w:rPr>
                <w:rFonts w:hint="eastAsia" w:ascii="MS Mincho" w:hAnsi="MS Mincho" w:cs="MS Mincho" w:eastAsiaTheme="minorEastAsia"/>
                <w:sz w:val="24"/>
              </w:rPr>
              <w:t>不</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78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9"/>
                <w:rFonts w:asciiTheme="minorEastAsia" w:hAnsiTheme="minorEastAsia" w:eastAsiaTheme="minorEastAsia"/>
                <w:b w:val="0"/>
                <w:color w:val="000000"/>
                <w:sz w:val="24"/>
              </w:rPr>
            </w:pPr>
            <w:r>
              <w:rPr>
                <w:rStyle w:val="19"/>
                <w:rFonts w:hint="eastAsia" w:asciiTheme="minorEastAsia" w:hAnsiTheme="minorEastAsia" w:eastAsiaTheme="minorEastAsia"/>
                <w:b w:val="0"/>
                <w:color w:val="000000"/>
                <w:sz w:val="24"/>
              </w:rPr>
              <w:t>财务要求证明材料</w:t>
            </w:r>
          </w:p>
        </w:tc>
        <w:tc>
          <w:tcPr>
            <w:tcW w:w="4766"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6437"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适用。供应商应提供近2年的类似项目情况表（格式见第六章“响应文件格式”七、资格审查资料（三）近2年的类似项目情况表），以证明供应商具有承担本项目要求的业绩。近年是指2021年8月1日至2023年7月31日，以合同乙方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666666"/>
                <w:kern w:val="0"/>
                <w:szCs w:val="21"/>
              </w:rPr>
            </w:pPr>
            <w:r>
              <w:rPr>
                <w:rFonts w:hint="eastAsia" w:ascii="MS Mincho" w:hAnsi="MS Mincho" w:eastAsia="MS Mincho" w:cs="MS Mincho"/>
                <w:color w:val="000000"/>
                <w:sz w:val="24"/>
              </w:rPr>
              <w:t>☑</w:t>
            </w:r>
            <w:r>
              <w:rPr>
                <w:rFonts w:hint="eastAsia" w:cs="宋体" w:asciiTheme="minorEastAsia" w:hAnsiTheme="minorEastAsia" w:eastAsiaTheme="minorEastAsia"/>
                <w:color w:val="000000"/>
                <w:sz w:val="24"/>
              </w:rPr>
              <w:t>其他材料：项目完工后的现场照片</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ascii="MS Mincho" w:hAnsi="MS Mincho" w:eastAsia="MS Mincho" w:cs="MS Mincho"/>
                <w:color w:val="000000"/>
                <w:sz w:val="24"/>
              </w:rPr>
              <w:t>☑</w:t>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ascii="MS Mincho" w:hAnsi="MS Mincho" w:eastAsia="MS Mincho" w:cs="MS Mincho"/>
                <w:color w:val="000000"/>
                <w:sz w:val="24"/>
              </w:rPr>
              <w:t>☑</w:t>
            </w:r>
            <w:r>
              <w:rPr>
                <w:rFonts w:hint="eastAsia" w:ascii="宋体" w:hAnsi="宋体" w:cs="宋体"/>
                <w:color w:val="000000"/>
                <w:sz w:val="24"/>
              </w:rPr>
              <w:t>其他要求：</w:t>
            </w:r>
            <w:r>
              <w:rPr>
                <w:rFonts w:hint="eastAsia" w:ascii="宋体" w:hAnsi="宋体" w:cs="宋体"/>
                <w:color w:val="000000" w:themeColor="text1"/>
                <w:sz w:val="24"/>
                <w14:textFill>
                  <w14:solidFill>
                    <w14:schemeClr w14:val="tx1"/>
                  </w14:solidFill>
                </w14:textFill>
              </w:rPr>
              <w:t>提供</w:t>
            </w:r>
            <w:r>
              <w:rPr>
                <w:rFonts w:hint="eastAsia" w:cs="宋体" w:asciiTheme="minorEastAsia" w:hAnsiTheme="minorEastAsia" w:eastAsiaTheme="minorEastAsia"/>
                <w:color w:val="000000" w:themeColor="text1"/>
                <w:sz w:val="24"/>
                <w:u w:val="single"/>
                <w14:textFill>
                  <w14:solidFill>
                    <w14:schemeClr w14:val="tx1"/>
                  </w14:solidFill>
                </w14:textFill>
              </w:rPr>
              <w:t>1份业绩</w:t>
            </w:r>
            <w:r>
              <w:rPr>
                <w:rFonts w:hint="eastAsia" w:cs="宋体" w:asciiTheme="minorEastAsia" w:hAnsiTheme="minorEastAsia" w:eastAsiaTheme="minorEastAsia"/>
                <w:color w:val="000000" w:themeColor="text1"/>
                <w:sz w:val="24"/>
                <w14:textFill>
                  <w14:solidFill>
                    <w14:schemeClr w14:val="tx1"/>
                  </w14:solidFill>
                </w14:textFill>
              </w:rPr>
              <w:t>复印件加盖单位公章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pStyle w:val="8"/>
              <w:spacing w:after="0" w:line="312" w:lineRule="auto"/>
              <w:ind w:left="0" w:leftChars="0"/>
              <w:rPr>
                <w:rFonts w:cs="宋体" w:asciiTheme="minorEastAsia" w:hAnsiTheme="minorEastAsia" w:eastAsiaTheme="minorEastAsia"/>
                <w:sz w:val="24"/>
              </w:rPr>
            </w:pPr>
            <w:r>
              <w:rPr>
                <w:rFonts w:hint="eastAsia" w:ascii="MS Mincho" w:hAnsi="MS Mincho" w:eastAsia="MS Mincho" w:cs="MS Mincho"/>
                <w:sz w:val="24"/>
              </w:rPr>
              <w:t>☑</w:t>
            </w:r>
            <w:r>
              <w:rPr>
                <w:rFonts w:hint="eastAsia" w:cs="宋体" w:asciiTheme="minorEastAsia" w:hAnsiTheme="minorEastAsia" w:eastAsiaTheme="minorEastAsia"/>
                <w:sz w:val="24"/>
              </w:rPr>
              <w:t>适用。</w:t>
            </w:r>
            <w:r>
              <w:rPr>
                <w:rFonts w:hint="eastAsia" w:cs="宋体" w:asciiTheme="minorEastAsia" w:hAnsiTheme="minorEastAsia" w:eastAsiaTheme="minorEastAsia"/>
                <w:color w:val="000000"/>
                <w:sz w:val="24"/>
              </w:rPr>
              <w:t>供应商应提供相关信誉情况的证明材料，包括：</w:t>
            </w:r>
            <w:r>
              <w:rPr>
                <w:rFonts w:hint="eastAsia" w:cs="宋体" w:asciiTheme="minorEastAsia" w:hAnsiTheme="minorEastAsia" w:eastAsiaTheme="minorEastAsia"/>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61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ascii="MS Mincho" w:hAnsi="MS Mincho" w:eastAsia="MS Mincho" w:cs="MS Mincho"/>
                <w:sz w:val="24"/>
              </w:rPr>
              <w:t>☑</w:t>
            </w:r>
            <w:r>
              <w:rPr>
                <w:rFonts w:hint="eastAsia" w:cs="宋体" w:asciiTheme="minorEastAsia" w:hAnsiTheme="minorEastAsia" w:eastAsiaTheme="minorEastAsia"/>
                <w:sz w:val="24"/>
              </w:rPr>
              <w:t>适用。供应商应</w:t>
            </w:r>
            <w:r>
              <w:rPr>
                <w:rFonts w:hint="eastAsia"/>
              </w:rPr>
              <w:t>要求每天固定派遣8名清洁人员（含1名管理人员）常驻甲方公司进行卫生清洁工作。</w:t>
            </w:r>
            <w:r>
              <w:rPr>
                <w:rFonts w:hint="eastAsia" w:cs="宋体" w:asciiTheme="minorEastAsia" w:hAnsiTheme="minorEastAsia" w:eastAsiaTheme="minorEastAsia"/>
                <w:sz w:val="24"/>
              </w:rPr>
              <w:t>提</w:t>
            </w:r>
            <w:r>
              <w:rPr>
                <w:rFonts w:hint="eastAsia" w:cs="宋体" w:asciiTheme="minorEastAsia" w:hAnsiTheme="minorEastAsia" w:eastAsiaTheme="minorEastAsia"/>
                <w:color w:val="000000"/>
                <w:sz w:val="24"/>
              </w:rPr>
              <w:t>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其他</w:t>
            </w:r>
            <w:r>
              <w:rPr>
                <w:rFonts w:hint="eastAsia" w:cs="宋体" w:asciiTheme="minorEastAsia" w:hAnsiTheme="minorEastAsia" w:eastAsiaTheme="minorEastAsia"/>
                <w:color w:val="000000"/>
                <w:sz w:val="24"/>
              </w:rPr>
              <w:t>要求</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提供相关证明文件</w:t>
            </w:r>
            <w:r>
              <w:rPr>
                <w:rFonts w:hint="eastAsia" w:cs="宋体" w:asciiTheme="minorEastAsia" w:hAnsiTheme="minorEastAsia" w:eastAsiaTheme="minorEastAsia"/>
                <w:color w:val="000000"/>
                <w:sz w:val="24"/>
                <w:lang w:eastAsia="zh-CN"/>
              </w:rPr>
              <w:t>。</w:t>
            </w:r>
          </w:p>
        </w:tc>
      </w:tr>
      <w:tr>
        <w:tblPrEx>
          <w:tblCellMar>
            <w:top w:w="0" w:type="dxa"/>
            <w:left w:w="108" w:type="dxa"/>
            <w:bottom w:w="0" w:type="dxa"/>
            <w:right w:w="108" w:type="dxa"/>
          </w:tblCellMar>
        </w:tblPrEx>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提供保洁人员工伤保险参保证明，需在有效期内</w:t>
            </w:r>
          </w:p>
        </w:tc>
      </w:tr>
      <w:tr>
        <w:tblPrEx>
          <w:tblCellMar>
            <w:top w:w="0" w:type="dxa"/>
            <w:left w:w="108" w:type="dxa"/>
            <w:bottom w:w="0" w:type="dxa"/>
            <w:right w:w="108" w:type="dxa"/>
          </w:tblCellMar>
        </w:tblPrEx>
        <w:trPr>
          <w:trHeight w:val="1081"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b/>
                <w:bCs/>
                <w:color w:val="000000"/>
                <w:sz w:val="24"/>
              </w:rPr>
              <w:t>壹正贰副</w:t>
            </w:r>
            <w:r>
              <w:rPr>
                <w:rFonts w:hint="eastAsia" w:cs="宋体" w:asciiTheme="minorEastAsia" w:hAnsiTheme="minorEastAsia" w:eastAsiaTheme="minorEastAsia"/>
                <w:color w:val="000000"/>
                <w:sz w:val="24"/>
              </w:rPr>
              <w:t>，须密封胶装，并在封套的封口处加盖供应商单位章。</w:t>
            </w:r>
          </w:p>
        </w:tc>
      </w:tr>
      <w:tr>
        <w:tblPrEx>
          <w:tblCellMar>
            <w:top w:w="0" w:type="dxa"/>
            <w:left w:w="108" w:type="dxa"/>
            <w:bottom w:w="0" w:type="dxa"/>
            <w:right w:w="108" w:type="dxa"/>
          </w:tblCellMar>
        </w:tblPrEx>
        <w:trPr>
          <w:trHeight w:val="1816"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ascii="MS Mincho" w:hAnsi="MS Mincho" w:eastAsia="MS Mincho" w:cs="MS Mincho"/>
                <w:color w:val="000000"/>
                <w:sz w:val="24"/>
              </w:rPr>
              <w:t>☑</w:t>
            </w:r>
            <w:r>
              <w:rPr>
                <w:rFonts w:hint="eastAsia" w:ascii="宋体" w:hAnsi="宋体" w:cs="宋体"/>
                <w:color w:val="000000"/>
                <w:sz w:val="24"/>
              </w:rPr>
              <w:t>适用，供应商名称：</w:t>
            </w:r>
            <w:r>
              <w:rPr>
                <w:rFonts w:hint="eastAsia" w:ascii="宋体" w:hAnsi="宋体" w:cs="宋体"/>
                <w:sz w:val="24"/>
              </w:rPr>
              <w:t>岳阳城陵矶新港有限公司2023年度卫生保洁服务</w:t>
            </w:r>
            <w:r>
              <w:rPr>
                <w:rFonts w:hint="eastAsia" w:ascii="宋体" w:hAnsi="宋体" w:cs="宋体"/>
                <w:sz w:val="24"/>
                <w:lang w:val="zh-CN"/>
              </w:rPr>
              <w:t>项目询价采购</w:t>
            </w:r>
            <w:r>
              <w:rPr>
                <w:rFonts w:hint="eastAsia" w:cs="宋体" w:asciiTheme="minorEastAsia" w:hAnsiTheme="minorEastAsia" w:eastAsiaTheme="minorEastAsia"/>
                <w:color w:val="000000"/>
                <w:sz w:val="24"/>
              </w:rPr>
              <w:t>响应文件</w:t>
            </w:r>
          </w:p>
        </w:tc>
      </w:tr>
      <w:tr>
        <w:tblPrEx>
          <w:tblCellMar>
            <w:top w:w="0" w:type="dxa"/>
            <w:left w:w="108" w:type="dxa"/>
            <w:bottom w:w="0" w:type="dxa"/>
            <w:right w:w="108" w:type="dxa"/>
          </w:tblCellMar>
        </w:tblPrEx>
        <w:trPr>
          <w:trHeight w:val="182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截止时间：2023年9月18日12:00时</w:t>
            </w:r>
          </w:p>
          <w:p>
            <w:pPr>
              <w:spacing w:line="440" w:lineRule="exact"/>
              <w:rPr>
                <w:color w:val="000000" w:themeColor="text1"/>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sz w:val="24"/>
              </w:rPr>
              <w:t>：</w:t>
            </w:r>
            <w:r>
              <w:rPr>
                <w:rFonts w:hint="eastAsia"/>
                <w:sz w:val="24"/>
              </w:rPr>
              <w:t>岳阳城陵矶新港有限公司四楼综合管理部办公室（405）</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1215"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46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asciiTheme="minorHAnsi" w:hAnsiTheme="minorHAnsi" w:eastAsiaTheme="minorEastAsia" w:cstheme="minorBidi"/>
                <w:sz w:val="24"/>
              </w:rPr>
              <w:t>湖南省港务集团有限公司六楼602开标室</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开启顺序： 随机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其他应公布的信息：无</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谈判小组的组建</w:t>
            </w:r>
            <w:r>
              <w:rPr>
                <w:rStyle w:val="21"/>
                <w:rFonts w:cs="宋体" w:asciiTheme="minorEastAsia" w:hAnsiTheme="minorEastAsia" w:eastAsiaTheme="minorEastAsia"/>
                <w:color w:val="000000"/>
                <w:sz w:val="24"/>
              </w:rPr>
              <w:footnoteReference w:id="1"/>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谈判专家确定方式：在湖南省湘水集团有限</w:t>
            </w:r>
            <w:r>
              <w:rPr>
                <w:rFonts w:hint="eastAsia" w:cs="宋体" w:asciiTheme="minorEastAsia" w:hAnsiTheme="minorEastAsia" w:eastAsiaTheme="minorEastAsia"/>
                <w:sz w:val="24"/>
              </w:rPr>
              <w:t>公司综合评标专家库中随机抽取2人，业主代表1人。</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21"/>
                <w:rFonts w:cs="宋体" w:asciiTheme="minorEastAsia" w:hAnsiTheme="minorEastAsia" w:eastAsiaTheme="minorEastAsia"/>
                <w:color w:val="000000"/>
                <w:sz w:val="24"/>
              </w:rPr>
              <w:footnoteReference w:id="2"/>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rPr>
              <w:t>2-3</w:t>
            </w:r>
            <w:r>
              <w:rPr>
                <w:rFonts w:hint="eastAsia" w:cs="宋体" w:asciiTheme="minorEastAsia" w:hAnsiTheme="minorEastAsia" w:eastAsiaTheme="minorEastAsia"/>
                <w:color w:val="000000"/>
                <w:sz w:val="24"/>
              </w:rPr>
              <w:t>个。</w:t>
            </w:r>
          </w:p>
        </w:tc>
      </w:tr>
      <w:tr>
        <w:tblPrEx>
          <w:tblCellMar>
            <w:top w:w="0" w:type="dxa"/>
            <w:left w:w="108" w:type="dxa"/>
            <w:bottom w:w="0" w:type="dxa"/>
            <w:right w:w="108" w:type="dxa"/>
          </w:tblCellMar>
        </w:tblPrEx>
        <w:trPr>
          <w:trHeight w:val="91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数量：</w:t>
            </w:r>
            <w:r>
              <w:rPr>
                <w:rFonts w:hint="eastAsia" w:cs="宋体" w:asciiTheme="minorEastAsia" w:hAnsiTheme="minorEastAsia" w:eastAsiaTheme="minorEastAsia"/>
                <w:sz w:val="24"/>
                <w:u w:val="single"/>
              </w:rPr>
              <w:t>2-3 家 ，当排名相同时，抽签决定。</w:t>
            </w:r>
          </w:p>
        </w:tc>
      </w:tr>
      <w:tr>
        <w:tblPrEx>
          <w:tblCellMar>
            <w:top w:w="0" w:type="dxa"/>
            <w:left w:w="108" w:type="dxa"/>
            <w:bottom w:w="0" w:type="dxa"/>
            <w:right w:w="108" w:type="dxa"/>
          </w:tblCellMar>
        </w:tblPrEx>
        <w:trPr>
          <w:trHeight w:val="1368"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                                   湖南省港务集团有限公司（http://www.hnsgwjt.com）上发布。</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8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1839"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275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rPr>
            </w:pPr>
            <w:r>
              <w:rPr>
                <w:rFonts w:hint="eastAsia" w:ascii="宋体" w:hAnsi="宋体" w:cs="宋体"/>
                <w:color w:val="000000"/>
                <w:sz w:val="24"/>
              </w:rPr>
              <w:t>异议渠道</w:t>
            </w:r>
          </w:p>
        </w:tc>
        <w:tc>
          <w:tcPr>
            <w:tcW w:w="476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rPr>
            </w:pPr>
            <w:r>
              <w:rPr>
                <w:rFonts w:hint="eastAsia" w:ascii="宋体" w:hAnsi="宋体" w:cs="宋体"/>
                <w:color w:val="000000"/>
                <w:sz w:val="24"/>
              </w:rPr>
              <w:t>联系人：郝女士</w:t>
            </w:r>
          </w:p>
          <w:p>
            <w:pPr>
              <w:spacing w:line="288" w:lineRule="auto"/>
              <w:jc w:val="both"/>
              <w:rPr>
                <w:rFonts w:ascii="宋体" w:hAnsi="宋体" w:cs="宋体"/>
                <w:color w:val="000000"/>
                <w:sz w:val="24"/>
              </w:rPr>
            </w:pPr>
            <w:r>
              <w:rPr>
                <w:rFonts w:hint="eastAsia" w:ascii="宋体" w:hAnsi="宋体" w:cs="宋体"/>
                <w:color w:val="000000"/>
                <w:sz w:val="24"/>
              </w:rPr>
              <w:t>联系电话：</w:t>
            </w:r>
            <w:r>
              <w:rPr>
                <w:rFonts w:hint="eastAsia" w:ascii="宋体" w:hAnsi="宋体" w:cs="宋体"/>
                <w:bCs/>
                <w:kern w:val="0"/>
                <w:sz w:val="24"/>
              </w:rPr>
              <w:t>13975049385</w:t>
            </w:r>
          </w:p>
          <w:p>
            <w:pPr>
              <w:spacing w:line="288" w:lineRule="auto"/>
              <w:jc w:val="both"/>
              <w:rPr>
                <w:rFonts w:ascii="宋体" w:hAnsi="宋体" w:cs="宋体"/>
                <w:color w:val="000000"/>
                <w:sz w:val="24"/>
              </w:rPr>
            </w:pPr>
            <w:r>
              <w:rPr>
                <w:rFonts w:hint="eastAsia" w:ascii="宋体" w:hAnsi="宋体" w:cs="宋体"/>
                <w:color w:val="000000"/>
                <w:sz w:val="24"/>
              </w:rPr>
              <w:t>通信地址：</w:t>
            </w:r>
            <w:r>
              <w:rPr>
                <w:rFonts w:hint="eastAsia" w:ascii="宋体" w:hAnsi="宋体" w:cs="宋体"/>
                <w:bCs/>
                <w:kern w:val="0"/>
                <w:sz w:val="24"/>
              </w:rPr>
              <w:t>岳阳市城陵矶新港区新港办公楼四楼综合管理部</w:t>
            </w:r>
          </w:p>
        </w:tc>
      </w:tr>
    </w:tbl>
    <w:p>
      <w:pPr>
        <w:rPr>
          <w:rFonts w:ascii="华文中宋" w:hAnsi="华文中宋" w:eastAsia="华文中宋" w:cs="仿宋"/>
          <w:b/>
          <w:bCs/>
          <w:sz w:val="30"/>
          <w:szCs w:val="30"/>
        </w:rPr>
      </w:pPr>
      <w:r>
        <w:rPr>
          <w:rFonts w:hint="eastAsia" w:ascii="华文中宋" w:hAnsi="华文中宋" w:eastAsia="华文中宋" w:cs="仿宋"/>
          <w:b/>
          <w:bCs/>
          <w:sz w:val="30"/>
          <w:szCs w:val="30"/>
        </w:rPr>
        <w:br w:type="page"/>
      </w: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第二章 供应商须知正文</w:t>
      </w:r>
    </w:p>
    <w:p>
      <w:pPr>
        <w:adjustRightInd w:val="0"/>
        <w:snapToGrid w:val="0"/>
        <w:spacing w:beforeLines="5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4"/>
        <w:spacing w:before="156" w:after="156"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询价采购采购，是指按照规定程序通过与符合资格要求的供应商谈判确定成交供应商的采购方式。</w:t>
      </w:r>
    </w:p>
    <w:p>
      <w:pPr>
        <w:pStyle w:val="2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采购项目概况和供应商资格要求见第一章“询价公告”。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1.7踏勘现场(组织)</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1.8采购预备会(不组织)</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1.9分包(不允许)</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邀请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3.4响应保证金（不递交）</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两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6谈判和评审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6.1谈判小组</w:t>
      </w:r>
    </w:p>
    <w:p>
      <w:pPr>
        <w:adjustRightInd w:val="0"/>
        <w:snapToGrid w:val="0"/>
        <w:spacing w:line="312" w:lineRule="auto"/>
        <w:jc w:val="both"/>
        <w:rPr>
          <w:rFonts w:ascii="宋体" w:hAnsi="宋体" w:cs="仿宋"/>
          <w:sz w:val="24"/>
        </w:rPr>
      </w:pPr>
      <w:r>
        <w:rPr>
          <w:rFonts w:hint="eastAsia" w:ascii="宋体" w:hAnsi="宋体" w:cs="仿宋"/>
          <w:sz w:val="24"/>
        </w:rPr>
        <w:t>6.1.1采购人将组建谈判小组，由谈判小组按照本条规定的程序以及第三章“评审办法”的规定与供应商进行谈判，对响应文件进行评审和比较。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6.1.2谈判小组成员有下列情形之的，应当回避:</w:t>
      </w:r>
    </w:p>
    <w:p>
      <w:pPr>
        <w:adjustRightInd w:val="0"/>
        <w:snapToGrid w:val="0"/>
        <w:spacing w:line="312" w:lineRule="auto"/>
        <w:ind w:left="709" w:leftChars="269" w:hanging="144" w:hangingChars="6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12" w:lineRule="auto"/>
        <w:ind w:left="709" w:leftChars="269" w:hanging="144" w:hangingChars="6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ascii="宋体" w:hAnsi="宋体" w:cs="仿宋"/>
          <w:sz w:val="24"/>
        </w:rPr>
        <w:t>6.1.3谈判小组组建后，谈判小组成员员共同推选或由采购人指定谈判小组组</w:t>
      </w:r>
      <w:r>
        <w:rPr>
          <w:rFonts w:hint="eastAsia" w:ascii="宋体" w:hAnsi="宋体" w:cs="仿宋"/>
          <w:sz w:val="24"/>
        </w:rPr>
        <w:t>长</w:t>
      </w:r>
      <w:r>
        <w:rPr>
          <w:rFonts w:ascii="宋体" w:hAnsi="宋体" w:cs="仿宋"/>
          <w:sz w:val="24"/>
        </w:rPr>
        <w:t>负责组织谈判及评审工作。</w:t>
      </w:r>
    </w:p>
    <w:p>
      <w:pPr>
        <w:adjustRightInd w:val="0"/>
        <w:snapToGrid w:val="0"/>
        <w:spacing w:line="312" w:lineRule="auto"/>
        <w:jc w:val="both"/>
        <w:rPr>
          <w:rFonts w:ascii="宋体" w:hAnsi="宋体" w:cs="仿宋"/>
          <w:sz w:val="24"/>
        </w:rPr>
      </w:pPr>
      <w:r>
        <w:rPr>
          <w:rFonts w:ascii="宋体" w:hAnsi="宋体" w:cs="仿宋"/>
          <w:sz w:val="24"/>
        </w:rPr>
        <w:t>6.1.4在谈判和评审过程中，谈判小组成员对需要共同认认定的事项存在争议的，</w:t>
      </w:r>
      <w:r>
        <w:rPr>
          <w:rFonts w:hint="eastAsia" w:ascii="宋体" w:hAnsi="宋体" w:cs="仿宋"/>
          <w:sz w:val="24"/>
        </w:rPr>
        <w:t>将按</w:t>
      </w:r>
      <w:r>
        <w:rPr>
          <w:rFonts w:ascii="宋体" w:hAnsi="宋体" w:cs="仿宋"/>
          <w:sz w:val="24"/>
        </w:rPr>
        <w:t>照少数服从多数的原则作出结论。持不同意见的谈判小</w:t>
      </w:r>
      <w:r>
        <w:rPr>
          <w:rFonts w:hint="eastAsia" w:ascii="宋体" w:hAnsi="宋体" w:cs="仿宋"/>
          <w:sz w:val="24"/>
        </w:rPr>
        <w:t>组成员应当在评审报告上签署</w:t>
      </w:r>
      <w:r>
        <w:rPr>
          <w:rFonts w:ascii="宋体" w:hAnsi="宋体" w:cs="仿宋"/>
          <w:sz w:val="24"/>
        </w:rPr>
        <w:t>不同意见及理由，否则视为同意评审报告。</w:t>
      </w:r>
    </w:p>
    <w:p>
      <w:pPr>
        <w:adjustRightInd w:val="0"/>
        <w:snapToGrid w:val="0"/>
        <w:spacing w:line="312" w:lineRule="auto"/>
        <w:jc w:val="both"/>
        <w:rPr>
          <w:rFonts w:ascii="宋体" w:hAnsi="宋体" w:cs="仿宋"/>
          <w:b/>
          <w:bCs/>
          <w:sz w:val="24"/>
        </w:rPr>
      </w:pPr>
      <w:r>
        <w:rPr>
          <w:rFonts w:ascii="宋体" w:hAnsi="宋体" w:cs="仿宋"/>
          <w:b/>
          <w:bCs/>
          <w:sz w:val="24"/>
        </w:rPr>
        <w:t>6.2初步评审</w:t>
      </w:r>
    </w:p>
    <w:p>
      <w:pPr>
        <w:adjustRightInd w:val="0"/>
        <w:snapToGrid w:val="0"/>
        <w:spacing w:line="312" w:lineRule="auto"/>
        <w:jc w:val="both"/>
        <w:rPr>
          <w:rFonts w:ascii="宋体" w:hAnsi="宋体" w:cs="仿宋"/>
          <w:sz w:val="24"/>
        </w:rPr>
      </w:pPr>
      <w:r>
        <w:rPr>
          <w:rFonts w:hint="eastAsia" w:ascii="宋体" w:hAnsi="宋体" w:cs="仿宋"/>
          <w:sz w:val="24"/>
        </w:rPr>
        <w:t>6.2.1谈判</w:t>
      </w:r>
      <w:r>
        <w:rPr>
          <w:rFonts w:ascii="宋体" w:hAnsi="宋体" w:cs="仿宋"/>
          <w:sz w:val="24"/>
        </w:rPr>
        <w:t>小组按照第三章“评审办法”规定的评审标</w:t>
      </w:r>
      <w:r>
        <w:rPr>
          <w:rFonts w:hint="eastAsia" w:ascii="宋体" w:hAnsi="宋体" w:cs="仿宋"/>
          <w:sz w:val="24"/>
        </w:rPr>
        <w:t>准和程序对</w:t>
      </w:r>
      <w:r>
        <w:rPr>
          <w:rFonts w:ascii="宋体" w:hAnsi="宋体" w:cs="仿宋"/>
          <w:sz w:val="24"/>
        </w:rPr>
        <w:t>供应商</w:t>
      </w:r>
      <w:r>
        <w:rPr>
          <w:rFonts w:hint="eastAsia" w:ascii="宋体" w:hAnsi="宋体" w:cs="仿宋"/>
          <w:sz w:val="24"/>
        </w:rPr>
        <w:t>递交的</w:t>
      </w:r>
      <w:r>
        <w:rPr>
          <w:rFonts w:ascii="宋体" w:hAnsi="宋体" w:cs="仿宋"/>
          <w:sz w:val="24"/>
        </w:rPr>
        <w:t>响应文件进行初步评审。初步评审主要对响应文件的形式、</w:t>
      </w:r>
      <w:r>
        <w:rPr>
          <w:rFonts w:hint="eastAsia" w:ascii="宋体" w:hAnsi="宋体" w:cs="仿宋"/>
          <w:sz w:val="24"/>
        </w:rPr>
        <w:t>供应商的资格和响应文件的响应性进行审查，</w:t>
      </w:r>
      <w:r>
        <w:rPr>
          <w:rFonts w:ascii="宋体" w:hAnsi="宋体" w:cs="仿宋"/>
          <w:sz w:val="24"/>
        </w:rPr>
        <w:t>以判断响应文件的形式是否符合要求、</w:t>
      </w:r>
      <w:r>
        <w:rPr>
          <w:rFonts w:hint="eastAsia" w:ascii="宋体" w:hAnsi="宋体" w:cs="仿宋"/>
          <w:sz w:val="24"/>
        </w:rPr>
        <w:t>供应商是否符合资格条件、响</w:t>
      </w:r>
      <w:r>
        <w:rPr>
          <w:rFonts w:ascii="宋体" w:hAnsi="宋体" w:cs="仿宋"/>
          <w:sz w:val="24"/>
        </w:rPr>
        <w:t>应文件是否实质性响应采购文件的要求。</w:t>
      </w:r>
    </w:p>
    <w:p>
      <w:pPr>
        <w:adjustRightInd w:val="0"/>
        <w:snapToGrid w:val="0"/>
        <w:spacing w:line="312" w:lineRule="auto"/>
        <w:jc w:val="both"/>
        <w:rPr>
          <w:rFonts w:ascii="宋体" w:hAnsi="宋体" w:cs="仿宋"/>
          <w:sz w:val="24"/>
        </w:rPr>
      </w:pPr>
      <w:r>
        <w:rPr>
          <w:rFonts w:ascii="宋体" w:hAnsi="宋体" w:cs="仿宋"/>
          <w:sz w:val="24"/>
        </w:rPr>
        <w:t>6.2.2响应文件的形式或供应商资格不符合采购文件的要</w:t>
      </w:r>
      <w:r>
        <w:rPr>
          <w:rFonts w:hint="eastAsia" w:ascii="宋体" w:hAnsi="宋体" w:cs="仿宋"/>
          <w:sz w:val="24"/>
        </w:rPr>
        <w:t>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pPr>
        <w:adjustRightInd w:val="0"/>
        <w:snapToGrid w:val="0"/>
        <w:spacing w:line="312" w:lineRule="auto"/>
        <w:jc w:val="both"/>
        <w:rPr>
          <w:rFonts w:ascii="宋体" w:hAnsi="宋体" w:cs="仿宋"/>
          <w:sz w:val="24"/>
        </w:rPr>
      </w:pPr>
      <w:r>
        <w:rPr>
          <w:rFonts w:ascii="宋体" w:hAnsi="宋体" w:cs="仿宋"/>
          <w:sz w:val="24"/>
        </w:rPr>
        <w:t>6.2.3只有形式评审和资格评审合格且实质性响应采购文件要求的供应商才可通过初步评审。经供应商澄清、说明和补正后仍未通过初步评审的响应文件将被视为无效，谈判小组应告知有关供应商。</w:t>
      </w:r>
    </w:p>
    <w:p>
      <w:pPr>
        <w:adjustRightInd w:val="0"/>
        <w:snapToGrid w:val="0"/>
        <w:spacing w:line="312" w:lineRule="auto"/>
        <w:jc w:val="both"/>
        <w:rPr>
          <w:rFonts w:ascii="宋体" w:hAnsi="宋体" w:cs="仿宋"/>
          <w:b/>
          <w:bCs/>
          <w:sz w:val="24"/>
        </w:rPr>
      </w:pPr>
      <w:r>
        <w:rPr>
          <w:rFonts w:ascii="宋体" w:hAnsi="宋体" w:cs="仿宋"/>
          <w:b/>
          <w:bCs/>
          <w:sz w:val="24"/>
        </w:rPr>
        <w:t>6.3谈判</w:t>
      </w:r>
    </w:p>
    <w:p>
      <w:pPr>
        <w:adjustRightInd w:val="0"/>
        <w:snapToGrid w:val="0"/>
        <w:spacing w:line="312" w:lineRule="auto"/>
        <w:jc w:val="both"/>
        <w:rPr>
          <w:rFonts w:ascii="宋体" w:hAnsi="宋体" w:cs="仿宋"/>
          <w:sz w:val="24"/>
        </w:rPr>
      </w:pPr>
      <w:r>
        <w:rPr>
          <w:rFonts w:ascii="宋体" w:hAnsi="宋体" w:cs="仿宋"/>
          <w:sz w:val="24"/>
        </w:rPr>
        <w:t>6.3.1谈判小组应按照供应商须知前附表规定的谈判轮次及谈判顺序与通过初步评审的供应商逐</w:t>
      </w:r>
      <w:r>
        <w:rPr>
          <w:rFonts w:hint="eastAsia" w:ascii="宋体" w:hAnsi="宋体" w:cs="仿宋"/>
          <w:sz w:val="24"/>
        </w:rPr>
        <w:t>一</w:t>
      </w:r>
      <w:r>
        <w:rPr>
          <w:rFonts w:ascii="宋体" w:hAnsi="宋体" w:cs="仿宋"/>
          <w:sz w:val="24"/>
        </w:rPr>
        <w:t>进行谈判。</w:t>
      </w:r>
    </w:p>
    <w:p>
      <w:pPr>
        <w:adjustRightInd w:val="0"/>
        <w:snapToGrid w:val="0"/>
        <w:spacing w:line="312" w:lineRule="auto"/>
        <w:jc w:val="both"/>
        <w:rPr>
          <w:rFonts w:ascii="宋体" w:hAnsi="宋体" w:cs="仿宋"/>
          <w:sz w:val="24"/>
        </w:rPr>
      </w:pPr>
      <w:r>
        <w:rPr>
          <w:rFonts w:ascii="宋体" w:hAnsi="宋体" w:cs="仿宋"/>
          <w:sz w:val="24"/>
        </w:rPr>
        <w:t>6.3.2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w:t>
      </w:r>
      <w:r>
        <w:rPr>
          <w:rFonts w:hint="eastAsia" w:ascii="宋体" w:hAnsi="宋体" w:cs="仿宋"/>
          <w:sz w:val="24"/>
        </w:rPr>
        <w:t>作</w:t>
      </w:r>
      <w:r>
        <w:rPr>
          <w:rFonts w:ascii="宋体" w:hAnsi="宋体" w:cs="仿宋"/>
          <w:sz w:val="24"/>
        </w:rPr>
        <w:t>出的承诺构成响应文件的组成部分。</w:t>
      </w:r>
    </w:p>
    <w:p>
      <w:pPr>
        <w:adjustRightInd w:val="0"/>
        <w:snapToGrid w:val="0"/>
        <w:spacing w:line="312" w:lineRule="auto"/>
        <w:jc w:val="both"/>
        <w:rPr>
          <w:rFonts w:ascii="宋体" w:hAnsi="宋体" w:cs="仿宋"/>
          <w:sz w:val="24"/>
        </w:rPr>
      </w:pPr>
      <w:r>
        <w:rPr>
          <w:rFonts w:ascii="宋体" w:hAnsi="宋体" w:cs="仿宋"/>
          <w:sz w:val="24"/>
        </w:rPr>
        <w:t>6.3.3除供应商须知前附表另有规定外，递交响应文件的供应商未准时参加某</w:t>
      </w:r>
      <w:r>
        <w:rPr>
          <w:rFonts w:hint="eastAsia" w:ascii="宋体" w:hAnsi="宋体" w:cs="仿宋"/>
          <w:sz w:val="24"/>
        </w:rPr>
        <w:t>一</w:t>
      </w:r>
      <w:r>
        <w:rPr>
          <w:rFonts w:ascii="宋体" w:hAnsi="宋体" w:cs="仿宋"/>
          <w:sz w:val="24"/>
        </w:rPr>
        <w:t>轮次谈判的，视为其放弃参加该轮次谈判，但其仍有权参加后续谈判采购活动。</w:t>
      </w:r>
    </w:p>
    <w:p>
      <w:pPr>
        <w:adjustRightInd w:val="0"/>
        <w:snapToGrid w:val="0"/>
        <w:spacing w:line="312" w:lineRule="auto"/>
        <w:jc w:val="both"/>
        <w:rPr>
          <w:rFonts w:ascii="宋体" w:hAnsi="宋体" w:cs="仿宋"/>
          <w:b/>
          <w:bCs/>
          <w:sz w:val="24"/>
        </w:rPr>
      </w:pPr>
      <w:r>
        <w:rPr>
          <w:rFonts w:ascii="宋体" w:hAnsi="宋体" w:cs="仿宋"/>
          <w:b/>
          <w:bCs/>
          <w:sz w:val="24"/>
        </w:rPr>
        <w:t>6.4递交补充响应文件</w:t>
      </w:r>
    </w:p>
    <w:p>
      <w:pPr>
        <w:adjustRightInd w:val="0"/>
        <w:snapToGrid w:val="0"/>
        <w:spacing w:line="312" w:lineRule="auto"/>
        <w:jc w:val="both"/>
        <w:rPr>
          <w:rFonts w:ascii="宋体" w:hAnsi="宋体" w:cs="仿宋"/>
          <w:sz w:val="24"/>
        </w:rPr>
      </w:pPr>
      <w:r>
        <w:rPr>
          <w:rFonts w:ascii="宋体" w:hAnsi="宋体" w:cs="仿宋"/>
          <w:sz w:val="24"/>
        </w:rPr>
        <w:t>6.4.1在谈判过程中，谈判小组可根据谈判情况修改和补充采购文件中采购需求部分的技术、服务要求以及合同草案条款等内容，但不</w:t>
      </w:r>
      <w:r>
        <w:rPr>
          <w:rFonts w:hint="eastAsia" w:ascii="宋体" w:hAnsi="宋体" w:cs="仿宋"/>
          <w:sz w:val="24"/>
        </w:rPr>
        <w:t>得实质性改变评审标准或改变可能影响初步评审结果的内容。谈判小组修改和补充采购文件的，</w:t>
      </w:r>
      <w:r>
        <w:rPr>
          <w:rFonts w:ascii="宋体" w:hAnsi="宋体" w:cs="仿宋"/>
          <w:sz w:val="24"/>
        </w:rPr>
        <w:t>应当以书面形式将修改和补充的内容</w:t>
      </w:r>
      <w:r>
        <w:rPr>
          <w:rFonts w:hint="eastAsia" w:ascii="宋体" w:hAnsi="宋体" w:cs="仿宋"/>
          <w:sz w:val="24"/>
        </w:rPr>
        <w:t>通知所有参加谈判的</w:t>
      </w:r>
      <w:r>
        <w:rPr>
          <w:rFonts w:ascii="宋体" w:hAnsi="宋体" w:cs="仿宋"/>
          <w:sz w:val="24"/>
        </w:rPr>
        <w:t>供应商。修改和补充的内容构成采购文件的组成部分。</w:t>
      </w:r>
    </w:p>
    <w:p>
      <w:pPr>
        <w:adjustRightInd w:val="0"/>
        <w:snapToGrid w:val="0"/>
        <w:spacing w:line="312" w:lineRule="auto"/>
        <w:jc w:val="both"/>
        <w:rPr>
          <w:rFonts w:ascii="宋体" w:hAnsi="宋体" w:cs="仿宋"/>
          <w:sz w:val="24"/>
        </w:rPr>
      </w:pPr>
      <w:r>
        <w:rPr>
          <w:rFonts w:ascii="宋体" w:hAnsi="宋体" w:cs="仿宋"/>
          <w:sz w:val="24"/>
        </w:rPr>
        <w:t>6.4.2谈判小组修改和补充采购文件后，应要求供应</w:t>
      </w:r>
      <w:r>
        <w:rPr>
          <w:rFonts w:hint="eastAsia" w:ascii="宋体" w:hAnsi="宋体" w:cs="仿宋"/>
          <w:sz w:val="24"/>
        </w:rPr>
        <w:t>商</w:t>
      </w:r>
      <w:r>
        <w:rPr>
          <w:rFonts w:ascii="宋体" w:hAnsi="宋体" w:cs="仿宋"/>
          <w:sz w:val="24"/>
        </w:rPr>
        <w:t>修改和补</w:t>
      </w:r>
      <w:r>
        <w:rPr>
          <w:rFonts w:hint="eastAsia" w:ascii="宋体" w:hAnsi="宋体" w:cs="仿宋"/>
          <w:sz w:val="24"/>
        </w:rPr>
        <w:t>充响应文件。供应商</w:t>
      </w:r>
      <w:r>
        <w:rPr>
          <w:rFonts w:ascii="宋体" w:hAnsi="宋体" w:cs="仿宋"/>
          <w:sz w:val="24"/>
        </w:rPr>
        <w:t>应按照采购文件修改和补充的内容及要求相应地对已经递交的响应文</w:t>
      </w:r>
      <w:r>
        <w:rPr>
          <w:rFonts w:hint="eastAsia" w:ascii="宋体" w:hAnsi="宋体" w:cs="仿宋"/>
          <w:sz w:val="24"/>
        </w:rPr>
        <w:t>件进行修改和补</w:t>
      </w:r>
      <w:r>
        <w:rPr>
          <w:rFonts w:ascii="宋体" w:hAnsi="宋体" w:cs="仿宋"/>
          <w:sz w:val="24"/>
        </w:rPr>
        <w:t>充(即补充响应文件)。补充响应文件</w:t>
      </w:r>
      <w:r>
        <w:rPr>
          <w:rFonts w:hint="eastAsia" w:ascii="宋体" w:hAnsi="宋体" w:cs="仿宋"/>
          <w:sz w:val="24"/>
        </w:rPr>
        <w:t>应由供应商</w:t>
      </w:r>
      <w:r>
        <w:rPr>
          <w:rFonts w:ascii="宋体" w:hAnsi="宋体" w:cs="仿宋"/>
          <w:sz w:val="24"/>
        </w:rPr>
        <w:t>的法定代表人(单位负责人)或其授权的代理人签字</w:t>
      </w:r>
      <w:r>
        <w:rPr>
          <w:rFonts w:hint="eastAsia" w:ascii="宋体" w:hAnsi="宋体" w:cs="仿宋"/>
          <w:sz w:val="24"/>
        </w:rPr>
        <w:t>或</w:t>
      </w:r>
      <w:r>
        <w:rPr>
          <w:rFonts w:ascii="宋体" w:hAnsi="宋体" w:cs="仿宋"/>
          <w:sz w:val="24"/>
        </w:rPr>
        <w:t>加盖单位章，并对采购文件修改和补充的内容作出实质性的响应。补充响应文件与首次递交的响应文件共同构成供应商响应文件的组成部分，二者内容不一致的，以补充响应文件内容为准。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12" w:lineRule="auto"/>
        <w:jc w:val="both"/>
        <w:rPr>
          <w:rFonts w:ascii="宋体" w:hAnsi="宋体" w:cs="仿宋"/>
          <w:sz w:val="24"/>
        </w:rPr>
      </w:pPr>
      <w:r>
        <w:rPr>
          <w:rFonts w:ascii="宋体" w:hAnsi="宋体" w:cs="仿宋"/>
          <w:sz w:val="24"/>
        </w:rPr>
        <w:t>6.4.3谈判小组审查供应商补充响应文件，对其响应性进行评审。补充响应文件实质性响应采购文件及其修改和补充内容的，谈到小组应要求供应商在规定时间内递交最终报价</w:t>
      </w:r>
      <w:r>
        <w:rPr>
          <w:rFonts w:hint="eastAsia" w:ascii="宋体" w:hAnsi="宋体" w:cs="仿宋"/>
          <w:sz w:val="24"/>
        </w:rPr>
        <w:t>；</w:t>
      </w:r>
      <w:r>
        <w:rPr>
          <w:rFonts w:ascii="宋体" w:hAnsi="宋体" w:cs="仿宋"/>
          <w:sz w:val="24"/>
        </w:rPr>
        <w:t>补充响应文件未能实质性响应采购文件及其修改和补充内容的，该响应文件将被视为无效，谈判小组应取消供应商的谈判资格并对其进行告知。</w:t>
      </w:r>
    </w:p>
    <w:p>
      <w:pPr>
        <w:adjustRightInd w:val="0"/>
        <w:snapToGrid w:val="0"/>
        <w:spacing w:line="312" w:lineRule="auto"/>
        <w:jc w:val="both"/>
        <w:rPr>
          <w:rFonts w:ascii="宋体" w:hAnsi="宋体" w:cs="仿宋"/>
          <w:b/>
          <w:bCs/>
          <w:sz w:val="24"/>
        </w:rPr>
      </w:pPr>
      <w:r>
        <w:rPr>
          <w:rFonts w:ascii="宋体" w:hAnsi="宋体" w:cs="仿宋"/>
          <w:b/>
          <w:bCs/>
          <w:sz w:val="24"/>
        </w:rPr>
        <w:t>6.5递交最终报价</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谈判小组在</w:t>
      </w:r>
      <w:r>
        <w:rPr>
          <w:rFonts w:hint="eastAsia" w:ascii="宋体" w:hAnsi="宋体" w:cs="仿宋"/>
          <w:sz w:val="24"/>
        </w:rPr>
        <w:t>谈判</w:t>
      </w:r>
      <w:r>
        <w:rPr>
          <w:rFonts w:ascii="宋体" w:hAnsi="宋体" w:cs="仿宋"/>
          <w:sz w:val="24"/>
        </w:rPr>
        <w:t>中未修改或补充采购文件的，</w:t>
      </w:r>
      <w:r>
        <w:rPr>
          <w:rFonts w:hint="eastAsia" w:ascii="宋体" w:hAnsi="宋体" w:cs="仿宋"/>
          <w:sz w:val="24"/>
        </w:rPr>
        <w:t>谈判</w:t>
      </w:r>
      <w:r>
        <w:rPr>
          <w:rFonts w:ascii="宋体" w:hAnsi="宋体" w:cs="仿宋"/>
          <w:sz w:val="24"/>
        </w:rPr>
        <w:t>结束后，谈判小组将要求所有参加谈判的供应商在规定时间内</w:t>
      </w:r>
      <w:r>
        <w:rPr>
          <w:rFonts w:hint="eastAsia" w:ascii="宋体" w:hAnsi="宋体" w:cs="仿宋"/>
          <w:sz w:val="24"/>
        </w:rPr>
        <w:t>递</w:t>
      </w:r>
      <w:r>
        <w:rPr>
          <w:rFonts w:ascii="宋体" w:hAnsi="宋体" w:cs="仿宋"/>
          <w:sz w:val="24"/>
        </w:rPr>
        <w:t>交最终报价:谈判小组修改和补充了采购文件的，谈判小组应要求按照本章第6.4款规定递交了实质性响应的补充响应文件的供应商在规定时间内递交最终报价。最终报价应由供应</w:t>
      </w:r>
      <w:r>
        <w:rPr>
          <w:rFonts w:hint="eastAsia" w:ascii="宋体" w:hAnsi="宋体" w:cs="仿宋"/>
          <w:sz w:val="24"/>
        </w:rPr>
        <w:t>商</w:t>
      </w:r>
      <w:r>
        <w:rPr>
          <w:rFonts w:ascii="宋体" w:hAnsi="宋体" w:cs="仿宋"/>
          <w:sz w:val="24"/>
        </w:rPr>
        <w:t>的法定代表人(单位负责人)或其授权的代理人签字或加盖单位章。最终报价是供应</w:t>
      </w:r>
      <w:r>
        <w:rPr>
          <w:rFonts w:hint="eastAsia" w:ascii="宋体" w:hAnsi="宋体" w:cs="仿宋"/>
          <w:sz w:val="24"/>
        </w:rPr>
        <w:t>商</w:t>
      </w:r>
      <w:r>
        <w:rPr>
          <w:rFonts w:ascii="宋体" w:hAnsi="宋体" w:cs="仿宋"/>
          <w:sz w:val="24"/>
        </w:rPr>
        <w:t>响应文件的组成部分。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6</w:t>
      </w:r>
      <w:r>
        <w:rPr>
          <w:rFonts w:ascii="宋体" w:hAnsi="宋体" w:cs="仿宋"/>
          <w:b/>
          <w:bCs/>
          <w:sz w:val="24"/>
        </w:rPr>
        <w:t>.6公开开启最终报价</w:t>
      </w:r>
    </w:p>
    <w:p>
      <w:pPr>
        <w:adjustRightInd w:val="0"/>
        <w:snapToGrid w:val="0"/>
        <w:spacing w:line="312" w:lineRule="auto"/>
        <w:ind w:firstLine="453" w:firstLineChars="189"/>
        <w:jc w:val="both"/>
        <w:rPr>
          <w:rFonts w:ascii="宋体" w:hAnsi="宋体" w:cs="仿宋"/>
          <w:sz w:val="24"/>
        </w:rPr>
      </w:pPr>
      <w:r>
        <w:rPr>
          <w:rFonts w:ascii="宋体" w:hAnsi="宋体" w:cs="仿宋"/>
          <w:sz w:val="24"/>
        </w:rPr>
        <w:t>供应商须知前附表规定公开开启最终报价的，采购人将在供应商递交最终报价的截止时间，公开开启并公布所有供应商的最终报价。</w:t>
      </w:r>
    </w:p>
    <w:p>
      <w:pPr>
        <w:adjustRightInd w:val="0"/>
        <w:snapToGrid w:val="0"/>
        <w:spacing w:line="312" w:lineRule="auto"/>
        <w:jc w:val="both"/>
        <w:rPr>
          <w:rFonts w:ascii="宋体" w:hAnsi="宋体" w:cs="仿宋"/>
          <w:b/>
          <w:bCs/>
          <w:sz w:val="24"/>
        </w:rPr>
      </w:pPr>
      <w:r>
        <w:rPr>
          <w:rFonts w:ascii="宋体" w:hAnsi="宋体" w:cs="仿宋"/>
          <w:b/>
          <w:bCs/>
          <w:sz w:val="24"/>
        </w:rPr>
        <w:t>6.7详细评审及推荐</w:t>
      </w:r>
      <w:r>
        <w:rPr>
          <w:rFonts w:hint="eastAsia" w:ascii="宋体" w:hAnsi="宋体" w:cs="仿宋"/>
          <w:b/>
          <w:bCs/>
          <w:sz w:val="24"/>
        </w:rPr>
        <w:t>成交候选</w:t>
      </w:r>
      <w:r>
        <w:rPr>
          <w:rFonts w:ascii="宋体" w:hAnsi="宋体" w:cs="仿宋"/>
          <w:b/>
          <w:bCs/>
          <w:sz w:val="24"/>
        </w:rPr>
        <w:t>供应商</w:t>
      </w:r>
    </w:p>
    <w:p>
      <w:pPr>
        <w:adjustRightInd w:val="0"/>
        <w:snapToGrid w:val="0"/>
        <w:spacing w:line="312" w:lineRule="auto"/>
        <w:jc w:val="both"/>
        <w:rPr>
          <w:rFonts w:ascii="宋体" w:hAnsi="宋体" w:cs="仿宋"/>
          <w:sz w:val="24"/>
        </w:rPr>
      </w:pPr>
      <w:r>
        <w:rPr>
          <w:rFonts w:ascii="宋体" w:hAnsi="宋体" w:cs="仿宋"/>
          <w:sz w:val="24"/>
        </w:rPr>
        <w:t>6.7.1谈判小组按照第三章“评</w:t>
      </w:r>
      <w:r>
        <w:rPr>
          <w:rFonts w:hint="eastAsia" w:ascii="宋体" w:hAnsi="宋体" w:cs="仿宋"/>
          <w:sz w:val="24"/>
        </w:rPr>
        <w:t>审</w:t>
      </w:r>
      <w:r>
        <w:rPr>
          <w:rFonts w:ascii="宋体" w:hAnsi="宋体" w:cs="仿宋"/>
          <w:sz w:val="24"/>
        </w:rPr>
        <w:t>办法”规定的评审方法、评审因素、评</w:t>
      </w:r>
      <w:r>
        <w:rPr>
          <w:rFonts w:hint="eastAsia" w:ascii="宋体" w:hAnsi="宋体" w:cs="仿宋"/>
          <w:sz w:val="24"/>
        </w:rPr>
        <w:t>审</w:t>
      </w:r>
      <w:r>
        <w:rPr>
          <w:rFonts w:ascii="宋体" w:hAnsi="宋体" w:cs="仿宋"/>
          <w:sz w:val="24"/>
        </w:rPr>
        <w:t>标准和</w:t>
      </w:r>
      <w:r>
        <w:rPr>
          <w:rFonts w:hint="eastAsia" w:ascii="宋体" w:hAnsi="宋体" w:cs="仿宋"/>
          <w:sz w:val="24"/>
        </w:rPr>
        <w:t>程</w:t>
      </w:r>
      <w:r>
        <w:rPr>
          <w:rFonts w:ascii="宋体" w:hAnsi="宋体" w:cs="仿宋"/>
          <w:sz w:val="24"/>
        </w:rPr>
        <w:t>序对响应文件进行详细评审。第三章“评审办法”没有规定的方法、因素和标准，不作为评审依据。</w:t>
      </w:r>
    </w:p>
    <w:p>
      <w:pPr>
        <w:adjustRightInd w:val="0"/>
        <w:snapToGrid w:val="0"/>
        <w:spacing w:line="312" w:lineRule="auto"/>
        <w:jc w:val="both"/>
        <w:rPr>
          <w:rFonts w:ascii="宋体" w:hAnsi="宋体" w:cs="仿宋"/>
          <w:sz w:val="24"/>
        </w:rPr>
      </w:pPr>
      <w:r>
        <w:rPr>
          <w:rFonts w:ascii="宋体" w:hAnsi="宋体" w:cs="仿宋"/>
          <w:sz w:val="24"/>
        </w:rPr>
        <w:t>6.7.2评审完成后，谈判小组应当向采购人提交书面评审报告和</w:t>
      </w:r>
      <w:r>
        <w:rPr>
          <w:rFonts w:hint="eastAsia" w:ascii="宋体" w:hAnsi="宋体" w:cs="仿宋"/>
          <w:sz w:val="24"/>
        </w:rPr>
        <w:t>成交候选</w:t>
      </w:r>
      <w:r>
        <w:rPr>
          <w:rFonts w:ascii="宋体" w:hAnsi="宋体" w:cs="仿宋"/>
          <w:sz w:val="24"/>
        </w:rPr>
        <w:t>供应</w:t>
      </w:r>
      <w:r>
        <w:rPr>
          <w:rFonts w:hint="eastAsia" w:ascii="宋体" w:hAnsi="宋体" w:cs="仿宋"/>
          <w:sz w:val="24"/>
        </w:rPr>
        <w:t>商名</w:t>
      </w:r>
      <w:r>
        <w:rPr>
          <w:rFonts w:ascii="宋体" w:hAnsi="宋体" w:cs="仿宋"/>
          <w:sz w:val="24"/>
        </w:rPr>
        <w:t>单。谈判小组推荐</w:t>
      </w:r>
      <w:r>
        <w:rPr>
          <w:rFonts w:hint="eastAsia" w:ascii="宋体" w:hAnsi="宋体" w:cs="仿宋"/>
          <w:sz w:val="24"/>
        </w:rPr>
        <w:t>成交候选</w:t>
      </w:r>
      <w:r>
        <w:rPr>
          <w:rFonts w:ascii="宋体" w:hAnsi="宋体" w:cs="仿宋"/>
          <w:sz w:val="24"/>
        </w:rPr>
        <w:t>供应商的排序要求及数量见供应商须知前附表</w:t>
      </w:r>
      <w:r>
        <w:rPr>
          <w:rFonts w:hint="eastAsia" w:ascii="宋体" w:hAnsi="宋体" w:cs="仿宋"/>
          <w:sz w:val="24"/>
        </w:rPr>
        <w:t>。</w:t>
      </w:r>
    </w:p>
    <w:p>
      <w:pPr>
        <w:adjustRightInd w:val="0"/>
        <w:snapToGrid w:val="0"/>
        <w:spacing w:line="312" w:lineRule="auto"/>
        <w:jc w:val="both"/>
        <w:rPr>
          <w:rFonts w:ascii="宋体" w:hAnsi="宋体" w:cs="仿宋"/>
          <w:sz w:val="24"/>
        </w:rPr>
      </w:pPr>
      <w:r>
        <w:rPr>
          <w:rFonts w:ascii="宋体" w:hAnsi="宋体" w:cs="仿宋"/>
          <w:sz w:val="24"/>
        </w:rPr>
        <w:t>6.7.3所有供应商最终报价均明显不合理的，采购人将</w:t>
      </w:r>
      <w:r>
        <w:rPr>
          <w:rFonts w:hint="eastAsia" w:ascii="宋体" w:hAnsi="宋体" w:cs="仿宋"/>
          <w:sz w:val="24"/>
        </w:rPr>
        <w:t>终</w:t>
      </w:r>
      <w:r>
        <w:rPr>
          <w:rFonts w:ascii="宋体" w:hAnsi="宋体" w:cs="仿宋"/>
          <w:sz w:val="24"/>
        </w:rPr>
        <w:t>止谈判活动。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公示（本项目不进行公示）</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8" w:name="_Toc24135"/>
      <w:r>
        <w:rPr>
          <w:rFonts w:hint="eastAsia" w:ascii="宋体" w:hAnsi="宋体" w:cs="宋体"/>
          <w:b/>
          <w:bCs/>
          <w:sz w:val="24"/>
        </w:rPr>
        <w:t>7.3成交结果异议</w:t>
      </w:r>
      <w:bookmarkEnd w:id="8"/>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10需要补充的其他内容</w:t>
      </w:r>
    </w:p>
    <w:p>
      <w:pPr>
        <w:adjustRightInd w:val="0"/>
        <w:snapToGrid w:val="0"/>
        <w:spacing w:line="312" w:lineRule="auto"/>
        <w:jc w:val="both"/>
        <w:rPr>
          <w:rFonts w:ascii="宋体" w:hAnsi="宋体" w:cs="仿宋"/>
          <w:sz w:val="24"/>
        </w:rPr>
      </w:pPr>
      <w:r>
        <w:rPr>
          <w:rFonts w:hint="eastAsia" w:ascii="宋体" w:hAnsi="宋体" w:cs="仿宋"/>
          <w:b/>
          <w:bCs/>
          <w:sz w:val="24"/>
        </w:rPr>
        <w:t>10.1</w:t>
      </w:r>
      <w:r>
        <w:rPr>
          <w:rFonts w:hint="eastAsia" w:ascii="宋体" w:hAnsi="宋体" w:cs="仿宋"/>
          <w:sz w:val="24"/>
        </w:rPr>
        <w:t>需更补充的其他内容:见供应商须知前附表。</w:t>
      </w:r>
    </w:p>
    <w:p>
      <w:pPr>
        <w:rPr>
          <w:lang w:val="zh-CN"/>
        </w:rPr>
      </w:pPr>
      <w:r>
        <w:rPr>
          <w:lang w:val="zh-CN"/>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开启时间：年月日时分</w:t>
      </w:r>
    </w:p>
    <w:tbl>
      <w:tblPr>
        <w:tblStyle w:val="17"/>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采购人代表：      记录人：              监督人：</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ind w:left="210" w:leftChars="100" w:firstLine="240" w:firstLineChars="100"/>
        <w:jc w:val="both"/>
        <w:rPr>
          <w:rFonts w:ascii="宋体" w:hAnsi="宋体" w:cs="仿宋"/>
          <w:sz w:val="24"/>
        </w:rPr>
      </w:pPr>
      <w:r>
        <w:rPr>
          <w:rFonts w:hint="eastAsia" w:ascii="宋体" w:hAnsi="宋体" w:cs="仿宋"/>
          <w:sz w:val="24"/>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请将上述问题的澄清、说明和补正于年月日时前递交至(详细地址)或发电子邮件至(电子邮箱地址)。采用电子邮件方式的，应在年月日_时前将原件递交至(详细地址)。</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rPr>
      </w:pPr>
      <w:r>
        <w:rPr>
          <w:rFonts w:hint="eastAsia" w:ascii="宋体" w:hAnsi="宋体" w:cs="仿宋"/>
          <w:sz w:val="24"/>
        </w:rPr>
        <w:t>采购人(或采购代理机构):(签字或盖单位章)</w:t>
      </w:r>
    </w:p>
    <w:p>
      <w:pPr>
        <w:spacing w:line="600" w:lineRule="exact"/>
        <w:jc w:val="right"/>
        <w:rPr>
          <w:rFonts w:ascii="仿宋" w:hAnsi="仿宋" w:eastAsia="仿宋" w:cs="仿宋"/>
          <w:sz w:val="30"/>
          <w:szCs w:val="30"/>
        </w:rPr>
      </w:pPr>
      <w:r>
        <w:rPr>
          <w:rFonts w:hint="eastAsia" w:ascii="宋体" w:hAnsi="宋体" w:cs="仿宋"/>
          <w:sz w:val="24"/>
        </w:rPr>
        <w:t>年月日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rPr>
      </w:pPr>
      <w:r>
        <w:rPr>
          <w:rFonts w:hint="eastAsia" w:ascii="宋体" w:hAnsi="宋体" w:cs="仿宋"/>
          <w:sz w:val="24"/>
        </w:rPr>
        <w:t>供应商:(盖单位章)</w:t>
      </w:r>
    </w:p>
    <w:p>
      <w:pPr>
        <w:adjustRightInd w:val="0"/>
        <w:snapToGrid w:val="0"/>
        <w:spacing w:line="600" w:lineRule="exact"/>
        <w:jc w:val="right"/>
        <w:rPr>
          <w:rFonts w:ascii="宋体" w:hAnsi="宋体" w:cs="仿宋"/>
          <w:sz w:val="24"/>
        </w:rPr>
      </w:pPr>
      <w:r>
        <w:rPr>
          <w:rFonts w:hint="eastAsia" w:ascii="宋体" w:hAnsi="宋体" w:cs="仿宋"/>
          <w:sz w:val="24"/>
        </w:rPr>
        <w:t>法定代表人(单位负责人)或其授权的代理人:(签字)</w:t>
      </w:r>
    </w:p>
    <w:p>
      <w:pPr>
        <w:spacing w:line="600" w:lineRule="exact"/>
        <w:jc w:val="right"/>
        <w:rPr>
          <w:rFonts w:ascii="宋体" w:hAnsi="宋体" w:cs="仿宋"/>
          <w:sz w:val="24"/>
        </w:rPr>
      </w:pPr>
      <w:r>
        <w:rPr>
          <w:rFonts w:hint="eastAsia" w:ascii="宋体" w:hAnsi="宋体" w:cs="仿宋"/>
          <w:sz w:val="24"/>
        </w:rPr>
        <w:t>年月日</w:t>
      </w:r>
      <w:r>
        <w:rPr>
          <w:rFonts w:hint="eastAsia" w:ascii="宋体" w:hAnsi="宋体" w:cs="仿宋"/>
          <w:sz w:val="24"/>
        </w:rPr>
        <w:br w:type="page"/>
      </w:r>
    </w:p>
    <w:p>
      <w:pPr>
        <w:adjustRightInd w:val="0"/>
        <w:snapToGrid w:val="0"/>
        <w:spacing w:line="600" w:lineRule="exact"/>
        <w:jc w:val="right"/>
        <w:rPr>
          <w:rFonts w:ascii="仿宋" w:hAnsi="仿宋" w:eastAsia="仿宋" w:cs="仿宋"/>
          <w:sz w:val="30"/>
          <w:szCs w:val="30"/>
        </w:rPr>
      </w:pP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Lines="5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18"/>
        <w:gridCol w:w="1754"/>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250" w:type="dxa"/>
            <w:gridSpan w:val="2"/>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54" w:type="dxa"/>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4715" w:type="dxa"/>
            <w:vAlign w:val="center"/>
          </w:tcPr>
          <w:p>
            <w:pPr>
              <w:widowControl/>
              <w:adjustRightInd w:val="0"/>
              <w:snapToGrid w:val="0"/>
              <w:spacing w:line="24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联合体协议书</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18" w:type="dxa"/>
            <w:vMerge w:val="restart"/>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2"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118" w:type="dxa"/>
            <w:vMerge w:val="continue"/>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32"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18" w:type="dxa"/>
            <w:vAlign w:val="center"/>
          </w:tcPr>
          <w:p>
            <w:pPr>
              <w:widowControl/>
              <w:adjustRightInd w:val="0"/>
              <w:snapToGrid w:val="0"/>
              <w:spacing w:line="240" w:lineRule="auto"/>
              <w:jc w:val="both"/>
              <w:rPr>
                <w:rFonts w:cs="仿宋" w:asciiTheme="minorEastAsia" w:hAnsiTheme="minorEastAsia" w:eastAsiaTheme="minorEastAsia"/>
                <w:szCs w:val="21"/>
              </w:rPr>
            </w:pP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9" w:type="dxa"/>
            <w:gridSpan w:val="4"/>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54"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4715" w:type="dxa"/>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50" w:type="dxa"/>
            <w:gridSpan w:val="2"/>
            <w:vAlign w:val="center"/>
          </w:tcPr>
          <w:p>
            <w:pPr>
              <w:widowControl/>
              <w:adjustRightInd w:val="0"/>
              <w:snapToGrid w:val="0"/>
              <w:spacing w:line="24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54" w:type="dxa"/>
            <w:vAlign w:val="center"/>
          </w:tcPr>
          <w:p>
            <w:pPr>
              <w:widowControl w:val="0"/>
              <w:spacing w:line="240" w:lineRule="auto"/>
              <w:jc w:val="both"/>
              <w:rPr>
                <w:rFonts w:asciiTheme="minorEastAsia" w:hAnsiTheme="minorEastAsia" w:eastAsiaTheme="minorEastAsia"/>
                <w:szCs w:val="21"/>
              </w:rPr>
            </w:pPr>
            <w:r>
              <w:rPr>
                <w:rFonts w:hint="eastAsia" w:asciiTheme="minorEastAsia" w:hAnsiTheme="minorEastAsia" w:eastAsiaTheme="minorEastAsia"/>
                <w:szCs w:val="21"/>
              </w:rPr>
              <w:t>报价</w:t>
            </w:r>
          </w:p>
        </w:tc>
        <w:tc>
          <w:tcPr>
            <w:tcW w:w="4715" w:type="dxa"/>
            <w:vAlign w:val="center"/>
          </w:tcPr>
          <w:p>
            <w:pPr>
              <w:widowControl w:val="0"/>
              <w:adjustRightInd w:val="0"/>
              <w:snapToGrid w:val="0"/>
              <w:spacing w:line="240"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rPr>
          <w:lang w:val="zh-CN"/>
        </w:rPr>
      </w:pPr>
      <w:r>
        <w:rPr>
          <w:lang w:val="zh-CN"/>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pStyle w:val="23"/>
        <w:spacing w:line="600" w:lineRule="exact"/>
        <w:ind w:left="420" w:firstLine="0" w:firstLineChars="0"/>
        <w:jc w:val="center"/>
        <w:rPr>
          <w:rFonts w:ascii="黑体" w:hAnsi="黑体" w:eastAsia="黑体" w:cs="仿宋"/>
          <w:b/>
          <w:color w:val="FF0000"/>
          <w:sz w:val="36"/>
          <w:szCs w:val="36"/>
        </w:rPr>
      </w:pPr>
      <w:r>
        <w:rPr>
          <w:lang w:val="zh-CN"/>
        </w:rPr>
        <w:br w:type="page"/>
      </w:r>
      <w:r>
        <w:rPr>
          <w:rFonts w:hint="eastAsia" w:ascii="黑体" w:hAnsi="黑体" w:eastAsia="黑体" w:cs="仿宋"/>
          <w:b/>
          <w:sz w:val="36"/>
          <w:szCs w:val="36"/>
        </w:rPr>
        <w:t>第四章  合同条款及格式</w:t>
      </w:r>
    </w:p>
    <w:p>
      <w:pPr>
        <w:jc w:val="center"/>
        <w:rPr>
          <w:lang w:val="zh-CN"/>
        </w:rPr>
      </w:pPr>
    </w:p>
    <w:p>
      <w:pPr>
        <w:autoSpaceDN w:val="0"/>
        <w:spacing w:before="100" w:beforeAutospacing="1" w:after="100" w:afterAutospacing="1"/>
        <w:jc w:val="center"/>
        <w:rPr>
          <w:rFonts w:ascii="宋体" w:hAnsi="宋体" w:cs="宋体"/>
          <w:b/>
          <w:bCs/>
          <w:color w:val="FF0000"/>
          <w:sz w:val="32"/>
          <w:szCs w:val="32"/>
        </w:rPr>
      </w:pPr>
      <w:r>
        <w:rPr>
          <w:rFonts w:hint="eastAsia" w:ascii="宋体" w:hAnsi="宋体" w:cs="宋体"/>
          <w:b/>
          <w:bCs/>
          <w:color w:val="FF0000"/>
          <w:sz w:val="32"/>
          <w:szCs w:val="32"/>
        </w:rPr>
        <w:t>岳阳城陵矶新港有限公司卫生保洁外包合同</w:t>
      </w:r>
    </w:p>
    <w:p>
      <w:pPr>
        <w:autoSpaceDN w:val="0"/>
        <w:spacing w:before="100" w:beforeAutospacing="1" w:after="100" w:afterAutospacing="1"/>
        <w:ind w:firstLine="4440" w:firstLineChars="1850"/>
        <w:jc w:val="center"/>
        <w:rPr>
          <w:rFonts w:ascii="宋体" w:hAnsi="宋体" w:cs="宋体"/>
          <w:color w:val="FF0000"/>
          <w:sz w:val="24"/>
        </w:rPr>
      </w:pPr>
      <w:r>
        <w:rPr>
          <w:rFonts w:hint="eastAsia" w:ascii="宋体" w:hAnsi="宋体" w:cs="宋体"/>
          <w:color w:val="FF0000"/>
          <w:sz w:val="24"/>
        </w:rPr>
        <w:t>合同编号：</w:t>
      </w:r>
    </w:p>
    <w:p>
      <w:pPr>
        <w:autoSpaceDN w:val="0"/>
        <w:spacing w:line="360" w:lineRule="auto"/>
        <w:ind w:firstLine="480" w:firstLineChars="200"/>
        <w:rPr>
          <w:rFonts w:ascii="宋体" w:hAnsi="宋体" w:cs="宋体"/>
          <w:bCs/>
          <w:color w:val="FF0000"/>
          <w:sz w:val="24"/>
        </w:rPr>
      </w:pPr>
      <w:r>
        <w:rPr>
          <w:rFonts w:hint="eastAsia" w:ascii="宋体" w:hAnsi="宋体" w:cs="宋体"/>
          <w:color w:val="FF0000"/>
          <w:sz w:val="24"/>
        </w:rPr>
        <w:t>甲方（单位）名称：</w:t>
      </w:r>
      <w:r>
        <w:rPr>
          <w:rFonts w:hint="eastAsia" w:ascii="宋体" w:hAnsi="宋体" w:cs="宋体"/>
          <w:bCs/>
          <w:color w:val="FF0000"/>
          <w:sz w:val="24"/>
        </w:rPr>
        <w:t>岳阳城陵矶新港有限公司</w:t>
      </w:r>
    </w:p>
    <w:p>
      <w:pPr>
        <w:autoSpaceDN w:val="0"/>
        <w:spacing w:line="360" w:lineRule="auto"/>
        <w:ind w:firstLine="482" w:firstLineChars="200"/>
        <w:rPr>
          <w:rFonts w:ascii="仿宋" w:hAnsi="仿宋" w:eastAsia="仿宋" w:cs="仿宋"/>
          <w:color w:val="FF0000"/>
          <w:sz w:val="24"/>
        </w:rPr>
      </w:pPr>
      <w:r>
        <w:rPr>
          <w:rFonts w:hint="eastAsia" w:ascii="仿宋" w:hAnsi="仿宋" w:eastAsia="仿宋" w:cs="仿宋"/>
          <w:b/>
          <w:bCs/>
          <w:color w:val="FF0000"/>
          <w:sz w:val="24"/>
        </w:rPr>
        <w:t>统一社会信用代码：</w:t>
      </w:r>
    </w:p>
    <w:p>
      <w:pPr>
        <w:autoSpaceDN w:val="0"/>
        <w:spacing w:line="360" w:lineRule="auto"/>
        <w:ind w:firstLine="482" w:firstLineChars="200"/>
        <w:rPr>
          <w:rFonts w:cs="宋体" w:asciiTheme="minorEastAsia" w:hAnsiTheme="minorEastAsia" w:eastAsiaTheme="minorEastAsia"/>
          <w:color w:val="FF0000"/>
          <w:sz w:val="24"/>
        </w:rPr>
      </w:pPr>
      <w:r>
        <w:rPr>
          <w:rFonts w:hint="eastAsia" w:ascii="仿宋" w:hAnsi="仿宋" w:eastAsia="仿宋" w:cs="宋体"/>
          <w:b/>
          <w:color w:val="FF0000"/>
          <w:sz w:val="24"/>
        </w:rPr>
        <w:t>文书送达地址：</w:t>
      </w:r>
      <w:r>
        <w:rPr>
          <w:rFonts w:hint="eastAsia" w:cs="宋体" w:asciiTheme="minorEastAsia" w:hAnsiTheme="minorEastAsia" w:eastAsiaTheme="minorEastAsia"/>
          <w:color w:val="FF0000"/>
          <w:sz w:val="24"/>
        </w:rPr>
        <w:t>岳阳市城陵矶临港新区新港办公楼</w:t>
      </w:r>
    </w:p>
    <w:p>
      <w:pPr>
        <w:autoSpaceDN w:val="0"/>
        <w:spacing w:line="360" w:lineRule="auto"/>
        <w:ind w:firstLine="482" w:firstLineChars="200"/>
        <w:rPr>
          <w:rFonts w:asciiTheme="minorEastAsia" w:hAnsiTheme="minorEastAsia" w:eastAsiaTheme="minorEastAsia"/>
          <w:color w:val="FF0000"/>
          <w:sz w:val="24"/>
        </w:rPr>
      </w:pPr>
      <w:r>
        <w:rPr>
          <w:rFonts w:hint="eastAsia" w:ascii="仿宋" w:hAnsi="仿宋" w:eastAsia="仿宋" w:cs="宋体"/>
          <w:b/>
          <w:color w:val="FF0000"/>
          <w:sz w:val="24"/>
        </w:rPr>
        <w:t>法定代表人：</w:t>
      </w:r>
      <w:r>
        <w:rPr>
          <w:rFonts w:hint="eastAsia" w:cs="宋体" w:asciiTheme="minorEastAsia" w:hAnsiTheme="minorEastAsia" w:eastAsiaTheme="minorEastAsia"/>
          <w:color w:val="FF0000"/>
          <w:sz w:val="24"/>
        </w:rPr>
        <w:t>任一兵</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单位所有制性质：国营企业</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电话号码：8422010</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联系地址：岳阳城陵矶新港区新港办公楼</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乙方（单位）名称：</w:t>
      </w:r>
    </w:p>
    <w:p>
      <w:pPr>
        <w:autoSpaceDN w:val="0"/>
        <w:spacing w:line="360" w:lineRule="auto"/>
        <w:ind w:firstLine="482" w:firstLineChars="200"/>
        <w:rPr>
          <w:rFonts w:ascii="仿宋" w:hAnsi="仿宋" w:eastAsia="仿宋" w:cs="仿宋"/>
          <w:color w:val="FF0000"/>
          <w:sz w:val="24"/>
        </w:rPr>
      </w:pPr>
      <w:r>
        <w:rPr>
          <w:rFonts w:hint="eastAsia" w:ascii="仿宋" w:hAnsi="仿宋" w:eastAsia="仿宋" w:cs="仿宋"/>
          <w:b/>
          <w:bCs/>
          <w:color w:val="FF0000"/>
          <w:sz w:val="24"/>
        </w:rPr>
        <w:t>统一社会信用代码：</w:t>
      </w:r>
    </w:p>
    <w:p>
      <w:pPr>
        <w:autoSpaceDN w:val="0"/>
        <w:spacing w:line="360" w:lineRule="auto"/>
        <w:ind w:firstLine="482" w:firstLineChars="200"/>
        <w:rPr>
          <w:rFonts w:cs="宋体" w:asciiTheme="minorEastAsia" w:hAnsiTheme="minorEastAsia" w:eastAsiaTheme="minorEastAsia"/>
          <w:color w:val="FF0000"/>
          <w:sz w:val="24"/>
        </w:rPr>
      </w:pPr>
      <w:r>
        <w:rPr>
          <w:rFonts w:hint="eastAsia" w:ascii="仿宋" w:hAnsi="仿宋" w:eastAsia="仿宋" w:cs="宋体"/>
          <w:b/>
          <w:color w:val="FF0000"/>
          <w:sz w:val="24"/>
        </w:rPr>
        <w:t>文书送达地址：</w:t>
      </w:r>
    </w:p>
    <w:p>
      <w:pPr>
        <w:autoSpaceDN w:val="0"/>
        <w:spacing w:line="360" w:lineRule="auto"/>
        <w:ind w:firstLine="482" w:firstLineChars="200"/>
        <w:rPr>
          <w:rFonts w:asciiTheme="minorEastAsia" w:hAnsiTheme="minorEastAsia" w:eastAsiaTheme="minorEastAsia"/>
          <w:color w:val="FF0000"/>
          <w:sz w:val="24"/>
        </w:rPr>
      </w:pPr>
      <w:r>
        <w:rPr>
          <w:rFonts w:hint="eastAsia" w:ascii="仿宋" w:hAnsi="仿宋" w:eastAsia="仿宋" w:cs="宋体"/>
          <w:b/>
          <w:color w:val="FF0000"/>
          <w:sz w:val="24"/>
        </w:rPr>
        <w:t>法定代表人：</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单位所有制性质：</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电话号码：</w:t>
      </w:r>
    </w:p>
    <w:p>
      <w:pPr>
        <w:autoSpaceDN w:val="0"/>
        <w:spacing w:line="360" w:lineRule="auto"/>
        <w:ind w:firstLine="480" w:firstLineChars="200"/>
        <w:rPr>
          <w:rFonts w:ascii="宋体" w:hAnsi="宋体" w:cs="宋体"/>
          <w:color w:val="FF0000"/>
          <w:sz w:val="24"/>
        </w:rPr>
      </w:pPr>
      <w:r>
        <w:rPr>
          <w:rFonts w:hint="eastAsia" w:ascii="宋体" w:hAnsi="宋体" w:cs="宋体"/>
          <w:color w:val="FF0000"/>
          <w:sz w:val="24"/>
        </w:rPr>
        <w:t>联系地址：</w:t>
      </w:r>
    </w:p>
    <w:p>
      <w:pPr>
        <w:pStyle w:val="15"/>
        <w:numPr>
          <w:ilvl w:val="0"/>
          <w:numId w:val="0"/>
        </w:numPr>
        <w:ind w:firstLine="420"/>
        <w:rPr>
          <w:color w:val="FF0000"/>
        </w:rPr>
      </w:pPr>
    </w:p>
    <w:p>
      <w:pPr>
        <w:spacing w:line="360" w:lineRule="auto"/>
        <w:ind w:firstLine="480" w:firstLineChars="200"/>
        <w:rPr>
          <w:rFonts w:ascii="宋体" w:hAnsi="宋体" w:cs="宋体"/>
          <w:color w:val="FF0000"/>
          <w:sz w:val="24"/>
        </w:rPr>
      </w:pPr>
      <w:r>
        <w:rPr>
          <w:rFonts w:hint="eastAsia" w:ascii="宋体" w:hAnsi="宋体" w:cs="宋体"/>
          <w:color w:val="FF0000"/>
          <w:sz w:val="24"/>
        </w:rPr>
        <w:t>根据《中华人民共和国民法典》的规定，甲、乙双方本着平等自愿、协商一致、公正公平、诚实信用的原则，签订本合同。经甲、乙双方友好协商，甲方将港区公共区域卫生保洁服务整体外包工作委托乙方，双方达成如下协议。</w:t>
      </w:r>
    </w:p>
    <w:p>
      <w:pPr>
        <w:pStyle w:val="23"/>
        <w:numPr>
          <w:ilvl w:val="0"/>
          <w:numId w:val="4"/>
        </w:numPr>
        <w:tabs>
          <w:tab w:val="left" w:pos="709"/>
        </w:tabs>
        <w:spacing w:line="360" w:lineRule="auto"/>
        <w:ind w:left="0" w:firstLine="482"/>
        <w:rPr>
          <w:b/>
          <w:color w:val="FF0000"/>
        </w:rPr>
      </w:pPr>
      <w:r>
        <w:rPr>
          <w:rFonts w:hint="eastAsia"/>
          <w:b/>
          <w:color w:val="FF0000"/>
        </w:rPr>
        <w:t>合同期限</w:t>
      </w:r>
    </w:p>
    <w:p>
      <w:pPr>
        <w:spacing w:line="360" w:lineRule="auto"/>
        <w:ind w:firstLine="480" w:firstLineChars="200"/>
        <w:rPr>
          <w:rFonts w:ascii="宋体" w:hAnsi="宋体" w:cs="宋体"/>
          <w:color w:val="FF0000"/>
          <w:sz w:val="24"/>
        </w:rPr>
      </w:pPr>
      <w:r>
        <w:rPr>
          <w:rFonts w:hint="eastAsia" w:ascii="宋体" w:hAnsi="宋体" w:cs="宋体"/>
          <w:color w:val="FF0000"/>
          <w:sz w:val="24"/>
        </w:rPr>
        <w:t>卫生保洁外包的期限为1年，自 年 月 日起至 年 月 日止。</w:t>
      </w:r>
    </w:p>
    <w:p>
      <w:pPr>
        <w:pStyle w:val="23"/>
        <w:numPr>
          <w:ilvl w:val="0"/>
          <w:numId w:val="4"/>
        </w:numPr>
        <w:tabs>
          <w:tab w:val="left" w:pos="709"/>
        </w:tabs>
        <w:spacing w:line="360" w:lineRule="auto"/>
        <w:ind w:left="0" w:firstLine="482"/>
        <w:rPr>
          <w:b/>
          <w:color w:val="FF0000"/>
        </w:rPr>
      </w:pPr>
      <w:r>
        <w:rPr>
          <w:rFonts w:hint="eastAsia"/>
          <w:b/>
          <w:color w:val="FF0000"/>
        </w:rPr>
        <w:t>合同项目服务范围</w:t>
      </w:r>
    </w:p>
    <w:p>
      <w:pPr>
        <w:pStyle w:val="23"/>
        <w:numPr>
          <w:ilvl w:val="1"/>
          <w:numId w:val="5"/>
        </w:numPr>
        <w:shd w:val="clear" w:color="auto" w:fill="FFFFFF"/>
        <w:spacing w:line="360" w:lineRule="auto"/>
        <w:ind w:left="0" w:firstLine="480"/>
        <w:rPr>
          <w:color w:val="FF0000"/>
        </w:rPr>
      </w:pPr>
      <w:r>
        <w:rPr>
          <w:rFonts w:hint="eastAsia"/>
          <w:color w:val="FF0000"/>
        </w:rPr>
        <w:t>乙方外包甲方港区公共区域卫生保洁服务，具体范围为：</w:t>
      </w:r>
      <w:r>
        <w:rPr>
          <w:rFonts w:hint="eastAsia"/>
        </w:rPr>
        <w:t>岳阳新港公司办公楼及周边</w:t>
      </w:r>
      <w:r>
        <w:rPr>
          <w:rFonts w:hint="eastAsia"/>
          <w:color w:val="00B0F0"/>
        </w:rPr>
        <w:t>（含景观池）</w:t>
      </w:r>
      <w:r>
        <w:rPr>
          <w:rFonts w:hint="eastAsia"/>
        </w:rPr>
        <w:t>、宿舍楼，一期、二期港区生产作业区域（含作业楼、闸口前坪、码头平台、引桥、各堆场（含堆场电缆沟）、各查验平台周边、堆场公共卫生间、各垃圾池周边区域）、港区绿化带内区域（白色垃圾清理）等区域；信息化大楼公共区域（含各楼道、9楼平台、楼周边及绿化带内）等公共区域约56.4万M</w:t>
      </w:r>
      <w:r>
        <w:rPr>
          <w:rFonts w:hint="eastAsia"/>
          <w:vertAlign w:val="superscript"/>
        </w:rPr>
        <w:t>2</w:t>
      </w:r>
      <w:r>
        <w:rPr>
          <w:rFonts w:hint="eastAsia"/>
        </w:rPr>
        <w:t>进行卫生保洁服务。</w:t>
      </w:r>
    </w:p>
    <w:p>
      <w:pPr>
        <w:pStyle w:val="23"/>
        <w:numPr>
          <w:ilvl w:val="1"/>
          <w:numId w:val="5"/>
        </w:numPr>
        <w:shd w:val="clear" w:color="auto" w:fill="FFFFFF"/>
        <w:spacing w:line="360" w:lineRule="auto"/>
        <w:ind w:left="0" w:firstLine="480"/>
        <w:rPr>
          <w:color w:val="FF0000"/>
        </w:rPr>
      </w:pPr>
      <w:r>
        <w:rPr>
          <w:rFonts w:hint="eastAsia"/>
          <w:color w:val="FF0000"/>
        </w:rPr>
        <w:t>在合同期限内，乙方采取卫生保洁外包方式。</w:t>
      </w:r>
    </w:p>
    <w:p>
      <w:pPr>
        <w:pStyle w:val="23"/>
        <w:numPr>
          <w:ilvl w:val="1"/>
          <w:numId w:val="5"/>
        </w:numPr>
        <w:shd w:val="clear" w:color="auto" w:fill="FFFFFF"/>
        <w:spacing w:line="360" w:lineRule="auto"/>
        <w:ind w:left="0" w:firstLine="480"/>
        <w:rPr>
          <w:color w:val="FF0000"/>
        </w:rPr>
      </w:pPr>
      <w:r>
        <w:rPr>
          <w:rFonts w:hint="eastAsia"/>
          <w:color w:val="FF0000"/>
        </w:rPr>
        <w:t>甲、乙双方确认承包地点在甲方港区公共区域卫生保洁，根据甲方的工作需要，经甲、乙双方协商一致，可以变更承包地点。</w:t>
      </w:r>
    </w:p>
    <w:p>
      <w:pPr>
        <w:pStyle w:val="23"/>
        <w:numPr>
          <w:ilvl w:val="1"/>
          <w:numId w:val="5"/>
        </w:numPr>
        <w:shd w:val="clear" w:color="auto" w:fill="FFFFFF"/>
        <w:spacing w:line="360" w:lineRule="auto"/>
        <w:ind w:left="0" w:firstLine="480"/>
        <w:rPr>
          <w:color w:val="FF0000"/>
        </w:rPr>
      </w:pPr>
      <w:r>
        <w:rPr>
          <w:rFonts w:hint="eastAsia"/>
          <w:color w:val="FF0000"/>
        </w:rPr>
        <w:t>乙方应按照甲方的要求，按时、按质、按量完成承保范围内的卫生保洁工作。</w:t>
      </w:r>
    </w:p>
    <w:p>
      <w:pPr>
        <w:pStyle w:val="23"/>
        <w:numPr>
          <w:ilvl w:val="0"/>
          <w:numId w:val="4"/>
        </w:numPr>
        <w:tabs>
          <w:tab w:val="left" w:pos="709"/>
        </w:tabs>
        <w:spacing w:line="360" w:lineRule="auto"/>
        <w:ind w:left="0" w:firstLine="482"/>
        <w:rPr>
          <w:b/>
          <w:color w:val="FF0000"/>
        </w:rPr>
      </w:pPr>
      <w:r>
        <w:rPr>
          <w:rFonts w:hint="eastAsia"/>
          <w:b/>
          <w:color w:val="FF0000"/>
        </w:rPr>
        <w:t>工作时间</w:t>
      </w:r>
    </w:p>
    <w:p>
      <w:pPr>
        <w:pStyle w:val="23"/>
        <w:numPr>
          <w:ilvl w:val="0"/>
          <w:numId w:val="6"/>
        </w:numPr>
        <w:shd w:val="clear" w:color="auto" w:fill="FFFFFF"/>
        <w:spacing w:line="360" w:lineRule="auto"/>
        <w:ind w:left="0" w:firstLine="480"/>
        <w:rPr>
          <w:color w:val="FF0000"/>
        </w:rPr>
      </w:pPr>
      <w:r>
        <w:rPr>
          <w:rFonts w:hint="eastAsia"/>
          <w:color w:val="FF0000"/>
        </w:rPr>
        <w:t>乙方根据甲方日常清洁要求每天固定派遣8名清洁人员（含1名管理人员）常驻甲方公司进行卫生清洁工作。</w:t>
      </w:r>
    </w:p>
    <w:p>
      <w:pPr>
        <w:pStyle w:val="23"/>
        <w:numPr>
          <w:ilvl w:val="0"/>
          <w:numId w:val="6"/>
        </w:numPr>
        <w:shd w:val="clear" w:color="auto" w:fill="FFFFFF"/>
        <w:spacing w:line="360" w:lineRule="auto"/>
        <w:ind w:left="0" w:firstLine="480"/>
        <w:rPr>
          <w:color w:val="FF0000"/>
        </w:rPr>
      </w:pPr>
      <w:r>
        <w:rPr>
          <w:rFonts w:hint="eastAsia"/>
          <w:color w:val="FF0000"/>
        </w:rPr>
        <w:t>如甲方有活动需要乙方清洁人员突击做卫生，乙方须无条件安排清洁人员保质保量的完成任务。</w:t>
      </w:r>
    </w:p>
    <w:p>
      <w:pPr>
        <w:pStyle w:val="23"/>
        <w:numPr>
          <w:ilvl w:val="0"/>
          <w:numId w:val="4"/>
        </w:numPr>
        <w:tabs>
          <w:tab w:val="left" w:pos="709"/>
        </w:tabs>
        <w:spacing w:line="360" w:lineRule="auto"/>
        <w:ind w:left="0" w:firstLine="482"/>
        <w:rPr>
          <w:b/>
          <w:color w:val="FF0000"/>
        </w:rPr>
      </w:pPr>
      <w:r>
        <w:rPr>
          <w:rFonts w:hint="eastAsia"/>
          <w:b/>
          <w:color w:val="FF0000"/>
        </w:rPr>
        <w:t>服务费用及支付方式</w:t>
      </w:r>
    </w:p>
    <w:p>
      <w:pPr>
        <w:pStyle w:val="23"/>
        <w:numPr>
          <w:ilvl w:val="0"/>
          <w:numId w:val="7"/>
        </w:numPr>
        <w:shd w:val="clear" w:color="auto" w:fill="FFFFFF"/>
        <w:spacing w:line="360" w:lineRule="auto"/>
        <w:ind w:left="0" w:firstLine="480"/>
        <w:jc w:val="both"/>
        <w:rPr>
          <w:color w:val="FF0000"/>
        </w:rPr>
      </w:pPr>
      <w:r>
        <w:rPr>
          <w:rFonts w:hint="eastAsia"/>
          <w:color w:val="FF0000"/>
        </w:rPr>
        <w:t>甲方给乙方以月结费用方式支付劳动报酬，服务费用年总计为</w:t>
      </w:r>
      <w:r>
        <w:rPr>
          <w:color w:val="FF0000"/>
        </w:rPr>
        <w:t>¥</w:t>
      </w:r>
      <w:r>
        <w:rPr>
          <w:rFonts w:hint="eastAsia"/>
          <w:color w:val="FF0000"/>
        </w:rPr>
        <w:t xml:space="preserve"> 元（人民币***整），月结服务费为</w:t>
      </w:r>
      <w:r>
        <w:rPr>
          <w:color w:val="FF0000"/>
        </w:rPr>
        <w:t>¥</w:t>
      </w:r>
      <w:r>
        <w:rPr>
          <w:rFonts w:hint="eastAsia"/>
          <w:color w:val="FF0000"/>
        </w:rPr>
        <w:t>**.00元（人民币***整）。</w:t>
      </w:r>
    </w:p>
    <w:p>
      <w:pPr>
        <w:pStyle w:val="23"/>
        <w:numPr>
          <w:ilvl w:val="0"/>
          <w:numId w:val="7"/>
        </w:numPr>
        <w:shd w:val="clear" w:color="auto" w:fill="FFFFFF"/>
        <w:spacing w:line="360" w:lineRule="auto"/>
        <w:ind w:left="0" w:firstLine="480"/>
        <w:rPr>
          <w:color w:val="FF0000"/>
        </w:rPr>
      </w:pPr>
      <w:r>
        <w:rPr>
          <w:rFonts w:hint="eastAsia"/>
          <w:color w:val="FF0000"/>
        </w:rPr>
        <w:t>在乙方按照合同履行义务经甲方验收认可后，于当月10日前由乙方出具税务发票结账。如遇节假日特殊情况，付款时间可提前或顺延，但时间必须在顺延后5日之内。</w:t>
      </w:r>
    </w:p>
    <w:p>
      <w:pPr>
        <w:pStyle w:val="23"/>
        <w:numPr>
          <w:ilvl w:val="0"/>
          <w:numId w:val="4"/>
        </w:numPr>
        <w:tabs>
          <w:tab w:val="left" w:pos="709"/>
        </w:tabs>
        <w:spacing w:line="360" w:lineRule="auto"/>
        <w:ind w:left="0" w:firstLine="482"/>
        <w:rPr>
          <w:b/>
          <w:color w:val="FF0000"/>
        </w:rPr>
      </w:pPr>
      <w:r>
        <w:rPr>
          <w:rFonts w:hint="eastAsia"/>
          <w:b/>
          <w:color w:val="FF0000"/>
        </w:rPr>
        <w:t>双方的权利与义务</w:t>
      </w:r>
    </w:p>
    <w:p>
      <w:pPr>
        <w:pStyle w:val="23"/>
        <w:numPr>
          <w:ilvl w:val="0"/>
          <w:numId w:val="8"/>
        </w:numPr>
        <w:spacing w:line="360" w:lineRule="auto"/>
        <w:ind w:left="0" w:firstLine="480"/>
        <w:rPr>
          <w:color w:val="FF0000"/>
        </w:rPr>
      </w:pPr>
      <w:r>
        <w:rPr>
          <w:rFonts w:hint="eastAsia"/>
          <w:color w:val="FF0000"/>
        </w:rPr>
        <w:t>甲方建立、健全劳动卫生制度，严格执行国家劳动安全卫生规程和标准，对乙方派遣的清洁人员进行劳动安全卫生教育，防止劳动过程中的事故，减少职业危害。</w:t>
      </w:r>
    </w:p>
    <w:p>
      <w:pPr>
        <w:pStyle w:val="23"/>
        <w:numPr>
          <w:ilvl w:val="0"/>
          <w:numId w:val="8"/>
        </w:numPr>
        <w:spacing w:line="360" w:lineRule="auto"/>
        <w:ind w:left="0" w:firstLine="480"/>
        <w:rPr>
          <w:color w:val="FF0000"/>
        </w:rPr>
      </w:pPr>
      <w:r>
        <w:rPr>
          <w:rFonts w:hint="eastAsia"/>
          <w:color w:val="FF0000"/>
        </w:rPr>
        <w:t>甲方必须为乙方派遣的清洁人员提供符合国家规定的劳动安全卫生条件，甲方对乙方所雇用的员工不负任何责任和义务。</w:t>
      </w:r>
    </w:p>
    <w:p>
      <w:pPr>
        <w:pStyle w:val="23"/>
        <w:numPr>
          <w:ilvl w:val="0"/>
          <w:numId w:val="8"/>
        </w:numPr>
        <w:spacing w:line="360" w:lineRule="auto"/>
        <w:ind w:left="0" w:firstLine="480"/>
        <w:rPr>
          <w:color w:val="FF0000"/>
        </w:rPr>
      </w:pPr>
      <w:r>
        <w:rPr>
          <w:rFonts w:hint="eastAsia"/>
          <w:color w:val="FF0000"/>
        </w:rPr>
        <w:t>甲方对乙方提供的清洁服务享有监督和检查权利，如发现有不符合标准之处，可责令乙方清洁人员随时进行整改。甲方通知乙方后，乙方1小时之内未执行到位，甲方给予乙方100.00元/次的罚款，月度累计达5次、年度累计达到10次将直接解除承包合同。</w:t>
      </w:r>
    </w:p>
    <w:p>
      <w:pPr>
        <w:pStyle w:val="23"/>
        <w:numPr>
          <w:ilvl w:val="0"/>
          <w:numId w:val="8"/>
        </w:numPr>
        <w:spacing w:line="360" w:lineRule="auto"/>
        <w:ind w:left="0" w:firstLine="480"/>
        <w:rPr>
          <w:color w:val="FF0000"/>
        </w:rPr>
      </w:pPr>
      <w:r>
        <w:rPr>
          <w:rFonts w:hint="eastAsia"/>
          <w:color w:val="FF0000"/>
        </w:rPr>
        <w:t>甲方有权监督和检查乙方按时足额发放清洁人员的劳动报酬和为其办理的工伤保险情况。</w:t>
      </w:r>
    </w:p>
    <w:p>
      <w:pPr>
        <w:pStyle w:val="23"/>
        <w:numPr>
          <w:ilvl w:val="0"/>
          <w:numId w:val="8"/>
        </w:numPr>
        <w:spacing w:line="360" w:lineRule="auto"/>
        <w:ind w:left="0" w:firstLine="480"/>
        <w:rPr>
          <w:color w:val="FF0000"/>
        </w:rPr>
      </w:pPr>
      <w:r>
        <w:rPr>
          <w:rFonts w:hint="eastAsia"/>
          <w:color w:val="FF0000"/>
        </w:rPr>
        <w:t>乙方按照合同约定及承包范围内清洁工作的实际需求提供优质合格的清洁服务。乙方如未按合同要求履行卫生保洁标准，甲方通知乙方后乙方拒不执行，甲方有权按合同总金额的1‰/天扣款，但累计扣款不得超过当年总服务费用的1%。</w:t>
      </w:r>
    </w:p>
    <w:p>
      <w:pPr>
        <w:pStyle w:val="23"/>
        <w:numPr>
          <w:ilvl w:val="0"/>
          <w:numId w:val="8"/>
        </w:numPr>
        <w:spacing w:line="360" w:lineRule="auto"/>
        <w:ind w:left="0" w:firstLine="480"/>
        <w:rPr>
          <w:color w:val="FF0000"/>
        </w:rPr>
      </w:pPr>
      <w:r>
        <w:rPr>
          <w:rFonts w:hint="eastAsia"/>
          <w:color w:val="FF0000"/>
        </w:rPr>
        <w:t>乙方按照甲方的要求管理和培训清洁人员。</w:t>
      </w:r>
    </w:p>
    <w:p>
      <w:pPr>
        <w:pStyle w:val="23"/>
        <w:numPr>
          <w:ilvl w:val="0"/>
          <w:numId w:val="8"/>
        </w:numPr>
        <w:spacing w:line="360" w:lineRule="auto"/>
        <w:ind w:left="0" w:firstLine="480"/>
        <w:rPr>
          <w:color w:val="FF0000"/>
        </w:rPr>
      </w:pPr>
      <w:r>
        <w:rPr>
          <w:rFonts w:hint="eastAsia"/>
          <w:color w:val="FF0000"/>
        </w:rPr>
        <w:t>乙方按时足额发放清洁人员的劳动报酬，每月15日为工资发放日，不得以任何名目直接扣除清洁人员工资。</w:t>
      </w:r>
    </w:p>
    <w:p>
      <w:pPr>
        <w:pStyle w:val="23"/>
        <w:numPr>
          <w:ilvl w:val="0"/>
          <w:numId w:val="8"/>
        </w:numPr>
        <w:spacing w:line="360" w:lineRule="auto"/>
        <w:ind w:left="0" w:firstLine="480"/>
        <w:rPr>
          <w:color w:val="00B0F0"/>
        </w:rPr>
      </w:pPr>
      <w:r>
        <w:rPr>
          <w:rFonts w:hint="eastAsia"/>
          <w:color w:val="00B0F0"/>
        </w:rPr>
        <w:t>乙方应根据甲方的公共卫生保洁区域，可适当配备专用清洁设备，并负责提供卫生保洁等易耗品。</w:t>
      </w:r>
    </w:p>
    <w:p>
      <w:pPr>
        <w:pStyle w:val="23"/>
        <w:numPr>
          <w:ilvl w:val="0"/>
          <w:numId w:val="4"/>
        </w:numPr>
        <w:tabs>
          <w:tab w:val="left" w:pos="709"/>
        </w:tabs>
        <w:spacing w:line="360" w:lineRule="auto"/>
        <w:ind w:left="0" w:firstLine="482"/>
        <w:rPr>
          <w:b/>
          <w:color w:val="FF0000"/>
        </w:rPr>
      </w:pPr>
      <w:r>
        <w:rPr>
          <w:rFonts w:hint="eastAsia"/>
          <w:b/>
          <w:color w:val="FF0000"/>
        </w:rPr>
        <w:t>合同的变更</w:t>
      </w:r>
    </w:p>
    <w:p>
      <w:pPr>
        <w:pStyle w:val="23"/>
        <w:numPr>
          <w:ilvl w:val="0"/>
          <w:numId w:val="9"/>
        </w:numPr>
        <w:spacing w:line="360" w:lineRule="auto"/>
        <w:ind w:left="0" w:firstLine="480"/>
        <w:rPr>
          <w:color w:val="FF0000"/>
        </w:rPr>
      </w:pPr>
      <w:r>
        <w:rPr>
          <w:rFonts w:hint="eastAsia"/>
          <w:color w:val="FF0000"/>
        </w:rPr>
        <w:t>有下列情形之一的，甲、乙双方可以变更本合同的内容，变更后的合同，文本由甲乙双方各执两份。</w:t>
      </w:r>
    </w:p>
    <w:p>
      <w:pPr>
        <w:spacing w:line="360" w:lineRule="auto"/>
        <w:ind w:firstLine="480" w:firstLineChars="200"/>
        <w:rPr>
          <w:rFonts w:ascii="宋体" w:hAnsi="宋体" w:cs="宋体"/>
          <w:color w:val="FF0000"/>
          <w:sz w:val="24"/>
        </w:rPr>
      </w:pPr>
      <w:r>
        <w:rPr>
          <w:rFonts w:hint="eastAsia" w:ascii="宋体" w:hAnsi="宋体" w:cs="宋体"/>
          <w:color w:val="FF0000"/>
          <w:sz w:val="24"/>
        </w:rPr>
        <w:t>（1）双方协商一致同意变更的。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（2）合同订立时所依据的客观情况发生了重大变化，甲乙双方协商一致同意变更的。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（3）由于不可抗力的因素致使合同无法完全履行的。</w:t>
      </w:r>
    </w:p>
    <w:p>
      <w:pPr>
        <w:spacing w:line="360" w:lineRule="auto"/>
        <w:ind w:firstLine="480" w:firstLineChars="200"/>
        <w:rPr>
          <w:rFonts w:ascii="宋体" w:hAnsi="宋体" w:cs="宋体"/>
          <w:color w:val="FF0000"/>
          <w:sz w:val="24"/>
        </w:rPr>
      </w:pPr>
      <w:r>
        <w:rPr>
          <w:rFonts w:hint="eastAsia" w:ascii="宋体" w:hAnsi="宋体" w:cs="宋体"/>
          <w:color w:val="FF0000"/>
          <w:sz w:val="24"/>
        </w:rPr>
        <w:t>（4）法律、法规规定的其他情形。</w:t>
      </w:r>
    </w:p>
    <w:p>
      <w:pPr>
        <w:pStyle w:val="23"/>
        <w:numPr>
          <w:ilvl w:val="0"/>
          <w:numId w:val="4"/>
        </w:numPr>
        <w:tabs>
          <w:tab w:val="left" w:pos="709"/>
        </w:tabs>
        <w:spacing w:line="360" w:lineRule="auto"/>
        <w:ind w:left="0" w:firstLine="482"/>
        <w:rPr>
          <w:b/>
          <w:color w:val="FF0000"/>
        </w:rPr>
      </w:pPr>
      <w:r>
        <w:rPr>
          <w:rFonts w:hint="eastAsia"/>
          <w:b/>
          <w:color w:val="FF0000"/>
        </w:rPr>
        <w:t>合同的终止</w:t>
      </w:r>
    </w:p>
    <w:p>
      <w:pPr>
        <w:pStyle w:val="23"/>
        <w:numPr>
          <w:ilvl w:val="0"/>
          <w:numId w:val="10"/>
        </w:numPr>
        <w:spacing w:line="360" w:lineRule="auto"/>
        <w:ind w:left="0" w:firstLine="480"/>
        <w:rPr>
          <w:color w:val="FF0000"/>
        </w:rPr>
      </w:pPr>
      <w:r>
        <w:rPr>
          <w:rFonts w:hint="eastAsia"/>
          <w:color w:val="FF0000"/>
        </w:rPr>
        <w:t>本合同到期自然终止。</w:t>
      </w:r>
    </w:p>
    <w:p>
      <w:pPr>
        <w:pStyle w:val="23"/>
        <w:numPr>
          <w:ilvl w:val="0"/>
          <w:numId w:val="10"/>
        </w:numPr>
        <w:spacing w:line="360" w:lineRule="auto"/>
        <w:ind w:left="0" w:firstLine="480"/>
        <w:rPr>
          <w:color w:val="FF0000"/>
        </w:rPr>
      </w:pPr>
      <w:r>
        <w:rPr>
          <w:rFonts w:hint="eastAsia"/>
          <w:color w:val="FF0000"/>
        </w:rPr>
        <w:t>甲乙双方经协商一致可签订书面协议解除本合同。</w:t>
      </w:r>
    </w:p>
    <w:p>
      <w:pPr>
        <w:pStyle w:val="23"/>
        <w:numPr>
          <w:ilvl w:val="0"/>
          <w:numId w:val="10"/>
        </w:numPr>
        <w:spacing w:line="360" w:lineRule="auto"/>
        <w:ind w:left="0" w:firstLine="480"/>
        <w:rPr>
          <w:color w:val="FF0000"/>
        </w:rPr>
      </w:pPr>
      <w:r>
        <w:rPr>
          <w:rFonts w:hint="eastAsia"/>
          <w:color w:val="FF0000"/>
        </w:rPr>
        <w:t>本合同签订后甲乙双方不得擅自解除，若其中一方随意解除本合同，违约方应向守约方支付</w:t>
      </w:r>
      <w:r>
        <w:rPr>
          <w:rFonts w:hint="eastAsia" w:ascii="仿宋" w:hAnsi="仿宋" w:eastAsia="仿宋"/>
          <w:color w:val="FF0000"/>
        </w:rPr>
        <w:t>￥</w:t>
      </w:r>
      <w:r>
        <w:rPr>
          <w:rFonts w:hint="eastAsia"/>
          <w:color w:val="FF0000"/>
        </w:rPr>
        <w:t>5000.00元（人民币伍仟元整）的违约金。</w:t>
      </w:r>
    </w:p>
    <w:p>
      <w:pPr>
        <w:pStyle w:val="23"/>
        <w:numPr>
          <w:ilvl w:val="0"/>
          <w:numId w:val="4"/>
        </w:numPr>
        <w:tabs>
          <w:tab w:val="left" w:pos="709"/>
        </w:tabs>
        <w:spacing w:line="360" w:lineRule="auto"/>
        <w:ind w:left="0" w:firstLine="482"/>
        <w:rPr>
          <w:b/>
          <w:color w:val="FF0000"/>
        </w:rPr>
      </w:pPr>
      <w:r>
        <w:rPr>
          <w:rFonts w:hint="eastAsia"/>
          <w:b/>
          <w:color w:val="FF0000"/>
        </w:rPr>
        <w:t>特别约定</w:t>
      </w:r>
    </w:p>
    <w:p>
      <w:pPr>
        <w:pStyle w:val="23"/>
        <w:numPr>
          <w:ilvl w:val="0"/>
          <w:numId w:val="11"/>
        </w:numPr>
        <w:spacing w:line="360" w:lineRule="auto"/>
        <w:ind w:left="0" w:firstLine="480"/>
        <w:rPr>
          <w:color w:val="FF0000"/>
        </w:rPr>
      </w:pPr>
      <w:r>
        <w:rPr>
          <w:rFonts w:hint="eastAsia"/>
          <w:color w:val="FF0000"/>
        </w:rPr>
        <w:t>乙方指派的保洁人员应当保守甲方的商业秘密。</w:t>
      </w:r>
    </w:p>
    <w:p>
      <w:pPr>
        <w:pStyle w:val="23"/>
        <w:numPr>
          <w:ilvl w:val="0"/>
          <w:numId w:val="11"/>
        </w:numPr>
        <w:spacing w:line="360" w:lineRule="auto"/>
        <w:ind w:left="0" w:firstLine="480"/>
        <w:rPr>
          <w:color w:val="FF0000"/>
        </w:rPr>
      </w:pPr>
      <w:r>
        <w:rPr>
          <w:rFonts w:hint="eastAsia"/>
          <w:color w:val="FF0000"/>
        </w:rPr>
        <w:t>乙方确认，甲方已如实告知乙方工作内容、工作条件、工作地点、职业危害、安全生产状况、劳动报酬，以及乙方要求了解的其他情况。</w:t>
      </w:r>
    </w:p>
    <w:p>
      <w:pPr>
        <w:pStyle w:val="23"/>
        <w:numPr>
          <w:ilvl w:val="0"/>
          <w:numId w:val="11"/>
        </w:numPr>
        <w:spacing w:line="360" w:lineRule="auto"/>
        <w:ind w:left="0" w:firstLine="480"/>
        <w:rPr>
          <w:color w:val="FF0000"/>
        </w:rPr>
      </w:pPr>
      <w:r>
        <w:rPr>
          <w:rFonts w:hint="eastAsia"/>
          <w:color w:val="FF0000"/>
        </w:rPr>
        <w:t>乙方确认，甲方有关文书在无法直接送达给乙方的情形下(包括但不限于乙方拒收、下落不明等情形)，乙方在本合同中填写的地址为甲方邮寄送达地址。</w:t>
      </w:r>
    </w:p>
    <w:p>
      <w:pPr>
        <w:pStyle w:val="23"/>
        <w:numPr>
          <w:ilvl w:val="0"/>
          <w:numId w:val="11"/>
        </w:numPr>
        <w:spacing w:line="360" w:lineRule="auto"/>
        <w:ind w:left="0" w:firstLine="480"/>
        <w:rPr>
          <w:color w:val="FF0000"/>
        </w:rPr>
      </w:pPr>
      <w:r>
        <w:rPr>
          <w:rFonts w:hint="eastAsia"/>
          <w:color w:val="FF0000"/>
        </w:rPr>
        <w:t>常驻甲方公司进行卫生清洁的乙方工作人员在患病或因违反公司安全操作规程导致发生意外伤害所发生的费用，由清洁人员与乙方协商解决，为降低风险，乙方应按时为其选派的清洁人员购买工伤无忧保险或雇主责任险；清洁人员在工作时间段或上下班途中所发生的工伤事故费用由乙方承担，甲方不承担任何费用和责任。</w:t>
      </w:r>
    </w:p>
    <w:p>
      <w:pPr>
        <w:pStyle w:val="23"/>
        <w:numPr>
          <w:ilvl w:val="0"/>
          <w:numId w:val="11"/>
        </w:numPr>
        <w:spacing w:line="360" w:lineRule="auto"/>
        <w:ind w:left="0" w:firstLine="480"/>
        <w:rPr>
          <w:color w:val="FF0000"/>
        </w:rPr>
      </w:pPr>
      <w:r>
        <w:rPr>
          <w:rFonts w:hint="eastAsia"/>
          <w:color w:val="FF0000"/>
        </w:rPr>
        <w:t>乙方按照国家法律法规的规定保障清洁工作人员享受相应的劳动待遇。</w:t>
      </w:r>
    </w:p>
    <w:p>
      <w:pPr>
        <w:pStyle w:val="23"/>
        <w:numPr>
          <w:ilvl w:val="0"/>
          <w:numId w:val="4"/>
        </w:numPr>
        <w:tabs>
          <w:tab w:val="left" w:pos="709"/>
        </w:tabs>
        <w:spacing w:line="360" w:lineRule="auto"/>
        <w:ind w:left="0" w:firstLine="482"/>
        <w:rPr>
          <w:b/>
          <w:color w:val="FF0000"/>
        </w:rPr>
      </w:pPr>
      <w:r>
        <w:rPr>
          <w:rFonts w:hint="eastAsia"/>
          <w:b/>
          <w:color w:val="FF0000"/>
        </w:rPr>
        <w:t>安全条款</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项目名称：</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w:t>
      </w:r>
      <w:r>
        <w:rPr>
          <w:rFonts w:hint="eastAsia" w:ascii="仿宋" w:hAnsi="仿宋" w:eastAsia="仿宋" w:cs="仿宋"/>
          <w:color w:val="FF0000"/>
        </w:rPr>
        <w:t>安全协议</w:t>
      </w:r>
      <w:r>
        <w:rPr>
          <w:rFonts w:hint="eastAsia" w:cs="仿宋" w:asciiTheme="minorEastAsia" w:hAnsiTheme="minorEastAsia" w:eastAsiaTheme="minorEastAsia"/>
          <w:color w:val="FF0000"/>
        </w:rPr>
        <w:t>只涉及甲乙双方在本项目中关于安全生产的权利和责任。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甲方权利</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有权要求乙方建立安全组织机构或指定专人，负责现场安全监护。严格执行安全生产法律、法规、条例、标准，遵守甲方的安全生产规章制度等。</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有权按规定对乙方安全业绩、资质进行审查，对乙方针对作业项目制定的职业健康安全、环境项目进行审查并备案。</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有权要求乙方不得损坏相关的甲方的安全生产设施、设备和器材。</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有权要求乙方在进入甲方现场作业前所有作业人员接受甲方的安全培训与教育。</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有权对乙方的作业现场的安全作业情况进行监督检查，有权对乙方不符合安全生产要求的行为进行纠正、处罚、制止、停止作业、直至清退出场。</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有权要求乙方为所有作业人员</w:t>
      </w:r>
      <w:r>
        <w:rPr>
          <w:rFonts w:hint="eastAsia" w:ascii="仿宋" w:hAnsi="仿宋" w:eastAsia="仿宋" w:cs="仿宋"/>
          <w:color w:val="FF0000"/>
        </w:rPr>
        <w:t>购买</w:t>
      </w:r>
      <w:r>
        <w:rPr>
          <w:rFonts w:hint="eastAsia" w:cs="仿宋" w:asciiTheme="minorEastAsia" w:hAnsiTheme="minorEastAsia" w:eastAsiaTheme="minorEastAsia"/>
          <w:color w:val="FF0000"/>
        </w:rPr>
        <w:t>工伤保险和意外伤害保险。</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pStyle w:val="23"/>
        <w:numPr>
          <w:ilvl w:val="0"/>
          <w:numId w:val="13"/>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发生事故后、有权根据有关规定参与事故的调查。</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甲方责任</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认真贯彻落实国家有关法律、法规、标准及甲方公司安全生产规章制度。</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向乙方明确作业区的范围、危险源及安全技术交底，并要有书面记录。</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为乙方提供项目合同中规定的安全作业条件。</w:t>
      </w:r>
    </w:p>
    <w:p>
      <w:pPr>
        <w:pStyle w:val="23"/>
        <w:numPr>
          <w:ilvl w:val="0"/>
          <w:numId w:val="14"/>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发生事故后积极协助抢险，防止事故扩大，并按照甲方有关规定进行报告。</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乙方权利</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有权对甲方的安全工作提出合理化建议和改进意见。</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日常作业中，若甲方违章指挥、强令乙方冒险作业，有权拒绝执行。</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有权要求甲方提供符合安全作业的工艺条件和环境。</w:t>
      </w:r>
    </w:p>
    <w:p>
      <w:pPr>
        <w:pStyle w:val="23"/>
        <w:numPr>
          <w:ilvl w:val="0"/>
          <w:numId w:val="15"/>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发生严重危及乙方生命安全的紧急情况时，乙方有权采取必要的避险措施。</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乙方的责任</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乙方是本项目的安全生产责任主体，对本项目的安全生产工作全面负责。</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健全安全组织机构，建立安全生产责任制，制定健全的安全生产规章制度，制定生产安全事故应急求援预案，配备必要的安全生产管理人员和劳动保护用品，严格执行甲方相关的规章制度。</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应对作业人员进行作业前安全教育培训，使其具备相应的安全意识和安全技能；特种作业人员应具有相应的资格证书。</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不得使用不符合国家、行业标准和甲方规定的原材料、设备、装置、防护用品、器材、安全检测仪器等。所使用的特种设备，必须经具有专业资质的检验检测机构检测。经检测不合格的，不得继续使用。</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指定专人负责现场安全监督检查工作，认真开展安全检查，发现作业过程中不安全行为和隐患、应采取有效措施积极处理。</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乙方有责任对作业区域的安全生产条件进行详细了解。</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乙方在作业过程中有属于危及安全生产的关键作业时，应提出切实可行的方案，经甲方同意后，方可实施。</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未经甲方同意，乙方不得将项目转包给第三方。</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乙方工作人员在作业期间只能在甲方规定的路线进出公司，只能在规定的作业区域内作业，禁止私自进入甲方其它生产区域。</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乙方工作人员应服从甲方的安全管理。</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发生事故时，应积极抢险，避免事故的进一步扩大，并按照国家相关要求报告事故。</w:t>
      </w:r>
    </w:p>
    <w:p>
      <w:pPr>
        <w:pStyle w:val="23"/>
        <w:numPr>
          <w:ilvl w:val="0"/>
          <w:numId w:val="16"/>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当乙方在作业过程中发生伤亡事故时，乙方作为承包单位，对发生的人身伤害、设备损坏事故承担相应安全责任。由乙方向自己的主管上级部门及当地政府的安全生产监督管理部门、公安部门报告，并自行承担相应的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违约责任及处理</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甲乙双方违反本合同要求，未造成事故时，依据相关合同对违约者进行处理（包括但不限于支付违约金、赔偿损失等）。</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发生事故时，甲、乙双方有抢险、救灾的责任，所发生的费用由责任方承担。</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发生的事故，应经事故调查确认责任；事故报告和调查应按照国家和甲方有关规定进行。</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甲方违约造成的事故，甲方承担全部责任，并按规定追究有关人员责任及上报。</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乙方违约造成的事故，乙方承担全部责任，并按规定追究有关人员责任并报告甲方；由于乙方工程质量、检修质量及购买的原材料导致的事故，由乙方承担全部责任。</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甲、乙双方共同造成的事故，按双方责任大小承担相应责任，并按规定追究有关人员责任。</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对乙方发生事故后弄虚作假、隐瞒不报、迟报或谎报，一经查出，按有关规定从重处罚，情节严重的，甲方有权向当地政府安全生产监督管理部门报告，并取消其进入甲方市场资格。</w:t>
      </w:r>
    </w:p>
    <w:p>
      <w:pPr>
        <w:pStyle w:val="23"/>
        <w:numPr>
          <w:ilvl w:val="0"/>
          <w:numId w:val="17"/>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作业期间，乙方需要办理的有关安全的批文或其它手续，必须办理齐全，否则发生安全事故由乙方承担全部责任。</w:t>
      </w:r>
    </w:p>
    <w:p>
      <w:pPr>
        <w:pStyle w:val="23"/>
        <w:numPr>
          <w:ilvl w:val="1"/>
          <w:numId w:val="12"/>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由于不可抗力造成合同项目作业事故及生产的损失，当事人双方各自承担相应的损失。</w:t>
      </w:r>
    </w:p>
    <w:p>
      <w:pPr>
        <w:pStyle w:val="23"/>
        <w:numPr>
          <w:ilvl w:val="1"/>
          <w:numId w:val="12"/>
        </w:numPr>
        <w:tabs>
          <w:tab w:val="left" w:pos="630"/>
        </w:tabs>
        <w:spacing w:line="360" w:lineRule="auto"/>
        <w:ind w:left="0" w:firstLine="480"/>
        <w:rPr>
          <w:color w:val="FF0000"/>
        </w:rPr>
      </w:pPr>
      <w:r>
        <w:rPr>
          <w:rFonts w:hint="eastAsia"/>
          <w:color w:val="FF0000"/>
        </w:rPr>
        <w:t>乙方应重点加强</w:t>
      </w:r>
      <w:r>
        <w:rPr>
          <w:rFonts w:hint="eastAsia"/>
          <w:color w:val="00B0F0"/>
        </w:rPr>
        <w:t>自购的</w:t>
      </w:r>
      <w:r>
        <w:rPr>
          <w:rFonts w:hint="eastAsia"/>
          <w:color w:val="FF0000"/>
        </w:rPr>
        <w:t>卫生保洁设备（如保洁电瓶车等）及操作人员的安全教育管理，严格遵守甲方港区交通管理，确保保洁人员站位及保洁电瓶车辆交通及停放安全。</w:t>
      </w:r>
    </w:p>
    <w:p>
      <w:pPr>
        <w:pStyle w:val="23"/>
        <w:numPr>
          <w:ilvl w:val="1"/>
          <w:numId w:val="12"/>
        </w:numPr>
        <w:tabs>
          <w:tab w:val="left" w:pos="630"/>
        </w:tabs>
        <w:spacing w:line="360" w:lineRule="auto"/>
        <w:ind w:left="0" w:firstLine="480"/>
        <w:rPr>
          <w:color w:val="FF0000"/>
        </w:rPr>
      </w:pPr>
      <w:r>
        <w:rPr>
          <w:rFonts w:hint="eastAsia"/>
          <w:color w:val="FF0000"/>
        </w:rPr>
        <w:t>甲方现无偿提供给乙方</w:t>
      </w:r>
      <w:r>
        <w:rPr>
          <w:rFonts w:hint="eastAsia"/>
          <w:color w:val="00B0F0"/>
        </w:rPr>
        <w:t>的</w:t>
      </w:r>
      <w:r>
        <w:rPr>
          <w:rFonts w:hint="eastAsia"/>
          <w:color w:val="FF0000"/>
        </w:rPr>
        <w:t>卫生保洁电瓶车充电和停放场地，如甲方场地要做他用，甲方提前三天告知乙方后有权收回。</w:t>
      </w:r>
    </w:p>
    <w:p>
      <w:pPr>
        <w:pStyle w:val="23"/>
        <w:numPr>
          <w:ilvl w:val="1"/>
          <w:numId w:val="12"/>
        </w:numPr>
        <w:tabs>
          <w:tab w:val="left" w:pos="630"/>
        </w:tabs>
        <w:spacing w:line="360" w:lineRule="auto"/>
        <w:ind w:left="0" w:firstLine="480"/>
        <w:rPr>
          <w:color w:val="FF0000"/>
        </w:rPr>
      </w:pPr>
      <w:r>
        <w:rPr>
          <w:rFonts w:hint="eastAsia"/>
          <w:color w:val="FF0000"/>
        </w:rPr>
        <w:t>乙方应按照卫生保洁电瓶车充电的使用管理规定执行，乙方因保洁车辆充电自燃等原因发生的损失，甲方不负一切责任，给甲方带来的经济损失由责任方负责赔偿。</w:t>
      </w:r>
    </w:p>
    <w:p>
      <w:pPr>
        <w:pStyle w:val="23"/>
        <w:numPr>
          <w:ilvl w:val="0"/>
          <w:numId w:val="4"/>
        </w:numPr>
        <w:tabs>
          <w:tab w:val="left" w:pos="709"/>
        </w:tabs>
        <w:spacing w:line="360" w:lineRule="auto"/>
        <w:ind w:left="0" w:firstLine="482"/>
        <w:rPr>
          <w:b/>
          <w:color w:val="FF0000"/>
        </w:rPr>
      </w:pPr>
      <w:r>
        <w:rPr>
          <w:rFonts w:hint="eastAsia"/>
          <w:b/>
          <w:color w:val="FF0000"/>
        </w:rPr>
        <w:t>廉洁条款</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根据国家相关法律法规，为预防商务往来的违法违纪事件发生，甲乙双方同意在商务合作中履行以下约定。</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甲方廉洁义务</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甲方有权了解乙方有关廉洁从业方面的各项制度和规定，并自觉配合乙方遵守执行。甲方人员不得以任何形式向乙方索取贿赂，收受回扣及好处费等。不得接受乙方钱、物，有价证券。不得让乙方报销任何费用。不得参与乙方组织对执行业务有关的私人会馆等娱乐场所活动和宴请。不得接受乙方介绍给予家庭成员或亲友从事与业务有关联的商务业务、材料、设备供应或项目分包等经济活动。不得借婚丧嫁娶之机收受乙方钱物。</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乙方廉洁义务</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承诺遵守甲方在廉洁从业方面的各项制度和规定，包括但不限于新港公司相关管理制度，并自觉配合甲方执行。乙方人员不得以任何形式向甲方人员行贿、提供回扣或其他好处费用。不得对甲方人员馈赠现金、有价证券和贵重物品。不得给予甲方人员报销任何费用。不得为甲方人员购置或长期无偿提供交通、通信、办公和家庭生活用品。不得邀请甲方人员参加对执行业务有关的私人会馆及娱乐或宴请活动。不得接收甲方人员介绍的家属或亲友从事与业务合作有关的商务业务、材料、设备供应或项目分包经济活动等。不得为甲方人员安排出境和旅游活动。不得借婚丧嫁娶之机向甲方人员赠送钱物或有价证券。</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乙方在与甲方商务合作中，严禁以下行为：</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（1）向甲方人员及其特定关系人员送礼品、礼金，赠有价证券或干股，给予“好处”或安排工作等。</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（2）支付应由甲方相关人员承担的费用或支付甲方相关人员父母、配偶、子女及其他亲属、特定关系人费用。</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（3）超标准接待、宴请甲方或其父母、配偶、子女及其他亲属、特定关系人，安排观光旅游、度假，到私人会馆等娱乐场所消费。</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（4）以虚假资质、资信及证明材料骗取甲方商务合作。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（5）以利诱、敲诈、威胁或诬告等手段，引诱或逼迫甲方人员违法违纪，提供资源或实施合作。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（6）涉及或关联案件，但以伪证信息或材料，拖延、阻碍案件调查工作。</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（7）违反国家法律法规或其他不廉洁诚信行为。</w:t>
      </w:r>
    </w:p>
    <w:p>
      <w:pPr>
        <w:pStyle w:val="23"/>
        <w:numPr>
          <w:ilvl w:val="3"/>
          <w:numId w:val="19"/>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乙方发现甲方人员有不廉洁行为，须在48小时内署名报告甲方相关监察部门。联系方式：</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举报电话：13975049385</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邮箱：825987339@qq.com</w:t>
      </w:r>
    </w:p>
    <w:p>
      <w:pPr>
        <w:tabs>
          <w:tab w:val="left" w:pos="630"/>
        </w:tabs>
        <w:spacing w:line="360" w:lineRule="auto"/>
        <w:ind w:firstLine="480" w:firstLineChars="200"/>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信箱：岳阳城陵矶新港有限公司大厅东侧角</w:t>
      </w:r>
    </w:p>
    <w:p>
      <w:pPr>
        <w:widowControl w:val="0"/>
        <w:numPr>
          <w:ilvl w:val="0"/>
          <w:numId w:val="18"/>
        </w:numPr>
        <w:tabs>
          <w:tab w:val="left" w:pos="630"/>
        </w:tabs>
        <w:spacing w:line="360" w:lineRule="auto"/>
        <w:ind w:left="0" w:firstLine="480" w:firstLineChars="200"/>
        <w:jc w:val="both"/>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违约责任</w:t>
      </w:r>
    </w:p>
    <w:p>
      <w:pPr>
        <w:pStyle w:val="23"/>
        <w:numPr>
          <w:ilvl w:val="0"/>
          <w:numId w:val="20"/>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甲方人员违反廉洁义务，经调查属实的，甲方依据管理规定对当事人进行严肃处理，对涉嫌犯罪的人员移送司法机关处理。</w:t>
      </w:r>
    </w:p>
    <w:p>
      <w:pPr>
        <w:pStyle w:val="23"/>
        <w:numPr>
          <w:ilvl w:val="0"/>
          <w:numId w:val="20"/>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及其人员违反廉洁义务或违反管理规定，经调查属实，甲方将乙方列入“黑名单”，并保留登报报道涉及腐败事项的权利。甲方有权书面通知乙方解除甲方与乙方已签订但尚未履行完毕的全部或部分商务合同。此外，乙方应赔偿由此给甲方造成的经济损失。</w:t>
      </w:r>
    </w:p>
    <w:p>
      <w:pPr>
        <w:pStyle w:val="23"/>
        <w:numPr>
          <w:ilvl w:val="0"/>
          <w:numId w:val="4"/>
        </w:numPr>
        <w:tabs>
          <w:tab w:val="left" w:pos="709"/>
        </w:tabs>
        <w:spacing w:line="360" w:lineRule="auto"/>
        <w:ind w:left="0" w:firstLine="482"/>
        <w:rPr>
          <w:rFonts w:ascii="仿宋" w:hAnsi="仿宋" w:eastAsia="仿宋"/>
          <w:color w:val="FF0000"/>
        </w:rPr>
      </w:pPr>
      <w:r>
        <w:rPr>
          <w:rFonts w:hint="eastAsia"/>
          <w:b/>
          <w:color w:val="FF0000"/>
        </w:rPr>
        <w:t>解决合同纠纷的方式</w:t>
      </w:r>
    </w:p>
    <w:p>
      <w:pPr>
        <w:tabs>
          <w:tab w:val="left" w:pos="630"/>
        </w:tabs>
        <w:spacing w:line="360" w:lineRule="auto"/>
        <w:ind w:firstLine="480" w:firstLineChars="200"/>
        <w:rPr>
          <w:rFonts w:cs="仿宋" w:asciiTheme="minorEastAsia" w:hAnsiTheme="minorEastAsia" w:eastAsiaTheme="minorEastAsia"/>
          <w:color w:val="FF0000"/>
        </w:rPr>
      </w:pPr>
      <w:r>
        <w:rPr>
          <w:rFonts w:hint="eastAsia" w:cs="仿宋" w:asciiTheme="minorEastAsia" w:hAnsiTheme="minorEastAsia" w:eastAsiaTheme="minorEastAsia"/>
          <w:color w:val="FF0000"/>
          <w:sz w:val="24"/>
        </w:rPr>
        <w:t>本合同履行过程中如发生争议</w:t>
      </w:r>
      <w:r>
        <w:rPr>
          <w:rFonts w:hint="eastAsia" w:asciiTheme="minorEastAsia" w:hAnsiTheme="minorEastAsia" w:eastAsiaTheme="minorEastAsia"/>
          <w:color w:val="FF0000"/>
          <w:sz w:val="24"/>
        </w:rPr>
        <w:t>，双方当事人应协商解决，协商不成，约定向甲方所在地有管辖权的人民法院起诉。</w:t>
      </w:r>
    </w:p>
    <w:p>
      <w:pPr>
        <w:pStyle w:val="23"/>
        <w:numPr>
          <w:ilvl w:val="0"/>
          <w:numId w:val="4"/>
        </w:numPr>
        <w:tabs>
          <w:tab w:val="left" w:pos="709"/>
        </w:tabs>
        <w:spacing w:line="360" w:lineRule="auto"/>
        <w:ind w:left="0" w:firstLine="482"/>
        <w:rPr>
          <w:b/>
          <w:color w:val="FF0000"/>
        </w:rPr>
      </w:pPr>
      <w:r>
        <w:rPr>
          <w:rFonts w:hint="eastAsia"/>
          <w:b/>
          <w:color w:val="FF0000"/>
        </w:rPr>
        <w:t>其它条款</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乙方不得以不正当方式获取额外的收入，按甲方的要求维护正常的经营秩序。一经发现或举报属实，每次罚款200.00元。</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asciiTheme="minorEastAsia" w:hAnsiTheme="minorEastAsia" w:eastAsiaTheme="minorEastAsia"/>
          <w:color w:val="FF0000"/>
        </w:rPr>
        <w:t>本合同未约定的违约责任，按《中华人民共和国民法典》的有关规定执行。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本合同经甲乙双方法定代表人（或其委托代理人）签字并加盖公司合同章后生效。</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本合同一经生效即具有法律约束力。双方均应当履行约定的义务，任何一方不得擅自变更或者解除合同，也不得因代理人或者法定代表人的变动而变更或者解除本合同。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本合同其它未尽事宜，双方可另行协商解决，如有必要可签订补充合同。</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本合同履行过程中，所有与本合同有关的补充合同、往来传真、微信、短信、扫描件等均属于本合同的有效组成部分，与本合同具有同等法律效力。</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本合同中约定的文书送达地址，为双方约定的合同履行、法院诉讼和执行的法律文书送达地址，在邮政特快专递（即EMS）邮寄送达的情况下，即使文件被退回，亦视为送达。</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本合同一式四份，甲乙双方各执二份，具有同等法律效力。</w:t>
      </w:r>
    </w:p>
    <w:p>
      <w:pPr>
        <w:pStyle w:val="23"/>
        <w:numPr>
          <w:ilvl w:val="2"/>
          <w:numId w:val="21"/>
        </w:numPr>
        <w:tabs>
          <w:tab w:val="left" w:pos="630"/>
        </w:tabs>
        <w:spacing w:line="360" w:lineRule="auto"/>
        <w:ind w:left="0" w:firstLine="480"/>
        <w:rPr>
          <w:rFonts w:cs="仿宋" w:asciiTheme="minorEastAsia" w:hAnsiTheme="minorEastAsia" w:eastAsiaTheme="minorEastAsia"/>
          <w:color w:val="FF0000"/>
        </w:rPr>
      </w:pPr>
      <w:r>
        <w:rPr>
          <w:rFonts w:hint="eastAsia" w:cs="仿宋" w:asciiTheme="minorEastAsia" w:hAnsiTheme="minorEastAsia" w:eastAsiaTheme="minorEastAsia"/>
          <w:color w:val="FF0000"/>
        </w:rPr>
        <w:t>本合同附件：无。</w:t>
      </w:r>
    </w:p>
    <w:p>
      <w:pPr>
        <w:pStyle w:val="23"/>
        <w:tabs>
          <w:tab w:val="left" w:pos="630"/>
        </w:tabs>
        <w:spacing w:line="360" w:lineRule="auto"/>
        <w:ind w:left="480" w:firstLine="0" w:firstLineChars="0"/>
        <w:rPr>
          <w:rFonts w:cs="仿宋" w:asciiTheme="minorEastAsia" w:hAnsiTheme="minorEastAsia" w:eastAsiaTheme="minorEastAsia"/>
          <w:color w:val="FF0000"/>
        </w:rPr>
      </w:pPr>
    </w:p>
    <w:p>
      <w:pPr>
        <w:spacing w:line="420" w:lineRule="exact"/>
        <w:ind w:firstLine="420" w:firstLineChars="200"/>
        <w:rPr>
          <w:rFonts w:ascii="仿宋" w:hAnsi="仿宋" w:eastAsia="仿宋"/>
          <w:color w:val="FF0000"/>
          <w:szCs w:val="21"/>
        </w:rPr>
      </w:pPr>
    </w:p>
    <w:p>
      <w:pPr>
        <w:spacing w:line="420" w:lineRule="exact"/>
        <w:ind w:firstLine="420" w:firstLineChars="200"/>
        <w:rPr>
          <w:rFonts w:ascii="仿宋" w:hAnsi="仿宋" w:eastAsia="仿宋"/>
          <w:color w:val="FF0000"/>
          <w:szCs w:val="21"/>
        </w:rPr>
      </w:pPr>
    </w:p>
    <w:tbl>
      <w:tblPr>
        <w:tblStyle w:val="16"/>
        <w:tblW w:w="9421" w:type="dxa"/>
        <w:tblInd w:w="0" w:type="dxa"/>
        <w:tblBorders>
          <w:top w:val="none" w:color="auto" w:sz="0" w:space="0"/>
          <w:left w:val="none" w:color="auto" w:sz="0" w:space="0"/>
          <w:bottom w:val="none" w:color="auto" w:sz="0"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4805"/>
        <w:gridCol w:w="4616"/>
      </w:tblGrid>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甲方（盖章）</w:t>
            </w:r>
          </w:p>
          <w:p>
            <w:pPr>
              <w:spacing w:line="360" w:lineRule="auto"/>
              <w:ind w:right="175"/>
              <w:rPr>
                <w:rFonts w:ascii="仿宋" w:hAnsi="仿宋" w:eastAsia="仿宋"/>
                <w:b/>
                <w:color w:val="FF0000"/>
                <w:sz w:val="24"/>
              </w:rPr>
            </w:pPr>
            <w:r>
              <w:rPr>
                <w:rFonts w:hint="eastAsia" w:ascii="宋体" w:hAnsi="宋体" w:cs="宋体"/>
                <w:bCs/>
                <w:color w:val="FF0000"/>
                <w:sz w:val="24"/>
              </w:rPr>
              <w:t>岳阳城陵矶新港有限公司</w:t>
            </w:r>
          </w:p>
          <w:p>
            <w:pPr>
              <w:spacing w:line="360" w:lineRule="auto"/>
              <w:ind w:right="-334"/>
              <w:rPr>
                <w:rFonts w:ascii="仿宋" w:hAnsi="仿宋" w:eastAsia="仿宋"/>
                <w:b/>
                <w:color w:val="FF0000"/>
                <w:sz w:val="24"/>
              </w:rPr>
            </w:pP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乙方（盖章）</w:t>
            </w:r>
          </w:p>
          <w:p>
            <w:pPr>
              <w:spacing w:line="360" w:lineRule="auto"/>
              <w:rPr>
                <w:rFonts w:ascii="仿宋" w:hAnsi="仿宋" w:eastAsia="仿宋"/>
                <w:b/>
                <w:color w:val="FF0000"/>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法定代表人或委托代理人签字：</w:t>
            </w:r>
          </w:p>
          <w:p>
            <w:pPr>
              <w:spacing w:line="360" w:lineRule="auto"/>
              <w:ind w:right="-334"/>
              <w:rPr>
                <w:rFonts w:ascii="仿宋" w:hAnsi="仿宋" w:eastAsia="仿宋"/>
                <w:b/>
                <w:color w:val="FF0000"/>
                <w:sz w:val="24"/>
              </w:rPr>
            </w:pPr>
          </w:p>
          <w:p>
            <w:pPr>
              <w:spacing w:line="360" w:lineRule="auto"/>
              <w:ind w:right="-334"/>
              <w:rPr>
                <w:rFonts w:ascii="仿宋" w:hAnsi="仿宋" w:eastAsia="仿宋"/>
                <w:b/>
                <w:color w:val="FF0000"/>
                <w:sz w:val="24"/>
              </w:rPr>
            </w:pP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法定代表人或委托代理人签字：</w:t>
            </w:r>
          </w:p>
          <w:p>
            <w:pPr>
              <w:spacing w:line="360" w:lineRule="auto"/>
              <w:ind w:right="-334"/>
              <w:rPr>
                <w:rFonts w:ascii="仿宋" w:hAnsi="仿宋" w:eastAsia="仿宋"/>
                <w:b/>
                <w:color w:val="FF0000"/>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12" w:space="0"/>
          </w:tblBorders>
          <w:tblCellMar>
            <w:top w:w="0" w:type="dxa"/>
            <w:left w:w="108" w:type="dxa"/>
            <w:bottom w:w="0" w:type="dxa"/>
            <w:right w:w="108" w:type="dxa"/>
          </w:tblCellMar>
        </w:tblPrEx>
        <w:tc>
          <w:tcPr>
            <w:tcW w:w="4805" w:type="dxa"/>
          </w:tcPr>
          <w:p>
            <w:pPr>
              <w:spacing w:line="360" w:lineRule="auto"/>
              <w:ind w:right="-334"/>
              <w:rPr>
                <w:rFonts w:ascii="仿宋" w:hAnsi="仿宋" w:eastAsia="仿宋"/>
                <w:b/>
                <w:color w:val="FF0000"/>
                <w:sz w:val="24"/>
              </w:rPr>
            </w:pPr>
            <w:r>
              <w:rPr>
                <w:rFonts w:hint="eastAsia" w:ascii="仿宋" w:hAnsi="仿宋" w:eastAsia="仿宋"/>
                <w:b/>
                <w:color w:val="FF0000"/>
                <w:sz w:val="24"/>
              </w:rPr>
              <w:t>联系人：</w:t>
            </w:r>
          </w:p>
          <w:p>
            <w:pPr>
              <w:spacing w:line="360" w:lineRule="auto"/>
              <w:ind w:right="-334"/>
              <w:rPr>
                <w:rFonts w:ascii="仿宋" w:hAnsi="仿宋" w:eastAsia="仿宋"/>
                <w:b/>
                <w:color w:val="FF0000"/>
                <w:sz w:val="24"/>
              </w:rPr>
            </w:pPr>
            <w:r>
              <w:rPr>
                <w:rFonts w:hint="eastAsia" w:ascii="仿宋" w:hAnsi="仿宋" w:eastAsia="仿宋"/>
                <w:b/>
                <w:color w:val="FF0000"/>
                <w:sz w:val="24"/>
              </w:rPr>
              <w:t>联系电话：</w:t>
            </w:r>
          </w:p>
          <w:p>
            <w:pPr>
              <w:spacing w:line="360" w:lineRule="auto"/>
              <w:ind w:right="-334"/>
              <w:rPr>
                <w:rFonts w:ascii="仿宋" w:hAnsi="仿宋" w:eastAsia="仿宋"/>
                <w:b/>
                <w:color w:val="FF0000"/>
                <w:szCs w:val="21"/>
              </w:rPr>
            </w:pPr>
            <w:r>
              <w:rPr>
                <w:rFonts w:hint="eastAsia" w:ascii="仿宋" w:hAnsi="仿宋" w:eastAsia="仿宋"/>
                <w:b/>
                <w:color w:val="FF0000"/>
                <w:sz w:val="24"/>
              </w:rPr>
              <w:t>传真：</w:t>
            </w:r>
          </w:p>
        </w:tc>
        <w:tc>
          <w:tcPr>
            <w:tcW w:w="4616" w:type="dxa"/>
          </w:tcPr>
          <w:p>
            <w:pPr>
              <w:spacing w:line="360" w:lineRule="auto"/>
              <w:ind w:right="-334"/>
              <w:rPr>
                <w:rFonts w:ascii="仿宋" w:hAnsi="仿宋" w:eastAsia="仿宋"/>
                <w:b/>
                <w:color w:val="FF0000"/>
                <w:sz w:val="24"/>
              </w:rPr>
            </w:pPr>
            <w:r>
              <w:rPr>
                <w:rFonts w:hint="eastAsia" w:ascii="仿宋" w:hAnsi="仿宋" w:eastAsia="仿宋"/>
                <w:b/>
                <w:color w:val="FF0000"/>
                <w:sz w:val="24"/>
              </w:rPr>
              <w:t>联系人：</w:t>
            </w:r>
          </w:p>
          <w:p>
            <w:pPr>
              <w:spacing w:line="360" w:lineRule="auto"/>
              <w:ind w:right="-334"/>
              <w:rPr>
                <w:rFonts w:ascii="仿宋" w:hAnsi="仿宋" w:eastAsia="仿宋"/>
                <w:b/>
                <w:color w:val="FF0000"/>
                <w:sz w:val="24"/>
              </w:rPr>
            </w:pPr>
            <w:r>
              <w:rPr>
                <w:rFonts w:hint="eastAsia" w:ascii="仿宋" w:hAnsi="仿宋" w:eastAsia="仿宋"/>
                <w:b/>
                <w:color w:val="FF0000"/>
                <w:sz w:val="24"/>
              </w:rPr>
              <w:t>联系电话：</w:t>
            </w:r>
          </w:p>
          <w:p>
            <w:pPr>
              <w:spacing w:line="360" w:lineRule="auto"/>
              <w:ind w:right="-334"/>
              <w:rPr>
                <w:rFonts w:ascii="仿宋" w:hAnsi="仿宋" w:eastAsia="仿宋"/>
                <w:b/>
                <w:color w:val="FF0000"/>
                <w:sz w:val="24"/>
              </w:rPr>
            </w:pPr>
            <w:r>
              <w:rPr>
                <w:rFonts w:hint="eastAsia" w:ascii="仿宋" w:hAnsi="仿宋" w:eastAsia="仿宋"/>
                <w:b/>
                <w:color w:val="FF0000"/>
                <w:sz w:val="24"/>
              </w:rPr>
              <w:t>传真：</w:t>
            </w:r>
          </w:p>
        </w:tc>
      </w:tr>
    </w:tbl>
    <w:p>
      <w:pPr>
        <w:spacing w:line="360" w:lineRule="auto"/>
        <w:ind w:firstLine="360" w:firstLineChars="150"/>
        <w:rPr>
          <w:rFonts w:ascii="仿宋" w:hAnsi="仿宋" w:eastAsia="仿宋"/>
          <w:color w:val="FF0000"/>
          <w:sz w:val="24"/>
        </w:rPr>
      </w:pPr>
    </w:p>
    <w:p>
      <w:pPr>
        <w:spacing w:line="360" w:lineRule="auto"/>
        <w:ind w:firstLine="360" w:firstLineChars="150"/>
        <w:rPr>
          <w:rFonts w:asciiTheme="minorEastAsia" w:hAnsiTheme="minorEastAsia" w:eastAsiaTheme="minorEastAsia"/>
          <w:color w:val="FF0000"/>
          <w:sz w:val="24"/>
        </w:rPr>
      </w:pPr>
      <w:r>
        <w:rPr>
          <w:rFonts w:hint="eastAsia" w:asciiTheme="minorEastAsia" w:hAnsiTheme="minorEastAsia" w:eastAsiaTheme="minorEastAsia"/>
          <w:color w:val="FF0000"/>
          <w:sz w:val="24"/>
        </w:rPr>
        <w:t>签约日期：</w:t>
      </w:r>
      <w:r>
        <w:rPr>
          <w:rFonts w:asciiTheme="minorEastAsia" w:hAnsiTheme="minorEastAsia" w:eastAsiaTheme="minorEastAsia"/>
          <w:color w:val="FF0000"/>
          <w:sz w:val="24"/>
        </w:rPr>
        <w:t>202</w:t>
      </w:r>
      <w:r>
        <w:rPr>
          <w:rFonts w:hint="eastAsia" w:asciiTheme="minorEastAsia" w:hAnsiTheme="minorEastAsia" w:eastAsiaTheme="minorEastAsia"/>
          <w:color w:val="FF0000"/>
          <w:sz w:val="24"/>
        </w:rPr>
        <w:t>3</w:t>
      </w:r>
      <w:r>
        <w:rPr>
          <w:rFonts w:asciiTheme="minorEastAsia" w:hAnsiTheme="minorEastAsia" w:eastAsiaTheme="minorEastAsia"/>
          <w:color w:val="FF0000"/>
          <w:sz w:val="24"/>
        </w:rPr>
        <w:t>年   月    日</w:t>
      </w:r>
      <w:r>
        <w:rPr>
          <w:rFonts w:hint="eastAsia" w:asciiTheme="minorEastAsia" w:hAnsiTheme="minorEastAsia" w:eastAsiaTheme="minorEastAsia"/>
          <w:color w:val="FF0000"/>
          <w:sz w:val="24"/>
        </w:rPr>
        <w:t>（正式签约此日期不可空白）</w:t>
      </w:r>
    </w:p>
    <w:p>
      <w:pPr>
        <w:spacing w:line="360" w:lineRule="auto"/>
        <w:ind w:firstLine="360" w:firstLineChars="150"/>
        <w:rPr>
          <w:rFonts w:asciiTheme="minorEastAsia" w:hAnsiTheme="minorEastAsia" w:eastAsiaTheme="minorEastAsia"/>
          <w:color w:val="FF0000"/>
        </w:rPr>
      </w:pPr>
      <w:r>
        <w:rPr>
          <w:rFonts w:hint="eastAsia" w:asciiTheme="minorEastAsia" w:hAnsiTheme="minorEastAsia" w:eastAsiaTheme="minorEastAsia"/>
          <w:color w:val="FF0000"/>
          <w:sz w:val="24"/>
        </w:rPr>
        <w:t>签约地点：湖南岳阳云溪</w:t>
      </w:r>
    </w:p>
    <w:p/>
    <w:p>
      <w:pPr>
        <w:numPr>
          <w:ilvl w:val="0"/>
          <w:numId w:val="22"/>
        </w:num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 xml:space="preserve"> 采购需求</w:t>
      </w:r>
    </w:p>
    <w:p>
      <w:pPr>
        <w:pStyle w:val="6"/>
        <w:numPr>
          <w:ilvl w:val="0"/>
          <w:numId w:val="0"/>
        </w:numPr>
      </w:pPr>
    </w:p>
    <w:p>
      <w:pPr>
        <w:autoSpaceDE w:val="0"/>
        <w:spacing w:line="400" w:lineRule="exact"/>
        <w:rPr>
          <w:sz w:val="24"/>
        </w:rPr>
      </w:pPr>
      <w:r>
        <w:rPr>
          <w:rFonts w:hint="eastAsia" w:ascii="宋体" w:hAnsi="宋体"/>
          <w:sz w:val="24"/>
        </w:rPr>
        <w:t>（一）采购范围: 岳阳</w:t>
      </w:r>
      <w:r>
        <w:rPr>
          <w:rFonts w:hint="eastAsia" w:ascii="宋体" w:hAnsi="宋体" w:cs="宋体"/>
          <w:sz w:val="24"/>
        </w:rPr>
        <w:t>新港公司办公楼及周边（</w:t>
      </w:r>
      <w:r>
        <w:rPr>
          <w:rFonts w:hint="eastAsia"/>
          <w:color w:val="00B0F0"/>
        </w:rPr>
        <w:t>含景观水池</w:t>
      </w:r>
      <w:r>
        <w:rPr>
          <w:rFonts w:hint="eastAsia" w:ascii="宋体" w:hAnsi="宋体" w:cs="宋体"/>
          <w:sz w:val="24"/>
        </w:rPr>
        <w:t>）、宿舍楼，一期、二期港区生产作业区域（含作业楼、闸口前坪、码头平台、引桥、各堆场（含堆场电缆沟）、各查验平台</w:t>
      </w:r>
      <w:r>
        <w:rPr>
          <w:rFonts w:hint="eastAsia"/>
        </w:rPr>
        <w:t>周边</w:t>
      </w:r>
      <w:r>
        <w:rPr>
          <w:rFonts w:hint="eastAsia" w:ascii="宋体" w:hAnsi="宋体" w:cs="宋体"/>
          <w:sz w:val="24"/>
        </w:rPr>
        <w:t>、堆场公共卫生间、各垃圾池周边区域）、港区绿化带内区域（白色垃圾清理）等区域；信息化大楼公共区域（含各楼道、9楼平台、楼周边及绿化带内）</w:t>
      </w:r>
      <w:r>
        <w:rPr>
          <w:rFonts w:hint="eastAsia"/>
          <w:sz w:val="24"/>
        </w:rPr>
        <w:t>等公共区域约56.4万M</w:t>
      </w:r>
      <w:r>
        <w:rPr>
          <w:rFonts w:hint="eastAsia"/>
          <w:sz w:val="24"/>
          <w:vertAlign w:val="superscript"/>
        </w:rPr>
        <w:t>2</w:t>
      </w:r>
      <w:r>
        <w:rPr>
          <w:rFonts w:hint="eastAsia"/>
          <w:sz w:val="24"/>
        </w:rPr>
        <w:t>进行卫生保洁服务。</w:t>
      </w:r>
    </w:p>
    <w:p>
      <w:pPr>
        <w:autoSpaceDE w:val="0"/>
        <w:spacing w:line="400" w:lineRule="exact"/>
        <w:rPr>
          <w:rFonts w:ascii="宋体" w:hAnsi="宋体"/>
          <w:sz w:val="24"/>
        </w:rPr>
      </w:pPr>
      <w:r>
        <w:rPr>
          <w:rFonts w:hint="eastAsia" w:ascii="宋体" w:hAnsi="宋体"/>
          <w:sz w:val="24"/>
        </w:rPr>
        <w:t>（二）服务期限: 合同签订之日起一年</w:t>
      </w:r>
    </w:p>
    <w:p>
      <w:pPr>
        <w:autoSpaceDE w:val="0"/>
        <w:spacing w:line="400" w:lineRule="exact"/>
        <w:rPr>
          <w:sz w:val="24"/>
        </w:rPr>
      </w:pPr>
      <w:r>
        <w:rPr>
          <w:rFonts w:hint="eastAsia" w:ascii="宋体" w:hAnsi="宋体"/>
          <w:sz w:val="24"/>
        </w:rPr>
        <w:t xml:space="preserve">（三）服务地点: </w:t>
      </w:r>
      <w:r>
        <w:rPr>
          <w:rFonts w:hint="eastAsia"/>
          <w:sz w:val="24"/>
        </w:rPr>
        <w:t>岳阳</w:t>
      </w:r>
      <w:r>
        <w:rPr>
          <w:sz w:val="24"/>
        </w:rPr>
        <w:t>城陵矶</w:t>
      </w:r>
      <w:r>
        <w:rPr>
          <w:rFonts w:hint="eastAsia"/>
          <w:sz w:val="24"/>
        </w:rPr>
        <w:t>新港有限公司</w:t>
      </w:r>
    </w:p>
    <w:p>
      <w:pPr>
        <w:spacing w:line="440" w:lineRule="exact"/>
        <w:rPr>
          <w:rFonts w:ascii="宋体" w:hAnsi="宋体"/>
          <w:sz w:val="24"/>
        </w:rPr>
      </w:pPr>
      <w:r>
        <w:rPr>
          <w:rFonts w:hint="eastAsia" w:ascii="宋体" w:hAnsi="宋体"/>
          <w:sz w:val="24"/>
        </w:rPr>
        <w:t xml:space="preserve">（四）质量要求或服务标准: </w:t>
      </w:r>
    </w:p>
    <w:tbl>
      <w:tblPr>
        <w:tblStyle w:val="16"/>
        <w:tblW w:w="8180" w:type="dxa"/>
        <w:tblInd w:w="96" w:type="dxa"/>
        <w:tblLayout w:type="autofit"/>
        <w:tblCellMar>
          <w:top w:w="0" w:type="dxa"/>
          <w:left w:w="108" w:type="dxa"/>
          <w:bottom w:w="0" w:type="dxa"/>
          <w:right w:w="108" w:type="dxa"/>
        </w:tblCellMar>
      </w:tblPr>
      <w:tblGrid>
        <w:gridCol w:w="2196"/>
        <w:gridCol w:w="6156"/>
      </w:tblGrid>
      <w:tr>
        <w:trPr>
          <w:trHeight w:val="1030" w:hRule="atLeast"/>
        </w:trPr>
        <w:tc>
          <w:tcPr>
            <w:tcW w:w="8180" w:type="dxa"/>
            <w:gridSpan w:val="2"/>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1.办公楼保洁区域卫生标准</w:t>
            </w:r>
          </w:p>
        </w:tc>
      </w:tr>
      <w:tr>
        <w:tblPrEx>
          <w:tblCellMar>
            <w:top w:w="0" w:type="dxa"/>
            <w:left w:w="108" w:type="dxa"/>
            <w:bottom w:w="0" w:type="dxa"/>
            <w:right w:w="108" w:type="dxa"/>
          </w:tblCellMar>
        </w:tblPrEx>
        <w:trPr>
          <w:trHeight w:val="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9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办公楼大门口</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办公楼一楼大厅</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每日地面进行清洁，不留卫生死角和盲区。整天保持地面无杂物、垃圾、痰痕。玻璃保持干净、明亮、无尘。大厅桌椅及业务受理台每天要擦拭，整天保持桌面及业务受理台无尘、无杂物。</w:t>
            </w:r>
          </w:p>
        </w:tc>
      </w:tr>
      <w:tr>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办公楼2-5楼过道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每日地面卫生清理，不留卫生死角和盲区。整天保持地面无杂物、垃圾、痰痕。过道两侧窗户保持干净、明亮、无尘。天花板无蜘蛛网。楼道宣传牌要每日擦拭保持光洁无尘。四楼办公室门、窗每周要擦拭一次。</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办公楼两侧楼道</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楼梯栏杆每日要擦拭，楼梯地面每日拖洗，无明显污垢；楼道窗户每周要擦拭一次。楼道墙角要做到无蜘蛛网。</w:t>
            </w:r>
          </w:p>
        </w:tc>
      </w:tr>
      <w:tr>
        <w:trPr>
          <w:trHeight w:val="1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办公楼每层卫生间</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小便器要清理打扫2次，垃圾桶要及时清理，不得溢出且桶上无污渍。每天保持卫生间清洁无异味，地面无积水，清洁工具要摆放有序。洗手间镜子、洗手盆要保持干净。洗手间每天点檀香去异味。</w:t>
            </w:r>
          </w:p>
        </w:tc>
      </w:tr>
      <w:tr>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办公楼1-5楼垃圾桶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垃圾桶每天清理2次，确保垃圾不外溢，并保持桶外无污垢。</w:t>
            </w:r>
          </w:p>
        </w:tc>
      </w:tr>
      <w:tr>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办公楼周边</w:t>
            </w:r>
          </w:p>
        </w:tc>
        <w:tc>
          <w:tcPr>
            <w:tcW w:w="6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办公楼周边要保持干净，地面无垃圾。垃圾桶要及时清理。办公楼前坪水池保持池内无杂物。</w:t>
            </w:r>
          </w:p>
        </w:tc>
      </w:tr>
      <w:tr>
        <w:trPr>
          <w:trHeight w:val="1982" w:hRule="atLeast"/>
        </w:trPr>
        <w:tc>
          <w:tcPr>
            <w:tcW w:w="8180" w:type="dxa"/>
            <w:gridSpan w:val="2"/>
            <w:tcBorders>
              <w:top w:val="single" w:color="000000" w:sz="4" w:space="0"/>
              <w:left w:val="nil"/>
              <w:bottom w:val="nil"/>
              <w:right w:val="nil"/>
            </w:tcBorders>
            <w:shd w:val="clear" w:color="auto" w:fill="auto"/>
            <w:vAlign w:val="center"/>
          </w:tcPr>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特别要求：1、保洁员每日全面清扫完后所有区域上午、下午必须各巡查2次，发现垃圾、污垢及时清理；</w:t>
            </w:r>
          </w:p>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2、楼道及过道垃圾桶每天必须清理两次，上午下午各一次；垃圾桶表面每周擦拭一次，保持桶面无污渍；</w:t>
            </w:r>
          </w:p>
          <w:p>
            <w:pPr>
              <w:textAlignment w:val="center"/>
              <w:rPr>
                <w:rFonts w:ascii="宋体" w:hAnsi="宋体" w:cs="宋体"/>
                <w:color w:val="000000"/>
                <w:sz w:val="22"/>
                <w:szCs w:val="22"/>
              </w:rPr>
            </w:pPr>
            <w:r>
              <w:rPr>
                <w:rFonts w:hint="eastAsia" w:ascii="宋体" w:hAnsi="宋体" w:cs="宋体"/>
                <w:color w:val="000000"/>
                <w:kern w:val="0"/>
                <w:sz w:val="22"/>
                <w:szCs w:val="22"/>
              </w:rPr>
              <w:t xml:space="preserve">         3、各区域每天每次保洁后必须填写保洁记录表。（办公楼每层的保洁记录表可放置洗手间内）</w:t>
            </w:r>
          </w:p>
        </w:tc>
      </w:tr>
    </w:tbl>
    <w:p>
      <w:pPr>
        <w:rPr>
          <w:color w:val="FF0000"/>
          <w:lang w:val="zh-CN"/>
        </w:rPr>
      </w:pPr>
      <w:r>
        <w:rPr>
          <w:color w:val="FF0000"/>
          <w:lang w:val="zh-CN"/>
        </w:rPr>
        <w:br w:type="page"/>
      </w:r>
    </w:p>
    <w:tbl>
      <w:tblPr>
        <w:tblStyle w:val="16"/>
        <w:tblW w:w="8328" w:type="dxa"/>
        <w:tblInd w:w="96" w:type="dxa"/>
        <w:tblLayout w:type="fixed"/>
        <w:tblCellMar>
          <w:top w:w="0" w:type="dxa"/>
          <w:left w:w="108" w:type="dxa"/>
          <w:bottom w:w="0" w:type="dxa"/>
          <w:right w:w="108" w:type="dxa"/>
        </w:tblCellMar>
      </w:tblPr>
      <w:tblGrid>
        <w:gridCol w:w="2015"/>
        <w:gridCol w:w="6313"/>
      </w:tblGrid>
      <w:tr>
        <w:tblPrEx>
          <w:tblCellMar>
            <w:top w:w="0" w:type="dxa"/>
            <w:left w:w="108" w:type="dxa"/>
            <w:bottom w:w="0" w:type="dxa"/>
            <w:right w:w="108" w:type="dxa"/>
          </w:tblCellMar>
        </w:tblPrEx>
        <w:trPr>
          <w:trHeight w:val="805"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2.宿舍楼保洁区域卫生标准</w:t>
            </w:r>
          </w:p>
        </w:tc>
      </w:tr>
      <w:tr>
        <w:tblPrEx>
          <w:tblCellMar>
            <w:top w:w="0" w:type="dxa"/>
            <w:left w:w="108" w:type="dxa"/>
            <w:bottom w:w="0" w:type="dxa"/>
            <w:right w:w="108" w:type="dxa"/>
          </w:tblCellMar>
        </w:tblPrEx>
        <w:trPr>
          <w:trHeight w:val="1460"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2015"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宿舍楼1-6楼过道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每日地面卫生清理，不留卫生死角和盲区。整天保持地面无杂物、垃圾、痰痕。过道两侧窗户保持干净、明亮、无尘。天花板无蜘蛛网。每层宿舍门每周要擦拭一次。垃圾桶要及时清理，不得溢出 ，并保持桶外无污垢。</w:t>
            </w:r>
          </w:p>
        </w:tc>
      </w:tr>
      <w:tr>
        <w:tblPrEx>
          <w:tblCellMar>
            <w:top w:w="0" w:type="dxa"/>
            <w:left w:w="108" w:type="dxa"/>
            <w:bottom w:w="0" w:type="dxa"/>
            <w:right w:w="108" w:type="dxa"/>
          </w:tblCellMar>
        </w:tblPrEx>
        <w:trPr>
          <w:trHeight w:val="1652"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宿舍楼两侧楼道</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楼梯栏杆每日要擦拭，楼梯地面每日拖洗，无明显污垢；楼道窗户每月要擦拭一次。楼道墙角要做到无蜘蛛网。</w:t>
            </w:r>
          </w:p>
        </w:tc>
      </w:tr>
      <w:tr>
        <w:tblPrEx>
          <w:tblCellMar>
            <w:top w:w="0" w:type="dxa"/>
            <w:left w:w="108" w:type="dxa"/>
            <w:bottom w:w="0" w:type="dxa"/>
            <w:right w:w="108" w:type="dxa"/>
          </w:tblCellMar>
        </w:tblPrEx>
        <w:trPr>
          <w:trHeight w:val="1633" w:hRule="atLeast"/>
        </w:trPr>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宿舍楼周边</w:t>
            </w:r>
          </w:p>
        </w:tc>
        <w:tc>
          <w:tcPr>
            <w:tcW w:w="61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宿舍楼周边要保持干净，地面无垃圾。</w:t>
            </w:r>
          </w:p>
        </w:tc>
      </w:tr>
      <w:tr>
        <w:tblPrEx>
          <w:tblCellMar>
            <w:top w:w="0" w:type="dxa"/>
            <w:left w:w="108" w:type="dxa"/>
            <w:bottom w:w="0" w:type="dxa"/>
            <w:right w:w="108" w:type="dxa"/>
          </w:tblCellMar>
        </w:tblPrEx>
        <w:trPr>
          <w:trHeight w:val="2286" w:hRule="atLeast"/>
        </w:trPr>
        <w:tc>
          <w:tcPr>
            <w:tcW w:w="8328" w:type="dxa"/>
            <w:gridSpan w:val="2"/>
            <w:tcBorders>
              <w:top w:val="single" w:color="000000" w:sz="4" w:space="0"/>
              <w:left w:val="nil"/>
              <w:bottom w:val="nil"/>
              <w:right w:val="nil"/>
            </w:tcBorders>
            <w:shd w:val="clear" w:color="auto" w:fill="auto"/>
            <w:vAlign w:val="center"/>
          </w:tcPr>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特别要求：1、保洁员每日全面清扫完后所有区域上午、下午必须各巡查2次，发现垃圾、污垢及时清理；</w:t>
            </w:r>
          </w:p>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2、楼道及过道垃圾桶每天必须清理两次，上午下午各一次；垃圾桶表面每周擦拭一次，保持桶面无污渍；</w:t>
            </w:r>
          </w:p>
          <w:p>
            <w:pPr>
              <w:textAlignment w:val="center"/>
              <w:rPr>
                <w:rFonts w:ascii="宋体" w:hAnsi="宋体" w:cs="宋体"/>
                <w:color w:val="000000"/>
                <w:sz w:val="22"/>
                <w:szCs w:val="22"/>
              </w:rPr>
            </w:pPr>
            <w:r>
              <w:rPr>
                <w:rFonts w:hint="eastAsia" w:ascii="宋体" w:hAnsi="宋体" w:cs="宋体"/>
                <w:color w:val="000000"/>
                <w:kern w:val="0"/>
                <w:sz w:val="22"/>
                <w:szCs w:val="22"/>
              </w:rPr>
              <w:t xml:space="preserve">         3、各区域每天每次保洁后必须填写保洁记录表。（宿舍楼每层的保洁记录表可放置楼梯间内）</w:t>
            </w:r>
          </w:p>
        </w:tc>
      </w:tr>
    </w:tbl>
    <w:p>
      <w:pPr>
        <w:rPr>
          <w:color w:val="FF0000"/>
          <w:lang w:val="zh-CN"/>
        </w:rPr>
      </w:pPr>
      <w:r>
        <w:rPr>
          <w:color w:val="FF0000"/>
          <w:lang w:val="zh-CN"/>
        </w:rPr>
        <w:br w:type="page"/>
      </w:r>
    </w:p>
    <w:tbl>
      <w:tblPr>
        <w:tblStyle w:val="16"/>
        <w:tblW w:w="8343" w:type="dxa"/>
        <w:tblInd w:w="96" w:type="dxa"/>
        <w:tblLayout w:type="autofit"/>
        <w:tblCellMar>
          <w:top w:w="0" w:type="dxa"/>
          <w:left w:w="108" w:type="dxa"/>
          <w:bottom w:w="0" w:type="dxa"/>
          <w:right w:w="108" w:type="dxa"/>
        </w:tblCellMar>
      </w:tblPr>
      <w:tblGrid>
        <w:gridCol w:w="1558"/>
        <w:gridCol w:w="6785"/>
      </w:tblGrid>
      <w:tr>
        <w:tblPrEx>
          <w:tblCellMar>
            <w:top w:w="0" w:type="dxa"/>
            <w:left w:w="108" w:type="dxa"/>
            <w:bottom w:w="0" w:type="dxa"/>
            <w:right w:w="108" w:type="dxa"/>
          </w:tblCellMar>
        </w:tblPrEx>
        <w:trPr>
          <w:trHeight w:val="776" w:hRule="atLeast"/>
        </w:trPr>
        <w:tc>
          <w:tcPr>
            <w:tcW w:w="8343"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3.作业楼保洁区域卫生标准</w:t>
            </w:r>
          </w:p>
        </w:tc>
      </w:tr>
      <w:tr>
        <w:tblPrEx>
          <w:tblCellMar>
            <w:top w:w="0" w:type="dxa"/>
            <w:left w:w="108" w:type="dxa"/>
            <w:bottom w:w="0" w:type="dxa"/>
            <w:right w:w="108" w:type="dxa"/>
          </w:tblCellMar>
        </w:tblPrEx>
        <w:trPr>
          <w:trHeight w:val="7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作业楼大门口</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作业楼1-2楼</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每日地面进行清洁，不留卫生死角和盲区。整天保持地面无杂物、垃圾、痰痕。玻璃保持干净、明亮、无尘。每周对办公室门擦拭一次。</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作业楼楼道</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楼梯栏杆每日要擦拭，楼梯地面每日拖洗，无明显污垢；楼道窗户每周要擦拭一次。楼道墙角要做到无蜘蛛网。</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作业楼卫生间</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每天地面、便池要清理打扫，垃圾桶要及时清理，不得溢出。每天保持卫生间清洁无异味，地面无积水，清洁工具要摆放有序。洗手间镜子、洗手盆要保持干净。卫生间每天点檀香去异味。</w:t>
            </w:r>
          </w:p>
        </w:tc>
      </w:tr>
      <w:tr>
        <w:tblPrEx>
          <w:tblCellMar>
            <w:top w:w="0" w:type="dxa"/>
            <w:left w:w="108" w:type="dxa"/>
            <w:bottom w:w="0" w:type="dxa"/>
            <w:right w:w="108" w:type="dxa"/>
          </w:tblCellMar>
        </w:tblPrEx>
        <w:trPr>
          <w:trHeight w:val="1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作业楼周边</w:t>
            </w:r>
          </w:p>
        </w:tc>
        <w:tc>
          <w:tcPr>
            <w:tcW w:w="66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作业楼周边要保持干净，地面无垃圾、绿化带内无白色垃圾。</w:t>
            </w:r>
          </w:p>
        </w:tc>
      </w:tr>
      <w:tr>
        <w:tblPrEx>
          <w:tblCellMar>
            <w:top w:w="0" w:type="dxa"/>
            <w:left w:w="108" w:type="dxa"/>
            <w:bottom w:w="0" w:type="dxa"/>
            <w:right w:w="108" w:type="dxa"/>
          </w:tblCellMar>
        </w:tblPrEx>
        <w:trPr>
          <w:trHeight w:val="1436" w:hRule="atLeast"/>
        </w:trPr>
        <w:tc>
          <w:tcPr>
            <w:tcW w:w="8343" w:type="dxa"/>
            <w:gridSpan w:val="2"/>
            <w:tcBorders>
              <w:top w:val="nil"/>
              <w:left w:val="nil"/>
              <w:bottom w:val="nil"/>
              <w:right w:val="nil"/>
            </w:tcBorders>
            <w:shd w:val="clear" w:color="auto" w:fill="auto"/>
            <w:vAlign w:val="center"/>
          </w:tcPr>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特别要求：1、保洁员每日全面清扫完后所有区域上午、下午必须各巡查2次，发现垃圾、污垢及时清理；</w:t>
            </w:r>
          </w:p>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2、楼道及过道垃圾桶每天必须清理两次，上午下午各一次；垃圾桶表面每周擦拭一次，保持桶面无污渍；</w:t>
            </w:r>
          </w:p>
          <w:p>
            <w:pPr>
              <w:textAlignment w:val="center"/>
              <w:rPr>
                <w:rFonts w:ascii="宋体" w:hAnsi="宋体" w:cs="宋体"/>
                <w:color w:val="000000"/>
                <w:sz w:val="22"/>
                <w:szCs w:val="22"/>
              </w:rPr>
            </w:pPr>
            <w:r>
              <w:rPr>
                <w:rFonts w:hint="eastAsia" w:ascii="宋体" w:hAnsi="宋体" w:cs="宋体"/>
                <w:color w:val="000000"/>
                <w:kern w:val="0"/>
                <w:sz w:val="22"/>
                <w:szCs w:val="22"/>
              </w:rPr>
              <w:t xml:space="preserve">         3、各区域每天每次保洁后必须填写保洁记录表。（作业楼每层的保洁记录表可放置洗手间内）</w:t>
            </w:r>
          </w:p>
        </w:tc>
      </w:tr>
    </w:tbl>
    <w:p>
      <w:pPr>
        <w:rPr>
          <w:color w:val="FF0000"/>
          <w:lang w:val="zh-CN"/>
        </w:rPr>
      </w:pPr>
      <w:r>
        <w:rPr>
          <w:color w:val="FF0000"/>
          <w:lang w:val="zh-CN"/>
        </w:rPr>
        <w:br w:type="page"/>
      </w:r>
    </w:p>
    <w:tbl>
      <w:tblPr>
        <w:tblStyle w:val="16"/>
        <w:tblW w:w="8328" w:type="dxa"/>
        <w:tblInd w:w="96" w:type="dxa"/>
        <w:tblLayout w:type="autofit"/>
        <w:tblCellMar>
          <w:top w:w="0" w:type="dxa"/>
          <w:left w:w="108" w:type="dxa"/>
          <w:bottom w:w="0" w:type="dxa"/>
          <w:right w:w="108" w:type="dxa"/>
        </w:tblCellMar>
      </w:tblPr>
      <w:tblGrid>
        <w:gridCol w:w="1489"/>
        <w:gridCol w:w="6839"/>
      </w:tblGrid>
      <w:tr>
        <w:tblPrEx>
          <w:tblCellMar>
            <w:top w:w="0" w:type="dxa"/>
            <w:left w:w="108" w:type="dxa"/>
            <w:bottom w:w="0" w:type="dxa"/>
            <w:right w:w="108" w:type="dxa"/>
          </w:tblCellMar>
        </w:tblPrEx>
        <w:trPr>
          <w:trHeight w:val="858" w:hRule="atLeast"/>
        </w:trPr>
        <w:tc>
          <w:tcPr>
            <w:tcW w:w="8328" w:type="dxa"/>
            <w:gridSpan w:val="2"/>
            <w:tcBorders>
              <w:top w:val="nil"/>
              <w:left w:val="nil"/>
              <w:bottom w:val="single" w:color="000000" w:sz="4" w:space="0"/>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4.港区保洁区域卫生标准</w:t>
            </w:r>
          </w:p>
        </w:tc>
      </w:tr>
      <w:tr>
        <w:tblPrEx>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1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匝口</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每天保持匝口周边的卫生清洁及周边杂草的清理。</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港区</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港区堆场、引桥、码头平台及护栏、各查验平台/内贸仓库/海关外贸仓库等外围每天保持无垃圾、杂物、杂草；各垃圾池周边无垃圾；场桥堆场及轨道电缆沟每月必须清理一次沟内垃圾；港区内绿化带无白色垃圾等。</w:t>
            </w:r>
          </w:p>
        </w:tc>
      </w:tr>
      <w:tr>
        <w:tblPrEx>
          <w:tblCellMar>
            <w:top w:w="0" w:type="dxa"/>
            <w:left w:w="108" w:type="dxa"/>
            <w:bottom w:w="0" w:type="dxa"/>
            <w:right w:w="108" w:type="dxa"/>
          </w:tblCellMar>
        </w:tblPrEx>
        <w:trPr>
          <w:trHeight w:val="1396"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堆场卫生间</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每天地面、便池、小便器要清理打扫，垃圾桶要及时清理，不得溢出。每天保持卫生间清洁无异味，地面无积水，清洁工具要摆放有序。</w:t>
            </w:r>
          </w:p>
        </w:tc>
      </w:tr>
      <w:tr>
        <w:tblPrEx>
          <w:tblCellMar>
            <w:top w:w="0" w:type="dxa"/>
            <w:left w:w="108" w:type="dxa"/>
            <w:bottom w:w="0" w:type="dxa"/>
            <w:right w:w="108" w:type="dxa"/>
          </w:tblCellMar>
        </w:tblPrEx>
        <w:trPr>
          <w:trHeight w:val="1344" w:hRule="atLeast"/>
        </w:trPr>
        <w:tc>
          <w:tcPr>
            <w:tcW w:w="8328" w:type="dxa"/>
            <w:gridSpan w:val="2"/>
            <w:tcBorders>
              <w:top w:val="nil"/>
              <w:left w:val="nil"/>
              <w:bottom w:val="nil"/>
              <w:right w:val="nil"/>
            </w:tcBorders>
            <w:shd w:val="clear" w:color="auto" w:fill="auto"/>
            <w:vAlign w:val="center"/>
          </w:tcPr>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特别要求：1、保洁员每日全面清扫完后所有区域上午、下午必须各巡查1次，发现垃圾及时清理；</w:t>
            </w:r>
          </w:p>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2、各区域每天每次保洁后必须填写保洁记录表。（保洁记录表可放置堆场洗手间内）</w:t>
            </w:r>
          </w:p>
          <w:p>
            <w:pPr>
              <w:pStyle w:val="2"/>
              <w:rPr>
                <w:rFonts w:hint="eastAsia"/>
                <w:lang w:eastAsia="zh-CN"/>
              </w:rPr>
            </w:pPr>
          </w:p>
        </w:tc>
      </w:tr>
    </w:tbl>
    <w:p>
      <w:pPr>
        <w:rPr>
          <w:color w:val="FF0000"/>
          <w:lang w:val="zh-CN"/>
        </w:rPr>
      </w:pPr>
      <w:r>
        <w:rPr>
          <w:color w:val="FF0000"/>
          <w:lang w:val="zh-CN"/>
        </w:rPr>
        <w:br w:type="page"/>
      </w:r>
    </w:p>
    <w:tbl>
      <w:tblPr>
        <w:tblStyle w:val="16"/>
        <w:tblW w:w="8320" w:type="dxa"/>
        <w:tblInd w:w="96" w:type="dxa"/>
        <w:tblLayout w:type="fixed"/>
        <w:tblCellMar>
          <w:top w:w="0" w:type="dxa"/>
          <w:left w:w="108" w:type="dxa"/>
          <w:bottom w:w="0" w:type="dxa"/>
          <w:right w:w="108" w:type="dxa"/>
        </w:tblCellMar>
      </w:tblPr>
      <w:tblGrid>
        <w:gridCol w:w="1787"/>
        <w:gridCol w:w="6533"/>
      </w:tblGrid>
      <w:tr>
        <w:tblPrEx>
          <w:tblCellMar>
            <w:top w:w="0" w:type="dxa"/>
            <w:left w:w="108" w:type="dxa"/>
            <w:bottom w:w="0" w:type="dxa"/>
            <w:right w:w="108" w:type="dxa"/>
          </w:tblCellMar>
        </w:tblPrEx>
        <w:trPr>
          <w:trHeight w:val="582" w:hRule="atLeast"/>
        </w:trPr>
        <w:tc>
          <w:tcPr>
            <w:tcW w:w="8320" w:type="dxa"/>
            <w:gridSpan w:val="2"/>
            <w:tcBorders>
              <w:top w:val="nil"/>
              <w:left w:val="nil"/>
              <w:bottom w:val="nil"/>
              <w:right w:val="nil"/>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b/>
                <w:bCs/>
                <w:color w:val="000000"/>
                <w:kern w:val="0"/>
                <w:sz w:val="24"/>
              </w:rPr>
              <w:t>5.信息化大楼保洁区域卫生标准</w:t>
            </w:r>
          </w:p>
        </w:tc>
      </w:tr>
      <w:tr>
        <w:tblPrEx>
          <w:tblCellMar>
            <w:top w:w="0" w:type="dxa"/>
            <w:left w:w="108" w:type="dxa"/>
            <w:bottom w:w="0" w:type="dxa"/>
            <w:right w:w="108" w:type="dxa"/>
          </w:tblCellMar>
        </w:tblPrEx>
        <w:trPr>
          <w:trHeight w:val="463"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区域</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标准要求</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大楼大门口</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每日地面进行清洁，不留卫生死角和盲区。整天保持地面无杂物、垃圾、痰痕。玻璃门保持干净、明亮、无尘。天花板无蜘蛛网。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大楼一楼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每日地面进行清洁，不留卫生死角和盲区。整天保持地面无杂物、垃圾、痰痕。玻璃保持干净、明亮、无尘。大厅、会客室沙发，整天保持干净、整洁、无尘、无杂物、茶几上整天保持无灰尘、无杂物。</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大楼2-7楼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每日地面卫生清理，不留卫生死角和盲区。整天保持地面无杂物、垃圾、痰痕。过道窗户保持干净、明亮、无尘。天花板无蜘蛛网。各层会议室地面、桌面即座椅保持光洁无尘。办公室门每周要擦拭一次。</w:t>
            </w:r>
          </w:p>
        </w:tc>
      </w:tr>
      <w:tr>
        <w:tblPrEx>
          <w:tblCellMar>
            <w:top w:w="0" w:type="dxa"/>
            <w:left w:w="108" w:type="dxa"/>
            <w:bottom w:w="0" w:type="dxa"/>
            <w:right w:w="108" w:type="dxa"/>
          </w:tblCellMar>
        </w:tblPrEx>
        <w:trPr>
          <w:trHeight w:val="1580"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大楼8楼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过道窗户保持干净、明亮、无尘。天花板无蜘蛛网。会客室沙发，整天保持干净、整洁、无尘、无杂物、茶几上整天保持无灰尘、无杂物。展厅宣传牌要每日擦拭保持光洁无尘。办公室门每周要擦拭一次。</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大楼9楼</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每日地面卫生清理，不留卫生死角和盲区。整天保持地面无杂物、垃圾、痰痕。楼道、电梯间玻璃房保持干净、明亮、无尘。</w:t>
            </w:r>
          </w:p>
        </w:tc>
      </w:tr>
      <w:tr>
        <w:tblPrEx>
          <w:tblCellMar>
            <w:top w:w="0" w:type="dxa"/>
            <w:left w:w="108" w:type="dxa"/>
            <w:bottom w:w="0" w:type="dxa"/>
            <w:right w:w="108" w:type="dxa"/>
          </w:tblCellMar>
        </w:tblPrEx>
        <w:trPr>
          <w:trHeight w:val="78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大楼两侧楼道</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楼梯栏杆每日要擦拭，楼梯地面每日拖洗，无明显污垢；楼道防火门每周要擦拭一次。楼道墙角、天花板要做到无蜘蛛网。</w:t>
            </w:r>
          </w:p>
        </w:tc>
      </w:tr>
      <w:tr>
        <w:tblPrEx>
          <w:tblCellMar>
            <w:top w:w="0" w:type="dxa"/>
            <w:left w:w="108" w:type="dxa"/>
            <w:bottom w:w="0" w:type="dxa"/>
            <w:right w:w="108" w:type="dxa"/>
          </w:tblCellMar>
        </w:tblPrEx>
        <w:trPr>
          <w:trHeight w:val="1266"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大楼每层卫生间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每天地面、便池要清理打扫2次，垃圾桶要及时清理，不得溢出且桶上无污渍。每天保持卫生间清洁无异味，地面无积水，清洁工具要摆放有序。洗手间镜子、洗手盆要保持干净。洗手间每天点檀香去异味。</w:t>
            </w:r>
          </w:p>
        </w:tc>
      </w:tr>
      <w:tr>
        <w:tblPrEx>
          <w:tblCellMar>
            <w:top w:w="0" w:type="dxa"/>
            <w:left w:w="108" w:type="dxa"/>
            <w:bottom w:w="0" w:type="dxa"/>
            <w:right w:w="108" w:type="dxa"/>
          </w:tblCellMar>
        </w:tblPrEx>
        <w:trPr>
          <w:trHeight w:val="564"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各楼层垃圾桶</w:t>
            </w:r>
          </w:p>
        </w:tc>
        <w:tc>
          <w:tcPr>
            <w:tcW w:w="6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垃圾桶每天清理2次，确保垃圾不外溢，并保持桶外无污垢。</w:t>
            </w:r>
          </w:p>
        </w:tc>
      </w:tr>
      <w:tr>
        <w:tblPrEx>
          <w:tblCellMar>
            <w:top w:w="0" w:type="dxa"/>
            <w:left w:w="108" w:type="dxa"/>
            <w:bottom w:w="0" w:type="dxa"/>
            <w:right w:w="108" w:type="dxa"/>
          </w:tblCellMar>
        </w:tblPrEx>
        <w:trPr>
          <w:trHeight w:val="665"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电梯间</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每日地面进行清洁，不留卫生死角和盲区。整天保持地面无杂物、垃圾、痰痕。电梯门及电梯内四壁每天擦拭保持干净、无尘。</w:t>
            </w:r>
          </w:p>
        </w:tc>
      </w:tr>
      <w:tr>
        <w:tblPrEx>
          <w:tblCellMar>
            <w:top w:w="0" w:type="dxa"/>
            <w:left w:w="108" w:type="dxa"/>
            <w:bottom w:w="0" w:type="dxa"/>
            <w:right w:w="108" w:type="dxa"/>
          </w:tblCellMar>
        </w:tblPrEx>
        <w:trPr>
          <w:trHeight w:val="638" w:hRule="atLeast"/>
        </w:trPr>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ascii="宋体" w:hAnsi="宋体" w:cs="宋体"/>
                <w:color w:val="000000"/>
                <w:kern w:val="0"/>
                <w:sz w:val="22"/>
                <w:szCs w:val="22"/>
              </w:rPr>
              <w:t>大楼周边</w:t>
            </w:r>
          </w:p>
        </w:tc>
        <w:tc>
          <w:tcPr>
            <w:tcW w:w="6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2"/>
                <w:szCs w:val="22"/>
              </w:rPr>
            </w:pPr>
            <w:r>
              <w:rPr>
                <w:rFonts w:hint="eastAsia" w:ascii="宋体" w:hAnsi="宋体" w:cs="宋体"/>
                <w:color w:val="000000"/>
                <w:kern w:val="0"/>
                <w:sz w:val="22"/>
                <w:szCs w:val="22"/>
              </w:rPr>
              <w:t>大楼周边要保持干净，地面无垃圾。垃圾桶要每天清理。绿化区八棵大树下的椅子每天要擦拭一遍。</w:t>
            </w:r>
          </w:p>
        </w:tc>
      </w:tr>
      <w:tr>
        <w:tblPrEx>
          <w:tblCellMar>
            <w:top w:w="0" w:type="dxa"/>
            <w:left w:w="108" w:type="dxa"/>
            <w:bottom w:w="0" w:type="dxa"/>
            <w:right w:w="108" w:type="dxa"/>
          </w:tblCellMar>
        </w:tblPrEx>
        <w:trPr>
          <w:trHeight w:val="1580" w:hRule="atLeast"/>
        </w:trPr>
        <w:tc>
          <w:tcPr>
            <w:tcW w:w="8320" w:type="dxa"/>
            <w:gridSpan w:val="2"/>
            <w:tcBorders>
              <w:top w:val="single" w:color="000000" w:sz="4" w:space="0"/>
              <w:left w:val="nil"/>
              <w:bottom w:val="nil"/>
              <w:right w:val="nil"/>
            </w:tcBorders>
            <w:shd w:val="clear" w:color="auto" w:fill="auto"/>
            <w:vAlign w:val="center"/>
          </w:tcPr>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特别要求：1、保洁员每日全面清扫完后所有区域上午、下午必须各巡查2次，发现垃圾、污垢及时清理；</w:t>
            </w:r>
          </w:p>
          <w:p>
            <w:pP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2、楼道及过道垃圾桶每天必须清理两次，上午下午各一次；垃圾桶表面每周擦拭一次，保持桶面无污渍；</w:t>
            </w:r>
          </w:p>
          <w:p>
            <w:pPr>
              <w:textAlignment w:val="center"/>
              <w:rPr>
                <w:rFonts w:ascii="宋体" w:hAnsi="宋体" w:cs="宋体"/>
                <w:color w:val="000000"/>
                <w:sz w:val="22"/>
                <w:szCs w:val="22"/>
              </w:rPr>
            </w:pPr>
            <w:r>
              <w:rPr>
                <w:rFonts w:hint="eastAsia" w:ascii="宋体" w:hAnsi="宋体" w:cs="宋体"/>
                <w:color w:val="000000"/>
                <w:kern w:val="0"/>
                <w:sz w:val="22"/>
                <w:szCs w:val="22"/>
              </w:rPr>
              <w:t xml:space="preserve">         3、各区域每天每次保洁后必须填写保洁记录表。（大楼每层的保洁记录表可放置洗手间内）</w:t>
            </w:r>
          </w:p>
        </w:tc>
      </w:tr>
    </w:tbl>
    <w:p>
      <w:pPr>
        <w:rPr>
          <w:color w:val="FF0000"/>
          <w:lang w:val="zh-CN"/>
        </w:rPr>
      </w:pPr>
      <w:r>
        <w:rPr>
          <w:color w:val="FF0000"/>
          <w:lang w:val="zh-CN"/>
        </w:rPr>
        <w:br w:type="page"/>
      </w:r>
    </w:p>
    <w:p>
      <w:pPr>
        <w:pStyle w:val="15"/>
        <w:numPr>
          <w:ilvl w:val="0"/>
          <w:numId w:val="0"/>
        </w:numPr>
        <w:rPr>
          <w:lang w:val="zh-CN"/>
        </w:rPr>
      </w:pPr>
    </w:p>
    <w:p>
      <w:pPr>
        <w:spacing w:line="312"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
          <w:bCs/>
          <w:sz w:val="40"/>
          <w:szCs w:val="36"/>
        </w:rPr>
        <w:t>项目</w:t>
      </w:r>
    </w:p>
    <w:p>
      <w:pPr>
        <w:widowControl w:val="0"/>
        <w:spacing w:beforeLines="10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hint="eastAsia" w:eastAsia="楷体_GB2312"/>
          <w:b/>
          <w:bCs/>
          <w:sz w:val="28"/>
          <w:szCs w:val="28"/>
        </w:rPr>
        <w:t>填入项目采购编号</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hint="eastAsia" w:eastAsia="黑体"/>
          <w:bCs/>
          <w:sz w:val="30"/>
          <w:szCs w:val="30"/>
        </w:rPr>
        <w:t>供应商</w:t>
      </w:r>
      <w:r>
        <w:rPr>
          <w:rFonts w:eastAsia="黑体"/>
          <w:bCs/>
          <w:sz w:val="30"/>
          <w:szCs w:val="30"/>
        </w:rPr>
        <w:t xml:space="preserve">全称并盖单位公章 </w:t>
      </w:r>
    </w:p>
    <w:p>
      <w:pPr>
        <w:spacing w:line="900" w:lineRule="exact"/>
        <w:jc w:val="center"/>
        <w:rPr>
          <w:rFonts w:eastAsia="黑体"/>
          <w:sz w:val="30"/>
          <w:szCs w:val="30"/>
        </w:rPr>
      </w:pPr>
      <w:r>
        <w:rPr>
          <w:rFonts w:eastAsia="黑体"/>
          <w:sz w:val="30"/>
          <w:szCs w:val="30"/>
        </w:rPr>
        <w:t>日期：年月日</w:t>
      </w:r>
    </w:p>
    <w:p>
      <w:pPr>
        <w:rPr>
          <w:color w:val="FF0000"/>
          <w:lang w:val="zh-CN"/>
        </w:rPr>
      </w:pPr>
      <w:r>
        <w:rPr>
          <w:color w:val="FF0000"/>
          <w:lang w:val="zh-CN"/>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目 录</w:t>
      </w:r>
    </w:p>
    <w:p>
      <w:pPr>
        <w:adjustRightInd w:val="0"/>
        <w:snapToGrid w:val="0"/>
        <w:spacing w:line="600" w:lineRule="exact"/>
        <w:jc w:val="both"/>
        <w:rPr>
          <w:rFonts w:ascii="宋体" w:hAnsi="宋体" w:cs="仿宋"/>
          <w:sz w:val="36"/>
          <w:szCs w:val="36"/>
        </w:rPr>
      </w:pP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响应函</w:t>
      </w: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四、资格审查资料</w:t>
      </w: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五、响应方案</w:t>
      </w:r>
    </w:p>
    <w:p>
      <w:pPr>
        <w:numPr>
          <w:ilvl w:val="0"/>
          <w:numId w:val="23"/>
        </w:numPr>
        <w:adjustRightInd w:val="0"/>
        <w:snapToGrid w:val="0"/>
        <w:spacing w:line="600" w:lineRule="exact"/>
        <w:jc w:val="both"/>
        <w:rPr>
          <w:rFonts w:ascii="宋体" w:hAnsi="宋体" w:cs="仿宋"/>
          <w:sz w:val="24"/>
        </w:rPr>
      </w:pPr>
      <w:r>
        <w:rPr>
          <w:rFonts w:hint="eastAsia" w:ascii="宋体" w:hAnsi="宋体" w:cs="仿宋"/>
          <w:sz w:val="24"/>
        </w:rPr>
        <w:t>六、其他资料</w:t>
      </w:r>
    </w:p>
    <w:p>
      <w:pPr>
        <w:pStyle w:val="2"/>
      </w:pPr>
    </w:p>
    <w:p/>
    <w:p>
      <w:pPr>
        <w:pStyle w:val="2"/>
      </w:pPr>
    </w:p>
    <w:p/>
    <w:p>
      <w:pPr>
        <w:pStyle w:val="2"/>
      </w:pPr>
    </w:p>
    <w:p/>
    <w:p>
      <w:pPr>
        <w:pStyle w:val="2"/>
      </w:pPr>
    </w:p>
    <w:p/>
    <w:p>
      <w:pPr>
        <w:pStyle w:val="2"/>
      </w:pPr>
    </w:p>
    <w:p/>
    <w:p>
      <w:pPr>
        <w:pStyle w:val="2"/>
      </w:pPr>
    </w:p>
    <w:p>
      <w:pPr>
        <w:numPr>
          <w:ilvl w:val="0"/>
          <w:numId w:val="24"/>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1.我方已仔细研究了__(项目名称)采购文件的全部内容，愿意以含税价人民币(大写)(￥)的报价（其中：不含税价为:;增值税税额为:)完成提供本项目服务，并按合同约定履行义务。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w:t>
      </w:r>
      <w:r>
        <w:rPr>
          <w:rFonts w:hint="eastAsia" w:ascii="宋体" w:hAnsi="宋体" w:cs="仿宋"/>
          <w:sz w:val="24"/>
        </w:rPr>
        <w:t>适用于有委托代理人的情况</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6.我方在此声明，所递交的响应文件及有关资料内容完整、真实和准确，且不开在第一章“邀请公告”中规定的供应商不得存在的情形。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rPr>
          <w:color w:val="FF0000"/>
          <w:lang w:val="zh-CN"/>
        </w:rPr>
      </w:pPr>
      <w:r>
        <w:rPr>
          <w:color w:val="FF0000"/>
          <w:lang w:val="zh-CN"/>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6、单位、法定代表人（单位负责人）、委托代理人（授权代表）无暂停或取消响应资格、骗取中标、行贿等不良记录以及其他违法犯罪记录；无围标串标、恶意投诉、买卖资质等违法违规行为。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2400" w:firstLineChars="10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6360" w:firstLineChars="2650"/>
        <w:jc w:val="both"/>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cs="仿宋" w:asciiTheme="minorEastAsia" w:hAnsiTheme="minorEastAsia" w:eastAsiaTheme="minorEastAsia"/>
          <w:sz w:val="24"/>
        </w:rPr>
      </w:pPr>
      <w:r>
        <w:rPr>
          <w:rFonts w:hint="eastAsia" w:ascii="黑体" w:hAnsi="黑体" w:eastAsia="黑体" w:cs="仿宋"/>
          <w:sz w:val="36"/>
          <w:szCs w:val="36"/>
        </w:rPr>
        <w:t>二、授权委托书</w:t>
      </w:r>
    </w:p>
    <w:p>
      <w:pPr>
        <w:adjustRightInd w:val="0"/>
        <w:snapToGrid w:val="0"/>
        <w:spacing w:line="600" w:lineRule="exact"/>
        <w:ind w:left="420" w:leftChars="200"/>
        <w:jc w:val="center"/>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rPr>
          <w:lang w:val="zh-CN"/>
        </w:rPr>
      </w:pPr>
      <w:r>
        <w:rPr>
          <w:lang w:val="zh-CN"/>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600" w:lineRule="exact"/>
        <w:jc w:val="center"/>
        <w:rPr>
          <w:rFonts w:cs="仿宋" w:asciiTheme="minorEastAsia" w:hAnsiTheme="minorEastAsia" w:eastAsiaTheme="minorEastAsia"/>
          <w:sz w:val="24"/>
        </w:rPr>
      </w:pPr>
    </w:p>
    <w:tbl>
      <w:tblPr>
        <w:tblStyle w:val="1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880"/>
        <w:gridCol w:w="272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8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8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723"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230"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85" w:type="dxa"/>
          </w:tcPr>
          <w:p>
            <w:pPr>
              <w:widowControl/>
              <w:spacing w:line="600" w:lineRule="exact"/>
              <w:jc w:val="both"/>
              <w:rPr>
                <w:rFonts w:cs="仿宋" w:asciiTheme="minorEastAsia" w:hAnsiTheme="minorEastAsia" w:eastAsiaTheme="minorEastAsia"/>
                <w:sz w:val="24"/>
              </w:rPr>
            </w:pPr>
          </w:p>
        </w:tc>
        <w:tc>
          <w:tcPr>
            <w:tcW w:w="2880" w:type="dxa"/>
          </w:tcPr>
          <w:p>
            <w:pPr>
              <w:widowControl/>
              <w:spacing w:line="600" w:lineRule="exact"/>
              <w:jc w:val="both"/>
              <w:rPr>
                <w:rFonts w:cs="仿宋" w:asciiTheme="minorEastAsia" w:hAnsiTheme="minorEastAsia" w:eastAsiaTheme="minorEastAsia"/>
                <w:sz w:val="24"/>
              </w:rPr>
            </w:pPr>
          </w:p>
        </w:tc>
        <w:tc>
          <w:tcPr>
            <w:tcW w:w="2723" w:type="dxa"/>
          </w:tcPr>
          <w:p>
            <w:pPr>
              <w:widowControl/>
              <w:spacing w:line="600" w:lineRule="exact"/>
              <w:jc w:val="both"/>
              <w:rPr>
                <w:rFonts w:cs="仿宋" w:asciiTheme="minorEastAsia" w:hAnsiTheme="minorEastAsia" w:eastAsiaTheme="minorEastAsia"/>
                <w:sz w:val="24"/>
              </w:rPr>
            </w:pPr>
          </w:p>
        </w:tc>
        <w:tc>
          <w:tcPr>
            <w:tcW w:w="2230"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rPr>
          <w:lang w:val="zh-CN"/>
        </w:rPr>
      </w:pPr>
      <w:r>
        <w:rPr>
          <w:lang w:val="zh-CN"/>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四、资格审查资料</w:t>
      </w:r>
    </w:p>
    <w:p>
      <w:pPr>
        <w:spacing w:line="600" w:lineRule="exact"/>
        <w:jc w:val="both"/>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（二）近年的类似项目情况表（提供2个）</w:t>
      </w:r>
    </w:p>
    <w:tbl>
      <w:tblPr>
        <w:tblStyle w:val="17"/>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5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2954" w:type="dxa"/>
          </w:tcPr>
          <w:p>
            <w:pPr>
              <w:widowControl/>
              <w:spacing w:line="288" w:lineRule="auto"/>
              <w:jc w:val="both"/>
              <w:rPr>
                <w:rFonts w:cs="仿宋" w:asciiTheme="minorEastAsia" w:hAnsiTheme="minorEastAsia" w:eastAsiaTheme="minorEastAsia"/>
                <w:sz w:val="24"/>
              </w:rPr>
            </w:pPr>
          </w:p>
        </w:tc>
        <w:tc>
          <w:tcPr>
            <w:tcW w:w="2954"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（三）拟委任的主要人员汇总表</w:t>
      </w:r>
    </w:p>
    <w:tbl>
      <w:tblPr>
        <w:tblStyle w:val="1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14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c>
          <w:tcPr>
            <w:tcW w:w="1470" w:type="dxa"/>
          </w:tcPr>
          <w:p>
            <w:pPr>
              <w:widowControl/>
              <w:spacing w:line="600" w:lineRule="exact"/>
              <w:jc w:val="both"/>
              <w:rPr>
                <w:rFonts w:cs="仿宋" w:asciiTheme="minorEastAsia" w:hAnsiTheme="minorEastAsia" w:eastAsiaTheme="minorEastAsia"/>
                <w:sz w:val="24"/>
              </w:rPr>
            </w:pPr>
          </w:p>
        </w:tc>
      </w:tr>
    </w:tbl>
    <w:p>
      <w:pPr>
        <w:jc w:val="both"/>
        <w:rPr>
          <w:rFonts w:asciiTheme="minorEastAsia" w:hAnsiTheme="minorEastAsia" w:eastAsiaTheme="minorEastAsia"/>
          <w:sz w:val="24"/>
        </w:rPr>
      </w:pPr>
      <w:r>
        <w:rPr>
          <w:rFonts w:asciiTheme="minorEastAsia" w:hAnsiTheme="minorEastAsia" w:eastAsiaTheme="minorEastAsia"/>
          <w:sz w:val="24"/>
        </w:rPr>
        <w:br w:type="page"/>
      </w:r>
    </w:p>
    <w:p>
      <w:pPr>
        <w:pStyle w:val="15"/>
        <w:numPr>
          <w:ilvl w:val="0"/>
          <w:numId w:val="0"/>
        </w:numPr>
        <w:ind w:left="420"/>
      </w:pPr>
    </w:p>
    <w:p>
      <w:pPr>
        <w:pStyle w:val="15"/>
        <w:numPr>
          <w:ilvl w:val="0"/>
          <w:numId w:val="0"/>
        </w:numPr>
        <w:ind w:left="840"/>
        <w:jc w:val="center"/>
        <w:rPr>
          <w:rFonts w:ascii="黑体" w:hAnsi="黑体" w:eastAsia="黑体" w:cs="仿宋"/>
          <w:sz w:val="36"/>
          <w:szCs w:val="36"/>
          <w:lang w:val="zh-CN"/>
        </w:rPr>
      </w:pPr>
      <w:r>
        <w:rPr>
          <w:rFonts w:hint="eastAsia" w:ascii="黑体" w:hAnsi="黑体" w:eastAsia="黑体" w:cs="仿宋"/>
          <w:sz w:val="36"/>
          <w:szCs w:val="36"/>
        </w:rPr>
        <w:t>五、响应方案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(1)服务范围及内容；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(2)服务工作的依据、工作目标；</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(3)服务机构设置(框图)、岗位职责；</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(4)拟投入本项目的服务人员；</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(5)服务质量、进度、保密等保证措施;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(6)服务工作重点、难点分析;</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(7)对本项目的合理化建议。</w:t>
      </w:r>
    </w:p>
    <w:p>
      <w:pPr>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15"/>
        <w:numPr>
          <w:ilvl w:val="0"/>
          <w:numId w:val="26"/>
        </w:numPr>
        <w:ind w:left="420" w:firstLine="420"/>
        <w:jc w:val="center"/>
        <w:rPr>
          <w:rFonts w:ascii="黑体" w:hAnsi="黑体" w:eastAsia="黑体" w:cs="黑体"/>
          <w:sz w:val="36"/>
          <w:szCs w:val="36"/>
        </w:rPr>
      </w:pPr>
      <w:r>
        <w:rPr>
          <w:rFonts w:hint="eastAsia" w:ascii="黑体" w:hAnsi="黑体" w:eastAsia="黑体" w:cs="黑体"/>
          <w:sz w:val="36"/>
          <w:szCs w:val="36"/>
        </w:rPr>
        <w:t>其他资料</w:t>
      </w:r>
    </w:p>
    <w:p>
      <w:pPr>
        <w:pStyle w:val="15"/>
        <w:numPr>
          <w:ilvl w:val="0"/>
          <w:numId w:val="0"/>
        </w:numPr>
        <w:ind w:left="840"/>
        <w:jc w:val="both"/>
        <w:rPr>
          <w:rFonts w:ascii="黑体" w:hAnsi="黑体" w:eastAsia="黑体" w:cs="黑体"/>
          <w:sz w:val="36"/>
          <w:szCs w:val="36"/>
        </w:rPr>
      </w:pPr>
    </w:p>
    <w:p>
      <w:pPr>
        <w:pStyle w:val="15"/>
        <w:numPr>
          <w:ilvl w:val="0"/>
          <w:numId w:val="0"/>
        </w:numPr>
        <w:ind w:left="840"/>
        <w:jc w:val="both"/>
        <w:rPr>
          <w:rFonts w:ascii="黑体" w:hAnsi="黑体" w:eastAsia="黑体" w:cs="黑体"/>
          <w:sz w:val="36"/>
          <w:szCs w:val="36"/>
        </w:rPr>
      </w:pPr>
    </w:p>
    <w:p>
      <w:pPr>
        <w:pStyle w:val="15"/>
        <w:numPr>
          <w:ilvl w:val="0"/>
          <w:numId w:val="0"/>
        </w:numPr>
        <w:jc w:val="center"/>
        <w:rPr>
          <w:rFonts w:hAnsi="宋体" w:cs="宋体"/>
          <w:sz w:val="28"/>
          <w:szCs w:val="28"/>
        </w:rPr>
      </w:pPr>
      <w:r>
        <w:rPr>
          <w:rFonts w:hint="eastAsia" w:hAnsi="宋体" w:cs="宋体"/>
          <w:sz w:val="28"/>
          <w:szCs w:val="28"/>
        </w:rPr>
        <w:t>（供应商结合企业实际情况提供）</w:t>
      </w:r>
    </w:p>
    <w:p>
      <w:pPr>
        <w:pStyle w:val="15"/>
        <w:numPr>
          <w:ilvl w:val="0"/>
          <w:numId w:val="0"/>
        </w:numPr>
        <w:ind w:left="840"/>
        <w:jc w:val="both"/>
        <w:rPr>
          <w:rFonts w:ascii="黑体" w:hAnsi="黑体" w:eastAsia="黑体" w:cs="仿宋"/>
          <w:sz w:val="36"/>
          <w:szCs w:val="36"/>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0" w:firstLine="0"/>
      </w:pPr>
    </w:p>
  </w:footnote>
  <w:footnote w:id="1">
    <w:p>
      <w:pPr>
        <w:pStyle w:val="12"/>
        <w:ind w:left="0" w:firstLine="0"/>
        <w:rPr>
          <w:sz w:val="24"/>
          <w:szCs w:val="24"/>
        </w:rPr>
      </w:pPr>
    </w:p>
  </w:footnote>
  <w:footnote w:id="2">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6"/>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0AC855EC"/>
    <w:multiLevelType w:val="multilevel"/>
    <w:tmpl w:val="0AC855EC"/>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12F156FB"/>
    <w:multiLevelType w:val="multilevel"/>
    <w:tmpl w:val="12F156FB"/>
    <w:lvl w:ilvl="0" w:tentative="0">
      <w:start w:val="1"/>
      <w:numFmt w:val="decimal"/>
      <w:lvlText w:val="4.%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6BD0095"/>
    <w:multiLevelType w:val="multilevel"/>
    <w:tmpl w:val="16BD00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0132373"/>
    <w:multiLevelType w:val="multilevel"/>
    <w:tmpl w:val="2013237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A432F5"/>
    <w:multiLevelType w:val="multilevel"/>
    <w:tmpl w:val="25A432F5"/>
    <w:lvl w:ilvl="0" w:tentative="0">
      <w:start w:val="1"/>
      <w:numFmt w:val="decimal"/>
      <w:lvlText w:val="3.%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BD6C2E"/>
    <w:multiLevelType w:val="multilevel"/>
    <w:tmpl w:val="29BD6C2E"/>
    <w:lvl w:ilvl="0" w:tentative="0">
      <w:start w:val="1"/>
      <w:numFmt w:val="decimal"/>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8">
    <w:nsid w:val="300A89A2"/>
    <w:multiLevelType w:val="singleLevel"/>
    <w:tmpl w:val="300A89A2"/>
    <w:lvl w:ilvl="0" w:tentative="0">
      <w:start w:val="6"/>
      <w:numFmt w:val="chineseCounting"/>
      <w:suff w:val="nothing"/>
      <w:lvlText w:val="%1、"/>
      <w:lvlJc w:val="left"/>
      <w:rPr>
        <w:rFonts w:hint="eastAsia"/>
      </w:rPr>
    </w:lvl>
  </w:abstractNum>
  <w:abstractNum w:abstractNumId="9">
    <w:nsid w:val="3601A173"/>
    <w:multiLevelType w:val="singleLevel"/>
    <w:tmpl w:val="3601A173"/>
    <w:lvl w:ilvl="0" w:tentative="0">
      <w:start w:val="1"/>
      <w:numFmt w:val="chineseCounting"/>
      <w:suff w:val="nothing"/>
      <w:lvlText w:val="%1、"/>
      <w:lvlJc w:val="left"/>
      <w:rPr>
        <w:rFonts w:hint="eastAsia"/>
      </w:rPr>
    </w:lvl>
  </w:abstractNum>
  <w:abstractNum w:abstractNumId="10">
    <w:nsid w:val="36583D00"/>
    <w:multiLevelType w:val="singleLevel"/>
    <w:tmpl w:val="36583D00"/>
    <w:lvl w:ilvl="0" w:tentative="0">
      <w:start w:val="5"/>
      <w:numFmt w:val="chineseCounting"/>
      <w:suff w:val="space"/>
      <w:lvlText w:val="第%1章"/>
      <w:lvlJc w:val="left"/>
      <w:rPr>
        <w:rFonts w:hint="eastAsia"/>
      </w:rPr>
    </w:lvl>
  </w:abstractNum>
  <w:abstractNum w:abstractNumId="11">
    <w:nsid w:val="391B0CB5"/>
    <w:multiLevelType w:val="multilevel"/>
    <w:tmpl w:val="391B0C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AD13690"/>
    <w:multiLevelType w:val="multilevel"/>
    <w:tmpl w:val="3AD13690"/>
    <w:lvl w:ilvl="0" w:tentative="0">
      <w:start w:val="1"/>
      <w:numFmt w:val="decimal"/>
      <w:lvlText w:val="%1."/>
      <w:lvlJc w:val="left"/>
      <w:pPr>
        <w:ind w:left="975" w:hanging="420"/>
      </w:p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3">
    <w:nsid w:val="40FB2E1C"/>
    <w:multiLevelType w:val="multilevel"/>
    <w:tmpl w:val="40FB2E1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4261ACD"/>
    <w:multiLevelType w:val="multilevel"/>
    <w:tmpl w:val="44261AC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4896B7C"/>
    <w:multiLevelType w:val="multilevel"/>
    <w:tmpl w:val="44896B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3E0E13"/>
    <w:multiLevelType w:val="multilevel"/>
    <w:tmpl w:val="493E0E13"/>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17">
    <w:nsid w:val="52892932"/>
    <w:multiLevelType w:val="singleLevel"/>
    <w:tmpl w:val="52892932"/>
    <w:lvl w:ilvl="0" w:tentative="0">
      <w:start w:val="1"/>
      <w:numFmt w:val="chineseCounting"/>
      <w:suff w:val="nothing"/>
      <w:lvlText w:val="%1、"/>
      <w:lvlJc w:val="left"/>
      <w:rPr>
        <w:rFonts w:hint="eastAsia"/>
      </w:rPr>
    </w:lvl>
  </w:abstractNum>
  <w:abstractNum w:abstractNumId="18">
    <w:nsid w:val="52FC52C0"/>
    <w:multiLevelType w:val="multilevel"/>
    <w:tmpl w:val="52FC52C0"/>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6F0E17"/>
    <w:multiLevelType w:val="singleLevel"/>
    <w:tmpl w:val="556F0E17"/>
    <w:lvl w:ilvl="0" w:tentative="0">
      <w:start w:val="7"/>
      <w:numFmt w:val="chineseCounting"/>
      <w:suff w:val="nothing"/>
      <w:lvlText w:val="%1、"/>
      <w:lvlJc w:val="left"/>
      <w:rPr>
        <w:rFonts w:hint="eastAsia"/>
      </w:rPr>
    </w:lvl>
  </w:abstractNum>
  <w:abstractNum w:abstractNumId="20">
    <w:nsid w:val="5B150C7E"/>
    <w:multiLevelType w:val="multilevel"/>
    <w:tmpl w:val="5B150C7E"/>
    <w:lvl w:ilvl="0" w:tentative="0">
      <w:start w:val="1"/>
      <w:numFmt w:val="decimal"/>
      <w:lvlText w:val="第%1条"/>
      <w:lvlJc w:val="left"/>
      <w:pPr>
        <w:ind w:left="420" w:hanging="420"/>
      </w:pPr>
      <w:rPr>
        <w:rFonts w:hint="eastAsia"/>
      </w:rPr>
    </w:lvl>
    <w:lvl w:ilvl="1" w:tentative="0">
      <w:start w:val="1"/>
      <w:numFmt w:val="japaneseCounting"/>
      <w:lvlText w:val="第%2条"/>
      <w:lvlJc w:val="left"/>
      <w:pPr>
        <w:ind w:left="1725" w:hanging="1305"/>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AE5BC1"/>
    <w:multiLevelType w:val="multilevel"/>
    <w:tmpl w:val="5BAE5BC1"/>
    <w:lvl w:ilvl="0" w:tentative="0">
      <w:start w:val="1"/>
      <w:numFmt w:val="decimal"/>
      <w:lvlText w:val="5.%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17244"/>
    <w:multiLevelType w:val="multilevel"/>
    <w:tmpl w:val="6BE17244"/>
    <w:lvl w:ilvl="0" w:tentative="0">
      <w:start w:val="1"/>
      <w:numFmt w:val="decimal"/>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4">
    <w:nsid w:val="6F211C38"/>
    <w:multiLevelType w:val="multilevel"/>
    <w:tmpl w:val="6F211C38"/>
    <w:lvl w:ilvl="0" w:tentative="0">
      <w:start w:val="1"/>
      <w:numFmt w:val="decimal"/>
      <w:lvlText w:val="%1."/>
      <w:lvlJc w:val="left"/>
      <w:pPr>
        <w:ind w:left="895" w:hanging="420"/>
      </w:pPr>
    </w:lvl>
    <w:lvl w:ilvl="1" w:tentative="0">
      <w:start w:val="1"/>
      <w:numFmt w:val="lowerLetter"/>
      <w:lvlText w:val="%2)"/>
      <w:lvlJc w:val="left"/>
      <w:pPr>
        <w:ind w:left="1315" w:hanging="420"/>
      </w:pPr>
    </w:lvl>
    <w:lvl w:ilvl="2" w:tentative="0">
      <w:start w:val="1"/>
      <w:numFmt w:val="decimal"/>
      <w:lvlText w:val="%3."/>
      <w:lvlJc w:val="lef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25">
    <w:nsid w:val="7BD43663"/>
    <w:multiLevelType w:val="multilevel"/>
    <w:tmpl w:val="7BD43663"/>
    <w:lvl w:ilvl="0" w:tentative="0">
      <w:start w:val="1"/>
      <w:numFmt w:val="decimal"/>
      <w:lvlText w:val="%1."/>
      <w:lvlJc w:val="left"/>
      <w:pPr>
        <w:ind w:left="13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2"/>
  </w:num>
  <w:num w:numId="3">
    <w:abstractNumId w:val="19"/>
  </w:num>
  <w:num w:numId="4">
    <w:abstractNumId w:val="20"/>
  </w:num>
  <w:num w:numId="5">
    <w:abstractNumId w:val="5"/>
  </w:num>
  <w:num w:numId="6">
    <w:abstractNumId w:val="25"/>
  </w:num>
  <w:num w:numId="7">
    <w:abstractNumId w:val="18"/>
  </w:num>
  <w:num w:numId="8">
    <w:abstractNumId w:val="15"/>
  </w:num>
  <w:num w:numId="9">
    <w:abstractNumId w:val="23"/>
  </w:num>
  <w:num w:numId="10">
    <w:abstractNumId w:val="16"/>
  </w:num>
  <w:num w:numId="11">
    <w:abstractNumId w:val="12"/>
  </w:num>
  <w:num w:numId="12">
    <w:abstractNumId w:val="13"/>
  </w:num>
  <w:num w:numId="13">
    <w:abstractNumId w:val="6"/>
  </w:num>
  <w:num w:numId="14">
    <w:abstractNumId w:val="3"/>
  </w:num>
  <w:num w:numId="15">
    <w:abstractNumId w:val="21"/>
  </w:num>
  <w:num w:numId="16">
    <w:abstractNumId w:val="4"/>
  </w:num>
  <w:num w:numId="17">
    <w:abstractNumId w:val="14"/>
  </w:num>
  <w:num w:numId="18">
    <w:abstractNumId w:val="2"/>
  </w:num>
  <w:num w:numId="19">
    <w:abstractNumId w:val="11"/>
  </w:num>
  <w:num w:numId="20">
    <w:abstractNumId w:val="7"/>
  </w:num>
  <w:num w:numId="21">
    <w:abstractNumId w:val="24"/>
  </w:num>
  <w:num w:numId="22">
    <w:abstractNumId w:val="10"/>
  </w:num>
  <w:num w:numId="23">
    <w:abstractNumId w:val="17"/>
  </w:num>
  <w:num w:numId="24">
    <w:abstractNumId w:val="9"/>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VlYWNlMGY2NGI4YzZiOGZiMTFkOTgyOWY1MDA0M2MifQ=="/>
  </w:docVars>
  <w:rsids>
    <w:rsidRoot w:val="6B1F3BFC"/>
    <w:rsid w:val="00021406"/>
    <w:rsid w:val="00044BA3"/>
    <w:rsid w:val="00045F7A"/>
    <w:rsid w:val="000629B2"/>
    <w:rsid w:val="00075E3D"/>
    <w:rsid w:val="0008614F"/>
    <w:rsid w:val="00094AEF"/>
    <w:rsid w:val="00096272"/>
    <w:rsid w:val="000A2BDF"/>
    <w:rsid w:val="000A2F65"/>
    <w:rsid w:val="000B1C66"/>
    <w:rsid w:val="000E6503"/>
    <w:rsid w:val="00105792"/>
    <w:rsid w:val="00124078"/>
    <w:rsid w:val="00144CC9"/>
    <w:rsid w:val="00154800"/>
    <w:rsid w:val="001A5B3F"/>
    <w:rsid w:val="001C2E79"/>
    <w:rsid w:val="001C40AF"/>
    <w:rsid w:val="001D606C"/>
    <w:rsid w:val="001F0EF5"/>
    <w:rsid w:val="002262D8"/>
    <w:rsid w:val="00252869"/>
    <w:rsid w:val="002B2AC6"/>
    <w:rsid w:val="002C0066"/>
    <w:rsid w:val="002F431B"/>
    <w:rsid w:val="00312281"/>
    <w:rsid w:val="00317921"/>
    <w:rsid w:val="00335637"/>
    <w:rsid w:val="00366B33"/>
    <w:rsid w:val="00374EE4"/>
    <w:rsid w:val="003936C8"/>
    <w:rsid w:val="003A1369"/>
    <w:rsid w:val="003F3AD3"/>
    <w:rsid w:val="00442E0C"/>
    <w:rsid w:val="00452020"/>
    <w:rsid w:val="004603F8"/>
    <w:rsid w:val="004626DD"/>
    <w:rsid w:val="0046451A"/>
    <w:rsid w:val="004723C4"/>
    <w:rsid w:val="00474643"/>
    <w:rsid w:val="00493958"/>
    <w:rsid w:val="00495E25"/>
    <w:rsid w:val="004B64BA"/>
    <w:rsid w:val="004B77FA"/>
    <w:rsid w:val="004C69D1"/>
    <w:rsid w:val="004D642B"/>
    <w:rsid w:val="004E5C55"/>
    <w:rsid w:val="00504045"/>
    <w:rsid w:val="005109C6"/>
    <w:rsid w:val="0055312F"/>
    <w:rsid w:val="005645A9"/>
    <w:rsid w:val="0056538A"/>
    <w:rsid w:val="005853A1"/>
    <w:rsid w:val="005C1753"/>
    <w:rsid w:val="005D384A"/>
    <w:rsid w:val="005E128E"/>
    <w:rsid w:val="005F6D30"/>
    <w:rsid w:val="006435CA"/>
    <w:rsid w:val="00697D36"/>
    <w:rsid w:val="006C22A9"/>
    <w:rsid w:val="006C59B9"/>
    <w:rsid w:val="006D2EEE"/>
    <w:rsid w:val="006E2992"/>
    <w:rsid w:val="006E4D2B"/>
    <w:rsid w:val="00721F24"/>
    <w:rsid w:val="0073317D"/>
    <w:rsid w:val="0077722A"/>
    <w:rsid w:val="007F43E5"/>
    <w:rsid w:val="00831C1C"/>
    <w:rsid w:val="00836971"/>
    <w:rsid w:val="00880025"/>
    <w:rsid w:val="0088014A"/>
    <w:rsid w:val="00880E4B"/>
    <w:rsid w:val="00890AF4"/>
    <w:rsid w:val="008A7FEF"/>
    <w:rsid w:val="008E6EAC"/>
    <w:rsid w:val="00965EC3"/>
    <w:rsid w:val="009A3854"/>
    <w:rsid w:val="009B1225"/>
    <w:rsid w:val="009D23DC"/>
    <w:rsid w:val="00A2403C"/>
    <w:rsid w:val="00A273AE"/>
    <w:rsid w:val="00A30BD8"/>
    <w:rsid w:val="00A40450"/>
    <w:rsid w:val="00A7372B"/>
    <w:rsid w:val="00A92FBA"/>
    <w:rsid w:val="00A95743"/>
    <w:rsid w:val="00AA188C"/>
    <w:rsid w:val="00AC5FFE"/>
    <w:rsid w:val="00AF7106"/>
    <w:rsid w:val="00B04EDC"/>
    <w:rsid w:val="00B16A4C"/>
    <w:rsid w:val="00B31C84"/>
    <w:rsid w:val="00B3438A"/>
    <w:rsid w:val="00B4385A"/>
    <w:rsid w:val="00B461D1"/>
    <w:rsid w:val="00B603FE"/>
    <w:rsid w:val="00B800EB"/>
    <w:rsid w:val="00B96953"/>
    <w:rsid w:val="00BA7ED7"/>
    <w:rsid w:val="00BB7A1D"/>
    <w:rsid w:val="00BF2245"/>
    <w:rsid w:val="00CA5987"/>
    <w:rsid w:val="00CB261C"/>
    <w:rsid w:val="00CC783C"/>
    <w:rsid w:val="00D01BC2"/>
    <w:rsid w:val="00D1227C"/>
    <w:rsid w:val="00D41611"/>
    <w:rsid w:val="00D421DE"/>
    <w:rsid w:val="00D65466"/>
    <w:rsid w:val="00D75588"/>
    <w:rsid w:val="00D8228A"/>
    <w:rsid w:val="00DC0BE0"/>
    <w:rsid w:val="00DC59AF"/>
    <w:rsid w:val="00E30ABE"/>
    <w:rsid w:val="00E46669"/>
    <w:rsid w:val="00E9792F"/>
    <w:rsid w:val="00EA530F"/>
    <w:rsid w:val="00EA75E6"/>
    <w:rsid w:val="00EC3A4E"/>
    <w:rsid w:val="00F11A20"/>
    <w:rsid w:val="00F14D12"/>
    <w:rsid w:val="00F224ED"/>
    <w:rsid w:val="00F6453C"/>
    <w:rsid w:val="00F844AC"/>
    <w:rsid w:val="00F946B5"/>
    <w:rsid w:val="00FA44AB"/>
    <w:rsid w:val="00FB0C90"/>
    <w:rsid w:val="00FB756F"/>
    <w:rsid w:val="00FC016A"/>
    <w:rsid w:val="00FC6716"/>
    <w:rsid w:val="00FF5A5B"/>
    <w:rsid w:val="024432AA"/>
    <w:rsid w:val="05146D75"/>
    <w:rsid w:val="0559143D"/>
    <w:rsid w:val="07236778"/>
    <w:rsid w:val="09263EF3"/>
    <w:rsid w:val="0A596B5B"/>
    <w:rsid w:val="0D40255D"/>
    <w:rsid w:val="0D5046F7"/>
    <w:rsid w:val="0DA23B5C"/>
    <w:rsid w:val="0EA813EF"/>
    <w:rsid w:val="0EB74F3E"/>
    <w:rsid w:val="101E71B8"/>
    <w:rsid w:val="104007F8"/>
    <w:rsid w:val="105877A0"/>
    <w:rsid w:val="12D927D1"/>
    <w:rsid w:val="13365C72"/>
    <w:rsid w:val="19FD11F2"/>
    <w:rsid w:val="1CDA5F8A"/>
    <w:rsid w:val="1D676E30"/>
    <w:rsid w:val="1E9C7A55"/>
    <w:rsid w:val="1FA03001"/>
    <w:rsid w:val="20FC2B5E"/>
    <w:rsid w:val="21551AAA"/>
    <w:rsid w:val="21B14A12"/>
    <w:rsid w:val="23311B9A"/>
    <w:rsid w:val="23BF0F9F"/>
    <w:rsid w:val="23C9146A"/>
    <w:rsid w:val="270900D9"/>
    <w:rsid w:val="2AB47A28"/>
    <w:rsid w:val="2BE9041A"/>
    <w:rsid w:val="2D5D35C4"/>
    <w:rsid w:val="2F411A82"/>
    <w:rsid w:val="300813F3"/>
    <w:rsid w:val="30FE1004"/>
    <w:rsid w:val="3107065A"/>
    <w:rsid w:val="315D51B2"/>
    <w:rsid w:val="34914DA6"/>
    <w:rsid w:val="34FE0AEE"/>
    <w:rsid w:val="366A2FFA"/>
    <w:rsid w:val="37811BEE"/>
    <w:rsid w:val="378510A5"/>
    <w:rsid w:val="385801FE"/>
    <w:rsid w:val="38665021"/>
    <w:rsid w:val="38CC7D23"/>
    <w:rsid w:val="3B5B5EA1"/>
    <w:rsid w:val="3BF633D1"/>
    <w:rsid w:val="3C552D88"/>
    <w:rsid w:val="3C8A369E"/>
    <w:rsid w:val="3D5546D1"/>
    <w:rsid w:val="3D930D6F"/>
    <w:rsid w:val="40215770"/>
    <w:rsid w:val="40F328B0"/>
    <w:rsid w:val="41033D52"/>
    <w:rsid w:val="41567BB7"/>
    <w:rsid w:val="42D711F6"/>
    <w:rsid w:val="42FC5917"/>
    <w:rsid w:val="43A01B1B"/>
    <w:rsid w:val="44462187"/>
    <w:rsid w:val="464722B0"/>
    <w:rsid w:val="48B95743"/>
    <w:rsid w:val="4A1314DA"/>
    <w:rsid w:val="4A1A5E18"/>
    <w:rsid w:val="4B727641"/>
    <w:rsid w:val="4CC255DD"/>
    <w:rsid w:val="4D064117"/>
    <w:rsid w:val="4E0D3669"/>
    <w:rsid w:val="4F5E09A9"/>
    <w:rsid w:val="500F671C"/>
    <w:rsid w:val="511C1C1F"/>
    <w:rsid w:val="52984B42"/>
    <w:rsid w:val="54631631"/>
    <w:rsid w:val="5A805ADD"/>
    <w:rsid w:val="5AA53FED"/>
    <w:rsid w:val="5B294816"/>
    <w:rsid w:val="5B573449"/>
    <w:rsid w:val="5BA423C0"/>
    <w:rsid w:val="5DEE2CB2"/>
    <w:rsid w:val="5E14397E"/>
    <w:rsid w:val="5E502386"/>
    <w:rsid w:val="5E5932A6"/>
    <w:rsid w:val="5F73593B"/>
    <w:rsid w:val="5FA70B09"/>
    <w:rsid w:val="5FEA694B"/>
    <w:rsid w:val="61400757"/>
    <w:rsid w:val="61E873BF"/>
    <w:rsid w:val="623B7BE4"/>
    <w:rsid w:val="651D5826"/>
    <w:rsid w:val="67287FDF"/>
    <w:rsid w:val="676B7FCA"/>
    <w:rsid w:val="697769D4"/>
    <w:rsid w:val="6A731698"/>
    <w:rsid w:val="6A8B1010"/>
    <w:rsid w:val="6B1F3BFC"/>
    <w:rsid w:val="6C9A54AD"/>
    <w:rsid w:val="6DA00A50"/>
    <w:rsid w:val="6DC54D99"/>
    <w:rsid w:val="709C5869"/>
    <w:rsid w:val="70C6205C"/>
    <w:rsid w:val="72976EE5"/>
    <w:rsid w:val="771A66ED"/>
    <w:rsid w:val="78D4504A"/>
    <w:rsid w:val="7AE901D9"/>
    <w:rsid w:val="7CF65BD5"/>
    <w:rsid w:val="7EDE2DE8"/>
    <w:rsid w:val="7FF01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2"/>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numPr>
        <w:ilvl w:val="0"/>
        <w:numId w:val="1"/>
      </w:numPr>
      <w:spacing w:after="120"/>
      <w:ind w:left="0" w:firstLine="0"/>
    </w:p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Body Text Indent"/>
    <w:basedOn w:val="1"/>
    <w:unhideWhenUsed/>
    <w:qFormat/>
    <w:uiPriority w:val="99"/>
    <w:pPr>
      <w:spacing w:after="120"/>
      <w:ind w:left="420" w:leftChars="200"/>
    </w:p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Normal (Web)"/>
    <w:basedOn w:val="1"/>
    <w:unhideWhenUsed/>
    <w:qFormat/>
    <w:uiPriority w:val="99"/>
    <w:pPr>
      <w:spacing w:before="100" w:beforeAutospacing="1" w:after="100" w:afterAutospacing="1"/>
    </w:pPr>
    <w:rPr>
      <w:rFonts w:ascii="宋体" w:hAnsi="宋体" w:cs="宋体"/>
      <w:kern w:val="0"/>
      <w:sz w:val="24"/>
    </w:rPr>
  </w:style>
  <w:style w:type="paragraph" w:styleId="15">
    <w:name w:val="Body Text First Indent"/>
    <w:basedOn w:val="6"/>
    <w:qFormat/>
    <w:uiPriority w:val="0"/>
    <w:pPr>
      <w:autoSpaceDE w:val="0"/>
      <w:autoSpaceDN w:val="0"/>
      <w:adjustRightInd w:val="0"/>
      <w:ind w:firstLine="420"/>
      <w:textAlignment w:val="baseline"/>
    </w:pPr>
    <w:rPr>
      <w:rFonts w:ascii="宋体"/>
      <w:sz w:val="3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qFormat/>
    <w:uiPriority w:val="99"/>
    <w:rPr>
      <w:color w:val="0000FF"/>
      <w:spacing w:val="0"/>
      <w:w w:val="100"/>
      <w:szCs w:val="21"/>
      <w:u w:val="single"/>
      <w:lang w:val="en-US" w:eastAsia="zh-CN"/>
    </w:rPr>
  </w:style>
  <w:style w:type="character" w:styleId="21">
    <w:name w:val="footnote reference"/>
    <w:qFormat/>
    <w:uiPriority w:val="0"/>
    <w:rPr>
      <w:vertAlign w:val="superscript"/>
    </w:rPr>
  </w:style>
  <w:style w:type="paragraph" w:customStyle="1" w:styleId="22">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styleId="23">
    <w:name w:val="List Paragraph"/>
    <w:basedOn w:val="1"/>
    <w:qFormat/>
    <w:uiPriority w:val="34"/>
    <w:pPr>
      <w:ind w:firstLine="420" w:firstLineChars="200"/>
    </w:pPr>
    <w:rPr>
      <w:rFonts w:ascii="宋体" w:hAnsi="宋体" w:cs="宋体"/>
      <w:kern w:val="0"/>
      <w:sz w:val="24"/>
    </w:rPr>
  </w:style>
  <w:style w:type="paragraph" w:customStyle="1" w:styleId="24">
    <w:name w:val="一级条标题"/>
    <w:next w:val="2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24043</Words>
  <Characters>25495</Characters>
  <Lines>196</Lines>
  <Paragraphs>55</Paragraphs>
  <TotalTime>648</TotalTime>
  <ScaleCrop>false</ScaleCrop>
  <LinksUpToDate>false</LinksUpToDate>
  <CharactersWithSpaces>25962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2021-09-16T06:44:00Z</dcterms:created>
  <dc:creator>LILY</dc:creator>
  <cp:lastModifiedBy>战地残阳断刃血淌</cp:lastModifiedBy>
  <cp:lastPrinted>2023-07-04T02:51:00Z</cp:lastPrinted>
  <dcterms:modified xsi:type="dcterms:W3CDTF">2023-09-11T03:12:17Z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9935DBA3924C413A8FCA0CA16DE4449F</vt:lpwstr>
  </property>
</Properties>
</file>