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highlight w:val="none"/>
        </w:rPr>
      </w:pPr>
    </w:p>
    <w:p>
      <w:pPr>
        <w:snapToGrid w:val="0"/>
        <w:spacing w:line="900" w:lineRule="exact"/>
        <w:jc w:val="center"/>
        <w:rPr>
          <w:rFonts w:hint="eastAsia" w:ascii="黑体" w:hAnsi="黑体" w:eastAsia="黑体"/>
          <w:b/>
          <w:bCs/>
          <w:sz w:val="52"/>
          <w:szCs w:val="52"/>
          <w:highlight w:val="none"/>
          <w:lang w:val="en-US" w:eastAsia="zh-CN"/>
        </w:rPr>
      </w:pPr>
      <w:r>
        <w:rPr>
          <w:rFonts w:hint="eastAsia" w:ascii="黑体" w:hAnsi="黑体" w:eastAsia="黑体"/>
          <w:b/>
          <w:bCs/>
          <w:sz w:val="52"/>
          <w:szCs w:val="52"/>
          <w:highlight w:val="none"/>
          <w:lang w:val="en-US" w:eastAsia="zh-CN"/>
        </w:rPr>
        <w:t>湖南省虞公港建设投资有限公司</w:t>
      </w:r>
    </w:p>
    <w:p>
      <w:pPr>
        <w:pStyle w:val="2"/>
        <w:rPr>
          <w:rFonts w:hint="eastAsia" w:ascii="黑体" w:hAnsi="黑体" w:eastAsia="黑体"/>
          <w:b/>
          <w:bCs/>
          <w:sz w:val="52"/>
          <w:szCs w:val="52"/>
          <w:highlight w:val="none"/>
        </w:rPr>
      </w:pPr>
    </w:p>
    <w:p>
      <w:pPr>
        <w:pStyle w:val="2"/>
        <w:ind w:firstLine="0"/>
        <w:rPr>
          <w:rFonts w:hint="eastAsia" w:ascii="黑体" w:hAnsi="黑体" w:eastAsia="黑体"/>
          <w:b/>
          <w:bCs/>
          <w:sz w:val="52"/>
          <w:szCs w:val="52"/>
          <w:highlight w:val="none"/>
        </w:rPr>
      </w:pPr>
    </w:p>
    <w:p>
      <w:pPr>
        <w:pStyle w:val="2"/>
        <w:ind w:firstLine="0"/>
        <w:rPr>
          <w:rFonts w:hint="eastAsia" w:ascii="黑体" w:hAnsi="黑体" w:eastAsia="黑体"/>
          <w:b/>
          <w:bCs/>
          <w:sz w:val="52"/>
          <w:szCs w:val="52"/>
          <w:highlight w:val="none"/>
        </w:rPr>
      </w:pPr>
    </w:p>
    <w:p>
      <w:pPr>
        <w:pStyle w:val="2"/>
        <w:rPr>
          <w:rFonts w:hint="eastAsia" w:ascii="黑体" w:hAnsi="黑体" w:eastAsia="黑体"/>
          <w:b/>
          <w:bCs/>
          <w:sz w:val="52"/>
          <w:szCs w:val="52"/>
          <w:highlight w:val="none"/>
        </w:rPr>
      </w:pPr>
    </w:p>
    <w:p>
      <w:pPr>
        <w:pStyle w:val="2"/>
        <w:rPr>
          <w:rFonts w:hint="eastAsia" w:ascii="黑体" w:hAnsi="黑体" w:eastAsia="黑体"/>
          <w:b/>
          <w:bCs/>
          <w:sz w:val="52"/>
          <w:szCs w:val="52"/>
          <w:highlight w:val="none"/>
        </w:rPr>
      </w:pPr>
    </w:p>
    <w:p>
      <w:pPr>
        <w:pStyle w:val="2"/>
        <w:rPr>
          <w:rFonts w:hint="eastAsia" w:ascii="黑体" w:hAnsi="黑体" w:eastAsia="黑体"/>
          <w:b/>
          <w:bCs/>
          <w:sz w:val="52"/>
          <w:szCs w:val="52"/>
          <w:highlight w:val="none"/>
        </w:rPr>
      </w:pPr>
    </w:p>
    <w:p>
      <w:pPr>
        <w:pStyle w:val="2"/>
        <w:rPr>
          <w:rFonts w:hint="eastAsia" w:ascii="黑体" w:hAnsi="黑体" w:eastAsia="黑体"/>
          <w:b/>
          <w:bCs/>
          <w:sz w:val="52"/>
          <w:szCs w:val="52"/>
          <w:highlight w:val="none"/>
        </w:rPr>
      </w:pPr>
    </w:p>
    <w:p>
      <w:pPr>
        <w:adjustRightInd/>
        <w:spacing w:line="240" w:lineRule="auto"/>
        <w:ind w:firstLine="0"/>
        <w:jc w:val="center"/>
        <w:rPr>
          <w:rFonts w:hint="eastAsia" w:ascii="黑体" w:hAnsi="黑体" w:eastAsia="黑体"/>
          <w:b/>
          <w:bCs/>
          <w:sz w:val="52"/>
          <w:szCs w:val="52"/>
          <w:highlight w:val="none"/>
          <w:lang w:eastAsia="zh-CN"/>
        </w:rPr>
      </w:pPr>
      <w:r>
        <w:rPr>
          <w:rFonts w:hint="eastAsia" w:ascii="黑体" w:hAnsi="黑体" w:eastAsia="黑体"/>
          <w:b/>
          <w:bCs/>
          <w:sz w:val="52"/>
          <w:szCs w:val="52"/>
          <w:highlight w:val="none"/>
          <w:lang w:val="en-US" w:eastAsia="zh-CN"/>
        </w:rPr>
        <w:t>工程用车</w:t>
      </w:r>
      <w:r>
        <w:rPr>
          <w:rFonts w:hint="eastAsia" w:ascii="黑体" w:hAnsi="黑体" w:eastAsia="黑体"/>
          <w:b/>
          <w:bCs/>
          <w:sz w:val="52"/>
          <w:szCs w:val="52"/>
          <w:highlight w:val="none"/>
          <w:lang w:eastAsia="zh-CN"/>
        </w:rPr>
        <w:t>采购</w:t>
      </w:r>
      <w:r>
        <w:rPr>
          <w:rFonts w:hint="eastAsia" w:ascii="黑体" w:hAnsi="黑体" w:eastAsia="黑体"/>
          <w:b/>
          <w:bCs/>
          <w:sz w:val="52"/>
          <w:szCs w:val="52"/>
          <w:highlight w:val="none"/>
        </w:rPr>
        <w:t>项目</w:t>
      </w:r>
      <w:r>
        <w:rPr>
          <w:rFonts w:hint="eastAsia" w:ascii="黑体" w:hAnsi="黑体" w:eastAsia="黑体"/>
          <w:b/>
          <w:bCs/>
          <w:sz w:val="52"/>
          <w:szCs w:val="52"/>
          <w:highlight w:val="none"/>
          <w:lang w:eastAsia="zh-CN"/>
        </w:rPr>
        <w:t>（</w:t>
      </w:r>
      <w:r>
        <w:rPr>
          <w:rFonts w:hint="eastAsia" w:ascii="黑体" w:hAnsi="黑体" w:eastAsia="黑体"/>
          <w:b/>
          <w:bCs/>
          <w:sz w:val="52"/>
          <w:szCs w:val="52"/>
          <w:highlight w:val="none"/>
          <w:lang w:val="en-US" w:eastAsia="zh-CN"/>
        </w:rPr>
        <w:t>第三次</w:t>
      </w:r>
      <w:bookmarkStart w:id="52" w:name="_GoBack"/>
      <w:bookmarkEnd w:id="52"/>
      <w:r>
        <w:rPr>
          <w:rFonts w:hint="eastAsia" w:ascii="黑体" w:hAnsi="黑体" w:eastAsia="黑体"/>
          <w:b/>
          <w:bCs/>
          <w:sz w:val="52"/>
          <w:szCs w:val="52"/>
          <w:highlight w:val="none"/>
          <w:lang w:eastAsia="zh-CN"/>
        </w:rPr>
        <w:t>）</w:t>
      </w:r>
    </w:p>
    <w:p>
      <w:pPr>
        <w:adjustRightInd/>
        <w:spacing w:line="240" w:lineRule="auto"/>
        <w:ind w:firstLine="0"/>
        <w:jc w:val="center"/>
        <w:rPr>
          <w:rFonts w:hint="eastAsia" w:ascii="黑体" w:hAnsi="黑体" w:eastAsia="黑体"/>
          <w:b/>
          <w:bCs/>
          <w:sz w:val="52"/>
          <w:szCs w:val="52"/>
          <w:highlight w:val="none"/>
          <w:lang w:eastAsia="zh-CN"/>
        </w:rPr>
      </w:pPr>
      <w:r>
        <w:rPr>
          <w:rFonts w:hint="eastAsia" w:ascii="黑体" w:hAnsi="黑体" w:eastAsia="黑体"/>
          <w:b/>
          <w:bCs/>
          <w:sz w:val="52"/>
          <w:szCs w:val="52"/>
          <w:highlight w:val="none"/>
          <w:lang w:eastAsia="zh-CN"/>
        </w:rPr>
        <w:t>询价文件</w:t>
      </w:r>
    </w:p>
    <w:p>
      <w:pPr>
        <w:pStyle w:val="2"/>
        <w:rPr>
          <w:rFonts w:ascii="黑体" w:hAnsi="黑体" w:eastAsia="黑体" w:cs="黑体"/>
          <w:b/>
          <w:bCs/>
          <w:sz w:val="30"/>
          <w:szCs w:val="30"/>
          <w:highlight w:val="none"/>
        </w:rPr>
      </w:pPr>
      <w:r>
        <w:rPr>
          <w:rFonts w:hint="eastAsia" w:ascii="黑体" w:hAnsi="黑体" w:eastAsia="黑体"/>
          <w:b/>
          <w:bCs/>
          <w:sz w:val="2"/>
          <w:szCs w:val="2"/>
          <w:highlight w:val="none"/>
          <w:lang w:val="en-US" w:eastAsia="zh-CN"/>
        </w:rPr>
        <w:t>I</w:t>
      </w:r>
    </w:p>
    <w:p>
      <w:pPr>
        <w:snapToGrid w:val="0"/>
        <w:spacing w:line="480" w:lineRule="auto"/>
        <w:jc w:val="center"/>
        <w:rPr>
          <w:rFonts w:ascii="黑体" w:hAnsi="黑体" w:eastAsia="黑体" w:cs="黑体"/>
          <w:b/>
          <w:bCs/>
          <w:color w:val="000000" w:themeColor="text1"/>
          <w:sz w:val="30"/>
          <w:szCs w:val="30"/>
          <w:highlight w:val="none"/>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省港</w:t>
      </w:r>
      <w:r>
        <w:rPr>
          <w:rFonts w:hint="eastAsia" w:ascii="黑体" w:hAnsi="黑体" w:eastAsia="黑体" w:cs="黑体"/>
          <w:b/>
          <w:bCs/>
          <w:color w:val="000000" w:themeColor="text1"/>
          <w:sz w:val="30"/>
          <w:szCs w:val="30"/>
          <w:highlight w:val="none"/>
          <w:lang w:eastAsia="zh-CN"/>
          <w14:textFill>
            <w14:solidFill>
              <w14:schemeClr w14:val="tx1"/>
            </w14:solidFill>
          </w14:textFill>
        </w:rPr>
        <w:t>货</w:t>
      </w:r>
      <w:r>
        <w:rPr>
          <w:rFonts w:hint="eastAsia" w:ascii="黑体" w:hAnsi="黑体" w:eastAsia="黑体" w:cs="黑体"/>
          <w:b/>
          <w:bCs/>
          <w:color w:val="000000" w:themeColor="text1"/>
          <w:sz w:val="30"/>
          <w:szCs w:val="30"/>
          <w:highlight w:val="none"/>
          <w14:textFill>
            <w14:solidFill>
              <w14:schemeClr w14:val="tx1"/>
            </w14:solidFill>
          </w14:textFill>
        </w:rPr>
        <w:t>（202</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3</w:t>
      </w:r>
      <w:r>
        <w:rPr>
          <w:rFonts w:hint="eastAsia" w:ascii="黑体" w:hAnsi="黑体" w:eastAsia="黑体" w:cs="黑体"/>
          <w:b/>
          <w:bCs/>
          <w:color w:val="000000" w:themeColor="text1"/>
          <w:sz w:val="30"/>
          <w:szCs w:val="30"/>
          <w:highlight w:val="none"/>
          <w14:textFill>
            <w14:solidFill>
              <w14:schemeClr w14:val="tx1"/>
            </w14:solidFill>
          </w14:textFill>
        </w:rPr>
        <w:t>）年询第</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22</w:t>
      </w:r>
      <w:r>
        <w:rPr>
          <w:rFonts w:hint="eastAsia" w:ascii="黑体" w:hAnsi="黑体" w:eastAsia="黑体" w:cs="黑体"/>
          <w:b/>
          <w:bCs/>
          <w:color w:val="000000" w:themeColor="text1"/>
          <w:sz w:val="30"/>
          <w:szCs w:val="30"/>
          <w:highlight w:val="none"/>
          <w14:textFill>
            <w14:solidFill>
              <w14:schemeClr w14:val="tx1"/>
            </w14:solidFill>
          </w14:textFill>
        </w:rPr>
        <w:t>号</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w:t>
      </w:r>
      <w:r>
        <w:rPr>
          <w:rFonts w:hint="eastAsia" w:ascii="黑体" w:hAnsi="黑体" w:eastAsia="黑体" w:cs="黑体"/>
          <w:b/>
          <w:bCs/>
          <w:color w:val="000000" w:themeColor="text1"/>
          <w:sz w:val="30"/>
          <w:szCs w:val="30"/>
          <w:highlight w:val="none"/>
          <w:lang w:eastAsia="zh-CN"/>
          <w14:textFill>
            <w14:solidFill>
              <w14:schemeClr w14:val="tx1"/>
            </w14:solidFill>
          </w14:textFill>
        </w:rPr>
        <w:t>虞公港</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w:t>
      </w:r>
    </w:p>
    <w:p>
      <w:pPr>
        <w:spacing w:line="600" w:lineRule="exact"/>
        <w:rPr>
          <w:highlight w:val="none"/>
        </w:rPr>
      </w:pPr>
    </w:p>
    <w:p>
      <w:pPr>
        <w:spacing w:line="600" w:lineRule="exact"/>
        <w:rPr>
          <w:highlight w:val="none"/>
        </w:rPr>
      </w:pPr>
    </w:p>
    <w:p>
      <w:pPr>
        <w:pStyle w:val="37"/>
        <w:ind w:left="0" w:firstLine="0"/>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pStyle w:val="37"/>
        <w:rPr>
          <w:highlight w:val="none"/>
        </w:rPr>
      </w:pPr>
    </w:p>
    <w:p>
      <w:pPr>
        <w:spacing w:line="600" w:lineRule="exact"/>
        <w:rPr>
          <w:highlight w:val="none"/>
        </w:rPr>
      </w:pPr>
    </w:p>
    <w:p>
      <w:pPr>
        <w:tabs>
          <w:tab w:val="left" w:pos="0"/>
          <w:tab w:val="left" w:pos="4185"/>
        </w:tabs>
        <w:spacing w:line="288" w:lineRule="auto"/>
        <w:ind w:right="-6"/>
        <w:jc w:val="center"/>
        <w:rPr>
          <w:rFonts w:hint="eastAsia" w:ascii="黑体" w:hAnsi="黑体" w:eastAsia="黑体"/>
          <w:bCs/>
          <w:sz w:val="44"/>
          <w:szCs w:val="44"/>
          <w:highlight w:val="none"/>
          <w:lang w:eastAsia="zh-CN"/>
        </w:rPr>
      </w:pPr>
      <w:r>
        <w:rPr>
          <w:rFonts w:hint="eastAsia" w:ascii="黑体" w:hAnsi="黑体" w:eastAsia="黑体"/>
          <w:bCs/>
          <w:sz w:val="44"/>
          <w:szCs w:val="44"/>
          <w:highlight w:val="none"/>
          <w:lang w:eastAsia="zh-CN"/>
        </w:rPr>
        <w:t>湖南省虞公港建设投资有限公司</w:t>
      </w:r>
    </w:p>
    <w:p>
      <w:pPr>
        <w:tabs>
          <w:tab w:val="left" w:pos="0"/>
          <w:tab w:val="left" w:pos="4185"/>
        </w:tabs>
        <w:spacing w:line="288" w:lineRule="auto"/>
        <w:ind w:right="-6"/>
        <w:jc w:val="center"/>
        <w:rPr>
          <w:rFonts w:ascii="黑体" w:hAnsi="黑体" w:eastAsia="黑体"/>
          <w:bCs/>
          <w:sz w:val="44"/>
          <w:szCs w:val="44"/>
          <w:highlight w:val="none"/>
        </w:rPr>
      </w:pPr>
      <w:r>
        <w:rPr>
          <w:rFonts w:hint="eastAsia" w:ascii="黑体" w:hAnsi="黑体" w:eastAsia="黑体"/>
          <w:bCs/>
          <w:sz w:val="44"/>
          <w:szCs w:val="44"/>
          <w:highlight w:val="none"/>
        </w:rPr>
        <w:t>二О二</w:t>
      </w:r>
      <w:r>
        <w:rPr>
          <w:rFonts w:hint="eastAsia" w:ascii="黑体" w:hAnsi="黑体" w:eastAsia="黑体"/>
          <w:bCs/>
          <w:sz w:val="44"/>
          <w:szCs w:val="44"/>
          <w:highlight w:val="none"/>
          <w:lang w:eastAsia="zh-CN"/>
        </w:rPr>
        <w:t>三</w:t>
      </w:r>
      <w:r>
        <w:rPr>
          <w:rFonts w:hint="eastAsia" w:ascii="黑体" w:hAnsi="黑体" w:eastAsia="黑体"/>
          <w:bCs/>
          <w:sz w:val="44"/>
          <w:szCs w:val="44"/>
          <w:highlight w:val="none"/>
        </w:rPr>
        <w:t>年</w:t>
      </w:r>
      <w:r>
        <w:rPr>
          <w:rFonts w:hint="eastAsia" w:ascii="黑体" w:hAnsi="黑体" w:eastAsia="黑体"/>
          <w:bCs/>
          <w:sz w:val="44"/>
          <w:szCs w:val="44"/>
          <w:highlight w:val="none"/>
          <w:lang w:eastAsia="zh-CN"/>
        </w:rPr>
        <w:t>八</w:t>
      </w:r>
      <w:r>
        <w:rPr>
          <w:rFonts w:hint="eastAsia" w:ascii="黑体" w:hAnsi="黑体" w:eastAsia="黑体"/>
          <w:bCs/>
          <w:sz w:val="44"/>
          <w:szCs w:val="44"/>
          <w:highlight w:val="none"/>
        </w:rPr>
        <w:t>月</w:t>
      </w:r>
    </w:p>
    <w:p>
      <w:pPr>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br w:type="page"/>
      </w:r>
    </w:p>
    <w:p>
      <w:pPr>
        <w:pStyle w:val="186"/>
        <w:keepNext w:val="0"/>
        <w:keepLines w:val="0"/>
        <w:widowControl w:val="0"/>
        <w:spacing w:before="0" w:line="600" w:lineRule="exact"/>
        <w:ind w:left="0"/>
        <w:jc w:val="center"/>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t>目    录</w:t>
      </w:r>
    </w:p>
    <w:p>
      <w:pPr>
        <w:pStyle w:val="25"/>
        <w:widowControl w:val="0"/>
        <w:tabs>
          <w:tab w:val="right" w:leader="dot" w:pos="8948"/>
          <w:tab w:val="clear" w:pos="9242"/>
        </w:tabs>
        <w:adjustRightInd w:val="0"/>
        <w:snapToGrid w:val="0"/>
        <w:spacing w:beforeLines="0" w:afterLines="0" w:line="360" w:lineRule="auto"/>
        <w:ind w:firstLine="480" w:firstLineChars="200"/>
        <w:jc w:val="both"/>
        <w:rPr>
          <w:rFonts w:hint="eastAsia" w:ascii="宋体" w:hAnsi="宋体" w:eastAsia="宋体" w:cs="宋体"/>
          <w:b w:val="0"/>
          <w:bCs w:val="0"/>
          <w:sz w:val="24"/>
          <w:szCs w:val="24"/>
          <w:highlight w:val="none"/>
        </w:rPr>
      </w:pPr>
    </w:p>
    <w:sdt>
      <w:sdtPr>
        <w:rPr>
          <w:rFonts w:hint="eastAsia" w:ascii="宋体" w:hAnsi="宋体" w:eastAsia="宋体" w:cs="宋体"/>
          <w:b w:val="0"/>
          <w:bCs w:val="0"/>
          <w:kern w:val="2"/>
          <w:sz w:val="24"/>
          <w:szCs w:val="24"/>
          <w:highlight w:val="none"/>
          <w:lang w:val="en-US" w:eastAsia="zh-CN" w:bidi="ar-SA"/>
        </w:rPr>
        <w:id w:val="147478620"/>
        <w15:color w:val="DBDBDB"/>
        <w:docPartObj>
          <w:docPartGallery w:val="Table of Contents"/>
          <w:docPartUnique/>
        </w:docPartObj>
      </w:sdtPr>
      <w:sdtEndPr>
        <w:rPr>
          <w:rFonts w:hint="eastAsia" w:ascii="Times New Roman" w:hAnsi="Times New Roman" w:eastAsia="宋体" w:cs="Times New Roman"/>
          <w:b w:val="0"/>
          <w:bCs w:val="0"/>
          <w:kern w:val="2"/>
          <w:sz w:val="21"/>
          <w:szCs w:val="24"/>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cs="宋体"/>
              <w:b w:val="0"/>
              <w:bCs w:val="0"/>
              <w:sz w:val="24"/>
              <w:highlight w:val="none"/>
            </w:rPr>
          </w:pPr>
        </w:p>
        <w:p>
          <w:pPr>
            <w:pStyle w:val="187"/>
            <w:tabs>
              <w:tab w:val="right" w:leader="dot" w:pos="8300"/>
            </w:tabs>
            <w:spacing w:line="360" w:lineRule="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TOC \o "1-1" \h \u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_Toc25723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 xml:space="preserve">第一章 </w:t>
          </w:r>
          <w:r>
            <w:rPr>
              <w:rFonts w:hint="eastAsia" w:ascii="微软雅黑" w:hAnsi="微软雅黑" w:eastAsia="微软雅黑" w:cs="微软雅黑"/>
              <w:b w:val="0"/>
              <w:bCs w:val="0"/>
              <w:sz w:val="24"/>
              <w:szCs w:val="24"/>
              <w:highlight w:val="none"/>
              <w:lang w:val="en-US" w:eastAsia="zh-CN"/>
            </w:rPr>
            <w:t>挂网</w:t>
          </w:r>
          <w:r>
            <w:rPr>
              <w:rFonts w:hint="eastAsia" w:ascii="微软雅黑" w:hAnsi="微软雅黑" w:eastAsia="微软雅黑" w:cs="微软雅黑"/>
              <w:b w:val="0"/>
              <w:bCs w:val="0"/>
              <w:sz w:val="24"/>
              <w:szCs w:val="24"/>
              <w:highlight w:val="none"/>
            </w:rPr>
            <w:t>公告</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PAGEREF _Toc25723 \h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3</w:t>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rPr>
            <w:fldChar w:fldCharType="end"/>
          </w:r>
        </w:p>
        <w:p>
          <w:pPr>
            <w:pStyle w:val="187"/>
            <w:tabs>
              <w:tab w:val="right" w:leader="dot" w:pos="8300"/>
            </w:tabs>
            <w:spacing w:line="360" w:lineRule="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_Toc4462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第二章 供应商须知</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PAGEREF _Toc4462 \h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7</w:t>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rPr>
            <w:fldChar w:fldCharType="end"/>
          </w:r>
        </w:p>
        <w:p>
          <w:pPr>
            <w:pStyle w:val="187"/>
            <w:tabs>
              <w:tab w:val="right" w:leader="dot" w:pos="8300"/>
            </w:tabs>
            <w:spacing w:line="360" w:lineRule="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_Toc2458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第三章 评审办法</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PAGEREF _Toc2458 \h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24</w:t>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rPr>
            <w:fldChar w:fldCharType="end"/>
          </w:r>
        </w:p>
        <w:p>
          <w:pPr>
            <w:pStyle w:val="187"/>
            <w:tabs>
              <w:tab w:val="right" w:leader="dot" w:pos="8300"/>
            </w:tabs>
            <w:spacing w:line="360" w:lineRule="auto"/>
            <w:rPr>
              <w:rFonts w:hint="eastAsia"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_Toc9329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第四章 合同条款及格式</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PAGEREF _Toc9329 \h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2</w:t>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7</w:t>
          </w:r>
        </w:p>
        <w:p>
          <w:pPr>
            <w:pStyle w:val="187"/>
            <w:tabs>
              <w:tab w:val="right" w:leader="dot" w:pos="8300"/>
            </w:tabs>
            <w:spacing w:line="360" w:lineRule="auto"/>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_Toc25367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第五章 采购需求</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34</w:t>
          </w:r>
        </w:p>
        <w:p>
          <w:pPr>
            <w:pStyle w:val="187"/>
            <w:tabs>
              <w:tab w:val="right" w:leader="dot" w:pos="8300"/>
            </w:tabs>
            <w:spacing w:line="360" w:lineRule="auto"/>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_Toc3928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第六章 响应文件格式</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37</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_Toc23934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一、响应函</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39</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_Toc23996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rPr>
            <w:t>二、授权委托书(适用于有委托代理人的情况)</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42</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_Toc16749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三</w:t>
          </w:r>
          <w:r>
            <w:rPr>
              <w:rFonts w:hint="eastAsia" w:ascii="微软雅黑" w:hAnsi="微软雅黑" w:eastAsia="微软雅黑" w:cs="微软雅黑"/>
              <w:b w:val="0"/>
              <w:bCs w:val="0"/>
              <w:sz w:val="24"/>
              <w:szCs w:val="24"/>
              <w:highlight w:val="none"/>
            </w:rPr>
            <w:t>、商务和技术偏差表</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43</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_Toc23116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四</w:t>
          </w:r>
          <w:r>
            <w:rPr>
              <w:rFonts w:hint="eastAsia" w:ascii="微软雅黑" w:hAnsi="微软雅黑" w:eastAsia="微软雅黑" w:cs="微软雅黑"/>
              <w:b w:val="0"/>
              <w:bCs w:val="0"/>
              <w:sz w:val="24"/>
              <w:szCs w:val="24"/>
              <w:highlight w:val="none"/>
            </w:rPr>
            <w:t>、报价表</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44</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_Toc12364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五</w:t>
          </w:r>
          <w:r>
            <w:rPr>
              <w:rFonts w:hint="eastAsia" w:ascii="微软雅黑" w:hAnsi="微软雅黑" w:eastAsia="微软雅黑" w:cs="微软雅黑"/>
              <w:b w:val="0"/>
              <w:bCs w:val="0"/>
              <w:sz w:val="24"/>
              <w:szCs w:val="24"/>
              <w:highlight w:val="none"/>
            </w:rPr>
            <w:t>、资格审查资料</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45</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_Toc18209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六</w:t>
          </w:r>
          <w:r>
            <w:rPr>
              <w:rFonts w:hint="eastAsia" w:ascii="微软雅黑" w:hAnsi="微软雅黑" w:eastAsia="微软雅黑" w:cs="微软雅黑"/>
              <w:b w:val="0"/>
              <w:bCs w:val="0"/>
              <w:sz w:val="24"/>
              <w:szCs w:val="24"/>
              <w:highlight w:val="none"/>
            </w:rPr>
            <w:t>、响应方案</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46</w:t>
          </w:r>
        </w:p>
        <w:p>
          <w:pPr>
            <w:pStyle w:val="187"/>
            <w:tabs>
              <w:tab w:val="right" w:leader="dot" w:pos="8300"/>
            </w:tabs>
            <w:spacing w:line="360" w:lineRule="auto"/>
            <w:ind w:leftChars="100"/>
            <w:rPr>
              <w:rFonts w:hint="default"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val="0"/>
              <w:bCs w:val="0"/>
              <w:sz w:val="24"/>
              <w:szCs w:val="24"/>
              <w:highlight w:val="none"/>
            </w:rPr>
            <w:fldChar w:fldCharType="begin"/>
          </w:r>
          <w:r>
            <w:rPr>
              <w:rFonts w:hint="eastAsia" w:ascii="微软雅黑" w:hAnsi="微软雅黑" w:eastAsia="微软雅黑" w:cs="微软雅黑"/>
              <w:b w:val="0"/>
              <w:bCs w:val="0"/>
              <w:sz w:val="24"/>
              <w:szCs w:val="24"/>
              <w:highlight w:val="none"/>
            </w:rPr>
            <w:instrText xml:space="preserve"> HYPERLINK \l _Toc2071 </w:instrText>
          </w:r>
          <w:r>
            <w:rPr>
              <w:rFonts w:hint="eastAsia" w:ascii="微软雅黑" w:hAnsi="微软雅黑" w:eastAsia="微软雅黑" w:cs="微软雅黑"/>
              <w:b w:val="0"/>
              <w:bCs w:val="0"/>
              <w:sz w:val="24"/>
              <w:szCs w:val="24"/>
              <w:highlight w:val="none"/>
            </w:rPr>
            <w:fldChar w:fldCharType="separate"/>
          </w:r>
          <w:r>
            <w:rPr>
              <w:rFonts w:hint="eastAsia" w:ascii="微软雅黑" w:hAnsi="微软雅黑" w:eastAsia="微软雅黑" w:cs="微软雅黑"/>
              <w:b w:val="0"/>
              <w:bCs w:val="0"/>
              <w:sz w:val="24"/>
              <w:szCs w:val="24"/>
              <w:highlight w:val="none"/>
              <w:lang w:eastAsia="zh-CN"/>
            </w:rPr>
            <w:t>七</w:t>
          </w:r>
          <w:r>
            <w:rPr>
              <w:rFonts w:hint="eastAsia" w:ascii="微软雅黑" w:hAnsi="微软雅黑" w:eastAsia="微软雅黑" w:cs="微软雅黑"/>
              <w:b w:val="0"/>
              <w:bCs w:val="0"/>
              <w:sz w:val="24"/>
              <w:szCs w:val="24"/>
              <w:highlight w:val="none"/>
            </w:rPr>
            <w:t>、其他资料</w:t>
          </w:r>
          <w:r>
            <w:rPr>
              <w:rFonts w:hint="eastAsia" w:ascii="微软雅黑" w:hAnsi="微软雅黑" w:eastAsia="微软雅黑" w:cs="微软雅黑"/>
              <w:b w:val="0"/>
              <w:bCs w:val="0"/>
              <w:sz w:val="24"/>
              <w:szCs w:val="24"/>
              <w:highlight w:val="none"/>
            </w:rPr>
            <w:tab/>
          </w:r>
          <w:r>
            <w:rPr>
              <w:rFonts w:hint="eastAsia" w:ascii="微软雅黑" w:hAnsi="微软雅黑" w:eastAsia="微软雅黑" w:cs="微软雅黑"/>
              <w:b w:val="0"/>
              <w:bCs w:val="0"/>
              <w:sz w:val="24"/>
              <w:szCs w:val="24"/>
              <w:highlight w:val="none"/>
            </w:rPr>
            <w:fldChar w:fldCharType="end"/>
          </w:r>
          <w:r>
            <w:rPr>
              <w:rFonts w:hint="eastAsia" w:ascii="微软雅黑" w:hAnsi="微软雅黑" w:eastAsia="微软雅黑" w:cs="微软雅黑"/>
              <w:b w:val="0"/>
              <w:bCs w:val="0"/>
              <w:sz w:val="24"/>
              <w:szCs w:val="24"/>
              <w:highlight w:val="none"/>
              <w:lang w:val="en-US" w:eastAsia="zh-CN"/>
            </w:rPr>
            <w:t>47</w:t>
          </w:r>
        </w:p>
        <w:p>
          <w:pPr>
            <w:spacing w:line="360" w:lineRule="auto"/>
            <w:rPr>
              <w:highlight w:val="none"/>
            </w:rPr>
          </w:pPr>
          <w:r>
            <w:rPr>
              <w:rFonts w:hint="eastAsia" w:ascii="微软雅黑" w:hAnsi="微软雅黑" w:eastAsia="微软雅黑" w:cs="微软雅黑"/>
              <w:b w:val="0"/>
              <w:bCs w:val="0"/>
              <w:sz w:val="24"/>
              <w:highlight w:val="none"/>
            </w:rPr>
            <w:fldChar w:fldCharType="end"/>
          </w:r>
        </w:p>
      </w:sdtContent>
    </w:sdt>
    <w:p>
      <w:pPr>
        <w:numPr>
          <w:ilvl w:val="0"/>
          <w:numId w:val="1"/>
        </w:numPr>
        <w:spacing w:line="600" w:lineRule="exact"/>
        <w:ind w:firstLineChars="0"/>
        <w:jc w:val="center"/>
        <w:outlineLvl w:val="0"/>
        <w:rPr>
          <w:rFonts w:hint="eastAsia" w:ascii="黑体" w:hAnsi="黑体" w:eastAsia="黑体" w:cs="仿宋"/>
          <w:b/>
          <w:color w:val="000000"/>
          <w:sz w:val="44"/>
          <w:szCs w:val="44"/>
          <w:highlight w:val="none"/>
        </w:rPr>
      </w:pPr>
      <w:bookmarkStart w:id="0" w:name="_Toc25723"/>
      <w:r>
        <w:rPr>
          <w:rFonts w:hint="eastAsia" w:ascii="黑体" w:hAnsi="黑体" w:eastAsia="黑体" w:cs="仿宋"/>
          <w:b/>
          <w:color w:val="000000"/>
          <w:sz w:val="44"/>
          <w:szCs w:val="44"/>
          <w:highlight w:val="none"/>
        </w:rPr>
        <w:br w:type="page"/>
      </w:r>
    </w:p>
    <w:p>
      <w:pPr>
        <w:pStyle w:val="76"/>
        <w:numPr>
          <w:ilvl w:val="-1"/>
          <w:numId w:val="0"/>
        </w:numPr>
        <w:spacing w:line="600" w:lineRule="exact"/>
        <w:ind w:left="0" w:firstLine="0" w:firstLineChars="0"/>
        <w:jc w:val="center"/>
        <w:outlineLvl w:val="0"/>
        <w:rPr>
          <w:rFonts w:ascii="黑体" w:hAnsi="黑体" w:eastAsia="黑体" w:cs="仿宋"/>
          <w:b/>
          <w:color w:val="000000"/>
          <w:sz w:val="44"/>
          <w:szCs w:val="44"/>
          <w:highlight w:val="none"/>
        </w:rPr>
      </w:pPr>
      <w:r>
        <w:rPr>
          <w:rFonts w:hint="eastAsia" w:ascii="黑体" w:hAnsi="黑体" w:eastAsia="黑体" w:cs="仿宋"/>
          <w:b/>
          <w:color w:val="000000"/>
          <w:sz w:val="44"/>
          <w:szCs w:val="44"/>
          <w:highlight w:val="none"/>
        </w:rPr>
        <w:t>采购公告</w:t>
      </w:r>
      <w:bookmarkEnd w:id="0"/>
    </w:p>
    <w:p>
      <w:pPr>
        <w:rPr>
          <w:sz w:val="32"/>
          <w:szCs w:val="32"/>
          <w:highlight w:val="none"/>
        </w:rPr>
      </w:pPr>
    </w:p>
    <w:p>
      <w:pPr>
        <w:widowControl w:val="0"/>
        <w:adjustRightInd w:val="0"/>
        <w:snapToGrid w:val="0"/>
        <w:spacing w:before="0" w:beforeAutospacing="0" w:after="0" w:afterAutospacing="0" w:line="360" w:lineRule="auto"/>
        <w:ind w:firstLine="0" w:firstLineChars="0"/>
        <w:jc w:val="center"/>
        <w:rPr>
          <w:rFonts w:cs="Times New Roman"/>
          <w:kern w:val="2"/>
          <w:highlight w:val="none"/>
        </w:rPr>
      </w:pPr>
      <w:r>
        <w:rPr>
          <w:rFonts w:hint="eastAsia" w:ascii="黑体" w:hAnsi="黑体" w:eastAsia="黑体" w:cs="黑体"/>
          <w:color w:val="000000"/>
          <w:sz w:val="32"/>
          <w:szCs w:val="32"/>
          <w:highlight w:val="none"/>
          <w:lang w:eastAsia="zh-CN"/>
        </w:rPr>
        <w:t>湖南省虞公港建设投资有限公司工程用车辆</w:t>
      </w:r>
      <w:r>
        <w:rPr>
          <w:rFonts w:hint="eastAsia" w:ascii="黑体" w:hAnsi="黑体" w:eastAsia="黑体" w:cs="黑体"/>
          <w:sz w:val="32"/>
          <w:szCs w:val="32"/>
          <w:highlight w:val="none"/>
          <w:lang w:eastAsia="zh-CN"/>
        </w:rPr>
        <w:t>采购项目</w:t>
      </w:r>
      <w:r>
        <w:rPr>
          <w:rFonts w:hint="eastAsia" w:ascii="黑体" w:hAnsi="黑体" w:eastAsia="黑体" w:cs="黑体"/>
          <w:sz w:val="32"/>
          <w:szCs w:val="32"/>
          <w:highlight w:val="none"/>
          <w:lang w:val="en-US" w:eastAsia="zh-CN"/>
        </w:rPr>
        <w:t>第三次挂网</w:t>
      </w:r>
      <w:r>
        <w:rPr>
          <w:rFonts w:hint="eastAsia" w:ascii="黑体" w:hAnsi="黑体" w:eastAsia="黑体" w:cs="黑体"/>
          <w:sz w:val="32"/>
          <w:szCs w:val="32"/>
          <w:highlight w:val="none"/>
          <w:lang w:eastAsia="zh-CN"/>
        </w:rPr>
        <w:t>公告</w:t>
      </w:r>
      <w:r>
        <w:rPr>
          <w:rFonts w:hint="eastAsia" w:cs="Times New Roman"/>
          <w:kern w:val="2"/>
          <w:highlight w:val="none"/>
        </w:rPr>
        <w:t xml:space="preserve"> </w:t>
      </w:r>
    </w:p>
    <w:p>
      <w:pPr>
        <w:autoSpaceDE w:val="0"/>
        <w:spacing w:line="360" w:lineRule="auto"/>
        <w:jc w:val="both"/>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eastAsia="zh-CN"/>
        </w:rPr>
        <w:t>湖南省虞公港建设投资有限公司工程用车采购项目</w:t>
      </w:r>
      <w:r>
        <w:rPr>
          <w:rFonts w:hint="eastAsia" w:ascii="宋体" w:hAnsi="宋体"/>
          <w:sz w:val="24"/>
          <w:highlight w:val="none"/>
        </w:rPr>
        <w:t xml:space="preserve">已具备采购条件，现公开邀请具备实施能力的供应商参加采购活动。 </w:t>
      </w:r>
    </w:p>
    <w:p>
      <w:pPr>
        <w:pStyle w:val="7"/>
        <w:spacing w:line="360" w:lineRule="auto"/>
        <w:jc w:val="both"/>
        <w:rPr>
          <w:rFonts w:ascii="Arial" w:hAnsi="Arial"/>
          <w:highlight w:val="none"/>
        </w:rPr>
      </w:pPr>
      <w:r>
        <w:rPr>
          <w:rFonts w:hint="eastAsia"/>
          <w:highlight w:val="none"/>
        </w:rPr>
        <w:t xml:space="preserve">1 </w:t>
      </w:r>
      <w:r>
        <w:rPr>
          <w:rFonts w:hint="eastAsia" w:ascii="黑体" w:hAnsi="黑体"/>
          <w:highlight w:val="none"/>
        </w:rPr>
        <w:t xml:space="preserve">采购项目简介 </w:t>
      </w:r>
    </w:p>
    <w:p>
      <w:pPr>
        <w:autoSpaceDE w:val="0"/>
        <w:spacing w:line="360" w:lineRule="auto"/>
        <w:jc w:val="both"/>
        <w:rPr>
          <w:rFonts w:hint="eastAsia" w:ascii="宋体" w:hAnsi="宋体" w:cs="宋体"/>
          <w:sz w:val="24"/>
          <w:highlight w:val="none"/>
        </w:rPr>
      </w:pPr>
      <w:r>
        <w:rPr>
          <w:rFonts w:hint="eastAsia" w:ascii="宋体" w:hAnsi="宋体"/>
          <w:b/>
          <w:bCs/>
          <w:sz w:val="24"/>
          <w:highlight w:val="none"/>
        </w:rPr>
        <w:t>1.1</w:t>
      </w:r>
      <w:r>
        <w:rPr>
          <w:rFonts w:hint="eastAsia" w:ascii="宋体" w:hAnsi="宋体"/>
          <w:sz w:val="24"/>
          <w:highlight w:val="none"/>
        </w:rPr>
        <w:t xml:space="preserve"> 采购项目名</w:t>
      </w:r>
      <w:r>
        <w:rPr>
          <w:rFonts w:hint="eastAsia" w:ascii="宋体" w:hAnsi="宋体" w:cs="宋体"/>
          <w:sz w:val="24"/>
          <w:highlight w:val="none"/>
        </w:rPr>
        <w:t>称:</w:t>
      </w:r>
      <w:r>
        <w:rPr>
          <w:rFonts w:hint="eastAsia" w:ascii="宋体" w:hAnsi="宋体"/>
          <w:sz w:val="24"/>
          <w:highlight w:val="none"/>
          <w:lang w:eastAsia="zh-CN"/>
        </w:rPr>
        <w:t>湖南省虞公港建设投资有限公司</w:t>
      </w:r>
      <w:r>
        <w:rPr>
          <w:rFonts w:hint="eastAsia" w:ascii="宋体" w:hAnsi="宋体" w:cs="宋体"/>
          <w:color w:val="000000"/>
          <w:sz w:val="24"/>
          <w:szCs w:val="24"/>
          <w:highlight w:val="none"/>
          <w:lang w:eastAsia="zh-CN"/>
        </w:rPr>
        <w:t>工程用车辆</w:t>
      </w:r>
      <w:r>
        <w:rPr>
          <w:rFonts w:hint="eastAsia" w:ascii="宋体" w:hAnsi="宋体" w:eastAsia="宋体" w:cs="宋体"/>
          <w:color w:val="000000"/>
          <w:sz w:val="24"/>
          <w:szCs w:val="24"/>
          <w:highlight w:val="none"/>
          <w:lang w:eastAsia="zh-CN"/>
        </w:rPr>
        <w:t>采购项目</w:t>
      </w:r>
    </w:p>
    <w:p>
      <w:pPr>
        <w:autoSpaceDE w:val="0"/>
        <w:spacing w:line="360" w:lineRule="auto"/>
        <w:jc w:val="both"/>
        <w:rPr>
          <w:rFonts w:hint="eastAsia" w:ascii="宋体" w:hAnsi="宋体" w:eastAsia="宋体"/>
          <w:sz w:val="24"/>
          <w:highlight w:val="none"/>
          <w:lang w:eastAsia="zh-CN"/>
        </w:rPr>
      </w:pPr>
      <w:r>
        <w:rPr>
          <w:rFonts w:hint="eastAsia" w:ascii="宋体" w:hAnsi="宋体"/>
          <w:b/>
          <w:bCs/>
          <w:sz w:val="24"/>
          <w:highlight w:val="none"/>
        </w:rPr>
        <w:t>1.2</w:t>
      </w:r>
      <w:r>
        <w:rPr>
          <w:rFonts w:hint="eastAsia" w:ascii="宋体" w:hAnsi="宋体"/>
          <w:sz w:val="24"/>
          <w:highlight w:val="none"/>
        </w:rPr>
        <w:t xml:space="preserve"> 采购人:</w:t>
      </w:r>
      <w:r>
        <w:rPr>
          <w:rFonts w:hint="eastAsia" w:ascii="宋体" w:hAnsi="宋体"/>
          <w:sz w:val="24"/>
          <w:highlight w:val="none"/>
          <w:lang w:eastAsia="zh-CN"/>
        </w:rPr>
        <w:t>湖南省虞公港建设投资有限公司</w:t>
      </w:r>
    </w:p>
    <w:p>
      <w:pPr>
        <w:autoSpaceDE w:val="0"/>
        <w:spacing w:line="360" w:lineRule="auto"/>
        <w:jc w:val="both"/>
        <w:rPr>
          <w:rFonts w:ascii="宋体" w:hAnsi="宋体"/>
          <w:sz w:val="24"/>
          <w:highlight w:val="none"/>
        </w:rPr>
      </w:pPr>
      <w:r>
        <w:rPr>
          <w:rFonts w:hint="eastAsia" w:ascii="宋体" w:hAnsi="宋体"/>
          <w:b/>
          <w:bCs/>
          <w:sz w:val="24"/>
          <w:highlight w:val="none"/>
        </w:rPr>
        <w:t>1.3</w:t>
      </w:r>
      <w:r>
        <w:rPr>
          <w:rFonts w:hint="eastAsia" w:ascii="宋体" w:hAnsi="宋体"/>
          <w:sz w:val="24"/>
          <w:highlight w:val="none"/>
        </w:rPr>
        <w:t xml:space="preserve"> 采购代理机构:无</w:t>
      </w:r>
    </w:p>
    <w:p>
      <w:pPr>
        <w:autoSpaceDE w:val="0"/>
        <w:spacing w:line="360" w:lineRule="auto"/>
        <w:jc w:val="both"/>
        <w:rPr>
          <w:rFonts w:ascii="宋体" w:hAnsi="宋体"/>
          <w:sz w:val="24"/>
          <w:highlight w:val="none"/>
        </w:rPr>
      </w:pPr>
      <w:r>
        <w:rPr>
          <w:rFonts w:hint="eastAsia" w:ascii="宋体" w:hAnsi="宋体"/>
          <w:b/>
          <w:bCs/>
          <w:sz w:val="24"/>
          <w:highlight w:val="none"/>
        </w:rPr>
        <w:t xml:space="preserve">1.4 </w:t>
      </w:r>
      <w:r>
        <w:rPr>
          <w:rFonts w:hint="eastAsia" w:ascii="宋体" w:hAnsi="宋体"/>
          <w:sz w:val="24"/>
          <w:highlight w:val="none"/>
        </w:rPr>
        <w:t>采购项目资金落实情况:自筹资金，已落实</w:t>
      </w:r>
    </w:p>
    <w:p>
      <w:pPr>
        <w:autoSpaceDE w:val="0"/>
        <w:spacing w:line="360" w:lineRule="auto"/>
        <w:jc w:val="both"/>
        <w:rPr>
          <w:rFonts w:hint="default" w:ascii="宋体" w:hAnsi="宋体" w:eastAsia="宋体"/>
          <w:sz w:val="24"/>
          <w:highlight w:val="none"/>
          <w:lang w:val="en-US" w:eastAsia="zh-CN"/>
        </w:rPr>
      </w:pPr>
      <w:r>
        <w:rPr>
          <w:rFonts w:hint="eastAsia" w:ascii="宋体" w:hAnsi="宋体"/>
          <w:b/>
          <w:bCs/>
          <w:sz w:val="24"/>
          <w:highlight w:val="none"/>
        </w:rPr>
        <w:t xml:space="preserve">1.5 </w:t>
      </w:r>
      <w:r>
        <w:rPr>
          <w:rFonts w:hint="eastAsia" w:ascii="宋体" w:hAnsi="宋体"/>
          <w:sz w:val="24"/>
          <w:highlight w:val="none"/>
        </w:rPr>
        <w:t>采购项目概况:</w:t>
      </w:r>
      <w:r>
        <w:rPr>
          <w:rFonts w:hint="eastAsia" w:ascii="宋体" w:hAnsi="宋体"/>
          <w:sz w:val="24"/>
          <w:highlight w:val="none"/>
          <w:lang w:eastAsia="zh-CN"/>
        </w:rPr>
        <w:t>由于虞公港项目距公司办公地点相隔</w:t>
      </w:r>
      <w:r>
        <w:rPr>
          <w:rFonts w:hint="eastAsia" w:ascii="宋体" w:hAnsi="宋体"/>
          <w:sz w:val="24"/>
          <w:highlight w:val="none"/>
          <w:lang w:val="en-US" w:eastAsia="zh-CN"/>
        </w:rPr>
        <w:t>20多公里，</w:t>
      </w:r>
      <w:r>
        <w:rPr>
          <w:rFonts w:hint="eastAsia" w:ascii="宋体" w:hAnsi="宋体"/>
          <w:sz w:val="24"/>
          <w:highlight w:val="none"/>
          <w:lang w:eastAsia="zh-CN"/>
        </w:rPr>
        <w:t>工程部长期频繁往项目与公司，物资材料需求量大，为了</w:t>
      </w:r>
      <w:r>
        <w:rPr>
          <w:rFonts w:hint="eastAsia" w:ascii="宋体" w:hAnsi="宋体" w:cs="宋体"/>
          <w:color w:val="000000"/>
          <w:sz w:val="24"/>
          <w:szCs w:val="24"/>
          <w:highlight w:val="none"/>
          <w:lang w:val="en-US" w:eastAsia="zh-CN"/>
        </w:rPr>
        <w:t>提高工程施工效率，现需采购工程用皮卡车一辆。</w:t>
      </w:r>
    </w:p>
    <w:p>
      <w:pPr>
        <w:pStyle w:val="7"/>
        <w:tabs>
          <w:tab w:val="center" w:pos="4150"/>
        </w:tabs>
        <w:spacing w:line="360" w:lineRule="auto"/>
        <w:jc w:val="both"/>
        <w:rPr>
          <w:rFonts w:hint="eastAsia" w:ascii="Arial" w:hAnsi="Arial" w:eastAsiaTheme="majorEastAsia"/>
          <w:highlight w:val="none"/>
          <w:lang w:eastAsia="zh-CN"/>
        </w:rPr>
      </w:pPr>
      <w:r>
        <w:rPr>
          <w:rFonts w:hint="eastAsia"/>
          <w:highlight w:val="none"/>
        </w:rPr>
        <w:t>2．</w:t>
      </w:r>
      <w:r>
        <w:rPr>
          <w:rFonts w:hint="eastAsia" w:ascii="黑体" w:hAnsi="黑体"/>
          <w:highlight w:val="none"/>
        </w:rPr>
        <w:t>采购范围及相关要求</w:t>
      </w:r>
    </w:p>
    <w:p>
      <w:pPr>
        <w:autoSpaceDE w:val="0"/>
        <w:spacing w:line="360" w:lineRule="auto"/>
        <w:jc w:val="both"/>
        <w:rPr>
          <w:rFonts w:hint="eastAsia" w:ascii="宋体" w:hAnsi="宋体"/>
          <w:sz w:val="24"/>
          <w:highlight w:val="none"/>
        </w:rPr>
      </w:pPr>
      <w:r>
        <w:rPr>
          <w:rFonts w:hint="eastAsia" w:ascii="宋体" w:hAnsi="宋体"/>
          <w:b/>
          <w:bCs/>
          <w:sz w:val="24"/>
          <w:highlight w:val="none"/>
        </w:rPr>
        <w:t xml:space="preserve">2.1 </w:t>
      </w:r>
      <w:r>
        <w:rPr>
          <w:rFonts w:hint="eastAsia" w:ascii="宋体" w:hAnsi="宋体"/>
          <w:sz w:val="24"/>
          <w:highlight w:val="none"/>
        </w:rPr>
        <w:t xml:space="preserve">采购范围: </w:t>
      </w:r>
    </w:p>
    <w:p>
      <w:pPr>
        <w:numPr>
          <w:ilvl w:val="-1"/>
          <w:numId w:val="0"/>
        </w:numPr>
        <w:autoSpaceDE w:val="0"/>
        <w:spacing w:line="360" w:lineRule="auto"/>
        <w:ind w:left="0" w:firstLine="240" w:firstLineChars="100"/>
        <w:jc w:val="both"/>
        <w:rPr>
          <w:rFonts w:hint="eastAsia" w:ascii="宋体" w:hAnsi="宋体"/>
          <w:sz w:val="24"/>
          <w:highlight w:val="none"/>
          <w:lang w:eastAsia="zh-CN"/>
        </w:rPr>
      </w:pPr>
      <w:r>
        <w:rPr>
          <w:rFonts w:hint="eastAsia" w:ascii="宋体" w:hAnsi="宋体"/>
          <w:sz w:val="24"/>
          <w:highlight w:val="none"/>
          <w:lang w:val="en-US" w:eastAsia="zh-CN"/>
        </w:rPr>
        <w:t>（1）皮卡车一辆</w:t>
      </w:r>
    </w:p>
    <w:p>
      <w:pPr>
        <w:numPr>
          <w:ilvl w:val="-1"/>
          <w:numId w:val="0"/>
        </w:numPr>
        <w:autoSpaceDE w:val="0"/>
        <w:spacing w:line="360" w:lineRule="auto"/>
        <w:ind w:left="0" w:firstLine="240" w:firstLineChars="100"/>
        <w:jc w:val="both"/>
        <w:rPr>
          <w:rFonts w:hint="eastAsia" w:ascii="宋体" w:hAnsi="宋体"/>
          <w:sz w:val="24"/>
          <w:highlight w:val="none"/>
          <w:lang w:eastAsia="zh-CN"/>
        </w:rPr>
      </w:pPr>
      <w:r>
        <w:rPr>
          <w:rFonts w:hint="eastAsia" w:ascii="宋体" w:hAnsi="宋体"/>
          <w:sz w:val="24"/>
          <w:highlight w:val="none"/>
          <w:lang w:val="en-US" w:eastAsia="zh-CN"/>
        </w:rPr>
        <w:t>（2）</w:t>
      </w:r>
      <w:r>
        <w:rPr>
          <w:rFonts w:hint="eastAsia" w:ascii="宋体" w:hAnsi="宋体"/>
          <w:b/>
          <w:bCs/>
          <w:sz w:val="24"/>
          <w:highlight w:val="none"/>
          <w:lang w:val="en-US" w:eastAsia="zh-CN"/>
        </w:rPr>
        <w:t>含新车采购及代为上牌。</w:t>
      </w:r>
    </w:p>
    <w:p>
      <w:pPr>
        <w:autoSpaceDE w:val="0"/>
        <w:spacing w:line="360" w:lineRule="auto"/>
        <w:jc w:val="both"/>
        <w:rPr>
          <w:rFonts w:ascii="宋体" w:hAnsi="宋体"/>
          <w:sz w:val="24"/>
          <w:highlight w:val="none"/>
        </w:rPr>
      </w:pPr>
      <w:r>
        <w:rPr>
          <w:rFonts w:hint="eastAsia" w:ascii="宋体" w:hAnsi="宋体"/>
          <w:b/>
          <w:bCs/>
          <w:sz w:val="24"/>
          <w:highlight w:val="none"/>
        </w:rPr>
        <w:t xml:space="preserve">2.2 </w:t>
      </w:r>
      <w:r>
        <w:rPr>
          <w:rFonts w:hint="eastAsia" w:ascii="宋体" w:hAnsi="宋体"/>
          <w:b w:val="0"/>
          <w:bCs w:val="0"/>
          <w:sz w:val="24"/>
          <w:highlight w:val="none"/>
          <w:lang w:eastAsia="zh-CN"/>
        </w:rPr>
        <w:t>交货</w:t>
      </w:r>
      <w:r>
        <w:rPr>
          <w:rFonts w:hint="eastAsia" w:ascii="宋体" w:hAnsi="宋体"/>
          <w:b w:val="0"/>
          <w:bCs w:val="0"/>
          <w:sz w:val="24"/>
          <w:highlight w:val="none"/>
        </w:rPr>
        <w:t>期</w:t>
      </w:r>
      <w:r>
        <w:rPr>
          <w:rFonts w:hint="eastAsia" w:ascii="宋体" w:hAnsi="宋体"/>
          <w:sz w:val="24"/>
          <w:highlight w:val="none"/>
        </w:rPr>
        <w:t xml:space="preserve">限: </w:t>
      </w:r>
      <w:r>
        <w:rPr>
          <w:rFonts w:hint="eastAsia" w:ascii="宋体" w:hAnsi="宋体" w:cs="宋体"/>
          <w:sz w:val="24"/>
          <w:highlight w:val="none"/>
          <w:lang w:eastAsia="zh-CN"/>
        </w:rPr>
        <w:t>合同签订后</w:t>
      </w:r>
      <w:r>
        <w:rPr>
          <w:rFonts w:hint="eastAsia" w:ascii="宋体" w:hAnsi="宋体" w:cs="宋体"/>
          <w:sz w:val="24"/>
          <w:highlight w:val="none"/>
        </w:rPr>
        <w:t>设备</w:t>
      </w:r>
      <w:r>
        <w:rPr>
          <w:rFonts w:hint="eastAsia" w:ascii="宋体" w:hAnsi="宋体" w:cs="宋体"/>
          <w:sz w:val="24"/>
          <w:highlight w:val="none"/>
          <w:lang w:eastAsia="zh-CN"/>
        </w:rPr>
        <w:t>交</w:t>
      </w:r>
      <w:r>
        <w:rPr>
          <w:rFonts w:hint="eastAsia" w:ascii="宋体" w:hAnsi="宋体" w:cs="宋体"/>
          <w:sz w:val="24"/>
          <w:highlight w:val="none"/>
        </w:rPr>
        <w:t>货</w:t>
      </w:r>
      <w:r>
        <w:rPr>
          <w:rFonts w:ascii="宋体" w:hAnsi="宋体" w:cs="宋体"/>
          <w:sz w:val="24"/>
          <w:highlight w:val="none"/>
        </w:rPr>
        <w:t>日期不超过</w:t>
      </w:r>
      <w:r>
        <w:rPr>
          <w:rFonts w:hint="eastAsia" w:ascii="宋体" w:hAnsi="宋体" w:cs="宋体"/>
          <w:color w:val="0000FF"/>
          <w:sz w:val="24"/>
          <w:highlight w:val="none"/>
          <w:u w:val="single"/>
          <w:lang w:val="en-US" w:eastAsia="zh-CN"/>
        </w:rPr>
        <w:t>15</w:t>
      </w:r>
      <w:r>
        <w:rPr>
          <w:rFonts w:hint="eastAsia" w:ascii="宋体" w:hAnsi="宋体" w:cs="宋体"/>
          <w:sz w:val="24"/>
          <w:highlight w:val="none"/>
        </w:rPr>
        <w:t>日历</w:t>
      </w:r>
      <w:r>
        <w:rPr>
          <w:rFonts w:ascii="宋体" w:hAnsi="宋体" w:cs="宋体"/>
          <w:sz w:val="24"/>
          <w:highlight w:val="none"/>
        </w:rPr>
        <w:t>日</w:t>
      </w:r>
      <w:r>
        <w:rPr>
          <w:rFonts w:hint="eastAsia" w:ascii="宋体" w:hAnsi="宋体" w:cs="宋体"/>
          <w:sz w:val="24"/>
          <w:highlight w:val="none"/>
          <w:lang w:eastAsia="zh-CN"/>
        </w:rPr>
        <w:t>。</w:t>
      </w:r>
    </w:p>
    <w:p>
      <w:pPr>
        <w:autoSpaceDE w:val="0"/>
        <w:spacing w:line="360" w:lineRule="auto"/>
        <w:jc w:val="both"/>
        <w:rPr>
          <w:rFonts w:hint="default" w:ascii="宋体" w:hAnsi="宋体" w:eastAsia="宋体"/>
          <w:sz w:val="24"/>
          <w:highlight w:val="none"/>
          <w:lang w:val="en-US" w:eastAsia="zh-CN"/>
        </w:rPr>
      </w:pPr>
      <w:r>
        <w:rPr>
          <w:rFonts w:hint="eastAsia" w:ascii="宋体" w:hAnsi="宋体"/>
          <w:b/>
          <w:bCs/>
          <w:sz w:val="24"/>
          <w:highlight w:val="none"/>
        </w:rPr>
        <w:t xml:space="preserve">2.3 </w:t>
      </w:r>
      <w:r>
        <w:rPr>
          <w:rFonts w:hint="eastAsia" w:ascii="宋体" w:hAnsi="宋体"/>
          <w:b w:val="0"/>
          <w:bCs w:val="0"/>
          <w:sz w:val="24"/>
          <w:highlight w:val="none"/>
          <w:lang w:eastAsia="zh-CN"/>
        </w:rPr>
        <w:t>交货</w:t>
      </w:r>
      <w:r>
        <w:rPr>
          <w:rFonts w:hint="eastAsia" w:ascii="宋体" w:hAnsi="宋体"/>
          <w:sz w:val="24"/>
          <w:highlight w:val="none"/>
        </w:rPr>
        <w:t xml:space="preserve">地点: </w:t>
      </w:r>
      <w:r>
        <w:rPr>
          <w:rFonts w:hint="eastAsia" w:ascii="宋体" w:hAnsi="宋体" w:cs="宋体"/>
          <w:sz w:val="24"/>
          <w:highlight w:val="none"/>
          <w:lang w:eastAsia="zh-CN"/>
        </w:rPr>
        <w:t>湘阴县自然资源局</w:t>
      </w:r>
    </w:p>
    <w:p>
      <w:pPr>
        <w:pStyle w:val="7"/>
        <w:spacing w:line="360" w:lineRule="auto"/>
        <w:jc w:val="both"/>
        <w:rPr>
          <w:rFonts w:ascii="Arial" w:hAnsi="Arial"/>
          <w:highlight w:val="none"/>
        </w:rPr>
      </w:pPr>
      <w:r>
        <w:rPr>
          <w:rFonts w:hint="eastAsia"/>
          <w:highlight w:val="none"/>
        </w:rPr>
        <w:t xml:space="preserve">3 </w:t>
      </w:r>
      <w:r>
        <w:rPr>
          <w:rFonts w:hint="eastAsia" w:ascii="黑体" w:hAnsi="黑体"/>
          <w:highlight w:val="none"/>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highlight w:val="none"/>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autoSpaceDE w:val="0"/>
        <w:spacing w:line="360" w:lineRule="auto"/>
        <w:ind w:firstLine="240" w:firstLineChars="100"/>
        <w:jc w:val="left"/>
        <w:rPr>
          <w:rFonts w:ascii="宋体" w:hAnsi="宋体"/>
          <w:sz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highlight w:val="none"/>
        </w:rPr>
      </w:pPr>
      <w:r>
        <w:rPr>
          <w:rFonts w:hint="eastAsia" w:ascii="宋体" w:hAnsi="宋体"/>
          <w:b/>
          <w:bCs/>
          <w:sz w:val="24"/>
          <w:highlight w:val="none"/>
        </w:rPr>
        <w:t>3.2</w:t>
      </w:r>
      <w:r>
        <w:rPr>
          <w:rFonts w:hint="eastAsia" w:ascii="宋体" w:hAnsi="宋体"/>
          <w:sz w:val="24"/>
          <w:highlight w:val="none"/>
        </w:rPr>
        <w:t>供应商应满足如下要求:</w:t>
      </w:r>
    </w:p>
    <w:tbl>
      <w:tblPr>
        <w:tblStyle w:val="39"/>
        <w:tblW w:w="881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14"/>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58" w:type="dxa"/>
            <w:vAlign w:val="center"/>
          </w:tcPr>
          <w:p>
            <w:pPr>
              <w:widowControl w:val="0"/>
              <w:spacing w:line="360" w:lineRule="auto"/>
              <w:jc w:val="center"/>
              <w:rPr>
                <w:rFonts w:ascii="宋体" w:hAnsi="宋体"/>
                <w:b/>
                <w:bCs/>
                <w:sz w:val="24"/>
                <w:highlight w:val="none"/>
              </w:rPr>
            </w:pPr>
            <w:r>
              <w:rPr>
                <w:rFonts w:hint="eastAsia" w:ascii="宋体" w:hAnsi="宋体"/>
                <w:b/>
                <w:bCs/>
                <w:sz w:val="24"/>
                <w:highlight w:val="none"/>
              </w:rPr>
              <w:t>资格条件</w:t>
            </w:r>
          </w:p>
        </w:tc>
        <w:tc>
          <w:tcPr>
            <w:tcW w:w="1814" w:type="dxa"/>
            <w:vAlign w:val="center"/>
          </w:tcPr>
          <w:p>
            <w:pPr>
              <w:widowControl w:val="0"/>
              <w:spacing w:line="360" w:lineRule="auto"/>
              <w:jc w:val="center"/>
              <w:rPr>
                <w:rFonts w:ascii="宋体" w:hAnsi="宋体"/>
                <w:b/>
                <w:bCs/>
                <w:sz w:val="24"/>
                <w:highlight w:val="none"/>
              </w:rPr>
            </w:pPr>
            <w:r>
              <w:rPr>
                <w:rFonts w:hint="eastAsia" w:ascii="宋体" w:hAnsi="宋体"/>
                <w:b/>
                <w:bCs/>
                <w:sz w:val="24"/>
                <w:highlight w:val="none"/>
              </w:rPr>
              <w:t>对供应商要求</w:t>
            </w:r>
          </w:p>
        </w:tc>
        <w:tc>
          <w:tcPr>
            <w:tcW w:w="4638" w:type="dxa"/>
            <w:vAlign w:val="center"/>
          </w:tcPr>
          <w:p>
            <w:pPr>
              <w:widowControl w:val="0"/>
              <w:spacing w:line="360" w:lineRule="auto"/>
              <w:jc w:val="center"/>
              <w:rPr>
                <w:rFonts w:ascii="宋体" w:hAnsi="宋体"/>
                <w:b/>
                <w:bCs/>
                <w:sz w:val="24"/>
                <w:highlight w:val="none"/>
              </w:rPr>
            </w:pPr>
            <w:r>
              <w:rPr>
                <w:rFonts w:hint="eastAsia" w:ascii="宋体" w:hAnsi="宋体"/>
                <w:b/>
                <w:bCs/>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highlight w:val="none"/>
              </w:rPr>
            </w:pPr>
            <w:r>
              <w:rPr>
                <w:rFonts w:hint="eastAsia" w:ascii="宋体" w:hAnsi="宋体"/>
                <w:sz w:val="24"/>
                <w:highlight w:val="none"/>
              </w:rPr>
              <w:t>（1）依法设立</w:t>
            </w:r>
          </w:p>
        </w:tc>
        <w:tc>
          <w:tcPr>
            <w:tcW w:w="1814" w:type="dxa"/>
            <w:vAlign w:val="center"/>
          </w:tcPr>
          <w:p>
            <w:pPr>
              <w:widowControl w:val="0"/>
              <w:spacing w:line="360" w:lineRule="auto"/>
              <w:jc w:val="center"/>
              <w:rPr>
                <w:rFonts w:ascii="宋体" w:hAnsi="宋体"/>
                <w:sz w:val="24"/>
                <w:highlight w:val="none"/>
              </w:rPr>
            </w:pPr>
            <w:r>
              <w:rPr>
                <w:rStyle w:val="41"/>
                <w:rFonts w:hint="eastAsia"/>
                <w:b w:val="0"/>
                <w:bCs w:val="0"/>
                <w:highlight w:val="none"/>
                <w:u w:val="single"/>
              </w:rPr>
              <w:sym w:font="Wingdings 2" w:char="0052"/>
            </w:r>
            <w:r>
              <w:rPr>
                <w:rStyle w:val="41"/>
                <w:rFonts w:hint="eastAsia"/>
                <w:b w:val="0"/>
                <w:bCs w:val="0"/>
                <w:highlight w:val="none"/>
                <w:u w:val="single"/>
              </w:rPr>
              <w:t>适用</w:t>
            </w:r>
          </w:p>
        </w:tc>
        <w:tc>
          <w:tcPr>
            <w:tcW w:w="4638" w:type="dxa"/>
            <w:vAlign w:val="center"/>
          </w:tcPr>
          <w:p>
            <w:pPr>
              <w:widowControl w:val="0"/>
              <w:spacing w:line="360" w:lineRule="auto"/>
              <w:jc w:val="center"/>
              <w:rPr>
                <w:rFonts w:ascii="宋体" w:hAnsi="宋体"/>
                <w:sz w:val="24"/>
                <w:highlight w:val="none"/>
              </w:rPr>
            </w:pPr>
            <w:r>
              <w:rPr>
                <w:rStyle w:val="41"/>
                <w:rFonts w:hint="eastAsia"/>
                <w:b w:val="0"/>
                <w:bCs w:val="0"/>
                <w:highlight w:val="none"/>
                <w:u w:val="single"/>
              </w:rPr>
              <w:sym w:font="Wingdings 2" w:char="0052"/>
            </w:r>
            <w:r>
              <w:rPr>
                <w:rStyle w:val="41"/>
                <w:rFonts w:hint="eastAsia"/>
                <w:b w:val="0"/>
                <w:bCs w:val="0"/>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（2）资质要求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（3）财务要求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（4）业绩要求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（5）信誉要求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（6）承担本项目的主要人员要求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lang w:eastAsia="zh-CN"/>
              </w:rPr>
              <w:t>不</w:t>
            </w:r>
            <w:r>
              <w:rPr>
                <w:rStyle w:val="41"/>
                <w:rFonts w:hint="eastAsia"/>
                <w:b w:val="0"/>
                <w:bCs w:val="0"/>
                <w:color w:val="auto"/>
                <w:highlight w:val="none"/>
                <w:u w:val="single"/>
              </w:rPr>
              <w:t>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lang w:eastAsia="zh-CN"/>
              </w:rPr>
              <w:t>不</w:t>
            </w:r>
            <w:r>
              <w:rPr>
                <w:rStyle w:val="41"/>
                <w:rFonts w:hint="eastAsia"/>
                <w:b w:val="0"/>
                <w:bCs w:val="0"/>
                <w:color w:val="auto"/>
                <w:highlight w:val="none"/>
                <w:u w:val="singl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color w:val="auto"/>
                <w:sz w:val="24"/>
                <w:highlight w:val="none"/>
              </w:rPr>
            </w:pPr>
            <w:r>
              <w:rPr>
                <w:rFonts w:hint="eastAsia" w:ascii="宋体" w:hAnsi="宋体"/>
                <w:color w:val="auto"/>
                <w:sz w:val="24"/>
                <w:highlight w:val="none"/>
              </w:rPr>
              <w:t>（7）其他要求</w:t>
            </w:r>
          </w:p>
        </w:tc>
        <w:tc>
          <w:tcPr>
            <w:tcW w:w="1814"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c>
          <w:tcPr>
            <w:tcW w:w="4638" w:type="dxa"/>
            <w:vAlign w:val="center"/>
          </w:tcPr>
          <w:p>
            <w:pPr>
              <w:widowControl w:val="0"/>
              <w:spacing w:line="360" w:lineRule="auto"/>
              <w:jc w:val="center"/>
              <w:rPr>
                <w:rFonts w:ascii="宋体" w:hAnsi="宋体"/>
                <w:color w:val="auto"/>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358" w:type="dxa"/>
            <w:vAlign w:val="center"/>
          </w:tcPr>
          <w:p>
            <w:pPr>
              <w:widowControl w:val="0"/>
              <w:spacing w:line="360" w:lineRule="auto"/>
              <w:jc w:val="left"/>
              <w:rPr>
                <w:rFonts w:ascii="宋体" w:hAnsi="宋体"/>
                <w:sz w:val="24"/>
                <w:highlight w:val="none"/>
              </w:rPr>
            </w:pPr>
            <w:r>
              <w:rPr>
                <w:rFonts w:hint="eastAsia" w:ascii="宋体" w:hAnsi="宋体"/>
                <w:sz w:val="24"/>
                <w:highlight w:val="none"/>
              </w:rPr>
              <w:t>（8）供应商不存在第一章3.1款情形的证明材料</w:t>
            </w:r>
          </w:p>
        </w:tc>
        <w:tc>
          <w:tcPr>
            <w:tcW w:w="1814" w:type="dxa"/>
            <w:vAlign w:val="center"/>
          </w:tcPr>
          <w:p>
            <w:pPr>
              <w:widowControl w:val="0"/>
              <w:spacing w:line="360" w:lineRule="auto"/>
              <w:jc w:val="center"/>
              <w:rPr>
                <w:rFonts w:ascii="宋体" w:hAnsi="宋体"/>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w:t>
            </w:r>
          </w:p>
        </w:tc>
        <w:tc>
          <w:tcPr>
            <w:tcW w:w="4638" w:type="dxa"/>
            <w:vAlign w:val="center"/>
          </w:tcPr>
          <w:p>
            <w:pPr>
              <w:widowControl w:val="0"/>
              <w:spacing w:line="360" w:lineRule="auto"/>
              <w:jc w:val="center"/>
              <w:rPr>
                <w:rFonts w:ascii="宋体" w:hAnsi="宋体"/>
                <w:sz w:val="24"/>
                <w:highlight w:val="none"/>
              </w:rPr>
            </w:pPr>
            <w:r>
              <w:rPr>
                <w:rStyle w:val="41"/>
                <w:rFonts w:hint="eastAsia"/>
                <w:b w:val="0"/>
                <w:bCs w:val="0"/>
                <w:color w:val="auto"/>
                <w:highlight w:val="none"/>
                <w:u w:val="single"/>
              </w:rPr>
              <w:sym w:font="Wingdings 2" w:char="0052"/>
            </w:r>
            <w:r>
              <w:rPr>
                <w:rStyle w:val="41"/>
                <w:rFonts w:hint="eastAsia"/>
                <w:b w:val="0"/>
                <w:bCs w:val="0"/>
                <w:color w:val="auto"/>
                <w:highlight w:val="none"/>
                <w:u w:val="single"/>
              </w:rPr>
              <w:t>适用,见采购文件供应商须知前附表3.5（</w:t>
            </w:r>
            <w:r>
              <w:rPr>
                <w:rStyle w:val="41"/>
                <w:rFonts w:hint="eastAsia"/>
                <w:b w:val="0"/>
                <w:bCs w:val="0"/>
                <w:color w:val="auto"/>
                <w:highlight w:val="none"/>
                <w:u w:val="single"/>
                <w:lang w:val="en-US" w:eastAsia="zh-CN"/>
              </w:rPr>
              <w:t>8</w:t>
            </w:r>
            <w:r>
              <w:rPr>
                <w:rStyle w:val="41"/>
                <w:rFonts w:hint="eastAsia"/>
                <w:b w:val="0"/>
                <w:bCs w:val="0"/>
                <w:color w:val="auto"/>
                <w:highlight w:val="none"/>
                <w:u w:val="single"/>
              </w:rPr>
              <w:t>）。</w:t>
            </w:r>
          </w:p>
        </w:tc>
      </w:tr>
    </w:tbl>
    <w:p>
      <w:pPr>
        <w:pStyle w:val="7"/>
        <w:spacing w:line="360" w:lineRule="auto"/>
        <w:jc w:val="both"/>
        <w:rPr>
          <w:rFonts w:ascii="Arial" w:hAnsi="Arial"/>
          <w:highlight w:val="none"/>
        </w:rPr>
      </w:pPr>
      <w:r>
        <w:rPr>
          <w:rFonts w:hint="eastAsia"/>
          <w:highlight w:val="none"/>
        </w:rPr>
        <w:t xml:space="preserve">4 </w:t>
      </w:r>
      <w:r>
        <w:rPr>
          <w:rFonts w:hint="eastAsia" w:ascii="黑体" w:hAnsi="黑体"/>
          <w:highlight w:val="none"/>
        </w:rPr>
        <w:t>响应保证金</w:t>
      </w:r>
    </w:p>
    <w:p>
      <w:pPr>
        <w:pStyle w:val="7"/>
        <w:spacing w:line="360" w:lineRule="auto"/>
        <w:jc w:val="both"/>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无</w:t>
      </w:r>
    </w:p>
    <w:p>
      <w:pPr>
        <w:pStyle w:val="7"/>
        <w:spacing w:line="360" w:lineRule="auto"/>
        <w:jc w:val="both"/>
        <w:rPr>
          <w:rFonts w:ascii="Arial" w:hAnsi="Arial"/>
          <w:highlight w:val="none"/>
        </w:rPr>
      </w:pPr>
      <w:r>
        <w:rPr>
          <w:rFonts w:hint="eastAsia"/>
          <w:highlight w:val="none"/>
        </w:rPr>
        <w:t>5</w:t>
      </w:r>
      <w:r>
        <w:rPr>
          <w:highlight w:val="none"/>
        </w:rPr>
        <w:t xml:space="preserve"> </w:t>
      </w:r>
      <w:r>
        <w:rPr>
          <w:rFonts w:hint="eastAsia" w:ascii="黑体" w:hAnsi="黑体"/>
          <w:highlight w:val="none"/>
        </w:rPr>
        <w:t>确定成交供应商的方法</w:t>
      </w:r>
    </w:p>
    <w:p>
      <w:pPr>
        <w:autoSpaceDE w:val="0"/>
        <w:spacing w:line="360" w:lineRule="auto"/>
        <w:jc w:val="both"/>
        <w:rPr>
          <w:rStyle w:val="41"/>
          <w:highlight w:val="none"/>
        </w:rPr>
      </w:pPr>
      <w:r>
        <w:rPr>
          <w:rFonts w:hint="eastAsia" w:ascii="宋体" w:hAnsi="宋体"/>
          <w:b/>
          <w:bCs/>
          <w:sz w:val="24"/>
          <w:highlight w:val="none"/>
        </w:rPr>
        <w:t>5.1 最低价法</w:t>
      </w:r>
    </w:p>
    <w:p>
      <w:pPr>
        <w:autoSpaceDE w:val="0"/>
        <w:spacing w:line="360" w:lineRule="auto"/>
        <w:jc w:val="both"/>
        <w:rPr>
          <w:rFonts w:ascii="宋体" w:hAnsi="宋体"/>
          <w:sz w:val="24"/>
          <w:highlight w:val="none"/>
        </w:rPr>
      </w:pPr>
      <w:r>
        <w:rPr>
          <w:rFonts w:hint="eastAsia" w:ascii="宋体" w:hAnsi="宋体"/>
          <w:b/>
          <w:bCs/>
          <w:sz w:val="24"/>
          <w:highlight w:val="none"/>
        </w:rPr>
        <w:t>5.2</w:t>
      </w:r>
      <w:r>
        <w:rPr>
          <w:rFonts w:hint="eastAsia" w:ascii="宋体" w:hAnsi="宋体"/>
          <w:sz w:val="24"/>
          <w:highlight w:val="none"/>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黑体" w:hAnsi="黑体"/>
          <w:highlight w:val="none"/>
        </w:rPr>
      </w:pPr>
      <w:r>
        <w:rPr>
          <w:rFonts w:hint="eastAsia"/>
          <w:highlight w:val="none"/>
        </w:rPr>
        <w:t>6</w:t>
      </w:r>
      <w:r>
        <w:rPr>
          <w:rFonts w:hint="eastAsia" w:ascii="黑体" w:hAnsi="黑体"/>
          <w:highlight w:val="none"/>
        </w:rPr>
        <w:t>采购文件获取</w:t>
      </w:r>
    </w:p>
    <w:p>
      <w:pPr>
        <w:autoSpaceDE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
          <w:bCs/>
          <w:sz w:val="24"/>
          <w:highlight w:val="none"/>
        </w:rPr>
        <w:t xml:space="preserve">6.1 </w:t>
      </w:r>
      <w:r>
        <w:rPr>
          <w:rFonts w:hint="eastAsia" w:ascii="宋体" w:hAnsi="宋体"/>
          <w:sz w:val="24"/>
          <w:highlight w:val="none"/>
        </w:rPr>
        <w:t>供应商应当于</w:t>
      </w:r>
      <w:r>
        <w:rPr>
          <w:rFonts w:hint="eastAsia" w:ascii="宋体" w:hAnsi="宋体"/>
          <w:color w:val="000000" w:themeColor="text1"/>
          <w:sz w:val="24"/>
          <w:highlight w:val="none"/>
          <w:u w:val="single"/>
          <w:lang w:val="en-US" w:eastAsia="zh-CN"/>
          <w14:textFill>
            <w14:solidFill>
              <w14:schemeClr w14:val="tx1"/>
            </w14:solidFill>
          </w14:textFill>
        </w:rPr>
        <w:t>2023</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8</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24</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至</w:t>
      </w:r>
      <w:r>
        <w:rPr>
          <w:rFonts w:hint="eastAsia" w:ascii="宋体" w:hAnsi="宋体"/>
          <w:color w:val="000000" w:themeColor="text1"/>
          <w:sz w:val="24"/>
          <w:highlight w:val="none"/>
          <w:u w:val="single"/>
          <w:lang w:val="en-US" w:eastAsia="zh-CN"/>
          <w14:textFill>
            <w14:solidFill>
              <w14:schemeClr w14:val="tx1"/>
            </w14:solidFill>
          </w14:textFill>
        </w:rPr>
        <w:t>2023</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8</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28</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cs="宋体"/>
          <w:color w:val="000000" w:themeColor="text1"/>
          <w:sz w:val="24"/>
          <w:highlight w:val="none"/>
          <w:u w:val="single"/>
          <w14:textFill>
            <w14:solidFill>
              <w14:schemeClr w14:val="tx1"/>
            </w14:solidFill>
          </w14:textFill>
        </w:rPr>
        <w:t>湖南省湘水集团有限公司网站（http：//www.hnsxsjt.com）、</w:t>
      </w:r>
      <w:r>
        <w:rPr>
          <w:rFonts w:hint="eastAsia" w:ascii="宋体" w:hAnsi="宋体" w:cs="宋体"/>
          <w:color w:val="000000" w:themeColor="text1"/>
          <w:sz w:val="24"/>
          <w:highlight w:val="none"/>
          <w:u w:val="single"/>
          <w:lang w:eastAsia="zh-CN"/>
          <w14:textFill>
            <w14:solidFill>
              <w14:schemeClr w14:val="tx1"/>
            </w14:solidFill>
          </w14:textFill>
        </w:rPr>
        <w:t>湖南省港务集团有限公司网站（</w:t>
      </w:r>
      <w:r>
        <w:rPr>
          <w:rFonts w:hint="eastAsia" w:ascii="宋体" w:hAnsi="宋体" w:cs="宋体"/>
          <w:color w:val="000000" w:themeColor="text1"/>
          <w:sz w:val="24"/>
          <w:highlight w:val="none"/>
          <w:u w:val="single"/>
          <w14:textFill>
            <w14:solidFill>
              <w14:schemeClr w14:val="tx1"/>
            </w14:solidFill>
          </w14:textFill>
        </w:rPr>
        <w:t>http://www.hnsgwjt.com</w:t>
      </w:r>
      <w:r>
        <w:rPr>
          <w:rFonts w:hint="eastAsia" w:ascii="宋体" w:hAnsi="宋体" w:cs="宋体"/>
          <w:color w:val="000000" w:themeColor="text1"/>
          <w:sz w:val="24"/>
          <w:highlight w:val="none"/>
          <w:u w:val="single"/>
          <w:lang w:eastAsia="zh-CN"/>
          <w14:textFill>
            <w14:solidFill>
              <w14:schemeClr w14:val="tx1"/>
            </w14:solidFill>
          </w14:textFill>
        </w:rPr>
        <w:t>）网站上</w:t>
      </w:r>
      <w:r>
        <w:rPr>
          <w:rFonts w:hint="eastAsia" w:ascii="宋体" w:hAnsi="宋体"/>
          <w:color w:val="000000" w:themeColor="text1"/>
          <w:sz w:val="24"/>
          <w:highlight w:val="none"/>
          <w14:textFill>
            <w14:solidFill>
              <w14:schemeClr w14:val="tx1"/>
            </w14:solidFill>
          </w14:textFill>
        </w:rPr>
        <w:t>获取采购文件</w:t>
      </w:r>
      <w:r>
        <w:rPr>
          <w:rFonts w:hint="eastAsia" w:ascii="宋体" w:hAnsi="宋体"/>
          <w:color w:val="000000" w:themeColor="text1"/>
          <w:sz w:val="24"/>
          <w:highlight w:val="none"/>
          <w:lang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pPr>
      <w:r>
        <w:rPr>
          <w:rFonts w:hint="eastAsia" w:ascii="宋体" w:hAnsi="宋体" w:eastAsia="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6.2</w:t>
      </w:r>
      <w:r>
        <w:rPr>
          <w:rFonts w:hint="eastAsia" w:ascii="宋体" w:hAnsi="宋体" w:cs="Times New Roman"/>
          <w:b/>
          <w:bCs/>
          <w:color w:val="000000" w:themeColor="text1"/>
          <w:kern w:val="2"/>
          <w:sz w:val="24"/>
          <w:szCs w:val="24"/>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shd w:val="clear" w:color="auto" w:fill="auto"/>
          <w:lang w:val="en-US" w:eastAsia="zh-CN" w:bidi="ar-SA"/>
          <w14:textFill>
            <w14:solidFill>
              <w14:schemeClr w14:val="tx1"/>
            </w14:solidFill>
          </w14:textFill>
        </w:rPr>
        <w:t>响应文件递交</w:t>
      </w:r>
      <w:r>
        <w:rPr>
          <w:rFonts w:hint="eastAsia" w:ascii="宋体" w:hAnsi="宋体" w:eastAsia="宋体" w:cs="宋体"/>
          <w:b w:val="0"/>
          <w:bCs w:val="0"/>
          <w:color w:val="000000" w:themeColor="text1"/>
          <w:sz w:val="24"/>
          <w:highlight w:val="none"/>
          <w:shd w:val="clear" w:color="auto" w:fill="auto"/>
          <w14:textFill>
            <w14:solidFill>
              <w14:schemeClr w14:val="tx1"/>
            </w14:solidFill>
          </w14:textFill>
        </w:rPr>
        <w:t>截止</w:t>
      </w:r>
      <w:r>
        <w:rPr>
          <w:rFonts w:hint="eastAsia" w:ascii="宋体" w:hAnsi="宋体" w:eastAsia="宋体" w:cs="宋体"/>
          <w:color w:val="000000" w:themeColor="text1"/>
          <w:sz w:val="24"/>
          <w:highlight w:val="none"/>
          <w:shd w:val="clear" w:color="auto" w:fill="auto"/>
          <w14:textFill>
            <w14:solidFill>
              <w14:schemeClr w14:val="tx1"/>
            </w14:solidFill>
          </w14:textFill>
        </w:rPr>
        <w:t>时间：</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202</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 xml:space="preserve">29 </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日</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10</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时</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分；</w:t>
      </w:r>
    </w:p>
    <w:p>
      <w:pPr>
        <w:autoSpaceDE w:val="0"/>
        <w:spacing w:line="360" w:lineRule="auto"/>
        <w:jc w:val="both"/>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递交响应文件的地点：</w:t>
      </w:r>
      <w:r>
        <w:rPr>
          <w:rFonts w:hint="eastAsia" w:ascii="宋体" w:hAnsi="宋体" w:cs="宋体"/>
          <w:color w:val="000000" w:themeColor="text1"/>
          <w:sz w:val="24"/>
          <w:highlight w:val="none"/>
          <w:u w:val="single"/>
          <w:shd w:val="clear" w:color="auto" w:fill="auto"/>
          <w:lang w:eastAsia="zh-CN"/>
          <w14:textFill>
            <w14:solidFill>
              <w14:schemeClr w14:val="tx1"/>
            </w14:solidFill>
          </w14:textFill>
        </w:rPr>
        <w:t>湖南省港务集团有限公司6楼602开标室。</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6.3 </w:t>
      </w:r>
      <w:r>
        <w:rPr>
          <w:rFonts w:hint="eastAsia" w:ascii="宋体" w:hAnsi="宋体"/>
          <w:color w:val="000000" w:themeColor="text1"/>
          <w:sz w:val="24"/>
          <w:highlight w:val="none"/>
          <w14:textFill>
            <w14:solidFill>
              <w14:schemeClr w14:val="tx1"/>
            </w14:solidFill>
          </w14:textFill>
        </w:rPr>
        <w:t>供应商若对本项目采购需求、资格要求等有疑问的，应当于</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202</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28</w:t>
      </w:r>
      <w:r>
        <w:rPr>
          <w:rFonts w:hint="eastAsia" w:ascii="宋体" w:hAnsi="宋体" w:eastAsia="宋体" w:cs="宋体"/>
          <w:color w:val="000000" w:themeColor="text1"/>
          <w:sz w:val="24"/>
          <w:highlight w:val="none"/>
          <w:u w:val="single"/>
          <w:shd w:val="clear" w:color="auto" w:fill="auto"/>
          <w:lang w:val="en-US" w:eastAsia="zh-CN"/>
          <w14:textFill>
            <w14:solidFill>
              <w14:schemeClr w14:val="tx1"/>
            </w14:solidFill>
          </w14:textFill>
        </w:rPr>
        <w:t>日17时30分</w:t>
      </w:r>
      <w:r>
        <w:rPr>
          <w:rFonts w:hint="eastAsia" w:ascii="宋体" w:hAnsi="宋体"/>
          <w:color w:val="000000" w:themeColor="text1"/>
          <w:sz w:val="24"/>
          <w:highlight w:val="none"/>
          <w14:textFill>
            <w14:solidFill>
              <w14:schemeClr w14:val="tx1"/>
            </w14:solidFill>
          </w14:textFill>
        </w:rPr>
        <w:t>前向采购人提出澄清要求。</w:t>
      </w:r>
    </w:p>
    <w:p>
      <w:pPr>
        <w:spacing w:line="360" w:lineRule="auto"/>
        <w:rPr>
          <w:highlight w:val="none"/>
        </w:rPr>
      </w:pPr>
    </w:p>
    <w:p>
      <w:pPr>
        <w:pStyle w:val="7"/>
        <w:spacing w:line="360" w:lineRule="auto"/>
        <w:jc w:val="both"/>
        <w:rPr>
          <w:highlight w:val="none"/>
        </w:rPr>
      </w:pPr>
      <w:r>
        <w:rPr>
          <w:rFonts w:hint="eastAsia"/>
          <w:highlight w:val="none"/>
        </w:rPr>
        <w:t>7</w:t>
      </w:r>
      <w:r>
        <w:rPr>
          <w:highlight w:val="none"/>
        </w:rPr>
        <w:t xml:space="preserve"> </w:t>
      </w:r>
      <w:r>
        <w:rPr>
          <w:rFonts w:hint="eastAsia"/>
          <w:highlight w:val="none"/>
        </w:rPr>
        <w:t>发布</w:t>
      </w:r>
      <w:r>
        <w:rPr>
          <w:rFonts w:hint="eastAsia" w:ascii="黑体" w:hAnsi="黑体"/>
          <w:highlight w:val="none"/>
        </w:rPr>
        <w:t>公告的</w:t>
      </w:r>
      <w:r>
        <w:rPr>
          <w:rFonts w:hint="eastAsia"/>
          <w:highlight w:val="none"/>
        </w:rPr>
        <w:t>媒介</w:t>
      </w:r>
    </w:p>
    <w:p>
      <w:pPr>
        <w:widowControl w:val="0"/>
        <w:spacing w:line="360" w:lineRule="auto"/>
        <w:ind w:firstLine="480" w:firstLineChars="200"/>
        <w:jc w:val="left"/>
        <w:rPr>
          <w:rFonts w:ascii="宋体" w:hAnsi="宋体" w:cs="宋体"/>
          <w:sz w:val="24"/>
          <w:highlight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cs="宋体"/>
          <w:sz w:val="24"/>
          <w:highlight w:val="none"/>
        </w:rPr>
        <w:t xml:space="preserve"> 中国招标投标公共服务平台（http：//www.cebpubservice.com）、湖南省湘水集团有限公司网站（http：//www.hnsxsjt.com）、湖南省港务集团有限公司门户网站（http://www.hnsgwjt.com/）上发布。</w:t>
      </w:r>
    </w:p>
    <w:p>
      <w:pPr>
        <w:pStyle w:val="7"/>
        <w:spacing w:line="360" w:lineRule="auto"/>
        <w:jc w:val="both"/>
        <w:rPr>
          <w:highlight w:val="none"/>
        </w:rPr>
      </w:pPr>
      <w:r>
        <w:rPr>
          <w:rFonts w:hint="eastAsia"/>
          <w:highlight w:val="none"/>
        </w:rPr>
        <w:t>8</w:t>
      </w:r>
      <w:bookmarkStart w:id="1" w:name="_Toc76635692"/>
      <w:bookmarkStart w:id="2" w:name="_Toc512257471"/>
      <w:bookmarkStart w:id="3" w:name="_Toc77254104"/>
      <w:bookmarkStart w:id="4" w:name="_Toc79596547"/>
      <w:r>
        <w:rPr>
          <w:highlight w:val="none"/>
        </w:rPr>
        <w:t xml:space="preserve"> 监督</w:t>
      </w:r>
      <w:bookmarkEnd w:id="1"/>
      <w:bookmarkEnd w:id="2"/>
      <w:bookmarkEnd w:id="3"/>
      <w:r>
        <w:rPr>
          <w:rFonts w:hint="eastAsia"/>
          <w:highlight w:val="none"/>
        </w:rPr>
        <w:t>部门</w:t>
      </w:r>
      <w:bookmarkEnd w:id="4"/>
    </w:p>
    <w:p>
      <w:pPr>
        <w:pStyle w:val="33"/>
        <w:widowControl w:val="0"/>
        <w:adjustRightInd w:val="0"/>
        <w:snapToGrid w:val="0"/>
        <w:spacing w:before="0" w:beforeAutospacing="0" w:after="0" w:afterAutospacing="0" w:line="360" w:lineRule="auto"/>
        <w:ind w:firstLine="480" w:firstLineChars="200"/>
        <w:jc w:val="both"/>
        <w:rPr>
          <w:rFonts w:cs="Times New Roman"/>
          <w:highlight w:val="none"/>
        </w:rPr>
      </w:pPr>
      <w:r>
        <w:rPr>
          <w:rFonts w:cs="Times New Roman"/>
          <w:highlight w:val="none"/>
        </w:rPr>
        <w:t>本次</w:t>
      </w:r>
      <w:r>
        <w:rPr>
          <w:rFonts w:hint="eastAsia" w:cs="Times New Roman"/>
          <w:highlight w:val="none"/>
        </w:rPr>
        <w:t>采购</w:t>
      </w:r>
      <w:r>
        <w:rPr>
          <w:rFonts w:cs="Times New Roman"/>
          <w:highlight w:val="none"/>
        </w:rPr>
        <w:t>监督部门为</w:t>
      </w:r>
      <w:r>
        <w:rPr>
          <w:rFonts w:hint="eastAsia"/>
          <w:highlight w:val="none"/>
          <w:u w:val="single"/>
          <w:lang w:eastAsia="zh-CN"/>
        </w:rPr>
        <w:t>湖南省虞公港建设投资有限公司党政办公室</w:t>
      </w:r>
      <w:r>
        <w:rPr>
          <w:rFonts w:cs="Times New Roman"/>
          <w:highlight w:val="none"/>
        </w:rPr>
        <w:t>，电话：</w:t>
      </w:r>
      <w:r>
        <w:rPr>
          <w:rFonts w:hint="eastAsia" w:cs="Times New Roman"/>
          <w:highlight w:val="none"/>
          <w:lang w:val="en-US" w:eastAsia="zh-CN"/>
        </w:rPr>
        <w:t>15873099420</w:t>
      </w:r>
      <w:r>
        <w:rPr>
          <w:rFonts w:cs="Times New Roman"/>
          <w:highlight w:val="none"/>
        </w:rPr>
        <w:t>。</w:t>
      </w:r>
    </w:p>
    <w:p>
      <w:pPr>
        <w:pStyle w:val="7"/>
        <w:spacing w:line="360" w:lineRule="auto"/>
        <w:jc w:val="both"/>
        <w:rPr>
          <w:rFonts w:ascii="Arial" w:hAnsi="Arial"/>
          <w:highlight w:val="none"/>
        </w:rPr>
      </w:pPr>
      <w:r>
        <w:rPr>
          <w:highlight w:val="none"/>
        </w:rPr>
        <w:t>9</w:t>
      </w:r>
      <w:r>
        <w:rPr>
          <w:rFonts w:hint="eastAsia"/>
          <w:highlight w:val="none"/>
        </w:rPr>
        <w:t xml:space="preserve"> </w:t>
      </w:r>
      <w:r>
        <w:rPr>
          <w:rFonts w:hint="eastAsia" w:ascii="黑体" w:hAnsi="黑体"/>
          <w:highlight w:val="none"/>
        </w:rPr>
        <w:t>其他</w:t>
      </w:r>
    </w:p>
    <w:p>
      <w:pPr>
        <w:autoSpaceDE w:val="0"/>
        <w:spacing w:line="360" w:lineRule="auto"/>
        <w:jc w:val="both"/>
        <w:rPr>
          <w:rFonts w:hint="eastAsia" w:ascii="宋体" w:hAnsi="宋体"/>
          <w:sz w:val="24"/>
          <w:highlight w:val="none"/>
        </w:rPr>
      </w:pPr>
      <w:r>
        <w:rPr>
          <w:rFonts w:hint="eastAsia" w:ascii="宋体" w:hAnsi="宋体"/>
          <w:b/>
          <w:bCs/>
          <w:sz w:val="24"/>
          <w:highlight w:val="none"/>
          <w:lang w:val="en-US" w:eastAsia="zh-CN"/>
        </w:rPr>
        <w:t xml:space="preserve">9.1 </w:t>
      </w:r>
      <w:r>
        <w:rPr>
          <w:rFonts w:hint="eastAsia" w:ascii="宋体" w:hAnsi="宋体"/>
          <w:sz w:val="24"/>
          <w:highlight w:val="none"/>
        </w:rPr>
        <w:t xml:space="preserve">采购人在签署采购合同时及合同履行过程中，有权对采购标的的数量进行增加或减少的幅度: </w:t>
      </w:r>
      <w:r>
        <w:rPr>
          <w:rFonts w:hint="eastAsia" w:ascii="宋体" w:hAnsi="宋体"/>
          <w:sz w:val="24"/>
          <w:highlight w:val="none"/>
          <w:lang w:val="en-US" w:eastAsia="zh-CN"/>
        </w:rPr>
        <w:t>0台</w:t>
      </w:r>
      <w:r>
        <w:rPr>
          <w:rFonts w:hint="eastAsia" w:ascii="宋体" w:hAnsi="宋体"/>
          <w:sz w:val="24"/>
          <w:highlight w:val="none"/>
        </w:rPr>
        <w:t>。</w:t>
      </w:r>
    </w:p>
    <w:p>
      <w:pPr>
        <w:autoSpaceDE w:val="0"/>
        <w:spacing w:line="360" w:lineRule="auto"/>
        <w:jc w:val="both"/>
        <w:rPr>
          <w:rFonts w:hint="default" w:ascii="宋体" w:hAnsi="宋体" w:eastAsia="宋体"/>
          <w:sz w:val="24"/>
          <w:highlight w:val="none"/>
          <w:lang w:val="en-US" w:eastAsia="zh-CN"/>
        </w:rPr>
      </w:pPr>
      <w:r>
        <w:rPr>
          <w:rFonts w:hint="eastAsia" w:ascii="宋体" w:hAnsi="宋体"/>
          <w:b/>
          <w:bCs/>
          <w:sz w:val="24"/>
          <w:highlight w:val="none"/>
          <w:lang w:val="en-US" w:eastAsia="zh-CN"/>
        </w:rPr>
        <w:t>9.2</w:t>
      </w:r>
      <w:r>
        <w:rPr>
          <w:rFonts w:hint="eastAsia" w:ascii="宋体" w:hAnsi="宋体"/>
          <w:sz w:val="24"/>
          <w:highlight w:val="none"/>
          <w:lang w:val="en-US" w:eastAsia="zh-CN"/>
        </w:rPr>
        <w:t xml:space="preserve"> </w:t>
      </w:r>
      <w:r>
        <w:rPr>
          <w:rFonts w:hint="eastAsia" w:ascii="宋体" w:hAnsi="宋体" w:eastAsia="宋体" w:cs="Times New Roman"/>
          <w:b w:val="0"/>
          <w:bCs w:val="0"/>
          <w:kern w:val="2"/>
          <w:sz w:val="24"/>
          <w:szCs w:val="24"/>
          <w:highlight w:val="none"/>
          <w:lang w:val="en-US" w:eastAsia="zh-CN" w:bidi="ar-SA"/>
        </w:rPr>
        <w:t>项</w:t>
      </w:r>
      <w:r>
        <w:rPr>
          <w:rFonts w:hint="eastAsia" w:ascii="宋体" w:hAnsi="宋体" w:eastAsia="宋体" w:cs="宋体"/>
          <w:b w:val="0"/>
          <w:bCs w:val="0"/>
          <w:color w:val="auto"/>
          <w:sz w:val="24"/>
          <w:szCs w:val="24"/>
          <w:highlight w:val="none"/>
        </w:rPr>
        <w:t>目</w:t>
      </w:r>
      <w:r>
        <w:rPr>
          <w:rFonts w:hint="eastAsia" w:ascii="宋体" w:hAnsi="宋体" w:eastAsia="宋体" w:cs="宋体"/>
          <w:color w:val="auto"/>
          <w:sz w:val="24"/>
          <w:szCs w:val="24"/>
          <w:highlight w:val="none"/>
        </w:rPr>
        <w:t>控制价：本项目最高限价为</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u w:val="single"/>
          <w:lang w:eastAsia="zh-CN"/>
        </w:rPr>
        <w:t>壹拾</w:t>
      </w:r>
      <w:r>
        <w:rPr>
          <w:rFonts w:hint="eastAsia" w:ascii="宋体" w:hAnsi="宋体" w:cs="宋体"/>
          <w:color w:val="auto"/>
          <w:sz w:val="24"/>
          <w:szCs w:val="24"/>
          <w:highlight w:val="none"/>
          <w:u w:val="single"/>
          <w:lang w:val="en-US" w:eastAsia="zh-CN"/>
        </w:rPr>
        <w:t>玖万圆</w:t>
      </w:r>
      <w:r>
        <w:rPr>
          <w:rFonts w:hint="eastAsia" w:ascii="宋体" w:hAnsi="宋体" w:cs="宋体"/>
          <w:color w:val="auto"/>
          <w:sz w:val="24"/>
          <w:szCs w:val="24"/>
          <w:highlight w:val="none"/>
          <w:u w:val="single"/>
          <w:lang w:eastAsia="zh-CN"/>
        </w:rPr>
        <w:t>整</w:t>
      </w:r>
      <w:r>
        <w:rPr>
          <w:rFonts w:hint="eastAsia" w:ascii="宋体" w:hAnsi="宋体" w:eastAsia="宋体" w:cs="宋体"/>
          <w:color w:val="auto"/>
          <w:sz w:val="24"/>
          <w:szCs w:val="24"/>
          <w:highlight w:val="none"/>
          <w:lang w:eastAsia="zh-CN"/>
        </w:rPr>
        <w:t>（小写：</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190000</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超过最高限价的作废。</w:t>
      </w:r>
    </w:p>
    <w:p>
      <w:pPr>
        <w:pStyle w:val="7"/>
        <w:spacing w:line="360" w:lineRule="auto"/>
        <w:jc w:val="both"/>
        <w:rPr>
          <w:rFonts w:ascii="Arial" w:hAnsi="Arial"/>
          <w:highlight w:val="none"/>
        </w:rPr>
      </w:pPr>
      <w:r>
        <w:rPr>
          <w:highlight w:val="none"/>
        </w:rPr>
        <w:t>10</w:t>
      </w:r>
      <w:r>
        <w:rPr>
          <w:rFonts w:hint="eastAsia"/>
          <w:highlight w:val="none"/>
        </w:rPr>
        <w:t xml:space="preserve"> </w:t>
      </w:r>
      <w:r>
        <w:rPr>
          <w:rFonts w:hint="eastAsia" w:ascii="黑体" w:hAnsi="黑体"/>
          <w:highlight w:val="none"/>
        </w:rPr>
        <w:t>联系方式</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采 购 人: </w:t>
      </w:r>
      <w:r>
        <w:rPr>
          <w:rFonts w:hint="eastAsia" w:ascii="宋体" w:hAnsi="宋体"/>
          <w:sz w:val="24"/>
          <w:highlight w:val="none"/>
          <w:lang w:eastAsia="zh-CN"/>
        </w:rPr>
        <w:t>湖南省虞公港建设投资有限公司</w:t>
      </w:r>
      <w:r>
        <w:rPr>
          <w:rFonts w:hint="eastAsia" w:ascii="宋体" w:hAnsi="宋体"/>
          <w:sz w:val="24"/>
          <w:highlight w:val="none"/>
          <w:lang w:val="en-US" w:eastAsia="zh-CN"/>
        </w:rPr>
        <w:tab/>
      </w:r>
      <w:r>
        <w:rPr>
          <w:rFonts w:hint="eastAsia" w:ascii="宋体" w:hAnsi="宋体"/>
          <w:sz w:val="24"/>
          <w:highlight w:val="none"/>
        </w:rPr>
        <w:t xml:space="preserve">         </w:t>
      </w:r>
    </w:p>
    <w:p>
      <w:pPr>
        <w:autoSpaceDE w:val="0"/>
        <w:spacing w:line="360" w:lineRule="auto"/>
        <w:ind w:firstLine="240" w:firstLineChars="100"/>
        <w:jc w:val="both"/>
        <w:rPr>
          <w:rFonts w:hint="eastAsia" w:ascii="宋体" w:hAnsi="宋体"/>
          <w:sz w:val="24"/>
          <w:highlight w:val="none"/>
          <w:lang w:val="en-US" w:eastAsia="zh-CN"/>
        </w:rPr>
      </w:pPr>
      <w:r>
        <w:rPr>
          <w:rFonts w:hint="eastAsia" w:ascii="宋体" w:hAnsi="宋体"/>
          <w:sz w:val="24"/>
          <w:highlight w:val="none"/>
        </w:rPr>
        <w:t xml:space="preserve">地    址: </w:t>
      </w:r>
      <w:r>
        <w:rPr>
          <w:rFonts w:hint="eastAsia" w:ascii="宋体" w:hAnsi="宋体"/>
          <w:sz w:val="24"/>
          <w:highlight w:val="none"/>
          <w:lang w:eastAsia="zh-CN"/>
        </w:rPr>
        <w:t>湖南岳阳湘阴县自然资源局</w:t>
      </w:r>
      <w:r>
        <w:rPr>
          <w:rFonts w:hint="eastAsia" w:ascii="宋体" w:hAnsi="宋体"/>
          <w:sz w:val="24"/>
          <w:highlight w:val="none"/>
          <w:lang w:val="en-US" w:eastAsia="zh-CN"/>
        </w:rPr>
        <w:t xml:space="preserve">2楼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邮政编码: </w:t>
      </w:r>
      <w:r>
        <w:rPr>
          <w:rFonts w:ascii="Arial" w:hAnsi="Arial" w:eastAsia="宋体" w:cs="Arial"/>
          <w:i w:val="0"/>
          <w:iCs w:val="0"/>
          <w:caps w:val="0"/>
          <w:color w:val="333333"/>
          <w:spacing w:val="0"/>
          <w:sz w:val="21"/>
          <w:szCs w:val="21"/>
          <w:shd w:val="clear" w:fill="FFFFFF"/>
        </w:rPr>
        <w:t>414699</w:t>
      </w:r>
      <w:r>
        <w:rPr>
          <w:rFonts w:hint="eastAsia" w:ascii="宋体" w:hAnsi="宋体"/>
          <w:sz w:val="24"/>
          <w:highlight w:val="none"/>
        </w:rPr>
        <w:t xml:space="preserve">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联 系 人: </w:t>
      </w:r>
      <w:r>
        <w:rPr>
          <w:rFonts w:hint="eastAsia" w:ascii="宋体" w:hAnsi="宋体"/>
          <w:sz w:val="24"/>
          <w:highlight w:val="none"/>
          <w:lang w:eastAsia="zh-CN"/>
        </w:rPr>
        <w:t>石晨钰</w:t>
      </w:r>
      <w:r>
        <w:rPr>
          <w:rFonts w:hint="eastAsia" w:ascii="宋体" w:hAnsi="宋体"/>
          <w:sz w:val="24"/>
          <w:highlight w:val="none"/>
        </w:rPr>
        <w:t xml:space="preserve">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电    话: </w:t>
      </w:r>
      <w:r>
        <w:rPr>
          <w:rFonts w:hint="eastAsia" w:ascii="宋体" w:hAnsi="宋体"/>
          <w:sz w:val="24"/>
          <w:highlight w:val="none"/>
          <w:lang w:val="en-US" w:eastAsia="zh-CN"/>
        </w:rPr>
        <w:t>18873085966</w:t>
      </w:r>
      <w:r>
        <w:rPr>
          <w:rFonts w:hint="eastAsia" w:ascii="宋体" w:hAnsi="宋体"/>
          <w:sz w:val="24"/>
          <w:highlight w:val="none"/>
        </w:rPr>
        <w:t xml:space="preserve">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电子邮箱: </w:t>
      </w:r>
      <w:r>
        <w:rPr>
          <w:rFonts w:hint="eastAsia" w:ascii="宋体" w:hAnsi="宋体"/>
          <w:sz w:val="24"/>
          <w:highlight w:val="none"/>
          <w:lang w:eastAsia="zh-CN"/>
        </w:rPr>
        <w:t>759868034@qq.com</w:t>
      </w:r>
      <w:r>
        <w:rPr>
          <w:rFonts w:hint="eastAsia" w:ascii="宋体" w:hAnsi="宋体"/>
          <w:sz w:val="24"/>
          <w:highlight w:val="none"/>
        </w:rPr>
        <w:t xml:space="preserve">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网    址: http://www.hnsgwjt.com/        </w:t>
      </w:r>
    </w:p>
    <w:p>
      <w:pPr>
        <w:autoSpaceDE w:val="0"/>
        <w:spacing w:line="360" w:lineRule="auto"/>
        <w:ind w:firstLine="240" w:firstLineChars="100"/>
        <w:jc w:val="both"/>
        <w:rPr>
          <w:rFonts w:ascii="宋体" w:hAnsi="宋体"/>
          <w:sz w:val="24"/>
          <w:highlight w:val="none"/>
        </w:rPr>
      </w:pPr>
      <w:r>
        <w:rPr>
          <w:rFonts w:hint="eastAsia" w:ascii="宋体" w:hAnsi="宋体"/>
          <w:sz w:val="24"/>
          <w:highlight w:val="none"/>
        </w:rPr>
        <w:t xml:space="preserve">开户银行: </w:t>
      </w:r>
      <w:r>
        <w:rPr>
          <w:rFonts w:hint="eastAsia" w:ascii="宋体" w:hAnsi="宋体"/>
          <w:sz w:val="24"/>
          <w:highlight w:val="none"/>
          <w:lang w:eastAsia="zh-CN"/>
        </w:rPr>
        <w:t>中国建设银行湘阴芙蓉北路支行</w:t>
      </w:r>
      <w:r>
        <w:rPr>
          <w:rFonts w:hint="eastAsia" w:ascii="宋体" w:hAnsi="宋体"/>
          <w:sz w:val="24"/>
          <w:highlight w:val="none"/>
        </w:rPr>
        <w:t xml:space="preserve">             </w:t>
      </w:r>
    </w:p>
    <w:p>
      <w:pPr>
        <w:autoSpaceDE w:val="0"/>
        <w:spacing w:line="360" w:lineRule="auto"/>
        <w:ind w:firstLine="240" w:firstLineChars="100"/>
        <w:jc w:val="both"/>
        <w:rPr>
          <w:rFonts w:hint="default" w:ascii="宋体" w:hAnsi="宋体"/>
          <w:sz w:val="24"/>
          <w:highlight w:val="none"/>
          <w:lang w:val="en-US"/>
        </w:rPr>
      </w:pPr>
      <w:r>
        <w:rPr>
          <w:rFonts w:hint="eastAsia" w:ascii="宋体" w:hAnsi="宋体"/>
          <w:sz w:val="24"/>
          <w:highlight w:val="none"/>
        </w:rPr>
        <w:t xml:space="preserve">账    号: </w:t>
      </w:r>
      <w:r>
        <w:rPr>
          <w:rFonts w:hint="eastAsia" w:ascii="宋体" w:hAnsi="宋体"/>
          <w:sz w:val="24"/>
          <w:highlight w:val="none"/>
          <w:lang w:val="en-US" w:eastAsia="zh-CN"/>
        </w:rPr>
        <w:t>4305 0111 1475 0000 0758</w:t>
      </w:r>
    </w:p>
    <w:p>
      <w:pPr>
        <w:autoSpaceDE w:val="0"/>
        <w:spacing w:line="360" w:lineRule="auto"/>
        <w:jc w:val="both"/>
        <w:rPr>
          <w:rFonts w:ascii="宋体" w:hAnsi="宋体"/>
          <w:sz w:val="24"/>
          <w:highlight w:val="none"/>
        </w:rPr>
      </w:pPr>
      <w:r>
        <w:rPr>
          <w:rFonts w:hint="eastAsia" w:ascii="宋体" w:hAnsi="宋体"/>
          <w:sz w:val="24"/>
          <w:highlight w:val="none"/>
        </w:rPr>
        <w:t xml:space="preserve"> </w:t>
      </w:r>
    </w:p>
    <w:p>
      <w:pPr>
        <w:autoSpaceDE w:val="0"/>
        <w:spacing w:line="360" w:lineRule="auto"/>
        <w:jc w:val="both"/>
        <w:rPr>
          <w:rFonts w:ascii="黑体" w:hAnsi="黑体" w:eastAsia="黑体"/>
          <w:sz w:val="32"/>
          <w:szCs w:val="32"/>
          <w:highlight w:val="none"/>
        </w:rPr>
      </w:pPr>
      <w:r>
        <w:rPr>
          <w:rFonts w:hint="eastAsia" w:ascii="宋体" w:hAnsi="宋体"/>
          <w:sz w:val="24"/>
          <w:highlight w:val="none"/>
        </w:rPr>
        <w:t xml:space="preserve"> </w:t>
      </w:r>
      <w:bookmarkStart w:id="5" w:name="_Toc517787494"/>
      <w:bookmarkStart w:id="6" w:name="_Toc234832861"/>
    </w:p>
    <w:p>
      <w:pPr>
        <w:spacing w:line="360" w:lineRule="auto"/>
        <w:jc w:val="center"/>
        <w:rPr>
          <w:rFonts w:ascii="黑体" w:hAnsi="黑体" w:eastAsia="黑体"/>
          <w:sz w:val="32"/>
          <w:szCs w:val="32"/>
          <w:highlight w:val="none"/>
        </w:rPr>
      </w:pPr>
    </w:p>
    <w:p>
      <w:pPr>
        <w:pStyle w:val="2"/>
        <w:spacing w:line="360" w:lineRule="auto"/>
        <w:rPr>
          <w:rFonts w:ascii="黑体" w:hAnsi="黑体" w:eastAsia="黑体"/>
          <w:sz w:val="32"/>
          <w:szCs w:val="32"/>
          <w:highlight w:val="none"/>
        </w:rPr>
      </w:pPr>
    </w:p>
    <w:p>
      <w:pPr>
        <w:pStyle w:val="2"/>
        <w:spacing w:line="360" w:lineRule="auto"/>
        <w:rPr>
          <w:rFonts w:ascii="黑体" w:hAnsi="黑体" w:eastAsia="黑体"/>
          <w:sz w:val="32"/>
          <w:szCs w:val="32"/>
          <w:highlight w:val="none"/>
        </w:rPr>
      </w:pPr>
    </w:p>
    <w:p>
      <w:pPr>
        <w:pStyle w:val="2"/>
        <w:spacing w:line="360" w:lineRule="auto"/>
        <w:rPr>
          <w:rFonts w:ascii="黑体" w:hAnsi="黑体" w:eastAsia="黑体"/>
          <w:sz w:val="32"/>
          <w:szCs w:val="32"/>
          <w:highlight w:val="none"/>
        </w:rPr>
      </w:pPr>
    </w:p>
    <w:p>
      <w:pPr>
        <w:pStyle w:val="2"/>
        <w:rPr>
          <w:rFonts w:ascii="黑体" w:hAnsi="黑体" w:eastAsia="黑体"/>
          <w:sz w:val="32"/>
          <w:szCs w:val="32"/>
          <w:highlight w:val="none"/>
        </w:rPr>
      </w:pPr>
    </w:p>
    <w:p>
      <w:pPr>
        <w:spacing w:line="240" w:lineRule="auto"/>
        <w:jc w:val="left"/>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pStyle w:val="2"/>
        <w:rPr>
          <w:rFonts w:hint="eastAsia" w:ascii="黑体" w:hAnsi="黑体" w:eastAsia="黑体"/>
          <w:sz w:val="32"/>
          <w:szCs w:val="32"/>
          <w:highlight w:val="none"/>
        </w:rPr>
      </w:pPr>
    </w:p>
    <w:p>
      <w:pPr>
        <w:spacing w:line="600" w:lineRule="exact"/>
        <w:jc w:val="center"/>
        <w:outlineLvl w:val="0"/>
        <w:rPr>
          <w:rFonts w:hint="eastAsia" w:ascii="微软雅黑" w:hAnsi="微软雅黑" w:eastAsia="微软雅黑" w:cs="微软雅黑"/>
          <w:sz w:val="32"/>
          <w:szCs w:val="32"/>
          <w:highlight w:val="none"/>
        </w:rPr>
      </w:pPr>
      <w:bookmarkStart w:id="7" w:name="_Toc4462"/>
      <w:r>
        <w:rPr>
          <w:rFonts w:hint="eastAsia" w:ascii="微软雅黑" w:hAnsi="微软雅黑" w:eastAsia="微软雅黑" w:cs="微软雅黑"/>
          <w:sz w:val="32"/>
          <w:szCs w:val="32"/>
          <w:highlight w:val="none"/>
        </w:rPr>
        <w:t>第二章  供应商须知</w:t>
      </w:r>
      <w:bookmarkEnd w:id="5"/>
      <w:bookmarkEnd w:id="6"/>
      <w:bookmarkEnd w:id="7"/>
    </w:p>
    <w:p>
      <w:pPr>
        <w:pStyle w:val="5"/>
        <w:spacing w:before="240" w:after="240" w:line="600" w:lineRule="exact"/>
        <w:jc w:val="center"/>
        <w:rPr>
          <w:rFonts w:ascii="仿宋" w:hAnsi="仿宋" w:eastAsia="仿宋" w:cs="仿宋"/>
          <w:sz w:val="30"/>
          <w:szCs w:val="30"/>
          <w:highlight w:val="none"/>
        </w:rPr>
      </w:pPr>
      <w:bookmarkStart w:id="8" w:name="_Toc2308"/>
      <w:bookmarkStart w:id="9" w:name="_Toc517787495"/>
      <w:bookmarkStart w:id="10" w:name="_Toc234832862"/>
      <w:r>
        <w:rPr>
          <w:rFonts w:hint="eastAsia" w:ascii="仿宋" w:hAnsi="仿宋" w:eastAsia="仿宋" w:cs="仿宋"/>
          <w:sz w:val="30"/>
          <w:szCs w:val="30"/>
          <w:highlight w:val="none"/>
        </w:rPr>
        <w:t>供应商须知前附表</w:t>
      </w:r>
      <w:bookmarkEnd w:id="8"/>
      <w:bookmarkEnd w:id="9"/>
      <w:bookmarkEnd w:id="10"/>
    </w:p>
    <w:tbl>
      <w:tblPr>
        <w:tblStyle w:val="38"/>
        <w:tblW w:w="9018" w:type="dxa"/>
        <w:tblInd w:w="-278" w:type="dxa"/>
        <w:tblLayout w:type="fixed"/>
        <w:tblCellMar>
          <w:top w:w="0" w:type="dxa"/>
          <w:left w:w="108" w:type="dxa"/>
          <w:bottom w:w="0" w:type="dxa"/>
          <w:right w:w="108" w:type="dxa"/>
        </w:tblCellMar>
      </w:tblPr>
      <w:tblGrid>
        <w:gridCol w:w="1297"/>
        <w:gridCol w:w="2972"/>
        <w:gridCol w:w="4749"/>
      </w:tblGrid>
      <w:tr>
        <w:tblPrEx>
          <w:tblCellMar>
            <w:top w:w="0" w:type="dxa"/>
            <w:left w:w="108" w:type="dxa"/>
            <w:bottom w:w="0" w:type="dxa"/>
            <w:right w:w="108" w:type="dxa"/>
          </w:tblCellMar>
        </w:tblPrEx>
        <w:trPr>
          <w:trHeight w:val="387" w:hRule="atLeast"/>
          <w:tblHeader/>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编  列  内  容</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询价</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最低价法</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 xml:space="preserve">不组织                                          </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52"/>
            </w:r>
            <w:r>
              <w:rPr>
                <w:rFonts w:hint="eastAsia" w:ascii="宋体" w:hAnsi="宋体" w:eastAsia="宋体" w:cs="宋体"/>
                <w:sz w:val="21"/>
                <w:szCs w:val="21"/>
                <w:highlight w:val="none"/>
              </w:rPr>
              <w:t xml:space="preserve">不召开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不得分包的内容：不允许分包</w:t>
            </w:r>
          </w:p>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对分包供应商的要求：不允许分包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允许偏差的范围：细微偏差</w:t>
            </w:r>
            <w:r>
              <w:rPr>
                <w:rFonts w:hint="eastAsia" w:ascii="宋体" w:hAnsi="宋体" w:eastAsia="宋体" w:cs="宋体"/>
                <w:sz w:val="21"/>
                <w:szCs w:val="21"/>
                <w:highlight w:val="none"/>
                <w:lang w:eastAsia="zh-CN"/>
              </w:rPr>
              <w:t>。</w:t>
            </w:r>
          </w:p>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允许偏差的项数：</w:t>
            </w:r>
            <w:r>
              <w:rPr>
                <w:rFonts w:hint="eastAsia" w:ascii="宋体" w:hAnsi="宋体" w:eastAsia="宋体" w:cs="宋体"/>
                <w:color w:val="auto"/>
                <w:sz w:val="21"/>
                <w:szCs w:val="21"/>
                <w:highlight w:val="none"/>
                <w:u w:val="single"/>
              </w:rPr>
              <w:t>2项</w:t>
            </w:r>
            <w:r>
              <w:rPr>
                <w:rFonts w:hint="eastAsia" w:ascii="宋体" w:hAnsi="宋体" w:eastAsia="宋体" w:cs="宋体"/>
                <w:color w:val="auto"/>
                <w:sz w:val="21"/>
                <w:szCs w:val="21"/>
                <w:highlight w:val="none"/>
              </w:rPr>
              <w:t xml:space="preserve"> </w:t>
            </w:r>
            <w:r>
              <w:rPr>
                <w:rFonts w:hint="eastAsia" w:ascii="宋体" w:hAnsi="宋体" w:eastAsia="宋体" w:cs="宋体"/>
                <w:color w:val="0000FF"/>
                <w:sz w:val="21"/>
                <w:szCs w:val="21"/>
                <w:highlight w:val="none"/>
              </w:rPr>
              <w:t xml:space="preserve"> </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资料名称：</w:t>
            </w:r>
            <w:r>
              <w:rPr>
                <w:rFonts w:hint="eastAsia" w:ascii="宋体" w:hAnsi="宋体" w:eastAsia="宋体" w:cs="宋体"/>
                <w:sz w:val="21"/>
                <w:szCs w:val="21"/>
                <w:highlight w:val="none"/>
                <w:lang w:eastAsia="zh-CN"/>
              </w:rPr>
              <w:t>采购人对采购文件的澄清、通知等文件（如有）</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资料名称：无                                                    </w:t>
            </w:r>
          </w:p>
        </w:tc>
      </w:tr>
      <w:tr>
        <w:tblPrEx>
          <w:tblCellMar>
            <w:top w:w="0" w:type="dxa"/>
            <w:left w:w="108" w:type="dxa"/>
            <w:bottom w:w="0" w:type="dxa"/>
            <w:right w:w="108" w:type="dxa"/>
          </w:tblCellMar>
        </w:tblPrEx>
        <w:trPr>
          <w:trHeight w:val="387"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采购标的数量增减幅度</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采购标的数量增减幅度：</w:t>
            </w:r>
            <w:r>
              <w:rPr>
                <w:rFonts w:hint="eastAsia" w:ascii="宋体" w:hAnsi="宋体" w:cs="宋体"/>
                <w:color w:val="auto"/>
                <w:sz w:val="21"/>
                <w:szCs w:val="21"/>
                <w:highlight w:val="none"/>
                <w:lang w:val="en-US" w:eastAsia="zh-CN"/>
              </w:rPr>
              <w:t>0台</w:t>
            </w:r>
            <w:r>
              <w:rPr>
                <w:rFonts w:hint="eastAsia" w:ascii="宋体" w:hAnsi="宋体" w:eastAsia="宋体" w:cs="宋体"/>
                <w:color w:val="auto"/>
                <w:sz w:val="21"/>
                <w:szCs w:val="21"/>
                <w:highlight w:val="none"/>
              </w:rPr>
              <w:t xml:space="preserve">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3.2.3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有，最高限价：</w:t>
            </w:r>
            <w:r>
              <w:rPr>
                <w:rFonts w:hint="eastAsia" w:ascii="宋体" w:hAnsi="宋体" w:eastAsia="宋体" w:cs="宋体"/>
                <w:color w:val="auto"/>
                <w:sz w:val="21"/>
                <w:szCs w:val="21"/>
                <w:highlight w:val="none"/>
                <w:lang w:eastAsia="zh-CN"/>
              </w:rPr>
              <w:t>人民币</w:t>
            </w:r>
            <w:r>
              <w:rPr>
                <w:rFonts w:hint="eastAsia" w:ascii="宋体" w:hAnsi="宋体" w:cs="宋体"/>
                <w:color w:val="auto"/>
                <w:sz w:val="21"/>
                <w:szCs w:val="21"/>
                <w:highlight w:val="none"/>
                <w:u w:val="single"/>
                <w:lang w:eastAsia="zh-CN"/>
              </w:rPr>
              <w:t>壹拾玖万圆整</w:t>
            </w:r>
            <w:r>
              <w:rPr>
                <w:rFonts w:hint="eastAsia" w:ascii="宋体" w:hAnsi="宋体" w:eastAsia="宋体" w:cs="宋体"/>
                <w:color w:val="auto"/>
                <w:sz w:val="21"/>
                <w:szCs w:val="21"/>
                <w:highlight w:val="none"/>
                <w:lang w:eastAsia="zh-CN"/>
              </w:rPr>
              <w:t>（小写：</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190000.00</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（含裸车价、发票及代理上牌费用）</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3.2.4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此报价应包含</w:t>
            </w:r>
            <w:r>
              <w:rPr>
                <w:rFonts w:hint="eastAsia" w:ascii="宋体" w:hAnsi="宋体" w:cs="宋体"/>
                <w:color w:val="auto"/>
                <w:sz w:val="21"/>
                <w:szCs w:val="21"/>
                <w:highlight w:val="none"/>
                <w:lang w:eastAsia="zh-CN"/>
              </w:rPr>
              <w:t>上牌等应由供应商承担的费用，不含车辆购置税、车辆保险</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3.3.1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递交响应文件截止之日起90日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3.4.1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不要求递交</w:t>
            </w: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3.4.2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无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3.4.3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无                                                             </w:t>
            </w:r>
          </w:p>
        </w:tc>
      </w:tr>
      <w:tr>
        <w:tblPrEx>
          <w:tblCellMar>
            <w:top w:w="0" w:type="dxa"/>
            <w:left w:w="108" w:type="dxa"/>
            <w:bottom w:w="0" w:type="dxa"/>
            <w:right w:w="108" w:type="dxa"/>
          </w:tblCellMar>
        </w:tblPrEx>
        <w:trPr>
          <w:trHeight w:val="111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1"/>
                <w:rFonts w:hint="eastAsia" w:ascii="宋体" w:hAnsi="宋体" w:eastAsia="宋体" w:cs="宋体"/>
                <w:b w:val="0"/>
                <w:color w:val="000000" w:themeColor="text1"/>
                <w:sz w:val="21"/>
                <w:szCs w:val="21"/>
                <w:highlight w:val="none"/>
                <w14:textFill>
                  <w14:solidFill>
                    <w14:schemeClr w14:val="tx1"/>
                  </w14:solidFill>
                </w14:textFill>
              </w:rPr>
            </w:pPr>
            <w:r>
              <w:rPr>
                <w:rStyle w:val="41"/>
                <w:rFonts w:hint="eastAsia" w:ascii="宋体" w:hAnsi="宋体" w:eastAsia="宋体" w:cs="宋体"/>
                <w:b w:val="0"/>
                <w:color w:val="000000" w:themeColor="text1"/>
                <w:sz w:val="21"/>
                <w:szCs w:val="21"/>
                <w:highlight w:val="none"/>
                <w14:textFill>
                  <w14:solidFill>
                    <w14:schemeClr w14:val="tx1"/>
                  </w14:solidFill>
                </w14:textFill>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eastAsia="宋体" w:cs="宋体"/>
                <w:b/>
                <w:bCs/>
                <w:color w:val="000000" w:themeColor="text1"/>
                <w:sz w:val="21"/>
                <w:szCs w:val="21"/>
                <w:highlight w:val="none"/>
                <w14:textFill>
                  <w14:solidFill>
                    <w14:schemeClr w14:val="tx1"/>
                  </w14:solidFill>
                </w14:textFill>
              </w:rPr>
              <w:t>适用。</w:t>
            </w:r>
          </w:p>
          <w:p>
            <w:pPr>
              <w:spacing w:line="288" w:lineRule="auto"/>
              <w:ind w:firstLine="210" w:firstLineChars="1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03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Style w:val="41"/>
                <w:rFonts w:hint="eastAsia" w:ascii="宋体" w:hAnsi="宋体" w:eastAsia="宋体" w:cs="宋体"/>
                <w:b w:val="0"/>
                <w:color w:val="000000" w:themeColor="text1"/>
                <w:sz w:val="21"/>
                <w:szCs w:val="21"/>
                <w:highlight w:val="none"/>
                <w14:textFill>
                  <w14:solidFill>
                    <w14:schemeClr w14:val="tx1"/>
                  </w14:solidFill>
                </w14:textFill>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eastAsia="宋体" w:cs="宋体"/>
                <w:b/>
                <w:bCs/>
                <w:color w:val="000000" w:themeColor="text1"/>
                <w:sz w:val="21"/>
                <w:szCs w:val="21"/>
                <w:highlight w:val="none"/>
                <w14:textFill>
                  <w14:solidFill>
                    <w14:schemeClr w14:val="tx1"/>
                  </w14:solidFill>
                </w14:textFill>
              </w:rPr>
              <w:t>适用。</w:t>
            </w:r>
          </w:p>
          <w:p>
            <w:pPr>
              <w:spacing w:line="288" w:lineRule="auto"/>
              <w:ind w:firstLine="210" w:firstLineChars="1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供应商应提供相关资质证书副本的复印件，以证明供应商具有承担本项目要求的资质。</w:t>
            </w:r>
          </w:p>
          <w:p>
            <w:pPr>
              <w:spacing w:line="360" w:lineRule="auto"/>
              <w:ind w:firstLine="210" w:firstLineChars="100"/>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资质证书包括：品牌授权书</w:t>
            </w:r>
            <w:r>
              <w:rPr>
                <w:rFonts w:hint="eastAsia" w:ascii="宋体" w:hAnsi="宋体" w:cs="宋体"/>
                <w:color w:val="000000" w:themeColor="text1"/>
                <w:sz w:val="21"/>
                <w:szCs w:val="21"/>
                <w:highlight w:val="none"/>
                <w:lang w:eastAsia="zh-CN"/>
                <w14:textFill>
                  <w14:solidFill>
                    <w14:schemeClr w14:val="tx1"/>
                  </w14:solidFill>
                </w14:textFill>
              </w:rPr>
              <w:t>，营业执照</w:t>
            </w:r>
          </w:p>
          <w:p>
            <w:pPr>
              <w:spacing w:line="360" w:lineRule="auto"/>
              <w:ind w:firstLine="210" w:firstLineChars="10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供应商为厂家时需提供：</w:t>
            </w:r>
            <w:r>
              <w:rPr>
                <w:rFonts w:hint="eastAsia" w:ascii="宋体" w:hAnsi="宋体" w:cs="宋体"/>
                <w:color w:val="000000" w:themeColor="text1"/>
                <w:sz w:val="21"/>
                <w:szCs w:val="21"/>
                <w:highlight w:val="none"/>
                <w:u w:val="single"/>
                <w:lang w:val="en-US" w:eastAsia="zh-CN"/>
                <w14:textFill>
                  <w14:solidFill>
                    <w14:schemeClr w14:val="tx1"/>
                  </w14:solidFill>
                </w14:textFill>
              </w:rPr>
              <w:t>产品制造许可</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证书</w:t>
            </w:r>
            <w:r>
              <w:rPr>
                <w:rFonts w:hint="eastAsia" w:ascii="宋体" w:hAnsi="宋体" w:cs="宋体"/>
                <w:color w:val="000000" w:themeColor="text1"/>
                <w:sz w:val="21"/>
                <w:szCs w:val="21"/>
                <w:highlight w:val="none"/>
                <w:u w:val="single"/>
                <w:lang w:eastAsia="zh-CN"/>
                <w14:textFill>
                  <w14:solidFill>
                    <w14:schemeClr w14:val="tx1"/>
                  </w14:solidFill>
                </w14:textFill>
              </w:rPr>
              <w:t>及产品出厂合格证书</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spacing w:line="288" w:lineRule="auto"/>
              <w:ind w:firstLine="210" w:firstLineChars="1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供应商为代理商时需提供：</w:t>
            </w:r>
            <w:r>
              <w:rPr>
                <w:rFonts w:hint="eastAsia" w:ascii="宋体" w:hAnsi="宋体" w:eastAsia="宋体" w:cs="宋体"/>
                <w:color w:val="000000" w:themeColor="text1"/>
                <w:sz w:val="21"/>
                <w:szCs w:val="21"/>
                <w:highlight w:val="none"/>
                <w:u w:val="single"/>
                <w14:textFill>
                  <w14:solidFill>
                    <w14:schemeClr w14:val="tx1"/>
                  </w14:solidFill>
                </w14:textFill>
              </w:rPr>
              <w:t>授权</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代理证</w:t>
            </w:r>
            <w:r>
              <w:rPr>
                <w:rFonts w:hint="eastAsia" w:ascii="宋体" w:hAnsi="宋体" w:eastAsia="宋体" w:cs="宋体"/>
                <w:color w:val="000000" w:themeColor="text1"/>
                <w:sz w:val="21"/>
                <w:szCs w:val="21"/>
                <w:highlight w:val="none"/>
                <w:u w:val="single"/>
                <w14:textFill>
                  <w14:solidFill>
                    <w14:schemeClr w14:val="tx1"/>
                  </w14:solidFill>
                </w14:textFill>
              </w:rPr>
              <w:t>书</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及</w:t>
            </w:r>
            <w:r>
              <w:rPr>
                <w:rFonts w:hint="eastAsia" w:ascii="宋体" w:hAnsi="宋体" w:cs="宋体"/>
                <w:color w:val="000000" w:themeColor="text1"/>
                <w:sz w:val="21"/>
                <w:szCs w:val="21"/>
                <w:highlight w:val="none"/>
                <w:u w:val="single"/>
                <w:lang w:eastAsia="zh-CN"/>
                <w14:textFill>
                  <w14:solidFill>
                    <w14:schemeClr w14:val="tx1"/>
                  </w14:solidFill>
                </w14:textFill>
              </w:rPr>
              <w:t>所供</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产品出厂合格证书。</w:t>
            </w:r>
          </w:p>
        </w:tc>
      </w:tr>
      <w:tr>
        <w:tblPrEx>
          <w:tblCellMar>
            <w:top w:w="0" w:type="dxa"/>
            <w:left w:w="108" w:type="dxa"/>
            <w:bottom w:w="0" w:type="dxa"/>
            <w:right w:w="108" w:type="dxa"/>
          </w:tblCellMar>
        </w:tblPrEx>
        <w:trPr>
          <w:trHeight w:val="72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1"/>
                <w:rFonts w:hint="eastAsia" w:ascii="宋体" w:hAnsi="宋体" w:eastAsia="宋体" w:cs="宋体"/>
                <w:b w:val="0"/>
                <w:color w:val="000000" w:themeColor="text1"/>
                <w:sz w:val="21"/>
                <w:szCs w:val="21"/>
                <w:highlight w:val="none"/>
                <w14:textFill>
                  <w14:solidFill>
                    <w14:schemeClr w14:val="tx1"/>
                  </w14:solidFill>
                </w14:textFill>
              </w:rPr>
            </w:pPr>
            <w:r>
              <w:rPr>
                <w:rStyle w:val="41"/>
                <w:rFonts w:hint="eastAsia" w:ascii="宋体" w:hAnsi="宋体" w:eastAsia="宋体" w:cs="宋体"/>
                <w:b w:val="0"/>
                <w:color w:val="000000" w:themeColor="text1"/>
                <w:sz w:val="21"/>
                <w:szCs w:val="21"/>
                <w:highlight w:val="none"/>
                <w14:textFill>
                  <w14:solidFill>
                    <w14:schemeClr w14:val="tx1"/>
                  </w14:solidFill>
                </w14:textFill>
              </w:rPr>
              <w:t>财务要求证明材料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cs="宋体"/>
                <w:b/>
                <w:bCs/>
                <w:color w:val="000000" w:themeColor="text1"/>
                <w:sz w:val="21"/>
                <w:szCs w:val="21"/>
                <w:highlight w:val="none"/>
                <w:lang w:eastAsia="zh-CN"/>
                <w14:textFill>
                  <w14:solidFill>
                    <w14:schemeClr w14:val="tx1"/>
                  </w14:solidFill>
                </w14:textFill>
              </w:rPr>
              <w:t>不</w:t>
            </w:r>
            <w:r>
              <w:rPr>
                <w:rFonts w:hint="eastAsia" w:ascii="宋体" w:hAnsi="宋体" w:eastAsia="宋体" w:cs="宋体"/>
                <w:b/>
                <w:bCs/>
                <w:color w:val="000000" w:themeColor="text1"/>
                <w:sz w:val="21"/>
                <w:szCs w:val="21"/>
                <w:highlight w:val="none"/>
                <w14:textFill>
                  <w14:solidFill>
                    <w14:schemeClr w14:val="tx1"/>
                  </w14:solidFill>
                </w14:textFill>
              </w:rPr>
              <w:t>适用。</w:t>
            </w:r>
          </w:p>
        </w:tc>
      </w:tr>
      <w:tr>
        <w:tblPrEx>
          <w:tblCellMar>
            <w:top w:w="0" w:type="dxa"/>
            <w:left w:w="108" w:type="dxa"/>
            <w:bottom w:w="0" w:type="dxa"/>
            <w:right w:w="108" w:type="dxa"/>
          </w:tblCellMar>
        </w:tblPrEx>
        <w:trPr>
          <w:trHeight w:val="373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eastAsia="宋体" w:cs="宋体"/>
                <w:b/>
                <w:bCs/>
                <w:color w:val="000000" w:themeColor="text1"/>
                <w:sz w:val="21"/>
                <w:szCs w:val="21"/>
                <w:highlight w:val="none"/>
                <w14:textFill>
                  <w14:solidFill>
                    <w14:schemeClr w14:val="tx1"/>
                  </w14:solidFill>
                </w14:textFill>
              </w:rPr>
              <w:t>适用。</w:t>
            </w:r>
          </w:p>
          <w:p>
            <w:pPr>
              <w:spacing w:line="288" w:lineRule="auto"/>
              <w:ind w:firstLine="210" w:firstLineChars="100"/>
              <w:jc w:val="both"/>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000000" w:themeColor="text1"/>
                <w:sz w:val="21"/>
                <w:szCs w:val="21"/>
                <w:highlight w:val="none"/>
                <w:u w:val="single"/>
                <w14:textFill>
                  <w14:solidFill>
                    <w14:schemeClr w14:val="tx1"/>
                  </w14:solidFill>
                </w14:textFill>
              </w:rPr>
              <w:t>20</w:t>
            </w:r>
            <w:r>
              <w:rPr>
                <w:rFonts w:hint="eastAsia" w:ascii="宋体" w:hAnsi="宋体" w:cs="宋体"/>
                <w:color w:val="000000" w:themeColor="text1"/>
                <w:sz w:val="21"/>
                <w:szCs w:val="21"/>
                <w:highlight w:val="none"/>
                <w:u w:val="singl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14:textFill>
                  <w14:solidFill>
                    <w14:schemeClr w14:val="tx1"/>
                  </w14:solidFill>
                </w14:textFill>
              </w:rPr>
              <w:t>月</w:t>
            </w:r>
          </w:p>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业绩证明材料：</w:t>
            </w:r>
          </w:p>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14:textFill>
                  <w14:solidFill>
                    <w14:schemeClr w14:val="tx1"/>
                  </w14:solidFill>
                </w14:textFill>
              </w:rPr>
              <w:t>合同/订单</w:t>
            </w:r>
          </w:p>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业绩证明材料种类要求：</w:t>
            </w:r>
          </w:p>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至少提供</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1个</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近年类似项目业绩，证明材料若为</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复印件需加盖单位公章。</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4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rPr>
              <w:sym w:font="Wingdings 2" w:char="0052"/>
            </w:r>
            <w:r>
              <w:rPr>
                <w:rFonts w:hint="eastAsia" w:ascii="宋体" w:hAnsi="宋体" w:eastAsia="宋体" w:cs="宋体"/>
                <w:b/>
                <w:bCs/>
                <w:color w:val="auto"/>
                <w:sz w:val="21"/>
                <w:szCs w:val="21"/>
                <w:highlight w:val="none"/>
              </w:rPr>
              <w:t>不适用</w:t>
            </w:r>
          </w:p>
        </w:tc>
      </w:tr>
      <w:tr>
        <w:tblPrEx>
          <w:tblCellMar>
            <w:top w:w="0" w:type="dxa"/>
            <w:left w:w="108" w:type="dxa"/>
            <w:bottom w:w="0" w:type="dxa"/>
            <w:right w:w="108" w:type="dxa"/>
          </w:tblCellMar>
        </w:tblPrEx>
        <w:trPr>
          <w:trHeight w:val="88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3.5（6）</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1" w:firstLineChars="100"/>
              <w:jc w:val="center"/>
              <w:rPr>
                <w:rFonts w:hint="eastAsia" w:ascii="宋体" w:hAnsi="宋体" w:eastAsia="宋体" w:cs="宋体"/>
                <w:color w:val="000000"/>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cs="宋体"/>
                <w:b/>
                <w:bCs/>
                <w:color w:val="000000" w:themeColor="text1"/>
                <w:sz w:val="21"/>
                <w:szCs w:val="21"/>
                <w:highlight w:val="none"/>
                <w:lang w:eastAsia="zh-CN"/>
                <w14:textFill>
                  <w14:solidFill>
                    <w14:schemeClr w14:val="tx1"/>
                  </w14:solidFill>
                </w14:textFill>
              </w:rPr>
              <w:t>不</w:t>
            </w:r>
            <w:r>
              <w:rPr>
                <w:rFonts w:hint="eastAsia" w:ascii="宋体" w:hAnsi="宋体" w:eastAsia="宋体" w:cs="宋体"/>
                <w:b/>
                <w:bCs/>
                <w:color w:val="000000" w:themeColor="text1"/>
                <w:sz w:val="21"/>
                <w:szCs w:val="21"/>
                <w:highlight w:val="none"/>
                <w14:textFill>
                  <w14:solidFill>
                    <w14:schemeClr w14:val="tx1"/>
                  </w14:solidFill>
                </w14:textFill>
              </w:rPr>
              <w:t>适用</w:t>
            </w:r>
          </w:p>
        </w:tc>
      </w:tr>
      <w:tr>
        <w:tblPrEx>
          <w:tblCellMar>
            <w:top w:w="0" w:type="dxa"/>
            <w:left w:w="108" w:type="dxa"/>
            <w:bottom w:w="0" w:type="dxa"/>
            <w:right w:w="108" w:type="dxa"/>
          </w:tblCellMar>
        </w:tblPrEx>
        <w:trPr>
          <w:trHeight w:val="49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3.5（8）</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需要提供证明材料</w:t>
            </w:r>
            <w:r>
              <w:rPr>
                <w:rFonts w:hint="eastAsia" w:ascii="宋体" w:hAnsi="宋体" w:eastAsia="宋体" w:cs="宋体"/>
                <w:b/>
                <w:bCs/>
                <w:color w:val="000000"/>
                <w:sz w:val="21"/>
                <w:szCs w:val="21"/>
                <w:highlight w:val="none"/>
                <w:lang w:eastAsia="zh-CN"/>
              </w:rPr>
              <w:t>。</w:t>
            </w:r>
          </w:p>
          <w:p>
            <w:pPr>
              <w:spacing w:line="288" w:lineRule="auto"/>
              <w:ind w:firstLine="210" w:firstLineChars="1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包括：</w:t>
            </w:r>
            <w:r>
              <w:rPr>
                <w:rFonts w:hint="eastAsia" w:ascii="宋体" w:hAnsi="宋体" w:eastAsia="宋体" w:cs="宋体"/>
                <w:sz w:val="21"/>
                <w:szCs w:val="21"/>
                <w:highlight w:val="none"/>
                <w:lang w:eastAsia="zh-CN"/>
              </w:rPr>
              <w:t>采购文件发出之日起，至响应文件递交</w:t>
            </w:r>
            <w:r>
              <w:rPr>
                <w:rFonts w:hint="eastAsia" w:ascii="宋体" w:hAnsi="宋体" w:cs="宋体"/>
                <w:sz w:val="21"/>
                <w:szCs w:val="21"/>
                <w:highlight w:val="none"/>
              </w:rPr>
              <w:t>截止</w:t>
            </w:r>
            <w:r>
              <w:rPr>
                <w:rFonts w:hint="eastAsia" w:ascii="宋体" w:hAnsi="宋体" w:cs="宋体"/>
                <w:sz w:val="21"/>
                <w:szCs w:val="21"/>
                <w:highlight w:val="none"/>
                <w:lang w:eastAsia="zh-CN"/>
              </w:rPr>
              <w:t>日期间</w:t>
            </w:r>
            <w:r>
              <w:rPr>
                <w:rFonts w:hint="eastAsia" w:ascii="宋体" w:hAnsi="宋体" w:cs="宋体"/>
                <w:sz w:val="21"/>
                <w:szCs w:val="21"/>
                <w:highlight w:val="none"/>
              </w:rPr>
              <w:t>，“信用中国”网站(www.creditchina.gov.cn)、中国政府采购网(www.ccgp.gov.cn)查询，投标人未被列入信用记录失信被执行人、重大税收违法案件当事人名单、政府采购严重违法失信行为记录名单的网页截图。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提供证据或证明材料复印件，并加盖单位公章。</w:t>
            </w:r>
          </w:p>
        </w:tc>
      </w:tr>
      <w:tr>
        <w:tblPrEx>
          <w:tblCellMar>
            <w:top w:w="0" w:type="dxa"/>
            <w:left w:w="108" w:type="dxa"/>
            <w:bottom w:w="0" w:type="dxa"/>
            <w:right w:w="108" w:type="dxa"/>
          </w:tblCellMar>
        </w:tblPrEx>
        <w:trPr>
          <w:trHeight w:val="677"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eastAsia="宋体" w:cs="宋体"/>
                <w:b/>
                <w:bCs/>
                <w:color w:val="000000" w:themeColor="text1"/>
                <w:sz w:val="21"/>
                <w:szCs w:val="21"/>
                <w:highlight w:val="none"/>
                <w14:textFill>
                  <w14:solidFill>
                    <w14:schemeClr w14:val="tx1"/>
                  </w14:solidFill>
                </w14:textFill>
              </w:rPr>
              <w:t>供应商只能提出唯一响应方案</w:t>
            </w:r>
          </w:p>
        </w:tc>
      </w:tr>
      <w:tr>
        <w:tblPrEx>
          <w:tblCellMar>
            <w:top w:w="0" w:type="dxa"/>
            <w:left w:w="108" w:type="dxa"/>
            <w:bottom w:w="0" w:type="dxa"/>
            <w:right w:w="108" w:type="dxa"/>
          </w:tblCellMar>
        </w:tblPrEx>
        <w:trPr>
          <w:trHeight w:val="90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是否要求提供电子版响应文件：</w:t>
            </w:r>
          </w:p>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eastAsia="宋体" w:cs="宋体"/>
                <w:b/>
                <w:bCs/>
                <w:color w:val="000000" w:themeColor="text1"/>
                <w:sz w:val="21"/>
                <w:szCs w:val="21"/>
                <w:highlight w:val="none"/>
                <w14:textFill>
                  <w14:solidFill>
                    <w14:schemeClr w14:val="tx1"/>
                  </w14:solidFill>
                </w14:textFill>
              </w:rPr>
              <w:t>不要求</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响应文件须密封包装，并在封套的封口处加盖供应商单位章。</w:t>
            </w:r>
          </w:p>
        </w:tc>
      </w:tr>
      <w:tr>
        <w:tblPrEx>
          <w:tblCellMar>
            <w:top w:w="0" w:type="dxa"/>
            <w:left w:w="108" w:type="dxa"/>
            <w:bottom w:w="0" w:type="dxa"/>
            <w:right w:w="108" w:type="dxa"/>
          </w:tblCellMar>
        </w:tblPrEx>
        <w:trPr>
          <w:trHeight w:val="121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52"/>
            </w:r>
            <w:r>
              <w:rPr>
                <w:rFonts w:hint="eastAsia" w:ascii="宋体" w:hAnsi="宋体" w:eastAsia="宋体" w:cs="宋体"/>
                <w:b/>
                <w:bCs/>
                <w:color w:val="000000" w:themeColor="text1"/>
                <w:sz w:val="21"/>
                <w:szCs w:val="21"/>
                <w:highlight w:val="none"/>
                <w14:textFill>
                  <w14:solidFill>
                    <w14:schemeClr w14:val="tx1"/>
                  </w14:solidFill>
                </w14:textFill>
              </w:rPr>
              <w:t>适用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湖南省虞公港建设投资有限公司工程用车采</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购项目响应</w:t>
            </w:r>
            <w:r>
              <w:rPr>
                <w:rFonts w:hint="eastAsia" w:ascii="宋体" w:hAnsi="宋体" w:eastAsia="宋体" w:cs="宋体"/>
                <w:color w:val="000000" w:themeColor="text1"/>
                <w:sz w:val="21"/>
                <w:szCs w:val="21"/>
                <w:highlight w:val="none"/>
                <w:u w:val="single"/>
                <w14:textFill>
                  <w14:solidFill>
                    <w14:schemeClr w14:val="tx1"/>
                  </w14:solidFill>
                </w14:textFill>
              </w:rPr>
              <w:t>文件</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cs="宋体"/>
                <w:color w:val="000000" w:themeColor="text1"/>
                <w:sz w:val="21"/>
                <w:szCs w:val="21"/>
                <w:highlight w:val="none"/>
                <w:u w:val="single"/>
                <w:lang w:val="en-US" w:eastAsia="zh-CN"/>
                <w14:textFill>
                  <w14:solidFill>
                    <w14:schemeClr w14:val="tx1"/>
                  </w14:solidFill>
                </w14:textFill>
              </w:rPr>
              <w:t>2023</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29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分</w:t>
            </w:r>
          </w:p>
          <w:p>
            <w:pPr>
              <w:spacing w:line="288"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递交响应文件的地点：</w:t>
            </w:r>
            <w:r>
              <w:rPr>
                <w:rFonts w:hint="eastAsia" w:ascii="宋体" w:hAnsi="宋体" w:cs="宋体"/>
                <w:color w:val="000000" w:themeColor="text1"/>
                <w:sz w:val="21"/>
                <w:szCs w:val="21"/>
                <w:highlight w:val="none"/>
                <w:u w:val="single"/>
                <w:lang w:val="en-US" w:eastAsia="zh-CN"/>
                <w14:textFill>
                  <w14:solidFill>
                    <w14:schemeClr w14:val="tx1"/>
                  </w14:solidFill>
                </w14:textFill>
              </w:rPr>
              <w:t>湖南省港务集团有限公司602开标室</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0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否</w:t>
            </w:r>
          </w:p>
        </w:tc>
      </w:tr>
      <w:tr>
        <w:tblPrEx>
          <w:tblCellMar>
            <w:top w:w="0" w:type="dxa"/>
            <w:left w:w="108" w:type="dxa"/>
            <w:bottom w:w="0" w:type="dxa"/>
            <w:right w:w="108" w:type="dxa"/>
          </w:tblCellMar>
        </w:tblPrEx>
        <w:trPr>
          <w:trHeight w:val="89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r>
        <w:tblPrEx>
          <w:tblCellMar>
            <w:top w:w="0" w:type="dxa"/>
            <w:left w:w="108" w:type="dxa"/>
            <w:bottom w:w="0" w:type="dxa"/>
            <w:right w:w="108" w:type="dxa"/>
          </w:tblCellMar>
        </w:tblPrEx>
        <w:trPr>
          <w:trHeight w:val="6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rPr>
              <w:sym w:font="Wingdings 2" w:char="0052"/>
            </w:r>
            <w:r>
              <w:rPr>
                <w:rFonts w:hint="eastAsia" w:ascii="宋体" w:hAnsi="宋体" w:eastAsia="宋体" w:cs="宋体"/>
                <w:b/>
                <w:bCs/>
                <w:color w:val="auto"/>
                <w:sz w:val="21"/>
                <w:szCs w:val="21"/>
                <w:highlight w:val="none"/>
              </w:rPr>
              <w:t>否</w:t>
            </w:r>
          </w:p>
        </w:tc>
      </w:tr>
      <w:tr>
        <w:tblPrEx>
          <w:tblCellMar>
            <w:top w:w="0" w:type="dxa"/>
            <w:left w:w="108" w:type="dxa"/>
            <w:bottom w:w="0" w:type="dxa"/>
            <w:right w:w="108" w:type="dxa"/>
          </w:tblCellMar>
        </w:tblPrEx>
        <w:trPr>
          <w:trHeight w:val="5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湖南省港务集团有限公司六楼602开标室</w:t>
            </w:r>
          </w:p>
        </w:tc>
      </w:tr>
      <w:tr>
        <w:tblPrEx>
          <w:tblCellMar>
            <w:top w:w="0" w:type="dxa"/>
            <w:left w:w="108" w:type="dxa"/>
            <w:bottom w:w="0" w:type="dxa"/>
            <w:right w:w="108" w:type="dxa"/>
          </w:tblCellMar>
        </w:tblPrEx>
        <w:trPr>
          <w:trHeight w:val="60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开启顺序：</w:t>
            </w:r>
            <w:r>
              <w:rPr>
                <w:rFonts w:hint="eastAsia" w:ascii="宋体" w:hAnsi="宋体" w:eastAsia="宋体" w:cs="宋体"/>
                <w:color w:val="000000"/>
                <w:sz w:val="21"/>
                <w:szCs w:val="21"/>
                <w:highlight w:val="none"/>
                <w:u w:val="single"/>
              </w:rPr>
              <w:t xml:space="preserve"> 随机 </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评审小组的组建</w:t>
            </w:r>
            <w:r>
              <w:rPr>
                <w:rStyle w:val="47"/>
                <w:rFonts w:hint="eastAsia" w:ascii="宋体" w:hAnsi="宋体" w:eastAsia="宋体" w:cs="宋体"/>
                <w:color w:val="000000"/>
                <w:sz w:val="21"/>
                <w:szCs w:val="21"/>
                <w:highlight w:val="none"/>
              </w:rPr>
              <w:footnoteReference w:id="0"/>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评标小组构成：</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评审专家确定方式：在湖南省湘水集团有限公司综合评标专家库中随机抽取。</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评审小组推荐成交候选供应商的数量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 xml:space="preserve"> </w:t>
            </w:r>
            <w:r>
              <w:rPr>
                <w:rFonts w:hint="eastAsia" w:ascii="宋体" w:hAnsi="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 xml:space="preserve"> </w:t>
            </w:r>
            <w:r>
              <w:rPr>
                <w:rFonts w:hint="eastAsia" w:ascii="宋体" w:hAnsi="宋体" w:eastAsia="宋体" w:cs="宋体"/>
                <w:color w:val="000000"/>
                <w:sz w:val="21"/>
                <w:szCs w:val="21"/>
                <w:highlight w:val="none"/>
              </w:rPr>
              <w:t>个，并标明推荐顺序。</w:t>
            </w:r>
          </w:p>
        </w:tc>
      </w:tr>
      <w:tr>
        <w:tblPrEx>
          <w:tblCellMar>
            <w:top w:w="0" w:type="dxa"/>
            <w:left w:w="108" w:type="dxa"/>
            <w:bottom w:w="0" w:type="dxa"/>
            <w:right w:w="108" w:type="dxa"/>
          </w:tblCellMar>
        </w:tblPrEx>
        <w:trPr>
          <w:trHeight w:val="213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widowControl/>
              <w:spacing w:line="288" w:lineRule="auto"/>
              <w:ind w:firstLine="0" w:firstLineChars="0"/>
              <w:jc w:val="both"/>
              <w:rPr>
                <w:rFonts w:hint="eastAsia" w:ascii="宋体" w:hAnsi="宋体" w:cs="宋体"/>
                <w:sz w:val="21"/>
                <w:szCs w:val="21"/>
                <w:highlight w:val="none"/>
              </w:rPr>
            </w:pPr>
            <w:r>
              <w:rPr>
                <w:rFonts w:hint="eastAsia" w:ascii="宋体" w:hAnsi="宋体" w:eastAsia="宋体" w:cs="宋体"/>
                <w:color w:val="000000"/>
                <w:sz w:val="21"/>
                <w:szCs w:val="21"/>
                <w:highlight w:val="none"/>
              </w:rPr>
              <w:t>公示媒介：</w:t>
            </w:r>
            <w:r>
              <w:rPr>
                <w:rFonts w:hint="eastAsia" w:ascii="宋体" w:hAnsi="宋体" w:cs="宋体"/>
                <w:sz w:val="21"/>
                <w:szCs w:val="21"/>
                <w:highlight w:val="none"/>
              </w:rPr>
              <w:t>中国招标投标公共服务平台（http：//www.cebpubservice.com）、湖南省湘水集团有限公司网站（http：//www.hnsxsjt.c</w:t>
            </w:r>
            <w:r>
              <w:rPr>
                <w:rFonts w:hint="eastAsia" w:ascii="宋体" w:hAnsi="宋体" w:cs="宋体"/>
                <w:sz w:val="21"/>
                <w:szCs w:val="21"/>
                <w:highlight w:val="none"/>
                <w:lang w:val="en-US" w:eastAsia="zh-CN"/>
              </w:rPr>
              <w:t>om</w:t>
            </w:r>
            <w:r>
              <w:rPr>
                <w:rFonts w:hint="eastAsia" w:ascii="宋体" w:hAnsi="宋体" w:cs="宋体"/>
                <w:sz w:val="21"/>
                <w:szCs w:val="21"/>
                <w:highlight w:val="none"/>
              </w:rPr>
              <w:t>）、湖南省港务集团有限公司网</w:t>
            </w:r>
            <w:r>
              <w:rPr>
                <w:rFonts w:hint="eastAsia" w:ascii="宋体" w:hAnsi="宋体" w:cs="宋体"/>
                <w:sz w:val="21"/>
                <w:szCs w:val="21"/>
                <w:highlight w:val="none"/>
                <w:lang w:eastAsia="zh-CN"/>
              </w:rPr>
              <w:t>站</w:t>
            </w:r>
            <w:r>
              <w:rPr>
                <w:rFonts w:hint="eastAsia" w:ascii="宋体" w:hAnsi="宋体" w:cs="宋体"/>
                <w:sz w:val="21"/>
                <w:szCs w:val="21"/>
                <w:highlight w:val="none"/>
              </w:rPr>
              <w:t>（http://www.hnsgwjt.com/）上发布。</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公示期限：</w:t>
            </w:r>
            <w:r>
              <w:rPr>
                <w:rFonts w:hint="eastAsia" w:ascii="宋体" w:hAnsi="宋体" w:eastAsia="宋体" w:cs="宋体"/>
                <w:color w:val="000000"/>
                <w:sz w:val="21"/>
                <w:szCs w:val="21"/>
                <w:highlight w:val="none"/>
                <w:u w:val="single"/>
              </w:rPr>
              <w:t>3个工作日</w:t>
            </w:r>
          </w:p>
        </w:tc>
      </w:tr>
      <w:tr>
        <w:tblPrEx>
          <w:tblCellMar>
            <w:top w:w="0" w:type="dxa"/>
            <w:left w:w="108" w:type="dxa"/>
            <w:bottom w:w="0" w:type="dxa"/>
            <w:right w:w="108" w:type="dxa"/>
          </w:tblCellMar>
        </w:tblPrEx>
        <w:trPr>
          <w:trHeight w:val="56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不要求提交</w:t>
            </w:r>
          </w:p>
        </w:tc>
      </w:tr>
      <w:tr>
        <w:tblPrEx>
          <w:tblCellMar>
            <w:top w:w="0" w:type="dxa"/>
            <w:left w:w="108" w:type="dxa"/>
            <w:bottom w:w="0" w:type="dxa"/>
            <w:right w:w="108" w:type="dxa"/>
          </w:tblCellMar>
        </w:tblPrEx>
        <w:trPr>
          <w:trHeight w:val="176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联系人：</w:t>
            </w:r>
            <w:r>
              <w:rPr>
                <w:rFonts w:hint="eastAsia" w:ascii="宋体" w:hAnsi="宋体" w:cs="宋体"/>
                <w:color w:val="000000"/>
                <w:sz w:val="21"/>
                <w:szCs w:val="21"/>
                <w:highlight w:val="none"/>
                <w:u w:val="single"/>
                <w:lang w:eastAsia="zh-CN"/>
              </w:rPr>
              <w:t>龙理</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cs="宋体"/>
                <w:szCs w:val="21"/>
                <w:highlight w:val="none"/>
                <w:u w:val="single"/>
                <w:lang w:val="en-US" w:eastAsia="zh-CN"/>
              </w:rPr>
              <w:t>13319590028</w:t>
            </w:r>
            <w:r>
              <w:rPr>
                <w:rFonts w:hint="eastAsia" w:ascii="宋体" w:hAnsi="宋体" w:eastAsia="宋体" w:cs="宋体"/>
                <w:color w:val="000000"/>
                <w:sz w:val="21"/>
                <w:szCs w:val="21"/>
                <w:highlight w:val="none"/>
              </w:rPr>
              <w:t xml:space="preserve">                  </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cs="宋体"/>
                <w:sz w:val="21"/>
                <w:szCs w:val="21"/>
                <w:highlight w:val="none"/>
                <w:u w:val="single"/>
                <w:lang w:eastAsia="zh-CN"/>
              </w:rPr>
              <w:t>湘阴县自然资源局</w:t>
            </w:r>
            <w:r>
              <w:rPr>
                <w:rFonts w:hint="eastAsia" w:ascii="宋体" w:hAnsi="宋体" w:cs="宋体"/>
                <w:sz w:val="21"/>
                <w:szCs w:val="21"/>
                <w:highlight w:val="none"/>
                <w:u w:val="single"/>
                <w:lang w:val="en-US" w:eastAsia="zh-CN"/>
              </w:rPr>
              <w:t>205室</w:t>
            </w:r>
            <w:r>
              <w:rPr>
                <w:rFonts w:hint="eastAsia" w:ascii="宋体" w:hAnsi="宋体" w:eastAsia="宋体" w:cs="宋体"/>
                <w:color w:val="000000"/>
                <w:sz w:val="21"/>
                <w:szCs w:val="21"/>
                <w:highlight w:val="none"/>
              </w:rPr>
              <w:t xml:space="preserve">         </w:t>
            </w:r>
          </w:p>
        </w:tc>
      </w:tr>
      <w:tr>
        <w:tblPrEx>
          <w:tblCellMar>
            <w:top w:w="0" w:type="dxa"/>
            <w:left w:w="108" w:type="dxa"/>
            <w:bottom w:w="0" w:type="dxa"/>
            <w:right w:w="108" w:type="dxa"/>
          </w:tblCellMar>
        </w:tblPrEx>
        <w:trPr>
          <w:trHeight w:val="59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sym w:font="Wingdings 2" w:char="0052"/>
            </w:r>
            <w:r>
              <w:rPr>
                <w:rFonts w:hint="eastAsia" w:ascii="宋体" w:hAnsi="宋体" w:eastAsia="宋体" w:cs="宋体"/>
                <w:b/>
                <w:bCs/>
                <w:color w:val="000000"/>
                <w:sz w:val="21"/>
                <w:szCs w:val="21"/>
                <w:highlight w:val="none"/>
              </w:rPr>
              <w:t>不要求承担</w:t>
            </w:r>
          </w:p>
        </w:tc>
      </w:tr>
      <w:tr>
        <w:tblPrEx>
          <w:tblCellMar>
            <w:top w:w="0" w:type="dxa"/>
            <w:left w:w="108" w:type="dxa"/>
            <w:bottom w:w="0" w:type="dxa"/>
            <w:right w:w="108" w:type="dxa"/>
          </w:tblCellMar>
        </w:tblPrEx>
        <w:trPr>
          <w:trHeight w:val="18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288"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FF"/>
                <w:sz w:val="21"/>
                <w:szCs w:val="21"/>
                <w:highlight w:val="none"/>
                <w:u w:val="single"/>
              </w:rPr>
              <w:t>正本1份</w:t>
            </w:r>
            <w:r>
              <w:rPr>
                <w:rFonts w:hint="eastAsia" w:ascii="宋体" w:hAnsi="宋体" w:eastAsia="宋体" w:cs="宋体"/>
                <w:color w:val="0000FF"/>
                <w:sz w:val="21"/>
                <w:szCs w:val="21"/>
                <w:highlight w:val="none"/>
              </w:rPr>
              <w:t>，</w:t>
            </w:r>
            <w:r>
              <w:rPr>
                <w:rFonts w:hint="eastAsia" w:ascii="宋体" w:hAnsi="宋体" w:eastAsia="宋体" w:cs="宋体"/>
                <w:b w:val="0"/>
                <w:bCs w:val="0"/>
                <w:color w:val="0000FF"/>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spacing w:line="240" w:lineRule="auto"/>
        <w:jc w:val="center"/>
        <w:outlineLvl w:val="0"/>
        <w:rPr>
          <w:rFonts w:ascii="仿宋" w:hAnsi="仿宋" w:eastAsia="仿宋" w:cs="仿宋"/>
          <w:sz w:val="30"/>
          <w:szCs w:val="30"/>
          <w:highlight w:val="none"/>
        </w:rPr>
      </w:pPr>
      <w:r>
        <w:rPr>
          <w:rFonts w:ascii="仿宋" w:hAnsi="仿宋" w:eastAsia="仿宋" w:cs="仿宋"/>
          <w:b/>
          <w:bCs/>
          <w:sz w:val="30"/>
          <w:szCs w:val="30"/>
          <w:highlight w:val="none"/>
        </w:rPr>
        <w:br w:type="page"/>
      </w:r>
      <w:bookmarkStart w:id="11" w:name="_Toc9633"/>
      <w:r>
        <w:rPr>
          <w:rFonts w:hint="eastAsia" w:ascii="华文中宋" w:hAnsi="华文中宋" w:eastAsia="华文中宋" w:cs="仿宋"/>
          <w:b/>
          <w:bCs/>
          <w:sz w:val="30"/>
          <w:szCs w:val="30"/>
          <w:highlight w:val="none"/>
        </w:rPr>
        <w:t>第二章 供应商须知正文</w:t>
      </w:r>
      <w:bookmarkEnd w:id="11"/>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1"/>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5"/>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5"/>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5"/>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pStyle w:val="65"/>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采购项目概况和供应商资格要求见第一章“采购公告”。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1.6计量单位</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1.7踏勘现场（本项目不组织踏勘现场）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1.8采购预备会（本项目不组织采购预备会）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1.9分包(本项目不</w:t>
      </w:r>
      <w:r>
        <w:rPr>
          <w:rFonts w:hint="eastAsia" w:ascii="宋体" w:hAnsi="宋体" w:cs="仿宋"/>
          <w:b/>
          <w:bCs/>
          <w:sz w:val="24"/>
          <w:highlight w:val="none"/>
          <w:lang w:eastAsia="zh-CN"/>
        </w:rPr>
        <w:t>允许</w:t>
      </w:r>
      <w:r>
        <w:rPr>
          <w:rFonts w:hint="eastAsia" w:ascii="宋体" w:hAnsi="宋体" w:cs="仿宋"/>
          <w:b/>
          <w:bCs/>
          <w:sz w:val="24"/>
          <w:highlight w:val="none"/>
        </w:rPr>
        <w:t>分包)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2采购文件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2.1采购文件的组成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0" w:leftChars="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FF0000"/>
          <w:sz w:val="24"/>
          <w:highlight w:val="none"/>
        </w:rPr>
      </w:pPr>
      <w:r>
        <w:rPr>
          <w:rFonts w:hint="eastAsia" w:ascii="宋体" w:hAnsi="宋体" w:cs="仿宋"/>
          <w:sz w:val="24"/>
          <w:highlight w:val="none"/>
        </w:rPr>
        <w:t>3.2.1供应商应按采购文件提供的格式(见第六章“响应文件格式”)在响应函和报价表中进行报价。</w:t>
      </w:r>
      <w:r>
        <w:rPr>
          <w:rFonts w:hint="eastAsia" w:ascii="宋体" w:hAnsi="宋体" w:cs="仿宋"/>
          <w:color w:val="auto"/>
          <w:sz w:val="24"/>
          <w:highlight w:val="none"/>
        </w:rPr>
        <w:t>响应函中报价应为包含国家规定的增值税在内的含税价格，同时应列明不含税价格和增值税税额，采购人将根据项目情况，在第三章“评审办法</w:t>
      </w:r>
      <w:r>
        <w:rPr>
          <w:rFonts w:ascii="宋体" w:hAnsi="宋体" w:cs="仿宋"/>
          <w:color w:val="auto"/>
          <w:sz w:val="24"/>
          <w:highlight w:val="none"/>
        </w:rPr>
        <w:t>"</w:t>
      </w:r>
      <w:r>
        <w:rPr>
          <w:rFonts w:hint="eastAsia" w:ascii="宋体" w:hAnsi="宋体" w:cs="仿宋"/>
          <w:color w:val="auto"/>
          <w:sz w:val="24"/>
          <w:highlight w:val="none"/>
        </w:rPr>
        <w:t>第</w:t>
      </w:r>
      <w:r>
        <w:rPr>
          <w:rFonts w:ascii="宋体" w:hAnsi="宋体" w:cs="仿宋"/>
          <w:color w:val="auto"/>
          <w:sz w:val="24"/>
          <w:highlight w:val="none"/>
        </w:rPr>
        <w:t>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hint="eastAsia" w:ascii="宋体" w:hAnsi="宋体" w:cs="仿宋"/>
          <w:b/>
          <w:bCs/>
          <w:color w:val="auto"/>
          <w:sz w:val="24"/>
          <w:highlight w:val="none"/>
        </w:rPr>
      </w:pPr>
      <w:r>
        <w:rPr>
          <w:rFonts w:hint="eastAsia" w:ascii="宋体" w:hAnsi="宋体" w:cs="仿宋"/>
          <w:b/>
          <w:bCs/>
          <w:color w:val="auto"/>
          <w:sz w:val="24"/>
          <w:highlight w:val="none"/>
        </w:rPr>
        <w:t>3.4响应保证金（本项目不提交响应保证金）</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3.7.2响应文件应用不褪色的的材料书写或打印。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4.2.2除供应商须知前附表另有规定外，供应商所提交的响应文件不于退还。</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采购人一般不公开开启响应文件。如</w:t>
      </w:r>
      <w:r>
        <w:rPr>
          <w:rFonts w:hint="eastAsia" w:ascii="宋体" w:hAnsi="宋体" w:cs="仿宋"/>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ind w:firstLine="453" w:firstLineChars="189"/>
        <w:jc w:val="both"/>
        <w:rPr>
          <w:rFonts w:ascii="宋体" w:hAnsi="宋体" w:cs="仿宋"/>
          <w:color w:val="FF0000"/>
          <w:sz w:val="24"/>
          <w:highlight w:val="none"/>
        </w:rPr>
      </w:pPr>
      <w:r>
        <w:rPr>
          <w:rFonts w:hint="eastAsia" w:ascii="宋体" w:hAnsi="宋体" w:cs="仿宋"/>
          <w:color w:val="auto"/>
          <w:sz w:val="24"/>
          <w:highlight w:val="none"/>
        </w:rPr>
        <w:t>采购人在本章第</w:t>
      </w:r>
      <w:r>
        <w:rPr>
          <w:rFonts w:ascii="宋体" w:hAnsi="宋体" w:cs="仿宋"/>
          <w:color w:val="auto"/>
          <w:sz w:val="24"/>
          <w:highlight w:val="none"/>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color w:val="auto"/>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rPr>
          <w:highlight w:val="none"/>
        </w:rPr>
      </w:pPr>
      <w:r>
        <w:rPr>
          <w:rFonts w:hint="eastAsia" w:ascii="宋体" w:hAnsi="宋体" w:cs="仿宋"/>
          <w:sz w:val="24"/>
          <w:highlight w:val="none"/>
        </w:rPr>
        <w:t>(2)开启会议结束。</w:t>
      </w:r>
    </w:p>
    <w:p>
      <w:pPr>
        <w:adjustRightInd w:val="0"/>
        <w:snapToGrid w:val="0"/>
        <w:spacing w:line="312" w:lineRule="auto"/>
        <w:ind w:firstLine="0" w:firstLineChars="0"/>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6.1.2评审小组成员有下列情形之的，应当回避:</w:t>
      </w:r>
    </w:p>
    <w:p>
      <w:pPr>
        <w:spacing w:line="312" w:lineRule="auto"/>
        <w:ind w:left="716" w:leftChars="284" w:hanging="120" w:hangingChars="50"/>
        <w:jc w:val="both"/>
        <w:rPr>
          <w:highlight w:val="none"/>
        </w:rPr>
      </w:pPr>
      <w:r>
        <w:rPr>
          <w:rFonts w:hint="eastAsia" w:ascii="宋体" w:hAnsi="宋体" w:cs="仿宋"/>
          <w:sz w:val="24"/>
          <w:highlight w:val="none"/>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 xml:space="preserve">公示 </w:t>
      </w:r>
    </w:p>
    <w:p>
      <w:pPr>
        <w:widowControl w:val="0"/>
        <w:adjustRightInd w:val="0"/>
        <w:snapToGrid w:val="0"/>
        <w:spacing w:line="312" w:lineRule="auto"/>
        <w:ind w:firstLine="480" w:firstLineChars="200"/>
        <w:jc w:val="both"/>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bookmarkStart w:id="12" w:name="_Toc24135"/>
      <w:r>
        <w:rPr>
          <w:rFonts w:hint="eastAsia" w:ascii="宋体" w:hAnsi="宋体" w:cs="宋体"/>
          <w:b/>
          <w:bCs/>
          <w:sz w:val="24"/>
          <w:highlight w:val="none"/>
        </w:rPr>
        <w:t>7.3成交结果异议</w:t>
      </w:r>
      <w:bookmarkEnd w:id="12"/>
      <w:r>
        <w:rPr>
          <w:rFonts w:hint="eastAsia" w:ascii="宋体" w:hAnsi="宋体" w:cs="宋体"/>
          <w:b/>
          <w:bCs/>
          <w:sz w:val="24"/>
          <w:highlight w:val="none"/>
        </w:rPr>
        <w:t xml:space="preserve">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w:t>
      </w:r>
      <w:r>
        <w:rPr>
          <w:rFonts w:hint="eastAsia" w:ascii="宋体" w:hAnsi="宋体" w:cs="仿宋"/>
          <w:b/>
          <w:bCs/>
          <w:color w:val="auto"/>
          <w:sz w:val="24"/>
          <w:highlight w:val="none"/>
        </w:rPr>
        <w:t>（本项目不提交</w:t>
      </w:r>
      <w:r>
        <w:rPr>
          <w:rFonts w:hint="eastAsia" w:ascii="宋体" w:hAnsi="宋体" w:cs="仿宋"/>
          <w:b/>
          <w:bCs/>
          <w:color w:val="auto"/>
          <w:sz w:val="24"/>
          <w:highlight w:val="none"/>
          <w:lang w:eastAsia="zh-CN"/>
        </w:rPr>
        <w:t>履约</w:t>
      </w:r>
      <w:r>
        <w:rPr>
          <w:rFonts w:hint="eastAsia" w:ascii="宋体" w:hAnsi="宋体" w:cs="仿宋"/>
          <w:b/>
          <w:bCs/>
          <w:color w:val="auto"/>
          <w:sz w:val="24"/>
          <w:highlight w:val="none"/>
        </w:rPr>
        <w:t>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10.1其他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需更补充的其他内容:见供应商须知前附表。</w:t>
      </w:r>
    </w:p>
    <w:p>
      <w:pPr>
        <w:adjustRightInd w:val="0"/>
        <w:snapToGrid w:val="0"/>
        <w:spacing w:line="312" w:lineRule="auto"/>
        <w:jc w:val="both"/>
        <w:rPr>
          <w:rFonts w:ascii="宋体" w:hAnsi="宋体" w:cs="仿宋"/>
          <w:sz w:val="24"/>
          <w:highlight w:val="none"/>
        </w:rPr>
      </w:pPr>
    </w:p>
    <w:p>
      <w:pPr>
        <w:adjustRightInd w:val="0"/>
        <w:snapToGrid w:val="0"/>
        <w:spacing w:line="312" w:lineRule="auto"/>
        <w:ind w:firstLine="453" w:firstLineChars="189"/>
        <w:jc w:val="both"/>
        <w:rPr>
          <w:rFonts w:ascii="宋体" w:hAnsi="宋体" w:cs="仿宋"/>
          <w:sz w:val="24"/>
          <w:highlight w:val="none"/>
        </w:rPr>
      </w:pPr>
    </w:p>
    <w:p>
      <w:pPr>
        <w:spacing w:line="312" w:lineRule="auto"/>
        <w:jc w:val="both"/>
        <w:rPr>
          <w:rFonts w:ascii="宋体" w:hAnsi="宋体" w:cs="仿宋"/>
          <w:sz w:val="24"/>
          <w:highlight w:val="none"/>
        </w:rPr>
      </w:pPr>
      <w:r>
        <w:rPr>
          <w:rFonts w:hint="eastAsia" w:ascii="宋体" w:hAnsi="宋体" w:cs="仿宋"/>
          <w:sz w:val="24"/>
          <w:highlight w:val="none"/>
        </w:rPr>
        <w:br w:type="page"/>
      </w:r>
    </w:p>
    <w:p>
      <w:pPr>
        <w:spacing w:line="312" w:lineRule="auto"/>
        <w:jc w:val="both"/>
        <w:rPr>
          <w:rFonts w:ascii="宋体" w:hAnsi="宋体" w:cs="仿宋"/>
          <w:sz w:val="30"/>
          <w:szCs w:val="30"/>
          <w:highlight w:val="none"/>
        </w:rPr>
      </w:pPr>
      <w:r>
        <w:rPr>
          <w:rFonts w:hint="eastAsia" w:ascii="宋体" w:hAnsi="宋体" w:cs="仿宋"/>
          <w:sz w:val="30"/>
          <w:szCs w:val="30"/>
          <w:highlight w:val="none"/>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3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1238"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1200" w:firstLineChars="50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rPr>
        <w:t>(供应商名称):</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u w:val="single"/>
        </w:rPr>
        <w:t>(详细地址)</w:t>
      </w:r>
      <w:r>
        <w:rPr>
          <w:rFonts w:hint="eastAsia" w:ascii="宋体" w:hAnsi="宋体" w:cs="仿宋"/>
          <w:sz w:val="24"/>
          <w:highlight w:val="none"/>
        </w:rPr>
        <w:t>或发电子邮件至</w:t>
      </w:r>
      <w:r>
        <w:rPr>
          <w:rFonts w:hint="eastAsia" w:ascii="宋体" w:hAnsi="宋体" w:cs="仿宋"/>
          <w:sz w:val="24"/>
          <w:highlight w:val="none"/>
          <w:u w:val="single"/>
        </w:rPr>
        <w:t>(电子邮箱地址)</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u w:val="single"/>
        </w:rPr>
        <w:t>(详细地址)</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0" w:leftChars="0" w:firstLine="0" w:firstLineChars="0"/>
        <w:jc w:val="right"/>
        <w:rPr>
          <w:rFonts w:ascii="宋体" w:hAnsi="宋体" w:cs="仿宋"/>
          <w:sz w:val="24"/>
          <w:highlight w:val="none"/>
          <w:u w:val="single"/>
        </w:rPr>
      </w:pPr>
      <w:r>
        <w:rPr>
          <w:rFonts w:hint="eastAsia" w:ascii="宋体" w:hAnsi="宋体" w:cs="仿宋"/>
          <w:sz w:val="24"/>
          <w:highlight w:val="none"/>
        </w:rPr>
        <w:t>采购人(或采购代理机构):</w:t>
      </w:r>
      <w:r>
        <w:rPr>
          <w:rFonts w:hint="eastAsia" w:ascii="宋体" w:hAnsi="宋体" w:cs="仿宋"/>
          <w:sz w:val="24"/>
          <w:highlight w:val="none"/>
          <w:u w:val="single"/>
        </w:rPr>
        <w:t>(签字或盖单位章)</w:t>
      </w:r>
    </w:p>
    <w:p>
      <w:pPr>
        <w:spacing w:line="600" w:lineRule="exact"/>
        <w:ind w:firstLine="0" w:firstLineChars="0"/>
        <w:jc w:val="right"/>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问题澄清通知(编号:</w:t>
      </w:r>
      <w:r>
        <w:rPr>
          <w:rFonts w:hint="eastAsia" w:ascii="宋体" w:hAnsi="宋体" w:cs="仿宋"/>
          <w:sz w:val="24"/>
          <w:highlight w:val="none"/>
          <w:u w:val="single"/>
        </w:rPr>
        <w:t xml:space="preserve">                </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3410" w:firstLineChars="1421"/>
        <w:jc w:val="both"/>
        <w:rPr>
          <w:rFonts w:ascii="宋体" w:hAnsi="宋体" w:cs="仿宋"/>
          <w:sz w:val="24"/>
          <w:highlight w:val="none"/>
          <w:u w:val="single"/>
        </w:rPr>
      </w:pPr>
      <w:r>
        <w:rPr>
          <w:rFonts w:hint="eastAsia" w:ascii="宋体" w:hAnsi="宋体" w:cs="仿宋"/>
          <w:sz w:val="24"/>
          <w:highlight w:val="none"/>
        </w:rPr>
        <w:t>法定代表人(单位负责人)或其授权的代理人:</w:t>
      </w:r>
      <w:r>
        <w:rPr>
          <w:rFonts w:ascii="宋体" w:hAnsi="宋体" w:cs="仿宋"/>
          <w:sz w:val="24"/>
          <w:highlight w:val="none"/>
          <w:u w:val="single"/>
        </w:rPr>
        <w:t xml:space="preserve">  </w:t>
      </w:r>
      <w:r>
        <w:rPr>
          <w:rFonts w:hint="eastAsia" w:ascii="宋体" w:hAnsi="宋体" w:cs="仿宋"/>
          <w:sz w:val="24"/>
          <w:highlight w:val="none"/>
          <w:u w:val="single"/>
        </w:rPr>
        <w:t>(签字)</w:t>
      </w:r>
      <w:r>
        <w:rPr>
          <w:rFonts w:ascii="宋体" w:hAnsi="宋体" w:cs="仿宋"/>
          <w:sz w:val="24"/>
          <w:highlight w:val="none"/>
          <w:u w:val="single"/>
        </w:rPr>
        <w:t xml:space="preserve">  </w:t>
      </w:r>
    </w:p>
    <w:p>
      <w:pPr>
        <w:spacing w:line="600" w:lineRule="exact"/>
        <w:ind w:firstLine="5570" w:firstLineChars="2321"/>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0" w:firstLineChars="0"/>
        <w:jc w:val="left"/>
        <w:rPr>
          <w:rFonts w:ascii="宋体" w:hAnsi="宋体" w:cs="仿宋"/>
          <w:sz w:val="24"/>
          <w:highlight w:val="none"/>
        </w:rPr>
      </w:pPr>
      <w:r>
        <w:rPr>
          <w:rFonts w:hint="eastAsia" w:ascii="宋体" w:hAnsi="宋体" w:cs="仿宋"/>
          <w:sz w:val="24"/>
          <w:highlight w:val="none"/>
          <w:u w:val="single"/>
        </w:rPr>
        <w:t>(成交供应商名称)</w:t>
      </w:r>
      <w:r>
        <w:rPr>
          <w:rFonts w:hint="eastAsia" w:ascii="宋体" w:hAnsi="宋体" w:cs="仿宋"/>
          <w:sz w:val="24"/>
          <w:highlight w:val="none"/>
        </w:rPr>
        <w:t>:</w:t>
      </w:r>
    </w:p>
    <w:p>
      <w:pPr>
        <w:adjustRightInd w:val="0"/>
        <w:snapToGrid w:val="0"/>
        <w:spacing w:line="600" w:lineRule="exact"/>
        <w:ind w:firstLine="0" w:firstLineChars="0"/>
        <w:jc w:val="left"/>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u w:val="single"/>
        </w:rPr>
        <w:t>(项目名称)</w:t>
      </w:r>
      <w:r>
        <w:rPr>
          <w:rFonts w:hint="eastAsia" w:ascii="宋体" w:hAnsi="宋体" w:cs="仿宋"/>
          <w:sz w:val="24"/>
          <w:highlight w:val="none"/>
        </w:rPr>
        <w:t>的响应文件已被我方接受，被确定为成交供应商。</w:t>
      </w:r>
    </w:p>
    <w:p>
      <w:pPr>
        <w:adjustRightInd w:val="0"/>
        <w:snapToGrid w:val="0"/>
        <w:spacing w:line="600" w:lineRule="exact"/>
        <w:ind w:firstLine="0" w:firstLineChars="0"/>
        <w:jc w:val="left"/>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0" w:firstLineChars="0"/>
        <w:jc w:val="left"/>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u w:val="single"/>
        </w:rPr>
        <w:t>(指定地点)</w:t>
      </w:r>
      <w:r>
        <w:rPr>
          <w:rFonts w:hint="eastAsia" w:ascii="宋体" w:hAnsi="宋体" w:cs="仿宋"/>
          <w:sz w:val="24"/>
          <w:highlight w:val="none"/>
        </w:rPr>
        <w:t>与我方签订采购合同。</w:t>
      </w:r>
    </w:p>
    <w:p>
      <w:pPr>
        <w:adjustRightInd w:val="0"/>
        <w:snapToGrid w:val="0"/>
        <w:spacing w:line="600" w:lineRule="exact"/>
        <w:ind w:firstLine="0" w:firstLineChars="0"/>
        <w:jc w:val="left"/>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0" w:firstLineChars="0"/>
        <w:jc w:val="right"/>
        <w:rPr>
          <w:rFonts w:ascii="宋体" w:hAnsi="宋体" w:cs="仿宋"/>
          <w:sz w:val="24"/>
          <w:highlight w:val="none"/>
          <w:u w:val="single"/>
        </w:rPr>
      </w:pPr>
      <w:r>
        <w:rPr>
          <w:rFonts w:hint="eastAsia" w:ascii="宋体" w:hAnsi="宋体" w:cs="仿宋"/>
          <w:sz w:val="24"/>
          <w:highlight w:val="none"/>
        </w:rPr>
        <w:t>采购人(或采购代理机构):</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0" w:firstLineChars="0"/>
        <w:jc w:val="right"/>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pStyle w:val="2"/>
        <w:ind w:firstLine="0"/>
        <w:rPr>
          <w:rFonts w:hint="eastAsia" w:hAnsi="宋体" w:cs="仿宋"/>
          <w:highlight w:val="none"/>
        </w:rPr>
      </w:pP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（采购人或采购代理机构名称)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日发出的的</w:t>
      </w:r>
      <w:r>
        <w:rPr>
          <w:rFonts w:hint="eastAsia" w:ascii="宋体" w:hAnsi="宋体" w:cs="仿宋"/>
          <w:sz w:val="24"/>
          <w:highlight w:val="none"/>
          <w:u w:val="single"/>
        </w:rPr>
        <w:t>(项目名称)</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pStyle w:val="76"/>
        <w:adjustRightInd w:val="0"/>
        <w:snapToGrid w:val="0"/>
        <w:spacing w:line="600" w:lineRule="exact"/>
        <w:ind w:firstLine="6240" w:firstLineChars="2600"/>
        <w:jc w:val="center"/>
        <w:rPr>
          <w:rFonts w:ascii="宋体" w:hAnsi="宋体" w:cs="仿宋"/>
          <w:sz w:val="24"/>
          <w:highlight w:val="none"/>
        </w:rPr>
      </w:pP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jc w:val="center"/>
        <w:outlineLvl w:val="0"/>
        <w:rPr>
          <w:rFonts w:ascii="黑体" w:hAnsi="黑体" w:eastAsia="黑体" w:cs="仿宋"/>
          <w:bCs/>
          <w:sz w:val="36"/>
          <w:szCs w:val="36"/>
          <w:highlight w:val="none"/>
        </w:rPr>
      </w:pPr>
      <w:bookmarkStart w:id="13" w:name="_Toc2458"/>
      <w:r>
        <w:rPr>
          <w:rFonts w:hint="eastAsia" w:ascii="黑体" w:hAnsi="黑体" w:eastAsia="黑体" w:cs="仿宋"/>
          <w:bCs/>
          <w:sz w:val="36"/>
          <w:szCs w:val="36"/>
          <w:highlight w:val="none"/>
        </w:rPr>
        <w:t>第三章 评审办法</w:t>
      </w:r>
      <w:bookmarkEnd w:id="13"/>
    </w:p>
    <w:p>
      <w:pPr>
        <w:adjustRightInd w:val="0"/>
        <w:snapToGrid w:val="0"/>
        <w:spacing w:before="120" w:beforeLines="50" w:after="120" w:afterLines="50" w:line="312"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39"/>
        <w:tblW w:w="919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25"/>
        <w:gridCol w:w="1380"/>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条款号及名称</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评审因素</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2.1.1</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形式评审标准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供应商名称</w:t>
            </w:r>
          </w:p>
        </w:tc>
        <w:tc>
          <w:tcPr>
            <w:tcW w:w="5911" w:type="dxa"/>
            <w:vAlign w:val="center"/>
          </w:tcPr>
          <w:p>
            <w:pPr>
              <w:widowControl w:val="0"/>
              <w:adjustRightInd w:val="0"/>
              <w:spacing w:after="0" w:line="288"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288" w:lineRule="auto"/>
              <w:ind w:firstLine="210" w:firstLineChars="100"/>
              <w:jc w:val="left"/>
              <w:rPr>
                <w:rFonts w:cs="仿宋" w:asciiTheme="minorEastAsia" w:hAnsiTheme="minorEastAsia" w:eastAsiaTheme="minorEastAsia"/>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响应文件签字盖章</w:t>
            </w:r>
          </w:p>
        </w:tc>
        <w:tc>
          <w:tcPr>
            <w:tcW w:w="5911" w:type="dxa"/>
            <w:vAlign w:val="center"/>
          </w:tcPr>
          <w:p>
            <w:pPr>
              <w:widowControl/>
              <w:adjustRightInd w:val="0"/>
              <w:snapToGrid w:val="0"/>
              <w:spacing w:line="288" w:lineRule="auto"/>
              <w:ind w:firstLine="0" w:firstLineChars="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响应函中实质性内容</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2.1.2</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资格评审标准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依法设立</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资质要求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财务要求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业绩要求</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不存在第一章第3.2款情形</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kern w:val="2"/>
                <w:sz w:val="21"/>
                <w:szCs w:val="21"/>
                <w:highlight w:val="none"/>
                <w:lang w:val="en-US" w:eastAsia="zh-CN" w:bidi="ar-SA"/>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8</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2.1.3</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响应性评审标准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响应文件有效期</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en-US" w:eastAsia="zh-CN"/>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响应方案</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质量标准</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完成期限</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en-US" w:eastAsia="zh-CN"/>
              </w:rPr>
              <w:t>合同签订后7日内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对非关键条款的偏差</w:t>
            </w:r>
          </w:p>
        </w:tc>
        <w:tc>
          <w:tcPr>
            <w:tcW w:w="5911" w:type="dxa"/>
            <w:vAlign w:val="center"/>
          </w:tcPr>
          <w:p>
            <w:pPr>
              <w:widowControl w:val="0"/>
              <w:spacing w:line="288" w:lineRule="auto"/>
              <w:ind w:firstLine="210" w:firstLineChars="100"/>
              <w:jc w:val="left"/>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eastAsia="zh-CN"/>
              </w:rPr>
              <w:t>允</w:t>
            </w:r>
            <w:r>
              <w:rPr>
                <w:rFonts w:hint="eastAsia" w:cs="仿宋" w:asciiTheme="minorEastAsia" w:hAnsiTheme="minorEastAsia" w:eastAsiaTheme="minorEastAsia"/>
                <w:sz w:val="21"/>
                <w:szCs w:val="21"/>
                <w:highlight w:val="none"/>
              </w:rPr>
              <w:t>许偏差的范围：</w:t>
            </w:r>
            <w:r>
              <w:rPr>
                <w:rFonts w:hint="eastAsia" w:cs="仿宋" w:asciiTheme="minorEastAsia" w:hAnsiTheme="minorEastAsia" w:eastAsiaTheme="minorEastAsia"/>
                <w:sz w:val="21"/>
                <w:szCs w:val="21"/>
                <w:highlight w:val="none"/>
                <w:u w:val="single"/>
              </w:rPr>
              <w:t>细微偏差</w:t>
            </w:r>
          </w:p>
          <w:p>
            <w:pPr>
              <w:widowControl/>
              <w:adjustRightInd w:val="0"/>
              <w:snapToGrid w:val="0"/>
              <w:spacing w:line="288" w:lineRule="auto"/>
              <w:ind w:firstLine="210" w:firstLineChars="100"/>
              <w:jc w:val="left"/>
              <w:rPr>
                <w:rFonts w:cs="仿宋" w:asciiTheme="minorEastAsia" w:hAnsiTheme="minorEastAsia" w:eastAsiaTheme="minorEastAsia"/>
                <w:szCs w:val="21"/>
                <w:highlight w:val="none"/>
              </w:rPr>
            </w:pPr>
            <w:r>
              <w:rPr>
                <w:rFonts w:hint="eastAsia" w:cs="仿宋" w:asciiTheme="minorEastAsia" w:hAnsiTheme="minorEastAsia" w:eastAsiaTheme="minorEastAsia"/>
                <w:sz w:val="21"/>
                <w:szCs w:val="21"/>
                <w:highlight w:val="none"/>
              </w:rPr>
              <w:t>允许偏差的项数：</w:t>
            </w:r>
            <w:r>
              <w:rPr>
                <w:rFonts w:hint="eastAsia" w:cs="仿宋" w:asciiTheme="minorEastAsia" w:hAnsiTheme="minorEastAsia" w:eastAsiaTheme="minorEastAsia"/>
                <w:sz w:val="21"/>
                <w:szCs w:val="21"/>
                <w:highlight w:val="none"/>
                <w:u w:val="single"/>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2.2.2</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评审价格</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90" w:type="dxa"/>
            <w:gridSpan w:val="4"/>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条款内容</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w:t>
            </w:r>
          </w:p>
        </w:tc>
        <w:tc>
          <w:tcPr>
            <w:tcW w:w="1380" w:type="dxa"/>
            <w:vAlign w:val="center"/>
          </w:tcPr>
          <w:p>
            <w:pPr>
              <w:widowControl w:val="0"/>
              <w:spacing w:line="288"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报价</w:t>
            </w:r>
          </w:p>
        </w:tc>
        <w:tc>
          <w:tcPr>
            <w:tcW w:w="5911" w:type="dxa"/>
            <w:vAlign w:val="center"/>
          </w:tcPr>
          <w:p>
            <w:pPr>
              <w:widowControl w:val="0"/>
              <w:adjustRightInd w:val="0"/>
              <w:snapToGrid w:val="0"/>
              <w:spacing w:line="288" w:lineRule="auto"/>
              <w:jc w:val="center"/>
              <w:rPr>
                <w:rFonts w:cs="仿宋" w:asciiTheme="minorEastAsia" w:hAnsiTheme="minorEastAsia" w:eastAsiaTheme="minorEastAsia"/>
                <w:szCs w:val="21"/>
                <w:highlight w:val="none"/>
              </w:rPr>
            </w:pPr>
            <w:r>
              <w:rPr>
                <w:rFonts w:hint="eastAsia" w:asciiTheme="minorEastAsia" w:hAnsiTheme="minorEastAsia" w:eastAsiaTheme="minorEastAsia"/>
                <w:szCs w:val="21"/>
                <w:highlight w:val="none"/>
              </w:rPr>
              <w:t>根据</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条规定，</w:t>
            </w:r>
            <w:r>
              <w:rPr>
                <w:rFonts w:hint="eastAsia" w:cs="仿宋" w:asciiTheme="minorEastAsia" w:hAnsiTheme="minorEastAsia" w:eastAsiaTheme="minorEastAsia"/>
                <w:szCs w:val="21"/>
                <w:highlight w:val="none"/>
              </w:rPr>
              <w:t>按照评审价格由低到高的顺序推荐成交候选供应商。</w:t>
            </w:r>
          </w:p>
        </w:tc>
      </w:tr>
    </w:tbl>
    <w:p>
      <w:pPr>
        <w:adjustRightInd/>
        <w:snapToGrid/>
        <w:spacing w:line="240" w:lineRule="auto"/>
        <w:jc w:val="left"/>
        <w:rPr>
          <w:rFonts w:hint="eastAsia" w:ascii="宋体" w:hAnsi="宋体" w:cs="仿宋"/>
          <w:b/>
          <w:bCs/>
          <w:sz w:val="36"/>
          <w:szCs w:val="36"/>
          <w:highlight w:val="none"/>
        </w:rPr>
      </w:pPr>
    </w:p>
    <w:p>
      <w:pPr>
        <w:adjustRightInd w:val="0"/>
        <w:snapToGrid w:val="0"/>
        <w:spacing w:line="312" w:lineRule="auto"/>
        <w:jc w:val="center"/>
        <w:rPr>
          <w:rFonts w:ascii="宋体" w:hAnsi="宋体" w:cs="仿宋"/>
          <w:b/>
          <w:bCs/>
          <w:sz w:val="36"/>
          <w:szCs w:val="36"/>
          <w:highlight w:val="none"/>
        </w:rPr>
      </w:pPr>
      <w:r>
        <w:rPr>
          <w:rFonts w:hint="eastAsia" w:ascii="宋体" w:hAnsi="宋体" w:cs="仿宋"/>
          <w:b/>
          <w:bCs/>
          <w:sz w:val="36"/>
          <w:szCs w:val="36"/>
          <w:highlight w:val="none"/>
        </w:rPr>
        <w:t>评审办法正文</w:t>
      </w:r>
    </w:p>
    <w:p>
      <w:pPr>
        <w:adjustRightInd w:val="0"/>
        <w:snapToGrid w:val="0"/>
        <w:spacing w:line="312" w:lineRule="auto"/>
        <w:jc w:val="both"/>
        <w:rPr>
          <w:rFonts w:ascii="宋体" w:hAnsi="宋体" w:cs="仿宋"/>
          <w:b/>
          <w:bCs/>
          <w:sz w:val="36"/>
          <w:szCs w:val="36"/>
          <w:highlight w:val="none"/>
        </w:rPr>
      </w:pP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1评审方法(最低价法)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2.1初步评审标准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2.1.1形式评审标准:见评审办法前附表。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2.1.2资格评审标准:见评审办法前附表。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2.1.3响应性评审标准:见评审办法前附表。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3详细评审标准和程序(最低价法)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ind w:firstLine="0" w:firstLineChars="0"/>
        <w:rPr>
          <w:rFonts w:ascii="宋体" w:hAnsi="宋体"/>
          <w:b/>
          <w:kern w:val="0"/>
          <w:szCs w:val="21"/>
          <w:highlight w:val="none"/>
        </w:rPr>
      </w:pPr>
    </w:p>
    <w:p>
      <w:pPr>
        <w:pStyle w:val="76"/>
        <w:spacing w:line="600" w:lineRule="exact"/>
        <w:ind w:left="420" w:firstLine="0" w:firstLineChars="0"/>
        <w:jc w:val="center"/>
        <w:rPr>
          <w:rFonts w:ascii="黑体" w:hAnsi="黑体" w:eastAsia="黑体" w:cs="仿宋"/>
          <w:b/>
          <w:color w:val="000000"/>
          <w:sz w:val="36"/>
          <w:szCs w:val="36"/>
          <w:highlight w:val="none"/>
        </w:rPr>
      </w:pPr>
    </w:p>
    <w:p>
      <w:pPr>
        <w:pStyle w:val="76"/>
        <w:spacing w:line="600" w:lineRule="exact"/>
        <w:ind w:left="420" w:firstLine="0" w:firstLineChars="0"/>
        <w:jc w:val="center"/>
        <w:rPr>
          <w:rFonts w:ascii="黑体" w:hAnsi="黑体" w:eastAsia="黑体" w:cs="仿宋"/>
          <w:b/>
          <w:color w:val="000000"/>
          <w:sz w:val="36"/>
          <w:szCs w:val="36"/>
          <w:highlight w:val="none"/>
        </w:rPr>
      </w:pPr>
    </w:p>
    <w:p>
      <w:pPr>
        <w:pStyle w:val="76"/>
        <w:spacing w:line="600" w:lineRule="exact"/>
        <w:ind w:left="420" w:firstLine="0" w:firstLineChars="0"/>
        <w:jc w:val="center"/>
        <w:rPr>
          <w:rFonts w:ascii="黑体" w:hAnsi="黑体" w:eastAsia="黑体" w:cs="仿宋"/>
          <w:b/>
          <w:color w:val="000000"/>
          <w:sz w:val="36"/>
          <w:szCs w:val="36"/>
          <w:highlight w:val="none"/>
        </w:rPr>
      </w:pPr>
    </w:p>
    <w:p>
      <w:pPr>
        <w:pStyle w:val="76"/>
        <w:spacing w:line="600" w:lineRule="exact"/>
        <w:ind w:left="420" w:firstLine="0" w:firstLineChars="0"/>
        <w:jc w:val="center"/>
        <w:rPr>
          <w:rFonts w:ascii="黑体" w:hAnsi="黑体" w:eastAsia="黑体" w:cs="仿宋"/>
          <w:b/>
          <w:color w:val="000000"/>
          <w:sz w:val="36"/>
          <w:szCs w:val="36"/>
          <w:highlight w:val="none"/>
        </w:rPr>
      </w:pPr>
    </w:p>
    <w:p>
      <w:pPr>
        <w:pStyle w:val="76"/>
        <w:spacing w:line="600" w:lineRule="exact"/>
        <w:ind w:left="0" w:firstLine="0" w:firstLineChars="0"/>
        <w:jc w:val="center"/>
        <w:rPr>
          <w:rFonts w:hint="eastAsia" w:ascii="黑体" w:hAnsi="黑体" w:eastAsia="黑体" w:cs="仿宋"/>
          <w:b/>
          <w:color w:val="000000"/>
          <w:sz w:val="36"/>
          <w:szCs w:val="36"/>
          <w:highlight w:val="none"/>
        </w:rPr>
      </w:pPr>
    </w:p>
    <w:p>
      <w:pPr>
        <w:pStyle w:val="76"/>
        <w:spacing w:line="600" w:lineRule="exact"/>
        <w:ind w:left="0" w:firstLine="0" w:firstLineChars="0"/>
        <w:jc w:val="center"/>
        <w:rPr>
          <w:rFonts w:hint="eastAsia" w:ascii="黑体" w:hAnsi="黑体" w:eastAsia="黑体" w:cs="仿宋"/>
          <w:b/>
          <w:color w:val="000000"/>
          <w:sz w:val="36"/>
          <w:szCs w:val="36"/>
          <w:highlight w:val="none"/>
        </w:rPr>
      </w:pPr>
    </w:p>
    <w:p>
      <w:pPr>
        <w:pStyle w:val="76"/>
        <w:spacing w:line="600" w:lineRule="exact"/>
        <w:ind w:left="0" w:firstLine="0" w:firstLineChars="0"/>
        <w:jc w:val="center"/>
        <w:rPr>
          <w:rFonts w:hint="eastAsia" w:ascii="黑体" w:hAnsi="黑体" w:eastAsia="黑体" w:cs="仿宋"/>
          <w:b/>
          <w:color w:val="000000"/>
          <w:sz w:val="36"/>
          <w:szCs w:val="36"/>
          <w:highlight w:val="none"/>
        </w:rPr>
      </w:pPr>
    </w:p>
    <w:p>
      <w:pPr>
        <w:pStyle w:val="76"/>
        <w:spacing w:line="360" w:lineRule="auto"/>
        <w:ind w:left="0" w:firstLine="0" w:firstLineChars="0"/>
        <w:jc w:val="center"/>
        <w:outlineLvl w:val="0"/>
        <w:rPr>
          <w:rFonts w:ascii="黑体" w:hAnsi="黑体" w:eastAsia="黑体" w:cs="仿宋"/>
          <w:b/>
          <w:color w:val="000000"/>
          <w:sz w:val="36"/>
          <w:szCs w:val="36"/>
          <w:highlight w:val="none"/>
        </w:rPr>
      </w:pPr>
      <w:bookmarkStart w:id="14" w:name="_Toc9329"/>
      <w:r>
        <w:rPr>
          <w:rFonts w:hint="eastAsia" w:ascii="黑体" w:hAnsi="黑体" w:eastAsia="黑体" w:cs="仿宋"/>
          <w:b/>
          <w:color w:val="000000"/>
          <w:sz w:val="36"/>
          <w:szCs w:val="36"/>
          <w:highlight w:val="none"/>
        </w:rPr>
        <w:t>第四章  合同条款及格式</w:t>
      </w:r>
      <w:bookmarkEnd w:id="14"/>
    </w:p>
    <w:p>
      <w:pPr>
        <w:spacing w:line="360" w:lineRule="auto"/>
        <w:rPr>
          <w:highlight w:val="none"/>
        </w:rPr>
      </w:pPr>
    </w:p>
    <w:p>
      <w:pPr>
        <w:spacing w:line="360" w:lineRule="auto"/>
        <w:jc w:val="center"/>
        <w:rPr>
          <w:highlight w:val="none"/>
          <w:u w:val="single"/>
        </w:rPr>
      </w:pPr>
      <w:r>
        <w:rPr>
          <w:rFonts w:hint="eastAsia"/>
          <w:highlight w:val="none"/>
        </w:rPr>
        <w:t xml:space="preserve">                                               合同编号：</w:t>
      </w:r>
    </w:p>
    <w:p>
      <w:pPr>
        <w:spacing w:line="360" w:lineRule="auto"/>
        <w:jc w:val="both"/>
        <w:rPr>
          <w:highlight w:val="none"/>
          <w:u w:val="single"/>
        </w:rPr>
      </w:pPr>
    </w:p>
    <w:p>
      <w:pPr>
        <w:spacing w:line="360" w:lineRule="auto"/>
        <w:jc w:val="both"/>
        <w:rPr>
          <w:highlight w:val="none"/>
          <w:u w:val="single"/>
        </w:rPr>
      </w:pPr>
    </w:p>
    <w:p>
      <w:pPr>
        <w:spacing w:line="360" w:lineRule="auto"/>
        <w:jc w:val="both"/>
        <w:rPr>
          <w:highlight w:val="none"/>
          <w:u w:val="single"/>
        </w:rPr>
      </w:pPr>
    </w:p>
    <w:p>
      <w:pPr>
        <w:spacing w:line="360" w:lineRule="auto"/>
        <w:jc w:val="both"/>
        <w:rPr>
          <w:highlight w:val="none"/>
          <w:u w:val="single"/>
        </w:rPr>
      </w:pPr>
    </w:p>
    <w:p>
      <w:pPr>
        <w:spacing w:line="360" w:lineRule="auto"/>
        <w:jc w:val="center"/>
        <w:rPr>
          <w:highlight w:val="none"/>
          <w:u w:val="single"/>
        </w:rPr>
      </w:pPr>
    </w:p>
    <w:p>
      <w:pPr>
        <w:pStyle w:val="76"/>
        <w:spacing w:line="360" w:lineRule="auto"/>
        <w:ind w:left="0" w:leftChars="0" w:right="979" w:rightChars="466" w:firstLine="0" w:firstLineChars="0"/>
        <w:jc w:val="center"/>
        <w:rPr>
          <w:rFonts w:hint="eastAsia" w:ascii="黑体" w:hAnsi="黑体" w:eastAsia="黑体" w:cs="仿宋"/>
          <w:b/>
          <w:bCs/>
          <w:color w:val="000000"/>
          <w:sz w:val="36"/>
          <w:szCs w:val="36"/>
          <w:highlight w:val="none"/>
          <w:lang w:eastAsia="zh-CN"/>
        </w:rPr>
      </w:pPr>
      <w:r>
        <w:rPr>
          <w:rFonts w:hint="eastAsia" w:ascii="黑体" w:hAnsi="黑体" w:eastAsia="黑体" w:cs="仿宋"/>
          <w:b/>
          <w:bCs/>
          <w:color w:val="000000"/>
          <w:sz w:val="36"/>
          <w:szCs w:val="36"/>
          <w:highlight w:val="none"/>
          <w:lang w:eastAsia="zh-CN"/>
        </w:rPr>
        <w:t>湖南省虞公港建设投资有限公司</w:t>
      </w:r>
    </w:p>
    <w:p>
      <w:pPr>
        <w:pStyle w:val="76"/>
        <w:spacing w:line="360" w:lineRule="auto"/>
        <w:ind w:left="0" w:leftChars="0" w:right="979" w:rightChars="466" w:firstLine="0" w:firstLineChars="0"/>
        <w:jc w:val="center"/>
        <w:rPr>
          <w:rFonts w:ascii="黑体" w:hAnsi="黑体" w:eastAsia="黑体" w:cs="仿宋"/>
          <w:b/>
          <w:bCs/>
          <w:color w:val="000000"/>
          <w:sz w:val="36"/>
          <w:szCs w:val="36"/>
          <w:highlight w:val="none"/>
        </w:rPr>
      </w:pPr>
      <w:r>
        <w:rPr>
          <w:rFonts w:hint="eastAsia" w:ascii="黑体" w:hAnsi="黑体" w:eastAsia="黑体" w:cs="仿宋"/>
          <w:b/>
          <w:color w:val="000000"/>
          <w:sz w:val="36"/>
          <w:szCs w:val="36"/>
          <w:highlight w:val="none"/>
          <w:lang w:val="en-US" w:eastAsia="zh-CN"/>
        </w:rPr>
        <w:t>工程用车</w:t>
      </w:r>
      <w:r>
        <w:rPr>
          <w:rFonts w:hint="eastAsia" w:ascii="黑体" w:hAnsi="黑体" w:eastAsia="黑体" w:cs="仿宋"/>
          <w:b/>
          <w:color w:val="000000"/>
          <w:sz w:val="36"/>
          <w:szCs w:val="36"/>
          <w:highlight w:val="none"/>
          <w:lang w:eastAsia="zh-CN"/>
        </w:rPr>
        <w:t>采购合同</w:t>
      </w:r>
    </w:p>
    <w:p>
      <w:pPr>
        <w:spacing w:line="360" w:lineRule="auto"/>
        <w:jc w:val="center"/>
        <w:rPr>
          <w:b/>
          <w:bCs/>
          <w:sz w:val="44"/>
          <w:szCs w:val="44"/>
          <w:highlight w:val="none"/>
        </w:rPr>
      </w:pPr>
    </w:p>
    <w:p>
      <w:pPr>
        <w:pStyle w:val="2"/>
        <w:spacing w:line="360" w:lineRule="auto"/>
        <w:ind w:firstLine="0"/>
        <w:rPr>
          <w:b/>
          <w:bCs/>
          <w:sz w:val="44"/>
          <w:szCs w:val="44"/>
          <w:highlight w:val="none"/>
        </w:rPr>
      </w:pPr>
    </w:p>
    <w:p>
      <w:pPr>
        <w:pStyle w:val="2"/>
        <w:spacing w:line="360" w:lineRule="auto"/>
        <w:rPr>
          <w:b/>
          <w:bCs/>
          <w:sz w:val="44"/>
          <w:szCs w:val="44"/>
          <w:highlight w:val="none"/>
        </w:rPr>
      </w:pPr>
    </w:p>
    <w:p>
      <w:pPr>
        <w:spacing w:line="360" w:lineRule="auto"/>
        <w:rPr>
          <w:b/>
          <w:bCs/>
          <w:sz w:val="44"/>
          <w:szCs w:val="44"/>
          <w:highlight w:val="none"/>
        </w:rPr>
      </w:pPr>
    </w:p>
    <w:p>
      <w:pPr>
        <w:pStyle w:val="2"/>
        <w:spacing w:line="360" w:lineRule="auto"/>
        <w:rPr>
          <w:b/>
          <w:bCs/>
          <w:sz w:val="44"/>
          <w:szCs w:val="44"/>
          <w:highlight w:val="none"/>
        </w:rPr>
      </w:pPr>
    </w:p>
    <w:p>
      <w:pPr>
        <w:pStyle w:val="2"/>
        <w:spacing w:line="360" w:lineRule="auto"/>
        <w:rPr>
          <w:b/>
          <w:bCs/>
          <w:sz w:val="44"/>
          <w:szCs w:val="44"/>
          <w:highlight w:val="none"/>
        </w:rPr>
      </w:pPr>
    </w:p>
    <w:p>
      <w:pPr>
        <w:pStyle w:val="2"/>
        <w:spacing w:line="360" w:lineRule="auto"/>
        <w:ind w:firstLine="0"/>
        <w:rPr>
          <w:b/>
          <w:bCs/>
          <w:sz w:val="44"/>
          <w:szCs w:val="44"/>
          <w:highlight w:val="none"/>
        </w:rPr>
      </w:pPr>
    </w:p>
    <w:p>
      <w:pPr>
        <w:widowControl w:val="0"/>
        <w:snapToGrid w:val="0"/>
        <w:spacing w:line="360" w:lineRule="auto"/>
        <w:ind w:firstLine="0" w:firstLineChars="0"/>
        <w:outlineLvl w:val="2"/>
        <w:rPr>
          <w:rFonts w:ascii="黑体" w:hAnsi="黑体" w:eastAsia="黑体"/>
          <w:sz w:val="32"/>
          <w:szCs w:val="32"/>
          <w:highlight w:val="none"/>
        </w:rPr>
      </w:pPr>
      <w:r>
        <w:rPr>
          <w:rFonts w:hint="eastAsia" w:ascii="黑体" w:hAnsi="黑体" w:eastAsia="黑体"/>
          <w:sz w:val="32"/>
          <w:szCs w:val="32"/>
          <w:highlight w:val="none"/>
        </w:rPr>
        <w:t>项目名称</w:t>
      </w:r>
      <w:r>
        <w:rPr>
          <w:rFonts w:hint="eastAsia" w:ascii="黑体" w:hAnsi="黑体" w:eastAsia="黑体"/>
          <w:b w:val="0"/>
          <w:bCs w:val="0"/>
          <w:sz w:val="32"/>
          <w:szCs w:val="32"/>
          <w:highlight w:val="none"/>
        </w:rPr>
        <w:t>：</w:t>
      </w:r>
      <w:r>
        <w:rPr>
          <w:rFonts w:hint="eastAsia" w:ascii="黑体" w:hAnsi="黑体" w:eastAsia="黑体" w:cs="仿宋"/>
          <w:b w:val="0"/>
          <w:bCs w:val="0"/>
          <w:color w:val="000000"/>
          <w:sz w:val="32"/>
          <w:szCs w:val="32"/>
          <w:highlight w:val="none"/>
          <w:lang w:eastAsia="zh-CN"/>
        </w:rPr>
        <w:t>工程用车</w:t>
      </w:r>
      <w:r>
        <w:rPr>
          <w:rFonts w:hint="eastAsia" w:ascii="黑体" w:hAnsi="黑体" w:eastAsia="黑体" w:cs="Times New Roman"/>
          <w:sz w:val="32"/>
          <w:szCs w:val="32"/>
          <w:highlight w:val="none"/>
          <w:lang w:eastAsia="zh-CN"/>
        </w:rPr>
        <w:t>采购</w:t>
      </w:r>
      <w:r>
        <w:rPr>
          <w:rFonts w:hint="eastAsia" w:ascii="黑体" w:hAnsi="黑体" w:eastAsia="黑体" w:cs="仿宋"/>
          <w:b w:val="0"/>
          <w:bCs w:val="0"/>
          <w:color w:val="000000"/>
          <w:sz w:val="32"/>
          <w:szCs w:val="32"/>
          <w:highlight w:val="none"/>
          <w:lang w:eastAsia="zh-CN"/>
        </w:rPr>
        <w:t>合同</w:t>
      </w:r>
    </w:p>
    <w:p>
      <w:pPr>
        <w:widowControl w:val="0"/>
        <w:snapToGrid w:val="0"/>
        <w:spacing w:line="360" w:lineRule="auto"/>
        <w:ind w:firstLine="0" w:firstLineChars="0"/>
        <w:outlineLvl w:val="2"/>
        <w:rPr>
          <w:rFonts w:ascii="黑体" w:hAnsi="黑体" w:eastAsia="黑体"/>
          <w:sz w:val="32"/>
          <w:szCs w:val="32"/>
          <w:highlight w:val="none"/>
        </w:rPr>
      </w:pPr>
      <w:r>
        <w:rPr>
          <w:rFonts w:hint="eastAsia" w:ascii="黑体" w:hAnsi="黑体" w:eastAsia="黑体"/>
          <w:sz w:val="32"/>
          <w:szCs w:val="32"/>
          <w:highlight w:val="none"/>
        </w:rPr>
        <w:t>发</w:t>
      </w:r>
      <w:r>
        <w:rPr>
          <w:rFonts w:ascii="黑体" w:hAnsi="黑体" w:eastAsia="黑体"/>
          <w:sz w:val="32"/>
          <w:szCs w:val="32"/>
          <w:highlight w:val="none"/>
        </w:rPr>
        <w:t xml:space="preserve"> </w:t>
      </w:r>
      <w:r>
        <w:rPr>
          <w:rFonts w:hint="eastAsia" w:ascii="黑体" w:hAnsi="黑体" w:eastAsia="黑体"/>
          <w:sz w:val="32"/>
          <w:szCs w:val="32"/>
          <w:highlight w:val="none"/>
        </w:rPr>
        <w:t>包</w:t>
      </w:r>
      <w:r>
        <w:rPr>
          <w:rFonts w:ascii="黑体" w:hAnsi="黑体" w:eastAsia="黑体"/>
          <w:sz w:val="32"/>
          <w:szCs w:val="32"/>
          <w:highlight w:val="none"/>
        </w:rPr>
        <w:t xml:space="preserve"> </w:t>
      </w:r>
      <w:r>
        <w:rPr>
          <w:rFonts w:hint="eastAsia" w:ascii="黑体" w:hAnsi="黑体" w:eastAsia="黑体"/>
          <w:sz w:val="32"/>
          <w:szCs w:val="32"/>
          <w:highlight w:val="none"/>
        </w:rPr>
        <w:t>人：</w:t>
      </w:r>
      <w:r>
        <w:rPr>
          <w:rFonts w:hint="eastAsia" w:ascii="黑体" w:hAnsi="黑体" w:eastAsia="黑体" w:cs="Times New Roman"/>
          <w:sz w:val="32"/>
          <w:szCs w:val="32"/>
          <w:highlight w:val="none"/>
          <w:lang w:eastAsia="zh-CN"/>
        </w:rPr>
        <w:t>湖南省虞公港建设投资有限公司</w:t>
      </w:r>
    </w:p>
    <w:p>
      <w:pPr>
        <w:widowControl w:val="0"/>
        <w:snapToGrid w:val="0"/>
        <w:spacing w:line="360" w:lineRule="auto"/>
        <w:outlineLvl w:val="9"/>
        <w:rPr>
          <w:rFonts w:ascii="黑体" w:hAnsi="黑体" w:eastAsia="黑体"/>
          <w:sz w:val="32"/>
          <w:szCs w:val="32"/>
          <w:highlight w:val="none"/>
          <w:u w:val="none"/>
        </w:rPr>
      </w:pPr>
      <w:r>
        <w:rPr>
          <w:rFonts w:hint="eastAsia" w:ascii="黑体" w:hAnsi="黑体" w:eastAsia="黑体"/>
          <w:sz w:val="32"/>
          <w:szCs w:val="32"/>
          <w:highlight w:val="none"/>
        </w:rPr>
        <w:t>承</w:t>
      </w:r>
      <w:r>
        <w:rPr>
          <w:rFonts w:ascii="黑体" w:hAnsi="黑体" w:eastAsia="黑体"/>
          <w:sz w:val="32"/>
          <w:szCs w:val="32"/>
          <w:highlight w:val="none"/>
        </w:rPr>
        <w:t xml:space="preserve"> </w:t>
      </w:r>
      <w:r>
        <w:rPr>
          <w:rFonts w:hint="eastAsia" w:ascii="黑体" w:hAnsi="黑体" w:eastAsia="黑体"/>
          <w:sz w:val="32"/>
          <w:szCs w:val="32"/>
          <w:highlight w:val="none"/>
        </w:rPr>
        <w:t>包</w:t>
      </w:r>
      <w:r>
        <w:rPr>
          <w:rFonts w:ascii="黑体" w:hAnsi="黑体" w:eastAsia="黑体"/>
          <w:sz w:val="32"/>
          <w:szCs w:val="32"/>
          <w:highlight w:val="none"/>
        </w:rPr>
        <w:t xml:space="preserve"> </w:t>
      </w:r>
      <w:r>
        <w:rPr>
          <w:rFonts w:hint="eastAsia" w:ascii="黑体" w:hAnsi="黑体" w:eastAsia="黑体"/>
          <w:sz w:val="32"/>
          <w:szCs w:val="32"/>
          <w:highlight w:val="none"/>
        </w:rPr>
        <w:t>人：</w:t>
      </w:r>
    </w:p>
    <w:p>
      <w:pPr>
        <w:widowControl w:val="0"/>
        <w:snapToGrid w:val="0"/>
        <w:spacing w:line="360" w:lineRule="auto"/>
        <w:ind w:firstLine="0" w:firstLineChars="0"/>
        <w:outlineLvl w:val="2"/>
        <w:rPr>
          <w:rFonts w:ascii="黑体" w:hAnsi="黑体" w:eastAsia="黑体"/>
          <w:sz w:val="32"/>
          <w:szCs w:val="32"/>
          <w:highlight w:val="none"/>
        </w:rPr>
      </w:pPr>
      <w:r>
        <w:rPr>
          <w:rFonts w:hint="eastAsia" w:ascii="黑体" w:hAnsi="黑体" w:eastAsia="黑体"/>
          <w:sz w:val="32"/>
          <w:szCs w:val="32"/>
          <w:highlight w:val="none"/>
        </w:rPr>
        <w:t>签订日期：</w:t>
      </w:r>
      <w:r>
        <w:rPr>
          <w:rFonts w:ascii="黑体" w:hAnsi="黑体" w:eastAsia="黑体"/>
          <w:sz w:val="32"/>
          <w:szCs w:val="32"/>
          <w:highlight w:val="none"/>
        </w:rPr>
        <w:t>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w:t>
      </w:r>
      <w:r>
        <w:rPr>
          <w:rFonts w:ascii="黑体" w:hAnsi="黑体" w:eastAsia="黑体"/>
          <w:sz w:val="32"/>
          <w:szCs w:val="32"/>
          <w:highlight w:val="none"/>
        </w:rPr>
        <w:t xml:space="preserve">   </w:t>
      </w:r>
      <w:r>
        <w:rPr>
          <w:rFonts w:hint="eastAsia" w:ascii="黑体" w:hAnsi="黑体" w:eastAsia="黑体"/>
          <w:sz w:val="32"/>
          <w:szCs w:val="32"/>
          <w:highlight w:val="none"/>
        </w:rPr>
        <w:t>月</w:t>
      </w:r>
      <w:r>
        <w:rPr>
          <w:rFonts w:ascii="黑体" w:hAnsi="黑体" w:eastAsia="黑体"/>
          <w:sz w:val="32"/>
          <w:szCs w:val="32"/>
          <w:highlight w:val="none"/>
        </w:rPr>
        <w:t xml:space="preserve">   </w:t>
      </w:r>
      <w:r>
        <w:rPr>
          <w:rFonts w:hint="eastAsia" w:ascii="黑体" w:hAnsi="黑体" w:eastAsia="黑体"/>
          <w:sz w:val="32"/>
          <w:szCs w:val="32"/>
          <w:highlight w:val="none"/>
        </w:rPr>
        <w:t>日</w:t>
      </w:r>
    </w:p>
    <w:p>
      <w:pPr>
        <w:widowControl w:val="0"/>
        <w:snapToGrid w:val="0"/>
        <w:spacing w:line="360" w:lineRule="auto"/>
        <w:outlineLvl w:val="9"/>
        <w:rPr>
          <w:rFonts w:ascii="黑体" w:hAnsi="黑体" w:eastAsia="黑体"/>
          <w:sz w:val="32"/>
          <w:szCs w:val="32"/>
          <w:highlight w:val="none"/>
          <w:u w:val="single"/>
        </w:rPr>
        <w:sectPr>
          <w:headerReference r:id="rId5" w:type="default"/>
          <w:footerReference r:id="rId6" w:type="default"/>
          <w:pgSz w:w="11900" w:h="16840"/>
          <w:pgMar w:top="1440" w:right="1800" w:bottom="1440" w:left="1800" w:header="720" w:footer="720" w:gutter="0"/>
          <w:cols w:space="720" w:num="1"/>
          <w:docGrid w:linePitch="286" w:charSpace="0"/>
        </w:sectPr>
      </w:pPr>
    </w:p>
    <w:p>
      <w:pPr>
        <w:widowControl w:val="0"/>
        <w:snapToGrid w:val="0"/>
        <w:spacing w:line="360" w:lineRule="auto"/>
        <w:ind w:firstLine="2112" w:firstLineChars="600"/>
        <w:jc w:val="left"/>
        <w:outlineLvl w:val="2"/>
        <w:rPr>
          <w:rFonts w:hint="eastAsia" w:ascii="微软雅黑" w:hAnsi="微软雅黑" w:eastAsia="微软雅黑" w:cs="微软雅黑"/>
          <w:color w:val="110F0F"/>
          <w:w w:val="110"/>
          <w:sz w:val="32"/>
          <w:szCs w:val="32"/>
          <w:highlight w:val="none"/>
          <w:lang w:eastAsia="zh-CN"/>
        </w:rPr>
      </w:pPr>
      <w:r>
        <w:rPr>
          <w:rFonts w:hint="eastAsia" w:ascii="微软雅黑" w:hAnsi="微软雅黑" w:eastAsia="微软雅黑" w:cs="微软雅黑"/>
          <w:b w:val="0"/>
          <w:bCs w:val="0"/>
          <w:color w:val="110F0F"/>
          <w:w w:val="110"/>
          <w:sz w:val="32"/>
          <w:szCs w:val="32"/>
          <w:highlight w:val="none"/>
        </w:rPr>
        <w:t>第一部分</w:t>
      </w:r>
      <w:r>
        <w:rPr>
          <w:rFonts w:hint="eastAsia" w:ascii="微软雅黑" w:hAnsi="微软雅黑" w:eastAsia="微软雅黑" w:cs="微软雅黑"/>
          <w:b w:val="0"/>
          <w:bCs w:val="0"/>
          <w:color w:val="110F0F"/>
          <w:w w:val="110"/>
          <w:sz w:val="32"/>
          <w:szCs w:val="32"/>
          <w:highlight w:val="none"/>
          <w:lang w:val="en-US" w:eastAsia="zh-CN"/>
        </w:rPr>
        <w:t xml:space="preserve"> 合同部分</w:t>
      </w:r>
    </w:p>
    <w:p>
      <w:pPr>
        <w:widowControl w:val="0"/>
        <w:adjustRightInd w:val="0"/>
        <w:snapToGrid w:val="0"/>
        <w:spacing w:before="0" w:beforeLines="-2147483648"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cs="宋体"/>
          <w:color w:val="000000" w:themeColor="text1"/>
          <w:kern w:val="0"/>
          <w:sz w:val="24"/>
          <w:szCs w:val="24"/>
          <w:highlight w:val="none"/>
          <w:lang w:eastAsia="zh-CN"/>
          <w14:textFill>
            <w14:solidFill>
              <w14:schemeClr w14:val="tx1"/>
            </w14:solidFill>
          </w14:textFill>
        </w:rPr>
        <w:t>湖南省虞公港建设投资有限公司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widowControl w:val="0"/>
        <w:adjustRightInd w:val="0"/>
        <w:snapToGrid w:val="0"/>
        <w:spacing w:line="360" w:lineRule="auto"/>
        <w:jc w:val="left"/>
        <w:rPr>
          <w:rFonts w:hint="eastAsia" w:ascii="宋体" w:hAnsi="宋体" w:eastAsia="宋体" w:cs="宋体"/>
          <w:color w:val="FF0000"/>
          <w:sz w:val="24"/>
          <w:szCs w:val="24"/>
          <w:highlight w:val="none"/>
          <w:u w:val="none"/>
        </w:rPr>
      </w:pP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FF0000"/>
          <w:sz w:val="24"/>
          <w:szCs w:val="24"/>
          <w:highlight w:val="none"/>
          <w:u w:val="none"/>
        </w:rPr>
        <w:t xml:space="preserve">              </w:t>
      </w:r>
    </w:p>
    <w:p>
      <w:pPr>
        <w:widowControl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依照《中华人民共和国民法典》以及其他有关法律、行政法规，遵循平等、自愿、公平和诚实信用的原则，经双方共同协商，达成</w:t>
      </w:r>
      <w:r>
        <w:rPr>
          <w:rFonts w:hint="eastAsia" w:ascii="宋体" w:hAnsi="宋体" w:cs="宋体"/>
          <w:color w:val="000000" w:themeColor="text1"/>
          <w:sz w:val="24"/>
          <w:szCs w:val="24"/>
          <w:highlight w:val="none"/>
          <w:u w:val="none"/>
          <w:lang w:eastAsia="zh-CN"/>
          <w14:textFill>
            <w14:solidFill>
              <w14:schemeClr w14:val="tx1"/>
            </w14:solidFill>
          </w14:textFill>
        </w:rPr>
        <w:t>工程维修车辆</w:t>
      </w: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 xml:space="preserve">合同，双方共同遵照执行。 </w:t>
      </w:r>
    </w:p>
    <w:p>
      <w:pPr>
        <w:numPr>
          <w:ilvl w:val="-1"/>
          <w:numId w:val="0"/>
        </w:numPr>
        <w:pBdr>
          <w:top w:val="none" w:color="auto" w:sz="0" w:space="0"/>
          <w:left w:val="none" w:color="auto" w:sz="0" w:space="0"/>
          <w:bottom w:val="none" w:color="auto" w:sz="0" w:space="0"/>
          <w:right w:val="none" w:color="auto" w:sz="0" w:space="0"/>
          <w:between w:val="none" w:color="auto" w:sz="0" w:space="0"/>
        </w:pBdr>
        <w:spacing w:line="360" w:lineRule="auto"/>
        <w:ind w:left="0" w:firstLine="0"/>
        <w:rPr>
          <w:rFonts w:hint="eastAsia"/>
          <w:b/>
          <w:bCs/>
          <w:color w:val="000000"/>
          <w:sz w:val="24"/>
          <w:highlight w:val="none"/>
        </w:rPr>
      </w:pPr>
      <w:r>
        <w:rPr>
          <w:rFonts w:hint="eastAsia"/>
          <w:b/>
          <w:bCs/>
          <w:color w:val="000000"/>
          <w:sz w:val="24"/>
          <w:highlight w:val="none"/>
          <w:lang w:eastAsia="zh-CN"/>
        </w:rPr>
        <w:t>第一条：</w:t>
      </w:r>
      <w:r>
        <w:rPr>
          <w:rFonts w:hint="eastAsia"/>
          <w:b/>
          <w:bCs/>
          <w:color w:val="000000"/>
          <w:sz w:val="24"/>
          <w:highlight w:val="none"/>
        </w:rPr>
        <w:t>合同方</w:t>
      </w:r>
    </w:p>
    <w:tbl>
      <w:tblPr>
        <w:tblStyle w:val="38"/>
        <w:tblW w:w="8938" w:type="dxa"/>
        <w:tblInd w:w="-136" w:type="dxa"/>
        <w:tblLayout w:type="fixed"/>
        <w:tblCellMar>
          <w:top w:w="0" w:type="dxa"/>
          <w:left w:w="108" w:type="dxa"/>
          <w:bottom w:w="0" w:type="dxa"/>
          <w:right w:w="108" w:type="dxa"/>
        </w:tblCellMar>
      </w:tblPr>
      <w:tblGrid>
        <w:gridCol w:w="1494"/>
        <w:gridCol w:w="631"/>
        <w:gridCol w:w="1376"/>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94" w:type="dxa"/>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买 方：   </w:t>
            </w:r>
          </w:p>
        </w:tc>
        <w:tc>
          <w:tcPr>
            <w:tcW w:w="7329" w:type="dxa"/>
            <w:gridSpan w:val="10"/>
            <w:noWrap w:val="0"/>
            <w:vAlign w:val="top"/>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cs="宋体"/>
                <w:color w:val="000000" w:themeColor="text1"/>
                <w:kern w:val="0"/>
                <w:sz w:val="24"/>
                <w:szCs w:val="24"/>
                <w:highlight w:val="none"/>
                <w:lang w:eastAsia="zh-CN"/>
                <w14:textFill>
                  <w14:solidFill>
                    <w14:schemeClr w14:val="tx1"/>
                  </w14:solidFill>
                </w14:textFill>
              </w:rPr>
              <w:t>湖南省虞公港建设投资有限公司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gridAfter w:val="1"/>
          <w:wAfter w:w="115" w:type="dxa"/>
          <w:trHeight w:val="360" w:hRule="atLeast"/>
        </w:trPr>
        <w:tc>
          <w:tcPr>
            <w:tcW w:w="6026" w:type="dxa"/>
            <w:gridSpan w:val="6"/>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地 址：</w:t>
            </w:r>
            <w:r>
              <w:rPr>
                <w:rFonts w:hint="eastAsia" w:ascii="宋体" w:hAnsi="宋体" w:cs="宋体"/>
                <w:color w:val="000000"/>
                <w:sz w:val="24"/>
                <w:szCs w:val="24"/>
                <w:highlight w:val="none"/>
                <w:lang w:eastAsia="zh-CN"/>
              </w:rPr>
              <w:t>湘阴县自然资源局</w:t>
            </w:r>
            <w:r>
              <w:rPr>
                <w:rFonts w:hint="eastAsia" w:ascii="宋体" w:hAnsi="宋体" w:cs="宋体"/>
                <w:color w:val="000000"/>
                <w:sz w:val="24"/>
                <w:szCs w:val="24"/>
                <w:highlight w:val="none"/>
                <w:lang w:val="en-US" w:eastAsia="zh-CN"/>
              </w:rPr>
              <w:t>205室</w:t>
            </w:r>
          </w:p>
        </w:tc>
        <w:tc>
          <w:tcPr>
            <w:tcW w:w="962"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 编：</w:t>
            </w:r>
          </w:p>
        </w:tc>
        <w:tc>
          <w:tcPr>
            <w:tcW w:w="183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14000</w:t>
            </w:r>
          </w:p>
        </w:tc>
      </w:tr>
      <w:tr>
        <w:tblPrEx>
          <w:tblCellMar>
            <w:top w:w="0" w:type="dxa"/>
            <w:left w:w="108" w:type="dxa"/>
            <w:bottom w:w="0" w:type="dxa"/>
            <w:right w:w="108" w:type="dxa"/>
          </w:tblCellMar>
        </w:tblPrEx>
        <w:trPr>
          <w:gridAfter w:val="1"/>
          <w:wAfter w:w="115" w:type="dxa"/>
          <w:trHeight w:val="360" w:hRule="atLeast"/>
        </w:trPr>
        <w:tc>
          <w:tcPr>
            <w:tcW w:w="3501"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cs="宋体"/>
                <w:color w:val="000000"/>
                <w:sz w:val="24"/>
                <w:szCs w:val="24"/>
                <w:highlight w:val="none"/>
                <w:lang w:eastAsia="zh-CN"/>
              </w:rPr>
              <w:t>杨亮</w:t>
            </w:r>
          </w:p>
        </w:tc>
        <w:tc>
          <w:tcPr>
            <w:tcW w:w="2525"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lang w:eastAsia="zh-CN"/>
              </w:rPr>
              <w:t>总经理</w:t>
            </w:r>
          </w:p>
        </w:tc>
        <w:tc>
          <w:tcPr>
            <w:tcW w:w="962" w:type="dxa"/>
            <w:gridSpan w:val="3"/>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p>
        </w:tc>
        <w:tc>
          <w:tcPr>
            <w:tcW w:w="183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开户银行：</w:t>
            </w:r>
            <w:r>
              <w:rPr>
                <w:rFonts w:hint="eastAsia" w:ascii="宋体" w:hAnsi="宋体" w:eastAsia="宋体" w:cs="宋体"/>
                <w:color w:val="000000"/>
                <w:sz w:val="24"/>
                <w:szCs w:val="24"/>
                <w:highlight w:val="none"/>
                <w:lang w:val="en-US" w:eastAsia="zh-CN"/>
              </w:rPr>
              <w:t>中国建设银行股份有限公司湘阴芙蓉北路支行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帐    号：</w:t>
            </w:r>
            <w:r>
              <w:rPr>
                <w:rFonts w:hint="eastAsia" w:ascii="宋体" w:hAnsi="宋体" w:eastAsia="宋体" w:cs="宋体"/>
                <w:color w:val="000000"/>
                <w:sz w:val="24"/>
                <w:szCs w:val="24"/>
                <w:highlight w:val="none"/>
                <w:lang w:val="en-US" w:eastAsia="zh-CN"/>
              </w:rPr>
              <w:t>43050111147500000758</w:t>
            </w:r>
          </w:p>
        </w:tc>
        <w:tc>
          <w:tcPr>
            <w:tcW w:w="3760" w:type="dxa"/>
            <w:gridSpan w:val="6"/>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194" w:rightChars="-1045"/>
              <w:rPr>
                <w:rFonts w:hint="eastAsia" w:ascii="宋体" w:hAnsi="宋体" w:eastAsia="宋体" w:cs="宋体"/>
                <w:color w:val="000000"/>
                <w:sz w:val="24"/>
                <w:szCs w:val="24"/>
                <w:highlight w:val="none"/>
                <w:lang w:eastAsia="zh-CN"/>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ind w:right="-2524" w:rightChars="-120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cs="宋体"/>
                <w:color w:val="000000"/>
                <w:sz w:val="24"/>
                <w:szCs w:val="24"/>
                <w:highlight w:val="none"/>
                <w:lang w:eastAsia="zh-CN"/>
              </w:rPr>
              <w:t>石晨钰</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p>
        </w:tc>
        <w:tc>
          <w:tcPr>
            <w:tcW w:w="4853" w:type="dxa"/>
            <w:gridSpan w:val="7"/>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tc>
      </w:tr>
      <w:tr>
        <w:tblPrEx>
          <w:tblCellMar>
            <w:top w:w="0" w:type="dxa"/>
            <w:left w:w="108" w:type="dxa"/>
            <w:bottom w:w="0" w:type="dxa"/>
            <w:right w:w="108" w:type="dxa"/>
          </w:tblCellMar>
        </w:tblPrEx>
        <w:trPr>
          <w:gridAfter w:val="1"/>
          <w:wAfter w:w="115" w:type="dxa"/>
          <w:trHeight w:val="360" w:hRule="atLeast"/>
        </w:trPr>
        <w:tc>
          <w:tcPr>
            <w:tcW w:w="2125" w:type="dxa"/>
            <w:gridSpan w:val="2"/>
            <w:tcBorders>
              <w:bottom w:val="single" w:color="auto" w:sz="6" w:space="0"/>
            </w:tcBorders>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电话/传真： </w:t>
            </w:r>
            <w:r>
              <w:rPr>
                <w:rFonts w:hint="eastAsia" w:ascii="宋体" w:hAnsi="宋体" w:eastAsia="宋体" w:cs="宋体"/>
                <w:color w:val="000000"/>
                <w:sz w:val="24"/>
                <w:szCs w:val="24"/>
                <w:highlight w:val="none"/>
                <w:lang w:val="en-US" w:eastAsia="zh-CN"/>
              </w:rPr>
              <w:t xml:space="preserve">  </w:t>
            </w:r>
          </w:p>
        </w:tc>
        <w:tc>
          <w:tcPr>
            <w:tcW w:w="6698" w:type="dxa"/>
            <w:gridSpan w:val="9"/>
            <w:tcBorders>
              <w:bottom w:val="single" w:color="auto" w:sz="6" w:space="0"/>
            </w:tcBorders>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18873085966</w:t>
            </w:r>
          </w:p>
        </w:tc>
      </w:tr>
      <w:tr>
        <w:tblPrEx>
          <w:tblCellMar>
            <w:top w:w="0" w:type="dxa"/>
            <w:left w:w="108" w:type="dxa"/>
            <w:bottom w:w="0" w:type="dxa"/>
            <w:right w:w="108" w:type="dxa"/>
          </w:tblCellMar>
        </w:tblPrEx>
        <w:trPr>
          <w:gridAfter w:val="1"/>
          <w:wAfter w:w="115" w:type="dxa"/>
          <w:trHeight w:val="376"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ascii="Arial" w:hAnsi="Arial"/>
                <w:color w:val="000000"/>
                <w:sz w:val="24"/>
                <w:highlight w:val="none"/>
              </w:rPr>
            </w:pPr>
            <w:r>
              <w:rPr>
                <w:rFonts w:hint="eastAsia" w:ascii="Arial" w:hAnsi="Arial"/>
                <w:b/>
                <w:color w:val="000000"/>
                <w:sz w:val="24"/>
                <w:highlight w:val="none"/>
              </w:rPr>
              <w:t>卖</w:t>
            </w:r>
            <w:r>
              <w:rPr>
                <w:rFonts w:ascii="Arial" w:hAnsi="Arial"/>
                <w:b/>
                <w:color w:val="000000"/>
                <w:sz w:val="24"/>
                <w:highlight w:val="none"/>
              </w:rPr>
              <w:t xml:space="preserve">    </w:t>
            </w:r>
            <w:r>
              <w:rPr>
                <w:rFonts w:hint="eastAsia" w:ascii="Arial" w:hAnsi="Arial"/>
                <w:b/>
                <w:color w:val="000000"/>
                <w:sz w:val="24"/>
                <w:highlight w:val="none"/>
              </w:rPr>
              <w:t>方</w:t>
            </w:r>
            <w:r>
              <w:rPr>
                <w:rFonts w:ascii="Arial" w:hAnsi="Arial"/>
                <w:b/>
                <w:color w:val="000000"/>
                <w:sz w:val="24"/>
                <w:highlight w:val="none"/>
              </w:rPr>
              <w:t>:</w:t>
            </w:r>
          </w:p>
        </w:tc>
        <w:tc>
          <w:tcPr>
            <w:tcW w:w="6698" w:type="dxa"/>
            <w:gridSpan w:val="9"/>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地</w:t>
            </w:r>
            <w:r>
              <w:rPr>
                <w:rFonts w:ascii="Arial" w:hAnsi="Arial"/>
                <w:color w:val="000000"/>
                <w:sz w:val="24"/>
                <w:highlight w:val="none"/>
              </w:rPr>
              <w:t xml:space="preserve">    </w:t>
            </w:r>
            <w:r>
              <w:rPr>
                <w:rFonts w:hint="eastAsia" w:ascii="Arial" w:hAnsi="Arial"/>
                <w:color w:val="000000"/>
                <w:sz w:val="24"/>
                <w:highlight w:val="none"/>
              </w:rPr>
              <w:t>址：</w:t>
            </w:r>
          </w:p>
        </w:tc>
        <w:tc>
          <w:tcPr>
            <w:tcW w:w="4742" w:type="dxa"/>
            <w:gridSpan w:val="6"/>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c>
          <w:tcPr>
            <w:tcW w:w="236"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Arial" w:hAnsi="Arial"/>
                <w:color w:val="000000"/>
                <w:sz w:val="24"/>
                <w:highlight w:val="none"/>
              </w:rPr>
            </w:pPr>
          </w:p>
        </w:tc>
        <w:tc>
          <w:tcPr>
            <w:tcW w:w="183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法定代表人：</w:t>
            </w:r>
          </w:p>
        </w:tc>
        <w:tc>
          <w:tcPr>
            <w:tcW w:w="4201" w:type="dxa"/>
            <w:gridSpan w:val="5"/>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c>
          <w:tcPr>
            <w:tcW w:w="662"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jc w:val="left"/>
              <w:rPr>
                <w:rFonts w:hint="eastAsia" w:ascii="Arial" w:hAnsi="Arial"/>
                <w:color w:val="000000"/>
                <w:sz w:val="24"/>
                <w:highlight w:val="none"/>
              </w:rPr>
            </w:pPr>
          </w:p>
        </w:tc>
        <w:tc>
          <w:tcPr>
            <w:tcW w:w="183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开户银行：</w:t>
            </w:r>
          </w:p>
        </w:tc>
        <w:tc>
          <w:tcPr>
            <w:tcW w:w="6698" w:type="dxa"/>
            <w:gridSpan w:val="9"/>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帐    号：</w:t>
            </w:r>
          </w:p>
        </w:tc>
        <w:tc>
          <w:tcPr>
            <w:tcW w:w="6698" w:type="dxa"/>
            <w:gridSpan w:val="9"/>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s="Arial"/>
                <w:color w:val="000000"/>
                <w:sz w:val="24"/>
                <w:highlight w:val="none"/>
              </w:rPr>
            </w:pPr>
          </w:p>
        </w:tc>
      </w:tr>
      <w:tr>
        <w:tblPrEx>
          <w:tblCellMar>
            <w:top w:w="0" w:type="dxa"/>
            <w:left w:w="108" w:type="dxa"/>
            <w:bottom w:w="0" w:type="dxa"/>
            <w:right w:w="108" w:type="dxa"/>
          </w:tblCellMar>
        </w:tblPrEx>
        <w:trPr>
          <w:gridAfter w:val="1"/>
          <w:wAfter w:w="115" w:type="dxa"/>
          <w:trHeight w:val="360" w:hRule="atLeast"/>
        </w:trPr>
        <w:tc>
          <w:tcPr>
            <w:tcW w:w="2125"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电话/传真：</w:t>
            </w:r>
          </w:p>
        </w:tc>
        <w:tc>
          <w:tcPr>
            <w:tcW w:w="6698" w:type="dxa"/>
            <w:gridSpan w:val="9"/>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r>
        <w:tblPrEx>
          <w:tblCellMar>
            <w:top w:w="0" w:type="dxa"/>
            <w:left w:w="108" w:type="dxa"/>
            <w:bottom w:w="0" w:type="dxa"/>
            <w:right w:w="108" w:type="dxa"/>
          </w:tblCellMar>
        </w:tblPrEx>
        <w:trPr>
          <w:gridAfter w:val="1"/>
          <w:wAfter w:w="115" w:type="dxa"/>
          <w:trHeight w:val="371" w:hRule="atLeast"/>
        </w:trPr>
        <w:tc>
          <w:tcPr>
            <w:tcW w:w="2125" w:type="dxa"/>
            <w:gridSpan w:val="2"/>
            <w:tcBorders>
              <w:bottom w:val="single" w:color="auto" w:sz="4" w:space="0"/>
            </w:tcBorders>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r>
              <w:rPr>
                <w:rFonts w:hint="eastAsia" w:ascii="Arial" w:hAnsi="Arial"/>
                <w:color w:val="000000"/>
                <w:sz w:val="24"/>
                <w:highlight w:val="none"/>
              </w:rPr>
              <w:t>联系人：</w:t>
            </w:r>
          </w:p>
        </w:tc>
        <w:tc>
          <w:tcPr>
            <w:tcW w:w="6698" w:type="dxa"/>
            <w:gridSpan w:val="9"/>
            <w:tcBorders>
              <w:bottom w:val="single" w:color="auto" w:sz="4" w:space="0"/>
            </w:tcBorders>
            <w:noWrap w:val="0"/>
            <w:vAlign w:val="top"/>
          </w:tcPr>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Arial" w:hAnsi="Arial"/>
                <w:color w:val="000000"/>
                <w:sz w:val="24"/>
                <w:highlight w:val="none"/>
              </w:rPr>
            </w:pPr>
          </w:p>
        </w:tc>
      </w:tr>
    </w:tbl>
    <w:p>
      <w:pPr>
        <w:spacing w:line="360" w:lineRule="auto"/>
        <w:rPr>
          <w:rFonts w:hint="eastAsia"/>
          <w:b/>
          <w:bCs/>
          <w:color w:val="000000"/>
          <w:sz w:val="24"/>
          <w:highlight w:val="none"/>
        </w:rPr>
      </w:pPr>
    </w:p>
    <w:p>
      <w:pPr>
        <w:spacing w:line="360" w:lineRule="auto"/>
        <w:rPr>
          <w:rFonts w:hint="eastAsia"/>
          <w:b/>
          <w:bCs/>
          <w:color w:val="000000"/>
          <w:sz w:val="24"/>
          <w:highlight w:val="none"/>
        </w:rPr>
      </w:pPr>
      <w:r>
        <w:rPr>
          <w:rFonts w:hint="eastAsia"/>
          <w:b/>
          <w:bCs/>
          <w:color w:val="000000"/>
          <w:sz w:val="24"/>
          <w:highlight w:val="none"/>
        </w:rPr>
        <w:t xml:space="preserve">第二条：产品    </w:t>
      </w:r>
    </w:p>
    <w:p>
      <w:pPr>
        <w:numPr>
          <w:ilvl w:val="-1"/>
          <w:numId w:val="0"/>
        </w:numPr>
        <w:autoSpaceDE w:val="0"/>
        <w:spacing w:line="360" w:lineRule="auto"/>
        <w:ind w:left="0" w:firstLine="240" w:firstLineChars="100"/>
        <w:jc w:val="both"/>
        <w:rPr>
          <w:rFonts w:hint="eastAsia" w:ascii="宋体" w:hAnsi="宋体"/>
          <w:b w:val="0"/>
          <w:bCs w:val="0"/>
          <w:sz w:val="24"/>
          <w:highlight w:val="none"/>
          <w:lang w:eastAsia="zh-CN"/>
        </w:rPr>
      </w:pPr>
      <w:r>
        <w:rPr>
          <w:rFonts w:hint="eastAsia" w:ascii="宋体" w:hAnsi="宋体"/>
          <w:b w:val="0"/>
          <w:bCs w:val="0"/>
          <w:sz w:val="24"/>
          <w:highlight w:val="none"/>
          <w:lang w:val="en-US" w:eastAsia="zh-CN"/>
        </w:rPr>
        <w:t>（1）皮卡车一辆</w:t>
      </w:r>
    </w:p>
    <w:p>
      <w:pPr>
        <w:numPr>
          <w:ilvl w:val="-1"/>
          <w:numId w:val="0"/>
        </w:numPr>
        <w:autoSpaceDE w:val="0"/>
        <w:spacing w:line="360" w:lineRule="auto"/>
        <w:ind w:left="0" w:firstLine="240" w:firstLineChars="100"/>
        <w:jc w:val="both"/>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（2）含新车采购、上牌及首次保养。</w:t>
      </w:r>
    </w:p>
    <w:p>
      <w:pPr>
        <w:pStyle w:val="2"/>
        <w:ind w:firstLine="240" w:firstLineChars="100"/>
        <w:rPr>
          <w:rFonts w:hint="default" w:ascii="宋体" w:hAnsi="Times New Roman"/>
          <w:sz w:val="24"/>
          <w:highlight w:val="none"/>
          <w:lang w:eastAsia="zh-CN"/>
        </w:rPr>
      </w:pPr>
      <w:r>
        <w:rPr>
          <w:rFonts w:hint="eastAsia" w:hAnsi="宋体"/>
          <w:b w:val="0"/>
          <w:bCs w:val="0"/>
          <w:sz w:val="24"/>
          <w:highlight w:val="none"/>
          <w:lang w:val="en-US" w:eastAsia="zh-CN"/>
        </w:rPr>
        <w:t>（3）具体产品规格见第五章“采购需求”</w:t>
      </w:r>
    </w:p>
    <w:p>
      <w:pPr>
        <w:spacing w:line="360" w:lineRule="auto"/>
        <w:ind w:firstLine="482" w:firstLineChars="200"/>
        <w:rPr>
          <w:rFonts w:hint="eastAsia"/>
          <w:i/>
          <w:iCs/>
          <w:color w:val="000000"/>
          <w:sz w:val="20"/>
          <w:highlight w:val="none"/>
        </w:rPr>
      </w:pPr>
      <w:r>
        <w:rPr>
          <w:rFonts w:hint="eastAsia"/>
          <w:b/>
          <w:bCs/>
          <w:color w:val="000000"/>
          <w:sz w:val="24"/>
          <w:highlight w:val="none"/>
        </w:rPr>
        <w:t xml:space="preserve">                                 </w:t>
      </w:r>
      <w:r>
        <w:rPr>
          <w:rFonts w:hint="eastAsia"/>
          <w:b/>
          <w:bCs/>
          <w:color w:val="000000"/>
          <w:sz w:val="20"/>
          <w:highlight w:val="none"/>
        </w:rPr>
        <w:t xml:space="preserve"> </w:t>
      </w:r>
    </w:p>
    <w:p>
      <w:pPr>
        <w:numPr>
          <w:ilvl w:val="-1"/>
          <w:numId w:val="0"/>
        </w:numPr>
        <w:spacing w:line="360" w:lineRule="auto"/>
        <w:ind w:left="0" w:firstLine="0"/>
        <w:rPr>
          <w:color w:val="000000"/>
          <w:sz w:val="24"/>
          <w:highlight w:val="none"/>
        </w:rPr>
      </w:pPr>
      <w:r>
        <w:rPr>
          <w:rFonts w:hint="eastAsia"/>
          <w:b/>
          <w:bCs/>
          <w:color w:val="000000"/>
          <w:sz w:val="24"/>
          <w:highlight w:val="none"/>
          <w:lang w:eastAsia="zh-CN"/>
        </w:rPr>
        <w:t>第三条</w:t>
      </w:r>
      <w:r>
        <w:rPr>
          <w:rFonts w:hint="eastAsia"/>
          <w:b/>
          <w:bCs/>
          <w:color w:val="000000"/>
          <w:sz w:val="24"/>
          <w:highlight w:val="none"/>
        </w:rPr>
        <w:t xml:space="preserve">  款项的给付</w:t>
      </w:r>
    </w:p>
    <w:p>
      <w:pPr>
        <w:numPr>
          <w:ilvl w:val="-1"/>
          <w:numId w:val="0"/>
        </w:numPr>
        <w:spacing w:line="360" w:lineRule="auto"/>
        <w:ind w:left="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本合同的全部货款为人民币（大写</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u w:val="singl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小写</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。此金额为总价款，包括</w:t>
      </w:r>
      <w:r>
        <w:rPr>
          <w:rFonts w:hint="eastAsia" w:ascii="宋体" w:hAnsi="宋体" w:cs="宋体"/>
          <w:color w:val="000000"/>
          <w:sz w:val="24"/>
          <w:highlight w:val="none"/>
          <w:lang w:eastAsia="zh-CN"/>
        </w:rPr>
        <w:t>车</w:t>
      </w:r>
      <w:r>
        <w:rPr>
          <w:rFonts w:hint="eastAsia" w:ascii="宋体" w:hAnsi="宋体" w:eastAsia="宋体" w:cs="宋体"/>
          <w:color w:val="000000"/>
          <w:sz w:val="24"/>
          <w:highlight w:val="none"/>
        </w:rPr>
        <w:t>款、运费、</w:t>
      </w:r>
      <w:r>
        <w:rPr>
          <w:rFonts w:hint="eastAsia" w:ascii="宋体" w:hAnsi="宋体" w:cs="宋体"/>
          <w:color w:val="000000"/>
          <w:sz w:val="24"/>
          <w:highlight w:val="none"/>
          <w:lang w:eastAsia="zh-CN"/>
        </w:rPr>
        <w:t>上牌、</w:t>
      </w:r>
      <w:r>
        <w:rPr>
          <w:rFonts w:hint="eastAsia" w:ascii="宋体" w:hAnsi="宋体" w:eastAsia="宋体" w:cs="宋体"/>
          <w:color w:val="000000"/>
          <w:sz w:val="24"/>
          <w:highlight w:val="none"/>
        </w:rPr>
        <w:t>等履行本协议发生的费用。</w:t>
      </w:r>
    </w:p>
    <w:p>
      <w:pPr>
        <w:numPr>
          <w:ilvl w:val="-1"/>
          <w:numId w:val="0"/>
        </w:numPr>
        <w:spacing w:line="360" w:lineRule="auto"/>
        <w:ind w:left="210" w:firstLine="0"/>
        <w:rPr>
          <w:rFonts w:hint="eastAsia" w:ascii="宋体" w:hAnsi="宋体" w:eastAsia="宋体" w:cs="宋体"/>
          <w:color w:val="FF0000"/>
          <w:sz w:val="24"/>
          <w:highlight w:val="none"/>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本合同经双方确认签字盖章后，发生法律效力。合同签订后买方向卖方支付</w:t>
      </w:r>
      <w:r>
        <w:rPr>
          <w:rFonts w:hint="eastAsia" w:ascii="宋体" w:hAnsi="宋体" w:cs="宋体"/>
          <w:color w:val="000000" w:themeColor="text1"/>
          <w:sz w:val="24"/>
          <w:highlight w:val="none"/>
          <w:lang w:val="en-US" w:eastAsia="zh-CN"/>
          <w14:textFill>
            <w14:solidFill>
              <w14:schemeClr w14:val="tx1"/>
            </w14:solidFill>
          </w14:textFill>
        </w:rPr>
        <w:t>全款100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left="382"/>
        <w:rPr>
          <w:rFonts w:hint="eastAsia"/>
          <w:color w:val="auto"/>
          <w:sz w:val="24"/>
          <w:highlight w:val="none"/>
        </w:rPr>
      </w:pPr>
    </w:p>
    <w:p>
      <w:pPr>
        <w:spacing w:line="360" w:lineRule="auto"/>
        <w:rPr>
          <w:rFonts w:hint="eastAsia"/>
          <w:b/>
          <w:bCs/>
          <w:color w:val="000000"/>
          <w:sz w:val="24"/>
          <w:highlight w:val="none"/>
        </w:rPr>
      </w:pPr>
      <w:r>
        <w:rPr>
          <w:rFonts w:hint="eastAsia"/>
          <w:b/>
          <w:bCs/>
          <w:color w:val="000000"/>
          <w:sz w:val="24"/>
          <w:highlight w:val="none"/>
        </w:rPr>
        <w:t>第四条   产品交付</w:t>
      </w:r>
    </w:p>
    <w:p>
      <w:pPr>
        <w:spacing w:line="360" w:lineRule="auto"/>
        <w:ind w:left="0" w:firstLine="240" w:firstLineChars="100"/>
        <w:rPr>
          <w:rFonts w:hint="eastAsia"/>
          <w:b/>
          <w:bCs/>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合</w:t>
      </w:r>
      <w:r>
        <w:rPr>
          <w:rFonts w:hint="eastAsia"/>
          <w:color w:val="000000"/>
          <w:sz w:val="24"/>
          <w:highlight w:val="none"/>
        </w:rPr>
        <w:t>同交货期为合同签订后</w:t>
      </w:r>
      <w:r>
        <w:rPr>
          <w:rFonts w:hint="eastAsia"/>
          <w:color w:val="000000"/>
          <w:sz w:val="24"/>
          <w:highlight w:val="none"/>
          <w:u w:val="single"/>
          <w:lang w:val="en-US" w:eastAsia="zh-CN"/>
        </w:rPr>
        <w:t xml:space="preserve"> 2</w:t>
      </w:r>
      <w:r>
        <w:rPr>
          <w:rFonts w:hint="eastAsia"/>
          <w:color w:val="000000"/>
          <w:sz w:val="24"/>
          <w:highlight w:val="none"/>
        </w:rPr>
        <w:t>周内到，由卖方将设备运至买方指定地点。</w:t>
      </w:r>
    </w:p>
    <w:p>
      <w:pPr>
        <w:tabs>
          <w:tab w:val="left" w:pos="0"/>
        </w:tabs>
        <w:autoSpaceDE w:val="0"/>
        <w:autoSpaceDN w:val="0"/>
        <w:adjustRightInd w:val="0"/>
        <w:spacing w:line="360" w:lineRule="auto"/>
        <w:ind w:firstLine="240" w:firstLineChars="100"/>
        <w:rPr>
          <w:rFonts w:hint="eastAsia" w:ascii="宋体" w:hAnsi="宋体" w:cs="宋体"/>
          <w:color w:val="000000"/>
          <w:kern w:val="0"/>
          <w:sz w:val="24"/>
          <w:highlight w:val="none"/>
        </w:rPr>
      </w:pPr>
      <w:r>
        <w:rPr>
          <w:rFonts w:hint="eastAsia" w:ascii="宋体" w:hAnsi="宋体"/>
          <w:color w:val="000000"/>
          <w:sz w:val="24"/>
          <w:highlight w:val="none"/>
        </w:rPr>
        <w:t>2.</w:t>
      </w:r>
      <w:r>
        <w:rPr>
          <w:rFonts w:hint="eastAsia" w:ascii="宋体" w:hAnsi="宋体" w:cs="宋体"/>
          <w:color w:val="000000"/>
          <w:kern w:val="0"/>
          <w:sz w:val="24"/>
          <w:highlight w:val="none"/>
        </w:rPr>
        <w:t>交货地点：</w:t>
      </w:r>
      <w:r>
        <w:rPr>
          <w:rFonts w:hint="eastAsia" w:ascii="宋体" w:hAnsi="宋体" w:cs="宋体"/>
          <w:color w:val="000000"/>
          <w:sz w:val="24"/>
          <w:szCs w:val="24"/>
          <w:highlight w:val="none"/>
          <w:lang w:eastAsia="zh-CN"/>
        </w:rPr>
        <w:t>湘阴县自然资源局</w:t>
      </w:r>
      <w:r>
        <w:rPr>
          <w:rFonts w:hint="eastAsia" w:ascii="宋体" w:hAnsi="宋体" w:cs="宋体"/>
          <w:color w:val="000000"/>
          <w:kern w:val="0"/>
          <w:sz w:val="24"/>
          <w:highlight w:val="none"/>
        </w:rPr>
        <w:t>。</w:t>
      </w:r>
    </w:p>
    <w:p>
      <w:pPr>
        <w:tabs>
          <w:tab w:val="left" w:pos="540"/>
        </w:tabs>
        <w:autoSpaceDE w:val="0"/>
        <w:autoSpaceDN w:val="0"/>
        <w:adjustRightInd w:val="0"/>
        <w:spacing w:line="360" w:lineRule="auto"/>
        <w:ind w:firstLine="240" w:firstLineChars="100"/>
        <w:rPr>
          <w:rFonts w:hint="eastAsia" w:ascii="宋体" w:hAnsi="宋体" w:cs="宋体"/>
          <w:color w:val="000000"/>
          <w:kern w:val="0"/>
          <w:sz w:val="24"/>
          <w:highlight w:val="none"/>
          <w:u w:val="single"/>
        </w:rPr>
      </w:pPr>
      <w:r>
        <w:rPr>
          <w:rFonts w:hint="eastAsia" w:ascii="宋体" w:hAnsi="宋体" w:cs="宋体"/>
          <w:color w:val="000000"/>
          <w:kern w:val="0"/>
          <w:sz w:val="24"/>
          <w:highlight w:val="none"/>
        </w:rPr>
        <w:t>3. 包装方式：卖方应当严格执行现行包装标准,确保设备无任何损毁瑕疵，包装费用由卖方承担。</w:t>
      </w:r>
    </w:p>
    <w:p>
      <w:pPr>
        <w:tabs>
          <w:tab w:val="left" w:pos="0"/>
        </w:tabs>
        <w:autoSpaceDE w:val="0"/>
        <w:autoSpaceDN w:val="0"/>
        <w:adjustRightInd w:val="0"/>
        <w:spacing w:line="360" w:lineRule="auto"/>
        <w:ind w:firstLine="240" w:firstLineChars="1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4. 产品在运送至买方指定地点并经买方验收合格之前的毁损、灭失的风险由卖方承担。   </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5、交付:产品运送至买方指定地点，买方接收后并经买方</w:t>
      </w:r>
      <w:r>
        <w:rPr>
          <w:rFonts w:hint="eastAsia" w:ascii="宋体" w:hAnsi="宋体"/>
          <w:color w:val="000000"/>
          <w:sz w:val="24"/>
          <w:highlight w:val="none"/>
          <w:lang w:eastAsia="zh-CN"/>
        </w:rPr>
        <w:t>查验合格，交由卖方安装调试</w:t>
      </w:r>
      <w:r>
        <w:rPr>
          <w:rFonts w:hint="eastAsia" w:ascii="宋体" w:hAnsi="宋体"/>
          <w:color w:val="000000"/>
          <w:sz w:val="24"/>
          <w:highlight w:val="none"/>
        </w:rPr>
        <w:t>验收合格，视为卖方已交付。</w:t>
      </w:r>
    </w:p>
    <w:p>
      <w:pPr>
        <w:spacing w:line="360" w:lineRule="auto"/>
        <w:ind w:firstLine="480" w:firstLineChars="200"/>
        <w:rPr>
          <w:rFonts w:hint="eastAsia" w:ascii="宋体" w:hAnsi="宋体"/>
          <w:color w:val="000000"/>
          <w:sz w:val="24"/>
          <w:highlight w:val="none"/>
        </w:rPr>
      </w:pPr>
    </w:p>
    <w:p>
      <w:pPr>
        <w:spacing w:line="360" w:lineRule="auto"/>
        <w:rPr>
          <w:rFonts w:hint="eastAsia"/>
          <w:b/>
          <w:bCs/>
          <w:color w:val="000000"/>
          <w:sz w:val="24"/>
          <w:highlight w:val="none"/>
        </w:rPr>
      </w:pPr>
      <w:r>
        <w:rPr>
          <w:rFonts w:hint="eastAsia"/>
          <w:b/>
          <w:bCs/>
          <w:color w:val="000000"/>
          <w:sz w:val="24"/>
          <w:highlight w:val="none"/>
        </w:rPr>
        <w:t>第五条  产品质量异议及保修</w:t>
      </w:r>
    </w:p>
    <w:p>
      <w:pPr>
        <w:numPr>
          <w:ilvl w:val="-1"/>
          <w:numId w:val="0"/>
        </w:numPr>
        <w:spacing w:line="360" w:lineRule="auto"/>
        <w:ind w:left="0" w:firstLine="240" w:firstLineChars="1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rPr>
        <w:t>卖方应保证合同项下所供货物是合同签订之后生产的、全新、未使用过的；</w:t>
      </w:r>
    </w:p>
    <w:p>
      <w:pPr>
        <w:numPr>
          <w:ilvl w:val="-1"/>
          <w:numId w:val="0"/>
        </w:numPr>
        <w:spacing w:line="360" w:lineRule="auto"/>
        <w:ind w:left="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对除上述货品表面情况及数量外的其他质量异议，买方应在产品验收合格之日起7日内以书面形式向卖方提出，经卖方查验属实的，负担补救责任。</w:t>
      </w:r>
    </w:p>
    <w:p>
      <w:pPr>
        <w:numPr>
          <w:ilvl w:val="0"/>
          <w:numId w:val="0"/>
        </w:numPr>
        <w:spacing w:line="360" w:lineRule="auto"/>
        <w:ind w:firstLine="240" w:firstLineChars="100"/>
        <w:rPr>
          <w:rFonts w:hint="eastAsia" w:eastAsia="宋体"/>
          <w:highlight w:val="none"/>
          <w:lang w:val="en-US" w:eastAsia="zh-CN"/>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卖方承诺，自买方验收产品合格后的</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年内，除使用不当所造成的损坏以外的影响产品正常使用的质量问题，卖方应在</w:t>
      </w:r>
      <w:r>
        <w:rPr>
          <w:rFonts w:hint="eastAsia" w:ascii="宋体" w:hAnsi="宋体" w:eastAsia="宋体" w:cs="宋体"/>
          <w:color w:val="000000"/>
          <w:sz w:val="24"/>
          <w:highlight w:val="none"/>
          <w:lang w:eastAsia="zh-CN"/>
        </w:rPr>
        <w:t>收到</w:t>
      </w:r>
      <w:r>
        <w:rPr>
          <w:rFonts w:hint="eastAsia" w:ascii="宋体" w:hAnsi="宋体" w:eastAsia="宋体" w:cs="宋体"/>
          <w:color w:val="000000"/>
          <w:sz w:val="24"/>
          <w:highlight w:val="none"/>
        </w:rPr>
        <w:t>买方通知后_</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_日内免费负责修复或更换。</w:t>
      </w:r>
    </w:p>
    <w:p>
      <w:pPr>
        <w:spacing w:line="360" w:lineRule="auto"/>
        <w:rPr>
          <w:rFonts w:hint="eastAsia"/>
          <w:color w:val="000000"/>
          <w:sz w:val="24"/>
          <w:highlight w:val="none"/>
        </w:rPr>
      </w:pPr>
    </w:p>
    <w:p>
      <w:pPr>
        <w:spacing w:line="360" w:lineRule="auto"/>
        <w:rPr>
          <w:rFonts w:hint="eastAsia"/>
          <w:b/>
          <w:bCs/>
          <w:color w:val="000000"/>
          <w:sz w:val="24"/>
          <w:highlight w:val="none"/>
        </w:rPr>
      </w:pPr>
      <w:r>
        <w:rPr>
          <w:rFonts w:hint="eastAsia"/>
          <w:b/>
          <w:bCs/>
          <w:color w:val="000000"/>
          <w:sz w:val="24"/>
          <w:highlight w:val="none"/>
        </w:rPr>
        <w:t>第</w:t>
      </w:r>
      <w:r>
        <w:rPr>
          <w:rFonts w:hint="eastAsia"/>
          <w:b/>
          <w:bCs/>
          <w:color w:val="000000"/>
          <w:sz w:val="24"/>
          <w:highlight w:val="none"/>
          <w:lang w:val="en-US" w:eastAsia="zh-CN"/>
        </w:rPr>
        <w:t>六</w:t>
      </w:r>
      <w:r>
        <w:rPr>
          <w:rFonts w:hint="eastAsia"/>
          <w:b/>
          <w:bCs/>
          <w:color w:val="000000"/>
          <w:sz w:val="24"/>
          <w:highlight w:val="none"/>
        </w:rPr>
        <w:t>条 违约责任</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 xml:space="preserve">卖方超过合同约定交货日期按逾期交货处理，违约金按逾期交货部分货款的  </w:t>
      </w:r>
      <w:r>
        <w:rPr>
          <w:rFonts w:hint="eastAsia" w:ascii="宋体" w:hAnsi="宋体"/>
          <w:color w:val="000000"/>
          <w:sz w:val="24"/>
          <w:highlight w:val="none"/>
          <w:u w:val="single"/>
        </w:rPr>
        <w:t xml:space="preserve">0.2 </w:t>
      </w:r>
      <w:r>
        <w:rPr>
          <w:rFonts w:hint="eastAsia" w:ascii="宋体" w:hAnsi="宋体"/>
          <w:color w:val="000000"/>
          <w:sz w:val="24"/>
          <w:highlight w:val="none"/>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 xml:space="preserve">2.卖方明确表示或者以自己的行为表明不能交货的，违约金按不能交货部分货款的 </w:t>
      </w:r>
      <w:r>
        <w:rPr>
          <w:rFonts w:hint="eastAsia" w:ascii="宋体" w:hAnsi="宋体"/>
          <w:color w:val="000000"/>
          <w:sz w:val="24"/>
          <w:highlight w:val="none"/>
          <w:u w:val="single"/>
        </w:rPr>
        <w:t>5</w:t>
      </w:r>
      <w:r>
        <w:rPr>
          <w:rFonts w:hint="eastAsia" w:ascii="宋体" w:hAnsi="宋体"/>
          <w:color w:val="000000"/>
          <w:sz w:val="24"/>
          <w:highlight w:val="none"/>
        </w:rPr>
        <w:t xml:space="preserve"> %向买方赔付，并承担买方因此所受的损失费用。</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3.卖方所交产品不符合合同规定的，由卖方按照买方要求负责包换或维修，并承担修理、调换或退货支付的实际费用，卖方不能修理或调换，按不能交货处理。买方另行向第三方购买产品所导致的损失由卖方承担。</w:t>
      </w:r>
    </w:p>
    <w:p>
      <w:pPr>
        <w:spacing w:line="360" w:lineRule="auto"/>
        <w:ind w:firstLine="240" w:firstLineChars="100"/>
        <w:rPr>
          <w:rFonts w:hint="eastAsia" w:ascii="宋体" w:hAnsi="宋体"/>
          <w:color w:val="000000"/>
          <w:sz w:val="24"/>
          <w:highlight w:val="none"/>
        </w:rPr>
      </w:pPr>
      <w:r>
        <w:rPr>
          <w:rFonts w:hint="eastAsia" w:ascii="宋体" w:hAnsi="宋体"/>
          <w:color w:val="000000"/>
          <w:sz w:val="24"/>
          <w:highlight w:val="none"/>
        </w:rPr>
        <w:t>4.卖方如提供冒牌产品，一经确认，买方有权取消卖方供货资格，卖方按照合同总价的2倍向买方赔偿，并承担买方因此遭受的所有损失。同时追究卖方相关法律责任。</w:t>
      </w:r>
    </w:p>
    <w:p>
      <w:pPr>
        <w:pStyle w:val="2"/>
        <w:spacing w:line="360" w:lineRule="auto"/>
        <w:rPr>
          <w:rFonts w:hint="eastAsia"/>
          <w:highlight w:val="none"/>
        </w:rPr>
      </w:pPr>
    </w:p>
    <w:p>
      <w:pPr>
        <w:spacing w:line="360" w:lineRule="auto"/>
        <w:rPr>
          <w:rFonts w:hint="eastAsia"/>
          <w:b/>
          <w:bCs/>
          <w:color w:val="000000"/>
          <w:sz w:val="24"/>
          <w:highlight w:val="none"/>
        </w:rPr>
      </w:pPr>
      <w:r>
        <w:rPr>
          <w:rFonts w:hint="eastAsia"/>
          <w:b/>
          <w:bCs/>
          <w:color w:val="000000"/>
          <w:sz w:val="24"/>
          <w:highlight w:val="none"/>
        </w:rPr>
        <w:t>第</w:t>
      </w:r>
      <w:r>
        <w:rPr>
          <w:rFonts w:hint="eastAsia"/>
          <w:b/>
          <w:bCs/>
          <w:color w:val="000000"/>
          <w:sz w:val="24"/>
          <w:highlight w:val="none"/>
          <w:lang w:eastAsia="zh-CN"/>
        </w:rPr>
        <w:t>七</w:t>
      </w:r>
      <w:r>
        <w:rPr>
          <w:rFonts w:hint="eastAsia"/>
          <w:b/>
          <w:bCs/>
          <w:color w:val="000000"/>
          <w:sz w:val="24"/>
          <w:highlight w:val="none"/>
        </w:rPr>
        <w:t>条   争议的解决</w:t>
      </w:r>
    </w:p>
    <w:p>
      <w:pPr>
        <w:pStyle w:val="15"/>
        <w:spacing w:line="360" w:lineRule="auto"/>
        <w:ind w:firstLine="240" w:firstLineChars="100"/>
        <w:rPr>
          <w:rFonts w:hint="eastAsia"/>
          <w:color w:val="000000"/>
          <w:sz w:val="24"/>
          <w:szCs w:val="32"/>
          <w:highlight w:val="none"/>
        </w:rPr>
      </w:pPr>
      <w:r>
        <w:rPr>
          <w:rFonts w:hint="eastAsia"/>
          <w:color w:val="000000"/>
          <w:sz w:val="24"/>
          <w:szCs w:val="32"/>
          <w:highlight w:val="none"/>
        </w:rPr>
        <w:t>凡因本合同产生或引发的任何争议，应由双方协商解决。若协商不成，任何一方均有权向买方所在地的有管辖权的人民法院提出诉讼。</w:t>
      </w:r>
    </w:p>
    <w:p>
      <w:pPr>
        <w:pStyle w:val="15"/>
        <w:spacing w:line="360" w:lineRule="auto"/>
        <w:ind w:left="479" w:leftChars="228" w:firstLine="0" w:firstLineChars="0"/>
        <w:rPr>
          <w:rFonts w:hint="eastAsia"/>
          <w:color w:val="000000"/>
          <w:highlight w:val="none"/>
        </w:rPr>
      </w:pPr>
    </w:p>
    <w:p>
      <w:pPr>
        <w:spacing w:line="360" w:lineRule="auto"/>
        <w:rPr>
          <w:rFonts w:hint="eastAsia"/>
          <w:b/>
          <w:bCs/>
          <w:color w:val="000000"/>
          <w:sz w:val="24"/>
          <w:highlight w:val="none"/>
        </w:rPr>
      </w:pPr>
      <w:r>
        <w:rPr>
          <w:rFonts w:hint="eastAsia"/>
          <w:b/>
          <w:bCs/>
          <w:color w:val="000000"/>
          <w:sz w:val="24"/>
          <w:highlight w:val="none"/>
        </w:rPr>
        <w:t>第</w:t>
      </w:r>
      <w:r>
        <w:rPr>
          <w:rFonts w:hint="eastAsia"/>
          <w:b/>
          <w:bCs/>
          <w:color w:val="000000"/>
          <w:sz w:val="24"/>
          <w:highlight w:val="none"/>
          <w:lang w:eastAsia="zh-CN"/>
        </w:rPr>
        <w:t>八</w:t>
      </w:r>
      <w:r>
        <w:rPr>
          <w:rFonts w:hint="eastAsia"/>
          <w:b/>
          <w:bCs/>
          <w:color w:val="000000"/>
          <w:sz w:val="24"/>
          <w:highlight w:val="none"/>
        </w:rPr>
        <w:t>条   附则</w:t>
      </w:r>
    </w:p>
    <w:p>
      <w:pPr>
        <w:numPr>
          <w:ilvl w:val="-1"/>
          <w:numId w:val="0"/>
        </w:numPr>
        <w:spacing w:line="360" w:lineRule="auto"/>
        <w:ind w:left="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本合同未尽事宜双方可另订补充协议，该补充协议与本合同具有同等法律效</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力，是本合同不可分割的部分。</w:t>
      </w:r>
    </w:p>
    <w:p>
      <w:pPr>
        <w:numPr>
          <w:ilvl w:val="0"/>
          <w:numId w:val="0"/>
        </w:numPr>
        <w:spacing w:line="360" w:lineRule="auto"/>
        <w:ind w:firstLine="240" w:firstLineChars="100"/>
        <w:rPr>
          <w:rFonts w:hint="eastAsia"/>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eastAsia="zh-CN"/>
        </w:rPr>
        <w:t>合同一式</w:t>
      </w:r>
      <w:r>
        <w:rPr>
          <w:rFonts w:hint="eastAsia" w:ascii="宋体" w:hAnsi="宋体" w:eastAsia="宋体" w:cs="宋体"/>
          <w:color w:val="000000"/>
          <w:sz w:val="24"/>
          <w:highlight w:val="none"/>
          <w:u w:val="single"/>
          <w:lang w:val="en-US" w:eastAsia="zh-CN"/>
        </w:rPr>
        <w:t xml:space="preserve"> 3 </w:t>
      </w:r>
      <w:r>
        <w:rPr>
          <w:rFonts w:hint="eastAsia" w:ascii="宋体" w:hAnsi="宋体" w:eastAsia="宋体" w:cs="宋体"/>
          <w:color w:val="000000"/>
          <w:sz w:val="24"/>
          <w:highlight w:val="none"/>
        </w:rPr>
        <w:t>份,</w:t>
      </w:r>
      <w:r>
        <w:rPr>
          <w:rFonts w:hint="eastAsia" w:ascii="宋体" w:hAnsi="宋体" w:eastAsia="宋体" w:cs="宋体"/>
          <w:color w:val="000000"/>
          <w:sz w:val="24"/>
          <w:highlight w:val="none"/>
          <w:lang w:eastAsia="zh-CN"/>
        </w:rPr>
        <w:t>买方执</w:t>
      </w:r>
      <w:r>
        <w:rPr>
          <w:rFonts w:hint="eastAsia" w:ascii="宋体" w:hAnsi="宋体" w:eastAsia="宋体" w:cs="宋体"/>
          <w:color w:val="000000"/>
          <w:sz w:val="24"/>
          <w:highlight w:val="none"/>
          <w:u w:val="single"/>
          <w:lang w:val="en-US" w:eastAsia="zh-CN"/>
        </w:rPr>
        <w:t xml:space="preserve"> 2</w:t>
      </w:r>
      <w:r>
        <w:rPr>
          <w:rFonts w:hint="eastAsia" w:ascii="宋体" w:hAnsi="宋体" w:eastAsia="宋体" w:cs="宋体"/>
          <w:color w:val="000000"/>
          <w:sz w:val="24"/>
          <w:highlight w:val="none"/>
          <w:lang w:val="en-US" w:eastAsia="zh-CN"/>
        </w:rPr>
        <w:t>份，卖方</w:t>
      </w:r>
      <w:r>
        <w:rPr>
          <w:rFonts w:hint="eastAsia" w:ascii="宋体" w:hAnsi="宋体" w:eastAsia="宋体" w:cs="宋体"/>
          <w:color w:val="000000"/>
          <w:sz w:val="24"/>
          <w:highlight w:val="none"/>
        </w:rPr>
        <w:t xml:space="preserve">执 </w:t>
      </w:r>
      <w:r>
        <w:rPr>
          <w:rFonts w:hint="eastAsia" w:ascii="宋体" w:hAnsi="宋体" w:eastAsia="宋体" w:cs="宋体"/>
          <w:color w:val="000000"/>
          <w:sz w:val="24"/>
          <w:highlight w:val="none"/>
          <w:u w:val="single"/>
        </w:rPr>
        <w:t xml:space="preserve"> 1 </w:t>
      </w:r>
      <w:r>
        <w:rPr>
          <w:rFonts w:hint="eastAsia" w:ascii="宋体" w:hAnsi="宋体" w:eastAsia="宋体" w:cs="宋体"/>
          <w:color w:val="000000"/>
          <w:sz w:val="24"/>
          <w:highlight w:val="none"/>
        </w:rPr>
        <w:t>份,经买卖双方授权代表签字盖章之时</w:t>
      </w:r>
      <w:r>
        <w:rPr>
          <w:rFonts w:hint="eastAsia"/>
          <w:color w:val="000000"/>
          <w:sz w:val="24"/>
          <w:highlight w:val="none"/>
        </w:rPr>
        <w:t>起生效。</w:t>
      </w:r>
    </w:p>
    <w:p>
      <w:pPr>
        <w:spacing w:line="360" w:lineRule="auto"/>
        <w:ind w:left="420"/>
        <w:jc w:val="left"/>
        <w:rPr>
          <w:rFonts w:hint="eastAsia"/>
          <w:color w:val="000000"/>
          <w:sz w:val="24"/>
          <w:highlight w:val="none"/>
        </w:rPr>
      </w:pPr>
      <w:r>
        <w:rPr>
          <w:rFonts w:hint="eastAsia"/>
          <w:color w:val="000000"/>
          <w:sz w:val="24"/>
          <w:highlight w:val="none"/>
        </w:rPr>
        <w:t>（以下无正文，为《</w:t>
      </w:r>
      <w:r>
        <w:rPr>
          <w:rFonts w:hint="eastAsia"/>
          <w:color w:val="000000"/>
          <w:sz w:val="24"/>
          <w:highlight w:val="none"/>
          <w:lang w:eastAsia="zh-CN"/>
        </w:rPr>
        <w:t>汽车采购</w:t>
      </w:r>
      <w:r>
        <w:rPr>
          <w:rFonts w:hint="eastAsia"/>
          <w:color w:val="000000"/>
          <w:sz w:val="24"/>
          <w:highlight w:val="none"/>
        </w:rPr>
        <w:t>合同》签署页）</w:t>
      </w:r>
    </w:p>
    <w:p>
      <w:pPr>
        <w:pStyle w:val="2"/>
        <w:spacing w:line="360" w:lineRule="auto"/>
        <w:rPr>
          <w:rFonts w:hint="eastAsia"/>
          <w:highlight w:val="none"/>
        </w:rPr>
      </w:pPr>
    </w:p>
    <w:p>
      <w:pPr>
        <w:spacing w:line="360" w:lineRule="auto"/>
        <w:ind w:left="840"/>
        <w:rPr>
          <w:rFonts w:hint="eastAsia"/>
          <w:color w:val="000000"/>
          <w:sz w:val="24"/>
          <w:highlight w:val="none"/>
        </w:rPr>
      </w:pPr>
      <w:r>
        <w:rPr>
          <w:rFonts w:hint="eastAsia"/>
          <w:color w:val="000000"/>
          <w:sz w:val="24"/>
          <w:highlight w:val="none"/>
        </w:rPr>
        <w:t>买方(盖章):                       卖方(盖章):</w:t>
      </w:r>
    </w:p>
    <w:p>
      <w:pPr>
        <w:spacing w:line="360" w:lineRule="auto"/>
        <w:ind w:left="840"/>
        <w:rPr>
          <w:rFonts w:hint="eastAsia"/>
          <w:color w:val="000000"/>
          <w:sz w:val="24"/>
          <w:highlight w:val="none"/>
        </w:rPr>
      </w:pPr>
    </w:p>
    <w:p>
      <w:pPr>
        <w:spacing w:line="360" w:lineRule="auto"/>
        <w:ind w:left="840"/>
        <w:rPr>
          <w:rFonts w:hint="eastAsia"/>
          <w:color w:val="000000"/>
          <w:sz w:val="24"/>
          <w:highlight w:val="none"/>
        </w:rPr>
      </w:pPr>
      <w:r>
        <w:rPr>
          <w:rFonts w:hint="eastAsia"/>
          <w:color w:val="000000"/>
          <w:sz w:val="24"/>
          <w:highlight w:val="none"/>
        </w:rPr>
        <w:t>授权代表(签名):                   授权代表(签名):</w:t>
      </w:r>
    </w:p>
    <w:p>
      <w:pPr>
        <w:pStyle w:val="2"/>
        <w:spacing w:line="360" w:lineRule="auto"/>
        <w:rPr>
          <w:rFonts w:hint="eastAsia"/>
          <w:color w:val="000000"/>
          <w:sz w:val="24"/>
          <w:highlight w:val="none"/>
        </w:rPr>
      </w:pPr>
    </w:p>
    <w:p>
      <w:pPr>
        <w:pStyle w:val="2"/>
        <w:widowControl w:val="0"/>
        <w:adjustRightInd w:val="0"/>
        <w:snapToGrid w:val="0"/>
        <w:spacing w:line="360" w:lineRule="auto"/>
        <w:ind w:firstLine="1440" w:firstLineChars="600"/>
        <w:jc w:val="both"/>
        <w:rPr>
          <w:rFonts w:hint="eastAsia" w:ascii="黑体" w:hAnsi="黑体" w:eastAsia="黑体"/>
          <w:b w:val="0"/>
          <w:bCs w:val="0"/>
          <w:color w:val="110F0F"/>
          <w:w w:val="110"/>
          <w:sz w:val="32"/>
          <w:szCs w:val="32"/>
          <w:highlight w:val="none"/>
        </w:rPr>
      </w:pPr>
      <w:r>
        <w:rPr>
          <w:rFonts w:hint="eastAsia"/>
          <w:color w:val="000000"/>
          <w:sz w:val="24"/>
          <w:highlight w:val="none"/>
        </w:rPr>
        <w:t>年   月   日                     年   月   日</w:t>
      </w:r>
    </w:p>
    <w:p>
      <w:pPr>
        <w:widowControl w:val="0"/>
        <w:numPr>
          <w:ilvl w:val="-1"/>
          <w:numId w:val="0"/>
        </w:numPr>
        <w:snapToGrid w:val="0"/>
        <w:spacing w:line="360" w:lineRule="auto"/>
        <w:ind w:firstLine="0" w:firstLineChars="0"/>
        <w:jc w:val="center"/>
        <w:outlineLvl w:val="2"/>
        <w:rPr>
          <w:rFonts w:hint="eastAsia" w:ascii="微软雅黑" w:hAnsi="微软雅黑" w:eastAsia="微软雅黑" w:cs="微软雅黑"/>
          <w:b w:val="0"/>
          <w:bCs w:val="0"/>
          <w:color w:val="110F0F"/>
          <w:w w:val="110"/>
          <w:sz w:val="32"/>
          <w:szCs w:val="32"/>
          <w:highlight w:val="none"/>
        </w:rPr>
      </w:pPr>
      <w:r>
        <w:rPr>
          <w:rFonts w:hint="eastAsia" w:ascii="微软雅黑" w:hAnsi="微软雅黑" w:eastAsia="微软雅黑" w:cs="微软雅黑"/>
          <w:b w:val="0"/>
          <w:bCs w:val="0"/>
          <w:color w:val="110F0F"/>
          <w:w w:val="110"/>
          <w:sz w:val="32"/>
          <w:szCs w:val="32"/>
          <w:highlight w:val="none"/>
          <w:lang w:eastAsia="zh-CN"/>
        </w:rPr>
        <w:t>第二部分</w:t>
      </w:r>
      <w:r>
        <w:rPr>
          <w:rFonts w:hint="eastAsia" w:ascii="微软雅黑" w:hAnsi="微软雅黑" w:eastAsia="微软雅黑" w:cs="微软雅黑"/>
          <w:b w:val="0"/>
          <w:bCs w:val="0"/>
          <w:color w:val="110F0F"/>
          <w:w w:val="110"/>
          <w:sz w:val="32"/>
          <w:szCs w:val="32"/>
          <w:highlight w:val="none"/>
          <w:lang w:val="en-US" w:eastAsia="zh-CN"/>
        </w:rPr>
        <w:t xml:space="preserve"> </w:t>
      </w:r>
      <w:r>
        <w:rPr>
          <w:rFonts w:hint="eastAsia" w:ascii="微软雅黑" w:hAnsi="微软雅黑" w:eastAsia="微软雅黑" w:cs="微软雅黑"/>
          <w:b w:val="0"/>
          <w:bCs w:val="0"/>
          <w:color w:val="110F0F"/>
          <w:w w:val="110"/>
          <w:sz w:val="32"/>
          <w:szCs w:val="32"/>
          <w:highlight w:val="none"/>
        </w:rPr>
        <w:t>廉政协议</w:t>
      </w:r>
    </w:p>
    <w:p>
      <w:pPr>
        <w:widowControl w:val="0"/>
        <w:numPr>
          <w:ilvl w:val="-1"/>
          <w:numId w:val="0"/>
        </w:numPr>
        <w:snapToGrid w:val="0"/>
        <w:spacing w:line="360" w:lineRule="auto"/>
        <w:ind w:firstLine="0" w:firstLineChars="0"/>
        <w:jc w:val="left"/>
        <w:outlineLvl w:val="9"/>
        <w:rPr>
          <w:rFonts w:hint="eastAsia" w:ascii="黑体" w:hAnsi="黑体" w:eastAsia="黑体"/>
          <w:b w:val="0"/>
          <w:bCs w:val="0"/>
          <w:color w:val="110F0F"/>
          <w:w w:val="110"/>
          <w:sz w:val="4"/>
          <w:szCs w:val="4"/>
          <w:highlight w:val="none"/>
        </w:rPr>
      </w:pPr>
    </w:p>
    <w:p>
      <w:pPr>
        <w:widowControl w:val="0"/>
        <w:adjustRightInd w:val="0"/>
        <w:snapToGrid w:val="0"/>
        <w:spacing w:before="0" w:beforeLines="-2147483648" w:line="360" w:lineRule="auto"/>
        <w:ind w:firstLine="482" w:firstLineChars="0"/>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根据交通运输部《关于在交通基础设施建设中加强廉政建设的若干意见》以及有关工程建设、廉政建设的规定，为做好工程建设中的党风廉政建设，保证工程建设高效优质、建设资金的安全和投资效益，以及双方合作的公平和公正，预防发包人利益受到双方经济合同之外各种不正当行为的损害，甲、乙双方经过共同协商，签订本廉政协议，以资共同遵守。</w:t>
      </w:r>
    </w:p>
    <w:p>
      <w:pPr>
        <w:widowControl w:val="0"/>
        <w:adjustRightInd w:val="0"/>
        <w:snapToGrid w:val="0"/>
        <w:spacing w:before="0" w:beforeLines="-2147483648" w:line="360" w:lineRule="auto"/>
        <w:ind w:firstLine="482"/>
        <w:jc w:val="both"/>
        <w:rPr>
          <w:rFonts w:ascii="宋体" w:hAnsi="宋体" w:eastAsia="宋体" w:cs="Times New Roman"/>
          <w:b w:val="0"/>
          <w:bCs w:val="0"/>
          <w:sz w:val="24"/>
          <w:szCs w:val="24"/>
          <w:highlight w:val="none"/>
        </w:rPr>
      </w:pPr>
      <w:bookmarkStart w:id="15" w:name="_Toc21390"/>
      <w:bookmarkStart w:id="16" w:name="_Toc282076315"/>
      <w:bookmarkStart w:id="17" w:name="_Toc30686"/>
      <w:r>
        <w:rPr>
          <w:rFonts w:hint="eastAsia" w:ascii="宋体" w:hAnsi="宋体" w:eastAsia="宋体" w:cs="Times New Roman"/>
          <w:b w:val="0"/>
          <w:bCs w:val="0"/>
          <w:sz w:val="24"/>
          <w:szCs w:val="24"/>
          <w:highlight w:val="none"/>
        </w:rPr>
        <w:t>第一条</w:t>
      </w:r>
      <w:r>
        <w:rPr>
          <w:rFonts w:ascii="宋体" w:hAnsi="宋体" w:eastAsia="宋体" w:cs="Times New Roman"/>
          <w:b w:val="0"/>
          <w:bCs w:val="0"/>
          <w:sz w:val="24"/>
          <w:szCs w:val="24"/>
          <w:highlight w:val="none"/>
        </w:rPr>
        <w:t xml:space="preserve">  </w:t>
      </w:r>
      <w:r>
        <w:rPr>
          <w:rFonts w:hint="eastAsia" w:ascii="宋体" w:hAnsi="宋体" w:eastAsia="宋体" w:cs="Times New Roman"/>
          <w:b w:val="0"/>
          <w:bCs w:val="0"/>
          <w:sz w:val="24"/>
          <w:szCs w:val="24"/>
          <w:highlight w:val="none"/>
        </w:rPr>
        <w:t>甲乙双方的责任</w:t>
      </w:r>
      <w:bookmarkEnd w:id="15"/>
      <w:bookmarkEnd w:id="16"/>
      <w:bookmarkEnd w:id="17"/>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（一）应严格遵守国家关于市场准入、项目招标投标、工程建设和市场活动等有关法律、法规，相关政策，以及廉政建设的各项规定。</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（二）严格执行建设工程项目相关合同文件，自觉按合同办事。</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（三）业务活动必须坚持公开、公平、公正、诚信、透明的原则，不得为获取不正当的利益，损害国家、集体和对方利益。</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（四）发现对方在业务活动中有违规、违纪、违法行为的，应及时提醒对方，情节严重的，应向其上级主管部门或纪检监察部门进行举报。</w:t>
      </w:r>
    </w:p>
    <w:p>
      <w:pPr>
        <w:widowControl w:val="0"/>
        <w:adjustRightInd w:val="0"/>
        <w:snapToGrid w:val="0"/>
        <w:spacing w:before="0" w:beforeLines="-2147483648" w:line="360" w:lineRule="auto"/>
        <w:ind w:firstLine="482"/>
        <w:jc w:val="both"/>
        <w:rPr>
          <w:rFonts w:ascii="宋体" w:hAnsi="宋体" w:eastAsia="宋体" w:cs="Times New Roman"/>
          <w:b w:val="0"/>
          <w:bCs w:val="0"/>
          <w:sz w:val="24"/>
          <w:szCs w:val="24"/>
          <w:highlight w:val="none"/>
        </w:rPr>
      </w:pPr>
      <w:bookmarkStart w:id="18" w:name="_Toc22406"/>
      <w:bookmarkStart w:id="19" w:name="_Toc25742"/>
      <w:bookmarkStart w:id="20" w:name="_Toc282076316"/>
      <w:r>
        <w:rPr>
          <w:rFonts w:hint="eastAsia" w:ascii="宋体" w:hAnsi="宋体" w:eastAsia="宋体" w:cs="Times New Roman"/>
          <w:b w:val="0"/>
          <w:bCs w:val="0"/>
          <w:sz w:val="24"/>
          <w:szCs w:val="24"/>
          <w:highlight w:val="none"/>
        </w:rPr>
        <w:t>第二条</w:t>
      </w:r>
      <w:r>
        <w:rPr>
          <w:rFonts w:ascii="宋体" w:hAnsi="宋体" w:eastAsia="宋体" w:cs="Times New Roman"/>
          <w:b w:val="0"/>
          <w:bCs w:val="0"/>
          <w:sz w:val="24"/>
          <w:szCs w:val="24"/>
          <w:highlight w:val="none"/>
        </w:rPr>
        <w:t xml:space="preserve">  </w:t>
      </w:r>
      <w:r>
        <w:rPr>
          <w:rFonts w:hint="eastAsia" w:ascii="宋体" w:hAnsi="宋体" w:eastAsia="宋体" w:cs="Times New Roman"/>
          <w:b w:val="0"/>
          <w:bCs w:val="0"/>
          <w:sz w:val="24"/>
          <w:szCs w:val="24"/>
          <w:highlight w:val="none"/>
        </w:rPr>
        <w:t>发包人的责任</w:t>
      </w:r>
      <w:bookmarkEnd w:id="18"/>
      <w:bookmarkEnd w:id="19"/>
      <w:bookmarkEnd w:id="20"/>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发包人工作人员，在工程建设的事前、事中、事后应遵守以下规定：</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（一）不得向承包人索要或接受回扣、礼金、有价证券、贵重物品和好处费、感谢费等。</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（二）不得在承包人报销任何应由个人支付的费用。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（三）不得要求或接受承包人为其个人装修住房或为其配偶、子女的工作安排以及出国（境）、旅游等提供方便。</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（四）不得参加有可能影响公正执行公务的承包人的宴请、健身和娱乐等活动。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（五）不得向承包人介绍或推荐其配偶、子女及其他亲属参与承包人同发包人建设项目有关的经济活动。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（六）不得以任何理由向承包人推荐分包单位或要求承包人购买项目合同规定以外的材料、设备和服务等。</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（七）其它与项目有关的党风廉政建设和预防腐败的规定。</w:t>
      </w:r>
    </w:p>
    <w:p>
      <w:pPr>
        <w:widowControl w:val="0"/>
        <w:adjustRightInd w:val="0"/>
        <w:snapToGrid w:val="0"/>
        <w:spacing w:before="0" w:beforeLines="-2147483648" w:line="360" w:lineRule="auto"/>
        <w:ind w:firstLine="482"/>
        <w:jc w:val="both"/>
        <w:rPr>
          <w:rFonts w:ascii="宋体" w:hAnsi="宋体" w:eastAsia="宋体" w:cs="Times New Roman"/>
          <w:b w:val="0"/>
          <w:bCs w:val="0"/>
          <w:sz w:val="24"/>
          <w:szCs w:val="24"/>
          <w:highlight w:val="none"/>
        </w:rPr>
      </w:pPr>
      <w:bookmarkStart w:id="21" w:name="_Toc282076317"/>
      <w:bookmarkStart w:id="22" w:name="_Toc14483"/>
      <w:bookmarkStart w:id="23" w:name="_Toc11848"/>
      <w:r>
        <w:rPr>
          <w:rFonts w:hint="eastAsia" w:ascii="宋体" w:hAnsi="宋体" w:eastAsia="宋体" w:cs="Times New Roman"/>
          <w:b w:val="0"/>
          <w:bCs w:val="0"/>
          <w:sz w:val="24"/>
          <w:szCs w:val="24"/>
          <w:highlight w:val="none"/>
        </w:rPr>
        <w:t>第三条</w:t>
      </w:r>
      <w:r>
        <w:rPr>
          <w:rFonts w:ascii="宋体" w:hAnsi="宋体" w:eastAsia="宋体" w:cs="Times New Roman"/>
          <w:b w:val="0"/>
          <w:bCs w:val="0"/>
          <w:sz w:val="24"/>
          <w:szCs w:val="24"/>
          <w:highlight w:val="none"/>
        </w:rPr>
        <w:t xml:space="preserve">  </w:t>
      </w:r>
      <w:r>
        <w:rPr>
          <w:rFonts w:hint="eastAsia" w:ascii="宋体" w:hAnsi="宋体" w:eastAsia="宋体" w:cs="Times New Roman"/>
          <w:b w:val="0"/>
          <w:bCs w:val="0"/>
          <w:sz w:val="24"/>
          <w:szCs w:val="24"/>
          <w:highlight w:val="none"/>
        </w:rPr>
        <w:t>承包人的责任</w:t>
      </w:r>
      <w:bookmarkEnd w:id="21"/>
      <w:bookmarkEnd w:id="22"/>
      <w:bookmarkEnd w:id="23"/>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应与发包人保持正常的业务交往，按照有关法律法规和程序开展业务工作，严格执行工程建设的有关方针、政策，并遵守以下规定：</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（一）不得以任何理由向发包人工作人员赠送礼金、有价证券、贵重物品和回扣、好处费、感谢费等。</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（二）不得以任何理由为发包人工作人员报销应由其个人支付的费用。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（三）不得为发包人工作人员装修住房或为其配偶、子女的工作安排以及出国（境）、旅游等提供方便。</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（四）不得以任何理由邀请发包人工作人员参加有可能影响公正执行公务的宴请、健身、娱乐等活动。</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bookmarkStart w:id="24" w:name="OLE_LINK1"/>
      <w:r>
        <w:rPr>
          <w:rFonts w:hint="eastAsia" w:ascii="宋体" w:hAnsi="宋体" w:eastAsia="宋体" w:cs="Times New Roman"/>
          <w:sz w:val="24"/>
          <w:szCs w:val="24"/>
          <w:highlight w:val="none"/>
        </w:rPr>
        <w:t>（五）其它与项目有关的党风廉政建设和预防腐败的规定。</w:t>
      </w:r>
    </w:p>
    <w:bookmarkEnd w:id="24"/>
    <w:p>
      <w:pPr>
        <w:widowControl w:val="0"/>
        <w:adjustRightInd w:val="0"/>
        <w:snapToGrid w:val="0"/>
        <w:spacing w:before="0" w:beforeLines="-2147483648" w:line="360" w:lineRule="auto"/>
        <w:ind w:firstLine="482"/>
        <w:jc w:val="both"/>
        <w:rPr>
          <w:rFonts w:ascii="宋体" w:hAnsi="宋体" w:eastAsia="宋体" w:cs="Times New Roman"/>
          <w:b w:val="0"/>
          <w:bCs w:val="0"/>
          <w:sz w:val="24"/>
          <w:szCs w:val="24"/>
          <w:highlight w:val="none"/>
        </w:rPr>
      </w:pPr>
      <w:bookmarkStart w:id="25" w:name="_Toc9799"/>
      <w:bookmarkStart w:id="26" w:name="_Toc32291"/>
      <w:bookmarkStart w:id="27" w:name="OLE_LINK2"/>
      <w:r>
        <w:rPr>
          <w:rFonts w:hint="eastAsia" w:ascii="宋体" w:hAnsi="宋体" w:eastAsia="宋体" w:cs="Times New Roman"/>
          <w:b w:val="0"/>
          <w:bCs w:val="0"/>
          <w:sz w:val="24"/>
          <w:szCs w:val="24"/>
          <w:highlight w:val="none"/>
        </w:rPr>
        <w:t>第四条</w:t>
      </w:r>
      <w:r>
        <w:rPr>
          <w:rFonts w:ascii="宋体" w:hAnsi="宋体" w:eastAsia="宋体" w:cs="Times New Roman"/>
          <w:b w:val="0"/>
          <w:bCs w:val="0"/>
          <w:sz w:val="24"/>
          <w:szCs w:val="24"/>
          <w:highlight w:val="none"/>
        </w:rPr>
        <w:t xml:space="preserve">  </w:t>
      </w:r>
      <w:r>
        <w:rPr>
          <w:rFonts w:hint="eastAsia" w:ascii="宋体" w:hAnsi="宋体" w:eastAsia="宋体" w:cs="Times New Roman"/>
          <w:b w:val="0"/>
          <w:bCs w:val="0"/>
          <w:sz w:val="24"/>
          <w:szCs w:val="24"/>
          <w:highlight w:val="none"/>
        </w:rPr>
        <w:t>违约责任</w:t>
      </w:r>
      <w:bookmarkEnd w:id="25"/>
      <w:bookmarkEnd w:id="26"/>
    </w:p>
    <w:bookmarkEnd w:id="27"/>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before="0" w:beforeLines="-2147483648" w:line="360" w:lineRule="auto"/>
        <w:ind w:firstLine="482"/>
        <w:jc w:val="both"/>
        <w:rPr>
          <w:rFonts w:ascii="宋体" w:hAnsi="宋体" w:eastAsia="宋体" w:cs="Times New Roman"/>
          <w:sz w:val="24"/>
          <w:szCs w:val="24"/>
          <w:highlight w:val="none"/>
        </w:rPr>
      </w:pPr>
      <w:r>
        <w:rPr>
          <w:rFonts w:hint="eastAsia" w:ascii="宋体" w:hAnsi="宋体" w:eastAsia="宋体" w:cs="Times New Roman"/>
          <w:sz w:val="24"/>
          <w:szCs w:val="24"/>
          <w:highlight w:val="none"/>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before="0" w:beforeLines="-2147483648" w:line="360" w:lineRule="auto"/>
        <w:ind w:firstLine="482"/>
        <w:jc w:val="both"/>
        <w:rPr>
          <w:rFonts w:hint="eastAsia" w:ascii="宋体" w:hAnsi="宋体" w:eastAsia="宋体" w:cs="Times New Roman"/>
          <w:sz w:val="24"/>
          <w:szCs w:val="24"/>
          <w:highlight w:val="none"/>
        </w:rPr>
      </w:pPr>
      <w:bookmarkStart w:id="28" w:name="_Toc9354"/>
      <w:bookmarkStart w:id="29" w:name="_Toc28966"/>
      <w:r>
        <w:rPr>
          <w:rFonts w:hint="eastAsia" w:ascii="宋体" w:hAnsi="宋体" w:eastAsia="宋体" w:cs="Times New Roman"/>
          <w:b w:val="0"/>
          <w:bCs w:val="0"/>
          <w:sz w:val="24"/>
          <w:szCs w:val="24"/>
          <w:highlight w:val="none"/>
        </w:rPr>
        <w:t>第五条　本合同作为甲、乙双方主合同的附件，与主合同具有同等法律效力。经双方签署后立即生效，项目决算审计后合同效力终止</w:t>
      </w:r>
      <w:bookmarkEnd w:id="28"/>
      <w:bookmarkEnd w:id="29"/>
      <w:r>
        <w:rPr>
          <w:rFonts w:hint="eastAsia" w:ascii="宋体" w:hAnsi="宋体" w:eastAsia="宋体" w:cs="Times New Roman"/>
          <w:sz w:val="24"/>
          <w:szCs w:val="24"/>
          <w:highlight w:val="none"/>
        </w:rPr>
        <w:t>。</w:t>
      </w:r>
    </w:p>
    <w:p>
      <w:pPr>
        <w:pStyle w:val="2"/>
        <w:rPr>
          <w:rFonts w:hint="eastAsia" w:ascii="宋体" w:hAnsi="宋体" w:eastAsia="宋体" w:cs="Times New Roman"/>
          <w:sz w:val="24"/>
          <w:szCs w:val="24"/>
          <w:highlight w:val="none"/>
        </w:rPr>
      </w:pPr>
    </w:p>
    <w:p>
      <w:pPr>
        <w:pStyle w:val="2"/>
        <w:rPr>
          <w:rFonts w:hint="eastAsia" w:ascii="宋体" w:hAnsi="宋体" w:eastAsia="宋体" w:cs="Times New Roman"/>
          <w:sz w:val="24"/>
          <w:szCs w:val="24"/>
          <w:highlight w:val="none"/>
        </w:rPr>
      </w:pPr>
    </w:p>
    <w:p>
      <w:pPr>
        <w:pStyle w:val="2"/>
        <w:rPr>
          <w:rFonts w:hint="eastAsia" w:ascii="宋体" w:hAnsi="宋体" w:eastAsia="宋体" w:cs="Times New Roman"/>
          <w:sz w:val="24"/>
          <w:szCs w:val="24"/>
          <w:highlight w:val="none"/>
        </w:rPr>
      </w:pPr>
    </w:p>
    <w:tbl>
      <w:tblPr>
        <w:tblStyle w:val="38"/>
        <w:tblW w:w="94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9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    方</w:t>
            </w:r>
          </w:p>
        </w:tc>
        <w:tc>
          <w:tcPr>
            <w:tcW w:w="485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湖南省虞公港建设投资有限公司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单位名称：（章）</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湘阴县自然资源局</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杨亮</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法定代理人</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中国建设银行股份有限公司湘阴芙蓉北路支行</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43050111147500000758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帐号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91430624MA4T45F01W</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税号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邮编</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000000" w:themeColor="text1"/>
                <w:szCs w:val="21"/>
                <w:highlight w:val="none"/>
                <w14:textFill>
                  <w14:solidFill>
                    <w14:schemeClr w14:val="tx1"/>
                  </w14:solidFill>
                </w14:textFill>
              </w:rPr>
            </w:pPr>
          </w:p>
        </w:tc>
      </w:tr>
    </w:tbl>
    <w:p>
      <w:pPr>
        <w:spacing w:line="240" w:lineRule="auto"/>
        <w:jc w:val="left"/>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spacing w:line="360" w:lineRule="auto"/>
        <w:jc w:val="center"/>
        <w:outlineLvl w:val="0"/>
        <w:rPr>
          <w:rFonts w:ascii="黑体" w:hAnsi="黑体" w:eastAsia="黑体" w:cs="仿宋"/>
          <w:b/>
          <w:color w:val="000000"/>
          <w:sz w:val="36"/>
          <w:szCs w:val="36"/>
          <w:highlight w:val="none"/>
        </w:rPr>
      </w:pPr>
      <w:bookmarkStart w:id="30" w:name="_Toc25367"/>
      <w:r>
        <w:rPr>
          <w:rFonts w:hint="eastAsia" w:ascii="黑体" w:hAnsi="黑体" w:eastAsia="黑体" w:cs="仿宋"/>
          <w:b/>
          <w:color w:val="000000"/>
          <w:sz w:val="36"/>
          <w:szCs w:val="36"/>
          <w:highlight w:val="none"/>
        </w:rPr>
        <w:t>第</w:t>
      </w:r>
      <w:r>
        <w:rPr>
          <w:rFonts w:hint="eastAsia" w:ascii="黑体" w:hAnsi="黑体" w:eastAsia="黑体" w:cs="仿宋"/>
          <w:b/>
          <w:color w:val="000000"/>
          <w:sz w:val="36"/>
          <w:szCs w:val="36"/>
          <w:highlight w:val="none"/>
          <w:lang w:eastAsia="zh-CN"/>
        </w:rPr>
        <w:t>五</w:t>
      </w:r>
      <w:r>
        <w:rPr>
          <w:rFonts w:hint="eastAsia" w:ascii="黑体" w:hAnsi="黑体" w:eastAsia="黑体" w:cs="仿宋"/>
          <w:b/>
          <w:color w:val="000000"/>
          <w:sz w:val="36"/>
          <w:szCs w:val="36"/>
          <w:highlight w:val="none"/>
        </w:rPr>
        <w:t>章  采购需求</w:t>
      </w:r>
      <w:bookmarkEnd w:id="30"/>
    </w:p>
    <w:p>
      <w:pPr>
        <w:adjustRightInd w:val="0"/>
        <w:snapToGrid w:val="0"/>
        <w:spacing w:line="360" w:lineRule="auto"/>
        <w:ind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（一）采购项目名称 </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sz w:val="24"/>
          <w:highlight w:val="none"/>
          <w:lang w:val="en-US" w:eastAsia="zh-CN"/>
        </w:rPr>
        <w:t>湖南港产科技有限公司工程维修车辆</w:t>
      </w:r>
      <w:r>
        <w:rPr>
          <w:rFonts w:hint="eastAsia" w:ascii="宋体" w:hAnsi="宋体" w:cs="宋体"/>
          <w:sz w:val="24"/>
          <w:highlight w:val="none"/>
          <w:lang w:eastAsia="zh-CN"/>
        </w:rPr>
        <w:t>采购</w:t>
      </w:r>
      <w:r>
        <w:rPr>
          <w:rFonts w:hint="eastAsia" w:ascii="宋体" w:hAnsi="宋体" w:cs="宋体"/>
          <w:sz w:val="24"/>
          <w:highlight w:val="none"/>
        </w:rPr>
        <w:t>项目</w:t>
      </w:r>
    </w:p>
    <w:p>
      <w:pPr>
        <w:adjustRightInd w:val="0"/>
        <w:snapToGrid w:val="0"/>
        <w:spacing w:line="360" w:lineRule="auto"/>
        <w:ind w:firstLine="0" w:firstLineChars="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（二）数量</w:t>
      </w:r>
      <w:r>
        <w:rPr>
          <w:rFonts w:hint="eastAsia" w:ascii="宋体" w:hAnsi="宋体" w:cs="宋体"/>
          <w:color w:val="000000" w:themeColor="text1"/>
          <w:sz w:val="24"/>
          <w:highlight w:val="none"/>
          <w:lang w:eastAsia="zh-CN"/>
          <w14:textFill>
            <w14:solidFill>
              <w14:schemeClr w14:val="tx1"/>
            </w14:solidFill>
          </w14:textFill>
        </w:rPr>
        <w:t>：皮卡车一辆</w:t>
      </w:r>
    </w:p>
    <w:p>
      <w:pPr>
        <w:spacing w:line="360" w:lineRule="auto"/>
        <w:ind w:firstLine="0" w:firstLineChars="0"/>
        <w:rPr>
          <w:rFonts w:hint="eastAsia"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（三）用途的简要说明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sz w:val="24"/>
          <w:szCs w:val="24"/>
          <w:highlight w:val="none"/>
          <w:lang w:val="en-US" w:eastAsia="zh-CN"/>
        </w:rPr>
        <w:t>为了进一步提高工程施工效率，节约外包车辆运送施工材料运输费用，安全有效的管控施工人员到达施工现场，进一步降低工程预算和成本。</w:t>
      </w:r>
    </w:p>
    <w:p>
      <w:pPr>
        <w:numPr>
          <w:ilvl w:val="0"/>
          <w:numId w:val="0"/>
        </w:numPr>
        <w:spacing w:after="157" w:afterLines="50" w:line="360" w:lineRule="auto"/>
        <w:ind w:firstLine="0"/>
        <w:rPr>
          <w:rFonts w:hint="eastAsia" w:ascii="宋体" w:hAnsi="宋体" w:eastAsia="宋体" w:cs="宋体"/>
          <w:color w:val="FF0000"/>
          <w:sz w:val="24"/>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技术规格、参数与要求</w:t>
      </w:r>
      <w:r>
        <w:rPr>
          <w:rFonts w:hint="eastAsia" w:ascii="宋体" w:hAnsi="宋体" w:eastAsia="宋体" w:cs="宋体"/>
          <w:color w:val="000000" w:themeColor="text1"/>
          <w:sz w:val="24"/>
          <w:highlight w:val="none"/>
          <w:lang w:eastAsia="zh-CN"/>
          <w14:textFill>
            <w14:solidFill>
              <w14:schemeClr w14:val="tx1"/>
            </w14:solidFill>
          </w14:textFill>
        </w:rPr>
        <w:t>：</w:t>
      </w:r>
    </w:p>
    <w:tbl>
      <w:tblPr>
        <w:tblStyle w:val="38"/>
        <w:tblW w:w="0" w:type="auto"/>
        <w:tblInd w:w="93" w:type="dxa"/>
        <w:tblLayout w:type="fixed"/>
        <w:tblCellMar>
          <w:top w:w="0" w:type="dxa"/>
          <w:left w:w="108" w:type="dxa"/>
          <w:bottom w:w="0" w:type="dxa"/>
          <w:right w:w="108" w:type="dxa"/>
        </w:tblCellMar>
      </w:tblPr>
      <w:tblGrid>
        <w:gridCol w:w="1637"/>
        <w:gridCol w:w="4093"/>
        <w:gridCol w:w="2508"/>
      </w:tblGrid>
      <w:tr>
        <w:tblPrEx>
          <w:tblCellMar>
            <w:top w:w="0" w:type="dxa"/>
            <w:left w:w="108" w:type="dxa"/>
            <w:bottom w:w="0" w:type="dxa"/>
            <w:right w:w="108" w:type="dxa"/>
          </w:tblCellMar>
        </w:tblPrEx>
        <w:trPr>
          <w:trHeight w:val="724" w:hRule="atLeast"/>
        </w:trPr>
        <w:tc>
          <w:tcPr>
            <w:tcW w:w="1637" w:type="dxa"/>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总体规格</w:t>
            </w: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Arial" w:hAnsi="Arial" w:eastAsia="宋体" w:cs="Arial"/>
                <w:b/>
                <w:bCs/>
                <w:i w:val="0"/>
                <w:iCs w:val="0"/>
                <w:color w:val="0D0D0D"/>
                <w:sz w:val="20"/>
                <w:szCs w:val="20"/>
                <w:highlight w:val="none"/>
                <w:u w:val="none"/>
              </w:rPr>
            </w:pPr>
            <w:r>
              <w:rPr>
                <w:rStyle w:val="188"/>
                <w:highlight w:val="none"/>
                <w:lang w:val="en-US" w:eastAsia="zh-CN" w:bidi="ar"/>
              </w:rPr>
              <w:t>外型尺寸</w:t>
            </w:r>
            <w:r>
              <w:rPr>
                <w:rStyle w:val="189"/>
                <w:rFonts w:eastAsia="宋体"/>
                <w:highlight w:val="none"/>
                <w:lang w:val="en-US" w:eastAsia="zh-CN" w:bidi="ar"/>
              </w:rPr>
              <w:t>(mmL*W*H)</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rPr>
              <w:t>5266*1850*1839</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lang w:val="en-US" w:eastAsia="zh-CN"/>
              </w:rPr>
            </w:pPr>
            <w:r>
              <w:rPr>
                <w:rFonts w:hint="eastAsia" w:ascii="Arial" w:hAnsi="Arial" w:cs="Arial"/>
                <w:b/>
                <w:bCs/>
                <w:i w:val="0"/>
                <w:iCs w:val="0"/>
                <w:color w:val="0D0D0D"/>
                <w:sz w:val="20"/>
                <w:szCs w:val="20"/>
                <w:highlight w:val="none"/>
                <w:u w:val="none"/>
                <w:lang w:eastAsia="zh-CN"/>
              </w:rPr>
              <w:t>整备质量（</w:t>
            </w:r>
            <w:r>
              <w:rPr>
                <w:rFonts w:hint="eastAsia" w:ascii="Arial" w:hAnsi="Arial" w:cs="Arial"/>
                <w:b/>
                <w:bCs/>
                <w:i w:val="0"/>
                <w:iCs w:val="0"/>
                <w:color w:val="0D0D0D"/>
                <w:sz w:val="20"/>
                <w:szCs w:val="20"/>
                <w:highlight w:val="none"/>
                <w:u w:val="none"/>
                <w:lang w:val="en-US" w:eastAsia="zh-CN"/>
              </w:rPr>
              <w:t>kg）</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eastAsia="zh-CN"/>
              </w:rPr>
            </w:pPr>
            <w:r>
              <w:rPr>
                <w:rFonts w:hint="eastAsia" w:ascii="Arial" w:hAnsi="Arial" w:eastAsia="宋体" w:cs="Arial"/>
                <w:i w:val="0"/>
                <w:iCs w:val="0"/>
                <w:color w:val="0D0D0D"/>
                <w:sz w:val="20"/>
                <w:szCs w:val="20"/>
                <w:highlight w:val="none"/>
                <w:u w:val="none"/>
                <w:lang w:val="en-US" w:eastAsia="zh-CN"/>
              </w:rPr>
              <w:t>1900</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轴距</w:t>
            </w:r>
            <w:r>
              <w:rPr>
                <w:rStyle w:val="189"/>
                <w:rFonts w:eastAsia="宋体"/>
                <w:highlight w:val="none"/>
                <w:lang w:val="en-US" w:eastAsia="zh-CN" w:bidi="ar"/>
              </w:rPr>
              <w:t>(mm)</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3</w:t>
            </w:r>
            <w:r>
              <w:rPr>
                <w:rFonts w:hint="eastAsia" w:ascii="Arial" w:hAnsi="Arial" w:eastAsia="宋体" w:cs="Arial"/>
                <w:i w:val="0"/>
                <w:iCs w:val="0"/>
                <w:color w:val="0D0D0D"/>
                <w:sz w:val="20"/>
                <w:szCs w:val="20"/>
                <w:highlight w:val="none"/>
                <w:u w:val="none"/>
                <w:lang w:val="en-US" w:eastAsia="zh-CN"/>
              </w:rPr>
              <w:t>150</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D0D0D"/>
                <w:sz w:val="20"/>
                <w:szCs w:val="20"/>
                <w:highlight w:val="none"/>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乘员数</w:t>
            </w:r>
            <w:r>
              <w:rPr>
                <w:rStyle w:val="189"/>
                <w:rFonts w:eastAsia="宋体"/>
                <w:highlight w:val="none"/>
                <w:lang w:val="en-US" w:eastAsia="zh-CN" w:bidi="ar"/>
              </w:rPr>
              <w:t>(</w:t>
            </w:r>
            <w:r>
              <w:rPr>
                <w:rStyle w:val="188"/>
                <w:highlight w:val="none"/>
                <w:lang w:val="en-US" w:eastAsia="zh-CN" w:bidi="ar"/>
              </w:rPr>
              <w:t>人</w:t>
            </w:r>
            <w:r>
              <w:rPr>
                <w:rStyle w:val="189"/>
                <w:rFonts w:eastAsia="宋体"/>
                <w:highlight w:val="none"/>
                <w:lang w:val="en-US" w:eastAsia="zh-CN"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5</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lang w:val="en-US"/>
              </w:rPr>
            </w:pPr>
            <w:r>
              <w:rPr>
                <w:rStyle w:val="188"/>
                <w:highlight w:val="none"/>
                <w:lang w:val="en-US" w:eastAsia="zh-CN" w:bidi="ar"/>
              </w:rPr>
              <w:t>最小离地间隙（</w:t>
            </w:r>
            <w:r>
              <w:rPr>
                <w:rStyle w:val="188"/>
                <w:rFonts w:hint="eastAsia"/>
                <w:highlight w:val="none"/>
                <w:lang w:val="en-US" w:eastAsia="zh-CN" w:bidi="ar"/>
              </w:rPr>
              <w:t>mm）</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eastAsia="zh-CN"/>
              </w:rPr>
            </w:pPr>
            <w:r>
              <w:rPr>
                <w:rFonts w:hint="eastAsia" w:ascii="Arial" w:hAnsi="Arial" w:eastAsia="宋体" w:cs="Arial"/>
                <w:i w:val="0"/>
                <w:iCs w:val="0"/>
                <w:color w:val="0D0D0D"/>
                <w:sz w:val="20"/>
                <w:szCs w:val="20"/>
                <w:highlight w:val="none"/>
                <w:u w:val="none"/>
                <w:lang w:val="en-US" w:eastAsia="zh-CN"/>
              </w:rPr>
              <w:t>214</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轮胎规格</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rPr>
              <w:t>255/70 R16</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油箱容量</w:t>
            </w:r>
            <w:r>
              <w:rPr>
                <w:rStyle w:val="189"/>
                <w:rFonts w:eastAsia="宋体"/>
                <w:highlight w:val="none"/>
                <w:lang w:val="en-US" w:eastAsia="zh-CN" w:bidi="ar"/>
              </w:rPr>
              <w:t>(L)</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7</w:t>
            </w:r>
            <w:r>
              <w:rPr>
                <w:rFonts w:hint="eastAsia" w:ascii="Arial" w:hAnsi="Arial" w:eastAsia="宋体" w:cs="Arial"/>
                <w:i w:val="0"/>
                <w:iCs w:val="0"/>
                <w:color w:val="0D0D0D"/>
                <w:sz w:val="20"/>
                <w:szCs w:val="20"/>
                <w:highlight w:val="none"/>
                <w:u w:val="none"/>
                <w:lang w:val="en-US" w:eastAsia="zh-CN"/>
              </w:rPr>
              <w:t>3</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燃料种类</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Arial" w:hAnsi="Arial" w:eastAsia="宋体" w:cs="Arial"/>
                <w:i w:val="0"/>
                <w:iCs w:val="0"/>
                <w:color w:val="0D0D0D"/>
                <w:sz w:val="20"/>
                <w:szCs w:val="20"/>
                <w:highlight w:val="none"/>
                <w:u w:val="none"/>
                <w:lang w:val="en-US" w:eastAsia="zh-CN"/>
              </w:rPr>
            </w:pPr>
            <w:r>
              <w:rPr>
                <w:rFonts w:hint="eastAsia" w:ascii="Arial" w:hAnsi="Arial" w:eastAsia="宋体" w:cs="Arial"/>
                <w:i w:val="0"/>
                <w:iCs w:val="0"/>
                <w:color w:val="0D0D0D"/>
                <w:sz w:val="20"/>
                <w:szCs w:val="20"/>
                <w:highlight w:val="none"/>
                <w:u w:val="none"/>
                <w:lang w:val="en-US" w:eastAsia="zh-CN"/>
              </w:rPr>
              <w:t>汽油</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eastAsia" w:ascii="微软雅黑" w:hAnsi="微软雅黑" w:eastAsia="微软雅黑" w:cs="微软雅黑"/>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排放标准</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Arial" w:hAnsi="Arial" w:eastAsia="宋体" w:cs="Arial"/>
                <w:i w:val="0"/>
                <w:iCs w:val="0"/>
                <w:color w:val="0D0D0D"/>
                <w:sz w:val="20"/>
                <w:szCs w:val="20"/>
                <w:highlight w:val="none"/>
                <w:u w:val="none"/>
                <w:lang w:val="en-US"/>
              </w:rPr>
            </w:pPr>
            <w:r>
              <w:rPr>
                <w:rFonts w:hint="eastAsia" w:ascii="Arial" w:hAnsi="Arial" w:eastAsia="宋体" w:cs="Arial"/>
                <w:i w:val="0"/>
                <w:iCs w:val="0"/>
                <w:color w:val="0D0D0D"/>
                <w:sz w:val="20"/>
                <w:szCs w:val="20"/>
                <w:highlight w:val="none"/>
                <w:u w:val="none"/>
                <w:lang w:val="en-US" w:eastAsia="zh-CN"/>
              </w:rPr>
              <w:t>国VI</w:t>
            </w:r>
          </w:p>
        </w:tc>
      </w:tr>
      <w:tr>
        <w:tblPrEx>
          <w:tblCellMar>
            <w:top w:w="0" w:type="dxa"/>
            <w:left w:w="108" w:type="dxa"/>
            <w:bottom w:w="0" w:type="dxa"/>
            <w:right w:w="108" w:type="dxa"/>
          </w:tblCellMar>
        </w:tblPrEx>
        <w:trPr>
          <w:trHeight w:val="367" w:hRule="atLeast"/>
        </w:trPr>
        <w:tc>
          <w:tcPr>
            <w:tcW w:w="1637" w:type="dxa"/>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highlight w:val="none"/>
                <w:u w:val="none"/>
              </w:rPr>
            </w:pPr>
            <w:r>
              <w:rPr>
                <w:rStyle w:val="192"/>
                <w:highlight w:val="none"/>
                <w:lang w:val="en-US" w:eastAsia="zh-CN" w:bidi="ar"/>
              </w:rPr>
              <w:t>动力转向</w:t>
            </w: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D0D0D"/>
                <w:sz w:val="20"/>
                <w:szCs w:val="20"/>
                <w:highlight w:val="none"/>
                <w:u w:val="none"/>
              </w:rPr>
            </w:pPr>
            <w:r>
              <w:rPr>
                <w:rFonts w:hint="eastAsia" w:ascii="微软雅黑" w:hAnsi="微软雅黑" w:eastAsia="微软雅黑" w:cs="微软雅黑"/>
                <w:b/>
                <w:bCs/>
                <w:i w:val="0"/>
                <w:iCs w:val="0"/>
                <w:color w:val="0D0D0D"/>
                <w:kern w:val="0"/>
                <w:sz w:val="20"/>
                <w:szCs w:val="20"/>
                <w:highlight w:val="none"/>
                <w:u w:val="none"/>
                <w:lang w:val="en-US" w:eastAsia="zh-CN" w:bidi="ar"/>
              </w:rPr>
              <w:t>发动机型号</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rPr>
              <w:t>QR25</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排量</w:t>
            </w:r>
            <w:r>
              <w:rPr>
                <w:rStyle w:val="189"/>
                <w:rFonts w:eastAsia="宋体"/>
                <w:highlight w:val="none"/>
                <w:lang w:val="en-US" w:eastAsia="zh-CN" w:bidi="ar"/>
              </w:rPr>
              <w:t>(L)</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2.5</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功率</w:t>
            </w:r>
            <w:r>
              <w:rPr>
                <w:rStyle w:val="189"/>
                <w:rFonts w:eastAsia="宋体"/>
                <w:highlight w:val="none"/>
                <w:lang w:val="en-US" w:eastAsia="zh-CN" w:bidi="ar"/>
              </w:rPr>
              <w:t>(kW)</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eastAsia" w:ascii="Arial" w:hAnsi="Arial" w:eastAsia="宋体" w:cs="Arial"/>
                <w:i w:val="0"/>
                <w:iCs w:val="0"/>
                <w:color w:val="0D0D0D"/>
                <w:sz w:val="20"/>
                <w:szCs w:val="20"/>
                <w:highlight w:val="none"/>
                <w:u w:val="none"/>
                <w:lang w:val="en-US" w:eastAsia="zh-CN"/>
              </w:rPr>
              <w:t>140</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扭矩</w:t>
            </w:r>
            <w:r>
              <w:rPr>
                <w:rStyle w:val="189"/>
                <w:rFonts w:eastAsia="宋体"/>
                <w:highlight w:val="none"/>
                <w:lang w:val="en-US" w:eastAsia="zh-CN" w:bidi="ar"/>
              </w:rPr>
              <w:t xml:space="preserve"> (N·m)</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eastAsia" w:ascii="Arial" w:hAnsi="Arial" w:eastAsia="宋体" w:cs="Arial"/>
                <w:i w:val="0"/>
                <w:iCs w:val="0"/>
                <w:color w:val="0D0D0D"/>
                <w:sz w:val="20"/>
                <w:szCs w:val="20"/>
                <w:highlight w:val="none"/>
                <w:u w:val="none"/>
                <w:lang w:val="en-US" w:eastAsia="zh-CN"/>
              </w:rPr>
              <w:t>235</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驱动形式</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前置后驱</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highlight w:val="none"/>
                <w:u w:val="none"/>
              </w:rPr>
            </w:pPr>
            <w:r>
              <w:rPr>
                <w:rStyle w:val="192"/>
                <w:highlight w:val="none"/>
                <w:lang w:val="en-US" w:eastAsia="zh-CN" w:bidi="ar"/>
              </w:rPr>
              <w:t>变速箱</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eastAsia" w:ascii="Arial" w:hAnsi="Arial" w:eastAsia="宋体" w:cs="Arial"/>
                <w:i w:val="0"/>
                <w:iCs w:val="0"/>
                <w:color w:val="0D0D0D"/>
                <w:sz w:val="20"/>
                <w:szCs w:val="20"/>
                <w:highlight w:val="none"/>
                <w:u w:val="none"/>
                <w:lang w:val="en-US" w:eastAsia="zh-CN"/>
              </w:rPr>
              <w:t>7AT</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前悬架系统</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双叉臂式独立悬架</w:t>
            </w:r>
          </w:p>
        </w:tc>
      </w:tr>
      <w:tr>
        <w:tblPrEx>
          <w:tblCellMar>
            <w:top w:w="0" w:type="dxa"/>
            <w:left w:w="108" w:type="dxa"/>
            <w:bottom w:w="0" w:type="dxa"/>
            <w:right w:w="108" w:type="dxa"/>
          </w:tblCellMar>
        </w:tblPrEx>
        <w:trPr>
          <w:trHeight w:val="550"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b/>
                <w:bCs/>
                <w:i w:val="0"/>
                <w:iCs w:val="0"/>
                <w:color w:val="0D0D0D"/>
                <w:sz w:val="20"/>
                <w:szCs w:val="20"/>
                <w:highlight w:val="none"/>
                <w:u w:val="none"/>
              </w:rPr>
            </w:pPr>
            <w:r>
              <w:rPr>
                <w:rStyle w:val="188"/>
                <w:highlight w:val="none"/>
                <w:lang w:val="en-US" w:eastAsia="zh-CN" w:bidi="ar"/>
              </w:rPr>
              <w:t>后悬架系统</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钢板弹簧非独立后悬架</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液压动力转向</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宋体" w:cs="Arial"/>
                <w:i w:val="0"/>
                <w:iCs w:val="0"/>
                <w:color w:val="0D0D0D"/>
                <w:sz w:val="20"/>
                <w:szCs w:val="20"/>
                <w:highlight w:val="none"/>
                <w:u w:val="none"/>
                <w:lang w:val="en-US"/>
              </w:rPr>
            </w:pPr>
            <w:r>
              <w:rPr>
                <w:rFonts w:hint="default" w:ascii="Arial" w:hAnsi="Arial" w:eastAsia="宋体" w:cs="Arial"/>
                <w:i w:val="0"/>
                <w:iCs w:val="0"/>
                <w:color w:val="0D0D0D"/>
                <w:sz w:val="20"/>
                <w:szCs w:val="20"/>
                <w:highlight w:val="none"/>
                <w:u w:val="none"/>
                <w:lang w:val="en-US" w:eastAsia="zh-CN"/>
              </w:rPr>
              <w:t>电子液压助力</w:t>
            </w:r>
          </w:p>
        </w:tc>
      </w:tr>
      <w:tr>
        <w:tblPrEx>
          <w:tblCellMar>
            <w:top w:w="0" w:type="dxa"/>
            <w:left w:w="108" w:type="dxa"/>
            <w:bottom w:w="0" w:type="dxa"/>
            <w:right w:w="108" w:type="dxa"/>
          </w:tblCellMar>
        </w:tblPrEx>
        <w:trPr>
          <w:trHeight w:val="367" w:hRule="atLeast"/>
        </w:trPr>
        <w:tc>
          <w:tcPr>
            <w:tcW w:w="1637" w:type="dxa"/>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pPr>
              <w:jc w:val="center"/>
              <w:rPr>
                <w:rFonts w:hint="default" w:ascii="Arial" w:hAnsi="Arial" w:eastAsia="宋体" w:cs="Arial"/>
                <w:b/>
                <w:bCs/>
                <w:i w:val="0"/>
                <w:iCs w:val="0"/>
                <w:color w:val="000000"/>
                <w:sz w:val="20"/>
                <w:szCs w:val="20"/>
                <w:highlight w:val="none"/>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电子液压助力转向</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Style w:val="191"/>
                <w:highlight w:val="none"/>
                <w:lang w:val="en-US" w:eastAsia="zh-CN" w:bidi="ar"/>
              </w:rPr>
              <w:t>●</w:t>
            </w:r>
          </w:p>
        </w:tc>
      </w:tr>
      <w:tr>
        <w:tblPrEx>
          <w:tblCellMar>
            <w:top w:w="0" w:type="dxa"/>
            <w:left w:w="108" w:type="dxa"/>
            <w:bottom w:w="0" w:type="dxa"/>
            <w:right w:w="108" w:type="dxa"/>
          </w:tblCellMar>
        </w:tblPrEx>
        <w:trPr>
          <w:trHeight w:val="367" w:hRule="atLeast"/>
        </w:trPr>
        <w:tc>
          <w:tcPr>
            <w:tcW w:w="1637"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b/>
                <w:bCs/>
                <w:i w:val="0"/>
                <w:iCs w:val="0"/>
                <w:color w:val="000000"/>
                <w:sz w:val="20"/>
                <w:szCs w:val="20"/>
                <w:highlight w:val="none"/>
                <w:u w:val="none"/>
                <w:lang w:eastAsia="zh-CN"/>
              </w:rPr>
            </w:pPr>
            <w:r>
              <w:rPr>
                <w:rFonts w:hint="eastAsia" w:ascii="微软雅黑" w:hAnsi="微软雅黑" w:eastAsia="微软雅黑" w:cs="微软雅黑"/>
                <w:b/>
                <w:bCs/>
                <w:color w:val="000000"/>
                <w:sz w:val="20"/>
                <w:szCs w:val="20"/>
                <w:highlight w:val="none"/>
              </w:rPr>
              <w:t>后期改造</w:t>
            </w:r>
          </w:p>
        </w:tc>
        <w:tc>
          <w:tcPr>
            <w:tcW w:w="4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Style w:val="192"/>
                <w:highlight w:val="none"/>
                <w:lang w:val="en-US" w:eastAsia="zh-CN" w:bidi="ar"/>
              </w:rPr>
            </w:pPr>
            <w:r>
              <w:rPr>
                <w:rStyle w:val="192"/>
                <w:rFonts w:hint="default"/>
                <w:highlight w:val="none"/>
                <w:lang w:bidi="ar"/>
              </w:rPr>
              <w:t>全车太阳膜</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加装</w:t>
            </w:r>
          </w:p>
        </w:tc>
      </w:tr>
    </w:tbl>
    <w:p>
      <w:pPr>
        <w:pStyle w:val="3"/>
        <w:rPr>
          <w:rFonts w:hint="eastAsia"/>
          <w:highlight w:val="none"/>
          <w:lang w:eastAsia="zh-CN"/>
        </w:rPr>
      </w:pPr>
    </w:p>
    <w:p>
      <w:pPr>
        <w:spacing w:line="240" w:lineRule="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br w:type="page"/>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五）供货范围</w:t>
      </w:r>
      <w:r>
        <w:rPr>
          <w:rFonts w:hint="eastAsia" w:ascii="宋体" w:hAnsi="宋体" w:eastAsia="宋体" w:cs="宋体"/>
          <w:sz w:val="24"/>
          <w:highlight w:val="none"/>
          <w:lang w:val="en-US" w:eastAsia="zh-CN"/>
        </w:rPr>
        <w:t>:</w:t>
      </w:r>
      <w:r>
        <w:rPr>
          <w:rFonts w:hint="eastAsia" w:ascii="宋体" w:hAnsi="宋体"/>
          <w:sz w:val="24"/>
          <w:highlight w:val="none"/>
          <w:lang w:val="en-US" w:eastAsia="zh-CN"/>
        </w:rPr>
        <w:t>含新车采购及车辆上牌和后期改造及首次保养。</w:t>
      </w:r>
    </w:p>
    <w:p>
      <w:pPr>
        <w:numPr>
          <w:ilvl w:val="0"/>
          <w:numId w:val="0"/>
        </w:numPr>
        <w:adjustRightInd/>
        <w:snapToGrid/>
        <w:spacing w:line="360" w:lineRule="auto"/>
        <w:ind w:left="0" w:leftChars="0"/>
        <w:rPr>
          <w:rFonts w:hint="eastAsia" w:ascii="宋体" w:hAnsi="宋体" w:eastAsia="宋体" w:cs="宋体"/>
          <w:sz w:val="24"/>
          <w:highlight w:val="none"/>
          <w:u w:val="single"/>
          <w:lang w:eastAsia="zh-CN"/>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附件及零配件、备品备件的要求</w:t>
      </w:r>
      <w:r>
        <w:rPr>
          <w:rFonts w:hint="eastAsia" w:ascii="宋体" w:hAnsi="宋体" w:eastAsia="宋体" w:cs="宋体"/>
          <w:sz w:val="24"/>
          <w:highlight w:val="none"/>
          <w:lang w:eastAsia="zh-CN"/>
        </w:rPr>
        <w:t>：</w:t>
      </w:r>
      <w:r>
        <w:rPr>
          <w:rFonts w:hint="eastAsia" w:ascii="宋体" w:hAnsi="宋体" w:eastAsia="宋体" w:cs="宋体"/>
          <w:sz w:val="24"/>
          <w:highlight w:val="none"/>
          <w:u w:val="none"/>
          <w:lang w:eastAsia="zh-CN"/>
        </w:rPr>
        <w:t>要求</w:t>
      </w:r>
      <w:r>
        <w:rPr>
          <w:rFonts w:hint="eastAsia" w:ascii="宋体" w:hAnsi="宋体" w:cs="宋体"/>
          <w:sz w:val="24"/>
          <w:highlight w:val="none"/>
          <w:u w:val="none"/>
          <w:lang w:eastAsia="zh-CN"/>
        </w:rPr>
        <w:t>新车配备全尺寸备用轮胎等</w:t>
      </w:r>
      <w:r>
        <w:rPr>
          <w:rFonts w:hint="eastAsia" w:ascii="宋体" w:hAnsi="宋体" w:eastAsia="宋体" w:cs="宋体"/>
          <w:sz w:val="24"/>
          <w:highlight w:val="none"/>
          <w:u w:val="none"/>
          <w:lang w:eastAsia="zh-CN"/>
        </w:rPr>
        <w:t>。</w:t>
      </w:r>
    </w:p>
    <w:p>
      <w:pPr>
        <w:numPr>
          <w:ilvl w:val="0"/>
          <w:numId w:val="0"/>
        </w:numPr>
        <w:adjustRightInd/>
        <w:snapToGrid/>
        <w:spacing w:line="360" w:lineRule="auto"/>
        <w:ind w:left="0" w:left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（七）</w:t>
      </w:r>
      <w:r>
        <w:rPr>
          <w:rFonts w:hint="eastAsia" w:ascii="宋体" w:hAnsi="宋体" w:eastAsia="宋体" w:cs="宋体"/>
          <w:sz w:val="24"/>
          <w:highlight w:val="none"/>
        </w:rPr>
        <w:t>验收标准和方法</w:t>
      </w:r>
      <w:r>
        <w:rPr>
          <w:rFonts w:hint="eastAsia" w:ascii="宋体" w:hAnsi="宋体" w:eastAsia="宋体" w:cs="宋体"/>
          <w:sz w:val="24"/>
          <w:highlight w:val="none"/>
          <w:lang w:eastAsia="zh-CN"/>
        </w:rPr>
        <w:t>：</w:t>
      </w:r>
    </w:p>
    <w:p>
      <w:pPr>
        <w:adjustRightInd w:val="0"/>
        <w:snapToGrid w:val="0"/>
        <w:spacing w:line="360" w:lineRule="auto"/>
        <w:ind w:left="357" w:leftChars="17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供应商</w:t>
      </w:r>
      <w:r>
        <w:rPr>
          <w:rFonts w:hint="eastAsia" w:ascii="宋体" w:hAnsi="宋体"/>
          <w:sz w:val="24"/>
          <w:highlight w:val="none"/>
        </w:rPr>
        <w:t>所提供的产品须满足国家相关规范要求；</w:t>
      </w:r>
    </w:p>
    <w:p>
      <w:pPr>
        <w:adjustRightInd w:val="0"/>
        <w:snapToGrid w:val="0"/>
        <w:spacing w:line="360" w:lineRule="auto"/>
        <w:ind w:left="357" w:leftChars="17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供应商</w:t>
      </w:r>
      <w:r>
        <w:rPr>
          <w:rFonts w:hint="eastAsia" w:ascii="宋体" w:hAnsi="宋体"/>
          <w:sz w:val="24"/>
          <w:highlight w:val="none"/>
        </w:rPr>
        <w:t>所提供的产品的出厂日期不超过</w:t>
      </w:r>
      <w:r>
        <w:rPr>
          <w:rFonts w:hint="eastAsia" w:ascii="宋体" w:hAnsi="宋体"/>
          <w:sz w:val="24"/>
          <w:highlight w:val="none"/>
          <w:lang w:val="en-US" w:eastAsia="zh-CN"/>
        </w:rPr>
        <w:t>6个月</w:t>
      </w:r>
      <w:r>
        <w:rPr>
          <w:rFonts w:hint="eastAsia" w:ascii="宋体" w:hAnsi="宋体"/>
          <w:sz w:val="24"/>
          <w:highlight w:val="none"/>
        </w:rPr>
        <w:t>；</w:t>
      </w:r>
    </w:p>
    <w:p>
      <w:pPr>
        <w:adjustRightInd w:val="0"/>
        <w:snapToGrid w:val="0"/>
        <w:spacing w:line="360" w:lineRule="auto"/>
        <w:ind w:left="357" w:leftChars="170" w:firstLine="0" w:firstLineChars="0"/>
        <w:rPr>
          <w:rFonts w:hint="eastAsia" w:ascii="宋体" w:hAnsi="宋体" w:eastAsia="宋体" w:cs="宋体"/>
          <w:sz w:val="24"/>
          <w:highlight w:val="none"/>
          <w:lang w:eastAsia="zh-CN"/>
        </w:rPr>
      </w:pPr>
      <w:r>
        <w:rPr>
          <w:rFonts w:hint="eastAsia" w:ascii="宋体" w:hAnsi="宋体"/>
          <w:sz w:val="24"/>
          <w:highlight w:val="none"/>
        </w:rPr>
        <w:t>3.</w:t>
      </w:r>
      <w:r>
        <w:rPr>
          <w:rFonts w:hint="eastAsia" w:ascii="宋体" w:hAnsi="宋体"/>
          <w:sz w:val="24"/>
          <w:highlight w:val="none"/>
          <w:lang w:eastAsia="zh-CN"/>
        </w:rPr>
        <w:t>供应商</w:t>
      </w:r>
      <w:r>
        <w:rPr>
          <w:rFonts w:hint="eastAsia" w:ascii="宋体" w:hAnsi="宋体"/>
          <w:sz w:val="24"/>
          <w:highlight w:val="none"/>
        </w:rPr>
        <w:t>须提供完整的</w:t>
      </w:r>
      <w:r>
        <w:rPr>
          <w:rFonts w:hint="eastAsia" w:ascii="宋体" w:hAnsi="宋体"/>
          <w:sz w:val="24"/>
          <w:highlight w:val="none"/>
          <w:lang w:eastAsia="zh-CN"/>
        </w:rPr>
        <w:t>质量</w:t>
      </w:r>
      <w:r>
        <w:rPr>
          <w:rFonts w:hint="eastAsia" w:ascii="宋体" w:hAnsi="宋体"/>
          <w:sz w:val="24"/>
          <w:highlight w:val="none"/>
        </w:rPr>
        <w:t>资料</w:t>
      </w:r>
      <w:r>
        <w:rPr>
          <w:rFonts w:hint="eastAsia" w:ascii="宋体" w:hAnsi="宋体"/>
          <w:sz w:val="24"/>
          <w:highlight w:val="none"/>
          <w:lang w:eastAsia="zh-CN"/>
        </w:rPr>
        <w:t>、产品合格证</w:t>
      </w:r>
      <w:r>
        <w:rPr>
          <w:rFonts w:hint="eastAsia" w:ascii="宋体" w:hAnsi="宋体"/>
          <w:sz w:val="24"/>
          <w:highlight w:val="none"/>
        </w:rPr>
        <w:t>。</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（八）安装调试及技术服务要求</w:t>
      </w:r>
      <w:r>
        <w:rPr>
          <w:rFonts w:hint="eastAsia" w:ascii="宋体" w:hAnsi="宋体" w:eastAsia="宋体" w:cs="宋体"/>
          <w:sz w:val="24"/>
          <w:highlight w:val="none"/>
          <w:lang w:eastAsia="zh-CN"/>
        </w:rPr>
        <w:t>：</w:t>
      </w:r>
      <w:r>
        <w:rPr>
          <w:rFonts w:hint="eastAsia" w:ascii="宋体" w:hAnsi="宋体" w:cs="宋体"/>
          <w:sz w:val="24"/>
          <w:highlight w:val="none"/>
          <w:u w:val="none"/>
          <w:lang w:eastAsia="zh-CN"/>
        </w:rPr>
        <w:t>供应商</w:t>
      </w:r>
      <w:r>
        <w:rPr>
          <w:rFonts w:hint="eastAsia" w:ascii="宋体" w:hAnsi="宋体" w:eastAsia="宋体" w:cs="宋体"/>
          <w:sz w:val="24"/>
          <w:highlight w:val="none"/>
          <w:u w:val="none"/>
          <w:lang w:eastAsia="zh-CN"/>
        </w:rPr>
        <w:t>应提供</w:t>
      </w:r>
      <w:r>
        <w:rPr>
          <w:rFonts w:hint="eastAsia" w:ascii="宋体" w:hAnsi="宋体" w:cs="宋体"/>
          <w:sz w:val="24"/>
          <w:highlight w:val="none"/>
          <w:u w:val="none"/>
          <w:lang w:eastAsia="zh-CN"/>
        </w:rPr>
        <w:t>新车</w:t>
      </w:r>
      <w:r>
        <w:rPr>
          <w:rFonts w:hint="eastAsia" w:ascii="宋体" w:hAnsi="宋体" w:eastAsia="宋体" w:cs="宋体"/>
          <w:sz w:val="24"/>
          <w:highlight w:val="none"/>
          <w:u w:val="none"/>
          <w:lang w:eastAsia="zh-CN"/>
        </w:rPr>
        <w:t>的</w:t>
      </w:r>
      <w:r>
        <w:rPr>
          <w:rFonts w:hint="eastAsia" w:ascii="宋体" w:hAnsi="宋体" w:cs="宋体"/>
          <w:sz w:val="24"/>
          <w:highlight w:val="none"/>
          <w:u w:val="none"/>
          <w:lang w:eastAsia="zh-CN"/>
        </w:rPr>
        <w:t>车辆技术性能功能介绍及指导</w:t>
      </w:r>
      <w:r>
        <w:rPr>
          <w:rFonts w:hint="eastAsia" w:ascii="宋体" w:hAnsi="宋体" w:eastAsia="宋体" w:cs="宋体"/>
          <w:sz w:val="24"/>
          <w:highlight w:val="none"/>
          <w:u w:val="none"/>
          <w:lang w:eastAsia="zh-CN"/>
        </w:rPr>
        <w:t>。</w:t>
      </w:r>
    </w:p>
    <w:p>
      <w:pPr>
        <w:numPr>
          <w:ilvl w:val="-1"/>
          <w:numId w:val="0"/>
        </w:numPr>
        <w:adjustRightInd/>
        <w:snapToGrid/>
        <w:spacing w:line="360" w:lineRule="auto"/>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（九）</w:t>
      </w:r>
      <w:r>
        <w:rPr>
          <w:rFonts w:hint="eastAsia" w:ascii="宋体" w:hAnsi="宋体" w:eastAsia="宋体" w:cs="宋体"/>
          <w:sz w:val="24"/>
          <w:highlight w:val="none"/>
        </w:rPr>
        <w:t>售后服务的要求</w:t>
      </w:r>
      <w:r>
        <w:rPr>
          <w:rFonts w:hint="eastAsia" w:ascii="宋体" w:hAnsi="宋体" w:eastAsia="宋体" w:cs="宋体"/>
          <w:sz w:val="24"/>
          <w:highlight w:val="none"/>
          <w:lang w:eastAsia="zh-CN"/>
        </w:rPr>
        <w:t>：</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1.质保期为</w:t>
      </w:r>
      <w:r>
        <w:rPr>
          <w:rFonts w:hint="eastAsia" w:ascii="宋体" w:hAnsi="宋体" w:cs="宋体"/>
          <w:sz w:val="24"/>
          <w:highlight w:val="none"/>
          <w:u w:val="single"/>
          <w:lang w:val="en-US" w:eastAsia="zh-CN"/>
        </w:rPr>
        <w:t>3</w:t>
      </w:r>
      <w:r>
        <w:rPr>
          <w:rFonts w:hint="eastAsia" w:ascii="宋体" w:hAnsi="宋体" w:eastAsia="宋体" w:cs="宋体"/>
          <w:sz w:val="24"/>
          <w:highlight w:val="none"/>
          <w:lang w:val="en-US" w:eastAsia="zh-CN"/>
        </w:rPr>
        <w:t>年</w:t>
      </w:r>
      <w:r>
        <w:rPr>
          <w:rFonts w:hint="eastAsia" w:ascii="宋体" w:hAnsi="宋体" w:cs="宋体"/>
          <w:sz w:val="24"/>
          <w:highlight w:val="none"/>
          <w:lang w:val="en-US" w:eastAsia="zh-CN"/>
        </w:rPr>
        <w:t>或</w:t>
      </w:r>
      <w:r>
        <w:rPr>
          <w:rFonts w:hint="eastAsia" w:ascii="宋体" w:hAnsi="宋体" w:cs="宋体"/>
          <w:sz w:val="24"/>
          <w:highlight w:val="none"/>
          <w:u w:val="single"/>
          <w:lang w:val="en-US" w:eastAsia="zh-CN"/>
        </w:rPr>
        <w:t>10</w:t>
      </w:r>
      <w:r>
        <w:rPr>
          <w:rFonts w:hint="eastAsia" w:ascii="宋体" w:hAnsi="宋体" w:cs="宋体"/>
          <w:sz w:val="24"/>
          <w:highlight w:val="none"/>
          <w:u w:val="none"/>
          <w:lang w:val="en-US" w:eastAsia="zh-CN"/>
        </w:rPr>
        <w:t>万</w:t>
      </w:r>
      <w:r>
        <w:rPr>
          <w:rFonts w:hint="eastAsia" w:ascii="宋体" w:hAnsi="宋体" w:cs="宋体"/>
          <w:sz w:val="24"/>
          <w:highlight w:val="none"/>
          <w:lang w:val="en-US" w:eastAsia="zh-CN"/>
        </w:rPr>
        <w:t>公里</w:t>
      </w:r>
      <w:r>
        <w:rPr>
          <w:rFonts w:hint="eastAsia" w:ascii="宋体" w:hAnsi="宋体" w:eastAsia="宋体" w:cs="宋体"/>
          <w:sz w:val="24"/>
          <w:highlight w:val="none"/>
          <w:lang w:val="en-US" w:eastAsia="zh-CN"/>
        </w:rPr>
        <w:t>。</w:t>
      </w:r>
    </w:p>
    <w:p>
      <w:pPr>
        <w:pStyle w:val="3"/>
        <w:spacing w:after="0" w:line="360" w:lineRule="auto"/>
        <w:jc w:val="left"/>
        <w:rPr>
          <w:rFonts w:hint="default" w:ascii="宋体" w:hAnsi="宋体" w:eastAsia="宋体" w:cs="宋体"/>
          <w:color w:val="FF0000"/>
          <w:sz w:val="24"/>
          <w:highlight w:val="none"/>
          <w:lang w:val="en-US" w:eastAsia="zh-CN"/>
        </w:rPr>
      </w:pPr>
      <w:r>
        <w:rPr>
          <w:rFonts w:hint="eastAsia" w:ascii="宋体" w:hAnsi="宋体" w:eastAsia="宋体" w:cs="宋体"/>
          <w:sz w:val="24"/>
          <w:highlight w:val="none"/>
          <w:lang w:val="en-US" w:eastAsia="zh-CN"/>
        </w:rPr>
        <w:t xml:space="preserve">    2.</w:t>
      </w:r>
      <w:r>
        <w:rPr>
          <w:rFonts w:hint="eastAsia" w:ascii="宋体" w:hAnsi="宋体" w:eastAsia="宋体" w:cs="宋体"/>
          <w:sz w:val="24"/>
          <w:highlight w:val="none"/>
        </w:rPr>
        <w:t>自买方验收产品合格后的</w:t>
      </w:r>
      <w:r>
        <w:rPr>
          <w:rFonts w:hint="eastAsia" w:ascii="宋体" w:hAnsi="宋体" w:cs="宋体"/>
          <w:sz w:val="24"/>
          <w:highlight w:val="none"/>
          <w:u w:val="single"/>
          <w:lang w:val="en-US" w:eastAsia="zh-CN"/>
        </w:rPr>
        <w:t>3</w:t>
      </w:r>
      <w:r>
        <w:rPr>
          <w:rFonts w:hint="eastAsia" w:ascii="宋体" w:hAnsi="宋体" w:eastAsia="宋体" w:cs="宋体"/>
          <w:sz w:val="24"/>
          <w:highlight w:val="none"/>
        </w:rPr>
        <w:t>年内，</w:t>
      </w:r>
      <w:r>
        <w:rPr>
          <w:rFonts w:hint="eastAsia" w:ascii="宋体" w:hAnsi="宋体" w:cs="宋体"/>
          <w:sz w:val="24"/>
          <w:highlight w:val="none"/>
          <w:lang w:eastAsia="zh-CN"/>
        </w:rPr>
        <w:t>出现</w:t>
      </w:r>
      <w:r>
        <w:rPr>
          <w:rFonts w:hint="eastAsia" w:ascii="宋体" w:hAnsi="宋体" w:eastAsia="宋体" w:cs="宋体"/>
          <w:sz w:val="24"/>
          <w:highlight w:val="none"/>
        </w:rPr>
        <w:t>除使用不当所造成的</w:t>
      </w:r>
      <w:r>
        <w:rPr>
          <w:rFonts w:hint="eastAsia" w:ascii="宋体" w:hAnsi="宋体" w:cs="宋体"/>
          <w:sz w:val="24"/>
          <w:highlight w:val="none"/>
          <w:lang w:eastAsia="zh-CN"/>
        </w:rPr>
        <w:t>产品</w:t>
      </w:r>
      <w:r>
        <w:rPr>
          <w:rFonts w:hint="eastAsia" w:ascii="宋体" w:hAnsi="宋体" w:eastAsia="宋体" w:cs="宋体"/>
          <w:sz w:val="24"/>
          <w:highlight w:val="none"/>
        </w:rPr>
        <w:t>损坏</w:t>
      </w:r>
      <w:r>
        <w:rPr>
          <w:rFonts w:hint="eastAsia" w:ascii="宋体" w:hAnsi="宋体" w:cs="宋体"/>
          <w:sz w:val="24"/>
          <w:highlight w:val="none"/>
          <w:lang w:eastAsia="zh-CN"/>
        </w:rPr>
        <w:t>，供应商应进行免费更换或维修。</w:t>
      </w:r>
    </w:p>
    <w:p>
      <w:pPr>
        <w:spacing w:line="240" w:lineRule="auto"/>
        <w:jc w:val="left"/>
        <w:rPr>
          <w:rFonts w:ascii="仿宋" w:hAnsi="仿宋" w:eastAsia="仿宋" w:cs="仿宋"/>
          <w:sz w:val="30"/>
          <w:szCs w:val="30"/>
          <w:highlight w:val="none"/>
        </w:rPr>
      </w:pPr>
      <w:r>
        <w:rPr>
          <w:rFonts w:ascii="仿宋" w:hAnsi="仿宋" w:eastAsia="仿宋" w:cs="仿宋"/>
          <w:sz w:val="30"/>
          <w:szCs w:val="30"/>
          <w:highlight w:val="none"/>
        </w:rPr>
        <w:br w:type="page"/>
      </w:r>
    </w:p>
    <w:p>
      <w:pPr>
        <w:numPr>
          <w:ilvl w:val="0"/>
          <w:numId w:val="0"/>
        </w:numPr>
        <w:spacing w:line="312" w:lineRule="auto"/>
        <w:jc w:val="center"/>
        <w:outlineLvl w:val="0"/>
        <w:rPr>
          <w:rFonts w:ascii="黑体" w:hAnsi="黑体" w:eastAsia="黑体" w:cs="仿宋"/>
          <w:b/>
          <w:color w:val="000000"/>
          <w:sz w:val="36"/>
          <w:szCs w:val="36"/>
          <w:highlight w:val="none"/>
        </w:rPr>
      </w:pPr>
      <w:bookmarkStart w:id="31" w:name="_Toc3928"/>
      <w:r>
        <w:rPr>
          <w:rFonts w:hint="eastAsia" w:ascii="黑体" w:hAnsi="黑体" w:eastAsia="黑体" w:cs="仿宋"/>
          <w:b/>
          <w:color w:val="000000"/>
          <w:sz w:val="36"/>
          <w:szCs w:val="36"/>
          <w:highlight w:val="none"/>
        </w:rPr>
        <w:t>第</w:t>
      </w:r>
      <w:r>
        <w:rPr>
          <w:rFonts w:hint="eastAsia" w:ascii="黑体" w:hAnsi="黑体" w:eastAsia="黑体" w:cs="仿宋"/>
          <w:b/>
          <w:color w:val="000000"/>
          <w:sz w:val="36"/>
          <w:szCs w:val="36"/>
          <w:highlight w:val="none"/>
          <w:lang w:eastAsia="zh-CN"/>
        </w:rPr>
        <w:t>六</w:t>
      </w:r>
      <w:r>
        <w:rPr>
          <w:rFonts w:hint="eastAsia" w:ascii="黑体" w:hAnsi="黑体" w:eastAsia="黑体" w:cs="仿宋"/>
          <w:b/>
          <w:color w:val="000000"/>
          <w:sz w:val="36"/>
          <w:szCs w:val="36"/>
          <w:highlight w:val="none"/>
        </w:rPr>
        <w:t>章  响应文件格式</w:t>
      </w:r>
      <w:bookmarkEnd w:id="31"/>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outlineLvl w:val="0"/>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bookmarkStart w:id="32" w:name="_Toc20716"/>
      <w:r>
        <w:rPr>
          <w:rFonts w:hint="eastAsia" w:eastAsia="方正小标宋_GBK"/>
          <w:b/>
          <w:bCs/>
          <w:sz w:val="40"/>
          <w:szCs w:val="36"/>
          <w:highlight w:val="none"/>
        </w:rPr>
        <w:t>项目</w:t>
      </w:r>
      <w:bookmarkEnd w:id="32"/>
    </w:p>
    <w:p>
      <w:pPr>
        <w:widowControl w:val="0"/>
        <w:spacing w:before="240" w:beforeLines="100" w:after="240" w:afterLines="100" w:line="240" w:lineRule="auto"/>
        <w:jc w:val="center"/>
        <w:outlineLvl w:val="0"/>
        <w:rPr>
          <w:rFonts w:eastAsia="楷体_GB2312"/>
          <w:b/>
          <w:bCs/>
          <w:sz w:val="28"/>
          <w:szCs w:val="28"/>
          <w:highlight w:val="none"/>
        </w:rPr>
      </w:pPr>
      <w:bookmarkStart w:id="33" w:name="_Toc31832"/>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bookmarkEnd w:id="33"/>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outlineLvl w:val="0"/>
        <w:rPr>
          <w:rFonts w:eastAsia="方正小标宋_GBK"/>
          <w:b/>
          <w:bCs/>
          <w:spacing w:val="160"/>
          <w:sz w:val="72"/>
          <w:szCs w:val="72"/>
          <w:highlight w:val="none"/>
        </w:rPr>
      </w:pPr>
      <w:bookmarkStart w:id="34" w:name="_Toc8196"/>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bookmarkEnd w:id="34"/>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outlineLvl w:val="0"/>
        <w:rPr>
          <w:rFonts w:eastAsia="黑体"/>
          <w:bCs/>
          <w:sz w:val="30"/>
          <w:szCs w:val="30"/>
          <w:highlight w:val="none"/>
        </w:rPr>
      </w:pPr>
      <w:bookmarkStart w:id="35" w:name="_Toc8163"/>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全称并盖单位公章</w:t>
      </w:r>
      <w:bookmarkEnd w:id="35"/>
      <w:r>
        <w:rPr>
          <w:rFonts w:eastAsia="黑体"/>
          <w:bCs/>
          <w:sz w:val="30"/>
          <w:szCs w:val="30"/>
          <w:highlight w:val="none"/>
          <w:u w:val="single"/>
        </w:rPr>
        <w:t xml:space="preserve"> </w:t>
      </w:r>
    </w:p>
    <w:p>
      <w:pPr>
        <w:spacing w:line="900" w:lineRule="exact"/>
        <w:jc w:val="center"/>
        <w:outlineLvl w:val="0"/>
        <w:rPr>
          <w:rFonts w:eastAsia="黑体"/>
          <w:sz w:val="30"/>
          <w:szCs w:val="30"/>
          <w:highlight w:val="none"/>
        </w:rPr>
      </w:pPr>
      <w:bookmarkStart w:id="36" w:name="_Toc2448"/>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bookmarkEnd w:id="36"/>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outlineLvl w:val="0"/>
        <w:rPr>
          <w:rFonts w:ascii="黑体" w:hAnsi="黑体" w:eastAsia="黑体" w:cs="仿宋"/>
          <w:sz w:val="36"/>
          <w:szCs w:val="36"/>
          <w:highlight w:val="none"/>
        </w:rPr>
      </w:pPr>
      <w:bookmarkStart w:id="37" w:name="_Toc21209"/>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bookmarkEnd w:id="37"/>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outlineLvl w:val="0"/>
        <w:rPr>
          <w:rFonts w:hint="eastAsia" w:ascii="宋体" w:hAnsi="宋体" w:eastAsia="宋体" w:cs="仿宋"/>
          <w:sz w:val="24"/>
          <w:highlight w:val="none"/>
          <w:lang w:eastAsia="zh-CN"/>
        </w:rPr>
      </w:pPr>
      <w:bookmarkStart w:id="38" w:name="_Toc23934"/>
      <w:r>
        <w:rPr>
          <w:rFonts w:hint="eastAsia" w:ascii="宋体" w:hAnsi="宋体" w:cs="仿宋"/>
          <w:sz w:val="24"/>
          <w:highlight w:val="none"/>
        </w:rPr>
        <w:t>一、响应函</w:t>
      </w:r>
      <w:bookmarkEnd w:id="38"/>
    </w:p>
    <w:p>
      <w:pPr>
        <w:adjustRightInd w:val="0"/>
        <w:snapToGrid w:val="0"/>
        <w:spacing w:line="600" w:lineRule="exact"/>
        <w:jc w:val="both"/>
        <w:outlineLvl w:val="0"/>
        <w:rPr>
          <w:rFonts w:hint="eastAsia"/>
          <w:highlight w:val="none"/>
          <w:lang w:eastAsia="zh-CN"/>
        </w:rPr>
      </w:pPr>
      <w:bookmarkStart w:id="39" w:name="_Toc23996"/>
      <w:r>
        <w:rPr>
          <w:rFonts w:hint="eastAsia" w:ascii="宋体" w:hAnsi="宋体" w:cs="仿宋"/>
          <w:sz w:val="24"/>
          <w:highlight w:val="none"/>
        </w:rPr>
        <w:t>二、授权委托书(适用于有委托代理人的情况)</w:t>
      </w:r>
      <w:bookmarkEnd w:id="39"/>
    </w:p>
    <w:p>
      <w:pPr>
        <w:adjustRightInd w:val="0"/>
        <w:snapToGrid w:val="0"/>
        <w:spacing w:line="600" w:lineRule="exact"/>
        <w:jc w:val="both"/>
        <w:outlineLvl w:val="0"/>
        <w:rPr>
          <w:rFonts w:hint="eastAsia" w:ascii="宋体" w:hAnsi="宋体" w:eastAsia="宋体" w:cs="仿宋"/>
          <w:sz w:val="24"/>
          <w:highlight w:val="none"/>
          <w:lang w:eastAsia="zh-CN"/>
        </w:rPr>
      </w:pPr>
      <w:bookmarkStart w:id="40" w:name="_Toc16749"/>
      <w:r>
        <w:rPr>
          <w:rFonts w:hint="eastAsia" w:ascii="宋体" w:hAnsi="宋体" w:cs="仿宋"/>
          <w:sz w:val="24"/>
          <w:highlight w:val="none"/>
          <w:lang w:eastAsia="zh-CN"/>
        </w:rPr>
        <w:t>三</w:t>
      </w:r>
      <w:r>
        <w:rPr>
          <w:rFonts w:hint="eastAsia" w:ascii="宋体" w:hAnsi="宋体" w:cs="仿宋"/>
          <w:sz w:val="24"/>
          <w:highlight w:val="none"/>
        </w:rPr>
        <w:t>、商务和技术偏差表</w:t>
      </w:r>
      <w:bookmarkEnd w:id="40"/>
    </w:p>
    <w:p>
      <w:pPr>
        <w:adjustRightInd w:val="0"/>
        <w:snapToGrid w:val="0"/>
        <w:spacing w:line="600" w:lineRule="exact"/>
        <w:jc w:val="both"/>
        <w:outlineLvl w:val="0"/>
        <w:rPr>
          <w:rFonts w:hint="eastAsia" w:ascii="宋体" w:hAnsi="宋体" w:eastAsia="宋体" w:cs="仿宋"/>
          <w:sz w:val="24"/>
          <w:highlight w:val="none"/>
          <w:lang w:eastAsia="zh-CN"/>
        </w:rPr>
      </w:pPr>
      <w:bookmarkStart w:id="41" w:name="_Toc23116"/>
      <w:r>
        <w:rPr>
          <w:rFonts w:hint="eastAsia" w:ascii="宋体" w:hAnsi="宋体" w:cs="仿宋"/>
          <w:sz w:val="24"/>
          <w:highlight w:val="none"/>
          <w:lang w:eastAsia="zh-CN"/>
        </w:rPr>
        <w:t>四</w:t>
      </w:r>
      <w:r>
        <w:rPr>
          <w:rFonts w:hint="eastAsia" w:ascii="宋体" w:hAnsi="宋体" w:cs="仿宋"/>
          <w:sz w:val="24"/>
          <w:highlight w:val="none"/>
        </w:rPr>
        <w:t>、报价表</w:t>
      </w:r>
      <w:bookmarkEnd w:id="41"/>
    </w:p>
    <w:p>
      <w:pPr>
        <w:adjustRightInd w:val="0"/>
        <w:snapToGrid w:val="0"/>
        <w:spacing w:line="600" w:lineRule="exact"/>
        <w:jc w:val="both"/>
        <w:outlineLvl w:val="0"/>
        <w:rPr>
          <w:rFonts w:hint="eastAsia" w:ascii="宋体" w:hAnsi="宋体" w:eastAsia="宋体" w:cs="仿宋"/>
          <w:sz w:val="24"/>
          <w:highlight w:val="none"/>
          <w:lang w:eastAsia="zh-CN"/>
        </w:rPr>
      </w:pPr>
      <w:bookmarkStart w:id="42" w:name="_Toc12364"/>
      <w:r>
        <w:rPr>
          <w:rFonts w:hint="eastAsia" w:ascii="宋体" w:hAnsi="宋体" w:cs="仿宋"/>
          <w:sz w:val="24"/>
          <w:highlight w:val="none"/>
          <w:lang w:eastAsia="zh-CN"/>
        </w:rPr>
        <w:t>五</w:t>
      </w:r>
      <w:r>
        <w:rPr>
          <w:rFonts w:hint="eastAsia" w:ascii="宋体" w:hAnsi="宋体" w:cs="仿宋"/>
          <w:sz w:val="24"/>
          <w:highlight w:val="none"/>
        </w:rPr>
        <w:t>、资格审查资料</w:t>
      </w:r>
      <w:bookmarkEnd w:id="42"/>
    </w:p>
    <w:p>
      <w:pPr>
        <w:adjustRightInd w:val="0"/>
        <w:snapToGrid w:val="0"/>
        <w:spacing w:line="600" w:lineRule="exact"/>
        <w:jc w:val="both"/>
        <w:outlineLvl w:val="0"/>
        <w:rPr>
          <w:rFonts w:hint="eastAsia" w:ascii="宋体" w:hAnsi="宋体" w:eastAsia="宋体" w:cs="仿宋"/>
          <w:sz w:val="24"/>
          <w:highlight w:val="none"/>
          <w:lang w:eastAsia="zh-CN"/>
        </w:rPr>
      </w:pPr>
      <w:bookmarkStart w:id="43" w:name="_Toc18209"/>
      <w:r>
        <w:rPr>
          <w:rFonts w:hint="eastAsia" w:ascii="宋体" w:hAnsi="宋体" w:cs="仿宋"/>
          <w:sz w:val="24"/>
          <w:highlight w:val="none"/>
          <w:lang w:eastAsia="zh-CN"/>
        </w:rPr>
        <w:t>六</w:t>
      </w:r>
      <w:r>
        <w:rPr>
          <w:rFonts w:hint="eastAsia" w:ascii="宋体" w:hAnsi="宋体" w:cs="仿宋"/>
          <w:sz w:val="24"/>
          <w:highlight w:val="none"/>
        </w:rPr>
        <w:t>、响应方案</w:t>
      </w:r>
      <w:bookmarkEnd w:id="43"/>
    </w:p>
    <w:p>
      <w:pPr>
        <w:adjustRightInd w:val="0"/>
        <w:snapToGrid w:val="0"/>
        <w:spacing w:line="600" w:lineRule="exact"/>
        <w:jc w:val="both"/>
        <w:outlineLvl w:val="0"/>
        <w:rPr>
          <w:rFonts w:ascii="宋体" w:hAnsi="宋体" w:cs="仿宋"/>
          <w:sz w:val="24"/>
          <w:highlight w:val="none"/>
        </w:rPr>
      </w:pPr>
      <w:bookmarkStart w:id="44" w:name="_Toc2071"/>
      <w:r>
        <w:rPr>
          <w:rFonts w:hint="eastAsia" w:ascii="宋体" w:hAnsi="宋体" w:cs="仿宋"/>
          <w:sz w:val="24"/>
          <w:highlight w:val="none"/>
          <w:lang w:eastAsia="zh-CN"/>
        </w:rPr>
        <w:t>七</w:t>
      </w:r>
      <w:r>
        <w:rPr>
          <w:rFonts w:hint="eastAsia" w:ascii="宋体" w:hAnsi="宋体" w:cs="仿宋"/>
          <w:sz w:val="24"/>
          <w:highlight w:val="none"/>
        </w:rPr>
        <w:t>、其他资料</w:t>
      </w:r>
      <w:bookmarkEnd w:id="44"/>
    </w:p>
    <w:p>
      <w:pPr>
        <w:adjustRightInd w:val="0"/>
        <w:snapToGrid w:val="0"/>
        <w:spacing w:line="600" w:lineRule="exact"/>
        <w:jc w:val="both"/>
        <w:rPr>
          <w:rFonts w:cs="仿宋" w:asciiTheme="minorEastAsia" w:hAnsiTheme="minorEastAsia" w:eastAsiaTheme="minorEastAsia"/>
          <w:sz w:val="24"/>
          <w:highlight w:val="none"/>
        </w:rPr>
      </w:pPr>
      <w:r>
        <w:rPr>
          <w:rFonts w:hint="eastAsia" w:ascii="仿宋" w:hAnsi="仿宋" w:eastAsia="仿宋" w:cs="仿宋"/>
          <w:sz w:val="30"/>
          <w:szCs w:val="30"/>
          <w:highlight w:val="none"/>
        </w:rPr>
        <w:br w:type="page"/>
      </w:r>
    </w:p>
    <w:p>
      <w:pPr>
        <w:numPr>
          <w:ilvl w:val="0"/>
          <w:numId w:val="2"/>
        </w:numPr>
        <w:adjustRightInd w:val="0"/>
        <w:snapToGrid w:val="0"/>
        <w:spacing w:line="600" w:lineRule="exact"/>
        <w:jc w:val="center"/>
        <w:outlineLvl w:val="0"/>
        <w:rPr>
          <w:rFonts w:ascii="黑体" w:hAnsi="黑体" w:eastAsia="黑体" w:cs="仿宋"/>
          <w:sz w:val="36"/>
          <w:szCs w:val="36"/>
          <w:highlight w:val="none"/>
        </w:rPr>
      </w:pPr>
      <w:bookmarkStart w:id="45" w:name="_Toc32350"/>
      <w:r>
        <w:rPr>
          <w:rFonts w:hint="eastAsia" w:ascii="黑体" w:hAnsi="黑体" w:eastAsia="黑体" w:cs="仿宋"/>
          <w:sz w:val="36"/>
          <w:szCs w:val="36"/>
          <w:highlight w:val="none"/>
        </w:rPr>
        <w:t>响应函</w:t>
      </w:r>
      <w:bookmarkEnd w:id="45"/>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(采购人名称):</w:t>
      </w:r>
    </w:p>
    <w:p>
      <w:pPr>
        <w:adjustRightInd w:val="0"/>
        <w:snapToGrid w:val="0"/>
        <w:spacing w:line="6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1.我方已仔细研究了__(项目名称)采购文件的全部内容，愿意以</w:t>
      </w:r>
      <w:r>
        <w:rPr>
          <w:rFonts w:hint="eastAsia" w:cs="仿宋" w:asciiTheme="minorEastAsia" w:hAnsiTheme="minorEastAsia" w:eastAsiaTheme="minorEastAsia"/>
          <w:sz w:val="24"/>
          <w:highlight w:val="none"/>
          <w:lang w:eastAsia="zh-CN"/>
        </w:rPr>
        <w:t>含税</w:t>
      </w:r>
      <w:r>
        <w:rPr>
          <w:rFonts w:hint="eastAsia" w:cs="仿宋" w:asciiTheme="minorEastAsia" w:hAnsiTheme="minorEastAsia" w:eastAsiaTheme="minorEastAsia"/>
          <w:sz w:val="24"/>
          <w:highlight w:val="none"/>
        </w:rPr>
        <w:t>人民币(大写)(￥</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)的报价完成提供本项目货物，并按合同约定履行义务。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(1)响应函；</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(2)授权委托书(如有)；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(3)商务和技术偏差表；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(4)报价表；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(5)资格审查资料；</w:t>
      </w:r>
    </w:p>
    <w:p>
      <w:pPr>
        <w:adjustRightInd w:val="0"/>
        <w:snapToGrid w:val="0"/>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(6)响应方案；</w:t>
      </w:r>
    </w:p>
    <w:p>
      <w:pPr>
        <w:adjustRightInd w:val="0"/>
        <w:snapToGrid w:val="0"/>
        <w:spacing w:line="600" w:lineRule="exact"/>
        <w:jc w:val="both"/>
        <w:rPr>
          <w:highlight w:val="none"/>
        </w:rPr>
      </w:pP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其他资料（如有）</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w:t>
      </w:r>
      <w:r>
        <w:rPr>
          <w:rFonts w:hint="eastAsia" w:cs="仿宋" w:asciiTheme="minorEastAsia" w:hAnsiTheme="minorEastAsia" w:eastAsiaTheme="minorEastAsia"/>
          <w:sz w:val="24"/>
          <w:highlight w:val="none"/>
          <w:lang w:eastAsia="zh-CN"/>
        </w:rPr>
        <w:t>一</w:t>
      </w:r>
      <w:r>
        <w:rPr>
          <w:rFonts w:hint="eastAsia" w:cs="仿宋" w:asciiTheme="minorEastAsia" w:hAnsiTheme="minorEastAsia" w:eastAsiaTheme="minorEastAsia"/>
          <w:sz w:val="24"/>
          <w:highlight w:val="none"/>
        </w:rPr>
        <w:t>致的，以响应函为准。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w:t>
      </w:r>
      <w:r>
        <w:rPr>
          <w:rFonts w:hint="eastAsia" w:cs="仿宋" w:asciiTheme="minorEastAsia" w:hAnsiTheme="minorEastAsia" w:eastAsiaTheme="minorEastAsia"/>
          <w:b/>
          <w:bCs/>
          <w:sz w:val="24"/>
          <w:highlight w:val="none"/>
        </w:rPr>
        <w:t>不</w:t>
      </w:r>
      <w:r>
        <w:rPr>
          <w:rFonts w:hint="eastAsia" w:cs="仿宋" w:asciiTheme="minorEastAsia" w:hAnsiTheme="minorEastAsia" w:eastAsiaTheme="minorEastAsia"/>
          <w:b/>
          <w:bCs/>
          <w:sz w:val="24"/>
          <w:highlight w:val="none"/>
          <w:lang w:eastAsia="zh-CN"/>
        </w:rPr>
        <w:t>存</w:t>
      </w:r>
      <w:r>
        <w:rPr>
          <w:rFonts w:hint="eastAsia" w:cs="仿宋" w:asciiTheme="minorEastAsia" w:hAnsiTheme="minorEastAsia" w:eastAsiaTheme="minorEastAsia"/>
          <w:b/>
          <w:bCs/>
          <w:sz w:val="24"/>
          <w:highlight w:val="none"/>
        </w:rPr>
        <w:t>在第一章“</w:t>
      </w:r>
      <w:r>
        <w:rPr>
          <w:rFonts w:hint="eastAsia" w:cs="仿宋" w:asciiTheme="minorEastAsia" w:hAnsiTheme="minorEastAsia" w:eastAsiaTheme="minorEastAsia"/>
          <w:b/>
          <w:bCs/>
          <w:sz w:val="24"/>
          <w:highlight w:val="none"/>
          <w:lang w:eastAsia="zh-CN"/>
        </w:rPr>
        <w:t>采购</w:t>
      </w:r>
      <w:r>
        <w:rPr>
          <w:rFonts w:hint="eastAsia" w:cs="仿宋" w:asciiTheme="minorEastAsia" w:hAnsiTheme="minorEastAsia" w:eastAsiaTheme="minorEastAsia"/>
          <w:b/>
          <w:bCs/>
          <w:sz w:val="24"/>
          <w:highlight w:val="none"/>
        </w:rPr>
        <w:t>公告”中规定的供应商不得存在的情形</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7.(其他补充说明)。</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0" w:firstLineChars="0"/>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ind w:firstLine="0" w:firstLineChars="0"/>
        <w:jc w:val="left"/>
        <w:rPr>
          <w:rFonts w:hint="eastAsia"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br w:type="page"/>
      </w:r>
    </w:p>
    <w:p>
      <w:pPr>
        <w:spacing w:line="400" w:lineRule="exact"/>
        <w:ind w:firstLine="0" w:firstLineChars="0"/>
        <w:jc w:val="center"/>
        <w:rPr>
          <w:rFonts w:asciiTheme="minorEastAsia" w:hAnsiTheme="minorEastAsia" w:eastAsiaTheme="minorEastAsia"/>
          <w:color w:val="000000"/>
          <w:sz w:val="24"/>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w:t>
      </w:r>
      <w:r>
        <w:rPr>
          <w:rFonts w:cs="仿宋" w:asciiTheme="minorEastAsia" w:hAnsiTheme="minorEastAsia" w:eastAsiaTheme="minorEastAsia"/>
          <w:sz w:val="24"/>
          <w:highlight w:val="none"/>
        </w:rPr>
        <w:t>（编号</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2880" w:firstLineChars="1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p>
    <w:p>
      <w:pPr>
        <w:spacing w:line="360" w:lineRule="auto"/>
        <w:ind w:firstLine="0" w:firstLineChars="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outlineLvl w:val="0"/>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bookmarkStart w:id="46" w:name="_Toc7753"/>
      <w:r>
        <w:rPr>
          <w:rFonts w:hint="eastAsia" w:ascii="黑体" w:hAnsi="黑体" w:eastAsia="黑体" w:cs="仿宋"/>
          <w:sz w:val="36"/>
          <w:szCs w:val="36"/>
          <w:highlight w:val="none"/>
        </w:rPr>
        <w:t>二、授权委托书</w:t>
      </w:r>
      <w:bookmarkEnd w:id="46"/>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color w:val="0000FF"/>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   月   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0"/>
        <w:rPr>
          <w:rFonts w:ascii="黑体" w:hAnsi="黑体" w:eastAsia="黑体" w:cs="仿宋"/>
          <w:sz w:val="36"/>
          <w:szCs w:val="36"/>
          <w:highlight w:val="none"/>
        </w:rPr>
      </w:pPr>
      <w:bookmarkStart w:id="47" w:name="_Toc29706"/>
      <w:r>
        <w:rPr>
          <w:rFonts w:hint="eastAsia" w:ascii="黑体" w:hAnsi="黑体" w:eastAsia="黑体" w:cs="仿宋"/>
          <w:sz w:val="36"/>
          <w:szCs w:val="36"/>
          <w:highlight w:val="none"/>
        </w:rPr>
        <w:t>三、商务和技术偏差表</w:t>
      </w:r>
      <w:bookmarkEnd w:id="47"/>
    </w:p>
    <w:p>
      <w:pPr>
        <w:spacing w:line="600" w:lineRule="exact"/>
        <w:jc w:val="center"/>
        <w:rPr>
          <w:rFonts w:cs="仿宋" w:asciiTheme="minorEastAsia" w:hAnsiTheme="minorEastAsia" w:eastAsiaTheme="minorEastAsia"/>
          <w:sz w:val="24"/>
          <w:highlight w:val="none"/>
        </w:rPr>
      </w:pPr>
    </w:p>
    <w:tbl>
      <w:tblPr>
        <w:tblStyle w:val="3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809"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vAlign w:val="center"/>
          </w:tcPr>
          <w:p>
            <w:pPr>
              <w:widowControl/>
              <w:spacing w:line="600" w:lineRule="exact"/>
              <w:jc w:val="center"/>
              <w:rPr>
                <w:rFonts w:cs="仿宋" w:asciiTheme="minorEastAsia" w:hAnsiTheme="minorEastAsia" w:eastAsiaTheme="minorEastAsia"/>
                <w:sz w:val="24"/>
                <w:highlight w:val="none"/>
              </w:rPr>
            </w:pPr>
          </w:p>
        </w:tc>
        <w:tc>
          <w:tcPr>
            <w:tcW w:w="2809" w:type="dxa"/>
            <w:vAlign w:val="center"/>
          </w:tcPr>
          <w:p>
            <w:pPr>
              <w:widowControl/>
              <w:spacing w:line="600" w:lineRule="exact"/>
              <w:jc w:val="center"/>
              <w:rPr>
                <w:rFonts w:cs="仿宋" w:asciiTheme="minorEastAsia" w:hAnsiTheme="minorEastAsia" w:eastAsiaTheme="minorEastAsia"/>
                <w:sz w:val="24"/>
                <w:highlight w:val="none"/>
              </w:rPr>
            </w:pPr>
          </w:p>
        </w:tc>
        <w:tc>
          <w:tcPr>
            <w:tcW w:w="2656" w:type="dxa"/>
            <w:vAlign w:val="center"/>
          </w:tcPr>
          <w:p>
            <w:pPr>
              <w:widowControl/>
              <w:spacing w:line="600" w:lineRule="exact"/>
              <w:jc w:val="center"/>
              <w:rPr>
                <w:rFonts w:cs="仿宋" w:asciiTheme="minorEastAsia" w:hAnsiTheme="minorEastAsia" w:eastAsiaTheme="minorEastAsia"/>
                <w:sz w:val="24"/>
                <w:highlight w:val="none"/>
              </w:rPr>
            </w:pPr>
          </w:p>
        </w:tc>
        <w:tc>
          <w:tcPr>
            <w:tcW w:w="2175" w:type="dxa"/>
            <w:vAlign w:val="center"/>
          </w:tcPr>
          <w:p>
            <w:pPr>
              <w:widowControl/>
              <w:spacing w:line="600" w:lineRule="exact"/>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vAlign w:val="center"/>
          </w:tcPr>
          <w:p>
            <w:pPr>
              <w:widowControl/>
              <w:spacing w:line="600" w:lineRule="exact"/>
              <w:jc w:val="center"/>
              <w:rPr>
                <w:rFonts w:cs="仿宋" w:asciiTheme="minorEastAsia" w:hAnsiTheme="minorEastAsia" w:eastAsiaTheme="minorEastAsia"/>
                <w:sz w:val="24"/>
                <w:highlight w:val="none"/>
              </w:rPr>
            </w:pPr>
          </w:p>
        </w:tc>
        <w:tc>
          <w:tcPr>
            <w:tcW w:w="2809" w:type="dxa"/>
            <w:vAlign w:val="center"/>
          </w:tcPr>
          <w:p>
            <w:pPr>
              <w:widowControl/>
              <w:spacing w:line="600" w:lineRule="exact"/>
              <w:jc w:val="center"/>
              <w:rPr>
                <w:rFonts w:cs="仿宋" w:asciiTheme="minorEastAsia" w:hAnsiTheme="minorEastAsia" w:eastAsiaTheme="minorEastAsia"/>
                <w:sz w:val="24"/>
                <w:highlight w:val="none"/>
              </w:rPr>
            </w:pPr>
          </w:p>
        </w:tc>
        <w:tc>
          <w:tcPr>
            <w:tcW w:w="2656" w:type="dxa"/>
            <w:vAlign w:val="center"/>
          </w:tcPr>
          <w:p>
            <w:pPr>
              <w:widowControl/>
              <w:spacing w:line="600" w:lineRule="exact"/>
              <w:jc w:val="center"/>
              <w:rPr>
                <w:rFonts w:cs="仿宋" w:asciiTheme="minorEastAsia" w:hAnsiTheme="minorEastAsia" w:eastAsiaTheme="minorEastAsia"/>
                <w:sz w:val="24"/>
                <w:highlight w:val="none"/>
              </w:rPr>
            </w:pPr>
          </w:p>
        </w:tc>
        <w:tc>
          <w:tcPr>
            <w:tcW w:w="2175" w:type="dxa"/>
            <w:vAlign w:val="center"/>
          </w:tcPr>
          <w:p>
            <w:pPr>
              <w:widowControl/>
              <w:spacing w:line="600" w:lineRule="exact"/>
              <w:jc w:val="center"/>
              <w:rPr>
                <w:rFonts w:cs="仿宋" w:asciiTheme="minorEastAsia" w:hAnsiTheme="minorEastAsia" w:eastAsiaTheme="minorEastAsia"/>
                <w:sz w:val="24"/>
                <w:highlight w:val="none"/>
              </w:rPr>
            </w:pPr>
          </w:p>
        </w:tc>
      </w:tr>
    </w:tbl>
    <w:p>
      <w:pPr>
        <w:spacing w:line="600" w:lineRule="exact"/>
        <w:ind w:left="0" w:leftChars="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spacing w:line="240" w:lineRule="auto"/>
        <w:ind w:left="0"/>
        <w:jc w:val="left"/>
        <w:rPr>
          <w:rFonts w:hint="eastAsia" w:ascii="黑体" w:hAnsi="黑体" w:eastAsia="黑体" w:cs="仿宋"/>
          <w:color w:val="FF0000"/>
          <w:sz w:val="36"/>
          <w:szCs w:val="36"/>
          <w:highlight w:val="none"/>
        </w:rPr>
      </w:pPr>
      <w:r>
        <w:rPr>
          <w:rFonts w:hint="eastAsia" w:ascii="黑体" w:hAnsi="黑体" w:eastAsia="黑体" w:cs="仿宋"/>
          <w:sz w:val="36"/>
          <w:szCs w:val="36"/>
          <w:highlight w:val="none"/>
        </w:rPr>
        <w:br w:type="page"/>
      </w:r>
    </w:p>
    <w:p>
      <w:pPr>
        <w:spacing w:line="600" w:lineRule="exact"/>
        <w:ind w:left="420"/>
        <w:jc w:val="center"/>
        <w:outlineLvl w:val="0"/>
        <w:rPr>
          <w:rFonts w:ascii="黑体" w:hAnsi="黑体" w:eastAsia="黑体" w:cs="仿宋"/>
          <w:sz w:val="36"/>
          <w:szCs w:val="36"/>
          <w:highlight w:val="none"/>
        </w:rPr>
      </w:pPr>
      <w:bookmarkStart w:id="48" w:name="_Toc22774"/>
      <w:r>
        <w:rPr>
          <w:rFonts w:hint="eastAsia" w:ascii="黑体" w:hAnsi="黑体" w:eastAsia="黑体" w:cs="仿宋"/>
          <w:color w:val="auto"/>
          <w:sz w:val="36"/>
          <w:szCs w:val="36"/>
          <w:highlight w:val="none"/>
          <w:lang w:eastAsia="zh-CN"/>
        </w:rPr>
        <w:t>四</w:t>
      </w:r>
      <w:r>
        <w:rPr>
          <w:rFonts w:hint="eastAsia" w:ascii="黑体" w:hAnsi="黑体" w:eastAsia="黑体" w:cs="仿宋"/>
          <w:color w:val="auto"/>
          <w:sz w:val="36"/>
          <w:szCs w:val="36"/>
          <w:highlight w:val="none"/>
        </w:rPr>
        <w:t>、报价</w:t>
      </w:r>
      <w:r>
        <w:rPr>
          <w:rFonts w:hint="eastAsia" w:ascii="黑体" w:hAnsi="黑体" w:eastAsia="黑体" w:cs="仿宋"/>
          <w:sz w:val="36"/>
          <w:szCs w:val="36"/>
          <w:highlight w:val="none"/>
        </w:rPr>
        <w:t>表</w:t>
      </w:r>
      <w:bookmarkEnd w:id="48"/>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1.报价表说明</w:t>
      </w:r>
    </w:p>
    <w:p>
      <w:pPr>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2.报价表</w:t>
      </w:r>
    </w:p>
    <w:tbl>
      <w:tblPr>
        <w:tblStyle w:val="39"/>
        <w:tblW w:w="9073"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02"/>
        <w:gridCol w:w="1769"/>
        <w:gridCol w:w="633"/>
        <w:gridCol w:w="744"/>
        <w:gridCol w:w="803"/>
        <w:gridCol w:w="1170"/>
        <w:gridCol w:w="117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53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302"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产品</w:t>
            </w:r>
          </w:p>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名称</w:t>
            </w:r>
          </w:p>
        </w:tc>
        <w:tc>
          <w:tcPr>
            <w:tcW w:w="1769"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规格</w:t>
            </w:r>
          </w:p>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型号</w:t>
            </w:r>
          </w:p>
        </w:tc>
        <w:tc>
          <w:tcPr>
            <w:tcW w:w="633"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单位</w:t>
            </w:r>
          </w:p>
        </w:tc>
        <w:tc>
          <w:tcPr>
            <w:tcW w:w="744"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数量</w:t>
            </w:r>
          </w:p>
        </w:tc>
        <w:tc>
          <w:tcPr>
            <w:tcW w:w="803" w:type="dxa"/>
            <w:vAlign w:val="center"/>
          </w:tcPr>
          <w:p>
            <w:pPr>
              <w:widowControl/>
              <w:spacing w:line="288" w:lineRule="auto"/>
              <w:jc w:val="cente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税</w:t>
            </w:r>
            <w:r>
              <w:rPr>
                <w:rFonts w:hint="eastAsia" w:cs="仿宋" w:asciiTheme="minorEastAsia" w:hAnsiTheme="minorEastAsia" w:eastAsiaTheme="minorEastAsia"/>
                <w:sz w:val="24"/>
                <w:highlight w:val="none"/>
                <w:lang w:eastAsia="zh-CN"/>
              </w:rPr>
              <w:t>率</w:t>
            </w:r>
          </w:p>
        </w:tc>
        <w:tc>
          <w:tcPr>
            <w:tcW w:w="1170" w:type="dxa"/>
            <w:vAlign w:val="center"/>
          </w:tcPr>
          <w:p>
            <w:pPr>
              <w:widowControl/>
              <w:spacing w:line="288" w:lineRule="auto"/>
              <w:jc w:val="cente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单价</w:t>
            </w:r>
          </w:p>
          <w:p>
            <w:pPr>
              <w:widowControl/>
              <w:spacing w:line="288" w:lineRule="auto"/>
              <w:jc w:val="cente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（元）</w:t>
            </w:r>
          </w:p>
          <w:p>
            <w:pPr>
              <w:widowControl/>
              <w:spacing w:line="288" w:lineRule="auto"/>
              <w:jc w:val="center"/>
              <w:rPr>
                <w:rFonts w:cs="仿宋" w:asciiTheme="minorEastAsia" w:hAnsiTheme="minorEastAsia" w:eastAsiaTheme="minorEastAsia"/>
                <w:sz w:val="24"/>
                <w:highlight w:val="none"/>
              </w:rPr>
            </w:pPr>
          </w:p>
        </w:tc>
        <w:tc>
          <w:tcPr>
            <w:tcW w:w="1170"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合价</w:t>
            </w:r>
          </w:p>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（元）</w:t>
            </w:r>
          </w:p>
          <w:p>
            <w:pPr>
              <w:widowControl/>
              <w:spacing w:line="288" w:lineRule="auto"/>
              <w:jc w:val="center"/>
              <w:rPr>
                <w:rFonts w:cs="仿宋" w:asciiTheme="minorEastAsia" w:hAnsiTheme="minorEastAsia" w:eastAsiaTheme="minorEastAsia"/>
                <w:sz w:val="24"/>
                <w:highlight w:val="none"/>
              </w:rPr>
            </w:pPr>
          </w:p>
        </w:tc>
        <w:tc>
          <w:tcPr>
            <w:tcW w:w="951" w:type="dxa"/>
            <w:vAlign w:val="center"/>
          </w:tcPr>
          <w:p>
            <w:pPr>
              <w:widowControl/>
              <w:spacing w:line="288" w:lineRule="auto"/>
              <w:jc w:val="cente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531"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p>
        </w:tc>
        <w:tc>
          <w:tcPr>
            <w:tcW w:w="1302" w:type="dxa"/>
            <w:vAlign w:val="center"/>
          </w:tcPr>
          <w:p>
            <w:pPr>
              <w:widowControl/>
              <w:spacing w:line="600" w:lineRule="exact"/>
              <w:jc w:val="center"/>
              <w:rPr>
                <w:rFonts w:hint="eastAsia" w:cs="仿宋" w:asciiTheme="minorEastAsia" w:hAnsiTheme="minorEastAsia" w:eastAsiaTheme="minorEastAsia"/>
                <w:sz w:val="24"/>
                <w:highlight w:val="none"/>
                <w:lang w:eastAsia="zh-CN"/>
              </w:rPr>
            </w:pPr>
          </w:p>
        </w:tc>
        <w:tc>
          <w:tcPr>
            <w:tcW w:w="1769" w:type="dxa"/>
            <w:vAlign w:val="center"/>
          </w:tcPr>
          <w:p>
            <w:pPr>
              <w:widowControl/>
              <w:spacing w:line="600" w:lineRule="exact"/>
              <w:jc w:val="center"/>
              <w:rPr>
                <w:rFonts w:cs="仿宋" w:asciiTheme="minorEastAsia" w:hAnsiTheme="minorEastAsia" w:eastAsiaTheme="minorEastAsia"/>
                <w:sz w:val="24"/>
                <w:highlight w:val="none"/>
              </w:rPr>
            </w:pPr>
          </w:p>
        </w:tc>
        <w:tc>
          <w:tcPr>
            <w:tcW w:w="633" w:type="dxa"/>
            <w:vAlign w:val="center"/>
          </w:tcPr>
          <w:p>
            <w:pPr>
              <w:widowControl/>
              <w:spacing w:line="600" w:lineRule="exact"/>
              <w:jc w:val="center"/>
              <w:rPr>
                <w:rFonts w:hint="eastAsia" w:cs="仿宋" w:asciiTheme="minorEastAsia" w:hAnsiTheme="minorEastAsia" w:eastAsiaTheme="minorEastAsia"/>
                <w:sz w:val="24"/>
                <w:highlight w:val="none"/>
                <w:lang w:eastAsia="zh-CN"/>
              </w:rPr>
            </w:pPr>
          </w:p>
        </w:tc>
        <w:tc>
          <w:tcPr>
            <w:tcW w:w="744" w:type="dxa"/>
            <w:vAlign w:val="center"/>
          </w:tcPr>
          <w:p>
            <w:pPr>
              <w:widowControl/>
              <w:spacing w:line="600" w:lineRule="exact"/>
              <w:jc w:val="center"/>
              <w:rPr>
                <w:rFonts w:hint="eastAsia" w:cs="仿宋" w:asciiTheme="minorEastAsia" w:hAnsiTheme="minorEastAsia" w:eastAsiaTheme="minorEastAsia"/>
                <w:sz w:val="24"/>
                <w:highlight w:val="none"/>
                <w:lang w:val="en-US" w:eastAsia="zh-CN"/>
              </w:rPr>
            </w:pPr>
          </w:p>
        </w:tc>
        <w:tc>
          <w:tcPr>
            <w:tcW w:w="803" w:type="dxa"/>
            <w:vAlign w:val="center"/>
          </w:tcPr>
          <w:p>
            <w:pPr>
              <w:widowControl/>
              <w:spacing w:line="288" w:lineRule="auto"/>
              <w:jc w:val="center"/>
              <w:rPr>
                <w:rFonts w:cs="仿宋" w:asciiTheme="minorEastAsia" w:hAnsiTheme="minorEastAsia" w:eastAsiaTheme="minorEastAsia"/>
                <w:sz w:val="24"/>
                <w:highlight w:val="none"/>
              </w:rPr>
            </w:pPr>
          </w:p>
        </w:tc>
        <w:tc>
          <w:tcPr>
            <w:tcW w:w="1170" w:type="dxa"/>
            <w:vAlign w:val="center"/>
          </w:tcPr>
          <w:p>
            <w:pPr>
              <w:widowControl/>
              <w:spacing w:line="288" w:lineRule="auto"/>
              <w:jc w:val="center"/>
              <w:rPr>
                <w:rFonts w:cs="仿宋" w:asciiTheme="minorEastAsia" w:hAnsiTheme="minorEastAsia" w:eastAsiaTheme="minorEastAsia"/>
                <w:sz w:val="24"/>
                <w:highlight w:val="none"/>
              </w:rPr>
            </w:pPr>
          </w:p>
        </w:tc>
        <w:tc>
          <w:tcPr>
            <w:tcW w:w="1170" w:type="dxa"/>
            <w:vAlign w:val="center"/>
          </w:tcPr>
          <w:p>
            <w:pPr>
              <w:widowControl/>
              <w:spacing w:line="288" w:lineRule="auto"/>
              <w:jc w:val="center"/>
              <w:rPr>
                <w:rFonts w:cs="仿宋" w:asciiTheme="minorEastAsia" w:hAnsiTheme="minorEastAsia" w:eastAsiaTheme="minorEastAsia"/>
                <w:sz w:val="24"/>
                <w:highlight w:val="none"/>
              </w:rPr>
            </w:pPr>
          </w:p>
        </w:tc>
        <w:tc>
          <w:tcPr>
            <w:tcW w:w="951"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782" w:type="dxa"/>
            <w:gridSpan w:val="6"/>
            <w:vAlign w:val="center"/>
          </w:tcPr>
          <w:p>
            <w:pPr>
              <w:widowControl/>
              <w:spacing w:line="600" w:lineRule="exact"/>
              <w:jc w:val="cente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合计报价</w:t>
            </w:r>
            <w:r>
              <w:rPr>
                <w:rFonts w:hint="eastAsia" w:cs="仿宋" w:asciiTheme="minorEastAsia" w:hAnsiTheme="minorEastAsia" w:eastAsiaTheme="minorEastAsia"/>
                <w:sz w:val="24"/>
                <w:highlight w:val="none"/>
                <w:lang w:eastAsia="zh-CN"/>
              </w:rPr>
              <w:t>（元）</w:t>
            </w:r>
          </w:p>
        </w:tc>
        <w:tc>
          <w:tcPr>
            <w:tcW w:w="3291" w:type="dxa"/>
            <w:gridSpan w:val="3"/>
            <w:vAlign w:val="center"/>
          </w:tcPr>
          <w:p>
            <w:pPr>
              <w:widowControl/>
              <w:spacing w:line="600" w:lineRule="exact"/>
              <w:jc w:val="center"/>
              <w:rPr>
                <w:rFonts w:hint="eastAsia" w:cs="仿宋" w:asciiTheme="minorEastAsia" w:hAnsiTheme="minorEastAsia" w:eastAsiaTheme="minorEastAsia"/>
                <w:sz w:val="24"/>
                <w:highlight w:val="none"/>
              </w:rPr>
            </w:pPr>
          </w:p>
        </w:tc>
      </w:tr>
    </w:tbl>
    <w:p>
      <w:pPr>
        <w:spacing w:line="600" w:lineRule="exact"/>
        <w:ind w:left="0" w:leftChars="0"/>
        <w:jc w:val="both"/>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注：</w:t>
      </w:r>
      <w:r>
        <w:rPr>
          <w:rFonts w:hint="eastAsia" w:cs="仿宋" w:asciiTheme="minorEastAsia" w:hAnsiTheme="minorEastAsia" w:eastAsiaTheme="minorEastAsia"/>
          <w:sz w:val="24"/>
          <w:highlight w:val="none"/>
          <w:lang w:val="en-US" w:eastAsia="zh-CN"/>
        </w:rPr>
        <w:t>1、</w:t>
      </w:r>
      <w:r>
        <w:rPr>
          <w:rFonts w:hint="eastAsia" w:cs="仿宋" w:asciiTheme="minorEastAsia" w:hAnsiTheme="minorEastAsia" w:eastAsiaTheme="minorEastAsia"/>
          <w:sz w:val="24"/>
          <w:highlight w:val="none"/>
          <w:lang w:eastAsia="zh-CN"/>
        </w:rPr>
        <w:t>本页需加盖公章。</w:t>
      </w:r>
    </w:p>
    <w:p>
      <w:pPr>
        <w:spacing w:line="600" w:lineRule="exact"/>
        <w:ind w:left="0" w:leftChars="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2、</w:t>
      </w:r>
      <w:r>
        <w:rPr>
          <w:rFonts w:hint="eastAsia" w:cs="仿宋" w:asciiTheme="minorEastAsia" w:hAnsiTheme="minorEastAsia" w:eastAsiaTheme="minorEastAsia"/>
          <w:sz w:val="24"/>
          <w:highlight w:val="none"/>
        </w:rPr>
        <w:t>有抵税需求的采购项目，按照附录原则比价，采购人应在采购文件中注明。</w:t>
      </w:r>
    </w:p>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0"/>
        <w:rPr>
          <w:rFonts w:ascii="黑体" w:hAnsi="黑体" w:eastAsia="黑体" w:cs="仿宋"/>
          <w:sz w:val="36"/>
          <w:szCs w:val="36"/>
          <w:highlight w:val="none"/>
        </w:rPr>
      </w:pPr>
      <w:bookmarkStart w:id="49" w:name="_Toc22232"/>
      <w:r>
        <w:rPr>
          <w:rFonts w:hint="eastAsia" w:ascii="黑体" w:hAnsi="黑体" w:eastAsia="黑体" w:cs="仿宋"/>
          <w:sz w:val="36"/>
          <w:szCs w:val="36"/>
          <w:highlight w:val="none"/>
          <w:lang w:eastAsia="zh-CN"/>
        </w:rPr>
        <w:t>五</w:t>
      </w:r>
      <w:r>
        <w:rPr>
          <w:rFonts w:hint="eastAsia" w:ascii="黑体" w:hAnsi="黑体" w:eastAsia="黑体" w:cs="仿宋"/>
          <w:sz w:val="36"/>
          <w:szCs w:val="36"/>
          <w:highlight w:val="none"/>
        </w:rPr>
        <w:t>、资格审查资料</w:t>
      </w:r>
      <w:bookmarkEnd w:id="49"/>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（二）近年财务状况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供应商应根据供应商须知前附表第3.5（3）项的要求提供近年财务会计报表复印件。</w:t>
      </w:r>
    </w:p>
    <w:p>
      <w:pPr>
        <w:spacing w:line="600" w:lineRule="exact"/>
        <w:jc w:val="both"/>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（三）近年的类似项目情况表</w:t>
      </w:r>
      <w:r>
        <w:rPr>
          <w:rFonts w:hint="eastAsia" w:cs="仿宋" w:asciiTheme="minorEastAsia" w:hAnsiTheme="minorEastAsia" w:eastAsiaTheme="minorEastAsia"/>
          <w:sz w:val="24"/>
          <w:highlight w:val="none"/>
          <w:lang w:eastAsia="zh-CN"/>
        </w:rPr>
        <w:t>（至少提供</w:t>
      </w:r>
      <w:r>
        <w:rPr>
          <w:rFonts w:hint="eastAsia" w:cs="仿宋" w:asciiTheme="minorEastAsia" w:hAnsiTheme="minorEastAsia" w:eastAsiaTheme="minorEastAsia"/>
          <w:sz w:val="24"/>
          <w:highlight w:val="none"/>
          <w:lang w:val="en-US" w:eastAsia="zh-CN"/>
        </w:rPr>
        <w:t>1个</w:t>
      </w:r>
      <w:r>
        <w:rPr>
          <w:rFonts w:hint="eastAsia" w:cs="仿宋" w:asciiTheme="minorEastAsia" w:hAnsiTheme="minorEastAsia" w:eastAsiaTheme="minorEastAsia"/>
          <w:sz w:val="24"/>
          <w:highlight w:val="none"/>
          <w:lang w:eastAsia="zh-CN"/>
        </w:rPr>
        <w:t>）</w:t>
      </w:r>
    </w:p>
    <w:tbl>
      <w:tblPr>
        <w:tblStyle w:val="39"/>
        <w:tblW w:w="8866"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货物名称</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规格和型号</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买方名称</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买方联系人及电话</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5605" w:type="dxa"/>
            <w:vAlign w:val="center"/>
          </w:tcPr>
          <w:p>
            <w:pPr>
              <w:widowControl/>
              <w:spacing w:line="288" w:lineRule="auto"/>
              <w:jc w:val="center"/>
              <w:rPr>
                <w:rFonts w:cs="仿宋" w:asciiTheme="minorEastAsia" w:hAnsiTheme="minorEastAsia" w:eastAsiaTheme="minorEastAsia"/>
                <w:sz w:val="24"/>
                <w:highlight w:val="none"/>
              </w:rPr>
            </w:pPr>
          </w:p>
        </w:tc>
      </w:tr>
    </w:tbl>
    <w:p>
      <w:pPr>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spacing w:line="600" w:lineRule="exact"/>
        <w:jc w:val="both"/>
        <w:rPr>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outlineLvl w:val="0"/>
        <w:rPr>
          <w:rFonts w:ascii="黑体" w:hAnsi="黑体" w:eastAsia="黑体" w:cs="仿宋"/>
          <w:sz w:val="36"/>
          <w:szCs w:val="36"/>
          <w:highlight w:val="none"/>
        </w:rPr>
      </w:pPr>
      <w:bookmarkStart w:id="50" w:name="_Toc31152"/>
      <w:r>
        <w:rPr>
          <w:rFonts w:hint="eastAsia" w:ascii="黑体" w:hAnsi="黑体" w:eastAsia="黑体" w:cs="仿宋"/>
          <w:sz w:val="36"/>
          <w:szCs w:val="36"/>
          <w:highlight w:val="none"/>
          <w:lang w:eastAsia="zh-CN"/>
        </w:rPr>
        <w:t>六</w:t>
      </w:r>
      <w:r>
        <w:rPr>
          <w:rFonts w:hint="eastAsia" w:ascii="黑体" w:hAnsi="黑体" w:eastAsia="黑体" w:cs="仿宋"/>
          <w:sz w:val="36"/>
          <w:szCs w:val="36"/>
          <w:highlight w:val="none"/>
        </w:rPr>
        <w:t>、响应方案</w:t>
      </w:r>
      <w:bookmarkEnd w:id="50"/>
    </w:p>
    <w:p>
      <w:pPr>
        <w:pStyle w:val="2"/>
        <w:rPr>
          <w:highlight w:val="none"/>
        </w:rPr>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（注：主要材料和关键部件有外购的，应在此部分详细说明外购的主要材料和关键部件名称、型号规格或主要技术性能参数、制造商名称、制造商地址等信息。</w:t>
      </w:r>
      <w:r>
        <w:rPr>
          <w:rFonts w:hint="eastAsia" w:cs="仿宋" w:asciiTheme="minorEastAsia" w:hAnsiTheme="minorEastAsia" w:eastAsiaTheme="minorEastAsia"/>
          <w:sz w:val="24"/>
          <w:highlight w:val="none"/>
          <w:lang w:eastAsia="zh-CN"/>
        </w:rPr>
        <w:t>可结合第三章“评审办法”和第五章“供货需求”中的要求进行响应</w:t>
      </w:r>
      <w:r>
        <w:rPr>
          <w:rFonts w:hint="eastAsia" w:cs="仿宋" w:asciiTheme="minorEastAsia" w:hAnsiTheme="minorEastAsia" w:eastAsiaTheme="minorEastAsia"/>
          <w:sz w:val="24"/>
          <w:highlight w:val="none"/>
        </w:rPr>
        <w:t>）</w:t>
      </w:r>
    </w:p>
    <w:p>
      <w:pPr>
        <w:numPr>
          <w:ilvl w:val="0"/>
          <w:numId w:val="4"/>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（可结合第三章“评审办法”和第五章“供货需求”中的要求进行响应）</w:t>
      </w:r>
    </w:p>
    <w:p>
      <w:pPr>
        <w:numPr>
          <w:ilvl w:val="0"/>
          <w:numId w:val="4"/>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（可结合第三章“评审办法”和第五章“供货需求”中的要求进行响应）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bookmarkStart w:id="51" w:name="_Toc5214"/>
      <w:r>
        <w:rPr>
          <w:rFonts w:hint="eastAsia" w:ascii="黑体" w:hAnsi="黑体" w:eastAsia="黑体" w:cs="仿宋"/>
          <w:sz w:val="36"/>
          <w:szCs w:val="36"/>
          <w:highlight w:val="none"/>
          <w:lang w:eastAsia="zh-CN"/>
        </w:rPr>
        <w:br w:type="page"/>
      </w:r>
    </w:p>
    <w:p>
      <w:pPr>
        <w:adjustRightInd w:val="0"/>
        <w:snapToGrid w:val="0"/>
        <w:spacing w:line="600" w:lineRule="exact"/>
        <w:jc w:val="center"/>
        <w:outlineLvl w:val="0"/>
        <w:rPr>
          <w:rFonts w:ascii="黑体" w:hAnsi="黑体" w:eastAsia="黑体" w:cs="仿宋"/>
          <w:sz w:val="36"/>
          <w:szCs w:val="36"/>
          <w:highlight w:val="none"/>
        </w:rPr>
      </w:pPr>
      <w:r>
        <w:rPr>
          <w:rFonts w:hint="eastAsia" w:ascii="黑体" w:hAnsi="黑体" w:eastAsia="黑体" w:cs="仿宋"/>
          <w:sz w:val="36"/>
          <w:szCs w:val="36"/>
          <w:highlight w:val="none"/>
          <w:lang w:eastAsia="zh-CN"/>
        </w:rPr>
        <w:t>七</w:t>
      </w:r>
      <w:r>
        <w:rPr>
          <w:rFonts w:hint="eastAsia" w:ascii="黑体" w:hAnsi="黑体" w:eastAsia="黑体" w:cs="仿宋"/>
          <w:sz w:val="36"/>
          <w:szCs w:val="36"/>
          <w:highlight w:val="none"/>
        </w:rPr>
        <w:t>、其他资料</w:t>
      </w:r>
      <w:bookmarkEnd w:id="51"/>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spacing w:line="240" w:lineRule="auto"/>
        <w:jc w:val="both"/>
        <w:rPr>
          <w:highlight w:val="none"/>
        </w:rPr>
      </w:pPr>
    </w:p>
    <w:sectPr>
      <w:footerReference r:id="rId7" w:type="default"/>
      <w:pgSz w:w="11906" w:h="16838"/>
      <w:pgMar w:top="1440" w:right="1800" w:bottom="1440" w:left="180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tabs>
                              <w:tab w:val="center" w:pos="4153"/>
                              <w:tab w:val="right" w:pos="8306"/>
                            </w:tabs>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tabs>
                        <w:tab w:val="center" w:pos="4153"/>
                        <w:tab w:val="right" w:pos="8306"/>
                      </w:tabs>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8"/>
        <w:suppressLineNumbers/>
        <w:ind w:left="0" w:firstLine="0"/>
        <w:rPr>
          <w:color w:val="auto"/>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highlight w:val="none"/>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ZTIxNzAxNjQyOTkxN2U1NmM2YWZkODNhNTExYWM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77A4"/>
    <w:rsid w:val="001B2C90"/>
    <w:rsid w:val="001B336A"/>
    <w:rsid w:val="001D03F9"/>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283"/>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74225"/>
    <w:rsid w:val="00A81F80"/>
    <w:rsid w:val="00A828F1"/>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5107B6"/>
    <w:rsid w:val="01553922"/>
    <w:rsid w:val="01AC7279"/>
    <w:rsid w:val="01BA37EB"/>
    <w:rsid w:val="020B5B51"/>
    <w:rsid w:val="022003B8"/>
    <w:rsid w:val="02322291"/>
    <w:rsid w:val="024E1E15"/>
    <w:rsid w:val="02A81EED"/>
    <w:rsid w:val="03797287"/>
    <w:rsid w:val="03980E10"/>
    <w:rsid w:val="03E11420"/>
    <w:rsid w:val="04063B90"/>
    <w:rsid w:val="040F4F9C"/>
    <w:rsid w:val="04292817"/>
    <w:rsid w:val="046E6139"/>
    <w:rsid w:val="04850B44"/>
    <w:rsid w:val="0506170D"/>
    <w:rsid w:val="051C04D1"/>
    <w:rsid w:val="0558793A"/>
    <w:rsid w:val="05725EBF"/>
    <w:rsid w:val="05A6798C"/>
    <w:rsid w:val="05D05281"/>
    <w:rsid w:val="05DA407F"/>
    <w:rsid w:val="05EF1FFE"/>
    <w:rsid w:val="067C2282"/>
    <w:rsid w:val="06942AAA"/>
    <w:rsid w:val="069A68F4"/>
    <w:rsid w:val="06B22DB6"/>
    <w:rsid w:val="06C76C7A"/>
    <w:rsid w:val="071012E4"/>
    <w:rsid w:val="071C2DD7"/>
    <w:rsid w:val="074E6B20"/>
    <w:rsid w:val="07E259C2"/>
    <w:rsid w:val="07E41516"/>
    <w:rsid w:val="0850039D"/>
    <w:rsid w:val="086C51A8"/>
    <w:rsid w:val="091E6E43"/>
    <w:rsid w:val="09AA5530"/>
    <w:rsid w:val="09C6304D"/>
    <w:rsid w:val="09F425C7"/>
    <w:rsid w:val="0A770FAA"/>
    <w:rsid w:val="0AED2D32"/>
    <w:rsid w:val="0B0D6829"/>
    <w:rsid w:val="0B617B3C"/>
    <w:rsid w:val="0BA62B86"/>
    <w:rsid w:val="0BDD0694"/>
    <w:rsid w:val="0BE149C2"/>
    <w:rsid w:val="0BEB03C0"/>
    <w:rsid w:val="0BFF0C6A"/>
    <w:rsid w:val="0C0E7438"/>
    <w:rsid w:val="0C2E76A5"/>
    <w:rsid w:val="0C905B62"/>
    <w:rsid w:val="0C9D51A9"/>
    <w:rsid w:val="0CB0748B"/>
    <w:rsid w:val="0CD30A08"/>
    <w:rsid w:val="0CEC4A6F"/>
    <w:rsid w:val="0D0429D6"/>
    <w:rsid w:val="0D363F33"/>
    <w:rsid w:val="0D6D12C3"/>
    <w:rsid w:val="0D7002CE"/>
    <w:rsid w:val="0D9A0A18"/>
    <w:rsid w:val="0DB551AF"/>
    <w:rsid w:val="0DB759FC"/>
    <w:rsid w:val="0DBA62E5"/>
    <w:rsid w:val="0E78077B"/>
    <w:rsid w:val="0E891CDE"/>
    <w:rsid w:val="0FB642EF"/>
    <w:rsid w:val="107460DE"/>
    <w:rsid w:val="109436E3"/>
    <w:rsid w:val="11153001"/>
    <w:rsid w:val="111D59EE"/>
    <w:rsid w:val="119E5E08"/>
    <w:rsid w:val="127D63F6"/>
    <w:rsid w:val="12AA7577"/>
    <w:rsid w:val="130B3558"/>
    <w:rsid w:val="132B6CCC"/>
    <w:rsid w:val="135D6727"/>
    <w:rsid w:val="13873911"/>
    <w:rsid w:val="13E91557"/>
    <w:rsid w:val="140D42EE"/>
    <w:rsid w:val="14674E98"/>
    <w:rsid w:val="1467696B"/>
    <w:rsid w:val="14792502"/>
    <w:rsid w:val="14887A48"/>
    <w:rsid w:val="14931A8C"/>
    <w:rsid w:val="14BB1F70"/>
    <w:rsid w:val="14E876C0"/>
    <w:rsid w:val="15037690"/>
    <w:rsid w:val="16226AB7"/>
    <w:rsid w:val="16314BAD"/>
    <w:rsid w:val="16887ED2"/>
    <w:rsid w:val="168B0D18"/>
    <w:rsid w:val="16914FDA"/>
    <w:rsid w:val="169A677B"/>
    <w:rsid w:val="16BB6B96"/>
    <w:rsid w:val="16FE2D4C"/>
    <w:rsid w:val="172976C5"/>
    <w:rsid w:val="17594306"/>
    <w:rsid w:val="17B514CE"/>
    <w:rsid w:val="17D539F2"/>
    <w:rsid w:val="17E6435E"/>
    <w:rsid w:val="18337877"/>
    <w:rsid w:val="18357105"/>
    <w:rsid w:val="183D7650"/>
    <w:rsid w:val="185356B4"/>
    <w:rsid w:val="18862EA8"/>
    <w:rsid w:val="18C25071"/>
    <w:rsid w:val="18C82ECF"/>
    <w:rsid w:val="19097045"/>
    <w:rsid w:val="190A1B25"/>
    <w:rsid w:val="19501C9A"/>
    <w:rsid w:val="19D62055"/>
    <w:rsid w:val="1A416FBC"/>
    <w:rsid w:val="1A4762B7"/>
    <w:rsid w:val="1A5F0C30"/>
    <w:rsid w:val="1A603A3D"/>
    <w:rsid w:val="1A740B6A"/>
    <w:rsid w:val="1B410951"/>
    <w:rsid w:val="1B7E560D"/>
    <w:rsid w:val="1C44694B"/>
    <w:rsid w:val="1C5642F5"/>
    <w:rsid w:val="1C836B36"/>
    <w:rsid w:val="1DC54E4A"/>
    <w:rsid w:val="1DD95805"/>
    <w:rsid w:val="1DE278AD"/>
    <w:rsid w:val="1E1329CF"/>
    <w:rsid w:val="1E1A64B4"/>
    <w:rsid w:val="1E1F3B60"/>
    <w:rsid w:val="1E403142"/>
    <w:rsid w:val="1E87379D"/>
    <w:rsid w:val="1E97356A"/>
    <w:rsid w:val="1F2E0BFF"/>
    <w:rsid w:val="1F34385C"/>
    <w:rsid w:val="1F655106"/>
    <w:rsid w:val="1F6C3BF2"/>
    <w:rsid w:val="1FA529D6"/>
    <w:rsid w:val="1FBA0AEA"/>
    <w:rsid w:val="1FBF76D7"/>
    <w:rsid w:val="1FC82DFF"/>
    <w:rsid w:val="1FC90591"/>
    <w:rsid w:val="20990A8B"/>
    <w:rsid w:val="20CA201A"/>
    <w:rsid w:val="212E078A"/>
    <w:rsid w:val="21F90DD2"/>
    <w:rsid w:val="226E5DE0"/>
    <w:rsid w:val="22E43B90"/>
    <w:rsid w:val="230230BC"/>
    <w:rsid w:val="234543CD"/>
    <w:rsid w:val="23DD074B"/>
    <w:rsid w:val="24080534"/>
    <w:rsid w:val="24553D40"/>
    <w:rsid w:val="24645616"/>
    <w:rsid w:val="247A4058"/>
    <w:rsid w:val="24842EDC"/>
    <w:rsid w:val="24ED23CE"/>
    <w:rsid w:val="255502E5"/>
    <w:rsid w:val="25574DCE"/>
    <w:rsid w:val="25A80E90"/>
    <w:rsid w:val="260862A8"/>
    <w:rsid w:val="264E6DB9"/>
    <w:rsid w:val="264F3855"/>
    <w:rsid w:val="26A05072"/>
    <w:rsid w:val="271C144D"/>
    <w:rsid w:val="27C11B3C"/>
    <w:rsid w:val="2872440F"/>
    <w:rsid w:val="28807844"/>
    <w:rsid w:val="295760F8"/>
    <w:rsid w:val="29AF2158"/>
    <w:rsid w:val="29E52C48"/>
    <w:rsid w:val="2A1E0905"/>
    <w:rsid w:val="2A2E4796"/>
    <w:rsid w:val="2A4F3E17"/>
    <w:rsid w:val="2A7A2535"/>
    <w:rsid w:val="2A94140A"/>
    <w:rsid w:val="2AE20DED"/>
    <w:rsid w:val="2B204A27"/>
    <w:rsid w:val="2B297614"/>
    <w:rsid w:val="2BF10955"/>
    <w:rsid w:val="2C122978"/>
    <w:rsid w:val="2C1D328F"/>
    <w:rsid w:val="2C2302BB"/>
    <w:rsid w:val="2C553324"/>
    <w:rsid w:val="2C6615DF"/>
    <w:rsid w:val="2CA02C35"/>
    <w:rsid w:val="2CB16E87"/>
    <w:rsid w:val="2CE751CC"/>
    <w:rsid w:val="2CF60F41"/>
    <w:rsid w:val="2D4E4FC1"/>
    <w:rsid w:val="2D507AFC"/>
    <w:rsid w:val="2DA660A6"/>
    <w:rsid w:val="2DF611C9"/>
    <w:rsid w:val="2E2170F9"/>
    <w:rsid w:val="2E41641E"/>
    <w:rsid w:val="2E440F8F"/>
    <w:rsid w:val="2E5073D1"/>
    <w:rsid w:val="2E697039"/>
    <w:rsid w:val="2E937CE4"/>
    <w:rsid w:val="2E944985"/>
    <w:rsid w:val="2F485BEA"/>
    <w:rsid w:val="2FD26F55"/>
    <w:rsid w:val="30096558"/>
    <w:rsid w:val="30412803"/>
    <w:rsid w:val="305201A9"/>
    <w:rsid w:val="30DE2DAE"/>
    <w:rsid w:val="312A2458"/>
    <w:rsid w:val="317A6542"/>
    <w:rsid w:val="31B73FC1"/>
    <w:rsid w:val="321A7484"/>
    <w:rsid w:val="32517E19"/>
    <w:rsid w:val="32756EB2"/>
    <w:rsid w:val="328378A7"/>
    <w:rsid w:val="32985818"/>
    <w:rsid w:val="329F4483"/>
    <w:rsid w:val="32CD13D8"/>
    <w:rsid w:val="32D12295"/>
    <w:rsid w:val="32D46F77"/>
    <w:rsid w:val="330C2A93"/>
    <w:rsid w:val="333F27D7"/>
    <w:rsid w:val="335D1FE1"/>
    <w:rsid w:val="339248A7"/>
    <w:rsid w:val="33A07744"/>
    <w:rsid w:val="33B65E11"/>
    <w:rsid w:val="33B865E8"/>
    <w:rsid w:val="33C331D3"/>
    <w:rsid w:val="33E7797B"/>
    <w:rsid w:val="34644677"/>
    <w:rsid w:val="347E4E06"/>
    <w:rsid w:val="34874156"/>
    <w:rsid w:val="34961D84"/>
    <w:rsid w:val="35032B89"/>
    <w:rsid w:val="351E4EE1"/>
    <w:rsid w:val="352A01C9"/>
    <w:rsid w:val="355F4C75"/>
    <w:rsid w:val="35905F2B"/>
    <w:rsid w:val="35981787"/>
    <w:rsid w:val="35D22503"/>
    <w:rsid w:val="35E72F3B"/>
    <w:rsid w:val="362E5440"/>
    <w:rsid w:val="3637096F"/>
    <w:rsid w:val="36511F38"/>
    <w:rsid w:val="37785ECF"/>
    <w:rsid w:val="379B30ED"/>
    <w:rsid w:val="37E36BED"/>
    <w:rsid w:val="38486F59"/>
    <w:rsid w:val="38D540B9"/>
    <w:rsid w:val="39513600"/>
    <w:rsid w:val="3A1D6E40"/>
    <w:rsid w:val="3A1E0383"/>
    <w:rsid w:val="3A210788"/>
    <w:rsid w:val="3A5B3385"/>
    <w:rsid w:val="3A6F6091"/>
    <w:rsid w:val="3B2B40CB"/>
    <w:rsid w:val="3B495E65"/>
    <w:rsid w:val="3B4C7172"/>
    <w:rsid w:val="3B7A3CDF"/>
    <w:rsid w:val="3B7F300C"/>
    <w:rsid w:val="3BE03C40"/>
    <w:rsid w:val="3BFE0D0E"/>
    <w:rsid w:val="3C1E6B96"/>
    <w:rsid w:val="3C633E13"/>
    <w:rsid w:val="3C7A4561"/>
    <w:rsid w:val="3C806ECF"/>
    <w:rsid w:val="3CC60FDA"/>
    <w:rsid w:val="3CD2096C"/>
    <w:rsid w:val="3D5B2231"/>
    <w:rsid w:val="3DBA091D"/>
    <w:rsid w:val="3E3A22D1"/>
    <w:rsid w:val="3E535428"/>
    <w:rsid w:val="3EF06066"/>
    <w:rsid w:val="3EFC61A0"/>
    <w:rsid w:val="3F176741"/>
    <w:rsid w:val="3F3923EB"/>
    <w:rsid w:val="3F5C6702"/>
    <w:rsid w:val="3F981C15"/>
    <w:rsid w:val="3FB93C81"/>
    <w:rsid w:val="3FE5227A"/>
    <w:rsid w:val="400C0AB8"/>
    <w:rsid w:val="407D4E5F"/>
    <w:rsid w:val="408F367C"/>
    <w:rsid w:val="409F0754"/>
    <w:rsid w:val="41100B42"/>
    <w:rsid w:val="41401FAA"/>
    <w:rsid w:val="4185015E"/>
    <w:rsid w:val="425F07A9"/>
    <w:rsid w:val="42902722"/>
    <w:rsid w:val="42982E45"/>
    <w:rsid w:val="42DD62AF"/>
    <w:rsid w:val="43093AB2"/>
    <w:rsid w:val="43323323"/>
    <w:rsid w:val="43611BE9"/>
    <w:rsid w:val="43C529F5"/>
    <w:rsid w:val="43CB1AB8"/>
    <w:rsid w:val="443309C4"/>
    <w:rsid w:val="444D609D"/>
    <w:rsid w:val="446A4013"/>
    <w:rsid w:val="44991ED1"/>
    <w:rsid w:val="44D14A1F"/>
    <w:rsid w:val="4503099B"/>
    <w:rsid w:val="451A1B5E"/>
    <w:rsid w:val="452B429C"/>
    <w:rsid w:val="453D7EFA"/>
    <w:rsid w:val="45FA5FD9"/>
    <w:rsid w:val="462F5021"/>
    <w:rsid w:val="46480423"/>
    <w:rsid w:val="46B82BB3"/>
    <w:rsid w:val="46C44BD5"/>
    <w:rsid w:val="46FD0ED7"/>
    <w:rsid w:val="47173E6F"/>
    <w:rsid w:val="47A22F2A"/>
    <w:rsid w:val="47C259CB"/>
    <w:rsid w:val="47D44A52"/>
    <w:rsid w:val="47E7681C"/>
    <w:rsid w:val="480C3F11"/>
    <w:rsid w:val="48117779"/>
    <w:rsid w:val="48896D8C"/>
    <w:rsid w:val="48C145DA"/>
    <w:rsid w:val="492F4059"/>
    <w:rsid w:val="49E30CA1"/>
    <w:rsid w:val="49FD45C2"/>
    <w:rsid w:val="4A13461A"/>
    <w:rsid w:val="4A236C6F"/>
    <w:rsid w:val="4A621FC3"/>
    <w:rsid w:val="4A713F14"/>
    <w:rsid w:val="4B5D1DE1"/>
    <w:rsid w:val="4BB73BE9"/>
    <w:rsid w:val="4BEB2031"/>
    <w:rsid w:val="4CC335E8"/>
    <w:rsid w:val="4CCB5EE4"/>
    <w:rsid w:val="4CCF1A74"/>
    <w:rsid w:val="4CE85D4A"/>
    <w:rsid w:val="4D066995"/>
    <w:rsid w:val="4D3E16CF"/>
    <w:rsid w:val="4D6B74E0"/>
    <w:rsid w:val="4DE61D04"/>
    <w:rsid w:val="4DEE7323"/>
    <w:rsid w:val="4E5F0909"/>
    <w:rsid w:val="4E6200BB"/>
    <w:rsid w:val="4E766125"/>
    <w:rsid w:val="4EEB5288"/>
    <w:rsid w:val="4EFC0022"/>
    <w:rsid w:val="4F0973FC"/>
    <w:rsid w:val="4F1B4159"/>
    <w:rsid w:val="4F700335"/>
    <w:rsid w:val="4F751346"/>
    <w:rsid w:val="50203001"/>
    <w:rsid w:val="50B51B02"/>
    <w:rsid w:val="50E002FF"/>
    <w:rsid w:val="51121E6C"/>
    <w:rsid w:val="516B122E"/>
    <w:rsid w:val="52445835"/>
    <w:rsid w:val="524F7058"/>
    <w:rsid w:val="5364371A"/>
    <w:rsid w:val="53A80942"/>
    <w:rsid w:val="546A00CA"/>
    <w:rsid w:val="54C530D9"/>
    <w:rsid w:val="5504047D"/>
    <w:rsid w:val="55253301"/>
    <w:rsid w:val="552B0094"/>
    <w:rsid w:val="55674E7D"/>
    <w:rsid w:val="55C74889"/>
    <w:rsid w:val="55EC2063"/>
    <w:rsid w:val="5607739B"/>
    <w:rsid w:val="563C54D9"/>
    <w:rsid w:val="565A7935"/>
    <w:rsid w:val="565E6694"/>
    <w:rsid w:val="56820D5B"/>
    <w:rsid w:val="57096D7C"/>
    <w:rsid w:val="572C6388"/>
    <w:rsid w:val="578A7B28"/>
    <w:rsid w:val="57AD3C15"/>
    <w:rsid w:val="57EC15EF"/>
    <w:rsid w:val="58311149"/>
    <w:rsid w:val="5857411B"/>
    <w:rsid w:val="58607715"/>
    <w:rsid w:val="58A46E54"/>
    <w:rsid w:val="58BA71B3"/>
    <w:rsid w:val="58BF1D1B"/>
    <w:rsid w:val="59520AA5"/>
    <w:rsid w:val="59D42A0D"/>
    <w:rsid w:val="5A184106"/>
    <w:rsid w:val="5A3D0E18"/>
    <w:rsid w:val="5A540FE6"/>
    <w:rsid w:val="5B024CA5"/>
    <w:rsid w:val="5B57128E"/>
    <w:rsid w:val="5BA947F9"/>
    <w:rsid w:val="5C656174"/>
    <w:rsid w:val="5CC82931"/>
    <w:rsid w:val="5D2673CB"/>
    <w:rsid w:val="5D5A7726"/>
    <w:rsid w:val="5D740D4B"/>
    <w:rsid w:val="5D901B99"/>
    <w:rsid w:val="5D9424C4"/>
    <w:rsid w:val="5DBF187A"/>
    <w:rsid w:val="5DE0187C"/>
    <w:rsid w:val="5DE85A58"/>
    <w:rsid w:val="5E007081"/>
    <w:rsid w:val="5EBE60D6"/>
    <w:rsid w:val="5F5A15AE"/>
    <w:rsid w:val="5F5B209A"/>
    <w:rsid w:val="5FA0715F"/>
    <w:rsid w:val="5FAB6FD5"/>
    <w:rsid w:val="5FC5301A"/>
    <w:rsid w:val="606A78B9"/>
    <w:rsid w:val="60D84E80"/>
    <w:rsid w:val="613F280A"/>
    <w:rsid w:val="6141017F"/>
    <w:rsid w:val="61842912"/>
    <w:rsid w:val="618F0A37"/>
    <w:rsid w:val="61CF20DD"/>
    <w:rsid w:val="624136EF"/>
    <w:rsid w:val="62441860"/>
    <w:rsid w:val="62525166"/>
    <w:rsid w:val="6265316E"/>
    <w:rsid w:val="62937A29"/>
    <w:rsid w:val="62A70077"/>
    <w:rsid w:val="63310F09"/>
    <w:rsid w:val="63694DB5"/>
    <w:rsid w:val="63A45BF9"/>
    <w:rsid w:val="63B84F56"/>
    <w:rsid w:val="63DD067A"/>
    <w:rsid w:val="64074006"/>
    <w:rsid w:val="64307272"/>
    <w:rsid w:val="64847D37"/>
    <w:rsid w:val="648D48B1"/>
    <w:rsid w:val="64D140C0"/>
    <w:rsid w:val="64EE47F9"/>
    <w:rsid w:val="6545038A"/>
    <w:rsid w:val="655C146A"/>
    <w:rsid w:val="65863D1B"/>
    <w:rsid w:val="6587477F"/>
    <w:rsid w:val="65A348E8"/>
    <w:rsid w:val="65B55F9D"/>
    <w:rsid w:val="65B95957"/>
    <w:rsid w:val="65F81266"/>
    <w:rsid w:val="66167BA9"/>
    <w:rsid w:val="663E10C6"/>
    <w:rsid w:val="6684682F"/>
    <w:rsid w:val="66FF5D80"/>
    <w:rsid w:val="67852C74"/>
    <w:rsid w:val="67BA7B20"/>
    <w:rsid w:val="67DB2C51"/>
    <w:rsid w:val="67F765E0"/>
    <w:rsid w:val="681F7264"/>
    <w:rsid w:val="68530CF0"/>
    <w:rsid w:val="68562B5B"/>
    <w:rsid w:val="68671BC6"/>
    <w:rsid w:val="686B311E"/>
    <w:rsid w:val="68AB69D7"/>
    <w:rsid w:val="68CB3B83"/>
    <w:rsid w:val="68FA376A"/>
    <w:rsid w:val="69053B30"/>
    <w:rsid w:val="692A1FF1"/>
    <w:rsid w:val="69D27EA0"/>
    <w:rsid w:val="6A7F5413"/>
    <w:rsid w:val="6A9C5123"/>
    <w:rsid w:val="6B0276EE"/>
    <w:rsid w:val="6B5017A0"/>
    <w:rsid w:val="6B52525A"/>
    <w:rsid w:val="6B533C17"/>
    <w:rsid w:val="6B7569B5"/>
    <w:rsid w:val="6C096D1B"/>
    <w:rsid w:val="6C3B62C3"/>
    <w:rsid w:val="6C5B7CEC"/>
    <w:rsid w:val="6CF240C6"/>
    <w:rsid w:val="6D013BED"/>
    <w:rsid w:val="6DB34F5A"/>
    <w:rsid w:val="6DEE7787"/>
    <w:rsid w:val="6E03652B"/>
    <w:rsid w:val="6E1E0599"/>
    <w:rsid w:val="6E500CE0"/>
    <w:rsid w:val="6E9323E7"/>
    <w:rsid w:val="6F335C56"/>
    <w:rsid w:val="6FB32D97"/>
    <w:rsid w:val="6FD45398"/>
    <w:rsid w:val="70A33D21"/>
    <w:rsid w:val="70C525FF"/>
    <w:rsid w:val="70ED09B0"/>
    <w:rsid w:val="70F047E8"/>
    <w:rsid w:val="71136EAD"/>
    <w:rsid w:val="71137C65"/>
    <w:rsid w:val="7129306F"/>
    <w:rsid w:val="712F6687"/>
    <w:rsid w:val="71411D84"/>
    <w:rsid w:val="7158645C"/>
    <w:rsid w:val="716E2908"/>
    <w:rsid w:val="717600B2"/>
    <w:rsid w:val="71B82140"/>
    <w:rsid w:val="71BD3685"/>
    <w:rsid w:val="72207151"/>
    <w:rsid w:val="72FD4A11"/>
    <w:rsid w:val="72FF1303"/>
    <w:rsid w:val="73396DB5"/>
    <w:rsid w:val="73523B16"/>
    <w:rsid w:val="73A94253"/>
    <w:rsid w:val="73BC5AD9"/>
    <w:rsid w:val="742C51F2"/>
    <w:rsid w:val="74FD50C3"/>
    <w:rsid w:val="75FE3C40"/>
    <w:rsid w:val="762B7230"/>
    <w:rsid w:val="764D1C01"/>
    <w:rsid w:val="76507D8E"/>
    <w:rsid w:val="76D4359C"/>
    <w:rsid w:val="77DA33DD"/>
    <w:rsid w:val="78AB2B78"/>
    <w:rsid w:val="78AC17EA"/>
    <w:rsid w:val="78EB6E8C"/>
    <w:rsid w:val="78F83BED"/>
    <w:rsid w:val="79257587"/>
    <w:rsid w:val="79FF25A5"/>
    <w:rsid w:val="7A4C2094"/>
    <w:rsid w:val="7AB9388D"/>
    <w:rsid w:val="7AD640D2"/>
    <w:rsid w:val="7AFD57B8"/>
    <w:rsid w:val="7B46553C"/>
    <w:rsid w:val="7B477A1B"/>
    <w:rsid w:val="7B5467C4"/>
    <w:rsid w:val="7B615D46"/>
    <w:rsid w:val="7B8F3054"/>
    <w:rsid w:val="7BC10F02"/>
    <w:rsid w:val="7C1A7721"/>
    <w:rsid w:val="7C6A086C"/>
    <w:rsid w:val="7CA32E53"/>
    <w:rsid w:val="7CA52008"/>
    <w:rsid w:val="7CAC6FFC"/>
    <w:rsid w:val="7CFD241F"/>
    <w:rsid w:val="7D346391"/>
    <w:rsid w:val="7D3F1FE1"/>
    <w:rsid w:val="7D40463C"/>
    <w:rsid w:val="7D5139EA"/>
    <w:rsid w:val="7DB1356C"/>
    <w:rsid w:val="7E077651"/>
    <w:rsid w:val="7F5247C5"/>
    <w:rsid w:val="7FFF5A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link w:val="183"/>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Body Text Indent"/>
    <w:basedOn w:val="1"/>
    <w:qFormat/>
    <w:uiPriority w:val="0"/>
    <w:pPr>
      <w:spacing w:line="400" w:lineRule="exact"/>
      <w:ind w:firstLine="435"/>
    </w:p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9"/>
    <w:qFormat/>
    <w:uiPriority w:val="99"/>
    <w:pPr>
      <w:ind w:left="100" w:leftChars="2500"/>
    </w:pPr>
    <w:rPr>
      <w:rFonts w:asciiTheme="minorHAnsi" w:hAnsiTheme="minorHAnsi" w:eastAsiaTheme="minorEastAsia" w:cstheme="minorBidi"/>
    </w:rPr>
  </w:style>
  <w:style w:type="paragraph" w:styleId="20">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6"/>
    <w:semiHidden/>
    <w:qFormat/>
    <w:uiPriority w:val="0"/>
    <w:pPr>
      <w:snapToGrid w:val="0"/>
    </w:pPr>
    <w:rPr>
      <w:rFonts w:asciiTheme="minorHAnsi" w:hAnsiTheme="minorHAnsi" w:eastAsiaTheme="minorEastAsia" w:cstheme="minorBidi"/>
    </w:rPr>
  </w:style>
  <w:style w:type="paragraph" w:styleId="22">
    <w:name w:val="Balloon Text"/>
    <w:basedOn w:val="1"/>
    <w:link w:val="145"/>
    <w:qFormat/>
    <w:uiPriority w:val="99"/>
    <w:rPr>
      <w:rFonts w:asciiTheme="minorHAnsi" w:hAnsiTheme="minorHAnsi" w:eastAsiaTheme="minorEastAsia" w:cstheme="minorBidi"/>
      <w:sz w:val="18"/>
      <w:szCs w:val="18"/>
    </w:rPr>
  </w:style>
  <w:style w:type="paragraph" w:styleId="23">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8"/>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5"/>
    <w:semiHidden/>
    <w:qFormat/>
    <w:uiPriority w:val="0"/>
    <w:rPr>
      <w:b/>
      <w:bCs/>
    </w:rPr>
  </w:style>
  <w:style w:type="paragraph" w:styleId="37">
    <w:name w:val="Body Text First Indent 2"/>
    <w:basedOn w:val="15"/>
    <w:qFormat/>
    <w:uiPriority w:val="0"/>
    <w:pPr>
      <w:spacing w:after="120" w:line="240" w:lineRule="auto"/>
      <w:ind w:left="420" w:firstLine="210"/>
    </w:pPr>
    <w:rPr>
      <w:szCs w:val="20"/>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paragraph" w:customStyle="1" w:styleId="48">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Char"/>
    <w:basedOn w:val="40"/>
    <w:link w:val="5"/>
    <w:qFormat/>
    <w:uiPriority w:val="0"/>
    <w:rPr>
      <w:rFonts w:ascii="Times New Roman" w:hAnsi="Times New Roman" w:eastAsia="宋体" w:cs="Times New Roman"/>
      <w:b/>
      <w:bCs/>
      <w:kern w:val="44"/>
      <w:sz w:val="44"/>
      <w:szCs w:val="44"/>
    </w:rPr>
  </w:style>
  <w:style w:type="character" w:customStyle="1" w:styleId="50">
    <w:name w:val="标题 2 Char"/>
    <w:basedOn w:val="40"/>
    <w:link w:val="6"/>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8"/>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0"/>
    <w:link w:val="22"/>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0"/>
    <w:link w:val="24"/>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0"/>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0"/>
    <w:link w:val="28"/>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0"/>
    <w:link w:val="20"/>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40"/>
    <w:link w:val="23"/>
    <w:semiHidden/>
    <w:qFormat/>
    <w:uiPriority w:val="99"/>
    <w:rPr>
      <w:rFonts w:ascii="Times New Roman" w:hAnsi="Times New Roman" w:eastAsia="宋体" w:cs="Times New Roman"/>
      <w:sz w:val="18"/>
      <w:szCs w:val="18"/>
    </w:rPr>
  </w:style>
  <w:style w:type="character" w:customStyle="1" w:styleId="167">
    <w:name w:val="批注文字 Char1"/>
    <w:basedOn w:val="40"/>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Char1"/>
    <w:basedOn w:val="40"/>
    <w:link w:val="19"/>
    <w:semiHidden/>
    <w:qFormat/>
    <w:uiPriority w:val="99"/>
    <w:rPr>
      <w:rFonts w:ascii="Times New Roman" w:hAnsi="Times New Roman" w:eastAsia="宋体" w:cs="Times New Roman"/>
      <w:szCs w:val="24"/>
    </w:rPr>
  </w:style>
  <w:style w:type="character" w:customStyle="1" w:styleId="170">
    <w:name w:val="文档结构图 Char1"/>
    <w:basedOn w:val="40"/>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6"/>
    <w:semiHidden/>
    <w:qFormat/>
    <w:uiPriority w:val="99"/>
    <w:rPr>
      <w:rFonts w:ascii="Times New Roman" w:hAnsi="Times New Roman" w:eastAsia="宋体" w:cs="Times New Roman"/>
      <w:b/>
      <w:bCs/>
      <w:szCs w:val="24"/>
    </w:rPr>
  </w:style>
  <w:style w:type="character" w:customStyle="1" w:styleId="176">
    <w:name w:val="尾注文本 Char1"/>
    <w:basedOn w:val="40"/>
    <w:link w:val="21"/>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0"/>
    <w:link w:val="14"/>
    <w:semiHidden/>
    <w:qFormat/>
    <w:uiPriority w:val="99"/>
    <w:rPr>
      <w:rFonts w:ascii="Times New Roman" w:hAnsi="Times New Roman" w:eastAsia="宋体" w:cs="Times New Roman"/>
      <w:sz w:val="16"/>
      <w:szCs w:val="16"/>
    </w:rPr>
  </w:style>
  <w:style w:type="character" w:customStyle="1" w:styleId="179">
    <w:name w:val="标题 Char"/>
    <w:basedOn w:val="40"/>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40"/>
    <w:link w:val="17"/>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0"/>
    <w:link w:val="3"/>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0"/>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87">
    <w:name w:val="WPSOffice手动目录 1"/>
    <w:qFormat/>
    <w:uiPriority w:val="0"/>
    <w:pPr>
      <w:ind w:leftChars="0"/>
    </w:pPr>
    <w:rPr>
      <w:rFonts w:ascii="Times New Roman" w:hAnsi="Times New Roman" w:eastAsia="宋体" w:cs="Times New Roman"/>
      <w:sz w:val="20"/>
      <w:szCs w:val="20"/>
    </w:rPr>
  </w:style>
  <w:style w:type="character" w:customStyle="1" w:styleId="188">
    <w:name w:val="font21"/>
    <w:basedOn w:val="40"/>
    <w:qFormat/>
    <w:uiPriority w:val="0"/>
    <w:rPr>
      <w:rFonts w:hint="eastAsia" w:ascii="微软雅黑" w:hAnsi="微软雅黑" w:eastAsia="微软雅黑" w:cs="微软雅黑"/>
      <w:b/>
      <w:bCs/>
      <w:color w:val="0D0D0D"/>
      <w:sz w:val="20"/>
      <w:szCs w:val="20"/>
      <w:u w:val="none"/>
    </w:rPr>
  </w:style>
  <w:style w:type="character" w:customStyle="1" w:styleId="189">
    <w:name w:val="font31"/>
    <w:basedOn w:val="40"/>
    <w:qFormat/>
    <w:uiPriority w:val="0"/>
    <w:rPr>
      <w:rFonts w:hint="default" w:ascii="Arial" w:hAnsi="Arial" w:cs="Arial"/>
      <w:b/>
      <w:bCs/>
      <w:color w:val="0D0D0D"/>
      <w:sz w:val="20"/>
      <w:szCs w:val="20"/>
      <w:u w:val="none"/>
    </w:rPr>
  </w:style>
  <w:style w:type="character" w:customStyle="1" w:styleId="190">
    <w:name w:val="font51"/>
    <w:basedOn w:val="40"/>
    <w:qFormat/>
    <w:uiPriority w:val="0"/>
    <w:rPr>
      <w:rFonts w:hint="default" w:ascii="Arial" w:hAnsi="Arial" w:cs="Arial"/>
      <w:color w:val="000000"/>
      <w:sz w:val="20"/>
      <w:szCs w:val="20"/>
      <w:u w:val="none"/>
    </w:rPr>
  </w:style>
  <w:style w:type="character" w:customStyle="1" w:styleId="191">
    <w:name w:val="font61"/>
    <w:basedOn w:val="40"/>
    <w:qFormat/>
    <w:uiPriority w:val="0"/>
    <w:rPr>
      <w:rFonts w:hint="eastAsia" w:ascii="微软雅黑" w:hAnsi="微软雅黑" w:eastAsia="微软雅黑" w:cs="微软雅黑"/>
      <w:color w:val="000000"/>
      <w:sz w:val="20"/>
      <w:szCs w:val="20"/>
      <w:u w:val="none"/>
    </w:rPr>
  </w:style>
  <w:style w:type="character" w:customStyle="1" w:styleId="192">
    <w:name w:val="font11"/>
    <w:basedOn w:val="40"/>
    <w:qFormat/>
    <w:uiPriority w:val="0"/>
    <w:rPr>
      <w:rFonts w:hint="eastAsia" w:ascii="微软雅黑" w:hAnsi="微软雅黑" w:eastAsia="微软雅黑" w:cs="微软雅黑"/>
      <w:b/>
      <w:bCs/>
      <w:color w:val="000000"/>
      <w:sz w:val="20"/>
      <w:szCs w:val="20"/>
      <w:u w:val="none"/>
    </w:rPr>
  </w:style>
  <w:style w:type="character" w:customStyle="1" w:styleId="193">
    <w:name w:val="font81"/>
    <w:basedOn w:val="40"/>
    <w:qFormat/>
    <w:uiPriority w:val="0"/>
    <w:rPr>
      <w:rFonts w:hint="default" w:ascii="Arial" w:hAnsi="Arial" w:cs="Arial"/>
      <w:b/>
      <w:bCs/>
      <w:color w:val="000000"/>
      <w:sz w:val="20"/>
      <w:szCs w:val="20"/>
      <w:u w:val="none"/>
    </w:rPr>
  </w:style>
  <w:style w:type="character" w:customStyle="1" w:styleId="194">
    <w:name w:val="font41"/>
    <w:basedOn w:val="40"/>
    <w:qFormat/>
    <w:uiPriority w:val="0"/>
    <w:rPr>
      <w:rFonts w:hint="eastAsia" w:ascii="微软雅黑" w:hAnsi="微软雅黑" w:eastAsia="微软雅黑" w:cs="微软雅黑"/>
      <w:b/>
      <w:bCs/>
      <w:color w:val="000000"/>
      <w:sz w:val="20"/>
      <w:szCs w:val="20"/>
      <w:u w:val="none"/>
    </w:rPr>
  </w:style>
  <w:style w:type="character" w:customStyle="1" w:styleId="195">
    <w:name w:val="font91"/>
    <w:basedOn w:val="40"/>
    <w:qFormat/>
    <w:uiPriority w:val="0"/>
    <w:rPr>
      <w:rFonts w:hint="default"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4F2F2-B3BB-4840-B120-BA1FBA77FF2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16443</Words>
  <Characters>17931</Characters>
  <Lines>304</Lines>
  <Paragraphs>85</Paragraphs>
  <TotalTime>7</TotalTime>
  <ScaleCrop>false</ScaleCrop>
  <LinksUpToDate>false</LinksUpToDate>
  <CharactersWithSpaces>19614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2021-10-08T08:35:00Z</cp:lastPrinted>
  <dcterms:modified xsi:type="dcterms:W3CDTF">2023-08-23T00:49:23Z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9514EA545A6143B8B3A2DAC61A93B326</vt:lpwstr>
  </property>
  <property fmtid="{D5CDD505-2E9C-101B-9397-08002B2CF9AE}" pid="4" name="commondata">
    <vt:lpwstr>eyJoZGlkIjoiMjNiZTJkMTI5N2U4MGJiZDRiODkxNWM3MWY3YzEwNGEifQ==</vt:lpwstr>
  </property>
</Properties>
</file>